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FB4868" w14:textId="7134A637" w:rsidR="00D15C8C" w:rsidRPr="0030751E" w:rsidRDefault="00D15C8C" w:rsidP="00D15C8C">
      <w:pPr>
        <w:spacing w:after="0" w:line="240" w:lineRule="auto"/>
        <w:jc w:val="both"/>
        <w:rPr>
          <w:rFonts w:ascii="Verdana" w:eastAsia="Aptos" w:hAnsi="Verdana" w:cs="Arial"/>
          <w:b/>
          <w:bCs/>
          <w:kern w:val="2"/>
          <w14:ligatures w14:val="standardContextual"/>
        </w:rPr>
      </w:pPr>
      <w:r w:rsidRPr="0030751E">
        <w:rPr>
          <w:rFonts w:ascii="Verdana" w:eastAsia="Aptos" w:hAnsi="Verdana" w:cs="Arial"/>
          <w:b/>
          <w:bCs/>
          <w:kern w:val="2"/>
          <w14:ligatures w14:val="standardContextual"/>
        </w:rPr>
        <w:t xml:space="preserve">PRINCIPIO DE PLANEACIÓN – Noción – Estudios previos – Importancia </w:t>
      </w:r>
    </w:p>
    <w:p w14:paraId="5A1575E7" w14:textId="77777777" w:rsidR="00D15C8C" w:rsidRPr="0030751E" w:rsidRDefault="00D15C8C" w:rsidP="00D15C8C">
      <w:pPr>
        <w:spacing w:after="0" w:line="240" w:lineRule="auto"/>
        <w:jc w:val="both"/>
        <w:rPr>
          <w:rFonts w:ascii="Verdana" w:eastAsia="Aptos" w:hAnsi="Verdana" w:cs="Arial"/>
          <w:b/>
          <w:bCs/>
          <w:kern w:val="2"/>
          <w14:ligatures w14:val="standardContextual"/>
        </w:rPr>
      </w:pPr>
    </w:p>
    <w:p w14:paraId="0458FAA2" w14:textId="77777777" w:rsidR="00D15C8C" w:rsidRDefault="00D15C8C" w:rsidP="00D15C8C">
      <w:pPr>
        <w:spacing w:after="0" w:line="240" w:lineRule="auto"/>
        <w:jc w:val="both"/>
        <w:rPr>
          <w:rFonts w:ascii="Verdana" w:eastAsia="Aptos" w:hAnsi="Verdana" w:cs="Arial"/>
          <w:kern w:val="2"/>
          <w:sz w:val="20"/>
          <w:szCs w:val="20"/>
          <w14:ligatures w14:val="standardContextual"/>
        </w:rPr>
      </w:pPr>
      <w:r w:rsidRPr="0030751E">
        <w:rPr>
          <w:rFonts w:ascii="Verdana" w:eastAsia="Aptos" w:hAnsi="Verdana" w:cs="Arial"/>
          <w:kern w:val="2"/>
          <w:sz w:val="20"/>
          <w:szCs w:val="20"/>
          <w14:ligatures w14:val="standardContextual"/>
        </w:rPr>
        <w:t xml:space="preserve">La planeación contractual es una herramienta de gerencia pública, que exige estructurar el proceso contractual dedicando tiempo y esfuerzos para elaborar estudios previos, con el fin de determinar la necesidad que pretende satisfacer la Entidad Estatal y cuál es la mejor manera de hacerlo, consultando el tipo de bienes y servicios que ofrece el mercado y sus características, especificaciones, precios, costos, riesgos, garantía, disponibilidad, oferentes, etc. Lo anterior con la finalidad de realizar la escogencia diligente de la mejor oferta, para beneficiar los intereses y fines públicos inmersos en la contratación de las entidades públicas. </w:t>
      </w:r>
    </w:p>
    <w:p w14:paraId="6493D8EA" w14:textId="77777777" w:rsidR="00D15C8C" w:rsidRPr="0030751E" w:rsidRDefault="00D15C8C" w:rsidP="00D15C8C">
      <w:pPr>
        <w:spacing w:after="0" w:line="240" w:lineRule="auto"/>
        <w:jc w:val="both"/>
        <w:rPr>
          <w:rFonts w:ascii="Verdana" w:eastAsia="Aptos" w:hAnsi="Verdana" w:cs="Arial"/>
          <w:kern w:val="2"/>
          <w:sz w:val="20"/>
          <w:szCs w:val="20"/>
          <w14:ligatures w14:val="standardContextual"/>
        </w:rPr>
      </w:pPr>
      <w:r w:rsidRPr="0030751E">
        <w:rPr>
          <w:rFonts w:ascii="Verdana" w:eastAsia="Aptos" w:hAnsi="Verdana" w:cs="Arial"/>
          <w:kern w:val="2"/>
          <w:sz w:val="20"/>
          <w:szCs w:val="20"/>
          <w14:ligatures w14:val="standardContextual"/>
        </w:rPr>
        <w:t xml:space="preserve"> </w:t>
      </w:r>
    </w:p>
    <w:p w14:paraId="16F56E77" w14:textId="77777777" w:rsidR="00D15C8C" w:rsidRPr="00C322B9" w:rsidRDefault="00D15C8C" w:rsidP="00D15C8C">
      <w:pPr>
        <w:spacing w:after="0" w:line="240" w:lineRule="auto"/>
        <w:jc w:val="both"/>
        <w:rPr>
          <w:rFonts w:ascii="Verdana" w:eastAsia="Aptos" w:hAnsi="Verdana" w:cs="Arial"/>
          <w:kern w:val="2"/>
          <w:sz w:val="20"/>
          <w:szCs w:val="20"/>
          <w14:ligatures w14:val="standardContextual"/>
        </w:rPr>
      </w:pPr>
      <w:r w:rsidRPr="00C322B9">
        <w:rPr>
          <w:rFonts w:ascii="Verdana" w:eastAsia="Aptos" w:hAnsi="Verdana" w:cs="Arial"/>
          <w:kern w:val="2"/>
          <w:sz w:val="20"/>
          <w:szCs w:val="20"/>
          <w14:ligatures w14:val="standardContextual"/>
        </w:rPr>
        <w:t>El Estatuto General de Contratación de la Administración Pública, en adelante EGCAP, contiene disposiciones que exigen a las Entidades Estatales el deber de realizar actividades de planeación en la etapa precontractual, para que los procesos de contratación satisfagan las necesidades de la administración, cumplan sus fines, logren la continua y eficiente prestación de los servicios públicos y permitan la efectividad de los derechos e intereses de los administrados que colaboran en la consecución. En relación con el valor del futuro contrato y su correlativo respaldo presupuestal, se tienen, por ejemplo, las siguientes reglas derivadas de la aplicación del principio de economía previsto en el artículo 25 de la Ley 80 de 1993</w:t>
      </w:r>
      <w:r>
        <w:rPr>
          <w:rFonts w:ascii="Verdana" w:eastAsia="Aptos" w:hAnsi="Verdana" w:cs="Arial"/>
          <w:kern w:val="2"/>
          <w:sz w:val="20"/>
          <w:szCs w:val="20"/>
          <w14:ligatures w14:val="standardContextual"/>
        </w:rPr>
        <w:t>[…]</w:t>
      </w:r>
    </w:p>
    <w:p w14:paraId="609B7C75" w14:textId="77777777" w:rsidR="00D15C8C" w:rsidRPr="000030C5" w:rsidRDefault="00D15C8C" w:rsidP="00D15C8C">
      <w:pPr>
        <w:spacing w:after="0"/>
        <w:jc w:val="both"/>
        <w:rPr>
          <w:rFonts w:ascii="Verdana" w:eastAsia="Verdana" w:hAnsi="Verdana" w:cs="Verdana"/>
          <w:b/>
          <w:color w:val="EE0000"/>
          <w:highlight w:val="lightGray"/>
        </w:rPr>
      </w:pPr>
    </w:p>
    <w:p w14:paraId="48027B4E" w14:textId="77777777" w:rsidR="00D15C8C" w:rsidRDefault="00D15C8C" w:rsidP="00D15C8C">
      <w:pPr>
        <w:jc w:val="both"/>
        <w:rPr>
          <w:rFonts w:ascii="Verdana" w:eastAsia="Calibri" w:hAnsi="Verdana" w:cs="Arial"/>
          <w:b/>
          <w:bCs/>
          <w:lang w:val="es-ES" w:eastAsia="es-ES"/>
        </w:rPr>
      </w:pPr>
      <w:r>
        <w:rPr>
          <w:rFonts w:ascii="Verdana" w:hAnsi="Verdana" w:cs="Arial"/>
          <w:b/>
          <w:bCs/>
        </w:rPr>
        <w:t>DIVISIÓN DEL PROCESO − Lotes o segmentos</w:t>
      </w:r>
      <w:r>
        <w:rPr>
          <w:rFonts w:ascii="Verdana" w:eastAsia="Calibri" w:hAnsi="Verdana" w:cs="Arial"/>
          <w:b/>
          <w:bCs/>
          <w:lang w:val="es-ES" w:eastAsia="es-ES"/>
        </w:rPr>
        <w:t xml:space="preserve"> – Decreto 142 de 2023</w:t>
      </w:r>
    </w:p>
    <w:p w14:paraId="22414145" w14:textId="77777777" w:rsidR="00D15C8C" w:rsidRDefault="00D15C8C" w:rsidP="00D15C8C">
      <w:pPr>
        <w:spacing w:after="0" w:line="240" w:lineRule="auto"/>
        <w:jc w:val="both"/>
        <w:rPr>
          <w:rFonts w:ascii="Verdana" w:eastAsia="Calibri" w:hAnsi="Verdana" w:cs="Arial"/>
          <w:bCs/>
          <w:color w:val="000000" w:themeColor="text1"/>
          <w:sz w:val="20"/>
          <w:szCs w:val="20"/>
          <w:lang w:val="es-ES_tradnl"/>
        </w:rPr>
      </w:pPr>
      <w:r w:rsidRPr="004460E3">
        <w:rPr>
          <w:rFonts w:ascii="Verdana" w:eastAsia="Calibri" w:hAnsi="Verdana" w:cs="Arial"/>
          <w:bCs/>
          <w:color w:val="000000" w:themeColor="text1"/>
          <w:sz w:val="20"/>
          <w:szCs w:val="20"/>
          <w:lang w:val="es-ES_tradnl"/>
        </w:rPr>
        <w:t xml:space="preserve">El Decreto 1082 de 2015 establece en distintas disposiciones esta facultad de las entidades estatales de realizar un proceso de contratación en lotes. En efecto, el artículo 2.2.1.2.1.2.1 señala que, en los pliegos de condiciones para contratar bienes y servicios de características técnicas uniformes, la entidad estatal debe definir, entre otros aspectos, “el contenido de cada una de las partes o lotes, si la adquisición se pretende hacer por partes.” </w:t>
      </w:r>
    </w:p>
    <w:p w14:paraId="3C71B70E" w14:textId="77777777" w:rsidR="00D15C8C" w:rsidRDefault="00D15C8C" w:rsidP="00D15C8C">
      <w:pPr>
        <w:spacing w:after="0" w:line="240" w:lineRule="auto"/>
        <w:jc w:val="both"/>
        <w:rPr>
          <w:rFonts w:ascii="Verdana" w:eastAsia="Calibri" w:hAnsi="Verdana" w:cs="Arial"/>
          <w:bCs/>
          <w:color w:val="000000" w:themeColor="text1"/>
          <w:sz w:val="20"/>
          <w:szCs w:val="20"/>
          <w:lang w:val="es-ES_tradnl"/>
        </w:rPr>
      </w:pPr>
    </w:p>
    <w:p w14:paraId="71885665" w14:textId="77777777" w:rsidR="00D15C8C" w:rsidRDefault="00D15C8C" w:rsidP="442BD052">
      <w:pPr>
        <w:spacing w:after="0" w:line="240" w:lineRule="auto"/>
        <w:jc w:val="both"/>
        <w:rPr>
          <w:rFonts w:ascii="Verdana" w:eastAsia="Calibri" w:hAnsi="Verdana" w:cs="Arial"/>
          <w:color w:val="000000" w:themeColor="text1"/>
          <w:sz w:val="20"/>
          <w:szCs w:val="20"/>
          <w:lang w:val="es-ES"/>
        </w:rPr>
      </w:pPr>
      <w:r w:rsidRPr="442BD052">
        <w:rPr>
          <w:rFonts w:ascii="Verdana" w:eastAsia="Calibri" w:hAnsi="Verdana" w:cs="Arial"/>
          <w:color w:val="000000" w:themeColor="text1"/>
          <w:sz w:val="20"/>
          <w:szCs w:val="20"/>
          <w:lang w:val="es-ES"/>
        </w:rPr>
        <w:t>Con la reciente expedición del Decreto 142 del de 2023 se reglamentó la disposición contenida en el numeral 6 del artículo 33 de la Ley 2069 de 2020. Con el fin de cumplir el mandato legal indicado, el artículo 2 del Decreto 0142 de 2023 modificó el artículo 2.2.1.1.1.4.1 del Decreto 1082 de 2015, para instar a las entidades públicas para que, desde la configuración del Plan Anual de Adquisiciones, propendan por planear su contratación de tal manera que promueva el adelantamiento de procesos de contratación por lotes o segmentos, a fin de promover la participación de las Mipymes en los procesos de contratación. […]</w:t>
      </w:r>
    </w:p>
    <w:p w14:paraId="16675761" w14:textId="77777777" w:rsidR="00D15C8C" w:rsidRPr="004460E3" w:rsidRDefault="00D15C8C" w:rsidP="00D15C8C">
      <w:pPr>
        <w:spacing w:after="0"/>
        <w:rPr>
          <w:rFonts w:ascii="Verdana" w:hAnsi="Verdana"/>
          <w:color w:val="EE0000"/>
          <w:highlight w:val="lightGray"/>
          <w:lang w:val="es-ES"/>
        </w:rPr>
      </w:pPr>
    </w:p>
    <w:p w14:paraId="158FF34A" w14:textId="77777777" w:rsidR="00D15C8C" w:rsidRDefault="00D15C8C" w:rsidP="00D15C8C">
      <w:pPr>
        <w:jc w:val="both"/>
        <w:rPr>
          <w:rFonts w:ascii="Verdana" w:eastAsia="Calibri" w:hAnsi="Verdana" w:cs="Arial"/>
          <w:b/>
          <w:bCs/>
          <w:lang w:val="es-ES" w:eastAsia="es-ES"/>
        </w:rPr>
      </w:pPr>
      <w:r>
        <w:rPr>
          <w:rFonts w:ascii="Verdana" w:eastAsia="Calibri" w:hAnsi="Verdana" w:cs="Arial"/>
          <w:b/>
          <w:bCs/>
          <w:lang w:val="es-ES" w:eastAsia="es-ES"/>
        </w:rPr>
        <w:t xml:space="preserve">DISCRECIONALIDAD </w:t>
      </w:r>
      <w:r>
        <w:rPr>
          <w:rFonts w:ascii="Verdana" w:hAnsi="Verdana" w:cs="Arial"/>
          <w:b/>
          <w:bCs/>
        </w:rPr>
        <w:t xml:space="preserve">– Autonomía entidades estatales </w:t>
      </w:r>
    </w:p>
    <w:p w14:paraId="4E75298F" w14:textId="77777777" w:rsidR="00D15C8C" w:rsidRPr="007240ED" w:rsidRDefault="00D15C8C" w:rsidP="00D15C8C">
      <w:pPr>
        <w:spacing w:after="0" w:line="240" w:lineRule="auto"/>
        <w:jc w:val="both"/>
        <w:rPr>
          <w:rFonts w:ascii="Verdana" w:eastAsia="Calibri" w:hAnsi="Verdana" w:cs="Arial"/>
          <w:b/>
          <w:bCs/>
          <w:lang w:val="es-ES" w:eastAsia="es-ES"/>
        </w:rPr>
      </w:pPr>
      <w:r>
        <w:rPr>
          <w:rFonts w:ascii="Verdana" w:eastAsia="Calibri" w:hAnsi="Verdana" w:cs="Arial"/>
          <w:color w:val="000000" w:themeColor="text1"/>
          <w:sz w:val="20"/>
          <w:szCs w:val="20"/>
          <w:lang w:val="es-ES_tradnl"/>
        </w:rPr>
        <w:t xml:space="preserve">Le corresponde a la Entidad Estatal en ejercicio de la autonomía y discrecionalidad que le confiere el artículo 2.2.1.2.4.2.19 del Decreto 1082 de 2015 −adicionado por el artículo 6 del Decreto 142 de 2023−, determinar en los pliegos de condiciones para los procesos estructurados por lotes o segmentos, si un proponente puede resultar adjudicatario en uno o varios de los lotes o segmentos en los que se dividen los distinto </w:t>
      </w:r>
      <w:r>
        <w:rPr>
          <w:rFonts w:ascii="Verdana" w:eastAsia="Calibri" w:hAnsi="Verdana" w:cs="Arial"/>
          <w:color w:val="000000" w:themeColor="text1"/>
          <w:sz w:val="20"/>
          <w:szCs w:val="20"/>
          <w:lang w:val="es-ES_tradnl"/>
        </w:rPr>
        <w:lastRenderedPageBreak/>
        <w:t xml:space="preserve">procesos de contratación que se encuentra adelantando. </w:t>
      </w:r>
      <w:r>
        <w:rPr>
          <w:rFonts w:ascii="Verdana" w:eastAsia="Calibri" w:hAnsi="Verdana" w:cs="Arial"/>
          <w:color w:val="000000" w:themeColor="text1"/>
          <w:sz w:val="20"/>
          <w:szCs w:val="20"/>
        </w:rPr>
        <w:t xml:space="preserve">Esto supone la posibilidad de que la entidad estatal establezca en el pliego de condiciones reglas y/o causales de rechazo, dirigidas a evitar que se concentre la contratación en un único proponente. </w:t>
      </w:r>
      <w:r>
        <w:rPr>
          <w:rFonts w:ascii="Verdana" w:eastAsia="Calibri" w:hAnsi="Verdana" w:cs="Arial"/>
          <w:color w:val="000000" w:themeColor="text1"/>
          <w:sz w:val="20"/>
          <w:szCs w:val="20"/>
          <w:lang w:val="es-ES_tradnl"/>
        </w:rPr>
        <w:t xml:space="preserve">Además, el inciso en comento establece que, la decisión de la entidad de no adjudicar un contrato en lotes o segmentos puede obedecer −entre otras razones− a que: i) mediante este mecanismo se pueda restringir la competencia o ii) que la segmentación del mercado pueda conducir a que la ejecución del contrato sea imposible desde el punto de vista técnico o económico. </w:t>
      </w:r>
    </w:p>
    <w:p w14:paraId="7FC83E51" w14:textId="77777777" w:rsidR="00D15C8C" w:rsidRPr="000030C5" w:rsidRDefault="00D15C8C" w:rsidP="00D15C8C">
      <w:pPr>
        <w:spacing w:after="0"/>
        <w:rPr>
          <w:rFonts w:ascii="Verdana" w:hAnsi="Verdana"/>
          <w:color w:val="EE0000"/>
          <w:highlight w:val="lightGray"/>
        </w:rPr>
      </w:pPr>
    </w:p>
    <w:p w14:paraId="400BB4CB" w14:textId="77777777" w:rsidR="00D15C8C" w:rsidRDefault="00D15C8C" w:rsidP="00D15C8C">
      <w:pPr>
        <w:jc w:val="both"/>
        <w:rPr>
          <w:rFonts w:ascii="Verdana" w:hAnsi="Verdana" w:cs="Arial"/>
          <w:b/>
          <w:bCs/>
        </w:rPr>
      </w:pPr>
      <w:r>
        <w:rPr>
          <w:rFonts w:ascii="Verdana" w:eastAsia="Calibri" w:hAnsi="Verdana" w:cs="Arial"/>
          <w:b/>
          <w:bCs/>
          <w:lang w:val="es-ES" w:eastAsia="es-ES"/>
        </w:rPr>
        <w:t xml:space="preserve">PROPUESTAS PARCIALES </w:t>
      </w:r>
      <w:r>
        <w:rPr>
          <w:rFonts w:ascii="Verdana" w:hAnsi="Verdana" w:cs="Arial"/>
          <w:b/>
          <w:bCs/>
        </w:rPr>
        <w:t>– Diferencias – Lotes o segmentos</w:t>
      </w:r>
    </w:p>
    <w:p w14:paraId="1C23A3E5" w14:textId="77777777" w:rsidR="00D15C8C" w:rsidRDefault="00D15C8C" w:rsidP="00D15C8C">
      <w:pPr>
        <w:spacing w:after="0" w:line="240" w:lineRule="auto"/>
        <w:jc w:val="both"/>
        <w:rPr>
          <w:rFonts w:ascii="Verdana" w:eastAsia="Calibri" w:hAnsi="Verdana" w:cs="Arial"/>
          <w:color w:val="000000" w:themeColor="text1"/>
          <w:sz w:val="20"/>
          <w:szCs w:val="20"/>
        </w:rPr>
      </w:pPr>
      <w:r>
        <w:rPr>
          <w:rFonts w:ascii="Verdana" w:eastAsia="Calibri" w:hAnsi="Verdana" w:cs="Arial"/>
          <w:color w:val="000000" w:themeColor="text1"/>
          <w:sz w:val="20"/>
          <w:szCs w:val="20"/>
        </w:rPr>
        <w:t xml:space="preserve">Al respecto, vale la pena precisar que cuando se ha dividido el proceso de contratación en varios grupos o lotes, presentar una oferta para uno de ellos no equivale a presentar una propuesta parcial. En el primer caso, el proponente está presentando su propuesta con la intención de ser adjudicatario de un lote específico, lo que implica que debe cumplir con la totalidad de los requerimientos establecidos por la entidad para ese lote en particular. Por su parte, una propuesta parcial ocurre cuando no se cumple con todos los requisitos establecidos en el pliego, ya sea para un solo lote o para varios. En este caso, la propuesta no responde a la totalidad de las exigencias, sino que el proponente presenta una oferta incompleta, lo que implica que no cumple con todos los puntos solicitados o los limita de alguna forma. </w:t>
      </w:r>
    </w:p>
    <w:p w14:paraId="1E533AFF" w14:textId="77777777" w:rsidR="00D15C8C" w:rsidRDefault="00D15C8C" w:rsidP="00D15C8C">
      <w:pPr>
        <w:spacing w:after="0" w:line="240" w:lineRule="auto"/>
        <w:jc w:val="both"/>
        <w:rPr>
          <w:rFonts w:ascii="Verdana" w:eastAsia="Calibri" w:hAnsi="Verdana" w:cs="Arial"/>
          <w:color w:val="000000" w:themeColor="text1"/>
          <w:sz w:val="20"/>
          <w:szCs w:val="20"/>
        </w:rPr>
      </w:pPr>
    </w:p>
    <w:p w14:paraId="7A0B01F4" w14:textId="77777777" w:rsidR="00D15C8C" w:rsidRPr="00F43ACA" w:rsidRDefault="00D15C8C" w:rsidP="00D15C8C">
      <w:pPr>
        <w:spacing w:after="0" w:line="240" w:lineRule="auto"/>
        <w:jc w:val="both"/>
        <w:rPr>
          <w:rFonts w:ascii="Verdana" w:eastAsia="Calibri" w:hAnsi="Verdana" w:cs="Arial"/>
          <w:color w:val="000000" w:themeColor="text1"/>
          <w:sz w:val="20"/>
          <w:szCs w:val="20"/>
        </w:rPr>
      </w:pPr>
      <w:r>
        <w:rPr>
          <w:rFonts w:ascii="Verdana" w:eastAsia="Calibri" w:hAnsi="Verdana" w:cs="Arial"/>
          <w:color w:val="000000" w:themeColor="text1"/>
          <w:sz w:val="20"/>
          <w:szCs w:val="20"/>
        </w:rPr>
        <w:t xml:space="preserve">En esta línea, la presentación de la oferta a uno o varios lotes es permitido en un proceso de contratación y la entidad es la responsable de definir si un proponente puede resultar adjudicatario de uno o varios lotes. En contraste, la propuesta parcial puede ser objeto de rechazo en un proceso de contratación ya que, conforme a lo establecido en el numeral 6 del artículo 30 de la Ley 80 de 1993, las propuestas deben referirse y sujetarse a todos y cada uno de los puntos contenidos en el pliego de condiciones. De esta manera, las ofertas que no cumplan con esta exigencia se consideran incompletas o, en su defecto, constituyen un condicionamiento que puede afectar el proceso de adjudicación, debido a que no responden integralmente a los requerimientos definidos por la entidad estatal. </w:t>
      </w:r>
    </w:p>
    <w:p w14:paraId="1356EC1F" w14:textId="77777777" w:rsidR="00D15C8C" w:rsidRPr="000030C5" w:rsidRDefault="00D15C8C" w:rsidP="00D15C8C">
      <w:pPr>
        <w:spacing w:after="0"/>
        <w:rPr>
          <w:rFonts w:ascii="Verdana" w:hAnsi="Verdana"/>
          <w:color w:val="EE0000"/>
          <w:highlight w:val="lightGray"/>
        </w:rPr>
      </w:pPr>
    </w:p>
    <w:p w14:paraId="08AD2C1E" w14:textId="77777777" w:rsidR="00D15C8C" w:rsidRPr="000030C5" w:rsidRDefault="00D15C8C" w:rsidP="00D15C8C">
      <w:pPr>
        <w:spacing w:after="0"/>
        <w:rPr>
          <w:rFonts w:ascii="Verdana" w:hAnsi="Verdana"/>
          <w:color w:val="EE0000"/>
          <w:highlight w:val="lightGray"/>
        </w:rPr>
      </w:pPr>
    </w:p>
    <w:p w14:paraId="76823FFB" w14:textId="77777777" w:rsidR="00D15C8C" w:rsidRPr="000030C5" w:rsidRDefault="00D15C8C" w:rsidP="00D15C8C">
      <w:pPr>
        <w:spacing w:after="0"/>
        <w:rPr>
          <w:rFonts w:ascii="Verdana" w:hAnsi="Verdana"/>
          <w:color w:val="EE0000"/>
          <w:highlight w:val="lightGray"/>
        </w:rPr>
      </w:pPr>
    </w:p>
    <w:p w14:paraId="7DDD6C27" w14:textId="77777777" w:rsidR="00D15C8C" w:rsidRDefault="00D15C8C" w:rsidP="00D15C8C">
      <w:pPr>
        <w:spacing w:after="0"/>
        <w:rPr>
          <w:rFonts w:ascii="Verdana" w:hAnsi="Verdana"/>
          <w:color w:val="EE0000"/>
          <w:highlight w:val="lightGray"/>
        </w:rPr>
      </w:pPr>
    </w:p>
    <w:p w14:paraId="328B0AA1" w14:textId="77777777" w:rsidR="00D15C8C" w:rsidRDefault="00D15C8C" w:rsidP="00D15C8C">
      <w:pPr>
        <w:spacing w:after="0"/>
        <w:rPr>
          <w:rFonts w:ascii="Verdana" w:hAnsi="Verdana"/>
          <w:color w:val="EE0000"/>
          <w:highlight w:val="lightGray"/>
        </w:rPr>
      </w:pPr>
    </w:p>
    <w:p w14:paraId="1B23A313" w14:textId="77777777" w:rsidR="00D15C8C" w:rsidRDefault="00D15C8C" w:rsidP="00D15C8C">
      <w:pPr>
        <w:spacing w:after="0"/>
        <w:rPr>
          <w:rFonts w:ascii="Verdana" w:hAnsi="Verdana"/>
          <w:color w:val="EE0000"/>
          <w:highlight w:val="lightGray"/>
        </w:rPr>
      </w:pPr>
    </w:p>
    <w:p w14:paraId="4133C88C" w14:textId="77777777" w:rsidR="00D15C8C" w:rsidRDefault="00D15C8C" w:rsidP="00D15C8C">
      <w:pPr>
        <w:spacing w:after="0"/>
        <w:rPr>
          <w:rFonts w:ascii="Verdana" w:hAnsi="Verdana"/>
          <w:color w:val="EE0000"/>
          <w:highlight w:val="lightGray"/>
        </w:rPr>
      </w:pPr>
    </w:p>
    <w:p w14:paraId="7AA188FC" w14:textId="77777777" w:rsidR="00D15C8C" w:rsidRDefault="00D15C8C" w:rsidP="00D15C8C">
      <w:pPr>
        <w:spacing w:after="0"/>
        <w:rPr>
          <w:rFonts w:ascii="Verdana" w:hAnsi="Verdana"/>
          <w:color w:val="EE0000"/>
          <w:highlight w:val="lightGray"/>
        </w:rPr>
      </w:pPr>
    </w:p>
    <w:p w14:paraId="22111B7E" w14:textId="77777777" w:rsidR="00D15C8C" w:rsidRDefault="00D15C8C" w:rsidP="00D15C8C">
      <w:pPr>
        <w:spacing w:after="0"/>
        <w:rPr>
          <w:rFonts w:ascii="Verdana" w:hAnsi="Verdana"/>
          <w:color w:val="EE0000"/>
          <w:highlight w:val="lightGray"/>
        </w:rPr>
      </w:pPr>
    </w:p>
    <w:p w14:paraId="055872A4" w14:textId="77777777" w:rsidR="00D15C8C" w:rsidRDefault="00D15C8C" w:rsidP="00D15C8C">
      <w:pPr>
        <w:spacing w:after="0"/>
        <w:rPr>
          <w:rFonts w:ascii="Verdana" w:hAnsi="Verdana"/>
          <w:color w:val="EE0000"/>
          <w:highlight w:val="lightGray"/>
        </w:rPr>
      </w:pPr>
    </w:p>
    <w:p w14:paraId="2D32A418" w14:textId="77777777" w:rsidR="00D15C8C" w:rsidRDefault="00D15C8C" w:rsidP="00D15C8C">
      <w:pPr>
        <w:spacing w:after="0"/>
        <w:rPr>
          <w:rFonts w:ascii="Verdana" w:hAnsi="Verdana"/>
          <w:color w:val="EE0000"/>
          <w:highlight w:val="lightGray"/>
        </w:rPr>
      </w:pPr>
    </w:p>
    <w:p w14:paraId="0ACDEE22" w14:textId="77777777" w:rsidR="00D15C8C" w:rsidRDefault="00D15C8C" w:rsidP="00D15C8C">
      <w:pPr>
        <w:spacing w:after="0" w:line="240" w:lineRule="auto"/>
        <w:rPr>
          <w:rFonts w:ascii="Verdana" w:hAnsi="Verdana"/>
          <w:color w:val="EE0000"/>
        </w:rPr>
      </w:pPr>
    </w:p>
    <w:p w14:paraId="193557C9" w14:textId="3A0F2DD5" w:rsidR="00D15C8C" w:rsidRPr="00CF107C" w:rsidRDefault="00D15C8C" w:rsidP="00D15C8C">
      <w:pPr>
        <w:spacing w:after="0" w:line="240" w:lineRule="auto"/>
        <w:rPr>
          <w:rFonts w:ascii="Verdana" w:hAnsi="Verdana"/>
        </w:rPr>
      </w:pPr>
      <w:r w:rsidRPr="00CF107C">
        <w:rPr>
          <w:rFonts w:ascii="Verdana" w:hAnsi="Verdana"/>
        </w:rPr>
        <w:lastRenderedPageBreak/>
        <w:t xml:space="preserve">Bogotá D.C., </w:t>
      </w:r>
      <w:r w:rsidR="003763AB">
        <w:rPr>
          <w:rFonts w:ascii="Verdana" w:hAnsi="Verdana"/>
        </w:rPr>
        <w:t>29 Mayo 2026</w:t>
      </w:r>
      <w:r w:rsidRPr="00CF107C">
        <w:rPr>
          <w:rFonts w:ascii="Verdana" w:hAnsi="Verdana"/>
        </w:rPr>
        <w:t xml:space="preserve"> </w:t>
      </w:r>
    </w:p>
    <w:p w14:paraId="2E756DCC" w14:textId="77777777" w:rsidR="00D15C8C" w:rsidRPr="00CF107C" w:rsidRDefault="00D15C8C" w:rsidP="00D15C8C">
      <w:pPr>
        <w:spacing w:after="0" w:line="240" w:lineRule="auto"/>
        <w:rPr>
          <w:rFonts w:ascii="Verdana" w:hAnsi="Verdana"/>
          <w:highlight w:val="lightGray"/>
          <w:lang w:val="es-ES"/>
        </w:rPr>
      </w:pPr>
    </w:p>
    <w:p w14:paraId="6A01F24A" w14:textId="3C72107A" w:rsidR="00D15C8C" w:rsidRPr="00CF107C" w:rsidRDefault="006242CB" w:rsidP="00D15C8C">
      <w:pPr>
        <w:spacing w:after="0" w:line="240" w:lineRule="auto"/>
        <w:rPr>
          <w:rFonts w:ascii="Verdana" w:hAnsi="Verdana"/>
          <w:lang w:val="es-ES"/>
        </w:rPr>
      </w:pPr>
      <w:r w:rsidRPr="006242CB">
        <w:rPr>
          <w:rFonts w:ascii="Verdana" w:eastAsia="Calibri" w:hAnsi="Verdana" w:cs="Arial"/>
          <w:b/>
          <w:bCs/>
          <w:lang w:eastAsia="es-ES"/>
        </w:rPr>
        <w:drawing>
          <wp:anchor distT="0" distB="0" distL="114300" distR="114300" simplePos="0" relativeHeight="251658240" behindDoc="1" locked="0" layoutInCell="1" allowOverlap="1" wp14:anchorId="40133C13" wp14:editId="38436903">
            <wp:simplePos x="0" y="0"/>
            <wp:positionH relativeFrom="column">
              <wp:posOffset>2916939</wp:posOffset>
            </wp:positionH>
            <wp:positionV relativeFrom="paragraph">
              <wp:posOffset>11430</wp:posOffset>
            </wp:positionV>
            <wp:extent cx="2827655" cy="793750"/>
            <wp:effectExtent l="0" t="0" r="0" b="6350"/>
            <wp:wrapNone/>
            <wp:docPr id="140116288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1162889" name=""/>
                    <pic:cNvPicPr/>
                  </pic:nvPicPr>
                  <pic:blipFill>
                    <a:blip r:embed="rId11">
                      <a:extLst>
                        <a:ext uri="{28A0092B-C50C-407E-A947-70E740481C1C}">
                          <a14:useLocalDpi xmlns:a14="http://schemas.microsoft.com/office/drawing/2010/main" val="0"/>
                        </a:ext>
                      </a:extLst>
                    </a:blip>
                    <a:stretch>
                      <a:fillRect/>
                    </a:stretch>
                  </pic:blipFill>
                  <pic:spPr>
                    <a:xfrm>
                      <a:off x="0" y="0"/>
                      <a:ext cx="2827655" cy="793750"/>
                    </a:xfrm>
                    <a:prstGeom prst="rect">
                      <a:avLst/>
                    </a:prstGeom>
                  </pic:spPr>
                </pic:pic>
              </a:graphicData>
            </a:graphic>
          </wp:anchor>
        </w:drawing>
      </w:r>
      <w:r w:rsidR="00D15C8C" w:rsidRPr="00CF107C">
        <w:rPr>
          <w:rFonts w:ascii="Verdana" w:eastAsia="Calibri" w:hAnsi="Verdana" w:cs="Arial"/>
          <w:lang w:val="es-ES" w:eastAsia="es-ES"/>
        </w:rPr>
        <w:t>Señora</w:t>
      </w:r>
    </w:p>
    <w:p w14:paraId="67B8F026" w14:textId="6B1269CF" w:rsidR="00D15C8C" w:rsidRPr="00CF107C" w:rsidRDefault="00D15C8C" w:rsidP="00D15C8C">
      <w:pPr>
        <w:spacing w:after="0" w:line="240" w:lineRule="auto"/>
        <w:rPr>
          <w:rFonts w:ascii="Verdana" w:hAnsi="Verdana"/>
        </w:rPr>
      </w:pPr>
      <w:r w:rsidRPr="00CF107C">
        <w:rPr>
          <w:rFonts w:ascii="Verdana" w:eastAsia="Calibri" w:hAnsi="Verdana" w:cs="Arial"/>
          <w:b/>
          <w:bCs/>
          <w:lang w:eastAsia="es-ES"/>
        </w:rPr>
        <w:t>Ana María David Trujillo</w:t>
      </w:r>
      <w:r w:rsidR="006242CB" w:rsidRPr="006242CB">
        <w:rPr>
          <w:noProof/>
        </w:rPr>
        <w:t xml:space="preserve"> </w:t>
      </w:r>
    </w:p>
    <w:p w14:paraId="3CE1D7E4" w14:textId="77777777" w:rsidR="00D15C8C" w:rsidRPr="000030C5" w:rsidRDefault="00D15C8C" w:rsidP="00D15C8C">
      <w:pPr>
        <w:spacing w:after="0" w:line="240" w:lineRule="auto"/>
        <w:rPr>
          <w:rFonts w:ascii="Verdana" w:eastAsia="Calibri" w:hAnsi="Verdana" w:cs="Arial"/>
          <w:color w:val="EE0000"/>
          <w:lang w:eastAsia="es-ES"/>
        </w:rPr>
      </w:pPr>
      <w:hyperlink r:id="rId12" w:tooltip="mailto:abg.anadavid@gmail.com" w:history="1">
        <w:r w:rsidRPr="0058781F">
          <w:rPr>
            <w:rStyle w:val="Hipervnculo"/>
            <w:rFonts w:ascii="Verdana" w:eastAsia="Calibri" w:hAnsi="Verdana" w:cs="Arial"/>
            <w:lang w:eastAsia="es-ES"/>
          </w:rPr>
          <w:t>abg.anadavid@gmail.com</w:t>
        </w:r>
      </w:hyperlink>
      <w:r>
        <w:rPr>
          <w:rFonts w:ascii="Verdana" w:eastAsia="Calibri" w:hAnsi="Verdana" w:cs="Arial"/>
          <w:color w:val="EE0000"/>
          <w:lang w:eastAsia="es-ES"/>
        </w:rPr>
        <w:t xml:space="preserve"> </w:t>
      </w:r>
    </w:p>
    <w:p w14:paraId="3F2429DC" w14:textId="77777777" w:rsidR="00D15C8C" w:rsidRPr="00EB5675" w:rsidRDefault="00D15C8C" w:rsidP="00D15C8C">
      <w:pPr>
        <w:spacing w:after="0" w:line="240" w:lineRule="auto"/>
        <w:rPr>
          <w:rFonts w:ascii="Verdana" w:eastAsia="Calibri" w:hAnsi="Verdana" w:cs="Arial"/>
          <w:lang w:val="es-ES" w:eastAsia="es-ES"/>
        </w:rPr>
      </w:pPr>
      <w:r w:rsidRPr="00EB5675">
        <w:rPr>
          <w:rFonts w:ascii="Verdana" w:eastAsia="Calibri" w:hAnsi="Verdana" w:cs="Arial"/>
          <w:lang w:val="es-ES" w:eastAsia="es-ES"/>
        </w:rPr>
        <w:t>Neiva, Huila</w:t>
      </w:r>
    </w:p>
    <w:p w14:paraId="6966A334" w14:textId="77777777" w:rsidR="00D15C8C" w:rsidRPr="000030C5" w:rsidRDefault="00D15C8C" w:rsidP="00D15C8C">
      <w:pPr>
        <w:spacing w:after="0" w:line="240" w:lineRule="auto"/>
        <w:rPr>
          <w:rFonts w:ascii="Verdana" w:eastAsia="Calibri" w:hAnsi="Verdana" w:cs="Arial"/>
          <w:color w:val="EE0000"/>
          <w:highlight w:val="lightGray"/>
          <w:lang w:val="es-ES" w:eastAsia="es-ES"/>
        </w:rPr>
      </w:pPr>
    </w:p>
    <w:p w14:paraId="218FEA45" w14:textId="77777777" w:rsidR="00D15C8C" w:rsidRPr="000030C5" w:rsidRDefault="00D15C8C" w:rsidP="00D15C8C">
      <w:pPr>
        <w:spacing w:after="0" w:line="240" w:lineRule="auto"/>
        <w:rPr>
          <w:rFonts w:ascii="Verdana" w:eastAsia="Calibri" w:hAnsi="Verdana" w:cs="Arial"/>
          <w:b/>
          <w:bCs/>
          <w:color w:val="EE0000"/>
          <w:highlight w:val="lightGray"/>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D15C8C" w:rsidRPr="000030C5" w14:paraId="4AF224F3" w14:textId="77777777" w:rsidTr="0012255A">
        <w:trPr>
          <w:trHeight w:val="300"/>
        </w:trPr>
        <w:tc>
          <w:tcPr>
            <w:tcW w:w="2410" w:type="dxa"/>
          </w:tcPr>
          <w:p w14:paraId="291B0D85" w14:textId="77777777" w:rsidR="00D15C8C" w:rsidRPr="000030C5" w:rsidRDefault="00D15C8C" w:rsidP="0012255A">
            <w:pPr>
              <w:ind w:left="-142"/>
              <w:jc w:val="both"/>
              <w:rPr>
                <w:rFonts w:ascii="Verdana" w:eastAsia="Calibri" w:hAnsi="Verdana" w:cs="Arial"/>
                <w:b/>
                <w:bCs/>
                <w:color w:val="EE0000"/>
                <w:highlight w:val="lightGray"/>
                <w:lang w:val="es-ES" w:eastAsia="es-ES_tradnl"/>
              </w:rPr>
            </w:pPr>
          </w:p>
        </w:tc>
        <w:tc>
          <w:tcPr>
            <w:tcW w:w="6100" w:type="dxa"/>
          </w:tcPr>
          <w:p w14:paraId="0DE2607D" w14:textId="77777777" w:rsidR="00D15C8C" w:rsidRPr="00532610" w:rsidRDefault="00D15C8C" w:rsidP="0012255A">
            <w:pPr>
              <w:ind w:left="3"/>
              <w:jc w:val="both"/>
              <w:rPr>
                <w:rFonts w:ascii="Verdana" w:eastAsia="Calibri" w:hAnsi="Verdana" w:cs="Arial"/>
                <w:b/>
                <w:bCs/>
                <w:highlight w:val="lightGray"/>
                <w:lang w:val="es-ES" w:eastAsia="es-ES"/>
              </w:rPr>
            </w:pPr>
            <w:r w:rsidRPr="00532610">
              <w:rPr>
                <w:rFonts w:ascii="Verdana" w:eastAsia="Calibri" w:hAnsi="Verdana" w:cs="Arial"/>
                <w:b/>
                <w:bCs/>
                <w:lang w:val="es-ES" w:eastAsia="es-ES"/>
              </w:rPr>
              <w:t>Concepto C-643 de 2026</w:t>
            </w:r>
          </w:p>
          <w:p w14:paraId="409C6597" w14:textId="77777777" w:rsidR="00D15C8C" w:rsidRPr="000030C5" w:rsidRDefault="00D15C8C" w:rsidP="0012255A">
            <w:pPr>
              <w:ind w:left="3"/>
              <w:jc w:val="both"/>
              <w:rPr>
                <w:rFonts w:ascii="Verdana" w:eastAsia="Calibri" w:hAnsi="Verdana" w:cs="Arial"/>
                <w:b/>
                <w:bCs/>
                <w:color w:val="EE0000"/>
                <w:highlight w:val="lightGray"/>
                <w:lang w:val="es-ES" w:eastAsia="es-ES"/>
              </w:rPr>
            </w:pPr>
          </w:p>
        </w:tc>
      </w:tr>
      <w:tr w:rsidR="00D15C8C" w:rsidRPr="000030C5" w14:paraId="6A52E1CE" w14:textId="77777777" w:rsidTr="0012255A">
        <w:trPr>
          <w:trHeight w:val="300"/>
        </w:trPr>
        <w:tc>
          <w:tcPr>
            <w:tcW w:w="2410" w:type="dxa"/>
          </w:tcPr>
          <w:p w14:paraId="468068FA" w14:textId="77777777" w:rsidR="00D15C8C" w:rsidRPr="000030C5" w:rsidRDefault="00D15C8C" w:rsidP="0012255A">
            <w:pPr>
              <w:ind w:left="424" w:firstLine="142"/>
              <w:jc w:val="both"/>
              <w:rPr>
                <w:rFonts w:ascii="Verdana" w:eastAsia="Calibri" w:hAnsi="Verdana" w:cs="Arial"/>
                <w:color w:val="EE0000"/>
                <w:highlight w:val="lightGray"/>
                <w:lang w:val="es-ES" w:eastAsia="es-ES_tradnl"/>
              </w:rPr>
            </w:pPr>
            <w:r w:rsidRPr="00532610">
              <w:rPr>
                <w:rFonts w:ascii="Verdana" w:eastAsia="Calibri" w:hAnsi="Verdana" w:cs="Arial"/>
                <w:b/>
                <w:lang w:val="es-ES" w:eastAsia="es-ES_tradnl"/>
              </w:rPr>
              <w:t>Temas:</w:t>
            </w:r>
            <w:r w:rsidRPr="00532610">
              <w:rPr>
                <w:rFonts w:ascii="Verdana" w:eastAsia="Calibri" w:hAnsi="Verdana" w:cs="Arial"/>
                <w:lang w:val="es-ES" w:eastAsia="es-ES_tradnl"/>
              </w:rPr>
              <w:t xml:space="preserve"> </w:t>
            </w:r>
            <w:r w:rsidRPr="00532610">
              <w:rPr>
                <w:rFonts w:ascii="Verdana" w:eastAsia="Calibri" w:hAnsi="Verdana" w:cs="Arial"/>
                <w:highlight w:val="lightGray"/>
                <w:lang w:val="es-ES" w:eastAsia="es-ES_tradnl"/>
              </w:rPr>
              <w:t xml:space="preserve">                 </w:t>
            </w:r>
          </w:p>
        </w:tc>
        <w:tc>
          <w:tcPr>
            <w:tcW w:w="6100" w:type="dxa"/>
          </w:tcPr>
          <w:p w14:paraId="47480B79" w14:textId="77777777" w:rsidR="00D15C8C" w:rsidRPr="00A61B75" w:rsidRDefault="00D15C8C" w:rsidP="0012255A">
            <w:pPr>
              <w:jc w:val="both"/>
              <w:rPr>
                <w:rFonts w:ascii="Verdana" w:eastAsia="Calibri" w:hAnsi="Verdana" w:cs="Arial"/>
              </w:rPr>
            </w:pPr>
            <w:r w:rsidRPr="00A61B75">
              <w:rPr>
                <w:rFonts w:ascii="Verdana" w:eastAsia="Calibri" w:hAnsi="Verdana" w:cs="Arial"/>
              </w:rPr>
              <w:t>PRINCIPIO DE PLANEACIÓN – Noción – Estudios previos – Importancia / DIVISIÓN DEL PROCESO − Lotes o segmentos – Decreto 142 de 2023 / DISCRECIONALIDAD – Autonomía entidades estatales / PROPUESTAS PARCIALES – Diferencias – Lotes o segmentos</w:t>
            </w:r>
          </w:p>
          <w:p w14:paraId="31ECF3D4" w14:textId="77777777" w:rsidR="00D15C8C" w:rsidRPr="000030C5" w:rsidRDefault="00D15C8C" w:rsidP="0012255A">
            <w:pPr>
              <w:jc w:val="both"/>
              <w:rPr>
                <w:rFonts w:ascii="Verdana" w:eastAsia="Calibri" w:hAnsi="Verdana" w:cs="Arial"/>
                <w:color w:val="EE0000"/>
              </w:rPr>
            </w:pPr>
          </w:p>
        </w:tc>
      </w:tr>
      <w:tr w:rsidR="00D15C8C" w:rsidRPr="000030C5" w14:paraId="32C6E5EE" w14:textId="77777777" w:rsidTr="0012255A">
        <w:trPr>
          <w:trHeight w:val="140"/>
        </w:trPr>
        <w:tc>
          <w:tcPr>
            <w:tcW w:w="2410" w:type="dxa"/>
          </w:tcPr>
          <w:p w14:paraId="08AD9B38" w14:textId="77777777" w:rsidR="00D15C8C" w:rsidRPr="00532610" w:rsidRDefault="00D15C8C" w:rsidP="0012255A">
            <w:pPr>
              <w:ind w:left="561"/>
              <w:jc w:val="both"/>
              <w:rPr>
                <w:rFonts w:ascii="Verdana" w:eastAsia="Calibri" w:hAnsi="Verdana" w:cs="Arial"/>
                <w:b/>
                <w:lang w:val="es-ES" w:eastAsia="es-ES_tradnl"/>
              </w:rPr>
            </w:pPr>
            <w:r w:rsidRPr="00532610">
              <w:rPr>
                <w:rFonts w:ascii="Verdana" w:eastAsia="Calibri" w:hAnsi="Verdana" w:cs="Arial"/>
                <w:b/>
                <w:lang w:val="es-ES" w:eastAsia="es-ES_tradnl"/>
              </w:rPr>
              <w:t>Radicación:</w:t>
            </w:r>
            <w:r w:rsidRPr="00532610">
              <w:rPr>
                <w:rFonts w:ascii="Verdana" w:eastAsia="Calibri" w:hAnsi="Verdana" w:cs="Arial"/>
                <w:lang w:val="es-ES" w:eastAsia="es-ES_tradnl"/>
              </w:rPr>
              <w:t xml:space="preserve">              </w:t>
            </w:r>
          </w:p>
        </w:tc>
        <w:tc>
          <w:tcPr>
            <w:tcW w:w="6100" w:type="dxa"/>
          </w:tcPr>
          <w:p w14:paraId="07285EBB" w14:textId="77777777" w:rsidR="00D15C8C" w:rsidRPr="00532610" w:rsidRDefault="00D15C8C" w:rsidP="0012255A">
            <w:pPr>
              <w:ind w:left="3"/>
              <w:jc w:val="both"/>
              <w:rPr>
                <w:rFonts w:ascii="Verdana" w:hAnsi="Verdana"/>
                <w:lang w:val="es-ES"/>
              </w:rPr>
            </w:pPr>
            <w:r w:rsidRPr="00532610">
              <w:rPr>
                <w:rFonts w:ascii="Verdana" w:eastAsia="Calibri" w:hAnsi="Verdana" w:cs="Arial"/>
                <w:lang w:val="es-ES" w:eastAsia="es-ES"/>
              </w:rPr>
              <w:t>Respuesta a consulta con radicado No. 1_2026_04_21_005334</w:t>
            </w:r>
          </w:p>
        </w:tc>
      </w:tr>
    </w:tbl>
    <w:p w14:paraId="136FA591" w14:textId="77777777" w:rsidR="00D15C8C" w:rsidRDefault="00D15C8C" w:rsidP="00D15C8C">
      <w:pPr>
        <w:spacing w:after="0" w:line="240" w:lineRule="auto"/>
        <w:jc w:val="both"/>
        <w:rPr>
          <w:rFonts w:ascii="Verdana" w:eastAsia="Calibri" w:hAnsi="Verdana" w:cs="Arial"/>
          <w:color w:val="EE0000"/>
          <w:highlight w:val="lightGray"/>
          <w:lang w:val="es-ES" w:eastAsia="es-ES"/>
        </w:rPr>
      </w:pPr>
    </w:p>
    <w:p w14:paraId="46CB9DE6" w14:textId="77777777" w:rsidR="00156393" w:rsidRPr="000030C5" w:rsidRDefault="00156393" w:rsidP="00D15C8C">
      <w:pPr>
        <w:spacing w:after="0" w:line="240" w:lineRule="auto"/>
        <w:jc w:val="both"/>
        <w:rPr>
          <w:rFonts w:ascii="Verdana" w:eastAsia="Calibri" w:hAnsi="Verdana" w:cs="Arial"/>
          <w:color w:val="EE0000"/>
          <w:highlight w:val="lightGray"/>
          <w:lang w:val="es-ES" w:eastAsia="es-ES"/>
        </w:rPr>
      </w:pPr>
    </w:p>
    <w:p w14:paraId="3D2F77CE" w14:textId="77777777" w:rsidR="00D15C8C" w:rsidRPr="000030C5" w:rsidRDefault="00D15C8C" w:rsidP="00D15C8C">
      <w:pPr>
        <w:spacing w:after="0" w:line="240" w:lineRule="auto"/>
        <w:jc w:val="both"/>
        <w:rPr>
          <w:rFonts w:ascii="Verdana" w:eastAsia="Calibri" w:hAnsi="Verdana" w:cs="Arial"/>
          <w:color w:val="EE0000"/>
          <w:highlight w:val="lightGray"/>
          <w:lang w:val="es-ES" w:eastAsia="es-ES"/>
        </w:rPr>
      </w:pPr>
    </w:p>
    <w:p w14:paraId="6113E24A" w14:textId="77777777" w:rsidR="00D15C8C" w:rsidRPr="00532610" w:rsidRDefault="00D15C8C" w:rsidP="00D15C8C">
      <w:pPr>
        <w:spacing w:after="0" w:line="276" w:lineRule="auto"/>
        <w:jc w:val="both"/>
        <w:rPr>
          <w:rFonts w:ascii="Verdana" w:eastAsia="Calibri" w:hAnsi="Verdana" w:cs="Arial"/>
          <w:lang w:val="es-ES" w:eastAsia="es-ES"/>
        </w:rPr>
      </w:pPr>
      <w:r w:rsidRPr="00532610">
        <w:rPr>
          <w:rFonts w:ascii="Verdana" w:eastAsia="Calibri" w:hAnsi="Verdana" w:cs="Arial"/>
          <w:lang w:val="es-ES" w:eastAsia="es-ES"/>
        </w:rPr>
        <w:t>Estimada señora Ana María,</w:t>
      </w:r>
    </w:p>
    <w:p w14:paraId="52DD2386" w14:textId="77777777" w:rsidR="00D15C8C" w:rsidRPr="00532610" w:rsidRDefault="00D15C8C" w:rsidP="00D15C8C">
      <w:pPr>
        <w:tabs>
          <w:tab w:val="left" w:pos="3768"/>
        </w:tabs>
        <w:spacing w:after="0" w:line="276" w:lineRule="auto"/>
        <w:jc w:val="both"/>
        <w:rPr>
          <w:rFonts w:ascii="Verdana" w:eastAsia="Calibri" w:hAnsi="Verdana" w:cs="Arial"/>
          <w:lang w:val="es-ES" w:eastAsia="es-ES"/>
        </w:rPr>
      </w:pPr>
      <w:r w:rsidRPr="00532610">
        <w:rPr>
          <w:rFonts w:ascii="Verdana" w:eastAsia="Calibri" w:hAnsi="Verdana" w:cs="Arial"/>
          <w:lang w:val="es-ES" w:eastAsia="es-ES"/>
        </w:rPr>
        <w:tab/>
      </w:r>
    </w:p>
    <w:p w14:paraId="08A8A213" w14:textId="77777777" w:rsidR="00D15C8C" w:rsidRPr="00532610" w:rsidRDefault="00D15C8C" w:rsidP="00D15C8C">
      <w:pPr>
        <w:spacing w:after="0" w:line="276" w:lineRule="auto"/>
        <w:jc w:val="both"/>
        <w:rPr>
          <w:rFonts w:ascii="Verdana" w:eastAsia="Calibri" w:hAnsi="Verdana" w:cs="Arial"/>
          <w:lang w:val="es-ES" w:eastAsia="es-ES"/>
        </w:rPr>
      </w:pPr>
      <w:r w:rsidRPr="00532610">
        <w:rPr>
          <w:rFonts w:ascii="Verdana" w:eastAsia="Calibri" w:hAnsi="Verdana" w:cs="Arial"/>
          <w:lang w:val="es-ES" w:eastAsia="es-ES"/>
        </w:rPr>
        <w:t>En ejercicio de la competencia otorgada por los artículos 3, numeral 5º, y 11, numeral 8º, del Decreto Ley 4170 de 2011,</w:t>
      </w:r>
      <w:r w:rsidRPr="00532610">
        <w:rPr>
          <w:rFonts w:ascii="Verdana" w:eastAsia="Arial MT" w:hAnsi="Verdana" w:cs="Arial MT"/>
          <w:lang w:val="es-ES" w:eastAsia="es-ES"/>
        </w:rPr>
        <w:t xml:space="preserve"> </w:t>
      </w:r>
      <w:r w:rsidRPr="00532610">
        <w:rPr>
          <w:rFonts w:ascii="Verdana" w:hAnsi="Verdana" w:cs="Arial"/>
          <w:lang w:val="es-ES"/>
        </w:rPr>
        <w:t xml:space="preserve">así como lo establecido en el artículo 4 de la Resolución 469 de 2025 expedida por esta Entidad, </w:t>
      </w:r>
      <w:r w:rsidRPr="00532610">
        <w:rPr>
          <w:rFonts w:ascii="Verdana" w:eastAsia="Calibri" w:hAnsi="Verdana" w:cs="Arial"/>
          <w:lang w:val="es-ES" w:eastAsia="es-ES"/>
        </w:rPr>
        <w:t xml:space="preserve">la Agencia Nacional de Contratación Pública – Colombia Compra Eficiente– responde su solicitud de consulta de fecha 21 de abril de 2026, en la cual manifiesta lo siguiente: </w:t>
      </w:r>
    </w:p>
    <w:p w14:paraId="485E76F0" w14:textId="77777777" w:rsidR="00D15C8C" w:rsidRPr="000030C5" w:rsidRDefault="00D15C8C" w:rsidP="00D15C8C">
      <w:pPr>
        <w:tabs>
          <w:tab w:val="left" w:pos="142"/>
          <w:tab w:val="left" w:pos="284"/>
        </w:tabs>
        <w:spacing w:after="0" w:line="276" w:lineRule="auto"/>
        <w:jc w:val="both"/>
        <w:rPr>
          <w:rFonts w:ascii="Verdana" w:eastAsia="Century Gothic" w:hAnsi="Verdana" w:cs="Century Gothic"/>
          <w:b/>
          <w:bCs/>
          <w:color w:val="EE0000"/>
          <w:highlight w:val="lightGray"/>
          <w:lang w:val="es-ES"/>
        </w:rPr>
      </w:pPr>
    </w:p>
    <w:p w14:paraId="6B05AC54" w14:textId="77777777" w:rsidR="00D15C8C" w:rsidRPr="006D29BB" w:rsidRDefault="00D15C8C" w:rsidP="00D15C8C">
      <w:pPr>
        <w:spacing w:after="0" w:line="240" w:lineRule="auto"/>
        <w:ind w:left="709" w:right="709"/>
        <w:contextualSpacing/>
        <w:jc w:val="both"/>
        <w:rPr>
          <w:rFonts w:ascii="Verdana" w:eastAsia="Century Gothic" w:hAnsi="Verdana" w:cs="Century Gothic"/>
          <w:i/>
          <w:iCs/>
          <w:sz w:val="20"/>
          <w:szCs w:val="20"/>
          <w:lang w:val="es-ES"/>
        </w:rPr>
      </w:pPr>
      <w:r w:rsidRPr="006D29BB">
        <w:rPr>
          <w:rFonts w:ascii="Verdana" w:eastAsia="Century Gothic" w:hAnsi="Verdana" w:cs="Century Gothic"/>
          <w:i/>
          <w:iCs/>
          <w:sz w:val="20"/>
          <w:szCs w:val="20"/>
          <w:lang w:val="es-ES"/>
        </w:rPr>
        <w:t>“1. Se me remita un formato, guía, modelo o documento tipo de estudio previo estructurado por lotes, en el marco del Sistema de Compra Pública colombiano, en caso de que dicha entidad cuente con este tipo de instrumentos.</w:t>
      </w:r>
    </w:p>
    <w:p w14:paraId="53B0F5DF" w14:textId="77777777" w:rsidR="00D15C8C" w:rsidRPr="006D29BB" w:rsidRDefault="00D15C8C" w:rsidP="00D15C8C">
      <w:pPr>
        <w:spacing w:after="0" w:line="240" w:lineRule="auto"/>
        <w:ind w:right="709"/>
        <w:contextualSpacing/>
        <w:jc w:val="both"/>
        <w:rPr>
          <w:rFonts w:ascii="Verdana" w:eastAsia="Century Gothic" w:hAnsi="Verdana" w:cs="Century Gothic"/>
          <w:i/>
          <w:iCs/>
          <w:sz w:val="20"/>
          <w:szCs w:val="20"/>
          <w:lang w:val="es-ES"/>
        </w:rPr>
      </w:pPr>
    </w:p>
    <w:p w14:paraId="46D54075" w14:textId="77777777" w:rsidR="00D15C8C" w:rsidRPr="006D29BB" w:rsidRDefault="00D15C8C" w:rsidP="00D15C8C">
      <w:pPr>
        <w:spacing w:after="0" w:line="240" w:lineRule="auto"/>
        <w:ind w:left="709" w:right="709"/>
        <w:contextualSpacing/>
        <w:jc w:val="both"/>
        <w:rPr>
          <w:rFonts w:ascii="Verdana" w:eastAsia="Century Gothic" w:hAnsi="Verdana" w:cs="Century Gothic"/>
          <w:i/>
          <w:iCs/>
          <w:sz w:val="20"/>
          <w:szCs w:val="20"/>
          <w:lang w:val="es-ES"/>
        </w:rPr>
      </w:pPr>
      <w:r w:rsidRPr="006D29BB">
        <w:rPr>
          <w:rFonts w:ascii="Verdana" w:eastAsia="Century Gothic" w:hAnsi="Verdana" w:cs="Century Gothic"/>
          <w:i/>
          <w:iCs/>
          <w:sz w:val="20"/>
          <w:szCs w:val="20"/>
          <w:lang w:val="es-ES"/>
        </w:rPr>
        <w:t>2. Se me informe si es jurídicamente viable estructurar un proceso contractual mediante la modalidad de estudio previo por lotes para la adquisición de material de intendencia destinado a Ejército Nacional de Colombia y la Policía Nacional de Colombia.</w:t>
      </w:r>
    </w:p>
    <w:p w14:paraId="7E16972D" w14:textId="77777777" w:rsidR="00D15C8C" w:rsidRPr="006D29BB" w:rsidRDefault="00D15C8C" w:rsidP="00D15C8C">
      <w:pPr>
        <w:spacing w:after="0" w:line="240" w:lineRule="auto"/>
        <w:ind w:right="709"/>
        <w:contextualSpacing/>
        <w:jc w:val="both"/>
        <w:rPr>
          <w:rFonts w:ascii="Verdana" w:eastAsia="Century Gothic" w:hAnsi="Verdana" w:cs="Century Gothic"/>
          <w:i/>
          <w:iCs/>
          <w:sz w:val="20"/>
          <w:szCs w:val="20"/>
          <w:lang w:val="es-ES"/>
        </w:rPr>
      </w:pPr>
    </w:p>
    <w:p w14:paraId="43B28EE9" w14:textId="77777777" w:rsidR="00D15C8C" w:rsidRPr="006D29BB" w:rsidRDefault="00D15C8C" w:rsidP="00D15C8C">
      <w:pPr>
        <w:spacing w:after="0" w:line="240" w:lineRule="auto"/>
        <w:ind w:left="709" w:right="709"/>
        <w:contextualSpacing/>
        <w:jc w:val="both"/>
        <w:rPr>
          <w:rFonts w:ascii="Verdana" w:eastAsia="Century Gothic" w:hAnsi="Verdana" w:cs="Century Gothic"/>
          <w:i/>
          <w:iCs/>
          <w:sz w:val="20"/>
          <w:szCs w:val="20"/>
          <w:lang w:val="es-ES"/>
        </w:rPr>
      </w:pPr>
      <w:r w:rsidRPr="006D29BB">
        <w:rPr>
          <w:rFonts w:ascii="Verdana" w:eastAsia="Century Gothic" w:hAnsi="Verdana" w:cs="Century Gothic"/>
          <w:i/>
          <w:iCs/>
          <w:sz w:val="20"/>
          <w:szCs w:val="20"/>
          <w:lang w:val="es-ES"/>
        </w:rPr>
        <w:t>3. En caso de ser viable lo anterior, solicito se indiquen:</w:t>
      </w:r>
    </w:p>
    <w:p w14:paraId="34215A56" w14:textId="77777777" w:rsidR="00D15C8C" w:rsidRPr="006D29BB" w:rsidRDefault="00D15C8C" w:rsidP="00D15C8C">
      <w:pPr>
        <w:spacing w:after="0" w:line="240" w:lineRule="auto"/>
        <w:ind w:left="709" w:right="709"/>
        <w:contextualSpacing/>
        <w:jc w:val="both"/>
        <w:rPr>
          <w:rFonts w:ascii="Verdana" w:eastAsia="Century Gothic" w:hAnsi="Verdana" w:cs="Century Gothic"/>
          <w:i/>
          <w:iCs/>
          <w:sz w:val="20"/>
          <w:szCs w:val="20"/>
          <w:lang w:val="es-ES"/>
        </w:rPr>
      </w:pPr>
    </w:p>
    <w:p w14:paraId="7E9358F9" w14:textId="77777777" w:rsidR="00D15C8C" w:rsidRPr="006D29BB" w:rsidRDefault="00D15C8C" w:rsidP="00D15C8C">
      <w:pPr>
        <w:spacing w:after="0" w:line="240" w:lineRule="auto"/>
        <w:ind w:left="709" w:right="709"/>
        <w:contextualSpacing/>
        <w:jc w:val="both"/>
        <w:rPr>
          <w:rFonts w:ascii="Verdana" w:eastAsia="Century Gothic" w:hAnsi="Verdana" w:cs="Century Gothic"/>
          <w:i/>
          <w:iCs/>
          <w:sz w:val="20"/>
          <w:szCs w:val="20"/>
          <w:lang w:val="es-ES"/>
        </w:rPr>
      </w:pPr>
      <w:r w:rsidRPr="006D29BB">
        <w:rPr>
          <w:rFonts w:ascii="Verdana" w:eastAsia="Century Gothic" w:hAnsi="Verdana" w:cs="Century Gothic"/>
          <w:i/>
          <w:iCs/>
          <w:sz w:val="20"/>
          <w:szCs w:val="20"/>
          <w:lang w:val="es-ES"/>
        </w:rPr>
        <w:lastRenderedPageBreak/>
        <w:t>3.1. Los criterios normativos y técnicos que deben tenerse en cuenta.</w:t>
      </w:r>
    </w:p>
    <w:p w14:paraId="75C95073" w14:textId="77777777" w:rsidR="00D15C8C" w:rsidRPr="006D29BB" w:rsidRDefault="00D15C8C" w:rsidP="00D15C8C">
      <w:pPr>
        <w:spacing w:after="0" w:line="240" w:lineRule="auto"/>
        <w:ind w:left="709" w:right="709"/>
        <w:contextualSpacing/>
        <w:jc w:val="both"/>
        <w:rPr>
          <w:rFonts w:ascii="Verdana" w:eastAsia="Century Gothic" w:hAnsi="Verdana" w:cs="Century Gothic"/>
          <w:i/>
          <w:iCs/>
          <w:sz w:val="20"/>
          <w:szCs w:val="20"/>
          <w:lang w:val="es-ES"/>
        </w:rPr>
      </w:pPr>
    </w:p>
    <w:p w14:paraId="47203FB1" w14:textId="77777777" w:rsidR="00D15C8C" w:rsidRPr="006D29BB" w:rsidRDefault="00D15C8C" w:rsidP="00D15C8C">
      <w:pPr>
        <w:spacing w:after="0" w:line="240" w:lineRule="auto"/>
        <w:ind w:left="709" w:right="709"/>
        <w:contextualSpacing/>
        <w:jc w:val="both"/>
        <w:rPr>
          <w:rFonts w:ascii="Verdana" w:eastAsia="Century Gothic" w:hAnsi="Verdana" w:cs="Century Gothic"/>
          <w:i/>
          <w:iCs/>
          <w:sz w:val="20"/>
          <w:szCs w:val="20"/>
          <w:lang w:val="es-ES"/>
        </w:rPr>
      </w:pPr>
      <w:r w:rsidRPr="006D29BB">
        <w:rPr>
          <w:rFonts w:ascii="Verdana" w:eastAsia="Century Gothic" w:hAnsi="Verdana" w:cs="Century Gothic"/>
          <w:i/>
          <w:iCs/>
          <w:sz w:val="20"/>
          <w:szCs w:val="20"/>
          <w:lang w:val="es-ES"/>
        </w:rPr>
        <w:t>3.2. Las recomendaciones o lineamientos emitidos por esa entidad para la adecuada estructuración de procesos por lotes.</w:t>
      </w:r>
    </w:p>
    <w:p w14:paraId="3B384324" w14:textId="77777777" w:rsidR="00D15C8C" w:rsidRPr="006D29BB" w:rsidRDefault="00D15C8C" w:rsidP="00D15C8C">
      <w:pPr>
        <w:spacing w:after="0" w:line="240" w:lineRule="auto"/>
        <w:ind w:left="709" w:right="709"/>
        <w:contextualSpacing/>
        <w:jc w:val="both"/>
        <w:rPr>
          <w:rFonts w:ascii="Verdana" w:eastAsia="Century Gothic" w:hAnsi="Verdana" w:cs="Century Gothic"/>
          <w:i/>
          <w:iCs/>
          <w:sz w:val="20"/>
          <w:szCs w:val="20"/>
          <w:lang w:val="es-ES"/>
        </w:rPr>
      </w:pPr>
    </w:p>
    <w:p w14:paraId="78748DBF" w14:textId="77777777" w:rsidR="00D15C8C" w:rsidRPr="006D29BB" w:rsidRDefault="00D15C8C" w:rsidP="00D15C8C">
      <w:pPr>
        <w:spacing w:after="0" w:line="240" w:lineRule="auto"/>
        <w:ind w:left="709" w:right="709"/>
        <w:contextualSpacing/>
        <w:jc w:val="both"/>
        <w:rPr>
          <w:rFonts w:ascii="Verdana" w:eastAsia="Century Gothic" w:hAnsi="Verdana" w:cs="Century Gothic"/>
          <w:i/>
          <w:iCs/>
          <w:sz w:val="20"/>
          <w:szCs w:val="20"/>
          <w:lang w:val="es-ES"/>
        </w:rPr>
      </w:pPr>
      <w:r w:rsidRPr="006D29BB">
        <w:rPr>
          <w:rFonts w:ascii="Verdana" w:eastAsia="Century Gothic" w:hAnsi="Verdana" w:cs="Century Gothic"/>
          <w:i/>
          <w:iCs/>
          <w:sz w:val="20"/>
          <w:szCs w:val="20"/>
          <w:lang w:val="es-ES"/>
        </w:rPr>
        <w:t>3.3. Las posibles restricciones o limitaciones aplicables.</w:t>
      </w:r>
    </w:p>
    <w:p w14:paraId="2A6ED824" w14:textId="77777777" w:rsidR="00D15C8C" w:rsidRPr="006D29BB" w:rsidRDefault="00D15C8C" w:rsidP="00D15C8C">
      <w:pPr>
        <w:spacing w:after="0" w:line="240" w:lineRule="auto"/>
        <w:ind w:left="709" w:right="709"/>
        <w:contextualSpacing/>
        <w:jc w:val="both"/>
        <w:rPr>
          <w:rFonts w:ascii="Verdana" w:eastAsia="Century Gothic" w:hAnsi="Verdana" w:cs="Century Gothic"/>
          <w:i/>
          <w:iCs/>
          <w:sz w:val="20"/>
          <w:szCs w:val="20"/>
          <w:lang w:val="es-ES"/>
        </w:rPr>
      </w:pPr>
    </w:p>
    <w:p w14:paraId="7966AB60" w14:textId="77777777" w:rsidR="00D15C8C" w:rsidRPr="006D29BB" w:rsidRDefault="00D15C8C" w:rsidP="00D15C8C">
      <w:pPr>
        <w:spacing w:after="0" w:line="240" w:lineRule="auto"/>
        <w:ind w:left="709" w:right="709"/>
        <w:contextualSpacing/>
        <w:jc w:val="both"/>
        <w:rPr>
          <w:rFonts w:ascii="Verdana" w:eastAsia="Century Gothic" w:hAnsi="Verdana" w:cs="Century Gothic"/>
          <w:i/>
          <w:iCs/>
          <w:sz w:val="20"/>
          <w:szCs w:val="20"/>
          <w:lang w:val="es-ES"/>
        </w:rPr>
      </w:pPr>
      <w:r w:rsidRPr="006D29BB">
        <w:rPr>
          <w:rFonts w:ascii="Verdana" w:eastAsia="Century Gothic" w:hAnsi="Verdana" w:cs="Century Gothic"/>
          <w:i/>
          <w:iCs/>
          <w:sz w:val="20"/>
          <w:szCs w:val="20"/>
          <w:lang w:val="es-ES"/>
        </w:rPr>
        <w:t>3.4. En caso de no ser viable, solicito se indiquen las razones jurídicas y técnicas que lo impiden, así como las alternativas recomendadas para estructurar este tipo de procesos de adquisición y todo lo demás que considere relevante.”</w:t>
      </w:r>
    </w:p>
    <w:p w14:paraId="72C97AF5" w14:textId="77777777" w:rsidR="00D15C8C" w:rsidRPr="006D29BB" w:rsidRDefault="00D15C8C" w:rsidP="00D15C8C">
      <w:pPr>
        <w:spacing w:after="0" w:line="240" w:lineRule="auto"/>
        <w:ind w:left="709" w:right="709"/>
        <w:contextualSpacing/>
        <w:jc w:val="both"/>
        <w:rPr>
          <w:rFonts w:ascii="Verdana" w:eastAsia="Century Gothic" w:hAnsi="Verdana" w:cs="Century Gothic"/>
          <w:i/>
          <w:iCs/>
          <w:sz w:val="20"/>
          <w:szCs w:val="20"/>
          <w:lang w:val="es-ES"/>
        </w:rPr>
      </w:pPr>
    </w:p>
    <w:p w14:paraId="367EF739" w14:textId="77777777" w:rsidR="00D15C8C" w:rsidRPr="006D29BB" w:rsidRDefault="00D15C8C" w:rsidP="00D15C8C">
      <w:pPr>
        <w:spacing w:after="120" w:line="276" w:lineRule="auto"/>
        <w:ind w:firstLine="708"/>
        <w:jc w:val="both"/>
        <w:rPr>
          <w:rFonts w:ascii="Verdana" w:eastAsia="Calibri" w:hAnsi="Verdana" w:cs="Arial"/>
          <w:lang w:val="es-ES" w:eastAsia="es-ES"/>
        </w:rPr>
      </w:pPr>
      <w:r w:rsidRPr="006D29BB">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6D29BB">
        <w:rPr>
          <w:rFonts w:ascii="Verdana" w:hAnsi="Verdana"/>
          <w:lang w:val="es-ES"/>
        </w:rPr>
        <w:tab/>
      </w:r>
    </w:p>
    <w:p w14:paraId="3FDF270A" w14:textId="77777777" w:rsidR="00D15C8C" w:rsidRPr="000508D2" w:rsidRDefault="00D15C8C" w:rsidP="00D15C8C">
      <w:pPr>
        <w:spacing w:after="0" w:line="276" w:lineRule="auto"/>
        <w:ind w:firstLine="709"/>
        <w:jc w:val="both"/>
        <w:rPr>
          <w:rFonts w:ascii="Verdana" w:eastAsia="Calibri" w:hAnsi="Verdana" w:cs="Arial"/>
          <w:lang w:val="es-ES" w:eastAsia="es-ES"/>
        </w:rPr>
      </w:pPr>
      <w:r w:rsidRPr="006D29BB">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algunas consideraciones </w:t>
      </w:r>
      <w:r w:rsidRPr="000508D2">
        <w:rPr>
          <w:rFonts w:ascii="Verdana" w:eastAsia="Calibri" w:hAnsi="Verdana" w:cs="Arial"/>
          <w:lang w:val="es-ES" w:eastAsia="es-ES"/>
        </w:rPr>
        <w:t xml:space="preserve">sobre las normas generales relacionadas con el problema jurídico de su consulta. </w:t>
      </w:r>
    </w:p>
    <w:p w14:paraId="6EE98299" w14:textId="77777777" w:rsidR="00D15C8C" w:rsidRPr="000508D2" w:rsidRDefault="00D15C8C" w:rsidP="00D15C8C">
      <w:pPr>
        <w:spacing w:after="0" w:line="276" w:lineRule="auto"/>
        <w:ind w:firstLine="709"/>
        <w:jc w:val="both"/>
        <w:rPr>
          <w:rFonts w:ascii="Verdana" w:eastAsia="Calibri" w:hAnsi="Verdana" w:cs="Arial"/>
          <w:lang w:val="es-ES" w:eastAsia="es-ES"/>
        </w:rPr>
      </w:pPr>
    </w:p>
    <w:p w14:paraId="0F440ADE" w14:textId="77777777" w:rsidR="00D15C8C" w:rsidRPr="000508D2" w:rsidRDefault="00D15C8C" w:rsidP="00D15C8C">
      <w:pPr>
        <w:tabs>
          <w:tab w:val="left" w:pos="142"/>
          <w:tab w:val="left" w:pos="284"/>
        </w:tabs>
        <w:spacing w:after="0" w:line="276" w:lineRule="auto"/>
        <w:jc w:val="both"/>
        <w:rPr>
          <w:rFonts w:ascii="Verdana" w:eastAsia="Century Gothic" w:hAnsi="Verdana" w:cs="Century Gothic"/>
          <w:b/>
          <w:lang w:val="es-ES"/>
        </w:rPr>
      </w:pPr>
      <w:r w:rsidRPr="000508D2">
        <w:rPr>
          <w:rFonts w:ascii="Verdana" w:eastAsia="Century Gothic" w:hAnsi="Verdana" w:cs="Century Gothic"/>
          <w:b/>
          <w:lang w:val="es-ES"/>
        </w:rPr>
        <w:t>1. Problema planteado:</w:t>
      </w:r>
    </w:p>
    <w:p w14:paraId="40618DB0" w14:textId="77777777" w:rsidR="00D15C8C" w:rsidRPr="000508D2" w:rsidRDefault="00D15C8C" w:rsidP="00D15C8C">
      <w:pPr>
        <w:tabs>
          <w:tab w:val="left" w:pos="426"/>
        </w:tabs>
        <w:spacing w:after="0" w:line="276" w:lineRule="auto"/>
        <w:jc w:val="both"/>
        <w:rPr>
          <w:rFonts w:ascii="Verdana" w:eastAsia="Century Gothic" w:hAnsi="Verdana" w:cs="Century Gothic"/>
          <w:highlight w:val="lightGray"/>
          <w:lang w:val="es-ES"/>
        </w:rPr>
      </w:pPr>
    </w:p>
    <w:p w14:paraId="798564C3" w14:textId="77777777" w:rsidR="00D15C8C" w:rsidRPr="000030C5" w:rsidRDefault="00D15C8C" w:rsidP="00D15C8C">
      <w:pPr>
        <w:spacing w:after="0" w:line="276" w:lineRule="auto"/>
        <w:jc w:val="both"/>
        <w:rPr>
          <w:rFonts w:ascii="Verdana" w:eastAsia="Century Gothic" w:hAnsi="Verdana" w:cs="Century Gothic"/>
          <w:color w:val="EE0000"/>
        </w:rPr>
      </w:pPr>
      <w:r w:rsidRPr="000508D2">
        <w:rPr>
          <w:rFonts w:ascii="Verdana" w:eastAsia="Century Gothic" w:hAnsi="Verdana" w:cs="Century Gothic"/>
          <w:lang w:val="es-ES"/>
        </w:rPr>
        <w:t xml:space="preserve">De acuerdo con el </w:t>
      </w:r>
      <w:r w:rsidRPr="004D7189">
        <w:rPr>
          <w:rFonts w:ascii="Verdana" w:eastAsia="Century Gothic" w:hAnsi="Verdana" w:cs="Century Gothic"/>
          <w:lang w:val="es-ES"/>
        </w:rPr>
        <w:t xml:space="preserve">contenido de su solicitud, esta Agencia resolverá el siguiente problema jurídico: </w:t>
      </w:r>
      <w:r w:rsidRPr="004D7189">
        <w:rPr>
          <w:rFonts w:ascii="Verdana" w:eastAsia="Century Gothic" w:hAnsi="Verdana" w:cs="Century Gothic"/>
        </w:rPr>
        <w:t>¿Es jurídicamente viable estructurar procesos contractuales por lotes en el marco del Sistema de Compra Pública y bajo qué condiciones procede su implementación?</w:t>
      </w:r>
    </w:p>
    <w:p w14:paraId="0D778627" w14:textId="77777777" w:rsidR="00D15C8C" w:rsidRPr="000030C5" w:rsidRDefault="00D15C8C" w:rsidP="00D15C8C">
      <w:pPr>
        <w:spacing w:after="0" w:line="276" w:lineRule="auto"/>
        <w:jc w:val="both"/>
        <w:rPr>
          <w:rFonts w:ascii="Verdana" w:eastAsia="Century Gothic" w:hAnsi="Verdana" w:cs="Century Gothic"/>
          <w:color w:val="EE0000"/>
          <w:highlight w:val="lightGray"/>
        </w:rPr>
      </w:pPr>
    </w:p>
    <w:p w14:paraId="3D623CA4" w14:textId="77777777" w:rsidR="00D15C8C" w:rsidRPr="00A61B75" w:rsidRDefault="00D15C8C" w:rsidP="00D15C8C">
      <w:pPr>
        <w:tabs>
          <w:tab w:val="left" w:pos="142"/>
          <w:tab w:val="left" w:pos="284"/>
        </w:tabs>
        <w:spacing w:after="0" w:line="276" w:lineRule="auto"/>
        <w:jc w:val="both"/>
        <w:rPr>
          <w:rFonts w:ascii="Verdana" w:eastAsia="Century Gothic" w:hAnsi="Verdana" w:cs="Century Gothic"/>
          <w:b/>
          <w:lang w:val="es-ES"/>
        </w:rPr>
      </w:pPr>
      <w:r w:rsidRPr="000508D2">
        <w:rPr>
          <w:rFonts w:ascii="Verdana" w:eastAsia="Century Gothic" w:hAnsi="Verdana" w:cs="Century Gothic"/>
          <w:b/>
          <w:lang w:val="es-ES"/>
        </w:rPr>
        <w:lastRenderedPageBreak/>
        <w:t>2. Respuesta:</w:t>
      </w: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15C8C" w:rsidRPr="000030C5" w14:paraId="4AFB480A" w14:textId="77777777" w:rsidTr="0012255A">
        <w:tc>
          <w:tcPr>
            <w:tcW w:w="8828" w:type="dxa"/>
          </w:tcPr>
          <w:p w14:paraId="7CBD3B70" w14:textId="77777777" w:rsidR="00D15C8C" w:rsidRPr="00040CB2" w:rsidRDefault="00D15C8C" w:rsidP="0012255A">
            <w:pPr>
              <w:spacing w:after="120" w:line="276" w:lineRule="auto"/>
              <w:jc w:val="both"/>
              <w:rPr>
                <w:rFonts w:ascii="Verdana" w:eastAsia="Calibri" w:hAnsi="Verdana" w:cs="Arial"/>
              </w:rPr>
            </w:pPr>
            <w:r w:rsidRPr="00040CB2">
              <w:rPr>
                <w:rFonts w:ascii="Verdana" w:eastAsia="Calibri" w:hAnsi="Verdana" w:cs="Arial"/>
              </w:rPr>
              <w:t>Para responder el problema jurídico planteado, es importante indicar que, la planeación contractual constituye una herramienta fundamental dentro de la gestión pública, en la medida en que permite a las entidades estatales identificar la necesidad que pretenden satisfacer, analizar las condiciones del mercado y determinar la forma más adecuada de estructurar los procesos de contratación, garantizando el cumplimiento de los fines estatales, la eficiente prestación de los servicios públicos y la aplicación de los principios de transparencia, economía y selección objetiva. En este contexto, los estudios previos y el análisis del sector adquieren especial relevancia, pues constituyen el soporte técnico, jurídico y financiero que permite definir las condiciones del proceso contractual, así como evaluar las alternativas existentes para satisfacer la necesidad de la entidad.</w:t>
            </w:r>
          </w:p>
          <w:p w14:paraId="029E2C0E" w14:textId="77777777" w:rsidR="00D15C8C" w:rsidRPr="00040CB2" w:rsidRDefault="00D15C8C" w:rsidP="0012255A">
            <w:pPr>
              <w:spacing w:after="120" w:line="276" w:lineRule="auto"/>
              <w:ind w:firstLine="709"/>
              <w:jc w:val="both"/>
              <w:rPr>
                <w:rFonts w:ascii="Verdana" w:eastAsia="Calibri" w:hAnsi="Verdana" w:cs="Arial"/>
              </w:rPr>
            </w:pPr>
            <w:r w:rsidRPr="00040CB2">
              <w:rPr>
                <w:rFonts w:ascii="Verdana" w:eastAsia="Calibri" w:hAnsi="Verdana" w:cs="Arial"/>
              </w:rPr>
              <w:t>En ese sentido, de conformidad con lo dispuesto en el Decreto 1082 de 2015, la estructuración de procesos contractuales por lotes o segmentos hace parte de la autonomía y discrecionalidad de las entidades estatales dentro de la etapa de planeación contractual, siempre que dicha decisión se encuentre debidamente justificada en los estudios previos y responda a criterios técnicos, económicos, financieros, logísticos o funcionales que permitan satisfacer adecuadamente la necesidad contractual, promover la pluralidad de oferentes y garantizar la adecuada ejecución del contrato.</w:t>
            </w:r>
          </w:p>
          <w:p w14:paraId="090CCC03" w14:textId="77777777" w:rsidR="00D15C8C" w:rsidRPr="00AA0A7A" w:rsidRDefault="00D15C8C" w:rsidP="0012255A">
            <w:pPr>
              <w:spacing w:after="120" w:line="276" w:lineRule="auto"/>
              <w:ind w:firstLine="709"/>
              <w:jc w:val="both"/>
              <w:rPr>
                <w:rFonts w:ascii="Verdana" w:eastAsia="Calibri" w:hAnsi="Verdana" w:cs="Arial"/>
                <w:color w:val="EE0000"/>
              </w:rPr>
            </w:pPr>
            <w:r w:rsidRPr="00030CE8">
              <w:rPr>
                <w:rFonts w:ascii="Verdana" w:eastAsia="Calibri" w:hAnsi="Verdana" w:cs="Arial"/>
                <w:color w:val="000000" w:themeColor="text1"/>
              </w:rPr>
              <w:t>Finalmente, se precisa que esta Agencia no puede definir un</w:t>
            </w:r>
            <w:r w:rsidRPr="00030CE8">
              <w:t xml:space="preserve"> </w:t>
            </w:r>
            <w:r w:rsidRPr="00030CE8">
              <w:rPr>
                <w:rFonts w:ascii="Verdana" w:eastAsia="Calibri" w:hAnsi="Verdana" w:cs="Arial"/>
                <w:color w:val="000000" w:themeColor="text1"/>
              </w:rPr>
              <w:t>criterio universal y absoluto por vía consultiva, sino que brinda elementos hermenéuticos de carácter general para que los partícipes del sistema de compras y contratación pública adopten la decisión que corresponda, lo o es acorde con el principio de juridicidad. Por lo anterior, previo concepto de sus órganos asesores, la solución de estos temas corresponde a la entidad de adoptar la decisión correspondiente y, en caso de conflicto, a las autoridades judiciales, fiscales y disciplinarias. De esta manera, corresponderá a cada contratante definir la viabilidad técnica, jurídica y financiera de establecer un proceso de contratación por lotes, así como determinar la forma en la que estos grupos se estructuran atendiendo a las normas que regulan el sector objeto del contrato.</w:t>
            </w:r>
            <w:r>
              <w:rPr>
                <w:rFonts w:ascii="Verdana" w:eastAsia="Calibri" w:hAnsi="Verdana" w:cs="Arial"/>
                <w:color w:val="000000" w:themeColor="text1"/>
              </w:rPr>
              <w:t xml:space="preserve"> </w:t>
            </w:r>
          </w:p>
        </w:tc>
      </w:tr>
    </w:tbl>
    <w:p w14:paraId="250773E7" w14:textId="77777777" w:rsidR="00D15C8C" w:rsidRPr="000030C5" w:rsidRDefault="00D15C8C" w:rsidP="00D15C8C">
      <w:pPr>
        <w:tabs>
          <w:tab w:val="left" w:pos="142"/>
          <w:tab w:val="left" w:pos="284"/>
        </w:tabs>
        <w:spacing w:after="0" w:line="276" w:lineRule="auto"/>
        <w:jc w:val="both"/>
        <w:rPr>
          <w:rFonts w:ascii="Verdana" w:eastAsia="Century Gothic" w:hAnsi="Verdana" w:cs="Century Gothic"/>
          <w:b/>
          <w:bCs/>
          <w:color w:val="EE0000"/>
          <w:lang w:val="es-ES"/>
        </w:rPr>
      </w:pPr>
    </w:p>
    <w:p w14:paraId="29F62C07" w14:textId="77777777" w:rsidR="00D15C8C" w:rsidRPr="00E85713" w:rsidRDefault="00D15C8C" w:rsidP="00D15C8C">
      <w:pPr>
        <w:tabs>
          <w:tab w:val="left" w:pos="142"/>
          <w:tab w:val="left" w:pos="284"/>
        </w:tabs>
        <w:spacing w:after="0" w:line="276" w:lineRule="auto"/>
        <w:jc w:val="both"/>
        <w:rPr>
          <w:rFonts w:ascii="Verdana" w:eastAsia="Century Gothic" w:hAnsi="Verdana" w:cs="Century Gothic"/>
          <w:b/>
          <w:lang w:val="es-ES"/>
        </w:rPr>
      </w:pPr>
      <w:r w:rsidRPr="00E85713">
        <w:rPr>
          <w:rFonts w:ascii="Verdana" w:eastAsia="Century Gothic" w:hAnsi="Verdana" w:cs="Century Gothic"/>
          <w:b/>
          <w:lang w:val="es-ES"/>
        </w:rPr>
        <w:t>3. Razones de la respuesta:</w:t>
      </w:r>
    </w:p>
    <w:p w14:paraId="6403CA7A" w14:textId="77777777" w:rsidR="00D15C8C" w:rsidRPr="00E85713" w:rsidRDefault="00D15C8C" w:rsidP="00D15C8C">
      <w:pPr>
        <w:spacing w:after="0" w:line="276" w:lineRule="auto"/>
        <w:jc w:val="both"/>
        <w:rPr>
          <w:rFonts w:ascii="Verdana" w:eastAsia="Calibri" w:hAnsi="Verdana" w:cs="Arial"/>
          <w:lang w:val="es-ES"/>
        </w:rPr>
      </w:pPr>
    </w:p>
    <w:p w14:paraId="007BA488" w14:textId="77777777" w:rsidR="00D15C8C" w:rsidRPr="00E85713" w:rsidRDefault="00D15C8C" w:rsidP="00D15C8C">
      <w:pPr>
        <w:spacing w:after="0" w:line="276" w:lineRule="auto"/>
        <w:jc w:val="both"/>
        <w:rPr>
          <w:rFonts w:ascii="Verdana" w:eastAsia="Calibri" w:hAnsi="Verdana" w:cs="Arial"/>
          <w:lang w:val="es-ES"/>
        </w:rPr>
      </w:pPr>
      <w:r w:rsidRPr="00E85713">
        <w:rPr>
          <w:rFonts w:ascii="Verdana" w:eastAsia="Calibri" w:hAnsi="Verdana" w:cs="Arial"/>
          <w:lang w:val="es-ES"/>
        </w:rPr>
        <w:t xml:space="preserve">Las respuestas anteriores se sustentan en las siguientes consideraciones: </w:t>
      </w:r>
    </w:p>
    <w:p w14:paraId="2263B2B3" w14:textId="77777777" w:rsidR="00D15C8C" w:rsidRPr="007A4986" w:rsidRDefault="00D15C8C" w:rsidP="00D15C8C">
      <w:pPr>
        <w:tabs>
          <w:tab w:val="left" w:pos="142"/>
          <w:tab w:val="left" w:pos="284"/>
        </w:tabs>
        <w:spacing w:after="0" w:line="276" w:lineRule="auto"/>
        <w:jc w:val="both"/>
        <w:rPr>
          <w:rFonts w:ascii="Verdana" w:eastAsia="Century Gothic" w:hAnsi="Verdana" w:cs="Century Gothic"/>
          <w:b/>
          <w:highlight w:val="magenta"/>
          <w:lang w:val="es-ES"/>
        </w:rPr>
      </w:pPr>
    </w:p>
    <w:p w14:paraId="65CB46D5" w14:textId="77777777" w:rsidR="00D15C8C" w:rsidRPr="004D7189" w:rsidRDefault="00D15C8C" w:rsidP="00D15C8C">
      <w:pPr>
        <w:spacing w:after="0" w:line="276" w:lineRule="auto"/>
        <w:jc w:val="both"/>
        <w:rPr>
          <w:rFonts w:ascii="Verdana" w:eastAsia="Calibri" w:hAnsi="Verdana" w:cs="Arial"/>
          <w:lang w:val="es-ES"/>
        </w:rPr>
      </w:pPr>
      <w:bookmarkStart w:id="0" w:name="_Hlk102983874"/>
      <w:bookmarkStart w:id="1" w:name="_Hlk102388095"/>
      <w:r w:rsidRPr="004D7189">
        <w:rPr>
          <w:rFonts w:ascii="Verdana" w:hAnsi="Verdana" w:cs="Arial"/>
          <w:bCs/>
          <w:lang w:val="es-ES_tradnl" w:eastAsia="es-ES" w:bidi="es-ES"/>
        </w:rPr>
        <w:t>i.</w:t>
      </w:r>
      <w:r w:rsidRPr="004D7189">
        <w:rPr>
          <w:rFonts w:ascii="Verdana" w:eastAsia="Calibri" w:hAnsi="Verdana" w:cs="Arial"/>
        </w:rPr>
        <w:t xml:space="preserve"> </w:t>
      </w:r>
      <w:r w:rsidRPr="004D7189">
        <w:rPr>
          <w:rFonts w:ascii="Verdana" w:eastAsia="Calibri" w:hAnsi="Verdana" w:cs="Arial"/>
          <w:lang w:val="es-ES"/>
        </w:rPr>
        <w:t>La planeación contractual es una herramienta de gerencia pública, que exige estructurar el proceso contractual dedicando tiempo y esfuerzos para elaborar estudios previos, con el fin de determinar la necesidad que pretende satisfacer la Entidad Estatal y cuál es la mejor manera de hacerlo, consultando el tipo de bienes y servicios que ofrece el mercado y sus características, especificaciones, precios, costos, riesgos, garantía, disponibilidad, oferentes, etc. Lo anterior con la finalidad de realizar la escogencia diligente de la mejor oferta, para beneficiar los intereses y fines públicos inmersos en la contratación de las Entidades Estatales.</w:t>
      </w:r>
    </w:p>
    <w:p w14:paraId="42693B7F" w14:textId="77777777" w:rsidR="00D15C8C" w:rsidRPr="004D7189" w:rsidRDefault="00D15C8C" w:rsidP="00D15C8C">
      <w:pPr>
        <w:spacing w:before="120" w:after="0" w:line="276" w:lineRule="auto"/>
        <w:jc w:val="both"/>
        <w:rPr>
          <w:rFonts w:ascii="Verdana" w:eastAsia="Calibri" w:hAnsi="Verdana" w:cs="Arial"/>
          <w:lang w:val="es-ES"/>
        </w:rPr>
      </w:pPr>
      <w:r w:rsidRPr="004D7189">
        <w:rPr>
          <w:rFonts w:ascii="Verdana" w:eastAsia="Calibri" w:hAnsi="Verdana" w:cs="Arial"/>
          <w:lang w:val="es-ES"/>
        </w:rPr>
        <w:tab/>
        <w:t xml:space="preserve">El Estatuto General de Contratación de la Administración Pública, en adelante EGCAP, contiene disposiciones que exigen a las Entidades Estatales el deber de realizar actividades de planeación en la etapa precontractual, para que los procesos de contratación satisfagan las necesidades de la administración, cumplan sus fines, logren la continua y eficiente prestación de los servicios públicos y permitan la efectividad de los derechos e intereses de los administrados que colaboran en la consecución. En relación con el valor del futuro contrato y su correlativo respaldo presupuestal, se tienen, por ejemplo, las siguientes reglas derivadas de la aplicación del principio de economía previsto en el artículo 25 de la Ley 80 de 1993: </w:t>
      </w:r>
    </w:p>
    <w:p w14:paraId="5A1C5EB0" w14:textId="77777777" w:rsidR="00D15C8C" w:rsidRPr="004D7189" w:rsidRDefault="00D15C8C" w:rsidP="00D15C8C">
      <w:pPr>
        <w:spacing w:after="0" w:line="276" w:lineRule="auto"/>
        <w:jc w:val="both"/>
        <w:rPr>
          <w:rFonts w:ascii="Arial" w:eastAsia="Times New Roman" w:hAnsi="Arial" w:cs="Arial"/>
          <w:color w:val="000000"/>
          <w:szCs w:val="24"/>
          <w:lang w:val="es-ES_tradnl" w:eastAsia="es-ES_tradnl"/>
        </w:rPr>
      </w:pPr>
    </w:p>
    <w:p w14:paraId="0D6960D4" w14:textId="77777777" w:rsidR="00D15C8C" w:rsidRPr="004D7189" w:rsidRDefault="00D15C8C" w:rsidP="00D15C8C">
      <w:pPr>
        <w:spacing w:after="0" w:line="240" w:lineRule="auto"/>
        <w:ind w:left="709" w:right="709"/>
        <w:jc w:val="both"/>
        <w:rPr>
          <w:rFonts w:ascii="Verdana" w:eastAsia="Times New Roman" w:hAnsi="Verdana" w:cs="Arial"/>
          <w:color w:val="000000"/>
          <w:sz w:val="20"/>
          <w:szCs w:val="20"/>
          <w:lang w:val="es-ES_tradnl" w:eastAsia="es-ES_tradnl"/>
        </w:rPr>
      </w:pPr>
      <w:r w:rsidRPr="004D7189">
        <w:rPr>
          <w:rFonts w:ascii="Verdana" w:eastAsia="Times New Roman" w:hAnsi="Verdana" w:cs="Arial"/>
          <w:color w:val="000000"/>
          <w:sz w:val="20"/>
          <w:szCs w:val="20"/>
          <w:lang w:val="es-ES_tradnl" w:eastAsia="es-ES_tradnl"/>
        </w:rPr>
        <w:t>“7. La conveniencia o inconveniencia del objeto a contratar y las autorizaciones y aprobaciones para ello, se analizarán o impartirán con antelación al inicio del proceso de selección del contratista o al de la firma del contrato, según el caso.</w:t>
      </w:r>
    </w:p>
    <w:p w14:paraId="1EB46528" w14:textId="77777777" w:rsidR="00D15C8C" w:rsidRPr="004D7189" w:rsidRDefault="00D15C8C" w:rsidP="00D15C8C">
      <w:pPr>
        <w:spacing w:before="120" w:after="0" w:line="240" w:lineRule="auto"/>
        <w:ind w:left="709" w:right="709"/>
        <w:jc w:val="both"/>
        <w:rPr>
          <w:rFonts w:ascii="Verdana" w:eastAsia="Times New Roman" w:hAnsi="Verdana" w:cs="Arial"/>
          <w:color w:val="000000"/>
          <w:sz w:val="20"/>
          <w:szCs w:val="20"/>
          <w:lang w:val="es-ES_tradnl" w:eastAsia="es-ES_tradnl"/>
        </w:rPr>
      </w:pPr>
      <w:r w:rsidRPr="004D7189">
        <w:rPr>
          <w:rFonts w:ascii="Verdana" w:eastAsia="Times New Roman" w:hAnsi="Verdana" w:cs="Arial"/>
          <w:color w:val="000000"/>
          <w:sz w:val="20"/>
          <w:szCs w:val="20"/>
          <w:lang w:val="es-ES_tradnl" w:eastAsia="es-ES_tradnl"/>
        </w:rPr>
        <w:t>[…]</w:t>
      </w:r>
    </w:p>
    <w:p w14:paraId="09997598" w14:textId="77777777" w:rsidR="00D15C8C" w:rsidRPr="004D7189" w:rsidRDefault="00D15C8C" w:rsidP="00D15C8C">
      <w:pPr>
        <w:spacing w:before="120" w:after="0" w:line="240" w:lineRule="auto"/>
        <w:ind w:left="709" w:right="709"/>
        <w:jc w:val="both"/>
        <w:rPr>
          <w:rFonts w:ascii="Verdana" w:eastAsia="Times New Roman" w:hAnsi="Verdana" w:cs="Arial"/>
          <w:color w:val="000000"/>
          <w:sz w:val="20"/>
          <w:szCs w:val="20"/>
          <w:lang w:val="es-ES_tradnl" w:eastAsia="es-ES_tradnl"/>
        </w:rPr>
      </w:pPr>
      <w:r w:rsidRPr="004D7189">
        <w:rPr>
          <w:rFonts w:ascii="Verdana" w:eastAsia="Times New Roman" w:hAnsi="Verdana" w:cs="Arial"/>
          <w:color w:val="000000"/>
          <w:sz w:val="20"/>
          <w:szCs w:val="20"/>
          <w:lang w:val="es-ES_tradnl" w:eastAsia="es-ES_tradnl"/>
        </w:rPr>
        <w:t xml:space="preserve">12. Previo a la apertura de un proceso de selección, </w:t>
      </w:r>
      <w:r w:rsidRPr="004D7189">
        <w:rPr>
          <w:rFonts w:ascii="Verdana" w:eastAsia="Times New Roman" w:hAnsi="Verdana" w:cs="Arial"/>
          <w:i/>
          <w:iCs/>
          <w:color w:val="000000"/>
          <w:sz w:val="20"/>
          <w:szCs w:val="20"/>
          <w:u w:val="single"/>
          <w:lang w:val="es-ES_tradnl" w:eastAsia="es-ES_tradnl"/>
        </w:rPr>
        <w:t>o a la firma del contrato en el caso en que la modalidad de selección sea contratación directa,</w:t>
      </w:r>
      <w:r w:rsidRPr="004D7189">
        <w:rPr>
          <w:rFonts w:ascii="Verdana" w:eastAsia="Times New Roman" w:hAnsi="Verdana" w:cs="Arial"/>
          <w:color w:val="000000"/>
          <w:sz w:val="20"/>
          <w:szCs w:val="20"/>
          <w:lang w:val="es-ES_tradnl" w:eastAsia="es-ES_tradnl"/>
        </w:rPr>
        <w:t xml:space="preserve"> deberán elaborarse los estudios, diseños y proyectos requeridos, y los pliegos de condiciones, según corresponda. […]” [Énfasis fuera de texto]</w:t>
      </w:r>
    </w:p>
    <w:p w14:paraId="5F40F553" w14:textId="77777777" w:rsidR="00D15C8C" w:rsidRPr="004D7189" w:rsidRDefault="00D15C8C" w:rsidP="00D15C8C">
      <w:pPr>
        <w:spacing w:after="0" w:line="276" w:lineRule="auto"/>
        <w:ind w:firstLine="709"/>
        <w:jc w:val="both"/>
        <w:rPr>
          <w:rFonts w:ascii="Arial" w:eastAsia="Times New Roman" w:hAnsi="Arial" w:cs="Arial"/>
          <w:color w:val="000000"/>
          <w:szCs w:val="24"/>
          <w:lang w:val="es-ES_tradnl" w:eastAsia="es-ES_tradnl"/>
        </w:rPr>
      </w:pPr>
    </w:p>
    <w:p w14:paraId="5A105854" w14:textId="77777777" w:rsidR="00D15C8C" w:rsidRPr="004D7189" w:rsidRDefault="00D15C8C" w:rsidP="00D15C8C">
      <w:pPr>
        <w:spacing w:after="120" w:line="276" w:lineRule="auto"/>
        <w:ind w:firstLine="709"/>
        <w:jc w:val="both"/>
        <w:rPr>
          <w:rFonts w:ascii="Verdana" w:eastAsia="Times New Roman" w:hAnsi="Verdana" w:cs="Arial"/>
          <w:szCs w:val="24"/>
          <w:lang w:eastAsia="es-ES_tradnl"/>
        </w:rPr>
      </w:pPr>
      <w:r w:rsidRPr="004D7189">
        <w:rPr>
          <w:rFonts w:ascii="Verdana" w:eastAsia="Calibri" w:hAnsi="Verdana" w:cs="Arial"/>
          <w:lang w:val="es-ES"/>
        </w:rPr>
        <w:t xml:space="preserve">De lo anterior se desprende que, </w:t>
      </w:r>
      <w:r w:rsidRPr="004D7189">
        <w:rPr>
          <w:rFonts w:ascii="Verdana" w:eastAsia="Times New Roman" w:hAnsi="Verdana" w:cs="Arial"/>
          <w:szCs w:val="24"/>
          <w:lang w:eastAsia="es-ES_tradnl"/>
        </w:rPr>
        <w:t xml:space="preserve">las entidades tienen el deber de realizar estudios previos en dos momentos específicos: i) previo a la apertura de un proceso de selección y ii) previo a la firma del contrato en el caso en que la </w:t>
      </w:r>
      <w:r w:rsidRPr="004D7189">
        <w:rPr>
          <w:rFonts w:ascii="Verdana" w:eastAsia="Times New Roman" w:hAnsi="Verdana" w:cs="Arial"/>
          <w:szCs w:val="24"/>
          <w:lang w:eastAsia="es-ES_tradnl"/>
        </w:rPr>
        <w:lastRenderedPageBreak/>
        <w:t xml:space="preserve">modalidad de selección sea contratación directa. Por su parte, el reglamento, es decir los artículos 2.2.1.1.1.6.1 y 2.2.1.1.2.1.1 del Decreto 1082 de 2015, no imponen la obligación de realizar estudios y documentos previos en etapas diferentes a la de planeación del contrato. </w:t>
      </w:r>
      <w:r w:rsidRPr="004D7189">
        <w:rPr>
          <w:rFonts w:ascii="Verdana" w:eastAsia="Calibri" w:hAnsi="Verdana" w:cs="Arial"/>
          <w:lang w:val="es-ES"/>
        </w:rPr>
        <w:t>Esto, permitirá a la Entidad Estatal identificar desde el punto de vista técnico y financiero el objeto del contrato, las particularidades de su ejecución, los potenciales proponentes, requisitos mínimos para evaluar la idoneidad del contratista, así como analizar todas las variables que puedan afectar el procedimiento de selección, celebración y ejecución del contrato. Tal es la importancia de los estudios y documentos previos que su deficiencia o ausencia, “genera prácticas indebidas, revocatoria de actos administrativos de apertura, declaratorias de desierta de procesos de selección, comisión de faltas disciplinarias, mayores costos o mayor permanencia en la obra y, en general, el fracaso en la ejecución de contratos estatales”</w:t>
      </w:r>
      <w:r w:rsidRPr="004D7189">
        <w:rPr>
          <w:rFonts w:ascii="Verdana" w:eastAsia="Aptos" w:hAnsi="Verdana" w:cs="Arial"/>
          <w:vertAlign w:val="superscript"/>
        </w:rPr>
        <w:footnoteReference w:id="1"/>
      </w:r>
      <w:r w:rsidRPr="004D7189">
        <w:rPr>
          <w:rFonts w:ascii="Verdana" w:eastAsia="Times New Roman" w:hAnsi="Verdana" w:cs="Arial"/>
          <w:color w:val="000000"/>
          <w:szCs w:val="24"/>
          <w:lang w:val="es-ES_tradnl" w:eastAsia="es-ES_tradnl"/>
        </w:rPr>
        <w:t xml:space="preserve">. </w:t>
      </w:r>
    </w:p>
    <w:p w14:paraId="40196CED" w14:textId="77777777" w:rsidR="00D15C8C" w:rsidRPr="004D7189" w:rsidRDefault="00D15C8C" w:rsidP="00D15C8C">
      <w:pPr>
        <w:spacing w:before="120" w:after="0" w:line="276" w:lineRule="auto"/>
        <w:ind w:firstLine="709"/>
        <w:jc w:val="both"/>
        <w:rPr>
          <w:rFonts w:ascii="Verdana" w:eastAsia="Aptos" w:hAnsi="Verdana" w:cs="Arial"/>
        </w:rPr>
      </w:pPr>
      <w:r w:rsidRPr="004D7189">
        <w:rPr>
          <w:rFonts w:ascii="Verdana" w:eastAsia="Calibri" w:hAnsi="Verdana" w:cs="Arial"/>
        </w:rPr>
        <w:t>De esta forma, antes de iniciar un proceso de selección, la Entidad Estatal podrá determinar con los estudios previos: i) la verdadera necesidad de la celebración del contrato; ii) las modalidades existentes para satisfacer esa necesidad y las razones que justifiquen la modalidad o tipo contractual que se escoja; iii) las calidades, especificaciones, cantidades y demás características que puedan o deban reunir los bienes, las obras, los servicios, etcétera, cuya contratación, se haya determinado necesaria, iv) los costos, valores y alternativas que, a precios de mercado reales, podría demandar la celebración y ejecución del contrato, v) la disponibilidad de recursos o la capacidad financiera de la entidad contratante, para asumir las obligaciones de pago producto de la celebración de ese pretendido contrato; vi) la existencia y disponibilidad en el mercado nacional o internacional, de proveedores, constructores, profesionales, etc., en condiciones de atender los requerimientos y satisfacer las necesidades y vii) los procedimientos, trámites y requisitos que deban satisfacerse, reunirse u obtenerse para llevar a cabo la selección del respectivo contratista y la celebración del contrato</w:t>
      </w:r>
      <w:r w:rsidRPr="004D7189">
        <w:rPr>
          <w:rFonts w:ascii="Verdana" w:eastAsia="Aptos" w:hAnsi="Verdana" w:cs="Arial"/>
          <w:vertAlign w:val="superscript"/>
        </w:rPr>
        <w:footnoteReference w:id="2"/>
      </w:r>
      <w:r w:rsidRPr="004D7189">
        <w:rPr>
          <w:rFonts w:ascii="Verdana" w:eastAsia="Aptos" w:hAnsi="Verdana" w:cs="Arial"/>
        </w:rPr>
        <w:t>.</w:t>
      </w:r>
    </w:p>
    <w:p w14:paraId="2A7494D8" w14:textId="77777777" w:rsidR="00D15C8C" w:rsidRPr="004D7189" w:rsidRDefault="00D15C8C" w:rsidP="00D15C8C">
      <w:pPr>
        <w:spacing w:before="120" w:after="120" w:line="276" w:lineRule="auto"/>
        <w:ind w:firstLine="708"/>
        <w:jc w:val="both"/>
        <w:rPr>
          <w:rFonts w:ascii="Verdana" w:eastAsia="Times New Roman" w:hAnsi="Verdana" w:cs="Arial"/>
          <w:color w:val="000000"/>
          <w:szCs w:val="24"/>
          <w:lang w:val="es-ES_tradnl" w:eastAsia="es-ES_tradnl"/>
        </w:rPr>
      </w:pPr>
      <w:r w:rsidRPr="004D7189">
        <w:rPr>
          <w:rFonts w:ascii="Verdana" w:eastAsia="Times New Roman" w:hAnsi="Verdana" w:cs="Arial"/>
          <w:color w:val="000000"/>
          <w:szCs w:val="24"/>
          <w:lang w:val="es-ES_tradnl" w:eastAsia="es-ES_tradnl"/>
        </w:rPr>
        <w:lastRenderedPageBreak/>
        <w:t xml:space="preserve">Cuando las Entidades Estatales cumplen con los elementos mínimos establecidos en la norma y aquellos adicionales que identifiquen en la etapa de planeación de los procedimientos de contratación, permiten que los contratos resultantes cuenten con el sustento técnico, económico y jurídico que incidirá en una adecuada ejecución. Así pues, más allá </w:t>
      </w:r>
      <w:r w:rsidRPr="004D7189">
        <w:rPr>
          <w:rFonts w:ascii="Verdana" w:eastAsia="Times New Roman" w:hAnsi="Verdana" w:cs="Arial"/>
          <w:szCs w:val="24"/>
          <w:lang w:eastAsia="es-ES_tradnl"/>
        </w:rPr>
        <w:t>del cumplimiento de la normativa, “los estudios y documentos previos son el soporte para elaborar el proyecto de pliegos, los pliegos de condiciones, y el contrato”</w:t>
      </w:r>
      <w:r w:rsidRPr="004D7189">
        <w:rPr>
          <w:rFonts w:ascii="Verdana" w:eastAsia="Times New Roman" w:hAnsi="Verdana" w:cs="Arial"/>
          <w:szCs w:val="24"/>
          <w:vertAlign w:val="superscript"/>
          <w:lang w:eastAsia="es-ES_tradnl"/>
        </w:rPr>
        <w:footnoteReference w:id="3"/>
      </w:r>
      <w:r w:rsidRPr="004D7189">
        <w:rPr>
          <w:rFonts w:ascii="Verdana" w:eastAsia="Times New Roman" w:hAnsi="Verdana" w:cs="Arial"/>
          <w:szCs w:val="24"/>
          <w:lang w:eastAsia="es-ES_tradnl"/>
        </w:rPr>
        <w:t>, por lo que deben publicarse en la etapa precontractual y sirven de motivación para los documentos expedidos unilateralmente por la entidad, tales como, el acto administrativo de apertura, los pliegos de condiciones y el acto de adjudicación, entre otros.</w:t>
      </w:r>
    </w:p>
    <w:p w14:paraId="557EE6A7" w14:textId="77777777" w:rsidR="00D15C8C" w:rsidRPr="004D7189" w:rsidRDefault="00D15C8C" w:rsidP="00D15C8C">
      <w:pPr>
        <w:spacing w:after="120" w:line="276" w:lineRule="auto"/>
        <w:ind w:firstLine="709"/>
        <w:jc w:val="both"/>
        <w:rPr>
          <w:rFonts w:ascii="Verdana" w:eastAsia="Times New Roman" w:hAnsi="Verdana" w:cs="Arial"/>
          <w:szCs w:val="24"/>
          <w:lang w:eastAsia="es-ES_tradnl"/>
        </w:rPr>
      </w:pPr>
      <w:r w:rsidRPr="004D7189">
        <w:rPr>
          <w:rFonts w:ascii="Verdana" w:eastAsia="Times New Roman" w:hAnsi="Verdana" w:cs="Arial"/>
          <w:color w:val="000000"/>
          <w:szCs w:val="24"/>
          <w:lang w:val="es-ES_tradnl" w:eastAsia="es-ES_tradnl"/>
        </w:rPr>
        <w:t>De lo explicado se desprende que los estudios y documentos previos son necesarios antes de la celebración del contrato, pues fundamentan las condiciones que la Entidad Estatal exige en un proceso de contratación. Sin embargo, luego de la suscripción del contrato la entidad no debe actuar unilateralmente, sino que debe respetar la buena fe contractual y proceder de acuerdo con lo pactado</w:t>
      </w:r>
      <w:r w:rsidRPr="004D7189">
        <w:rPr>
          <w:rFonts w:ascii="Verdana" w:eastAsia="Aptos" w:hAnsi="Verdana" w:cs="Arial"/>
          <w:vertAlign w:val="superscript"/>
        </w:rPr>
        <w:footnoteReference w:id="4"/>
      </w:r>
      <w:r w:rsidRPr="004D7189">
        <w:rPr>
          <w:rFonts w:ascii="Verdana" w:eastAsia="Aptos" w:hAnsi="Verdana" w:cs="Arial"/>
        </w:rPr>
        <w:t xml:space="preserve">. </w:t>
      </w:r>
      <w:r w:rsidRPr="004D7189">
        <w:rPr>
          <w:rFonts w:ascii="Verdana" w:eastAsia="Times New Roman" w:hAnsi="Verdana" w:cs="Arial"/>
          <w:szCs w:val="24"/>
          <w:lang w:eastAsia="es-ES_tradnl"/>
        </w:rPr>
        <w:t>Para estos efectos, la “Guía para la Elaboración de Estudios del Sector”</w:t>
      </w:r>
      <w:r w:rsidRPr="004D7189">
        <w:rPr>
          <w:rFonts w:ascii="Verdana" w:eastAsia="Calibri" w:hAnsi="Verdana" w:cs="Arial"/>
          <w:bCs/>
          <w:vertAlign w:val="superscript"/>
          <w:lang w:val="es-ES_tradnl"/>
        </w:rPr>
        <w:footnoteReference w:id="5"/>
      </w:r>
      <w:r w:rsidRPr="004D7189">
        <w:rPr>
          <w:rFonts w:ascii="Verdana" w:eastAsia="Times New Roman" w:hAnsi="Verdana" w:cs="Arial"/>
          <w:szCs w:val="24"/>
          <w:lang w:eastAsia="es-ES_tradnl"/>
        </w:rPr>
        <w:t xml:space="preserve"> expedida por esta Agencia, constituye una herramienta fundamental para que las entidades estatales identifiquen las condiciones del mercado, determinen la forma más adecuada de satisfacer la necesidad contractual y estructuren procesos de selección acordes con los principios de planeación, economía y selección objetiva.</w:t>
      </w:r>
    </w:p>
    <w:p w14:paraId="006379C0" w14:textId="77777777" w:rsidR="00D15C8C" w:rsidRDefault="00D15C8C" w:rsidP="00D15C8C">
      <w:pPr>
        <w:spacing w:after="0" w:line="276" w:lineRule="auto"/>
        <w:ind w:firstLine="709"/>
        <w:jc w:val="both"/>
        <w:rPr>
          <w:rFonts w:ascii="Verdana" w:eastAsia="Times New Roman" w:hAnsi="Verdana" w:cs="Arial"/>
          <w:szCs w:val="24"/>
          <w:lang w:eastAsia="es-ES_tradnl"/>
        </w:rPr>
      </w:pPr>
      <w:r w:rsidRPr="004D7189">
        <w:rPr>
          <w:rFonts w:ascii="Verdana" w:eastAsia="Times New Roman" w:hAnsi="Verdana" w:cs="Arial"/>
          <w:szCs w:val="24"/>
          <w:lang w:eastAsia="es-ES_tradnl"/>
        </w:rPr>
        <w:t xml:space="preserve">Adicionalmente, resulta a bien resaltar la autonomía de las Entidades Estatales para estructurar los estudios previos, siempre y cuando observen los aspectos que estos deben contener, de conformidad con los artículos 2.2.1.1.1.6.1, 2.2.1.1.2.1.1 y 2.2.1.2.1.4.9 del Decreto 1082 de 2015. En todo caso, tratándose contratos de prestación de servicios, los estudios previos deben </w:t>
      </w:r>
      <w:r w:rsidRPr="004D7189">
        <w:rPr>
          <w:rFonts w:ascii="Verdana" w:eastAsia="Times New Roman" w:hAnsi="Verdana" w:cs="Arial"/>
          <w:szCs w:val="24"/>
          <w:lang w:eastAsia="es-ES_tradnl"/>
        </w:rPr>
        <w:lastRenderedPageBreak/>
        <w:t>entrar a justificar las particularidades del objeto contractual de cara a la satisfacción de la necesidad de la Entidad Estatal en atención a la cual se requiere el respectivo contrato. De esto dependerán las regulaciones que se establezcan en la minuta del contrato en cuanto a la temporalidad, pago y demás asuntos relevantes del negocio jurídico, que, sin perjuicio de estar mediados por la autonomía de la voluntad de las partes para establecer las condiciones del contrato, deben tener una justificación expresada en los estudios y documentos previos.</w:t>
      </w:r>
      <w:r w:rsidRPr="0030751E">
        <w:rPr>
          <w:rFonts w:ascii="Verdana" w:eastAsia="Times New Roman" w:hAnsi="Verdana" w:cs="Arial"/>
          <w:szCs w:val="24"/>
          <w:lang w:eastAsia="es-ES_tradnl"/>
        </w:rPr>
        <w:t xml:space="preserve"> </w:t>
      </w:r>
    </w:p>
    <w:p w14:paraId="03426F81" w14:textId="77777777" w:rsidR="00D15C8C" w:rsidRPr="00584A86" w:rsidRDefault="00D15C8C" w:rsidP="00D15C8C">
      <w:pPr>
        <w:spacing w:after="0" w:line="276" w:lineRule="auto"/>
        <w:ind w:firstLine="709"/>
        <w:jc w:val="both"/>
        <w:rPr>
          <w:rFonts w:ascii="Verdana" w:eastAsia="Times New Roman" w:hAnsi="Verdana" w:cs="Arial"/>
          <w:szCs w:val="24"/>
          <w:lang w:eastAsia="es-ES_tradnl"/>
        </w:rPr>
      </w:pPr>
    </w:p>
    <w:p w14:paraId="26BC568C" w14:textId="77777777" w:rsidR="00D15C8C" w:rsidRDefault="00D15C8C" w:rsidP="00D15C8C">
      <w:pPr>
        <w:spacing w:after="120" w:line="276" w:lineRule="auto"/>
        <w:jc w:val="both"/>
        <w:rPr>
          <w:rFonts w:ascii="Verdana" w:eastAsia="Calibri" w:hAnsi="Verdana" w:cs="Arial"/>
          <w:bCs/>
          <w:color w:val="000000" w:themeColor="text1"/>
        </w:rPr>
      </w:pPr>
      <w:r>
        <w:rPr>
          <w:rFonts w:ascii="Verdana" w:eastAsia="Calibri" w:hAnsi="Verdana" w:cs="Arial"/>
        </w:rPr>
        <w:t xml:space="preserve">ii. Por otra parte, </w:t>
      </w:r>
      <w:r w:rsidRPr="002754D3">
        <w:rPr>
          <w:rFonts w:ascii="Verdana" w:eastAsia="Calibri" w:hAnsi="Verdana" w:cs="Arial"/>
          <w:bCs/>
          <w:color w:val="000000" w:themeColor="text1"/>
        </w:rPr>
        <w:t>Las entidades estatales sometidas al Estatuto General de Contratación de la Administración Pública, en ejercicio de la autonomía y discrecionalidad tienen la facultad de</w:t>
      </w:r>
      <w:r>
        <w:rPr>
          <w:rFonts w:ascii="Verdana" w:eastAsia="Calibri" w:hAnsi="Verdana" w:cs="Arial"/>
          <w:bCs/>
          <w:color w:val="000000" w:themeColor="text1"/>
        </w:rPr>
        <w:t xml:space="preserve"> dividir el objeto del proceso de contratación en lotes, segmentos o grupos</w:t>
      </w:r>
      <w:r w:rsidRPr="002754D3">
        <w:rPr>
          <w:rFonts w:ascii="Verdana" w:eastAsia="Calibri" w:hAnsi="Verdana" w:cs="Arial"/>
          <w:bCs/>
          <w:color w:val="000000" w:themeColor="text1"/>
        </w:rPr>
        <w:t xml:space="preserve"> con el fin de facilitar la ejecución de los contratos y optimizar la utilización de los recursos públicos, de acuerdo con las necesidades específicas de cada entidad. </w:t>
      </w:r>
      <w:r w:rsidRPr="00612570">
        <w:rPr>
          <w:rFonts w:ascii="Verdana" w:eastAsia="Calibri" w:hAnsi="Verdana" w:cs="Arial"/>
          <w:bCs/>
          <w:color w:val="000000" w:themeColor="text1"/>
        </w:rPr>
        <w:t xml:space="preserve">En términos de eficiencia y economía, esto es procedente cuando, en atención a las condiciones de ejecución requeridas, resulta conveniente segmentar el cumplimiento del objeto del contrato, dando lugar a lotes o </w:t>
      </w:r>
      <w:r>
        <w:rPr>
          <w:rFonts w:ascii="Verdana" w:eastAsia="Calibri" w:hAnsi="Verdana" w:cs="Arial"/>
          <w:bCs/>
          <w:color w:val="000000" w:themeColor="text1"/>
        </w:rPr>
        <w:t>grupos</w:t>
      </w:r>
      <w:r w:rsidRPr="00612570">
        <w:rPr>
          <w:rFonts w:ascii="Verdana" w:eastAsia="Calibri" w:hAnsi="Verdana" w:cs="Arial"/>
          <w:bCs/>
          <w:color w:val="000000" w:themeColor="text1"/>
        </w:rPr>
        <w:t>, de tal manera que los proponentes puedan ofertar respecto de un lote en concreto, y la entidad pueda definir un adjudicatario para uno de los lotes definidos</w:t>
      </w:r>
      <w:r>
        <w:rPr>
          <w:rFonts w:ascii="Verdana" w:eastAsia="Calibri" w:hAnsi="Verdana" w:cs="Arial"/>
          <w:bCs/>
          <w:color w:val="000000" w:themeColor="text1"/>
        </w:rPr>
        <w:t>.</w:t>
      </w:r>
    </w:p>
    <w:p w14:paraId="225100EE" w14:textId="77777777" w:rsidR="00D15C8C" w:rsidRDefault="00D15C8C" w:rsidP="00D15C8C">
      <w:pPr>
        <w:spacing w:after="120" w:line="276" w:lineRule="auto"/>
        <w:ind w:firstLine="709"/>
        <w:jc w:val="both"/>
        <w:rPr>
          <w:rFonts w:ascii="Verdana" w:eastAsia="Calibri" w:hAnsi="Verdana" w:cs="Arial"/>
          <w:bCs/>
          <w:color w:val="000000" w:themeColor="text1"/>
        </w:rPr>
      </w:pPr>
      <w:r>
        <w:rPr>
          <w:rFonts w:ascii="Verdana" w:eastAsia="Calibri" w:hAnsi="Verdana" w:cs="Arial"/>
          <w:bCs/>
          <w:color w:val="000000" w:themeColor="text1"/>
        </w:rPr>
        <w:t xml:space="preserve">El Decreto 1082 de 2015 establece en distintas disposiciones esta facultad de las entidades estatales de realizar un proceso de contratación en lotes. En efecto, el artículo </w:t>
      </w:r>
      <w:r w:rsidRPr="009D1EB3">
        <w:rPr>
          <w:rFonts w:ascii="Verdana" w:eastAsia="Calibri" w:hAnsi="Verdana" w:cs="Arial"/>
          <w:bCs/>
          <w:color w:val="000000" w:themeColor="text1"/>
        </w:rPr>
        <w:t>2.2.1.2.1.2.1</w:t>
      </w:r>
      <w:r>
        <w:rPr>
          <w:rFonts w:ascii="Verdana" w:eastAsia="Calibri" w:hAnsi="Verdana" w:cs="Arial"/>
          <w:bCs/>
          <w:color w:val="000000" w:themeColor="text1"/>
        </w:rPr>
        <w:t xml:space="preserve"> señala que, e</w:t>
      </w:r>
      <w:r w:rsidRPr="009D1EB3">
        <w:rPr>
          <w:rFonts w:ascii="Verdana" w:eastAsia="Calibri" w:hAnsi="Verdana" w:cs="Arial"/>
          <w:bCs/>
          <w:color w:val="000000" w:themeColor="text1"/>
        </w:rPr>
        <w:t xml:space="preserve">n los pliegos de condiciones para contratar bienes y servicios de características técnicas uniformes, la </w:t>
      </w:r>
      <w:r>
        <w:rPr>
          <w:rFonts w:ascii="Verdana" w:eastAsia="Calibri" w:hAnsi="Verdana" w:cs="Arial"/>
          <w:bCs/>
          <w:color w:val="000000" w:themeColor="text1"/>
        </w:rPr>
        <w:t>e</w:t>
      </w:r>
      <w:r w:rsidRPr="009D1EB3">
        <w:rPr>
          <w:rFonts w:ascii="Verdana" w:eastAsia="Calibri" w:hAnsi="Verdana" w:cs="Arial"/>
          <w:bCs/>
          <w:color w:val="000000" w:themeColor="text1"/>
        </w:rPr>
        <w:t xml:space="preserve">ntidad </w:t>
      </w:r>
      <w:r>
        <w:rPr>
          <w:rFonts w:ascii="Verdana" w:eastAsia="Calibri" w:hAnsi="Verdana" w:cs="Arial"/>
          <w:bCs/>
          <w:color w:val="000000" w:themeColor="text1"/>
        </w:rPr>
        <w:t>e</w:t>
      </w:r>
      <w:r w:rsidRPr="009D1EB3">
        <w:rPr>
          <w:rFonts w:ascii="Verdana" w:eastAsia="Calibri" w:hAnsi="Verdana" w:cs="Arial"/>
          <w:bCs/>
          <w:color w:val="000000" w:themeColor="text1"/>
        </w:rPr>
        <w:t xml:space="preserve">statal debe </w:t>
      </w:r>
      <w:r>
        <w:rPr>
          <w:rFonts w:ascii="Verdana" w:eastAsia="Calibri" w:hAnsi="Verdana" w:cs="Arial"/>
          <w:bCs/>
          <w:color w:val="000000" w:themeColor="text1"/>
        </w:rPr>
        <w:t>definir, entre otros aspectos,</w:t>
      </w:r>
      <w:bookmarkStart w:id="3" w:name="2.2.1.2.1.2.1.1"/>
      <w:bookmarkEnd w:id="3"/>
      <w:r>
        <w:rPr>
          <w:rFonts w:ascii="Verdana" w:eastAsia="Calibri" w:hAnsi="Verdana" w:cs="Arial"/>
          <w:bCs/>
          <w:color w:val="000000" w:themeColor="text1"/>
        </w:rPr>
        <w:t xml:space="preserve"> “</w:t>
      </w:r>
      <w:r w:rsidRPr="009D1EB3">
        <w:rPr>
          <w:rFonts w:ascii="Verdana" w:eastAsia="Calibri" w:hAnsi="Verdana" w:cs="Arial"/>
          <w:bCs/>
          <w:color w:val="000000" w:themeColor="text1"/>
        </w:rPr>
        <w:t>el contenido de cada un</w:t>
      </w:r>
      <w:r>
        <w:rPr>
          <w:rFonts w:ascii="Verdana" w:eastAsia="Calibri" w:hAnsi="Verdana" w:cs="Arial"/>
          <w:bCs/>
          <w:color w:val="000000" w:themeColor="text1"/>
        </w:rPr>
        <w:t>a</w:t>
      </w:r>
      <w:r w:rsidRPr="009D1EB3">
        <w:rPr>
          <w:rFonts w:ascii="Verdana" w:eastAsia="Calibri" w:hAnsi="Verdana" w:cs="Arial"/>
          <w:bCs/>
          <w:color w:val="000000" w:themeColor="text1"/>
        </w:rPr>
        <w:t xml:space="preserve"> de las partes o lotes, si la adquisición se pretende hacer por partes.</w:t>
      </w:r>
      <w:r>
        <w:rPr>
          <w:rFonts w:ascii="Verdana" w:eastAsia="Calibri" w:hAnsi="Verdana" w:cs="Arial"/>
          <w:bCs/>
          <w:color w:val="000000" w:themeColor="text1"/>
        </w:rPr>
        <w:t xml:space="preserve">” </w:t>
      </w:r>
      <w:r>
        <w:rPr>
          <w:rFonts w:ascii="Verdana" w:eastAsia="Calibri" w:hAnsi="Verdana" w:cs="Arial"/>
          <w:bCs/>
          <w:color w:val="000000" w:themeColor="text1"/>
          <w:lang w:val="es-ES_tradnl"/>
        </w:rPr>
        <w:t>C</w:t>
      </w:r>
      <w:r w:rsidRPr="005D3677">
        <w:rPr>
          <w:rFonts w:ascii="Verdana" w:eastAsia="Calibri" w:hAnsi="Verdana" w:cs="Arial"/>
          <w:bCs/>
          <w:color w:val="000000" w:themeColor="text1"/>
          <w:lang w:val="es-ES_tradnl"/>
        </w:rPr>
        <w:t>on</w:t>
      </w:r>
      <w:r w:rsidRPr="005D3677">
        <w:rPr>
          <w:rFonts w:ascii="Verdana" w:eastAsia="Calibri" w:hAnsi="Verdana" w:cs="Arial"/>
          <w:bCs/>
          <w:color w:val="000000" w:themeColor="text1"/>
          <w:lang w:val="es-MX"/>
        </w:rPr>
        <w:t xml:space="preserve"> la reciente expedición del Decreto 142 del de 2023</w:t>
      </w:r>
      <w:r w:rsidRPr="005D3677">
        <w:rPr>
          <w:rFonts w:ascii="Verdana" w:eastAsia="Calibri" w:hAnsi="Verdana" w:cs="Arial"/>
          <w:bCs/>
          <w:color w:val="000000" w:themeColor="text1"/>
          <w:vertAlign w:val="superscript"/>
          <w:lang w:val="es-MX"/>
        </w:rPr>
        <w:footnoteReference w:id="6"/>
      </w:r>
      <w:r w:rsidRPr="005D3677">
        <w:rPr>
          <w:rFonts w:ascii="Verdana" w:eastAsia="Calibri" w:hAnsi="Verdana" w:cs="Arial"/>
          <w:bCs/>
          <w:color w:val="000000" w:themeColor="text1"/>
          <w:lang w:val="es-MX"/>
        </w:rPr>
        <w:t xml:space="preserve"> se reglamentó la disposición contenida en el numeral 6 del artículo 33 de la Ley 2069 de 2020</w:t>
      </w:r>
      <w:r w:rsidRPr="005D3677">
        <w:rPr>
          <w:rFonts w:ascii="Verdana" w:eastAsia="Calibri" w:hAnsi="Verdana" w:cs="Arial"/>
          <w:bCs/>
          <w:color w:val="000000" w:themeColor="text1"/>
          <w:vertAlign w:val="superscript"/>
          <w:lang w:val="es-MX"/>
        </w:rPr>
        <w:footnoteReference w:id="7"/>
      </w:r>
      <w:r w:rsidRPr="005D3677">
        <w:rPr>
          <w:rFonts w:ascii="Verdana" w:eastAsia="Calibri" w:hAnsi="Verdana" w:cs="Arial"/>
          <w:bCs/>
          <w:color w:val="000000" w:themeColor="text1"/>
          <w:lang w:val="es-MX"/>
        </w:rPr>
        <w:t xml:space="preserve">. Con el fin de cumplir el </w:t>
      </w:r>
      <w:r w:rsidRPr="005D3677">
        <w:rPr>
          <w:rFonts w:ascii="Verdana" w:eastAsia="Calibri" w:hAnsi="Verdana" w:cs="Arial"/>
          <w:bCs/>
          <w:color w:val="000000" w:themeColor="text1"/>
          <w:lang w:val="es-MX"/>
        </w:rPr>
        <w:lastRenderedPageBreak/>
        <w:t xml:space="preserve">mandato legal indicado, el artículo 2 del Decreto 0142 de 2023 modificó el artículo </w:t>
      </w:r>
      <w:r w:rsidRPr="005D3677">
        <w:rPr>
          <w:rFonts w:ascii="Verdana" w:eastAsia="Calibri" w:hAnsi="Verdana" w:cs="Arial"/>
          <w:bCs/>
          <w:color w:val="000000" w:themeColor="text1"/>
        </w:rPr>
        <w:t>2.2.1.1.1.4.1</w:t>
      </w:r>
      <w:r w:rsidRPr="005D3677">
        <w:rPr>
          <w:rFonts w:ascii="Verdana" w:eastAsia="Calibri" w:hAnsi="Verdana" w:cs="Arial"/>
          <w:bCs/>
          <w:color w:val="000000" w:themeColor="text1"/>
          <w:lang w:val="es-MX"/>
        </w:rPr>
        <w:t xml:space="preserve"> </w:t>
      </w:r>
      <w:r w:rsidRPr="005D3677">
        <w:rPr>
          <w:rFonts w:ascii="Verdana" w:eastAsia="Calibri" w:hAnsi="Verdana" w:cs="Arial"/>
          <w:bCs/>
          <w:color w:val="000000" w:themeColor="text1"/>
        </w:rPr>
        <w:t>del Decreto 1082 de 2015</w:t>
      </w:r>
      <w:r w:rsidRPr="005D3677">
        <w:rPr>
          <w:rFonts w:ascii="Verdana" w:eastAsia="Calibri" w:hAnsi="Verdana" w:cs="Arial"/>
          <w:bCs/>
          <w:color w:val="000000" w:themeColor="text1"/>
          <w:vertAlign w:val="superscript"/>
        </w:rPr>
        <w:footnoteReference w:id="8"/>
      </w:r>
      <w:r w:rsidRPr="005D3677">
        <w:rPr>
          <w:rFonts w:ascii="Verdana" w:eastAsia="Calibri" w:hAnsi="Verdana" w:cs="Arial"/>
          <w:bCs/>
          <w:i/>
          <w:iCs/>
          <w:color w:val="000000" w:themeColor="text1"/>
        </w:rPr>
        <w:t xml:space="preserve">, </w:t>
      </w:r>
      <w:r w:rsidRPr="005D3677">
        <w:rPr>
          <w:rFonts w:ascii="Verdana" w:eastAsia="Calibri" w:hAnsi="Verdana" w:cs="Arial"/>
          <w:bCs/>
          <w:color w:val="000000" w:themeColor="text1"/>
        </w:rPr>
        <w:t xml:space="preserve">para instar a las entidades públicas para que, desde la configuración del Plan Anual de Adquisiciones, propendan por planear su contratación de tal manera que promueva el adelantamiento de procesos de contratación por lotes o segmentos, a fin de promover la participación de las Mipymes en los procesos de contratación. </w:t>
      </w:r>
    </w:p>
    <w:p w14:paraId="189D7A60" w14:textId="77777777" w:rsidR="00D15C8C" w:rsidRDefault="00D15C8C" w:rsidP="00D15C8C">
      <w:pPr>
        <w:spacing w:after="120" w:line="276" w:lineRule="auto"/>
        <w:ind w:firstLine="709"/>
        <w:jc w:val="both"/>
        <w:rPr>
          <w:rFonts w:ascii="Verdana" w:eastAsia="Calibri" w:hAnsi="Verdana" w:cs="Arial"/>
          <w:bCs/>
          <w:color w:val="000000" w:themeColor="text1"/>
        </w:rPr>
      </w:pPr>
      <w:r w:rsidRPr="005D3677">
        <w:rPr>
          <w:rFonts w:ascii="Verdana" w:eastAsia="Calibri" w:hAnsi="Verdana" w:cs="Arial"/>
          <w:bCs/>
          <w:color w:val="000000" w:themeColor="text1"/>
        </w:rPr>
        <w:t>En concordancia con lo anterior,</w:t>
      </w:r>
      <w:r w:rsidRPr="005D3677">
        <w:rPr>
          <w:rFonts w:ascii="Verdana" w:eastAsia="Calibri" w:hAnsi="Verdana" w:cs="Arial"/>
          <w:bCs/>
          <w:i/>
          <w:iCs/>
          <w:color w:val="000000" w:themeColor="text1"/>
        </w:rPr>
        <w:t xml:space="preserve"> </w:t>
      </w:r>
      <w:r w:rsidRPr="005D3677">
        <w:rPr>
          <w:rFonts w:ascii="Verdana" w:eastAsia="Calibri" w:hAnsi="Verdana" w:cs="Arial"/>
          <w:bCs/>
          <w:color w:val="000000" w:themeColor="text1"/>
        </w:rPr>
        <w:t>el artículo 6 del Decreto 142 de 2023, adicionó el 2.2.1.2.4.2.19 </w:t>
      </w:r>
      <w:r w:rsidRPr="005D3677">
        <w:rPr>
          <w:rFonts w:ascii="Verdana" w:eastAsia="Calibri" w:hAnsi="Verdana" w:cs="Arial"/>
          <w:bCs/>
          <w:iCs/>
          <w:color w:val="000000" w:themeColor="text1"/>
        </w:rPr>
        <w:t>al Decreto 1082 de 2015</w:t>
      </w:r>
      <w:r w:rsidRPr="005D3677">
        <w:rPr>
          <w:rFonts w:ascii="Verdana" w:eastAsia="Calibri" w:hAnsi="Verdana" w:cs="Arial"/>
          <w:bCs/>
          <w:i/>
          <w:iCs/>
          <w:color w:val="000000" w:themeColor="text1"/>
        </w:rPr>
        <w:t xml:space="preserve">, </w:t>
      </w:r>
      <w:r w:rsidRPr="005D3677">
        <w:rPr>
          <w:rFonts w:ascii="Verdana" w:eastAsia="Calibri" w:hAnsi="Verdana" w:cs="Arial"/>
          <w:bCs/>
          <w:color w:val="000000" w:themeColor="text1"/>
        </w:rPr>
        <w:t xml:space="preserve">ratificando en el reglamento el deber de las entidades estatales de promover la división de procesos de contratación en lotes o segmentos, ya establecido de manera expresa en el </w:t>
      </w:r>
      <w:r w:rsidRPr="005D3677">
        <w:rPr>
          <w:rFonts w:ascii="Verdana" w:eastAsia="Calibri" w:hAnsi="Verdana" w:cs="Arial"/>
          <w:bCs/>
          <w:color w:val="000000" w:themeColor="text1"/>
          <w:lang w:val="es-MX"/>
        </w:rPr>
        <w:t>numeral 6 del artículo 33 de la Ley 2069 de 2020.</w:t>
      </w:r>
      <w:r>
        <w:rPr>
          <w:rFonts w:ascii="Verdana" w:eastAsia="Calibri" w:hAnsi="Verdana" w:cs="Arial"/>
          <w:bCs/>
          <w:color w:val="000000" w:themeColor="text1"/>
        </w:rPr>
        <w:t xml:space="preserve"> </w:t>
      </w:r>
      <w:r w:rsidRPr="003B0BDB">
        <w:rPr>
          <w:rFonts w:ascii="Verdana" w:eastAsia="Calibri" w:hAnsi="Verdana" w:cs="Arial"/>
          <w:bCs/>
          <w:color w:val="000000" w:themeColor="text1"/>
          <w:lang w:val="es-MX"/>
        </w:rPr>
        <w:t>Esta última</w:t>
      </w:r>
      <w:r w:rsidRPr="003B0BDB">
        <w:rPr>
          <w:rFonts w:ascii="Verdana" w:eastAsia="Calibri" w:hAnsi="Verdana" w:cs="Arial"/>
          <w:bCs/>
          <w:color w:val="000000" w:themeColor="text1"/>
        </w:rPr>
        <w:t xml:space="preserve"> obedece al siguiente tenor:  </w:t>
      </w:r>
    </w:p>
    <w:p w14:paraId="6C6C70C7" w14:textId="77777777" w:rsidR="00D15C8C" w:rsidRPr="003B0BDB" w:rsidRDefault="00D15C8C" w:rsidP="00D15C8C">
      <w:pPr>
        <w:spacing w:after="120" w:line="276" w:lineRule="auto"/>
        <w:ind w:firstLine="709"/>
        <w:contextualSpacing/>
        <w:jc w:val="both"/>
        <w:rPr>
          <w:rFonts w:ascii="Verdana" w:eastAsia="Calibri" w:hAnsi="Verdana" w:cs="Arial"/>
          <w:bCs/>
          <w:color w:val="000000" w:themeColor="text1"/>
        </w:rPr>
      </w:pPr>
    </w:p>
    <w:p w14:paraId="172F77D2" w14:textId="77777777" w:rsidR="00D15C8C" w:rsidRPr="00CC141F" w:rsidRDefault="00D15C8C" w:rsidP="00D15C8C">
      <w:pPr>
        <w:spacing w:after="120" w:line="240" w:lineRule="auto"/>
        <w:ind w:left="851" w:right="616"/>
        <w:jc w:val="both"/>
        <w:rPr>
          <w:rFonts w:ascii="Verdana" w:eastAsia="Calibri" w:hAnsi="Verdana" w:cs="Arial"/>
          <w:bCs/>
          <w:color w:val="000000" w:themeColor="text1"/>
          <w:sz w:val="20"/>
          <w:szCs w:val="20"/>
        </w:rPr>
      </w:pPr>
      <w:r w:rsidRPr="003B0BDB">
        <w:rPr>
          <w:rFonts w:ascii="Verdana" w:eastAsia="Calibri" w:hAnsi="Verdana" w:cs="Arial"/>
          <w:bCs/>
          <w:color w:val="000000" w:themeColor="text1"/>
        </w:rPr>
        <w:t>“</w:t>
      </w:r>
      <w:r w:rsidRPr="00CC141F">
        <w:rPr>
          <w:rFonts w:ascii="Verdana" w:eastAsia="Calibri" w:hAnsi="Verdana" w:cs="Arial"/>
          <w:bCs/>
          <w:color w:val="000000" w:themeColor="text1"/>
          <w:sz w:val="20"/>
          <w:szCs w:val="20"/>
        </w:rPr>
        <w:t>Artículo 2.2.1.2.4.2.19. </w:t>
      </w:r>
      <w:r w:rsidRPr="00CC141F">
        <w:rPr>
          <w:rFonts w:ascii="Verdana" w:eastAsia="Calibri" w:hAnsi="Verdana" w:cs="Arial"/>
          <w:bCs/>
          <w:i/>
          <w:iCs/>
          <w:color w:val="000000" w:themeColor="text1"/>
          <w:sz w:val="20"/>
          <w:szCs w:val="20"/>
        </w:rPr>
        <w:t>División en lotes o segmentos. </w:t>
      </w:r>
      <w:r w:rsidRPr="00CC141F">
        <w:rPr>
          <w:rFonts w:ascii="Verdana" w:eastAsia="Calibri" w:hAnsi="Verdana" w:cs="Arial"/>
          <w:bCs/>
          <w:color w:val="000000" w:themeColor="text1"/>
          <w:sz w:val="20"/>
          <w:szCs w:val="20"/>
        </w:rPr>
        <w:t>Las entidades estatales promoverán la división de procesos de contratación en lotes o segmentos que faciliten la participación de las Mipymes atendiendo a criterios tales como: i) el tipo de entregable, ii) el valor del contrato y iii) el ámbito geográfico de la entrega. Para el efecto: las entidades estatales deberán tener en cuenta el análisis del sector económico y de los oferentes en los términos establecidos en el artículo 2.2.1.1.1.6.1. de presente decreto. </w:t>
      </w:r>
    </w:p>
    <w:p w14:paraId="1314765A" w14:textId="77777777" w:rsidR="00D15C8C" w:rsidRPr="00CC141F" w:rsidRDefault="00D15C8C" w:rsidP="00D15C8C">
      <w:pPr>
        <w:spacing w:after="120" w:line="240" w:lineRule="auto"/>
        <w:ind w:left="851" w:right="616"/>
        <w:jc w:val="both"/>
        <w:rPr>
          <w:rFonts w:ascii="Verdana" w:eastAsia="Calibri" w:hAnsi="Verdana" w:cs="Arial"/>
          <w:bCs/>
          <w:color w:val="000000" w:themeColor="text1"/>
          <w:sz w:val="20"/>
          <w:szCs w:val="20"/>
        </w:rPr>
      </w:pPr>
      <w:r w:rsidRPr="00CC141F">
        <w:rPr>
          <w:rFonts w:ascii="Verdana" w:eastAsia="Calibri" w:hAnsi="Verdana" w:cs="Arial"/>
          <w:bCs/>
          <w:color w:val="000000" w:themeColor="text1"/>
          <w:sz w:val="20"/>
          <w:szCs w:val="20"/>
        </w:rPr>
        <w:t xml:space="preserve">[…]  Las entidades estatales podrán incluir en el pliego de condiciones mecanismos o reglas que limiten el número de lotes que se adjudican a un mismo proponente, con el fin de evitar que se concentre la contratación, sobre la base de criterios objetivos y no discriminatorios. La decisión de no adjudicar un contrato en lotes o segmentos podrá obedecer entre otras razones, a que mediante este mecanismo se pueda restringir </w:t>
      </w:r>
      <w:r w:rsidRPr="00CC141F">
        <w:rPr>
          <w:rFonts w:ascii="Verdana" w:eastAsia="Calibri" w:hAnsi="Verdana" w:cs="Arial"/>
          <w:bCs/>
          <w:color w:val="000000" w:themeColor="text1"/>
          <w:sz w:val="20"/>
          <w:szCs w:val="20"/>
        </w:rPr>
        <w:lastRenderedPageBreak/>
        <w:t>la competencia o que la segmentación del mercado pueda conducir a que la ejecución del contrato sea imposible desde el punto de vista técnico o económico. </w:t>
      </w:r>
    </w:p>
    <w:p w14:paraId="130D23FA" w14:textId="77777777" w:rsidR="00D15C8C" w:rsidRPr="00CC141F" w:rsidRDefault="00D15C8C" w:rsidP="00D15C8C">
      <w:pPr>
        <w:spacing w:after="0" w:line="240" w:lineRule="auto"/>
        <w:ind w:left="851" w:right="618"/>
        <w:jc w:val="both"/>
        <w:rPr>
          <w:rFonts w:ascii="Verdana" w:eastAsia="Calibri" w:hAnsi="Verdana" w:cs="Arial"/>
          <w:bCs/>
          <w:color w:val="000000" w:themeColor="text1"/>
          <w:sz w:val="20"/>
          <w:szCs w:val="20"/>
        </w:rPr>
      </w:pPr>
      <w:r w:rsidRPr="00CC141F">
        <w:rPr>
          <w:rFonts w:ascii="Verdana" w:eastAsia="Calibri" w:hAnsi="Verdana" w:cs="Arial"/>
          <w:bCs/>
          <w:color w:val="000000" w:themeColor="text1"/>
          <w:sz w:val="20"/>
          <w:szCs w:val="20"/>
        </w:rPr>
        <w:t>Parágrafo. En los Procesos de Contratación adelantados por lotes o grupos deberá aplicarse lo regulado en el artículo 2.2.1.2.4.2.2. del presente Decreto, tornando en consideración el valor del Proceso de Contratación imputable al respectivo lote en el que se solicite su aplicación. De igual manera será aplicable lo previsto en el artículo 2.2.1.2.4.2.3. a partir del lugar de ejecución del contrato asociado al respectivo lote o segmento”. </w:t>
      </w:r>
    </w:p>
    <w:p w14:paraId="7A29FA05" w14:textId="77777777" w:rsidR="00D15C8C" w:rsidRDefault="00D15C8C" w:rsidP="00D15C8C">
      <w:pPr>
        <w:spacing w:after="0" w:line="276" w:lineRule="auto"/>
        <w:ind w:firstLine="709"/>
        <w:jc w:val="both"/>
        <w:rPr>
          <w:rFonts w:ascii="Verdana" w:eastAsia="Calibri" w:hAnsi="Verdana" w:cs="Arial"/>
          <w:bCs/>
          <w:color w:val="000000" w:themeColor="text1"/>
        </w:rPr>
      </w:pPr>
    </w:p>
    <w:p w14:paraId="3769879B" w14:textId="77777777" w:rsidR="00D15C8C" w:rsidRPr="008D7A64" w:rsidRDefault="00D15C8C" w:rsidP="00D15C8C">
      <w:pPr>
        <w:spacing w:after="120" w:line="276" w:lineRule="auto"/>
        <w:ind w:firstLine="709"/>
        <w:jc w:val="both"/>
        <w:rPr>
          <w:rFonts w:ascii="Verdana" w:eastAsia="Calibri" w:hAnsi="Verdana" w:cs="Arial"/>
          <w:color w:val="000000" w:themeColor="text1"/>
          <w:lang w:val="es-ES_tradnl"/>
        </w:rPr>
      </w:pPr>
      <w:r>
        <w:rPr>
          <w:rFonts w:ascii="Verdana" w:eastAsia="Calibri" w:hAnsi="Verdana" w:cs="Arial"/>
          <w:bCs/>
          <w:color w:val="000000" w:themeColor="text1"/>
        </w:rPr>
        <w:t xml:space="preserve">Como se observa, </w:t>
      </w:r>
      <w:r w:rsidRPr="00113C17">
        <w:rPr>
          <w:rFonts w:ascii="Verdana" w:eastAsia="Calibri" w:hAnsi="Verdana" w:cs="Arial"/>
          <w:bCs/>
          <w:color w:val="000000" w:themeColor="text1"/>
        </w:rPr>
        <w:t>el primer inciso de la norma establece los criterios que pueden tener en cuenta las entidades públicas para dividir los procesos por lotes o segmentos como lo son: i) el tipo de entregable, ii) el valor del contrato y (iii) el ámbito geográfico de la entrega</w:t>
      </w:r>
      <w:r>
        <w:rPr>
          <w:rFonts w:ascii="Verdana" w:eastAsia="Calibri" w:hAnsi="Verdana" w:cs="Arial"/>
          <w:bCs/>
          <w:color w:val="000000" w:themeColor="text1"/>
        </w:rPr>
        <w:t xml:space="preserve">. </w:t>
      </w:r>
      <w:r>
        <w:rPr>
          <w:rFonts w:ascii="Verdana" w:eastAsia="Calibri" w:hAnsi="Verdana" w:cs="Arial"/>
          <w:color w:val="000000" w:themeColor="text1"/>
          <w:lang w:val="es-ES_tradnl"/>
        </w:rPr>
        <w:t>E</w:t>
      </w:r>
      <w:r w:rsidRPr="00A43D48">
        <w:rPr>
          <w:rFonts w:ascii="Verdana" w:eastAsia="Calibri" w:hAnsi="Verdana" w:cs="Arial"/>
          <w:color w:val="000000" w:themeColor="text1"/>
          <w:lang w:val="es-ES_tradnl"/>
        </w:rPr>
        <w:t>stos criterios se disponen, con el fin de facilitar la participación de las MiPymes en los procesos de contratación. Asimismo, la norma señala que, para dar cumplimiento a lo indicado, las Entidades Estatales deberán tener en cuenta el análisis del sector económico y de los oferentes en los términos establecidos en el artículo 2.2.1.1.1.6.1. del Decreto 1082 de 2015.</w:t>
      </w:r>
    </w:p>
    <w:p w14:paraId="66840D76" w14:textId="77777777" w:rsidR="00D15C8C" w:rsidRPr="0043159D" w:rsidRDefault="00D15C8C" w:rsidP="00D15C8C">
      <w:pPr>
        <w:spacing w:after="120" w:line="276" w:lineRule="auto"/>
        <w:ind w:firstLine="709"/>
        <w:jc w:val="both"/>
        <w:rPr>
          <w:rFonts w:ascii="Verdana" w:eastAsia="Calibri" w:hAnsi="Verdana" w:cs="Arial"/>
          <w:color w:val="000000" w:themeColor="text1"/>
        </w:rPr>
      </w:pPr>
      <w:r w:rsidRPr="00A43D48">
        <w:rPr>
          <w:rFonts w:ascii="Verdana" w:eastAsia="Calibri" w:hAnsi="Verdana" w:cs="Arial"/>
          <w:color w:val="000000" w:themeColor="text1"/>
          <w:lang w:val="es-ES_tradnl"/>
        </w:rPr>
        <w:t>Por su parte, el inciso</w:t>
      </w:r>
      <w:r>
        <w:rPr>
          <w:rFonts w:ascii="Verdana" w:eastAsia="Calibri" w:hAnsi="Verdana" w:cs="Arial"/>
          <w:color w:val="000000" w:themeColor="text1"/>
          <w:lang w:val="es-ES_tradnl"/>
        </w:rPr>
        <w:t xml:space="preserve"> cuarto del artículo </w:t>
      </w:r>
      <w:r w:rsidRPr="00A43D48">
        <w:rPr>
          <w:rFonts w:ascii="Verdana" w:eastAsia="Calibri" w:hAnsi="Verdana" w:cs="Arial"/>
          <w:color w:val="000000" w:themeColor="text1"/>
          <w:lang w:val="es-ES_tradnl"/>
        </w:rPr>
        <w:t xml:space="preserve">2.2.1.2.4.2.19. </w:t>
      </w:r>
      <w:r>
        <w:rPr>
          <w:rFonts w:ascii="Verdana" w:eastAsia="Calibri" w:hAnsi="Verdana" w:cs="Arial"/>
          <w:color w:val="000000" w:themeColor="text1"/>
          <w:lang w:val="es-ES_tradnl"/>
        </w:rPr>
        <w:t>del Decreto 1082 de 2015</w:t>
      </w:r>
      <w:r w:rsidRPr="00A43D48">
        <w:rPr>
          <w:rFonts w:ascii="Verdana" w:eastAsia="Calibri" w:hAnsi="Verdana" w:cs="Arial"/>
          <w:color w:val="000000" w:themeColor="text1"/>
          <w:lang w:val="es-ES_tradnl"/>
        </w:rPr>
        <w:t xml:space="preserve">, habilita a las entidades públicas para que incluyan en los pliegos de condiciones mecanismos y reglas que limiten el número de lotes que pueden ser adjudicados a un mismo oferente. </w:t>
      </w:r>
      <w:r w:rsidRPr="00815714">
        <w:rPr>
          <w:rFonts w:ascii="Verdana" w:eastAsia="Calibri" w:hAnsi="Verdana" w:cs="Arial"/>
          <w:color w:val="000000" w:themeColor="text1"/>
        </w:rPr>
        <w:t xml:space="preserve">En relación con este aspecto, se considera que la norma no determina los </w:t>
      </w:r>
      <w:r w:rsidRPr="005E351B">
        <w:rPr>
          <w:rFonts w:ascii="Verdana" w:eastAsia="Calibri" w:hAnsi="Verdana" w:cs="Arial"/>
          <w:color w:val="000000" w:themeColor="text1"/>
        </w:rPr>
        <w:t>mecanismos y reglas</w:t>
      </w:r>
      <w:r w:rsidRPr="00815714">
        <w:rPr>
          <w:rFonts w:ascii="Verdana" w:eastAsia="Calibri" w:hAnsi="Verdana" w:cs="Arial"/>
          <w:color w:val="000000" w:themeColor="text1"/>
        </w:rPr>
        <w:t xml:space="preserve"> que pueden establecer las entidades para limitar el número de lotes a adjudicarse a un mismo oferente,</w:t>
      </w:r>
      <w:r w:rsidRPr="00F071BA">
        <w:rPr>
          <w:rFonts w:ascii="Verdana" w:eastAsia="Calibri" w:hAnsi="Verdana" w:cs="Arial"/>
          <w:color w:val="000000" w:themeColor="text1"/>
          <w:lang w:val="es-ES_tradnl"/>
        </w:rPr>
        <w:t xml:space="preserve"> </w:t>
      </w:r>
      <w:r>
        <w:rPr>
          <w:rFonts w:ascii="Verdana" w:eastAsia="Calibri" w:hAnsi="Verdana" w:cs="Arial"/>
          <w:color w:val="000000" w:themeColor="text1"/>
          <w:lang w:val="es-ES_tradnl"/>
        </w:rPr>
        <w:t xml:space="preserve">por tanto, </w:t>
      </w:r>
      <w:r w:rsidRPr="00A43D48">
        <w:rPr>
          <w:rFonts w:ascii="Verdana" w:eastAsia="Calibri" w:hAnsi="Verdana" w:cs="Arial"/>
          <w:color w:val="000000" w:themeColor="text1"/>
          <w:lang w:val="es-ES_tradnl"/>
        </w:rPr>
        <w:t xml:space="preserve">la </w:t>
      </w:r>
      <w:r>
        <w:rPr>
          <w:rFonts w:ascii="Verdana" w:eastAsia="Calibri" w:hAnsi="Verdana" w:cs="Arial"/>
          <w:color w:val="000000" w:themeColor="text1"/>
          <w:lang w:val="es-ES_tradnl"/>
        </w:rPr>
        <w:t>e</w:t>
      </w:r>
      <w:r w:rsidRPr="00A43D48">
        <w:rPr>
          <w:rFonts w:ascii="Verdana" w:eastAsia="Calibri" w:hAnsi="Verdana" w:cs="Arial"/>
          <w:color w:val="000000" w:themeColor="text1"/>
          <w:lang w:val="es-ES_tradnl"/>
        </w:rPr>
        <w:t xml:space="preserve">ntidad </w:t>
      </w:r>
      <w:r>
        <w:rPr>
          <w:rFonts w:ascii="Verdana" w:eastAsia="Calibri" w:hAnsi="Verdana" w:cs="Arial"/>
          <w:color w:val="000000" w:themeColor="text1"/>
          <w:lang w:val="es-ES_tradnl"/>
        </w:rPr>
        <w:t>e</w:t>
      </w:r>
      <w:r w:rsidRPr="00A43D48">
        <w:rPr>
          <w:rFonts w:ascii="Verdana" w:eastAsia="Calibri" w:hAnsi="Verdana" w:cs="Arial"/>
          <w:color w:val="000000" w:themeColor="text1"/>
          <w:lang w:val="es-ES_tradnl"/>
        </w:rPr>
        <w:t>stata</w:t>
      </w:r>
      <w:r>
        <w:rPr>
          <w:rFonts w:ascii="Verdana" w:eastAsia="Calibri" w:hAnsi="Verdana" w:cs="Arial"/>
          <w:color w:val="000000" w:themeColor="text1"/>
          <w:lang w:val="es-ES_tradnl"/>
        </w:rPr>
        <w:t>l</w:t>
      </w:r>
      <w:r w:rsidRPr="00A43D48">
        <w:rPr>
          <w:rFonts w:ascii="Verdana" w:eastAsia="Calibri" w:hAnsi="Verdana" w:cs="Arial"/>
          <w:color w:val="000000" w:themeColor="text1"/>
          <w:lang w:val="es-ES_tradnl"/>
        </w:rPr>
        <w:t xml:space="preserve"> podrá limitar el número de lotes de los que puede resultar adjudicatario un mismo proponente, considerando los lotes o segmentos de los distintos procesos de selección que se encuentre adelantando</w:t>
      </w:r>
      <w:r>
        <w:rPr>
          <w:rFonts w:ascii="Verdana" w:eastAsia="Calibri" w:hAnsi="Verdana" w:cs="Arial"/>
          <w:color w:val="000000" w:themeColor="text1"/>
        </w:rPr>
        <w:t xml:space="preserve">. </w:t>
      </w:r>
      <w:r w:rsidRPr="00A43D48">
        <w:rPr>
          <w:rFonts w:ascii="Verdana" w:eastAsia="Calibri" w:hAnsi="Verdana" w:cs="Arial"/>
          <w:color w:val="000000" w:themeColor="text1"/>
          <w:lang w:val="es-ES_tradnl"/>
        </w:rPr>
        <w:t>Esto, “con la finalidad de evitar que se concentre la contratación” en un solo oferente, y siempre y cuando esta restricción se realice sobre la base de criterios objetivos y no discriminatorios.</w:t>
      </w:r>
    </w:p>
    <w:p w14:paraId="730564FF" w14:textId="77777777" w:rsidR="00D15C8C" w:rsidRPr="00221C72" w:rsidRDefault="00D15C8C" w:rsidP="00D15C8C">
      <w:pPr>
        <w:spacing w:after="120" w:line="276" w:lineRule="auto"/>
        <w:ind w:firstLine="709"/>
        <w:jc w:val="both"/>
        <w:rPr>
          <w:rFonts w:ascii="Verdana" w:eastAsia="Calibri" w:hAnsi="Verdana" w:cs="Arial"/>
          <w:color w:val="000000" w:themeColor="text1"/>
        </w:rPr>
      </w:pPr>
      <w:r w:rsidRPr="00A43D48">
        <w:rPr>
          <w:rFonts w:ascii="Verdana" w:eastAsia="Calibri" w:hAnsi="Verdana" w:cs="Arial"/>
          <w:color w:val="000000" w:themeColor="text1"/>
          <w:lang w:val="es-ES_tradnl"/>
        </w:rPr>
        <w:t xml:space="preserve">Bajo este contexto, le corresponde a la Entidad Estatal en ejercicio de </w:t>
      </w:r>
      <w:r>
        <w:rPr>
          <w:rFonts w:ascii="Verdana" w:eastAsia="Calibri" w:hAnsi="Verdana" w:cs="Arial"/>
          <w:color w:val="000000" w:themeColor="text1"/>
          <w:lang w:val="es-ES_tradnl"/>
        </w:rPr>
        <w:t>la</w:t>
      </w:r>
      <w:r w:rsidRPr="00A43D48">
        <w:rPr>
          <w:rFonts w:ascii="Verdana" w:eastAsia="Calibri" w:hAnsi="Verdana" w:cs="Arial"/>
          <w:color w:val="000000" w:themeColor="text1"/>
          <w:lang w:val="es-ES_tradnl"/>
        </w:rPr>
        <w:t xml:space="preserve"> autonomía y discrecionalidad que le confiere el artículo 2.2.1.2.4.2.19 del Decreto 1082 de 2015 −adicionado por el artículo 6 del Decreto 142 de 2023−, determinar en los pliegos de condiciones para los procesos estructurados por lotes o segmentos, si un proponente puede resultar adjudicatario en uno o varios de los lotes o segmentos en los que se dividen los distinto procesos de </w:t>
      </w:r>
      <w:r w:rsidRPr="00A43D48">
        <w:rPr>
          <w:rFonts w:ascii="Verdana" w:eastAsia="Calibri" w:hAnsi="Verdana" w:cs="Arial"/>
          <w:color w:val="000000" w:themeColor="text1"/>
          <w:lang w:val="es-ES_tradnl"/>
        </w:rPr>
        <w:lastRenderedPageBreak/>
        <w:t xml:space="preserve">contratación que se encuentra adelantando. </w:t>
      </w:r>
      <w:r w:rsidRPr="004F5966">
        <w:rPr>
          <w:rFonts w:ascii="Verdana" w:eastAsia="Calibri" w:hAnsi="Verdana" w:cs="Arial"/>
          <w:color w:val="000000" w:themeColor="text1"/>
        </w:rPr>
        <w:t>Esto supone la posibilidad de que la entidad estatal establezca en el pliego de condiciones reglas y/o causales de rechazo, dirigidas a evitar que se concentre la contratación en un único proponent</w:t>
      </w:r>
      <w:r>
        <w:rPr>
          <w:rFonts w:ascii="Verdana" w:eastAsia="Calibri" w:hAnsi="Verdana" w:cs="Arial"/>
          <w:color w:val="000000" w:themeColor="text1"/>
        </w:rPr>
        <w:t xml:space="preserve">e. </w:t>
      </w:r>
      <w:r w:rsidRPr="00A43D48">
        <w:rPr>
          <w:rFonts w:ascii="Verdana" w:eastAsia="Calibri" w:hAnsi="Verdana" w:cs="Arial"/>
          <w:color w:val="000000" w:themeColor="text1"/>
          <w:lang w:val="es-ES_tradnl"/>
        </w:rPr>
        <w:t xml:space="preserve">Además, el inciso en comento establece que, la decisión de la entidad de no adjudicar un contrato </w:t>
      </w:r>
      <w:r>
        <w:rPr>
          <w:rFonts w:ascii="Verdana" w:eastAsia="Calibri" w:hAnsi="Verdana" w:cs="Arial"/>
          <w:color w:val="000000" w:themeColor="text1"/>
          <w:lang w:val="es-ES_tradnl"/>
        </w:rPr>
        <w:t xml:space="preserve">en lotes o segmentos </w:t>
      </w:r>
      <w:r w:rsidRPr="00A43D48">
        <w:rPr>
          <w:rFonts w:ascii="Verdana" w:eastAsia="Calibri" w:hAnsi="Verdana" w:cs="Arial"/>
          <w:color w:val="000000" w:themeColor="text1"/>
          <w:lang w:val="es-ES_tradnl"/>
        </w:rPr>
        <w:t xml:space="preserve">puede obedecer −entre otras razones− a que: i) mediante este mecanismo se pueda restringir la competencia o ii) que la segmentación del mercado pueda conducir a que la ejecución del contrato sea imposible desde el punto de vista técnico o económico. </w:t>
      </w:r>
    </w:p>
    <w:p w14:paraId="31007184" w14:textId="77777777" w:rsidR="00D15C8C" w:rsidRDefault="00D15C8C" w:rsidP="00D15C8C">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lang w:val="es-ES_tradnl"/>
        </w:rPr>
        <w:t>De acuerdo con estas consideraciones, es claro que todos los procesos de contratación pueden ser susceptibles de estructurarse en lotes, segmentos o grupos siempre que con ello no se restringa la competencia o resulte inconveniente técnica o económicamente su ejecución bajo este esquema. De esta manera, e</w:t>
      </w:r>
      <w:r w:rsidRPr="00EF40BF">
        <w:rPr>
          <w:rFonts w:ascii="Verdana" w:eastAsia="Calibri" w:hAnsi="Verdana" w:cs="Arial"/>
          <w:color w:val="000000" w:themeColor="text1"/>
        </w:rPr>
        <w:t xml:space="preserve">n los procesos de </w:t>
      </w:r>
      <w:r>
        <w:rPr>
          <w:rFonts w:ascii="Verdana" w:eastAsia="Calibri" w:hAnsi="Verdana" w:cs="Arial"/>
          <w:color w:val="000000" w:themeColor="text1"/>
        </w:rPr>
        <w:t>selección llevados a cabo a través de la modalidad de licitación pública</w:t>
      </w:r>
      <w:r w:rsidRPr="00EF40BF">
        <w:rPr>
          <w:rFonts w:ascii="Verdana" w:eastAsia="Calibri" w:hAnsi="Verdana" w:cs="Arial"/>
          <w:color w:val="000000" w:themeColor="text1"/>
        </w:rPr>
        <w:t xml:space="preserve"> se podrá</w:t>
      </w:r>
      <w:r>
        <w:rPr>
          <w:rFonts w:ascii="Verdana" w:eastAsia="Calibri" w:hAnsi="Verdana" w:cs="Arial"/>
          <w:color w:val="000000" w:themeColor="text1"/>
        </w:rPr>
        <w:t>n</w:t>
      </w:r>
      <w:r w:rsidRPr="00EF40BF">
        <w:rPr>
          <w:rFonts w:ascii="Verdana" w:eastAsia="Calibri" w:hAnsi="Verdana" w:cs="Arial"/>
          <w:color w:val="000000" w:themeColor="text1"/>
        </w:rPr>
        <w:t xml:space="preserve"> llevar a cabo la contratación mediante grupos o segmentos</w:t>
      </w:r>
      <w:r>
        <w:rPr>
          <w:rFonts w:ascii="Verdana" w:eastAsia="Calibri" w:hAnsi="Verdana" w:cs="Arial"/>
          <w:color w:val="000000" w:themeColor="text1"/>
        </w:rPr>
        <w:t xml:space="preserve">. </w:t>
      </w:r>
    </w:p>
    <w:p w14:paraId="790F9790" w14:textId="77777777" w:rsidR="00D15C8C" w:rsidRDefault="00D15C8C" w:rsidP="00D15C8C">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Sin embargo, l</w:t>
      </w:r>
      <w:r w:rsidRPr="00480303">
        <w:rPr>
          <w:rFonts w:ascii="Verdana" w:eastAsia="Calibri" w:hAnsi="Verdana" w:cs="Arial"/>
          <w:color w:val="000000" w:themeColor="text1"/>
        </w:rPr>
        <w:t xml:space="preserve">a determinación del esquema por lotes y la forma en que se estructuran estos grupos o segmentos es de carácter discrecional de la entidad estatal. En este sentido, es fundamental que la entidad tenga en cuenta diversos criterios al momento de definir esta estructura, con el fin de adaptar el proceso de contratación a sus necesidades particulares. Además, se propicie un proceso competitivo que permita la participación de una pluralidad de oferentes. </w:t>
      </w:r>
    </w:p>
    <w:p w14:paraId="66365B82" w14:textId="77777777" w:rsidR="00D15C8C" w:rsidRDefault="00D15C8C" w:rsidP="00D15C8C">
      <w:pPr>
        <w:spacing w:after="120" w:line="276" w:lineRule="auto"/>
        <w:ind w:firstLine="709"/>
        <w:jc w:val="both"/>
        <w:rPr>
          <w:rFonts w:ascii="Verdana" w:eastAsia="Calibri" w:hAnsi="Verdana" w:cs="Arial"/>
          <w:color w:val="000000" w:themeColor="text1"/>
          <w:lang w:val="es-ES_tradnl"/>
        </w:rPr>
      </w:pPr>
      <w:r>
        <w:rPr>
          <w:rFonts w:ascii="Verdana" w:eastAsia="Calibri" w:hAnsi="Verdana" w:cs="Arial"/>
          <w:color w:val="000000" w:themeColor="text1"/>
          <w:lang w:val="es-ES_tradnl"/>
        </w:rPr>
        <w:t xml:space="preserve">Para tales efectos, la entidad deberá tener en cuenta los </w:t>
      </w:r>
      <w:r w:rsidRPr="00A43D48">
        <w:rPr>
          <w:rFonts w:ascii="Verdana" w:eastAsia="Calibri" w:hAnsi="Verdana" w:cs="Arial"/>
          <w:color w:val="000000" w:themeColor="text1"/>
          <w:lang w:val="es-ES_tradnl"/>
        </w:rPr>
        <w:t>estudios previos y el respectivo análisis del sector para identificar las oportunidades y determinar qué aspectos pueden adelantarse en el proceso de contratación</w:t>
      </w:r>
      <w:r>
        <w:rPr>
          <w:rFonts w:ascii="Verdana" w:eastAsia="Calibri" w:hAnsi="Verdana" w:cs="Arial"/>
          <w:color w:val="000000" w:themeColor="text1"/>
          <w:lang w:val="es-ES_tradnl"/>
        </w:rPr>
        <w:t xml:space="preserve"> y la forma en la que se establecerá cada lote</w:t>
      </w:r>
      <w:r w:rsidRPr="00A43D48">
        <w:rPr>
          <w:rFonts w:ascii="Verdana" w:eastAsia="Calibri" w:hAnsi="Verdana" w:cs="Arial"/>
          <w:color w:val="000000" w:themeColor="text1"/>
          <w:lang w:val="es-ES_tradnl"/>
        </w:rPr>
        <w:t xml:space="preserve">. </w:t>
      </w:r>
      <w:r>
        <w:rPr>
          <w:rFonts w:ascii="Verdana" w:eastAsia="Calibri" w:hAnsi="Verdana" w:cs="Arial"/>
          <w:color w:val="000000" w:themeColor="text1"/>
          <w:lang w:val="es-ES_tradnl"/>
        </w:rPr>
        <w:t>En tal sentido</w:t>
      </w:r>
      <w:r w:rsidRPr="00A43D48">
        <w:rPr>
          <w:rFonts w:ascii="Verdana" w:eastAsia="Calibri" w:hAnsi="Verdana" w:cs="Arial"/>
          <w:color w:val="000000" w:themeColor="text1"/>
          <w:lang w:val="es-ES_tradnl"/>
        </w:rPr>
        <w:t>, es esencial realizar estudios del mercado</w:t>
      </w:r>
      <w:r>
        <w:rPr>
          <w:rFonts w:ascii="Verdana" w:eastAsia="Calibri" w:hAnsi="Verdana" w:cs="Arial"/>
          <w:color w:val="000000" w:themeColor="text1"/>
          <w:lang w:val="es-ES_tradnl"/>
        </w:rPr>
        <w:t xml:space="preserve"> que</w:t>
      </w:r>
      <w:r w:rsidRPr="00A43D48">
        <w:rPr>
          <w:rFonts w:ascii="Verdana" w:eastAsia="Calibri" w:hAnsi="Verdana" w:cs="Arial"/>
          <w:color w:val="000000" w:themeColor="text1"/>
          <w:lang w:val="es-ES_tradnl"/>
        </w:rPr>
        <w:t xml:space="preserve"> incluyen la evaluación de la oferta y la demanda en el sector específico </w:t>
      </w:r>
      <w:r>
        <w:rPr>
          <w:rFonts w:ascii="Verdana" w:eastAsia="Calibri" w:hAnsi="Verdana" w:cs="Arial"/>
          <w:color w:val="000000" w:themeColor="text1"/>
          <w:lang w:val="es-ES_tradnl"/>
        </w:rPr>
        <w:t xml:space="preserve">para </w:t>
      </w:r>
      <w:r w:rsidRPr="00A43D48">
        <w:rPr>
          <w:rFonts w:ascii="Verdana" w:eastAsia="Calibri" w:hAnsi="Verdana" w:cs="Arial"/>
          <w:color w:val="000000" w:themeColor="text1"/>
          <w:lang w:val="es-ES_tradnl"/>
        </w:rPr>
        <w:t>comprender la situación actual del mercado, identificar a los posibles proveedores y determinar si hay suficiente competencia para garantizar una selección justa.</w:t>
      </w:r>
    </w:p>
    <w:p w14:paraId="4E616F28" w14:textId="77777777" w:rsidR="00D15C8C" w:rsidRDefault="00D15C8C" w:rsidP="00D15C8C">
      <w:pPr>
        <w:spacing w:after="120" w:line="276" w:lineRule="auto"/>
        <w:ind w:firstLine="709"/>
        <w:jc w:val="both"/>
        <w:rPr>
          <w:rFonts w:ascii="Verdana" w:eastAsia="Calibri" w:hAnsi="Verdana" w:cs="Arial"/>
          <w:color w:val="000000" w:themeColor="text1"/>
          <w:lang w:val="es-ES_tradnl"/>
        </w:rPr>
      </w:pPr>
      <w:r w:rsidRPr="00A43D48">
        <w:rPr>
          <w:rFonts w:ascii="Verdana" w:eastAsia="Calibri" w:hAnsi="Verdana" w:cs="Arial"/>
          <w:color w:val="000000" w:themeColor="text1"/>
          <w:lang w:val="es-ES_tradnl"/>
        </w:rPr>
        <w:t>De igual manera, se deben verificar los requisitos que deben cumplir los proveedores en cada lote o segmento de la contratación. Esto implica identificar los servicios o productos necesarios, establecer los plazos y las cantidades requeridas, y definir cualquier requisito adicional que pueda ser relevante.</w:t>
      </w:r>
      <w:r>
        <w:rPr>
          <w:rFonts w:ascii="Verdana" w:eastAsia="Calibri" w:hAnsi="Verdana" w:cs="Arial"/>
          <w:color w:val="000000" w:themeColor="text1"/>
          <w:lang w:val="es-ES_tradnl"/>
        </w:rPr>
        <w:t xml:space="preserve"> Asimismo</w:t>
      </w:r>
      <w:r w:rsidRPr="00A43D48">
        <w:rPr>
          <w:rFonts w:ascii="Verdana" w:eastAsia="Calibri" w:hAnsi="Verdana" w:cs="Arial"/>
          <w:color w:val="000000" w:themeColor="text1"/>
          <w:lang w:val="es-ES_tradnl"/>
        </w:rPr>
        <w:t xml:space="preserve">, antes de dividir el proceso de contratación en lotes o segmentos, es </w:t>
      </w:r>
      <w:r w:rsidRPr="00A43D48">
        <w:rPr>
          <w:rFonts w:ascii="Verdana" w:eastAsia="Calibri" w:hAnsi="Verdana" w:cs="Arial"/>
          <w:color w:val="000000" w:themeColor="text1"/>
          <w:lang w:val="es-ES_tradnl"/>
        </w:rPr>
        <w:lastRenderedPageBreak/>
        <w:t>importante evaluar los posibles riesgos asociados</w:t>
      </w:r>
      <w:r>
        <w:rPr>
          <w:rFonts w:ascii="Verdana" w:eastAsia="Calibri" w:hAnsi="Verdana" w:cs="Arial"/>
          <w:color w:val="000000" w:themeColor="text1"/>
          <w:lang w:val="es-ES_tradnl"/>
        </w:rPr>
        <w:t xml:space="preserve">, es decir, </w:t>
      </w:r>
      <w:r w:rsidRPr="00A43D48">
        <w:rPr>
          <w:rFonts w:ascii="Verdana" w:eastAsia="Calibri" w:hAnsi="Verdana" w:cs="Arial"/>
          <w:color w:val="000000" w:themeColor="text1"/>
          <w:lang w:val="es-ES_tradnl"/>
        </w:rPr>
        <w:t xml:space="preserve">identificar los riesgos potenciales que podrían afectar la ejecución de los contratos y desarrollar estrategias para mitigarlos. También se deben considerar los riesgos financieros, legales y operativos relacionados con cada lote o segmento. </w:t>
      </w:r>
    </w:p>
    <w:p w14:paraId="0AF21EB6" w14:textId="77777777" w:rsidR="00D15C8C" w:rsidRDefault="00D15C8C" w:rsidP="00D15C8C">
      <w:pPr>
        <w:spacing w:after="120" w:line="276" w:lineRule="auto"/>
        <w:ind w:firstLine="709"/>
        <w:jc w:val="both"/>
        <w:rPr>
          <w:rFonts w:ascii="Verdana" w:eastAsia="Calibri" w:hAnsi="Verdana" w:cs="Arial"/>
          <w:color w:val="000000" w:themeColor="text1"/>
          <w:lang w:val="es-ES"/>
        </w:rPr>
      </w:pPr>
      <w:r w:rsidRPr="33C649BC">
        <w:rPr>
          <w:rFonts w:ascii="Verdana" w:eastAsia="Calibri" w:hAnsi="Verdana" w:cs="Arial"/>
          <w:color w:val="000000" w:themeColor="text1"/>
          <w:lang w:val="es-ES"/>
        </w:rPr>
        <w:t>A su vez, al efectuar un análisis de viabilidad al momento de adelantar un proceso de contratación en lotes, se debe revisar si esta estrategia es factible y beneficiosa. Se deben considerar factores como los recursos disponibles, la capacidad de gestión y supervisión, y la posibilidad de lograr economías de escala o sinergias entre los lotes.</w:t>
      </w:r>
    </w:p>
    <w:p w14:paraId="0590E30B" w14:textId="77777777" w:rsidR="00D15C8C" w:rsidRDefault="00D15C8C" w:rsidP="00D15C8C">
      <w:pPr>
        <w:spacing w:after="120" w:line="276" w:lineRule="auto"/>
        <w:ind w:firstLine="709"/>
        <w:jc w:val="both"/>
        <w:rPr>
          <w:rFonts w:ascii="Verdana" w:eastAsia="Calibri" w:hAnsi="Verdana" w:cs="Arial"/>
          <w:color w:val="000000" w:themeColor="text1"/>
          <w:lang w:val="es-ES_tradnl"/>
        </w:rPr>
      </w:pPr>
      <w:r>
        <w:rPr>
          <w:rFonts w:ascii="Verdana" w:eastAsia="Calibri" w:hAnsi="Verdana" w:cs="Arial"/>
          <w:color w:val="000000" w:themeColor="text1"/>
          <w:lang w:val="es-ES_tradnl"/>
        </w:rPr>
        <w:t>Igualmente</w:t>
      </w:r>
      <w:r w:rsidRPr="00A43D48">
        <w:rPr>
          <w:rFonts w:ascii="Verdana" w:eastAsia="Calibri" w:hAnsi="Verdana" w:cs="Arial"/>
          <w:color w:val="000000" w:themeColor="text1"/>
          <w:lang w:val="es-ES_tradnl"/>
        </w:rPr>
        <w:t xml:space="preserve">, resulta importante </w:t>
      </w:r>
      <w:r>
        <w:rPr>
          <w:rFonts w:ascii="Verdana" w:eastAsia="Calibri" w:hAnsi="Verdana" w:cs="Arial"/>
          <w:color w:val="000000" w:themeColor="text1"/>
          <w:lang w:val="es-ES_tradnl"/>
        </w:rPr>
        <w:t>realizar</w:t>
      </w:r>
      <w:r w:rsidRPr="00A43D48">
        <w:rPr>
          <w:rFonts w:ascii="Verdana" w:eastAsia="Calibri" w:hAnsi="Verdana" w:cs="Arial"/>
          <w:color w:val="000000" w:themeColor="text1"/>
          <w:lang w:val="es-ES_tradnl"/>
        </w:rPr>
        <w:t xml:space="preserve"> el correspondiente análisis de oferta y demanda para determinar el valor del precio en un proceso de contratación en lotes y segmentos. Este enfoque permite evaluar cómo la relación entre la oferta y la demanda afecta el precio de un bien o servicio en particular, de esta manera el análisis de oferta implica examinar la cantidad de bienes o servicios disponibles en el mercado para satisfacer la demanda</w:t>
      </w:r>
      <w:r>
        <w:rPr>
          <w:rFonts w:ascii="Verdana" w:eastAsia="Calibri" w:hAnsi="Verdana" w:cs="Arial"/>
          <w:color w:val="000000" w:themeColor="text1"/>
          <w:lang w:val="es-ES_tradnl"/>
        </w:rPr>
        <w:t>.</w:t>
      </w:r>
      <w:r w:rsidRPr="00A43D48">
        <w:rPr>
          <w:rFonts w:ascii="Verdana" w:eastAsia="Calibri" w:hAnsi="Verdana" w:cs="Arial"/>
          <w:color w:val="000000" w:themeColor="text1"/>
          <w:lang w:val="es-ES_tradnl"/>
        </w:rPr>
        <w:t xml:space="preserve"> </w:t>
      </w:r>
    </w:p>
    <w:p w14:paraId="2262D5F2" w14:textId="77777777" w:rsidR="00D15C8C" w:rsidRDefault="00D15C8C" w:rsidP="00D15C8C">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lang w:val="es-ES_tradnl"/>
        </w:rPr>
        <w:t xml:space="preserve">En este orden de ideas, </w:t>
      </w:r>
      <w:r w:rsidRPr="00AA027E">
        <w:rPr>
          <w:rFonts w:ascii="Verdana" w:eastAsia="Calibri" w:hAnsi="Verdana" w:cs="Arial"/>
          <w:color w:val="000000" w:themeColor="text1"/>
        </w:rPr>
        <w:t>la</w:t>
      </w:r>
      <w:r>
        <w:rPr>
          <w:rFonts w:ascii="Verdana" w:eastAsia="Calibri" w:hAnsi="Verdana" w:cs="Arial"/>
          <w:color w:val="000000" w:themeColor="text1"/>
        </w:rPr>
        <w:t>s</w:t>
      </w:r>
      <w:r w:rsidRPr="00AA027E">
        <w:rPr>
          <w:rFonts w:ascii="Verdana" w:eastAsia="Calibri" w:hAnsi="Verdana" w:cs="Arial"/>
          <w:color w:val="000000" w:themeColor="text1"/>
        </w:rPr>
        <w:t xml:space="preserve"> entidad</w:t>
      </w:r>
      <w:r>
        <w:rPr>
          <w:rFonts w:ascii="Verdana" w:eastAsia="Calibri" w:hAnsi="Verdana" w:cs="Arial"/>
          <w:color w:val="000000" w:themeColor="text1"/>
        </w:rPr>
        <w:t>es</w:t>
      </w:r>
      <w:r w:rsidRPr="00AA027E">
        <w:rPr>
          <w:rFonts w:ascii="Verdana" w:eastAsia="Calibri" w:hAnsi="Verdana" w:cs="Arial"/>
          <w:color w:val="000000" w:themeColor="text1"/>
        </w:rPr>
        <w:t xml:space="preserve"> </w:t>
      </w:r>
      <w:r>
        <w:rPr>
          <w:rFonts w:ascii="Verdana" w:eastAsia="Calibri" w:hAnsi="Verdana" w:cs="Arial"/>
          <w:color w:val="000000" w:themeColor="text1"/>
        </w:rPr>
        <w:t>estatales, e</w:t>
      </w:r>
      <w:r w:rsidRPr="00AA027E">
        <w:rPr>
          <w:rFonts w:ascii="Verdana" w:eastAsia="Calibri" w:hAnsi="Verdana" w:cs="Arial"/>
          <w:color w:val="000000" w:themeColor="text1"/>
        </w:rPr>
        <w:t>n el marco de su autonomía y discrecionalidad, podrá</w:t>
      </w:r>
      <w:r>
        <w:rPr>
          <w:rFonts w:ascii="Verdana" w:eastAsia="Calibri" w:hAnsi="Verdana" w:cs="Arial"/>
          <w:color w:val="000000" w:themeColor="text1"/>
        </w:rPr>
        <w:t>n</w:t>
      </w:r>
      <w:r w:rsidRPr="00AA027E">
        <w:rPr>
          <w:rFonts w:ascii="Verdana" w:eastAsia="Calibri" w:hAnsi="Verdana" w:cs="Arial"/>
          <w:color w:val="000000" w:themeColor="text1"/>
        </w:rPr>
        <w:t xml:space="preserve"> determinar la estructura de lotes y segmentos para contratar </w:t>
      </w:r>
      <w:r>
        <w:rPr>
          <w:rFonts w:ascii="Verdana" w:eastAsia="Calibri" w:hAnsi="Verdana" w:cs="Arial"/>
          <w:color w:val="000000" w:themeColor="text1"/>
        </w:rPr>
        <w:t xml:space="preserve">mediante la modalidad de la licitación pública y teniendo en cuenta el </w:t>
      </w:r>
      <w:r w:rsidRPr="00AA027E">
        <w:rPr>
          <w:rFonts w:ascii="Verdana" w:eastAsia="Calibri" w:hAnsi="Verdana" w:cs="Arial"/>
          <w:color w:val="000000" w:themeColor="text1"/>
        </w:rPr>
        <w:t xml:space="preserve">análisis detallado del sector, </w:t>
      </w:r>
      <w:r>
        <w:rPr>
          <w:rFonts w:ascii="Verdana" w:eastAsia="Calibri" w:hAnsi="Verdana" w:cs="Arial"/>
          <w:color w:val="000000" w:themeColor="text1"/>
        </w:rPr>
        <w:t xml:space="preserve">su oferta y demanda, </w:t>
      </w:r>
      <w:r w:rsidRPr="00AA027E">
        <w:rPr>
          <w:rFonts w:ascii="Verdana" w:eastAsia="Calibri" w:hAnsi="Verdana" w:cs="Arial"/>
          <w:color w:val="000000" w:themeColor="text1"/>
        </w:rPr>
        <w:t>así como la regulación normativa vigente en la materia</w:t>
      </w:r>
      <w:r>
        <w:rPr>
          <w:rFonts w:ascii="Verdana" w:eastAsia="Calibri" w:hAnsi="Verdana" w:cs="Arial"/>
          <w:color w:val="000000" w:themeColor="text1"/>
        </w:rPr>
        <w:t>. De la misma forma, l</w:t>
      </w:r>
      <w:r w:rsidRPr="00944BA7">
        <w:rPr>
          <w:rFonts w:ascii="Verdana" w:eastAsia="Calibri" w:hAnsi="Verdana" w:cs="Arial"/>
          <w:color w:val="000000" w:themeColor="text1"/>
        </w:rPr>
        <w:t>a entidad deberá especificar en los pliegos de condiciones si un proponente puede</w:t>
      </w:r>
      <w:r>
        <w:rPr>
          <w:rFonts w:ascii="Verdana" w:eastAsia="Calibri" w:hAnsi="Verdana" w:cs="Arial"/>
          <w:color w:val="000000" w:themeColor="text1"/>
        </w:rPr>
        <w:t xml:space="preserve"> presentarse a varios lotes y</w:t>
      </w:r>
      <w:r w:rsidRPr="00944BA7">
        <w:rPr>
          <w:rFonts w:ascii="Verdana" w:eastAsia="Calibri" w:hAnsi="Verdana" w:cs="Arial"/>
          <w:color w:val="000000" w:themeColor="text1"/>
        </w:rPr>
        <w:t xml:space="preserve"> resultar adjudicatario en uno o varios de los lotes o segmentos en los que se divide </w:t>
      </w:r>
      <w:r>
        <w:rPr>
          <w:rFonts w:ascii="Verdana" w:eastAsia="Calibri" w:hAnsi="Verdana" w:cs="Arial"/>
          <w:color w:val="000000" w:themeColor="text1"/>
        </w:rPr>
        <w:t xml:space="preserve">el </w:t>
      </w:r>
      <w:r w:rsidRPr="00944BA7">
        <w:rPr>
          <w:rFonts w:ascii="Verdana" w:eastAsia="Calibri" w:hAnsi="Verdana" w:cs="Arial"/>
          <w:color w:val="000000" w:themeColor="text1"/>
        </w:rPr>
        <w:t xml:space="preserve">proceso de contratación. </w:t>
      </w:r>
    </w:p>
    <w:p w14:paraId="44B65A30" w14:textId="77777777" w:rsidR="00D15C8C" w:rsidRPr="000D5008" w:rsidRDefault="00D15C8C" w:rsidP="00D15C8C">
      <w:pPr>
        <w:spacing w:after="120" w:line="276" w:lineRule="auto"/>
        <w:ind w:firstLine="709"/>
        <w:jc w:val="both"/>
        <w:rPr>
          <w:rFonts w:ascii="Verdana" w:eastAsia="Calibri" w:hAnsi="Verdana" w:cs="Arial"/>
          <w:color w:val="000000" w:themeColor="text1"/>
          <w:lang w:val="es-ES_tradnl"/>
        </w:rPr>
      </w:pPr>
      <w:r>
        <w:rPr>
          <w:rFonts w:ascii="Verdana" w:eastAsia="Calibri" w:hAnsi="Verdana" w:cs="Arial"/>
          <w:color w:val="000000" w:themeColor="text1"/>
        </w:rPr>
        <w:t>Así las cosas, l</w:t>
      </w:r>
      <w:r w:rsidRPr="00D12FFC">
        <w:rPr>
          <w:rFonts w:ascii="Verdana" w:eastAsia="Calibri" w:hAnsi="Verdana" w:cs="Arial"/>
          <w:color w:val="000000" w:themeColor="text1"/>
        </w:rPr>
        <w:t>a entidad estatal es la responsable de determinar el número de lotes en los que se dividirá el proceso de contratación. Esta información debe ser claramente especificada en el pliego de condiciones, el cual servirá como base para que la entidad organice la estructura de los lotes en la plataforma del SECOP</w:t>
      </w:r>
      <w:r>
        <w:rPr>
          <w:rFonts w:ascii="Verdana" w:eastAsia="Calibri" w:hAnsi="Verdana" w:cs="Arial"/>
          <w:color w:val="000000" w:themeColor="text1"/>
        </w:rPr>
        <w:t xml:space="preserve">, </w:t>
      </w:r>
      <w:r w:rsidRPr="00D12FFC">
        <w:rPr>
          <w:rFonts w:ascii="Verdana" w:eastAsia="Calibri" w:hAnsi="Verdana" w:cs="Arial"/>
          <w:color w:val="000000" w:themeColor="text1"/>
        </w:rPr>
        <w:t>asegur</w:t>
      </w:r>
      <w:r>
        <w:rPr>
          <w:rFonts w:ascii="Verdana" w:eastAsia="Calibri" w:hAnsi="Verdana" w:cs="Arial"/>
          <w:color w:val="000000" w:themeColor="text1"/>
        </w:rPr>
        <w:t>ando</w:t>
      </w:r>
      <w:r w:rsidRPr="00D12FFC">
        <w:rPr>
          <w:rFonts w:ascii="Verdana" w:eastAsia="Calibri" w:hAnsi="Verdana" w:cs="Arial"/>
          <w:color w:val="000000" w:themeColor="text1"/>
        </w:rPr>
        <w:t xml:space="preserve"> que este esquema de segmentación no restrinja la competencia </w:t>
      </w:r>
      <w:r>
        <w:rPr>
          <w:rFonts w:ascii="Verdana" w:eastAsia="Calibri" w:hAnsi="Verdana" w:cs="Arial"/>
          <w:color w:val="000000" w:themeColor="text1"/>
        </w:rPr>
        <w:t xml:space="preserve">o que pueda resultar </w:t>
      </w:r>
      <w:r w:rsidRPr="00D12FFC">
        <w:rPr>
          <w:rFonts w:ascii="Verdana" w:eastAsia="Calibri" w:hAnsi="Verdana" w:cs="Arial"/>
          <w:color w:val="000000" w:themeColor="text1"/>
        </w:rPr>
        <w:t>inconveniente desde el punto de vista técnico</w:t>
      </w:r>
      <w:r>
        <w:rPr>
          <w:rFonts w:ascii="Verdana" w:eastAsia="Calibri" w:hAnsi="Verdana" w:cs="Arial"/>
          <w:color w:val="000000" w:themeColor="text1"/>
          <w:lang w:val="es-ES_tradnl"/>
        </w:rPr>
        <w:t xml:space="preserve">. </w:t>
      </w:r>
      <w:r>
        <w:rPr>
          <w:rFonts w:ascii="Verdana" w:eastAsia="Calibri" w:hAnsi="Verdana" w:cs="Arial"/>
          <w:color w:val="000000" w:themeColor="text1"/>
        </w:rPr>
        <w:t>De este modo, l</w:t>
      </w:r>
      <w:r w:rsidRPr="001F08CB">
        <w:rPr>
          <w:rFonts w:ascii="Verdana" w:eastAsia="Calibri" w:hAnsi="Verdana" w:cs="Arial"/>
          <w:color w:val="000000" w:themeColor="text1"/>
        </w:rPr>
        <w:t xml:space="preserve">a información registrada en la plataforma del SECOP es producto de lo determinado </w:t>
      </w:r>
      <w:r>
        <w:rPr>
          <w:rFonts w:ascii="Verdana" w:eastAsia="Calibri" w:hAnsi="Verdana" w:cs="Arial"/>
          <w:color w:val="000000" w:themeColor="text1"/>
        </w:rPr>
        <w:t xml:space="preserve">por </w:t>
      </w:r>
      <w:r w:rsidRPr="001F08CB">
        <w:rPr>
          <w:rFonts w:ascii="Verdana" w:eastAsia="Calibri" w:hAnsi="Verdana" w:cs="Arial"/>
          <w:color w:val="000000" w:themeColor="text1"/>
        </w:rPr>
        <w:t>cada entidad estatal en el marco de su autonomía</w:t>
      </w:r>
      <w:r>
        <w:rPr>
          <w:rFonts w:ascii="Verdana" w:eastAsia="Calibri" w:hAnsi="Verdana" w:cs="Arial"/>
          <w:color w:val="000000" w:themeColor="text1"/>
        </w:rPr>
        <w:t xml:space="preserve">. </w:t>
      </w:r>
    </w:p>
    <w:p w14:paraId="22AEC2E6" w14:textId="77777777" w:rsidR="00D15C8C" w:rsidRPr="00A50798" w:rsidRDefault="00D15C8C" w:rsidP="00D15C8C">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Al respecto, vale la pena precisar que c</w:t>
      </w:r>
      <w:r w:rsidRPr="00991DF8">
        <w:rPr>
          <w:rFonts w:ascii="Verdana" w:eastAsia="Calibri" w:hAnsi="Verdana" w:cs="Arial"/>
          <w:color w:val="000000" w:themeColor="text1"/>
        </w:rPr>
        <w:t xml:space="preserve">uando se ha dividido el proceso de contratación en varios grupos o lotes, presentar una oferta para uno de ellos no equivale a presentar una propuesta parcial. En el primer caso, el proponente </w:t>
      </w:r>
      <w:r w:rsidRPr="00991DF8">
        <w:rPr>
          <w:rFonts w:ascii="Verdana" w:eastAsia="Calibri" w:hAnsi="Verdana" w:cs="Arial"/>
          <w:color w:val="000000" w:themeColor="text1"/>
        </w:rPr>
        <w:lastRenderedPageBreak/>
        <w:t>está presentando su propuesta con la intención de ser adjudicatario de un lote específico, lo que implica que debe cumplir con la totalidad de los requerimientos establecid</w:t>
      </w:r>
      <w:r>
        <w:rPr>
          <w:rFonts w:ascii="Verdana" w:eastAsia="Calibri" w:hAnsi="Verdana" w:cs="Arial"/>
          <w:color w:val="000000" w:themeColor="text1"/>
        </w:rPr>
        <w:t>o</w:t>
      </w:r>
      <w:r w:rsidRPr="00991DF8">
        <w:rPr>
          <w:rFonts w:ascii="Verdana" w:eastAsia="Calibri" w:hAnsi="Verdana" w:cs="Arial"/>
          <w:color w:val="000000" w:themeColor="text1"/>
        </w:rPr>
        <w:t xml:space="preserve">s por la entidad para ese lote en particular. </w:t>
      </w:r>
      <w:r>
        <w:rPr>
          <w:rFonts w:ascii="Verdana" w:eastAsia="Calibri" w:hAnsi="Verdana" w:cs="Arial"/>
          <w:color w:val="000000" w:themeColor="text1"/>
        </w:rPr>
        <w:t>Por su parte</w:t>
      </w:r>
      <w:r w:rsidRPr="00991DF8">
        <w:rPr>
          <w:rFonts w:ascii="Verdana" w:eastAsia="Calibri" w:hAnsi="Verdana" w:cs="Arial"/>
          <w:color w:val="000000" w:themeColor="text1"/>
        </w:rPr>
        <w:t>, una propuesta parcial ocurre cuando no</w:t>
      </w:r>
      <w:r>
        <w:rPr>
          <w:rFonts w:ascii="Verdana" w:eastAsia="Calibri" w:hAnsi="Verdana" w:cs="Arial"/>
          <w:color w:val="000000" w:themeColor="text1"/>
        </w:rPr>
        <w:t xml:space="preserve"> se cumple</w:t>
      </w:r>
      <w:r w:rsidRPr="00991DF8">
        <w:rPr>
          <w:rFonts w:ascii="Verdana" w:eastAsia="Calibri" w:hAnsi="Verdana" w:cs="Arial"/>
          <w:color w:val="000000" w:themeColor="text1"/>
        </w:rPr>
        <w:t xml:space="preserve"> con todos los requisitos establecidos en el pliego, ya sea para un solo lote o para varios. En este caso, la propuesta no responde a la totalidad de las exigencias, sino que el proponente presenta una oferta</w:t>
      </w:r>
      <w:r>
        <w:rPr>
          <w:rFonts w:ascii="Verdana" w:eastAsia="Calibri" w:hAnsi="Verdana" w:cs="Arial"/>
          <w:color w:val="000000" w:themeColor="text1"/>
        </w:rPr>
        <w:t xml:space="preserve"> incompleta</w:t>
      </w:r>
      <w:r w:rsidRPr="00991DF8">
        <w:rPr>
          <w:rFonts w:ascii="Verdana" w:eastAsia="Calibri" w:hAnsi="Verdana" w:cs="Arial"/>
          <w:color w:val="000000" w:themeColor="text1"/>
        </w:rPr>
        <w:t xml:space="preserve">, lo que implica que no cumple con todos los </w:t>
      </w:r>
      <w:r w:rsidRPr="00A50798">
        <w:rPr>
          <w:rFonts w:ascii="Verdana" w:eastAsia="Calibri" w:hAnsi="Verdana" w:cs="Arial"/>
          <w:color w:val="000000" w:themeColor="text1"/>
        </w:rPr>
        <w:t xml:space="preserve">puntos solicitados o los limita de alguna forma. </w:t>
      </w:r>
    </w:p>
    <w:p w14:paraId="2577B4C4" w14:textId="77777777" w:rsidR="00D15C8C" w:rsidRPr="00EE7DAB" w:rsidRDefault="00D15C8C" w:rsidP="00D15C8C">
      <w:pPr>
        <w:spacing w:after="120" w:line="276" w:lineRule="auto"/>
        <w:ind w:firstLine="709"/>
        <w:jc w:val="both"/>
        <w:rPr>
          <w:rFonts w:ascii="Verdana" w:eastAsia="Calibri" w:hAnsi="Verdana" w:cs="Arial"/>
          <w:color w:val="000000" w:themeColor="text1"/>
        </w:rPr>
      </w:pPr>
      <w:r w:rsidRPr="00A50798">
        <w:rPr>
          <w:rFonts w:ascii="Verdana" w:eastAsia="Calibri" w:hAnsi="Verdana" w:cs="Arial"/>
          <w:color w:val="000000" w:themeColor="text1"/>
        </w:rPr>
        <w:t xml:space="preserve">En esta línea, la presentación de la oferta a uno o varios lotes es permitido en un proceso de contratación y la entidad es la responsable de definir si un proponente puede resultar adjudicatario de uno o varios lotes. En contraste, la propuesta parcial puede ser objeto de rechazo en un proceso de contratación ya que, conforme a lo establecido en el numeral 6 del artículo 30 de la Ley 80 de 1993, las propuestas deben referirse y sujetarse a todos y cada uno de los puntos contenidos en el pliego de condiciones. De esta manera, las ofertas que no cumplan con esta exigencia se consideran incompletas o, en su defecto, constituyen un condicionamiento que puede afectar el proceso de adjudicación, </w:t>
      </w:r>
      <w:r w:rsidRPr="00EE7DAB">
        <w:rPr>
          <w:rFonts w:ascii="Verdana" w:eastAsia="Calibri" w:hAnsi="Verdana" w:cs="Arial"/>
          <w:color w:val="000000" w:themeColor="text1"/>
        </w:rPr>
        <w:t xml:space="preserve">debido a que no responden integralmente a los requerimientos definidos por la entidad estatal. </w:t>
      </w:r>
    </w:p>
    <w:p w14:paraId="7C5E9A6B" w14:textId="77777777" w:rsidR="00D15C8C" w:rsidRPr="009C4305" w:rsidRDefault="00D15C8C" w:rsidP="00D15C8C">
      <w:pPr>
        <w:spacing w:after="120" w:line="276" w:lineRule="auto"/>
        <w:jc w:val="both"/>
        <w:rPr>
          <w:rFonts w:ascii="Verdana" w:eastAsia="Calibri" w:hAnsi="Verdana" w:cs="Arial"/>
          <w:color w:val="000000" w:themeColor="text1"/>
        </w:rPr>
      </w:pPr>
      <w:r w:rsidRPr="00EE7DAB">
        <w:rPr>
          <w:rFonts w:ascii="Verdana" w:eastAsia="Calibri" w:hAnsi="Verdana" w:cs="Arial"/>
          <w:color w:val="000000" w:themeColor="text1"/>
        </w:rPr>
        <w:t>iii. Finalmente, se precisa que esta Agencia no puede definir un</w:t>
      </w:r>
      <w:r w:rsidRPr="00EE7DAB">
        <w:t xml:space="preserve"> </w:t>
      </w:r>
      <w:r w:rsidRPr="00EE7DAB">
        <w:rPr>
          <w:rFonts w:ascii="Verdana" w:eastAsia="Calibri" w:hAnsi="Verdana" w:cs="Arial"/>
          <w:color w:val="000000" w:themeColor="text1"/>
        </w:rPr>
        <w:t>criterio universal y absoluto por vía consultiva, sino que brinda elementos hermenéuticos de carácter general para que los partícipes del sistema de compras y contratación pública adopten la decisión que corresponda, lo o es acorde con el principio de juridicidad. Por lo anterior, previo concepto de sus órganos asesores, la solución de estos temas corresponde a la entidad de adoptar la decisión correspondiente y, en caso de conflicto, a las autoridades judiciales, fiscales y disciplinarias. De esta manera, corresponderá a cada contratante definir la viabilidad técnica, jurídica y financiera de establecer un proceso de contratación por lotes, así como determinar la forma en la que estos grupos se estructuran atendiendo a las normas que regulan el sector objeto del contrato.</w:t>
      </w:r>
      <w:r>
        <w:rPr>
          <w:rFonts w:ascii="Verdana" w:eastAsia="Calibri" w:hAnsi="Verdana" w:cs="Arial"/>
          <w:color w:val="000000" w:themeColor="text1"/>
        </w:rPr>
        <w:t xml:space="preserve"> </w:t>
      </w:r>
    </w:p>
    <w:p w14:paraId="5456E532" w14:textId="77777777" w:rsidR="00D15C8C" w:rsidRPr="00F0518D" w:rsidRDefault="00D15C8C" w:rsidP="00D15C8C">
      <w:pPr>
        <w:spacing w:after="0" w:line="276" w:lineRule="auto"/>
        <w:ind w:right="51"/>
        <w:jc w:val="both"/>
        <w:rPr>
          <w:rFonts w:ascii="Verdana" w:eastAsia="Calibri" w:hAnsi="Verdana" w:cs="Arial"/>
          <w:bCs/>
          <w:highlight w:val="lightGray"/>
        </w:rPr>
      </w:pPr>
    </w:p>
    <w:bookmarkEnd w:id="0"/>
    <w:bookmarkEnd w:id="1"/>
    <w:p w14:paraId="24A37F6A" w14:textId="77777777" w:rsidR="00D15C8C" w:rsidRPr="00F0518D" w:rsidRDefault="00D15C8C" w:rsidP="00D15C8C">
      <w:pPr>
        <w:spacing w:after="0" w:line="276" w:lineRule="auto"/>
        <w:jc w:val="both"/>
        <w:rPr>
          <w:rFonts w:ascii="Verdana" w:eastAsia="Century Gothic" w:hAnsi="Verdana" w:cs="Century Gothic"/>
          <w:b/>
          <w:lang w:val="es-ES"/>
        </w:rPr>
      </w:pPr>
      <w:r w:rsidRPr="00F0518D">
        <w:rPr>
          <w:rFonts w:ascii="Verdana" w:eastAsia="Century Gothic" w:hAnsi="Verdana" w:cs="Century Gothic"/>
          <w:b/>
          <w:lang w:val="es-ES"/>
        </w:rPr>
        <w:t>4. Referencias normativas, jurisprudenciales y otras fuentes:</w:t>
      </w:r>
    </w:p>
    <w:p w14:paraId="2F5BCD97" w14:textId="77777777" w:rsidR="00D15C8C" w:rsidRPr="000030C5" w:rsidRDefault="00D15C8C" w:rsidP="00D15C8C">
      <w:pPr>
        <w:spacing w:after="0" w:line="276" w:lineRule="auto"/>
        <w:jc w:val="both"/>
        <w:rPr>
          <w:rFonts w:ascii="Verdana" w:eastAsia="Century Gothic" w:hAnsi="Verdana" w:cs="Century Gothic"/>
          <w:b/>
          <w:color w:val="EE0000"/>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15C8C" w:rsidRPr="000030C5" w14:paraId="0662DFEF" w14:textId="77777777" w:rsidTr="0012255A">
        <w:trPr>
          <w:trHeight w:val="453"/>
        </w:trPr>
        <w:tc>
          <w:tcPr>
            <w:tcW w:w="8647" w:type="dxa"/>
          </w:tcPr>
          <w:p w14:paraId="6FEAE9A7" w14:textId="77777777" w:rsidR="00D15C8C" w:rsidRPr="00E91B98" w:rsidRDefault="00D15C8C" w:rsidP="0012255A">
            <w:pPr>
              <w:widowControl w:val="0"/>
              <w:numPr>
                <w:ilvl w:val="0"/>
                <w:numId w:val="16"/>
              </w:numPr>
              <w:autoSpaceDE w:val="0"/>
              <w:autoSpaceDN w:val="0"/>
              <w:spacing w:line="276" w:lineRule="auto"/>
              <w:jc w:val="both"/>
              <w:rPr>
                <w:rFonts w:ascii="Verdana" w:eastAsia="Calibri" w:hAnsi="Verdana" w:cs="Arial"/>
                <w:lang w:val="es-ES"/>
              </w:rPr>
            </w:pPr>
            <w:r w:rsidRPr="00E91B98">
              <w:rPr>
                <w:rFonts w:ascii="Verdana" w:eastAsia="Calibri" w:hAnsi="Verdana" w:cs="Arial"/>
                <w:lang w:val="es-ES"/>
              </w:rPr>
              <w:t>Ley 80 de 1993. Artículos 25 y 30.</w:t>
            </w:r>
          </w:p>
          <w:p w14:paraId="221296AB" w14:textId="77777777" w:rsidR="00D15C8C" w:rsidRPr="00E91B98" w:rsidRDefault="00D15C8C" w:rsidP="0012255A">
            <w:pPr>
              <w:widowControl w:val="0"/>
              <w:numPr>
                <w:ilvl w:val="0"/>
                <w:numId w:val="16"/>
              </w:numPr>
              <w:autoSpaceDE w:val="0"/>
              <w:autoSpaceDN w:val="0"/>
              <w:spacing w:line="276" w:lineRule="auto"/>
              <w:jc w:val="both"/>
              <w:rPr>
                <w:rFonts w:ascii="Verdana" w:eastAsia="Calibri" w:hAnsi="Verdana" w:cs="Arial"/>
                <w:lang w:val="es-ES"/>
              </w:rPr>
            </w:pPr>
            <w:r w:rsidRPr="00E91B98">
              <w:rPr>
                <w:rFonts w:ascii="Verdana" w:eastAsia="Calibri" w:hAnsi="Verdana" w:cs="Arial"/>
                <w:lang w:val="es-ES"/>
              </w:rPr>
              <w:t>Ley 2069 de 2020. Artículo 33</w:t>
            </w:r>
            <w:r>
              <w:rPr>
                <w:rFonts w:ascii="Verdana" w:eastAsia="Calibri" w:hAnsi="Verdana" w:cs="Arial"/>
                <w:lang w:val="es-ES"/>
              </w:rPr>
              <w:t>.</w:t>
            </w:r>
          </w:p>
          <w:p w14:paraId="3E2AE049" w14:textId="77777777" w:rsidR="00D15C8C" w:rsidRDefault="00D15C8C" w:rsidP="0012255A">
            <w:pPr>
              <w:widowControl w:val="0"/>
              <w:numPr>
                <w:ilvl w:val="0"/>
                <w:numId w:val="16"/>
              </w:numPr>
              <w:autoSpaceDE w:val="0"/>
              <w:autoSpaceDN w:val="0"/>
              <w:spacing w:line="276" w:lineRule="auto"/>
              <w:jc w:val="both"/>
              <w:rPr>
                <w:rFonts w:ascii="Verdana" w:eastAsia="Calibri" w:hAnsi="Verdana" w:cs="Arial"/>
                <w:lang w:val="es-ES"/>
              </w:rPr>
            </w:pPr>
            <w:r w:rsidRPr="00E91B98">
              <w:rPr>
                <w:rFonts w:ascii="Verdana" w:eastAsia="Calibri" w:hAnsi="Verdana" w:cs="Arial"/>
                <w:lang w:val="es-ES"/>
              </w:rPr>
              <w:lastRenderedPageBreak/>
              <w:t>Decreto 142 de 2023. Artículo 2.</w:t>
            </w:r>
          </w:p>
          <w:p w14:paraId="0DEB12E9" w14:textId="77777777" w:rsidR="00D15C8C" w:rsidRPr="00030CE8" w:rsidRDefault="00D15C8C" w:rsidP="0012255A">
            <w:pPr>
              <w:widowControl w:val="0"/>
              <w:numPr>
                <w:ilvl w:val="0"/>
                <w:numId w:val="16"/>
              </w:numPr>
              <w:autoSpaceDE w:val="0"/>
              <w:autoSpaceDN w:val="0"/>
              <w:spacing w:line="276" w:lineRule="auto"/>
              <w:jc w:val="both"/>
              <w:rPr>
                <w:rFonts w:ascii="Verdana" w:eastAsia="Calibri" w:hAnsi="Verdana" w:cs="Arial"/>
                <w:lang w:val="es-ES"/>
              </w:rPr>
            </w:pPr>
            <w:r w:rsidRPr="00030CE8">
              <w:rPr>
                <w:rFonts w:ascii="Verdana" w:eastAsia="Calibri" w:hAnsi="Verdana" w:cs="Arial"/>
                <w:lang w:val="es-ES"/>
              </w:rPr>
              <w:t>Consejo de Estado, Sala de lo Contencioso Administrativo. Sección Tercera, Subsección B, 31 de agosto de 2011, Exp. 18080, C.P. Ruth Stella Correa Palacio</w:t>
            </w:r>
          </w:p>
          <w:p w14:paraId="0E412593" w14:textId="77777777" w:rsidR="00D15C8C" w:rsidRPr="00030CE8" w:rsidRDefault="00D15C8C" w:rsidP="0012255A">
            <w:pPr>
              <w:widowControl w:val="0"/>
              <w:numPr>
                <w:ilvl w:val="0"/>
                <w:numId w:val="16"/>
              </w:numPr>
              <w:autoSpaceDE w:val="0"/>
              <w:autoSpaceDN w:val="0"/>
              <w:spacing w:line="276" w:lineRule="auto"/>
              <w:jc w:val="both"/>
              <w:rPr>
                <w:rFonts w:ascii="Verdana" w:eastAsia="Calibri" w:hAnsi="Verdana" w:cs="Arial"/>
                <w:lang w:val="es-ES"/>
              </w:rPr>
            </w:pPr>
            <w:r w:rsidRPr="00030CE8">
              <w:rPr>
                <w:rFonts w:ascii="Verdana" w:eastAsia="Calibri" w:hAnsi="Verdana" w:cs="Arial"/>
                <w:lang w:val="es-ES"/>
              </w:rPr>
              <w:t>Deik Acostamadiedo, Carolina, Guía de Contratación Estatal: Deber de planeación y modalidades de selección, Buenos Aires, 2015, p. 59.</w:t>
            </w:r>
          </w:p>
          <w:p w14:paraId="744B4354" w14:textId="77777777" w:rsidR="00D15C8C" w:rsidRPr="000030C5" w:rsidRDefault="00D15C8C" w:rsidP="0012255A">
            <w:pPr>
              <w:widowControl w:val="0"/>
              <w:numPr>
                <w:ilvl w:val="0"/>
                <w:numId w:val="16"/>
              </w:numPr>
              <w:autoSpaceDE w:val="0"/>
              <w:autoSpaceDN w:val="0"/>
              <w:spacing w:line="276" w:lineRule="auto"/>
              <w:jc w:val="both"/>
              <w:rPr>
                <w:rFonts w:ascii="Verdana" w:eastAsia="Calibri" w:hAnsi="Verdana" w:cs="Arial"/>
                <w:color w:val="EE0000"/>
                <w:lang w:val="es-ES"/>
              </w:rPr>
            </w:pPr>
            <w:r w:rsidRPr="00030CE8">
              <w:rPr>
                <w:rFonts w:ascii="Verdana" w:eastAsia="Calibri" w:hAnsi="Verdana" w:cs="Arial"/>
                <w:lang w:val="es-ES"/>
              </w:rPr>
              <w:t xml:space="preserve">Agencia Nacional de Contratación Pública – Colombia Compra Eficiente. Guía para la Elaboración de Estudios del Sector. Puede ser consultada </w:t>
            </w:r>
            <w:hyperlink r:id="rId13" w:history="1">
              <w:r w:rsidRPr="00097FD9">
                <w:rPr>
                  <w:rStyle w:val="Hipervnculo"/>
                  <w:rFonts w:ascii="Verdana" w:eastAsia="Calibri" w:hAnsi="Verdana" w:cs="Arial"/>
                  <w:bCs/>
                  <w:lang w:val="es-ES_tradnl"/>
                </w:rPr>
                <w:t>aquí</w:t>
              </w:r>
            </w:hyperlink>
          </w:p>
        </w:tc>
      </w:tr>
    </w:tbl>
    <w:p w14:paraId="1A359564" w14:textId="77777777" w:rsidR="00D15C8C" w:rsidRPr="000030C5" w:rsidRDefault="00D15C8C" w:rsidP="00D15C8C">
      <w:pPr>
        <w:widowControl w:val="0"/>
        <w:autoSpaceDE w:val="0"/>
        <w:autoSpaceDN w:val="0"/>
        <w:spacing w:after="0" w:line="276" w:lineRule="auto"/>
        <w:jc w:val="both"/>
        <w:rPr>
          <w:rFonts w:ascii="Verdana" w:hAnsi="Verdana" w:cs="Arial"/>
          <w:color w:val="EE0000"/>
          <w:highlight w:val="lightGray"/>
          <w:lang w:val="es-ES"/>
        </w:rPr>
      </w:pPr>
    </w:p>
    <w:p w14:paraId="14B0CE56" w14:textId="77777777" w:rsidR="00D15C8C" w:rsidRPr="00B86B87" w:rsidRDefault="00D15C8C" w:rsidP="00D15C8C">
      <w:pPr>
        <w:tabs>
          <w:tab w:val="left" w:pos="142"/>
          <w:tab w:val="left" w:pos="284"/>
        </w:tabs>
        <w:spacing w:after="0" w:line="276" w:lineRule="auto"/>
        <w:jc w:val="both"/>
        <w:rPr>
          <w:rFonts w:ascii="Verdana" w:eastAsia="Century Gothic" w:hAnsi="Verdana" w:cs="Century Gothic"/>
          <w:b/>
          <w:lang w:val="es-ES"/>
        </w:rPr>
      </w:pPr>
      <w:r w:rsidRPr="00B86B87">
        <w:rPr>
          <w:rFonts w:ascii="Verdana" w:eastAsia="Century Gothic" w:hAnsi="Verdana" w:cs="Century Gothic"/>
          <w:b/>
          <w:lang w:val="es-ES"/>
        </w:rPr>
        <w:t>5. Doctrina de la Agencia Nacional de Contratación Pública:</w:t>
      </w:r>
    </w:p>
    <w:p w14:paraId="5DE864C6" w14:textId="77777777" w:rsidR="00D15C8C" w:rsidRPr="000030C5" w:rsidRDefault="00D15C8C" w:rsidP="00D15C8C">
      <w:pPr>
        <w:widowControl w:val="0"/>
        <w:autoSpaceDE w:val="0"/>
        <w:autoSpaceDN w:val="0"/>
        <w:spacing w:after="0" w:line="276" w:lineRule="auto"/>
        <w:jc w:val="both"/>
        <w:rPr>
          <w:rFonts w:ascii="Verdana" w:hAnsi="Verdana" w:cs="Arial"/>
          <w:color w:val="EE0000"/>
          <w:highlight w:val="lightGray"/>
          <w:lang w:val="es-ES"/>
        </w:rPr>
      </w:pPr>
    </w:p>
    <w:p w14:paraId="376EEE3A" w14:textId="77777777" w:rsidR="00D15C8C" w:rsidRPr="006A1D82" w:rsidRDefault="00D15C8C" w:rsidP="00D15C8C">
      <w:pPr>
        <w:spacing w:after="0" w:line="276" w:lineRule="auto"/>
        <w:jc w:val="both"/>
        <w:rPr>
          <w:rFonts w:ascii="Verdana" w:eastAsia="Calibri" w:hAnsi="Verdana" w:cs="Arial"/>
          <w:bCs/>
          <w:color w:val="000000" w:themeColor="text1"/>
          <w:lang w:val="es-ES_tradnl"/>
        </w:rPr>
      </w:pPr>
      <w:r w:rsidRPr="00B86B87">
        <w:rPr>
          <w:rFonts w:ascii="Verdana" w:hAnsi="Verdana" w:cs="Arial"/>
          <w:bCs/>
          <w:shd w:val="clear" w:color="auto" w:fill="FFFFFF"/>
        </w:rPr>
        <w:t xml:space="preserve">La Agencia Nacional de Contratación Pública – Colombia Compra Eficiente, se ha pronunciado sobre </w:t>
      </w:r>
      <w:r w:rsidRPr="00242856">
        <w:rPr>
          <w:rFonts w:ascii="Verdana" w:hAnsi="Verdana" w:cs="Arial"/>
          <w:lang w:val="es-ES"/>
        </w:rPr>
        <w:t xml:space="preserve">la promoción del proceso de contratación en lotes </w:t>
      </w:r>
      <w:r>
        <w:rPr>
          <w:rFonts w:ascii="Verdana" w:hAnsi="Verdana" w:cs="Arial"/>
          <w:lang w:val="es-ES"/>
        </w:rPr>
        <w:t xml:space="preserve">en los conceptos, </w:t>
      </w:r>
      <w:r w:rsidRPr="00242856">
        <w:rPr>
          <w:rFonts w:ascii="Verdana" w:eastAsia="Calibri" w:hAnsi="Verdana" w:cs="Arial"/>
          <w:color w:val="000000"/>
        </w:rPr>
        <w:t>C</w:t>
      </w:r>
      <w:r w:rsidRPr="00242856">
        <w:rPr>
          <w:rFonts w:ascii="Verdana" w:eastAsia="Calibri" w:hAnsi="Verdana" w:cs="Arial"/>
          <w:bCs/>
          <w:color w:val="000000" w:themeColor="text1"/>
          <w:lang w:val="es-ES_tradnl"/>
        </w:rPr>
        <w:t>-670 del 19 de octubre de 2022, C-951 del 18 de enero de 2022, C-598 del 22 de septiembre de 2022, C-670 del 19 de octubre de 2022, C-113 del 12 de mayo de 2023, C-194 del 18 de mayo de 2023, C-064 del 5 de junio de 2023, C-084 del 30 de mayo del 2024</w:t>
      </w:r>
      <w:r>
        <w:rPr>
          <w:rFonts w:ascii="Verdana" w:eastAsia="Calibri" w:hAnsi="Verdana" w:cs="Arial"/>
          <w:bCs/>
          <w:color w:val="000000" w:themeColor="text1"/>
          <w:lang w:val="es-ES_tradnl"/>
        </w:rPr>
        <w:t>,</w:t>
      </w:r>
      <w:r w:rsidRPr="00242856">
        <w:rPr>
          <w:rFonts w:ascii="Verdana" w:eastAsia="Calibri" w:hAnsi="Verdana" w:cs="Arial"/>
          <w:bCs/>
          <w:color w:val="000000" w:themeColor="text1"/>
          <w:lang w:val="es-ES_tradnl"/>
        </w:rPr>
        <w:t xml:space="preserve"> C-221 del 08 de agosto del 2024</w:t>
      </w:r>
      <w:r>
        <w:rPr>
          <w:rFonts w:ascii="Verdana" w:eastAsia="Calibri" w:hAnsi="Verdana" w:cs="Arial"/>
          <w:bCs/>
          <w:color w:val="000000" w:themeColor="text1"/>
          <w:lang w:val="es-ES_tradnl"/>
        </w:rPr>
        <w:t>, C-518 del 30 de septiembre de 2024, C-1740 del 22 de diciembre d 2025, C-002 del 21 de e</w:t>
      </w:r>
      <w:r w:rsidRPr="00030CE8">
        <w:rPr>
          <w:rFonts w:ascii="Verdana" w:eastAsia="Calibri" w:hAnsi="Verdana" w:cs="Arial"/>
          <w:bCs/>
          <w:lang w:val="es-ES_tradnl"/>
        </w:rPr>
        <w:t>nero de 2026</w:t>
      </w:r>
      <w:r w:rsidRPr="00030CE8">
        <w:rPr>
          <w:rFonts w:ascii="Verdana" w:hAnsi="Verdana" w:cs="Arial"/>
          <w:bCs/>
          <w:shd w:val="clear" w:color="auto" w:fill="FFFFFF"/>
        </w:rPr>
        <w:t>, entre otros.</w:t>
      </w:r>
    </w:p>
    <w:p w14:paraId="35B5E8EF" w14:textId="77777777" w:rsidR="00D15C8C" w:rsidRPr="00B52E6D" w:rsidRDefault="00D15C8C" w:rsidP="00D15C8C">
      <w:pPr>
        <w:spacing w:after="0" w:line="276" w:lineRule="auto"/>
        <w:jc w:val="both"/>
        <w:rPr>
          <w:rFonts w:ascii="Verdana" w:hAnsi="Verdana" w:cs="Arial"/>
          <w:shd w:val="clear" w:color="auto" w:fill="FFFFFF"/>
          <w:lang w:val="es-ES"/>
        </w:rPr>
      </w:pPr>
    </w:p>
    <w:p w14:paraId="1EB5E5B4" w14:textId="77777777" w:rsidR="00D15C8C" w:rsidRPr="00B52E6D" w:rsidRDefault="00D15C8C" w:rsidP="00D15C8C">
      <w:pPr>
        <w:spacing w:after="0" w:line="276" w:lineRule="auto"/>
        <w:jc w:val="both"/>
        <w:rPr>
          <w:rFonts w:ascii="Verdana" w:hAnsi="Verdana"/>
          <w:lang w:val="es-ES"/>
        </w:rPr>
      </w:pPr>
      <w:r w:rsidRPr="00B52E6D">
        <w:rPr>
          <w:rFonts w:ascii="Verdana" w:hAnsi="Verdana" w:cs="Arial"/>
          <w:shd w:val="clear" w:color="auto" w:fill="FFFFFF"/>
          <w:lang w:val="es-ES"/>
        </w:rPr>
        <w:t>Estos</w:t>
      </w:r>
      <w:r w:rsidRPr="00B52E6D">
        <w:rPr>
          <w:rFonts w:ascii="Verdana" w:hAnsi="Verdana"/>
          <w:lang w:val="es-ES"/>
        </w:rPr>
        <w:t xml:space="preserve"> y otros se encuentran disponibles para consulta en el Sistema de relatoría de la Agencia, al cual se puede acceder a través del siguiente enlace:</w:t>
      </w:r>
      <w:r w:rsidRPr="00B52E6D">
        <w:rPr>
          <w:rFonts w:ascii="Verdana" w:hAnsi="Verdana" w:cs="Arial"/>
          <w:shd w:val="clear" w:color="auto" w:fill="FFFFFF"/>
          <w:lang w:val="es-ES"/>
        </w:rPr>
        <w:t xml:space="preserve"> </w:t>
      </w:r>
      <w:hyperlink r:id="rId14" w:history="1">
        <w:r w:rsidRPr="00B52E6D">
          <w:rPr>
            <w:rStyle w:val="Hipervnculo"/>
            <w:rFonts w:ascii="Verdana" w:hAnsi="Verdana" w:cs="Arial"/>
            <w:shd w:val="clear" w:color="auto" w:fill="FFFFFF"/>
            <w:lang w:val="es-ES"/>
          </w:rPr>
          <w:t>https://relatoria.colombiacompra.gov.co/busqueda/conceptos</w:t>
        </w:r>
      </w:hyperlink>
    </w:p>
    <w:p w14:paraId="4339EBCE" w14:textId="77777777" w:rsidR="00D15C8C" w:rsidRPr="00B52E6D" w:rsidRDefault="00D15C8C" w:rsidP="00D15C8C">
      <w:pPr>
        <w:spacing w:after="0" w:line="276" w:lineRule="auto"/>
        <w:jc w:val="both"/>
        <w:rPr>
          <w:rFonts w:ascii="Verdana" w:hAnsi="Verdana" w:cs="Arial"/>
          <w:shd w:val="clear" w:color="auto" w:fill="FFFFFF"/>
        </w:rPr>
      </w:pPr>
    </w:p>
    <w:p w14:paraId="20180745" w14:textId="77777777" w:rsidR="00D15C8C" w:rsidRPr="00255E89" w:rsidRDefault="00D15C8C" w:rsidP="00D15C8C">
      <w:pPr>
        <w:spacing w:after="0" w:line="276" w:lineRule="auto"/>
        <w:jc w:val="both"/>
        <w:rPr>
          <w:rFonts w:ascii="Verdana" w:hAnsi="Verdana" w:cs="Arial"/>
          <w:shd w:val="clear" w:color="auto" w:fill="FFFFFF"/>
        </w:rPr>
      </w:pPr>
      <w:r w:rsidRPr="00B52E6D">
        <w:rPr>
          <w:rFonts w:ascii="Verdana" w:hAnsi="Verdana" w:cs="Arial"/>
          <w:shd w:val="clear" w:color="auto" w:fill="FFFFFF"/>
        </w:rPr>
        <w:t xml:space="preserve">Por último, lo invitamos a seguirnos en las redes sociales en las cuales se difunde información institucional: </w:t>
      </w:r>
    </w:p>
    <w:p w14:paraId="54DB95D7" w14:textId="77777777" w:rsidR="00D15C8C" w:rsidRPr="00064773" w:rsidRDefault="00D15C8C" w:rsidP="00D15C8C">
      <w:pPr>
        <w:spacing w:after="0" w:line="276" w:lineRule="auto"/>
        <w:jc w:val="both"/>
        <w:rPr>
          <w:rFonts w:ascii="Verdana" w:hAnsi="Verdana" w:cs="Arial"/>
          <w:shd w:val="clear" w:color="auto" w:fill="FFFFFF"/>
        </w:rPr>
      </w:pPr>
    </w:p>
    <w:p w14:paraId="071046A8" w14:textId="77777777" w:rsidR="00D15C8C" w:rsidRPr="00B52E6D" w:rsidRDefault="00D15C8C" w:rsidP="00D15C8C">
      <w:pPr>
        <w:spacing w:after="0" w:line="276" w:lineRule="auto"/>
        <w:jc w:val="both"/>
        <w:rPr>
          <w:rFonts w:ascii="Verdana" w:hAnsi="Verdana" w:cs="Arial"/>
          <w:shd w:val="clear" w:color="auto" w:fill="FFFFFF"/>
        </w:rPr>
      </w:pPr>
      <w:r w:rsidRPr="00B52E6D">
        <w:rPr>
          <w:rFonts w:ascii="Verdana" w:hAnsi="Verdana" w:cs="Arial"/>
          <w:shd w:val="clear" w:color="auto" w:fill="FFFFFF"/>
        </w:rPr>
        <w:t xml:space="preserve">Twitter: </w:t>
      </w:r>
      <w:r w:rsidRPr="00B52E6D">
        <w:rPr>
          <w:rStyle w:val="Hipervnculo"/>
          <w:rFonts w:ascii="Verdana" w:hAnsi="Verdana"/>
          <w:lang w:val="es-ES"/>
        </w:rPr>
        <w:t>@colombiacompra</w:t>
      </w:r>
      <w:r w:rsidRPr="00B52E6D">
        <w:rPr>
          <w:rStyle w:val="Hipervnculo"/>
          <w:rFonts w:ascii="Verdana" w:hAnsi="Verdana"/>
          <w:color w:val="auto"/>
          <w:lang w:val="es-ES"/>
        </w:rPr>
        <w:t xml:space="preserve"> </w:t>
      </w:r>
    </w:p>
    <w:p w14:paraId="16733D93" w14:textId="77777777" w:rsidR="00D15C8C" w:rsidRPr="00B52E6D" w:rsidRDefault="00D15C8C" w:rsidP="00D15C8C">
      <w:pPr>
        <w:spacing w:after="0" w:line="276" w:lineRule="auto"/>
        <w:jc w:val="both"/>
        <w:rPr>
          <w:rFonts w:ascii="Verdana" w:hAnsi="Verdana" w:cs="Arial"/>
          <w:shd w:val="clear" w:color="auto" w:fill="FFFFFF"/>
        </w:rPr>
      </w:pPr>
      <w:r w:rsidRPr="00B52E6D">
        <w:rPr>
          <w:rFonts w:ascii="Verdana" w:hAnsi="Verdana" w:cs="Arial"/>
          <w:shd w:val="clear" w:color="auto" w:fill="FFFFFF"/>
        </w:rPr>
        <w:t>Facebook:</w:t>
      </w:r>
      <w:r w:rsidRPr="00B52E6D">
        <w:rPr>
          <w:rStyle w:val="Hipervnculo"/>
          <w:rFonts w:ascii="Verdana" w:hAnsi="Verdana"/>
          <w:lang w:val="es-ES"/>
        </w:rPr>
        <w:t xml:space="preserve"> ColombiaCompraEficiente</w:t>
      </w:r>
    </w:p>
    <w:p w14:paraId="5E0E0020" w14:textId="77777777" w:rsidR="00D15C8C" w:rsidRPr="00B52E6D" w:rsidRDefault="00D15C8C" w:rsidP="00D15C8C">
      <w:pPr>
        <w:spacing w:after="0" w:line="276" w:lineRule="auto"/>
        <w:jc w:val="both"/>
        <w:rPr>
          <w:rFonts w:ascii="Verdana" w:hAnsi="Verdana" w:cs="Arial"/>
          <w:shd w:val="clear" w:color="auto" w:fill="FFFFFF"/>
        </w:rPr>
      </w:pPr>
      <w:r w:rsidRPr="00B52E6D">
        <w:rPr>
          <w:rFonts w:ascii="Verdana" w:hAnsi="Verdana" w:cs="Arial"/>
          <w:shd w:val="clear" w:color="auto" w:fill="FFFFFF"/>
        </w:rPr>
        <w:t xml:space="preserve">LinkedIn: </w:t>
      </w:r>
      <w:r w:rsidRPr="00B52E6D">
        <w:rPr>
          <w:rStyle w:val="Hipervnculo"/>
          <w:rFonts w:ascii="Verdana" w:hAnsi="Verdana"/>
          <w:lang w:val="es-ES"/>
        </w:rPr>
        <w:t>Agencia Nacional de Contratación Pública - Colombia Compra Eficiente</w:t>
      </w:r>
      <w:r w:rsidRPr="00B52E6D">
        <w:rPr>
          <w:rFonts w:ascii="Verdana" w:hAnsi="Verdana" w:cs="Arial"/>
          <w:color w:val="0000FF"/>
          <w:shd w:val="clear" w:color="auto" w:fill="FFFFFF"/>
        </w:rPr>
        <w:t xml:space="preserve"> </w:t>
      </w:r>
    </w:p>
    <w:p w14:paraId="5A27AFA7" w14:textId="77777777" w:rsidR="00D15C8C" w:rsidRPr="00B52E6D" w:rsidRDefault="00D15C8C" w:rsidP="00D15C8C">
      <w:pPr>
        <w:spacing w:after="0" w:line="276" w:lineRule="auto"/>
        <w:jc w:val="both"/>
        <w:rPr>
          <w:rFonts w:ascii="Verdana" w:hAnsi="Verdana" w:cs="Arial"/>
          <w:shd w:val="clear" w:color="auto" w:fill="FFFFFF"/>
        </w:rPr>
      </w:pPr>
      <w:r w:rsidRPr="00B52E6D">
        <w:rPr>
          <w:rFonts w:ascii="Verdana" w:hAnsi="Verdana" w:cs="Arial"/>
          <w:shd w:val="clear" w:color="auto" w:fill="FFFFFF"/>
        </w:rPr>
        <w:t xml:space="preserve">Instagram: </w:t>
      </w:r>
      <w:r w:rsidRPr="00B52E6D">
        <w:rPr>
          <w:rStyle w:val="Hipervnculo"/>
          <w:rFonts w:ascii="Verdana" w:hAnsi="Verdana"/>
          <w:lang w:val="es-ES"/>
        </w:rPr>
        <w:t>@colombiacompraeficiente_cce</w:t>
      </w:r>
    </w:p>
    <w:p w14:paraId="3F8A8650" w14:textId="77777777" w:rsidR="00D15C8C" w:rsidRPr="00B52E6D" w:rsidRDefault="00D15C8C" w:rsidP="00D15C8C">
      <w:pPr>
        <w:widowControl w:val="0"/>
        <w:autoSpaceDE w:val="0"/>
        <w:autoSpaceDN w:val="0"/>
        <w:spacing w:after="0" w:line="276" w:lineRule="auto"/>
        <w:jc w:val="both"/>
        <w:rPr>
          <w:rFonts w:ascii="Verdana" w:hAnsi="Verdana" w:cs="Arial"/>
          <w:lang w:val="es-ES"/>
        </w:rPr>
      </w:pPr>
    </w:p>
    <w:p w14:paraId="404F9370" w14:textId="77777777" w:rsidR="00D15C8C" w:rsidRPr="00B52E6D" w:rsidRDefault="00D15C8C" w:rsidP="00D15C8C">
      <w:pPr>
        <w:widowControl w:val="0"/>
        <w:autoSpaceDE w:val="0"/>
        <w:autoSpaceDN w:val="0"/>
        <w:spacing w:after="0" w:line="276" w:lineRule="auto"/>
        <w:jc w:val="both"/>
        <w:rPr>
          <w:rFonts w:ascii="Verdana" w:hAnsi="Verdana" w:cs="Arial"/>
          <w:lang w:val="es-ES"/>
        </w:rPr>
      </w:pPr>
      <w:r w:rsidRPr="00B52E6D">
        <w:rPr>
          <w:rFonts w:ascii="Verdana" w:hAnsi="Verdana" w:cs="Arial"/>
          <w:lang w:val="es-ES"/>
        </w:rPr>
        <w:t xml:space="preserve">Este concepto tiene el alcance previsto en el artículo 28 del Código de Procedimiento Administrativo y de lo Contencioso Administrativo y las expresiones aquí utilizadas con mayúscula inicial deben ser entendidas con el </w:t>
      </w:r>
      <w:r w:rsidRPr="00B52E6D">
        <w:rPr>
          <w:rFonts w:ascii="Verdana" w:hAnsi="Verdana" w:cs="Arial"/>
          <w:lang w:val="es-ES"/>
        </w:rPr>
        <w:lastRenderedPageBreak/>
        <w:t>significado que les otorga el artículo 2.2.1.1.1.3.1. del Decreto 1082 de 2015.</w:t>
      </w:r>
    </w:p>
    <w:p w14:paraId="47D80A80" w14:textId="77777777" w:rsidR="00D15C8C" w:rsidRPr="00B52E6D" w:rsidRDefault="00D15C8C" w:rsidP="00D15C8C">
      <w:pPr>
        <w:widowControl w:val="0"/>
        <w:autoSpaceDE w:val="0"/>
        <w:autoSpaceDN w:val="0"/>
        <w:spacing w:after="0" w:line="276" w:lineRule="auto"/>
        <w:jc w:val="both"/>
        <w:rPr>
          <w:rFonts w:ascii="Verdana" w:hAnsi="Verdana" w:cs="Arial"/>
          <w:lang w:val="es-ES"/>
        </w:rPr>
      </w:pPr>
    </w:p>
    <w:p w14:paraId="4617B009" w14:textId="77777777" w:rsidR="00D15C8C" w:rsidRDefault="00D15C8C" w:rsidP="00D15C8C">
      <w:pPr>
        <w:spacing w:after="0" w:line="276" w:lineRule="auto"/>
        <w:rPr>
          <w:rFonts w:ascii="Verdana" w:hAnsi="Verdana" w:cs="Arial"/>
          <w:lang w:val="es-ES" w:eastAsia="es-CO"/>
        </w:rPr>
      </w:pPr>
      <w:r w:rsidRPr="006F76C5">
        <w:rPr>
          <w:rFonts w:ascii="Verdana" w:eastAsia="Times New Roman" w:hAnsi="Verdana" w:cs="Arial"/>
          <w:lang w:val="es-ES" w:eastAsia="es-CO"/>
        </w:rPr>
        <w:t>Atentamente,</w:t>
      </w:r>
      <w:r w:rsidRPr="006F76C5">
        <w:rPr>
          <w:rFonts w:ascii="Verdana" w:hAnsi="Verdana" w:cs="Arial"/>
          <w:lang w:val="es-ES" w:eastAsia="es-CO"/>
        </w:rPr>
        <w:t xml:space="preserve"> </w:t>
      </w:r>
    </w:p>
    <w:p w14:paraId="15C91374" w14:textId="77777777" w:rsidR="00D15C8C" w:rsidRPr="00797350" w:rsidRDefault="00D15C8C" w:rsidP="00D15C8C">
      <w:pPr>
        <w:spacing w:after="0" w:line="276" w:lineRule="auto"/>
        <w:rPr>
          <w:rFonts w:ascii="Verdana" w:hAnsi="Verdana"/>
          <w:noProof/>
          <w:color w:val="EE0000"/>
          <w:highlight w:val="lightGray"/>
        </w:rPr>
      </w:pPr>
    </w:p>
    <w:p w14:paraId="5DFBF5DF" w14:textId="5FDAB96B" w:rsidR="00D15C8C" w:rsidRPr="00797350" w:rsidRDefault="00A41479" w:rsidP="00D15C8C">
      <w:pPr>
        <w:spacing w:after="0" w:line="276" w:lineRule="auto"/>
        <w:jc w:val="center"/>
        <w:rPr>
          <w:rFonts w:ascii="Verdana" w:hAnsi="Verdana"/>
          <w:noProof/>
          <w:color w:val="EE0000"/>
          <w:highlight w:val="lightGray"/>
        </w:rPr>
      </w:pPr>
      <w:r w:rsidRPr="00A41479">
        <w:rPr>
          <w:rFonts w:ascii="Verdana" w:hAnsi="Verdana"/>
          <w:noProof/>
          <w:color w:val="EE0000"/>
        </w:rPr>
        <w:drawing>
          <wp:inline distT="0" distB="0" distL="0" distR="0" wp14:anchorId="65081C5B" wp14:editId="0793263C">
            <wp:extent cx="3136000" cy="1070566"/>
            <wp:effectExtent l="0" t="0" r="7620" b="0"/>
            <wp:docPr id="46949362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9493625" name=""/>
                    <pic:cNvPicPr/>
                  </pic:nvPicPr>
                  <pic:blipFill>
                    <a:blip r:embed="rId15"/>
                    <a:stretch>
                      <a:fillRect/>
                    </a:stretch>
                  </pic:blipFill>
                  <pic:spPr>
                    <a:xfrm>
                      <a:off x="0" y="0"/>
                      <a:ext cx="3143066" cy="1072978"/>
                    </a:xfrm>
                    <a:prstGeom prst="rect">
                      <a:avLst/>
                    </a:prstGeom>
                  </pic:spPr>
                </pic:pic>
              </a:graphicData>
            </a:graphic>
          </wp:inline>
        </w:drawing>
      </w:r>
    </w:p>
    <w:p w14:paraId="5409396D" w14:textId="77777777" w:rsidR="00D15C8C" w:rsidRPr="00797350" w:rsidRDefault="00D15C8C" w:rsidP="00D15C8C">
      <w:pPr>
        <w:spacing w:after="0" w:line="276" w:lineRule="auto"/>
        <w:rPr>
          <w:rFonts w:ascii="Verdana" w:hAnsi="Verdana" w:cs="Arial"/>
          <w:highlight w:val="lightGray"/>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15C8C" w:rsidRPr="00797350" w14:paraId="001A65CF" w14:textId="77777777" w:rsidTr="0012255A">
        <w:trPr>
          <w:trHeight w:val="315"/>
        </w:trPr>
        <w:tc>
          <w:tcPr>
            <w:tcW w:w="893" w:type="dxa"/>
            <w:vAlign w:val="center"/>
            <w:hideMark/>
          </w:tcPr>
          <w:p w14:paraId="00ECE796" w14:textId="77777777" w:rsidR="00D15C8C" w:rsidRPr="00797350" w:rsidRDefault="00D15C8C" w:rsidP="0012255A">
            <w:pPr>
              <w:contextualSpacing/>
              <w:rPr>
                <w:rFonts w:ascii="Verdana" w:hAnsi="Verdana" w:cs="Arial"/>
                <w:sz w:val="16"/>
                <w:szCs w:val="16"/>
                <w:lang w:val="es-ES" w:eastAsia="es-ES"/>
              </w:rPr>
            </w:pPr>
            <w:r w:rsidRPr="00797350">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B7D28EE" w14:textId="77777777" w:rsidR="00D15C8C" w:rsidRPr="00797350" w:rsidRDefault="00D15C8C" w:rsidP="0012255A">
            <w:pPr>
              <w:rPr>
                <w:rFonts w:ascii="Verdana" w:eastAsia="Times New Roman" w:hAnsi="Verdana" w:cs="Arial"/>
                <w:sz w:val="16"/>
                <w:szCs w:val="16"/>
                <w:lang w:eastAsia="es-ES"/>
              </w:rPr>
            </w:pPr>
            <w:r w:rsidRPr="00797350">
              <w:rPr>
                <w:rFonts w:ascii="Verdana" w:eastAsia="Times New Roman" w:hAnsi="Verdana" w:cs="Arial"/>
                <w:sz w:val="16"/>
                <w:szCs w:val="16"/>
                <w:lang w:eastAsia="es-ES"/>
              </w:rPr>
              <w:t>Camila Alejandra Naranjo Gómez</w:t>
            </w:r>
          </w:p>
          <w:p w14:paraId="2B97F839" w14:textId="77777777" w:rsidR="00D15C8C" w:rsidRPr="00797350" w:rsidRDefault="00D15C8C" w:rsidP="0012255A">
            <w:pPr>
              <w:contextualSpacing/>
              <w:rPr>
                <w:rFonts w:ascii="Verdana" w:eastAsia="Arial" w:hAnsi="Verdana" w:cs="Arial"/>
                <w:sz w:val="16"/>
                <w:szCs w:val="16"/>
                <w:lang w:val="es-ES"/>
              </w:rPr>
            </w:pPr>
            <w:r w:rsidRPr="00797350">
              <w:rPr>
                <w:rFonts w:ascii="Verdana" w:eastAsia="Times New Roman" w:hAnsi="Verdana" w:cs="Arial"/>
                <w:sz w:val="16"/>
                <w:szCs w:val="16"/>
                <w:lang w:eastAsia="es-ES"/>
              </w:rPr>
              <w:t>Analista T2-02 de la Subdirección de Gestión Contractual</w:t>
            </w:r>
          </w:p>
        </w:tc>
      </w:tr>
      <w:tr w:rsidR="00D15C8C" w:rsidRPr="00797350" w14:paraId="7C082BAF" w14:textId="77777777" w:rsidTr="0012255A">
        <w:trPr>
          <w:trHeight w:val="330"/>
        </w:trPr>
        <w:tc>
          <w:tcPr>
            <w:tcW w:w="893" w:type="dxa"/>
            <w:vAlign w:val="center"/>
            <w:hideMark/>
          </w:tcPr>
          <w:p w14:paraId="0FC06FC9" w14:textId="77777777" w:rsidR="00D15C8C" w:rsidRPr="00797350" w:rsidRDefault="00D15C8C" w:rsidP="0012255A">
            <w:pPr>
              <w:contextualSpacing/>
              <w:rPr>
                <w:rFonts w:ascii="Verdana" w:hAnsi="Verdana" w:cs="Arial"/>
                <w:sz w:val="16"/>
                <w:szCs w:val="16"/>
                <w:lang w:val="es-ES" w:eastAsia="es-ES"/>
              </w:rPr>
            </w:pPr>
            <w:r w:rsidRPr="00797350">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48D28FB" w14:textId="77777777" w:rsidR="00D15C8C" w:rsidRPr="00797350" w:rsidRDefault="00D15C8C" w:rsidP="0012255A">
            <w:pPr>
              <w:rPr>
                <w:rFonts w:ascii="Verdana" w:eastAsia="Times New Roman" w:hAnsi="Verdana" w:cs="Arial"/>
                <w:sz w:val="16"/>
                <w:szCs w:val="16"/>
                <w:lang w:eastAsia="es-ES"/>
              </w:rPr>
            </w:pPr>
            <w:r w:rsidRPr="00797350">
              <w:rPr>
                <w:rFonts w:ascii="Verdana" w:eastAsia="Times New Roman" w:hAnsi="Verdana" w:cs="Arial"/>
                <w:sz w:val="16"/>
                <w:szCs w:val="16"/>
                <w:lang w:eastAsia="es-ES"/>
              </w:rPr>
              <w:t>Diana Lucia Saavedra Castañeda</w:t>
            </w:r>
          </w:p>
          <w:p w14:paraId="166A032A" w14:textId="77777777" w:rsidR="00D15C8C" w:rsidRPr="00797350" w:rsidRDefault="00D15C8C" w:rsidP="0012255A">
            <w:pPr>
              <w:pStyle w:val="paragraph"/>
              <w:spacing w:before="0" w:beforeAutospacing="0" w:after="0" w:afterAutospacing="0"/>
              <w:contextualSpacing/>
              <w:textAlignment w:val="baseline"/>
              <w:rPr>
                <w:rFonts w:ascii="Verdana" w:hAnsi="Verdana" w:cs="Segoe UI"/>
                <w:sz w:val="16"/>
                <w:szCs w:val="16"/>
                <w:lang w:val="es-ES"/>
              </w:rPr>
            </w:pPr>
            <w:r w:rsidRPr="00797350">
              <w:rPr>
                <w:rFonts w:ascii="Verdana" w:hAnsi="Verdana" w:cs="Arial"/>
                <w:sz w:val="16"/>
                <w:szCs w:val="16"/>
                <w:lang w:eastAsia="es-ES"/>
              </w:rPr>
              <w:t>Contratista de la Subdirección de Gestión Contractual</w:t>
            </w:r>
          </w:p>
        </w:tc>
      </w:tr>
      <w:tr w:rsidR="00D15C8C" w:rsidRPr="009F79FE" w14:paraId="5D899A30" w14:textId="77777777" w:rsidTr="0012255A">
        <w:trPr>
          <w:trHeight w:val="300"/>
        </w:trPr>
        <w:tc>
          <w:tcPr>
            <w:tcW w:w="893" w:type="dxa"/>
            <w:vAlign w:val="center"/>
          </w:tcPr>
          <w:p w14:paraId="6080D913" w14:textId="77777777" w:rsidR="00D15C8C" w:rsidRPr="00797350" w:rsidRDefault="00D15C8C" w:rsidP="0012255A">
            <w:pPr>
              <w:contextualSpacing/>
              <w:rPr>
                <w:rFonts w:ascii="Verdana" w:hAnsi="Verdana" w:cs="Arial"/>
                <w:sz w:val="16"/>
                <w:szCs w:val="16"/>
                <w:lang w:val="es-ES" w:eastAsia="es-ES"/>
              </w:rPr>
            </w:pPr>
            <w:r w:rsidRPr="00797350">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A149B86" w14:textId="77777777" w:rsidR="00D15C8C" w:rsidRPr="00797350" w:rsidRDefault="00D15C8C" w:rsidP="0012255A">
            <w:pPr>
              <w:contextualSpacing/>
              <w:rPr>
                <w:rFonts w:ascii="Verdana" w:eastAsia="Calibri" w:hAnsi="Verdana" w:cs="Arial"/>
                <w:sz w:val="16"/>
                <w:szCs w:val="16"/>
                <w:lang w:val="es-ES" w:eastAsia="es-ES"/>
              </w:rPr>
            </w:pPr>
            <w:r w:rsidRPr="00797350">
              <w:rPr>
                <w:rFonts w:ascii="Verdana" w:eastAsia="Calibri" w:hAnsi="Verdana" w:cs="Arial"/>
                <w:sz w:val="16"/>
                <w:szCs w:val="16"/>
                <w:lang w:val="es-ES" w:eastAsia="es-ES"/>
              </w:rPr>
              <w:t>Carolina Quintero Gacharná</w:t>
            </w:r>
          </w:p>
          <w:p w14:paraId="139F338E" w14:textId="77777777" w:rsidR="00D15C8C" w:rsidRPr="00797350" w:rsidRDefault="00D15C8C" w:rsidP="0012255A">
            <w:pPr>
              <w:contextualSpacing/>
              <w:rPr>
                <w:rFonts w:ascii="Verdana" w:eastAsia="Calibri" w:hAnsi="Verdana" w:cs="Arial"/>
                <w:sz w:val="16"/>
                <w:szCs w:val="16"/>
                <w:lang w:val="es-ES" w:eastAsia="es-ES"/>
              </w:rPr>
            </w:pPr>
            <w:r w:rsidRPr="00797350">
              <w:rPr>
                <w:rFonts w:ascii="Verdana" w:eastAsia="Calibri" w:hAnsi="Verdana" w:cs="Arial"/>
                <w:sz w:val="16"/>
                <w:szCs w:val="16"/>
                <w:lang w:val="es-ES" w:eastAsia="es-ES"/>
              </w:rPr>
              <w:t>Subdirectora de Gestión Contractual ANCP – CCE</w:t>
            </w:r>
          </w:p>
        </w:tc>
      </w:tr>
    </w:tbl>
    <w:p w14:paraId="02ED07D8" w14:textId="77777777" w:rsidR="00D15C8C" w:rsidRDefault="00D15C8C" w:rsidP="00D15C8C"/>
    <w:p w14:paraId="5A52AC3B" w14:textId="735E1CB7" w:rsidR="00D15C8C" w:rsidRPr="00FE55BD" w:rsidRDefault="00D15C8C" w:rsidP="00D15C8C"/>
    <w:p w14:paraId="0F293BF4" w14:textId="30A62735" w:rsidR="00127233" w:rsidRPr="0015699B" w:rsidRDefault="00127233" w:rsidP="00D15C8C">
      <w:pPr>
        <w:spacing w:after="0"/>
        <w:rPr>
          <w:rFonts w:ascii="Verdana" w:eastAsia="Verdana" w:hAnsi="Verdana" w:cs="Verdana"/>
          <w:lang w:eastAsia="es-CO"/>
        </w:rPr>
      </w:pPr>
    </w:p>
    <w:sectPr w:rsidR="00127233" w:rsidRPr="0015699B"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85FDE3" w14:textId="77777777" w:rsidR="006B193F" w:rsidRDefault="006B193F" w:rsidP="004A1847">
      <w:pPr>
        <w:spacing w:after="0" w:line="240" w:lineRule="auto"/>
      </w:pPr>
      <w:r>
        <w:separator/>
      </w:r>
    </w:p>
  </w:endnote>
  <w:endnote w:type="continuationSeparator" w:id="0">
    <w:p w14:paraId="5F9D2933" w14:textId="77777777" w:rsidR="006B193F" w:rsidRDefault="006B193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Geomanist">
    <w:altName w:val="Arial"/>
    <w:panose1 w:val="020005030000000200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F00174" w14:textId="77777777" w:rsidR="006B193F" w:rsidRDefault="006B193F" w:rsidP="004A1847">
      <w:pPr>
        <w:spacing w:after="0" w:line="240" w:lineRule="auto"/>
      </w:pPr>
      <w:r>
        <w:separator/>
      </w:r>
    </w:p>
  </w:footnote>
  <w:footnote w:type="continuationSeparator" w:id="0">
    <w:p w14:paraId="4ADB5E52" w14:textId="77777777" w:rsidR="006B193F" w:rsidRDefault="006B193F" w:rsidP="004A1847">
      <w:pPr>
        <w:spacing w:after="0" w:line="240" w:lineRule="auto"/>
      </w:pPr>
      <w:r>
        <w:continuationSeparator/>
      </w:r>
    </w:p>
  </w:footnote>
  <w:footnote w:id="1">
    <w:p w14:paraId="74D7AB6E" w14:textId="77777777" w:rsidR="00D15C8C" w:rsidRPr="004E605A" w:rsidRDefault="00D15C8C" w:rsidP="00D15C8C">
      <w:pPr>
        <w:spacing w:line="244" w:lineRule="auto"/>
        <w:ind w:left="120" w:firstLine="707"/>
        <w:jc w:val="both"/>
        <w:rPr>
          <w:rFonts w:ascii="Verdana" w:hAnsi="Verdana" w:cs="Arial"/>
          <w:sz w:val="18"/>
          <w:szCs w:val="18"/>
        </w:rPr>
      </w:pPr>
      <w:r w:rsidRPr="004E605A">
        <w:rPr>
          <w:rStyle w:val="Refdenotaalpie"/>
          <w:rFonts w:ascii="Verdana" w:hAnsi="Verdana" w:cs="Arial"/>
          <w:sz w:val="18"/>
          <w:szCs w:val="18"/>
        </w:rPr>
        <w:footnoteRef/>
      </w:r>
      <w:r w:rsidRPr="004E605A">
        <w:rPr>
          <w:rFonts w:ascii="Verdana" w:hAnsi="Verdana" w:cs="Arial"/>
          <w:position w:val="6"/>
          <w:sz w:val="18"/>
          <w:szCs w:val="18"/>
        </w:rPr>
        <w:t xml:space="preserve"> </w:t>
      </w:r>
      <w:r w:rsidRPr="00FE53F4">
        <w:rPr>
          <w:rFonts w:ascii="Verdana" w:hAnsi="Verdana" w:cs="Arial"/>
          <w:sz w:val="16"/>
          <w:szCs w:val="16"/>
        </w:rPr>
        <w:t>Deik Acostamadiedo, Carolina, Guía de Contratación Estatal: Deber de planeación y modalidades de selección, Buenos Aires, 2015, p. 59.</w:t>
      </w:r>
    </w:p>
  </w:footnote>
  <w:footnote w:id="2">
    <w:p w14:paraId="10D87E18" w14:textId="77777777" w:rsidR="00D15C8C" w:rsidRPr="004D7189" w:rsidRDefault="00D15C8C" w:rsidP="00D15C8C">
      <w:pPr>
        <w:pStyle w:val="Textonotapie"/>
        <w:ind w:firstLine="709"/>
        <w:jc w:val="both"/>
        <w:rPr>
          <w:rFonts w:ascii="Verdana" w:hAnsi="Verdana" w:cs="Arial"/>
          <w:sz w:val="16"/>
          <w:szCs w:val="16"/>
          <w:lang w:val="pt-BR"/>
        </w:rPr>
      </w:pPr>
      <w:r w:rsidRPr="004D7189">
        <w:rPr>
          <w:rStyle w:val="Refdenotaalpie"/>
          <w:rFonts w:ascii="Verdana" w:hAnsi="Verdana" w:cs="Arial"/>
          <w:sz w:val="16"/>
          <w:szCs w:val="16"/>
        </w:rPr>
        <w:footnoteRef/>
      </w:r>
      <w:r w:rsidRPr="004D7189">
        <w:rPr>
          <w:rFonts w:ascii="Verdana" w:hAnsi="Verdana" w:cs="Arial"/>
          <w:sz w:val="16"/>
          <w:szCs w:val="16"/>
          <w:lang w:val="pt-BR"/>
        </w:rPr>
        <w:t xml:space="preserve"> Tomado de </w:t>
      </w:r>
      <w:hyperlink r:id="rId1" w:history="1">
        <w:r w:rsidRPr="004D33F8">
          <w:rPr>
            <w:rStyle w:val="Hipervnculo"/>
            <w:rFonts w:ascii="Verdana" w:hAnsi="Verdana" w:cs="Arial"/>
            <w:sz w:val="16"/>
            <w:szCs w:val="16"/>
            <w:lang w:val="pt-BR"/>
          </w:rPr>
          <w:t>https://sintesis.colombiacompra.gov.co/sintesis/9-etapa-precontractual-estudios-previos</w:t>
        </w:r>
      </w:hyperlink>
      <w:r w:rsidRPr="004D33F8">
        <w:rPr>
          <w:rFonts w:ascii="Verdana" w:hAnsi="Verdana" w:cs="Arial"/>
          <w:color w:val="0000FF"/>
          <w:sz w:val="16"/>
          <w:szCs w:val="16"/>
          <w:lang w:val="pt-BR"/>
        </w:rPr>
        <w:t>.</w:t>
      </w:r>
      <w:r>
        <w:rPr>
          <w:rFonts w:ascii="Verdana" w:hAnsi="Verdana" w:cs="Arial"/>
          <w:sz w:val="16"/>
          <w:szCs w:val="16"/>
          <w:lang w:val="pt-BR"/>
        </w:rPr>
        <w:t xml:space="preserve"> </w:t>
      </w:r>
    </w:p>
    <w:p w14:paraId="5C6A1E2E" w14:textId="77777777" w:rsidR="00D15C8C" w:rsidRPr="004D7189" w:rsidRDefault="00D15C8C" w:rsidP="00D15C8C">
      <w:pPr>
        <w:pStyle w:val="Textonotapie"/>
        <w:ind w:left="142" w:firstLine="709"/>
        <w:jc w:val="both"/>
        <w:rPr>
          <w:rFonts w:ascii="Verdana" w:hAnsi="Verdana" w:cs="Arial"/>
          <w:sz w:val="16"/>
          <w:szCs w:val="16"/>
          <w:lang w:val="pt-BR"/>
        </w:rPr>
      </w:pPr>
    </w:p>
  </w:footnote>
  <w:footnote w:id="3">
    <w:p w14:paraId="6E14C524" w14:textId="77777777" w:rsidR="00D15C8C" w:rsidRPr="004D7189" w:rsidRDefault="00D15C8C" w:rsidP="00D15C8C">
      <w:pPr>
        <w:pStyle w:val="Textoindependiente"/>
        <w:spacing w:after="0"/>
        <w:ind w:right="103" w:firstLine="709"/>
        <w:jc w:val="both"/>
        <w:rPr>
          <w:rFonts w:ascii="Verdana" w:hAnsi="Verdana" w:cs="Arial"/>
          <w:sz w:val="16"/>
          <w:szCs w:val="16"/>
        </w:rPr>
      </w:pPr>
      <w:r w:rsidRPr="004D7189">
        <w:rPr>
          <w:rStyle w:val="Refdenotaalpie"/>
          <w:rFonts w:ascii="Verdana" w:hAnsi="Verdana" w:cs="Arial"/>
          <w:sz w:val="16"/>
          <w:szCs w:val="16"/>
        </w:rPr>
        <w:footnoteRef/>
      </w:r>
      <w:r w:rsidRPr="004D7189">
        <w:rPr>
          <w:rFonts w:ascii="Verdana" w:hAnsi="Verdana" w:cs="Arial"/>
          <w:sz w:val="16"/>
          <w:szCs w:val="16"/>
        </w:rPr>
        <w:t xml:space="preserve"> </w:t>
      </w:r>
      <w:r w:rsidRPr="004D7189">
        <w:rPr>
          <w:rFonts w:ascii="Verdana" w:hAnsi="Verdana" w:cs="Arial"/>
          <w:position w:val="6"/>
          <w:sz w:val="16"/>
          <w:szCs w:val="16"/>
        </w:rPr>
        <w:t>“</w:t>
      </w:r>
      <w:r w:rsidRPr="004D7189">
        <w:rPr>
          <w:rFonts w:ascii="Verdana" w:hAnsi="Verdana" w:cs="Arial"/>
          <w:sz w:val="16"/>
          <w:szCs w:val="16"/>
        </w:rPr>
        <w:t xml:space="preserve">Artículo </w:t>
      </w:r>
      <w:bookmarkStart w:id="2" w:name="_Hlk54173885"/>
      <w:r w:rsidRPr="004D7189">
        <w:rPr>
          <w:rFonts w:ascii="Verdana" w:hAnsi="Verdana" w:cs="Arial"/>
          <w:sz w:val="16"/>
          <w:szCs w:val="16"/>
        </w:rPr>
        <w:t>2.2.1.1.2.1.1</w:t>
      </w:r>
      <w:bookmarkEnd w:id="2"/>
      <w:r w:rsidRPr="004D7189">
        <w:rPr>
          <w:rFonts w:ascii="Verdana" w:hAnsi="Verdana" w:cs="Arial"/>
          <w:sz w:val="16"/>
          <w:szCs w:val="16"/>
        </w:rPr>
        <w:t>. Estudios y documentos previos. Los estudios y documentos previos son el soporte para elaborar el proyecto de pliegos, los pliegos de condiciones, y el contrato. Deben permanecer a disposición del público durante el desarrollo del Proceso de Contratación y contener los siguientes elementos, además de los indicados para cada modalidad de selección: […]”.</w:t>
      </w:r>
    </w:p>
    <w:p w14:paraId="2DDBEEA4" w14:textId="77777777" w:rsidR="00D15C8C" w:rsidRPr="004D7189" w:rsidRDefault="00D15C8C" w:rsidP="00D15C8C">
      <w:pPr>
        <w:pStyle w:val="Textonotapie"/>
        <w:ind w:firstLine="709"/>
        <w:jc w:val="both"/>
        <w:rPr>
          <w:rFonts w:ascii="Verdana" w:hAnsi="Verdana" w:cs="Arial"/>
          <w:sz w:val="16"/>
          <w:szCs w:val="16"/>
        </w:rPr>
      </w:pPr>
    </w:p>
  </w:footnote>
  <w:footnote w:id="4">
    <w:p w14:paraId="695EC718" w14:textId="77777777" w:rsidR="00D15C8C" w:rsidRPr="004D7189" w:rsidRDefault="00D15C8C" w:rsidP="00D15C8C">
      <w:pPr>
        <w:pStyle w:val="Textoindependiente"/>
        <w:spacing w:after="0"/>
        <w:ind w:right="108" w:firstLine="708"/>
        <w:jc w:val="both"/>
        <w:rPr>
          <w:rFonts w:ascii="Verdana" w:hAnsi="Verdana" w:cs="Arial"/>
          <w:sz w:val="16"/>
          <w:szCs w:val="16"/>
        </w:rPr>
      </w:pPr>
      <w:r w:rsidRPr="004D7189">
        <w:rPr>
          <w:rStyle w:val="Refdenotaalpie"/>
          <w:rFonts w:ascii="Verdana" w:hAnsi="Verdana" w:cs="Arial"/>
          <w:sz w:val="16"/>
          <w:szCs w:val="16"/>
        </w:rPr>
        <w:footnoteRef/>
      </w:r>
      <w:r w:rsidRPr="004D7189">
        <w:rPr>
          <w:rFonts w:ascii="Verdana" w:hAnsi="Verdana" w:cs="Arial"/>
          <w:sz w:val="16"/>
          <w:szCs w:val="16"/>
        </w:rPr>
        <w:t xml:space="preserve"> Consejo de Estado, Sala de lo Contencioso Administrativo. Sección Tercera, Subsección B, 31 de agosto de 2011, Exp. 18080, C.P. Ruth Stella Correa Palacio: “(…) recuérdese que la aplicación de la buena fe en materia negocial implica para las partes la observancia la observancia de una conducta enmarcada dentro del contexto de los deberes de corrección, claridad y recíproca lealtad que se deben los contratantes, para remitir la realización de los efectos finales buscados en el contrato”</w:t>
      </w:r>
    </w:p>
    <w:p w14:paraId="7408C26D" w14:textId="77777777" w:rsidR="00D15C8C" w:rsidRPr="004D7189" w:rsidRDefault="00D15C8C" w:rsidP="00D15C8C">
      <w:pPr>
        <w:pStyle w:val="Textonotapie"/>
        <w:jc w:val="both"/>
        <w:rPr>
          <w:rFonts w:ascii="Verdana" w:hAnsi="Verdana" w:cs="Arial"/>
          <w:sz w:val="16"/>
          <w:szCs w:val="16"/>
        </w:rPr>
      </w:pPr>
    </w:p>
  </w:footnote>
  <w:footnote w:id="5">
    <w:p w14:paraId="0F17C038" w14:textId="77777777" w:rsidR="00D15C8C" w:rsidRPr="004E605A" w:rsidRDefault="00D15C8C" w:rsidP="00D15C8C">
      <w:pPr>
        <w:pStyle w:val="Textonotapie"/>
        <w:ind w:firstLine="708"/>
        <w:jc w:val="both"/>
        <w:rPr>
          <w:rFonts w:ascii="Verdana" w:hAnsi="Verdana" w:cs="Arial"/>
          <w:sz w:val="18"/>
          <w:szCs w:val="18"/>
          <w:lang w:val="es-ES"/>
        </w:rPr>
      </w:pPr>
      <w:r w:rsidRPr="004D7189">
        <w:rPr>
          <w:rStyle w:val="Refdenotaalpie"/>
          <w:rFonts w:ascii="Verdana" w:hAnsi="Verdana" w:cs="Arial"/>
          <w:sz w:val="16"/>
          <w:szCs w:val="16"/>
        </w:rPr>
        <w:footnoteRef/>
      </w:r>
      <w:r w:rsidRPr="004D7189">
        <w:rPr>
          <w:rFonts w:ascii="Verdana" w:hAnsi="Verdana" w:cs="Arial"/>
          <w:sz w:val="16"/>
          <w:szCs w:val="16"/>
        </w:rPr>
        <w:t xml:space="preserve"> </w:t>
      </w:r>
      <w:r w:rsidRPr="004D7189">
        <w:rPr>
          <w:rFonts w:ascii="Verdana" w:hAnsi="Verdana" w:cs="Arial"/>
          <w:sz w:val="16"/>
          <w:szCs w:val="16"/>
          <w:lang w:val="es-ES"/>
        </w:rPr>
        <w:t xml:space="preserve">La </w:t>
      </w:r>
      <w:r w:rsidRPr="004D7189">
        <w:rPr>
          <w:rFonts w:ascii="Verdana" w:eastAsia="Calibri" w:hAnsi="Verdana" w:cs="Arial"/>
          <w:bCs/>
          <w:sz w:val="16"/>
          <w:szCs w:val="16"/>
          <w:lang w:val="es-ES_tradnl"/>
        </w:rPr>
        <w:t xml:space="preserve">“Guía para la Elaboración de Estudios del Sector” </w:t>
      </w:r>
      <w:r>
        <w:rPr>
          <w:rFonts w:ascii="Verdana" w:eastAsia="Calibri" w:hAnsi="Verdana" w:cs="Arial"/>
          <w:bCs/>
          <w:sz w:val="16"/>
          <w:szCs w:val="16"/>
          <w:lang w:val="es-ES_tradnl"/>
        </w:rPr>
        <w:t>Disponible aquí:</w:t>
      </w:r>
      <w:r w:rsidRPr="004D7189">
        <w:rPr>
          <w:rFonts w:ascii="Verdana" w:eastAsia="Calibri" w:hAnsi="Verdana" w:cs="Arial"/>
          <w:bCs/>
          <w:sz w:val="16"/>
          <w:szCs w:val="16"/>
          <w:lang w:val="es-ES_tradnl"/>
        </w:rPr>
        <w:t xml:space="preserve"> </w:t>
      </w:r>
      <w:hyperlink r:id="rId2" w:history="1">
        <w:r w:rsidRPr="004D7189">
          <w:rPr>
            <w:rStyle w:val="Hipervnculo"/>
            <w:rFonts w:ascii="Verdana" w:eastAsia="Calibri" w:hAnsi="Verdana" w:cs="Arial"/>
            <w:bCs/>
            <w:sz w:val="16"/>
            <w:szCs w:val="16"/>
            <w:lang w:val="es-ES_tradnl"/>
          </w:rPr>
          <w:t>aquí</w:t>
        </w:r>
      </w:hyperlink>
    </w:p>
  </w:footnote>
  <w:footnote w:id="6">
    <w:p w14:paraId="1D35D81F" w14:textId="77777777" w:rsidR="00D15C8C" w:rsidRPr="00EA4550" w:rsidRDefault="00D15C8C" w:rsidP="00D15C8C">
      <w:pPr>
        <w:pStyle w:val="Textonotapie"/>
        <w:ind w:firstLine="709"/>
        <w:jc w:val="both"/>
        <w:rPr>
          <w:rFonts w:ascii="Verdana" w:hAnsi="Verdana" w:cs="Arial"/>
          <w:sz w:val="16"/>
          <w:szCs w:val="16"/>
          <w:lang w:val="es-CO"/>
        </w:rPr>
      </w:pPr>
      <w:r w:rsidRPr="00EA4550">
        <w:rPr>
          <w:rStyle w:val="Refdenotaalpie"/>
          <w:rFonts w:ascii="Verdana" w:hAnsi="Verdana" w:cs="Arial"/>
          <w:sz w:val="16"/>
          <w:szCs w:val="16"/>
        </w:rPr>
        <w:footnoteRef/>
      </w:r>
      <w:r w:rsidRPr="00EA4550">
        <w:rPr>
          <w:rFonts w:ascii="Verdana" w:hAnsi="Verdana" w:cs="Arial"/>
          <w:sz w:val="16"/>
          <w:szCs w:val="16"/>
        </w:rPr>
        <w:t xml:space="preserve"> </w:t>
      </w:r>
      <w:r w:rsidRPr="00EA4550">
        <w:rPr>
          <w:rFonts w:ascii="Verdana" w:hAnsi="Verdana" w:cs="Arial"/>
          <w:sz w:val="16"/>
          <w:szCs w:val="16"/>
          <w:lang w:eastAsia="es-MX"/>
        </w:rPr>
        <w:t xml:space="preserve">“Por el cual se modifica y adiciona el Decreto 1082 de 2015, Único Reglamentario del Sector Administrativo de Planeación Nacional para promover el acceso al sistema de Compras Públicas de las Mipymes, las Cooperativas y demás entidades de la economía solidaria, se incorporan criterios sociales y ambientales en los Procesos de Contratación de las Entidades Estatales, se incluye el Título de emprendimiento comunal y se dictan otras disposiciones”. </w:t>
      </w:r>
    </w:p>
  </w:footnote>
  <w:footnote w:id="7">
    <w:p w14:paraId="35B0E472" w14:textId="77777777" w:rsidR="00D15C8C" w:rsidRPr="00EA4550" w:rsidRDefault="00D15C8C" w:rsidP="00D15C8C">
      <w:pPr>
        <w:pStyle w:val="Textonotapie"/>
        <w:jc w:val="both"/>
        <w:rPr>
          <w:rFonts w:ascii="Verdana" w:hAnsi="Verdana"/>
          <w:sz w:val="16"/>
          <w:szCs w:val="16"/>
        </w:rPr>
      </w:pPr>
    </w:p>
    <w:p w14:paraId="5E38B251" w14:textId="77777777" w:rsidR="00D15C8C" w:rsidRPr="00EA4550" w:rsidRDefault="00D15C8C" w:rsidP="00D15C8C">
      <w:pPr>
        <w:pStyle w:val="Textonotapie"/>
        <w:ind w:firstLine="708"/>
        <w:jc w:val="both"/>
        <w:rPr>
          <w:rFonts w:ascii="Verdana" w:hAnsi="Verdana"/>
          <w:sz w:val="16"/>
          <w:szCs w:val="16"/>
        </w:rPr>
      </w:pPr>
      <w:r w:rsidRPr="00EA4550">
        <w:rPr>
          <w:rStyle w:val="Refdenotaalpie"/>
          <w:rFonts w:ascii="Verdana" w:hAnsi="Verdana"/>
          <w:sz w:val="16"/>
          <w:szCs w:val="16"/>
        </w:rPr>
        <w:footnoteRef/>
      </w:r>
      <w:r w:rsidRPr="00EA4550">
        <w:rPr>
          <w:rFonts w:ascii="Verdana" w:hAnsi="Verdana"/>
          <w:sz w:val="16"/>
          <w:szCs w:val="16"/>
        </w:rPr>
        <w:t xml:space="preserve"> Decreto 2069 de 2020: “Artículo 33. PROMOCIÓN DEL ACCESO DE LAS MIPYMES AL MERCADO DE COMPRAS PÚBLICAS. Modifíquese el artículo 12 de la Ley 590 de 2000, el cual quedará así:  </w:t>
      </w:r>
    </w:p>
    <w:p w14:paraId="401DC383" w14:textId="77777777" w:rsidR="00D15C8C" w:rsidRPr="00EA4550" w:rsidRDefault="00D15C8C" w:rsidP="00D15C8C">
      <w:pPr>
        <w:pStyle w:val="Textonotapie"/>
        <w:ind w:firstLine="708"/>
        <w:jc w:val="both"/>
        <w:rPr>
          <w:rFonts w:ascii="Verdana" w:hAnsi="Verdana"/>
          <w:sz w:val="16"/>
          <w:szCs w:val="16"/>
        </w:rPr>
      </w:pPr>
      <w:r w:rsidRPr="00EA4550">
        <w:rPr>
          <w:rFonts w:ascii="Verdana" w:hAnsi="Verdana"/>
          <w:sz w:val="16"/>
          <w:szCs w:val="16"/>
        </w:rPr>
        <w:t xml:space="preserve">"Artículo 12. Promoción del acceso de las MIPYMES al mercado de Compras Públicas. Con el fin de promover el acceso de las MIPYMES al mercado de Compras Públicas, las Entidades Estatales indistintamente de su régimen de contratación, los patrimonios autónomos constituidos por Entidades Estatales y los particulares que ejecuten recursos públicos: </w:t>
      </w:r>
    </w:p>
    <w:p w14:paraId="50E25C9E" w14:textId="77777777" w:rsidR="00D15C8C" w:rsidRPr="00EA4550" w:rsidRDefault="00D15C8C" w:rsidP="00D15C8C">
      <w:pPr>
        <w:pStyle w:val="Textonotapie"/>
        <w:ind w:firstLine="708"/>
        <w:jc w:val="both"/>
        <w:rPr>
          <w:rFonts w:ascii="Verdana" w:hAnsi="Verdana"/>
          <w:sz w:val="16"/>
          <w:szCs w:val="16"/>
        </w:rPr>
      </w:pPr>
      <w:r w:rsidRPr="00EA4550">
        <w:rPr>
          <w:rFonts w:ascii="Verdana" w:hAnsi="Verdana"/>
          <w:sz w:val="16"/>
          <w:szCs w:val="16"/>
        </w:rPr>
        <w:t>[…]</w:t>
      </w:r>
    </w:p>
    <w:p w14:paraId="1708060C" w14:textId="77777777" w:rsidR="00D15C8C" w:rsidRPr="00EA4550" w:rsidRDefault="00D15C8C" w:rsidP="00D15C8C">
      <w:pPr>
        <w:pStyle w:val="Textonotapie"/>
        <w:ind w:firstLine="708"/>
        <w:jc w:val="both"/>
        <w:rPr>
          <w:rFonts w:ascii="Verdana" w:hAnsi="Verdana" w:cs="Arial"/>
          <w:color w:val="000000"/>
          <w:sz w:val="16"/>
          <w:szCs w:val="16"/>
        </w:rPr>
      </w:pPr>
      <w:r w:rsidRPr="00232850">
        <w:rPr>
          <w:rFonts w:ascii="Verdana" w:hAnsi="Verdana" w:cs="Arial"/>
          <w:color w:val="000000"/>
          <w:sz w:val="16"/>
          <w:szCs w:val="16"/>
          <w:vertAlign w:val="superscript"/>
        </w:rPr>
        <w:t>6.</w:t>
      </w:r>
      <w:r w:rsidRPr="00EA4550">
        <w:rPr>
          <w:rFonts w:ascii="Verdana" w:hAnsi="Verdana" w:cs="Arial"/>
          <w:color w:val="000000"/>
          <w:sz w:val="16"/>
          <w:szCs w:val="16"/>
        </w:rPr>
        <w:t xml:space="preserve"> Promoverán la división del Proceso de Contratación en lotes o segmentos que faciliten la participación de las MIPYMES en el Proceso de Contratación […]”.</w:t>
      </w:r>
    </w:p>
  </w:footnote>
  <w:footnote w:id="8">
    <w:p w14:paraId="29DCBC5F" w14:textId="77777777" w:rsidR="00D15C8C" w:rsidRPr="005B26C7" w:rsidRDefault="00D15C8C" w:rsidP="00D15C8C">
      <w:pPr>
        <w:pStyle w:val="NormalWeb"/>
        <w:spacing w:after="0"/>
        <w:ind w:firstLine="709"/>
        <w:jc w:val="both"/>
        <w:rPr>
          <w:rFonts w:ascii="Verdana" w:hAnsi="Verdana" w:cs="Arial"/>
          <w:sz w:val="16"/>
          <w:szCs w:val="16"/>
        </w:rPr>
      </w:pPr>
      <w:r w:rsidRPr="00EA4550">
        <w:rPr>
          <w:rStyle w:val="Refdenotaalpie"/>
          <w:rFonts w:ascii="Verdana" w:hAnsi="Verdana" w:cs="Arial"/>
          <w:sz w:val="16"/>
          <w:szCs w:val="16"/>
        </w:rPr>
        <w:footnoteRef/>
      </w:r>
      <w:r w:rsidRPr="00EA4550">
        <w:rPr>
          <w:rFonts w:ascii="Verdana" w:hAnsi="Verdana" w:cs="Arial"/>
          <w:sz w:val="16"/>
          <w:szCs w:val="16"/>
        </w:rPr>
        <w:t xml:space="preserve"> Decreto 1082 de 2015 −modificado por el artículo 2 del Decreto 142 de 2023−: “Artículo 2.2.1.1.1.4.1. </w:t>
      </w:r>
      <w:r w:rsidRPr="00EA4550">
        <w:rPr>
          <w:rFonts w:ascii="Verdana" w:hAnsi="Verdana" w:cs="Arial"/>
          <w:i/>
          <w:iCs/>
          <w:sz w:val="16"/>
          <w:szCs w:val="16"/>
        </w:rPr>
        <w:t>Plan Anual de Adquisiciones. </w:t>
      </w:r>
      <w:r w:rsidRPr="00EA4550">
        <w:rPr>
          <w:rFonts w:ascii="Verdana" w:hAnsi="Verdana" w:cs="Arial"/>
          <w:sz w:val="16"/>
          <w:szCs w:val="16"/>
        </w:rPr>
        <w:t>Las entidades estatales deben elaborar un Plan Anual de Adquisiciones, el cual debe contener la lista de bienes, obras y servicios que pretenden adquirir durante el año. En el Plan Anual de Adquisiciones, la Entidad Estatal debe señalar como mínimo la necesidad y cuando conoce el bien, obra o servicio que satisface esa necesidad debe identificarlo utilizando el Clasificador de Bienes y Servicios, e indicar el valor estimado del contrato, el tipo de recursos con cargo a los cuales la entidad estatal pagará el bien, obra o servicio, la modalidad de selección del contratista, y la fecha aproximada en la cual la entidad estatal iniciará el Proceso de Contratación.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7pt;height:11.7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675A6FB0"/>
    <w:lvl w:ilvl="0" w:tplc="15EC6280">
      <w:start w:val="1"/>
      <w:numFmt w:val="bullet"/>
      <w:lvlText w:val=""/>
      <w:lvlJc w:val="left"/>
      <w:pPr>
        <w:ind w:left="720" w:hanging="360"/>
      </w:pPr>
      <w:rPr>
        <w:rFonts w:ascii="Symbol" w:hAnsi="Symbol" w:hint="default"/>
        <w:color w:val="auto"/>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3189266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C4D82"/>
    <w:rsid w:val="000D0334"/>
    <w:rsid w:val="000D5DA7"/>
    <w:rsid w:val="000F6486"/>
    <w:rsid w:val="00116940"/>
    <w:rsid w:val="00125105"/>
    <w:rsid w:val="00127233"/>
    <w:rsid w:val="0015639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46890"/>
    <w:rsid w:val="00374F5E"/>
    <w:rsid w:val="003763AB"/>
    <w:rsid w:val="00377E3E"/>
    <w:rsid w:val="003A779E"/>
    <w:rsid w:val="003D0F4D"/>
    <w:rsid w:val="003D5B0D"/>
    <w:rsid w:val="003E0499"/>
    <w:rsid w:val="003E4F80"/>
    <w:rsid w:val="003E6439"/>
    <w:rsid w:val="003F3941"/>
    <w:rsid w:val="00406575"/>
    <w:rsid w:val="00414C74"/>
    <w:rsid w:val="0042722E"/>
    <w:rsid w:val="0044528D"/>
    <w:rsid w:val="00452E32"/>
    <w:rsid w:val="00466E39"/>
    <w:rsid w:val="004A1847"/>
    <w:rsid w:val="004A305D"/>
    <w:rsid w:val="004A5EF0"/>
    <w:rsid w:val="004F21C4"/>
    <w:rsid w:val="004F685F"/>
    <w:rsid w:val="005566E8"/>
    <w:rsid w:val="00574867"/>
    <w:rsid w:val="00591460"/>
    <w:rsid w:val="005A65E0"/>
    <w:rsid w:val="005C3777"/>
    <w:rsid w:val="005C5CDC"/>
    <w:rsid w:val="005D476C"/>
    <w:rsid w:val="006200BF"/>
    <w:rsid w:val="006219F8"/>
    <w:rsid w:val="006242CB"/>
    <w:rsid w:val="006302F7"/>
    <w:rsid w:val="00646B9F"/>
    <w:rsid w:val="00665D70"/>
    <w:rsid w:val="006900D9"/>
    <w:rsid w:val="006B193F"/>
    <w:rsid w:val="006C59DF"/>
    <w:rsid w:val="00706C16"/>
    <w:rsid w:val="007340C3"/>
    <w:rsid w:val="0075235A"/>
    <w:rsid w:val="00756841"/>
    <w:rsid w:val="007649AB"/>
    <w:rsid w:val="00771D0C"/>
    <w:rsid w:val="007833AC"/>
    <w:rsid w:val="007B268C"/>
    <w:rsid w:val="007B7171"/>
    <w:rsid w:val="007C0C0F"/>
    <w:rsid w:val="007C3DC2"/>
    <w:rsid w:val="007E5497"/>
    <w:rsid w:val="00802465"/>
    <w:rsid w:val="00806F5F"/>
    <w:rsid w:val="00820278"/>
    <w:rsid w:val="008258C9"/>
    <w:rsid w:val="00844AE9"/>
    <w:rsid w:val="00867F95"/>
    <w:rsid w:val="00882A96"/>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41479"/>
    <w:rsid w:val="00A9700E"/>
    <w:rsid w:val="00AB0ADB"/>
    <w:rsid w:val="00AF4C8B"/>
    <w:rsid w:val="00B00C0E"/>
    <w:rsid w:val="00B01B1A"/>
    <w:rsid w:val="00B0381D"/>
    <w:rsid w:val="00B44A47"/>
    <w:rsid w:val="00B71A9B"/>
    <w:rsid w:val="00B72CD3"/>
    <w:rsid w:val="00B72FFF"/>
    <w:rsid w:val="00BC3D36"/>
    <w:rsid w:val="00BD54A6"/>
    <w:rsid w:val="00BD7F72"/>
    <w:rsid w:val="00BF7425"/>
    <w:rsid w:val="00C04FB3"/>
    <w:rsid w:val="00C11D8B"/>
    <w:rsid w:val="00C15139"/>
    <w:rsid w:val="00C330EB"/>
    <w:rsid w:val="00C469D6"/>
    <w:rsid w:val="00C50D69"/>
    <w:rsid w:val="00C5365C"/>
    <w:rsid w:val="00C754BE"/>
    <w:rsid w:val="00C76B1C"/>
    <w:rsid w:val="00C925AC"/>
    <w:rsid w:val="00CB6357"/>
    <w:rsid w:val="00CC1B26"/>
    <w:rsid w:val="00D15C8C"/>
    <w:rsid w:val="00D361FD"/>
    <w:rsid w:val="00D423A2"/>
    <w:rsid w:val="00D44E26"/>
    <w:rsid w:val="00D520D8"/>
    <w:rsid w:val="00D63AC2"/>
    <w:rsid w:val="00D7383B"/>
    <w:rsid w:val="00D7788A"/>
    <w:rsid w:val="00D97B79"/>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1398D"/>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442BD052"/>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15C8C"/>
    <w:pPr>
      <w:spacing w:line="240" w:lineRule="exact"/>
    </w:pPr>
    <w:rPr>
      <w:vertAlign w:val="superscript"/>
    </w:rPr>
  </w:style>
  <w:style w:type="paragraph" w:styleId="Textoindependiente">
    <w:name w:val="Body Text"/>
    <w:basedOn w:val="Normal"/>
    <w:link w:val="TextoindependienteCar"/>
    <w:uiPriority w:val="99"/>
    <w:semiHidden/>
    <w:unhideWhenUsed/>
    <w:rsid w:val="00D15C8C"/>
    <w:pPr>
      <w:spacing w:after="120"/>
    </w:pPr>
  </w:style>
  <w:style w:type="character" w:customStyle="1" w:styleId="TextoindependienteCar">
    <w:name w:val="Texto independiente Car"/>
    <w:basedOn w:val="Fuentedeprrafopredeter"/>
    <w:link w:val="Textoindependiente"/>
    <w:uiPriority w:val="99"/>
    <w:semiHidden/>
    <w:rsid w:val="00D15C8C"/>
  </w:style>
  <w:style w:type="character" w:customStyle="1" w:styleId="NormalWebCar">
    <w:name w:val="Normal (Web) Car"/>
    <w:link w:val="NormalWeb"/>
    <w:uiPriority w:val="99"/>
    <w:locked/>
    <w:rsid w:val="00D15C8C"/>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chrome-extension://efaidnbmnnnibpcajpcglclefindmkaj/https:/www.colombiacompra.gov.co/wp-content/uploads/2025/09/Guia-para-la-Elaboracion-de-Estudios-del-Sector-V3.pdf"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abg.anadavid@gmail.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chrome-extension://efaidnbmnnnibpcajpcglclefindmkaj/https:/www.colombiacompra.gov.co/wp-content/uploads/2025/09/Guia-para-la-Elaboracion-de-Estudios-del-Sector-V3.pdf" TargetMode="External"/><Relationship Id="rId1" Type="http://schemas.openxmlformats.org/officeDocument/2006/relationships/hyperlink" Target="https://sintesis.colombiacompra.gov.co/sintesis/9-etapa-precontractual-estudios-previ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D79CB8E7-5F50-4346-9866-3AB7FDB1CEC1}"/>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90B15DC-F5A9-404A-BDC3-7A8A480EA9FB}">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5</TotalTime>
  <Pages>16</Pages>
  <Words>5242</Words>
  <Characters>28835</Characters>
  <Application>Microsoft Office Word</Application>
  <DocSecurity>0</DocSecurity>
  <Lines>240</Lines>
  <Paragraphs>68</Paragraphs>
  <ScaleCrop>false</ScaleCrop>
  <Company/>
  <LinksUpToDate>false</LinksUpToDate>
  <CharactersWithSpaces>34009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Camila Alejandra Naranjo Gómez</cp:lastModifiedBy>
  <cp:revision>7</cp:revision>
  <cp:lastPrinted>2023-01-10T21:18:00Z</cp:lastPrinted>
  <dcterms:created xsi:type="dcterms:W3CDTF">2026-05-29T20:43:00Z</dcterms:created>
  <dcterms:modified xsi:type="dcterms:W3CDTF">2026-05-29T21:12:00Z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