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1F61AC" w14:textId="77777777" w:rsidR="00A90B7C" w:rsidRPr="000036B2" w:rsidRDefault="00A90B7C" w:rsidP="00A90B7C">
      <w:pPr>
        <w:spacing w:after="0" w:line="240" w:lineRule="auto"/>
        <w:contextualSpacing/>
        <w:jc w:val="both"/>
        <w:rPr>
          <w:rFonts w:ascii="Verdana" w:eastAsia="Calibri" w:hAnsi="Verdana" w:cs="Arial"/>
          <w:b/>
          <w:lang w:val="es-MX" w:eastAsia="es-MX"/>
        </w:rPr>
      </w:pPr>
      <w:bookmarkStart w:id="0" w:name="_Hlk143780582"/>
      <w:r w:rsidRPr="000036B2">
        <w:rPr>
          <w:rFonts w:ascii="Verdana" w:eastAsia="Calibri" w:hAnsi="Verdana" w:cs="Arial"/>
          <w:b/>
          <w:lang w:val="es-MX" w:eastAsia="es-MX"/>
        </w:rPr>
        <w:t xml:space="preserve">LEY DE GARANTÍAS ELECTORALES – Naturaleza </w:t>
      </w:r>
      <w:r>
        <w:rPr>
          <w:rFonts w:ascii="Verdana" w:eastAsia="Calibri" w:hAnsi="Verdana" w:cs="Arial"/>
          <w:b/>
          <w:lang w:val="es-MX" w:eastAsia="es-MX"/>
        </w:rPr>
        <w:t>j</w:t>
      </w:r>
      <w:r w:rsidRPr="000036B2">
        <w:rPr>
          <w:rFonts w:ascii="Verdana" w:eastAsia="Calibri" w:hAnsi="Verdana" w:cs="Arial"/>
          <w:b/>
          <w:lang w:val="es-MX" w:eastAsia="es-MX"/>
        </w:rPr>
        <w:t xml:space="preserve">urídica </w:t>
      </w:r>
    </w:p>
    <w:p w14:paraId="0AF30005" w14:textId="77777777" w:rsidR="00A90B7C" w:rsidRPr="000036B2" w:rsidRDefault="00A90B7C" w:rsidP="00A90B7C">
      <w:pPr>
        <w:spacing w:after="0" w:line="240" w:lineRule="auto"/>
        <w:contextualSpacing/>
        <w:jc w:val="both"/>
        <w:rPr>
          <w:rFonts w:ascii="Verdana" w:eastAsia="Calibri" w:hAnsi="Verdana" w:cs="Arial"/>
          <w:b/>
          <w:sz w:val="20"/>
          <w:szCs w:val="20"/>
          <w:lang w:val="es-MX" w:eastAsia="es-MX"/>
        </w:rPr>
      </w:pPr>
    </w:p>
    <w:p w14:paraId="27546F19" w14:textId="77777777" w:rsidR="00A90B7C" w:rsidRPr="000036B2" w:rsidRDefault="00A90B7C" w:rsidP="00A90B7C">
      <w:pPr>
        <w:spacing w:after="0" w:line="240" w:lineRule="auto"/>
        <w:contextualSpacing/>
        <w:jc w:val="both"/>
        <w:rPr>
          <w:rFonts w:ascii="Verdana" w:eastAsia="Times New Roman" w:hAnsi="Verdana" w:cs="Arial"/>
          <w:bCs/>
          <w:sz w:val="20"/>
          <w:szCs w:val="20"/>
          <w:lang w:val="es-MX" w:eastAsia="es-CO"/>
        </w:rPr>
      </w:pPr>
      <w:r w:rsidRPr="000036B2">
        <w:rPr>
          <w:rFonts w:ascii="Verdana" w:eastAsia="Times New Roman" w:hAnsi="Verdana" w:cs="Arial"/>
          <w:bCs/>
          <w:sz w:val="20"/>
          <w:szCs w:val="20"/>
          <w:lang w:val="es-MX" w:eastAsia="es-CO"/>
        </w:rPr>
        <w:t>[…]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la citada ley introduce limitaciones para realizar nombramientos, postulaciones, contrataciones o cualquier otro tipo de actividad que implique destinación de recursos públicos bajo el devenir propio de las entidades estatales.</w:t>
      </w:r>
    </w:p>
    <w:p w14:paraId="6D36DD28" w14:textId="77777777" w:rsidR="00A90B7C" w:rsidRPr="000036B2" w:rsidRDefault="00A90B7C" w:rsidP="00A90B7C">
      <w:pPr>
        <w:spacing w:after="0" w:line="240" w:lineRule="auto"/>
        <w:jc w:val="both"/>
        <w:rPr>
          <w:rFonts w:ascii="Verdana" w:hAnsi="Verdana"/>
        </w:rPr>
      </w:pPr>
    </w:p>
    <w:p w14:paraId="6CCF47E2" w14:textId="77777777" w:rsidR="00A90B7C" w:rsidRPr="000036B2" w:rsidRDefault="00A90B7C" w:rsidP="00A90B7C">
      <w:pPr>
        <w:spacing w:after="0" w:line="240" w:lineRule="auto"/>
        <w:contextualSpacing/>
        <w:jc w:val="both"/>
        <w:rPr>
          <w:rFonts w:ascii="Verdana" w:eastAsia="Calibri" w:hAnsi="Verdana" w:cs="Arial"/>
          <w:b/>
          <w:sz w:val="20"/>
          <w:szCs w:val="20"/>
          <w:lang w:val="es-MX" w:eastAsia="es-MX"/>
        </w:rPr>
      </w:pPr>
      <w:r w:rsidRPr="000036B2">
        <w:rPr>
          <w:rFonts w:ascii="Verdana" w:eastAsia="Calibri" w:hAnsi="Verdana" w:cs="Arial"/>
          <w:b/>
          <w:lang w:val="es-MX" w:eastAsia="es-MX"/>
        </w:rPr>
        <w:t>LEY DE GARANTÍAS ELECTORALES – Prohibiciones</w:t>
      </w:r>
      <w:r w:rsidRPr="000036B2">
        <w:rPr>
          <w:rFonts w:ascii="Verdana" w:eastAsia="Calibri" w:hAnsi="Verdana" w:cs="Arial"/>
          <w:b/>
          <w:sz w:val="20"/>
          <w:szCs w:val="20"/>
          <w:lang w:val="es-MX" w:eastAsia="es-MX"/>
        </w:rPr>
        <w:t xml:space="preserve"> </w:t>
      </w:r>
    </w:p>
    <w:p w14:paraId="670588C8" w14:textId="77777777" w:rsidR="00A90B7C" w:rsidRPr="000036B2" w:rsidRDefault="00A90B7C" w:rsidP="00A90B7C">
      <w:pPr>
        <w:spacing w:after="0" w:line="240" w:lineRule="auto"/>
        <w:contextualSpacing/>
        <w:jc w:val="both"/>
        <w:rPr>
          <w:rFonts w:ascii="Verdana" w:eastAsia="Calibri" w:hAnsi="Verdana" w:cs="Arial"/>
          <w:b/>
          <w:sz w:val="20"/>
          <w:szCs w:val="20"/>
          <w:lang w:val="es-MX" w:eastAsia="es-MX"/>
        </w:rPr>
      </w:pPr>
    </w:p>
    <w:p w14:paraId="5A5D5F35" w14:textId="77777777" w:rsidR="00A90B7C" w:rsidRPr="000036B2" w:rsidRDefault="00A90B7C" w:rsidP="00A90B7C">
      <w:pPr>
        <w:spacing w:after="0" w:line="240" w:lineRule="auto"/>
        <w:contextualSpacing/>
        <w:jc w:val="both"/>
        <w:rPr>
          <w:rFonts w:ascii="Verdana" w:eastAsia="Times New Roman" w:hAnsi="Verdana" w:cs="Arial"/>
          <w:bCs/>
          <w:sz w:val="20"/>
          <w:szCs w:val="20"/>
          <w:lang w:val="es-MX" w:eastAsia="es-CO"/>
        </w:rPr>
      </w:pPr>
      <w:r w:rsidRPr="000036B2">
        <w:rPr>
          <w:rFonts w:ascii="Verdana" w:eastAsia="Times New Roman" w:hAnsi="Verdana" w:cs="Arial"/>
          <w:bCs/>
          <w:sz w:val="20"/>
          <w:szCs w:val="20"/>
          <w:lang w:val="es-MX" w:eastAsia="es-CO"/>
        </w:rPr>
        <w:t>De conformidad con lo anterior, 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p>
    <w:p w14:paraId="4B1A6C70" w14:textId="77777777" w:rsidR="00A90B7C" w:rsidRPr="000036B2" w:rsidRDefault="00A90B7C" w:rsidP="00A90B7C">
      <w:pPr>
        <w:spacing w:after="0" w:line="240" w:lineRule="auto"/>
        <w:contextualSpacing/>
        <w:jc w:val="both"/>
        <w:rPr>
          <w:rFonts w:ascii="Verdana" w:eastAsia="Times New Roman" w:hAnsi="Verdana" w:cs="Arial"/>
          <w:bCs/>
          <w:sz w:val="20"/>
          <w:szCs w:val="20"/>
          <w:lang w:val="es-MX" w:eastAsia="es-CO"/>
        </w:rPr>
      </w:pPr>
    </w:p>
    <w:p w14:paraId="4FBEEC03" w14:textId="77777777" w:rsidR="00A90B7C" w:rsidRPr="000036B2" w:rsidRDefault="00A90B7C" w:rsidP="00A90B7C">
      <w:pPr>
        <w:spacing w:after="0" w:line="240" w:lineRule="auto"/>
        <w:contextualSpacing/>
        <w:jc w:val="both"/>
        <w:rPr>
          <w:rFonts w:ascii="Verdana" w:eastAsia="Times New Roman" w:hAnsi="Verdana" w:cs="Arial"/>
          <w:bCs/>
          <w:sz w:val="20"/>
          <w:szCs w:val="20"/>
          <w:lang w:val="es-MX" w:eastAsia="es-CO"/>
        </w:rPr>
      </w:pPr>
      <w:r w:rsidRPr="000036B2">
        <w:rPr>
          <w:rFonts w:ascii="Verdana" w:eastAsia="Times New Roman" w:hAnsi="Verdana" w:cs="Arial"/>
          <w:bCs/>
          <w:sz w:val="20"/>
          <w:szCs w:val="20"/>
          <w:lang w:val="es-MX" w:eastAsia="es-CO"/>
        </w:rPr>
        <w:t>Por un lado,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6A711B6F" w14:textId="77777777" w:rsidR="00A90B7C" w:rsidRPr="000036B2" w:rsidRDefault="00A90B7C" w:rsidP="00A90B7C">
      <w:pPr>
        <w:spacing w:after="0" w:line="240" w:lineRule="auto"/>
        <w:contextualSpacing/>
        <w:jc w:val="both"/>
        <w:rPr>
          <w:rFonts w:ascii="Verdana" w:eastAsia="Times New Roman" w:hAnsi="Verdana" w:cs="Arial"/>
          <w:bCs/>
          <w:sz w:val="20"/>
          <w:szCs w:val="20"/>
          <w:lang w:val="es-MX" w:eastAsia="es-CO"/>
        </w:rPr>
      </w:pPr>
    </w:p>
    <w:p w14:paraId="10366431" w14:textId="77777777" w:rsidR="00A90B7C" w:rsidRDefault="00A90B7C" w:rsidP="00A90B7C">
      <w:pPr>
        <w:spacing w:after="0" w:line="240" w:lineRule="auto"/>
        <w:contextualSpacing/>
        <w:jc w:val="both"/>
        <w:rPr>
          <w:rFonts w:ascii="Verdana" w:eastAsia="Times New Roman" w:hAnsi="Verdana" w:cs="Arial"/>
          <w:bCs/>
          <w:sz w:val="20"/>
          <w:szCs w:val="20"/>
          <w:lang w:val="es-MX" w:eastAsia="es-CO"/>
        </w:rPr>
      </w:pPr>
      <w:r w:rsidRPr="000036B2">
        <w:rPr>
          <w:rFonts w:ascii="Verdana" w:eastAsia="Times New Roman" w:hAnsi="Verdana" w:cs="Arial"/>
          <w:bCs/>
          <w:sz w:val="20"/>
          <w:szCs w:val="20"/>
          <w:lang w:val="es-MX" w:eastAsia="es-CO"/>
        </w:rPr>
        <w:t>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68A7FFCB" w14:textId="77777777" w:rsidR="00A90B7C" w:rsidRDefault="00A90B7C" w:rsidP="00A90B7C">
      <w:pPr>
        <w:spacing w:after="0" w:line="240" w:lineRule="auto"/>
        <w:contextualSpacing/>
        <w:jc w:val="both"/>
        <w:rPr>
          <w:rFonts w:ascii="Verdana" w:eastAsia="Times New Roman" w:hAnsi="Verdana" w:cs="Arial"/>
          <w:bCs/>
          <w:sz w:val="20"/>
          <w:szCs w:val="20"/>
          <w:lang w:val="es-MX" w:eastAsia="es-CO"/>
        </w:rPr>
      </w:pPr>
    </w:p>
    <w:p w14:paraId="5F093D33" w14:textId="77777777" w:rsidR="00A90B7C" w:rsidRDefault="00A90B7C" w:rsidP="00A90B7C">
      <w:pPr>
        <w:spacing w:after="0" w:line="240" w:lineRule="auto"/>
        <w:contextualSpacing/>
        <w:jc w:val="both"/>
        <w:rPr>
          <w:rFonts w:ascii="Verdana" w:eastAsia="Times New Roman" w:hAnsi="Verdana" w:cs="Arial"/>
          <w:bCs/>
          <w:sz w:val="20"/>
          <w:szCs w:val="20"/>
          <w:lang w:val="es-MX" w:eastAsia="es-CO"/>
        </w:rPr>
      </w:pPr>
    </w:p>
    <w:p w14:paraId="71761CB4" w14:textId="77777777" w:rsidR="00A90B7C" w:rsidRDefault="00A90B7C" w:rsidP="00A90B7C">
      <w:pPr>
        <w:spacing w:after="0" w:line="240" w:lineRule="auto"/>
        <w:contextualSpacing/>
        <w:jc w:val="both"/>
        <w:rPr>
          <w:rFonts w:ascii="Verdana" w:eastAsia="Times New Roman" w:hAnsi="Verdana" w:cs="Arial"/>
          <w:bCs/>
          <w:sz w:val="20"/>
          <w:szCs w:val="20"/>
          <w:lang w:val="es-MX" w:eastAsia="es-CO"/>
        </w:rPr>
      </w:pPr>
    </w:p>
    <w:p w14:paraId="49B0C68B" w14:textId="77777777" w:rsidR="00A90B7C" w:rsidRDefault="00A90B7C" w:rsidP="00A90B7C">
      <w:pPr>
        <w:spacing w:after="0" w:line="240" w:lineRule="auto"/>
        <w:contextualSpacing/>
        <w:jc w:val="both"/>
        <w:rPr>
          <w:rFonts w:ascii="Verdana" w:eastAsia="Times New Roman" w:hAnsi="Verdana" w:cs="Arial"/>
          <w:bCs/>
          <w:sz w:val="20"/>
          <w:szCs w:val="20"/>
          <w:lang w:val="es-MX" w:eastAsia="es-CO"/>
        </w:rPr>
      </w:pPr>
    </w:p>
    <w:p w14:paraId="100C0AEF" w14:textId="77777777" w:rsidR="00A90B7C" w:rsidRPr="000036B2" w:rsidRDefault="00A90B7C" w:rsidP="00A90B7C">
      <w:pPr>
        <w:spacing w:after="0" w:line="240" w:lineRule="auto"/>
        <w:contextualSpacing/>
        <w:jc w:val="both"/>
        <w:rPr>
          <w:rFonts w:ascii="Verdana" w:eastAsia="Times New Roman" w:hAnsi="Verdana" w:cs="Arial"/>
          <w:bCs/>
          <w:sz w:val="20"/>
          <w:szCs w:val="20"/>
          <w:lang w:val="es-MX" w:eastAsia="es-CO"/>
        </w:rPr>
      </w:pPr>
    </w:p>
    <w:p w14:paraId="11AE70BD" w14:textId="77777777" w:rsidR="00A90B7C" w:rsidRPr="000036B2" w:rsidRDefault="00A90B7C" w:rsidP="00A90B7C">
      <w:pPr>
        <w:tabs>
          <w:tab w:val="left" w:pos="1574"/>
        </w:tabs>
        <w:spacing w:after="0" w:line="240" w:lineRule="auto"/>
        <w:jc w:val="both"/>
        <w:rPr>
          <w:rFonts w:ascii="Verdana" w:eastAsia="Times New Roman" w:hAnsi="Verdana" w:cs="Arial"/>
          <w:bCs/>
          <w:sz w:val="20"/>
          <w:szCs w:val="20"/>
          <w:lang w:val="es-MX" w:eastAsia="es-CO"/>
        </w:rPr>
      </w:pPr>
    </w:p>
    <w:p w14:paraId="6C27BA54" w14:textId="77777777" w:rsidR="00A90B7C" w:rsidRPr="000036B2" w:rsidRDefault="00A90B7C" w:rsidP="00A90B7C">
      <w:pPr>
        <w:shd w:val="clear" w:color="auto" w:fill="FFFFFF"/>
        <w:spacing w:after="0" w:line="240" w:lineRule="auto"/>
        <w:contextualSpacing/>
        <w:jc w:val="both"/>
        <w:rPr>
          <w:rFonts w:ascii="Verdana" w:eastAsia="Times New Roman" w:hAnsi="Verdana" w:cs="Arial"/>
          <w:b/>
          <w:lang w:eastAsia="es-CO"/>
        </w:rPr>
      </w:pPr>
      <w:r w:rsidRPr="00F46F75">
        <w:rPr>
          <w:rFonts w:ascii="Verdana" w:eastAsia="Times New Roman" w:hAnsi="Verdana" w:cs="Arial"/>
          <w:b/>
          <w:bCs/>
          <w:lang w:eastAsia="es-CO"/>
        </w:rPr>
        <w:lastRenderedPageBreak/>
        <w:t>LEY DE GARANTÍAS ELECTORALES ─ Artículo 33 ‒ Excepciones – Contratos para la atención de emergencias</w:t>
      </w:r>
    </w:p>
    <w:p w14:paraId="4B242725" w14:textId="77777777" w:rsidR="00A90B7C" w:rsidRPr="00327549" w:rsidRDefault="00A90B7C" w:rsidP="00A90B7C">
      <w:pPr>
        <w:tabs>
          <w:tab w:val="left" w:pos="426"/>
        </w:tabs>
        <w:spacing w:after="120" w:line="240" w:lineRule="auto"/>
        <w:jc w:val="both"/>
        <w:rPr>
          <w:rFonts w:ascii="Verdana" w:eastAsia="Times New Roman" w:hAnsi="Verdana" w:cs="Arial"/>
          <w:bCs/>
          <w:sz w:val="20"/>
          <w:szCs w:val="20"/>
          <w:lang w:eastAsia="es-CO"/>
        </w:rPr>
      </w:pPr>
      <w:r w:rsidRPr="00327549">
        <w:rPr>
          <w:rFonts w:ascii="Verdana" w:eastAsia="Times New Roman" w:hAnsi="Verdana" w:cs="Arial"/>
          <w:sz w:val="20"/>
          <w:szCs w:val="20"/>
          <w:lang w:eastAsia="x-none"/>
        </w:rPr>
        <w:t xml:space="preserve">[…] </w:t>
      </w:r>
      <w:r w:rsidRPr="00327549">
        <w:rPr>
          <w:rFonts w:ascii="Verdana" w:eastAsia="Times New Roman" w:hAnsi="Verdana" w:cs="Arial"/>
          <w:bCs/>
          <w:sz w:val="20"/>
          <w:szCs w:val="20"/>
          <w:lang w:eastAsia="es-CO"/>
        </w:rPr>
        <w:t xml:space="preserve">Teniendo en cuenta el análisis precedente, de cara a la aplicación de la Ley de Garantías Electorales, los municipios y distritos, durante el periodo de aplicación de la prohibición establecida en el artículo 33 de la Ley 996 de 2005 podrán celebrar contratos y convenios con Cuerpos de Bomberos Voluntarios siempre que se realice un procedimiento competitivo, que permita la participación de pluralidad de oferentes. Por el contrario, no le será posible a un ente territorial celebrar contratos a través de una </w:t>
      </w:r>
      <w:r w:rsidRPr="00327549">
        <w:rPr>
          <w:rFonts w:ascii="Verdana" w:eastAsia="Times New Roman" w:hAnsi="Verdana" w:cs="Arial"/>
          <w:i/>
          <w:sz w:val="20"/>
          <w:szCs w:val="20"/>
          <w:lang w:eastAsia="es-CO"/>
        </w:rPr>
        <w:t>contratación directa</w:t>
      </w:r>
      <w:r w:rsidRPr="00327549">
        <w:rPr>
          <w:rFonts w:ascii="Verdana" w:eastAsia="Times New Roman" w:hAnsi="Verdana" w:cs="Arial"/>
          <w:bCs/>
          <w:sz w:val="20"/>
          <w:szCs w:val="20"/>
          <w:lang w:eastAsia="es-CO"/>
        </w:rPr>
        <w:t>, entendiendo esta como aquel sistema de selección de contratistas en el que no exista convocatoria pública, ni sea posible la participación de una pluralidad de oferentes, independientemente del régimen de contratación que se aplique. En el caso de entidades sometidas al EGCAP, como los municipios y distritos, tal restricción implica la imposibilidad de acudir a las causales de contratación directa previstas en el artículo 2, numeral 4 de la Ley 1150 de 2007, ni al supuesto de contratación directa regulado en el artículo 5 del Decreto 092 de 2017, salvo que se configure alguna de las excepciones previstas en el inciso segundo del artículo 33 de la Ley 996 de 2005. […]</w:t>
      </w:r>
    </w:p>
    <w:p w14:paraId="44FE8F62" w14:textId="77777777" w:rsidR="00A90B7C" w:rsidRPr="00E12ADB" w:rsidRDefault="00A90B7C" w:rsidP="00A90B7C">
      <w:pPr>
        <w:tabs>
          <w:tab w:val="left" w:pos="426"/>
        </w:tabs>
        <w:spacing w:after="0" w:line="240" w:lineRule="auto"/>
        <w:contextualSpacing/>
        <w:jc w:val="both"/>
        <w:rPr>
          <w:rFonts w:ascii="Verdana" w:eastAsia="Times New Roman" w:hAnsi="Verdana" w:cs="Arial"/>
          <w:b/>
          <w:bCs/>
          <w:lang w:eastAsia="x-none"/>
        </w:rPr>
      </w:pPr>
    </w:p>
    <w:p w14:paraId="74CF6D61" w14:textId="77777777" w:rsidR="00A90B7C" w:rsidRPr="00E12ADB" w:rsidRDefault="00A90B7C" w:rsidP="00A90B7C">
      <w:pPr>
        <w:spacing w:after="0" w:line="240" w:lineRule="auto"/>
        <w:contextualSpacing/>
        <w:jc w:val="both"/>
        <w:rPr>
          <w:rFonts w:ascii="Verdana" w:eastAsia="Times New Roman" w:hAnsi="Verdana" w:cs="Arial"/>
          <w:b/>
          <w:bCs/>
          <w:lang w:eastAsia="x-none"/>
        </w:rPr>
      </w:pPr>
      <w:r w:rsidRPr="00E12ADB">
        <w:rPr>
          <w:rFonts w:ascii="Verdana" w:eastAsia="Times New Roman" w:hAnsi="Verdana" w:cs="Arial"/>
          <w:b/>
          <w:bCs/>
          <w:lang w:eastAsia="x-none"/>
        </w:rPr>
        <w:t>CUERPOS DE BOMBEROS VOLUNTARIOS ‒ Noción</w:t>
      </w:r>
    </w:p>
    <w:p w14:paraId="54A406B7" w14:textId="77777777" w:rsidR="00A90B7C" w:rsidRPr="000036B2" w:rsidRDefault="00A90B7C" w:rsidP="00A90B7C">
      <w:pPr>
        <w:spacing w:after="0" w:line="240" w:lineRule="auto"/>
        <w:contextualSpacing/>
        <w:jc w:val="both"/>
        <w:rPr>
          <w:rFonts w:ascii="Verdana" w:eastAsia="Times New Roman" w:hAnsi="Verdana" w:cs="Arial"/>
          <w:b/>
          <w:lang w:val="es-ES" w:eastAsia="es-CO"/>
        </w:rPr>
      </w:pPr>
    </w:p>
    <w:p w14:paraId="33A28AA6" w14:textId="77777777" w:rsidR="00A90B7C" w:rsidRPr="00FF2C4D" w:rsidRDefault="00A90B7C" w:rsidP="00A90B7C">
      <w:pPr>
        <w:spacing w:after="120" w:line="240" w:lineRule="auto"/>
        <w:jc w:val="both"/>
        <w:rPr>
          <w:rFonts w:ascii="Verdana" w:eastAsia="Times New Roman" w:hAnsi="Verdana" w:cs="Arial"/>
          <w:bCs/>
          <w:sz w:val="20"/>
          <w:szCs w:val="20"/>
          <w:lang w:eastAsia="es-CO"/>
        </w:rPr>
      </w:pPr>
      <w:r w:rsidRPr="00FF2C4D">
        <w:rPr>
          <w:rFonts w:ascii="Verdana" w:eastAsia="Times New Roman" w:hAnsi="Verdana" w:cs="Arial"/>
          <w:bCs/>
          <w:sz w:val="20"/>
          <w:szCs w:val="20"/>
          <w:lang w:eastAsia="es-CO"/>
        </w:rPr>
        <w:t>[…] Con arreglo a lo dispuesto en el artículo 4 de la referida ley, los Cuerpos de Bomberos Voluntarios Reconocidos integran los Bomberos de Colombia y hacen parte integral del Sistema Nacional para la Prevención y Atención de Desastres. Estos son definidos por el artículo 18 como aquellos “organizados como asociaciones sin ánimo de lucro, de utilidad común y con personería jurídica expedida por las secretarías de gobierno departamentales, organizadas para la prestación del servicio público para la gestión integral del riesgo contra incendio, los preparativos y atención de rescates en todas sus modalidades y la atención de incidentes con materiales peligrosos, en los términos del artículo segundo de la presente ley y con certificado de cumplimiento expedido por la dirección Nacional de Bomberos”. […]</w:t>
      </w:r>
    </w:p>
    <w:p w14:paraId="7DADD8EB" w14:textId="77777777" w:rsidR="00A90B7C" w:rsidRDefault="00A90B7C" w:rsidP="00A90B7C">
      <w:pPr>
        <w:spacing w:after="0"/>
        <w:jc w:val="both"/>
        <w:rPr>
          <w:rFonts w:ascii="Verdana" w:eastAsia="Times New Roman" w:hAnsi="Verdana" w:cs="Arial"/>
          <w:sz w:val="20"/>
          <w:szCs w:val="20"/>
          <w:lang w:eastAsia="x-none"/>
        </w:rPr>
      </w:pPr>
    </w:p>
    <w:p w14:paraId="1167AEAD" w14:textId="77777777" w:rsidR="00A90B7C" w:rsidRPr="009969AD" w:rsidRDefault="00A90B7C" w:rsidP="00A90B7C">
      <w:pPr>
        <w:spacing w:after="0"/>
        <w:jc w:val="both"/>
        <w:rPr>
          <w:rFonts w:ascii="Verdana" w:eastAsia="Verdana" w:hAnsi="Verdana" w:cs="Verdana"/>
          <w:color w:val="ED7D31" w:themeColor="accent2"/>
          <w:sz w:val="20"/>
          <w:szCs w:val="20"/>
        </w:rPr>
      </w:pPr>
      <w:r w:rsidRPr="003C4FD7">
        <w:rPr>
          <w:rFonts w:ascii="Verdana" w:eastAsia="Times New Roman" w:hAnsi="Verdana" w:cs="Arial"/>
          <w:b/>
          <w:bCs/>
          <w:lang w:eastAsia="es-CO"/>
        </w:rPr>
        <w:t>CUERPOS DE BOMBEROS VOLUNTARIOS – Servicio público esencial</w:t>
      </w:r>
    </w:p>
    <w:p w14:paraId="51A4EDB3" w14:textId="77777777" w:rsidR="00A90B7C" w:rsidRPr="003C4FD7" w:rsidRDefault="00A90B7C" w:rsidP="00A90B7C">
      <w:pPr>
        <w:spacing w:after="0"/>
        <w:jc w:val="both"/>
        <w:rPr>
          <w:rFonts w:ascii="Verdana" w:eastAsia="Verdana" w:hAnsi="Verdana" w:cs="Verdana"/>
          <w:color w:val="ED7D31" w:themeColor="accent2"/>
          <w:sz w:val="20"/>
          <w:szCs w:val="20"/>
        </w:rPr>
      </w:pPr>
    </w:p>
    <w:p w14:paraId="3F3FD77A" w14:textId="77777777" w:rsidR="00A90B7C" w:rsidRDefault="00A90B7C" w:rsidP="00A90B7C">
      <w:pPr>
        <w:spacing w:after="120" w:line="240" w:lineRule="auto"/>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 xml:space="preserve">[…] </w:t>
      </w:r>
      <w:r w:rsidRPr="003C4FD7">
        <w:rPr>
          <w:rFonts w:ascii="Verdana" w:eastAsia="Times New Roman" w:hAnsi="Verdana" w:cs="Arial"/>
          <w:bCs/>
          <w:sz w:val="20"/>
          <w:szCs w:val="20"/>
          <w:lang w:eastAsia="es-CO"/>
        </w:rPr>
        <w:t xml:space="preserve">Por su parte, el artículo 3 de la Ley 1575 de 2012 establece el marco conceptual y los principios que orientan la organización, dirección y prestación del servicio público esencial de gestión integral del riesgo contra incendio, así como las actividades de rescate y atención de incidentes con materiales peligrosos. En este sentido, precisa los elementos que estructuran la función bomberil y delimita su alcance dentro del sistema de gestión del riesgo, reafirmando su carácter de servicio público a cargo del Estado. Para el efecto, el inciso cuarto de la norma estable que: “Es obligación de los distritos, con asiento en su respectiva jurisdicción y de los municipios la prestación del servicio público esencial a través de los cuerpos de bomberos oficiales o </w:t>
      </w:r>
      <w:r w:rsidRPr="003C4FD7">
        <w:rPr>
          <w:rFonts w:ascii="Verdana" w:eastAsia="Times New Roman" w:hAnsi="Verdana" w:cs="Arial"/>
          <w:bCs/>
          <w:i/>
          <w:iCs/>
          <w:sz w:val="20"/>
          <w:szCs w:val="20"/>
          <w:lang w:eastAsia="es-CO"/>
        </w:rPr>
        <w:t>mediante la celebración de contratos y/o convenios con los cuerpos de bomberos voluntarios</w:t>
      </w:r>
      <w:r w:rsidRPr="003C4FD7">
        <w:rPr>
          <w:rFonts w:ascii="Verdana" w:eastAsia="Times New Roman" w:hAnsi="Verdana" w:cs="Arial"/>
          <w:bCs/>
          <w:sz w:val="20"/>
          <w:szCs w:val="20"/>
          <w:lang w:eastAsia="es-CO"/>
        </w:rPr>
        <w:t>” [Énfasis fuera de texto]. </w:t>
      </w:r>
      <w:r>
        <w:rPr>
          <w:rFonts w:ascii="Verdana" w:eastAsia="Times New Roman" w:hAnsi="Verdana" w:cs="Arial"/>
          <w:bCs/>
          <w:sz w:val="20"/>
          <w:szCs w:val="20"/>
          <w:lang w:eastAsia="es-CO"/>
        </w:rPr>
        <w:t>[…]</w:t>
      </w:r>
    </w:p>
    <w:p w14:paraId="11D68EA7" w14:textId="77777777" w:rsidR="00A90B7C" w:rsidRDefault="00A90B7C" w:rsidP="00A90B7C">
      <w:pPr>
        <w:spacing w:after="120" w:line="240" w:lineRule="auto"/>
        <w:jc w:val="both"/>
        <w:rPr>
          <w:rFonts w:ascii="Verdana" w:eastAsia="Times New Roman" w:hAnsi="Verdana" w:cs="Arial"/>
          <w:bCs/>
          <w:sz w:val="20"/>
          <w:szCs w:val="20"/>
          <w:lang w:eastAsia="es-CO"/>
        </w:rPr>
      </w:pPr>
    </w:p>
    <w:p w14:paraId="6B275330" w14:textId="77777777" w:rsidR="00A90B7C" w:rsidRDefault="00A90B7C" w:rsidP="00A90B7C">
      <w:pPr>
        <w:spacing w:after="120" w:line="240" w:lineRule="auto"/>
        <w:jc w:val="both"/>
        <w:rPr>
          <w:rFonts w:ascii="Verdana" w:eastAsia="Times New Roman" w:hAnsi="Verdana" w:cs="Arial"/>
          <w:bCs/>
          <w:sz w:val="20"/>
          <w:szCs w:val="20"/>
          <w:lang w:eastAsia="es-CO"/>
        </w:rPr>
      </w:pPr>
    </w:p>
    <w:p w14:paraId="0F3A28EF" w14:textId="77777777" w:rsidR="00A90B7C" w:rsidRDefault="00A90B7C" w:rsidP="00A90B7C">
      <w:pPr>
        <w:spacing w:after="120" w:line="240" w:lineRule="auto"/>
        <w:jc w:val="both"/>
        <w:rPr>
          <w:rFonts w:ascii="Verdana" w:eastAsia="Times New Roman" w:hAnsi="Verdana" w:cs="Arial"/>
          <w:b/>
          <w:lang w:eastAsia="es-CO"/>
        </w:rPr>
      </w:pPr>
      <w:r w:rsidRPr="00FC5C38">
        <w:rPr>
          <w:rFonts w:ascii="Verdana" w:eastAsia="Times New Roman" w:hAnsi="Verdana" w:cs="Arial"/>
          <w:b/>
          <w:lang w:eastAsia="es-CO"/>
        </w:rPr>
        <w:t>CUERPOS DE BOMBEROS VOLUNTARIOS – Modalidades de selección contratación</w:t>
      </w:r>
    </w:p>
    <w:p w14:paraId="4541027C" w14:textId="77777777" w:rsidR="00A90B7C" w:rsidRPr="00752B85" w:rsidRDefault="00A90B7C" w:rsidP="00A90B7C">
      <w:pPr>
        <w:spacing w:after="120" w:line="240" w:lineRule="auto"/>
        <w:jc w:val="both"/>
        <w:rPr>
          <w:rFonts w:ascii="Verdana" w:eastAsia="Times New Roman" w:hAnsi="Verdana" w:cs="Arial"/>
          <w:b/>
          <w:sz w:val="20"/>
          <w:szCs w:val="20"/>
          <w:lang w:eastAsia="es-CO"/>
        </w:rPr>
      </w:pPr>
      <w:r w:rsidRPr="00752B85">
        <w:rPr>
          <w:rFonts w:ascii="Verdana" w:hAnsi="Verdana"/>
          <w:sz w:val="20"/>
          <w:szCs w:val="20"/>
        </w:rPr>
        <w:t xml:space="preserve">[…] </w:t>
      </w:r>
      <w:r w:rsidRPr="00752B85">
        <w:rPr>
          <w:rFonts w:ascii="Verdana" w:eastAsia="Calibri" w:hAnsi="Verdana" w:cs="Arial"/>
          <w:bCs/>
          <w:sz w:val="20"/>
          <w:szCs w:val="20"/>
          <w:lang w:val="es-ES_tradnl" w:eastAsia="x-none"/>
        </w:rPr>
        <w:t>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w:t>
      </w:r>
      <w:r>
        <w:rPr>
          <w:rFonts w:ascii="Verdana" w:eastAsia="Calibri" w:hAnsi="Verdana" w:cs="Arial"/>
          <w:bCs/>
          <w:sz w:val="20"/>
          <w:szCs w:val="20"/>
          <w:lang w:val="es-ES_tradnl" w:eastAsia="x-none"/>
        </w:rPr>
        <w:t>s.</w:t>
      </w:r>
    </w:p>
    <w:p w14:paraId="6A092895" w14:textId="77777777" w:rsidR="00A90B7C" w:rsidRPr="00752B85" w:rsidRDefault="00A90B7C" w:rsidP="00A90B7C">
      <w:pPr>
        <w:spacing w:after="120" w:line="240" w:lineRule="auto"/>
        <w:jc w:val="both"/>
        <w:rPr>
          <w:rFonts w:ascii="Verdana" w:eastAsia="Calibri" w:hAnsi="Verdana" w:cs="Arial"/>
          <w:sz w:val="20"/>
          <w:szCs w:val="20"/>
          <w:lang w:val="es-ES_tradnl" w:eastAsia="x-none"/>
        </w:rPr>
      </w:pPr>
      <w:r w:rsidRPr="00752B85">
        <w:rPr>
          <w:rFonts w:ascii="Verdana" w:eastAsia="Calibri" w:hAnsi="Verdana" w:cs="Arial"/>
          <w:bCs/>
          <w:sz w:val="20"/>
          <w:szCs w:val="20"/>
          <w:lang w:val="es-ES_tradnl" w:eastAsia="x-none"/>
        </w:rPr>
        <w:t>De lo anterior se desprende que la restricción aplica, sin perjuicio de las excepciones establecidas en la misma ley, para celebrar cualquier contrato de forma directa, esto es, sin que exista un proceso abierto y competitivo.</w:t>
      </w:r>
      <w:r w:rsidRPr="00752B85">
        <w:rPr>
          <w:rFonts w:ascii="Verdana" w:eastAsia="Calibri" w:hAnsi="Verdana" w:cs="Arial"/>
          <w:sz w:val="20"/>
          <w:szCs w:val="20"/>
          <w:lang w:val="es-ES_tradnl"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7C66DEA7" w14:textId="77777777" w:rsidR="00A90B7C" w:rsidRPr="00752B85" w:rsidRDefault="00A90B7C" w:rsidP="00A90B7C">
      <w:pPr>
        <w:spacing w:after="120" w:line="240" w:lineRule="auto"/>
        <w:jc w:val="both"/>
        <w:rPr>
          <w:rFonts w:ascii="Verdana" w:eastAsia="Times New Roman" w:hAnsi="Verdana" w:cs="Arial"/>
          <w:b/>
          <w:sz w:val="20"/>
          <w:szCs w:val="20"/>
          <w:lang w:eastAsia="es-CO"/>
        </w:rPr>
      </w:pPr>
      <w:r w:rsidRPr="00752B85">
        <w:rPr>
          <w:rFonts w:ascii="Verdana" w:eastAsia="Calibri" w:hAnsi="Verdana" w:cs="Arial"/>
          <w:sz w:val="20"/>
          <w:szCs w:val="20"/>
          <w:lang w:val="es-ES" w:eastAsia="es-CO"/>
        </w:rPr>
        <w:t xml:space="preserve">Como en otras oportunidades lo ha manifestado esta Agencia, las prórrogas, modificaciones o adiciones de los contratos suscritos antes de la </w:t>
      </w:r>
      <w:proofErr w:type="gramStart"/>
      <w:r w:rsidRPr="00752B85">
        <w:rPr>
          <w:rFonts w:ascii="Verdana" w:eastAsia="Calibri" w:hAnsi="Verdana" w:cs="Arial"/>
          <w:sz w:val="20"/>
          <w:szCs w:val="20"/>
          <w:lang w:val="es-ES" w:eastAsia="es-CO"/>
        </w:rPr>
        <w:t>entrada en vigencia</w:t>
      </w:r>
      <w:proofErr w:type="gramEnd"/>
      <w:r w:rsidRPr="00752B85">
        <w:rPr>
          <w:rFonts w:ascii="Verdana" w:eastAsia="Calibri" w:hAnsi="Verdana" w:cs="Arial"/>
          <w:sz w:val="20"/>
          <w:szCs w:val="20"/>
          <w:lang w:val="es-ES" w:eastAsia="es-CO"/>
        </w:rPr>
        <w:t xml:space="preserve"> de las prohibiciones anotadas, así como la cesión de </w:t>
      </w:r>
      <w:proofErr w:type="gramStart"/>
      <w:r w:rsidRPr="00752B85">
        <w:rPr>
          <w:rFonts w:ascii="Verdana" w:eastAsia="Calibri" w:hAnsi="Verdana" w:cs="Arial"/>
          <w:sz w:val="20"/>
          <w:szCs w:val="20"/>
          <w:lang w:val="es-ES" w:eastAsia="es-CO"/>
        </w:rPr>
        <w:t>los mismos</w:t>
      </w:r>
      <w:proofErr w:type="gramEnd"/>
      <w:r w:rsidRPr="00752B85">
        <w:rPr>
          <w:rFonts w:ascii="Verdana" w:eastAsia="Calibri" w:hAnsi="Verdana" w:cs="Arial"/>
          <w:sz w:val="20"/>
          <w:szCs w:val="20"/>
          <w:lang w:val="es-ES" w:eastAsia="es-CO"/>
        </w:rPr>
        <w:t>, pueden tener lugar en el período de aplicación de la Ley de Garantías, sin que ello haga nugatoria la restricción de la contratación directa y siempre que cumplan los principios de planeación, transparencia y responsabilidad […]</w:t>
      </w:r>
    </w:p>
    <w:p w14:paraId="1178968B" w14:textId="77777777" w:rsidR="00A90B7C" w:rsidRPr="004E329C" w:rsidRDefault="00A90B7C" w:rsidP="00A90B7C">
      <w:pPr>
        <w:spacing w:after="0"/>
        <w:rPr>
          <w:rFonts w:ascii="Verdana" w:hAnsi="Verdana"/>
          <w:color w:val="ED7D31" w:themeColor="accent2"/>
        </w:rPr>
      </w:pPr>
    </w:p>
    <w:p w14:paraId="5A341F4C" w14:textId="77777777" w:rsidR="00A90B7C" w:rsidRDefault="00A90B7C" w:rsidP="00A90B7C">
      <w:pPr>
        <w:spacing w:after="0"/>
        <w:jc w:val="both"/>
        <w:rPr>
          <w:rFonts w:ascii="Verdana" w:hAnsi="Verdana"/>
          <w:b/>
          <w:bCs/>
        </w:rPr>
      </w:pPr>
      <w:r w:rsidRPr="004E329C">
        <w:rPr>
          <w:rFonts w:ascii="Verdana" w:hAnsi="Verdana"/>
          <w:b/>
          <w:bCs/>
        </w:rPr>
        <w:t>CUERPOS DE BOMBEROS VOLUNTARIOS – Objeto del contrato – Atención de emergencias – Excepción</w:t>
      </w:r>
    </w:p>
    <w:p w14:paraId="1CA1876B" w14:textId="77777777" w:rsidR="00A90B7C" w:rsidRDefault="00A90B7C" w:rsidP="00A90B7C">
      <w:pPr>
        <w:spacing w:after="0" w:line="240" w:lineRule="auto"/>
        <w:jc w:val="both"/>
        <w:rPr>
          <w:rFonts w:ascii="Verdana" w:hAnsi="Verdana"/>
          <w:b/>
          <w:bCs/>
        </w:rPr>
      </w:pPr>
    </w:p>
    <w:p w14:paraId="7BD4E16B" w14:textId="77777777" w:rsidR="00A90B7C" w:rsidRPr="00B94BF9" w:rsidRDefault="00A90B7C" w:rsidP="00A90B7C">
      <w:pPr>
        <w:spacing w:after="0" w:line="240" w:lineRule="auto"/>
        <w:jc w:val="both"/>
        <w:rPr>
          <w:rFonts w:ascii="Verdana" w:hAnsi="Verdana"/>
          <w:b/>
          <w:bCs/>
          <w:sz w:val="20"/>
          <w:szCs w:val="20"/>
        </w:rPr>
      </w:pPr>
      <w:r w:rsidRPr="00B94BF9">
        <w:rPr>
          <w:rFonts w:ascii="Verdana" w:hAnsi="Verdana"/>
          <w:sz w:val="20"/>
          <w:szCs w:val="20"/>
        </w:rPr>
        <w:t xml:space="preserve">[…] </w:t>
      </w:r>
      <w:r w:rsidRPr="00B94BF9">
        <w:rPr>
          <w:rFonts w:ascii="Verdana" w:eastAsia="Times New Roman" w:hAnsi="Verdana" w:cs="Arial"/>
          <w:bCs/>
          <w:sz w:val="20"/>
          <w:szCs w:val="20"/>
          <w:lang w:eastAsia="es-CO"/>
        </w:rPr>
        <w:t xml:space="preserve">Con todo, se debe advertir que, si bien el artículo 2 de la Ley 1575 de 2012 establece que la gestión integral del riesgo contra incendios, los preparativos y atención de rescates en todas sus modalidades y la atención de incidentes con materiales peligrosos constituyen un servicio público esencial, dicha calidad, </w:t>
      </w:r>
      <w:r w:rsidRPr="00B94BF9">
        <w:rPr>
          <w:rFonts w:ascii="Verdana" w:eastAsia="Times New Roman" w:hAnsi="Verdana" w:cs="Arial"/>
          <w:bCs/>
          <w:i/>
          <w:iCs/>
          <w:sz w:val="20"/>
          <w:szCs w:val="20"/>
          <w:lang w:eastAsia="es-CO"/>
        </w:rPr>
        <w:t>per se,</w:t>
      </w:r>
      <w:r w:rsidRPr="00B94BF9">
        <w:rPr>
          <w:rFonts w:ascii="Verdana" w:eastAsia="Times New Roman" w:hAnsi="Verdana" w:cs="Arial"/>
          <w:bCs/>
          <w:sz w:val="20"/>
          <w:szCs w:val="20"/>
          <w:lang w:eastAsia="es-CO"/>
        </w:rPr>
        <w:t xml:space="preserve"> no implica que los contratos requeridos para su prestación estén sustraídos de la restricción del artículo 33 de la Ley 996 de 2005. En ese orden, si en vigencia de la restricción del artículo 33 de la Ley 996 de 2005, para dar cumplimiento a la obligación prevista en el inciso cuarto del artículo 3 de la Ley 1575 de 2012, se pretende suscribir un contrato o convenio de manera directa, además de la causal legal que sustenta dicha posibilidad, es necesario sustentar de qué manera el objeto del contrato configura alguna de las referidas excepciones.   </w:t>
      </w:r>
    </w:p>
    <w:p w14:paraId="30D8C600" w14:textId="77777777" w:rsidR="00A90B7C" w:rsidRPr="00B94BF9" w:rsidRDefault="00A90B7C" w:rsidP="00A90B7C">
      <w:pPr>
        <w:spacing w:after="0" w:line="240" w:lineRule="auto"/>
        <w:jc w:val="both"/>
        <w:rPr>
          <w:rFonts w:ascii="Verdana" w:hAnsi="Verdana"/>
          <w:b/>
          <w:bCs/>
          <w:sz w:val="20"/>
          <w:szCs w:val="20"/>
        </w:rPr>
      </w:pPr>
    </w:p>
    <w:p w14:paraId="0730B8DB" w14:textId="77777777" w:rsidR="00A90B7C" w:rsidRPr="00B94BF9" w:rsidRDefault="00A90B7C" w:rsidP="00A90B7C">
      <w:pPr>
        <w:spacing w:after="0" w:line="240" w:lineRule="auto"/>
        <w:jc w:val="both"/>
        <w:rPr>
          <w:rFonts w:ascii="Verdana" w:hAnsi="Verdana"/>
          <w:b/>
          <w:bCs/>
          <w:sz w:val="20"/>
          <w:szCs w:val="20"/>
        </w:rPr>
      </w:pPr>
      <w:r w:rsidRPr="00B94BF9">
        <w:rPr>
          <w:rFonts w:ascii="Verdana" w:eastAsia="Times New Roman" w:hAnsi="Verdana" w:cs="Arial"/>
          <w:bCs/>
          <w:sz w:val="20"/>
          <w:szCs w:val="20"/>
          <w:lang w:eastAsia="es-CO"/>
        </w:rPr>
        <w:t xml:space="preserve">Para el efecto, puede resultar relevante la excepción establecida por dicha norma respecto de los contratos que deban celebrarse para la atención de situaciones de emergencia y/o desastre, de conformidad con lo establecido en las leyes 1523 y 1575 de 2012. Al respecto, debe tenerse en cuenta que, actividades como la </w:t>
      </w:r>
      <w:r w:rsidRPr="00B94BF9">
        <w:rPr>
          <w:rFonts w:ascii="Verdana" w:eastAsia="Times New Roman" w:hAnsi="Verdana" w:cs="Arial"/>
          <w:bCs/>
          <w:i/>
          <w:iCs/>
          <w:sz w:val="20"/>
          <w:szCs w:val="20"/>
          <w:lang w:eastAsia="es-CO"/>
        </w:rPr>
        <w:t>atención de incidentes relacionados con incendios</w:t>
      </w:r>
      <w:r w:rsidRPr="00B94BF9">
        <w:rPr>
          <w:rFonts w:ascii="Verdana" w:eastAsia="Times New Roman" w:hAnsi="Verdana" w:cs="Arial"/>
          <w:bCs/>
          <w:sz w:val="20"/>
          <w:szCs w:val="20"/>
          <w:lang w:eastAsia="es-CO"/>
        </w:rPr>
        <w:t xml:space="preserve">, que de conformidad con el artículo 22 de la Ley 1575 de 2012, desarrollan los cuerpos de bomberos, están contempladas dentro de las actividades asociadas a la </w:t>
      </w:r>
      <w:r w:rsidRPr="00B94BF9">
        <w:rPr>
          <w:rFonts w:ascii="Verdana" w:eastAsia="Times New Roman" w:hAnsi="Verdana" w:cs="Arial"/>
          <w:bCs/>
          <w:i/>
          <w:iCs/>
          <w:sz w:val="20"/>
          <w:szCs w:val="20"/>
          <w:lang w:eastAsia="es-CO"/>
        </w:rPr>
        <w:t>Preparación</w:t>
      </w:r>
      <w:r w:rsidRPr="00B94BF9">
        <w:rPr>
          <w:rFonts w:ascii="Verdana" w:eastAsia="Times New Roman" w:hAnsi="Verdana" w:cs="Arial"/>
          <w:bCs/>
          <w:sz w:val="20"/>
          <w:szCs w:val="20"/>
          <w:lang w:eastAsia="es-CO"/>
        </w:rPr>
        <w:t xml:space="preserve"> y </w:t>
      </w:r>
      <w:r w:rsidRPr="00B94BF9">
        <w:rPr>
          <w:rFonts w:ascii="Verdana" w:eastAsia="Times New Roman" w:hAnsi="Verdana" w:cs="Arial"/>
          <w:bCs/>
          <w:i/>
          <w:iCs/>
          <w:sz w:val="20"/>
          <w:szCs w:val="20"/>
          <w:lang w:eastAsia="es-CO"/>
        </w:rPr>
        <w:t xml:space="preserve">Respuesta, </w:t>
      </w:r>
      <w:r w:rsidRPr="00B94BF9">
        <w:rPr>
          <w:rFonts w:ascii="Verdana" w:eastAsia="Times New Roman" w:hAnsi="Verdana" w:cs="Arial"/>
          <w:bCs/>
          <w:sz w:val="20"/>
          <w:szCs w:val="20"/>
          <w:lang w:eastAsia="es-CO"/>
        </w:rPr>
        <w:t xml:space="preserve">reguladas por la Ley 1523 de 2012 </w:t>
      </w:r>
      <w:r w:rsidRPr="00B94BF9">
        <w:rPr>
          <w:rFonts w:ascii="Verdana" w:eastAsia="Times New Roman" w:hAnsi="Verdana" w:cs="Arial"/>
          <w:bCs/>
          <w:sz w:val="20"/>
          <w:szCs w:val="20"/>
          <w:lang w:eastAsia="es-CO"/>
        </w:rPr>
        <w:lastRenderedPageBreak/>
        <w:t>en el marco del Sistema Nacional de Gestión del Riesgo de Desastres y la Estrategia Nacional para la Respuesta a Emergencias […]</w:t>
      </w:r>
    </w:p>
    <w:p w14:paraId="73306EA4" w14:textId="77777777" w:rsidR="00A90B7C" w:rsidRDefault="00A90B7C" w:rsidP="00A90B7C">
      <w:pPr>
        <w:spacing w:after="0"/>
        <w:rPr>
          <w:rFonts w:ascii="Verdana" w:hAnsi="Verdana"/>
          <w:color w:val="ED7D31" w:themeColor="accent2"/>
        </w:rPr>
      </w:pPr>
    </w:p>
    <w:p w14:paraId="2411758D" w14:textId="77777777" w:rsidR="00A90B7C" w:rsidRDefault="00A90B7C" w:rsidP="00A90B7C">
      <w:pPr>
        <w:spacing w:after="0"/>
        <w:rPr>
          <w:rFonts w:ascii="Verdana" w:hAnsi="Verdana"/>
        </w:rPr>
      </w:pPr>
    </w:p>
    <w:p w14:paraId="3B375F8F" w14:textId="77777777" w:rsidR="002D45CF" w:rsidRDefault="002D45CF" w:rsidP="002D45CF">
      <w:pPr>
        <w:spacing w:after="0"/>
        <w:rPr>
          <w:rFonts w:ascii="Verdana" w:eastAsia="Verdana" w:hAnsi="Verdana" w:cs="Verdana"/>
        </w:rPr>
      </w:pPr>
    </w:p>
    <w:p w14:paraId="4E8BD021" w14:textId="77777777" w:rsidR="002D45CF" w:rsidRDefault="002D45CF" w:rsidP="002D45CF">
      <w:pPr>
        <w:spacing w:after="0"/>
        <w:rPr>
          <w:rFonts w:ascii="Verdana" w:eastAsia="Verdana" w:hAnsi="Verdana" w:cs="Verdana"/>
        </w:rPr>
      </w:pPr>
    </w:p>
    <w:p w14:paraId="2C6B9F8A" w14:textId="77777777" w:rsidR="002D45CF" w:rsidRDefault="002D45CF" w:rsidP="002D45CF">
      <w:pPr>
        <w:spacing w:after="0"/>
        <w:rPr>
          <w:rFonts w:ascii="Verdana" w:eastAsia="Verdana" w:hAnsi="Verdana" w:cs="Verdana"/>
        </w:rPr>
      </w:pPr>
    </w:p>
    <w:p w14:paraId="6245128E" w14:textId="77777777" w:rsidR="002D45CF" w:rsidRDefault="002D45CF" w:rsidP="002D45CF">
      <w:pPr>
        <w:spacing w:after="0"/>
        <w:rPr>
          <w:rFonts w:ascii="Verdana" w:eastAsia="Verdana" w:hAnsi="Verdana" w:cs="Verdana"/>
        </w:rPr>
      </w:pPr>
    </w:p>
    <w:p w14:paraId="1F1BC1AC" w14:textId="77777777" w:rsidR="002D45CF" w:rsidRDefault="002D45CF" w:rsidP="002D45CF">
      <w:pPr>
        <w:spacing w:after="0"/>
        <w:rPr>
          <w:rFonts w:ascii="Verdana" w:eastAsia="Verdana" w:hAnsi="Verdana" w:cs="Verdana"/>
        </w:rPr>
      </w:pPr>
    </w:p>
    <w:p w14:paraId="1ACA661D" w14:textId="77777777" w:rsidR="002D45CF" w:rsidRDefault="002D45CF" w:rsidP="002D45CF">
      <w:pPr>
        <w:spacing w:after="0"/>
        <w:rPr>
          <w:rFonts w:ascii="Verdana" w:eastAsia="Verdana" w:hAnsi="Verdana" w:cs="Verdana"/>
        </w:rPr>
      </w:pPr>
    </w:p>
    <w:p w14:paraId="0C01AB71" w14:textId="77777777" w:rsidR="002D45CF" w:rsidRDefault="002D45CF" w:rsidP="002D45CF">
      <w:pPr>
        <w:spacing w:after="0"/>
        <w:rPr>
          <w:rFonts w:ascii="Verdana" w:eastAsia="Verdana" w:hAnsi="Verdana" w:cs="Verdana"/>
        </w:rPr>
      </w:pPr>
    </w:p>
    <w:p w14:paraId="18820997" w14:textId="77777777" w:rsidR="002D45CF" w:rsidRDefault="002D45CF" w:rsidP="002D45CF">
      <w:pPr>
        <w:spacing w:after="0"/>
        <w:rPr>
          <w:rFonts w:ascii="Verdana" w:eastAsia="Verdana" w:hAnsi="Verdana" w:cs="Verdana"/>
        </w:rPr>
      </w:pPr>
    </w:p>
    <w:p w14:paraId="2A75CB71" w14:textId="77777777" w:rsidR="002D45CF" w:rsidRDefault="002D45CF" w:rsidP="002D45CF">
      <w:pPr>
        <w:spacing w:after="0"/>
        <w:rPr>
          <w:rFonts w:ascii="Verdana" w:eastAsia="Verdana" w:hAnsi="Verdana" w:cs="Verdana"/>
        </w:rPr>
      </w:pPr>
    </w:p>
    <w:p w14:paraId="206885E5" w14:textId="77777777" w:rsidR="002D45CF" w:rsidRDefault="002D45CF" w:rsidP="002D45CF">
      <w:pPr>
        <w:spacing w:after="0"/>
        <w:rPr>
          <w:rFonts w:ascii="Verdana" w:eastAsia="Verdana" w:hAnsi="Verdana" w:cs="Verdana"/>
        </w:rPr>
      </w:pPr>
    </w:p>
    <w:p w14:paraId="4E6A6367" w14:textId="77777777" w:rsidR="002D45CF" w:rsidRDefault="002D45CF" w:rsidP="002D45CF">
      <w:pPr>
        <w:spacing w:after="0"/>
        <w:rPr>
          <w:rFonts w:ascii="Verdana" w:eastAsia="Verdana" w:hAnsi="Verdana" w:cs="Verdana"/>
        </w:rPr>
      </w:pPr>
    </w:p>
    <w:p w14:paraId="21FFC812" w14:textId="77777777" w:rsidR="002D45CF" w:rsidRDefault="002D45CF" w:rsidP="002D45CF">
      <w:pPr>
        <w:spacing w:after="0"/>
        <w:rPr>
          <w:rFonts w:ascii="Verdana" w:eastAsia="Verdana" w:hAnsi="Verdana" w:cs="Verdana"/>
        </w:rPr>
      </w:pPr>
    </w:p>
    <w:p w14:paraId="7D58F22D" w14:textId="77777777" w:rsidR="002D45CF" w:rsidRDefault="002D45CF" w:rsidP="002D45CF">
      <w:pPr>
        <w:spacing w:after="0"/>
        <w:rPr>
          <w:rFonts w:ascii="Verdana" w:eastAsia="Verdana" w:hAnsi="Verdana" w:cs="Verdana"/>
        </w:rPr>
      </w:pPr>
    </w:p>
    <w:p w14:paraId="02FC3B3B" w14:textId="77777777" w:rsidR="002D45CF" w:rsidRDefault="002D45CF" w:rsidP="002D45CF">
      <w:pPr>
        <w:spacing w:after="0"/>
        <w:rPr>
          <w:rFonts w:ascii="Verdana" w:eastAsia="Verdana" w:hAnsi="Verdana" w:cs="Verdana"/>
        </w:rPr>
      </w:pPr>
    </w:p>
    <w:p w14:paraId="3B4E77D8" w14:textId="77777777" w:rsidR="002D45CF" w:rsidRDefault="002D45CF" w:rsidP="002D45CF">
      <w:pPr>
        <w:spacing w:after="0"/>
        <w:rPr>
          <w:rFonts w:ascii="Verdana" w:eastAsia="Verdana" w:hAnsi="Verdana" w:cs="Verdana"/>
        </w:rPr>
      </w:pPr>
    </w:p>
    <w:p w14:paraId="74FF5564" w14:textId="77777777" w:rsidR="002D45CF" w:rsidRDefault="002D45CF" w:rsidP="002D45CF">
      <w:pPr>
        <w:spacing w:after="0"/>
        <w:rPr>
          <w:rFonts w:ascii="Verdana" w:eastAsia="Verdana" w:hAnsi="Verdana" w:cs="Verdana"/>
        </w:rPr>
      </w:pPr>
    </w:p>
    <w:p w14:paraId="6276189A" w14:textId="77777777" w:rsidR="002D45CF" w:rsidRDefault="002D45CF" w:rsidP="002D45CF">
      <w:pPr>
        <w:spacing w:after="0"/>
        <w:rPr>
          <w:rFonts w:ascii="Verdana" w:eastAsia="Verdana" w:hAnsi="Verdana" w:cs="Verdana"/>
        </w:rPr>
      </w:pPr>
    </w:p>
    <w:p w14:paraId="3774638B" w14:textId="77777777" w:rsidR="002D45CF" w:rsidRDefault="002D45CF" w:rsidP="002D45CF">
      <w:pPr>
        <w:spacing w:after="0"/>
        <w:rPr>
          <w:rFonts w:ascii="Verdana" w:eastAsia="Verdana" w:hAnsi="Verdana" w:cs="Verdana"/>
        </w:rPr>
      </w:pPr>
    </w:p>
    <w:p w14:paraId="4858404C" w14:textId="77777777" w:rsidR="002D45CF" w:rsidRDefault="002D45CF" w:rsidP="002D45CF">
      <w:pPr>
        <w:spacing w:after="0"/>
        <w:rPr>
          <w:rFonts w:ascii="Verdana" w:eastAsia="Verdana" w:hAnsi="Verdana" w:cs="Verdana"/>
        </w:rPr>
      </w:pPr>
    </w:p>
    <w:p w14:paraId="3FF4BCEA" w14:textId="77777777" w:rsidR="002D45CF" w:rsidRDefault="002D45CF" w:rsidP="002D45CF">
      <w:pPr>
        <w:spacing w:after="0"/>
        <w:rPr>
          <w:rFonts w:ascii="Verdana" w:eastAsia="Verdana" w:hAnsi="Verdana" w:cs="Verdana"/>
        </w:rPr>
      </w:pPr>
    </w:p>
    <w:p w14:paraId="4455DCB5" w14:textId="77777777" w:rsidR="002D45CF" w:rsidRDefault="002D45CF" w:rsidP="002D45CF">
      <w:pPr>
        <w:spacing w:after="0"/>
        <w:rPr>
          <w:rFonts w:ascii="Verdana" w:eastAsia="Verdana" w:hAnsi="Verdana" w:cs="Verdana"/>
        </w:rPr>
      </w:pPr>
    </w:p>
    <w:p w14:paraId="17BC7B26" w14:textId="77777777" w:rsidR="002D45CF" w:rsidRDefault="002D45CF" w:rsidP="002D45CF">
      <w:pPr>
        <w:spacing w:after="0"/>
        <w:rPr>
          <w:rFonts w:ascii="Verdana" w:eastAsia="Verdana" w:hAnsi="Verdana" w:cs="Verdana"/>
        </w:rPr>
      </w:pPr>
    </w:p>
    <w:p w14:paraId="3ED42EAF" w14:textId="77777777" w:rsidR="002D45CF" w:rsidRDefault="002D45CF" w:rsidP="002D45CF">
      <w:pPr>
        <w:spacing w:after="0"/>
        <w:rPr>
          <w:rFonts w:ascii="Verdana" w:eastAsia="Verdana" w:hAnsi="Verdana" w:cs="Verdana"/>
        </w:rPr>
      </w:pPr>
    </w:p>
    <w:p w14:paraId="12A5EE10" w14:textId="77777777" w:rsidR="002D45CF" w:rsidRDefault="002D45CF" w:rsidP="002D45CF">
      <w:pPr>
        <w:spacing w:after="0"/>
        <w:rPr>
          <w:rFonts w:ascii="Verdana" w:eastAsia="Verdana" w:hAnsi="Verdana" w:cs="Verdana"/>
        </w:rPr>
      </w:pPr>
    </w:p>
    <w:p w14:paraId="62D7EC1B" w14:textId="77777777" w:rsidR="002D45CF" w:rsidRDefault="002D45CF" w:rsidP="002D45CF">
      <w:pPr>
        <w:spacing w:after="0"/>
        <w:rPr>
          <w:rFonts w:ascii="Verdana" w:eastAsia="Verdana" w:hAnsi="Verdana" w:cs="Verdana"/>
        </w:rPr>
      </w:pPr>
    </w:p>
    <w:p w14:paraId="0F49D519" w14:textId="77777777" w:rsidR="002D45CF" w:rsidRDefault="002D45CF" w:rsidP="002D45CF">
      <w:pPr>
        <w:spacing w:after="0"/>
        <w:rPr>
          <w:rFonts w:ascii="Verdana" w:eastAsia="Verdana" w:hAnsi="Verdana" w:cs="Verdana"/>
        </w:rPr>
      </w:pPr>
    </w:p>
    <w:p w14:paraId="50187CEC" w14:textId="77777777" w:rsidR="002D45CF" w:rsidRDefault="002D45CF" w:rsidP="002D45CF">
      <w:pPr>
        <w:spacing w:after="0"/>
        <w:rPr>
          <w:rFonts w:ascii="Verdana" w:eastAsia="Verdana" w:hAnsi="Verdana" w:cs="Verdana"/>
        </w:rPr>
      </w:pPr>
    </w:p>
    <w:p w14:paraId="1E31949A" w14:textId="77777777" w:rsidR="002D45CF" w:rsidRDefault="002D45CF" w:rsidP="002D45CF">
      <w:pPr>
        <w:spacing w:after="0"/>
        <w:rPr>
          <w:rFonts w:ascii="Verdana" w:eastAsia="Verdana" w:hAnsi="Verdana" w:cs="Verdana"/>
        </w:rPr>
      </w:pPr>
    </w:p>
    <w:p w14:paraId="06246E61" w14:textId="77777777" w:rsidR="002D45CF" w:rsidRDefault="002D45CF" w:rsidP="002D45CF">
      <w:pPr>
        <w:spacing w:after="0"/>
        <w:rPr>
          <w:rFonts w:ascii="Verdana" w:eastAsia="Verdana" w:hAnsi="Verdana" w:cs="Verdana"/>
        </w:rPr>
      </w:pPr>
    </w:p>
    <w:p w14:paraId="47E5323D" w14:textId="77777777" w:rsidR="002D45CF" w:rsidRDefault="002D45CF" w:rsidP="002D45CF">
      <w:pPr>
        <w:spacing w:after="0"/>
        <w:rPr>
          <w:rFonts w:ascii="Verdana" w:eastAsia="Verdana" w:hAnsi="Verdana" w:cs="Verdana"/>
        </w:rPr>
      </w:pPr>
    </w:p>
    <w:p w14:paraId="2EB8C15C" w14:textId="77777777" w:rsidR="002D45CF" w:rsidRDefault="002D45CF" w:rsidP="002D45CF">
      <w:pPr>
        <w:spacing w:after="0"/>
        <w:rPr>
          <w:rFonts w:ascii="Verdana" w:eastAsia="Verdana" w:hAnsi="Verdana" w:cs="Verdana"/>
        </w:rPr>
      </w:pPr>
    </w:p>
    <w:p w14:paraId="7B51E9B8" w14:textId="77777777" w:rsidR="002D45CF" w:rsidRDefault="002D45CF" w:rsidP="002D45CF">
      <w:pPr>
        <w:spacing w:after="0"/>
        <w:rPr>
          <w:rFonts w:ascii="Verdana" w:eastAsia="Verdana" w:hAnsi="Verdana" w:cs="Verdana"/>
        </w:rPr>
      </w:pPr>
    </w:p>
    <w:p w14:paraId="1E5B2B08" w14:textId="77777777" w:rsidR="002D45CF" w:rsidRDefault="002D45CF" w:rsidP="002D45CF">
      <w:pPr>
        <w:spacing w:after="0"/>
        <w:rPr>
          <w:rFonts w:ascii="Verdana" w:eastAsia="Verdana" w:hAnsi="Verdana" w:cs="Verdana"/>
        </w:rPr>
      </w:pPr>
    </w:p>
    <w:p w14:paraId="3B999001" w14:textId="77777777" w:rsidR="002D45CF" w:rsidRDefault="002D45CF" w:rsidP="002D45CF">
      <w:pPr>
        <w:spacing w:after="0"/>
        <w:rPr>
          <w:rFonts w:ascii="Verdana" w:eastAsia="Verdana" w:hAnsi="Verdana" w:cs="Verdana"/>
        </w:rPr>
      </w:pPr>
    </w:p>
    <w:p w14:paraId="74EF6C3F" w14:textId="77777777" w:rsidR="002D45CF" w:rsidRDefault="002D45CF" w:rsidP="002D45CF">
      <w:pPr>
        <w:spacing w:after="0"/>
        <w:rPr>
          <w:rFonts w:ascii="Verdana" w:eastAsia="Verdana" w:hAnsi="Verdana" w:cs="Verdana"/>
        </w:rPr>
      </w:pPr>
    </w:p>
    <w:p w14:paraId="69B8AAF0" w14:textId="77777777" w:rsidR="002D45CF" w:rsidRDefault="002D45CF" w:rsidP="002D45CF">
      <w:pPr>
        <w:spacing w:after="0"/>
        <w:rPr>
          <w:rFonts w:ascii="Verdana" w:eastAsia="Verdana" w:hAnsi="Verdana" w:cs="Verdana"/>
        </w:rPr>
      </w:pPr>
    </w:p>
    <w:p w14:paraId="503FF5A4" w14:textId="77777777" w:rsidR="002D45CF" w:rsidRDefault="002D45CF" w:rsidP="002D45CF">
      <w:pPr>
        <w:spacing w:after="0"/>
      </w:pPr>
    </w:p>
    <w:p w14:paraId="77F0FEB4" w14:textId="77777777" w:rsidR="003B52C2" w:rsidRDefault="003B52C2" w:rsidP="002D45CF">
      <w:pPr>
        <w:spacing w:after="0"/>
      </w:pPr>
    </w:p>
    <w:p w14:paraId="661778EA" w14:textId="107EA3BA" w:rsidR="005B6B4C" w:rsidRDefault="003B52C2" w:rsidP="005B6B4C">
      <w:pPr>
        <w:spacing w:after="0"/>
      </w:pPr>
      <w:r>
        <w:t xml:space="preserve">  </w:t>
      </w:r>
      <w:r w:rsidR="005B6B4C" w:rsidRPr="005B6B4C">
        <w:rPr>
          <w:rFonts w:ascii="Verdana" w:eastAsia="Verdana" w:hAnsi="Verdana" w:cs="Verdana"/>
        </w:rPr>
        <w:t xml:space="preserve">Bogotá D.C., 01 </w:t>
      </w:r>
      <w:proofErr w:type="gramStart"/>
      <w:r w:rsidR="005B6B4C" w:rsidRPr="005B6B4C">
        <w:rPr>
          <w:rFonts w:ascii="Verdana" w:eastAsia="Verdana" w:hAnsi="Verdana" w:cs="Verdana"/>
        </w:rPr>
        <w:t>Junio</w:t>
      </w:r>
      <w:proofErr w:type="gramEnd"/>
      <w:r w:rsidR="005B6B4C" w:rsidRPr="005B6B4C">
        <w:rPr>
          <w:rFonts w:ascii="Verdana" w:eastAsia="Verdana" w:hAnsi="Verdana" w:cs="Verdana"/>
        </w:rPr>
        <w:t xml:space="preserve"> 2026</w:t>
      </w:r>
      <w:r w:rsidR="005B6B4C">
        <w:tab/>
      </w:r>
    </w:p>
    <w:p w14:paraId="7E2940E5" w14:textId="66171419" w:rsidR="003B52C2" w:rsidRDefault="001E1D04" w:rsidP="002D45CF">
      <w:pPr>
        <w:spacing w:after="0"/>
      </w:pPr>
      <w:r w:rsidRPr="003B52C2">
        <w:rPr>
          <w:noProof/>
        </w:rPr>
        <w:drawing>
          <wp:anchor distT="0" distB="0" distL="114300" distR="114300" simplePos="0" relativeHeight="251658240" behindDoc="1" locked="0" layoutInCell="1" allowOverlap="1" wp14:anchorId="5CD887CB" wp14:editId="1D899921">
            <wp:simplePos x="0" y="0"/>
            <wp:positionH relativeFrom="column">
              <wp:posOffset>3658626</wp:posOffset>
            </wp:positionH>
            <wp:positionV relativeFrom="paragraph">
              <wp:posOffset>120552</wp:posOffset>
            </wp:positionV>
            <wp:extent cx="2406650" cy="666750"/>
            <wp:effectExtent l="0" t="0" r="0" b="0"/>
            <wp:wrapTight wrapText="bothSides">
              <wp:wrapPolygon edited="0">
                <wp:start x="0" y="0"/>
                <wp:lineTo x="0" y="20983"/>
                <wp:lineTo x="21372" y="20983"/>
                <wp:lineTo x="21372" y="0"/>
                <wp:lineTo x="0" y="0"/>
              </wp:wrapPolygon>
            </wp:wrapTight>
            <wp:docPr id="208787319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06650" cy="666750"/>
                    </a:xfrm>
                    <a:prstGeom prst="rect">
                      <a:avLst/>
                    </a:prstGeom>
                    <a:noFill/>
                    <a:ln>
                      <a:noFill/>
                    </a:ln>
                  </pic:spPr>
                </pic:pic>
              </a:graphicData>
            </a:graphic>
          </wp:anchor>
        </w:drawing>
      </w:r>
      <w:r w:rsidR="003B52C2">
        <w:t xml:space="preserve">                                                           </w:t>
      </w:r>
    </w:p>
    <w:p w14:paraId="65EE4FB7" w14:textId="7578E021" w:rsidR="002D45CF" w:rsidRDefault="002D45CF" w:rsidP="002D45CF">
      <w:pPr>
        <w:spacing w:after="0"/>
        <w:rPr>
          <w:rFonts w:ascii="Verdana" w:hAnsi="Verdana"/>
        </w:rPr>
      </w:pPr>
      <w:r>
        <w:rPr>
          <w:rFonts w:ascii="Verdana" w:hAnsi="Verdana"/>
        </w:rPr>
        <w:t>Señora</w:t>
      </w:r>
    </w:p>
    <w:p w14:paraId="0274FCB2" w14:textId="77777777" w:rsidR="002D45CF" w:rsidRDefault="002D45CF" w:rsidP="002D45CF">
      <w:pPr>
        <w:spacing w:after="0"/>
        <w:rPr>
          <w:rFonts w:ascii="Verdana" w:hAnsi="Verdana"/>
          <w:b/>
          <w:bCs/>
        </w:rPr>
      </w:pPr>
      <w:r w:rsidRPr="00C379CB">
        <w:rPr>
          <w:rFonts w:ascii="Verdana" w:hAnsi="Verdana"/>
          <w:b/>
          <w:bCs/>
        </w:rPr>
        <w:t>Karina Dorado</w:t>
      </w:r>
    </w:p>
    <w:p w14:paraId="5D0EEAA4" w14:textId="77777777" w:rsidR="002D45CF" w:rsidRPr="00391796" w:rsidRDefault="002D45CF" w:rsidP="002D45CF">
      <w:pPr>
        <w:spacing w:after="0"/>
        <w:rPr>
          <w:rFonts w:ascii="Verdana" w:hAnsi="Verdana"/>
        </w:rPr>
      </w:pPr>
      <w:hyperlink r:id="rId11" w:history="1">
        <w:r w:rsidRPr="00391796">
          <w:rPr>
            <w:rStyle w:val="Hipervnculo"/>
            <w:rFonts w:ascii="Verdana" w:hAnsi="Verdana"/>
            <w:color w:val="auto"/>
            <w:u w:val="none"/>
          </w:rPr>
          <w:t>Gobiernomunicipal@lacumbrevalle.gov.co</w:t>
        </w:r>
      </w:hyperlink>
    </w:p>
    <w:p w14:paraId="204C7557" w14:textId="77777777" w:rsidR="002D45CF" w:rsidRPr="00C379CB" w:rsidRDefault="002D45CF" w:rsidP="002D45CF">
      <w:pPr>
        <w:spacing w:after="0"/>
        <w:rPr>
          <w:rFonts w:ascii="Verdana" w:hAnsi="Verdana"/>
        </w:rPr>
      </w:pPr>
      <w:r w:rsidRPr="00C379CB">
        <w:rPr>
          <w:rFonts w:ascii="Verdana" w:hAnsi="Verdana"/>
        </w:rPr>
        <w:t>Ciudad</w:t>
      </w:r>
    </w:p>
    <w:p w14:paraId="303E5A55" w14:textId="77777777" w:rsidR="002D45CF" w:rsidRPr="009969AD" w:rsidRDefault="002D45CF" w:rsidP="002D45CF">
      <w:pPr>
        <w:spacing w:after="0" w:line="240" w:lineRule="auto"/>
        <w:rPr>
          <w:rFonts w:ascii="Verdana" w:eastAsia="Calibri" w:hAnsi="Verdana" w:cs="Arial"/>
          <w:b/>
          <w:bCs/>
          <w:color w:val="ED7D31" w:themeColor="accent2"/>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2D45CF" w:rsidRPr="009969AD" w14:paraId="161C9AF5" w14:textId="77777777" w:rsidTr="008E545D">
        <w:trPr>
          <w:trHeight w:val="300"/>
        </w:trPr>
        <w:tc>
          <w:tcPr>
            <w:tcW w:w="2410" w:type="dxa"/>
          </w:tcPr>
          <w:p w14:paraId="631C2C8B" w14:textId="77777777" w:rsidR="002D45CF" w:rsidRPr="009969AD" w:rsidRDefault="002D45CF" w:rsidP="008E545D">
            <w:pPr>
              <w:ind w:left="-142"/>
              <w:jc w:val="both"/>
              <w:rPr>
                <w:rFonts w:ascii="Verdana" w:eastAsia="Calibri" w:hAnsi="Verdana" w:cs="Arial"/>
                <w:b/>
                <w:bCs/>
                <w:color w:val="ED7D31" w:themeColor="accent2"/>
                <w:lang w:val="es-ES" w:eastAsia="es-ES_tradnl"/>
              </w:rPr>
            </w:pPr>
          </w:p>
        </w:tc>
        <w:tc>
          <w:tcPr>
            <w:tcW w:w="6100" w:type="dxa"/>
          </w:tcPr>
          <w:p w14:paraId="4AE5BD24" w14:textId="77777777" w:rsidR="002D45CF" w:rsidRPr="00C92B1A" w:rsidRDefault="002D45CF" w:rsidP="008E545D">
            <w:pPr>
              <w:ind w:left="3"/>
              <w:jc w:val="both"/>
              <w:rPr>
                <w:rFonts w:ascii="Verdana" w:eastAsia="Calibri" w:hAnsi="Verdana" w:cs="Arial"/>
                <w:b/>
                <w:bCs/>
                <w:lang w:val="es-ES" w:eastAsia="es-ES"/>
              </w:rPr>
            </w:pPr>
            <w:r w:rsidRPr="00C92B1A">
              <w:rPr>
                <w:rFonts w:ascii="Verdana" w:eastAsia="Calibri" w:hAnsi="Verdana" w:cs="Arial"/>
                <w:b/>
                <w:bCs/>
                <w:lang w:val="es-ES" w:eastAsia="es-ES"/>
              </w:rPr>
              <w:t>Concepto C-</w:t>
            </w:r>
            <w:r>
              <w:rPr>
                <w:rFonts w:ascii="Verdana" w:eastAsia="Calibri" w:hAnsi="Verdana" w:cs="Arial"/>
                <w:b/>
                <w:bCs/>
                <w:lang w:val="es-ES" w:eastAsia="es-ES"/>
              </w:rPr>
              <w:t xml:space="preserve">644 </w:t>
            </w:r>
            <w:r w:rsidRPr="00C92B1A">
              <w:rPr>
                <w:rFonts w:ascii="Verdana" w:eastAsia="Calibri" w:hAnsi="Verdana" w:cs="Arial"/>
                <w:b/>
                <w:bCs/>
                <w:lang w:val="es-ES" w:eastAsia="es-ES"/>
              </w:rPr>
              <w:t>de 2026</w:t>
            </w:r>
          </w:p>
          <w:p w14:paraId="6A95F673" w14:textId="77777777" w:rsidR="002D45CF" w:rsidRPr="00C92B1A" w:rsidRDefault="002D45CF" w:rsidP="008E545D">
            <w:pPr>
              <w:ind w:left="3"/>
              <w:jc w:val="both"/>
              <w:rPr>
                <w:rFonts w:ascii="Verdana" w:eastAsia="Calibri" w:hAnsi="Verdana" w:cs="Arial"/>
                <w:b/>
                <w:bCs/>
                <w:lang w:val="es-ES" w:eastAsia="es-ES"/>
              </w:rPr>
            </w:pPr>
          </w:p>
        </w:tc>
      </w:tr>
      <w:tr w:rsidR="002D45CF" w:rsidRPr="009969AD" w14:paraId="4AACF16A" w14:textId="77777777" w:rsidTr="008E545D">
        <w:trPr>
          <w:trHeight w:val="300"/>
        </w:trPr>
        <w:tc>
          <w:tcPr>
            <w:tcW w:w="2410" w:type="dxa"/>
          </w:tcPr>
          <w:p w14:paraId="6271622C" w14:textId="77777777" w:rsidR="002D45CF" w:rsidRPr="009969AD" w:rsidRDefault="002D45CF" w:rsidP="008E545D">
            <w:pPr>
              <w:ind w:left="424" w:firstLine="137"/>
              <w:jc w:val="both"/>
              <w:rPr>
                <w:rFonts w:ascii="Verdana" w:eastAsia="Calibri" w:hAnsi="Verdana" w:cs="Arial"/>
                <w:color w:val="ED7D31" w:themeColor="accent2"/>
                <w:lang w:val="es-ES" w:eastAsia="es-ES_tradnl"/>
              </w:rPr>
            </w:pPr>
            <w:r w:rsidRPr="00FA7089">
              <w:rPr>
                <w:rFonts w:ascii="Verdana" w:eastAsia="Calibri" w:hAnsi="Verdana" w:cs="Arial"/>
                <w:b/>
                <w:lang w:val="es-ES" w:eastAsia="es-ES_tradnl"/>
              </w:rPr>
              <w:t>Temas:</w:t>
            </w:r>
            <w:r w:rsidRPr="00FA7089">
              <w:rPr>
                <w:rFonts w:ascii="Verdana" w:eastAsia="Calibri" w:hAnsi="Verdana" w:cs="Arial"/>
                <w:lang w:val="es-ES" w:eastAsia="es-ES_tradnl"/>
              </w:rPr>
              <w:t xml:space="preserve">              </w:t>
            </w:r>
          </w:p>
        </w:tc>
        <w:tc>
          <w:tcPr>
            <w:tcW w:w="6100" w:type="dxa"/>
          </w:tcPr>
          <w:p w14:paraId="32D02287" w14:textId="77777777" w:rsidR="002D45CF" w:rsidRPr="0061670C" w:rsidRDefault="002D45CF" w:rsidP="008E545D">
            <w:pPr>
              <w:spacing w:line="276" w:lineRule="auto"/>
              <w:jc w:val="both"/>
              <w:rPr>
                <w:rFonts w:ascii="Verdana" w:eastAsia="Calibri" w:hAnsi="Verdana" w:cs="Arial"/>
                <w:bCs/>
              </w:rPr>
            </w:pPr>
            <w:r w:rsidRPr="0061670C">
              <w:rPr>
                <w:rFonts w:ascii="Verdana" w:eastAsia="Calibri" w:hAnsi="Verdana" w:cs="Arial"/>
                <w:bCs/>
              </w:rPr>
              <w:t xml:space="preserve">LEY DE GARANTÍAS ELECTORALES – Naturaleza jurídica / LEY DE GARANTÍAS ELECTORALES – Prohibiciones / LEY DE GARANTÍAS ELECTORALES ─ Artículo 33 ‒ Excepciones </w:t>
            </w:r>
            <w:r>
              <w:rPr>
                <w:rFonts w:ascii="Verdana" w:eastAsia="Calibri" w:hAnsi="Verdana" w:cs="Arial"/>
                <w:bCs/>
              </w:rPr>
              <w:t xml:space="preserve">– Contratos para la atención de emergencias </w:t>
            </w:r>
            <w:r w:rsidRPr="0061670C">
              <w:rPr>
                <w:rFonts w:ascii="Verdana" w:eastAsia="Calibri" w:hAnsi="Verdana" w:cs="Arial"/>
                <w:bCs/>
              </w:rPr>
              <w:t xml:space="preserve">/ CUERPOS DE BOMBEROS VOLUNTARIOS ‒ </w:t>
            </w:r>
            <w:r>
              <w:rPr>
                <w:rFonts w:ascii="Verdana" w:eastAsia="Calibri" w:hAnsi="Verdana" w:cs="Arial"/>
                <w:bCs/>
              </w:rPr>
              <w:t xml:space="preserve">Noción / </w:t>
            </w:r>
            <w:r w:rsidRPr="0061670C">
              <w:rPr>
                <w:rFonts w:ascii="Verdana" w:eastAsia="Calibri" w:hAnsi="Verdana" w:cs="Arial"/>
                <w:bCs/>
              </w:rPr>
              <w:t>CUERPOS DE BOMBEROS VOLUNTARIOS</w:t>
            </w:r>
            <w:r>
              <w:rPr>
                <w:rFonts w:ascii="Verdana" w:eastAsia="Calibri" w:hAnsi="Verdana" w:cs="Arial"/>
                <w:bCs/>
              </w:rPr>
              <w:t xml:space="preserve"> – Servicio público esencial / </w:t>
            </w:r>
            <w:r w:rsidRPr="0061670C">
              <w:rPr>
                <w:rFonts w:ascii="Verdana" w:eastAsia="Calibri" w:hAnsi="Verdana" w:cs="Arial"/>
                <w:bCs/>
              </w:rPr>
              <w:t>CUERPOS DE BOMBEROS VOLUNTARIOS</w:t>
            </w:r>
            <w:r>
              <w:rPr>
                <w:rFonts w:ascii="Verdana" w:eastAsia="Calibri" w:hAnsi="Verdana" w:cs="Arial"/>
                <w:bCs/>
              </w:rPr>
              <w:t xml:space="preserve"> – Modalidades de selección contratación / </w:t>
            </w:r>
            <w:r w:rsidRPr="0061670C">
              <w:rPr>
                <w:rFonts w:ascii="Verdana" w:eastAsia="Calibri" w:hAnsi="Verdana" w:cs="Arial"/>
                <w:bCs/>
              </w:rPr>
              <w:t>CUERPOS DE BOMBEROS VOLUNTARIOS</w:t>
            </w:r>
            <w:r>
              <w:rPr>
                <w:rFonts w:ascii="Verdana" w:eastAsia="Calibri" w:hAnsi="Verdana" w:cs="Arial"/>
                <w:bCs/>
              </w:rPr>
              <w:t xml:space="preserve"> – Objeto del contrato – Atención de emergencias – Excepción</w:t>
            </w:r>
          </w:p>
          <w:p w14:paraId="75C96823" w14:textId="77777777" w:rsidR="002D45CF" w:rsidRPr="0061670C" w:rsidRDefault="002D45CF" w:rsidP="008E545D">
            <w:pPr>
              <w:jc w:val="both"/>
              <w:rPr>
                <w:rFonts w:ascii="Verdana" w:hAnsi="Verdana"/>
              </w:rPr>
            </w:pPr>
          </w:p>
        </w:tc>
      </w:tr>
      <w:tr w:rsidR="002D45CF" w:rsidRPr="009969AD" w14:paraId="21EE0EA7" w14:textId="77777777" w:rsidTr="008E545D">
        <w:trPr>
          <w:trHeight w:val="204"/>
        </w:trPr>
        <w:tc>
          <w:tcPr>
            <w:tcW w:w="2410" w:type="dxa"/>
          </w:tcPr>
          <w:p w14:paraId="67B63C28" w14:textId="77777777" w:rsidR="002D45CF" w:rsidRPr="00FA7089" w:rsidRDefault="002D45CF" w:rsidP="008E545D">
            <w:pPr>
              <w:ind w:left="561"/>
              <w:jc w:val="both"/>
              <w:rPr>
                <w:rFonts w:ascii="Verdana" w:eastAsia="Calibri" w:hAnsi="Verdana" w:cs="Arial"/>
                <w:b/>
                <w:lang w:val="es-ES" w:eastAsia="es-ES_tradnl"/>
              </w:rPr>
            </w:pPr>
            <w:r w:rsidRPr="00FA7089">
              <w:rPr>
                <w:rFonts w:ascii="Verdana" w:eastAsia="Calibri" w:hAnsi="Verdana" w:cs="Arial"/>
                <w:b/>
                <w:lang w:val="es-ES" w:eastAsia="es-ES_tradnl"/>
              </w:rPr>
              <w:t>Radicación:</w:t>
            </w:r>
            <w:r w:rsidRPr="00FA7089">
              <w:rPr>
                <w:rFonts w:ascii="Verdana" w:eastAsia="Calibri" w:hAnsi="Verdana" w:cs="Arial"/>
                <w:lang w:val="es-ES" w:eastAsia="es-ES_tradnl"/>
              </w:rPr>
              <w:t xml:space="preserve">              </w:t>
            </w:r>
          </w:p>
        </w:tc>
        <w:tc>
          <w:tcPr>
            <w:tcW w:w="6100" w:type="dxa"/>
          </w:tcPr>
          <w:p w14:paraId="4A8736AB" w14:textId="7D2B4024" w:rsidR="006727B0" w:rsidRPr="006727B0" w:rsidRDefault="002D45CF" w:rsidP="006727B0">
            <w:pPr>
              <w:ind w:left="3"/>
              <w:jc w:val="both"/>
              <w:rPr>
                <w:rFonts w:ascii="Verdana" w:hAnsi="Verdana"/>
                <w:lang w:val="es-ES"/>
              </w:rPr>
            </w:pPr>
            <w:r w:rsidRPr="00FA7089">
              <w:rPr>
                <w:rFonts w:ascii="Verdana" w:eastAsia="Calibri" w:hAnsi="Verdana" w:cs="Arial"/>
                <w:lang w:val="es-ES" w:eastAsia="es-ES"/>
              </w:rPr>
              <w:t xml:space="preserve">Respuesta a consulta con radicado No. </w:t>
            </w:r>
            <w:r>
              <w:rPr>
                <w:rFonts w:ascii="Verdana" w:hAnsi="Verdana" w:cs="Calibri"/>
                <w:color w:val="000000"/>
              </w:rPr>
              <w:t>1_2026_04_21_005340</w:t>
            </w:r>
            <w:r w:rsidR="006727B0">
              <w:rPr>
                <w:rFonts w:ascii="Verdana" w:hAnsi="Verdana" w:cs="Calibri"/>
                <w:color w:val="000000"/>
              </w:rPr>
              <w:t xml:space="preserve">, </w:t>
            </w:r>
            <w:r w:rsidR="006727B0">
              <w:rPr>
                <w:rFonts w:ascii="Verdana" w:hAnsi="Verdana"/>
                <w:color w:val="000000"/>
              </w:rPr>
              <w:t>1_2026_04_21_005342 y 1_2026_04_21_005345</w:t>
            </w:r>
          </w:p>
          <w:p w14:paraId="7E190BFE" w14:textId="5CF7B3C5" w:rsidR="002D45CF" w:rsidRPr="00FA7089" w:rsidRDefault="002D45CF" w:rsidP="008E545D">
            <w:pPr>
              <w:ind w:left="3"/>
              <w:jc w:val="both"/>
              <w:rPr>
                <w:rFonts w:ascii="Verdana" w:hAnsi="Verdana"/>
                <w:lang w:val="es-ES"/>
              </w:rPr>
            </w:pPr>
          </w:p>
        </w:tc>
      </w:tr>
    </w:tbl>
    <w:p w14:paraId="6C2B38DD" w14:textId="77777777" w:rsidR="002D45CF" w:rsidRPr="009969AD" w:rsidRDefault="002D45CF" w:rsidP="002D45CF">
      <w:pPr>
        <w:spacing w:after="0" w:line="276" w:lineRule="auto"/>
        <w:jc w:val="both"/>
        <w:rPr>
          <w:rFonts w:ascii="Verdana" w:eastAsia="Calibri" w:hAnsi="Verdana" w:cs="Arial"/>
          <w:color w:val="ED7D31" w:themeColor="accent2"/>
          <w:lang w:val="es-ES" w:eastAsia="es-ES"/>
        </w:rPr>
      </w:pPr>
    </w:p>
    <w:p w14:paraId="513166C0" w14:textId="77777777" w:rsidR="002D45CF" w:rsidRPr="00BB595E" w:rsidRDefault="002D45CF" w:rsidP="002D45CF">
      <w:pPr>
        <w:spacing w:after="0" w:line="276" w:lineRule="auto"/>
        <w:jc w:val="both"/>
        <w:rPr>
          <w:rFonts w:ascii="Verdana" w:eastAsia="Calibri" w:hAnsi="Verdana" w:cs="Arial"/>
          <w:lang w:eastAsia="es-ES"/>
        </w:rPr>
      </w:pPr>
      <w:r w:rsidRPr="00BB595E">
        <w:rPr>
          <w:rFonts w:ascii="Verdana" w:eastAsia="Calibri" w:hAnsi="Verdana" w:cs="Arial"/>
          <w:lang w:eastAsia="es-ES"/>
        </w:rPr>
        <w:t>Estimad</w:t>
      </w:r>
      <w:r>
        <w:rPr>
          <w:rFonts w:ascii="Verdana" w:eastAsia="Calibri" w:hAnsi="Verdana" w:cs="Arial"/>
          <w:lang w:eastAsia="es-ES"/>
        </w:rPr>
        <w:t>a</w:t>
      </w:r>
      <w:r w:rsidRPr="00BB595E">
        <w:rPr>
          <w:rFonts w:ascii="Verdana" w:eastAsia="Calibri" w:hAnsi="Verdana" w:cs="Arial"/>
          <w:lang w:eastAsia="es-ES"/>
        </w:rPr>
        <w:t xml:space="preserve"> señor</w:t>
      </w:r>
      <w:r>
        <w:rPr>
          <w:rFonts w:ascii="Verdana" w:eastAsia="Calibri" w:hAnsi="Verdana" w:cs="Arial"/>
          <w:lang w:eastAsia="es-ES"/>
        </w:rPr>
        <w:t>a</w:t>
      </w:r>
      <w:r w:rsidRPr="00BB595E">
        <w:rPr>
          <w:rFonts w:ascii="Verdana" w:eastAsia="Calibri" w:hAnsi="Verdana" w:cs="Arial"/>
          <w:lang w:eastAsia="es-ES"/>
        </w:rPr>
        <w:t xml:space="preserve"> </w:t>
      </w:r>
      <w:r>
        <w:rPr>
          <w:rFonts w:ascii="Verdana" w:eastAsia="Calibri" w:hAnsi="Verdana" w:cs="Arial"/>
          <w:lang w:eastAsia="es-ES"/>
        </w:rPr>
        <w:t>Dorado</w:t>
      </w:r>
      <w:r w:rsidRPr="00BB595E">
        <w:rPr>
          <w:rFonts w:ascii="Verdana" w:eastAsia="Calibri" w:hAnsi="Verdana" w:cs="Arial"/>
          <w:lang w:eastAsia="es-ES"/>
        </w:rPr>
        <w:t>:</w:t>
      </w:r>
    </w:p>
    <w:p w14:paraId="6F3FC650" w14:textId="77777777" w:rsidR="002D45CF" w:rsidRPr="00BB595E" w:rsidRDefault="002D45CF" w:rsidP="002D45CF">
      <w:pPr>
        <w:spacing w:after="0" w:line="276" w:lineRule="auto"/>
        <w:jc w:val="both"/>
        <w:rPr>
          <w:rFonts w:ascii="Verdana" w:eastAsia="Calibri" w:hAnsi="Verdana" w:cs="Arial"/>
          <w:lang w:eastAsia="es-ES"/>
        </w:rPr>
      </w:pPr>
      <w:r w:rsidRPr="00BB595E">
        <w:rPr>
          <w:rFonts w:ascii="Verdana" w:eastAsia="Calibri" w:hAnsi="Verdana" w:cs="Arial"/>
          <w:lang w:eastAsia="es-ES"/>
        </w:rPr>
        <w:t xml:space="preserve"> </w:t>
      </w:r>
    </w:p>
    <w:p w14:paraId="4F69D35A" w14:textId="5F52FA89" w:rsidR="002D45CF" w:rsidRPr="006727B0" w:rsidRDefault="002D45CF" w:rsidP="006727B0">
      <w:pPr>
        <w:tabs>
          <w:tab w:val="left" w:pos="3768"/>
        </w:tabs>
        <w:spacing w:after="0" w:line="276" w:lineRule="auto"/>
        <w:jc w:val="both"/>
        <w:rPr>
          <w:rFonts w:ascii="Verdana" w:eastAsia="Calibri" w:hAnsi="Verdana" w:cs="Arial"/>
          <w:lang w:eastAsia="es-ES"/>
        </w:rPr>
      </w:pPr>
      <w:r w:rsidRPr="00BB595E">
        <w:rPr>
          <w:rFonts w:ascii="Verdana" w:eastAsia="Calibri" w:hAnsi="Verdana" w:cs="Arial"/>
          <w:lang w:eastAsia="es-ES"/>
        </w:rPr>
        <w:t xml:space="preserve">En ejercicio de la competencia otorgada por los artículos 3, numeral 5º, y 11, numeral 8º, del Decreto Ley 4170 de 2011, así como lo establecido por la Resolución 469 de 2025 expedida por esta Entidad, la Agencia Nacional de Contratación Pública – Colombia Compra Eficiente– responde su solicitud de consulta de fecha </w:t>
      </w:r>
      <w:r>
        <w:rPr>
          <w:rFonts w:ascii="Verdana" w:eastAsia="Calibri" w:hAnsi="Verdana" w:cs="Arial"/>
          <w:lang w:eastAsia="es-ES"/>
        </w:rPr>
        <w:t>2</w:t>
      </w:r>
      <w:r w:rsidR="004C0A18">
        <w:rPr>
          <w:rFonts w:ascii="Verdana" w:eastAsia="Calibri" w:hAnsi="Verdana" w:cs="Arial"/>
          <w:lang w:eastAsia="es-ES"/>
        </w:rPr>
        <w:t>1</w:t>
      </w:r>
      <w:r w:rsidRPr="00BB595E">
        <w:rPr>
          <w:rFonts w:ascii="Verdana" w:eastAsia="Calibri" w:hAnsi="Verdana" w:cs="Arial"/>
          <w:lang w:eastAsia="es-ES"/>
        </w:rPr>
        <w:t xml:space="preserve"> de </w:t>
      </w:r>
      <w:r>
        <w:rPr>
          <w:rFonts w:ascii="Verdana" w:eastAsia="Calibri" w:hAnsi="Verdana" w:cs="Arial"/>
          <w:lang w:eastAsia="es-ES"/>
        </w:rPr>
        <w:t xml:space="preserve">abril </w:t>
      </w:r>
      <w:r w:rsidRPr="00BB595E">
        <w:rPr>
          <w:rFonts w:ascii="Verdana" w:eastAsia="Calibri" w:hAnsi="Verdana" w:cs="Arial"/>
          <w:lang w:eastAsia="es-ES"/>
        </w:rPr>
        <w:t xml:space="preserve">de 2026, en la cual manifiesta lo siguiente: </w:t>
      </w:r>
    </w:p>
    <w:p w14:paraId="29DDFA8A" w14:textId="77777777" w:rsidR="002D45CF" w:rsidRDefault="002D45CF" w:rsidP="002D45CF">
      <w:pPr>
        <w:spacing w:before="120" w:after="120"/>
        <w:ind w:left="737" w:rightChars="737" w:right="1621"/>
        <w:contextualSpacing/>
        <w:jc w:val="both"/>
        <w:rPr>
          <w:rFonts w:ascii="Verdana" w:eastAsia="Century Gothic" w:hAnsi="Verdana" w:cs="Century Gothic"/>
          <w:i/>
          <w:iCs/>
          <w:sz w:val="20"/>
          <w:szCs w:val="20"/>
          <w:lang w:val="es-ES"/>
        </w:rPr>
      </w:pPr>
    </w:p>
    <w:p w14:paraId="43E1479D" w14:textId="77777777" w:rsidR="002D45CF" w:rsidRPr="00391796" w:rsidRDefault="002D45CF" w:rsidP="002D45CF">
      <w:pPr>
        <w:spacing w:after="0"/>
        <w:ind w:left="737" w:rightChars="737" w:right="1621"/>
        <w:contextualSpacing/>
        <w:jc w:val="both"/>
        <w:rPr>
          <w:rFonts w:ascii="Verdana" w:eastAsia="Century Gothic" w:hAnsi="Verdana" w:cs="Century Gothic"/>
          <w:sz w:val="20"/>
          <w:szCs w:val="20"/>
          <w:lang w:val="es-ES"/>
        </w:rPr>
      </w:pPr>
      <w:r w:rsidRPr="00122077">
        <w:rPr>
          <w:rFonts w:ascii="Verdana" w:eastAsia="Century Gothic" w:hAnsi="Verdana" w:cs="Century Gothic"/>
          <w:i/>
          <w:iCs/>
          <w:sz w:val="20"/>
          <w:szCs w:val="20"/>
          <w:lang w:val="es-ES"/>
        </w:rPr>
        <w:t>“</w:t>
      </w:r>
      <w:r w:rsidRPr="00391796">
        <w:rPr>
          <w:rFonts w:ascii="Verdana" w:eastAsia="Century Gothic" w:hAnsi="Verdana" w:cs="Century Gothic"/>
          <w:sz w:val="20"/>
          <w:szCs w:val="20"/>
          <w:lang w:val="es-ES"/>
        </w:rPr>
        <w:t>1. ¿Es jurídicamente viable celebrar convenios de cooperación o convenios interadministrativos entre el Municipio y los cuerpos de bomberos voluntarios durante el periodo de restricción establecido en el artículo 33 de la Ley 996 de 2005?</w:t>
      </w:r>
    </w:p>
    <w:p w14:paraId="348536D1" w14:textId="77777777" w:rsidR="002D45CF" w:rsidRPr="00391796" w:rsidRDefault="002D45CF" w:rsidP="002D45CF">
      <w:pPr>
        <w:spacing w:after="0"/>
        <w:ind w:left="737" w:rightChars="737" w:right="1621"/>
        <w:contextualSpacing/>
        <w:jc w:val="both"/>
        <w:rPr>
          <w:rFonts w:ascii="Verdana" w:eastAsia="Century Gothic" w:hAnsi="Verdana" w:cs="Century Gothic"/>
          <w:sz w:val="20"/>
          <w:szCs w:val="20"/>
          <w:lang w:val="es-ES"/>
        </w:rPr>
      </w:pPr>
    </w:p>
    <w:p w14:paraId="7594AF2A" w14:textId="77777777" w:rsidR="002D45CF" w:rsidRDefault="002D45CF" w:rsidP="002D45CF">
      <w:pPr>
        <w:spacing w:after="0"/>
        <w:ind w:left="737" w:rightChars="737" w:right="1621"/>
        <w:contextualSpacing/>
        <w:jc w:val="both"/>
        <w:rPr>
          <w:rFonts w:ascii="Verdana" w:eastAsia="Century Gothic" w:hAnsi="Verdana" w:cs="Century Gothic"/>
          <w:sz w:val="20"/>
          <w:szCs w:val="20"/>
          <w:lang w:val="es-ES"/>
        </w:rPr>
      </w:pPr>
      <w:r w:rsidRPr="00391796">
        <w:rPr>
          <w:rFonts w:ascii="Verdana" w:eastAsia="Century Gothic" w:hAnsi="Verdana" w:cs="Century Gothic"/>
          <w:sz w:val="20"/>
          <w:szCs w:val="20"/>
          <w:lang w:val="es-ES"/>
        </w:rPr>
        <w:lastRenderedPageBreak/>
        <w:t xml:space="preserve">2. ¿La prestación del servicio público esencial de gestión del riesgo, prevención y atención de incendios por parte de los cuerpos de bomberos puede </w:t>
      </w:r>
      <w:proofErr w:type="gramStart"/>
      <w:r w:rsidRPr="00391796">
        <w:rPr>
          <w:rFonts w:ascii="Verdana" w:eastAsia="Century Gothic" w:hAnsi="Verdana" w:cs="Century Gothic"/>
          <w:sz w:val="20"/>
          <w:szCs w:val="20"/>
          <w:lang w:val="es-ES"/>
        </w:rPr>
        <w:t>enmarcarse dentro de</w:t>
      </w:r>
      <w:proofErr w:type="gramEnd"/>
      <w:r w:rsidRPr="00391796">
        <w:rPr>
          <w:rFonts w:ascii="Verdana" w:eastAsia="Century Gothic" w:hAnsi="Verdana" w:cs="Century Gothic"/>
          <w:sz w:val="20"/>
          <w:szCs w:val="20"/>
          <w:lang w:val="es-ES"/>
        </w:rPr>
        <w:t xml:space="preserve"> las excepciones previstas en el citado artículo 33, particularmente aquellas relacionadas con atención de emergencias o servicios indispensables?</w:t>
      </w:r>
    </w:p>
    <w:p w14:paraId="655970D7" w14:textId="77777777" w:rsidR="00105EE0" w:rsidRPr="00391796" w:rsidRDefault="00105EE0" w:rsidP="002D45CF">
      <w:pPr>
        <w:spacing w:after="0"/>
        <w:ind w:left="737" w:rightChars="737" w:right="1621"/>
        <w:contextualSpacing/>
        <w:jc w:val="both"/>
        <w:rPr>
          <w:rFonts w:ascii="Verdana" w:eastAsia="Century Gothic" w:hAnsi="Verdana" w:cs="Century Gothic"/>
          <w:sz w:val="20"/>
          <w:szCs w:val="20"/>
          <w:lang w:val="es-ES"/>
        </w:rPr>
      </w:pPr>
    </w:p>
    <w:p w14:paraId="6410C3C9" w14:textId="77777777" w:rsidR="002D45CF" w:rsidRPr="00391796" w:rsidRDefault="002D45CF" w:rsidP="002D45CF">
      <w:pPr>
        <w:spacing w:after="0"/>
        <w:ind w:left="737" w:rightChars="737" w:right="1621"/>
        <w:contextualSpacing/>
        <w:jc w:val="both"/>
        <w:rPr>
          <w:rFonts w:ascii="Verdana" w:eastAsia="Century Gothic" w:hAnsi="Verdana" w:cs="Century Gothic"/>
          <w:sz w:val="20"/>
          <w:szCs w:val="20"/>
          <w:lang w:val="es-ES"/>
        </w:rPr>
      </w:pPr>
      <w:r w:rsidRPr="00391796">
        <w:rPr>
          <w:rFonts w:ascii="Verdana" w:eastAsia="Century Gothic" w:hAnsi="Verdana" w:cs="Century Gothic"/>
          <w:sz w:val="20"/>
          <w:szCs w:val="20"/>
          <w:lang w:val="es-ES"/>
        </w:rPr>
        <w:t>3. En caso de ser viable dicha contratación, ¿sería viable celebrar un convenio interadministrativo con el cuerpo de bomberos para transferir los recursos de la sobretasa bomberil durante la vigencia de la Ley de Garantías, garantizando el cumplimiento del régimen de contratación estatal?</w:t>
      </w:r>
    </w:p>
    <w:p w14:paraId="7233D4A7" w14:textId="77777777" w:rsidR="002D45CF" w:rsidRPr="00391796" w:rsidRDefault="002D45CF" w:rsidP="002D45CF">
      <w:pPr>
        <w:spacing w:after="0"/>
        <w:ind w:left="737" w:rightChars="737" w:right="1621"/>
        <w:contextualSpacing/>
        <w:jc w:val="both"/>
        <w:rPr>
          <w:rFonts w:ascii="Verdana" w:eastAsia="Century Gothic" w:hAnsi="Verdana" w:cs="Century Gothic"/>
          <w:sz w:val="20"/>
          <w:szCs w:val="20"/>
          <w:lang w:val="es-ES"/>
        </w:rPr>
      </w:pPr>
    </w:p>
    <w:p w14:paraId="4971F451" w14:textId="77777777" w:rsidR="002D45CF" w:rsidRPr="00391796" w:rsidRDefault="002D45CF" w:rsidP="002D45CF">
      <w:pPr>
        <w:spacing w:after="0"/>
        <w:ind w:left="737" w:rightChars="737" w:right="1621"/>
        <w:contextualSpacing/>
        <w:jc w:val="both"/>
        <w:rPr>
          <w:rFonts w:ascii="Verdana" w:eastAsia="Century Gothic" w:hAnsi="Verdana" w:cs="Century Gothic"/>
          <w:sz w:val="20"/>
          <w:szCs w:val="20"/>
          <w:lang w:val="es-ES"/>
        </w:rPr>
      </w:pPr>
      <w:r w:rsidRPr="00391796">
        <w:rPr>
          <w:rFonts w:ascii="Verdana" w:eastAsia="Century Gothic" w:hAnsi="Verdana" w:cs="Century Gothic"/>
          <w:sz w:val="20"/>
          <w:szCs w:val="20"/>
          <w:lang w:val="es-ES"/>
        </w:rPr>
        <w:t>4. ¿Es posible suscribir este tipo de convenios en condiciones ordinarias, aun cuando no exista una situación actual de calamidad, desastre o emergencia declarada en el municipio?” (sic)</w:t>
      </w:r>
    </w:p>
    <w:p w14:paraId="33B6A5C3" w14:textId="77777777" w:rsidR="002D45CF" w:rsidRPr="00122077" w:rsidRDefault="002D45CF" w:rsidP="002D45CF">
      <w:pPr>
        <w:spacing w:after="0"/>
        <w:ind w:left="737" w:right="737"/>
        <w:contextualSpacing/>
        <w:jc w:val="both"/>
        <w:rPr>
          <w:rFonts w:ascii="Verdana" w:eastAsia="Century Gothic" w:hAnsi="Verdana" w:cs="Century Gothic"/>
          <w:i/>
          <w:iCs/>
          <w:sz w:val="20"/>
          <w:szCs w:val="20"/>
          <w:lang w:val="es-ES"/>
        </w:rPr>
      </w:pPr>
    </w:p>
    <w:p w14:paraId="0101F79F" w14:textId="77777777" w:rsidR="002D45CF" w:rsidRPr="00DC2EF1" w:rsidRDefault="002D45CF" w:rsidP="002D45CF">
      <w:pPr>
        <w:spacing w:after="120" w:line="276" w:lineRule="auto"/>
        <w:ind w:firstLine="708"/>
        <w:jc w:val="both"/>
        <w:rPr>
          <w:rFonts w:ascii="Verdana" w:eastAsia="Calibri" w:hAnsi="Verdana" w:cs="Arial"/>
          <w:lang w:val="es-ES" w:eastAsia="es-ES"/>
        </w:rPr>
      </w:pPr>
      <w:r w:rsidRPr="00DC2EF1">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DC2EF1">
        <w:rPr>
          <w:rFonts w:ascii="Verdana" w:hAnsi="Verdana"/>
          <w:lang w:val="es-ES"/>
        </w:rPr>
        <w:tab/>
      </w:r>
    </w:p>
    <w:p w14:paraId="438530B4" w14:textId="77777777" w:rsidR="002D45CF" w:rsidRPr="00DC2EF1" w:rsidRDefault="002D45CF" w:rsidP="002D45CF">
      <w:pPr>
        <w:spacing w:after="0" w:line="276" w:lineRule="auto"/>
        <w:ind w:firstLine="709"/>
        <w:jc w:val="both"/>
        <w:rPr>
          <w:rFonts w:ascii="Verdana" w:eastAsia="Calibri" w:hAnsi="Verdana" w:cs="Arial"/>
          <w:lang w:val="es-ES" w:eastAsia="es-ES"/>
        </w:rPr>
      </w:pPr>
      <w:r w:rsidRPr="00DC2EF1">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84BECE2" w14:textId="77777777" w:rsidR="00105EE0" w:rsidRDefault="00105EE0" w:rsidP="002D45CF">
      <w:pPr>
        <w:tabs>
          <w:tab w:val="left" w:pos="142"/>
          <w:tab w:val="left" w:pos="284"/>
        </w:tabs>
        <w:spacing w:after="0" w:line="276" w:lineRule="auto"/>
        <w:contextualSpacing/>
        <w:jc w:val="both"/>
        <w:rPr>
          <w:rFonts w:ascii="Verdana" w:eastAsia="Calibri" w:hAnsi="Verdana" w:cs="Arial"/>
          <w:lang w:val="es-ES" w:eastAsia="es-ES"/>
        </w:rPr>
      </w:pPr>
    </w:p>
    <w:p w14:paraId="01EED67D" w14:textId="77777777" w:rsidR="00105EE0" w:rsidRDefault="00105EE0" w:rsidP="002D45CF">
      <w:pPr>
        <w:tabs>
          <w:tab w:val="left" w:pos="142"/>
          <w:tab w:val="left" w:pos="284"/>
        </w:tabs>
        <w:spacing w:after="0" w:line="276" w:lineRule="auto"/>
        <w:contextualSpacing/>
        <w:jc w:val="both"/>
        <w:rPr>
          <w:rFonts w:ascii="Verdana" w:eastAsia="Calibri" w:hAnsi="Verdana" w:cs="Arial"/>
          <w:lang w:val="es-ES" w:eastAsia="es-ES"/>
        </w:rPr>
      </w:pPr>
    </w:p>
    <w:p w14:paraId="20F94315" w14:textId="77777777" w:rsidR="00105EE0" w:rsidRDefault="00105EE0" w:rsidP="002D45CF">
      <w:pPr>
        <w:tabs>
          <w:tab w:val="left" w:pos="142"/>
          <w:tab w:val="left" w:pos="284"/>
        </w:tabs>
        <w:spacing w:after="0" w:line="276" w:lineRule="auto"/>
        <w:contextualSpacing/>
        <w:jc w:val="both"/>
        <w:rPr>
          <w:rFonts w:ascii="Verdana" w:eastAsia="Calibri" w:hAnsi="Verdana" w:cs="Arial"/>
          <w:lang w:val="es-ES" w:eastAsia="es-ES"/>
        </w:rPr>
      </w:pPr>
    </w:p>
    <w:p w14:paraId="3500E1C5" w14:textId="77777777" w:rsidR="00105EE0" w:rsidRDefault="00105EE0" w:rsidP="002D45CF">
      <w:pPr>
        <w:tabs>
          <w:tab w:val="left" w:pos="142"/>
          <w:tab w:val="left" w:pos="284"/>
        </w:tabs>
        <w:spacing w:after="0" w:line="276" w:lineRule="auto"/>
        <w:contextualSpacing/>
        <w:jc w:val="both"/>
        <w:rPr>
          <w:rFonts w:ascii="Verdana" w:eastAsia="Calibri" w:hAnsi="Verdana" w:cs="Arial"/>
          <w:lang w:val="es-ES" w:eastAsia="es-ES"/>
        </w:rPr>
      </w:pPr>
    </w:p>
    <w:p w14:paraId="649128A9" w14:textId="77777777" w:rsidR="00105EE0" w:rsidRDefault="00105EE0" w:rsidP="002D45CF">
      <w:pPr>
        <w:tabs>
          <w:tab w:val="left" w:pos="142"/>
          <w:tab w:val="left" w:pos="284"/>
        </w:tabs>
        <w:spacing w:after="0" w:line="276" w:lineRule="auto"/>
        <w:contextualSpacing/>
        <w:jc w:val="both"/>
        <w:rPr>
          <w:rFonts w:ascii="Verdana" w:eastAsia="Calibri" w:hAnsi="Verdana" w:cs="Arial"/>
          <w:lang w:val="es-ES" w:eastAsia="es-ES"/>
        </w:rPr>
      </w:pPr>
    </w:p>
    <w:p w14:paraId="1EA3681F" w14:textId="77777777" w:rsidR="00105EE0" w:rsidRDefault="00105EE0" w:rsidP="002D45CF">
      <w:pPr>
        <w:tabs>
          <w:tab w:val="left" w:pos="142"/>
          <w:tab w:val="left" w:pos="284"/>
        </w:tabs>
        <w:spacing w:after="0" w:line="276" w:lineRule="auto"/>
        <w:contextualSpacing/>
        <w:jc w:val="both"/>
        <w:rPr>
          <w:rFonts w:ascii="Verdana" w:eastAsia="Calibri" w:hAnsi="Verdana" w:cs="Arial"/>
          <w:lang w:val="es-ES" w:eastAsia="es-ES"/>
        </w:rPr>
      </w:pPr>
    </w:p>
    <w:p w14:paraId="0B82D8D2" w14:textId="2FD1CC9D" w:rsidR="002D45CF" w:rsidRPr="00DC2EF1" w:rsidRDefault="002D45CF" w:rsidP="002D45CF">
      <w:pPr>
        <w:tabs>
          <w:tab w:val="left" w:pos="142"/>
          <w:tab w:val="left" w:pos="284"/>
        </w:tabs>
        <w:spacing w:after="0" w:line="276" w:lineRule="auto"/>
        <w:contextualSpacing/>
        <w:jc w:val="both"/>
        <w:rPr>
          <w:rFonts w:ascii="Verdana" w:eastAsia="Century Gothic" w:hAnsi="Verdana" w:cs="Century Gothic"/>
          <w:b/>
          <w:lang w:val="es-ES"/>
        </w:rPr>
      </w:pPr>
      <w:r w:rsidRPr="00DC2EF1">
        <w:rPr>
          <w:rFonts w:ascii="Verdana" w:eastAsia="Century Gothic" w:hAnsi="Verdana" w:cs="Century Gothic"/>
          <w:b/>
          <w:lang w:val="es-ES"/>
        </w:rPr>
        <w:t>1. Problema planteado:</w:t>
      </w:r>
    </w:p>
    <w:p w14:paraId="35C4AB8F" w14:textId="77777777" w:rsidR="002D45CF" w:rsidRPr="0009617C" w:rsidRDefault="002D45CF" w:rsidP="002D45CF">
      <w:pPr>
        <w:tabs>
          <w:tab w:val="left" w:pos="426"/>
        </w:tabs>
        <w:spacing w:after="0" w:line="276" w:lineRule="auto"/>
        <w:jc w:val="both"/>
        <w:rPr>
          <w:rFonts w:ascii="Verdana" w:eastAsia="Century Gothic" w:hAnsi="Verdana" w:cs="Century Gothic"/>
          <w:color w:val="ED7D31" w:themeColor="accent2"/>
          <w:lang w:val="es-ES"/>
        </w:rPr>
      </w:pPr>
    </w:p>
    <w:p w14:paraId="04822385" w14:textId="3404AB4C" w:rsidR="002D45CF" w:rsidRPr="00105EE0" w:rsidRDefault="002D45CF" w:rsidP="002D45CF">
      <w:pPr>
        <w:spacing w:after="0" w:line="276" w:lineRule="auto"/>
        <w:jc w:val="both"/>
        <w:rPr>
          <w:rFonts w:ascii="Verdana" w:eastAsia="Century Gothic" w:hAnsi="Verdana" w:cs="Century Gothic"/>
          <w:color w:val="ED7D31" w:themeColor="accent2"/>
        </w:rPr>
      </w:pPr>
      <w:r w:rsidRPr="0009617C">
        <w:rPr>
          <w:rFonts w:ascii="Verdana" w:eastAsia="Century Gothic" w:hAnsi="Verdana" w:cs="Century Gothic"/>
          <w:lang w:val="es-ES"/>
        </w:rPr>
        <w:t xml:space="preserve">De acuerdo con el contenido de su solicitud, esta Agencia resolverá el siguiente problema jurídico: </w:t>
      </w:r>
      <w:r w:rsidRPr="0009617C">
        <w:rPr>
          <w:rFonts w:ascii="Verdana" w:eastAsia="Century Gothic" w:hAnsi="Verdana" w:cs="Century Gothic"/>
        </w:rPr>
        <w:t>¿</w:t>
      </w:r>
      <w:r w:rsidRPr="0009617C">
        <w:rPr>
          <w:rFonts w:ascii="Verdana" w:hAnsi="Verdana"/>
        </w:rPr>
        <w:t>Resulta</w:t>
      </w:r>
      <w:r w:rsidRPr="0009617C">
        <w:rPr>
          <w:rFonts w:ascii="Verdana" w:eastAsia="Century Gothic" w:hAnsi="Verdana" w:cs="Century Gothic"/>
        </w:rPr>
        <w:t xml:space="preserve"> jurídicamente procedente la suscripción de convenios entre entidades territoriales y los Cuerpos de Bomberos Voluntarios durante la vigencia de las restricciones establecidas en la Ley 996 de 2005??</w:t>
      </w:r>
    </w:p>
    <w:p w14:paraId="0F995C18" w14:textId="77777777" w:rsidR="002D45CF" w:rsidRDefault="002D45CF" w:rsidP="002D45CF">
      <w:pPr>
        <w:spacing w:after="0" w:line="276" w:lineRule="auto"/>
        <w:jc w:val="both"/>
        <w:rPr>
          <w:rFonts w:ascii="Verdana" w:eastAsia="Century Gothic" w:hAnsi="Verdana" w:cs="Century Gothic"/>
        </w:rPr>
      </w:pPr>
    </w:p>
    <w:p w14:paraId="096EAFBB" w14:textId="77777777" w:rsidR="002D45CF" w:rsidRPr="00121C00" w:rsidRDefault="002D45CF" w:rsidP="002D45CF">
      <w:pPr>
        <w:tabs>
          <w:tab w:val="left" w:pos="142"/>
          <w:tab w:val="left" w:pos="284"/>
        </w:tabs>
        <w:spacing w:after="0" w:line="276" w:lineRule="auto"/>
        <w:jc w:val="both"/>
        <w:rPr>
          <w:rFonts w:ascii="Verdana" w:eastAsia="Century Gothic" w:hAnsi="Verdana" w:cs="Century Gothic"/>
          <w:b/>
          <w:lang w:val="es-ES"/>
        </w:rPr>
      </w:pPr>
      <w:r w:rsidRPr="00121C00">
        <w:rPr>
          <w:rFonts w:ascii="Verdana" w:eastAsia="Century Gothic" w:hAnsi="Verdana" w:cs="Century Gothic"/>
          <w:b/>
          <w:lang w:val="es-ES"/>
        </w:rPr>
        <w:t>2. Respuesta:</w:t>
      </w:r>
    </w:p>
    <w:p w14:paraId="76585672" w14:textId="77777777" w:rsidR="002D45CF" w:rsidRPr="009969AD" w:rsidRDefault="002D45CF" w:rsidP="002D45CF">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D45CF" w:rsidRPr="009969AD" w14:paraId="56F9AADD" w14:textId="77777777" w:rsidTr="008E545D">
        <w:tc>
          <w:tcPr>
            <w:tcW w:w="8828" w:type="dxa"/>
          </w:tcPr>
          <w:p w14:paraId="35F9587D" w14:textId="77777777" w:rsidR="002D45CF" w:rsidRDefault="002D45CF" w:rsidP="008E545D">
            <w:pPr>
              <w:spacing w:before="120" w:after="120" w:line="276" w:lineRule="auto"/>
              <w:jc w:val="both"/>
              <w:rPr>
                <w:rFonts w:ascii="Verdana" w:eastAsia="Calibri" w:hAnsi="Verdana" w:cs="Arial"/>
              </w:rPr>
            </w:pPr>
            <w:r w:rsidRPr="00BC092D">
              <w:rPr>
                <w:rFonts w:ascii="Verdana" w:eastAsia="Calibri" w:hAnsi="Verdana" w:cs="Arial"/>
              </w:rPr>
              <w:t>Durante la vigencia de las restricciones previstas en la Ley 996 de 2005,</w:t>
            </w:r>
            <w:r>
              <w:rPr>
                <w:rFonts w:ascii="Verdana" w:eastAsia="Calibri" w:hAnsi="Verdana" w:cs="Arial"/>
              </w:rPr>
              <w:t xml:space="preserve"> en cumplimiento de la obligación dispuesta en el artículo 3 de la Ley 1575 de 2012, </w:t>
            </w:r>
            <w:r w:rsidRPr="00BC092D">
              <w:rPr>
                <w:rFonts w:ascii="Verdana" w:eastAsia="Calibri" w:hAnsi="Verdana" w:cs="Arial"/>
              </w:rPr>
              <w:t xml:space="preserve"> las entidades territoriales pueden celebrar contratos o convenios con los </w:t>
            </w:r>
            <w:r w:rsidRPr="0076277C">
              <w:rPr>
                <w:rFonts w:ascii="Verdana" w:eastAsia="Calibri" w:hAnsi="Verdana" w:cs="Arial"/>
                <w:i/>
                <w:iCs/>
              </w:rPr>
              <w:t>Cuerpos de Bomberos Voluntarios,</w:t>
            </w:r>
            <w:r w:rsidRPr="00BC092D">
              <w:rPr>
                <w:rFonts w:ascii="Verdana" w:eastAsia="Calibri" w:hAnsi="Verdana" w:cs="Arial"/>
              </w:rPr>
              <w:t xml:space="preserve"> siempre que la escogencia del contratista se realice mediante un procedimiento competitivo que garantice la participación de una pluralidad de oferentes, en la medida en que la prohibición contenida en el artículo 33 recae específicamente sobre la contratación directa. En consecuencia, la celebración de acuerdos derivados de procesos abiertos y competitivos resulta jurídicamente viable dentro del periodo de la Ley de Garantías.</w:t>
            </w:r>
            <w:r>
              <w:rPr>
                <w:rFonts w:ascii="Verdana" w:eastAsia="Calibri" w:hAnsi="Verdana" w:cs="Arial"/>
              </w:rPr>
              <w:t xml:space="preserve"> La </w:t>
            </w:r>
            <w:r w:rsidRPr="00BC092D">
              <w:rPr>
                <w:rFonts w:ascii="Verdana" w:eastAsia="Calibri" w:hAnsi="Verdana" w:cs="Arial"/>
              </w:rPr>
              <w:t xml:space="preserve">prohibición de celebrar </w:t>
            </w:r>
            <w:r w:rsidRPr="0076277C">
              <w:rPr>
                <w:rFonts w:ascii="Verdana" w:eastAsia="Calibri" w:hAnsi="Verdana" w:cs="Arial"/>
                <w:i/>
                <w:iCs/>
              </w:rPr>
              <w:t>convenios interadministrativos</w:t>
            </w:r>
            <w:r w:rsidRPr="00BC092D">
              <w:rPr>
                <w:rFonts w:ascii="Verdana" w:eastAsia="Calibri" w:hAnsi="Verdana" w:cs="Arial"/>
              </w:rPr>
              <w:t xml:space="preserve"> prevista en el parágrafo del artículo 38 de la Ley 996 de 2005 no resulta aplicable cuando el acuerdo se suscribe con Cuerpos de Bomberos Voluntarios, debido a su naturaleza jurídica privada, lo que impide que dichos convenios sean calificados como interadministrativos bajo el criterio orgánico que caracteriza esta modalidad contractual.</w:t>
            </w:r>
          </w:p>
          <w:p w14:paraId="39C47DAA" w14:textId="77777777" w:rsidR="002D45CF" w:rsidRPr="00BC092D" w:rsidRDefault="002D45CF" w:rsidP="008E545D">
            <w:pPr>
              <w:spacing w:before="120" w:after="120" w:line="276" w:lineRule="auto"/>
              <w:ind w:firstLine="709"/>
              <w:jc w:val="both"/>
              <w:rPr>
                <w:rFonts w:ascii="Verdana" w:eastAsia="Calibri" w:hAnsi="Verdana" w:cs="Arial"/>
              </w:rPr>
            </w:pPr>
            <w:r>
              <w:rPr>
                <w:rFonts w:ascii="Verdana" w:eastAsia="Calibri" w:hAnsi="Verdana" w:cs="Arial"/>
              </w:rPr>
              <w:t>Excepcionalmente</w:t>
            </w:r>
            <w:r w:rsidRPr="00BC092D">
              <w:rPr>
                <w:rFonts w:ascii="Verdana" w:eastAsia="Calibri" w:hAnsi="Verdana" w:cs="Arial"/>
              </w:rPr>
              <w:t xml:space="preserve">, </w:t>
            </w:r>
            <w:r>
              <w:rPr>
                <w:rFonts w:ascii="Verdana" w:eastAsia="Calibri" w:hAnsi="Verdana" w:cs="Arial"/>
              </w:rPr>
              <w:t xml:space="preserve">durante la vigencia de la restricción del artículo 33 de la Ley 996 de 2005, </w:t>
            </w:r>
            <w:r w:rsidRPr="00BC092D">
              <w:rPr>
                <w:rFonts w:ascii="Verdana" w:eastAsia="Calibri" w:hAnsi="Verdana" w:cs="Arial"/>
              </w:rPr>
              <w:t>la</w:t>
            </w:r>
            <w:r>
              <w:rPr>
                <w:rFonts w:ascii="Verdana" w:eastAsia="Calibri" w:hAnsi="Verdana" w:cs="Arial"/>
              </w:rPr>
              <w:t xml:space="preserve">s entidades estatales podrán acudir a mecanismos de </w:t>
            </w:r>
            <w:r w:rsidRPr="00BC092D">
              <w:rPr>
                <w:rFonts w:ascii="Verdana" w:eastAsia="Calibri" w:hAnsi="Verdana" w:cs="Arial"/>
              </w:rPr>
              <w:t>contratación directa</w:t>
            </w:r>
            <w:r>
              <w:rPr>
                <w:rFonts w:ascii="Verdana" w:eastAsia="Calibri" w:hAnsi="Verdana" w:cs="Arial"/>
              </w:rPr>
              <w:t xml:space="preserve"> para celebrar este tipo de contratos o convenios </w:t>
            </w:r>
            <w:r w:rsidRPr="00BC092D">
              <w:rPr>
                <w:rFonts w:ascii="Verdana" w:eastAsia="Calibri" w:hAnsi="Verdana" w:cs="Arial"/>
              </w:rPr>
              <w:t>cuando</w:t>
            </w:r>
            <w:r>
              <w:rPr>
                <w:rFonts w:ascii="Verdana" w:eastAsia="Calibri" w:hAnsi="Verdana" w:cs="Arial"/>
              </w:rPr>
              <w:t xml:space="preserve">: i) se configure alguna de las causales de contratación directa previstas en la ley; y </w:t>
            </w:r>
            <w:proofErr w:type="spellStart"/>
            <w:r>
              <w:rPr>
                <w:rFonts w:ascii="Verdana" w:eastAsia="Calibri" w:hAnsi="Verdana" w:cs="Arial"/>
              </w:rPr>
              <w:t>ii</w:t>
            </w:r>
            <w:proofErr w:type="spellEnd"/>
            <w:r>
              <w:rPr>
                <w:rFonts w:ascii="Verdana" w:eastAsia="Calibri" w:hAnsi="Verdana" w:cs="Arial"/>
              </w:rPr>
              <w:t>)</w:t>
            </w:r>
            <w:r w:rsidRPr="00BC092D">
              <w:rPr>
                <w:rFonts w:ascii="Verdana" w:eastAsia="Calibri" w:hAnsi="Verdana" w:cs="Arial"/>
              </w:rPr>
              <w:t xml:space="preserve"> el objeto contractual se enmarque en alguna de las excepciones previstas en el inciso segundo del artículo 33 de la Ley 996 de 2005, particularmente </w:t>
            </w:r>
            <w:r>
              <w:rPr>
                <w:rFonts w:ascii="Verdana" w:eastAsia="Calibri" w:hAnsi="Verdana" w:cs="Arial"/>
              </w:rPr>
              <w:t xml:space="preserve">con </w:t>
            </w:r>
            <w:r w:rsidRPr="00BC092D">
              <w:rPr>
                <w:rFonts w:ascii="Verdana" w:eastAsia="Calibri" w:hAnsi="Verdana" w:cs="Arial"/>
              </w:rPr>
              <w:t xml:space="preserve">aquellas </w:t>
            </w:r>
            <w:r>
              <w:rPr>
                <w:rFonts w:ascii="Verdana" w:eastAsia="Calibri" w:hAnsi="Verdana" w:cs="Arial"/>
              </w:rPr>
              <w:t xml:space="preserve">actividades </w:t>
            </w:r>
            <w:r w:rsidRPr="00BC092D">
              <w:rPr>
                <w:rFonts w:ascii="Verdana" w:eastAsia="Calibri" w:hAnsi="Verdana" w:cs="Arial"/>
              </w:rPr>
              <w:t xml:space="preserve">relacionadas con la atención de emergencias o desastres, </w:t>
            </w:r>
            <w:r>
              <w:rPr>
                <w:rFonts w:ascii="Verdana" w:eastAsia="Calibri" w:hAnsi="Verdana" w:cs="Arial"/>
              </w:rPr>
              <w:t>comprendidas dentro del servicios prestados por los Cuerpos de Bomberos con sustento en las l</w:t>
            </w:r>
            <w:r w:rsidRPr="00BC092D">
              <w:rPr>
                <w:rFonts w:ascii="Verdana" w:eastAsia="Calibri" w:hAnsi="Verdana" w:cs="Arial"/>
              </w:rPr>
              <w:t xml:space="preserve">eyes 1523 y 1575 de 2012, circunstancia que debe ser analizada y debidamente sustentada por la entidad estatal en cada caso concreto. En ausencia de tales supuestos, la entidad </w:t>
            </w:r>
            <w:r w:rsidRPr="00BC092D">
              <w:rPr>
                <w:rFonts w:ascii="Verdana" w:eastAsia="Calibri" w:hAnsi="Verdana" w:cs="Arial"/>
              </w:rPr>
              <w:lastRenderedPageBreak/>
              <w:t xml:space="preserve">deberá acudir a mecanismos de selección competitivos </w:t>
            </w:r>
            <w:r>
              <w:rPr>
                <w:rFonts w:ascii="Verdana" w:eastAsia="Calibri" w:hAnsi="Verdana" w:cs="Arial"/>
              </w:rPr>
              <w:t xml:space="preserve">para dar cumplimiento al inciso cuarto del artículo 3 de la Ley 1523 de 2012, </w:t>
            </w:r>
            <w:r w:rsidRPr="00BC092D">
              <w:rPr>
                <w:rFonts w:ascii="Verdana" w:eastAsia="Calibri" w:hAnsi="Verdana" w:cs="Arial"/>
              </w:rPr>
              <w:t>garantiza</w:t>
            </w:r>
            <w:r>
              <w:rPr>
                <w:rFonts w:ascii="Verdana" w:eastAsia="Calibri" w:hAnsi="Verdana" w:cs="Arial"/>
              </w:rPr>
              <w:t>ndo</w:t>
            </w:r>
            <w:r w:rsidRPr="00BC092D">
              <w:rPr>
                <w:rFonts w:ascii="Verdana" w:eastAsia="Calibri" w:hAnsi="Verdana" w:cs="Arial"/>
              </w:rPr>
              <w:t xml:space="preserve"> la validez de la contratación durante el periodo de restricción electoral.</w:t>
            </w:r>
          </w:p>
          <w:p w14:paraId="4215BCD2" w14:textId="77777777" w:rsidR="002D45CF" w:rsidRPr="009969AD" w:rsidRDefault="002D45CF" w:rsidP="008E545D">
            <w:pPr>
              <w:spacing w:before="120" w:after="120" w:line="276" w:lineRule="auto"/>
              <w:ind w:firstLine="709"/>
              <w:jc w:val="both"/>
              <w:rPr>
                <w:rFonts w:ascii="Verdana" w:eastAsia="Calibri" w:hAnsi="Verdana" w:cs="Arial"/>
                <w:color w:val="ED7D31" w:themeColor="accent2"/>
              </w:rPr>
            </w:pPr>
            <w:r w:rsidRPr="00952B33">
              <w:rPr>
                <w:rFonts w:ascii="Verdana" w:eastAsia="Calibri" w:hAnsi="Verdana" w:cs="Arial"/>
                <w:bCs/>
              </w:rPr>
              <w:t>Finalmente</w:t>
            </w:r>
            <w:r w:rsidRPr="00952B33">
              <w:rPr>
                <w:rFonts w:ascii="Verdana" w:eastAsia="Calibri" w:hAnsi="Verdana" w:cs="Times New Roman"/>
                <w:lang w:val="es-ES"/>
              </w:rPr>
              <w:t>,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Pr="00952B33">
              <w:rPr>
                <w:rFonts w:ascii="Verdana" w:hAnsi="Verdana"/>
              </w:rPr>
              <w:t xml:space="preserve"> </w:t>
            </w:r>
          </w:p>
        </w:tc>
      </w:tr>
    </w:tbl>
    <w:p w14:paraId="431CD3AD" w14:textId="77777777" w:rsidR="002D45CF" w:rsidRPr="009969AD" w:rsidRDefault="002D45CF" w:rsidP="002D45CF">
      <w:pPr>
        <w:tabs>
          <w:tab w:val="left" w:pos="142"/>
          <w:tab w:val="left" w:pos="284"/>
        </w:tabs>
        <w:spacing w:after="0" w:line="276" w:lineRule="auto"/>
        <w:jc w:val="both"/>
        <w:rPr>
          <w:rFonts w:ascii="Verdana" w:eastAsia="Century Gothic" w:hAnsi="Verdana" w:cs="Century Gothic"/>
          <w:b/>
          <w:bCs/>
          <w:color w:val="ED7D31" w:themeColor="accent2"/>
          <w:lang w:val="es-ES"/>
        </w:rPr>
      </w:pPr>
    </w:p>
    <w:p w14:paraId="43F16332" w14:textId="77777777" w:rsidR="002D45CF" w:rsidRPr="00B02B2F" w:rsidRDefault="002D45CF" w:rsidP="002D45CF">
      <w:pPr>
        <w:tabs>
          <w:tab w:val="left" w:pos="142"/>
          <w:tab w:val="left" w:pos="284"/>
        </w:tabs>
        <w:spacing w:after="0" w:line="276" w:lineRule="auto"/>
        <w:jc w:val="both"/>
        <w:rPr>
          <w:rFonts w:ascii="Verdana" w:eastAsia="Century Gothic" w:hAnsi="Verdana" w:cs="Century Gothic"/>
          <w:b/>
          <w:lang w:val="es-ES"/>
        </w:rPr>
      </w:pPr>
      <w:r w:rsidRPr="00B02B2F">
        <w:rPr>
          <w:rFonts w:ascii="Verdana" w:eastAsia="Century Gothic" w:hAnsi="Verdana" w:cs="Century Gothic"/>
          <w:b/>
          <w:lang w:val="es-ES"/>
        </w:rPr>
        <w:t>3. Razones de la respuesta:</w:t>
      </w:r>
    </w:p>
    <w:p w14:paraId="1E775CB8" w14:textId="77777777" w:rsidR="002D45CF" w:rsidRPr="00B02B2F" w:rsidRDefault="002D45CF" w:rsidP="002D45CF">
      <w:pPr>
        <w:tabs>
          <w:tab w:val="left" w:pos="142"/>
          <w:tab w:val="left" w:pos="284"/>
        </w:tabs>
        <w:spacing w:after="0" w:line="276" w:lineRule="auto"/>
        <w:jc w:val="both"/>
        <w:rPr>
          <w:rFonts w:ascii="Verdana" w:eastAsia="Century Gothic" w:hAnsi="Verdana" w:cs="Century Gothic"/>
          <w:b/>
          <w:lang w:val="es-ES"/>
        </w:rPr>
      </w:pPr>
    </w:p>
    <w:p w14:paraId="642CB35E" w14:textId="77777777" w:rsidR="002D45CF" w:rsidRPr="00F60E4C" w:rsidRDefault="002D45CF" w:rsidP="002D45CF">
      <w:pPr>
        <w:spacing w:after="0" w:line="276" w:lineRule="auto"/>
        <w:jc w:val="both"/>
        <w:rPr>
          <w:rFonts w:ascii="Verdana" w:eastAsia="Calibri" w:hAnsi="Verdana" w:cs="Arial"/>
          <w:lang w:val="es-ES"/>
        </w:rPr>
      </w:pPr>
      <w:r w:rsidRPr="00B02B2F">
        <w:rPr>
          <w:rFonts w:ascii="Verdana" w:eastAsia="Calibri" w:hAnsi="Verdana" w:cs="Arial"/>
          <w:lang w:val="es-ES"/>
        </w:rPr>
        <w:t>Lo anterior se sustenta en las siguientes consideraciones</w:t>
      </w:r>
      <w:r>
        <w:rPr>
          <w:rFonts w:ascii="Verdana" w:eastAsia="Calibri" w:hAnsi="Verdana" w:cs="Arial"/>
          <w:lang w:val="es-ES"/>
        </w:rPr>
        <w:t>:</w:t>
      </w:r>
    </w:p>
    <w:p w14:paraId="21EA03A7" w14:textId="77777777" w:rsidR="002D45CF" w:rsidRPr="005A676F" w:rsidRDefault="002D45CF" w:rsidP="002D45CF">
      <w:pPr>
        <w:tabs>
          <w:tab w:val="left" w:pos="426"/>
        </w:tabs>
        <w:spacing w:after="120" w:line="276" w:lineRule="auto"/>
        <w:jc w:val="both"/>
        <w:rPr>
          <w:rFonts w:ascii="Verdana" w:eastAsia="Calibri" w:hAnsi="Verdana" w:cs="Arial"/>
          <w:bCs/>
          <w:lang w:val="es-ES_tradnl" w:eastAsia="es-CO"/>
        </w:rPr>
      </w:pPr>
      <w:r w:rsidRPr="005A676F">
        <w:rPr>
          <w:rFonts w:ascii="Verdana" w:eastAsia="Calibri" w:hAnsi="Verdana" w:cs="Arial"/>
          <w:bCs/>
          <w:lang w:eastAsia="es-ES_tradnl"/>
        </w:rPr>
        <w:t>i.</w:t>
      </w:r>
      <w:r>
        <w:rPr>
          <w:rFonts w:ascii="Verdana" w:eastAsia="Calibri" w:hAnsi="Verdana" w:cs="Arial"/>
          <w:bCs/>
          <w:lang w:eastAsia="es-ES_tradnl"/>
        </w:rPr>
        <w:t xml:space="preserve"> </w:t>
      </w:r>
      <w:r w:rsidRPr="005A676F">
        <w:rPr>
          <w:rFonts w:ascii="Verdana" w:eastAsia="Calibri" w:hAnsi="Verdana" w:cs="Arial"/>
          <w:bCs/>
          <w:lang w:val="es-ES_tradnl" w:eastAsia="es-ES_tradnl"/>
        </w:rPr>
        <w:t>El ordenamiento jurídico colombiano contempla previsiones claras para evitar la obtención de beneficios personales en asuntos propios de la administración pública</w:t>
      </w:r>
      <w:r w:rsidRPr="005A676F">
        <w:rPr>
          <w:rFonts w:ascii="Verdana" w:eastAsia="Calibri" w:hAnsi="Verdana" w:cs="Arial"/>
          <w:bCs/>
          <w:i/>
          <w:iCs/>
          <w:lang w:val="es-ES_tradnl" w:eastAsia="es-ES_tradnl"/>
        </w:rPr>
        <w:t xml:space="preserve">. </w:t>
      </w:r>
      <w:r w:rsidRPr="005A676F">
        <w:rPr>
          <w:rFonts w:ascii="Verdana" w:eastAsia="Calibri" w:hAnsi="Verdana" w:cs="Arial"/>
          <w:bCs/>
          <w:lang w:val="es-ES_tradnl" w:eastAsia="es-ES_tradnl"/>
        </w:rPr>
        <w:t>Por ejemplo, el artículo 127 de la Constitución Política establece una prohibición contractual a los servidores públicos y, en cuanto a aspectos políticos establece restricciones a ciertos empleados del Estado, incluso en época no electoral</w:t>
      </w:r>
      <w:r w:rsidRPr="005A676F">
        <w:rPr>
          <w:rFonts w:ascii="Verdana" w:eastAsia="Calibri" w:hAnsi="Verdana" w:cs="Arial"/>
          <w:bCs/>
          <w:vertAlign w:val="superscript"/>
          <w:lang w:val="es-ES_tradnl" w:eastAsia="es-ES_tradnl"/>
        </w:rPr>
        <w:footnoteReference w:id="1"/>
      </w:r>
      <w:r w:rsidRPr="005A676F">
        <w:rPr>
          <w:rFonts w:ascii="Verdana" w:eastAsia="Calibri" w:hAnsi="Verdana" w:cs="Arial"/>
          <w:bCs/>
          <w:lang w:val="es-ES_tradnl" w:eastAsia="es-ES_tradnl"/>
        </w:rPr>
        <w:t xml:space="preserve">. </w:t>
      </w:r>
    </w:p>
    <w:p w14:paraId="299AE3BA" w14:textId="77777777" w:rsidR="002D45CF" w:rsidRDefault="002D45CF" w:rsidP="002D45CF">
      <w:pPr>
        <w:tabs>
          <w:tab w:val="left" w:pos="426"/>
        </w:tabs>
        <w:spacing w:after="0" w:line="276" w:lineRule="auto"/>
        <w:ind w:firstLine="709"/>
        <w:jc w:val="both"/>
        <w:rPr>
          <w:rFonts w:ascii="Verdana" w:eastAsia="Calibri" w:hAnsi="Verdana" w:cs="Arial"/>
          <w:bCs/>
          <w:lang w:val="es-ES_tradnl" w:eastAsia="es-CO"/>
        </w:rPr>
      </w:pPr>
      <w:r w:rsidRPr="005A676F">
        <w:rPr>
          <w:rFonts w:ascii="Verdana" w:eastAsia="Calibri" w:hAnsi="Verdana" w:cs="Arial"/>
          <w:bCs/>
          <w:lang w:val="es-ES_tradnl" w:eastAsia="es-CO"/>
        </w:rPr>
        <w:t>En el mismo sentido,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5A676F">
        <w:rPr>
          <w:rFonts w:ascii="Verdana" w:eastAsia="Calibri" w:hAnsi="Verdana" w:cs="Arial"/>
          <w:bCs/>
          <w:vertAlign w:val="superscript"/>
          <w:lang w:val="es-ES_tradnl" w:eastAsia="es-CO"/>
        </w:rPr>
        <w:footnoteReference w:id="2"/>
      </w:r>
      <w:r w:rsidRPr="005A676F">
        <w:rPr>
          <w:rFonts w:ascii="Verdana" w:eastAsia="Calibri" w:hAnsi="Verdana" w:cs="Arial"/>
          <w:bCs/>
          <w:lang w:val="es-ES_tradnl" w:eastAsia="es-CO"/>
        </w:rPr>
        <w:t xml:space="preserve">. En esta </w:t>
      </w:r>
      <w:r w:rsidRPr="005A676F">
        <w:rPr>
          <w:rFonts w:ascii="Verdana" w:eastAsia="Calibri" w:hAnsi="Verdana" w:cs="Arial"/>
          <w:bCs/>
          <w:lang w:val="es-ES_tradnl" w:eastAsia="es-CO"/>
        </w:rPr>
        <w:lastRenderedPageBreak/>
        <w:t>medida, introduce limitaciones para realizar nombramientos, postulaciones, contrataciones o cualquier otro tipo de actividad que implique destinación de recursos públicos bajo el devenir propio de las entidades estatales.</w:t>
      </w:r>
      <w:r w:rsidRPr="005A676F">
        <w:rPr>
          <w:rFonts w:ascii="Verdana" w:eastAsia="Calibri" w:hAnsi="Verdana" w:cs="Arial"/>
          <w:noProof/>
          <w:lang w:val="es-ES_tradnl" w:eastAsia="es-ES_tradnl"/>
        </w:rPr>
        <w:t xml:space="preserve"> </w:t>
      </w:r>
      <w:r w:rsidRPr="005A676F">
        <w:rPr>
          <w:rFonts w:ascii="Verdana" w:eastAsia="Calibri" w:hAnsi="Verdana" w:cs="Arial"/>
          <w:bCs/>
          <w:lang w:val="es-ES_tradnl" w:eastAsia="es-CO"/>
        </w:rPr>
        <w:t>En armonía con lo anterior, la Corte Constitucional ha abordado la definición de la Ley de Garantías Electorales, en los siguientes términos:</w:t>
      </w:r>
    </w:p>
    <w:p w14:paraId="361F2A0B" w14:textId="77777777" w:rsidR="002D45CF" w:rsidRPr="00432152" w:rsidRDefault="002D45CF" w:rsidP="002D45CF">
      <w:pPr>
        <w:tabs>
          <w:tab w:val="left" w:pos="426"/>
        </w:tabs>
        <w:spacing w:after="0" w:line="276" w:lineRule="auto"/>
        <w:ind w:firstLine="709"/>
        <w:jc w:val="both"/>
        <w:rPr>
          <w:rFonts w:ascii="Verdana" w:eastAsia="Calibri" w:hAnsi="Verdana" w:cs="Arial"/>
          <w:bCs/>
          <w:lang w:val="es-ES_tradnl" w:eastAsia="es-CO"/>
        </w:rPr>
      </w:pPr>
    </w:p>
    <w:p w14:paraId="649CA8CF" w14:textId="77777777" w:rsidR="002D45CF" w:rsidRPr="00432152" w:rsidRDefault="002D45CF" w:rsidP="002D45CF">
      <w:pPr>
        <w:spacing w:after="0" w:line="240" w:lineRule="auto"/>
        <w:ind w:left="709" w:right="709"/>
        <w:jc w:val="both"/>
        <w:rPr>
          <w:rFonts w:ascii="Verdana" w:eastAsia="Calibri" w:hAnsi="Verdana" w:cs="Arial"/>
          <w:bCs/>
          <w:sz w:val="20"/>
          <w:szCs w:val="20"/>
          <w:lang w:val="es-ES_tradnl" w:eastAsia="es-CO"/>
        </w:rPr>
      </w:pPr>
      <w:r w:rsidRPr="00432152">
        <w:rPr>
          <w:rFonts w:ascii="Verdana" w:eastAsia="Calibri" w:hAnsi="Verdana" w:cs="Arial"/>
          <w:sz w:val="20"/>
          <w:szCs w:val="20"/>
          <w:lang w:val="es-ES" w:eastAsia="es-CO"/>
        </w:rPr>
        <w:t xml:space="preserve">[…] </w:t>
      </w:r>
      <w:r w:rsidRPr="00432152">
        <w:rPr>
          <w:rFonts w:ascii="Verdana" w:eastAsia="Calibri" w:hAnsi="Verdana" w:cs="Arial"/>
          <w:bCs/>
          <w:sz w:val="20"/>
          <w:szCs w:val="20"/>
          <w:lang w:val="es-ES_tradnl" w:eastAsia="es-CO"/>
        </w:rPr>
        <w:t>la definición de reglas claras que permitan acceder a los canales de expresión democrática de manera efectiva e igualitaria. El objetivo de una ley de garantías es definir esas reglas.</w:t>
      </w:r>
    </w:p>
    <w:p w14:paraId="6904EB9B" w14:textId="77777777" w:rsidR="002D45CF" w:rsidRPr="00432152" w:rsidRDefault="002D45CF" w:rsidP="002D45CF">
      <w:pPr>
        <w:spacing w:after="0" w:line="240" w:lineRule="auto"/>
        <w:ind w:left="709" w:right="709"/>
        <w:jc w:val="both"/>
        <w:rPr>
          <w:rFonts w:ascii="Verdana" w:eastAsia="Calibri" w:hAnsi="Verdana" w:cs="Arial"/>
          <w:bCs/>
          <w:sz w:val="20"/>
          <w:szCs w:val="20"/>
          <w:lang w:val="es-ES_tradnl" w:eastAsia="es-CO"/>
        </w:rPr>
      </w:pPr>
      <w:r w:rsidRPr="00432152">
        <w:rPr>
          <w:rFonts w:ascii="Verdana" w:eastAsia="Calibri" w:hAnsi="Verdana" w:cs="Arial"/>
          <w:bCs/>
          <w:sz w:val="20"/>
          <w:szCs w:val="20"/>
          <w:lang w:val="es-ES_tradnl" w:eastAsia="es-CO"/>
        </w:rPr>
        <w:t xml:space="preserve">[…] </w:t>
      </w:r>
    </w:p>
    <w:p w14:paraId="7CCF946A" w14:textId="77777777" w:rsidR="002D45CF" w:rsidRDefault="002D45CF" w:rsidP="002D45CF">
      <w:pPr>
        <w:spacing w:after="0" w:line="240" w:lineRule="auto"/>
        <w:ind w:left="709" w:right="709"/>
        <w:jc w:val="both"/>
        <w:rPr>
          <w:rFonts w:ascii="Verdana" w:eastAsia="Calibri" w:hAnsi="Verdana" w:cs="Arial"/>
          <w:bCs/>
          <w:sz w:val="20"/>
          <w:szCs w:val="20"/>
          <w:lang w:val="es-ES_tradnl" w:eastAsia="es-CO"/>
        </w:rPr>
      </w:pPr>
      <w:r w:rsidRPr="00432152">
        <w:rPr>
          <w:rFonts w:ascii="Verdana" w:eastAsia="Calibri" w:hAnsi="Verdana" w:cs="Arial"/>
          <w:bCs/>
          <w:sz w:val="20"/>
          <w:szCs w:val="20"/>
          <w:lang w:val="es-ES_tradnl"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432152">
        <w:rPr>
          <w:rFonts w:ascii="Verdana" w:eastAsia="Calibri" w:hAnsi="Verdana" w:cs="Arial"/>
          <w:sz w:val="20"/>
          <w:szCs w:val="20"/>
          <w:vertAlign w:val="superscript"/>
          <w:lang w:val="es-ES_tradnl" w:eastAsia="es-ES_tradnl"/>
        </w:rPr>
        <w:footnoteReference w:id="3"/>
      </w:r>
    </w:p>
    <w:p w14:paraId="427D910E" w14:textId="77777777" w:rsidR="002D45CF" w:rsidRPr="00432152" w:rsidRDefault="002D45CF" w:rsidP="002D45CF">
      <w:pPr>
        <w:spacing w:after="0" w:line="240" w:lineRule="auto"/>
        <w:ind w:left="709" w:right="709"/>
        <w:jc w:val="both"/>
        <w:rPr>
          <w:rFonts w:ascii="Verdana" w:eastAsia="Calibri" w:hAnsi="Verdana" w:cs="Arial"/>
          <w:bCs/>
          <w:sz w:val="20"/>
          <w:szCs w:val="20"/>
          <w:lang w:val="es-ES_tradnl" w:eastAsia="es-CO"/>
        </w:rPr>
      </w:pPr>
    </w:p>
    <w:p w14:paraId="6632AB50" w14:textId="77777777" w:rsidR="002D45CF" w:rsidRDefault="002D45CF" w:rsidP="002D45CF">
      <w:pPr>
        <w:spacing w:after="120" w:line="276" w:lineRule="auto"/>
        <w:ind w:firstLine="709"/>
        <w:jc w:val="both"/>
        <w:rPr>
          <w:rFonts w:ascii="Verdana" w:eastAsia="Times New Roman" w:hAnsi="Verdana" w:cs="Arial"/>
          <w:bCs/>
          <w:lang w:val="es-MX" w:eastAsia="es-CO"/>
        </w:rPr>
      </w:pPr>
      <w:bookmarkStart w:id="1" w:name="_Hlk78818186"/>
      <w:r w:rsidRPr="00432152">
        <w:rPr>
          <w:rFonts w:ascii="Verdana" w:eastAsia="Times New Roman" w:hAnsi="Verdana" w:cs="Arial"/>
          <w:bCs/>
          <w:lang w:val="es-MX" w:eastAsia="es-CO"/>
        </w:rPr>
        <w:t xml:space="preserve">En este contexto, la Ley de Garantías Electorales establece el marco jurídico para el desarrollo de las elecciones, procurando condiciones de igualdad y transparencia para los aspirantes y, paralelamente, incluyendo restricciones en el actuar de los servidores públicos, las cuales buscan evitar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w:t>
      </w:r>
    </w:p>
    <w:p w14:paraId="40E3051D" w14:textId="77777777" w:rsidR="002D45CF" w:rsidRPr="00432152" w:rsidRDefault="002D45CF" w:rsidP="002D45CF">
      <w:pPr>
        <w:spacing w:after="200" w:line="276" w:lineRule="auto"/>
        <w:ind w:left="142" w:firstLine="709"/>
        <w:jc w:val="both"/>
        <w:rPr>
          <w:rFonts w:ascii="Verdana" w:eastAsia="Calibri" w:hAnsi="Verdana" w:cs="Arial"/>
          <w:bCs/>
          <w:lang w:val="es-ES_tradnl" w:eastAsia="es-CO"/>
        </w:rPr>
      </w:pPr>
      <w:r w:rsidRPr="00432152">
        <w:rPr>
          <w:rFonts w:ascii="Verdana" w:eastAsia="Times New Roman" w:hAnsi="Verdana" w:cs="Arial"/>
          <w:bCs/>
          <w:lang w:val="es-MX" w:eastAsia="es-CO"/>
        </w:rPr>
        <w:t>En efecto, la Sala de Consulta y Servicio Civil del Consejo de Estado al analizar la referida ley, precisó lo siguiente:</w:t>
      </w:r>
      <w:bookmarkEnd w:id="1"/>
    </w:p>
    <w:p w14:paraId="6047F656" w14:textId="77777777" w:rsidR="002D45CF" w:rsidRDefault="002D45CF" w:rsidP="002D45CF">
      <w:pPr>
        <w:spacing w:after="0" w:line="240" w:lineRule="auto"/>
        <w:ind w:left="851" w:right="709"/>
        <w:jc w:val="both"/>
        <w:rPr>
          <w:rFonts w:ascii="Verdana" w:eastAsia="Calibri" w:hAnsi="Verdana" w:cs="Arial"/>
          <w:sz w:val="20"/>
          <w:szCs w:val="20"/>
          <w:lang w:val="es-ES" w:eastAsia="es-CO"/>
        </w:rPr>
      </w:pPr>
      <w:r w:rsidRPr="4057FCD2">
        <w:rPr>
          <w:rFonts w:ascii="Verdana" w:eastAsia="Calibri"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w:t>
      </w:r>
      <w:r w:rsidRPr="4057FCD2">
        <w:rPr>
          <w:rFonts w:ascii="Verdana" w:eastAsia="Calibri" w:hAnsi="Verdana" w:cs="Arial"/>
          <w:sz w:val="20"/>
          <w:szCs w:val="20"/>
          <w:lang w:val="es-ES" w:eastAsia="es-CO"/>
        </w:rPr>
        <w:lastRenderedPageBreak/>
        <w:t>cual no son disponibles ni pueden ser derogadas, modificadas, ampliadas o adicionadas por acuerdo o convenio o acto unilateral.</w:t>
      </w:r>
    </w:p>
    <w:p w14:paraId="43C2220D" w14:textId="77777777" w:rsidR="002D45CF" w:rsidRPr="00432152" w:rsidRDefault="002D45CF" w:rsidP="002D45CF">
      <w:pPr>
        <w:spacing w:after="0" w:line="240" w:lineRule="auto"/>
        <w:ind w:left="851" w:right="709"/>
        <w:jc w:val="both"/>
        <w:rPr>
          <w:rFonts w:ascii="Verdana" w:eastAsia="Calibri" w:hAnsi="Verdana" w:cs="Arial"/>
          <w:sz w:val="20"/>
          <w:szCs w:val="20"/>
          <w:lang w:val="es-ES" w:eastAsia="es-CO"/>
        </w:rPr>
      </w:pPr>
    </w:p>
    <w:p w14:paraId="09A11A47" w14:textId="77777777" w:rsidR="002D45CF" w:rsidRDefault="002D45CF" w:rsidP="002D45CF">
      <w:pPr>
        <w:spacing w:after="0" w:line="240" w:lineRule="auto"/>
        <w:ind w:left="851" w:right="709"/>
        <w:jc w:val="both"/>
        <w:rPr>
          <w:rFonts w:ascii="Verdana" w:eastAsia="Calibri" w:hAnsi="Verdana" w:cs="Arial"/>
          <w:bCs/>
          <w:sz w:val="20"/>
          <w:szCs w:val="20"/>
          <w:lang w:val="es-ES_tradnl" w:eastAsia="es-CO"/>
        </w:rPr>
      </w:pPr>
      <w:r w:rsidRPr="00432152">
        <w:rPr>
          <w:rFonts w:ascii="Verdana" w:eastAsia="Calibri" w:hAnsi="Verdana" w:cs="Arial"/>
          <w:bCs/>
          <w:sz w:val="20"/>
          <w:szCs w:val="20"/>
          <w:lang w:val="es-ES_tradnl" w:eastAsia="es-CO"/>
        </w:rPr>
        <w:t>La jurisprudencia de la Corte Constitucional</w:t>
      </w:r>
      <w:r w:rsidRPr="00432152">
        <w:rPr>
          <w:rFonts w:ascii="Verdana" w:eastAsia="Calibri" w:hAnsi="Verdana" w:cs="Arial"/>
          <w:bCs/>
          <w:sz w:val="20"/>
          <w:szCs w:val="20"/>
          <w:vertAlign w:val="superscript"/>
          <w:lang w:val="es-ES_tradnl" w:eastAsia="es-CO"/>
        </w:rPr>
        <w:footnoteReference w:id="4"/>
      </w:r>
      <w:r w:rsidRPr="00432152">
        <w:rPr>
          <w:rFonts w:ascii="Verdana" w:eastAsia="Calibri" w:hAnsi="Verdana" w:cs="Arial"/>
          <w:bCs/>
          <w:sz w:val="20"/>
          <w:szCs w:val="20"/>
          <w:lang w:val="es-ES_tradnl" w:eastAsia="es-CO"/>
        </w:rPr>
        <w:t> y del Consejo de Estado</w:t>
      </w:r>
      <w:r w:rsidRPr="00432152">
        <w:rPr>
          <w:rFonts w:ascii="Verdana" w:eastAsia="Calibri" w:hAnsi="Verdana" w:cs="Arial"/>
          <w:bCs/>
          <w:sz w:val="20"/>
          <w:szCs w:val="20"/>
          <w:vertAlign w:val="superscript"/>
          <w:lang w:val="es-ES_tradnl" w:eastAsia="es-CO"/>
        </w:rPr>
        <w:footnoteReference w:id="5"/>
      </w:r>
      <w:r w:rsidRPr="00432152">
        <w:rPr>
          <w:rFonts w:ascii="Verdana" w:eastAsia="Calibri" w:hAnsi="Verdana" w:cs="Arial"/>
          <w:bCs/>
          <w:sz w:val="20"/>
          <w:szCs w:val="20"/>
          <w:lang w:val="es-ES_tradnl"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432152">
        <w:rPr>
          <w:rFonts w:ascii="Verdana" w:eastAsia="Calibri" w:hAnsi="Verdana" w:cs="Arial"/>
          <w:bCs/>
          <w:sz w:val="20"/>
          <w:szCs w:val="20"/>
          <w:vertAlign w:val="superscript"/>
          <w:lang w:val="es-ES_tradnl" w:eastAsia="es-CO"/>
        </w:rPr>
        <w:footnoteReference w:id="6"/>
      </w:r>
      <w:r w:rsidRPr="00432152">
        <w:rPr>
          <w:rFonts w:ascii="Verdana" w:eastAsia="Calibri" w:hAnsi="Verdana" w:cs="Arial"/>
          <w:bCs/>
          <w:sz w:val="20"/>
          <w:szCs w:val="20"/>
          <w:lang w:val="es-ES_tradnl" w:eastAsia="es-CO"/>
        </w:rPr>
        <w:t>.</w:t>
      </w:r>
    </w:p>
    <w:p w14:paraId="0479C933" w14:textId="77777777" w:rsidR="002D45CF" w:rsidRPr="00432152" w:rsidRDefault="002D45CF" w:rsidP="002D45CF">
      <w:pPr>
        <w:spacing w:after="0" w:line="240" w:lineRule="auto"/>
        <w:ind w:left="851" w:right="709"/>
        <w:jc w:val="both"/>
        <w:rPr>
          <w:rFonts w:ascii="Verdana" w:eastAsia="Calibri" w:hAnsi="Verdana" w:cs="Arial"/>
          <w:bCs/>
          <w:sz w:val="20"/>
          <w:szCs w:val="20"/>
          <w:lang w:val="es-ES_tradnl" w:eastAsia="es-CO"/>
        </w:rPr>
      </w:pPr>
    </w:p>
    <w:p w14:paraId="4F284DDE" w14:textId="77777777" w:rsidR="002D45CF" w:rsidRPr="00432152" w:rsidRDefault="002D45CF" w:rsidP="002D45CF">
      <w:pPr>
        <w:spacing w:after="120" w:line="276" w:lineRule="auto"/>
        <w:ind w:left="142"/>
        <w:jc w:val="both"/>
        <w:rPr>
          <w:rFonts w:ascii="Verdana" w:eastAsia="Arial" w:hAnsi="Verdana" w:cs="Arial"/>
          <w:lang w:val="es-ES" w:eastAsia="es-ES" w:bidi="es-ES"/>
        </w:rPr>
      </w:pPr>
      <w:r w:rsidRPr="00432152">
        <w:rPr>
          <w:rFonts w:ascii="Verdana" w:eastAsia="Calibri" w:hAnsi="Verdana" w:cs="Arial"/>
          <w:bCs/>
          <w:lang w:val="es-ES_tradnl" w:eastAsia="es-CO"/>
        </w:rPr>
        <w:tab/>
        <w:t>De</w:t>
      </w:r>
      <w:r w:rsidRPr="00432152">
        <w:rPr>
          <w:rFonts w:ascii="Verdana" w:eastAsia="Arial" w:hAnsi="Verdana" w:cs="Arial"/>
          <w:lang w:val="es-ES" w:eastAsia="es-ES" w:bidi="es-ES"/>
        </w:rPr>
        <w:t xml:space="preserve"> conformidad con lo anterior, </w:t>
      </w:r>
      <w:bookmarkStart w:id="2" w:name="_Hlk77236098"/>
      <w:r w:rsidRPr="00432152">
        <w:rPr>
          <w:rFonts w:ascii="Verdana" w:eastAsia="Arial" w:hAnsi="Verdana" w:cs="Arial"/>
          <w:lang w:val="es-ES" w:eastAsia="es-ES" w:bidi="es-ES"/>
        </w:rPr>
        <w:t>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2"/>
    </w:p>
    <w:p w14:paraId="58401B28" w14:textId="77777777" w:rsidR="002D45CF" w:rsidRDefault="002D45CF" w:rsidP="002D45CF">
      <w:pPr>
        <w:spacing w:after="0" w:line="276" w:lineRule="auto"/>
        <w:ind w:firstLine="709"/>
        <w:contextualSpacing/>
        <w:jc w:val="both"/>
        <w:rPr>
          <w:rFonts w:ascii="Verdana" w:eastAsia="Calibri" w:hAnsi="Verdana" w:cs="Arial"/>
          <w:lang w:val="es-ES_tradnl" w:eastAsia="es-ES_tradnl"/>
        </w:rPr>
      </w:pPr>
      <w:r w:rsidRPr="00432152">
        <w:rPr>
          <w:rFonts w:ascii="Verdana" w:eastAsia="Calibri" w:hAnsi="Verdana" w:cs="Arial"/>
          <w:lang w:val="es-ES_tradnl" w:eastAsia="es-ES_tradnl"/>
        </w:rPr>
        <w:t xml:space="preserve">Por un lado, el artículo 33 de la Ley 996 de 2005 prohíbe </w:t>
      </w:r>
      <w:r>
        <w:rPr>
          <w:rFonts w:ascii="Verdana" w:eastAsia="Calibri" w:hAnsi="Verdana" w:cs="Arial"/>
          <w:bCs/>
          <w:lang w:val="es-ES_tradnl" w:eastAsia="es-ES_tradnl"/>
        </w:rPr>
        <w:t>“</w:t>
      </w:r>
      <w:r w:rsidRPr="00432152">
        <w:rPr>
          <w:rFonts w:ascii="Verdana" w:eastAsia="Calibri" w:hAnsi="Verdana" w:cs="Arial"/>
          <w:bCs/>
          <w:lang w:val="es-ES_tradnl" w:eastAsia="es-ES_tradnl"/>
        </w:rPr>
        <w:t xml:space="preserve">[…] </w:t>
      </w:r>
      <w:r w:rsidRPr="00432152">
        <w:rPr>
          <w:rFonts w:ascii="Verdana" w:eastAsia="Calibri" w:hAnsi="Verdana" w:cs="Arial"/>
          <w:lang w:val="es-ES_tradnl" w:eastAsia="es-ES_tradnl"/>
        </w:rPr>
        <w:t>la contratación directa por parte de todos los entes del Estado</w:t>
      </w:r>
      <w:r>
        <w:rPr>
          <w:rFonts w:ascii="Verdana" w:eastAsia="Calibri" w:hAnsi="Verdana" w:cs="Arial"/>
          <w:bCs/>
          <w:lang w:val="es-ES_tradnl" w:eastAsia="es-ES_tradnl"/>
        </w:rPr>
        <w:t>”</w:t>
      </w:r>
      <w:r w:rsidRPr="00432152">
        <w:rPr>
          <w:rFonts w:ascii="Verdana" w:eastAsia="Calibri" w:hAnsi="Verdana" w:cs="Arial"/>
          <w:lang w:val="es-ES_tradnl" w:eastAsia="es-ES_tradnl"/>
        </w:rPr>
        <w:t xml:space="preserve"> durante los cuatro (4) meses anteriores a las elecciones presidenciales, salvo </w:t>
      </w:r>
      <w:r>
        <w:rPr>
          <w:rFonts w:ascii="Verdana" w:eastAsia="Calibri" w:hAnsi="Verdana" w:cs="Arial"/>
          <w:bCs/>
          <w:lang w:val="es-ES_tradnl" w:eastAsia="es-ES_tradnl"/>
        </w:rPr>
        <w:t>“</w:t>
      </w:r>
      <w:r w:rsidRPr="00432152">
        <w:rPr>
          <w:rFonts w:ascii="Verdana" w:eastAsia="Calibri" w:hAnsi="Verdana" w:cs="Arial"/>
          <w:bCs/>
          <w:lang w:val="es-ES_tradnl" w:eastAsia="es-ES_tradnl"/>
        </w:rPr>
        <w:t xml:space="preserve">[…] </w:t>
      </w:r>
      <w:r w:rsidRPr="00432152">
        <w:rPr>
          <w:rFonts w:ascii="Verdana" w:eastAsia="Calibri" w:hAnsi="Verdana" w:cs="Arial"/>
          <w:lang w:val="es-ES_tradnl" w:eastAsia="es-ES_tradnl"/>
        </w:rPr>
        <w:t xml:space="preserve">lo referente a la defensa y seguridad del Estado, los contratos de crédito público, los requeridos para cubrir las emergencias educativas, sanitarias y desastres, así como también </w:t>
      </w:r>
      <w:r w:rsidRPr="00432152">
        <w:rPr>
          <w:rFonts w:ascii="Verdana" w:eastAsia="Calibri" w:hAnsi="Verdana" w:cs="Arial"/>
          <w:lang w:val="es-ES_tradnl" w:eastAsia="es-ES_tradnl"/>
        </w:rPr>
        <w:lastRenderedPageBreak/>
        <w:t>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lang w:val="es-ES_tradnl" w:eastAsia="es-ES_tradnl"/>
        </w:rPr>
        <w:t>”</w:t>
      </w:r>
      <w:r w:rsidRPr="00432152">
        <w:rPr>
          <w:rFonts w:ascii="Verdana" w:eastAsia="Calibri" w:hAnsi="Verdana" w:cs="Arial"/>
          <w:bCs/>
          <w:vertAlign w:val="superscript"/>
          <w:lang w:val="es-ES_tradnl" w:eastAsia="es-ES_tradnl"/>
        </w:rPr>
        <w:footnoteReference w:id="7"/>
      </w:r>
      <w:r w:rsidRPr="00432152">
        <w:rPr>
          <w:rFonts w:ascii="Verdana" w:eastAsia="Calibri" w:hAnsi="Verdana" w:cs="Arial"/>
          <w:lang w:val="es-ES_tradnl" w:eastAsia="es-ES_tradnl"/>
        </w:rPr>
        <w:t>.</w:t>
      </w:r>
    </w:p>
    <w:p w14:paraId="2E5EC1BF" w14:textId="77777777" w:rsidR="002D45CF" w:rsidRPr="00432152" w:rsidRDefault="002D45CF" w:rsidP="002D45CF">
      <w:pPr>
        <w:spacing w:after="0" w:line="276" w:lineRule="auto"/>
        <w:ind w:firstLine="709"/>
        <w:contextualSpacing/>
        <w:jc w:val="both"/>
        <w:rPr>
          <w:rFonts w:ascii="Verdana" w:eastAsia="Calibri" w:hAnsi="Verdana" w:cs="Arial"/>
          <w:lang w:val="es-ES_tradnl" w:eastAsia="es-ES_tradnl"/>
        </w:rPr>
      </w:pPr>
    </w:p>
    <w:p w14:paraId="043B8BAA" w14:textId="77777777" w:rsidR="002D45CF" w:rsidRDefault="002D45CF" w:rsidP="002D45CF">
      <w:pPr>
        <w:widowControl w:val="0"/>
        <w:autoSpaceDE w:val="0"/>
        <w:autoSpaceDN w:val="0"/>
        <w:spacing w:after="0" w:line="276" w:lineRule="auto"/>
        <w:ind w:firstLine="709"/>
        <w:contextualSpacing/>
        <w:jc w:val="both"/>
        <w:rPr>
          <w:rFonts w:ascii="Verdana" w:eastAsia="Arial" w:hAnsi="Verdana" w:cs="Arial"/>
          <w:lang w:val="es-ES" w:eastAsia="es-ES" w:bidi="es-ES"/>
        </w:rPr>
      </w:pPr>
      <w:r w:rsidRPr="00432152">
        <w:rPr>
          <w:rFonts w:ascii="Verdana" w:eastAsia="Calibri" w:hAnsi="Verdana" w:cs="Arial"/>
          <w:lang w:val="es-ES_tradnl" w:eastAsia="es-ES_tradn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lang w:val="es-ES_tradnl" w:eastAsia="es-ES_tradnl"/>
        </w:rPr>
        <w:t>“</w:t>
      </w:r>
      <w:r w:rsidRPr="00432152">
        <w:rPr>
          <w:rFonts w:ascii="Verdana" w:eastAsia="Calibri" w:hAnsi="Verdana" w:cs="Arial"/>
          <w:bCs/>
          <w:lang w:val="es-ES_tradnl" w:eastAsia="es-ES_tradnl"/>
        </w:rPr>
        <w:t xml:space="preserve">[…] </w:t>
      </w:r>
      <w:r w:rsidRPr="00432152">
        <w:rPr>
          <w:rFonts w:ascii="Verdana" w:eastAsia="Calibri" w:hAnsi="Verdana" w:cs="Arial"/>
          <w:lang w:val="es-ES_tradnl" w:eastAsia="es-ES_tradn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lang w:val="es-ES_tradnl" w:eastAsia="es-ES_tradnl"/>
        </w:rPr>
        <w:t>”</w:t>
      </w:r>
      <w:r w:rsidRPr="00432152">
        <w:rPr>
          <w:rFonts w:ascii="Verdana" w:eastAsia="Calibri" w:hAnsi="Verdana" w:cs="Arial"/>
          <w:bCs/>
          <w:vertAlign w:val="superscript"/>
          <w:lang w:val="es-ES_tradnl" w:eastAsia="es-ES_tradnl"/>
        </w:rPr>
        <w:footnoteReference w:id="8"/>
      </w:r>
      <w:r w:rsidRPr="00432152">
        <w:rPr>
          <w:rFonts w:ascii="Verdana" w:eastAsia="Calibri" w:hAnsi="Verdana" w:cs="Arial"/>
          <w:lang w:val="es-ES_tradnl" w:eastAsia="es-ES_tradnl"/>
        </w:rPr>
        <w:t>.</w:t>
      </w:r>
      <w:r w:rsidRPr="00432152">
        <w:rPr>
          <w:rFonts w:ascii="Verdana" w:eastAsia="Arial" w:hAnsi="Verdana" w:cs="Arial"/>
          <w:lang w:val="es-ES" w:eastAsia="es-ES" w:bidi="es-ES"/>
        </w:rPr>
        <w:t xml:space="preserve"> </w:t>
      </w:r>
    </w:p>
    <w:p w14:paraId="7B69B2F9" w14:textId="77777777" w:rsidR="002D45CF" w:rsidRDefault="002D45CF" w:rsidP="002D45CF">
      <w:pPr>
        <w:widowControl w:val="0"/>
        <w:autoSpaceDE w:val="0"/>
        <w:autoSpaceDN w:val="0"/>
        <w:spacing w:after="0" w:line="276" w:lineRule="auto"/>
        <w:ind w:firstLine="709"/>
        <w:contextualSpacing/>
        <w:jc w:val="both"/>
        <w:rPr>
          <w:rFonts w:ascii="Verdana" w:eastAsia="Arial" w:hAnsi="Verdana" w:cs="Arial"/>
          <w:lang w:val="es-ES" w:eastAsia="es-ES" w:bidi="es-ES"/>
        </w:rPr>
      </w:pPr>
    </w:p>
    <w:p w14:paraId="2103FFD5" w14:textId="77777777" w:rsidR="002D45CF" w:rsidRPr="00432152" w:rsidRDefault="002D45CF" w:rsidP="002D45CF">
      <w:pPr>
        <w:widowControl w:val="0"/>
        <w:autoSpaceDE w:val="0"/>
        <w:autoSpaceDN w:val="0"/>
        <w:spacing w:after="0" w:line="276" w:lineRule="auto"/>
        <w:ind w:left="142" w:right="113" w:firstLine="708"/>
        <w:jc w:val="both"/>
        <w:rPr>
          <w:rFonts w:ascii="Verdana" w:eastAsia="Arial" w:hAnsi="Verdana" w:cs="Arial"/>
          <w:lang w:val="es-ES" w:eastAsia="es-ES" w:bidi="es-ES"/>
        </w:rPr>
      </w:pPr>
      <w:r w:rsidRPr="004321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317A4E25" w14:textId="77777777" w:rsidR="002D45CF" w:rsidRDefault="002D45CF" w:rsidP="002D45CF">
      <w:pPr>
        <w:widowControl w:val="0"/>
        <w:autoSpaceDE w:val="0"/>
        <w:autoSpaceDN w:val="0"/>
        <w:spacing w:after="0" w:line="240" w:lineRule="auto"/>
        <w:ind w:left="851" w:right="709"/>
        <w:jc w:val="both"/>
        <w:rPr>
          <w:rFonts w:ascii="Verdana" w:eastAsia="Arial" w:hAnsi="Verdana" w:cs="Arial"/>
          <w:sz w:val="20"/>
          <w:szCs w:val="20"/>
          <w:lang w:val="es-ES" w:eastAsia="es-ES" w:bidi="es-ES"/>
        </w:rPr>
      </w:pPr>
    </w:p>
    <w:p w14:paraId="3C14AB06" w14:textId="77777777" w:rsidR="002D45CF" w:rsidRPr="00432152" w:rsidRDefault="002D45CF" w:rsidP="002D45CF">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432152">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w:t>
      </w:r>
      <w:r w:rsidRPr="00432152">
        <w:rPr>
          <w:rFonts w:ascii="Verdana" w:eastAsia="Arial" w:hAnsi="Verdana" w:cs="Arial"/>
          <w:sz w:val="20"/>
          <w:szCs w:val="20"/>
          <w:lang w:val="es-ES" w:eastAsia="es-ES" w:bidi="es-ES"/>
        </w:rPr>
        <w:lastRenderedPageBreak/>
        <w:t xml:space="preserve">todos los entes del Estado, incluidos los territoriales, se aplican las restricciones de los artículos 32 y 33 con sus excepciones, así como las del parágrafo del artículo 38. </w:t>
      </w:r>
      <w:r w:rsidRPr="00432152">
        <w:rPr>
          <w:rFonts w:ascii="Verdana" w:eastAsia="Arial" w:hAnsi="Verdana" w:cs="Arial"/>
          <w:bCs/>
          <w:sz w:val="20"/>
          <w:szCs w:val="20"/>
          <w:lang w:val="es-ES" w:eastAsia="es-ES" w:bidi="es-ES"/>
        </w:rPr>
        <w:t>En cambio, para elecciones en general, excluyendo las correspondientes a Presidente de la República, a las autoridades territoriales allí mencionadas sólo se aplican las restricciones contenidas en el parágrafo del artículo 38</w:t>
      </w:r>
      <w:r w:rsidRPr="00432152">
        <w:rPr>
          <w:rFonts w:ascii="Verdana" w:eastAsia="Arial" w:hAnsi="Verdana" w:cs="Arial"/>
          <w:sz w:val="20"/>
          <w:szCs w:val="20"/>
          <w:vertAlign w:val="superscript"/>
          <w:lang w:val="es-ES" w:eastAsia="es-ES" w:bidi="es-ES"/>
        </w:rPr>
        <w:footnoteReference w:id="9"/>
      </w:r>
      <w:r w:rsidRPr="00432152">
        <w:rPr>
          <w:rFonts w:ascii="Verdana" w:eastAsia="Arial" w:hAnsi="Verdana" w:cs="Arial"/>
          <w:sz w:val="20"/>
          <w:szCs w:val="20"/>
          <w:lang w:val="es-ES" w:eastAsia="es-ES" w:bidi="es-ES"/>
        </w:rPr>
        <w:t>.</w:t>
      </w:r>
    </w:p>
    <w:p w14:paraId="7FF1C6E3" w14:textId="77777777" w:rsidR="002D45CF" w:rsidRDefault="002D45CF" w:rsidP="002D45CF">
      <w:pPr>
        <w:spacing w:after="0" w:line="276" w:lineRule="auto"/>
        <w:ind w:left="142" w:firstLine="709"/>
        <w:jc w:val="both"/>
        <w:rPr>
          <w:rFonts w:ascii="Verdana" w:eastAsia="Arial" w:hAnsi="Verdana" w:cs="Arial"/>
          <w:lang w:val="es-ES" w:eastAsia="es-ES" w:bidi="es-ES"/>
        </w:rPr>
      </w:pPr>
    </w:p>
    <w:p w14:paraId="7967FE21" w14:textId="77777777" w:rsidR="002D45CF" w:rsidRPr="00432152" w:rsidRDefault="002D45CF" w:rsidP="002D45CF">
      <w:pPr>
        <w:spacing w:after="120" w:line="276" w:lineRule="auto"/>
        <w:ind w:firstLine="709"/>
        <w:jc w:val="both"/>
        <w:rPr>
          <w:rFonts w:ascii="Verdana" w:eastAsia="Arial" w:hAnsi="Verdana" w:cs="Arial"/>
          <w:lang w:val="es-ES" w:eastAsia="es-ES" w:bidi="es-ES"/>
        </w:rPr>
      </w:pPr>
      <w:r w:rsidRPr="00432152">
        <w:rPr>
          <w:rFonts w:ascii="Verdana" w:eastAsia="Arial" w:hAnsi="Verdana" w:cs="Arial"/>
          <w:lang w:val="es-ES" w:eastAsia="es-ES" w:bidi="es-ES"/>
        </w:rPr>
        <w:t xml:space="preserve">De lo anterior se desprende que </w:t>
      </w:r>
      <w:bookmarkStart w:id="4" w:name="_Hlk77236420"/>
      <w:bookmarkStart w:id="5" w:name="_Hlk78818435"/>
      <w:r w:rsidRPr="00432152">
        <w:rPr>
          <w:rFonts w:ascii="Verdana" w:eastAsia="Arial" w:hAnsi="Verdana" w:cs="Arial"/>
          <w:lang w:val="es-ES" w:eastAsia="es-ES" w:bidi="es-ES"/>
        </w:rPr>
        <w:t xml:space="preserve">la Ley 996 de 2005 establece dos (2) tipos de restricciones en materia de contratación, las cuales coinciden parcialmente. </w:t>
      </w:r>
      <w:r w:rsidRPr="00432152">
        <w:rPr>
          <w:rFonts w:ascii="Verdana" w:eastAsia="Arial" w:hAnsi="Verdana" w:cs="Arial"/>
          <w:i/>
          <w:iCs/>
          <w:lang w:val="es-ES" w:eastAsia="es-ES" w:bidi="es-ES"/>
        </w:rPr>
        <w:t>En primer lugar</w:t>
      </w:r>
      <w:r w:rsidRPr="004321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432152">
        <w:rPr>
          <w:rFonts w:ascii="Verdana" w:eastAsia="Arial" w:hAnsi="Verdana" w:cs="Arial"/>
          <w:i/>
          <w:iCs/>
          <w:lang w:val="es-ES" w:eastAsia="es-ES" w:bidi="es-ES"/>
        </w:rPr>
        <w:t>En segundo lugar</w:t>
      </w:r>
      <w:r w:rsidRPr="004321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4"/>
    </w:p>
    <w:bookmarkEnd w:id="5"/>
    <w:p w14:paraId="258D2802" w14:textId="77777777" w:rsidR="002D45CF" w:rsidRPr="00432152" w:rsidRDefault="002D45CF" w:rsidP="002D45CF">
      <w:pPr>
        <w:spacing w:after="120" w:line="276" w:lineRule="auto"/>
        <w:ind w:firstLine="709"/>
        <w:jc w:val="both"/>
        <w:rPr>
          <w:rFonts w:ascii="Verdana" w:eastAsia="Arial" w:hAnsi="Verdana" w:cs="Arial"/>
          <w:lang w:val="es-ES" w:eastAsia="es-ES" w:bidi="es-ES"/>
        </w:rPr>
      </w:pPr>
      <w:r w:rsidRPr="00432152">
        <w:rPr>
          <w:rFonts w:ascii="Verdana" w:eastAsia="Arial" w:hAnsi="Verdana" w:cs="Arial"/>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p w14:paraId="33449D7C" w14:textId="77777777" w:rsidR="002D45CF" w:rsidRPr="00D8028D" w:rsidRDefault="002D45CF" w:rsidP="002D45CF">
      <w:pPr>
        <w:spacing w:after="0" w:line="276" w:lineRule="auto"/>
        <w:ind w:firstLine="708"/>
        <w:jc w:val="both"/>
        <w:rPr>
          <w:rFonts w:ascii="Verdana" w:eastAsia="Arial" w:hAnsi="Verdana" w:cs="Arial"/>
          <w:lang w:val="es-ES" w:eastAsia="es-ES" w:bidi="es-ES"/>
        </w:rPr>
      </w:pPr>
      <w:r w:rsidRPr="0043215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w:t>
      </w:r>
      <w:r w:rsidRPr="00432152">
        <w:rPr>
          <w:rFonts w:ascii="Verdana" w:eastAsia="Arial" w:hAnsi="Verdana" w:cs="Arial"/>
          <w:lang w:val="es-ES" w:eastAsia="es-ES" w:bidi="es-ES"/>
        </w:rPr>
        <w:lastRenderedPageBreak/>
        <w:t xml:space="preserve">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w:t>
      </w:r>
      <w:r w:rsidRPr="00D8028D">
        <w:rPr>
          <w:rFonts w:ascii="Verdana" w:eastAsia="Arial" w:hAnsi="Verdana" w:cs="Arial"/>
          <w:lang w:val="es-ES" w:eastAsia="es-ES" w:bidi="es-ES"/>
        </w:rPr>
        <w:t xml:space="preserve">para el Vicepresidente que no haya ejercido la presidencia o que la haya ejercido por un tiempo inferior a tres (3) meses durante el respectivo cuatrienio, en forma continua o discontinua, conforme al artículo 197 de la Constitución Política.  </w:t>
      </w:r>
    </w:p>
    <w:p w14:paraId="6A5A5FD5" w14:textId="77777777" w:rsidR="002D45CF" w:rsidRPr="00D8028D" w:rsidRDefault="002D45CF" w:rsidP="002D45CF">
      <w:pPr>
        <w:spacing w:after="0" w:line="276" w:lineRule="auto"/>
        <w:jc w:val="both"/>
        <w:rPr>
          <w:rFonts w:ascii="Verdana" w:eastAsia="Calibri" w:hAnsi="Verdana" w:cs="Arial"/>
          <w:lang w:val="es-ES"/>
        </w:rPr>
      </w:pPr>
    </w:p>
    <w:p w14:paraId="281B5AA7" w14:textId="77777777" w:rsidR="002D45CF" w:rsidRPr="00D8028D" w:rsidRDefault="002D45CF" w:rsidP="002D45CF">
      <w:pPr>
        <w:spacing w:after="0" w:line="276" w:lineRule="auto"/>
        <w:jc w:val="both"/>
        <w:rPr>
          <w:rFonts w:ascii="Verdana" w:eastAsia="Calibri" w:hAnsi="Verdana" w:cs="Arial"/>
          <w:lang w:val="es-ES_tradnl" w:eastAsia="es-CO"/>
        </w:rPr>
      </w:pPr>
      <w:proofErr w:type="spellStart"/>
      <w:r w:rsidRPr="00D8028D">
        <w:rPr>
          <w:rFonts w:ascii="Verdana" w:eastAsia="Calibri" w:hAnsi="Verdana" w:cs="Arial"/>
          <w:bCs/>
          <w:lang w:val="es-ES" w:eastAsia="es-CO"/>
        </w:rPr>
        <w:t>ii</w:t>
      </w:r>
      <w:proofErr w:type="spellEnd"/>
      <w:r w:rsidRPr="00D8028D">
        <w:rPr>
          <w:rFonts w:ascii="Verdana" w:eastAsia="Calibri" w:hAnsi="Verdana" w:cs="Arial"/>
          <w:bCs/>
          <w:lang w:val="es-ES" w:eastAsia="es-CO"/>
        </w:rPr>
        <w:t xml:space="preserve">. </w:t>
      </w:r>
      <w:r w:rsidRPr="00D8028D">
        <w:rPr>
          <w:rFonts w:ascii="Verdana" w:eastAsia="Calibri" w:hAnsi="Verdana" w:cs="Arial"/>
          <w:bCs/>
          <w:lang w:val="es-ES_tradnl" w:eastAsia="x-none"/>
        </w:rPr>
        <w:t xml:space="preserve">El ámbito material de la prohibición contenida en el artículo 33 de la ley 996 de 2005 está delimitado por la expresión </w:t>
      </w:r>
      <w:r w:rsidRPr="00D8028D">
        <w:rPr>
          <w:rFonts w:ascii="Verdana" w:eastAsia="Calibri" w:hAnsi="Verdana" w:cs="Arial"/>
          <w:bCs/>
          <w:lang w:val="es-ES_tradnl" w:eastAsia="es-ES_tradnl"/>
        </w:rPr>
        <w:t>“</w:t>
      </w:r>
      <w:r w:rsidRPr="00D8028D">
        <w:rPr>
          <w:rFonts w:ascii="Verdana" w:eastAsia="Calibri" w:hAnsi="Verdana" w:cs="Arial"/>
          <w:bCs/>
          <w:lang w:val="es-ES_tradnl" w:eastAsia="x-none"/>
        </w:rPr>
        <w:t>queda prohibida la contratación directa</w:t>
      </w:r>
      <w:r w:rsidRPr="00D8028D">
        <w:rPr>
          <w:rFonts w:ascii="Verdana" w:eastAsia="Calibri" w:hAnsi="Verdana" w:cs="Arial"/>
          <w:lang w:val="es-ES_tradnl" w:eastAsia="es-ES_tradnl"/>
        </w:rPr>
        <w:t>”</w:t>
      </w:r>
      <w:r w:rsidRPr="00D8028D">
        <w:rPr>
          <w:rFonts w:ascii="Verdana" w:eastAsia="Calibri" w:hAnsi="Verdana" w:cs="Arial"/>
          <w:bCs/>
          <w:lang w:val="es-ES_tradnl" w:eastAsia="x-none"/>
        </w:rPr>
        <w:t xml:space="preserve">. </w:t>
      </w:r>
      <w:r w:rsidRPr="00D8028D">
        <w:rPr>
          <w:rFonts w:ascii="Verdana" w:eastAsia="Calibri" w:hAnsi="Verdana" w:cs="Arial"/>
          <w:lang w:val="es-ES_tradnl" w:eastAsia="es-CO"/>
        </w:rPr>
        <w:t xml:space="preserve"> A propósito de esta restricción de la Ley de Garantías Electorales, la Sala de Consulta y Servicio Civil del Consejo de Estado ha considerado que:</w:t>
      </w:r>
    </w:p>
    <w:p w14:paraId="3C717E34" w14:textId="77777777" w:rsidR="002D45CF" w:rsidRPr="00D8028D" w:rsidRDefault="002D45CF" w:rsidP="002D45CF">
      <w:pPr>
        <w:spacing w:after="0" w:line="276" w:lineRule="auto"/>
        <w:jc w:val="both"/>
        <w:rPr>
          <w:rFonts w:ascii="Verdana" w:eastAsia="Calibri" w:hAnsi="Verdana" w:cs="Arial"/>
          <w:bCs/>
          <w:lang w:val="es-ES_tradnl" w:eastAsia="es-CO"/>
        </w:rPr>
      </w:pPr>
    </w:p>
    <w:p w14:paraId="690359F2" w14:textId="77777777" w:rsidR="002D45CF" w:rsidRPr="00D8028D" w:rsidRDefault="002D45CF" w:rsidP="002D45CF">
      <w:pPr>
        <w:spacing w:after="0" w:line="240" w:lineRule="auto"/>
        <w:ind w:left="709" w:right="709"/>
        <w:jc w:val="both"/>
        <w:rPr>
          <w:rFonts w:ascii="Verdana" w:eastAsia="Calibri" w:hAnsi="Verdana" w:cs="Arial"/>
          <w:sz w:val="20"/>
          <w:szCs w:val="20"/>
          <w:lang w:val="es-ES_tradnl" w:eastAsia="es-ES_tradnl"/>
        </w:rPr>
      </w:pPr>
      <w:r w:rsidRPr="00D8028D">
        <w:rPr>
          <w:rFonts w:ascii="Verdana" w:eastAsia="Calibri" w:hAnsi="Verdana" w:cs="Arial"/>
          <w:sz w:val="20"/>
          <w:szCs w:val="20"/>
          <w:lang w:val="es-ES_tradnl" w:eastAsia="es-ES_tradnl"/>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D8028D">
        <w:rPr>
          <w:rFonts w:ascii="Verdana" w:eastAsia="Calibri" w:hAnsi="Verdana" w:cs="Arial"/>
          <w:sz w:val="20"/>
          <w:szCs w:val="20"/>
          <w:vertAlign w:val="superscript"/>
          <w:lang w:val="es-ES_tradnl" w:eastAsia="es-CO"/>
        </w:rPr>
        <w:footnoteReference w:id="10"/>
      </w:r>
      <w:r w:rsidRPr="00D8028D">
        <w:rPr>
          <w:rFonts w:ascii="Verdana" w:eastAsia="Calibri" w:hAnsi="Verdana" w:cs="Arial"/>
          <w:sz w:val="20"/>
          <w:szCs w:val="20"/>
          <w:lang w:val="es-ES_tradnl" w:eastAsia="es-ES_tradnl"/>
        </w:rPr>
        <w:t>.</w:t>
      </w:r>
    </w:p>
    <w:p w14:paraId="409E7693" w14:textId="77777777" w:rsidR="002D45CF" w:rsidRPr="00D8028D" w:rsidRDefault="002D45CF" w:rsidP="002D45CF">
      <w:pPr>
        <w:spacing w:after="0" w:line="240" w:lineRule="auto"/>
        <w:ind w:left="709" w:right="709"/>
        <w:jc w:val="both"/>
        <w:rPr>
          <w:rFonts w:ascii="Verdana" w:eastAsia="Calibri" w:hAnsi="Verdana" w:cs="Arial"/>
          <w:sz w:val="20"/>
          <w:szCs w:val="20"/>
          <w:lang w:val="es-ES_tradnl" w:eastAsia="es-ES_tradnl"/>
        </w:rPr>
      </w:pPr>
    </w:p>
    <w:p w14:paraId="1A37C131" w14:textId="77777777" w:rsidR="002D45CF" w:rsidRPr="00D8028D" w:rsidRDefault="002D45CF" w:rsidP="002D45CF">
      <w:pPr>
        <w:spacing w:after="0" w:line="240" w:lineRule="auto"/>
        <w:ind w:left="709" w:right="709"/>
        <w:jc w:val="both"/>
        <w:rPr>
          <w:rFonts w:ascii="Verdana" w:eastAsia="Calibri" w:hAnsi="Verdana" w:cs="Arial"/>
          <w:sz w:val="20"/>
          <w:szCs w:val="20"/>
          <w:lang w:val="es-ES" w:eastAsia="es-ES"/>
        </w:rPr>
      </w:pPr>
      <w:r w:rsidRPr="00D8028D">
        <w:rPr>
          <w:rFonts w:ascii="Verdana" w:eastAsia="Calibri" w:hAnsi="Verdana" w:cs="Arial"/>
          <w:sz w:val="20"/>
          <w:szCs w:val="20"/>
          <w:lang w:val="es-ES" w:eastAsia="es-ES"/>
        </w:rPr>
        <w:t xml:space="preserve">Esta Sala ha entendido </w:t>
      </w:r>
      <w:proofErr w:type="gramStart"/>
      <w:r w:rsidRPr="00D8028D">
        <w:rPr>
          <w:rFonts w:ascii="Verdana" w:eastAsia="Calibri" w:hAnsi="Verdana" w:cs="Arial"/>
          <w:sz w:val="20"/>
          <w:szCs w:val="20"/>
          <w:lang w:val="es-ES" w:eastAsia="es-ES"/>
        </w:rPr>
        <w:t>que</w:t>
      </w:r>
      <w:proofErr w:type="gramEnd"/>
      <w:r w:rsidRPr="00D8028D">
        <w:rPr>
          <w:rFonts w:ascii="Verdana" w:eastAsia="Calibri" w:hAnsi="Verdana" w:cs="Arial"/>
          <w:sz w:val="20"/>
          <w:szCs w:val="20"/>
          <w:lang w:val="es-ES" w:eastAsia="es-ES"/>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D8028D">
        <w:rPr>
          <w:rFonts w:ascii="Verdana" w:eastAsia="Calibri" w:hAnsi="Verdana" w:cs="Arial"/>
          <w:sz w:val="20"/>
          <w:szCs w:val="20"/>
          <w:vertAlign w:val="superscript"/>
          <w:lang w:val="es-ES" w:eastAsia="es-ES"/>
        </w:rPr>
        <w:footnoteReference w:id="11"/>
      </w:r>
      <w:r w:rsidRPr="00D8028D">
        <w:rPr>
          <w:rFonts w:ascii="Verdana" w:eastAsia="Calibri" w:hAnsi="Verdana" w:cs="Arial"/>
          <w:sz w:val="20"/>
          <w:szCs w:val="20"/>
          <w:vertAlign w:val="superscript"/>
          <w:lang w:val="es-ES" w:eastAsia="es-ES"/>
        </w:rPr>
        <w:t>.</w:t>
      </w:r>
      <w:r w:rsidRPr="00D8028D">
        <w:rPr>
          <w:rFonts w:ascii="Verdana" w:eastAsia="Calibri" w:hAnsi="Verdana" w:cs="Arial"/>
          <w:sz w:val="20"/>
          <w:szCs w:val="20"/>
          <w:lang w:val="es-ES" w:eastAsia="es-ES"/>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D8028D">
        <w:rPr>
          <w:rFonts w:ascii="Verdana" w:eastAsia="Calibri" w:hAnsi="Verdana" w:cs="Arial"/>
          <w:sz w:val="20"/>
          <w:szCs w:val="20"/>
          <w:vertAlign w:val="superscript"/>
          <w:lang w:val="es-ES" w:eastAsia="es-CO"/>
        </w:rPr>
        <w:footnoteReference w:id="12"/>
      </w:r>
      <w:r w:rsidRPr="00D8028D">
        <w:rPr>
          <w:rFonts w:ascii="Verdana" w:eastAsia="Calibri" w:hAnsi="Verdana" w:cs="Arial"/>
          <w:sz w:val="20"/>
          <w:szCs w:val="20"/>
          <w:lang w:val="es-ES" w:eastAsia="es-ES"/>
        </w:rPr>
        <w:t xml:space="preserve"> .</w:t>
      </w:r>
    </w:p>
    <w:p w14:paraId="67FB3BD5" w14:textId="77777777" w:rsidR="002D45CF" w:rsidRPr="00D8028D" w:rsidRDefault="002D45CF" w:rsidP="002D45CF">
      <w:pPr>
        <w:spacing w:after="0" w:line="240" w:lineRule="auto"/>
        <w:ind w:left="709" w:right="709"/>
        <w:jc w:val="both"/>
        <w:rPr>
          <w:rFonts w:ascii="Verdana" w:eastAsia="Calibri" w:hAnsi="Verdana" w:cs="Arial"/>
          <w:sz w:val="20"/>
          <w:szCs w:val="20"/>
          <w:lang w:val="es-ES" w:eastAsia="es-ES"/>
        </w:rPr>
      </w:pPr>
    </w:p>
    <w:p w14:paraId="2C333BB6" w14:textId="77777777" w:rsidR="002D45CF" w:rsidRPr="00D8028D" w:rsidRDefault="002D45CF" w:rsidP="002D45CF">
      <w:pPr>
        <w:spacing w:after="120" w:line="276" w:lineRule="auto"/>
        <w:ind w:firstLine="708"/>
        <w:jc w:val="both"/>
        <w:rPr>
          <w:rFonts w:ascii="Verdana" w:eastAsia="Times New Roman" w:hAnsi="Verdana" w:cs="Arial"/>
          <w:bCs/>
          <w:lang w:val="es-ES_tradnl" w:eastAsia="x-none"/>
        </w:rPr>
      </w:pPr>
      <w:r w:rsidRPr="00D8028D">
        <w:rPr>
          <w:rFonts w:ascii="Verdana" w:eastAsia="Calibri" w:hAnsi="Verdana" w:cs="Arial"/>
          <w:lang w:val="es-ES_tradnl" w:eastAsia="x-none"/>
        </w:rPr>
        <w:lastRenderedPageBreak/>
        <w:t xml:space="preserve">De acuerdo con el citado concepto, la prohibición del artículo 33 de la Ley de Garantías Electorales se refiere a </w:t>
      </w:r>
      <w:r w:rsidRPr="00D8028D">
        <w:rPr>
          <w:rFonts w:ascii="Verdana" w:eastAsia="Calibri" w:hAnsi="Verdana" w:cs="Arial"/>
          <w:lang w:val="es-ES_tradnl" w:eastAsia="en-GB"/>
        </w:rPr>
        <w:t>“</w:t>
      </w:r>
      <w:r w:rsidRPr="00D8028D">
        <w:rPr>
          <w:rFonts w:ascii="Verdana" w:eastAsia="Calibri" w:hAnsi="Verdana" w:cs="Arial"/>
          <w:lang w:val="es-ES_tradnl" w:eastAsia="x-none"/>
        </w:rPr>
        <w:t>cualquier sistema que no implique convocatoria pública y posibilidad de pluralidad de oferentes</w:t>
      </w:r>
      <w:r w:rsidRPr="00D8028D">
        <w:rPr>
          <w:rFonts w:ascii="Verdana" w:eastAsia="Calibri" w:hAnsi="Verdana" w:cs="Arial"/>
          <w:lang w:val="es-ES_tradnl" w:eastAsia="en-GB"/>
        </w:rPr>
        <w:t>”</w:t>
      </w:r>
      <w:r w:rsidRPr="00D8028D">
        <w:rPr>
          <w:rFonts w:ascii="Verdana" w:eastAsia="Calibri" w:hAnsi="Verdana" w:cs="Arial"/>
          <w:lang w:val="es-ES_tradnl" w:eastAsia="x-none"/>
        </w:rPr>
        <w:t xml:space="preserve">, por lo que excluye las demás modalidades de contratación previstas en la Ley 1150 de 2007, es decir, la licitación pública, la selección abreviada, el concurso de méritos y la mínima cuantía u otros previstos en normas especiales, que contemplen en alguna de sus etapas la posible participación de pluralidad de oferentes. Esta posición es congruente con la expedición de la Ley 1150 de 2007 que, entre otras reformas, introdujo la selección abreviada, rediseñó el concurso de méritos y sistematizó las causales de contratación directa, </w:t>
      </w:r>
      <w:r w:rsidRPr="00D8028D">
        <w:rPr>
          <w:rFonts w:ascii="Verdana" w:eastAsia="Calibri" w:hAnsi="Verdana" w:cs="Arial"/>
          <w:color w:val="000000"/>
          <w:lang w:val="es-ES_tradnl" w:eastAsia="x-none"/>
        </w:rPr>
        <w:t>además lo es con la posterior creación de la modalidad de mínima cuantía establecida actualmente en el numeral 5 del artículo 2 de la Ley 1150 de 2007, de acuerdo con las modificaciones realizadas por leyes posteriores</w:t>
      </w:r>
      <w:r w:rsidRPr="00D8028D">
        <w:rPr>
          <w:rFonts w:ascii="Verdana" w:eastAsia="Calibri" w:hAnsi="Verdana" w:cs="Arial"/>
          <w:color w:val="000000"/>
          <w:vertAlign w:val="superscript"/>
          <w:lang w:val="es-ES_tradnl" w:eastAsia="x-none"/>
        </w:rPr>
        <w:footnoteReference w:id="13"/>
      </w:r>
      <w:r w:rsidRPr="00D8028D">
        <w:rPr>
          <w:rFonts w:ascii="Verdana" w:eastAsia="Calibri" w:hAnsi="Verdana" w:cs="Arial"/>
          <w:color w:val="000000"/>
          <w:lang w:val="es-ES_tradnl" w:eastAsia="x-none"/>
        </w:rPr>
        <w:t>.</w:t>
      </w:r>
      <w:r w:rsidRPr="00D8028D">
        <w:rPr>
          <w:rFonts w:ascii="Verdana" w:eastAsia="Times New Roman" w:hAnsi="Verdana" w:cs="Arial"/>
          <w:lang w:val="es-ES_tradnl" w:eastAsia="x-none"/>
        </w:rPr>
        <w:t xml:space="preserve"> </w:t>
      </w:r>
    </w:p>
    <w:p w14:paraId="44868D15" w14:textId="77777777" w:rsidR="002D45CF" w:rsidRPr="00D8028D" w:rsidRDefault="002D45CF" w:rsidP="002D45CF">
      <w:pPr>
        <w:spacing w:after="120" w:line="276" w:lineRule="auto"/>
        <w:ind w:firstLine="708"/>
        <w:jc w:val="both"/>
        <w:rPr>
          <w:rFonts w:ascii="Verdana" w:eastAsia="Calibri" w:hAnsi="Verdana" w:cs="Arial"/>
          <w:lang w:val="es-ES_tradnl" w:eastAsia="x-none"/>
        </w:rPr>
      </w:pPr>
      <w:r w:rsidRPr="00D8028D">
        <w:rPr>
          <w:rFonts w:ascii="Verdana" w:eastAsia="Calibri" w:hAnsi="Verdana" w:cs="Arial"/>
          <w:lang w:val="es-ES_tradnl" w:eastAsia="x-none"/>
        </w:rPr>
        <w:t xml:space="preserve">De esta forma, con fundamento en la evolución de la normativa sobre la contratación pública, se ha depurado la noción de </w:t>
      </w:r>
      <w:r w:rsidRPr="00D8028D">
        <w:rPr>
          <w:rFonts w:ascii="Verdana" w:eastAsia="Calibri" w:hAnsi="Verdana" w:cs="Arial"/>
          <w:lang w:val="es-ES_tradnl" w:eastAsia="en-GB"/>
        </w:rPr>
        <w:t>“</w:t>
      </w:r>
      <w:r w:rsidRPr="00D8028D">
        <w:rPr>
          <w:rFonts w:ascii="Verdana" w:eastAsia="Calibri" w:hAnsi="Verdana" w:cs="Arial"/>
          <w:lang w:val="es-ES_tradnl" w:eastAsia="x-none"/>
        </w:rPr>
        <w:t>contratación directa</w:t>
      </w:r>
      <w:r w:rsidRPr="00D8028D">
        <w:rPr>
          <w:rFonts w:ascii="Verdana" w:eastAsia="Calibri" w:hAnsi="Verdana" w:cs="Arial"/>
          <w:lang w:val="es-ES_tradnl" w:eastAsia="en-GB"/>
        </w:rPr>
        <w:t>”</w:t>
      </w:r>
      <w:r w:rsidRPr="00D8028D">
        <w:rPr>
          <w:rFonts w:ascii="Verdana" w:eastAsia="Calibri" w:hAnsi="Verdana" w:cs="Arial"/>
          <w:lang w:val="es-ES_tradnl"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D8028D">
        <w:rPr>
          <w:rFonts w:ascii="Verdana" w:eastAsia="Calibri" w:hAnsi="Verdana" w:cs="Arial"/>
          <w:vertAlign w:val="superscript"/>
          <w:lang w:val="en-GB" w:eastAsia="x-none"/>
        </w:rPr>
        <w:footnoteReference w:id="14"/>
      </w:r>
      <w:r w:rsidRPr="00D8028D">
        <w:rPr>
          <w:rFonts w:ascii="Verdana" w:eastAsia="Calibri" w:hAnsi="Verdana" w:cs="Arial"/>
          <w:lang w:val="es-ES_tradnl" w:eastAsia="x-none"/>
        </w:rPr>
        <w:t>, han establecido sistemas de contratación que implican convocatoria pública y participación de varios oferentes</w:t>
      </w:r>
      <w:r w:rsidRPr="00D8028D">
        <w:rPr>
          <w:rFonts w:ascii="Verdana" w:eastAsia="Calibri" w:hAnsi="Verdana" w:cs="Arial"/>
          <w:lang w:val="es-ES_tradnl" w:eastAsia="en-GB"/>
        </w:rPr>
        <w:t>”</w:t>
      </w:r>
      <w:r w:rsidRPr="00D8028D">
        <w:rPr>
          <w:rFonts w:ascii="Verdana" w:eastAsia="Calibri" w:hAnsi="Verdana" w:cs="Arial"/>
          <w:lang w:val="es-ES_tradnl" w:eastAsia="x-none"/>
        </w:rPr>
        <w:t xml:space="preserve">. </w:t>
      </w:r>
    </w:p>
    <w:p w14:paraId="78DF41E8" w14:textId="77777777" w:rsidR="002D45CF" w:rsidRPr="00D8028D" w:rsidRDefault="002D45CF" w:rsidP="002D45CF">
      <w:pPr>
        <w:spacing w:after="120" w:line="276" w:lineRule="auto"/>
        <w:ind w:firstLine="708"/>
        <w:jc w:val="both"/>
        <w:rPr>
          <w:rFonts w:ascii="Verdana" w:eastAsia="Calibri" w:hAnsi="Verdana" w:cs="Arial"/>
          <w:bCs/>
          <w:lang w:val="es-ES_tradnl" w:eastAsia="es-CO"/>
        </w:rPr>
      </w:pPr>
      <w:r w:rsidRPr="00D8028D">
        <w:rPr>
          <w:rFonts w:ascii="Verdana" w:eastAsia="Calibri" w:hAnsi="Verdana" w:cs="Arial"/>
          <w:bCs/>
          <w:lang w:val="es-ES_tradnl" w:eastAsia="x-none"/>
        </w:rPr>
        <w:t>E</w:t>
      </w:r>
      <w:r w:rsidRPr="00D8028D">
        <w:rPr>
          <w:rFonts w:ascii="Verdana" w:eastAsia="Calibri" w:hAnsi="Verdana" w:cs="Arial"/>
          <w:lang w:val="es-ES_tradnl"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w:t>
      </w:r>
      <w:r w:rsidRPr="00D8028D">
        <w:rPr>
          <w:rFonts w:ascii="Verdana" w:eastAsia="Calibri" w:hAnsi="Verdana" w:cs="Arial"/>
          <w:lang w:val="es-ES_tradnl" w:eastAsia="x-none"/>
        </w:rPr>
        <w:lastRenderedPageBreak/>
        <w:t>dicho sistema no constituye “contratación directa”, es que la convocatoria para inscribirse en forma previa se haga de manera pública, y que se permita la participación de una pluralidad de oferentes</w:t>
      </w:r>
      <w:r w:rsidRPr="00D8028D">
        <w:rPr>
          <w:rFonts w:ascii="Verdana" w:eastAsia="Calibri" w:hAnsi="Verdana" w:cs="Arial"/>
          <w:vertAlign w:val="superscript"/>
          <w:lang w:val="es-ES_tradnl" w:eastAsia="x-none"/>
        </w:rPr>
        <w:footnoteReference w:id="15"/>
      </w:r>
      <w:r w:rsidRPr="00D8028D">
        <w:rPr>
          <w:rFonts w:ascii="Verdana" w:eastAsia="Calibri" w:hAnsi="Verdana" w:cs="Arial"/>
          <w:lang w:val="es-ES_tradnl" w:eastAsia="x-none"/>
        </w:rPr>
        <w:t xml:space="preserve">. </w:t>
      </w:r>
    </w:p>
    <w:p w14:paraId="27F054F9" w14:textId="77777777" w:rsidR="002D45CF" w:rsidRPr="00D8028D" w:rsidRDefault="002D45CF" w:rsidP="002D45CF">
      <w:pPr>
        <w:spacing w:after="120" w:line="276" w:lineRule="auto"/>
        <w:ind w:firstLine="708"/>
        <w:jc w:val="both"/>
        <w:rPr>
          <w:rFonts w:ascii="Verdana" w:eastAsia="Calibri" w:hAnsi="Verdana" w:cs="Arial"/>
          <w:lang w:val="es-ES" w:eastAsia="es-CO"/>
        </w:rPr>
      </w:pPr>
      <w:r w:rsidRPr="00D8028D">
        <w:rPr>
          <w:rFonts w:ascii="Verdana" w:eastAsia="Calibri" w:hAnsi="Verdana" w:cs="Arial"/>
          <w:lang w:val="es-ES"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49F89951" w14:textId="77777777" w:rsidR="002D45CF" w:rsidRPr="00D8028D" w:rsidRDefault="002D45CF" w:rsidP="002D45CF">
      <w:pPr>
        <w:spacing w:after="120" w:line="276" w:lineRule="auto"/>
        <w:ind w:firstLine="708"/>
        <w:jc w:val="both"/>
        <w:rPr>
          <w:rFonts w:ascii="Verdana" w:eastAsia="Calibri" w:hAnsi="Verdana" w:cs="Arial"/>
          <w:bCs/>
          <w:lang w:val="es-ES_tradnl" w:eastAsia="x-none"/>
        </w:rPr>
      </w:pPr>
      <w:r w:rsidRPr="00D8028D">
        <w:rPr>
          <w:rFonts w:ascii="Verdana" w:eastAsia="Calibri" w:hAnsi="Verdana" w:cs="Arial"/>
          <w:bCs/>
          <w:lang w:val="es-ES_tradnl"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D8028D">
        <w:rPr>
          <w:rFonts w:ascii="Verdana" w:eastAsia="Calibri" w:hAnsi="Verdana" w:cs="Arial"/>
          <w:vertAlign w:val="superscript"/>
          <w:lang w:val="es-ES_tradnl" w:eastAsia="x-none"/>
        </w:rPr>
        <w:footnoteReference w:id="16"/>
      </w:r>
      <w:r w:rsidRPr="00D8028D">
        <w:rPr>
          <w:rFonts w:ascii="Verdana" w:eastAsia="Calibri" w:hAnsi="Verdana" w:cs="Arial"/>
          <w:bCs/>
          <w:lang w:val="es-ES_tradnl" w:eastAsia="x-none"/>
        </w:rPr>
        <w:t>.</w:t>
      </w:r>
      <w:r w:rsidRPr="00D8028D">
        <w:rPr>
          <w:rFonts w:ascii="Verdana" w:eastAsia="Calibri" w:hAnsi="Verdana" w:cs="Arial"/>
          <w:vertAlign w:val="superscript"/>
          <w:lang w:val="es-ES_tradnl" w:eastAsia="x-none"/>
        </w:rPr>
        <w:t xml:space="preserve"> </w:t>
      </w:r>
    </w:p>
    <w:p w14:paraId="611E8F7E" w14:textId="77777777" w:rsidR="002D45CF" w:rsidRPr="00D8028D" w:rsidRDefault="002D45CF" w:rsidP="002D45CF">
      <w:pPr>
        <w:spacing w:after="120" w:line="276" w:lineRule="auto"/>
        <w:ind w:firstLine="708"/>
        <w:jc w:val="both"/>
        <w:rPr>
          <w:rFonts w:ascii="Verdana" w:eastAsia="Calibri" w:hAnsi="Verdana" w:cs="Arial"/>
          <w:lang w:val="es-ES_tradnl" w:eastAsia="x-none"/>
        </w:rPr>
      </w:pPr>
      <w:r w:rsidRPr="00D8028D">
        <w:rPr>
          <w:rFonts w:ascii="Verdana" w:eastAsia="Calibri" w:hAnsi="Verdana" w:cs="Arial"/>
          <w:bCs/>
          <w:lang w:val="es-ES_tradnl" w:eastAsia="x-none"/>
        </w:rPr>
        <w:t>De lo anterior se desprende que la restricción aplica, sin perjuicio de las excepciones establecidas en la misma ley, para celebrar cualquier contrato de forma directa, esto es, sin que exista un proceso abierto y competitivo.</w:t>
      </w:r>
      <w:r w:rsidRPr="00D8028D">
        <w:rPr>
          <w:rFonts w:ascii="Verdana" w:eastAsia="Calibri" w:hAnsi="Verdana" w:cs="Arial"/>
          <w:lang w:val="es-ES_tradnl"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6C73B128" w14:textId="77777777" w:rsidR="002D45CF" w:rsidRPr="00D8028D" w:rsidRDefault="002D45CF" w:rsidP="002D45CF">
      <w:pPr>
        <w:spacing w:after="120" w:line="276" w:lineRule="auto"/>
        <w:ind w:firstLine="708"/>
        <w:jc w:val="both"/>
        <w:rPr>
          <w:rFonts w:ascii="Verdana" w:eastAsia="Calibri" w:hAnsi="Verdana" w:cs="Arial"/>
          <w:lang w:val="es-ES"/>
        </w:rPr>
      </w:pPr>
      <w:r w:rsidRPr="00D8028D">
        <w:rPr>
          <w:rFonts w:ascii="Verdana" w:eastAsia="Calibri" w:hAnsi="Verdana" w:cs="Arial"/>
          <w:lang w:val="es-ES" w:eastAsia="es-CO"/>
        </w:rPr>
        <w:t xml:space="preserve">Como en otras oportunidades lo ha manifestado esta Agencia, las prórrogas, modificaciones o adiciones de los contratos suscritos antes de la </w:t>
      </w:r>
      <w:proofErr w:type="gramStart"/>
      <w:r w:rsidRPr="00D8028D">
        <w:rPr>
          <w:rFonts w:ascii="Verdana" w:eastAsia="Calibri" w:hAnsi="Verdana" w:cs="Arial"/>
          <w:lang w:val="es-ES" w:eastAsia="es-CO"/>
        </w:rPr>
        <w:t>entrada en vigencia</w:t>
      </w:r>
      <w:proofErr w:type="gramEnd"/>
      <w:r w:rsidRPr="00D8028D">
        <w:rPr>
          <w:rFonts w:ascii="Verdana" w:eastAsia="Calibri" w:hAnsi="Verdana" w:cs="Arial"/>
          <w:lang w:val="es-ES" w:eastAsia="es-CO"/>
        </w:rPr>
        <w:t xml:space="preserve"> de las prohibiciones anotadas, así como la cesión de </w:t>
      </w:r>
      <w:proofErr w:type="gramStart"/>
      <w:r w:rsidRPr="00D8028D">
        <w:rPr>
          <w:rFonts w:ascii="Verdana" w:eastAsia="Calibri" w:hAnsi="Verdana" w:cs="Arial"/>
          <w:lang w:val="es-ES" w:eastAsia="es-CO"/>
        </w:rPr>
        <w:t>los mismos</w:t>
      </w:r>
      <w:proofErr w:type="gramEnd"/>
      <w:r w:rsidRPr="00D8028D">
        <w:rPr>
          <w:rFonts w:ascii="Verdana" w:eastAsia="Calibri" w:hAnsi="Verdana" w:cs="Arial"/>
          <w:lang w:val="es-ES" w:eastAsia="es-CO"/>
        </w:rPr>
        <w:t xml:space="preserve">, pueden tener lugar en el período de aplicación de la Ley de Garantías, </w:t>
      </w:r>
      <w:r w:rsidRPr="00D8028D">
        <w:rPr>
          <w:rFonts w:ascii="Verdana" w:eastAsia="Calibri" w:hAnsi="Verdana" w:cs="Arial"/>
          <w:lang w:val="es-ES" w:eastAsia="es-CO"/>
        </w:rPr>
        <w:lastRenderedPageBreak/>
        <w:t>sin que ello haga nugatoria la restricción de la contratación directa y siempre que cumplan los principios de planeación, transparencia y responsabilidad.</w:t>
      </w:r>
    </w:p>
    <w:p w14:paraId="2D604A50" w14:textId="77777777" w:rsidR="002D45CF" w:rsidRPr="00D8028D" w:rsidRDefault="002D45CF" w:rsidP="002D45CF">
      <w:pPr>
        <w:spacing w:after="120" w:line="276" w:lineRule="auto"/>
        <w:ind w:firstLine="708"/>
        <w:jc w:val="both"/>
        <w:rPr>
          <w:rFonts w:ascii="Verdana" w:eastAsia="Calibri" w:hAnsi="Verdana" w:cs="Arial"/>
          <w:lang w:val="es-ES" w:eastAsia="es-CO"/>
        </w:rPr>
      </w:pPr>
      <w:r w:rsidRPr="00D8028D">
        <w:rPr>
          <w:rFonts w:ascii="Verdana" w:eastAsia="Calibri" w:hAnsi="Verdana" w:cs="Arial"/>
          <w:lang w:val="es-ES"/>
        </w:rPr>
        <w:t xml:space="preserve">De otro lado, 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D8028D">
        <w:rPr>
          <w:rFonts w:ascii="Verdana" w:eastAsia="Calibri" w:hAnsi="Verdana" w:cs="Arial"/>
          <w:lang w:val="es-ES"/>
        </w:rPr>
        <w:t>ii</w:t>
      </w:r>
      <w:proofErr w:type="spellEnd"/>
      <w:r w:rsidRPr="00D8028D">
        <w:rPr>
          <w:rFonts w:ascii="Verdana" w:eastAsia="Calibri" w:hAnsi="Verdana" w:cs="Arial"/>
          <w:lang w:val="es-ES"/>
        </w:rPr>
        <w:t xml:space="preserve">) los contratos de crédito público; </w:t>
      </w:r>
      <w:proofErr w:type="spellStart"/>
      <w:r w:rsidRPr="00D8028D">
        <w:rPr>
          <w:rFonts w:ascii="Verdana" w:eastAsia="Calibri" w:hAnsi="Verdana" w:cs="Arial"/>
          <w:lang w:val="es-ES"/>
        </w:rPr>
        <w:t>iii</w:t>
      </w:r>
      <w:proofErr w:type="spellEnd"/>
      <w:r w:rsidRPr="00D8028D">
        <w:rPr>
          <w:rFonts w:ascii="Verdana" w:eastAsia="Calibri" w:hAnsi="Verdana" w:cs="Arial"/>
          <w:lang w:val="es-ES"/>
        </w:rPr>
        <w:t xml:space="preserve">) los requeridos para cubrir las emergencias educativas, sanitarias y desastres; </w:t>
      </w:r>
      <w:proofErr w:type="spellStart"/>
      <w:r w:rsidRPr="00D8028D">
        <w:rPr>
          <w:rFonts w:ascii="Verdana" w:eastAsia="Calibri" w:hAnsi="Verdana" w:cs="Arial"/>
          <w:lang w:val="es-ES"/>
        </w:rPr>
        <w:t>iv</w:t>
      </w:r>
      <w:proofErr w:type="spellEnd"/>
      <w:r w:rsidRPr="00D8028D">
        <w:rPr>
          <w:rFonts w:ascii="Verdana" w:eastAsia="Calibri" w:hAnsi="Verdana" w:cs="Arial"/>
          <w:lang w:val="es-ES"/>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D8028D">
        <w:rPr>
          <w:rFonts w:ascii="Verdana" w:eastAsia="Calibri" w:hAnsi="Verdana" w:cs="Arial"/>
          <w:lang w:val="es-ES"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620F9F6D" w14:textId="77777777" w:rsidR="002D45CF" w:rsidRPr="00D8028D" w:rsidRDefault="002D45CF" w:rsidP="002D45CF">
      <w:pPr>
        <w:spacing w:after="120" w:line="276" w:lineRule="auto"/>
        <w:ind w:firstLine="708"/>
        <w:jc w:val="both"/>
        <w:rPr>
          <w:rFonts w:ascii="Verdana" w:eastAsia="Calibri" w:hAnsi="Verdana" w:cs="Arial"/>
          <w:bCs/>
          <w:lang w:val="es-ES_tradnl" w:eastAsia="x-none"/>
        </w:rPr>
      </w:pPr>
      <w:r w:rsidRPr="00D8028D">
        <w:rPr>
          <w:rFonts w:ascii="Verdana" w:eastAsia="Calibri" w:hAnsi="Verdana" w:cs="Arial"/>
          <w:bCs/>
          <w:lang w:val="es-ES_tradnl" w:eastAsia="x-none"/>
        </w:rPr>
        <w:t>En esta labor es importante tener en cuenta, como lo anotó la Corte Constitucional, en Sentencia C-1153 de noviembre 11 de 2005</w:t>
      </w:r>
      <w:r w:rsidRPr="00D8028D">
        <w:rPr>
          <w:rFonts w:ascii="Verdana" w:eastAsia="Calibri" w:hAnsi="Verdana" w:cs="Calibri"/>
          <w:vertAlign w:val="superscript"/>
          <w:lang w:val="es-ES_tradnl" w:eastAsia="es-ES_tradnl"/>
        </w:rPr>
        <w:t>,</w:t>
      </w:r>
      <w:r w:rsidRPr="00D8028D">
        <w:rPr>
          <w:rFonts w:ascii="Verdana" w:eastAsia="Calibri" w:hAnsi="Verdana" w:cs="Arial"/>
          <w:bCs/>
          <w:lang w:val="es-ES_tradnl" w:eastAsia="x-none"/>
        </w:rPr>
        <w:t xml:space="preserve">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D8028D">
        <w:rPr>
          <w:rFonts w:ascii="Verdana" w:eastAsia="Calibri" w:hAnsi="Verdana" w:cs="Arial"/>
          <w:vertAlign w:val="superscript"/>
          <w:lang w:val="es-ES_tradnl" w:eastAsia="es-ES_tradnl"/>
        </w:rPr>
        <w:footnoteReference w:id="17"/>
      </w:r>
      <w:r w:rsidRPr="00D8028D">
        <w:rPr>
          <w:rFonts w:ascii="Verdana" w:eastAsia="Calibri" w:hAnsi="Verdana" w:cs="Arial"/>
          <w:bCs/>
          <w:lang w:val="es-ES_tradnl" w:eastAsia="x-none"/>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0C63F390" w14:textId="77777777" w:rsidR="002D45CF" w:rsidRPr="00D8028D" w:rsidRDefault="002D45CF" w:rsidP="002D45CF">
      <w:pPr>
        <w:spacing w:after="120" w:line="276" w:lineRule="auto"/>
        <w:ind w:firstLine="709"/>
        <w:jc w:val="both"/>
        <w:rPr>
          <w:rFonts w:ascii="Verdana" w:eastAsia="Times New Roman" w:hAnsi="Verdana" w:cs="Arial"/>
          <w:bCs/>
          <w:lang w:val="es-MX" w:eastAsia="es-CO"/>
        </w:rPr>
      </w:pPr>
      <w:r w:rsidRPr="00D8028D">
        <w:rPr>
          <w:rFonts w:ascii="Verdana" w:eastAsia="Calibri" w:hAnsi="Verdana" w:cs="Arial"/>
          <w:bCs/>
          <w:color w:val="000000"/>
          <w:lang w:val="es-MX" w:eastAsia="x-none"/>
        </w:rPr>
        <w:t>En relación con los destinatarios de la restricción analizada</w:t>
      </w:r>
      <w:r w:rsidRPr="00D8028D">
        <w:rPr>
          <w:rFonts w:ascii="Verdana" w:eastAsia="Times New Roman" w:hAnsi="Verdana" w:cs="Arial"/>
          <w:bCs/>
          <w:lang w:val="es-MX" w:eastAsia="x-none"/>
        </w:rPr>
        <w:t>, el artículo 33 de la Ley 996 de 2005 señala expresamente a los destinatarios de la prohibición, en el sentido de que son “todos los entes del Estado”, expresión que contempla a los diferentes organismos o entidades autorizadas por la ley para suscribir contratos.</w:t>
      </w:r>
      <w:r w:rsidRPr="00D8028D">
        <w:rPr>
          <w:rFonts w:ascii="Verdana" w:eastAsia="Calibri" w:hAnsi="Verdana" w:cs="Arial"/>
          <w:lang w:val="es-MX"/>
        </w:rPr>
        <w:t xml:space="preserve"> </w:t>
      </w:r>
      <w:r w:rsidRPr="00D8028D">
        <w:rPr>
          <w:rFonts w:ascii="Verdana" w:eastAsia="Times New Roman" w:hAnsi="Verdana" w:cs="Arial"/>
          <w:bCs/>
          <w:lang w:val="es-MX" w:eastAsia="x-none"/>
        </w:rPr>
        <w:t xml:space="preserve">En efecto, tal como lo ha sostenido el Consejo de Estado, el vocablo </w:t>
      </w:r>
      <w:r w:rsidRPr="00D8028D">
        <w:rPr>
          <w:rFonts w:ascii="Verdana" w:eastAsia="Times New Roman" w:hAnsi="Verdana" w:cs="Arial"/>
          <w:bCs/>
          <w:lang w:val="es-MX" w:eastAsia="x-none"/>
        </w:rPr>
        <w:lastRenderedPageBreak/>
        <w:t>“todos” utilizado por el legislador comprende</w:t>
      </w:r>
      <w:r w:rsidRPr="00D8028D">
        <w:rPr>
          <w:rFonts w:ascii="Verdana" w:eastAsia="Calibri" w:hAnsi="Verdana" w:cs="Arial"/>
          <w:lang w:val="es-MX"/>
        </w:rPr>
        <w:t xml:space="preserve"> </w:t>
      </w:r>
      <w:r w:rsidRPr="00D8028D">
        <w:rPr>
          <w:rFonts w:ascii="Verdana" w:eastAsia="Times New Roman" w:hAnsi="Verdana" w:cs="Arial"/>
          <w:bCs/>
          <w:lang w:val="es-MX"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Sobre el particular, el Consejo de Estado, en Concepto con radicado 1727 de fecha 20 de febrero de 2006, consideró que</w:t>
      </w:r>
      <w:bookmarkStart w:id="6" w:name="_Hlk75787147"/>
      <w:r w:rsidRPr="00D8028D">
        <w:rPr>
          <w:rFonts w:ascii="Verdana" w:eastAsia="Times New Roman" w:hAnsi="Verdana" w:cs="Arial"/>
          <w:bCs/>
          <w:lang w:val="es-MX" w:eastAsia="x-none"/>
        </w:rPr>
        <w:t xml:space="preserve"> </w:t>
      </w:r>
      <w:r w:rsidRPr="00D8028D">
        <w:rPr>
          <w:rFonts w:ascii="Verdana" w:eastAsia="Calibri" w:hAnsi="Verdana" w:cs="Arial"/>
          <w:bCs/>
          <w:color w:val="000000"/>
          <w:lang w:val="es-MX"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D8028D">
        <w:rPr>
          <w:rFonts w:ascii="Verdana" w:eastAsia="Calibri" w:hAnsi="Verdana" w:cs="Arial"/>
          <w:bCs/>
          <w:color w:val="000000"/>
          <w:vertAlign w:val="superscript"/>
          <w:lang w:val="es-MX" w:eastAsia="x-none"/>
        </w:rPr>
        <w:footnoteReference w:id="18"/>
      </w:r>
      <w:r w:rsidRPr="00D8028D">
        <w:rPr>
          <w:rFonts w:ascii="Verdana" w:eastAsia="Calibri" w:hAnsi="Verdana" w:cs="Arial"/>
          <w:bCs/>
          <w:color w:val="000000"/>
          <w:lang w:val="es-MX" w:eastAsia="x-none"/>
        </w:rPr>
        <w:t>.</w:t>
      </w:r>
    </w:p>
    <w:p w14:paraId="7183A26B" w14:textId="77777777" w:rsidR="002D45CF" w:rsidRDefault="002D45CF" w:rsidP="002D45CF">
      <w:pPr>
        <w:spacing w:after="0" w:line="276" w:lineRule="auto"/>
        <w:ind w:firstLine="708"/>
        <w:jc w:val="both"/>
        <w:rPr>
          <w:rFonts w:ascii="Verdana" w:eastAsia="Times New Roman" w:hAnsi="Verdana" w:cs="Arial"/>
          <w:bCs/>
          <w:lang w:val="es-MX" w:eastAsia="x-none"/>
        </w:rPr>
      </w:pPr>
      <w:bookmarkStart w:id="7" w:name="_Hlk77237229"/>
      <w:bookmarkEnd w:id="6"/>
      <w:r w:rsidRPr="00D8028D">
        <w:rPr>
          <w:rFonts w:ascii="Verdana" w:eastAsia="Calibri" w:hAnsi="Verdana" w:cs="Arial"/>
          <w:lang w:val="es-MX"/>
        </w:rPr>
        <w:t>Por lo tanto, la restricción prevista en la Ley 996 de 200</w:t>
      </w:r>
      <w:bookmarkStart w:id="8" w:name="_Hlk75741539"/>
      <w:r w:rsidRPr="00D8028D">
        <w:rPr>
          <w:rFonts w:ascii="Verdana" w:eastAsia="Calibri" w:hAnsi="Verdana" w:cs="Arial"/>
          <w:lang w:val="es-MX"/>
        </w:rPr>
        <w:t xml:space="preserve">5, </w:t>
      </w:r>
      <w:r w:rsidRPr="00D8028D">
        <w:rPr>
          <w:rFonts w:ascii="Verdana" w:eastAsia="Times New Roman" w:hAnsi="Verdana" w:cs="Arial"/>
          <w:bCs/>
          <w:lang w:val="es-MX" w:eastAsia="x-none"/>
        </w:rPr>
        <w:t>teniendo en cuenta la finalidad de la Ley de Garantías Electorales, cobija a cualquier ente 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bookmarkEnd w:id="7"/>
      <w:bookmarkEnd w:id="8"/>
      <w:r>
        <w:rPr>
          <w:rFonts w:ascii="Verdana" w:eastAsia="Times New Roman" w:hAnsi="Verdana" w:cs="Arial"/>
          <w:bCs/>
          <w:lang w:val="es-MX" w:eastAsia="x-none"/>
        </w:rPr>
        <w:t>.</w:t>
      </w:r>
    </w:p>
    <w:p w14:paraId="61FACB2B" w14:textId="77777777" w:rsidR="002D45CF" w:rsidRPr="0076277C" w:rsidRDefault="002D45CF" w:rsidP="002D45CF">
      <w:pPr>
        <w:spacing w:after="0" w:line="276" w:lineRule="auto"/>
        <w:jc w:val="both"/>
        <w:rPr>
          <w:rFonts w:ascii="Verdana" w:eastAsia="Times New Roman" w:hAnsi="Verdana" w:cs="Arial"/>
          <w:bCs/>
          <w:lang w:val="es-ES" w:eastAsia="x-none"/>
        </w:rPr>
      </w:pPr>
    </w:p>
    <w:p w14:paraId="6D512AD4" w14:textId="77777777" w:rsidR="002D45CF" w:rsidRPr="00343E12" w:rsidRDefault="002D45CF" w:rsidP="002D45CF">
      <w:pPr>
        <w:spacing w:after="0" w:line="276" w:lineRule="auto"/>
        <w:jc w:val="both"/>
        <w:rPr>
          <w:rFonts w:ascii="Verdana" w:eastAsia="Times New Roman" w:hAnsi="Verdana" w:cs="Arial"/>
          <w:lang w:eastAsia="es-CO"/>
        </w:rPr>
      </w:pPr>
      <w:proofErr w:type="spellStart"/>
      <w:r>
        <w:rPr>
          <w:rFonts w:ascii="Verdana" w:eastAsia="Times New Roman" w:hAnsi="Verdana" w:cs="Arial"/>
          <w:bCs/>
          <w:lang w:val="es-MX" w:eastAsia="x-none"/>
        </w:rPr>
        <w:t>iii</w:t>
      </w:r>
      <w:proofErr w:type="spellEnd"/>
      <w:r>
        <w:rPr>
          <w:rFonts w:ascii="Verdana" w:eastAsia="Times New Roman" w:hAnsi="Verdana" w:cs="Arial"/>
          <w:bCs/>
          <w:lang w:val="es-MX" w:eastAsia="x-none"/>
        </w:rPr>
        <w:t xml:space="preserve">. De otra parte, es importante precisar que, </w:t>
      </w:r>
      <w:r>
        <w:rPr>
          <w:rFonts w:ascii="Verdana" w:eastAsia="Times New Roman" w:hAnsi="Verdana" w:cs="Arial"/>
          <w:lang w:val="es-MX" w:eastAsia="es-CO"/>
        </w:rPr>
        <w:t>l</w:t>
      </w:r>
      <w:r w:rsidRPr="00725218">
        <w:rPr>
          <w:rFonts w:ascii="Verdana" w:eastAsia="Times New Roman" w:hAnsi="Verdana" w:cs="Arial"/>
          <w:lang w:val="es-MX" w:eastAsia="es-CO"/>
        </w:rPr>
        <w:t>a prohibición</w:t>
      </w:r>
      <w:r>
        <w:rPr>
          <w:rFonts w:ascii="Verdana" w:eastAsia="Times New Roman" w:hAnsi="Verdana" w:cs="Arial"/>
          <w:lang w:val="es-MX" w:eastAsia="es-CO"/>
        </w:rPr>
        <w:t xml:space="preserve"> establecida en el parágrafo del artículo 38 de la Ley 996 de 2005,</w:t>
      </w:r>
      <w:r w:rsidRPr="00725218">
        <w:rPr>
          <w:rFonts w:ascii="Verdana" w:eastAsia="Times New Roman" w:hAnsi="Verdana" w:cs="Arial"/>
          <w:lang w:val="es-MX" w:eastAsia="es-CO"/>
        </w:rPr>
        <w:t xml:space="preserve"> la Circular Externa No. 006 de 2025 expedida por la ANCP -CCE, en los literales </w:t>
      </w:r>
      <w:proofErr w:type="spellStart"/>
      <w:r w:rsidRPr="00725218">
        <w:rPr>
          <w:rFonts w:ascii="Verdana" w:eastAsia="Times New Roman" w:hAnsi="Verdana" w:cs="Arial"/>
          <w:lang w:val="es-MX" w:eastAsia="es-CO"/>
        </w:rPr>
        <w:t>ii</w:t>
      </w:r>
      <w:proofErr w:type="spellEnd"/>
      <w:r w:rsidRPr="00725218">
        <w:rPr>
          <w:rFonts w:ascii="Verdana" w:eastAsia="Times New Roman" w:hAnsi="Verdana" w:cs="Arial"/>
          <w:lang w:val="es-MX" w:eastAsia="es-CO"/>
        </w:rPr>
        <w:t xml:space="preserve">) y </w:t>
      </w:r>
      <w:proofErr w:type="spellStart"/>
      <w:r w:rsidRPr="00725218">
        <w:rPr>
          <w:rFonts w:ascii="Verdana" w:eastAsia="Times New Roman" w:hAnsi="Verdana" w:cs="Arial"/>
          <w:lang w:val="es-MX" w:eastAsia="es-CO"/>
        </w:rPr>
        <w:t>iv</w:t>
      </w:r>
      <w:proofErr w:type="spellEnd"/>
      <w:r w:rsidRPr="00725218">
        <w:rPr>
          <w:rFonts w:ascii="Verdana" w:eastAsia="Times New Roman" w:hAnsi="Verdana" w:cs="Arial"/>
          <w:lang w:val="es-MX" w:eastAsia="es-CO"/>
        </w:rPr>
        <w:t>) del numeral 2</w:t>
      </w:r>
      <w:r w:rsidRPr="00725218">
        <w:rPr>
          <w:rFonts w:ascii="Verdana" w:eastAsia="Times New Roman" w:hAnsi="Verdana" w:cs="Arial"/>
          <w:lang w:eastAsia="es-CO"/>
        </w:rPr>
        <w:t>,</w:t>
      </w:r>
      <w:r w:rsidRPr="00725218">
        <w:rPr>
          <w:rFonts w:ascii="Verdana" w:eastAsia="Times New Roman" w:hAnsi="Verdana" w:cs="Arial"/>
          <w:lang w:val="es-MX" w:eastAsia="es-CO"/>
        </w:rPr>
        <w:t xml:space="preserve"> indica que </w:t>
      </w:r>
      <w:r>
        <w:rPr>
          <w:rFonts w:ascii="Verdana" w:eastAsia="Times New Roman" w:hAnsi="Verdana" w:cs="Arial"/>
          <w:lang w:val="es-MX" w:eastAsia="es-CO"/>
        </w:rPr>
        <w:t>esta disposición</w:t>
      </w:r>
      <w:r w:rsidRPr="00343E12">
        <w:rPr>
          <w:rFonts w:ascii="Verdana" w:eastAsia="Times New Roman" w:hAnsi="Verdana" w:cs="Arial"/>
          <w:lang w:eastAsia="es-CO"/>
        </w:rPr>
        <w:t xml:space="preserve"> cobija expresamente a los </w:t>
      </w:r>
      <w:r w:rsidRPr="00343E12">
        <w:rPr>
          <w:rFonts w:ascii="Verdana" w:eastAsia="Times New Roman" w:hAnsi="Verdana" w:cs="Arial"/>
          <w:i/>
          <w:iCs/>
          <w:lang w:eastAsia="es-CO"/>
        </w:rPr>
        <w:t>convenios interadministrativos</w:t>
      </w:r>
      <w:r w:rsidRPr="00343E12">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w:t>
      </w:r>
      <w:r w:rsidRPr="00343E12">
        <w:rPr>
          <w:rFonts w:ascii="Verdana" w:eastAsia="Times New Roman" w:hAnsi="Verdana" w:cs="Arial"/>
          <w:lang w:eastAsia="es-CO"/>
        </w:rPr>
        <w:lastRenderedPageBreak/>
        <w:t xml:space="preserve">de esta prohibición, por lo que la restricción referida a la celebración de convenios interadministrativos aplicará a los sujetos allí señalados, </w:t>
      </w:r>
      <w:r w:rsidRPr="00343E12">
        <w:rPr>
          <w:rFonts w:ascii="Verdana" w:eastAsia="Times New Roman" w:hAnsi="Verdana" w:cs="Arial"/>
          <w:i/>
          <w:iCs/>
          <w:lang w:eastAsia="es-CO"/>
        </w:rPr>
        <w:t>“aunque se configure alguno de los supuestos de excepción que señaló el inciso final del artículo 33”.</w:t>
      </w:r>
      <w:r w:rsidRPr="00343E12">
        <w:rPr>
          <w:rFonts w:ascii="Verdana" w:eastAsia="Times New Roman" w:hAnsi="Verdana" w:cs="Arial"/>
          <w:lang w:eastAsia="es-CO"/>
        </w:rPr>
        <w:t xml:space="preserve"> </w:t>
      </w:r>
    </w:p>
    <w:p w14:paraId="5DE4EAAB" w14:textId="77777777" w:rsidR="002D45CF" w:rsidRPr="00343E12" w:rsidRDefault="002D45CF" w:rsidP="002D45CF">
      <w:pPr>
        <w:spacing w:before="120" w:after="0" w:line="276" w:lineRule="auto"/>
        <w:ind w:firstLine="708"/>
        <w:jc w:val="both"/>
        <w:rPr>
          <w:rFonts w:ascii="Verdana" w:eastAsia="Times New Roman" w:hAnsi="Verdana" w:cs="Arial"/>
          <w:lang w:eastAsia="es-CO"/>
        </w:rPr>
      </w:pPr>
      <w:r w:rsidRPr="00343E12">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343E12">
        <w:rPr>
          <w:rFonts w:ascii="Verdana" w:eastAsia="Times New Roman" w:hAnsi="Verdana" w:cs="Arial"/>
          <w:i/>
          <w:iCs/>
          <w:lang w:eastAsia="es-CO"/>
        </w:rPr>
        <w:t>convenios interadministrativos</w:t>
      </w:r>
      <w:r w:rsidRPr="00343E12">
        <w:rPr>
          <w:rFonts w:ascii="Verdana" w:eastAsia="Times New Roman" w:hAnsi="Verdana" w:cs="Arial"/>
          <w:lang w:eastAsia="es-CO"/>
        </w:rPr>
        <w:t xml:space="preserve"> en los que se contemple la </w:t>
      </w:r>
      <w:r w:rsidRPr="00343E12">
        <w:rPr>
          <w:rFonts w:ascii="Verdana" w:eastAsia="Times New Roman" w:hAnsi="Verdana" w:cs="Arial"/>
          <w:i/>
          <w:iCs/>
          <w:lang w:eastAsia="es-CO"/>
        </w:rPr>
        <w:t>ejecución de recursos públicos</w:t>
      </w:r>
      <w:r w:rsidRPr="00343E12">
        <w:rPr>
          <w:rFonts w:ascii="Verdana" w:eastAsia="Times New Roman" w:hAnsi="Verdana" w:cs="Arial"/>
          <w:lang w:eastAsia="es-CO"/>
        </w:rPr>
        <w:t xml:space="preserve">. Esto significa que la prohibición no resulta aplicable a </w:t>
      </w:r>
      <w:r w:rsidRPr="00343E12">
        <w:rPr>
          <w:rFonts w:ascii="Verdana" w:eastAsia="Times New Roman" w:hAnsi="Verdana" w:cs="Arial"/>
          <w:i/>
          <w:iCs/>
          <w:lang w:eastAsia="es-CO"/>
        </w:rPr>
        <w:t>convenios interadministrativos a título gratuito,</w:t>
      </w:r>
      <w:r w:rsidRPr="00343E12">
        <w:rPr>
          <w:rFonts w:ascii="Verdana" w:eastAsia="Times New Roman" w:hAnsi="Verdana" w:cs="Arial"/>
          <w:lang w:eastAsia="es-CO"/>
        </w:rPr>
        <w:t xml:space="preserve"> los cuales pueden celebrarse válidamente durante la vigencia de la mencionada restricción. </w:t>
      </w:r>
    </w:p>
    <w:p w14:paraId="320B9271" w14:textId="77777777" w:rsidR="002D45CF" w:rsidRPr="00FD6CE7" w:rsidRDefault="002D45CF" w:rsidP="002D45CF">
      <w:pPr>
        <w:spacing w:before="120" w:after="0" w:line="276" w:lineRule="auto"/>
        <w:ind w:firstLine="708"/>
        <w:jc w:val="both"/>
        <w:rPr>
          <w:rFonts w:ascii="Verdana" w:eastAsia="Times New Roman" w:hAnsi="Verdana" w:cs="Arial"/>
          <w:lang w:eastAsia="es-CO"/>
        </w:rPr>
      </w:pPr>
      <w:r w:rsidRPr="00343E12">
        <w:rPr>
          <w:rFonts w:ascii="Verdana" w:eastAsia="Times New Roman" w:hAnsi="Verdana" w:cs="Arial"/>
          <w:lang w:eastAsia="es-CO"/>
        </w:rPr>
        <w:t xml:space="preserve">De esta manera, conforme a lo dispuesto en la Circular referida, si se suscriben </w:t>
      </w:r>
      <w:r w:rsidRPr="00343E12">
        <w:rPr>
          <w:rFonts w:ascii="Verdana" w:eastAsia="Times New Roman" w:hAnsi="Verdana" w:cs="Arial"/>
          <w:i/>
          <w:iCs/>
          <w:lang w:eastAsia="es-CO"/>
        </w:rPr>
        <w:t>convenios interadministrativos para la ejecución de recursos públicos</w:t>
      </w:r>
      <w:r w:rsidRPr="00343E12">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343E12">
        <w:rPr>
          <w:rFonts w:ascii="Verdana" w:eastAsia="Times New Roman" w:hAnsi="Verdana" w:cs="Arial"/>
          <w:i/>
          <w:iCs/>
          <w:lang w:eastAsia="es-CO"/>
        </w:rPr>
        <w:t>ibidem</w:t>
      </w:r>
      <w:r w:rsidRPr="00343E12">
        <w:rPr>
          <w:rFonts w:ascii="Verdana" w:eastAsia="Times New Roman" w:hAnsi="Verdana" w:cs="Arial"/>
          <w:lang w:eastAsia="es-CO"/>
        </w:rPr>
        <w:t>, independientemente de que se configure alguno de los supuestos de excepción que señaló el inciso final del artículo 33, es decir, que se trate de:</w:t>
      </w:r>
      <w:r w:rsidRPr="00343E12">
        <w:rPr>
          <w:rFonts w:ascii="Verdana" w:eastAsia="Aptos" w:hAnsi="Verdana" w:cs="Arial"/>
          <w:bCs/>
          <w:lang w:val="es-MX" w:eastAsia="x-none"/>
        </w:rPr>
        <w:t xml:space="preserve"> i) la defensa y seguridad del Estado; </w:t>
      </w:r>
      <w:proofErr w:type="spellStart"/>
      <w:r w:rsidRPr="00343E12">
        <w:rPr>
          <w:rFonts w:ascii="Verdana" w:eastAsia="Aptos" w:hAnsi="Verdana" w:cs="Arial"/>
          <w:bCs/>
          <w:lang w:val="es-MX" w:eastAsia="x-none"/>
        </w:rPr>
        <w:t>ii</w:t>
      </w:r>
      <w:proofErr w:type="spellEnd"/>
      <w:r w:rsidRPr="00343E12">
        <w:rPr>
          <w:rFonts w:ascii="Verdana" w:eastAsia="Aptos" w:hAnsi="Verdana" w:cs="Arial"/>
          <w:bCs/>
          <w:lang w:val="es-MX" w:eastAsia="x-none"/>
        </w:rPr>
        <w:t xml:space="preserve">) los contratos de crédito público; </w:t>
      </w:r>
      <w:proofErr w:type="spellStart"/>
      <w:r w:rsidRPr="00343E12">
        <w:rPr>
          <w:rFonts w:ascii="Verdana" w:eastAsia="Aptos" w:hAnsi="Verdana" w:cs="Arial"/>
          <w:bCs/>
          <w:lang w:val="es-MX" w:eastAsia="x-none"/>
        </w:rPr>
        <w:t>iii</w:t>
      </w:r>
      <w:proofErr w:type="spellEnd"/>
      <w:r w:rsidRPr="00343E12">
        <w:rPr>
          <w:rFonts w:ascii="Verdana" w:eastAsia="Aptos" w:hAnsi="Verdana" w:cs="Arial"/>
          <w:bCs/>
          <w:lang w:val="es-MX" w:eastAsia="x-none"/>
        </w:rPr>
        <w:t xml:space="preserve">) los requeridos para cubrir las emergencias educativas, sanitarias y desastres; </w:t>
      </w:r>
      <w:proofErr w:type="spellStart"/>
      <w:r w:rsidRPr="00343E12">
        <w:rPr>
          <w:rFonts w:ascii="Verdana" w:eastAsia="Aptos" w:hAnsi="Verdana" w:cs="Arial"/>
          <w:bCs/>
          <w:lang w:val="es-MX" w:eastAsia="x-none"/>
        </w:rPr>
        <w:t>iv</w:t>
      </w:r>
      <w:proofErr w:type="spellEnd"/>
      <w:r w:rsidRPr="00343E12">
        <w:rPr>
          <w:rFonts w:ascii="Verdana" w:eastAsia="Aptos"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343E12">
        <w:rPr>
          <w:rFonts w:ascii="Verdana" w:eastAsia="Aptos" w:hAnsi="Verdana" w:cs="Arial"/>
          <w:bCs/>
          <w:lang w:val="es-MX" w:eastAsia="es-CO"/>
        </w:rPr>
        <w:t xml:space="preserve"> </w:t>
      </w:r>
      <w:r w:rsidRPr="00343E12">
        <w:rPr>
          <w:rFonts w:ascii="Verdana" w:eastAsia="Times New Roman" w:hAnsi="Verdana" w:cs="Arial"/>
          <w:lang w:eastAsia="es-CO"/>
        </w:rPr>
        <w:t xml:space="preserve">  </w:t>
      </w:r>
    </w:p>
    <w:p w14:paraId="00FDB73F" w14:textId="77777777" w:rsidR="002D45CF" w:rsidRPr="00343E12" w:rsidRDefault="002D45CF" w:rsidP="002D45CF">
      <w:pPr>
        <w:spacing w:before="120" w:after="0" w:line="276" w:lineRule="auto"/>
        <w:ind w:firstLine="708"/>
        <w:jc w:val="both"/>
        <w:rPr>
          <w:rFonts w:ascii="Verdana" w:eastAsia="Times New Roman" w:hAnsi="Verdana" w:cs="Arial"/>
          <w:lang w:eastAsia="es-CO"/>
        </w:rPr>
      </w:pPr>
      <w:r w:rsidRPr="00343E12">
        <w:rPr>
          <w:rFonts w:ascii="Verdana" w:eastAsia="Times New Roman" w:hAnsi="Verdana" w:cs="Arial"/>
          <w:lang w:eastAsia="es-CO"/>
        </w:rPr>
        <w:t xml:space="preserve">En este punto, teniendo en cuenta lo señalado en el contenido de su petición, vale la pena destacar que, </w:t>
      </w:r>
      <w:r w:rsidRPr="00343E12">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343E12">
        <w:rPr>
          <w:rFonts w:ascii="Verdana" w:eastAsia="Aptos" w:hAnsi="Verdana" w:cs="Arial"/>
        </w:rPr>
        <w:t>numeral 16.2 de la Circular Externa Única de 2022 expedida por la Agencia Nacional de Contratación Pública -Colombia Compra Eficiente-, concretamente, respecto de los siguientes apartes normativos</w:t>
      </w:r>
      <w:r w:rsidRPr="00343E12">
        <w:rPr>
          <w:rFonts w:ascii="Verdana" w:eastAsia="Aptos" w:hAnsi="Verdana" w:cs="Arial"/>
          <w:vertAlign w:val="superscript"/>
        </w:rPr>
        <w:footnoteReference w:id="19"/>
      </w:r>
      <w:r w:rsidRPr="00343E12">
        <w:rPr>
          <w:rFonts w:ascii="Verdana" w:eastAsia="Aptos" w:hAnsi="Verdana" w:cs="Arial"/>
        </w:rPr>
        <w:t xml:space="preserve">: </w:t>
      </w:r>
    </w:p>
    <w:p w14:paraId="206B9639" w14:textId="77777777" w:rsidR="002D45CF" w:rsidRPr="00343E12" w:rsidRDefault="002D45CF" w:rsidP="002D45CF">
      <w:pPr>
        <w:spacing w:after="0" w:line="276" w:lineRule="auto"/>
        <w:ind w:firstLine="709"/>
        <w:jc w:val="both"/>
        <w:rPr>
          <w:rFonts w:ascii="Verdana" w:eastAsia="Aptos" w:hAnsi="Verdana" w:cs="Arial"/>
        </w:rPr>
      </w:pPr>
    </w:p>
    <w:p w14:paraId="5A6ED43C" w14:textId="77777777" w:rsidR="002D45CF" w:rsidRPr="00343E12" w:rsidRDefault="002D45CF" w:rsidP="002D45CF">
      <w:pPr>
        <w:spacing w:after="0" w:line="240" w:lineRule="auto"/>
        <w:ind w:left="709" w:right="709"/>
        <w:jc w:val="both"/>
        <w:rPr>
          <w:rFonts w:ascii="Verdana" w:eastAsia="Aptos" w:hAnsi="Verdana" w:cs="Arial"/>
          <w:sz w:val="20"/>
          <w:szCs w:val="20"/>
        </w:rPr>
      </w:pPr>
      <w:r w:rsidRPr="00343E12">
        <w:rPr>
          <w:rFonts w:ascii="Verdana" w:eastAsia="Aptos" w:hAnsi="Verdana" w:cs="Arial"/>
          <w:sz w:val="20"/>
          <w:szCs w:val="20"/>
          <w:lang w:val="es-MX"/>
        </w:rPr>
        <w:t>i)</w:t>
      </w:r>
      <w:r w:rsidRPr="00343E12">
        <w:rPr>
          <w:rFonts w:ascii="Verdana" w:eastAsia="Aptos"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w:t>
      </w:r>
      <w:r w:rsidRPr="00343E12">
        <w:rPr>
          <w:rFonts w:ascii="Verdana" w:eastAsia="Aptos" w:hAnsi="Verdana" w:cs="Arial"/>
          <w:sz w:val="20"/>
          <w:szCs w:val="20"/>
        </w:rPr>
        <w:lastRenderedPageBreak/>
        <w:t xml:space="preserve">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68D0EABB" w14:textId="77777777" w:rsidR="002D45CF" w:rsidRPr="00343E12" w:rsidRDefault="002D45CF" w:rsidP="002D45CF">
      <w:pPr>
        <w:spacing w:after="0" w:line="240" w:lineRule="auto"/>
        <w:ind w:left="709" w:right="709"/>
        <w:jc w:val="both"/>
        <w:rPr>
          <w:rFonts w:ascii="Verdana" w:eastAsia="Aptos" w:hAnsi="Verdana" w:cs="Arial"/>
          <w:sz w:val="20"/>
          <w:szCs w:val="20"/>
        </w:rPr>
      </w:pPr>
    </w:p>
    <w:p w14:paraId="31CA03DE" w14:textId="77777777" w:rsidR="002D45CF" w:rsidRPr="00343E12" w:rsidRDefault="002D45CF" w:rsidP="002D45CF">
      <w:pPr>
        <w:spacing w:after="0" w:line="240" w:lineRule="auto"/>
        <w:ind w:left="709" w:right="709"/>
        <w:jc w:val="both"/>
        <w:rPr>
          <w:rFonts w:ascii="Verdana" w:eastAsia="Aptos" w:hAnsi="Verdana" w:cs="Arial"/>
          <w:sz w:val="20"/>
          <w:szCs w:val="20"/>
        </w:rPr>
      </w:pPr>
      <w:proofErr w:type="spellStart"/>
      <w:r w:rsidRPr="00343E12">
        <w:rPr>
          <w:rFonts w:ascii="Verdana" w:eastAsia="Aptos" w:hAnsi="Verdana" w:cs="Arial"/>
          <w:sz w:val="20"/>
          <w:szCs w:val="20"/>
        </w:rPr>
        <w:t>ii</w:t>
      </w:r>
      <w:proofErr w:type="spellEnd"/>
      <w:r w:rsidRPr="00343E12">
        <w:rPr>
          <w:rFonts w:ascii="Verdana" w:eastAsia="Aptos"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2E031FC2" w14:textId="77777777" w:rsidR="002D45CF" w:rsidRPr="00343E12" w:rsidRDefault="002D45CF" w:rsidP="002D45CF">
      <w:pPr>
        <w:spacing w:after="0" w:line="276" w:lineRule="auto"/>
        <w:ind w:left="709" w:right="709"/>
        <w:jc w:val="both"/>
        <w:rPr>
          <w:rFonts w:ascii="Verdana" w:eastAsia="Aptos" w:hAnsi="Verdana" w:cs="Arial"/>
        </w:rPr>
      </w:pPr>
    </w:p>
    <w:p w14:paraId="48E63396" w14:textId="77777777" w:rsidR="002D45CF" w:rsidRPr="00343E12" w:rsidRDefault="002D45CF" w:rsidP="002D45CF">
      <w:pPr>
        <w:spacing w:after="120" w:line="276" w:lineRule="auto"/>
        <w:ind w:firstLine="709"/>
        <w:jc w:val="both"/>
        <w:rPr>
          <w:rFonts w:ascii="Verdana" w:eastAsia="Arial" w:hAnsi="Verdana" w:cs="Arial"/>
          <w:i/>
          <w:iCs/>
          <w:lang w:eastAsia="es-ES" w:bidi="es-ES"/>
        </w:rPr>
      </w:pPr>
      <w:r w:rsidRPr="00343E12">
        <w:rPr>
          <w:rFonts w:ascii="Verdana" w:eastAsia="Arial" w:hAnsi="Verdana" w:cs="Arial"/>
          <w:lang w:val="es-MX" w:eastAsia="es-ES" w:bidi="es-ES"/>
        </w:rPr>
        <w:t xml:space="preserve">De conformidad con los argumentos de dicha providencia, se parte de la distinción entre los conceptos </w:t>
      </w:r>
      <w:r w:rsidRPr="00343E12">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343E12">
        <w:rPr>
          <w:rFonts w:ascii="Verdana" w:eastAsia="Aptos" w:hAnsi="Verdana" w:cs="Times New Roman"/>
          <w:sz w:val="24"/>
          <w:szCs w:val="24"/>
          <w:lang w:eastAsia="es-CO"/>
        </w:rPr>
        <w:t xml:space="preserve"> </w:t>
      </w:r>
      <w:r w:rsidRPr="00343E12">
        <w:rPr>
          <w:rFonts w:ascii="Verdana" w:eastAsia="Arial" w:hAnsi="Verdana" w:cs="Arial"/>
          <w:lang w:eastAsia="es-ES" w:bidi="es-ES"/>
        </w:rPr>
        <w:t xml:space="preserve">En este sentido, en relación con el parágrafo del artículo 38 de la Ley 996 de 2005 concluyó que </w:t>
      </w:r>
      <w:r w:rsidRPr="00343E12">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343E12">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343E12">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4255E0BA" w14:textId="77777777" w:rsidR="002D45CF" w:rsidRPr="00343E12" w:rsidRDefault="002D45CF" w:rsidP="002D45CF">
      <w:pPr>
        <w:spacing w:after="120" w:line="276" w:lineRule="auto"/>
        <w:ind w:firstLine="709"/>
        <w:jc w:val="both"/>
        <w:rPr>
          <w:rFonts w:ascii="Verdana" w:eastAsia="Arial" w:hAnsi="Verdana" w:cs="Arial"/>
          <w:lang w:eastAsia="es-ES" w:bidi="es-ES"/>
        </w:rPr>
      </w:pPr>
      <w:r w:rsidRPr="00343E12">
        <w:rPr>
          <w:rFonts w:ascii="Verdana" w:eastAsia="Arial" w:hAnsi="Verdana" w:cs="Arial"/>
          <w:lang w:eastAsia="es-ES" w:bidi="es-ES"/>
        </w:rPr>
        <w:t>De igual manera, mediante auto del 6 de noviembre de 2025, el Consejo de Estado, Subsección A de la Sección Tercera, decretó</w:t>
      </w:r>
      <w:r w:rsidRPr="00343E12">
        <w:rPr>
          <w:rFonts w:ascii="Verdana" w:eastAsia="Arial" w:hAnsi="Verdana" w:cs="Arial"/>
          <w:b/>
          <w:bCs/>
          <w:lang w:eastAsia="es-ES" w:bidi="es-ES"/>
        </w:rPr>
        <w:t xml:space="preserve"> </w:t>
      </w:r>
      <w:r w:rsidRPr="00343E12">
        <w:rPr>
          <w:rFonts w:ascii="Verdana" w:eastAsia="Arial" w:hAnsi="Verdana" w:cs="Arial"/>
          <w:lang w:eastAsia="es-ES" w:bidi="es-ES"/>
        </w:rPr>
        <w:t xml:space="preserve">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 Para tales efectos, el alto tribunal resaltó la interpretación restrictiva de las normas que contienen prohibiciones, como la del parágrafo del artículo 38 de la Ley 996 de 2005, por manera que se excluye la analogía legis o iuris y la interpretación extensiva y </w:t>
      </w:r>
      <w:r w:rsidRPr="00343E12">
        <w:rPr>
          <w:rFonts w:ascii="Verdana" w:eastAsia="Arial" w:hAnsi="Verdana" w:cs="Arial"/>
          <w:lang w:eastAsia="es-ES" w:bidi="es-ES"/>
        </w:rPr>
        <w:lastRenderedPageBreak/>
        <w:t xml:space="preserve">reiteró los argumentos sobre la diferencia entre contratos y convenios interadministrativos. </w:t>
      </w:r>
    </w:p>
    <w:p w14:paraId="739B143D" w14:textId="77777777" w:rsidR="002D45CF" w:rsidRPr="00343E12" w:rsidRDefault="002D45CF" w:rsidP="002D45CF">
      <w:pPr>
        <w:spacing w:after="120" w:line="276" w:lineRule="auto"/>
        <w:ind w:firstLine="709"/>
        <w:jc w:val="both"/>
        <w:rPr>
          <w:rFonts w:ascii="Verdana" w:eastAsia="Times New Roman" w:hAnsi="Verdana" w:cs="Times New Roman"/>
          <w:lang w:eastAsia="es-ES"/>
        </w:rPr>
      </w:pPr>
      <w:r w:rsidRPr="00343E12">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343E12">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1F644BBE" w14:textId="77777777" w:rsidR="002D45CF" w:rsidRPr="00343E12" w:rsidRDefault="002D45CF" w:rsidP="002D45CF">
      <w:pPr>
        <w:spacing w:after="120" w:line="276" w:lineRule="auto"/>
        <w:ind w:firstLine="709"/>
        <w:jc w:val="both"/>
        <w:rPr>
          <w:rFonts w:ascii="Verdana" w:eastAsia="Times New Roman" w:hAnsi="Verdana" w:cs="Times New Roman"/>
          <w:lang w:eastAsia="es-ES"/>
        </w:rPr>
      </w:pPr>
      <w:r w:rsidRPr="00343E1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00343E12">
        <w:rPr>
          <w:rFonts w:ascii="Verdana" w:eastAsia="Times New Roman" w:hAnsi="Verdana" w:cs="Times New Roman"/>
          <w:vertAlign w:val="superscript"/>
          <w:lang w:eastAsia="es-ES"/>
        </w:rPr>
        <w:footnoteReference w:id="20"/>
      </w:r>
      <w:r w:rsidRPr="00343E12">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65BA7AEF" w14:textId="77777777" w:rsidR="002D45CF" w:rsidRDefault="002D45CF" w:rsidP="002D45CF">
      <w:pPr>
        <w:spacing w:after="120" w:line="276" w:lineRule="auto"/>
        <w:ind w:firstLine="709"/>
        <w:jc w:val="both"/>
        <w:rPr>
          <w:rFonts w:ascii="Verdana" w:eastAsia="Times New Roman" w:hAnsi="Verdana" w:cs="Arial"/>
          <w:lang w:eastAsia="es-CO"/>
        </w:rPr>
      </w:pPr>
      <w:r w:rsidRPr="00343E12">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r>
        <w:rPr>
          <w:rFonts w:ascii="Verdana" w:eastAsia="Times New Roman" w:hAnsi="Verdana" w:cs="Arial"/>
          <w:lang w:eastAsia="es-CO"/>
        </w:rPr>
        <w:t xml:space="preserve"> </w:t>
      </w:r>
      <w:r w:rsidRPr="00343E12">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w:t>
      </w:r>
      <w:r w:rsidRPr="00343E12">
        <w:rPr>
          <w:rFonts w:ascii="Verdana" w:eastAsia="Times New Roman" w:hAnsi="Verdana" w:cs="Arial"/>
          <w:lang w:eastAsia="es-CO"/>
        </w:rPr>
        <w:lastRenderedPageBreak/>
        <w:t xml:space="preserve">de Garantías Electorales a los </w:t>
      </w:r>
      <w:r w:rsidRPr="00343E12">
        <w:rPr>
          <w:rFonts w:ascii="Verdana" w:eastAsia="Times New Roman" w:hAnsi="Verdana" w:cs="Arial"/>
          <w:i/>
          <w:iCs/>
          <w:lang w:eastAsia="es-CO"/>
        </w:rPr>
        <w:t>contratos interadministrativos</w:t>
      </w:r>
      <w:r w:rsidRPr="00343E12">
        <w:rPr>
          <w:rFonts w:ascii="Verdana" w:eastAsia="Times New Roman" w:hAnsi="Verdana" w:cs="Arial"/>
          <w:lang w:eastAsia="es-CO"/>
        </w:rPr>
        <w:t>, esta prohibición solo aplicaría a los convenios interadministrativos que impliquen la ejecución de recursos públicos</w:t>
      </w:r>
      <w:r w:rsidRPr="00343E12">
        <w:rPr>
          <w:rFonts w:ascii="Verdana" w:eastAsia="Times New Roman" w:hAnsi="Verdana" w:cs="Arial"/>
          <w:vertAlign w:val="superscript"/>
          <w:lang w:eastAsia="es-CO"/>
        </w:rPr>
        <w:footnoteReference w:id="21"/>
      </w:r>
      <w:r>
        <w:rPr>
          <w:rFonts w:ascii="Verdana" w:eastAsia="Times New Roman" w:hAnsi="Verdana" w:cs="Arial"/>
          <w:lang w:eastAsia="es-CO"/>
        </w:rPr>
        <w:t xml:space="preserve">. </w:t>
      </w:r>
    </w:p>
    <w:p w14:paraId="3E0B0488" w14:textId="77777777" w:rsidR="002D45CF" w:rsidRPr="0004207F" w:rsidRDefault="002D45CF" w:rsidP="002D45CF">
      <w:pPr>
        <w:spacing w:line="276" w:lineRule="auto"/>
        <w:jc w:val="both"/>
        <w:rPr>
          <w:rFonts w:ascii="Verdana" w:hAnsi="Verdana" w:cs="Arial"/>
          <w:bCs/>
          <w:lang w:val="es-MX" w:eastAsia="x-none"/>
        </w:rPr>
      </w:pPr>
      <w:proofErr w:type="spellStart"/>
      <w:r>
        <w:rPr>
          <w:rFonts w:ascii="Verdana" w:eastAsia="Times New Roman" w:hAnsi="Verdana" w:cs="Arial"/>
          <w:lang w:eastAsia="es-CO"/>
        </w:rPr>
        <w:t>iv</w:t>
      </w:r>
      <w:proofErr w:type="spellEnd"/>
      <w:r>
        <w:rPr>
          <w:rFonts w:ascii="Verdana" w:eastAsia="Times New Roman" w:hAnsi="Verdana" w:cs="Arial"/>
          <w:lang w:eastAsia="es-CO"/>
        </w:rPr>
        <w:t xml:space="preserve">. </w:t>
      </w:r>
      <w:r w:rsidRPr="0004207F">
        <w:rPr>
          <w:rFonts w:ascii="Verdana" w:hAnsi="Verdana" w:cs="Arial"/>
          <w:bCs/>
          <w:lang w:val="es-MX" w:eastAsia="x-none"/>
        </w:rPr>
        <w:t>Es importante reiterar que</w:t>
      </w:r>
      <w:r>
        <w:rPr>
          <w:rFonts w:ascii="Verdana" w:hAnsi="Verdana" w:cs="Arial"/>
          <w:bCs/>
          <w:lang w:val="es-MX" w:eastAsia="x-none"/>
        </w:rPr>
        <w:t>,</w:t>
      </w:r>
      <w:r w:rsidRPr="0004207F">
        <w:rPr>
          <w:rFonts w:ascii="Verdana" w:hAnsi="Verdana" w:cs="Arial"/>
          <w:bCs/>
          <w:lang w:val="es-MX" w:eastAsia="x-none"/>
        </w:rPr>
        <w:t xml:space="preserve"> el segundo inciso del artículo 33 de la Ley de Garantías Electorales consagró las excepciones aplicables a la prohibición de contratación directa establecida en el mismo artículo. La Sala de Consulta y Servicio Civil del Consejo de Estado, en Concepto del 4 de febrero de 2010, explica que “[…] Las excepciones establecidas en los artículos 32 y 33 en comento, guardan relación, exclusivamente, con algunos servicios públicos que por su naturaleza no admiten postergaciones en la atención de sus necesidades de personal, bienes y servicios [...]”</w:t>
      </w:r>
      <w:r w:rsidRPr="0004207F">
        <w:rPr>
          <w:rStyle w:val="Refdenotaalpie"/>
          <w:rFonts w:ascii="Verdana" w:hAnsi="Verdana" w:cs="Arial"/>
          <w:lang w:val="es-ES_tradnl" w:eastAsia="es-CO"/>
        </w:rPr>
        <w:footnoteReference w:id="22"/>
      </w:r>
      <w:r w:rsidRPr="0004207F">
        <w:rPr>
          <w:rFonts w:ascii="Verdana" w:hAnsi="Verdana" w:cs="Arial"/>
          <w:bCs/>
          <w:lang w:val="es-MX" w:eastAsia="x-none"/>
        </w:rPr>
        <w:t>.</w:t>
      </w:r>
    </w:p>
    <w:p w14:paraId="47B9A9DA" w14:textId="77777777" w:rsidR="002D45CF" w:rsidRPr="0004207F" w:rsidRDefault="002D45CF" w:rsidP="002D45CF">
      <w:pPr>
        <w:shd w:val="clear" w:color="auto" w:fill="FFFFFF" w:themeFill="background1"/>
        <w:spacing w:line="276" w:lineRule="auto"/>
        <w:ind w:firstLine="709"/>
        <w:jc w:val="both"/>
        <w:rPr>
          <w:rFonts w:ascii="Verdana" w:hAnsi="Verdana" w:cs="Arial"/>
          <w:lang w:val="es-ES" w:eastAsia="es-CO"/>
        </w:rPr>
      </w:pPr>
      <w:r w:rsidRPr="37D461F2">
        <w:rPr>
          <w:rFonts w:ascii="Verdana" w:hAnsi="Verdana" w:cs="Arial"/>
          <w:lang w:val="es-ES" w:eastAsia="es-CO"/>
        </w:rPr>
        <w:t xml:space="preserve">A su vez, la Corte Constitucional, al analizar la constitucionalidad de la Ley de Garantías Electorales, consideró que las prohibiciones consagradas en los artículos 32 y 33 de la ley mencionada no pueden ir en detrimento de intereses públicos. Por lo anterior, la Alta Corte consideró que las excepciones para la prohibición de contratación se encontraban justificadas, declarando su </w:t>
      </w:r>
      <w:proofErr w:type="spellStart"/>
      <w:r w:rsidRPr="37D461F2">
        <w:rPr>
          <w:rFonts w:ascii="Verdana" w:hAnsi="Verdana" w:cs="Arial"/>
          <w:lang w:val="es-ES" w:eastAsia="es-CO"/>
        </w:rPr>
        <w:t>exequibilidad</w:t>
      </w:r>
      <w:proofErr w:type="spellEnd"/>
      <w:r w:rsidRPr="37D461F2">
        <w:rPr>
          <w:rFonts w:ascii="Verdana" w:hAnsi="Verdana" w:cs="Arial"/>
          <w:lang w:val="es-ES" w:eastAsia="es-CO"/>
        </w:rPr>
        <w:t>. Así, por ejemplo, la Corte Constitucional explicó que “[…] las excepciones de limitación protegen diversos tipos de urgencias de defensa, salud, educación, infraestructura vial y de servicios públicos y ecológicas tienden a no limitar desproporcionadamente la acción del Estado en el cumplimiento de sus fines, en procura de la igualdad entre candidatos como garantía electoral”</w:t>
      </w:r>
      <w:r w:rsidRPr="0004207F">
        <w:rPr>
          <w:rStyle w:val="Refdenotaalpie"/>
          <w:rFonts w:ascii="Verdana" w:hAnsi="Verdana" w:cs="Arial"/>
          <w:lang w:val="es-ES_tradnl" w:eastAsia="es-CO"/>
        </w:rPr>
        <w:footnoteReference w:id="23"/>
      </w:r>
      <w:r w:rsidRPr="37D461F2">
        <w:rPr>
          <w:rFonts w:ascii="Verdana" w:hAnsi="Verdana" w:cs="Arial"/>
          <w:lang w:val="es-ES" w:eastAsia="es-CO"/>
        </w:rPr>
        <w:t xml:space="preserve">. </w:t>
      </w:r>
    </w:p>
    <w:p w14:paraId="38B5DEDF" w14:textId="77777777" w:rsidR="002D45CF" w:rsidRPr="0004207F" w:rsidRDefault="002D45CF" w:rsidP="002D45CF">
      <w:pPr>
        <w:shd w:val="clear" w:color="auto" w:fill="FFFFFF"/>
        <w:spacing w:line="276" w:lineRule="auto"/>
        <w:ind w:firstLine="709"/>
        <w:jc w:val="both"/>
        <w:rPr>
          <w:rFonts w:ascii="Verdana" w:hAnsi="Verdana" w:cs="Arial"/>
          <w:lang w:val="es-ES_tradnl" w:eastAsia="es-CO"/>
        </w:rPr>
      </w:pPr>
      <w:r w:rsidRPr="0004207F">
        <w:rPr>
          <w:rFonts w:ascii="Verdana" w:hAnsi="Verdana" w:cs="Arial"/>
          <w:bCs/>
          <w:lang w:val="es-ES_tradnl"/>
        </w:rPr>
        <w:t xml:space="preserve">Por tanto, las excepciones a la prohibición contenida en el inciso segundo de artículo 33 de la ley de garantías electorales tienen por finalidad garantizar la prestación ininterrumpida de algunos servicios públicos que, dada su importancia en el orden interno, se verían irrazonablemente afectados por la restricción explicada. Lo anterior implica que las excepciones al artículo 33 en 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w:t>
      </w:r>
      <w:r w:rsidRPr="0004207F">
        <w:rPr>
          <w:rFonts w:ascii="Verdana" w:hAnsi="Verdana" w:cs="Arial"/>
          <w:bCs/>
          <w:lang w:val="es-ES_tradnl"/>
        </w:rPr>
        <w:lastRenderedPageBreak/>
        <w:t>expresamente en la norma permiten que ciertas entidades estatales se vean exceptuadas de la prohibición.</w:t>
      </w:r>
    </w:p>
    <w:p w14:paraId="3433E036" w14:textId="77777777" w:rsidR="002D45CF" w:rsidRPr="0004207F" w:rsidRDefault="002D45CF" w:rsidP="002D45CF">
      <w:pPr>
        <w:spacing w:line="276" w:lineRule="auto"/>
        <w:ind w:firstLine="708"/>
        <w:jc w:val="both"/>
        <w:rPr>
          <w:rFonts w:ascii="Verdana" w:eastAsia="Calibri" w:hAnsi="Verdana" w:cs="Arial"/>
        </w:rPr>
      </w:pPr>
      <w:r w:rsidRPr="0004207F">
        <w:rPr>
          <w:rFonts w:ascii="Verdana" w:hAnsi="Verdana" w:cs="Arial"/>
          <w:bCs/>
          <w:lang w:val="es-MX" w:eastAsia="x-none"/>
        </w:rPr>
        <w:t>Entre las excepciones del artículo en comento se encuentran “[…] l</w:t>
      </w:r>
      <w:r w:rsidRPr="0004207F">
        <w:rPr>
          <w:rFonts w:ascii="Verdana" w:hAnsi="Verdana" w:cs="Arial"/>
          <w:bCs/>
          <w:lang w:eastAsia="x-none"/>
        </w:rPr>
        <w:t>os requeridos para cubrir las emergencias educativas, sanitarias y desastres […]</w:t>
      </w:r>
      <w:r w:rsidRPr="0004207F">
        <w:rPr>
          <w:rFonts w:ascii="Verdana" w:hAnsi="Verdana" w:cs="Arial"/>
          <w:bCs/>
          <w:lang w:val="es-MX" w:eastAsia="x-none"/>
        </w:rPr>
        <w:t>”</w:t>
      </w:r>
      <w:r w:rsidRPr="0004207F">
        <w:rPr>
          <w:rFonts w:ascii="Verdana" w:eastAsia="Calibri" w:hAnsi="Verdana" w:cs="Arial"/>
        </w:rPr>
        <w:t xml:space="preserve">. Sobre el alcance de estas excepciones, es necesario tener en cuenta que el </w:t>
      </w:r>
      <w:r w:rsidRPr="0004207F">
        <w:rPr>
          <w:rFonts w:ascii="Verdana" w:eastAsia="Calibri" w:hAnsi="Verdana" w:cs="Arial"/>
          <w:bCs/>
          <w:color w:val="000000" w:themeColor="text1"/>
        </w:rPr>
        <w:t xml:space="preserve">artículo 28 del Código Civil dispone que “Las palabras de la ley se entenderán en su sentido natural y obvio, según el uso general de las mismas palabras; pero cuando el legislador las haya definido expresamente para ciertas materias, se les dará en éstas su significado legal”; igualmente, el artículo 29 </w:t>
      </w:r>
      <w:r w:rsidRPr="0004207F">
        <w:rPr>
          <w:rFonts w:ascii="Verdana" w:eastAsia="Calibri" w:hAnsi="Verdana" w:cs="Arial"/>
          <w:bCs/>
          <w:i/>
          <w:iCs/>
          <w:color w:val="000000" w:themeColor="text1"/>
        </w:rPr>
        <w:t>ibidem</w:t>
      </w:r>
      <w:r w:rsidRPr="0004207F">
        <w:rPr>
          <w:rFonts w:ascii="Verdana" w:eastAsia="Calibri" w:hAnsi="Verdana" w:cs="Arial"/>
          <w:bCs/>
          <w:color w:val="000000" w:themeColor="text1"/>
        </w:rPr>
        <w:t xml:space="preserve"> prescribe lo siguiente: “Las palabras técnicas de toda ciencia o arte se tomarán en el sentido que les den los que profesan la misma ciencia o arte; a menos que aparezca claramente que se han formado en sentido diverso”</w:t>
      </w:r>
      <w:r w:rsidRPr="0004207F">
        <w:rPr>
          <w:rStyle w:val="Refdenotaalpie"/>
          <w:rFonts w:ascii="Verdana" w:eastAsia="Calibri" w:hAnsi="Verdana" w:cs="Arial"/>
          <w:bCs/>
          <w:color w:val="000000" w:themeColor="text1"/>
        </w:rPr>
        <w:footnoteReference w:id="24"/>
      </w:r>
      <w:r w:rsidRPr="0004207F">
        <w:rPr>
          <w:rFonts w:ascii="Verdana" w:eastAsia="Calibri" w:hAnsi="Verdana" w:cs="Arial"/>
          <w:bCs/>
          <w:color w:val="000000" w:themeColor="text1"/>
        </w:rPr>
        <w:t>.</w:t>
      </w:r>
    </w:p>
    <w:p w14:paraId="452D513B" w14:textId="77777777" w:rsidR="002D45CF" w:rsidRPr="00AB6523" w:rsidRDefault="002D45CF" w:rsidP="002D45CF">
      <w:pPr>
        <w:spacing w:line="276" w:lineRule="auto"/>
        <w:jc w:val="both"/>
        <w:rPr>
          <w:rFonts w:ascii="Verdana" w:eastAsia="Calibri" w:hAnsi="Verdana" w:cs="Arial"/>
          <w:bCs/>
          <w:color w:val="000000" w:themeColor="text1"/>
        </w:rPr>
      </w:pPr>
      <w:r w:rsidRPr="0004207F">
        <w:rPr>
          <w:rFonts w:ascii="Verdana" w:eastAsia="Calibri" w:hAnsi="Verdana" w:cs="Arial"/>
          <w:bCs/>
          <w:color w:val="000000" w:themeColor="text1"/>
        </w:rPr>
        <w:tab/>
        <w:t>Dentro de este marco</w:t>
      </w:r>
      <w:r>
        <w:rPr>
          <w:rFonts w:ascii="Verdana" w:eastAsia="Calibri" w:hAnsi="Verdana" w:cs="Arial"/>
          <w:bCs/>
          <w:color w:val="000000" w:themeColor="text1"/>
        </w:rPr>
        <w:t xml:space="preserve">, </w:t>
      </w:r>
      <w:r>
        <w:rPr>
          <w:rFonts w:ascii="Verdana" w:eastAsia="Calibri" w:hAnsi="Verdana" w:cs="Arial"/>
          <w:lang w:val="es-ES"/>
        </w:rPr>
        <w:t>e</w:t>
      </w:r>
      <w:r w:rsidRPr="3683B926">
        <w:rPr>
          <w:rFonts w:ascii="Verdana" w:eastAsia="Calibri" w:hAnsi="Verdana" w:cs="Arial"/>
          <w:lang w:val="es-ES"/>
        </w:rPr>
        <w:t>l artículo 42 de la Ley 80 de 1993 dispone que la urgencia manifiesta se declara, entre otras tres (3) circunstancias, con la finalidad de “[…] conjurar situaciones excepcionales relacionadas con hechos de calamidad o constitutivos de fuerza mayor o desastre que demanden actuaciones inmediatas […]”.</w:t>
      </w:r>
      <w:r>
        <w:rPr>
          <w:rFonts w:ascii="Verdana" w:eastAsia="Calibri" w:hAnsi="Verdana" w:cs="Arial"/>
          <w:lang w:val="es-ES"/>
        </w:rPr>
        <w:t xml:space="preserve"> E</w:t>
      </w:r>
      <w:r w:rsidRPr="3683B926">
        <w:rPr>
          <w:rFonts w:ascii="Verdana" w:eastAsia="Calibri" w:hAnsi="Verdana" w:cs="Arial"/>
          <w:lang w:val="es-ES"/>
        </w:rPr>
        <w:t xml:space="preserve">n la medida en que la norma utiliza la conjunción “o”, en principio asimilaría la </w:t>
      </w:r>
      <w:r w:rsidRPr="3683B926">
        <w:rPr>
          <w:rFonts w:ascii="Verdana" w:eastAsia="Calibri" w:hAnsi="Verdana" w:cs="Arial"/>
          <w:i/>
          <w:lang w:val="es-ES"/>
        </w:rPr>
        <w:t>calamidad</w:t>
      </w:r>
      <w:r w:rsidRPr="3683B926">
        <w:rPr>
          <w:rFonts w:ascii="Verdana" w:eastAsia="Calibri" w:hAnsi="Verdana" w:cs="Arial"/>
          <w:lang w:val="es-ES"/>
        </w:rPr>
        <w:t xml:space="preserve"> y el </w:t>
      </w:r>
      <w:r w:rsidRPr="3683B926">
        <w:rPr>
          <w:rFonts w:ascii="Verdana" w:eastAsia="Calibri" w:hAnsi="Verdana" w:cs="Arial"/>
          <w:i/>
          <w:lang w:val="es-ES"/>
        </w:rPr>
        <w:t xml:space="preserve">desastre </w:t>
      </w:r>
      <w:r w:rsidRPr="3683B926">
        <w:rPr>
          <w:rFonts w:ascii="Verdana" w:eastAsia="Calibri" w:hAnsi="Verdana" w:cs="Arial"/>
          <w:lang w:val="es-ES"/>
        </w:rPr>
        <w:t xml:space="preserve">con la </w:t>
      </w:r>
      <w:r w:rsidRPr="3683B926">
        <w:rPr>
          <w:rFonts w:ascii="Verdana" w:eastAsia="Calibri" w:hAnsi="Verdana" w:cs="Arial"/>
          <w:i/>
          <w:lang w:val="es-ES"/>
        </w:rPr>
        <w:t>fuerza mayor</w:t>
      </w:r>
      <w:r w:rsidRPr="3683B926">
        <w:rPr>
          <w:rFonts w:ascii="Verdana" w:eastAsia="Calibri" w:hAnsi="Verdana" w:cs="Arial"/>
          <w:lang w:val="es-ES"/>
        </w:rPr>
        <w:t xml:space="preserve"> o el </w:t>
      </w:r>
      <w:r w:rsidRPr="3683B926">
        <w:rPr>
          <w:rFonts w:ascii="Verdana" w:eastAsia="Calibri" w:hAnsi="Verdana" w:cs="Arial"/>
          <w:i/>
          <w:lang w:val="es-ES"/>
        </w:rPr>
        <w:t>caso fortuito</w:t>
      </w:r>
      <w:r w:rsidRPr="3683B926">
        <w:rPr>
          <w:rFonts w:ascii="Verdana" w:eastAsia="Calibri" w:hAnsi="Verdana" w:cs="Arial"/>
          <w:lang w:val="es-ES"/>
        </w:rPr>
        <w:t xml:space="preserve">. </w:t>
      </w:r>
    </w:p>
    <w:p w14:paraId="76922790" w14:textId="77777777" w:rsidR="002D45CF" w:rsidRPr="00D93A6C" w:rsidRDefault="002D45CF" w:rsidP="002D45CF">
      <w:pPr>
        <w:spacing w:after="0" w:line="276" w:lineRule="auto"/>
        <w:ind w:firstLine="708"/>
        <w:jc w:val="both"/>
        <w:rPr>
          <w:rFonts w:ascii="Verdana" w:eastAsia="Calibri" w:hAnsi="Verdana" w:cs="Arial"/>
          <w:lang w:val="es-ES_tradnl"/>
        </w:rPr>
      </w:pPr>
      <w:r w:rsidRPr="00D93A6C">
        <w:rPr>
          <w:rFonts w:ascii="Verdana" w:eastAsia="Calibri" w:hAnsi="Verdana" w:cs="Arial"/>
          <w:lang w:val="es-ES_tradnl"/>
        </w:rPr>
        <w:t xml:space="preserve">Al respecto, el artículo 64 del Código Civil define como tal “[…] el imprevisto o que no es posible resistir, como un naufragio, un terremoto, </w:t>
      </w:r>
      <w:bookmarkStart w:id="9" w:name="_Hlk35871146"/>
      <w:r w:rsidRPr="00D93A6C">
        <w:rPr>
          <w:rFonts w:ascii="Verdana" w:eastAsia="Calibri" w:hAnsi="Verdana" w:cs="Arial"/>
          <w:lang w:val="es-ES_tradnl"/>
        </w:rPr>
        <w:t>el apresamiento de enemigos, los actos de autoridad ejercidos por un funcionario público</w:t>
      </w:r>
      <w:bookmarkEnd w:id="9"/>
      <w:r w:rsidRPr="00D93A6C">
        <w:rPr>
          <w:rFonts w:ascii="Verdana" w:eastAsia="Calibri" w:hAnsi="Verdana" w:cs="Arial"/>
          <w:lang w:val="es-ES_tradnl"/>
        </w:rPr>
        <w:t>, etc.”</w:t>
      </w:r>
      <w:r w:rsidRPr="00D93A6C">
        <w:rPr>
          <w:rFonts w:ascii="Verdana" w:eastAsia="Calibri" w:hAnsi="Verdana" w:cs="Arial"/>
          <w:sz w:val="21"/>
          <w:szCs w:val="21"/>
          <w:vertAlign w:val="superscript"/>
          <w:lang w:val="es-ES_tradnl"/>
        </w:rPr>
        <w:footnoteReference w:id="25"/>
      </w:r>
      <w:r w:rsidRPr="00D93A6C">
        <w:rPr>
          <w:rFonts w:ascii="Verdana" w:eastAsia="Calibri" w:hAnsi="Verdana" w:cs="Arial"/>
          <w:sz w:val="21"/>
          <w:szCs w:val="21"/>
          <w:lang w:val="es-ES_tradnl"/>
        </w:rPr>
        <w:t>.</w:t>
      </w:r>
      <w:r w:rsidRPr="00D93A6C">
        <w:rPr>
          <w:rFonts w:ascii="Verdana" w:eastAsia="Calibri" w:hAnsi="Verdana" w:cs="Arial"/>
          <w:lang w:val="es-ES_tradnl"/>
        </w:rPr>
        <w:t xml:space="preserve"> Cuando provienen de fenómenos de la naturaleza estas </w:t>
      </w:r>
      <w:r w:rsidRPr="00D93A6C">
        <w:rPr>
          <w:rFonts w:ascii="Verdana" w:eastAsia="Calibri" w:hAnsi="Verdana" w:cs="Arial"/>
          <w:lang w:val="es-ES_tradnl"/>
        </w:rPr>
        <w:lastRenderedPageBreak/>
        <w:t xml:space="preserve">características confluyen con los conceptos de desastre y calamidad, los cuales –conforme al Diccionario de la Real Academia Española– constituyen una “Desgracia grande, suceso infeliz y lamentable” o “Desgracia o infortunio que alcanza a muchas personas”, respectivamente. Conforme al significado natural de las palabras, parece que la diferencia es el mayor alcance de la segunda respecto al primero. No obstante, además de la ocurrencia de desastres y calamidades que –aunque irresistibles– se presentan con cierto grado de previsibilidad o que, incluso, se originan en la actuación humana intencional, estos dos conceptos también los definió </w:t>
      </w:r>
      <w:bookmarkStart w:id="10" w:name="_Hlk35879271"/>
      <w:r w:rsidRPr="00D93A6C">
        <w:rPr>
          <w:rFonts w:ascii="Verdana" w:eastAsia="Calibri" w:hAnsi="Verdana" w:cs="Arial"/>
          <w:lang w:val="es-ES_tradnl"/>
        </w:rPr>
        <w:t>el artículo 4, numerales 5 y 8, de la Ley 1523 de 2012</w:t>
      </w:r>
      <w:bookmarkEnd w:id="10"/>
      <w:r w:rsidRPr="00D93A6C">
        <w:rPr>
          <w:rFonts w:ascii="Verdana" w:eastAsia="Calibri" w:hAnsi="Verdana" w:cs="Arial"/>
          <w:lang w:val="es-ES_tradnl"/>
        </w:rPr>
        <w:t>:</w:t>
      </w:r>
    </w:p>
    <w:p w14:paraId="6004A510" w14:textId="77777777" w:rsidR="002D45CF" w:rsidRPr="00D93A6C" w:rsidRDefault="002D45CF" w:rsidP="002D45CF">
      <w:pPr>
        <w:spacing w:after="0" w:line="276" w:lineRule="auto"/>
        <w:ind w:firstLine="708"/>
        <w:jc w:val="both"/>
        <w:rPr>
          <w:rFonts w:ascii="Verdana" w:eastAsia="Calibri" w:hAnsi="Verdana" w:cs="Arial"/>
          <w:lang w:val="es-ES_tradnl"/>
        </w:rPr>
      </w:pPr>
    </w:p>
    <w:p w14:paraId="2D3D4A6E" w14:textId="77777777" w:rsidR="002D45CF" w:rsidRPr="00DB5641" w:rsidRDefault="002D45CF" w:rsidP="002D45CF">
      <w:pPr>
        <w:spacing w:after="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“Art. 4. Para efectos de la presente ley se entenderá por:</w:t>
      </w:r>
    </w:p>
    <w:p w14:paraId="235D1BDB" w14:textId="77777777" w:rsidR="002D45CF" w:rsidRPr="00DB5641" w:rsidRDefault="002D45CF" w:rsidP="002D45CF">
      <w:pPr>
        <w:spacing w:after="12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w:t>
      </w:r>
    </w:p>
    <w:p w14:paraId="46025562" w14:textId="77777777" w:rsidR="002D45CF" w:rsidRPr="00DB5641" w:rsidRDefault="002D45CF" w:rsidP="002D45CF">
      <w:pPr>
        <w:spacing w:after="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 xml:space="preserve">5. Calamidad pública: Es </w:t>
      </w:r>
      <w:bookmarkStart w:id="11" w:name="_Hlk35879333"/>
      <w:r w:rsidRPr="00DB5641">
        <w:rPr>
          <w:rFonts w:ascii="Verdana" w:eastAsia="Calibri" w:hAnsi="Verdana" w:cs="Arial"/>
          <w:sz w:val="20"/>
          <w:szCs w:val="20"/>
          <w:lang w:val="es-ES_tradnl"/>
        </w:rPr>
        <w:t xml:space="preserve">el resultado que se desencadena de la manifestación de uno o varios eventos naturales </w:t>
      </w:r>
      <w:bookmarkStart w:id="12" w:name="_Hlk35870820"/>
      <w:r w:rsidRPr="00DB5641">
        <w:rPr>
          <w:rFonts w:ascii="Verdana" w:eastAsia="Calibri" w:hAnsi="Verdana" w:cs="Arial"/>
          <w:sz w:val="20"/>
          <w:szCs w:val="20"/>
          <w:lang w:val="es-ES_tradnl"/>
        </w:rPr>
        <w:t xml:space="preserve">o antropogénicos no intencionales </w:t>
      </w:r>
      <w:bookmarkEnd w:id="12"/>
      <w:r w:rsidRPr="00DB5641">
        <w:rPr>
          <w:rFonts w:ascii="Verdana" w:eastAsia="Calibri" w:hAnsi="Verdana" w:cs="Arial"/>
          <w:sz w:val="20"/>
          <w:szCs w:val="20"/>
          <w:lang w:val="es-ES_tradnl"/>
        </w:rPr>
        <w:t xml:space="preserve">que al encontrar condiciones propicias de vulnerabilidad en las personas, los bienes, la infraestructura, los medios de subsistencia, la prestación de servicios o los recursos ambientales, causa daños o pérdidas humanas, materiales, económicas o ambientales, generando una alteración intensa, grave y extendida en las condiciones normales de funcionamiento </w:t>
      </w:r>
      <w:bookmarkEnd w:id="11"/>
      <w:r w:rsidRPr="00DB5641">
        <w:rPr>
          <w:rFonts w:ascii="Verdana" w:eastAsia="Calibri" w:hAnsi="Verdana" w:cs="Arial"/>
          <w:sz w:val="20"/>
          <w:szCs w:val="20"/>
          <w:lang w:val="es-ES_tradnl"/>
        </w:rPr>
        <w:t>de la población, en el respectivo territorio, que exige al municipio, distrito o departamento ejecutar acciones de respuesta a la emergencia, rehabilitación y reconstrucción.</w:t>
      </w:r>
    </w:p>
    <w:p w14:paraId="62926C9D" w14:textId="77777777" w:rsidR="002D45CF" w:rsidRPr="00DB5641" w:rsidRDefault="002D45CF" w:rsidP="002D45CF">
      <w:pPr>
        <w:spacing w:after="12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 xml:space="preserve">[…] </w:t>
      </w:r>
    </w:p>
    <w:p w14:paraId="265D9EF9" w14:textId="77777777" w:rsidR="002D45CF" w:rsidRDefault="002D45CF" w:rsidP="002D45CF">
      <w:pPr>
        <w:spacing w:after="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 xml:space="preserve">8. Desastre: Es el resultado que se desencadena de la manifestación de uno o varios eventos naturales o antropogénicos no intencionales que al encontrar condiciones propicias de vulnerabilidad en las personas, los </w:t>
      </w:r>
      <w:r w:rsidRPr="00DB5641">
        <w:rPr>
          <w:rFonts w:ascii="Verdana" w:eastAsia="Calibri" w:hAnsi="Verdana" w:cs="Arial"/>
          <w:sz w:val="20"/>
          <w:szCs w:val="20"/>
          <w:lang w:val="es-ES_tradnl"/>
        </w:rPr>
        <w:lastRenderedPageBreak/>
        <w:t>bienes, la infraestructura, los medios de subsistencia, la prestación de servicios o los recursos ambientales, causa daños o pérdidas humanas, materiales, económicas o ambientales, generando una alteración intensa, grave y extendida en las condiciones normales de funcionamiento de la sociedad, que exige del Estado y del sistema nacional ejecutar acciones de respuesta a la emergencia, rehabilitación y reconstrucción</w:t>
      </w:r>
    </w:p>
    <w:p w14:paraId="70A88B6C" w14:textId="77777777" w:rsidR="002D45CF" w:rsidRDefault="002D45CF" w:rsidP="002D45CF">
      <w:pPr>
        <w:spacing w:after="0" w:line="240" w:lineRule="auto"/>
        <w:ind w:left="709" w:right="709"/>
        <w:jc w:val="both"/>
        <w:rPr>
          <w:rFonts w:ascii="Verdana" w:eastAsia="Calibri" w:hAnsi="Verdana" w:cs="Arial"/>
          <w:sz w:val="20"/>
          <w:szCs w:val="20"/>
        </w:rPr>
      </w:pPr>
    </w:p>
    <w:p w14:paraId="0CF9ADB1" w14:textId="77777777" w:rsidR="002D45CF" w:rsidRPr="00D93A6C" w:rsidRDefault="002D45CF" w:rsidP="002D45CF">
      <w:pPr>
        <w:spacing w:after="0" w:line="240" w:lineRule="auto"/>
        <w:ind w:left="709" w:right="709"/>
        <w:jc w:val="both"/>
        <w:rPr>
          <w:rFonts w:ascii="Verdana" w:eastAsia="Calibri" w:hAnsi="Verdana" w:cs="Arial"/>
          <w:lang w:val="es-ES_tradnl"/>
        </w:rPr>
      </w:pPr>
      <w:r w:rsidRPr="000B15C1">
        <w:rPr>
          <w:rFonts w:ascii="Verdana" w:eastAsia="Calibri" w:hAnsi="Verdana" w:cs="Arial"/>
          <w:sz w:val="20"/>
          <w:szCs w:val="20"/>
        </w:rPr>
        <w:t>9. Emergencia:</w:t>
      </w:r>
      <w:r>
        <w:rPr>
          <w:rFonts w:ascii="Verdana" w:eastAsia="Calibri" w:hAnsi="Verdana" w:cs="Arial"/>
          <w:sz w:val="20"/>
          <w:szCs w:val="20"/>
        </w:rPr>
        <w:t xml:space="preserve"> </w:t>
      </w:r>
      <w:r w:rsidRPr="000B15C1">
        <w:rPr>
          <w:rFonts w:ascii="Verdana" w:eastAsia="Calibri" w:hAnsi="Verdana" w:cs="Arial"/>
          <w:sz w:val="20"/>
          <w:szCs w:val="20"/>
        </w:rPr>
        <w:t xml:space="preserve">Situación caracterizada por la alteración o interrupción intensa y grave de las condiciones normales de funcionamiento u operación de una comunidad, causada por un evento adverso o por la inminencia </w:t>
      </w:r>
      <w:proofErr w:type="gramStart"/>
      <w:r w:rsidRPr="000B15C1">
        <w:rPr>
          <w:rFonts w:ascii="Verdana" w:eastAsia="Calibri" w:hAnsi="Verdana" w:cs="Arial"/>
          <w:sz w:val="20"/>
          <w:szCs w:val="20"/>
        </w:rPr>
        <w:t>del mismo</w:t>
      </w:r>
      <w:proofErr w:type="gramEnd"/>
      <w:r w:rsidRPr="000B15C1">
        <w:rPr>
          <w:rFonts w:ascii="Verdana" w:eastAsia="Calibri" w:hAnsi="Verdana" w:cs="Arial"/>
          <w:sz w:val="20"/>
          <w:szCs w:val="20"/>
        </w:rPr>
        <w:t>, que obliga a una reacción inmediata y que requiere la respuesta de las instituciones del Estado, los medios de comunicación y de la comunidad en general</w:t>
      </w:r>
      <w:r w:rsidRPr="00DB5641">
        <w:rPr>
          <w:rFonts w:ascii="Verdana" w:eastAsia="Calibri" w:hAnsi="Verdana" w:cs="Arial"/>
          <w:sz w:val="20"/>
          <w:szCs w:val="20"/>
          <w:lang w:val="es-ES_tradnl"/>
        </w:rPr>
        <w:t>”.</w:t>
      </w:r>
    </w:p>
    <w:p w14:paraId="618911BA" w14:textId="77777777" w:rsidR="002D45CF" w:rsidRPr="00D93A6C" w:rsidRDefault="002D45CF" w:rsidP="002D45CF">
      <w:pPr>
        <w:spacing w:after="0" w:line="276" w:lineRule="auto"/>
        <w:ind w:left="709" w:right="709"/>
        <w:jc w:val="both"/>
        <w:rPr>
          <w:rFonts w:ascii="Verdana" w:eastAsia="Calibri" w:hAnsi="Verdana" w:cs="Arial"/>
          <w:lang w:val="es-ES_tradnl"/>
        </w:rPr>
      </w:pPr>
    </w:p>
    <w:p w14:paraId="6279EFC6" w14:textId="77777777" w:rsidR="002D45CF" w:rsidRDefault="002D45CF" w:rsidP="002D45CF">
      <w:pPr>
        <w:spacing w:after="0" w:line="276" w:lineRule="auto"/>
        <w:ind w:firstLine="709"/>
        <w:jc w:val="both"/>
        <w:rPr>
          <w:rFonts w:ascii="Verdana" w:eastAsia="Calibri" w:hAnsi="Verdana" w:cs="Arial"/>
          <w:lang w:val="es-ES"/>
        </w:rPr>
      </w:pPr>
      <w:r w:rsidRPr="3683B926">
        <w:rPr>
          <w:rFonts w:ascii="Verdana" w:eastAsia="Calibri" w:hAnsi="Verdana" w:cs="Arial"/>
          <w:lang w:val="es-ES"/>
        </w:rPr>
        <w:t xml:space="preserve">Esta norma debe armonizarse con los artículos 56 y 57 </w:t>
      </w:r>
      <w:r w:rsidRPr="3683B926">
        <w:rPr>
          <w:rFonts w:ascii="Verdana" w:eastAsia="Calibri" w:hAnsi="Verdana" w:cs="Arial"/>
          <w:i/>
          <w:lang w:val="es-ES"/>
        </w:rPr>
        <w:t>ibidem</w:t>
      </w:r>
      <w:r w:rsidRPr="3683B926">
        <w:rPr>
          <w:rFonts w:ascii="Verdana" w:eastAsia="Calibri" w:hAnsi="Verdana" w:cs="Arial"/>
          <w:lang w:val="es-ES"/>
        </w:rPr>
        <w:t xml:space="preserve">, que asignan la competencia para declarar la ocurrencia de una situación de </w:t>
      </w:r>
      <w:r w:rsidRPr="3683B926">
        <w:rPr>
          <w:rFonts w:ascii="Verdana" w:eastAsia="Calibri" w:hAnsi="Verdana" w:cs="Arial"/>
          <w:i/>
          <w:lang w:val="es-ES"/>
        </w:rPr>
        <w:t>desastre</w:t>
      </w:r>
      <w:r w:rsidRPr="3683B926">
        <w:rPr>
          <w:rFonts w:ascii="Verdana" w:eastAsia="Calibri" w:hAnsi="Verdana" w:cs="Arial"/>
          <w:lang w:val="es-ES"/>
        </w:rPr>
        <w:t xml:space="preserve"> o una situación de </w:t>
      </w:r>
      <w:r w:rsidRPr="3683B926">
        <w:rPr>
          <w:rFonts w:ascii="Verdana" w:eastAsia="Calibri" w:hAnsi="Verdana" w:cs="Arial"/>
          <w:i/>
          <w:lang w:val="es-ES"/>
        </w:rPr>
        <w:t>calamidad pública</w:t>
      </w:r>
      <w:r w:rsidRPr="3683B926">
        <w:rPr>
          <w:rFonts w:ascii="Verdana" w:eastAsia="Calibri" w:hAnsi="Verdana" w:cs="Arial"/>
          <w:lang w:val="es-ES"/>
        </w:rPr>
        <w:t xml:space="preserve">. Particularmente, disponen que al Presidente de la República le corresponde declarar la situación de </w:t>
      </w:r>
      <w:r w:rsidRPr="3683B926">
        <w:rPr>
          <w:rFonts w:ascii="Verdana" w:eastAsia="Calibri" w:hAnsi="Verdana" w:cs="Arial"/>
          <w:i/>
          <w:lang w:val="es-ES"/>
        </w:rPr>
        <w:t>desastre</w:t>
      </w:r>
      <w:r w:rsidRPr="3683B926">
        <w:rPr>
          <w:rFonts w:ascii="Verdana" w:eastAsia="Calibri" w:hAnsi="Verdana" w:cs="Arial"/>
          <w:lang w:val="es-ES"/>
        </w:rPr>
        <w:t>, tanto en el orden nacional, departamental, como en el municipal y distrital</w:t>
      </w:r>
      <w:r w:rsidRPr="3683B926">
        <w:rPr>
          <w:rStyle w:val="Refdenotaalpie"/>
          <w:rFonts w:ascii="Verdana" w:eastAsia="Calibri" w:hAnsi="Verdana" w:cs="Arial"/>
          <w:lang w:val="es-ES"/>
        </w:rPr>
        <w:footnoteReference w:id="26"/>
      </w:r>
      <w:r w:rsidRPr="3683B926">
        <w:rPr>
          <w:rFonts w:ascii="Verdana" w:eastAsia="Calibri" w:hAnsi="Verdana" w:cs="Arial"/>
          <w:lang w:val="es-ES"/>
        </w:rPr>
        <w:t xml:space="preserve">, facultad que no pueden ejercer los gobernadores y alcaldes, porque la norma no les asignó esta competencia. No obstante, a los gobernadores y alcaldes sí les corresponde declarar la </w:t>
      </w:r>
      <w:r w:rsidRPr="3683B926">
        <w:rPr>
          <w:rFonts w:ascii="Verdana" w:eastAsia="Calibri" w:hAnsi="Verdana" w:cs="Arial"/>
          <w:i/>
          <w:lang w:val="es-ES"/>
        </w:rPr>
        <w:t>situación de calamidad pública</w:t>
      </w:r>
      <w:r w:rsidRPr="3683B926">
        <w:rPr>
          <w:rFonts w:ascii="Verdana" w:eastAsia="Calibri" w:hAnsi="Verdana" w:cs="Arial"/>
          <w:lang w:val="es-ES"/>
        </w:rPr>
        <w:t xml:space="preserve">, en los respectivos </w:t>
      </w:r>
      <w:r w:rsidRPr="3683B926">
        <w:rPr>
          <w:rFonts w:ascii="Verdana" w:eastAsia="Calibri" w:hAnsi="Verdana" w:cs="Arial"/>
          <w:lang w:val="es-ES"/>
        </w:rPr>
        <w:lastRenderedPageBreak/>
        <w:t>ámbitos, facultad que, en cambio, no puede ejercer el presidente de la república</w:t>
      </w:r>
      <w:r w:rsidRPr="3683B926">
        <w:rPr>
          <w:rStyle w:val="Refdenotaalpie"/>
          <w:rFonts w:ascii="Verdana" w:eastAsia="Calibri" w:hAnsi="Verdana" w:cs="Arial"/>
          <w:lang w:val="es-ES"/>
        </w:rPr>
        <w:footnoteReference w:id="27"/>
      </w:r>
      <w:r w:rsidRPr="3683B926">
        <w:rPr>
          <w:rFonts w:ascii="Verdana" w:eastAsia="Calibri" w:hAnsi="Verdana" w:cs="Arial"/>
          <w:lang w:val="es-ES"/>
        </w:rPr>
        <w:t xml:space="preserve">. </w:t>
      </w:r>
    </w:p>
    <w:p w14:paraId="7AF06BA6" w14:textId="77777777" w:rsidR="002D45CF" w:rsidRDefault="002D45CF" w:rsidP="002D45CF">
      <w:pPr>
        <w:spacing w:after="0" w:line="276" w:lineRule="auto"/>
        <w:ind w:firstLine="709"/>
        <w:jc w:val="both"/>
        <w:rPr>
          <w:rFonts w:ascii="Verdana" w:eastAsia="Times New Roman" w:hAnsi="Verdana" w:cs="Arial"/>
          <w:lang w:eastAsia="es-CO"/>
        </w:rPr>
      </w:pPr>
    </w:p>
    <w:p w14:paraId="745EAEA5" w14:textId="77777777" w:rsidR="002D45CF" w:rsidRDefault="002D45CF" w:rsidP="002D45CF">
      <w:pPr>
        <w:spacing w:after="120" w:line="276" w:lineRule="auto"/>
        <w:jc w:val="both"/>
        <w:rPr>
          <w:rFonts w:ascii="Verdana" w:eastAsia="Times New Roman" w:hAnsi="Verdana" w:cs="Arial"/>
          <w:bCs/>
          <w:lang w:eastAsia="es-CO"/>
        </w:rPr>
      </w:pPr>
      <w:proofErr w:type="spellStart"/>
      <w:r>
        <w:rPr>
          <w:rFonts w:ascii="Verdana" w:eastAsia="Times New Roman" w:hAnsi="Verdana" w:cs="Arial"/>
          <w:lang w:eastAsia="es-CO"/>
        </w:rPr>
        <w:t>iv</w:t>
      </w:r>
      <w:proofErr w:type="spellEnd"/>
      <w:r>
        <w:rPr>
          <w:rFonts w:ascii="Verdana" w:eastAsia="Times New Roman" w:hAnsi="Verdana" w:cs="Arial"/>
          <w:lang w:eastAsia="es-CO"/>
        </w:rPr>
        <w:t xml:space="preserve">. Ahora bien, para dar respuesta al problema jurídico objeto de consulta es necesario revisar el ámbito de aplicación de la </w:t>
      </w:r>
      <w:r w:rsidRPr="00122A17">
        <w:rPr>
          <w:rFonts w:ascii="Verdana" w:eastAsia="Times New Roman" w:hAnsi="Verdana" w:cs="Arial"/>
          <w:bCs/>
          <w:lang w:eastAsia="es-CO"/>
        </w:rPr>
        <w:t xml:space="preserve">Ley 1575 de 2012, denominada </w:t>
      </w:r>
      <w:r w:rsidRPr="0076277C">
        <w:rPr>
          <w:rFonts w:ascii="Verdana" w:eastAsia="Times New Roman" w:hAnsi="Verdana" w:cs="Arial"/>
          <w:bCs/>
          <w:i/>
          <w:iCs/>
          <w:lang w:eastAsia="es-CO"/>
        </w:rPr>
        <w:t>“Ley General de Bomberos de Colombia”</w:t>
      </w:r>
      <w:r>
        <w:rPr>
          <w:rFonts w:ascii="Verdana" w:eastAsia="Times New Roman" w:hAnsi="Verdana" w:cs="Arial"/>
          <w:bCs/>
          <w:lang w:eastAsia="es-CO"/>
        </w:rPr>
        <w:t>. El artículo 1 de este cuerpo normativo</w:t>
      </w:r>
      <w:r w:rsidRPr="00122A17">
        <w:rPr>
          <w:rFonts w:ascii="Verdana" w:eastAsia="Times New Roman" w:hAnsi="Verdana" w:cs="Arial"/>
          <w:bCs/>
          <w:lang w:eastAsia="es-CO"/>
        </w:rPr>
        <w:t xml:space="preserve"> define </w:t>
      </w:r>
      <w:r w:rsidRPr="001A084C">
        <w:rPr>
          <w:rFonts w:ascii="Verdana" w:hAnsi="Verdana" w:cs="Arial"/>
          <w:bCs/>
        </w:rPr>
        <w:t>la gestión integral del riesgo de incendios, la preparación y atención de rescates en todas sus modalidades y la respuesta a incidentes con materiales peligrosos constituyen una responsabilidad concurrente de las autoridades y de los habitantes del territorio nacional, con especial énfasis en los municipios, los departamentos y la Nación, sin perjuicio de las competencias asignadas a las demás entidades que integran el Sistema Nacional para la Prevención y Atención de Desastres</w:t>
      </w:r>
      <w:r w:rsidRPr="00122A17">
        <w:rPr>
          <w:rFonts w:ascii="Verdana" w:eastAsia="Times New Roman" w:hAnsi="Verdana" w:cs="Arial"/>
          <w:bCs/>
          <w:vertAlign w:val="superscript"/>
          <w:lang w:eastAsia="es-CO"/>
        </w:rPr>
        <w:footnoteReference w:id="28"/>
      </w:r>
      <w:r w:rsidRPr="001A084C">
        <w:rPr>
          <w:rFonts w:ascii="Verdana" w:hAnsi="Verdana" w:cs="Arial"/>
          <w:bCs/>
        </w:rPr>
        <w:t>.</w:t>
      </w:r>
      <w:r>
        <w:rPr>
          <w:rFonts w:ascii="Verdana" w:hAnsi="Verdana" w:cs="Arial"/>
        </w:rPr>
        <w:t xml:space="preserve"> </w:t>
      </w:r>
      <w:r>
        <w:rPr>
          <w:rFonts w:ascii="Verdana" w:eastAsia="Times New Roman" w:hAnsi="Verdana" w:cs="Arial"/>
          <w:bCs/>
          <w:lang w:eastAsia="es-CO"/>
        </w:rPr>
        <w:t xml:space="preserve">De acuerdo con esto, la norma dispone en esquema de </w:t>
      </w:r>
      <w:r w:rsidRPr="0076277C">
        <w:rPr>
          <w:rFonts w:ascii="Verdana" w:eastAsia="Times New Roman" w:hAnsi="Verdana" w:cs="Arial"/>
          <w:bCs/>
          <w:i/>
          <w:iCs/>
          <w:lang w:eastAsia="es-CO"/>
        </w:rPr>
        <w:t>responsabilidad compartida</w:t>
      </w:r>
      <w:r>
        <w:rPr>
          <w:rFonts w:ascii="Verdana" w:eastAsia="Times New Roman" w:hAnsi="Verdana" w:cs="Arial"/>
          <w:bCs/>
          <w:lang w:eastAsia="es-CO"/>
        </w:rPr>
        <w:t>, en el marco del cual</w:t>
      </w:r>
      <w:r w:rsidRPr="001A084C">
        <w:rPr>
          <w:rFonts w:ascii="Verdana" w:eastAsia="Times New Roman" w:hAnsi="Verdana" w:cs="Arial"/>
          <w:bCs/>
          <w:lang w:eastAsia="es-CO"/>
        </w:rPr>
        <w:t xml:space="preserve"> las entidades públicas y privadas deben incorporar la contingencia asociada a estos riesgos en la administración de sus bienes muebles e inmuebles —incluidos parques naturales, edificaciones, desarrollos urbanísticos e instalaciones— y adelantar planes, programas y proyectos orientados a reducir su vulnerabilidad y fortalecer la prevención y atención de tales evento</w:t>
      </w:r>
      <w:r>
        <w:rPr>
          <w:rFonts w:ascii="Verdana" w:eastAsia="Times New Roman" w:hAnsi="Verdana" w:cs="Arial"/>
          <w:bCs/>
          <w:lang w:eastAsia="es-CO"/>
        </w:rPr>
        <w:t xml:space="preserve">s. </w:t>
      </w:r>
    </w:p>
    <w:p w14:paraId="6F5EED25" w14:textId="77777777" w:rsidR="002D45CF" w:rsidRDefault="002D45CF" w:rsidP="002D45CF">
      <w:pPr>
        <w:spacing w:after="120" w:line="276" w:lineRule="auto"/>
        <w:jc w:val="both"/>
        <w:rPr>
          <w:rFonts w:ascii="Verdana" w:eastAsia="Times New Roman" w:hAnsi="Verdana" w:cs="Arial"/>
          <w:bCs/>
          <w:lang w:eastAsia="es-CO"/>
        </w:rPr>
      </w:pPr>
      <w:r>
        <w:rPr>
          <w:rFonts w:ascii="Verdana" w:eastAsia="Times New Roman" w:hAnsi="Verdana" w:cs="Arial"/>
          <w:bCs/>
          <w:lang w:eastAsia="es-CO"/>
        </w:rPr>
        <w:tab/>
        <w:t xml:space="preserve">En consonancia con lo anterior, el artículo 2 </w:t>
      </w:r>
      <w:r w:rsidRPr="007D3416">
        <w:rPr>
          <w:rFonts w:ascii="Verdana" w:hAnsi="Verdana" w:cs="Arial"/>
          <w:bCs/>
        </w:rPr>
        <w:t>dispone que</w:t>
      </w:r>
      <w:r>
        <w:rPr>
          <w:rFonts w:ascii="Verdana" w:hAnsi="Verdana" w:cs="Arial"/>
          <w:bCs/>
        </w:rPr>
        <w:t xml:space="preserve"> </w:t>
      </w:r>
      <w:r w:rsidRPr="007D3416">
        <w:rPr>
          <w:rFonts w:ascii="Verdana" w:hAnsi="Verdana" w:cs="Arial"/>
          <w:bCs/>
        </w:rPr>
        <w:t>la gestión integral del riesgo contra incendio, la preparación y atención de rescates en todas sus modalidades y la respuesta a incidentes con materiales peligrosos se encuentran a cargo de las instituciones bomberiles y, para todos los efectos, constituyen un servicio público esencial bajo responsabilidad del Estado.</w:t>
      </w:r>
      <w:r>
        <w:rPr>
          <w:rFonts w:ascii="Verdana" w:hAnsi="Verdana" w:cs="Arial"/>
          <w:bCs/>
        </w:rPr>
        <w:t xml:space="preserve"> </w:t>
      </w:r>
      <w:r w:rsidRPr="007D3416">
        <w:rPr>
          <w:rFonts w:ascii="Verdana" w:eastAsia="Times New Roman" w:hAnsi="Verdana" w:cs="Arial"/>
          <w:bCs/>
          <w:lang w:eastAsia="es-CO"/>
        </w:rPr>
        <w:t xml:space="preserve">En ese sentido, corresponde al Estado garantizar su prestación eficiente a todos los habitantes del territorio nacional, de manera directa a través de los Cuerpos de Bomberos </w:t>
      </w:r>
      <w:r w:rsidRPr="007D3416">
        <w:rPr>
          <w:rFonts w:ascii="Verdana" w:eastAsia="Times New Roman" w:hAnsi="Verdana" w:cs="Arial"/>
          <w:bCs/>
          <w:lang w:eastAsia="es-CO"/>
        </w:rPr>
        <w:lastRenderedPageBreak/>
        <w:t>Oficiales, Voluntarios y aeronáuticos, asegurando la continuidad y cobertura de este servicio.</w:t>
      </w:r>
    </w:p>
    <w:p w14:paraId="27BC925D" w14:textId="77777777" w:rsidR="002D45CF" w:rsidRPr="007D3416" w:rsidRDefault="002D45CF" w:rsidP="002D45CF">
      <w:pPr>
        <w:spacing w:after="120" w:line="276" w:lineRule="auto"/>
        <w:jc w:val="both"/>
        <w:rPr>
          <w:rFonts w:ascii="Verdana" w:eastAsia="Times New Roman" w:hAnsi="Verdana" w:cs="Arial"/>
          <w:bCs/>
          <w:lang w:eastAsia="es-CO"/>
        </w:rPr>
      </w:pPr>
      <w:r>
        <w:rPr>
          <w:rFonts w:ascii="Verdana" w:eastAsia="Times New Roman" w:hAnsi="Verdana" w:cs="Arial"/>
          <w:bCs/>
          <w:lang w:eastAsia="es-CO"/>
        </w:rPr>
        <w:tab/>
        <w:t>Por su parte, e</w:t>
      </w:r>
      <w:r w:rsidRPr="00A6570E">
        <w:rPr>
          <w:rFonts w:ascii="Verdana" w:eastAsia="Times New Roman" w:hAnsi="Verdana" w:cs="Arial"/>
          <w:bCs/>
          <w:lang w:eastAsia="es-CO"/>
        </w:rPr>
        <w:t>l artículo 3 de la Ley 1575 de 2012 establece el marco conceptual y los principios que orientan la organización, dirección y prestación del servicio público esencial de gestión integral del riesgo contra incendio, así como las actividades de rescate y atención de incidentes con materiales peligrosos. En este sentido, precisa los elementos que estructuran la función bomberil y delimita su alcance dentro del sistema de gestión del riesgo, reafirmando su carácter de servicio público a cargo del Estado.</w:t>
      </w:r>
      <w:r>
        <w:rPr>
          <w:rFonts w:ascii="Verdana" w:eastAsia="Times New Roman" w:hAnsi="Verdana" w:cs="Arial"/>
          <w:bCs/>
          <w:lang w:eastAsia="es-CO"/>
        </w:rPr>
        <w:t xml:space="preserve"> Para el efecto, el inciso cuarto de la norma estable que: “</w:t>
      </w:r>
      <w:r w:rsidRPr="00682C16">
        <w:rPr>
          <w:rFonts w:ascii="Verdana" w:eastAsia="Times New Roman" w:hAnsi="Verdana" w:cs="Arial"/>
          <w:bCs/>
          <w:lang w:eastAsia="es-CO"/>
        </w:rPr>
        <w:t xml:space="preserve">Es obligación de los distritos, con asiento en su respectiva jurisdicción y de los municipios la prestación del servicio público esencial a través de los cuerpos de bomberos oficiales o </w:t>
      </w:r>
      <w:r w:rsidRPr="0076277C">
        <w:rPr>
          <w:rFonts w:ascii="Verdana" w:eastAsia="Times New Roman" w:hAnsi="Verdana" w:cs="Arial"/>
          <w:bCs/>
          <w:i/>
          <w:iCs/>
          <w:lang w:eastAsia="es-CO"/>
        </w:rPr>
        <w:t>mediante la celebración de contratos y/o convenios con los cuerpos de bomberos voluntarios</w:t>
      </w:r>
      <w:r>
        <w:rPr>
          <w:rFonts w:ascii="Verdana" w:eastAsia="Times New Roman" w:hAnsi="Verdana" w:cs="Arial"/>
          <w:bCs/>
          <w:lang w:eastAsia="es-CO"/>
        </w:rPr>
        <w:t>” [Énfasis fuera de texto]</w:t>
      </w:r>
      <w:r w:rsidRPr="00682C16">
        <w:rPr>
          <w:rFonts w:ascii="Verdana" w:eastAsia="Times New Roman" w:hAnsi="Verdana" w:cs="Arial"/>
          <w:bCs/>
          <w:lang w:eastAsia="es-CO"/>
        </w:rPr>
        <w:t>. </w:t>
      </w:r>
    </w:p>
    <w:p w14:paraId="0847BF3F" w14:textId="77777777" w:rsidR="002D45CF" w:rsidRPr="00122A17" w:rsidRDefault="002D45CF" w:rsidP="002D45CF">
      <w:pPr>
        <w:spacing w:after="120" w:line="276" w:lineRule="auto"/>
        <w:jc w:val="both"/>
        <w:rPr>
          <w:rFonts w:ascii="Verdana" w:eastAsia="Times New Roman" w:hAnsi="Verdana" w:cs="Arial"/>
          <w:bCs/>
          <w:lang w:eastAsia="es-CO"/>
        </w:rPr>
      </w:pPr>
      <w:r>
        <w:rPr>
          <w:rFonts w:ascii="Verdana" w:eastAsia="Times New Roman" w:hAnsi="Verdana" w:cs="Arial"/>
          <w:bCs/>
          <w:lang w:eastAsia="es-CO"/>
        </w:rPr>
        <w:t xml:space="preserve"> </w:t>
      </w:r>
      <w:r>
        <w:rPr>
          <w:rFonts w:ascii="Verdana" w:eastAsia="Times New Roman" w:hAnsi="Verdana" w:cs="Arial"/>
          <w:bCs/>
          <w:lang w:eastAsia="es-CO"/>
        </w:rPr>
        <w:tab/>
        <w:t>Con arreglo a lo dispuesto en el artículo 4 de la referida ley, los</w:t>
      </w:r>
      <w:r w:rsidRPr="00610194">
        <w:rPr>
          <w:rFonts w:ascii="Verdana" w:eastAsia="Times New Roman" w:hAnsi="Verdana" w:cs="Arial"/>
          <w:bCs/>
          <w:lang w:eastAsia="es-CO"/>
        </w:rPr>
        <w:t xml:space="preserve"> </w:t>
      </w:r>
      <w:r w:rsidRPr="0076277C">
        <w:rPr>
          <w:rFonts w:ascii="Verdana" w:eastAsia="Times New Roman" w:hAnsi="Verdana" w:cs="Arial"/>
          <w:bCs/>
          <w:i/>
          <w:iCs/>
          <w:lang w:eastAsia="es-CO"/>
        </w:rPr>
        <w:t>Cuerpos de Bomberos Voluntarios Reconocidos</w:t>
      </w:r>
      <w:r>
        <w:rPr>
          <w:rFonts w:ascii="Verdana" w:eastAsia="Times New Roman" w:hAnsi="Verdana" w:cs="Arial"/>
          <w:bCs/>
          <w:i/>
          <w:iCs/>
          <w:lang w:eastAsia="es-CO"/>
        </w:rPr>
        <w:t xml:space="preserve"> </w:t>
      </w:r>
      <w:r>
        <w:rPr>
          <w:rFonts w:ascii="Verdana" w:eastAsia="Times New Roman" w:hAnsi="Verdana" w:cs="Arial"/>
          <w:bCs/>
          <w:lang w:eastAsia="es-CO"/>
        </w:rPr>
        <w:t xml:space="preserve">integran los Bomberos de Colombia y hacen parte integral del </w:t>
      </w:r>
      <w:r w:rsidRPr="00894500">
        <w:rPr>
          <w:rFonts w:ascii="Verdana" w:eastAsia="Times New Roman" w:hAnsi="Verdana" w:cs="Arial"/>
          <w:bCs/>
          <w:lang w:eastAsia="es-CO"/>
        </w:rPr>
        <w:t>Sistema Nacional para la Prevención y Atención de Desastres</w:t>
      </w:r>
      <w:r>
        <w:rPr>
          <w:rFonts w:ascii="Verdana" w:eastAsia="Times New Roman" w:hAnsi="Verdana" w:cs="Arial"/>
          <w:bCs/>
          <w:lang w:eastAsia="es-CO"/>
        </w:rPr>
        <w:t>. Estos son definidos por el artículo 18</w:t>
      </w:r>
      <w:r w:rsidRPr="00122A17">
        <w:rPr>
          <w:rFonts w:ascii="Verdana" w:eastAsia="Times New Roman" w:hAnsi="Verdana" w:cs="Arial"/>
          <w:bCs/>
          <w:lang w:eastAsia="es-CO"/>
        </w:rPr>
        <w:t xml:space="preserve"> como aquellos </w:t>
      </w:r>
      <w:r w:rsidRPr="0076277C">
        <w:rPr>
          <w:rFonts w:ascii="Verdana" w:eastAsia="Times New Roman" w:hAnsi="Verdana" w:cs="Arial"/>
          <w:i/>
          <w:lang w:eastAsia="es-CO"/>
        </w:rPr>
        <w:t>“organizados como asociaciones sin ánimo de lucro, de utilidad común y con personería jurídica expedida por las secretarías de gobierno departamentales, organizadas para la prestación del servicio público para la gestión integral del riesgo contra incendio, los preparativos y atención de rescates en todas sus modalidades y la atención de incidentes con materiales peligrosos, en los términos del artículo segundo de la presente ley y con certificado de cumplimiento expedido por la dirección Nacional de Bomberos”</w:t>
      </w:r>
      <w:r w:rsidRPr="00122A17">
        <w:rPr>
          <w:rFonts w:ascii="Verdana" w:eastAsia="Times New Roman" w:hAnsi="Verdana" w:cs="Arial"/>
          <w:bCs/>
          <w:lang w:eastAsia="es-CO"/>
        </w:rPr>
        <w:t xml:space="preserve">. </w:t>
      </w:r>
    </w:p>
    <w:p w14:paraId="438095F9" w14:textId="77777777" w:rsidR="002D45CF" w:rsidRPr="000756DF" w:rsidRDefault="002D45CF" w:rsidP="002D45CF">
      <w:pPr>
        <w:spacing w:after="120" w:line="276" w:lineRule="auto"/>
        <w:jc w:val="both"/>
        <w:rPr>
          <w:rFonts w:ascii="Verdana" w:eastAsia="Times New Roman" w:hAnsi="Verdana" w:cs="Arial"/>
          <w:bCs/>
          <w:lang w:eastAsia="es-CO"/>
        </w:rPr>
      </w:pPr>
      <w:r>
        <w:rPr>
          <w:rFonts w:ascii="Verdana" w:eastAsia="Times New Roman" w:hAnsi="Verdana" w:cs="Arial"/>
          <w:bCs/>
          <w:lang w:eastAsia="es-CO"/>
        </w:rPr>
        <w:tab/>
      </w:r>
      <w:r w:rsidRPr="000756DF">
        <w:rPr>
          <w:rFonts w:ascii="Verdana" w:hAnsi="Verdana" w:cs="Arial"/>
          <w:bCs/>
        </w:rPr>
        <w:t>El artículo 22 de la Ley 1575 de 2012 define las funciones asignadas a los cuerpos de bomberos en el marco de la gestión integral del riesgo contra incendio, los preparativos y atención de rescates en todas sus modalidades y la respuesta a incidentes con materiales peligrosos. De esta manera, precisa el conjunto de competencias operativas, preventivas y de apoyo que estructuran el ejercicio de la función bomberil dentro del servicio público esencial a cargo del Estado.</w:t>
      </w:r>
      <w:r>
        <w:rPr>
          <w:rFonts w:ascii="Verdana" w:hAnsi="Verdana" w:cs="Arial"/>
          <w:bCs/>
        </w:rPr>
        <w:t xml:space="preserve"> </w:t>
      </w:r>
      <w:r>
        <w:rPr>
          <w:rFonts w:ascii="Verdana" w:eastAsia="Times New Roman" w:hAnsi="Verdana" w:cs="Arial"/>
          <w:bCs/>
          <w:lang w:eastAsia="es-CO"/>
        </w:rPr>
        <w:t>L</w:t>
      </w:r>
      <w:r w:rsidRPr="000756DF">
        <w:rPr>
          <w:rFonts w:ascii="Verdana" w:eastAsia="Times New Roman" w:hAnsi="Verdana" w:cs="Arial"/>
          <w:bCs/>
          <w:lang w:eastAsia="es-CO"/>
        </w:rPr>
        <w:t>a disposición orienta la actuación de estas instituciones hacia la protección de la vida, los bienes y el ambiente, bajo criterios de coordinación con las autoridades competentes y en articulación con el Sistema Nacional de Gestión del Riesgo de Desastres, asegurando una respuesta oportuna, eficaz y organizada frente a las situaciones de emergencia.</w:t>
      </w:r>
    </w:p>
    <w:p w14:paraId="3706533D" w14:textId="77777777" w:rsidR="002D45CF" w:rsidRPr="008806B0" w:rsidRDefault="002D45CF" w:rsidP="002D45CF">
      <w:pPr>
        <w:tabs>
          <w:tab w:val="left" w:pos="426"/>
        </w:tabs>
        <w:spacing w:after="0" w:line="276" w:lineRule="auto"/>
        <w:ind w:firstLine="709"/>
        <w:jc w:val="both"/>
        <w:rPr>
          <w:rFonts w:ascii="Verdana" w:eastAsia="Times New Roman" w:hAnsi="Verdana" w:cs="Arial"/>
          <w:bCs/>
          <w:lang w:eastAsia="es-CO"/>
        </w:rPr>
      </w:pPr>
      <w:r w:rsidRPr="00122A17">
        <w:rPr>
          <w:rFonts w:ascii="Verdana" w:eastAsia="Times New Roman" w:hAnsi="Verdana" w:cs="Arial"/>
          <w:bCs/>
          <w:lang w:eastAsia="es-CO"/>
        </w:rPr>
        <w:lastRenderedPageBreak/>
        <w:t xml:space="preserve">De conformidad con las normas citadas, la gestión integral del riesgo contra incendio, los preparativos y atención de rescates y la atención de incidentes con materiales peligrosos se constituyen como un servicio público esencial a cargo del Estado, cuya prestación le fue asignada a los municipios y distritos, por lo tanto, es su deber asegurar la prestación eficiente a todos los habitantes del territorio nacional. Con el fin de prestar de forma eficiente el servicio público bomberil, los municipios y distritos pueden constituir su propio cuerpo de bomberos oficiales o </w:t>
      </w:r>
      <w:r w:rsidRPr="008806B0">
        <w:rPr>
          <w:rFonts w:ascii="Verdana" w:eastAsia="Times New Roman" w:hAnsi="Verdana" w:cs="Arial"/>
          <w:bCs/>
          <w:lang w:eastAsia="es-CO"/>
        </w:rPr>
        <w:t xml:space="preserve">pueden optar por celebrar contratos o convenios con cuerpos de bomberos voluntarios. Sobre la prestación del servicio objeto de la consulta, esta Agencia se pronunció mediante el concepto con radicado número 2201913000008606, del 19 de noviembre de 2019, indicando lo siguiente: </w:t>
      </w:r>
    </w:p>
    <w:p w14:paraId="08B42694" w14:textId="77777777" w:rsidR="002D45CF" w:rsidRPr="008806B0" w:rsidRDefault="002D45CF" w:rsidP="002D45CF">
      <w:pPr>
        <w:tabs>
          <w:tab w:val="left" w:pos="426"/>
        </w:tabs>
        <w:spacing w:after="0" w:line="276" w:lineRule="auto"/>
        <w:ind w:firstLine="709"/>
        <w:jc w:val="both"/>
        <w:rPr>
          <w:rFonts w:ascii="Verdana" w:eastAsia="Times New Roman" w:hAnsi="Verdana" w:cs="Arial"/>
          <w:bCs/>
          <w:lang w:eastAsia="es-CO"/>
        </w:rPr>
      </w:pPr>
    </w:p>
    <w:p w14:paraId="02389FF6" w14:textId="77777777" w:rsidR="002D45CF" w:rsidRPr="008806B0" w:rsidRDefault="002D45CF" w:rsidP="002D45CF">
      <w:pPr>
        <w:spacing w:after="0" w:line="240" w:lineRule="auto"/>
        <w:ind w:left="709" w:right="709"/>
        <w:jc w:val="both"/>
        <w:rPr>
          <w:rFonts w:ascii="Verdana" w:eastAsia="Calibri" w:hAnsi="Verdana" w:cs="Arial"/>
          <w:sz w:val="20"/>
          <w:szCs w:val="20"/>
          <w:lang w:val="es-ES"/>
        </w:rPr>
      </w:pPr>
      <w:r>
        <w:rPr>
          <w:rFonts w:ascii="Verdana" w:eastAsia="Calibri" w:hAnsi="Verdana" w:cs="Arial"/>
          <w:sz w:val="20"/>
          <w:szCs w:val="20"/>
          <w:lang w:val="es-ES"/>
        </w:rPr>
        <w:t>“</w:t>
      </w:r>
      <w:r w:rsidRPr="380AEBF8">
        <w:rPr>
          <w:rFonts w:ascii="Verdana" w:eastAsia="Calibri" w:hAnsi="Verdana" w:cs="Arial"/>
          <w:sz w:val="20"/>
          <w:szCs w:val="20"/>
          <w:lang w:val="es-ES"/>
        </w:rPr>
        <w:t xml:space="preserve">Ahora bien, recopilando los fundamentos normativos del concepto, la Ley 1575 de 2012, artículo 3, inciso 4, establece que los municipios pueden cumplir la obligación de prestar el servicio esencial de gestión del riesgo contra incendios mediante: i) la constitución de cuerpos de bomberos oficiales o </w:t>
      </w:r>
      <w:proofErr w:type="spellStart"/>
      <w:r w:rsidRPr="380AEBF8">
        <w:rPr>
          <w:rFonts w:ascii="Verdana" w:eastAsia="Calibri" w:hAnsi="Verdana" w:cs="Arial"/>
          <w:sz w:val="20"/>
          <w:szCs w:val="20"/>
          <w:lang w:val="es-ES"/>
        </w:rPr>
        <w:t>ii</w:t>
      </w:r>
      <w:proofErr w:type="spellEnd"/>
      <w:r w:rsidRPr="380AEBF8">
        <w:rPr>
          <w:rFonts w:ascii="Verdana" w:eastAsia="Calibri" w:hAnsi="Verdana" w:cs="Arial"/>
          <w:sz w:val="20"/>
          <w:szCs w:val="20"/>
          <w:lang w:val="es-ES"/>
        </w:rPr>
        <w:t xml:space="preserve">) la celebración de contratos y/o convenios con los cuerpos de bomberos voluntarios. </w:t>
      </w:r>
    </w:p>
    <w:p w14:paraId="515D4994" w14:textId="77777777" w:rsidR="002D45CF" w:rsidRPr="008806B0" w:rsidRDefault="002D45CF" w:rsidP="002D45CF">
      <w:pPr>
        <w:spacing w:after="0" w:line="240" w:lineRule="auto"/>
        <w:ind w:left="709" w:right="709"/>
        <w:jc w:val="both"/>
        <w:rPr>
          <w:rFonts w:ascii="Verdana" w:eastAsia="Calibri" w:hAnsi="Verdana" w:cs="Arial"/>
          <w:sz w:val="20"/>
          <w:szCs w:val="20"/>
          <w:lang w:val="es-ES_tradnl"/>
        </w:rPr>
      </w:pPr>
      <w:r w:rsidRPr="008806B0">
        <w:rPr>
          <w:rFonts w:ascii="Verdana" w:eastAsia="Calibri" w:hAnsi="Verdana" w:cs="Arial"/>
          <w:sz w:val="20"/>
          <w:szCs w:val="20"/>
          <w:lang w:val="es-ES_tradnl"/>
        </w:rPr>
        <w:t>[…]</w:t>
      </w:r>
    </w:p>
    <w:p w14:paraId="02DC88DD" w14:textId="77777777" w:rsidR="002D45CF" w:rsidRDefault="002D45CF" w:rsidP="002D45CF">
      <w:pPr>
        <w:spacing w:after="0" w:line="240" w:lineRule="auto"/>
        <w:ind w:left="709" w:right="709"/>
        <w:jc w:val="both"/>
        <w:rPr>
          <w:rFonts w:ascii="Verdana" w:hAnsi="Verdana" w:cs="Arial"/>
          <w:i/>
          <w:iCs/>
          <w:sz w:val="20"/>
          <w:szCs w:val="20"/>
        </w:rPr>
      </w:pPr>
      <w:r w:rsidRPr="008806B0">
        <w:rPr>
          <w:rFonts w:ascii="Verdana" w:eastAsia="Calibri" w:hAnsi="Verdana" w:cs="Arial"/>
          <w:sz w:val="20"/>
          <w:szCs w:val="20"/>
          <w:lang w:val="es-ES_tradnl"/>
        </w:rPr>
        <w:t>El texto de la norma no obliga a contratar con los bomberos voluntario, sino que faculta al municipio a hacerlo cuando no cuente con un cuerpo de bomberos oficiales, es más, la norma dispone que los municipios de menos de veinte mil habitantes cuentan con apoyo técnico del departamento, quien podrá asesorarlos con el fin de escoger la opción que mejor convenga entre constituir un cuerpo de bomberos oficial o contratar con uno voluntario</w:t>
      </w:r>
      <w:r w:rsidRPr="008806B0">
        <w:rPr>
          <w:rFonts w:ascii="Verdana" w:hAnsi="Verdana" w:cs="Arial"/>
          <w:i/>
          <w:iCs/>
          <w:sz w:val="20"/>
          <w:szCs w:val="20"/>
        </w:rPr>
        <w:t>.</w:t>
      </w:r>
    </w:p>
    <w:p w14:paraId="617B4573" w14:textId="77777777" w:rsidR="002D45CF" w:rsidRPr="00F70638" w:rsidRDefault="002D45CF" w:rsidP="002D45CF">
      <w:pPr>
        <w:spacing w:after="0" w:line="240" w:lineRule="auto"/>
        <w:ind w:left="709" w:right="709"/>
        <w:jc w:val="both"/>
        <w:rPr>
          <w:rFonts w:ascii="Verdana" w:hAnsi="Verdana" w:cs="Arial"/>
          <w:i/>
          <w:iCs/>
          <w:sz w:val="18"/>
          <w:szCs w:val="18"/>
        </w:rPr>
      </w:pPr>
    </w:p>
    <w:p w14:paraId="51242B57" w14:textId="77777777" w:rsidR="002D45CF" w:rsidRPr="00F70638" w:rsidRDefault="002D45CF" w:rsidP="002D45CF">
      <w:pPr>
        <w:spacing w:after="0" w:line="240" w:lineRule="auto"/>
        <w:ind w:left="709" w:right="709"/>
        <w:jc w:val="both"/>
        <w:rPr>
          <w:rFonts w:ascii="Verdana" w:eastAsia="Times New Roman" w:hAnsi="Verdana" w:cs="Arial"/>
          <w:bCs/>
          <w:sz w:val="20"/>
          <w:szCs w:val="20"/>
          <w:lang w:eastAsia="es-CO"/>
        </w:rPr>
      </w:pPr>
      <w:r w:rsidRPr="00F70638">
        <w:rPr>
          <w:rFonts w:ascii="Verdana" w:eastAsia="Times New Roman" w:hAnsi="Verdana" w:cs="Arial"/>
          <w:bCs/>
          <w:sz w:val="20"/>
          <w:szCs w:val="20"/>
          <w:lang w:eastAsia="es-CO"/>
        </w:rPr>
        <w:t xml:space="preserve">Los elementos del contrato o convenio dados por la ley 1575 de 2012 son: i) el objeto contractual: la gestión integral del riesgo contra incendio, los preparativos y atención de rescates en todas sus modalidades y la atención de incidentes con materiales peligrosos, actividades que están a cargo de instituciones bomberiles; y </w:t>
      </w:r>
      <w:proofErr w:type="spellStart"/>
      <w:r w:rsidRPr="00F70638">
        <w:rPr>
          <w:rFonts w:ascii="Verdana" w:eastAsia="Times New Roman" w:hAnsi="Verdana" w:cs="Arial"/>
          <w:bCs/>
          <w:sz w:val="20"/>
          <w:szCs w:val="20"/>
          <w:lang w:eastAsia="es-CO"/>
        </w:rPr>
        <w:t>ii</w:t>
      </w:r>
      <w:proofErr w:type="spellEnd"/>
      <w:r w:rsidRPr="00F70638">
        <w:rPr>
          <w:rFonts w:ascii="Verdana" w:eastAsia="Times New Roman" w:hAnsi="Verdana" w:cs="Arial"/>
          <w:bCs/>
          <w:sz w:val="20"/>
          <w:szCs w:val="20"/>
          <w:lang w:eastAsia="es-CO"/>
        </w:rPr>
        <w:t>) las partes: un municipio, a cuyo cargo esta la prestación del servicio público esencial de atención integral del riesgo de incendio, y un cuerpo de bomberos voluntarios reconocido, que sea capaz de prestar el servicio y cumpla con la regulación propia de su actividad</w:t>
      </w:r>
      <w:r>
        <w:rPr>
          <w:rFonts w:ascii="Verdana" w:eastAsia="Times New Roman" w:hAnsi="Verdana" w:cs="Arial"/>
          <w:bCs/>
          <w:sz w:val="20"/>
          <w:szCs w:val="20"/>
          <w:lang w:eastAsia="es-CO"/>
        </w:rPr>
        <w:t>”</w:t>
      </w:r>
      <w:r w:rsidRPr="00F70638">
        <w:rPr>
          <w:rFonts w:ascii="Verdana" w:eastAsia="Times New Roman" w:hAnsi="Verdana" w:cs="Arial"/>
          <w:bCs/>
          <w:sz w:val="20"/>
          <w:szCs w:val="20"/>
          <w:vertAlign w:val="superscript"/>
          <w:lang w:eastAsia="es-CO"/>
        </w:rPr>
        <w:footnoteReference w:id="29"/>
      </w:r>
      <w:r w:rsidRPr="00F70638">
        <w:rPr>
          <w:rFonts w:ascii="Verdana" w:eastAsia="Times New Roman" w:hAnsi="Verdana" w:cs="Arial"/>
          <w:bCs/>
          <w:sz w:val="20"/>
          <w:szCs w:val="20"/>
          <w:lang w:eastAsia="es-CO"/>
        </w:rPr>
        <w:t xml:space="preserve">. </w:t>
      </w:r>
    </w:p>
    <w:p w14:paraId="739F7BEC" w14:textId="77777777" w:rsidR="002D45CF" w:rsidRPr="008806B0" w:rsidRDefault="002D45CF" w:rsidP="002D45CF">
      <w:pPr>
        <w:spacing w:after="0" w:line="240" w:lineRule="auto"/>
        <w:ind w:left="709" w:right="709"/>
        <w:jc w:val="both"/>
        <w:rPr>
          <w:rFonts w:ascii="Verdana" w:eastAsia="Times New Roman" w:hAnsi="Verdana" w:cs="Arial"/>
          <w:bCs/>
          <w:lang w:eastAsia="es-CO"/>
        </w:rPr>
      </w:pPr>
    </w:p>
    <w:p w14:paraId="48620C56" w14:textId="77777777" w:rsidR="002D45CF" w:rsidRDefault="002D45CF" w:rsidP="002D45CF">
      <w:pPr>
        <w:tabs>
          <w:tab w:val="left" w:pos="426"/>
        </w:tabs>
        <w:spacing w:after="120" w:line="276" w:lineRule="auto"/>
        <w:ind w:firstLine="709"/>
        <w:jc w:val="both"/>
        <w:rPr>
          <w:rFonts w:ascii="Verdana" w:eastAsia="Times New Roman" w:hAnsi="Verdana" w:cs="Arial"/>
          <w:bCs/>
          <w:lang w:eastAsia="es-CO"/>
        </w:rPr>
      </w:pPr>
      <w:r w:rsidRPr="008806B0">
        <w:rPr>
          <w:rFonts w:ascii="Verdana" w:eastAsia="Times New Roman" w:hAnsi="Verdana" w:cs="Arial"/>
          <w:bCs/>
          <w:lang w:eastAsia="es-CO"/>
        </w:rPr>
        <w:t xml:space="preserve">Respecto al proceso de selección para la celebración de un contrato con el cuerpo de bomberos voluntarios, como se señaló en el concepto </w:t>
      </w:r>
      <w:r w:rsidRPr="008806B0">
        <w:rPr>
          <w:rFonts w:ascii="Verdana" w:eastAsia="Times New Roman" w:hAnsi="Verdana" w:cs="Arial"/>
          <w:bCs/>
          <w:lang w:eastAsia="es-CO"/>
        </w:rPr>
        <w:lastRenderedPageBreak/>
        <w:t>4201913000006918 –radicado de salida 2201913000008606– del 19 de noviembre de 2019, el artículo 9 de la Ley 322 de 1996 disponía que los distritos, municipios y territorios indígenas debían contratar directamente con los Cuerpos de Bomberos Voluntarios, cuando no contaran con un cuerpo oficial</w:t>
      </w:r>
      <w:r w:rsidRPr="008806B0">
        <w:rPr>
          <w:rStyle w:val="Refdenotaalpie"/>
          <w:rFonts w:ascii="Verdana" w:eastAsia="Times New Roman" w:hAnsi="Verdana" w:cs="Arial"/>
          <w:bCs/>
          <w:lang w:eastAsia="es-CO"/>
        </w:rPr>
        <w:footnoteReference w:id="30"/>
      </w:r>
      <w:r w:rsidRPr="008806B0">
        <w:rPr>
          <w:rFonts w:ascii="Verdana" w:eastAsia="Times New Roman" w:hAnsi="Verdana" w:cs="Arial"/>
          <w:bCs/>
          <w:lang w:eastAsia="es-CO"/>
        </w:rPr>
        <w:t xml:space="preserve">. No obstante, dicha norma fue derogada con la expedición de la Ley 1575 de 2012, la cual no establece una modalidad de selección específica para la elección del contratista, de lo cual se concluye que quedó derogada la posibilidad de que los municipios contrataran directamente el servicio bomberil con fundamento </w:t>
      </w:r>
      <w:r w:rsidRPr="00122A17">
        <w:rPr>
          <w:rFonts w:ascii="Verdana" w:eastAsia="Times New Roman" w:hAnsi="Verdana" w:cs="Arial"/>
          <w:bCs/>
          <w:lang w:eastAsia="es-CO"/>
        </w:rPr>
        <w:t xml:space="preserve">en aquella causal. </w:t>
      </w:r>
    </w:p>
    <w:p w14:paraId="748025F7" w14:textId="77777777" w:rsidR="002D45CF" w:rsidRDefault="002D45CF" w:rsidP="002D45CF">
      <w:pPr>
        <w:tabs>
          <w:tab w:val="left" w:pos="426"/>
        </w:tabs>
        <w:spacing w:after="120" w:line="276" w:lineRule="auto"/>
        <w:ind w:firstLine="709"/>
        <w:jc w:val="both"/>
        <w:rPr>
          <w:rFonts w:ascii="Verdana" w:eastAsia="Times New Roman" w:hAnsi="Verdana" w:cs="Arial"/>
          <w:bCs/>
          <w:lang w:eastAsia="es-CO"/>
        </w:rPr>
      </w:pPr>
      <w:r w:rsidRPr="00122A17">
        <w:rPr>
          <w:rFonts w:ascii="Verdana" w:eastAsia="Times New Roman" w:hAnsi="Verdana" w:cs="Arial"/>
          <w:bCs/>
          <w:lang w:eastAsia="es-CO"/>
        </w:rPr>
        <w:t xml:space="preserve">En efecto, consultada la exposición de motivos de la Ley 1575 de 2012 no se encuentra una justificación para dicha modificación, ni tampoco se encuentran los motivos que condujeron a que el legislador no determinara cuál es la modalidad de selección para la contratación con cuerpos de bomberos voluntarios. </w:t>
      </w:r>
      <w:r>
        <w:rPr>
          <w:rFonts w:ascii="Verdana" w:eastAsia="Times New Roman" w:hAnsi="Verdana" w:cs="Arial"/>
          <w:bCs/>
          <w:lang w:eastAsia="es-CO"/>
        </w:rPr>
        <w:t>En ese orden</w:t>
      </w:r>
      <w:r w:rsidRPr="00122A17">
        <w:rPr>
          <w:rFonts w:ascii="Verdana" w:eastAsia="Times New Roman" w:hAnsi="Verdana" w:cs="Arial"/>
          <w:bCs/>
          <w:lang w:eastAsia="es-CO"/>
        </w:rPr>
        <w:t xml:space="preserve">, dado que no existe una modalidad </w:t>
      </w:r>
      <w:r>
        <w:rPr>
          <w:rFonts w:ascii="Verdana" w:eastAsia="Times New Roman" w:hAnsi="Verdana" w:cs="Arial"/>
          <w:bCs/>
          <w:lang w:eastAsia="es-CO"/>
        </w:rPr>
        <w:t xml:space="preserve">o causal especifica, para la celebración de </w:t>
      </w:r>
      <w:r w:rsidRPr="0076277C">
        <w:rPr>
          <w:rFonts w:ascii="Verdana" w:eastAsia="Times New Roman" w:hAnsi="Verdana" w:cs="Arial"/>
          <w:bCs/>
          <w:i/>
          <w:iCs/>
          <w:lang w:eastAsia="es-CO"/>
        </w:rPr>
        <w:t>contratos</w:t>
      </w:r>
      <w:r>
        <w:rPr>
          <w:rFonts w:ascii="Verdana" w:eastAsia="Times New Roman" w:hAnsi="Verdana" w:cs="Arial"/>
          <w:bCs/>
          <w:lang w:eastAsia="es-CO"/>
        </w:rPr>
        <w:t xml:space="preserve"> que tengan por objeto el desarrollo de actividades relacionadas con el servicio público bomberil, las Entidades Estatales sujetas al EGCAP deben acudir a</w:t>
      </w:r>
      <w:r w:rsidRPr="00122A17">
        <w:rPr>
          <w:rFonts w:ascii="Verdana" w:eastAsia="Times New Roman" w:hAnsi="Verdana" w:cs="Arial"/>
          <w:bCs/>
          <w:lang w:eastAsia="es-CO"/>
        </w:rPr>
        <w:t xml:space="preserve"> </w:t>
      </w:r>
      <w:r>
        <w:rPr>
          <w:rFonts w:ascii="Verdana" w:eastAsia="Times New Roman" w:hAnsi="Verdana" w:cs="Arial"/>
          <w:bCs/>
          <w:lang w:eastAsia="es-CO"/>
        </w:rPr>
        <w:t xml:space="preserve">las </w:t>
      </w:r>
      <w:r w:rsidRPr="00122A17">
        <w:rPr>
          <w:rFonts w:ascii="Verdana" w:eastAsia="Times New Roman" w:hAnsi="Verdana" w:cs="Arial"/>
          <w:bCs/>
          <w:lang w:eastAsia="es-CO"/>
        </w:rPr>
        <w:t xml:space="preserve">modalidades de selección </w:t>
      </w:r>
      <w:r>
        <w:rPr>
          <w:rFonts w:ascii="Verdana" w:eastAsia="Times New Roman" w:hAnsi="Verdana" w:cs="Arial"/>
          <w:bCs/>
          <w:lang w:eastAsia="es-CO"/>
        </w:rPr>
        <w:t>previstas en el artículo 2 de la Ley 1150 de 2007, –</w:t>
      </w:r>
      <w:r w:rsidRPr="00122A17">
        <w:rPr>
          <w:rFonts w:ascii="Verdana" w:eastAsia="Times New Roman" w:hAnsi="Verdana" w:cs="Arial"/>
          <w:bCs/>
          <w:lang w:eastAsia="es-CO"/>
        </w:rPr>
        <w:t>licitación pública, selección abreviada, concurso de méritos, mínima cuantía o contratación directa</w:t>
      </w:r>
      <w:r>
        <w:rPr>
          <w:rFonts w:ascii="Verdana" w:eastAsia="Times New Roman" w:hAnsi="Verdana" w:cs="Arial"/>
          <w:bCs/>
          <w:lang w:eastAsia="es-CO"/>
        </w:rPr>
        <w:t>–,</w:t>
      </w:r>
      <w:r w:rsidRPr="00122A17">
        <w:rPr>
          <w:rFonts w:ascii="Verdana" w:eastAsia="Times New Roman" w:hAnsi="Verdana" w:cs="Arial"/>
          <w:bCs/>
          <w:lang w:eastAsia="es-CO"/>
        </w:rPr>
        <w:t xml:space="preserve"> </w:t>
      </w:r>
      <w:r>
        <w:rPr>
          <w:rFonts w:ascii="Verdana" w:eastAsia="Times New Roman" w:hAnsi="Verdana" w:cs="Arial"/>
          <w:bCs/>
          <w:lang w:eastAsia="es-CO"/>
        </w:rPr>
        <w:t xml:space="preserve">siguiendo </w:t>
      </w:r>
      <w:r w:rsidRPr="00122A17">
        <w:rPr>
          <w:rFonts w:ascii="Verdana" w:eastAsia="Times New Roman" w:hAnsi="Verdana" w:cs="Arial"/>
          <w:bCs/>
          <w:lang w:eastAsia="es-CO"/>
        </w:rPr>
        <w:t xml:space="preserve">las reglas y causales que </w:t>
      </w:r>
      <w:r>
        <w:rPr>
          <w:rFonts w:ascii="Verdana" w:eastAsia="Times New Roman" w:hAnsi="Verdana" w:cs="Arial"/>
          <w:bCs/>
          <w:lang w:eastAsia="es-CO"/>
        </w:rPr>
        <w:t>dicha disposición</w:t>
      </w:r>
      <w:r w:rsidRPr="00122A17">
        <w:rPr>
          <w:rFonts w:ascii="Verdana" w:eastAsia="Times New Roman" w:hAnsi="Verdana" w:cs="Arial"/>
          <w:bCs/>
          <w:lang w:eastAsia="es-CO"/>
        </w:rPr>
        <w:t xml:space="preserve"> establece. </w:t>
      </w:r>
    </w:p>
    <w:p w14:paraId="733D760E" w14:textId="77777777" w:rsidR="002D45CF" w:rsidRDefault="002D45CF" w:rsidP="002D45CF">
      <w:pPr>
        <w:tabs>
          <w:tab w:val="left" w:pos="426"/>
        </w:tabs>
        <w:spacing w:after="120" w:line="276" w:lineRule="auto"/>
        <w:ind w:firstLine="709"/>
        <w:jc w:val="both"/>
        <w:rPr>
          <w:rFonts w:ascii="Verdana" w:eastAsia="Times New Roman" w:hAnsi="Verdana" w:cs="Arial"/>
          <w:bCs/>
          <w:lang w:eastAsia="es-CO"/>
        </w:rPr>
      </w:pPr>
      <w:r>
        <w:rPr>
          <w:rFonts w:ascii="Verdana" w:eastAsia="Times New Roman" w:hAnsi="Verdana" w:cs="Arial"/>
          <w:bCs/>
          <w:lang w:eastAsia="es-CO"/>
        </w:rPr>
        <w:t xml:space="preserve">Sin embargo, en atención a la naturaleza jurídica de los </w:t>
      </w:r>
      <w:r w:rsidRPr="0076277C">
        <w:rPr>
          <w:rFonts w:ascii="Verdana" w:eastAsia="Times New Roman" w:hAnsi="Verdana" w:cs="Arial"/>
          <w:bCs/>
          <w:i/>
          <w:iCs/>
          <w:lang w:eastAsia="es-CO"/>
        </w:rPr>
        <w:t>Cuerpos de Bomberos Voluntarios</w:t>
      </w:r>
      <w:r w:rsidRPr="0076277C">
        <w:rPr>
          <w:rFonts w:ascii="Verdana" w:eastAsia="Times New Roman" w:hAnsi="Verdana" w:cs="Arial"/>
          <w:bCs/>
          <w:lang w:eastAsia="es-CO"/>
        </w:rPr>
        <w:t>–entidades sin ánimo de lucro–</w:t>
      </w:r>
      <w:r>
        <w:rPr>
          <w:rFonts w:ascii="Verdana" w:eastAsia="Times New Roman" w:hAnsi="Verdana" w:cs="Arial"/>
          <w:bCs/>
          <w:lang w:eastAsia="es-CO"/>
        </w:rPr>
        <w:t>, al interés general asociado a la prestación del servicio de gestión integral del riesgo de incendio y a la gratuidad que la ley impone respecto de algunas de las actividades desarrolladas por los bomberos</w:t>
      </w:r>
      <w:r>
        <w:rPr>
          <w:rStyle w:val="Refdenotaalpie"/>
          <w:rFonts w:ascii="Verdana" w:eastAsia="Times New Roman" w:hAnsi="Verdana" w:cs="Arial"/>
          <w:bCs/>
          <w:lang w:eastAsia="es-CO"/>
        </w:rPr>
        <w:footnoteReference w:id="31"/>
      </w:r>
      <w:r>
        <w:rPr>
          <w:rFonts w:ascii="Verdana" w:eastAsia="Times New Roman" w:hAnsi="Verdana" w:cs="Arial"/>
          <w:bCs/>
          <w:lang w:eastAsia="es-CO"/>
        </w:rPr>
        <w:t>, también es posible que, para efectos de cumplir con la obligación dispuesta en el inciso cuarto del artículo 3 de la Ley 1575 de 2012 se desarrollen convenios de asociación de acuerdo con lo establecido en el artículo 96 de Ley 489 de 1998, cuya selección reglamenta el artículo 5 del Decreto 092 de 2017.</w:t>
      </w:r>
    </w:p>
    <w:p w14:paraId="17E6E4B5" w14:textId="77777777" w:rsidR="002D45CF" w:rsidRDefault="002D45CF" w:rsidP="002D45CF">
      <w:pPr>
        <w:tabs>
          <w:tab w:val="left" w:pos="426"/>
        </w:tabs>
        <w:spacing w:after="120" w:line="276" w:lineRule="auto"/>
        <w:jc w:val="both"/>
        <w:rPr>
          <w:rFonts w:ascii="Verdana" w:eastAsia="Times New Roman" w:hAnsi="Verdana" w:cs="Arial"/>
          <w:bCs/>
          <w:lang w:eastAsia="es-CO"/>
        </w:rPr>
      </w:pPr>
      <w:r>
        <w:rPr>
          <w:rFonts w:ascii="Verdana" w:eastAsia="Times New Roman" w:hAnsi="Verdana" w:cs="Arial"/>
          <w:bCs/>
          <w:lang w:eastAsia="es-CO"/>
        </w:rPr>
        <w:lastRenderedPageBreak/>
        <w:t xml:space="preserve">v. </w:t>
      </w:r>
      <w:r w:rsidRPr="00122A17">
        <w:rPr>
          <w:rFonts w:ascii="Verdana" w:eastAsia="Times New Roman" w:hAnsi="Verdana" w:cs="Arial"/>
          <w:bCs/>
          <w:lang w:eastAsia="es-CO"/>
        </w:rPr>
        <w:t xml:space="preserve">Teniendo en cuenta el análisis precedente, de cara a la aplicación de la Ley de Garantías Electorales, los municipios y distritos, durante el periodo de aplicación de la prohibición establecida en el artículo 33 de la Ley 996 de 2005 podrán celebrar contratos y convenios con Cuerpos de Bomberos Voluntarios siempre que se realice un procedimiento competitivo, que permita la participación de pluralidad de oferentes. Por el contrario, no le será posible a un ente territorial celebrar contratos a través de una </w:t>
      </w:r>
      <w:r w:rsidRPr="0076277C">
        <w:rPr>
          <w:rFonts w:ascii="Verdana" w:eastAsia="Times New Roman" w:hAnsi="Verdana" w:cs="Arial"/>
          <w:i/>
          <w:lang w:eastAsia="es-CO"/>
        </w:rPr>
        <w:t>contratación directa</w:t>
      </w:r>
      <w:r w:rsidRPr="00122A17">
        <w:rPr>
          <w:rFonts w:ascii="Verdana" w:eastAsia="Times New Roman" w:hAnsi="Verdana" w:cs="Arial"/>
          <w:bCs/>
          <w:lang w:eastAsia="es-CO"/>
        </w:rPr>
        <w:t xml:space="preserve">, entendiendo esta como aquel sistema de selección de contratistas en el que no exista convocatoria pública, ni sea posible la participación de una pluralidad de oferentes, independientemente del régimen de contratación que se aplique. </w:t>
      </w:r>
      <w:r>
        <w:rPr>
          <w:rFonts w:ascii="Verdana" w:eastAsia="Times New Roman" w:hAnsi="Verdana" w:cs="Arial"/>
          <w:bCs/>
          <w:lang w:eastAsia="es-CO"/>
        </w:rPr>
        <w:t xml:space="preserve">En el caso de entidades sometidas al EGCAP, como los municipios y distritos, tal restricción implica la imposibilidad de acudir a las causales de contratación directa previstas en el artículo 2, numeral 4 de la Ley 1150 de 2007, ni al supuesto de contratación directa regulado en el artículo 5 del Decreto 092 de 2017, salvo que se configure alguna de las excepciones previstas en el inciso segundo del artículo 33 de la Ley 996 de 2005. </w:t>
      </w:r>
    </w:p>
    <w:p w14:paraId="0FE0C3B5" w14:textId="77777777" w:rsidR="002D45CF" w:rsidRPr="00122A17" w:rsidRDefault="002D45CF" w:rsidP="002D45CF">
      <w:pPr>
        <w:tabs>
          <w:tab w:val="left" w:pos="426"/>
        </w:tabs>
        <w:spacing w:after="120" w:line="276" w:lineRule="auto"/>
        <w:ind w:firstLine="709"/>
        <w:jc w:val="both"/>
        <w:rPr>
          <w:rFonts w:ascii="Verdana" w:eastAsia="Times New Roman" w:hAnsi="Verdana" w:cs="Arial"/>
          <w:bCs/>
          <w:lang w:eastAsia="es-CO"/>
        </w:rPr>
      </w:pPr>
      <w:r>
        <w:rPr>
          <w:rFonts w:ascii="Verdana" w:eastAsia="Times New Roman" w:hAnsi="Verdana" w:cs="Arial"/>
          <w:bCs/>
          <w:lang w:eastAsia="es-CO"/>
        </w:rPr>
        <w:t xml:space="preserve"> Con todo, se debe advertir que, si bien el artículo 2 de la Ley 1575 de 2012 establece que</w:t>
      </w:r>
      <w:r w:rsidRPr="00362463">
        <w:rPr>
          <w:rFonts w:ascii="Verdana" w:eastAsia="Times New Roman" w:hAnsi="Verdana" w:cs="Arial"/>
          <w:bCs/>
          <w:lang w:eastAsia="es-CO"/>
        </w:rPr>
        <w:t xml:space="preserve"> </w:t>
      </w:r>
      <w:r>
        <w:rPr>
          <w:rFonts w:ascii="Verdana" w:eastAsia="Times New Roman" w:hAnsi="Verdana" w:cs="Arial"/>
          <w:bCs/>
          <w:lang w:eastAsia="es-CO"/>
        </w:rPr>
        <w:t>l</w:t>
      </w:r>
      <w:r w:rsidRPr="00362463">
        <w:rPr>
          <w:rFonts w:ascii="Verdana" w:eastAsia="Times New Roman" w:hAnsi="Verdana" w:cs="Arial"/>
          <w:bCs/>
          <w:lang w:eastAsia="es-CO"/>
        </w:rPr>
        <w:t>a gestión integral del riesgo contra incendio</w:t>
      </w:r>
      <w:r>
        <w:rPr>
          <w:rFonts w:ascii="Verdana" w:eastAsia="Times New Roman" w:hAnsi="Verdana" w:cs="Arial"/>
          <w:bCs/>
          <w:lang w:eastAsia="es-CO"/>
        </w:rPr>
        <w:t>s</w:t>
      </w:r>
      <w:r w:rsidRPr="00362463">
        <w:rPr>
          <w:rFonts w:ascii="Verdana" w:eastAsia="Times New Roman" w:hAnsi="Verdana" w:cs="Arial"/>
          <w:bCs/>
          <w:lang w:eastAsia="es-CO"/>
        </w:rPr>
        <w:t>, los preparativos y atención de rescates en todas sus modalidades y la atención de incidentes con materiales peligrosos</w:t>
      </w:r>
      <w:r>
        <w:rPr>
          <w:rFonts w:ascii="Verdana" w:eastAsia="Times New Roman" w:hAnsi="Verdana" w:cs="Arial"/>
          <w:bCs/>
          <w:lang w:eastAsia="es-CO"/>
        </w:rPr>
        <w:t xml:space="preserve"> </w:t>
      </w:r>
      <w:r w:rsidRPr="00362463">
        <w:rPr>
          <w:rFonts w:ascii="Verdana" w:eastAsia="Times New Roman" w:hAnsi="Verdana" w:cs="Arial"/>
          <w:bCs/>
          <w:lang w:eastAsia="es-CO"/>
        </w:rPr>
        <w:t>constituyen un servicio público esencial</w:t>
      </w:r>
      <w:r>
        <w:rPr>
          <w:rFonts w:ascii="Verdana" w:eastAsia="Times New Roman" w:hAnsi="Verdana" w:cs="Arial"/>
          <w:bCs/>
          <w:lang w:eastAsia="es-CO"/>
        </w:rPr>
        <w:t xml:space="preserve">, dicha calidad, </w:t>
      </w:r>
      <w:r w:rsidRPr="0076277C">
        <w:rPr>
          <w:rFonts w:ascii="Verdana" w:eastAsia="Times New Roman" w:hAnsi="Verdana" w:cs="Arial"/>
          <w:bCs/>
          <w:i/>
          <w:iCs/>
          <w:lang w:eastAsia="es-CO"/>
        </w:rPr>
        <w:t>per se</w:t>
      </w:r>
      <w:r>
        <w:rPr>
          <w:rFonts w:ascii="Verdana" w:eastAsia="Times New Roman" w:hAnsi="Verdana" w:cs="Arial"/>
          <w:bCs/>
          <w:i/>
          <w:iCs/>
          <w:lang w:eastAsia="es-CO"/>
        </w:rPr>
        <w:t>,</w:t>
      </w:r>
      <w:r>
        <w:rPr>
          <w:rFonts w:ascii="Verdana" w:eastAsia="Times New Roman" w:hAnsi="Verdana" w:cs="Arial"/>
          <w:bCs/>
          <w:lang w:eastAsia="es-CO"/>
        </w:rPr>
        <w:t xml:space="preserve"> no implica que los contratos requeridos para su prestación estén sustraídos de la restricción del artículo 33 de la Ley 996 de 2005. En ese orden, si en vigencia de la restricción del artículo 33 de la Ley 996 de 2005, para dar cumplimiento a la obligación prevista en el inciso cuarto del artículo 3 de la Ley 1575 de 2012, se pretende suscribir un contrato o convenio de manera directa, además de la causal legal que sustenta dicha posibilidad, es necesario sustentar de qué manera el objeto del contrato configura alguna de las referidas excepciones.  </w:t>
      </w:r>
      <w:r w:rsidRPr="00362463">
        <w:rPr>
          <w:rFonts w:ascii="Verdana" w:eastAsia="Times New Roman" w:hAnsi="Verdana" w:cs="Arial"/>
          <w:bCs/>
          <w:lang w:eastAsia="es-CO"/>
        </w:rPr>
        <w:t xml:space="preserve"> </w:t>
      </w:r>
    </w:p>
    <w:p w14:paraId="3CC0A2F6" w14:textId="77777777" w:rsidR="002D45CF" w:rsidRDefault="002D45CF" w:rsidP="002D45CF">
      <w:pPr>
        <w:tabs>
          <w:tab w:val="left" w:pos="426"/>
        </w:tabs>
        <w:spacing w:after="120" w:line="276" w:lineRule="auto"/>
        <w:ind w:firstLine="709"/>
        <w:jc w:val="both"/>
        <w:rPr>
          <w:rFonts w:ascii="Verdana" w:eastAsia="Times New Roman" w:hAnsi="Verdana" w:cs="Arial"/>
          <w:bCs/>
          <w:lang w:eastAsia="es-CO"/>
        </w:rPr>
      </w:pPr>
      <w:r>
        <w:rPr>
          <w:rFonts w:ascii="Verdana" w:eastAsia="Times New Roman" w:hAnsi="Verdana" w:cs="Arial"/>
          <w:bCs/>
          <w:lang w:eastAsia="es-CO"/>
        </w:rPr>
        <w:t xml:space="preserve">Para el efecto, puede resultar relevante la excepción establecida por dicha norma respecto de los contratos que deban celebrarse para la atención de situaciones de emergencia y/o </w:t>
      </w:r>
      <w:r w:rsidRPr="00B17DAE">
        <w:rPr>
          <w:rFonts w:ascii="Verdana" w:eastAsia="Times New Roman" w:hAnsi="Verdana" w:cs="Arial"/>
          <w:bCs/>
          <w:lang w:eastAsia="es-CO"/>
        </w:rPr>
        <w:t>desastre</w:t>
      </w:r>
      <w:r>
        <w:rPr>
          <w:rFonts w:ascii="Verdana" w:eastAsia="Times New Roman" w:hAnsi="Verdana" w:cs="Arial"/>
          <w:bCs/>
          <w:lang w:eastAsia="es-CO"/>
        </w:rPr>
        <w:t xml:space="preserve">, de conformidad con lo establecido en las leyes 1523 y 1575 de 2012. Al respecto, debe tenerse en cuenta que, actividades como la </w:t>
      </w:r>
      <w:r w:rsidRPr="00C17DEF">
        <w:rPr>
          <w:rFonts w:ascii="Verdana" w:eastAsia="Times New Roman" w:hAnsi="Verdana" w:cs="Arial"/>
          <w:bCs/>
          <w:i/>
          <w:iCs/>
          <w:lang w:eastAsia="es-CO"/>
        </w:rPr>
        <w:t xml:space="preserve">atención </w:t>
      </w:r>
      <w:r w:rsidRPr="0076277C">
        <w:rPr>
          <w:rFonts w:ascii="Verdana" w:eastAsia="Times New Roman" w:hAnsi="Verdana" w:cs="Arial"/>
          <w:bCs/>
          <w:i/>
          <w:iCs/>
          <w:lang w:eastAsia="es-CO"/>
        </w:rPr>
        <w:t>de incidentes relacionados con incendios</w:t>
      </w:r>
      <w:r>
        <w:rPr>
          <w:rFonts w:ascii="Verdana" w:eastAsia="Times New Roman" w:hAnsi="Verdana" w:cs="Arial"/>
          <w:bCs/>
          <w:lang w:eastAsia="es-CO"/>
        </w:rPr>
        <w:t xml:space="preserve">, que de conformidad con el artículo 22 de la Ley 1575 de 2012, desarrollan los cuerpos de bomberos, están contempladas dentro de las actividades asociadas a la </w:t>
      </w:r>
      <w:r w:rsidRPr="0076277C">
        <w:rPr>
          <w:rFonts w:ascii="Verdana" w:eastAsia="Times New Roman" w:hAnsi="Verdana" w:cs="Arial"/>
          <w:bCs/>
          <w:i/>
          <w:iCs/>
          <w:lang w:eastAsia="es-CO"/>
        </w:rPr>
        <w:t>Preparación</w:t>
      </w:r>
      <w:r>
        <w:rPr>
          <w:rFonts w:ascii="Verdana" w:eastAsia="Times New Roman" w:hAnsi="Verdana" w:cs="Arial"/>
          <w:bCs/>
          <w:lang w:eastAsia="es-CO"/>
        </w:rPr>
        <w:t xml:space="preserve"> y </w:t>
      </w:r>
      <w:r w:rsidRPr="0076277C">
        <w:rPr>
          <w:rFonts w:ascii="Verdana" w:eastAsia="Times New Roman" w:hAnsi="Verdana" w:cs="Arial"/>
          <w:bCs/>
          <w:i/>
          <w:iCs/>
          <w:lang w:eastAsia="es-CO"/>
        </w:rPr>
        <w:t>Respuesta</w:t>
      </w:r>
      <w:r>
        <w:rPr>
          <w:rFonts w:ascii="Verdana" w:eastAsia="Times New Roman" w:hAnsi="Verdana" w:cs="Arial"/>
          <w:bCs/>
          <w:i/>
          <w:iCs/>
          <w:lang w:eastAsia="es-CO"/>
        </w:rPr>
        <w:t xml:space="preserve">, </w:t>
      </w:r>
      <w:r>
        <w:rPr>
          <w:rFonts w:ascii="Verdana" w:eastAsia="Times New Roman" w:hAnsi="Verdana" w:cs="Arial"/>
          <w:bCs/>
          <w:lang w:eastAsia="es-CO"/>
        </w:rPr>
        <w:t xml:space="preserve">reguladas por la Ley 1523 de 2012 en el marco del </w:t>
      </w:r>
      <w:r w:rsidRPr="000A0D5C">
        <w:rPr>
          <w:rFonts w:ascii="Verdana" w:eastAsia="Times New Roman" w:hAnsi="Verdana" w:cs="Arial"/>
          <w:bCs/>
          <w:lang w:eastAsia="es-CO"/>
        </w:rPr>
        <w:lastRenderedPageBreak/>
        <w:t>Sistema Nacional de Gestión del Riesgo de Desastres</w:t>
      </w:r>
      <w:r>
        <w:rPr>
          <w:rFonts w:ascii="Verdana" w:eastAsia="Times New Roman" w:hAnsi="Verdana" w:cs="Arial"/>
          <w:bCs/>
          <w:lang w:eastAsia="es-CO"/>
        </w:rPr>
        <w:t xml:space="preserve"> y la </w:t>
      </w:r>
      <w:r w:rsidRPr="00227715">
        <w:rPr>
          <w:rFonts w:ascii="Verdana" w:eastAsia="Times New Roman" w:hAnsi="Verdana" w:cs="Arial"/>
          <w:bCs/>
          <w:lang w:eastAsia="es-CO"/>
        </w:rPr>
        <w:t>Estrategia Nacional para la Respuesta a Emergencias</w:t>
      </w:r>
      <w:r>
        <w:rPr>
          <w:rStyle w:val="Refdenotaalpie"/>
          <w:rFonts w:ascii="Verdana" w:eastAsia="Times New Roman" w:hAnsi="Verdana" w:cs="Arial"/>
          <w:bCs/>
          <w:lang w:eastAsia="es-CO"/>
        </w:rPr>
        <w:footnoteReference w:id="32"/>
      </w:r>
      <w:r>
        <w:rPr>
          <w:rFonts w:ascii="Verdana" w:eastAsia="Times New Roman" w:hAnsi="Verdana" w:cs="Arial"/>
          <w:bCs/>
          <w:lang w:eastAsia="es-CO"/>
        </w:rPr>
        <w:t xml:space="preserve">. </w:t>
      </w:r>
    </w:p>
    <w:p w14:paraId="453897A6" w14:textId="77777777" w:rsidR="002D45CF" w:rsidRPr="008D5074" w:rsidRDefault="002D45CF" w:rsidP="002D45CF">
      <w:pPr>
        <w:tabs>
          <w:tab w:val="left" w:pos="426"/>
        </w:tabs>
        <w:spacing w:after="120" w:line="276" w:lineRule="auto"/>
        <w:ind w:firstLine="709"/>
        <w:jc w:val="both"/>
        <w:rPr>
          <w:rFonts w:ascii="Verdana" w:eastAsia="Times New Roman" w:hAnsi="Verdana" w:cs="Arial"/>
          <w:bCs/>
          <w:lang w:eastAsia="es-CO"/>
        </w:rPr>
      </w:pPr>
      <w:r>
        <w:rPr>
          <w:rFonts w:ascii="Verdana" w:eastAsia="Times New Roman" w:hAnsi="Verdana" w:cs="Arial"/>
          <w:bCs/>
          <w:lang w:eastAsia="es-CO"/>
        </w:rPr>
        <w:t xml:space="preserve"> Sin perjuicio de lo anterior, es importante considerar que, cuando la necesidad de celebrar el contrato no se presenta en función de la necesidad de atender una emergencia o desastre especifico efectivamente declarado, no resulta viable acudir a causales de contratación directa como la urgencia manifiesta y ni a lo regulado en el artículo 66 de la Ley 1523 de 2012, por lo que, en principio, es necesario que la entidad estatal desarrolle un proceso competitivo para escoger el prestador del servicio, supuesto en el cual, por sustracción de materia, no sería aplicable ninguna de las excepciones establecidas en el segundo inciso del artículo 33 de la Ley 996 de 2005. No obstante, en caso de que se cumplan los presupuestos para la aplicación de alguna de las otras causales de contratación directa previstas en las normas que rigen la contratación de la entidad estatal contratante, esta podrá valorar la posibilidad de celebrar directamente el contrato para la prestación del servicio establecido en el artículo 2 de la Ley  1575 de 2012 al amparo de la excepción </w:t>
      </w:r>
      <w:r>
        <w:rPr>
          <w:rFonts w:ascii="Verdana" w:eastAsia="Times New Roman" w:hAnsi="Verdana" w:cs="Arial"/>
          <w:bCs/>
          <w:lang w:eastAsia="es-CO"/>
        </w:rPr>
        <w:lastRenderedPageBreak/>
        <w:t xml:space="preserve">establecida relacionada con los contratos requeridos para la atención de emergencias y desastres, establecida en el inciso segundo del artículo 33 de la Ley 996 de 2005.    </w:t>
      </w:r>
    </w:p>
    <w:p w14:paraId="271EA4CE" w14:textId="77777777" w:rsidR="002D45CF" w:rsidRPr="00AC0049" w:rsidRDefault="002D45CF" w:rsidP="002D45CF">
      <w:pPr>
        <w:spacing w:after="120" w:line="276" w:lineRule="auto"/>
        <w:ind w:firstLine="708"/>
        <w:jc w:val="both"/>
        <w:rPr>
          <w:rFonts w:ascii="Verdana" w:eastAsia="Times New Roman" w:hAnsi="Verdana" w:cs="Times New Roman"/>
          <w:lang w:eastAsia="es-ES"/>
        </w:rPr>
      </w:pPr>
      <w:bookmarkStart w:id="14" w:name="_Hlk102983874"/>
      <w:bookmarkStart w:id="15" w:name="_Hlk102388095"/>
      <w:r w:rsidRPr="008806B0">
        <w:rPr>
          <w:rFonts w:ascii="Verdana" w:eastAsia="Calibri" w:hAnsi="Verdana" w:cs="Arial"/>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r w:rsidRPr="008806B0">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bookmarkEnd w:id="14"/>
      <w:bookmarkEnd w:id="15"/>
    </w:p>
    <w:p w14:paraId="5DA54315" w14:textId="77777777" w:rsidR="002D45CF" w:rsidRPr="00AC0049" w:rsidRDefault="002D45CF" w:rsidP="002D45CF">
      <w:pPr>
        <w:spacing w:after="0" w:line="276" w:lineRule="auto"/>
        <w:ind w:firstLine="709"/>
        <w:jc w:val="both"/>
        <w:rPr>
          <w:rFonts w:ascii="Verdana" w:eastAsia="Times New Roman" w:hAnsi="Verdana" w:cs="Times New Roman"/>
          <w:lang w:eastAsia="es-ES"/>
        </w:rPr>
      </w:pPr>
    </w:p>
    <w:p w14:paraId="280B6B13" w14:textId="77777777" w:rsidR="002D45CF" w:rsidRPr="00C124EB" w:rsidRDefault="002D45CF" w:rsidP="002D45CF">
      <w:pPr>
        <w:spacing w:after="120" w:line="276" w:lineRule="auto"/>
        <w:jc w:val="both"/>
        <w:rPr>
          <w:rFonts w:ascii="Verdana" w:eastAsia="Century Gothic" w:hAnsi="Verdana" w:cs="Century Gothic"/>
          <w:b/>
          <w:lang w:val="es-ES"/>
        </w:rPr>
      </w:pPr>
      <w:r w:rsidRPr="00AC0049">
        <w:rPr>
          <w:rFonts w:ascii="Verdana" w:eastAsia="Century Gothic" w:hAnsi="Verdana" w:cs="Century Gothic"/>
          <w:b/>
          <w:lang w:val="es-ES"/>
        </w:rPr>
        <w:t xml:space="preserve">4. </w:t>
      </w:r>
      <w:r w:rsidRPr="00C124EB">
        <w:rPr>
          <w:rFonts w:ascii="Verdana" w:eastAsia="Century Gothic" w:hAnsi="Verdana" w:cs="Century Gothic"/>
          <w:b/>
          <w:lang w:val="es-ES"/>
        </w:rPr>
        <w:t>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D45CF" w:rsidRPr="00C124EB" w14:paraId="42DB070C" w14:textId="77777777" w:rsidTr="008E545D">
        <w:trPr>
          <w:trHeight w:val="595"/>
        </w:trPr>
        <w:tc>
          <w:tcPr>
            <w:tcW w:w="8647" w:type="dxa"/>
          </w:tcPr>
          <w:p w14:paraId="591787B3" w14:textId="77777777" w:rsidR="002D45CF" w:rsidRPr="00C124EB" w:rsidRDefault="002D45CF" w:rsidP="002D45CF">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C124EB">
              <w:rPr>
                <w:rFonts w:ascii="Verdana" w:eastAsia="Arial MT" w:hAnsi="Verdana" w:cs="Arial"/>
                <w:bCs/>
                <w:lang w:eastAsia="es-ES" w:bidi="es-ES"/>
              </w:rPr>
              <w:t>Constitución Política de Colombia. Artículo 127.</w:t>
            </w:r>
          </w:p>
          <w:p w14:paraId="76BDC906" w14:textId="77777777" w:rsidR="002D45CF" w:rsidRPr="00C124EB" w:rsidRDefault="002D45CF" w:rsidP="002D45CF">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C124EB">
              <w:rPr>
                <w:rFonts w:ascii="Verdana" w:eastAsia="Arial MT" w:hAnsi="Verdana" w:cs="Arial"/>
                <w:bCs/>
                <w:lang w:eastAsia="es-ES" w:bidi="es-ES"/>
              </w:rPr>
              <w:t>Ley 996 de 2005. Artículos 33 y 38.</w:t>
            </w:r>
          </w:p>
          <w:p w14:paraId="69D5D3B4" w14:textId="77777777" w:rsidR="002D45CF" w:rsidRPr="00C124EB" w:rsidRDefault="002D45CF" w:rsidP="002D45CF">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C124EB">
              <w:rPr>
                <w:rFonts w:ascii="Verdana" w:eastAsia="Arial MT" w:hAnsi="Verdana" w:cs="Arial"/>
                <w:bCs/>
                <w:lang w:eastAsia="es-ES" w:bidi="es-ES"/>
              </w:rPr>
              <w:t>Ley 1150 de 2007. Artículo 2.</w:t>
            </w:r>
          </w:p>
          <w:p w14:paraId="4B278937" w14:textId="77777777" w:rsidR="002D45CF" w:rsidRPr="00C124EB" w:rsidRDefault="002D45CF" w:rsidP="002D45CF">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Pr>
                <w:rFonts w:ascii="Verdana" w:eastAsia="Arial MT" w:hAnsi="Verdana" w:cs="Arial"/>
                <w:bCs/>
                <w:lang w:eastAsia="es-ES" w:bidi="es-ES"/>
              </w:rPr>
              <w:t>Ley 1523 de 2012. Artículos 4, 35 y 66.</w:t>
            </w:r>
          </w:p>
          <w:p w14:paraId="46C7E13D" w14:textId="77777777" w:rsidR="002D45CF" w:rsidRPr="00C124EB" w:rsidRDefault="002D45CF" w:rsidP="002D45CF">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C124EB">
              <w:rPr>
                <w:rFonts w:ascii="Verdana" w:eastAsia="Arial MT" w:hAnsi="Verdana" w:cs="Arial"/>
                <w:bCs/>
                <w:lang w:eastAsia="es-ES" w:bidi="es-ES"/>
              </w:rPr>
              <w:t>Ley 1575 de 2012. Artículos 1</w:t>
            </w:r>
            <w:r>
              <w:rPr>
                <w:rFonts w:ascii="Verdana" w:eastAsia="Arial MT" w:hAnsi="Verdana" w:cs="Arial"/>
                <w:bCs/>
                <w:lang w:eastAsia="es-ES" w:bidi="es-ES"/>
              </w:rPr>
              <w:t>, 2, 3,</w:t>
            </w:r>
            <w:r w:rsidRPr="00C124EB">
              <w:rPr>
                <w:rFonts w:ascii="Verdana" w:eastAsia="Arial MT" w:hAnsi="Verdana" w:cs="Arial"/>
                <w:bCs/>
                <w:lang w:eastAsia="es-ES" w:bidi="es-ES"/>
              </w:rPr>
              <w:t xml:space="preserve"> y 18</w:t>
            </w:r>
            <w:r>
              <w:rPr>
                <w:rFonts w:ascii="Verdana" w:eastAsia="Arial MT" w:hAnsi="Verdana" w:cs="Arial"/>
                <w:bCs/>
                <w:lang w:eastAsia="es-ES" w:bidi="es-ES"/>
              </w:rPr>
              <w:t>, 22</w:t>
            </w:r>
            <w:r w:rsidRPr="00C124EB">
              <w:rPr>
                <w:rFonts w:ascii="Verdana" w:eastAsia="Arial MT" w:hAnsi="Verdana" w:cs="Arial"/>
                <w:bCs/>
                <w:lang w:eastAsia="es-ES" w:bidi="es-ES"/>
              </w:rPr>
              <w:t>.</w:t>
            </w:r>
          </w:p>
          <w:p w14:paraId="7D18CE54" w14:textId="77777777" w:rsidR="002D45CF" w:rsidRPr="00C124EB" w:rsidRDefault="002D45CF" w:rsidP="002D45CF">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C124EB">
              <w:rPr>
                <w:rFonts w:ascii="Verdana" w:eastAsia="Arial MT" w:hAnsi="Verdana" w:cs="Arial"/>
                <w:bCs/>
                <w:lang w:eastAsia="es-ES" w:bidi="es-ES"/>
              </w:rPr>
              <w:t>Corte Constitucional, Sentencia C- 1153 de 2005. M.P. Marco Gerardo Monroy Cabra.</w:t>
            </w:r>
          </w:p>
          <w:p w14:paraId="3BB05F4E" w14:textId="77777777" w:rsidR="002D45CF" w:rsidRPr="00C124EB" w:rsidRDefault="002D45CF" w:rsidP="002D45CF">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C124EB">
              <w:rPr>
                <w:rFonts w:ascii="Verdana" w:eastAsia="Arial MT" w:hAnsi="Verdana" w:cs="Arial"/>
                <w:bCs/>
                <w:lang w:eastAsia="es-ES" w:bidi="es-ES"/>
              </w:rPr>
              <w:t xml:space="preserve">Consejo de Estado, Sala de Consulta y Servicio Civil de fecha 24 de julio de 2013, radicado 2166, Consejero Ponente: Álvaro Namén Vargas.  </w:t>
            </w:r>
          </w:p>
          <w:p w14:paraId="784517A9" w14:textId="77777777" w:rsidR="002D45CF" w:rsidRPr="00C124EB" w:rsidRDefault="002D45CF" w:rsidP="002D45CF">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C124EB">
              <w:rPr>
                <w:rFonts w:ascii="Verdana" w:eastAsia="Arial MT" w:hAnsi="Verdana" w:cs="Arial"/>
                <w:bCs/>
                <w:lang w:eastAsia="es-ES" w:bidi="es-ES"/>
              </w:rPr>
              <w:t>Consejo de Estado. Sala de Consulta y Servicio Civil. Concepto del 17 de febrero de 2015. C.P. William Zambrano Cetina. Radicación No. 11001-03-06-000-2015-00164-00 (2269).</w:t>
            </w:r>
          </w:p>
          <w:p w14:paraId="0DA9B6EB" w14:textId="77777777" w:rsidR="002D45CF" w:rsidRPr="00C124EB" w:rsidRDefault="002D45CF" w:rsidP="002D45CF">
            <w:pPr>
              <w:widowControl w:val="0"/>
              <w:numPr>
                <w:ilvl w:val="0"/>
                <w:numId w:val="16"/>
              </w:numPr>
              <w:autoSpaceDE w:val="0"/>
              <w:autoSpaceDN w:val="0"/>
              <w:spacing w:line="276" w:lineRule="auto"/>
              <w:jc w:val="both"/>
              <w:rPr>
                <w:rFonts w:ascii="Verdana" w:eastAsia="Arial MT" w:hAnsi="Verdana" w:cs="Arial"/>
                <w:bCs/>
                <w:lang w:eastAsia="es-ES" w:bidi="es-ES"/>
              </w:rPr>
            </w:pPr>
            <w:r w:rsidRPr="00C124EB">
              <w:rPr>
                <w:rFonts w:ascii="Verdana" w:eastAsia="Arial MT" w:hAnsi="Verdana" w:cs="Arial"/>
                <w:bCs/>
                <w:lang w:eastAsia="es-ES" w:bidi="es-ES"/>
              </w:rPr>
              <w:t>Consejo de Estado. Sala de Consulta y Servicio Civil, Concepto de 8 de mayo de 2018. Radicación Número: 11001-03-06-000-2018-00095-00(2382). Consejero Ponente: Álvaro Namén Vargas</w:t>
            </w:r>
            <w:r>
              <w:rPr>
                <w:rFonts w:ascii="Verdana" w:eastAsia="Arial MT" w:hAnsi="Verdana" w:cs="Arial"/>
                <w:bCs/>
                <w:lang w:eastAsia="es-ES" w:bidi="es-ES"/>
              </w:rPr>
              <w:t>.</w:t>
            </w:r>
          </w:p>
        </w:tc>
      </w:tr>
    </w:tbl>
    <w:p w14:paraId="67AA419B" w14:textId="77777777" w:rsidR="002D45CF" w:rsidRPr="009969AD" w:rsidRDefault="002D45CF" w:rsidP="002D45CF">
      <w:pPr>
        <w:widowControl w:val="0"/>
        <w:autoSpaceDE w:val="0"/>
        <w:autoSpaceDN w:val="0"/>
        <w:spacing w:after="0" w:line="276" w:lineRule="auto"/>
        <w:jc w:val="both"/>
        <w:rPr>
          <w:rFonts w:ascii="Verdana" w:hAnsi="Verdana" w:cs="Arial"/>
          <w:color w:val="ED7D31" w:themeColor="accent2"/>
          <w:lang w:val="es-ES"/>
        </w:rPr>
      </w:pPr>
    </w:p>
    <w:p w14:paraId="09A3C6E1" w14:textId="77777777" w:rsidR="002D45CF" w:rsidRPr="00AC0049" w:rsidRDefault="002D45CF" w:rsidP="002D45CF">
      <w:pPr>
        <w:tabs>
          <w:tab w:val="left" w:pos="142"/>
          <w:tab w:val="left" w:pos="284"/>
        </w:tabs>
        <w:spacing w:after="0" w:line="276" w:lineRule="auto"/>
        <w:jc w:val="both"/>
        <w:rPr>
          <w:rFonts w:ascii="Verdana" w:eastAsia="Century Gothic" w:hAnsi="Verdana" w:cs="Century Gothic"/>
          <w:b/>
          <w:lang w:val="es-ES"/>
        </w:rPr>
      </w:pPr>
      <w:r w:rsidRPr="00AC0049">
        <w:rPr>
          <w:rFonts w:ascii="Verdana" w:eastAsia="Century Gothic" w:hAnsi="Verdana" w:cs="Century Gothic"/>
          <w:b/>
          <w:lang w:val="es-ES"/>
        </w:rPr>
        <w:t>5. Doctrina de la Agencia Nacional de Contratación Pública:</w:t>
      </w:r>
    </w:p>
    <w:p w14:paraId="6B116AF8" w14:textId="77777777" w:rsidR="002D45CF" w:rsidRPr="009969AD" w:rsidRDefault="002D45CF" w:rsidP="002D45CF">
      <w:pPr>
        <w:widowControl w:val="0"/>
        <w:autoSpaceDE w:val="0"/>
        <w:autoSpaceDN w:val="0"/>
        <w:spacing w:after="0" w:line="276" w:lineRule="auto"/>
        <w:jc w:val="both"/>
        <w:rPr>
          <w:rFonts w:ascii="Verdana" w:hAnsi="Verdana" w:cs="Arial"/>
          <w:color w:val="ED7D31" w:themeColor="accent2"/>
          <w:lang w:val="es-ES"/>
        </w:rPr>
      </w:pPr>
    </w:p>
    <w:p w14:paraId="1641A601" w14:textId="77777777" w:rsidR="002D45CF" w:rsidRPr="00492128" w:rsidRDefault="002D45CF" w:rsidP="002D45CF">
      <w:pPr>
        <w:spacing w:after="0" w:line="276" w:lineRule="auto"/>
        <w:jc w:val="both"/>
        <w:rPr>
          <w:rFonts w:ascii="Verdana" w:hAnsi="Verdana"/>
          <w:color w:val="0000FF"/>
          <w:lang w:val="es-ES"/>
        </w:rPr>
      </w:pPr>
      <w:r w:rsidRPr="00064E6A">
        <w:rPr>
          <w:rFonts w:ascii="Verdana" w:eastAsia="Calibri" w:hAnsi="Verdana" w:cs="Arial"/>
          <w:lang w:val="es-ES"/>
        </w:rPr>
        <w:t xml:space="preserve">La Agencia Nacional de Contratación Pública – Colombia Compra Eficiente se ha referido </w:t>
      </w:r>
      <w:r w:rsidRPr="00064E6A">
        <w:rPr>
          <w:rFonts w:ascii="Verdana" w:hAnsi="Verdana" w:cs="Arial"/>
          <w:shd w:val="clear" w:color="auto" w:fill="FFFFFF"/>
          <w:lang w:val="es-ES"/>
        </w:rPr>
        <w:t xml:space="preserve">sobre </w:t>
      </w:r>
      <w:r w:rsidRPr="00064E6A">
        <w:rPr>
          <w:rFonts w:ascii="Verdana" w:hAnsi="Verdana" w:cs="Arial"/>
        </w:rPr>
        <w:t xml:space="preserve">sobre </w:t>
      </w:r>
      <w:r w:rsidRPr="00FC7D77">
        <w:rPr>
          <w:rFonts w:ascii="Verdana" w:hAnsi="Verdana" w:cs="Arial"/>
        </w:rPr>
        <w:t>la Ley de Garantías Electorales</w:t>
      </w:r>
      <w:r w:rsidRPr="009969AD">
        <w:rPr>
          <w:rFonts w:ascii="Verdana" w:hAnsi="Verdana" w:cs="Arial"/>
          <w:color w:val="ED7D31" w:themeColor="accent2"/>
          <w:shd w:val="clear" w:color="auto" w:fill="FFFFFF"/>
        </w:rPr>
        <w:t xml:space="preserve"> </w:t>
      </w:r>
      <w:r w:rsidRPr="00FC7D77">
        <w:rPr>
          <w:rFonts w:ascii="Verdana" w:hAnsi="Verdana" w:cs="Arial"/>
        </w:rPr>
        <w:t xml:space="preserve">en los Conceptos C- 022 del 21 de febrero de 2022, C-045 del 3 de marzo de 2022, C-064 del 8 de marzo de 2022, C-072 del 11 de marzo de 2022, C- 097 del 18 de febrero de 2022, C-116 del 18 de febrero de 2022 y C-077 del 17 de marzo de 2022, </w:t>
      </w:r>
      <w:r w:rsidRPr="00FC7D77">
        <w:rPr>
          <w:rFonts w:ascii="Verdana" w:hAnsi="Verdana" w:cs="Arial"/>
          <w:shd w:val="clear" w:color="auto" w:fill="FFFFFF"/>
        </w:rPr>
        <w:t xml:space="preserve">C-180 del 21 de marzo de 2025, C-317 del 25 de abril de 2025, C-510 del 4 de junio de 2025, </w:t>
      </w:r>
      <w:r w:rsidRPr="00FC7D77">
        <w:rPr>
          <w:rFonts w:ascii="Verdana" w:hAnsi="Verdana" w:cs="Arial"/>
          <w:shd w:val="clear" w:color="auto" w:fill="FFFFFF"/>
          <w:lang w:val="es-ES"/>
        </w:rPr>
        <w:t xml:space="preserve">646 del 26 de junio de 2025, C-957 del 23 de agosto de 2025, C-975 del 28 de agosto de 2025, C-1015 del 4 de septiembre de 2025, C-1096 del 28 de agosto de 2025, C-1170 del 16 de septiembre de 2025, </w:t>
      </w:r>
      <w:r w:rsidRPr="00FC7D77">
        <w:rPr>
          <w:rFonts w:ascii="Verdana" w:hAnsi="Verdana" w:cs="Arial"/>
          <w:shd w:val="clear" w:color="auto" w:fill="FFFFFF"/>
        </w:rPr>
        <w:t>C–750 de 17 de julio 2025, C-868 del 12 de agosto de 2025, C-1057 del 5 de septiembre de 2025, C-1195 del 3 de octubre de 2025, C-1350 del 19 de septiembre de 2025</w:t>
      </w:r>
      <w:r>
        <w:rPr>
          <w:rFonts w:ascii="Verdana" w:hAnsi="Verdana" w:cs="Arial"/>
          <w:shd w:val="clear" w:color="auto" w:fill="FFFFFF"/>
        </w:rPr>
        <w:t>,</w:t>
      </w:r>
      <w:r w:rsidRPr="00FC7D77">
        <w:rPr>
          <w:rFonts w:ascii="Verdana" w:hAnsi="Verdana" w:cs="Arial"/>
          <w:shd w:val="clear" w:color="auto" w:fill="FFFFFF"/>
        </w:rPr>
        <w:t xml:space="preserve"> C- 1236 del 27 de octubre de 2025</w:t>
      </w:r>
      <w:r>
        <w:rPr>
          <w:rFonts w:ascii="Verdana" w:hAnsi="Verdana" w:cs="Arial"/>
          <w:shd w:val="clear" w:color="auto" w:fill="FFFFFF"/>
        </w:rPr>
        <w:t xml:space="preserve"> y C-1835 del 21 de enero de 2026</w:t>
      </w:r>
      <w:r w:rsidRPr="00FC7D77">
        <w:rPr>
          <w:rFonts w:ascii="Verdana" w:hAnsi="Verdana" w:cs="Arial"/>
          <w:shd w:val="clear" w:color="auto" w:fill="FFFFFF"/>
        </w:rPr>
        <w:t xml:space="preserve">, </w:t>
      </w:r>
      <w:r w:rsidRPr="00FC7D77">
        <w:rPr>
          <w:rFonts w:ascii="Verdana" w:hAnsi="Verdana" w:cs="Arial"/>
        </w:rPr>
        <w:t>entre otros</w:t>
      </w:r>
      <w:r w:rsidRPr="00FC7D77">
        <w:rPr>
          <w:rFonts w:ascii="Verdana" w:hAnsi="Verdana" w:cs="Arial"/>
          <w:shd w:val="clear" w:color="auto" w:fill="FFFFFF"/>
        </w:rPr>
        <w:t>.</w:t>
      </w:r>
      <w:r>
        <w:rPr>
          <w:rFonts w:ascii="Verdana" w:hAnsi="Verdana" w:cs="Arial"/>
          <w:shd w:val="clear" w:color="auto" w:fill="FFFFFF"/>
          <w:lang w:val="es-ES"/>
        </w:rPr>
        <w:t xml:space="preserve"> </w:t>
      </w:r>
      <w:r w:rsidRPr="00AC0049">
        <w:rPr>
          <w:rFonts w:ascii="Verdana" w:hAnsi="Verdana" w:cs="Arial"/>
          <w:shd w:val="clear" w:color="auto" w:fill="FFFFFF"/>
          <w:lang w:val="es-ES"/>
        </w:rPr>
        <w:t>Estos</w:t>
      </w:r>
      <w:r w:rsidRPr="00AC0049">
        <w:rPr>
          <w:rFonts w:ascii="Verdana" w:hAnsi="Verdana"/>
          <w:lang w:val="es-ES"/>
        </w:rPr>
        <w:t xml:space="preserve"> y otros se encuentran disponibles para consulta en el Sistema de relatoría de la Agencia, al cual se puede acceder a través del siguiente enlace:</w:t>
      </w:r>
      <w:r w:rsidRPr="00AC0049">
        <w:rPr>
          <w:rFonts w:ascii="Verdana" w:hAnsi="Verdana" w:cs="Arial"/>
          <w:shd w:val="clear" w:color="auto" w:fill="FFFFFF"/>
          <w:lang w:val="es-ES"/>
        </w:rPr>
        <w:t xml:space="preserve"> </w:t>
      </w:r>
      <w:hyperlink r:id="rId12" w:history="1">
        <w:r w:rsidRPr="00492128">
          <w:rPr>
            <w:rStyle w:val="Hipervnculo"/>
            <w:rFonts w:ascii="Verdana" w:hAnsi="Verdana" w:cs="Arial"/>
            <w:shd w:val="clear" w:color="auto" w:fill="FFFFFF"/>
            <w:lang w:val="es-ES"/>
          </w:rPr>
          <w:t>https://relatoria.colombiacompra.gov.co/busqueda/conceptos</w:t>
        </w:r>
      </w:hyperlink>
    </w:p>
    <w:p w14:paraId="6F8A3C38" w14:textId="77777777" w:rsidR="002D45CF" w:rsidRPr="009969AD" w:rsidRDefault="002D45CF" w:rsidP="002D45CF">
      <w:pPr>
        <w:spacing w:after="0"/>
        <w:jc w:val="both"/>
        <w:rPr>
          <w:rFonts w:ascii="Verdana" w:hAnsi="Verdana" w:cs="Arial"/>
          <w:color w:val="ED7D31" w:themeColor="accent2"/>
          <w:shd w:val="clear" w:color="auto" w:fill="FFFFFF"/>
          <w:lang w:val="es-ES"/>
        </w:rPr>
      </w:pPr>
    </w:p>
    <w:p w14:paraId="2535119A" w14:textId="77777777" w:rsidR="002D45CF" w:rsidRPr="00AC0049" w:rsidRDefault="002D45CF" w:rsidP="002D45CF">
      <w:pPr>
        <w:spacing w:after="0"/>
        <w:jc w:val="both"/>
        <w:rPr>
          <w:rFonts w:ascii="Verdana" w:hAnsi="Verdana" w:cs="Arial"/>
          <w:shd w:val="clear" w:color="auto" w:fill="FFFFFF"/>
        </w:rPr>
      </w:pPr>
      <w:r w:rsidRPr="00AC0049">
        <w:rPr>
          <w:rFonts w:ascii="Verdana" w:hAnsi="Verdana" w:cs="Arial"/>
          <w:shd w:val="clear" w:color="auto" w:fill="FFFFFF"/>
        </w:rPr>
        <w:t>También le contamos que ya se encuentra disponible la </w:t>
      </w:r>
      <w:r w:rsidRPr="00AC0049">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AC0049">
        <w:rPr>
          <w:rFonts w:ascii="Verdana" w:hAnsi="Verdana" w:cs="Arial"/>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AC0049">
        <w:rPr>
          <w:rFonts w:ascii="Verdana" w:hAnsi="Verdana" w:cs="Arial"/>
          <w:shd w:val="clear" w:color="auto" w:fill="FFFFFF"/>
        </w:rPr>
        <w:t>Wayúu</w:t>
      </w:r>
      <w:proofErr w:type="spellEnd"/>
      <w:r w:rsidRPr="00AC0049">
        <w:rPr>
          <w:rFonts w:ascii="Verdana" w:hAnsi="Verdana" w:cs="Arial"/>
          <w:shd w:val="clear" w:color="auto" w:fill="FFFFFF"/>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AC0049">
          <w:rPr>
            <w:rStyle w:val="Hipervnculo"/>
            <w:rFonts w:ascii="Verdana" w:hAnsi="Verdana"/>
          </w:rPr>
          <w:t>Guía de lineamientos de transparencia y selección objetiva para el departamento de La Guajira – Objetivo sexto constitucional de la Sentencia T-302 del 2017</w:t>
        </w:r>
      </w:hyperlink>
    </w:p>
    <w:p w14:paraId="7FF11217" w14:textId="77777777" w:rsidR="002D45CF" w:rsidRPr="00AC0049" w:rsidRDefault="002D45CF" w:rsidP="002D45CF">
      <w:pPr>
        <w:spacing w:after="0"/>
        <w:jc w:val="both"/>
        <w:rPr>
          <w:rFonts w:ascii="Verdana" w:hAnsi="Verdana" w:cs="Arial"/>
          <w:shd w:val="clear" w:color="auto" w:fill="FFFFFF"/>
        </w:rPr>
      </w:pPr>
    </w:p>
    <w:p w14:paraId="5E4FF1B1" w14:textId="77777777" w:rsidR="002D45CF" w:rsidRPr="00AC0049" w:rsidRDefault="002D45CF" w:rsidP="002D45CF">
      <w:pPr>
        <w:spacing w:after="0"/>
        <w:jc w:val="both"/>
        <w:rPr>
          <w:rFonts w:ascii="Verdana" w:hAnsi="Verdana" w:cs="Arial"/>
          <w:shd w:val="clear" w:color="auto" w:fill="FFFFFF"/>
        </w:rPr>
      </w:pPr>
      <w:r w:rsidRPr="00AC0049">
        <w:rPr>
          <w:rFonts w:ascii="Verdana" w:hAnsi="Verdana" w:cs="Arial"/>
          <w:shd w:val="clear" w:color="auto" w:fill="FFFFFF"/>
        </w:rPr>
        <w:t xml:space="preserve">Por último, lo invitamos a seguirnos en las redes sociales en las cuales se difunde información institucional: </w:t>
      </w:r>
    </w:p>
    <w:p w14:paraId="3BF7FE86" w14:textId="77777777" w:rsidR="002D45CF" w:rsidRPr="00AC0049" w:rsidRDefault="002D45CF" w:rsidP="002D45CF">
      <w:pPr>
        <w:spacing w:after="0"/>
        <w:jc w:val="both"/>
        <w:rPr>
          <w:rFonts w:ascii="Verdana" w:hAnsi="Verdana" w:cs="Arial"/>
          <w:shd w:val="clear" w:color="auto" w:fill="FFFFFF"/>
        </w:rPr>
      </w:pPr>
    </w:p>
    <w:p w14:paraId="33EC31BF" w14:textId="77777777" w:rsidR="002D45CF" w:rsidRPr="00AC0049" w:rsidRDefault="002D45CF" w:rsidP="002D45CF">
      <w:pPr>
        <w:spacing w:after="0"/>
        <w:jc w:val="both"/>
        <w:rPr>
          <w:rFonts w:ascii="Verdana" w:hAnsi="Verdana" w:cs="Arial"/>
          <w:shd w:val="clear" w:color="auto" w:fill="FFFFFF"/>
        </w:rPr>
      </w:pPr>
      <w:r w:rsidRPr="00AC0049">
        <w:rPr>
          <w:rFonts w:ascii="Verdana" w:hAnsi="Verdana" w:cs="Arial"/>
          <w:shd w:val="clear" w:color="auto" w:fill="FFFFFF"/>
        </w:rPr>
        <w:t xml:space="preserve">Twitter: </w:t>
      </w:r>
      <w:r w:rsidRPr="00AC0049">
        <w:rPr>
          <w:rStyle w:val="Hipervnculo"/>
          <w:rFonts w:ascii="Verdana" w:hAnsi="Verdana"/>
          <w:lang w:val="es-ES"/>
        </w:rPr>
        <w:t xml:space="preserve">@colombiacompra </w:t>
      </w:r>
    </w:p>
    <w:p w14:paraId="073D48C7" w14:textId="77777777" w:rsidR="002D45CF" w:rsidRPr="00AC0049" w:rsidRDefault="002D45CF" w:rsidP="002D45CF">
      <w:pPr>
        <w:spacing w:after="0"/>
        <w:jc w:val="both"/>
        <w:rPr>
          <w:rFonts w:ascii="Verdana" w:hAnsi="Verdana" w:cs="Arial"/>
          <w:shd w:val="clear" w:color="auto" w:fill="FFFFFF"/>
        </w:rPr>
      </w:pPr>
      <w:r w:rsidRPr="00AC0049">
        <w:rPr>
          <w:rFonts w:ascii="Verdana" w:hAnsi="Verdana" w:cs="Arial"/>
          <w:shd w:val="clear" w:color="auto" w:fill="FFFFFF"/>
        </w:rPr>
        <w:t>Facebook:</w:t>
      </w:r>
      <w:r w:rsidRPr="00AC0049">
        <w:rPr>
          <w:rStyle w:val="Hipervnculo"/>
          <w:rFonts w:ascii="Verdana" w:hAnsi="Verdana"/>
          <w:color w:val="auto"/>
          <w:lang w:val="es-ES"/>
        </w:rPr>
        <w:t xml:space="preserve"> </w:t>
      </w:r>
      <w:proofErr w:type="spellStart"/>
      <w:r w:rsidRPr="00AC0049">
        <w:rPr>
          <w:rStyle w:val="Hipervnculo"/>
          <w:rFonts w:ascii="Verdana" w:hAnsi="Verdana"/>
          <w:lang w:val="es-ES"/>
        </w:rPr>
        <w:t>ColombiaCompraEficiente</w:t>
      </w:r>
      <w:proofErr w:type="spellEnd"/>
    </w:p>
    <w:p w14:paraId="551DAC58" w14:textId="77777777" w:rsidR="002D45CF" w:rsidRPr="00AC0049" w:rsidRDefault="002D45CF" w:rsidP="002D45CF">
      <w:pPr>
        <w:spacing w:after="0"/>
        <w:jc w:val="both"/>
        <w:rPr>
          <w:rFonts w:ascii="Verdana" w:hAnsi="Verdana" w:cs="Arial"/>
          <w:color w:val="0000FF"/>
          <w:shd w:val="clear" w:color="auto" w:fill="FFFFFF"/>
        </w:rPr>
      </w:pPr>
      <w:r w:rsidRPr="00AC0049">
        <w:rPr>
          <w:rFonts w:ascii="Verdana" w:hAnsi="Verdana" w:cs="Arial"/>
          <w:shd w:val="clear" w:color="auto" w:fill="FFFFFF"/>
        </w:rPr>
        <w:t xml:space="preserve">LinkedIn: </w:t>
      </w:r>
      <w:r w:rsidRPr="00AC0049">
        <w:rPr>
          <w:rStyle w:val="Hipervnculo"/>
          <w:rFonts w:ascii="Verdana" w:hAnsi="Verdana"/>
          <w:lang w:val="es-ES"/>
        </w:rPr>
        <w:t>Agencia Nacional de Contratación Pública - Colombia Compra Eficiente</w:t>
      </w:r>
      <w:r w:rsidRPr="00AC0049">
        <w:rPr>
          <w:rFonts w:ascii="Verdana" w:hAnsi="Verdana" w:cs="Arial"/>
          <w:color w:val="0000FF"/>
          <w:shd w:val="clear" w:color="auto" w:fill="FFFFFF"/>
        </w:rPr>
        <w:t xml:space="preserve"> </w:t>
      </w:r>
    </w:p>
    <w:p w14:paraId="6E6992B1" w14:textId="77777777" w:rsidR="002D45CF" w:rsidRPr="00AC0049" w:rsidRDefault="002D45CF" w:rsidP="002D45CF">
      <w:pPr>
        <w:spacing w:after="0"/>
        <w:jc w:val="both"/>
        <w:rPr>
          <w:rFonts w:ascii="Verdana" w:hAnsi="Verdana" w:cs="Arial"/>
          <w:shd w:val="clear" w:color="auto" w:fill="FFFFFF"/>
        </w:rPr>
      </w:pPr>
      <w:r w:rsidRPr="00AC0049">
        <w:rPr>
          <w:rFonts w:ascii="Verdana" w:hAnsi="Verdana" w:cs="Arial"/>
          <w:shd w:val="clear" w:color="auto" w:fill="FFFFFF"/>
        </w:rPr>
        <w:t xml:space="preserve">Instagram: </w:t>
      </w:r>
      <w:r w:rsidRPr="00AC0049">
        <w:rPr>
          <w:rStyle w:val="Hipervnculo"/>
          <w:rFonts w:ascii="Verdana" w:hAnsi="Verdana"/>
          <w:lang w:val="es-ES"/>
        </w:rPr>
        <w:t>@colombiacompraeficiente_cce</w:t>
      </w:r>
    </w:p>
    <w:p w14:paraId="632D91A0" w14:textId="77777777" w:rsidR="002D45CF" w:rsidRDefault="002D45CF" w:rsidP="002D45CF">
      <w:pPr>
        <w:widowControl w:val="0"/>
        <w:autoSpaceDE w:val="0"/>
        <w:autoSpaceDN w:val="0"/>
        <w:spacing w:after="0" w:line="276" w:lineRule="auto"/>
        <w:jc w:val="both"/>
        <w:rPr>
          <w:rFonts w:ascii="Verdana" w:hAnsi="Verdana" w:cs="Arial"/>
          <w:lang w:val="es-ES"/>
        </w:rPr>
      </w:pPr>
    </w:p>
    <w:p w14:paraId="663894BE" w14:textId="77777777" w:rsidR="002D45CF" w:rsidRDefault="002D45CF" w:rsidP="002D45CF">
      <w:pPr>
        <w:widowControl w:val="0"/>
        <w:autoSpaceDE w:val="0"/>
        <w:autoSpaceDN w:val="0"/>
        <w:spacing w:after="0" w:line="276" w:lineRule="auto"/>
        <w:jc w:val="both"/>
        <w:rPr>
          <w:rFonts w:ascii="Verdana" w:hAnsi="Verdana" w:cs="Arial"/>
          <w:lang w:val="es-ES"/>
        </w:rPr>
      </w:pPr>
    </w:p>
    <w:p w14:paraId="23AF3343" w14:textId="77777777" w:rsidR="002D45CF" w:rsidRPr="00AC0049" w:rsidRDefault="002D45CF" w:rsidP="002D45CF">
      <w:pPr>
        <w:widowControl w:val="0"/>
        <w:autoSpaceDE w:val="0"/>
        <w:autoSpaceDN w:val="0"/>
        <w:spacing w:after="0" w:line="276" w:lineRule="auto"/>
        <w:jc w:val="both"/>
        <w:rPr>
          <w:rFonts w:ascii="Verdana" w:hAnsi="Verdana" w:cs="Arial"/>
          <w:lang w:val="es-ES"/>
        </w:rPr>
      </w:pPr>
    </w:p>
    <w:p w14:paraId="134E5CF2" w14:textId="77777777" w:rsidR="002D45CF" w:rsidRPr="00AC0049" w:rsidRDefault="002D45CF" w:rsidP="002D45CF">
      <w:pPr>
        <w:widowControl w:val="0"/>
        <w:autoSpaceDE w:val="0"/>
        <w:autoSpaceDN w:val="0"/>
        <w:spacing w:after="0" w:line="276" w:lineRule="auto"/>
        <w:jc w:val="both"/>
        <w:rPr>
          <w:rFonts w:ascii="Verdana" w:hAnsi="Verdana" w:cs="Arial"/>
          <w:lang w:val="es-ES"/>
        </w:rPr>
      </w:pPr>
      <w:r w:rsidRPr="00AC0049">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0506DF4" w14:textId="77777777" w:rsidR="002D45CF" w:rsidRPr="009969AD" w:rsidRDefault="002D45CF" w:rsidP="002D45CF">
      <w:pPr>
        <w:widowControl w:val="0"/>
        <w:autoSpaceDE w:val="0"/>
        <w:autoSpaceDN w:val="0"/>
        <w:spacing w:after="0" w:line="276" w:lineRule="auto"/>
        <w:jc w:val="both"/>
        <w:rPr>
          <w:rFonts w:ascii="Verdana" w:hAnsi="Verdana" w:cs="Arial"/>
          <w:color w:val="ED7D31" w:themeColor="accent2"/>
          <w:lang w:val="es-ES"/>
        </w:rPr>
      </w:pPr>
    </w:p>
    <w:p w14:paraId="689712C3" w14:textId="77777777" w:rsidR="002D45CF" w:rsidRDefault="002D45CF" w:rsidP="002D45CF">
      <w:pPr>
        <w:spacing w:after="0" w:line="276" w:lineRule="auto"/>
        <w:rPr>
          <w:rFonts w:ascii="Verdana" w:hAnsi="Verdana" w:cs="Arial"/>
          <w:lang w:val="es-ES" w:eastAsia="es-CO"/>
        </w:rPr>
      </w:pPr>
      <w:r w:rsidRPr="00AC0049">
        <w:rPr>
          <w:rFonts w:ascii="Verdana" w:eastAsia="Times New Roman" w:hAnsi="Verdana" w:cs="Arial"/>
          <w:lang w:val="es-ES" w:eastAsia="es-CO"/>
        </w:rPr>
        <w:t>Atentamente,</w:t>
      </w:r>
      <w:r w:rsidRPr="00AC0049">
        <w:rPr>
          <w:rFonts w:ascii="Verdana" w:hAnsi="Verdana" w:cs="Arial"/>
          <w:lang w:val="es-ES" w:eastAsia="es-CO"/>
        </w:rPr>
        <w:t xml:space="preserve"> </w:t>
      </w:r>
    </w:p>
    <w:p w14:paraId="06B7BCFA" w14:textId="52BF8265" w:rsidR="002D45CF" w:rsidRDefault="002D45CF" w:rsidP="002D45CF">
      <w:pPr>
        <w:spacing w:after="0" w:line="276" w:lineRule="auto"/>
        <w:rPr>
          <w:rFonts w:ascii="Verdana" w:eastAsia="Calibri" w:hAnsi="Verdana" w:cs="Times New Roman"/>
          <w:noProof/>
          <w:color w:val="EE0000"/>
          <w14:ligatures w14:val="standardContextual"/>
        </w:rPr>
      </w:pPr>
    </w:p>
    <w:p w14:paraId="752D4F86" w14:textId="77777777" w:rsidR="005B6B4C" w:rsidRDefault="005B6B4C" w:rsidP="002D45CF">
      <w:pPr>
        <w:spacing w:after="0" w:line="276" w:lineRule="auto"/>
        <w:rPr>
          <w:rFonts w:ascii="Verdana" w:hAnsi="Verdana" w:cs="Arial"/>
          <w:lang w:val="es-ES" w:eastAsia="es-CO"/>
        </w:rPr>
      </w:pPr>
    </w:p>
    <w:p w14:paraId="51D97924" w14:textId="77777777" w:rsidR="002D45CF" w:rsidRDefault="002D45CF" w:rsidP="002D45CF">
      <w:pPr>
        <w:spacing w:after="0" w:line="276" w:lineRule="auto"/>
        <w:rPr>
          <w:rFonts w:ascii="Verdana" w:hAnsi="Verdana" w:cs="Arial"/>
          <w:lang w:val="es-ES" w:eastAsia="es-CO"/>
        </w:rPr>
      </w:pPr>
    </w:p>
    <w:p w14:paraId="1F094E5F" w14:textId="77777777" w:rsidR="002D45CF" w:rsidRDefault="002D45CF" w:rsidP="002D45CF">
      <w:pPr>
        <w:spacing w:after="0" w:line="276" w:lineRule="auto"/>
        <w:rPr>
          <w:rFonts w:ascii="Verdana" w:hAnsi="Verdana" w:cs="Arial"/>
          <w:lang w:val="es-ES" w:eastAsia="es-CO"/>
        </w:rPr>
      </w:pPr>
    </w:p>
    <w:p w14:paraId="43104264" w14:textId="44B139F1" w:rsidR="002D45CF" w:rsidRDefault="00F97009" w:rsidP="00F97009">
      <w:pPr>
        <w:tabs>
          <w:tab w:val="left" w:pos="3330"/>
        </w:tabs>
        <w:spacing w:after="0" w:line="276" w:lineRule="auto"/>
        <w:jc w:val="center"/>
        <w:rPr>
          <w:rFonts w:ascii="Verdana" w:eastAsia="Calibri" w:hAnsi="Verdana" w:cs="Times New Roman"/>
          <w:noProof/>
          <w:color w:val="EE0000"/>
          <w14:ligatures w14:val="standardContextual"/>
        </w:rPr>
      </w:pPr>
      <w:r w:rsidRPr="002C3AD6">
        <w:rPr>
          <w:rFonts w:ascii="Century Gothic" w:hAnsi="Century Gothic"/>
          <w:noProof/>
        </w:rPr>
        <w:drawing>
          <wp:inline distT="0" distB="0" distL="0" distR="0" wp14:anchorId="52C27767" wp14:editId="7D675A68">
            <wp:extent cx="3027785" cy="1123950"/>
            <wp:effectExtent l="0" t="0" r="127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054558" cy="1133888"/>
                    </a:xfrm>
                    <a:prstGeom prst="rect">
                      <a:avLst/>
                    </a:prstGeom>
                  </pic:spPr>
                </pic:pic>
              </a:graphicData>
            </a:graphic>
          </wp:inline>
        </w:drawing>
      </w:r>
    </w:p>
    <w:p w14:paraId="496437CF" w14:textId="77777777" w:rsidR="002D45CF" w:rsidRPr="00E02524" w:rsidRDefault="002D45CF" w:rsidP="002D45CF">
      <w:pPr>
        <w:spacing w:after="0" w:line="240" w:lineRule="auto"/>
        <w:jc w:val="both"/>
        <w:rPr>
          <w:rFonts w:ascii="Verdana" w:eastAsia="Verdana" w:hAnsi="Verdana" w:cs="Verdana"/>
          <w:b/>
          <w:bCs/>
          <w:lang w:val="es-MX"/>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D45CF" w:rsidRPr="008278B1" w14:paraId="506E91DA" w14:textId="77777777" w:rsidTr="008E545D">
        <w:trPr>
          <w:trHeight w:val="315"/>
        </w:trPr>
        <w:tc>
          <w:tcPr>
            <w:tcW w:w="893" w:type="dxa"/>
            <w:vAlign w:val="center"/>
            <w:hideMark/>
          </w:tcPr>
          <w:p w14:paraId="24BDDB8A" w14:textId="77777777" w:rsidR="002D45CF" w:rsidRPr="008278B1" w:rsidRDefault="002D45CF" w:rsidP="008E545D">
            <w:pPr>
              <w:contextualSpacing/>
              <w:rPr>
                <w:rFonts w:ascii="Verdana" w:hAnsi="Verdana" w:cs="Arial"/>
                <w:sz w:val="16"/>
                <w:szCs w:val="16"/>
                <w:lang w:val="es-ES" w:eastAsia="es-ES"/>
              </w:rPr>
            </w:pPr>
            <w:r w:rsidRPr="008278B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29C00B8" w14:textId="77777777" w:rsidR="002D45CF" w:rsidRPr="00860461" w:rsidRDefault="002D45CF" w:rsidP="008E545D">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Oscar David Morelo Pedrozo</w:t>
            </w:r>
          </w:p>
          <w:p w14:paraId="55D4668A" w14:textId="77777777" w:rsidR="002D45CF" w:rsidRPr="00860461" w:rsidRDefault="002D45CF" w:rsidP="008E545D">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Analista T2 –02 de la Subdirección de Gestión Contractual</w:t>
            </w:r>
          </w:p>
        </w:tc>
      </w:tr>
      <w:tr w:rsidR="002D45CF" w:rsidRPr="00F84F36" w14:paraId="7005A8B0" w14:textId="77777777" w:rsidTr="008E545D">
        <w:trPr>
          <w:trHeight w:val="330"/>
        </w:trPr>
        <w:tc>
          <w:tcPr>
            <w:tcW w:w="893" w:type="dxa"/>
            <w:vAlign w:val="center"/>
            <w:hideMark/>
          </w:tcPr>
          <w:p w14:paraId="3CDE2A3E" w14:textId="77777777" w:rsidR="002D45CF" w:rsidRPr="0025661F" w:rsidRDefault="002D45CF" w:rsidP="008E545D">
            <w:pPr>
              <w:contextualSpacing/>
              <w:rPr>
                <w:rFonts w:ascii="Verdana" w:hAnsi="Verdana" w:cs="Arial"/>
                <w:color w:val="000000" w:themeColor="text1"/>
                <w:sz w:val="16"/>
                <w:szCs w:val="16"/>
                <w:lang w:val="es-ES" w:eastAsia="es-ES"/>
              </w:rPr>
            </w:pPr>
            <w:r w:rsidRPr="0025661F">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2076264" w14:textId="77777777" w:rsidR="002D45CF" w:rsidRPr="00D62D2E" w:rsidRDefault="002D45CF" w:rsidP="008E545D">
            <w:pPr>
              <w:rPr>
                <w:rFonts w:ascii="Verdana" w:eastAsia="Times New Roman" w:hAnsi="Verdana" w:cs="Arial"/>
                <w:color w:val="000000" w:themeColor="text1"/>
                <w:sz w:val="16"/>
                <w:szCs w:val="16"/>
                <w:lang w:eastAsia="es-ES"/>
              </w:rPr>
            </w:pPr>
            <w:r w:rsidRPr="00D62D2E">
              <w:rPr>
                <w:rFonts w:ascii="Verdana" w:eastAsia="Times New Roman" w:hAnsi="Verdana" w:cs="Arial"/>
                <w:color w:val="000000" w:themeColor="text1"/>
                <w:sz w:val="16"/>
                <w:szCs w:val="16"/>
                <w:lang w:eastAsia="es-ES"/>
              </w:rPr>
              <w:t>Diana Lucia Saavedra</w:t>
            </w:r>
            <w:r>
              <w:rPr>
                <w:rFonts w:ascii="Verdana" w:eastAsia="Times New Roman" w:hAnsi="Verdana" w:cs="Arial"/>
                <w:color w:val="000000" w:themeColor="text1"/>
                <w:sz w:val="16"/>
                <w:szCs w:val="16"/>
                <w:lang w:eastAsia="es-ES"/>
              </w:rPr>
              <w:t xml:space="preserve"> Castañeda</w:t>
            </w:r>
          </w:p>
          <w:p w14:paraId="6056764F" w14:textId="77777777" w:rsidR="002D45CF" w:rsidRPr="0025661F" w:rsidRDefault="002D45CF" w:rsidP="008E545D">
            <w:pPr>
              <w:pStyle w:val="paragraph"/>
              <w:spacing w:before="0" w:beforeAutospacing="0" w:after="0" w:afterAutospacing="0"/>
              <w:contextualSpacing/>
              <w:textAlignment w:val="baseline"/>
              <w:rPr>
                <w:rFonts w:ascii="Verdana" w:hAnsi="Verdana" w:cs="Segoe UI"/>
                <w:color w:val="000000" w:themeColor="text1"/>
                <w:sz w:val="16"/>
                <w:szCs w:val="16"/>
                <w:lang w:val="es-ES"/>
              </w:rPr>
            </w:pPr>
            <w:r w:rsidRPr="00D62D2E">
              <w:rPr>
                <w:rFonts w:ascii="Verdana" w:hAnsi="Verdana" w:cs="Arial"/>
                <w:color w:val="000000" w:themeColor="text1"/>
                <w:sz w:val="16"/>
                <w:szCs w:val="16"/>
                <w:lang w:eastAsia="es-ES"/>
              </w:rPr>
              <w:t>Contratista de la Subdirección de Gestión Contractual</w:t>
            </w:r>
          </w:p>
        </w:tc>
      </w:tr>
      <w:tr w:rsidR="002D45CF" w:rsidRPr="00F84F36" w14:paraId="4F033908" w14:textId="77777777" w:rsidTr="008E545D">
        <w:trPr>
          <w:trHeight w:val="300"/>
        </w:trPr>
        <w:tc>
          <w:tcPr>
            <w:tcW w:w="893" w:type="dxa"/>
            <w:vAlign w:val="center"/>
          </w:tcPr>
          <w:p w14:paraId="242548AC" w14:textId="77777777" w:rsidR="002D45CF" w:rsidRPr="008278B1" w:rsidRDefault="002D45CF" w:rsidP="008E545D">
            <w:pPr>
              <w:contextualSpacing/>
              <w:rPr>
                <w:rFonts w:ascii="Verdana" w:hAnsi="Verdana" w:cs="Arial"/>
                <w:sz w:val="16"/>
                <w:szCs w:val="16"/>
                <w:lang w:val="es-ES" w:eastAsia="es-ES"/>
              </w:rPr>
            </w:pPr>
            <w:r w:rsidRPr="008278B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561B524" w14:textId="77777777" w:rsidR="002D45CF" w:rsidRPr="008278B1" w:rsidRDefault="002D45CF" w:rsidP="008E545D">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Carolina Quintero Gacharná</w:t>
            </w:r>
          </w:p>
          <w:p w14:paraId="506F0AEE" w14:textId="77777777" w:rsidR="002D45CF" w:rsidRPr="008278B1" w:rsidRDefault="002D45CF" w:rsidP="008E545D">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Subdirectora de Gestión Contractual ANCP – CCE</w:t>
            </w:r>
          </w:p>
        </w:tc>
      </w:tr>
    </w:tbl>
    <w:p w14:paraId="49AFC950" w14:textId="571EC6DA" w:rsidR="002D45CF" w:rsidRPr="008E53E8" w:rsidRDefault="002D45CF" w:rsidP="002D45CF">
      <w:pPr>
        <w:spacing w:after="0"/>
        <w:rPr>
          <w:rFonts w:ascii="Verdana" w:eastAsia="Verdana" w:hAnsi="Verdana" w:cs="Verdana"/>
          <w:lang w:val="es-ES"/>
        </w:rPr>
      </w:pPr>
    </w:p>
    <w:p w14:paraId="77CAE0FE" w14:textId="77777777" w:rsidR="002D45CF" w:rsidRDefault="002D45CF" w:rsidP="002D45CF">
      <w:pPr>
        <w:spacing w:after="0" w:line="240" w:lineRule="auto"/>
        <w:rPr>
          <w:rFonts w:ascii="Verdana" w:eastAsia="Verdana" w:hAnsi="Verdana" w:cs="Verdana"/>
          <w:b/>
          <w:bCs/>
          <w:noProof/>
          <w:lang w:val="es-MX"/>
        </w:rPr>
      </w:pPr>
    </w:p>
    <w:p w14:paraId="3D2675CC" w14:textId="77777777" w:rsidR="002D45CF" w:rsidRDefault="002D45CF" w:rsidP="002D45CF">
      <w:pPr>
        <w:spacing w:after="0" w:line="240" w:lineRule="auto"/>
        <w:jc w:val="center"/>
        <w:rPr>
          <w:rFonts w:ascii="Verdana" w:eastAsia="Verdana" w:hAnsi="Verdana" w:cs="Verdana"/>
          <w:b/>
          <w:bCs/>
          <w:noProof/>
          <w:lang w:val="es-MX"/>
        </w:rPr>
      </w:pPr>
    </w:p>
    <w:p w14:paraId="0781E0F7" w14:textId="77777777" w:rsidR="002D45CF" w:rsidRPr="009969AD" w:rsidRDefault="002D45CF" w:rsidP="002D45CF">
      <w:pPr>
        <w:spacing w:after="120" w:line="276" w:lineRule="auto"/>
        <w:jc w:val="both"/>
        <w:rPr>
          <w:rFonts w:ascii="Verdana" w:eastAsia="Century Gothic" w:hAnsi="Verdana" w:cs="Century Gothic"/>
          <w:b/>
          <w:color w:val="ED7D31" w:themeColor="accent2"/>
        </w:rPr>
      </w:pPr>
    </w:p>
    <w:p w14:paraId="1CA00CA5" w14:textId="77777777" w:rsidR="002D45CF" w:rsidRPr="0015699B" w:rsidRDefault="002D45CF" w:rsidP="002D45CF">
      <w:pPr>
        <w:spacing w:after="0" w:line="240" w:lineRule="auto"/>
        <w:ind w:left="1080"/>
        <w:jc w:val="both"/>
        <w:textAlignment w:val="baseline"/>
        <w:rPr>
          <w:rFonts w:ascii="Verdana" w:eastAsia="Verdana" w:hAnsi="Verdana" w:cs="Verdana"/>
          <w:lang w:eastAsia="es-CO"/>
        </w:rPr>
      </w:pPr>
    </w:p>
    <w:bookmarkEnd w:id="0"/>
    <w:p w14:paraId="1468C46D" w14:textId="4311D029" w:rsidR="00C15139" w:rsidRPr="0024624F" w:rsidRDefault="00C15139" w:rsidP="30821638">
      <w:pPr>
        <w:spacing w:after="0"/>
        <w:rPr>
          <w:rFonts w:ascii="Verdana" w:eastAsia="Verdana" w:hAnsi="Verdana" w:cs="Verdana"/>
        </w:rPr>
      </w:pPr>
    </w:p>
    <w:sectPr w:rsidR="00C15139" w:rsidRPr="0024624F"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285EAF" w14:textId="77777777" w:rsidR="001D3B53" w:rsidRDefault="001D3B53" w:rsidP="004A1847">
      <w:pPr>
        <w:spacing w:after="0" w:line="240" w:lineRule="auto"/>
      </w:pPr>
      <w:r>
        <w:separator/>
      </w:r>
    </w:p>
  </w:endnote>
  <w:endnote w:type="continuationSeparator" w:id="0">
    <w:p w14:paraId="2886B3BB" w14:textId="77777777" w:rsidR="001D3B53" w:rsidRDefault="001D3B5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50DC66" w14:textId="77777777" w:rsidR="001D3B53" w:rsidRDefault="001D3B53" w:rsidP="004A1847">
      <w:pPr>
        <w:spacing w:after="0" w:line="240" w:lineRule="auto"/>
      </w:pPr>
      <w:r>
        <w:separator/>
      </w:r>
    </w:p>
  </w:footnote>
  <w:footnote w:type="continuationSeparator" w:id="0">
    <w:p w14:paraId="4364D87A" w14:textId="77777777" w:rsidR="001D3B53" w:rsidRDefault="001D3B53" w:rsidP="004A1847">
      <w:pPr>
        <w:spacing w:after="0" w:line="240" w:lineRule="auto"/>
      </w:pPr>
      <w:r>
        <w:continuationSeparator/>
      </w:r>
    </w:p>
  </w:footnote>
  <w:footnote w:id="1">
    <w:p w14:paraId="0A6B86A6" w14:textId="77777777" w:rsidR="002D45CF" w:rsidRPr="00E526D8" w:rsidRDefault="002D45CF" w:rsidP="002D45CF">
      <w:pPr>
        <w:pStyle w:val="Textonotapie"/>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5A193198" w14:textId="77777777" w:rsidR="002D45CF" w:rsidRDefault="002D45CF" w:rsidP="002D45CF">
      <w:pPr>
        <w:pStyle w:val="Textonotapie"/>
        <w:ind w:firstLine="709"/>
        <w:jc w:val="both"/>
        <w:rPr>
          <w:rFonts w:ascii="Verdana" w:hAnsi="Verdana" w:cs="Arial"/>
          <w:sz w:val="16"/>
          <w:szCs w:val="16"/>
        </w:rPr>
      </w:pPr>
      <w:r w:rsidRPr="00E526D8">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13908344" w14:textId="77777777" w:rsidR="002D45CF" w:rsidRPr="00E526D8" w:rsidRDefault="002D45CF" w:rsidP="002D45CF">
      <w:pPr>
        <w:pStyle w:val="Textonotapie"/>
        <w:ind w:firstLine="709"/>
        <w:jc w:val="both"/>
        <w:rPr>
          <w:rFonts w:ascii="Verdana" w:hAnsi="Verdana" w:cs="Arial"/>
          <w:sz w:val="16"/>
          <w:szCs w:val="16"/>
        </w:rPr>
      </w:pPr>
    </w:p>
  </w:footnote>
  <w:footnote w:id="2">
    <w:p w14:paraId="2A088286" w14:textId="77777777" w:rsidR="002D45CF" w:rsidRPr="00E526D8" w:rsidRDefault="002D45CF" w:rsidP="002D45CF">
      <w:pPr>
        <w:pStyle w:val="Textonotapie"/>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Gaceta del Congreso de la República No. 71 del 2005.</w:t>
      </w:r>
    </w:p>
    <w:p w14:paraId="238418B6" w14:textId="77777777" w:rsidR="002D45CF" w:rsidRPr="00E526D8" w:rsidRDefault="002D45CF" w:rsidP="002D45CF">
      <w:pPr>
        <w:pStyle w:val="Textonotapie"/>
        <w:ind w:firstLine="709"/>
        <w:jc w:val="both"/>
        <w:rPr>
          <w:rFonts w:ascii="Verdana" w:hAnsi="Verdana" w:cs="Arial"/>
          <w:sz w:val="16"/>
          <w:szCs w:val="16"/>
        </w:rPr>
      </w:pPr>
    </w:p>
  </w:footnote>
  <w:footnote w:id="3">
    <w:p w14:paraId="1DB4C347" w14:textId="77777777" w:rsidR="002D45CF" w:rsidRPr="00E526D8" w:rsidRDefault="002D45CF" w:rsidP="002D45CF">
      <w:pPr>
        <w:pStyle w:val="Textonotapie"/>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Corte Constitucional, Sentencia C- 1153 de 2005, M.P. Marco Gerardo Monroy Cabra.</w:t>
      </w:r>
    </w:p>
    <w:p w14:paraId="3AB4475F" w14:textId="77777777" w:rsidR="002D45CF" w:rsidRPr="00E526D8" w:rsidRDefault="002D45CF" w:rsidP="002D45CF">
      <w:pPr>
        <w:pStyle w:val="Textonotapie"/>
        <w:ind w:firstLine="709"/>
        <w:jc w:val="both"/>
        <w:rPr>
          <w:rFonts w:ascii="Verdana" w:hAnsi="Verdana" w:cs="Arial"/>
          <w:sz w:val="16"/>
          <w:szCs w:val="16"/>
        </w:rPr>
      </w:pPr>
    </w:p>
  </w:footnote>
  <w:footnote w:id="4">
    <w:p w14:paraId="3122D36A" w14:textId="77777777" w:rsidR="002D45CF" w:rsidRPr="00E526D8" w:rsidRDefault="002D45CF" w:rsidP="002D45CF">
      <w:pPr>
        <w:pStyle w:val="Textonotapie"/>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p w14:paraId="2015636D" w14:textId="77777777" w:rsidR="002D45CF" w:rsidRPr="00E526D8" w:rsidRDefault="002D45CF" w:rsidP="002D45CF">
      <w:pPr>
        <w:pStyle w:val="Textonotapie"/>
        <w:ind w:firstLine="709"/>
        <w:jc w:val="both"/>
        <w:rPr>
          <w:rFonts w:ascii="Verdana" w:hAnsi="Verdana" w:cs="Arial"/>
          <w:sz w:val="16"/>
          <w:szCs w:val="16"/>
        </w:rPr>
      </w:pPr>
    </w:p>
  </w:footnote>
  <w:footnote w:id="5">
    <w:p w14:paraId="6F93FEDF" w14:textId="77777777" w:rsidR="002D45CF" w:rsidRPr="00E526D8" w:rsidRDefault="002D45CF" w:rsidP="002D45CF">
      <w:pPr>
        <w:pStyle w:val="Textonotapie"/>
        <w:ind w:firstLine="708"/>
        <w:jc w:val="both"/>
        <w:rPr>
          <w:rFonts w:ascii="Verdana" w:hAnsi="Verdana" w:cs="Arial"/>
          <w:sz w:val="16"/>
          <w:szCs w:val="16"/>
          <w:lang w:val="es-CO"/>
        </w:rPr>
      </w:pPr>
      <w:r w:rsidRPr="00E526D8">
        <w:rPr>
          <w:rStyle w:val="Refdenotaalpie"/>
          <w:rFonts w:ascii="Verdana" w:hAnsi="Verdana" w:cs="Arial"/>
          <w:sz w:val="16"/>
          <w:szCs w:val="16"/>
        </w:rPr>
        <w:footnoteRef/>
      </w:r>
      <w:r w:rsidRPr="00E526D8">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1BA5ACA5" w14:textId="77777777" w:rsidR="002D45CF" w:rsidRPr="00E526D8" w:rsidRDefault="002D45CF" w:rsidP="002D45CF">
      <w:pPr>
        <w:pStyle w:val="Textonotapie"/>
        <w:ind w:firstLine="708"/>
        <w:jc w:val="both"/>
        <w:rPr>
          <w:rFonts w:ascii="Verdana" w:hAnsi="Verdana" w:cs="Arial"/>
          <w:sz w:val="16"/>
          <w:szCs w:val="16"/>
          <w:lang w:val="es-CO"/>
        </w:rPr>
      </w:pPr>
    </w:p>
  </w:footnote>
  <w:footnote w:id="6">
    <w:p w14:paraId="3DDD04B1" w14:textId="77777777" w:rsidR="002D45CF" w:rsidRPr="00E526D8" w:rsidRDefault="002D45CF" w:rsidP="002D45CF">
      <w:pPr>
        <w:pStyle w:val="Textonotapie"/>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Consejo de Estado, Sala de Consulta y Servicio Civil de fecha 24 de julio de 2013, radicado 2166, Consejero Ponente: Álvaro Namén Vargas.  </w:t>
      </w:r>
    </w:p>
    <w:p w14:paraId="6309D077" w14:textId="77777777" w:rsidR="002D45CF" w:rsidRPr="00E526D8" w:rsidRDefault="002D45CF" w:rsidP="002D45CF">
      <w:pPr>
        <w:pStyle w:val="Textonotapie"/>
        <w:ind w:firstLine="709"/>
        <w:jc w:val="both"/>
        <w:rPr>
          <w:rFonts w:ascii="Verdana" w:hAnsi="Verdana" w:cs="Arial"/>
          <w:sz w:val="16"/>
          <w:szCs w:val="16"/>
        </w:rPr>
      </w:pPr>
    </w:p>
  </w:footnote>
  <w:footnote w:id="7">
    <w:p w14:paraId="0A8F6117" w14:textId="77777777" w:rsidR="002D45CF" w:rsidRPr="00E526D8" w:rsidRDefault="002D45CF" w:rsidP="002D45CF">
      <w:pPr>
        <w:spacing w:after="0" w:line="240" w:lineRule="auto"/>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w:t>
      </w:r>
      <w:r w:rsidRPr="00E526D8">
        <w:rPr>
          <w:rFonts w:ascii="Verdana" w:hAnsi="Verdana" w:cs="Arial"/>
          <w:bCs/>
          <w:color w:val="000000"/>
          <w:sz w:val="16"/>
          <w:szCs w:val="16"/>
        </w:rPr>
        <w:t>“</w:t>
      </w:r>
      <w:r w:rsidRPr="00E526D8">
        <w:rPr>
          <w:rFonts w:ascii="Verdana"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398C6C7F" w14:textId="77777777" w:rsidR="002D45CF" w:rsidRPr="00E526D8" w:rsidRDefault="002D45CF" w:rsidP="002D45CF">
      <w:pPr>
        <w:spacing w:after="0" w:line="240" w:lineRule="auto"/>
        <w:ind w:firstLine="709"/>
        <w:jc w:val="both"/>
        <w:rPr>
          <w:rFonts w:ascii="Verdana" w:hAnsi="Verdana" w:cs="Arial"/>
          <w:sz w:val="16"/>
          <w:szCs w:val="16"/>
        </w:rPr>
      </w:pPr>
      <w:r w:rsidRPr="00E526D8">
        <w:rPr>
          <w:rFonts w:ascii="Verdana"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526D8">
        <w:rPr>
          <w:rFonts w:ascii="Verdana" w:hAnsi="Verdana" w:cs="Arial"/>
          <w:bCs/>
          <w:color w:val="000000"/>
          <w:sz w:val="16"/>
          <w:szCs w:val="16"/>
        </w:rPr>
        <w:t>”</w:t>
      </w:r>
      <w:r w:rsidRPr="00E526D8">
        <w:rPr>
          <w:rFonts w:ascii="Verdana" w:hAnsi="Verdana" w:cs="Arial"/>
          <w:sz w:val="16"/>
          <w:szCs w:val="16"/>
        </w:rPr>
        <w:t>.</w:t>
      </w:r>
    </w:p>
    <w:p w14:paraId="5B2B265E" w14:textId="77777777" w:rsidR="002D45CF" w:rsidRPr="00E526D8" w:rsidRDefault="002D45CF" w:rsidP="002D45CF">
      <w:pPr>
        <w:spacing w:after="0" w:line="240" w:lineRule="auto"/>
        <w:ind w:firstLine="709"/>
        <w:jc w:val="both"/>
        <w:rPr>
          <w:rFonts w:ascii="Verdana" w:hAnsi="Verdana" w:cs="Arial"/>
          <w:sz w:val="16"/>
          <w:szCs w:val="16"/>
        </w:rPr>
      </w:pPr>
    </w:p>
  </w:footnote>
  <w:footnote w:id="8">
    <w:p w14:paraId="216BC303" w14:textId="77777777" w:rsidR="002D45CF" w:rsidRPr="00E526D8" w:rsidRDefault="002D45CF" w:rsidP="002D45CF">
      <w:pPr>
        <w:pStyle w:val="NormalWeb"/>
        <w:spacing w:before="0" w:beforeAutospacing="0" w:after="0" w:afterAutospacing="0"/>
        <w:ind w:firstLine="709"/>
        <w:jc w:val="both"/>
        <w:rPr>
          <w:rFonts w:ascii="Verdana" w:hAnsi="Verdana" w:cs="Arial"/>
          <w:sz w:val="16"/>
          <w:szCs w:val="16"/>
          <w:lang w:val="es-MX"/>
        </w:rPr>
      </w:pPr>
      <w:r w:rsidRPr="00E526D8">
        <w:rPr>
          <w:rStyle w:val="Refdenotaalpie"/>
          <w:rFonts w:ascii="Verdana" w:hAnsi="Verdana" w:cs="Arial"/>
          <w:sz w:val="16"/>
          <w:szCs w:val="16"/>
        </w:rPr>
        <w:footnoteRef/>
      </w:r>
      <w:r w:rsidRPr="00E526D8">
        <w:rPr>
          <w:rFonts w:ascii="Verdana" w:hAnsi="Verdana" w:cs="Arial"/>
          <w:sz w:val="16"/>
          <w:szCs w:val="16"/>
        </w:rPr>
        <w:t xml:space="preserve"> </w:t>
      </w:r>
      <w:bookmarkStart w:id="3" w:name="38"/>
      <w:r w:rsidRPr="00E526D8">
        <w:rPr>
          <w:rFonts w:ascii="Verdana" w:hAnsi="Verdana" w:cs="Arial"/>
          <w:sz w:val="16"/>
          <w:szCs w:val="16"/>
        </w:rPr>
        <w:t>“</w:t>
      </w:r>
      <w:r w:rsidRPr="00E526D8">
        <w:rPr>
          <w:rFonts w:ascii="Verdana" w:hAnsi="Verdana" w:cs="Arial"/>
          <w:sz w:val="16"/>
          <w:szCs w:val="16"/>
          <w:lang w:val="es-MX"/>
        </w:rPr>
        <w:t>Artículo 38. Prohibiciones para los servidores públicos. A los empleados del Estado les está prohibido:</w:t>
      </w:r>
      <w:bookmarkEnd w:id="3"/>
      <w:r w:rsidRPr="00E526D8">
        <w:rPr>
          <w:rFonts w:ascii="Verdana" w:hAnsi="Verdana" w:cs="Arial"/>
          <w:sz w:val="16"/>
          <w:szCs w:val="16"/>
          <w:lang w:val="es-MX"/>
        </w:rPr>
        <w:t xml:space="preserve"> […] </w:t>
      </w:r>
      <w:r w:rsidRPr="00E526D8">
        <w:rPr>
          <w:rStyle w:val="baj"/>
          <w:rFonts w:ascii="Verdana" w:hAnsi="Verdana" w:cs="Arial"/>
          <w:sz w:val="16"/>
          <w:szCs w:val="16"/>
          <w:lang w:val="es-MX"/>
        </w:rPr>
        <w:t>Parágrafo.</w:t>
      </w:r>
      <w:r w:rsidRPr="00E526D8">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526D8">
        <w:rPr>
          <w:rFonts w:ascii="Verdana" w:eastAsia="Calibri" w:hAnsi="Verdana" w:cs="Arial"/>
          <w:bCs/>
          <w:color w:val="000000"/>
          <w:sz w:val="16"/>
          <w:szCs w:val="16"/>
        </w:rPr>
        <w:t>”</w:t>
      </w:r>
      <w:r w:rsidRPr="00E526D8">
        <w:rPr>
          <w:rFonts w:ascii="Verdana" w:hAnsi="Verdana" w:cs="Arial"/>
          <w:sz w:val="16"/>
          <w:szCs w:val="16"/>
          <w:lang w:val="es-MX"/>
        </w:rPr>
        <w:t>.</w:t>
      </w:r>
    </w:p>
    <w:p w14:paraId="3E24FBEB" w14:textId="77777777" w:rsidR="002D45CF" w:rsidRPr="00E526D8" w:rsidRDefault="002D45CF" w:rsidP="002D45CF">
      <w:pPr>
        <w:pStyle w:val="NormalWeb"/>
        <w:spacing w:before="0" w:beforeAutospacing="0" w:after="0" w:afterAutospacing="0"/>
        <w:ind w:firstLine="709"/>
        <w:jc w:val="both"/>
        <w:rPr>
          <w:rFonts w:ascii="Verdana" w:hAnsi="Verdana" w:cs="Arial"/>
          <w:sz w:val="16"/>
          <w:szCs w:val="16"/>
          <w:lang w:val="es-MX"/>
        </w:rPr>
      </w:pPr>
    </w:p>
  </w:footnote>
  <w:footnote w:id="9">
    <w:p w14:paraId="2BE13832" w14:textId="77777777" w:rsidR="002D45CF" w:rsidRPr="00E526D8" w:rsidRDefault="002D45CF" w:rsidP="002D45CF">
      <w:pPr>
        <w:spacing w:after="0" w:line="240" w:lineRule="auto"/>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Consejo de Estado. Sala de Consulta y Servicio Civil. Concepto del 17 de febrero de 2015. C.P. William Zambrano Cetina. Radicación No. 11001-03-06-000-2015-00164-00(2269).</w:t>
      </w:r>
    </w:p>
    <w:p w14:paraId="7A359720" w14:textId="77777777" w:rsidR="002D45CF" w:rsidRPr="00E526D8" w:rsidRDefault="002D45CF" w:rsidP="002D45CF">
      <w:pPr>
        <w:spacing w:after="0" w:line="240" w:lineRule="auto"/>
        <w:ind w:firstLine="709"/>
        <w:jc w:val="both"/>
        <w:rPr>
          <w:rFonts w:ascii="Verdana" w:hAnsi="Verdana" w:cs="Arial"/>
          <w:sz w:val="16"/>
          <w:szCs w:val="16"/>
          <w:lang w:val="es-ES"/>
        </w:rPr>
      </w:pPr>
    </w:p>
  </w:footnote>
  <w:footnote w:id="10">
    <w:p w14:paraId="74F392F8" w14:textId="77777777" w:rsidR="002D45CF" w:rsidRPr="00E526D8" w:rsidRDefault="002D45CF" w:rsidP="002D45CF">
      <w:pPr>
        <w:pStyle w:val="Textonotapie"/>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Consejo de Estado. Sección Tercera. Sentencia de 3 de diciembre de 2007. Radicados: 24.715, 25.206, 25.409, 24.524, 27.834, 25.410, 26.105, 28.244, 31.447 -acumulados- “.</w:t>
      </w:r>
    </w:p>
    <w:p w14:paraId="3F5A271C" w14:textId="77777777" w:rsidR="002D45CF" w:rsidRPr="00E526D8" w:rsidRDefault="002D45CF" w:rsidP="002D45CF">
      <w:pPr>
        <w:pStyle w:val="Textonotapie"/>
        <w:ind w:firstLine="709"/>
        <w:jc w:val="both"/>
        <w:rPr>
          <w:rFonts w:ascii="Verdana" w:hAnsi="Verdana" w:cs="Arial"/>
          <w:sz w:val="16"/>
          <w:szCs w:val="16"/>
        </w:rPr>
      </w:pPr>
    </w:p>
  </w:footnote>
  <w:footnote w:id="11">
    <w:p w14:paraId="009B301F" w14:textId="77777777" w:rsidR="002D45CF" w:rsidRPr="00E526D8" w:rsidRDefault="002D45CF" w:rsidP="002D45CF">
      <w:pPr>
        <w:pStyle w:val="Textonotapie"/>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“Al respecto ver el concepto 1712 de 2 de febrero de 2006. Consejo de Estado Sala de Consulta y Servicio Civil”.</w:t>
      </w:r>
    </w:p>
    <w:p w14:paraId="5C91CBA9" w14:textId="77777777" w:rsidR="002D45CF" w:rsidRPr="00E526D8" w:rsidRDefault="002D45CF" w:rsidP="002D45CF">
      <w:pPr>
        <w:pStyle w:val="Textonotapie"/>
        <w:ind w:firstLine="709"/>
        <w:jc w:val="both"/>
        <w:rPr>
          <w:rFonts w:ascii="Verdana" w:hAnsi="Verdana" w:cs="Arial"/>
          <w:sz w:val="16"/>
          <w:szCs w:val="16"/>
        </w:rPr>
      </w:pPr>
    </w:p>
  </w:footnote>
  <w:footnote w:id="12">
    <w:p w14:paraId="603EE74A" w14:textId="77777777" w:rsidR="002D45CF" w:rsidRPr="00E526D8" w:rsidRDefault="002D45CF" w:rsidP="002D45CF">
      <w:pPr>
        <w:pStyle w:val="Textonotapie"/>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p w14:paraId="683BDF77" w14:textId="77777777" w:rsidR="002D45CF" w:rsidRPr="00E526D8" w:rsidRDefault="002D45CF" w:rsidP="002D45CF">
      <w:pPr>
        <w:pStyle w:val="Textonotapie"/>
        <w:ind w:firstLine="709"/>
        <w:jc w:val="both"/>
        <w:rPr>
          <w:rFonts w:ascii="Verdana" w:hAnsi="Verdana" w:cs="Arial"/>
          <w:sz w:val="16"/>
          <w:szCs w:val="16"/>
        </w:rPr>
      </w:pPr>
    </w:p>
  </w:footnote>
  <w:footnote w:id="13">
    <w:p w14:paraId="5BF8D369" w14:textId="77777777" w:rsidR="002D45CF" w:rsidRPr="00E526D8" w:rsidRDefault="002D45CF" w:rsidP="002D45CF">
      <w:pPr>
        <w:pStyle w:val="Textonotapie"/>
        <w:ind w:firstLine="708"/>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“Artículo 2. De Las Modalidades De Selección. La escogencia del contratista se efectuará con arreglo a las modalidades de selección de licitación pública, selección abreviada, concurso de méritos y contratación directa, con base en las siguientes reglas: </w:t>
      </w:r>
    </w:p>
    <w:p w14:paraId="73D354A8" w14:textId="77777777" w:rsidR="002D45CF" w:rsidRPr="00E526D8" w:rsidRDefault="002D45CF" w:rsidP="002D45CF">
      <w:pPr>
        <w:pStyle w:val="Textonotapie"/>
        <w:ind w:firstLine="708"/>
        <w:jc w:val="both"/>
        <w:rPr>
          <w:rFonts w:ascii="Verdana" w:hAnsi="Verdana" w:cs="Arial"/>
          <w:sz w:val="16"/>
          <w:szCs w:val="16"/>
        </w:rPr>
      </w:pPr>
      <w:r w:rsidRPr="00E526D8">
        <w:rPr>
          <w:rFonts w:ascii="Verdana" w:hAnsi="Verdana" w:cs="Arial"/>
          <w:sz w:val="16"/>
          <w:szCs w:val="16"/>
        </w:rPr>
        <w:t>[…]</w:t>
      </w:r>
    </w:p>
    <w:p w14:paraId="0D63B85B" w14:textId="77777777" w:rsidR="002D45CF" w:rsidRPr="00E526D8" w:rsidRDefault="002D45CF" w:rsidP="002D45CF">
      <w:pPr>
        <w:pStyle w:val="Textonotapie"/>
        <w:ind w:firstLine="708"/>
        <w:jc w:val="both"/>
        <w:rPr>
          <w:rFonts w:ascii="Verdana" w:hAnsi="Verdana" w:cs="Arial"/>
          <w:sz w:val="16"/>
          <w:szCs w:val="16"/>
        </w:rPr>
      </w:pPr>
      <w:r w:rsidRPr="00E526D8">
        <w:rPr>
          <w:rFonts w:ascii="Verdana" w:hAnsi="Verdana" w:cs="Arial"/>
          <w:sz w:val="16"/>
          <w:szCs w:val="16"/>
        </w:rPr>
        <w:t>5. Contratación mínima cuantía. [Numeral modificado por el artículo 30 de la Ley 2069 de 2020]”.</w:t>
      </w:r>
    </w:p>
  </w:footnote>
  <w:footnote w:id="14">
    <w:p w14:paraId="45A43055" w14:textId="77777777" w:rsidR="002D45CF" w:rsidRPr="00E526D8" w:rsidRDefault="002D45CF" w:rsidP="002D45CF">
      <w:pPr>
        <w:pStyle w:val="Textonotapie"/>
        <w:ind w:firstLine="709"/>
        <w:jc w:val="both"/>
        <w:rPr>
          <w:rFonts w:ascii="Verdana" w:hAnsi="Verdana" w:cs="Arial"/>
          <w:sz w:val="16"/>
          <w:szCs w:val="16"/>
          <w:lang w:val="es-ES"/>
        </w:rPr>
      </w:pPr>
      <w:r w:rsidRPr="00E526D8">
        <w:rPr>
          <w:rStyle w:val="Refdenotaalpie"/>
          <w:rFonts w:ascii="Verdana" w:hAnsi="Verdana" w:cs="Arial"/>
          <w:sz w:val="16"/>
          <w:szCs w:val="16"/>
        </w:rPr>
        <w:footnoteRef/>
      </w:r>
      <w:r w:rsidRPr="00E526D8">
        <w:rPr>
          <w:rStyle w:val="Refdenotaalpie"/>
          <w:rFonts w:ascii="Verdana" w:hAnsi="Verdana" w:cs="Arial"/>
          <w:sz w:val="16"/>
          <w:szCs w:val="16"/>
        </w:rPr>
        <w:t xml:space="preserve"> </w:t>
      </w:r>
      <w:r w:rsidRPr="00E526D8">
        <w:rPr>
          <w:rFonts w:ascii="Verdana" w:hAnsi="Verdana" w:cs="Arial"/>
          <w:sz w:val="16"/>
          <w:szCs w:val="16"/>
          <w:lang w:val="es-ES"/>
        </w:rPr>
        <w:t xml:space="preserve">“[…] A este respecto, cabe recordar que el artículo 860 del Código de Comercio regula la licitación en el derecho privado”. </w:t>
      </w:r>
    </w:p>
    <w:p w14:paraId="46DF0C56" w14:textId="77777777" w:rsidR="002D45CF" w:rsidRPr="00E526D8" w:rsidRDefault="002D45CF" w:rsidP="002D45CF">
      <w:pPr>
        <w:pStyle w:val="Textonotapie"/>
        <w:ind w:firstLine="709"/>
        <w:jc w:val="both"/>
        <w:rPr>
          <w:rFonts w:ascii="Verdana" w:hAnsi="Verdana" w:cs="Arial"/>
          <w:sz w:val="16"/>
          <w:szCs w:val="16"/>
          <w:lang w:val="es-ES"/>
        </w:rPr>
      </w:pPr>
    </w:p>
  </w:footnote>
  <w:footnote w:id="15">
    <w:p w14:paraId="75E928D0" w14:textId="77777777" w:rsidR="002D45CF" w:rsidRPr="00E526D8" w:rsidRDefault="002D45CF" w:rsidP="002D45CF">
      <w:pPr>
        <w:shd w:val="clear" w:color="auto" w:fill="FFFFFF"/>
        <w:spacing w:after="0" w:line="240" w:lineRule="auto"/>
        <w:ind w:firstLine="709"/>
        <w:jc w:val="both"/>
        <w:rPr>
          <w:rFonts w:ascii="Verdana" w:hAnsi="Verdana" w:cs="Arial"/>
          <w:sz w:val="16"/>
          <w:szCs w:val="16"/>
          <w:lang w:val="es-ES"/>
        </w:rPr>
      </w:pPr>
      <w:r w:rsidRPr="00E526D8">
        <w:rPr>
          <w:rStyle w:val="Refdenotaalpie"/>
          <w:rFonts w:ascii="Verdana" w:hAnsi="Verdana" w:cs="Arial"/>
          <w:sz w:val="16"/>
          <w:szCs w:val="16"/>
        </w:rPr>
        <w:footnoteRef/>
      </w:r>
      <w:r w:rsidRPr="00E526D8">
        <w:rPr>
          <w:rStyle w:val="Refdenotaalpie"/>
          <w:rFonts w:ascii="Verdana" w:hAnsi="Verdana" w:cs="Arial"/>
          <w:sz w:val="16"/>
          <w:szCs w:val="16"/>
        </w:rPr>
        <w:t xml:space="preserve"> </w:t>
      </w:r>
      <w:r w:rsidRPr="00E526D8">
        <w:rPr>
          <w:rFonts w:ascii="Verdana" w:hAnsi="Verdana" w:cs="Arial"/>
          <w:sz w:val="16"/>
          <w:szCs w:val="16"/>
          <w:lang w:val="es-ES"/>
        </w:rPr>
        <w:t>Consejo de Estado. Sala de Consulta y Servicio Civil, Concepto de 8 de mayo de 2018. Radicación Número: 11001-03-06-000-2018-00095-00(2382). Consejero Ponente: Álvaro Namén Vargas.</w:t>
      </w:r>
    </w:p>
    <w:p w14:paraId="0CCFB125" w14:textId="77777777" w:rsidR="002D45CF" w:rsidRPr="00E526D8" w:rsidRDefault="002D45CF" w:rsidP="002D45CF">
      <w:pPr>
        <w:shd w:val="clear" w:color="auto" w:fill="FFFFFF"/>
        <w:spacing w:after="0" w:line="240" w:lineRule="auto"/>
        <w:ind w:firstLine="709"/>
        <w:jc w:val="both"/>
        <w:rPr>
          <w:rFonts w:ascii="Verdana" w:hAnsi="Verdana" w:cs="Arial"/>
          <w:sz w:val="16"/>
          <w:szCs w:val="16"/>
          <w:lang w:val="es-ES"/>
        </w:rPr>
      </w:pPr>
    </w:p>
  </w:footnote>
  <w:footnote w:id="16">
    <w:p w14:paraId="16CB9C67" w14:textId="77777777" w:rsidR="002D45CF" w:rsidRPr="00E526D8" w:rsidRDefault="002D45CF" w:rsidP="002D45CF">
      <w:pPr>
        <w:pStyle w:val="Textonotapie"/>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Consejo de Estado. Sala de Consulta y Servicio Civil. Concepto del 08 de mayo de 2018. Exp. 2.382. C.P. Álvaro Namén Vargas.</w:t>
      </w:r>
    </w:p>
    <w:p w14:paraId="1C3BEB98" w14:textId="77777777" w:rsidR="002D45CF" w:rsidRPr="00E526D8" w:rsidRDefault="002D45CF" w:rsidP="002D45CF">
      <w:pPr>
        <w:pStyle w:val="Textonotapie"/>
        <w:ind w:firstLine="709"/>
        <w:jc w:val="both"/>
        <w:rPr>
          <w:rFonts w:ascii="Verdana" w:hAnsi="Verdana" w:cs="Arial"/>
          <w:sz w:val="16"/>
          <w:szCs w:val="16"/>
        </w:rPr>
      </w:pPr>
    </w:p>
  </w:footnote>
  <w:footnote w:id="17">
    <w:p w14:paraId="41C9E755" w14:textId="77777777" w:rsidR="002D45CF" w:rsidRPr="00E526D8" w:rsidRDefault="002D45CF" w:rsidP="002D45CF">
      <w:pPr>
        <w:pStyle w:val="Textonotapie"/>
        <w:ind w:firstLine="709"/>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No 216/05 Senado, No 235-Cámara que dio lugar a la Ley de Garantías Electorales.</w:t>
      </w:r>
    </w:p>
    <w:p w14:paraId="79BC7BCC" w14:textId="77777777" w:rsidR="002D45CF" w:rsidRPr="00E526D8" w:rsidRDefault="002D45CF" w:rsidP="002D45CF">
      <w:pPr>
        <w:pStyle w:val="Textonotapie"/>
        <w:ind w:firstLine="709"/>
        <w:jc w:val="both"/>
        <w:rPr>
          <w:rFonts w:ascii="Verdana" w:hAnsi="Verdana" w:cs="Arial"/>
          <w:sz w:val="16"/>
          <w:szCs w:val="16"/>
        </w:rPr>
      </w:pPr>
    </w:p>
  </w:footnote>
  <w:footnote w:id="18">
    <w:p w14:paraId="4EE62BBB" w14:textId="77777777" w:rsidR="002D45CF" w:rsidRPr="00E526D8" w:rsidRDefault="002D45CF" w:rsidP="002D45CF">
      <w:pPr>
        <w:spacing w:after="0" w:line="240" w:lineRule="auto"/>
        <w:ind w:firstLine="709"/>
        <w:jc w:val="both"/>
        <w:rPr>
          <w:rFonts w:ascii="Verdana" w:hAnsi="Verdana" w:cs="Arial"/>
          <w:color w:val="000000"/>
          <w:sz w:val="16"/>
          <w:szCs w:val="16"/>
        </w:rPr>
      </w:pPr>
      <w:r w:rsidRPr="00E526D8">
        <w:rPr>
          <w:rStyle w:val="Refdenotaalpie"/>
          <w:rFonts w:ascii="Verdana" w:hAnsi="Verdana" w:cs="Arial"/>
          <w:color w:val="000000"/>
          <w:sz w:val="16"/>
          <w:szCs w:val="16"/>
        </w:rPr>
        <w:footnoteRef/>
      </w:r>
      <w:r w:rsidRPr="00E526D8">
        <w:rPr>
          <w:rFonts w:ascii="Verdana" w:hAnsi="Verdana" w:cs="Arial"/>
          <w:color w:val="000000"/>
          <w:sz w:val="16"/>
          <w:szCs w:val="16"/>
        </w:rPr>
        <w:t xml:space="preserve"> Consejo de Estado. Sala de Consulta y Servicio Civil. Concepto de 20 de febrero de 2006. Radicación Número: 11001-03-06-000-2006-00026-00 (1727).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6F28910D" w14:textId="77777777" w:rsidR="002D45CF" w:rsidRPr="00E526D8" w:rsidRDefault="002D45CF" w:rsidP="002D45CF">
      <w:pPr>
        <w:spacing w:after="0" w:line="240" w:lineRule="auto"/>
        <w:ind w:firstLine="709"/>
        <w:jc w:val="both"/>
        <w:rPr>
          <w:rFonts w:ascii="Verdana" w:hAnsi="Verdana" w:cs="Arial"/>
          <w:color w:val="000000"/>
          <w:sz w:val="16"/>
          <w:szCs w:val="16"/>
        </w:rPr>
      </w:pPr>
    </w:p>
  </w:footnote>
  <w:footnote w:id="19">
    <w:p w14:paraId="0251A40D" w14:textId="77777777" w:rsidR="002D45CF" w:rsidRPr="00E526D8" w:rsidRDefault="002D45CF" w:rsidP="002D45CF">
      <w:pPr>
        <w:pStyle w:val="Textonotapie"/>
        <w:ind w:firstLine="709"/>
        <w:jc w:val="both"/>
        <w:rPr>
          <w:rFonts w:ascii="Verdana" w:hAnsi="Verdana"/>
          <w:sz w:val="16"/>
          <w:szCs w:val="16"/>
          <w:lang w:val="es-CO"/>
        </w:rPr>
      </w:pPr>
      <w:r w:rsidRPr="00E526D8">
        <w:rPr>
          <w:rStyle w:val="Refdenotaalpie"/>
          <w:rFonts w:ascii="Verdana" w:hAnsi="Verdana"/>
          <w:sz w:val="16"/>
          <w:szCs w:val="16"/>
        </w:rPr>
        <w:footnoteRef/>
      </w:r>
      <w:r w:rsidRPr="00E526D8">
        <w:rPr>
          <w:rFonts w:ascii="Verdana" w:hAnsi="Verdana"/>
          <w:sz w:val="16"/>
          <w:szCs w:val="16"/>
          <w:lang w:val="es-CO"/>
        </w:rPr>
        <w:t xml:space="preserve"> Consejo de Estado, Sección Tercera. Auto del 4 de octubre de 2024. Exp. 70.313. C.P: Fredy Ibarra Martínez.</w:t>
      </w:r>
    </w:p>
    <w:p w14:paraId="110F31CF" w14:textId="77777777" w:rsidR="002D45CF" w:rsidRPr="00E526D8" w:rsidRDefault="002D45CF" w:rsidP="002D45CF">
      <w:pPr>
        <w:pStyle w:val="Textonotapie"/>
        <w:ind w:firstLine="709"/>
        <w:jc w:val="both"/>
        <w:rPr>
          <w:rFonts w:ascii="Verdana" w:hAnsi="Verdana"/>
          <w:sz w:val="16"/>
          <w:szCs w:val="16"/>
          <w:lang w:val="es-CO"/>
        </w:rPr>
      </w:pPr>
    </w:p>
  </w:footnote>
  <w:footnote w:id="20">
    <w:p w14:paraId="0EF696B0" w14:textId="77777777" w:rsidR="002D45CF" w:rsidRPr="00E526D8" w:rsidRDefault="002D45CF" w:rsidP="002D45CF">
      <w:pPr>
        <w:spacing w:after="0" w:line="240" w:lineRule="auto"/>
        <w:ind w:firstLine="709"/>
        <w:jc w:val="both"/>
        <w:rPr>
          <w:rFonts w:ascii="Verdana" w:eastAsia="Times New Roman" w:hAnsi="Verdana" w:cs="Times New Roman"/>
          <w:sz w:val="16"/>
          <w:szCs w:val="16"/>
          <w:lang w:eastAsia="es-ES"/>
        </w:rPr>
      </w:pPr>
      <w:r w:rsidRPr="00E526D8">
        <w:rPr>
          <w:rStyle w:val="Refdenotaalpie"/>
          <w:rFonts w:ascii="Verdana" w:hAnsi="Verdana"/>
          <w:sz w:val="16"/>
          <w:szCs w:val="16"/>
        </w:rPr>
        <w:footnoteRef/>
      </w:r>
      <w:r w:rsidRPr="00E526D8">
        <w:rPr>
          <w:rFonts w:ascii="Verdana" w:hAnsi="Verdana"/>
          <w:sz w:val="16"/>
          <w:szCs w:val="16"/>
        </w:rPr>
        <w:t xml:space="preserve"> </w:t>
      </w:r>
      <w:r w:rsidRPr="00E526D8">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sidRPr="00E526D8">
        <w:rPr>
          <w:rFonts w:ascii="Verdana" w:hAnsi="Verdana"/>
          <w:sz w:val="16"/>
          <w:szCs w:val="16"/>
        </w:rPr>
        <w:t xml:space="preserve">La parte de la providencia señala: </w:t>
      </w:r>
      <w:r w:rsidRPr="00E526D8">
        <w:rPr>
          <w:rFonts w:ascii="Verdana" w:eastAsia="Times New Roman" w:hAnsi="Verdana" w:cs="Times New Roman"/>
          <w:sz w:val="16"/>
          <w:szCs w:val="16"/>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24FFA92B" w14:textId="77777777" w:rsidR="002D45CF" w:rsidRPr="00E526D8" w:rsidRDefault="002D45CF" w:rsidP="002D45CF">
      <w:pPr>
        <w:spacing w:after="0" w:line="240" w:lineRule="auto"/>
        <w:ind w:firstLine="709"/>
        <w:jc w:val="both"/>
        <w:rPr>
          <w:rFonts w:ascii="Verdana" w:eastAsia="Times New Roman" w:hAnsi="Verdana" w:cs="Times New Roman"/>
          <w:sz w:val="16"/>
          <w:szCs w:val="16"/>
          <w:lang w:eastAsia="es-ES"/>
        </w:rPr>
      </w:pPr>
    </w:p>
  </w:footnote>
  <w:footnote w:id="21">
    <w:p w14:paraId="7F09982E" w14:textId="77777777" w:rsidR="002D45CF" w:rsidRPr="00E526D8" w:rsidRDefault="002D45CF" w:rsidP="002D45CF">
      <w:pPr>
        <w:pStyle w:val="Textonotapie"/>
        <w:ind w:firstLine="709"/>
        <w:jc w:val="both"/>
        <w:rPr>
          <w:rFonts w:ascii="Verdana" w:hAnsi="Verdana"/>
          <w:sz w:val="16"/>
          <w:szCs w:val="16"/>
          <w:lang w:val="es-CO"/>
        </w:rPr>
      </w:pPr>
      <w:r w:rsidRPr="00E526D8">
        <w:rPr>
          <w:rStyle w:val="Refdenotaalpie"/>
          <w:rFonts w:ascii="Verdana" w:hAnsi="Verdana"/>
          <w:sz w:val="16"/>
          <w:szCs w:val="16"/>
        </w:rPr>
        <w:footnoteRef/>
      </w:r>
      <w:r w:rsidRPr="00E526D8">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22">
    <w:p w14:paraId="2E201A71" w14:textId="77777777" w:rsidR="002D45CF" w:rsidRPr="00A0267C" w:rsidRDefault="002D45CF" w:rsidP="002D45CF">
      <w:pPr>
        <w:pStyle w:val="Textonotapie"/>
        <w:ind w:firstLine="708"/>
        <w:jc w:val="both"/>
        <w:rPr>
          <w:rFonts w:ascii="Verdana" w:hAnsi="Verdana" w:cs="Arial"/>
          <w:sz w:val="16"/>
          <w:szCs w:val="16"/>
        </w:rPr>
      </w:pPr>
      <w:r w:rsidRPr="00A0267C">
        <w:rPr>
          <w:rStyle w:val="Refdenotaalpie"/>
          <w:rFonts w:ascii="Verdana" w:hAnsi="Verdana" w:cs="Arial"/>
          <w:sz w:val="16"/>
          <w:szCs w:val="16"/>
        </w:rPr>
        <w:footnoteRef/>
      </w:r>
      <w:r w:rsidRPr="00A0267C">
        <w:rPr>
          <w:rFonts w:ascii="Verdana" w:hAnsi="Verdana" w:cs="Arial"/>
          <w:sz w:val="16"/>
          <w:szCs w:val="16"/>
        </w:rPr>
        <w:t xml:space="preserve"> Consejo de Estado. Sala de Consulta y Servicio Civil. Concepto del 18 de febrero 2010. Rad. 11001-03-06-000-2010-00006-00 (1985). C.P. Enrique José Arboleda Perdomo.</w:t>
      </w:r>
    </w:p>
  </w:footnote>
  <w:footnote w:id="23">
    <w:p w14:paraId="20A33319" w14:textId="77777777" w:rsidR="002D45CF" w:rsidRPr="00A0267C" w:rsidRDefault="002D45CF" w:rsidP="002D45CF">
      <w:pPr>
        <w:pStyle w:val="Textonotapie"/>
        <w:ind w:firstLine="708"/>
        <w:jc w:val="both"/>
        <w:rPr>
          <w:rFonts w:ascii="Verdana" w:hAnsi="Verdana" w:cs="Arial"/>
          <w:sz w:val="16"/>
          <w:szCs w:val="16"/>
        </w:rPr>
      </w:pPr>
      <w:r w:rsidRPr="00A0267C">
        <w:rPr>
          <w:rStyle w:val="Refdenotaalpie"/>
          <w:rFonts w:ascii="Verdana" w:hAnsi="Verdana" w:cs="Arial"/>
          <w:sz w:val="16"/>
          <w:szCs w:val="16"/>
        </w:rPr>
        <w:footnoteRef/>
      </w:r>
      <w:r w:rsidRPr="00A0267C">
        <w:rPr>
          <w:rFonts w:ascii="Verdana" w:hAnsi="Verdana" w:cs="Arial"/>
          <w:sz w:val="16"/>
          <w:szCs w:val="16"/>
        </w:rPr>
        <w:t xml:space="preserve"> Corte Constitucional. Sentencia C-1153 de 2005 M.P. Marco Gerardo Monroy Cabra. </w:t>
      </w:r>
    </w:p>
  </w:footnote>
  <w:footnote w:id="24">
    <w:p w14:paraId="2FEC1BF3" w14:textId="77777777" w:rsidR="002D45CF" w:rsidRPr="00A0267C" w:rsidRDefault="002D45CF" w:rsidP="002D45CF">
      <w:pPr>
        <w:pStyle w:val="Textonotapie"/>
        <w:ind w:firstLine="708"/>
        <w:jc w:val="both"/>
        <w:rPr>
          <w:rFonts w:ascii="Verdana" w:hAnsi="Verdana"/>
          <w:sz w:val="16"/>
          <w:szCs w:val="16"/>
          <w:lang w:val="es-CO"/>
        </w:rPr>
      </w:pPr>
      <w:r w:rsidRPr="00A0267C">
        <w:rPr>
          <w:rStyle w:val="Refdenotaalpie"/>
          <w:rFonts w:ascii="Verdana" w:hAnsi="Verdana"/>
          <w:sz w:val="16"/>
          <w:szCs w:val="16"/>
        </w:rPr>
        <w:footnoteRef/>
      </w:r>
      <w:r w:rsidRPr="00A0267C">
        <w:rPr>
          <w:rFonts w:ascii="Verdana" w:hAnsi="Verdana"/>
          <w:sz w:val="16"/>
          <w:szCs w:val="16"/>
        </w:rPr>
        <w:t xml:space="preserve"> Sobre el alcance de las normas equivalentes en el Código Civil chileno, CLARO SOLAR explica lo siguiente: “Las palabras de que el legislador se sirve pueden tener dos significaciones: el sentido vulgar y el sentido técnico. Según el artículo 20, ‘</w:t>
      </w:r>
      <w:r w:rsidRPr="00A0267C">
        <w:rPr>
          <w:rFonts w:ascii="Verdana" w:hAnsi="Verdana"/>
          <w:i/>
          <w:iCs/>
          <w:sz w:val="16"/>
          <w:szCs w:val="16"/>
        </w:rPr>
        <w:t>las palabras de la ley se entenderán en su sentido natural y obvio, según el uso general de las mismas palabras</w:t>
      </w:r>
      <w:r w:rsidRPr="00A0267C">
        <w:rPr>
          <w:rFonts w:ascii="Verdana" w:hAnsi="Verdana"/>
          <w:sz w:val="16"/>
          <w:szCs w:val="16"/>
        </w:rPr>
        <w:t>’, es decir, el uso de la gente educada. El Diccionario de la Lengua publicado por la Real Academia Española goza a este respecto de gran autoridad. ‘</w:t>
      </w:r>
      <w:r w:rsidRPr="00A0267C">
        <w:rPr>
          <w:rFonts w:ascii="Verdana" w:hAnsi="Verdana"/>
          <w:i/>
          <w:iCs/>
          <w:sz w:val="16"/>
          <w:szCs w:val="16"/>
        </w:rPr>
        <w:t>Pero cuando el legislador</w:t>
      </w:r>
      <w:r w:rsidRPr="00A0267C">
        <w:rPr>
          <w:rFonts w:ascii="Verdana" w:hAnsi="Verdana"/>
          <w:sz w:val="16"/>
          <w:szCs w:val="16"/>
        </w:rPr>
        <w:t xml:space="preserve">, agrega el artículo 20, </w:t>
      </w:r>
      <w:r w:rsidRPr="00A0267C">
        <w:rPr>
          <w:rFonts w:ascii="Verdana" w:hAnsi="Verdana"/>
          <w:i/>
          <w:iCs/>
          <w:sz w:val="16"/>
          <w:szCs w:val="16"/>
        </w:rPr>
        <w:t>las haya definido expresamente para ciertas materias se les dará en éstas su significado legal</w:t>
      </w:r>
      <w:r w:rsidRPr="00A0267C">
        <w:rPr>
          <w:rFonts w:ascii="Verdana" w:hAnsi="Verdana"/>
          <w:sz w:val="16"/>
          <w:szCs w:val="16"/>
        </w:rPr>
        <w:t>’. Por la inversa, según el artículo 21, ‘las palabras técnicas de toda ciencia o arte se tomarán en el sentido que les den los que profesan la misma ciencia o arte; a menos que aparezca claramente que se han tomado en sentido diverso’. Es de suponer que el legislador conozca bastante el idioma en que legisla y sea suficientemente instruido en la ciencia o arte para dar a las palabras de la lengua y a las palabras especiales de la ciencia o arte a que se refiere, el significado que les es propio; en el caso contrario, es necesario que ello aparezca de manifiesto y con toda claridad” (CLARO SOLAR, Luis. Explicaciones de derecho civil chileno y comparado. Volumen I. Tomo I. Santiago: Editorial Jurídica de Chile, 2013. p. 117. Énfasis dentro del texto).</w:t>
      </w:r>
    </w:p>
  </w:footnote>
  <w:footnote w:id="25">
    <w:p w14:paraId="0FF91944" w14:textId="77777777" w:rsidR="002D45CF" w:rsidRPr="00A0267C" w:rsidRDefault="002D45CF" w:rsidP="002D45CF">
      <w:pPr>
        <w:spacing w:after="0" w:line="240" w:lineRule="auto"/>
        <w:ind w:firstLine="708"/>
        <w:jc w:val="both"/>
        <w:rPr>
          <w:rFonts w:ascii="Verdana" w:eastAsia="Calibri" w:hAnsi="Verdana" w:cs="Arial"/>
          <w:sz w:val="16"/>
          <w:szCs w:val="16"/>
          <w:lang w:val="es-ES_tradnl"/>
        </w:rPr>
      </w:pPr>
      <w:r w:rsidRPr="00A0267C">
        <w:rPr>
          <w:rStyle w:val="Refdenotaalpie"/>
          <w:rFonts w:ascii="Verdana" w:hAnsi="Verdana" w:cs="Arial"/>
          <w:sz w:val="16"/>
          <w:szCs w:val="16"/>
        </w:rPr>
        <w:footnoteRef/>
      </w:r>
      <w:r w:rsidRPr="00A0267C">
        <w:rPr>
          <w:rFonts w:ascii="Verdana" w:hAnsi="Verdana" w:cs="Arial"/>
          <w:sz w:val="16"/>
          <w:szCs w:val="16"/>
        </w:rPr>
        <w:t xml:space="preserve"> </w:t>
      </w:r>
      <w:r w:rsidRPr="00A0267C">
        <w:rPr>
          <w:rFonts w:ascii="Verdana" w:hAnsi="Verdana" w:cs="Arial"/>
          <w:sz w:val="16"/>
          <w:szCs w:val="16"/>
          <w:lang w:val="es-ES_tradnl"/>
        </w:rPr>
        <w:t>La jurisprudencia delimita su sentido y alcance de la siguiente manera –</w:t>
      </w:r>
      <w:r w:rsidRPr="00A0267C">
        <w:rPr>
          <w:rFonts w:ascii="Verdana" w:hAnsi="Verdana" w:cs="Arial"/>
          <w:sz w:val="16"/>
          <w:szCs w:val="16"/>
          <w:lang w:val="es-ES"/>
        </w:rPr>
        <w:t>CORTE SUPREMA DE JUSTICIA. Sala de Casación Civil. Sentencia 20 de noviembre de 1989. MP. Alberto Ospina Botero. Publicada en la Gaceta Judicial. Tomo CXCVI. N° 2435. p. 93</w:t>
      </w:r>
      <w:r w:rsidRPr="00A0267C">
        <w:rPr>
          <w:rFonts w:ascii="Verdana" w:hAnsi="Verdana" w:cs="Arial"/>
          <w:sz w:val="16"/>
          <w:szCs w:val="16"/>
          <w:lang w:val="es-ES_tradnl"/>
        </w:rPr>
        <w:t>–:</w:t>
      </w:r>
    </w:p>
    <w:p w14:paraId="624AECF7" w14:textId="77777777" w:rsidR="002D45CF" w:rsidRPr="00A0267C" w:rsidRDefault="002D45CF" w:rsidP="002D45CF">
      <w:pPr>
        <w:spacing w:after="0" w:line="240" w:lineRule="auto"/>
        <w:ind w:right="49" w:firstLine="708"/>
        <w:jc w:val="both"/>
        <w:rPr>
          <w:rFonts w:ascii="Verdana" w:eastAsia="Calibri" w:hAnsi="Verdana" w:cs="Arial"/>
          <w:sz w:val="16"/>
          <w:szCs w:val="16"/>
          <w:lang w:val="es-ES_tradnl"/>
        </w:rPr>
      </w:pPr>
      <w:r w:rsidRPr="00A0267C">
        <w:rPr>
          <w:rFonts w:ascii="Verdana" w:eastAsia="Calibri" w:hAnsi="Verdana" w:cs="Arial"/>
          <w:sz w:val="16"/>
          <w:szCs w:val="16"/>
          <w:lang w:val="es-ES_tradnl"/>
        </w:rPr>
        <w:t>“6. […] la fuerza mayor o caso fortuito se configura por la concurrencia de dos factores:</w:t>
      </w:r>
    </w:p>
    <w:p w14:paraId="6F71A076" w14:textId="77777777" w:rsidR="002D45CF" w:rsidRPr="00A0267C" w:rsidRDefault="002D45CF" w:rsidP="002D45CF">
      <w:pPr>
        <w:spacing w:after="0" w:line="240" w:lineRule="auto"/>
        <w:ind w:right="49" w:firstLine="708"/>
        <w:jc w:val="both"/>
        <w:rPr>
          <w:rFonts w:ascii="Verdana" w:eastAsia="Calibri" w:hAnsi="Verdana" w:cs="Arial"/>
          <w:sz w:val="16"/>
          <w:szCs w:val="16"/>
          <w:lang w:val="es-ES_tradnl"/>
        </w:rPr>
      </w:pPr>
      <w:r w:rsidRPr="00A0267C">
        <w:rPr>
          <w:rFonts w:ascii="Verdana" w:eastAsia="Calibri" w:hAnsi="Verdana" w:cs="Arial"/>
          <w:sz w:val="16"/>
          <w:szCs w:val="16"/>
          <w:lang w:val="es-ES_tradnl"/>
        </w:rPr>
        <w:t>a) Que el hecho sea imprevisible, esto es, que dentro de las circunstancias normales de la vida, no sea posible contemplar por anticipado su ocurrencia. Por el contrario, si el hecho razonablemente hubiera podido preverse, por ser un acontecimiento normal o de ocurrencia frecuente, tal hecho no estructura el elemento imprevisible, y</w:t>
      </w:r>
    </w:p>
    <w:p w14:paraId="7525BBCF" w14:textId="77777777" w:rsidR="002D45CF" w:rsidRPr="00A0267C" w:rsidRDefault="002D45CF" w:rsidP="002D45CF">
      <w:pPr>
        <w:spacing w:after="0" w:line="240" w:lineRule="auto"/>
        <w:ind w:right="49" w:firstLine="708"/>
        <w:jc w:val="both"/>
        <w:rPr>
          <w:rFonts w:ascii="Verdana" w:eastAsia="Calibri" w:hAnsi="Verdana" w:cs="Arial"/>
          <w:sz w:val="16"/>
          <w:szCs w:val="16"/>
          <w:lang w:val="es-ES_tradnl"/>
        </w:rPr>
      </w:pPr>
      <w:r w:rsidRPr="00A0267C">
        <w:rPr>
          <w:rFonts w:ascii="Verdana" w:eastAsia="Calibri" w:hAnsi="Verdana" w:cs="Arial"/>
          <w:sz w:val="16"/>
          <w:szCs w:val="16"/>
          <w:lang w:val="es-ES_tradnl"/>
        </w:rPr>
        <w:t>b) Que el hecho sea irresistible, o sea, que el agente no pueda evitar su acaecimiento ni superar sus consecuencias.</w:t>
      </w:r>
    </w:p>
    <w:p w14:paraId="43A2F899" w14:textId="77777777" w:rsidR="002D45CF" w:rsidRPr="00A0267C" w:rsidRDefault="002D45CF" w:rsidP="002D45CF">
      <w:pPr>
        <w:spacing w:after="0" w:line="240" w:lineRule="auto"/>
        <w:ind w:right="49" w:firstLine="708"/>
        <w:jc w:val="both"/>
        <w:rPr>
          <w:rFonts w:ascii="Verdana" w:eastAsia="Calibri" w:hAnsi="Verdana" w:cs="Arial"/>
          <w:sz w:val="16"/>
          <w:szCs w:val="16"/>
          <w:lang w:val="es-ES_tradnl"/>
        </w:rPr>
      </w:pPr>
      <w:r w:rsidRPr="00A0267C">
        <w:rPr>
          <w:rFonts w:ascii="Verdana" w:eastAsia="Calibri" w:hAnsi="Verdana" w:cs="Arial"/>
          <w:sz w:val="16"/>
          <w:szCs w:val="16"/>
          <w:lang w:val="es-ES_tradnl"/>
        </w:rPr>
        <w:t>En este preciso punto es indispensable anotar la diferencia existente entre la imposibilidad para resistir o superar el hecho y la dificultad para enfrentarlo. Porque un hecho no constituye caso fortuito o fuerza mayor, por la sola circunstancia de que se haga más difícil o más onerosa de lo previsto inicialmente.</w:t>
      </w:r>
    </w:p>
    <w:p w14:paraId="5E27DDEC" w14:textId="77777777" w:rsidR="002D45CF" w:rsidRPr="00A0267C" w:rsidRDefault="002D45CF" w:rsidP="002D45CF">
      <w:pPr>
        <w:spacing w:after="0" w:line="240" w:lineRule="auto"/>
        <w:ind w:right="49" w:firstLine="708"/>
        <w:jc w:val="both"/>
        <w:rPr>
          <w:rFonts w:ascii="Verdana" w:eastAsia="Calibri" w:hAnsi="Verdana" w:cs="Arial"/>
          <w:sz w:val="16"/>
          <w:szCs w:val="16"/>
          <w:lang w:val="es-ES_tradnl"/>
        </w:rPr>
      </w:pPr>
      <w:r w:rsidRPr="00A0267C">
        <w:rPr>
          <w:rFonts w:ascii="Verdana" w:eastAsia="Calibri" w:hAnsi="Verdana" w:cs="Arial"/>
          <w:sz w:val="16"/>
          <w:szCs w:val="16"/>
          <w:lang w:val="es-ES_tradnl"/>
        </w:rPr>
        <w:t>7. Según el verdadero sentido o inteligencia […] los elementos integrantes del caso fortuito o fuerza mayor, antes reseñados, deben ser concurrentes, lo cual se traduce en que si el hecho o suceso ciertamente es imprevisible pero se le puede resistir, no se da tal fenómeno, como tampoco se configura cuando a pesar de ser irresistible pudo preverse</w:t>
      </w:r>
    </w:p>
    <w:p w14:paraId="3A79867E" w14:textId="77777777" w:rsidR="002D45CF" w:rsidRPr="00A0267C" w:rsidRDefault="002D45CF" w:rsidP="002D45CF">
      <w:pPr>
        <w:spacing w:after="0" w:line="240" w:lineRule="auto"/>
        <w:ind w:right="49"/>
        <w:jc w:val="both"/>
        <w:rPr>
          <w:rFonts w:ascii="Verdana" w:eastAsia="Calibri" w:hAnsi="Verdana" w:cs="Arial"/>
          <w:sz w:val="16"/>
          <w:szCs w:val="16"/>
          <w:lang w:val="es-ES_tradnl"/>
        </w:rPr>
      </w:pPr>
      <w:r w:rsidRPr="00A0267C">
        <w:rPr>
          <w:rFonts w:ascii="Verdana" w:eastAsia="Calibri" w:hAnsi="Verdana" w:cs="Arial"/>
          <w:sz w:val="16"/>
          <w:szCs w:val="16"/>
          <w:lang w:val="es-ES_tradnl"/>
        </w:rPr>
        <w:t>[…]</w:t>
      </w:r>
    </w:p>
    <w:p w14:paraId="63296EDB" w14:textId="77777777" w:rsidR="002D45CF" w:rsidRPr="00A0267C" w:rsidRDefault="002D45CF" w:rsidP="002D45CF">
      <w:pPr>
        <w:pStyle w:val="Textonotapie"/>
        <w:ind w:right="49" w:firstLine="708"/>
        <w:jc w:val="both"/>
        <w:rPr>
          <w:rFonts w:ascii="Verdana" w:hAnsi="Verdana" w:cs="Arial"/>
          <w:sz w:val="16"/>
          <w:szCs w:val="16"/>
          <w:lang w:val="es-CO"/>
        </w:rPr>
      </w:pPr>
      <w:r w:rsidRPr="00A0267C">
        <w:rPr>
          <w:rFonts w:ascii="Verdana" w:eastAsia="Calibri" w:hAnsi="Verdana" w:cs="Arial"/>
          <w:sz w:val="16"/>
          <w:szCs w:val="16"/>
          <w:lang w:val="es-ES_tradnl"/>
        </w:rPr>
        <w:t>8. Si, sólo puede calificarse como caso fortuito o fuerza mayor el hecho que concurrentemente contemple los caracteres de imprevisible e irresistible, no resulta propio elaborar un listado de los acontecimientos que constituyen tal fenómeno, ni de los que no lo constituyen. Por tal virtud, ha sostenido la doctrina nacional y foránea que un acontecimiento determinado no puede calificarse fatalmente, por sí mismo y por fuerza de su naturaleza específica como constitutivo de fuerza mayor o caso fortuito, puesto que es indispensable, en cada caso o acontecimiento, analizar y ponderar todas las circunstancias que rodearon el hecho”.</w:t>
      </w:r>
    </w:p>
  </w:footnote>
  <w:footnote w:id="26">
    <w:p w14:paraId="478EB4A7" w14:textId="77777777" w:rsidR="002D45CF" w:rsidRPr="00A0267C" w:rsidRDefault="002D45CF" w:rsidP="002D45CF">
      <w:pPr>
        <w:pStyle w:val="Textonotapie"/>
        <w:ind w:firstLine="708"/>
        <w:jc w:val="both"/>
        <w:rPr>
          <w:rFonts w:ascii="Verdana" w:hAnsi="Verdana" w:cs="Arial"/>
          <w:sz w:val="16"/>
          <w:szCs w:val="16"/>
          <w:lang w:val="es-ES"/>
        </w:rPr>
      </w:pPr>
      <w:r w:rsidRPr="00A0267C">
        <w:rPr>
          <w:rStyle w:val="Refdenotaalpie"/>
          <w:rFonts w:ascii="Verdana" w:hAnsi="Verdana" w:cs="Arial"/>
          <w:sz w:val="16"/>
          <w:szCs w:val="16"/>
        </w:rPr>
        <w:footnoteRef/>
      </w:r>
      <w:r w:rsidRPr="00A0267C">
        <w:rPr>
          <w:rFonts w:ascii="Verdana" w:hAnsi="Verdana" w:cs="Arial"/>
          <w:sz w:val="16"/>
          <w:szCs w:val="16"/>
        </w:rPr>
        <w:t xml:space="preserve"> “</w:t>
      </w:r>
      <w:r w:rsidRPr="00A0267C">
        <w:rPr>
          <w:rFonts w:ascii="Verdana" w:hAnsi="Verdana" w:cs="Arial"/>
          <w:sz w:val="16"/>
          <w:szCs w:val="16"/>
          <w:lang w:val="es-ES"/>
        </w:rPr>
        <w:t>Artículo 56. Declaratoria de situación de desastre. Previa recomendación del Consejo Nacional, el Presidente de la República declarará mediante decreto la existencia de una situación de desastre y, en el mismo acto, la clasificará según su magnitud y efectos como de carácter nacional, regional, departamental, distrital o municipal, y pondrá en vigor las normas pertinentes propias del régimen especial para situaciones de desastre.</w:t>
      </w:r>
    </w:p>
    <w:p w14:paraId="48B5567D" w14:textId="77777777" w:rsidR="002D45CF" w:rsidRPr="00A0267C" w:rsidRDefault="002D45CF" w:rsidP="002D45CF">
      <w:pPr>
        <w:pStyle w:val="Textonotapie"/>
        <w:ind w:firstLine="708"/>
        <w:jc w:val="both"/>
        <w:rPr>
          <w:rFonts w:ascii="Verdana" w:hAnsi="Verdana" w:cs="Arial"/>
          <w:sz w:val="16"/>
          <w:szCs w:val="16"/>
          <w:lang w:val="es-ES"/>
        </w:rPr>
      </w:pPr>
      <w:r w:rsidRPr="00A0267C">
        <w:rPr>
          <w:rFonts w:ascii="Verdana" w:hAnsi="Verdana" w:cs="Arial"/>
          <w:sz w:val="16"/>
          <w:szCs w:val="16"/>
          <w:lang w:val="es-ES"/>
        </w:rPr>
        <w:t>1. Nacional. Existirá una situación de desastre nacional:</w:t>
      </w:r>
    </w:p>
    <w:p w14:paraId="6FC3E1DC" w14:textId="77777777" w:rsidR="002D45CF" w:rsidRPr="00A0267C" w:rsidRDefault="002D45CF" w:rsidP="002D45CF">
      <w:pPr>
        <w:pStyle w:val="Textonotapie"/>
        <w:ind w:firstLine="708"/>
        <w:jc w:val="both"/>
        <w:rPr>
          <w:rFonts w:ascii="Verdana" w:hAnsi="Verdana" w:cs="Arial"/>
          <w:sz w:val="16"/>
          <w:szCs w:val="16"/>
          <w:lang w:val="es-ES"/>
        </w:rPr>
      </w:pPr>
      <w:r w:rsidRPr="00A0267C">
        <w:rPr>
          <w:rFonts w:ascii="Verdana" w:hAnsi="Verdana" w:cs="Arial"/>
          <w:sz w:val="16"/>
          <w:szCs w:val="16"/>
          <w:lang w:val="es-ES"/>
        </w:rPr>
        <w:t>a). Cuando la materialización del riesgo afecte de manera desfavorable y grave los bienes jurídicos protegidos de las personas, de la colectividad nacional y de las instituciones de la Administración Pública Nacional, en todo el territorio nacional o en parte considerable del mismo.</w:t>
      </w:r>
    </w:p>
    <w:p w14:paraId="48BC96B4" w14:textId="77777777" w:rsidR="002D45CF" w:rsidRPr="00A0267C" w:rsidRDefault="002D45CF" w:rsidP="002D45CF">
      <w:pPr>
        <w:pStyle w:val="Textonotapie"/>
        <w:ind w:firstLine="708"/>
        <w:jc w:val="both"/>
        <w:rPr>
          <w:rFonts w:ascii="Verdana" w:hAnsi="Verdana" w:cs="Arial"/>
          <w:sz w:val="16"/>
          <w:szCs w:val="16"/>
          <w:lang w:val="es-ES"/>
        </w:rPr>
      </w:pPr>
      <w:r w:rsidRPr="00A0267C">
        <w:rPr>
          <w:rFonts w:ascii="Verdana" w:hAnsi="Verdana" w:cs="Arial"/>
          <w:sz w:val="16"/>
          <w:szCs w:val="16"/>
          <w:lang w:val="es-ES"/>
        </w:rPr>
        <w:t>b). Cuando se hayan producido efectos adversos en uno (1) o más departamentos y su impacto rebase la capacidad técnica y los recursos de las administraciones departamentales y municipales involucradas.</w:t>
      </w:r>
    </w:p>
    <w:p w14:paraId="05EE52E2" w14:textId="77777777" w:rsidR="002D45CF" w:rsidRPr="00A0267C" w:rsidRDefault="002D45CF" w:rsidP="002D45CF">
      <w:pPr>
        <w:pStyle w:val="Textonotapie"/>
        <w:ind w:firstLine="708"/>
        <w:jc w:val="both"/>
        <w:rPr>
          <w:rFonts w:ascii="Verdana" w:hAnsi="Verdana" w:cs="Arial"/>
          <w:sz w:val="16"/>
          <w:szCs w:val="16"/>
          <w:lang w:val="es-ES"/>
        </w:rPr>
      </w:pPr>
      <w:r w:rsidRPr="00A0267C">
        <w:rPr>
          <w:rFonts w:ascii="Verdana" w:hAnsi="Verdana" w:cs="Arial"/>
          <w:sz w:val="16"/>
          <w:szCs w:val="16"/>
          <w:lang w:val="es-ES"/>
        </w:rPr>
        <w:t>c). Cuando la emergencia tenga la capacidad de impactar de manera desfavorable y grave la economía nacional, las redes de servicios nacionales en su totalidad o en parte significativa de las mismas, el distrito capital y otros centros urbanos de importancia regional en la red de ciudades.</w:t>
      </w:r>
    </w:p>
    <w:p w14:paraId="22EE5343" w14:textId="77777777" w:rsidR="002D45CF" w:rsidRPr="00A0267C" w:rsidRDefault="002D45CF" w:rsidP="002D45CF">
      <w:pPr>
        <w:pStyle w:val="Textonotapie"/>
        <w:ind w:firstLine="708"/>
        <w:jc w:val="both"/>
        <w:rPr>
          <w:rFonts w:ascii="Verdana" w:hAnsi="Verdana" w:cs="Arial"/>
          <w:sz w:val="16"/>
          <w:szCs w:val="16"/>
          <w:lang w:val="es-ES"/>
        </w:rPr>
      </w:pPr>
      <w:r w:rsidRPr="00A0267C">
        <w:rPr>
          <w:rFonts w:ascii="Verdana" w:hAnsi="Verdana" w:cs="Arial"/>
          <w:sz w:val="16"/>
          <w:szCs w:val="16"/>
          <w:lang w:val="es-ES"/>
        </w:rPr>
        <w:t>2. Departamental. Existirá una situación de desastre departamental cuando la materialización del riesgo afecte de manera desfavorable y grave los bienes jurídicos protegidos de los habitantes de un (1) departamento y de la administración pública departamental. El desastre de orden departamental puede presentarse en todo el departamento o en parte sustancial de su territorio rebasando la capacidad técnica y de recursos de los municipios afectados.</w:t>
      </w:r>
    </w:p>
    <w:p w14:paraId="2BFCFCCB" w14:textId="77777777" w:rsidR="002D45CF" w:rsidRPr="00A0267C" w:rsidRDefault="002D45CF" w:rsidP="002D45CF">
      <w:pPr>
        <w:pStyle w:val="Textonotapie"/>
        <w:ind w:firstLine="708"/>
        <w:jc w:val="both"/>
        <w:rPr>
          <w:rFonts w:ascii="Verdana" w:hAnsi="Verdana" w:cs="Arial"/>
          <w:sz w:val="16"/>
          <w:szCs w:val="16"/>
          <w:lang w:val="es-ES"/>
        </w:rPr>
      </w:pPr>
      <w:r w:rsidRPr="00A0267C">
        <w:rPr>
          <w:rFonts w:ascii="Verdana" w:hAnsi="Verdana" w:cs="Arial"/>
          <w:sz w:val="16"/>
          <w:szCs w:val="16"/>
          <w:lang w:val="es-ES"/>
        </w:rPr>
        <w:t>3. Distrital o Municipal. Existirá una situación de desastre municipal o distrital cuando la materialización del riesgo afecte de manera desfavorable y grave los bienes jurídicos protegidos de los habitantes del municipio o distrito impactado y de la administración pública distrital. El desastre de orden distrital o municipal puede presentarse en todo el distrito o municipio o en parte sustancial del territorio de su jurisdicción, rebasando su capacidad técnica y de recursos […]”.</w:t>
      </w:r>
    </w:p>
  </w:footnote>
  <w:footnote w:id="27">
    <w:p w14:paraId="237ACE37" w14:textId="77777777" w:rsidR="002D45CF" w:rsidRPr="00A0267C" w:rsidRDefault="002D45CF" w:rsidP="002D45CF">
      <w:pPr>
        <w:pStyle w:val="Textonotapie"/>
        <w:ind w:firstLine="708"/>
        <w:jc w:val="both"/>
        <w:rPr>
          <w:rFonts w:ascii="Verdana" w:hAnsi="Verdana" w:cs="Arial"/>
          <w:sz w:val="16"/>
          <w:szCs w:val="16"/>
          <w:lang w:val="es-CO"/>
        </w:rPr>
      </w:pPr>
      <w:r w:rsidRPr="00A0267C">
        <w:rPr>
          <w:rStyle w:val="Refdenotaalpie"/>
          <w:rFonts w:ascii="Verdana" w:hAnsi="Verdana" w:cs="Arial"/>
          <w:sz w:val="16"/>
          <w:szCs w:val="16"/>
        </w:rPr>
        <w:footnoteRef/>
      </w:r>
      <w:r w:rsidRPr="00A0267C">
        <w:rPr>
          <w:rFonts w:ascii="Verdana" w:hAnsi="Verdana" w:cs="Arial"/>
          <w:sz w:val="16"/>
          <w:szCs w:val="16"/>
        </w:rPr>
        <w:t xml:space="preserve"> “</w:t>
      </w:r>
      <w:r w:rsidRPr="00A0267C">
        <w:rPr>
          <w:rFonts w:ascii="Verdana" w:hAnsi="Verdana" w:cs="Arial"/>
          <w:sz w:val="16"/>
          <w:szCs w:val="16"/>
          <w:lang w:val="es-ES"/>
        </w:rPr>
        <w:t xml:space="preserve">Artículo 57. Declaratoria de situación de calamidad pública. </w:t>
      </w:r>
      <w:bookmarkStart w:id="13" w:name="_Hlk132729568"/>
      <w:r w:rsidRPr="00A0267C">
        <w:rPr>
          <w:rFonts w:ascii="Verdana" w:hAnsi="Verdana" w:cs="Arial"/>
          <w:sz w:val="16"/>
          <w:szCs w:val="16"/>
          <w:lang w:val="es-ES"/>
        </w:rPr>
        <w:t>Los gobernadores y alcaldes, previo concepto favorable del Consejo Departamental, Distrital o Municipal de Gestión del Riesgo, podrán declararla situación de calamidad pública en su respectiva jurisdicción. Las declaratorias de situación de calamidad pública se producirán y aplicarán, en lo pertinente, de conformidad con las reglas de la declaratoria de la situación de desastre</w:t>
      </w:r>
      <w:bookmarkEnd w:id="13"/>
      <w:r w:rsidRPr="00A0267C">
        <w:rPr>
          <w:rFonts w:ascii="Verdana" w:hAnsi="Verdana" w:cs="Arial"/>
          <w:sz w:val="16"/>
          <w:szCs w:val="16"/>
          <w:lang w:val="es-ES"/>
        </w:rPr>
        <w:t>”.</w:t>
      </w:r>
    </w:p>
  </w:footnote>
  <w:footnote w:id="28">
    <w:p w14:paraId="3945DEFC" w14:textId="77777777" w:rsidR="002D45CF" w:rsidRPr="00A0267C" w:rsidRDefault="002D45CF" w:rsidP="002D45CF">
      <w:pPr>
        <w:pStyle w:val="Textonotapie"/>
        <w:ind w:firstLine="708"/>
        <w:jc w:val="both"/>
        <w:rPr>
          <w:rStyle w:val="Refdenotaalpie"/>
          <w:rFonts w:ascii="Verdana" w:hAnsi="Verdana" w:cs="Arial"/>
          <w:sz w:val="16"/>
          <w:szCs w:val="16"/>
          <w:vertAlign w:val="baseline"/>
        </w:rPr>
      </w:pPr>
      <w:r w:rsidRPr="00A0267C">
        <w:rPr>
          <w:rStyle w:val="Refdenotaalpie"/>
          <w:rFonts w:ascii="Verdana" w:hAnsi="Verdana" w:cs="Arial"/>
          <w:sz w:val="16"/>
          <w:szCs w:val="16"/>
        </w:rPr>
        <w:footnoteRef/>
      </w:r>
      <w:r w:rsidRPr="00A0267C">
        <w:rPr>
          <w:rStyle w:val="Refdenotaalpie"/>
          <w:rFonts w:ascii="Verdana" w:hAnsi="Verdana" w:cs="Arial"/>
          <w:sz w:val="16"/>
          <w:szCs w:val="16"/>
          <w:vertAlign w:val="baseline"/>
        </w:rPr>
        <w:t xml:space="preserve"> Ley 1575 de 2012. </w:t>
      </w:r>
      <w:r w:rsidRPr="00A0267C">
        <w:rPr>
          <w:rFonts w:ascii="Verdana" w:hAnsi="Verdana" w:cs="Arial"/>
          <w:sz w:val="16"/>
          <w:szCs w:val="16"/>
        </w:rPr>
        <w:t>“</w:t>
      </w:r>
      <w:r w:rsidRPr="00A0267C">
        <w:rPr>
          <w:rStyle w:val="Refdenotaalpie"/>
          <w:rFonts w:ascii="Verdana" w:hAnsi="Verdana" w:cs="Arial"/>
          <w:sz w:val="16"/>
          <w:szCs w:val="16"/>
          <w:vertAlign w:val="baseline"/>
        </w:rPr>
        <w:t>Artículo 3. Competencias Del Nivel Nacional Y Territorial. El servicio público esencial se prestará con fundamento en los principios de subsidiariedad, coordinación y concurrencia, en cumplimiento de lo dispuesto en el artículo 288 de la Constitución.   </w:t>
      </w:r>
    </w:p>
    <w:p w14:paraId="48883C91" w14:textId="77777777" w:rsidR="002D45CF" w:rsidRPr="00A0267C" w:rsidRDefault="002D45CF" w:rsidP="002D45CF">
      <w:pPr>
        <w:pStyle w:val="Textonotapie"/>
        <w:ind w:firstLine="708"/>
        <w:jc w:val="both"/>
        <w:rPr>
          <w:rStyle w:val="Refdenotaalpie"/>
          <w:rFonts w:ascii="Verdana" w:hAnsi="Verdana" w:cs="Arial"/>
          <w:sz w:val="16"/>
          <w:szCs w:val="16"/>
          <w:vertAlign w:val="baseline"/>
        </w:rPr>
      </w:pPr>
      <w:r w:rsidRPr="00A0267C">
        <w:rPr>
          <w:rFonts w:ascii="Verdana" w:hAnsi="Verdana" w:cs="Arial"/>
          <w:sz w:val="16"/>
          <w:szCs w:val="16"/>
        </w:rPr>
        <w:t>[</w:t>
      </w:r>
      <w:r w:rsidRPr="00A0267C">
        <w:rPr>
          <w:rStyle w:val="Refdenotaalpie"/>
          <w:rFonts w:ascii="Verdana" w:hAnsi="Verdana" w:cs="Arial"/>
          <w:sz w:val="16"/>
          <w:szCs w:val="16"/>
          <w:vertAlign w:val="baseline"/>
        </w:rPr>
        <w:t>…</w:t>
      </w:r>
      <w:r w:rsidRPr="00A0267C">
        <w:rPr>
          <w:rFonts w:ascii="Verdana" w:hAnsi="Verdana" w:cs="Arial"/>
          <w:sz w:val="16"/>
          <w:szCs w:val="16"/>
        </w:rPr>
        <w:t>]</w:t>
      </w:r>
      <w:r w:rsidRPr="00A0267C">
        <w:rPr>
          <w:rStyle w:val="Refdenotaalpie"/>
          <w:rFonts w:ascii="Verdana" w:hAnsi="Verdana" w:cs="Arial"/>
          <w:sz w:val="16"/>
          <w:szCs w:val="16"/>
          <w:vertAlign w:val="baseline"/>
        </w:rPr>
        <w:t>   </w:t>
      </w:r>
    </w:p>
    <w:p w14:paraId="2D886A68" w14:textId="77777777" w:rsidR="002D45CF" w:rsidRPr="00A0267C" w:rsidRDefault="002D45CF" w:rsidP="002D45CF">
      <w:pPr>
        <w:pStyle w:val="Textonotapie"/>
        <w:ind w:firstLine="707"/>
        <w:jc w:val="both"/>
        <w:rPr>
          <w:rStyle w:val="Refdenotaalpie"/>
          <w:rFonts w:ascii="Verdana" w:hAnsi="Verdana" w:cs="Arial"/>
          <w:sz w:val="16"/>
          <w:szCs w:val="16"/>
          <w:vertAlign w:val="baseline"/>
        </w:rPr>
      </w:pPr>
      <w:r w:rsidRPr="00A0267C">
        <w:rPr>
          <w:rFonts w:ascii="Verdana" w:hAnsi="Verdana" w:cs="Arial"/>
          <w:sz w:val="16"/>
          <w:szCs w:val="16"/>
        </w:rPr>
        <w:t>“</w:t>
      </w:r>
      <w:r w:rsidRPr="00A0267C">
        <w:rPr>
          <w:rStyle w:val="Refdenotaalpie"/>
          <w:rFonts w:ascii="Verdana" w:hAnsi="Verdana" w:cs="Arial"/>
          <w:sz w:val="16"/>
          <w:szCs w:val="16"/>
          <w:vertAlign w:val="baseline"/>
        </w:rPr>
        <w:t>Es obligación de los distritos, con asiento en su respectiva jurisdicción y de los municipios la prestación del servicio público esencial a través de los cuerpos de bomberos oficiales o mediante la celebración de contratos y/o convenios con los cuerpos de bomberos voluntarios</w:t>
      </w:r>
      <w:r w:rsidRPr="00A0267C">
        <w:rPr>
          <w:rFonts w:ascii="Verdana" w:hAnsi="Verdana" w:cs="Arial"/>
          <w:sz w:val="16"/>
          <w:szCs w:val="16"/>
        </w:rPr>
        <w:t>”</w:t>
      </w:r>
      <w:r w:rsidRPr="00A0267C">
        <w:rPr>
          <w:rStyle w:val="Refdenotaalpie"/>
          <w:rFonts w:ascii="Verdana" w:hAnsi="Verdana" w:cs="Arial"/>
          <w:sz w:val="16"/>
          <w:szCs w:val="16"/>
          <w:vertAlign w:val="baseline"/>
        </w:rPr>
        <w:t>. </w:t>
      </w:r>
    </w:p>
    <w:p w14:paraId="6566E88D" w14:textId="77777777" w:rsidR="002D45CF" w:rsidRPr="00A0267C" w:rsidRDefault="002D45CF" w:rsidP="002D45CF">
      <w:pPr>
        <w:pStyle w:val="Textonotapie"/>
        <w:jc w:val="both"/>
        <w:rPr>
          <w:rFonts w:ascii="Verdana" w:hAnsi="Verdana" w:cs="Arial"/>
          <w:sz w:val="16"/>
          <w:szCs w:val="16"/>
          <w:lang w:val="es-ES"/>
        </w:rPr>
      </w:pPr>
    </w:p>
  </w:footnote>
  <w:footnote w:id="29">
    <w:p w14:paraId="37F46215" w14:textId="77777777" w:rsidR="002D45CF" w:rsidRPr="00E526D8" w:rsidRDefault="002D45CF" w:rsidP="002D45CF">
      <w:pPr>
        <w:spacing w:after="0" w:line="240" w:lineRule="auto"/>
        <w:ind w:firstLine="707"/>
        <w:jc w:val="both"/>
        <w:rPr>
          <w:rFonts w:ascii="Verdana" w:hAnsi="Verdana" w:cs="Arial"/>
          <w:sz w:val="16"/>
          <w:szCs w:val="16"/>
        </w:rPr>
      </w:pPr>
      <w:r w:rsidRPr="00E526D8">
        <w:rPr>
          <w:rStyle w:val="Refdenotaalpie"/>
          <w:rFonts w:ascii="Verdana" w:hAnsi="Verdana" w:cs="Arial"/>
          <w:sz w:val="16"/>
          <w:szCs w:val="16"/>
        </w:rPr>
        <w:footnoteRef/>
      </w:r>
      <w:r w:rsidRPr="00E526D8">
        <w:rPr>
          <w:rFonts w:ascii="Verdana" w:hAnsi="Verdana" w:cs="Arial"/>
          <w:sz w:val="16"/>
          <w:szCs w:val="16"/>
        </w:rPr>
        <w:t xml:space="preserve"> </w:t>
      </w:r>
      <w:r w:rsidRPr="00E526D8">
        <w:rPr>
          <w:rFonts w:ascii="Verdana" w:hAnsi="Verdana" w:cs="Arial"/>
          <w:position w:val="6"/>
          <w:sz w:val="16"/>
          <w:szCs w:val="16"/>
        </w:rPr>
        <w:t xml:space="preserve"> </w:t>
      </w:r>
      <w:r w:rsidRPr="00E526D8">
        <w:rPr>
          <w:rFonts w:ascii="Verdana" w:hAnsi="Verdana" w:cs="Arial"/>
          <w:sz w:val="16"/>
          <w:szCs w:val="16"/>
        </w:rPr>
        <w:t xml:space="preserve">Colombia Compra Eficiente. Concepto 2201913000008606, del 19 de noviembre de 2019. </w:t>
      </w:r>
    </w:p>
    <w:p w14:paraId="356398F2" w14:textId="77777777" w:rsidR="002D45CF" w:rsidRPr="00E526D8" w:rsidRDefault="002D45CF" w:rsidP="002D45CF">
      <w:pPr>
        <w:spacing w:after="0" w:line="240" w:lineRule="auto"/>
        <w:ind w:firstLine="707"/>
        <w:jc w:val="both"/>
        <w:rPr>
          <w:rFonts w:ascii="Verdana" w:hAnsi="Verdana" w:cs="Arial"/>
          <w:sz w:val="16"/>
          <w:szCs w:val="16"/>
        </w:rPr>
      </w:pPr>
    </w:p>
  </w:footnote>
  <w:footnote w:id="30">
    <w:p w14:paraId="48EF432C" w14:textId="77777777" w:rsidR="002D45CF" w:rsidRPr="00E526D8" w:rsidRDefault="002D45CF" w:rsidP="002D45CF">
      <w:pPr>
        <w:pStyle w:val="Textonotapie"/>
        <w:ind w:firstLine="707"/>
        <w:jc w:val="both"/>
        <w:rPr>
          <w:rFonts w:ascii="Verdana" w:hAnsi="Verdana" w:cs="Arial"/>
          <w:sz w:val="16"/>
          <w:szCs w:val="16"/>
          <w:lang w:val="es-CO"/>
        </w:rPr>
      </w:pPr>
      <w:r w:rsidRPr="00E526D8">
        <w:rPr>
          <w:rStyle w:val="Refdenotaalpie"/>
          <w:rFonts w:ascii="Verdana" w:hAnsi="Verdana" w:cs="Arial"/>
          <w:sz w:val="16"/>
          <w:szCs w:val="16"/>
        </w:rPr>
        <w:footnoteRef/>
      </w:r>
      <w:r w:rsidRPr="00E526D8">
        <w:rPr>
          <w:rFonts w:ascii="Verdana" w:hAnsi="Verdana" w:cs="Arial"/>
          <w:sz w:val="16"/>
          <w:szCs w:val="16"/>
        </w:rPr>
        <w:t xml:space="preserve"> “Artículo 9. Los distritos, municipios y territorios indígenas que no cuenten con sus propios Cuerpos de Bomberos Oficiales, o cuando la cobertura de éstos no sea la adecuada, de acuerdo con los parámetros que fije la Junta Nacional de Bomberos de Colombia, deberán contratar directamente con los Cuerpos de Bomberos Voluntarios, que se organicen conforme a la presente Ley, la prestación total o parcial según sea el caso del servicio público a su cargo”.</w:t>
      </w:r>
    </w:p>
  </w:footnote>
  <w:footnote w:id="31">
    <w:p w14:paraId="1DF0BEDC" w14:textId="77777777" w:rsidR="002D45CF" w:rsidRPr="0076277C" w:rsidRDefault="002D45CF" w:rsidP="002D45CF">
      <w:pPr>
        <w:pStyle w:val="Textonotapie"/>
        <w:spacing w:line="276" w:lineRule="auto"/>
        <w:ind w:firstLine="709"/>
        <w:jc w:val="both"/>
        <w:rPr>
          <w:rFonts w:ascii="Verdana" w:hAnsi="Verdana"/>
          <w:sz w:val="16"/>
          <w:szCs w:val="16"/>
        </w:rPr>
      </w:pPr>
      <w:r w:rsidRPr="0076277C">
        <w:rPr>
          <w:rStyle w:val="Refdenotaalpie"/>
          <w:rFonts w:ascii="Verdana" w:hAnsi="Verdana"/>
          <w:sz w:val="16"/>
          <w:szCs w:val="16"/>
        </w:rPr>
        <w:footnoteRef/>
      </w:r>
      <w:r w:rsidRPr="0076277C">
        <w:rPr>
          <w:rFonts w:ascii="Verdana" w:hAnsi="Verdana"/>
          <w:sz w:val="16"/>
          <w:szCs w:val="16"/>
        </w:rPr>
        <w:t xml:space="preserve">  Ley 1575 de 2012: “Los cuerpos de bomberos no podrán cobrar suma alguna a la ciudadanía o exigir compensación de cualquier naturaleza en contraprestación a los servicios de emergencia”.</w:t>
      </w:r>
    </w:p>
  </w:footnote>
  <w:footnote w:id="32">
    <w:p w14:paraId="37D6C986" w14:textId="77777777" w:rsidR="002D45CF" w:rsidRPr="0076277C" w:rsidRDefault="002D45CF" w:rsidP="002D45CF">
      <w:pPr>
        <w:pStyle w:val="Textonotapie"/>
        <w:ind w:firstLine="709"/>
        <w:jc w:val="both"/>
        <w:rPr>
          <w:rFonts w:ascii="Verdana" w:hAnsi="Verdana"/>
          <w:sz w:val="16"/>
          <w:szCs w:val="16"/>
        </w:rPr>
      </w:pPr>
      <w:r w:rsidRPr="0076277C">
        <w:rPr>
          <w:rStyle w:val="Refdenotaalpie"/>
          <w:rFonts w:ascii="Verdana" w:hAnsi="Verdana"/>
          <w:sz w:val="16"/>
          <w:szCs w:val="16"/>
        </w:rPr>
        <w:footnoteRef/>
      </w:r>
      <w:r w:rsidRPr="0076277C">
        <w:rPr>
          <w:rFonts w:ascii="Verdana" w:hAnsi="Verdana"/>
          <w:sz w:val="16"/>
          <w:szCs w:val="16"/>
        </w:rPr>
        <w:t xml:space="preserve"> Ley 1523 de 2012: “</w:t>
      </w:r>
      <w:r w:rsidRPr="0076277C">
        <w:rPr>
          <w:rFonts w:ascii="Verdana" w:hAnsi="Verdana"/>
          <w:sz w:val="16"/>
          <w:szCs w:val="16"/>
          <w:lang w:val="es-CO"/>
        </w:rPr>
        <w:t>Artículo 4°. </w:t>
      </w:r>
      <w:r w:rsidRPr="0076277C">
        <w:rPr>
          <w:rFonts w:ascii="Verdana" w:hAnsi="Verdana"/>
          <w:i/>
          <w:iCs/>
          <w:sz w:val="16"/>
          <w:szCs w:val="16"/>
          <w:lang w:val="es-CO"/>
        </w:rPr>
        <w:t>Definiciones. </w:t>
      </w:r>
      <w:r w:rsidRPr="0076277C">
        <w:rPr>
          <w:rFonts w:ascii="Verdana" w:hAnsi="Verdana"/>
          <w:sz w:val="16"/>
          <w:szCs w:val="16"/>
          <w:lang w:val="es-CO"/>
        </w:rPr>
        <w:t>Para efectos de la presente ley se entenderá por:</w:t>
      </w:r>
      <w:r w:rsidRPr="0076277C">
        <w:rPr>
          <w:rFonts w:ascii="Verdana" w:hAnsi="Verdana"/>
          <w:sz w:val="16"/>
          <w:szCs w:val="16"/>
        </w:rPr>
        <w:t xml:space="preserve"> </w:t>
      </w:r>
    </w:p>
    <w:p w14:paraId="45FDFE15" w14:textId="77777777" w:rsidR="002D45CF" w:rsidRPr="0076277C" w:rsidRDefault="002D45CF" w:rsidP="002D45CF">
      <w:pPr>
        <w:pStyle w:val="Textonotapie"/>
        <w:ind w:firstLine="709"/>
        <w:jc w:val="both"/>
        <w:rPr>
          <w:rFonts w:ascii="Verdana" w:hAnsi="Verdana"/>
          <w:sz w:val="16"/>
          <w:szCs w:val="16"/>
        </w:rPr>
      </w:pPr>
      <w:r w:rsidRPr="0076277C">
        <w:rPr>
          <w:rFonts w:ascii="Verdana" w:hAnsi="Verdana"/>
          <w:sz w:val="16"/>
          <w:szCs w:val="16"/>
        </w:rPr>
        <w:t>[…]</w:t>
      </w:r>
    </w:p>
    <w:p w14:paraId="3C0954C1" w14:textId="77777777" w:rsidR="002D45CF" w:rsidRPr="0076277C" w:rsidRDefault="002D45CF" w:rsidP="002D45CF">
      <w:pPr>
        <w:pStyle w:val="Textonotapie"/>
        <w:ind w:firstLine="709"/>
        <w:jc w:val="both"/>
        <w:rPr>
          <w:rFonts w:ascii="Verdana" w:hAnsi="Verdana"/>
          <w:sz w:val="16"/>
          <w:szCs w:val="16"/>
          <w:lang w:val="es-CO"/>
        </w:rPr>
      </w:pPr>
      <w:r w:rsidRPr="0076277C">
        <w:rPr>
          <w:rFonts w:ascii="Verdana" w:hAnsi="Verdana"/>
          <w:sz w:val="16"/>
          <w:szCs w:val="16"/>
          <w:lang w:val="es-CO"/>
        </w:rPr>
        <w:t>17. Preparación: Es el conjunto de acciones principalmente de coordinación, sistemas de alerta, capacitación, equipamiento, centros de reserva y albergues y entrenamiento, con el propósito de optimizar la ejecución de los diferentes servicios básicos de respuesta, como accesibilidad y transporte, telecomunicaciones, evaluación de daños y análisis de necesidades, salud y saneamiento básico, búsqueda y rescate, extinción de incendios y manejo de materiales peligrosos, albergues y alimentación, servicios públicos, seguridad y convivencia, aspectos financieros y legales, información pública y el manejo general de la respuesta, entre otros.</w:t>
      </w:r>
    </w:p>
    <w:p w14:paraId="4D0543E2" w14:textId="77777777" w:rsidR="002D45CF" w:rsidRPr="0076277C" w:rsidRDefault="002D45CF" w:rsidP="002D45CF">
      <w:pPr>
        <w:pStyle w:val="Textonotapie"/>
        <w:ind w:firstLine="709"/>
        <w:jc w:val="both"/>
        <w:rPr>
          <w:rFonts w:ascii="Verdana" w:hAnsi="Verdana"/>
          <w:sz w:val="16"/>
          <w:szCs w:val="16"/>
        </w:rPr>
      </w:pPr>
      <w:r w:rsidRPr="0076277C">
        <w:rPr>
          <w:rFonts w:ascii="Verdana" w:hAnsi="Verdana"/>
          <w:sz w:val="16"/>
          <w:szCs w:val="16"/>
        </w:rPr>
        <w:t>[…]</w:t>
      </w:r>
    </w:p>
    <w:p w14:paraId="5E0A11C9" w14:textId="77777777" w:rsidR="002D45CF" w:rsidRPr="0076277C" w:rsidRDefault="002D45CF" w:rsidP="002D45CF">
      <w:pPr>
        <w:pStyle w:val="Textonotapie"/>
        <w:ind w:firstLine="709"/>
        <w:jc w:val="both"/>
        <w:rPr>
          <w:rFonts w:ascii="Verdana" w:hAnsi="Verdana"/>
          <w:sz w:val="16"/>
          <w:szCs w:val="16"/>
          <w:lang w:val="es-CO"/>
        </w:rPr>
      </w:pPr>
      <w:r w:rsidRPr="0076277C">
        <w:rPr>
          <w:rFonts w:ascii="Verdana" w:hAnsi="Verdana"/>
          <w:sz w:val="16"/>
          <w:szCs w:val="16"/>
          <w:lang w:val="es-CO"/>
        </w:rPr>
        <w:t>24. Respuesta: Ejecución de las actividades necesarias para la atención de la emergencia como accesibilidad y transporte, telecomunicaciones, evaluación de daños y análisis de necesidades, salud y saneamiento básico, búsqueda y rescate, extinción de incendios y manejo de materiales peligrosos, albergues y alimentación, servicios públicos, seguridad y convivencia, aspectos financieros y legales, información pública y el manejo general de la respuesta, entre otros. La efectividad de la respuesta depende de la calidad de preparación.</w:t>
      </w:r>
    </w:p>
    <w:p w14:paraId="4359404F" w14:textId="77777777" w:rsidR="002D45CF" w:rsidRPr="0076277C" w:rsidRDefault="002D45CF" w:rsidP="002D45CF">
      <w:pPr>
        <w:pStyle w:val="Textonotapie"/>
        <w:ind w:firstLine="709"/>
        <w:jc w:val="both"/>
        <w:rPr>
          <w:rFonts w:ascii="Verdana" w:hAnsi="Verdana"/>
          <w:sz w:val="16"/>
          <w:szCs w:val="16"/>
          <w:lang w:val="es-CO"/>
        </w:rPr>
      </w:pPr>
      <w:r w:rsidRPr="0076277C">
        <w:rPr>
          <w:rFonts w:ascii="Verdana" w:hAnsi="Verdana"/>
          <w:sz w:val="16"/>
          <w:szCs w:val="16"/>
          <w:lang w:val="es-CO"/>
        </w:rPr>
        <w:t>[…]</w:t>
      </w:r>
    </w:p>
    <w:p w14:paraId="5204ECF1" w14:textId="77777777" w:rsidR="002D45CF" w:rsidRPr="0076277C" w:rsidRDefault="002D45CF" w:rsidP="002D45CF">
      <w:pPr>
        <w:pStyle w:val="Textonotapie"/>
        <w:ind w:firstLine="709"/>
        <w:jc w:val="both"/>
        <w:rPr>
          <w:rFonts w:ascii="Verdana" w:hAnsi="Verdana"/>
          <w:sz w:val="16"/>
          <w:szCs w:val="16"/>
        </w:rPr>
      </w:pPr>
      <w:r w:rsidRPr="0076277C">
        <w:rPr>
          <w:rFonts w:ascii="Verdana" w:hAnsi="Verdana"/>
          <w:sz w:val="16"/>
          <w:szCs w:val="16"/>
        </w:rPr>
        <w:t xml:space="preserve">Artículo 35. </w:t>
      </w:r>
      <w:r w:rsidRPr="0076277C">
        <w:rPr>
          <w:rFonts w:ascii="Verdana" w:hAnsi="Verdana"/>
          <w:i/>
          <w:iCs/>
          <w:sz w:val="16"/>
          <w:szCs w:val="16"/>
        </w:rPr>
        <w:t>Estrategia Nacional para la Respuesta a Emergencias. </w:t>
      </w:r>
      <w:r w:rsidRPr="0076277C">
        <w:rPr>
          <w:rFonts w:ascii="Verdana" w:hAnsi="Verdana"/>
          <w:sz w:val="16"/>
          <w:szCs w:val="16"/>
        </w:rPr>
        <w:t>La estrategia nacional para la respuesta a emergencias, es el marco de actuación de las entidades del sistema nacional de gestión del riesgo para la reacción y atención de emergencias. Se refiere a todos los aspectos que deben activarse por las entidades en forma individual y colectiva con el propósito de ejecutar la respuesta a emergencias de manera oportuna y efectiva.</w:t>
      </w:r>
    </w:p>
    <w:p w14:paraId="2202B604" w14:textId="77777777" w:rsidR="002D45CF" w:rsidRPr="0076277C" w:rsidRDefault="002D45CF" w:rsidP="002D45CF">
      <w:pPr>
        <w:pStyle w:val="Textonotapie"/>
        <w:ind w:firstLine="709"/>
        <w:jc w:val="both"/>
        <w:rPr>
          <w:rFonts w:ascii="Verdana" w:hAnsi="Verdana"/>
          <w:sz w:val="16"/>
          <w:szCs w:val="16"/>
        </w:rPr>
      </w:pPr>
      <w:r w:rsidRPr="0076277C">
        <w:rPr>
          <w:rFonts w:ascii="Verdana" w:hAnsi="Verdana"/>
          <w:sz w:val="16"/>
          <w:szCs w:val="16"/>
        </w:rPr>
        <w:t>Parágrafo.</w:t>
      </w:r>
    </w:p>
    <w:p w14:paraId="5D0D7079" w14:textId="77777777" w:rsidR="002D45CF" w:rsidRPr="0076277C" w:rsidRDefault="002D45CF" w:rsidP="002D45CF">
      <w:pPr>
        <w:pStyle w:val="Textonotapie"/>
        <w:ind w:firstLine="709"/>
        <w:jc w:val="both"/>
        <w:rPr>
          <w:rFonts w:ascii="Verdana" w:hAnsi="Verdana"/>
          <w:sz w:val="16"/>
          <w:szCs w:val="16"/>
          <w:lang w:val="es-CO"/>
        </w:rPr>
      </w:pPr>
      <w:r w:rsidRPr="0076277C">
        <w:rPr>
          <w:rFonts w:ascii="Verdana" w:hAnsi="Verdana"/>
          <w:sz w:val="16"/>
          <w:szCs w:val="16"/>
        </w:rPr>
        <w:t>La estrategia nacional para la respuesta a emergencias, como una acción de preparación para la respuesta que busca la efectividad de la actuación interinstitucional, en los tres niveles de gobierno, se centrará principalmente en la optimización de la prestación de servicios básicos durante la respuesta como accesibilidad y transporte, comunicaciones, evaluación de daños y análisis de necesidades, salud y saneamiento básico, búsqueda y rescate, extinción de incendios y manejo de materiales peligrosos, albergues y alimentación, servicios públicos, seguridad y convivencia, aspectos financieros y legales, información pública, información geográfica, el manejo general de la respuesta y definición de estados de alerta, entre otros”.</w:t>
      </w:r>
    </w:p>
    <w:p w14:paraId="67A0B490" w14:textId="77777777" w:rsidR="002D45CF" w:rsidRPr="0076277C" w:rsidRDefault="002D45CF" w:rsidP="002D45CF">
      <w:pPr>
        <w:pStyle w:val="Textonotapie"/>
        <w:rPr>
          <w:rFonts w:ascii="Verdana" w:hAnsi="Verdana"/>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1FD1C243" w14:textId="5921E836" w:rsidR="008A446D" w:rsidRPr="00C925AC" w:rsidRDefault="008A446D"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5pt;height:11.7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2C6ECA9C"/>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575E"/>
    <w:rsid w:val="000A683E"/>
    <w:rsid w:val="000B19B9"/>
    <w:rsid w:val="000B30EE"/>
    <w:rsid w:val="000B73E5"/>
    <w:rsid w:val="000D0334"/>
    <w:rsid w:val="000D5DA7"/>
    <w:rsid w:val="000F6486"/>
    <w:rsid w:val="00105EE0"/>
    <w:rsid w:val="00116940"/>
    <w:rsid w:val="00125105"/>
    <w:rsid w:val="00127233"/>
    <w:rsid w:val="0015699B"/>
    <w:rsid w:val="001A33BF"/>
    <w:rsid w:val="001D3B53"/>
    <w:rsid w:val="001E1D04"/>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D45CF"/>
    <w:rsid w:val="002E2BF8"/>
    <w:rsid w:val="002E4FD9"/>
    <w:rsid w:val="0030657A"/>
    <w:rsid w:val="00322A85"/>
    <w:rsid w:val="00324168"/>
    <w:rsid w:val="00330834"/>
    <w:rsid w:val="003448F4"/>
    <w:rsid w:val="00374F5E"/>
    <w:rsid w:val="00377E3E"/>
    <w:rsid w:val="003A779E"/>
    <w:rsid w:val="003B52C2"/>
    <w:rsid w:val="003D0F4D"/>
    <w:rsid w:val="003D5B0D"/>
    <w:rsid w:val="003E0499"/>
    <w:rsid w:val="003E4F80"/>
    <w:rsid w:val="003E6439"/>
    <w:rsid w:val="003F3941"/>
    <w:rsid w:val="00406575"/>
    <w:rsid w:val="00414C74"/>
    <w:rsid w:val="0042722E"/>
    <w:rsid w:val="0044528D"/>
    <w:rsid w:val="00466E39"/>
    <w:rsid w:val="004762DC"/>
    <w:rsid w:val="004A1847"/>
    <w:rsid w:val="004A305D"/>
    <w:rsid w:val="004C0A18"/>
    <w:rsid w:val="004F21C4"/>
    <w:rsid w:val="004F685F"/>
    <w:rsid w:val="005566E8"/>
    <w:rsid w:val="00574867"/>
    <w:rsid w:val="00591460"/>
    <w:rsid w:val="005A65E0"/>
    <w:rsid w:val="005B6B4C"/>
    <w:rsid w:val="005C3777"/>
    <w:rsid w:val="005C5CDC"/>
    <w:rsid w:val="005D476C"/>
    <w:rsid w:val="006200BF"/>
    <w:rsid w:val="006219F8"/>
    <w:rsid w:val="006302F7"/>
    <w:rsid w:val="00646B9F"/>
    <w:rsid w:val="00665D70"/>
    <w:rsid w:val="006727B0"/>
    <w:rsid w:val="006774DD"/>
    <w:rsid w:val="006900D9"/>
    <w:rsid w:val="00706C16"/>
    <w:rsid w:val="00725DCE"/>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44FBE"/>
    <w:rsid w:val="00867F95"/>
    <w:rsid w:val="008843B6"/>
    <w:rsid w:val="00891928"/>
    <w:rsid w:val="008A446D"/>
    <w:rsid w:val="008B25F1"/>
    <w:rsid w:val="008D180B"/>
    <w:rsid w:val="008F0EA7"/>
    <w:rsid w:val="008F21AB"/>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90B7C"/>
    <w:rsid w:val="00AA787E"/>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96A98"/>
    <w:rsid w:val="00CB6357"/>
    <w:rsid w:val="00CC1B26"/>
    <w:rsid w:val="00D361FD"/>
    <w:rsid w:val="00D423A2"/>
    <w:rsid w:val="00D44E26"/>
    <w:rsid w:val="00D520D8"/>
    <w:rsid w:val="00D57AB8"/>
    <w:rsid w:val="00D63AC2"/>
    <w:rsid w:val="00D7383B"/>
    <w:rsid w:val="00D7788A"/>
    <w:rsid w:val="00DA231B"/>
    <w:rsid w:val="00DC39FC"/>
    <w:rsid w:val="00DE788D"/>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E7C3F"/>
    <w:rsid w:val="00F23FEA"/>
    <w:rsid w:val="00F31EDC"/>
    <w:rsid w:val="00F462B3"/>
    <w:rsid w:val="00F5664F"/>
    <w:rsid w:val="00F666C4"/>
    <w:rsid w:val="00F76AFC"/>
    <w:rsid w:val="00F97009"/>
    <w:rsid w:val="00FA47C0"/>
    <w:rsid w:val="00FB5C86"/>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D45CF"/>
    <w:pPr>
      <w:spacing w:line="240" w:lineRule="exact"/>
    </w:pPr>
    <w:rPr>
      <w:vertAlign w:val="superscript"/>
    </w:rPr>
  </w:style>
  <w:style w:type="character" w:customStyle="1" w:styleId="baj">
    <w:name w:val="b_aj"/>
    <w:basedOn w:val="Fuentedeprrafopredeter"/>
    <w:rsid w:val="002D45CF"/>
  </w:style>
  <w:style w:type="character" w:customStyle="1" w:styleId="NormalWebCar">
    <w:name w:val="Normal (Web) Car"/>
    <w:link w:val="NormalWeb"/>
    <w:uiPriority w:val="99"/>
    <w:locked/>
    <w:rsid w:val="002D45CF"/>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052071215">
      <w:bodyDiv w:val="1"/>
      <w:marLeft w:val="0"/>
      <w:marRight w:val="0"/>
      <w:marTop w:val="0"/>
      <w:marBottom w:val="0"/>
      <w:divBdr>
        <w:top w:val="none" w:sz="0" w:space="0" w:color="auto"/>
        <w:left w:val="none" w:sz="0" w:space="0" w:color="auto"/>
        <w:bottom w:val="none" w:sz="0" w:space="0" w:color="auto"/>
        <w:right w:val="none" w:sz="0" w:space="0" w:color="auto"/>
      </w:divBdr>
    </w:div>
    <w:div w:id="112730918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Gobiernomunicipal@lacumbrevalle.gov.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C517476-D4B0-4C3D-BA95-F9DC4F95EF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33</Pages>
  <Words>10694</Words>
  <Characters>58823</Characters>
  <Application>Microsoft Office Word</Application>
  <DocSecurity>0</DocSecurity>
  <Lines>490</Lines>
  <Paragraphs>138</Paragraphs>
  <ScaleCrop>false</ScaleCrop>
  <Company/>
  <LinksUpToDate>false</LinksUpToDate>
  <CharactersWithSpaces>69379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7</cp:revision>
  <cp:lastPrinted>2023-01-10T21:18:00Z</cp:lastPrinted>
  <dcterms:created xsi:type="dcterms:W3CDTF">2026-06-01T20:59:00Z</dcterms:created>
  <dcterms:modified xsi:type="dcterms:W3CDTF">2026-06-04T18:15:00Z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