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77777777" w:rsidR="00F51D39" w:rsidRPr="004C046B" w:rsidRDefault="00F51D39" w:rsidP="00F51D39">
      <w:pPr>
        <w:spacing w:after="0" w:line="240" w:lineRule="auto"/>
        <w:contextualSpacing/>
        <w:jc w:val="both"/>
        <w:rPr>
          <w:rFonts w:ascii="Verdana" w:eastAsia="Calibri" w:hAnsi="Verdana" w:cs="Arial"/>
          <w:b/>
          <w:bCs/>
          <w:lang w:eastAsia="es-ES"/>
        </w:rPr>
      </w:pPr>
      <w:bookmarkStart w:id="0" w:name="_Hlk230693044"/>
      <w:r w:rsidRPr="004C046B">
        <w:rPr>
          <w:rFonts w:ascii="Verdana" w:eastAsia="Calibri" w:hAnsi="Verdana" w:cs="Arial"/>
          <w:b/>
          <w:bCs/>
          <w:lang w:eastAsia="es-ES"/>
        </w:rPr>
        <w:t>DECRETO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A5E13">
        <w:rPr>
          <w:rFonts w:ascii="Verdana" w:eastAsia="Calibri" w:hAnsi="Verdana" w:cs="Arial"/>
          <w:sz w:val="20"/>
          <w:szCs w:val="20"/>
          <w:lang w:eastAsia="es-ES"/>
        </w:rPr>
        <w:t>PcD</w:t>
      </w:r>
      <w:proofErr w:type="spellEnd"/>
      <w:r w:rsidRPr="000A5E13">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Pr="007B5AD4">
        <w:rPr>
          <w:rFonts w:ascii="Verdana" w:eastAsia="Calibri" w:hAnsi="Verdana" w:cs="Arial"/>
          <w:sz w:val="20"/>
          <w:szCs w:val="20"/>
          <w:lang w:eastAsia="es-ES"/>
        </w:rPr>
        <w:t>.</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artículo 2.2.1.2.4.2.7.4. del Decreto 0287 de 2026 es explícito al disponer que, aunque el proponente acredite simultáneamente ser emprendimiento o empresa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y ser empleador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r w:rsidRPr="007B5AD4">
        <w:rPr>
          <w:rFonts w:ascii="Verdana" w:eastAsia="Calibri" w:hAnsi="Verdana" w:cs="Arial"/>
          <w:sz w:val="20"/>
          <w:szCs w:val="20"/>
          <w:lang w:eastAsia="es-ES"/>
        </w:rPr>
        <w:t>.</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los documentos están dispuestos en el artículo 2.2.1.2.4.2.7.4, el cual exige, entre otros documentos, los certificados de aportes a seguridad social de los tres (3) meses anteriores a la presentación de la oferta respecto de cada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cuyas planillas no alcancen ese período, pudiendo el proponente acreditar el puntaje con base en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sí cumplen el requisito temporal y participar en el proceso sin el puntaje en caso de no alcanzar ninguna. El término de tres (3) </w:t>
      </w:r>
      <w:proofErr w:type="gramStart"/>
      <w:r w:rsidRPr="00C820EF">
        <w:rPr>
          <w:rFonts w:ascii="Verdana" w:eastAsia="Calibri" w:hAnsi="Verdana" w:cs="Arial"/>
          <w:sz w:val="20"/>
          <w:szCs w:val="20"/>
          <w:lang w:eastAsia="es-ES"/>
        </w:rPr>
        <w:t>meses aquí mencionado</w:t>
      </w:r>
      <w:proofErr w:type="gramEnd"/>
      <w:r w:rsidRPr="00C820EF">
        <w:rPr>
          <w:rFonts w:ascii="Verdana" w:eastAsia="Calibri" w:hAnsi="Verdana" w:cs="Arial"/>
          <w:sz w:val="20"/>
          <w:szCs w:val="20"/>
          <w:lang w:eastAsia="es-ES"/>
        </w:rPr>
        <w:t xml:space="preserve"> es diferente al término de un (1) año mencionado en el artículo 2.2.1.2.4.2.6 respecto de los emprendimientos y empresas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lastRenderedPageBreak/>
        <w:t xml:space="preserve">Para efectos de determinar el número mínimo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son los indicados en el artículo 2.2.1.2.4.2.6 y no los del artículo 2.2.1.2.4.2.7.4</w:t>
      </w:r>
      <w:r w:rsidRPr="003C64A5">
        <w:rPr>
          <w:rFonts w:ascii="Verdana" w:eastAsia="Calibri" w:hAnsi="Verdana" w:cs="Arial"/>
          <w:sz w:val="20"/>
          <w:szCs w:val="20"/>
          <w:lang w:eastAsia="es-ES"/>
        </w:rPr>
        <w:t>.</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Estos criterios aplican exclusivamente para el primer sujeto del sistema, es decir, los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y no para los empleadores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C938F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43E54D82"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EDB3A49"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 </w:t>
      </w:r>
      <w:r w:rsidRPr="007A1BCB">
        <w:rPr>
          <w:rFonts w:ascii="Verdana" w:eastAsia="Calibri" w:hAnsi="Verdana" w:cs="Arial"/>
          <w:sz w:val="20"/>
          <w:szCs w:val="20"/>
          <w:lang w:eastAsia="es-ES"/>
        </w:rPr>
        <w:t xml:space="preserve">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a emprendimientos y empresas de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r w:rsidRPr="00792D67">
        <w:rPr>
          <w:rFonts w:ascii="Verdana" w:eastAsia="Calibri" w:hAnsi="Verdana" w:cs="Arial"/>
          <w:sz w:val="20"/>
          <w:szCs w:val="20"/>
          <w:lang w:eastAsia="es-ES"/>
        </w:rPr>
        <w:t>.</w:t>
      </w:r>
    </w:p>
    <w:p w14:paraId="4B57D5FD"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3B932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Documentos tipo ‒ Principio de inalterabilidad ‒ Régimen de transición ‒ Actualización ‒ Colombia Compra Eficiente</w:t>
      </w:r>
    </w:p>
    <w:p w14:paraId="72C35466"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A89C82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15670">
        <w:rPr>
          <w:rFonts w:ascii="Verdana" w:eastAsia="Calibri" w:hAnsi="Verdana" w:cs="Arial"/>
          <w:sz w:val="20"/>
          <w:szCs w:val="20"/>
          <w:lang w:eastAsia="es-ES"/>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Pr="007B5AD4">
        <w:rPr>
          <w:rFonts w:ascii="Verdana" w:eastAsia="Calibri" w:hAnsi="Verdana" w:cs="Arial"/>
          <w:sz w:val="20"/>
          <w:szCs w:val="20"/>
          <w:lang w:eastAsia="es-ES"/>
        </w:rPr>
        <w:t xml:space="preserve">. </w:t>
      </w:r>
    </w:p>
    <w:p w14:paraId="22D0B78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3C1D2F0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Contratos de prestación de servicios ‒ personas con discapacidad ‒ Carácter potestativo ‒ Contratación directa</w:t>
      </w:r>
    </w:p>
    <w:p w14:paraId="46A0E9F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263D8AB2"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015670">
        <w:rPr>
          <w:rFonts w:ascii="Verdana" w:eastAsia="Calibri" w:hAnsi="Verdana" w:cs="Arial"/>
          <w:sz w:val="20"/>
          <w:szCs w:val="20"/>
          <w:lang w:eastAsia="es-ES"/>
        </w:rPr>
        <w:t xml:space="preserve"> la inclusión de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sidRPr="00015670">
        <w:rPr>
          <w:rFonts w:ascii="Verdana" w:eastAsia="Calibri" w:hAnsi="Verdana" w:cs="Arial"/>
          <w:sz w:val="20"/>
          <w:szCs w:val="20"/>
          <w:lang w:eastAsia="es-ES"/>
        </w:rPr>
        <w:lastRenderedPageBreak/>
        <w:t>esta medida a través del SECOP, evaluando pertinencia, duración, objeto y nivel de especialización de cada contrato</w:t>
      </w:r>
      <w:r w:rsidRPr="00A54668">
        <w:rPr>
          <w:rFonts w:ascii="Verdana" w:eastAsia="Calibri" w:hAnsi="Verdana" w:cs="Arial"/>
          <w:sz w:val="20"/>
          <w:szCs w:val="20"/>
          <w:lang w:eastAsia="es-ES"/>
        </w:rPr>
        <w:t>.</w:t>
      </w:r>
    </w:p>
    <w:p w14:paraId="21FE84D7"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C3AEC1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Compatibilidad ‒ Incentivos MiPymes ‒ Empresas de mujeres ‒ Criterio de desempate ‒ Ley 2069 de 2020</w:t>
      </w:r>
    </w:p>
    <w:p w14:paraId="3B803334"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0392D9A"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542B4">
        <w:rPr>
          <w:rFonts w:ascii="Verdana" w:eastAsia="Calibri" w:hAnsi="Verdana" w:cs="Arial"/>
          <w:sz w:val="20"/>
          <w:szCs w:val="20"/>
          <w:lang w:eastAsia="es-ES"/>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xml:space="preserve">, no a los emprendimientos y empresas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dicha norma exige que al menos el 10% de la nómina esté en condición de discapacidad y opera únicamente cuando hay empate entre dos o más ofertas</w:t>
      </w:r>
      <w:r w:rsidRPr="007B5AD4">
        <w:rPr>
          <w:rFonts w:ascii="Verdana" w:eastAsia="Calibri" w:hAnsi="Verdana" w:cs="Arial"/>
          <w:sz w:val="20"/>
          <w:szCs w:val="20"/>
          <w:lang w:eastAsia="es-ES"/>
        </w:rPr>
        <w:t>.</w:t>
      </w:r>
    </w:p>
    <w:p w14:paraId="6C97535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46648F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Compras públicas accesibles ‒ Obligación transversal ‒ Ausencia de normas técnicas ‒ Ficha técnica de accesibilidad ‒ Categorías de discapacidad</w:t>
      </w:r>
    </w:p>
    <w:p w14:paraId="630A0378"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340756"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Ahora, en cuanto a la obligación de compras públicas accesibles, esta es transversal a todos los entes del Estado y aplica en todos los contratos en los que se adquieran bienes, obras o servicios.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w:t>
      </w:r>
      <w:r w:rsidRPr="007B5AD4">
        <w:rPr>
          <w:rFonts w:ascii="Verdana" w:eastAsia="Calibri" w:hAnsi="Verdana" w:cs="Arial"/>
          <w:sz w:val="20"/>
          <w:szCs w:val="20"/>
          <w:lang w:eastAsia="es-ES"/>
        </w:rPr>
        <w:t>.</w:t>
      </w:r>
    </w:p>
    <w:p w14:paraId="710A219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CB6A1C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Ejecución contractual ‒ Permanencia de condiciones ‒ Reducción de personas con discapacidad vinculadas ‒ Incumplimiento contractual</w:t>
      </w:r>
    </w:p>
    <w:p w14:paraId="75690A8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59C703CA"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206556">
        <w:rPr>
          <w:rFonts w:ascii="Verdana" w:eastAsia="Calibri" w:hAnsi="Verdana" w:cs="Arial"/>
          <w:sz w:val="20"/>
          <w:szCs w:val="20"/>
          <w:lang w:eastAsia="es-ES"/>
        </w:rPr>
        <w:t>…</w:t>
      </w:r>
      <w:r>
        <w:rPr>
          <w:rFonts w:ascii="Verdana" w:eastAsia="Calibri" w:hAnsi="Verdana" w:cs="Arial"/>
          <w:sz w:val="20"/>
          <w:szCs w:val="20"/>
          <w:lang w:eastAsia="es-ES"/>
        </w:rPr>
        <w:t xml:space="preserve">) </w:t>
      </w:r>
      <w:r w:rsidRPr="00D33696">
        <w:rPr>
          <w:rFonts w:ascii="Verdana" w:eastAsia="Calibri" w:hAnsi="Verdana" w:cs="Arial"/>
          <w:sz w:val="20"/>
          <w:szCs w:val="20"/>
          <w:lang w:eastAsia="es-ES"/>
        </w:rPr>
        <w:t>El parágrafo 3 del artículo 2.2.1.2.4.2.7.4. del Decreto 0287 de 2026 establece que el contratista debe presentar con cada solicitud de pago la documentación que acredite la permanencia de las condiciones que dieron lugar al puntaje adicional, y que:</w:t>
      </w:r>
    </w:p>
    <w:p w14:paraId="42E92F54"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 </w:t>
      </w:r>
    </w:p>
    <w:p w14:paraId="06C9864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"la inobservancia de estas medidas y el incumplimiento injustificado en la reducción del número de trabajadores con discapacidad de la planta de personal acreditado para </w:t>
      </w:r>
      <w:r w:rsidRPr="00D33696">
        <w:rPr>
          <w:rFonts w:ascii="Verdana" w:eastAsia="Calibri" w:hAnsi="Verdana" w:cs="Arial"/>
          <w:sz w:val="20"/>
          <w:szCs w:val="20"/>
          <w:lang w:eastAsia="es-ES"/>
        </w:rPr>
        <w:lastRenderedPageBreak/>
        <w:t>obtener el puntaje adicional podrá constituir causal de incumplimiento contractual y se tramitará conforme a la normatividad vigente".</w:t>
      </w:r>
    </w:p>
    <w:p w14:paraId="7C3126AF"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p>
    <w:p w14:paraId="04A60010"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la norma busca estabilidad real y no meramente nominal, de modo que el contratista debe adoptar las medidas de permanencia compatibles con el ordenamiento laboral vigente.</w:t>
      </w:r>
    </w:p>
    <w:p w14:paraId="6F5D1C48"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6212F861"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w:t>
      </w:r>
      <w:r>
        <w:rPr>
          <w:rFonts w:ascii="Verdana" w:eastAsia="Calibri" w:hAnsi="Verdana" w:cs="Arial"/>
          <w:b/>
          <w:bCs/>
          <w:lang w:eastAsia="es-ES"/>
        </w:rPr>
        <w:t>Entidades de r</w:t>
      </w:r>
      <w:r w:rsidRPr="004C046B">
        <w:rPr>
          <w:rFonts w:ascii="Verdana" w:eastAsia="Calibri" w:hAnsi="Verdana" w:cs="Arial"/>
          <w:b/>
          <w:bCs/>
          <w:lang w:eastAsia="es-ES"/>
        </w:rPr>
        <w:t>égimen especial ‒ Aplicación</w:t>
      </w:r>
    </w:p>
    <w:p w14:paraId="0CCF95C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B0D1E7"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E910FB">
        <w:rPr>
          <w:rFonts w:ascii="Verdana" w:eastAsia="Calibri" w:hAnsi="Verdana" w:cs="Arial"/>
          <w:sz w:val="20"/>
          <w:szCs w:val="20"/>
          <w:lang w:eastAsia="es-ES"/>
        </w:rPr>
        <w:t xml:space="preserve">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E910FB">
        <w:rPr>
          <w:rFonts w:ascii="Verdana" w:eastAsia="Calibri" w:hAnsi="Verdana" w:cs="Arial"/>
          <w:sz w:val="20"/>
          <w:szCs w:val="20"/>
          <w:lang w:eastAsia="es-ES"/>
        </w:rPr>
        <w:t>PcD</w:t>
      </w:r>
      <w:proofErr w:type="spellEnd"/>
      <w:r w:rsidRPr="00E910FB">
        <w:rPr>
          <w:rFonts w:ascii="Verdana" w:eastAsia="Calibri" w:hAnsi="Verdana" w:cs="Arial"/>
          <w:sz w:val="20"/>
          <w:szCs w:val="20"/>
          <w:lang w:eastAsia="es-ES"/>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247134A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25FDCB2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1468556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01A0A13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0A558430"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DBCEAAD"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lastRenderedPageBreak/>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83A788"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CBEE2D7"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Para los procesos de contratación con proyecto de pliego </w:t>
      </w:r>
      <w:proofErr w:type="gramStart"/>
      <w:r w:rsidRPr="004C046B">
        <w:rPr>
          <w:rFonts w:ascii="Verdana" w:eastAsia="Calibri" w:hAnsi="Verdana" w:cs="Arial"/>
          <w:sz w:val="20"/>
          <w:szCs w:val="20"/>
          <w:lang w:eastAsia="es-ES"/>
        </w:rPr>
        <w:t>publicado</w:t>
      </w:r>
      <w:proofErr w:type="gramEnd"/>
      <w:r w:rsidRPr="004C046B">
        <w:rPr>
          <w:rFonts w:ascii="Verdana" w:eastAsia="Calibri" w:hAnsi="Verdana" w:cs="Arial"/>
          <w:sz w:val="20"/>
          <w:szCs w:val="20"/>
          <w:lang w:eastAsia="es-ES"/>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p>
    <w:p w14:paraId="12110672"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91AF36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EDA3021"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BFC3C7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B29E45D"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212A9250"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793BC852" w14:textId="77777777" w:rsidR="008D5774" w:rsidRPr="00206556"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A6A7E64" w14:textId="77777777" w:rsidR="006B694D" w:rsidRDefault="006B694D" w:rsidP="001B064E">
      <w:pPr>
        <w:spacing w:after="0"/>
        <w:rPr>
          <w:rFonts w:ascii="Verdana" w:hAnsi="Verdana"/>
          <w:lang w:val="es-ES_tradnl"/>
        </w:rPr>
      </w:pPr>
    </w:p>
    <w:p w14:paraId="7232AAD6" w14:textId="77777777" w:rsidR="006B694D" w:rsidRDefault="006B694D" w:rsidP="001B064E">
      <w:pPr>
        <w:spacing w:after="0"/>
        <w:rPr>
          <w:rFonts w:ascii="Verdana" w:hAnsi="Verdana"/>
          <w:lang w:val="es-ES_tradnl"/>
        </w:rPr>
      </w:pPr>
    </w:p>
    <w:p w14:paraId="119F3C55" w14:textId="77777777" w:rsidR="006B694D" w:rsidRDefault="006B694D" w:rsidP="001B064E">
      <w:pPr>
        <w:spacing w:after="0"/>
        <w:rPr>
          <w:rFonts w:ascii="Verdana" w:hAnsi="Verdana"/>
          <w:lang w:val="es-ES_tradnl"/>
        </w:rPr>
      </w:pPr>
    </w:p>
    <w:p w14:paraId="640AD810" w14:textId="77777777" w:rsidR="006B694D" w:rsidRDefault="006B694D" w:rsidP="001B064E">
      <w:pPr>
        <w:spacing w:after="0"/>
        <w:rPr>
          <w:rFonts w:ascii="Verdana" w:hAnsi="Verdana"/>
          <w:lang w:val="es-ES_tradnl"/>
        </w:rPr>
      </w:pPr>
    </w:p>
    <w:p w14:paraId="6D917EF6" w14:textId="77777777" w:rsidR="006B694D" w:rsidRDefault="006B694D" w:rsidP="001B064E">
      <w:pPr>
        <w:spacing w:after="0"/>
        <w:rPr>
          <w:rFonts w:ascii="Verdana" w:hAnsi="Verdana"/>
          <w:lang w:val="es-ES_tradnl"/>
        </w:rPr>
      </w:pPr>
    </w:p>
    <w:p w14:paraId="53562C22" w14:textId="77777777" w:rsidR="006B694D" w:rsidRDefault="006B694D" w:rsidP="001B064E">
      <w:pPr>
        <w:spacing w:after="0"/>
        <w:rPr>
          <w:rFonts w:ascii="Verdana" w:hAnsi="Verdana"/>
          <w:lang w:val="es-ES_tradnl"/>
        </w:rPr>
      </w:pPr>
    </w:p>
    <w:p w14:paraId="7A9E6280" w14:textId="77777777" w:rsidR="006B694D" w:rsidRDefault="006B694D" w:rsidP="001B064E">
      <w:pPr>
        <w:spacing w:after="0"/>
        <w:rPr>
          <w:rFonts w:ascii="Verdana" w:hAnsi="Verdana"/>
          <w:lang w:val="es-ES_tradnl"/>
        </w:rPr>
      </w:pPr>
    </w:p>
    <w:p w14:paraId="0DE60436" w14:textId="77777777" w:rsidR="006B694D" w:rsidRDefault="006B694D" w:rsidP="001B064E">
      <w:pPr>
        <w:spacing w:after="0"/>
        <w:rPr>
          <w:rFonts w:ascii="Verdana" w:hAnsi="Verdana"/>
          <w:lang w:val="es-ES_tradnl"/>
        </w:rPr>
      </w:pPr>
    </w:p>
    <w:p w14:paraId="404FD63E" w14:textId="77777777" w:rsidR="006B694D" w:rsidRDefault="006B694D" w:rsidP="001B064E">
      <w:pPr>
        <w:spacing w:after="0"/>
        <w:rPr>
          <w:rFonts w:ascii="Verdana" w:hAnsi="Verdana"/>
          <w:lang w:val="es-ES_tradnl"/>
        </w:rPr>
      </w:pPr>
    </w:p>
    <w:p w14:paraId="53C94B5D" w14:textId="77777777" w:rsidR="006B694D" w:rsidRDefault="006B694D" w:rsidP="001B064E">
      <w:pPr>
        <w:spacing w:after="0"/>
        <w:rPr>
          <w:rFonts w:ascii="Verdana" w:hAnsi="Verdana"/>
          <w:lang w:val="es-ES_tradnl"/>
        </w:rPr>
      </w:pPr>
    </w:p>
    <w:p w14:paraId="4948C67A" w14:textId="77777777" w:rsidR="006B694D" w:rsidRDefault="006B694D" w:rsidP="001B064E">
      <w:pPr>
        <w:spacing w:after="0"/>
        <w:rPr>
          <w:rFonts w:ascii="Verdana" w:hAnsi="Verdana"/>
          <w:lang w:val="es-ES_tradnl"/>
        </w:rPr>
      </w:pPr>
    </w:p>
    <w:p w14:paraId="12528B7C" w14:textId="77777777" w:rsidR="006B694D" w:rsidRDefault="006B694D" w:rsidP="001B064E">
      <w:pPr>
        <w:spacing w:after="0"/>
        <w:rPr>
          <w:rFonts w:ascii="Verdana" w:hAnsi="Verdana"/>
          <w:lang w:val="es-ES_tradnl"/>
        </w:rPr>
      </w:pPr>
    </w:p>
    <w:p w14:paraId="2303ACB3" w14:textId="77777777" w:rsidR="006B694D" w:rsidRDefault="006B694D" w:rsidP="001B064E">
      <w:pPr>
        <w:spacing w:after="0"/>
        <w:rPr>
          <w:rFonts w:ascii="Verdana" w:hAnsi="Verdana"/>
          <w:lang w:val="es-ES_tradnl"/>
        </w:rPr>
      </w:pPr>
    </w:p>
    <w:p w14:paraId="5EF01884" w14:textId="77777777" w:rsidR="006B694D" w:rsidRDefault="006B694D" w:rsidP="001B064E">
      <w:pPr>
        <w:spacing w:after="0"/>
        <w:rPr>
          <w:rFonts w:ascii="Verdana" w:hAnsi="Verdana"/>
          <w:lang w:val="es-ES_tradnl"/>
        </w:rPr>
      </w:pPr>
    </w:p>
    <w:p w14:paraId="04097CB2" w14:textId="77777777" w:rsidR="006B694D" w:rsidRDefault="006B694D" w:rsidP="001B064E">
      <w:pPr>
        <w:spacing w:after="0"/>
        <w:rPr>
          <w:rFonts w:ascii="Verdana" w:hAnsi="Verdana"/>
          <w:lang w:val="es-ES_tradnl"/>
        </w:rPr>
      </w:pPr>
    </w:p>
    <w:p w14:paraId="004836A2" w14:textId="77777777" w:rsidR="006B694D" w:rsidRDefault="006B694D" w:rsidP="001B064E">
      <w:pPr>
        <w:spacing w:after="0"/>
        <w:rPr>
          <w:rFonts w:ascii="Verdana" w:hAnsi="Verdana"/>
          <w:lang w:val="es-ES_tradnl"/>
        </w:rPr>
      </w:pPr>
    </w:p>
    <w:p w14:paraId="75C6C21E" w14:textId="77777777" w:rsidR="00960D60" w:rsidRDefault="00960D60" w:rsidP="001B064E">
      <w:pPr>
        <w:spacing w:after="0"/>
        <w:rPr>
          <w:rFonts w:ascii="Verdana" w:hAnsi="Verdana"/>
          <w:lang w:val="es-ES_tradnl"/>
        </w:rPr>
      </w:pPr>
    </w:p>
    <w:p w14:paraId="62D221C9" w14:textId="02FC4A3D" w:rsidR="001B064E" w:rsidRPr="00777292" w:rsidRDefault="00143FFF" w:rsidP="001B064E">
      <w:pPr>
        <w:spacing w:after="0"/>
        <w:rPr>
          <w:rFonts w:ascii="Verdana" w:hAnsi="Verdana"/>
          <w:lang w:val="es-ES_tradnl"/>
        </w:rPr>
      </w:pPr>
      <w:r w:rsidRPr="00143FFF">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1D3D47DA" wp14:editId="7D507CA7">
            <wp:simplePos x="0" y="0"/>
            <wp:positionH relativeFrom="margin">
              <wp:align>right</wp:align>
            </wp:positionH>
            <wp:positionV relativeFrom="paragraph">
              <wp:posOffset>9221</wp:posOffset>
            </wp:positionV>
            <wp:extent cx="2332355" cy="692150"/>
            <wp:effectExtent l="0" t="0" r="0" b="0"/>
            <wp:wrapSquare wrapText="bothSides"/>
            <wp:docPr id="153270353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703534" name="Imagen 1"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32355" cy="692150"/>
                    </a:xfrm>
                    <a:prstGeom prst="rect">
                      <a:avLst/>
                    </a:prstGeom>
                  </pic:spPr>
                </pic:pic>
              </a:graphicData>
            </a:graphic>
            <wp14:sizeRelH relativeFrom="page">
              <wp14:pctWidth>0</wp14:pctWidth>
            </wp14:sizeRelH>
            <wp14:sizeRelV relativeFrom="page">
              <wp14:pctHeight>0</wp14:pctHeight>
            </wp14:sizeRelV>
          </wp:anchor>
        </w:drawing>
      </w:r>
      <w:r w:rsidRPr="00143FFF">
        <w:rPr>
          <w:rFonts w:ascii="Verdana" w:hAnsi="Verdana"/>
        </w:rPr>
        <w:t xml:space="preserve">Bogotá D.C., 03 de </w:t>
      </w:r>
      <w:r w:rsidR="00EC7FDC" w:rsidRPr="00143FFF">
        <w:rPr>
          <w:rFonts w:ascii="Verdana" w:hAnsi="Verdana"/>
        </w:rPr>
        <w:t>junio</w:t>
      </w:r>
      <w:r w:rsidRPr="00143FFF">
        <w:rPr>
          <w:rFonts w:ascii="Verdana" w:hAnsi="Verdana"/>
        </w:rPr>
        <w:t xml:space="preserve"> de 2026</w:t>
      </w:r>
    </w:p>
    <w:p w14:paraId="5DF4E0A1" w14:textId="6FE8BEF6" w:rsidR="008D5774" w:rsidRPr="00777292" w:rsidRDefault="008D5774" w:rsidP="008D5774">
      <w:pPr>
        <w:spacing w:after="0"/>
        <w:rPr>
          <w:rFonts w:ascii="Verdana" w:hAnsi="Verdana"/>
          <w:lang w:val="es-ES_tradnl"/>
        </w:rPr>
      </w:pPr>
    </w:p>
    <w:p w14:paraId="165A5F33" w14:textId="3F0BE706" w:rsidR="008D5774" w:rsidRPr="00777292" w:rsidRDefault="008D5774" w:rsidP="008D5774">
      <w:pPr>
        <w:spacing w:after="0" w:line="240" w:lineRule="auto"/>
        <w:rPr>
          <w:rFonts w:ascii="Verdana" w:hAnsi="Verdana"/>
          <w:lang w:val="es-ES"/>
        </w:rPr>
      </w:pPr>
      <w:bookmarkStart w:id="1" w:name="_Hlk143780582"/>
      <w:r w:rsidRPr="00777292">
        <w:rPr>
          <w:rFonts w:ascii="Verdana" w:eastAsia="Calibri" w:hAnsi="Verdana" w:cs="Arial"/>
          <w:lang w:val="es-ES" w:eastAsia="es-ES"/>
        </w:rPr>
        <w:t>Señor</w:t>
      </w:r>
      <w:r w:rsidR="00F51D39">
        <w:rPr>
          <w:rFonts w:ascii="Verdana" w:eastAsia="Calibri" w:hAnsi="Verdana" w:cs="Arial"/>
          <w:lang w:val="es-ES" w:eastAsia="es-ES"/>
        </w:rPr>
        <w:t>a</w:t>
      </w:r>
    </w:p>
    <w:p w14:paraId="2402F1C9" w14:textId="0445C3A3" w:rsidR="008D5774" w:rsidRPr="006B694D" w:rsidRDefault="00127F4E" w:rsidP="008D5774">
      <w:pPr>
        <w:spacing w:after="0"/>
        <w:rPr>
          <w:rFonts w:ascii="Verdana" w:eastAsia="Calibri" w:hAnsi="Verdana" w:cs="Arial"/>
          <w:b/>
          <w:bCs/>
          <w:lang w:val="es-ES" w:eastAsia="es-ES"/>
        </w:rPr>
      </w:pPr>
      <w:r>
        <w:rPr>
          <w:rFonts w:ascii="Verdana" w:eastAsia="Calibri" w:hAnsi="Verdana" w:cs="Arial"/>
          <w:b/>
          <w:bCs/>
          <w:lang w:val="es-ES" w:eastAsia="es-ES"/>
        </w:rPr>
        <w:t>Germán Alfredo Bazzani Pradere</w:t>
      </w:r>
    </w:p>
    <w:p w14:paraId="161EFC6C" w14:textId="7436F9B2" w:rsidR="008D5774" w:rsidRPr="006B694D" w:rsidRDefault="00127F4E" w:rsidP="008D5774">
      <w:pPr>
        <w:spacing w:after="0"/>
        <w:rPr>
          <w:rStyle w:val="Hipervnculo"/>
          <w:rFonts w:ascii="Verdana" w:hAnsi="Verdana"/>
          <w:color w:val="ED7D31" w:themeColor="accent2"/>
        </w:rPr>
      </w:pPr>
      <w:r>
        <w:rPr>
          <w:rFonts w:ascii="Verdana" w:hAnsi="Verdana"/>
        </w:rPr>
        <w:t>Bazzani.licitaciones20@gmail.com</w:t>
      </w:r>
    </w:p>
    <w:p w14:paraId="61203DA3" w14:textId="1E8DF0B7" w:rsidR="001B6C7C" w:rsidRPr="00777292" w:rsidRDefault="00127F4E" w:rsidP="001B6C7C">
      <w:pPr>
        <w:spacing w:after="0"/>
        <w:rPr>
          <w:rFonts w:ascii="Verdana" w:eastAsia="Calibri" w:hAnsi="Verdana" w:cs="Arial"/>
          <w:lang w:eastAsia="es-ES"/>
        </w:rPr>
      </w:pPr>
      <w:r>
        <w:rPr>
          <w:rFonts w:ascii="Verdana" w:eastAsia="Calibri" w:hAnsi="Verdana" w:cs="Arial"/>
          <w:lang w:eastAsia="es-ES"/>
        </w:rPr>
        <w:t>Bogotá</w:t>
      </w:r>
      <w:r w:rsidR="00377CDF">
        <w:rPr>
          <w:rFonts w:ascii="Verdana" w:eastAsia="Calibri" w:hAnsi="Verdana" w:cs="Arial"/>
          <w:lang w:eastAsia="es-ES"/>
        </w:rPr>
        <w:t xml:space="preserve">, </w:t>
      </w:r>
      <w:r>
        <w:rPr>
          <w:rFonts w:ascii="Verdana" w:eastAsia="Calibri" w:hAnsi="Verdana" w:cs="Arial"/>
          <w:lang w:eastAsia="es-ES"/>
        </w:rPr>
        <w:t>Cundinamarca</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5494A169" w:rsidR="001B6C7C" w:rsidRPr="00777292" w:rsidRDefault="001B6C7C">
            <w:pPr>
              <w:jc w:val="both"/>
              <w:rPr>
                <w:rFonts w:ascii="Verdana" w:eastAsia="Calibri" w:hAnsi="Verdana" w:cs="Arial"/>
                <w:b/>
                <w:bCs/>
                <w:lang w:eastAsia="es-ES"/>
              </w:rPr>
            </w:pPr>
            <w:r w:rsidRPr="00777292">
              <w:rPr>
                <w:rFonts w:ascii="Verdana" w:eastAsia="Calibri" w:hAnsi="Verdana" w:cs="Arial"/>
                <w:b/>
                <w:bCs/>
                <w:lang w:eastAsia="es-ES"/>
              </w:rPr>
              <w:t>Concepto C-</w:t>
            </w:r>
            <w:r w:rsidR="006B694D">
              <w:rPr>
                <w:rFonts w:ascii="Verdana" w:eastAsia="Calibri" w:hAnsi="Verdana" w:cs="Arial"/>
                <w:b/>
                <w:bCs/>
                <w:lang w:eastAsia="es-ES"/>
              </w:rPr>
              <w:t xml:space="preserve"> </w:t>
            </w:r>
            <w:r w:rsidR="000D5C2D">
              <w:rPr>
                <w:rFonts w:ascii="Verdana" w:eastAsia="Calibri" w:hAnsi="Verdana" w:cs="Arial"/>
                <w:b/>
                <w:bCs/>
                <w:lang w:eastAsia="es-ES"/>
              </w:rPr>
              <w:t>64</w:t>
            </w:r>
            <w:r w:rsidR="00127F4E">
              <w:rPr>
                <w:rFonts w:ascii="Verdana" w:eastAsia="Calibri" w:hAnsi="Verdana" w:cs="Arial"/>
                <w:b/>
                <w:bCs/>
                <w:lang w:eastAsia="es-ES"/>
              </w:rPr>
              <w:t>5</w:t>
            </w:r>
            <w:r w:rsidRPr="00777292">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07B71920" w14:textId="77777777" w:rsidR="00D37910" w:rsidRDefault="00D37910" w:rsidP="00D37910">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No acumulabilidad ‒ Acreditación simultánea de condiciones ‒ Modalidades de selección aplicables</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Vinculación de personas con discapacidad ‒ Planillas de seguridad social ‒ Período de tres meses ‒ Vinculaciones recientes</w:t>
            </w:r>
            <w:r>
              <w:rPr>
                <w:rFonts w:ascii="Verdana" w:eastAsia="Calibri" w:hAnsi="Verdana" w:cs="Arial"/>
                <w:lang w:eastAsia="es-ES"/>
              </w:rPr>
              <w:t xml:space="preserve"> / </w:t>
            </w:r>
            <w:r w:rsidRPr="00777292">
              <w:rPr>
                <w:rFonts w:ascii="Verdana" w:eastAsia="Calibri" w:hAnsi="Verdana" w:cs="Arial"/>
                <w:lang w:eastAsia="es-ES"/>
              </w:rPr>
              <w:t>DECRETO 0287 DE 2026 ‒ Criterios habilitantes diferenciales ‒ Ajustados ‒ Obligatoriedad ‒ Proporcionalidad ‒ Proponentes plurales ‒ Consorcios y uniones temporales</w:t>
            </w:r>
            <w:r>
              <w:rPr>
                <w:rFonts w:ascii="Verdana" w:eastAsia="Calibri" w:hAnsi="Verdana" w:cs="Arial"/>
                <w:lang w:eastAsia="es-ES"/>
              </w:rPr>
              <w:t xml:space="preserve"> / </w:t>
            </w:r>
            <w:r w:rsidRPr="00777292">
              <w:rPr>
                <w:rFonts w:ascii="Verdana" w:eastAsia="Calibri" w:hAnsi="Verdana" w:cs="Arial"/>
                <w:lang w:eastAsia="es-ES"/>
              </w:rPr>
              <w:t>DECRETO 0287 DE 2026 ‒ Condiciones especiales de ejecución ‒ Subcontratación inclusiva ‒ Integración del equipo de trabajo ‒ Obligatoriedad ‒ Justificación de omisión</w:t>
            </w:r>
            <w:r>
              <w:rPr>
                <w:rFonts w:ascii="Verdana" w:eastAsia="Calibri" w:hAnsi="Verdana" w:cs="Arial"/>
                <w:lang w:eastAsia="es-ES"/>
              </w:rPr>
              <w:t xml:space="preserve"> / </w:t>
            </w:r>
            <w:r w:rsidRPr="00777292">
              <w:rPr>
                <w:rFonts w:ascii="Verdana" w:eastAsia="Calibri" w:hAnsi="Verdana" w:cs="Arial"/>
                <w:lang w:eastAsia="es-ES"/>
              </w:rPr>
              <w:t>DECRETO 0287 DE 2026 ‒ Documentos tipo ‒ Principio de inalterabilidad ‒ Régimen de transición ‒ Actualización ‒ Colombia Compra Eficiente</w:t>
            </w:r>
            <w:r>
              <w:rPr>
                <w:rFonts w:ascii="Verdana" w:eastAsia="Calibri" w:hAnsi="Verdana" w:cs="Arial"/>
                <w:lang w:eastAsia="es-ES"/>
              </w:rPr>
              <w:t xml:space="preserve"> / </w:t>
            </w:r>
            <w:r w:rsidRPr="00777292">
              <w:rPr>
                <w:rFonts w:ascii="Verdana" w:eastAsia="Calibri" w:hAnsi="Verdana" w:cs="Arial"/>
                <w:lang w:eastAsia="es-ES"/>
              </w:rPr>
              <w:t>DECRETO 0287 DE 2026 ‒ Contratos de prestación de servicios ‒ personas con discapacidad ‒ Carácter potestativo ‒ Contratación directa</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Compatibilidad ‒ Incentivos MiPymes ‒ Empresas de mujeres ‒ Criterio de desempate ‒ Ley 2069 de 2020</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Compras públicas accesibles ‒ Obligación transversal ‒ Ausencia de normas técnicas ‒ Ficha </w:t>
            </w:r>
            <w:r w:rsidRPr="00777292">
              <w:rPr>
                <w:rFonts w:ascii="Verdana" w:eastAsia="Calibri" w:hAnsi="Verdana" w:cs="Arial"/>
                <w:lang w:eastAsia="es-ES"/>
              </w:rPr>
              <w:lastRenderedPageBreak/>
              <w:t>técnica de accesibilidad ‒ Categorías de discapacidad</w:t>
            </w:r>
            <w:r>
              <w:rPr>
                <w:rFonts w:ascii="Verdana" w:eastAsia="Calibri" w:hAnsi="Verdana" w:cs="Arial"/>
                <w:lang w:eastAsia="es-ES"/>
              </w:rPr>
              <w:t xml:space="preserve"> /</w:t>
            </w:r>
            <w:r>
              <w:t xml:space="preserve"> </w:t>
            </w:r>
            <w:r w:rsidRPr="00777292">
              <w:rPr>
                <w:rFonts w:ascii="Verdana" w:eastAsia="Calibri" w:hAnsi="Verdana" w:cs="Arial"/>
                <w:lang w:eastAsia="es-ES"/>
              </w:rPr>
              <w:t>DECRETO 0287 DE 2026 ‒ Ejecución contractual ‒ Permanencia de condiciones ‒ Reducción de personas con discapacidad vinculadas ‒ Incumplimiento contractual</w:t>
            </w:r>
            <w:r>
              <w:rPr>
                <w:rFonts w:ascii="Verdana" w:eastAsia="Calibri" w:hAnsi="Verdana" w:cs="Arial"/>
                <w:lang w:eastAsia="es-ES"/>
              </w:rPr>
              <w:t xml:space="preserve"> / </w:t>
            </w:r>
            <w:r w:rsidRPr="00777292">
              <w:rPr>
                <w:rFonts w:ascii="Verdana" w:eastAsia="Calibri" w:hAnsi="Verdana" w:cs="Arial"/>
                <w:lang w:eastAsia="es-ES"/>
              </w:rPr>
              <w:t>DECRETO 0287 DE 2026 ‒ Entidades de régimen especial ‒ Aplicación</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p w14:paraId="34C0CDD8" w14:textId="7D0BA071" w:rsidR="00D37910" w:rsidRPr="00777292" w:rsidRDefault="00D37910" w:rsidP="00D37910">
            <w:pPr>
              <w:contextualSpacing/>
              <w:jc w:val="both"/>
              <w:rPr>
                <w:rFonts w:ascii="Verdana" w:eastAsia="Calibri" w:hAnsi="Verdana" w:cs="Arial"/>
                <w:lang w:eastAsia="es-ES"/>
              </w:rPr>
            </w:pP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sidRPr="00777292">
              <w:rPr>
                <w:rFonts w:ascii="Verdana" w:eastAsia="Calibri" w:hAnsi="Verdana" w:cs="Arial"/>
                <w:b/>
                <w:lang w:eastAsia="es-ES_tradnl"/>
              </w:rPr>
              <w:lastRenderedPageBreak/>
              <w:t>Radicación:</w:t>
            </w:r>
            <w:r w:rsidRPr="00777292">
              <w:rPr>
                <w:rFonts w:ascii="Verdana" w:eastAsia="Calibri" w:hAnsi="Verdana" w:cs="Arial"/>
                <w:lang w:eastAsia="es-ES_tradnl"/>
              </w:rPr>
              <w:t xml:space="preserve">               </w:t>
            </w:r>
          </w:p>
        </w:tc>
        <w:tc>
          <w:tcPr>
            <w:tcW w:w="6100" w:type="dxa"/>
          </w:tcPr>
          <w:p w14:paraId="7EDDA735" w14:textId="13E27D08"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005562C3">
              <w:rPr>
                <w:rFonts w:ascii="Verdana" w:eastAsia="Calibri" w:hAnsi="Verdana" w:cs="Arial"/>
                <w:lang w:eastAsia="es-ES_tradnl"/>
              </w:rPr>
              <w:t xml:space="preserve"> </w:t>
            </w:r>
            <w:r w:rsidR="003E67A6" w:rsidRPr="003E67A6">
              <w:rPr>
                <w:rFonts w:ascii="Verdana" w:eastAsia="Calibri" w:hAnsi="Verdana" w:cs="Arial"/>
                <w:lang w:eastAsia="es-ES_tradnl"/>
              </w:rPr>
              <w:t>1_2026_04_24_005599</w:t>
            </w:r>
          </w:p>
        </w:tc>
      </w:tr>
    </w:tbl>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2A3EC083"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Estimad</w:t>
      </w:r>
      <w:r w:rsidR="00C622DE" w:rsidRPr="006B694D">
        <w:rPr>
          <w:rFonts w:ascii="Verdana" w:eastAsia="Calibri" w:hAnsi="Verdana" w:cs="Arial"/>
          <w:lang w:val="es-ES" w:eastAsia="es-ES"/>
        </w:rPr>
        <w:t>o</w:t>
      </w:r>
      <w:r w:rsidRPr="006B694D">
        <w:rPr>
          <w:rFonts w:ascii="Verdana" w:eastAsia="Calibri" w:hAnsi="Verdana" w:cs="Arial"/>
          <w:lang w:val="es-ES" w:eastAsia="es-ES"/>
        </w:rPr>
        <w:t xml:space="preserve"> </w:t>
      </w:r>
      <w:r w:rsidR="00F51D39">
        <w:rPr>
          <w:rFonts w:ascii="Verdana" w:eastAsia="Calibri" w:hAnsi="Verdana" w:cs="Arial"/>
          <w:lang w:val="es-ES" w:eastAsia="es-ES"/>
        </w:rPr>
        <w:t>señ</w:t>
      </w:r>
      <w:r w:rsidR="00377CDF">
        <w:rPr>
          <w:rFonts w:ascii="Verdana" w:eastAsia="Calibri" w:hAnsi="Verdana" w:cs="Arial"/>
          <w:lang w:val="es-ES" w:eastAsia="es-ES"/>
        </w:rPr>
        <w:t xml:space="preserve">or </w:t>
      </w:r>
      <w:r w:rsidR="00127F4E">
        <w:rPr>
          <w:rFonts w:ascii="Verdana" w:eastAsia="Calibri" w:hAnsi="Verdana" w:cs="Arial"/>
          <w:lang w:val="es-ES" w:eastAsia="es-ES"/>
        </w:rPr>
        <w:t>Bazzani</w:t>
      </w:r>
      <w:r w:rsidRPr="006B694D">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426E35D" w14:textId="0481BB8C"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En ejercicio de la competencia otorgada por los artículos 3, numeral 5º, y 11, numeral 8º, del Decreto Ley 4170 de 2011,</w:t>
      </w:r>
      <w:r w:rsidRPr="006B694D">
        <w:rPr>
          <w:rFonts w:ascii="Verdana" w:eastAsia="Arial MT" w:hAnsi="Verdana" w:cs="Arial MT"/>
          <w:lang w:val="es-ES" w:eastAsia="es-ES"/>
        </w:rPr>
        <w:t xml:space="preserve"> </w:t>
      </w:r>
      <w:r w:rsidRPr="006B694D">
        <w:rPr>
          <w:rFonts w:ascii="Verdana" w:hAnsi="Verdana" w:cs="Arial"/>
          <w:lang w:val="es-ES"/>
        </w:rPr>
        <w:t xml:space="preserve">así como lo establecido en </w:t>
      </w:r>
      <w:r w:rsidR="00995967" w:rsidRPr="006B694D">
        <w:rPr>
          <w:rFonts w:ascii="Verdana" w:hAnsi="Verdana" w:cs="Arial"/>
          <w:lang w:val="es-ES"/>
        </w:rPr>
        <w:t xml:space="preserve">la Resolución 469 de 2025 </w:t>
      </w:r>
      <w:r w:rsidRPr="006B694D">
        <w:rPr>
          <w:rFonts w:ascii="Verdana" w:hAnsi="Verdana" w:cs="Arial"/>
          <w:lang w:val="es-ES"/>
        </w:rPr>
        <w:t xml:space="preserve">expedida por esta Entidad, </w:t>
      </w:r>
      <w:r w:rsidRPr="006B694D">
        <w:rPr>
          <w:rFonts w:ascii="Verdana" w:eastAsia="Calibri" w:hAnsi="Verdana" w:cs="Arial"/>
          <w:lang w:val="es-ES" w:eastAsia="es-ES"/>
        </w:rPr>
        <w:t xml:space="preserve">la Agencia Nacional de Contratación Pública – Colombia Compra Eficiente– responde su solicitud de consulta de fecha </w:t>
      </w:r>
      <w:r w:rsidR="005562C3">
        <w:rPr>
          <w:rFonts w:ascii="Verdana" w:eastAsia="Calibri" w:hAnsi="Verdana" w:cs="Arial"/>
          <w:lang w:val="es-ES" w:eastAsia="es-ES"/>
        </w:rPr>
        <w:t>2</w:t>
      </w:r>
      <w:r w:rsidR="00127F4E">
        <w:rPr>
          <w:rFonts w:ascii="Verdana" w:eastAsia="Calibri" w:hAnsi="Verdana" w:cs="Arial"/>
          <w:lang w:val="es-ES" w:eastAsia="es-ES"/>
        </w:rPr>
        <w:t>4</w:t>
      </w:r>
      <w:r w:rsidRPr="006B694D">
        <w:rPr>
          <w:rFonts w:ascii="Verdana" w:eastAsia="Calibri" w:hAnsi="Verdana" w:cs="Arial"/>
          <w:lang w:val="es-ES" w:eastAsia="es-ES"/>
        </w:rPr>
        <w:t xml:space="preserve"> de </w:t>
      </w:r>
      <w:r w:rsidR="00F51D39">
        <w:rPr>
          <w:rFonts w:ascii="Verdana" w:eastAsia="Calibri" w:hAnsi="Verdana" w:cs="Arial"/>
          <w:lang w:val="es-ES" w:eastAsia="es-ES"/>
        </w:rPr>
        <w:t>abril</w:t>
      </w:r>
      <w:r w:rsidRPr="006B694D">
        <w:rPr>
          <w:rFonts w:ascii="Verdana" w:eastAsia="Calibri" w:hAnsi="Verdana" w:cs="Arial"/>
          <w:lang w:val="es-ES" w:eastAsia="es-ES"/>
        </w:rPr>
        <w:t xml:space="preserve"> de 202</w:t>
      </w:r>
      <w:r w:rsidR="0006693F" w:rsidRPr="006B694D">
        <w:rPr>
          <w:rFonts w:ascii="Verdana" w:eastAsia="Calibri" w:hAnsi="Verdana" w:cs="Arial"/>
          <w:lang w:val="es-ES" w:eastAsia="es-ES"/>
        </w:rPr>
        <w:t>6</w:t>
      </w:r>
      <w:r w:rsidRPr="006B694D">
        <w:rPr>
          <w:rFonts w:ascii="Verdana" w:eastAsia="Calibri" w:hAnsi="Verdana" w:cs="Arial"/>
          <w:lang w:val="es-ES" w:eastAsia="es-ES"/>
        </w:rPr>
        <w:t>, en la cual manifiesta lo siguiente</w:t>
      </w:r>
      <w:r w:rsidRPr="00206556">
        <w:rPr>
          <w:rFonts w:ascii="Verdana" w:eastAsia="Calibri" w:hAnsi="Verdana" w:cs="Arial"/>
          <w:lang w:val="es-ES" w:eastAsia="es-ES"/>
        </w:rPr>
        <w:t xml:space="preserv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117CE959" w14:textId="21DDE16C" w:rsidR="009502B2" w:rsidRDefault="00377CDF" w:rsidP="009502B2">
      <w:pPr>
        <w:spacing w:before="120" w:after="120" w:line="240" w:lineRule="auto"/>
        <w:ind w:left="709" w:right="709"/>
        <w:contextualSpacing/>
        <w:jc w:val="both"/>
        <w:rPr>
          <w:rFonts w:ascii="Verdana" w:eastAsia="Century Gothic" w:hAnsi="Verdana" w:cs="Century Gothic"/>
          <w:sz w:val="20"/>
          <w:szCs w:val="20"/>
        </w:rPr>
      </w:pPr>
      <w:r w:rsidRPr="00377CDF">
        <w:rPr>
          <w:rFonts w:ascii="Verdana" w:eastAsia="Century Gothic" w:hAnsi="Verdana" w:cs="Century Gothic"/>
          <w:sz w:val="20"/>
          <w:szCs w:val="20"/>
        </w:rPr>
        <w:t>“</w:t>
      </w:r>
      <w:r w:rsidR="009502B2" w:rsidRPr="009502B2">
        <w:rPr>
          <w:rFonts w:ascii="Verdana" w:eastAsia="Century Gothic" w:hAnsi="Verdana" w:cs="Century Gothic"/>
          <w:sz w:val="20"/>
          <w:szCs w:val="20"/>
        </w:rPr>
        <w:t xml:space="preserve">1. Que la aplicación </w:t>
      </w:r>
      <w:proofErr w:type="gramStart"/>
      <w:r w:rsidR="009502B2" w:rsidRPr="009502B2">
        <w:rPr>
          <w:rFonts w:ascii="Verdana" w:eastAsia="Century Gothic" w:hAnsi="Verdana" w:cs="Century Gothic"/>
          <w:sz w:val="20"/>
          <w:szCs w:val="20"/>
        </w:rPr>
        <w:t>del mismo</w:t>
      </w:r>
      <w:proofErr w:type="gramEnd"/>
      <w:r w:rsidR="009502B2" w:rsidRPr="009502B2">
        <w:rPr>
          <w:rFonts w:ascii="Verdana" w:eastAsia="Century Gothic" w:hAnsi="Verdana" w:cs="Century Gothic"/>
          <w:sz w:val="20"/>
          <w:szCs w:val="20"/>
        </w:rPr>
        <w:t xml:space="preserve"> se da a través del Articulo 2.2.1.2.4.2.7.4. con alguna de las siguientes</w:t>
      </w:r>
      <w:r w:rsidR="009502B2">
        <w:rPr>
          <w:rFonts w:ascii="Verdana" w:eastAsia="Century Gothic" w:hAnsi="Verdana" w:cs="Century Gothic"/>
          <w:sz w:val="20"/>
          <w:szCs w:val="20"/>
        </w:rPr>
        <w:t xml:space="preserve"> </w:t>
      </w:r>
      <w:r w:rsidR="009502B2" w:rsidRPr="009502B2">
        <w:rPr>
          <w:rFonts w:ascii="Verdana" w:eastAsia="Century Gothic" w:hAnsi="Verdana" w:cs="Century Gothic"/>
          <w:sz w:val="20"/>
          <w:szCs w:val="20"/>
        </w:rPr>
        <w:t>situaciones:</w:t>
      </w:r>
    </w:p>
    <w:p w14:paraId="067AA345" w14:textId="7BFB0D43" w:rsidR="009502B2" w:rsidRPr="009502B2" w:rsidRDefault="009502B2" w:rsidP="009502B2">
      <w:pPr>
        <w:spacing w:before="120" w:after="120" w:line="240" w:lineRule="auto"/>
        <w:ind w:left="709" w:right="709"/>
        <w:contextualSpacing/>
        <w:jc w:val="both"/>
        <w:rPr>
          <w:rFonts w:ascii="Verdana" w:eastAsia="Century Gothic" w:hAnsi="Verdana" w:cs="Century Gothic"/>
          <w:sz w:val="20"/>
          <w:szCs w:val="20"/>
        </w:rPr>
      </w:pPr>
      <w:r>
        <w:rPr>
          <w:rFonts w:ascii="Verdana" w:eastAsia="Century Gothic" w:hAnsi="Verdana" w:cs="Century Gothic"/>
          <w:sz w:val="20"/>
          <w:szCs w:val="20"/>
        </w:rPr>
        <w:t xml:space="preserve">… </w:t>
      </w:r>
      <w:r w:rsidRPr="009502B2">
        <w:rPr>
          <w:rFonts w:ascii="Verdana" w:eastAsia="Century Gothic" w:hAnsi="Verdana" w:cs="Century Gothic"/>
          <w:sz w:val="20"/>
          <w:szCs w:val="20"/>
        </w:rPr>
        <w:t>Por lo anterior, solicito a la entidad confirmar que para la obtención del puntaje con el Decreto 287 de</w:t>
      </w:r>
    </w:p>
    <w:p w14:paraId="29D64EF5" w14:textId="77777777" w:rsidR="009502B2" w:rsidRPr="009502B2" w:rsidRDefault="009502B2" w:rsidP="009502B2">
      <w:pPr>
        <w:spacing w:before="120" w:after="120" w:line="240" w:lineRule="auto"/>
        <w:ind w:left="709" w:right="709"/>
        <w:contextualSpacing/>
        <w:jc w:val="both"/>
        <w:rPr>
          <w:rFonts w:ascii="Verdana" w:eastAsia="Century Gothic" w:hAnsi="Verdana" w:cs="Century Gothic"/>
          <w:sz w:val="20"/>
          <w:szCs w:val="20"/>
        </w:rPr>
      </w:pPr>
      <w:r w:rsidRPr="009502B2">
        <w:rPr>
          <w:rFonts w:ascii="Verdana" w:eastAsia="Century Gothic" w:hAnsi="Verdana" w:cs="Century Gothic"/>
          <w:sz w:val="20"/>
          <w:szCs w:val="20"/>
        </w:rPr>
        <w:t>2026 se puede optar por acreditar cualquiera de las siguientes opciones:</w:t>
      </w:r>
    </w:p>
    <w:p w14:paraId="1662AC71" w14:textId="5CAE48CE" w:rsidR="009502B2" w:rsidRPr="009502B2" w:rsidRDefault="009502B2" w:rsidP="009502B2">
      <w:pPr>
        <w:spacing w:before="120" w:after="120" w:line="240" w:lineRule="auto"/>
        <w:ind w:left="709" w:right="709"/>
        <w:contextualSpacing/>
        <w:jc w:val="both"/>
        <w:rPr>
          <w:rFonts w:ascii="Verdana" w:eastAsia="Century Gothic" w:hAnsi="Verdana" w:cs="Century Gothic"/>
          <w:sz w:val="20"/>
          <w:szCs w:val="20"/>
        </w:rPr>
      </w:pPr>
      <w:r w:rsidRPr="009502B2">
        <w:rPr>
          <w:rFonts w:ascii="Verdana" w:eastAsia="Century Gothic" w:hAnsi="Verdana" w:cs="Century Gothic"/>
          <w:sz w:val="20"/>
          <w:szCs w:val="20"/>
        </w:rPr>
        <w:t>- Acreditar alguna de las cuatro (4) condiciones previstas en el Articulo 2.2.1.2.4.2.6. del Decreto 287</w:t>
      </w:r>
      <w:r>
        <w:rPr>
          <w:rFonts w:ascii="Verdana" w:eastAsia="Century Gothic" w:hAnsi="Verdana" w:cs="Century Gothic"/>
          <w:sz w:val="20"/>
          <w:szCs w:val="20"/>
        </w:rPr>
        <w:t xml:space="preserve"> </w:t>
      </w:r>
      <w:r w:rsidRPr="009502B2">
        <w:rPr>
          <w:rFonts w:ascii="Verdana" w:eastAsia="Century Gothic" w:hAnsi="Verdana" w:cs="Century Gothic"/>
          <w:sz w:val="20"/>
          <w:szCs w:val="20"/>
        </w:rPr>
        <w:t>de 2026.</w:t>
      </w:r>
    </w:p>
    <w:p w14:paraId="07A0E538" w14:textId="421B3700" w:rsidR="008D5774" w:rsidRPr="009502B2" w:rsidRDefault="009502B2" w:rsidP="009502B2">
      <w:pPr>
        <w:spacing w:before="120" w:after="120" w:line="240" w:lineRule="auto"/>
        <w:ind w:left="709" w:right="709"/>
        <w:contextualSpacing/>
        <w:jc w:val="both"/>
        <w:rPr>
          <w:rFonts w:ascii="Verdana" w:eastAsia="Century Gothic" w:hAnsi="Verdana" w:cs="Century Gothic"/>
          <w:sz w:val="20"/>
          <w:szCs w:val="20"/>
        </w:rPr>
      </w:pPr>
      <w:r w:rsidRPr="009502B2">
        <w:rPr>
          <w:rFonts w:ascii="Verdana" w:eastAsia="Century Gothic" w:hAnsi="Verdana" w:cs="Century Gothic"/>
          <w:sz w:val="20"/>
          <w:szCs w:val="20"/>
        </w:rPr>
        <w:t>- Acreditar el numeral 2 del Artículo 2.2.1.2.4.2.7.4. del Decreto 287 de 2026 respecto a la cantidad de</w:t>
      </w:r>
      <w:r>
        <w:rPr>
          <w:rFonts w:ascii="Verdana" w:eastAsia="Century Gothic" w:hAnsi="Verdana" w:cs="Century Gothic"/>
          <w:sz w:val="20"/>
          <w:szCs w:val="20"/>
        </w:rPr>
        <w:t xml:space="preserve"> </w:t>
      </w:r>
      <w:r w:rsidRPr="009502B2">
        <w:rPr>
          <w:rFonts w:ascii="Verdana" w:eastAsia="Century Gothic" w:hAnsi="Verdana" w:cs="Century Gothic"/>
          <w:sz w:val="20"/>
          <w:szCs w:val="20"/>
        </w:rPr>
        <w:t>personas en condición de discapacidad acreditados en la planta de personal</w:t>
      </w:r>
      <w:r w:rsidR="008D5774" w:rsidRPr="00377CDF">
        <w:rPr>
          <w:rFonts w:ascii="Verdana" w:eastAsia="Calibri" w:hAnsi="Verdana" w:cs="Arial"/>
          <w:sz w:val="20"/>
          <w:szCs w:val="20"/>
          <w:lang w:val="es-ES" w:eastAsia="es-ES"/>
        </w:rPr>
        <w:t>.</w:t>
      </w:r>
      <w:r w:rsidR="00377CDF" w:rsidRPr="00377CDF">
        <w:rPr>
          <w:rFonts w:ascii="Verdana" w:eastAsia="Calibri" w:hAnsi="Verdana" w:cs="Arial"/>
          <w:sz w:val="20"/>
          <w:szCs w:val="20"/>
          <w:lang w:val="es-ES" w:eastAsia="es-ES"/>
        </w:rPr>
        <w:t>”</w:t>
      </w:r>
      <w:r w:rsidR="008D5774" w:rsidRPr="00377CDF">
        <w:rPr>
          <w:rFonts w:ascii="Verdana" w:eastAsia="Calibri" w:hAnsi="Verdana" w:cs="Arial"/>
          <w:sz w:val="20"/>
          <w:szCs w:val="20"/>
          <w:lang w:val="es-ES" w:eastAsia="es-ES"/>
        </w:rPr>
        <w:t xml:space="preserve"> </w:t>
      </w:r>
      <w:r w:rsidR="008D5774" w:rsidRPr="00377CDF">
        <w:rPr>
          <w:rFonts w:ascii="Verdana" w:hAnsi="Verdana"/>
          <w:sz w:val="20"/>
          <w:szCs w:val="20"/>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Default="008D5774" w:rsidP="008D5774">
      <w:pPr>
        <w:spacing w:after="0" w:line="276" w:lineRule="auto"/>
        <w:ind w:firstLine="709"/>
        <w:jc w:val="both"/>
        <w:rPr>
          <w:rFonts w:ascii="Verdana" w:eastAsia="Calibri" w:hAnsi="Verdana" w:cs="Arial"/>
          <w:lang w:val="es-ES" w:eastAsia="es-ES"/>
        </w:rPr>
      </w:pPr>
    </w:p>
    <w:p w14:paraId="0839449B" w14:textId="77777777" w:rsidR="009502B2" w:rsidRDefault="009502B2" w:rsidP="008D5774">
      <w:pPr>
        <w:spacing w:after="0" w:line="276" w:lineRule="auto"/>
        <w:ind w:firstLine="709"/>
        <w:jc w:val="both"/>
        <w:rPr>
          <w:rFonts w:ascii="Verdana" w:eastAsia="Calibri" w:hAnsi="Verdana" w:cs="Arial"/>
          <w:lang w:val="es-ES" w:eastAsia="es-ES"/>
        </w:rPr>
      </w:pPr>
    </w:p>
    <w:p w14:paraId="4470CF1D" w14:textId="77777777" w:rsidR="009502B2" w:rsidRDefault="009502B2" w:rsidP="008D5774">
      <w:pPr>
        <w:spacing w:after="0" w:line="276" w:lineRule="auto"/>
        <w:ind w:firstLine="709"/>
        <w:jc w:val="both"/>
        <w:rPr>
          <w:rFonts w:ascii="Verdana" w:eastAsia="Calibri" w:hAnsi="Verdana" w:cs="Arial"/>
          <w:lang w:val="es-ES" w:eastAsia="es-ES"/>
        </w:rPr>
      </w:pPr>
    </w:p>
    <w:p w14:paraId="7525FA4B" w14:textId="77777777" w:rsidR="009502B2" w:rsidRPr="00206556" w:rsidRDefault="009502B2"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lastRenderedPageBreak/>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0FD0DFCB" w14:textId="4D0001BC" w:rsidR="008D5774" w:rsidRDefault="008D5774" w:rsidP="008D5774">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proofErr w:type="gramStart"/>
      <w:r w:rsidR="009502B2" w:rsidRPr="005562C3">
        <w:rPr>
          <w:rFonts w:ascii="Verdana" w:eastAsia="Century Gothic" w:hAnsi="Verdana" w:cs="Century Gothic"/>
        </w:rPr>
        <w:t>¿</w:t>
      </w:r>
      <w:r w:rsidR="009502B2" w:rsidRPr="009502B2">
        <w:rPr>
          <w:rFonts w:ascii="Verdana" w:hAnsi="Verdana"/>
        </w:rPr>
        <w:t>E</w:t>
      </w:r>
      <w:r w:rsidR="009502B2" w:rsidRPr="009502B2">
        <w:rPr>
          <w:rFonts w:ascii="Verdana" w:eastAsia="Century Gothic" w:hAnsi="Verdana" w:cs="Century Gothic"/>
        </w:rPr>
        <w:t>s posible obtener el puntaje previsto en el Decreto 287 de 2026 acreditando cualquiera de las condiciones del artículo 2</w:t>
      </w:r>
      <w:r w:rsidR="009502B2">
        <w:rPr>
          <w:rFonts w:ascii="Verdana" w:eastAsia="Century Gothic" w:hAnsi="Verdana" w:cs="Century Gothic"/>
        </w:rPr>
        <w:t>-</w:t>
      </w:r>
      <w:r w:rsidR="009502B2" w:rsidRPr="009502B2">
        <w:rPr>
          <w:rFonts w:ascii="Verdana" w:eastAsia="Century Gothic" w:hAnsi="Verdana" w:cs="Century Gothic"/>
        </w:rPr>
        <w:t>2.</w:t>
      </w:r>
      <w:proofErr w:type="gramEnd"/>
      <w:r w:rsidR="009502B2" w:rsidRPr="009502B2">
        <w:rPr>
          <w:rFonts w:ascii="Verdana" w:eastAsia="Century Gothic" w:hAnsi="Verdana" w:cs="Century Gothic"/>
        </w:rPr>
        <w:t>1.2.4.2.6 o, alternativamente, el número de personas en condición de discapacidad vinculadas a la planta de personal conforme al artículo 2.2.1.2.4.2.7.4?</w:t>
      </w:r>
    </w:p>
    <w:p w14:paraId="47BFE32D" w14:textId="77777777" w:rsidR="009502B2" w:rsidRPr="009502B2" w:rsidRDefault="009502B2" w:rsidP="008D5774">
      <w:pPr>
        <w:spacing w:after="0" w:line="276" w:lineRule="auto"/>
        <w:jc w:val="both"/>
        <w:rPr>
          <w:rFonts w:ascii="Verdana" w:eastAsia="Century Gothic" w:hAnsi="Verdana" w:cs="Century Gothic"/>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3912F2A4" w14:textId="77777777" w:rsidR="005510BC" w:rsidRPr="00073658" w:rsidRDefault="005510BC" w:rsidP="00AD17AD">
            <w:pPr>
              <w:spacing w:before="120" w:after="120" w:line="276" w:lineRule="auto"/>
              <w:jc w:val="both"/>
              <w:rPr>
                <w:rFonts w:ascii="Verdana" w:eastAsia="Calibri" w:hAnsi="Verdana" w:cs="Arial"/>
              </w:rPr>
            </w:pPr>
            <w:r>
              <w:rPr>
                <w:rFonts w:ascii="Verdana" w:eastAsia="Calibri" w:hAnsi="Verdana" w:cs="Arial"/>
              </w:rPr>
              <w:t>En atención al problema jurídico planteado y respecto al alcance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eastAsia="Calibri" w:hAnsi="Verdana" w:cs="Arial"/>
              </w:rPr>
              <w:t>PcD</w:t>
            </w:r>
            <w:proofErr w:type="spellEnd"/>
            <w:r w:rsidRPr="00073658">
              <w:rPr>
                <w:rFonts w:ascii="Verdana" w:eastAsia="Calibri" w:hAnsi="Verdana"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26F33FF7" w14:textId="77777777" w:rsidR="005510BC" w:rsidRPr="00073658" w:rsidRDefault="005510BC" w:rsidP="00AD17AD">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w:t>
            </w:r>
            <w:r w:rsidRPr="00073658">
              <w:rPr>
                <w:rFonts w:ascii="Verdana" w:eastAsia="Calibri" w:hAnsi="Verdana" w:cs="Arial"/>
              </w:rPr>
              <w:lastRenderedPageBreak/>
              <w:t xml:space="preserve">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CE9BE05"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xml:space="preserve">. El artículo 2.2.1.2.4.2.7.4. del Decreto 0287 de 2026 es explícito al disponer que, aunque el proponente acredite simultáneamente ser emprendimiento o empresa de </w:t>
            </w:r>
            <w:proofErr w:type="spellStart"/>
            <w:r w:rsidRPr="00073658">
              <w:rPr>
                <w:rFonts w:ascii="Verdana" w:eastAsia="Calibri" w:hAnsi="Verdana" w:cs="Arial"/>
              </w:rPr>
              <w:t>PcD</w:t>
            </w:r>
            <w:proofErr w:type="spellEnd"/>
            <w:r w:rsidRPr="00073658">
              <w:rPr>
                <w:rFonts w:ascii="Verdana" w:eastAsia="Calibri" w:hAnsi="Verdana" w:cs="Arial"/>
              </w:rPr>
              <w:t xml:space="preserve"> y ser empleador de </w:t>
            </w:r>
            <w:proofErr w:type="spellStart"/>
            <w:r w:rsidRPr="00073658">
              <w:rPr>
                <w:rFonts w:ascii="Verdana" w:eastAsia="Calibri" w:hAnsi="Verdana" w:cs="Arial"/>
              </w:rPr>
              <w:t>PcD</w:t>
            </w:r>
            <w:proofErr w:type="spellEnd"/>
            <w:r w:rsidRPr="00073658">
              <w:rPr>
                <w:rFonts w:ascii="Verdana" w:eastAsia="Calibri" w:hAnsi="Verdana" w:cs="Arial"/>
              </w:rPr>
              <w:t>,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0E2BB71D" w14:textId="77777777" w:rsidR="005510BC" w:rsidRPr="00A97194"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La aplicación del puntaje para proponentes plurales </w:t>
            </w:r>
            <w:r w:rsidRPr="00A97194">
              <w:rPr>
                <w:rFonts w:ascii="Verdana" w:eastAsia="Calibri" w:hAnsi="Verdana" w:cs="Arial"/>
              </w:rPr>
              <w:t xml:space="preserve">respecto de los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no exige un mínimo de experiencia sino una participación mayoritaria en el proponente plural, y a ese miembro será al que se le revise su planta de personal con el fin de determinar si cumple con el número mínimo de </w:t>
            </w:r>
            <w:proofErr w:type="spellStart"/>
            <w:r w:rsidRPr="00A97194">
              <w:rPr>
                <w:rFonts w:ascii="Verdana" w:eastAsia="Calibri" w:hAnsi="Verdana" w:cs="Arial"/>
              </w:rPr>
              <w:t>PcD</w:t>
            </w:r>
            <w:proofErr w:type="spellEnd"/>
            <w:r w:rsidRPr="00A97194">
              <w:rPr>
                <w:rFonts w:ascii="Verdana" w:eastAsia="Calibri" w:hAnsi="Verdana" w:cs="Arial"/>
              </w:rPr>
              <w:t xml:space="preserve"> contratadas para acceder al puntaje. </w:t>
            </w:r>
          </w:p>
          <w:p w14:paraId="3E1C7939" w14:textId="77777777" w:rsidR="005510BC" w:rsidRPr="00073658" w:rsidRDefault="005510BC" w:rsidP="00AD17AD">
            <w:pPr>
              <w:spacing w:before="120" w:after="120" w:line="276" w:lineRule="auto"/>
              <w:ind w:firstLine="709"/>
              <w:jc w:val="both"/>
              <w:rPr>
                <w:rFonts w:ascii="Verdana" w:eastAsia="Calibri" w:hAnsi="Verdana" w:cs="Arial"/>
              </w:rPr>
            </w:pPr>
            <w:r w:rsidRPr="00A97194">
              <w:rPr>
                <w:rFonts w:ascii="Verdana" w:eastAsia="Calibri" w:hAnsi="Verdana" w:cs="Arial"/>
              </w:rPr>
              <w:t xml:space="preserve">No obstante, para emprendimientos y empresas </w:t>
            </w:r>
            <w:proofErr w:type="spellStart"/>
            <w:r w:rsidRPr="00A97194">
              <w:rPr>
                <w:rFonts w:ascii="Verdana" w:eastAsia="Calibri" w:hAnsi="Verdana" w:cs="Arial"/>
              </w:rPr>
              <w:t>PcD</w:t>
            </w:r>
            <w:proofErr w:type="spellEnd"/>
            <w:r w:rsidRPr="00A97194">
              <w:rPr>
                <w:rFonts w:ascii="Verdana" w:eastAsia="Calibri" w:hAnsi="Verdana" w:cs="Arial"/>
              </w:rPr>
              <w:t xml:space="preserve"> es necesario hacer una remisión al artículo 2.2.1.2.4.2.7.3 puesto que cuando el proponente plural tenga a este sujeto como miembro, la participación a exigir no es una participación mayoritaria sino una participación no inferior al 10% y en la </w:t>
            </w:r>
            <w:r w:rsidRPr="00A97194">
              <w:rPr>
                <w:rFonts w:ascii="Verdana" w:eastAsia="Calibri" w:hAnsi="Verdana" w:cs="Arial"/>
              </w:rPr>
              <w:lastRenderedPageBreak/>
              <w:t xml:space="preserve">misma proporción de su participación debe aportar su experiencia. De esta manera, si el proponente plural tiene como miembro a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para obtener el puntaje este debe tener una mayor participación en el proponente plural sin que se requiera aporte de experiencia; pero cuando se trata de emprendimientos o empresas de </w:t>
            </w:r>
            <w:proofErr w:type="spellStart"/>
            <w:r w:rsidRPr="00A97194">
              <w:rPr>
                <w:rFonts w:ascii="Verdana" w:eastAsia="Calibri" w:hAnsi="Verdana" w:cs="Arial"/>
              </w:rPr>
              <w:t>PcD</w:t>
            </w:r>
            <w:proofErr w:type="spellEnd"/>
            <w:r w:rsidRPr="00A97194">
              <w:rPr>
                <w:rFonts w:ascii="Verdana" w:eastAsia="Calibri" w:hAnsi="Verdana" w:cs="Arial"/>
              </w:rPr>
              <w:t>, si se exige un mínimo de participación de estos en el proponente plural, que es el 10% y en la misma proporción se debe aportar experiencia, por lo que no se exige que tengan participación mayoritaria.</w:t>
            </w:r>
          </w:p>
          <w:p w14:paraId="6563678E"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Pr="00073658">
              <w:rPr>
                <w:rFonts w:ascii="Verdana" w:eastAsia="Calibri" w:hAnsi="Verdana" w:cs="Arial"/>
              </w:rPr>
              <w:t xml:space="preserve"> en la condición de empleador de </w:t>
            </w:r>
            <w:proofErr w:type="spellStart"/>
            <w:r w:rsidRPr="00073658">
              <w:rPr>
                <w:rFonts w:ascii="Verdana" w:eastAsia="Calibri" w:hAnsi="Verdana" w:cs="Arial"/>
              </w:rPr>
              <w:t>PcD</w:t>
            </w:r>
            <w:proofErr w:type="spellEnd"/>
            <w:r>
              <w:rPr>
                <w:rFonts w:ascii="Verdana" w:eastAsia="Calibri" w:hAnsi="Verdana" w:cs="Arial"/>
              </w:rPr>
              <w:t>, los documentos están dispuestos en el artículo 2.2.1.2.4.2.7.4, el cual</w:t>
            </w:r>
            <w:r w:rsidRPr="00073658">
              <w:rPr>
                <w:rFonts w:ascii="Verdana" w:eastAsia="Calibri" w:hAnsi="Verdana" w:cs="Arial"/>
              </w:rPr>
              <w:t xml:space="preserve"> exige, entre otros documentos, los certificados de aportes a seguridad social de los tres (3) meses anteriores a la presentación de la oferta respecto de cada </w:t>
            </w:r>
            <w:proofErr w:type="spellStart"/>
            <w:r w:rsidRPr="00073658">
              <w:rPr>
                <w:rFonts w:ascii="Verdana" w:eastAsia="Calibri" w:hAnsi="Verdana" w:cs="Arial"/>
              </w:rPr>
              <w:t>PcD</w:t>
            </w:r>
            <w:proofErr w:type="spellEnd"/>
            <w:r w:rsidRPr="00073658">
              <w:rPr>
                <w:rFonts w:ascii="Verdana" w:eastAsia="Calibri" w:hAnsi="Verdana" w:cs="Arial"/>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073658">
              <w:rPr>
                <w:rFonts w:ascii="Verdana" w:eastAsia="Calibri" w:hAnsi="Verdana" w:cs="Arial"/>
              </w:rPr>
              <w:t>PcD</w:t>
            </w:r>
            <w:proofErr w:type="spellEnd"/>
            <w:r w:rsidRPr="00073658">
              <w:rPr>
                <w:rFonts w:ascii="Verdana" w:eastAsia="Calibri" w:hAnsi="Verdana" w:cs="Arial"/>
              </w:rPr>
              <w:t xml:space="preserve"> cuyas planillas no alcancen ese período, pudiendo el proponente acreditar el puntaje con base en las </w:t>
            </w:r>
            <w:proofErr w:type="spellStart"/>
            <w:r w:rsidRPr="00073658">
              <w:rPr>
                <w:rFonts w:ascii="Verdana" w:eastAsia="Calibri" w:hAnsi="Verdana" w:cs="Arial"/>
              </w:rPr>
              <w:t>PcD</w:t>
            </w:r>
            <w:proofErr w:type="spellEnd"/>
            <w:r w:rsidRPr="00073658">
              <w:rPr>
                <w:rFonts w:ascii="Verdana" w:eastAsia="Calibri" w:hAnsi="Verdana" w:cs="Arial"/>
              </w:rPr>
              <w:t xml:space="preserve"> que sí cumplen el requisito temporal y participar en el proceso sin el puntaje en caso de no alcanzar ninguna.</w:t>
            </w:r>
            <w:r>
              <w:rPr>
                <w:rFonts w:ascii="Verdana" w:eastAsia="Calibri" w:hAnsi="Verdana" w:cs="Arial"/>
              </w:rPr>
              <w:t xml:space="preserve"> El término de tres (3) </w:t>
            </w:r>
            <w:proofErr w:type="gramStart"/>
            <w:r>
              <w:rPr>
                <w:rFonts w:ascii="Verdana" w:eastAsia="Calibri" w:hAnsi="Verdana" w:cs="Arial"/>
              </w:rPr>
              <w:t>meses aquí mencionado</w:t>
            </w:r>
            <w:proofErr w:type="gramEnd"/>
            <w:r>
              <w:rPr>
                <w:rFonts w:ascii="Verdana" w:eastAsia="Calibri" w:hAnsi="Verdana" w:cs="Arial"/>
              </w:rPr>
              <w:t xml:space="preserve"> es diferente al término de un (1) año mencionado en el artículo 2.2.1.2.4.2.6 respecto de los emprendimientos y empresas de </w:t>
            </w:r>
            <w:proofErr w:type="spellStart"/>
            <w:r>
              <w:rPr>
                <w:rFonts w:ascii="Verdana" w:eastAsia="Calibri" w:hAnsi="Verdana" w:cs="Arial"/>
              </w:rPr>
              <w:t>PcD</w:t>
            </w:r>
            <w:proofErr w:type="spellEnd"/>
            <w:r>
              <w:rPr>
                <w:rFonts w:ascii="Verdana" w:eastAsia="Calibri" w:hAnsi="Verdana" w:cs="Arial"/>
              </w:rPr>
              <w:t>.</w:t>
            </w:r>
          </w:p>
          <w:p w14:paraId="3188A959" w14:textId="77777777" w:rsidR="005510BC" w:rsidRDefault="005510BC" w:rsidP="00AD17AD">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w:t>
            </w:r>
            <w:proofErr w:type="spellStart"/>
            <w:r w:rsidRPr="00502309">
              <w:rPr>
                <w:rFonts w:ascii="Verdana" w:eastAsia="Times New Roman" w:hAnsi="Verdana" w:cs="Times New Roman"/>
              </w:rPr>
              <w:t>PcD</w:t>
            </w:r>
            <w:proofErr w:type="spellEnd"/>
            <w:r w:rsidRPr="00502309">
              <w:rPr>
                <w:rFonts w:ascii="Verdana" w:eastAsia="Times New Roman" w:hAnsi="Verdana" w:cs="Times New Roman"/>
              </w:rPr>
              <w:t xml:space="preserve">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La vinculación de </w:t>
            </w:r>
            <w:proofErr w:type="spellStart"/>
            <w:r>
              <w:rPr>
                <w:rFonts w:ascii="Verdana" w:eastAsia="Times New Roman" w:hAnsi="Verdana" w:cs="Times New Roman"/>
              </w:rPr>
              <w:t>PcD</w:t>
            </w:r>
            <w:proofErr w:type="spellEnd"/>
            <w:r>
              <w:rPr>
                <w:rFonts w:ascii="Verdana" w:eastAsia="Times New Roman" w:hAnsi="Verdana" w:cs="Times New Roman"/>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Pr>
                <w:rFonts w:ascii="Verdana" w:eastAsia="Times New Roman" w:hAnsi="Verdana" w:cs="Times New Roman"/>
              </w:rPr>
              <w:t>PcD</w:t>
            </w:r>
            <w:proofErr w:type="spellEnd"/>
            <w:r>
              <w:rPr>
                <w:rFonts w:ascii="Verdana" w:eastAsia="Times New Roman" w:hAnsi="Verdana" w:cs="Times New Roman"/>
              </w:rPr>
              <w:t xml:space="preserve"> son los indicados en el artículo 2.2.1.2.4.2.6 y no los del artículo </w:t>
            </w:r>
            <w:r w:rsidRPr="00502309">
              <w:rPr>
                <w:rFonts w:ascii="Verdana" w:eastAsia="Times New Roman" w:hAnsi="Verdana" w:cs="Times New Roman"/>
              </w:rPr>
              <w:t xml:space="preserve">2.2.1.2.4.2.7.4. </w:t>
            </w:r>
            <w:r>
              <w:rPr>
                <w:rFonts w:ascii="Verdana" w:eastAsia="Times New Roman" w:hAnsi="Verdana" w:cs="Times New Roman"/>
              </w:rPr>
              <w:t xml:space="preserve"> </w:t>
            </w:r>
          </w:p>
          <w:p w14:paraId="62D59159" w14:textId="77777777" w:rsidR="005510BC" w:rsidRDefault="005510BC" w:rsidP="00AD17AD">
            <w:pPr>
              <w:spacing w:after="120" w:line="276" w:lineRule="auto"/>
              <w:ind w:firstLine="709"/>
              <w:jc w:val="both"/>
              <w:rPr>
                <w:rFonts w:ascii="Verdana" w:eastAsia="Calibri" w:hAnsi="Verdana" w:cs="Arial"/>
              </w:rPr>
            </w:pPr>
            <w:r w:rsidRPr="00073658">
              <w:rPr>
                <w:rFonts w:ascii="Verdana" w:eastAsia="Calibri" w:hAnsi="Verdana" w:cs="Arial"/>
              </w:rPr>
              <w:lastRenderedPageBreak/>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73658">
              <w:rPr>
                <w:rFonts w:ascii="Verdana" w:eastAsia="Calibri" w:hAnsi="Verdana" w:cs="Arial"/>
              </w:rPr>
              <w:t>PcD</w:t>
            </w:r>
            <w:proofErr w:type="spellEnd"/>
            <w:r w:rsidRPr="00206556">
              <w:rPr>
                <w:rFonts w:ascii="Verdana" w:eastAsia="Calibri" w:hAnsi="Verdana" w:cs="Arial"/>
              </w:rPr>
              <w:t xml:space="preserve">, </w:t>
            </w:r>
            <w:r w:rsidRPr="00073658">
              <w:rPr>
                <w:rFonts w:ascii="Verdana" w:eastAsia="Calibri" w:hAnsi="Verdana" w:cs="Arial"/>
              </w:rPr>
              <w:t xml:space="preserve">no a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w:t>
            </w:r>
            <w:r w:rsidRPr="00206556">
              <w:rPr>
                <w:rFonts w:ascii="Verdana" w:eastAsia="Calibri" w:hAnsi="Verdana" w:cs="Arial"/>
              </w:rPr>
              <w:t xml:space="preserve">dicha norma </w:t>
            </w:r>
            <w:r w:rsidRPr="00073658">
              <w:rPr>
                <w:rFonts w:ascii="Verdana" w:eastAsia="Calibri" w:hAnsi="Verdana" w:cs="Arial"/>
              </w:rPr>
              <w:t>exige que al menos el 10% de la nómina esté en condición de discapacidad y opera únicamente cuando hay empate entre dos o más ofertas. El Decreto 0287 de 2026 no modificó el criterio de desempate de la Ley 2069 de 2020, que por ser norma de rango legal no puede ser alterada por decreto reglamentario, y la diferencia en las exigencias de vinculación entre los dos instrumentos responde precisamente a que son mecanismos distintos que no deben interpretarse extensivamente el uno respecto del otro.</w:t>
            </w:r>
          </w:p>
          <w:p w14:paraId="3635F141" w14:textId="77777777" w:rsidR="005510BC" w:rsidRDefault="005510BC" w:rsidP="00AD17AD">
            <w:pPr>
              <w:spacing w:after="120" w:line="276" w:lineRule="auto"/>
              <w:ind w:firstLine="709"/>
              <w:jc w:val="both"/>
              <w:rPr>
                <w:rFonts w:ascii="Verdana" w:eastAsia="Calibri" w:hAnsi="Verdana" w:cs="Arial"/>
              </w:rPr>
            </w:pPr>
            <w:r w:rsidRPr="00E55CFA">
              <w:rPr>
                <w:rFonts w:ascii="Verdana" w:eastAsia="Calibri" w:hAnsi="Verdana" w:cs="Arial"/>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Pr>
                <w:rFonts w:ascii="Verdana" w:eastAsia="Calibri" w:hAnsi="Verdana" w:cs="Arial"/>
              </w:rPr>
              <w:t xml:space="preserve"> </w:t>
            </w:r>
          </w:p>
          <w:p w14:paraId="4E750FFF" w14:textId="77777777" w:rsidR="005510BC" w:rsidRPr="0077201E" w:rsidRDefault="005510BC" w:rsidP="00AD17AD">
            <w:pPr>
              <w:spacing w:after="120" w:line="276" w:lineRule="auto"/>
              <w:ind w:firstLine="709"/>
              <w:jc w:val="both"/>
              <w:rPr>
                <w:rFonts w:ascii="Verdana" w:eastAsia="Calibri" w:hAnsi="Verdana" w:cs="Arial"/>
              </w:rPr>
            </w:pPr>
            <w:r>
              <w:rPr>
                <w:rFonts w:ascii="Verdana" w:eastAsia="Calibri" w:hAnsi="Verdana" w:cs="Arial"/>
              </w:rPr>
              <w:t>Sobre l</w:t>
            </w:r>
            <w:r w:rsidRPr="0077201E">
              <w:rPr>
                <w:rFonts w:ascii="Verdana" w:eastAsia="Calibri" w:hAnsi="Verdana" w:cs="Arial"/>
              </w:rPr>
              <w:t>os criterios habilitantes diferenciales</w:t>
            </w:r>
            <w:r>
              <w:rPr>
                <w:rFonts w:ascii="Verdana" w:eastAsia="Calibri" w:hAnsi="Verdana" w:cs="Arial"/>
              </w:rPr>
              <w:t>, estos</w:t>
            </w:r>
            <w:r w:rsidRPr="0077201E">
              <w:rPr>
                <w:rFonts w:ascii="Verdana" w:eastAsia="Calibri" w:hAnsi="Verdana" w:cs="Arial"/>
              </w:rPr>
              <w:t xml:space="preserve"> constituyen una obligación para las entidades contratantes en los procesos de licitación pública, selección abreviada y concurso de méritos, tanto bajo el régimen</w:t>
            </w:r>
            <w:r>
              <w:rPr>
                <w:rFonts w:ascii="Verdana" w:eastAsia="Calibri" w:hAnsi="Verdana" w:cs="Arial"/>
              </w:rPr>
              <w:t xml:space="preserve"> del</w:t>
            </w:r>
            <w:r w:rsidRPr="0077201E">
              <w:rPr>
                <w:rFonts w:ascii="Verdana" w:eastAsia="Calibri" w:hAnsi="Verdana" w:cs="Arial"/>
              </w:rPr>
              <w:t xml:space="preserve"> </w:t>
            </w:r>
            <w:r>
              <w:rPr>
                <w:rFonts w:ascii="Verdana" w:hAnsi="Verdana"/>
              </w:rPr>
              <w:t>Estatuto General de Contratación Pública</w:t>
            </w:r>
            <w:r w:rsidRPr="0077201E">
              <w:rPr>
                <w:rFonts w:ascii="Verdana" w:eastAsia="Calibri" w:hAnsi="Verdana" w:cs="Arial"/>
              </w:rPr>
              <w:t xml:space="preserve"> como en los procesos competitivos de entidades con régimen especial. Esta obligación consiste en establecer requisitos habilitantes ajustados o reducidos</w:t>
            </w:r>
            <w:r>
              <w:rPr>
                <w:rFonts w:ascii="Verdana" w:eastAsia="Calibri" w:hAnsi="Verdana" w:cs="Arial"/>
              </w:rPr>
              <w:t>, palabras que se deben entender en el mismo significado de diferencial,</w:t>
            </w:r>
            <w:r w:rsidRPr="0077201E">
              <w:rPr>
                <w:rFonts w:ascii="Verdana" w:eastAsia="Calibri" w:hAnsi="Verdana" w:cs="Arial"/>
              </w:rPr>
              <w:t xml:space="preserve"> en materia de experiencia, capacidad financiera, capacidad organizacional o valor de la garantía de seriedad de la oferta, con el propósito de facilitar la participación de emprendimientos y empresas de </w:t>
            </w:r>
            <w:proofErr w:type="spellStart"/>
            <w:r w:rsidRPr="0077201E">
              <w:rPr>
                <w:rFonts w:ascii="Verdana" w:eastAsia="Calibri" w:hAnsi="Verdana" w:cs="Arial"/>
              </w:rPr>
              <w:t>PcD</w:t>
            </w:r>
            <w:proofErr w:type="spellEnd"/>
            <w:r w:rsidRPr="0077201E">
              <w:rPr>
                <w:rFonts w:ascii="Verdana" w:eastAsia="Calibri" w:hAnsi="Verdana" w:cs="Arial"/>
              </w:rPr>
              <w:t xml:space="preserve"> con domicilio en el territorio nacional. La entidad contratante </w:t>
            </w:r>
            <w:r w:rsidRPr="0077201E">
              <w:rPr>
                <w:rFonts w:ascii="Verdana" w:eastAsia="Calibri" w:hAnsi="Verdana" w:cs="Arial"/>
              </w:rPr>
              <w:lastRenderedPageBreak/>
              <w:t xml:space="preserve">debe </w:t>
            </w:r>
            <w:r w:rsidRPr="00206556">
              <w:rPr>
                <w:rFonts w:ascii="Verdana" w:eastAsia="Calibri" w:hAnsi="Verdana" w:cs="Arial"/>
              </w:rPr>
              <w:t xml:space="preserve">flexibilizar </w:t>
            </w:r>
            <w:r w:rsidRPr="0077201E">
              <w:rPr>
                <w:rFonts w:ascii="Verdana" w:eastAsia="Calibri" w:hAnsi="Verdana" w:cs="Arial"/>
              </w:rPr>
              <w:t>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7BF38B1D" w14:textId="77777777" w:rsidR="005510BC" w:rsidRPr="00206556" w:rsidRDefault="005510BC" w:rsidP="00AD17AD">
            <w:pPr>
              <w:spacing w:before="120" w:after="120" w:line="276" w:lineRule="auto"/>
              <w:ind w:firstLine="709"/>
              <w:jc w:val="both"/>
              <w:rPr>
                <w:rFonts w:ascii="Verdana" w:eastAsia="Calibri" w:hAnsi="Verdana" w:cs="Arial"/>
              </w:rPr>
            </w:pPr>
            <w:r w:rsidRPr="0077201E">
              <w:rPr>
                <w:rFonts w:ascii="Verdana" w:eastAsia="Calibri" w:hAnsi="Verdana" w:cs="Arial"/>
              </w:rPr>
              <w:t>Estos criterios aplican exclusivamente para el primer sujeto del sistema</w:t>
            </w:r>
            <w:r w:rsidRPr="00206556">
              <w:rPr>
                <w:rFonts w:ascii="Verdana" w:eastAsia="Calibri" w:hAnsi="Verdana" w:cs="Arial"/>
              </w:rPr>
              <w:t xml:space="preserve">, es decir, </w:t>
            </w:r>
            <w:r w:rsidRPr="0077201E">
              <w:rPr>
                <w:rFonts w:ascii="Verdana" w:eastAsia="Calibri" w:hAnsi="Verdana" w:cs="Arial"/>
              </w:rPr>
              <w:t xml:space="preserve">los emprendimientos y empresas de </w:t>
            </w:r>
            <w:proofErr w:type="spellStart"/>
            <w:r w:rsidRPr="0077201E">
              <w:rPr>
                <w:rFonts w:ascii="Verdana" w:eastAsia="Calibri" w:hAnsi="Verdana" w:cs="Arial"/>
              </w:rPr>
              <w:t>PcD</w:t>
            </w:r>
            <w:proofErr w:type="spellEnd"/>
            <w:r w:rsidRPr="00206556">
              <w:rPr>
                <w:rFonts w:ascii="Verdana" w:eastAsia="Calibri" w:hAnsi="Verdana" w:cs="Arial"/>
              </w:rPr>
              <w:t>,</w:t>
            </w:r>
            <w:r w:rsidRPr="0077201E">
              <w:rPr>
                <w:rFonts w:ascii="Verdana" w:eastAsia="Calibri" w:hAnsi="Verdana" w:cs="Arial"/>
              </w:rPr>
              <w:t xml:space="preserve"> y no para los empleadores de </w:t>
            </w:r>
            <w:proofErr w:type="spellStart"/>
            <w:r w:rsidRPr="0077201E">
              <w:rPr>
                <w:rFonts w:ascii="Verdana" w:eastAsia="Calibri" w:hAnsi="Verdana" w:cs="Arial"/>
              </w:rPr>
              <w:t>PcD</w:t>
            </w:r>
            <w:proofErr w:type="spellEnd"/>
            <w:r w:rsidRPr="0077201E">
              <w:rPr>
                <w:rFonts w:ascii="Verdana" w:eastAsia="Calibri" w:hAnsi="Verdana" w:cs="Arial"/>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w:t>
            </w:r>
            <w:r w:rsidRPr="00206556">
              <w:rPr>
                <w:rFonts w:ascii="Verdana" w:eastAsia="Calibri" w:hAnsi="Verdana" w:cs="Arial"/>
              </w:rPr>
              <w:t>,</w:t>
            </w:r>
            <w:r w:rsidRPr="0077201E">
              <w:rPr>
                <w:rFonts w:ascii="Verdana" w:eastAsia="Calibri" w:hAnsi="Verdana" w:cs="Arial"/>
              </w:rPr>
              <w:t xml:space="preserve"> si ese integrante participa con el 15%, debe aportar al menos el 15% de la experiencia exigida en el pliego.</w:t>
            </w:r>
          </w:p>
          <w:p w14:paraId="492CE3CD"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Referente a l</w:t>
            </w:r>
            <w:r w:rsidRPr="00073658">
              <w:rPr>
                <w:rFonts w:ascii="Verdana" w:eastAsia="Calibri" w:hAnsi="Verdana" w:cs="Arial"/>
              </w:rPr>
              <w:t>as condiciones especiales de ejecución</w:t>
            </w:r>
            <w:r w:rsidRPr="00206556">
              <w:rPr>
                <w:rFonts w:ascii="Verdana" w:eastAsia="Calibri" w:hAnsi="Verdana" w:cs="Arial"/>
              </w:rPr>
              <w:t xml:space="preserve">, </w:t>
            </w:r>
            <w:r w:rsidRPr="00073658">
              <w:rPr>
                <w:rFonts w:ascii="Verdana" w:eastAsia="Calibri" w:hAnsi="Verdana" w:cs="Arial"/>
              </w:rPr>
              <w:t>subcontratación inclusiva e integración del equipo de trabajo</w:t>
            </w:r>
            <w:r w:rsidRPr="00206556">
              <w:rPr>
                <w:rFonts w:ascii="Verdana" w:eastAsia="Calibri" w:hAnsi="Verdana" w:cs="Arial"/>
              </w:rPr>
              <w:t xml:space="preserve">, </w:t>
            </w:r>
            <w:r>
              <w:rPr>
                <w:rFonts w:ascii="Verdana" w:eastAsia="Calibri" w:hAnsi="Verdana" w:cs="Arial"/>
              </w:rPr>
              <w:t>es</w:t>
            </w:r>
            <w:r w:rsidRPr="00073658">
              <w:rPr>
                <w:rFonts w:ascii="Verdana" w:eastAsia="Calibri" w:hAnsi="Verdana" w:cs="Arial"/>
              </w:rPr>
              <w:t xml:space="preserve"> obligatori</w:t>
            </w:r>
            <w:r>
              <w:rPr>
                <w:rFonts w:ascii="Verdana" w:eastAsia="Calibri" w:hAnsi="Verdana" w:cs="Arial"/>
              </w:rPr>
              <w:t>o incluir al menos una,</w:t>
            </w:r>
            <w:r w:rsidRPr="00073658">
              <w:rPr>
                <w:rFonts w:ascii="Verdana" w:eastAsia="Calibri" w:hAnsi="Verdana" w:cs="Arial"/>
              </w:rPr>
              <w:t xml:space="preserve"> para las entidades regidas </w:t>
            </w:r>
            <w:r>
              <w:rPr>
                <w:rFonts w:ascii="Verdana" w:eastAsia="Calibri" w:hAnsi="Verdana" w:cs="Arial"/>
              </w:rPr>
              <w:t>por el Estatuto General de Contratación Pública</w:t>
            </w:r>
            <w:r w:rsidRPr="00073658">
              <w:rPr>
                <w:rFonts w:ascii="Verdana" w:eastAsia="Calibri" w:hAnsi="Verdana" w:cs="Arial"/>
              </w:rPr>
              <w:t xml:space="preserve"> en todas las modalidades de selección, incluida la contratación directa. Solo puede omitirse su inclusión cuando la entidad lo justifique expresamente en los estudios previos mediante argumentos objetivos que expliquen por qué, dadas las características del contrato específico, ninguna de las dos condiciones resulta aplicable o conveniente. Esta justificación no es una formalidad, sino una verdadera carga argumentativa a cargo de la entidad.</w:t>
            </w:r>
          </w:p>
          <w:p w14:paraId="5A2C0A82"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Seguidamente, l</w:t>
            </w:r>
            <w:r w:rsidRPr="00073658">
              <w:rPr>
                <w:rFonts w:ascii="Verdana" w:eastAsia="Calibri" w:hAnsi="Verdana" w:cs="Arial"/>
              </w:rPr>
              <w:t xml:space="preserve">a contratación de </w:t>
            </w:r>
            <w:proofErr w:type="spellStart"/>
            <w:r w:rsidRPr="00073658">
              <w:rPr>
                <w:rFonts w:ascii="Verdana" w:eastAsia="Calibri" w:hAnsi="Verdana" w:cs="Arial"/>
              </w:rPr>
              <w:t>PcD</w:t>
            </w:r>
            <w:proofErr w:type="spellEnd"/>
            <w:r w:rsidRPr="00073658">
              <w:rPr>
                <w:rFonts w:ascii="Verdana" w:eastAsia="Calibri" w:hAnsi="Verdana" w:cs="Arial"/>
              </w:rPr>
              <w:t xml:space="preserve"> a través de contratos de prestación de servicios profesionales y/o de apoyo a la gestión es potestativa y no obligatoria. El artículo 2.2.1.2.4.2.7.6. del Decreto 0287 de 2026 utiliza el verbo "propenderán" para referirse a esta medida, lo que en técnica legislativa colombiana implica un mandato de medios y no de resultado, condicionado expresamente a la planeación institucional, la disponibilidad presupuestal y las necesidades del servicio. No obstante</w:t>
            </w:r>
            <w:r w:rsidRPr="00206556">
              <w:rPr>
                <w:rFonts w:ascii="Verdana" w:eastAsia="Calibri" w:hAnsi="Verdana" w:cs="Arial"/>
              </w:rPr>
              <w:t>,</w:t>
            </w:r>
            <w:r w:rsidRPr="00073658">
              <w:rPr>
                <w:rFonts w:ascii="Verdana" w:eastAsia="Calibri" w:hAnsi="Verdana" w:cs="Arial"/>
              </w:rPr>
              <w:t xml:space="preserve"> su carácter voluntario, esta medida tiene un sustento cuantitativo de enorme relevancia: </w:t>
            </w:r>
            <w:r w:rsidRPr="00073658">
              <w:rPr>
                <w:rFonts w:ascii="Verdana" w:eastAsia="Calibri" w:hAnsi="Verdana" w:cs="Arial"/>
              </w:rPr>
              <w:lastRenderedPageBreak/>
              <w:t xml:space="preserve">en el año 2024 se celebraron 747.942 contratos de prestación de servicios por un valor de $16 billones de pesos, universo que representa una oportunidad concreta y progresiva de inclusión laboral de las </w:t>
            </w:r>
            <w:proofErr w:type="spellStart"/>
            <w:r w:rsidRPr="00073658">
              <w:rPr>
                <w:rFonts w:ascii="Verdana" w:eastAsia="Calibri" w:hAnsi="Verdana" w:cs="Arial"/>
              </w:rPr>
              <w:t>PcD</w:t>
            </w:r>
            <w:proofErr w:type="spellEnd"/>
            <w:r w:rsidRPr="00073658">
              <w:rPr>
                <w:rFonts w:ascii="Verdana" w:eastAsia="Calibri" w:hAnsi="Verdana" w:cs="Arial"/>
              </w:rPr>
              <w:t xml:space="preserve"> en el Estado.</w:t>
            </w:r>
          </w:p>
          <w:p w14:paraId="669C11AA"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en cuanto a </w:t>
            </w:r>
            <w:r w:rsidRPr="00073658">
              <w:rPr>
                <w:rFonts w:ascii="Verdana" w:eastAsia="Calibri" w:hAnsi="Verdana" w:cs="Arial"/>
              </w:rPr>
              <w:t>la obligación de compras públicas accesibles</w:t>
            </w:r>
            <w:r>
              <w:rPr>
                <w:rFonts w:ascii="Verdana" w:eastAsia="Calibri" w:hAnsi="Verdana" w:cs="Arial"/>
              </w:rPr>
              <w:t>,</w:t>
            </w:r>
            <w:r w:rsidRPr="00073658">
              <w:rPr>
                <w:rFonts w:ascii="Verdana" w:eastAsia="Calibri" w:hAnsi="Verdana" w:cs="Arial"/>
              </w:rPr>
              <w:t xml:space="preserve"> </w:t>
            </w:r>
            <w:r>
              <w:rPr>
                <w:rFonts w:ascii="Verdana" w:eastAsia="Calibri" w:hAnsi="Verdana" w:cs="Arial"/>
              </w:rPr>
              <w:t>esta es</w:t>
            </w:r>
            <w:r w:rsidRPr="00073658">
              <w:rPr>
                <w:rFonts w:ascii="Verdana" w:eastAsia="Calibri" w:hAnsi="Verdana" w:cs="Arial"/>
              </w:rPr>
              <w:t xml:space="preserve"> transversal a todos los entes del Estado y aplica en todos los contratos en </w:t>
            </w:r>
            <w:r>
              <w:rPr>
                <w:rFonts w:ascii="Verdana" w:eastAsia="Calibri" w:hAnsi="Verdana" w:cs="Arial"/>
              </w:rPr>
              <w:t>los que se adquieran</w:t>
            </w:r>
            <w:r w:rsidRPr="00073658">
              <w:rPr>
                <w:rFonts w:ascii="Verdana" w:eastAsia="Calibri" w:hAnsi="Verdana" w:cs="Arial"/>
              </w:rPr>
              <w:t xml:space="preserve"> bien</w:t>
            </w:r>
            <w:r>
              <w:rPr>
                <w:rFonts w:ascii="Verdana" w:eastAsia="Calibri" w:hAnsi="Verdana" w:cs="Arial"/>
              </w:rPr>
              <w:t>es</w:t>
            </w:r>
            <w:r w:rsidRPr="00073658">
              <w:rPr>
                <w:rFonts w:ascii="Verdana" w:eastAsia="Calibri" w:hAnsi="Verdana" w:cs="Arial"/>
              </w:rPr>
              <w:t>, obra</w:t>
            </w:r>
            <w:r>
              <w:rPr>
                <w:rFonts w:ascii="Verdana" w:eastAsia="Calibri" w:hAnsi="Verdana" w:cs="Arial"/>
              </w:rPr>
              <w:t>s</w:t>
            </w:r>
            <w:r w:rsidRPr="00073658">
              <w:rPr>
                <w:rFonts w:ascii="Verdana" w:eastAsia="Calibri" w:hAnsi="Verdana" w:cs="Arial"/>
              </w:rPr>
              <w:t xml:space="preserve"> o servicio</w:t>
            </w:r>
            <w:r>
              <w:rPr>
                <w:rFonts w:ascii="Verdana" w:eastAsia="Calibri" w:hAnsi="Verdana" w:cs="Arial"/>
              </w:rPr>
              <w:t>s</w:t>
            </w:r>
            <w:r w:rsidRPr="00073658">
              <w:rPr>
                <w:rFonts w:ascii="Verdana" w:eastAsia="Calibri" w:hAnsi="Verdana" w:cs="Arial"/>
              </w:rPr>
              <w:t>.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w:t>
            </w:r>
            <w:r w:rsidRPr="00206556">
              <w:rPr>
                <w:rFonts w:ascii="Verdana" w:eastAsia="Calibri" w:hAnsi="Verdana" w:cs="Arial"/>
              </w:rPr>
              <w:t xml:space="preserve">, </w:t>
            </w:r>
            <w:r w:rsidRPr="00073658">
              <w:rPr>
                <w:rFonts w:ascii="Verdana" w:eastAsia="Calibri" w:hAnsi="Verdana" w:cs="Arial"/>
              </w:rPr>
              <w:t>visual, física, psicosocial (mental), auditiva, sordoceguera, intelectual y múltiple</w:t>
            </w:r>
            <w:r w:rsidRPr="00206556">
              <w:rPr>
                <w:rFonts w:ascii="Verdana" w:eastAsia="Calibri" w:hAnsi="Verdana" w:cs="Arial"/>
              </w:rPr>
              <w:t>,</w:t>
            </w:r>
            <w:r w:rsidRPr="00073658">
              <w:rPr>
                <w:rFonts w:ascii="Verdana" w:eastAsia="Calibri" w:hAnsi="Verdana" w:cs="Arial"/>
              </w:rPr>
              <w:t xml:space="preserve"> y los principios de accesibilidad universal, diseño universal y ajustes razonables consagrados en la Ley 1346 de 2009 y la Ley 1618 de 2013</w:t>
            </w:r>
            <w:r>
              <w:rPr>
                <w:rFonts w:ascii="Verdana" w:eastAsia="Calibri" w:hAnsi="Verdana" w:cs="Arial"/>
              </w:rPr>
              <w:t>.</w:t>
            </w:r>
          </w:p>
          <w:p w14:paraId="0C5E8AF1" w14:textId="77777777" w:rsidR="005510BC" w:rsidRDefault="005510BC" w:rsidP="00AD17AD">
            <w:pPr>
              <w:spacing w:before="120" w:after="120" w:line="276" w:lineRule="auto"/>
              <w:ind w:firstLine="709"/>
              <w:jc w:val="both"/>
              <w:rPr>
                <w:rFonts w:ascii="Verdana" w:eastAsia="Calibri" w:hAnsi="Verdana" w:cs="Arial"/>
              </w:rPr>
            </w:pPr>
            <w:r w:rsidRPr="00670CFB">
              <w:rPr>
                <w:rFonts w:ascii="Verdana" w:eastAsia="Calibri" w:hAnsi="Verdana" w:cs="Arial"/>
              </w:rPr>
              <w:t>Finalmente, en lo que concierne a las cinco medidas que componen el Sistema Integral de Preferencias y su forma de aplicación, estas operan de manera articulada a lo largo de todo el ciclo contractual: la primera, las herramientas de planeación, se activan antes de la apertura del proceso mediante ferias de negocios inclusivas, criterios sociales en los pliegos y división en lotes</w:t>
            </w:r>
            <w:r>
              <w:rPr>
                <w:rFonts w:ascii="Verdana" w:eastAsia="Calibri" w:hAnsi="Verdana" w:cs="Arial"/>
              </w:rPr>
              <w:t xml:space="preserve"> o segmentos</w:t>
            </w:r>
            <w:r w:rsidRPr="00670CFB">
              <w:rPr>
                <w:rFonts w:ascii="Verdana" w:eastAsia="Calibri" w:hAnsi="Verdana" w:cs="Arial"/>
              </w:rPr>
              <w:t xml:space="preserve">; la segunda, los criterios habilitantes diferenciales operan en la etapa de selección flexibilizando los requisitos de experiencia, capacidad financiera, capacidad organizacional o garantía de seriedad para los emprendimientos y empresas de </w:t>
            </w:r>
            <w:proofErr w:type="spellStart"/>
            <w:r w:rsidRPr="00670CFB">
              <w:rPr>
                <w:rFonts w:ascii="Verdana" w:eastAsia="Calibri" w:hAnsi="Verdana" w:cs="Arial"/>
              </w:rPr>
              <w:t>PcD</w:t>
            </w:r>
            <w:proofErr w:type="spellEnd"/>
            <w:r w:rsidRPr="00670CFB">
              <w:rPr>
                <w:rFonts w:ascii="Verdana" w:eastAsia="Calibri" w:hAnsi="Verdana" w:cs="Arial"/>
              </w:rPr>
              <w:t xml:space="preserve">, con el límite del principio de proporcionalidad; la tercera, el puntaje adicional del 2% opera en la evaluación de propuestas en licitación pública y concurso de méritos otorgando una ventaja real en la calificación de la oferta; la cuarta, las condiciones especiales de ejecución obligan al contratista durante la ejecución a priorizar a las </w:t>
            </w:r>
            <w:proofErr w:type="spellStart"/>
            <w:r w:rsidRPr="00670CFB">
              <w:rPr>
                <w:rFonts w:ascii="Verdana" w:eastAsia="Calibri" w:hAnsi="Verdana" w:cs="Arial"/>
              </w:rPr>
              <w:t>PcD</w:t>
            </w:r>
            <w:proofErr w:type="spellEnd"/>
            <w:r w:rsidRPr="00670CFB">
              <w:rPr>
                <w:rFonts w:ascii="Verdana" w:eastAsia="Calibri" w:hAnsi="Verdana" w:cs="Arial"/>
              </w:rPr>
              <w:t xml:space="preserve"> y sus empresas en la subcontratación </w:t>
            </w:r>
            <w:r>
              <w:rPr>
                <w:rFonts w:ascii="Verdana" w:eastAsia="Calibri" w:hAnsi="Verdana" w:cs="Arial"/>
              </w:rPr>
              <w:t>y/o</w:t>
            </w:r>
            <w:r w:rsidRPr="00670CFB">
              <w:rPr>
                <w:rFonts w:ascii="Verdana" w:eastAsia="Calibri" w:hAnsi="Verdana" w:cs="Arial"/>
              </w:rPr>
              <w:t xml:space="preserve"> en la conformación del equipo de trabajo; y la quinta, la inclusión potestativa de </w:t>
            </w:r>
            <w:proofErr w:type="spellStart"/>
            <w:r w:rsidRPr="00670CFB">
              <w:rPr>
                <w:rFonts w:ascii="Verdana" w:eastAsia="Calibri" w:hAnsi="Verdana" w:cs="Arial"/>
              </w:rPr>
              <w:t>PcD</w:t>
            </w:r>
            <w:proofErr w:type="spellEnd"/>
            <w:r w:rsidRPr="00670CFB">
              <w:rPr>
                <w:rFonts w:ascii="Verdana" w:eastAsia="Calibri" w:hAnsi="Verdana" w:cs="Arial"/>
              </w:rPr>
              <w:t xml:space="preserve"> en contratos de prestación de servicios, permite a las entidades </w:t>
            </w:r>
            <w:r>
              <w:rPr>
                <w:rFonts w:ascii="Verdana" w:eastAsia="Calibri" w:hAnsi="Verdana" w:cs="Arial"/>
              </w:rPr>
              <w:t>sometidas al Estatuto General de Contratación Pública</w:t>
            </w:r>
            <w:r w:rsidRPr="00670CFB">
              <w:rPr>
                <w:rFonts w:ascii="Verdana" w:eastAsia="Calibri" w:hAnsi="Verdana" w:cs="Arial"/>
              </w:rPr>
              <w:t xml:space="preserve"> vincular directamente personas con discapacidad en la modalidad de contratación directa. El incumplimiento de cualquiera de estas medidas tiene consecuencias jurídicas concretas que van desde la invalidez de los documentos del proceso hasta la configuración </w:t>
            </w:r>
            <w:r w:rsidRPr="00670CFB">
              <w:rPr>
                <w:rFonts w:ascii="Verdana" w:eastAsia="Calibri" w:hAnsi="Verdana" w:cs="Arial"/>
              </w:rPr>
              <w:lastRenderedPageBreak/>
              <w:t>de causales de incumplimiento contractual, según la fase en que se produzca la omisión</w:t>
            </w:r>
            <w:r>
              <w:rPr>
                <w:rFonts w:ascii="Verdana" w:eastAsia="Calibri" w:hAnsi="Verdana" w:cs="Arial"/>
              </w:rPr>
              <w:t>, así como sanciones por los entes de control por la celebración de contratos sin el cumplimiento de requisitos legales</w:t>
            </w:r>
            <w:r w:rsidRPr="00670CFB">
              <w:rPr>
                <w:rFonts w:ascii="Verdana" w:eastAsia="Calibri" w:hAnsi="Verdana" w:cs="Arial"/>
              </w:rPr>
              <w:t>.</w:t>
            </w:r>
          </w:p>
          <w:p w14:paraId="2204ED69" w14:textId="77777777" w:rsidR="005510BC" w:rsidRPr="00D851ED"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Por último, respecto del régimen de transición para la aplicación del Decreto 287 de 2026, se debe tener en cuenta que </w:t>
            </w:r>
            <w:r w:rsidRPr="00D851ED">
              <w:rPr>
                <w:rFonts w:ascii="Verdana" w:eastAsia="Calibri" w:hAnsi="Verdana" w:cs="Arial"/>
              </w:rPr>
              <w:t>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w:t>
            </w:r>
            <w:r>
              <w:rPr>
                <w:rFonts w:ascii="Verdana" w:eastAsia="Calibri" w:hAnsi="Verdana" w:cs="Arial"/>
              </w:rPr>
              <w:t>, pero lo señalado en este concepto debe entenderse de acuerdo con la nueva redacción de los artículos enlistados, y no recurrir a la antigua redacción</w:t>
            </w:r>
            <w:r w:rsidRPr="00D851ED">
              <w:rPr>
                <w:rFonts w:ascii="Verdana" w:eastAsia="Calibri" w:hAnsi="Verdana" w:cs="Arial"/>
              </w:rPr>
              <w:t>.</w:t>
            </w:r>
          </w:p>
          <w:p w14:paraId="32148EEA" w14:textId="77777777" w:rsidR="005510BC" w:rsidRPr="00D851ED"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D851ED">
              <w:rPr>
                <w:rFonts w:ascii="Verdana" w:eastAsia="Calibri" w:hAnsi="Verdana" w:cs="Arial"/>
              </w:rPr>
              <w:t>ii</w:t>
            </w:r>
            <w:proofErr w:type="spellEnd"/>
            <w:r w:rsidRPr="00D851ED">
              <w:rPr>
                <w:rFonts w:ascii="Verdana" w:eastAsia="Calibri" w:hAnsi="Verdana" w:cs="Arial"/>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59BB8292" w14:textId="77777777" w:rsidR="005510BC" w:rsidRPr="00670CFB"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Para los procesos de contratación con proyecto de pliego </w:t>
            </w:r>
            <w:proofErr w:type="gramStart"/>
            <w:r w:rsidRPr="00D851ED">
              <w:rPr>
                <w:rFonts w:ascii="Verdana" w:eastAsia="Calibri" w:hAnsi="Verdana" w:cs="Arial"/>
              </w:rPr>
              <w:t>publicado</w:t>
            </w:r>
            <w:proofErr w:type="gramEnd"/>
            <w:r w:rsidRPr="00D851ED">
              <w:rPr>
                <w:rFonts w:ascii="Verdana" w:eastAsia="Calibri" w:hAnsi="Verdana" w:cs="Arial"/>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Calibri" w:hAnsi="Verdana" w:cs="Arial"/>
              </w:rPr>
              <w:t>.</w:t>
            </w: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77777777" w:rsidR="005510BC" w:rsidRPr="00206556" w:rsidRDefault="005510BC" w:rsidP="005510BC">
      <w:pPr>
        <w:spacing w:after="120" w:line="276" w:lineRule="auto"/>
        <w:jc w:val="both"/>
        <w:rPr>
          <w:rFonts w:ascii="Verdana" w:hAnsi="Verdana"/>
        </w:rPr>
      </w:pPr>
      <w:r w:rsidRPr="00206556">
        <w:rPr>
          <w:rFonts w:ascii="Verdana" w:eastAsia="Calibri" w:hAnsi="Verdana" w:cs="Arial"/>
          <w:lang w:val="es-ES"/>
        </w:rPr>
        <w:lastRenderedPageBreak/>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w:t>
      </w:r>
      <w:r w:rsidRPr="00206556">
        <w:rPr>
          <w:rFonts w:ascii="Verdana" w:eastAsia="Times New Roman" w:hAnsi="Verdana" w:cs="Times New Roman"/>
        </w:rPr>
        <w:lastRenderedPageBreak/>
        <w:t>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5165B87A"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361 de 1997 estableció los primeros mecanismos de integración social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sin considerar a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proponentes directos.</w:t>
      </w:r>
    </w:p>
    <w:p w14:paraId="4662F524"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y para empresas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un sistema de preferencias para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adjudicación; y un sistema de preferencias en favor de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xml:space="preserve">, que por definición no puede reducirse a una sola </w:t>
      </w:r>
      <w:proofErr w:type="gramStart"/>
      <w:r w:rsidRPr="00206556">
        <w:rPr>
          <w:rFonts w:ascii="Verdana" w:eastAsia="Times New Roman" w:hAnsi="Verdana" w:cs="Times New Roman"/>
        </w:rPr>
        <w:t>medida</w:t>
      </w:r>
      <w:proofErr w:type="gramEnd"/>
      <w:r w:rsidRPr="00206556">
        <w:rPr>
          <w:rFonts w:ascii="Verdana" w:eastAsia="Times New Roman" w:hAnsi="Verdana" w:cs="Times New Roman"/>
        </w:rPr>
        <w:t xml:space="preserve"> sino que implica un conjunto estructurado de instrumentos que actúen en las distintas fases del proceso contractual.</w:t>
      </w:r>
    </w:p>
    <w:p w14:paraId="485E28D1" w14:textId="796F3B94" w:rsidR="005510BC" w:rsidRPr="00A420A9" w:rsidRDefault="005510BC" w:rsidP="00960D60">
      <w:pPr>
        <w:spacing w:after="120" w:line="276" w:lineRule="auto"/>
        <w:ind w:firstLine="709"/>
        <w:jc w:val="both"/>
        <w:rPr>
          <w:rFonts w:ascii="Verdana" w:hAnsi="Verdana"/>
        </w:rPr>
      </w:pPr>
      <w:r w:rsidRPr="00E727F0">
        <w:rPr>
          <w:rFonts w:ascii="Verdana" w:hAnsi="Verdana"/>
        </w:rPr>
        <w:lastRenderedPageBreak/>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A420A9">
        <w:rPr>
          <w:rFonts w:ascii="Verdana" w:hAnsi="Verdana"/>
        </w:rPr>
        <w:t>PcD</w:t>
      </w:r>
      <w:proofErr w:type="spellEnd"/>
      <w:r w:rsidRPr="00A420A9">
        <w:rPr>
          <w:rFonts w:ascii="Verdana" w:hAnsi="Verdana"/>
        </w:rPr>
        <w:t xml:space="preserve"> como contratistas.</w:t>
      </w:r>
    </w:p>
    <w:p w14:paraId="34CE263B" w14:textId="7EEB223E" w:rsidR="005510BC" w:rsidRDefault="005510BC" w:rsidP="00960D60">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39D7BE6" w14:textId="77777777" w:rsidR="005510BC" w:rsidRDefault="005510BC" w:rsidP="005510BC">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de cada aspecto del sistema planteado en los problemas jurídicos. </w:t>
      </w:r>
    </w:p>
    <w:p w14:paraId="2BA717EC" w14:textId="77777777" w:rsidR="005510BC" w:rsidRPr="00E727F0" w:rsidRDefault="005510BC" w:rsidP="005510BC">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w:t>
      </w:r>
      <w:r w:rsidRPr="00E727F0">
        <w:rPr>
          <w:rFonts w:ascii="Verdana" w:eastAsia="Times New Roman" w:hAnsi="Verdana" w:cs="Times New Roman"/>
        </w:rPr>
        <w:lastRenderedPageBreak/>
        <w:t xml:space="preserve">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sidRPr="00E727F0">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4D3C6E2B" w14:textId="1D8D9332" w:rsidR="005510BC" w:rsidRPr="00D22B7C" w:rsidRDefault="005510BC" w:rsidP="00960D60">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a la exigencia del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960D60"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t>Número mínimo de trabajadores con discapacidad requerido</w:t>
            </w:r>
          </w:p>
        </w:tc>
      </w:tr>
      <w:tr w:rsidR="005510BC" w:rsidRPr="00960D60"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2</w:t>
            </w:r>
          </w:p>
        </w:tc>
      </w:tr>
      <w:tr w:rsidR="005510BC" w:rsidRPr="00960D60"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3</w:t>
            </w:r>
          </w:p>
        </w:tc>
      </w:tr>
      <w:tr w:rsidR="005510BC" w:rsidRPr="00960D60"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lastRenderedPageBreak/>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4</w:t>
            </w:r>
          </w:p>
        </w:tc>
      </w:tr>
      <w:tr w:rsidR="005510BC" w:rsidRPr="00960D60"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5</w:t>
            </w:r>
          </w:p>
        </w:tc>
      </w:tr>
      <w:tr w:rsidR="005510BC" w:rsidRPr="00960D60"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7</w:t>
            </w:r>
          </w:p>
        </w:tc>
      </w:tr>
      <w:tr w:rsidR="005510BC" w:rsidRPr="00960D60"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10</w:t>
            </w:r>
          </w:p>
        </w:tc>
      </w:tr>
      <w:tr w:rsidR="005510BC" w:rsidRPr="00960D60"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12</w:t>
            </w:r>
          </w:p>
        </w:tc>
      </w:tr>
      <w:tr w:rsidR="005510BC" w:rsidRPr="00960D60"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14</w:t>
            </w:r>
          </w:p>
        </w:tc>
      </w:tr>
      <w:tr w:rsidR="005510BC" w:rsidRPr="00960D60"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16</w:t>
            </w:r>
          </w:p>
        </w:tc>
      </w:tr>
      <w:tr w:rsidR="005510BC" w:rsidRPr="00960D60"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Por cada 100 trabajadores adicionales, se suman 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34B9593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4CE21EAF" w14:textId="118618DD" w:rsidR="005510BC" w:rsidRDefault="005510BC" w:rsidP="00960D60">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lastRenderedPageBreak/>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19C00794" w14:textId="77777777" w:rsidR="005510BC" w:rsidRDefault="005510BC" w:rsidP="005510BC">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76EF70BC" w14:textId="77777777" w:rsidR="005510BC" w:rsidRPr="00D22B7C"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w:t>
      </w:r>
      <w:r w:rsidRPr="00206556">
        <w:rPr>
          <w:rFonts w:ascii="Verdana" w:hAnsi="Verdana"/>
        </w:rPr>
        <w:lastRenderedPageBreak/>
        <w:t xml:space="preserve">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5AC4D06F" w14:textId="77777777" w:rsidR="005510BC" w:rsidRPr="00206556" w:rsidRDefault="005510BC" w:rsidP="005510BC">
      <w:pPr>
        <w:spacing w:after="120" w:line="276" w:lineRule="auto"/>
        <w:ind w:firstLine="709"/>
        <w:jc w:val="both"/>
        <w:rPr>
          <w:rFonts w:ascii="Verdana" w:hAnsi="Verdana"/>
          <w:sz w:val="20"/>
          <w:szCs w:val="20"/>
        </w:rPr>
      </w:pPr>
      <w:r w:rsidRPr="00206556">
        <w:rPr>
          <w:rFonts w:ascii="Verdana" w:hAnsi="Verdana"/>
        </w:rPr>
        <w:t xml:space="preserve">(v) Sobre la aplicación del Decreto 0287 de 2026 en los documentos tipo, el artículo 2.2.1.2.4.2.7.8. del Decreto 0287 de 2026 establece que Colombia Compra Eficiente garantizará la incorporación permanente de las medidas del sistema en los documentos e instrumentos que genera. </w:t>
      </w:r>
    </w:p>
    <w:p w14:paraId="4B7D2125" w14:textId="77777777" w:rsidR="005510BC" w:rsidRDefault="005510BC" w:rsidP="005510BC">
      <w:pPr>
        <w:spacing w:after="120" w:line="276" w:lineRule="auto"/>
        <w:ind w:firstLine="708"/>
        <w:jc w:val="both"/>
        <w:rPr>
          <w:rFonts w:ascii="Verdana" w:hAnsi="Verdana"/>
        </w:rPr>
      </w:pPr>
      <w:r w:rsidRPr="007B01BA">
        <w:rPr>
          <w:rFonts w:ascii="Verdana" w:hAnsi="Verdana"/>
        </w:rPr>
        <w:t>El principio de inalterabilidad de los documentos tipo impide modificaciones unilaterales por parte de las entidades, pues ello afectaría la 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Pr>
          <w:rFonts w:ascii="Verdana" w:hAnsi="Verdana"/>
        </w:rPr>
        <w:t xml:space="preserve"> y continuar aplicando el documento tipo vigente sin alterarlo.</w:t>
      </w:r>
    </w:p>
    <w:p w14:paraId="1A6D54B9" w14:textId="77777777" w:rsidR="005510BC" w:rsidRDefault="005510BC" w:rsidP="005510BC">
      <w:pPr>
        <w:spacing w:after="120" w:line="276" w:lineRule="auto"/>
        <w:ind w:firstLine="708"/>
        <w:jc w:val="both"/>
        <w:rPr>
          <w:rFonts w:ascii="Verdana" w:hAnsi="Verdana"/>
        </w:rPr>
      </w:pPr>
    </w:p>
    <w:p w14:paraId="6F57ED3C" w14:textId="77777777" w:rsidR="005510BC" w:rsidRDefault="005510BC" w:rsidP="005510BC">
      <w:pPr>
        <w:spacing w:after="120" w:line="276" w:lineRule="auto"/>
        <w:ind w:firstLine="709"/>
        <w:jc w:val="both"/>
        <w:rPr>
          <w:rFonts w:ascii="Verdana" w:hAnsi="Verdana"/>
        </w:rPr>
      </w:pPr>
      <w:r w:rsidRPr="00206556">
        <w:rPr>
          <w:rFonts w:ascii="Verdana" w:hAnsi="Verdana"/>
        </w:rPr>
        <w:t>(v</w:t>
      </w:r>
      <w:r>
        <w:rPr>
          <w:rFonts w:ascii="Verdana" w:hAnsi="Verdana"/>
        </w:rPr>
        <w:t>i</w:t>
      </w:r>
      <w:r w:rsidRPr="00206556">
        <w:rPr>
          <w:rFonts w:ascii="Verdana" w:hAnsi="Verdana"/>
        </w:rPr>
        <w:t>) En cuanto a los criterios habilitantes diferenciales y los proponentes plurales</w:t>
      </w:r>
      <w:r>
        <w:rPr>
          <w:rFonts w:ascii="Verdana" w:hAnsi="Verdana"/>
        </w:rPr>
        <w:t>, e</w:t>
      </w:r>
      <w:r w:rsidRPr="00206556">
        <w:rPr>
          <w:rFonts w:ascii="Verdana" w:hAnsi="Verdana"/>
        </w:rPr>
        <w:t xml:space="preserve">l artículo 2.2.1.2.4.2.7.3. del Decreto 0287 de 2026 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206556">
        <w:rPr>
          <w:rFonts w:ascii="Verdana" w:hAnsi="Verdana"/>
        </w:rPr>
        <w:t>PcD</w:t>
      </w:r>
      <w:proofErr w:type="spellEnd"/>
      <w:r w:rsidRPr="00206556">
        <w:rPr>
          <w:rFonts w:ascii="Verdana" w:hAnsi="Verdana"/>
        </w:rPr>
        <w:t xml:space="preserve">, y no para los empleadores de </w:t>
      </w:r>
      <w:proofErr w:type="spellStart"/>
      <w:r w:rsidRPr="00206556">
        <w:rPr>
          <w:rFonts w:ascii="Verdana" w:hAnsi="Verdana"/>
        </w:rPr>
        <w:t>PcD</w:t>
      </w:r>
      <w:proofErr w:type="spellEnd"/>
      <w:r w:rsidRPr="00206556">
        <w:rPr>
          <w:rFonts w:ascii="Verdana" w:hAnsi="Verdana"/>
        </w:rPr>
        <w:t xml:space="preserve">. Su establecimiento es obligatorio para la entidad contratante, pero </w:t>
      </w:r>
      <w:r>
        <w:rPr>
          <w:rFonts w:ascii="Verdana" w:hAnsi="Verdana"/>
        </w:rPr>
        <w:t>el</w:t>
      </w:r>
      <w:r w:rsidRPr="00206556">
        <w:rPr>
          <w:rFonts w:ascii="Verdana" w:hAnsi="Verdana"/>
        </w:rPr>
        <w:t xml:space="preserve"> rigor del ajuste es discrecional: la entidad determina, con </w:t>
      </w:r>
      <w:r w:rsidRPr="00206556">
        <w:rPr>
          <w:rFonts w:ascii="Verdana" w:hAnsi="Verdana"/>
        </w:rPr>
        <w:lastRenderedPageBreak/>
        <w:t>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sidRPr="00206556">
        <w:rPr>
          <w:rStyle w:val="Refdenotaalpie"/>
          <w:rFonts w:ascii="Verdana" w:hAnsi="Verdana"/>
        </w:rPr>
        <w:footnoteReference w:id="9"/>
      </w:r>
      <w:r>
        <w:rPr>
          <w:rFonts w:ascii="Verdana" w:hAnsi="Verdana"/>
        </w:rPr>
        <w:t>.</w:t>
      </w:r>
      <w:r w:rsidRPr="00206556">
        <w:rPr>
          <w:rFonts w:ascii="Verdana" w:hAnsi="Verdana"/>
        </w:rPr>
        <w:t xml:space="preserve"> </w:t>
      </w:r>
      <w:r w:rsidRPr="00975224">
        <w:rPr>
          <w:rFonts w:ascii="Verdana" w:hAnsi="Verdana"/>
        </w:rPr>
        <w:t>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w:t>
      </w:r>
      <w:r>
        <w:rPr>
          <w:rFonts w:ascii="Verdana" w:hAnsi="Verdana"/>
        </w:rPr>
        <w:t>, sin que se ponga en riesgo el cumplimiento contractual</w:t>
      </w:r>
      <w:r w:rsidRPr="00975224">
        <w:rPr>
          <w:rFonts w:ascii="Verdana" w:hAnsi="Verdana"/>
        </w:rPr>
        <w:t>.</w:t>
      </w:r>
      <w:r>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1B350133" w14:textId="77777777" w:rsidR="005510BC" w:rsidRPr="00206556" w:rsidRDefault="005510BC" w:rsidP="005510BC">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33743DB1" w14:textId="5B54A394" w:rsidR="005510BC" w:rsidRPr="00206556" w:rsidRDefault="005510BC" w:rsidP="00960D60">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w:t>
      </w:r>
      <w:r>
        <w:rPr>
          <w:rFonts w:ascii="Verdana" w:hAnsi="Verdana"/>
        </w:rPr>
        <w:t>i</w:t>
      </w:r>
      <w:proofErr w:type="spellEnd"/>
      <w:r w:rsidRPr="00206556">
        <w:rPr>
          <w:rFonts w:ascii="Verdana" w:hAnsi="Verdana"/>
        </w:rPr>
        <w:t>)</w:t>
      </w:r>
      <w:r w:rsidRPr="00975224">
        <w:t xml:space="preserve"> </w:t>
      </w:r>
      <w:r w:rsidRPr="00975224">
        <w:rPr>
          <w:rFonts w:ascii="Verdana" w:hAnsi="Verdana"/>
        </w:rPr>
        <w:t xml:space="preserve">En lo que respecta a las condiciones especiales de ejecución, el artículo 2.2.1.2.4.2.7.5. del Decreto 0287 de 2026 dispone que las entidades estatales "deberán incluir como obligación contractual, en los Documentos del Proceso, previo análisis de conveniencia y oportunidad, al menos una (1) de las </w:t>
      </w:r>
      <w:r w:rsidRPr="00975224">
        <w:rPr>
          <w:rFonts w:ascii="Verdana" w:hAnsi="Verdana"/>
        </w:rPr>
        <w:lastRenderedPageBreak/>
        <w:t xml:space="preserve">siguientes condiciones especiales de ejecución": la subcontratación inclusiva, que exige priorizar a </w:t>
      </w:r>
      <w:proofErr w:type="spellStart"/>
      <w:r w:rsidRPr="00975224">
        <w:rPr>
          <w:rFonts w:ascii="Verdana" w:hAnsi="Verdana"/>
        </w:rPr>
        <w:t>PcD</w:t>
      </w:r>
      <w:proofErr w:type="spellEnd"/>
      <w:r w:rsidRPr="00975224">
        <w:rPr>
          <w:rFonts w:ascii="Verdana" w:hAnsi="Verdana"/>
        </w:rPr>
        <w:t xml:space="preserve"> o a emprendimientos y empresas de </w:t>
      </w:r>
      <w:proofErr w:type="spellStart"/>
      <w:r w:rsidRPr="00975224">
        <w:rPr>
          <w:rFonts w:ascii="Verdana" w:hAnsi="Verdana"/>
        </w:rPr>
        <w:t>PcD</w:t>
      </w:r>
      <w:proofErr w:type="spellEnd"/>
      <w:r w:rsidRPr="00975224">
        <w:rPr>
          <w:rFonts w:ascii="Verdana" w:hAnsi="Verdana"/>
        </w:rPr>
        <w:t xml:space="preserve"> cuando se requiera subcontratar; y la integración del equipo de trabajo, que exige priorizar personas naturales con discapacidad cuando se requiera conformar equipo para la ejecución. La obligación consiste en incluir al menos una de las dos condiciones, no necesariamente ambas. La palabra "deberán" hace de esta una medida imperativa en cuanto a la obligación de incluir al menos una condición, pero la entidad tiene discrecionalidad para escoger cuál de las dos incorpora o si incorpora ambas. Solo puede omitirse la inclusión de las dos cuando la entidad justifique esa omisión con argumentos objetivos en los estudios previos. La priorización no implica exclusividad; el contratista puede contratar otros proveedores, pero debe procurar que las </w:t>
      </w:r>
      <w:proofErr w:type="spellStart"/>
      <w:r w:rsidRPr="00975224">
        <w:rPr>
          <w:rFonts w:ascii="Verdana" w:hAnsi="Verdana"/>
        </w:rPr>
        <w:t>PcD</w:t>
      </w:r>
      <w:proofErr w:type="spellEnd"/>
      <w:r w:rsidRPr="00975224">
        <w:rPr>
          <w:rFonts w:ascii="Verdana" w:hAnsi="Verdana"/>
        </w:rPr>
        <w:t xml:space="preserve"> y sus empresas tengan preferencia cuando existan en el mercado. El incumplimiento injustificado puede constituir causal de incumplimiento contractual, verificable por el supervisor o interventor con cada solicitud de pago.</w:t>
      </w:r>
      <w:r w:rsidRPr="00206556">
        <w:rPr>
          <w:rFonts w:ascii="Verdana" w:hAnsi="Verdana"/>
        </w:rPr>
        <w:t xml:space="preserve"> </w:t>
      </w:r>
    </w:p>
    <w:p w14:paraId="0D6F8399"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vii</w:t>
      </w:r>
      <w:r>
        <w:rPr>
          <w:rFonts w:ascii="Verdana" w:hAnsi="Verdana"/>
        </w:rPr>
        <w:t>i</w:t>
      </w:r>
      <w:proofErr w:type="spellEnd"/>
      <w:r w:rsidRPr="00206556">
        <w:rPr>
          <w:rFonts w:ascii="Verdana" w:hAnsi="Verdana"/>
        </w:rPr>
        <w:t>) Sobre la compatibilidad con MiPymes y empresas de mujeres, y la distinción con el criterio de desempate. El parágrafo 2 del artículo 2.2.1.2.4.2.7.4. del Decreto 0287 de 2026 establece que el puntaje adicional "</w:t>
      </w:r>
      <w:r w:rsidRPr="00206556">
        <w:rPr>
          <w:rFonts w:ascii="Verdana" w:hAnsi="Verdana"/>
          <w:i/>
          <w:iCs/>
        </w:rPr>
        <w:t>no excluye la aplicación de incentivos contractuales ni de criterios diferenciales en favor de las MiPymes y/o los emprendimientos y empresas de mujeres".</w:t>
      </w:r>
      <w:r w:rsidRPr="00206556">
        <w:rPr>
          <w:rFonts w:ascii="Verdana" w:hAnsi="Verdana"/>
        </w:rPr>
        <w:t xml:space="preserve"> Del mismo modo, el parágrafo 2 del artículo 2.2.1.2.4.2.7.3</w:t>
      </w:r>
      <w:r>
        <w:rPr>
          <w:rFonts w:ascii="Verdana" w:hAnsi="Verdana"/>
        </w:rPr>
        <w:t>.</w:t>
      </w:r>
      <w:r w:rsidRPr="00206556">
        <w:rPr>
          <w:rFonts w:ascii="Verdana" w:hAnsi="Verdana"/>
        </w:rPr>
        <w:t xml:space="preserve"> establece la compatibilidad de los criterios habilitantes diferenciales con los aplicables a MiPymes y empresas de mujeres. En consecuencia, todos estos instrumentos pueden aplicarse simultáneamente en el mismo proceso de contratación sin exclusión recíproca. En cuanto a la distinción con el criterio de desempate, es indispensable no confundir los dos instrumentos: el puntaje adicional del 2% beneficia a los dos sujetos del sistema y opera en la evaluación de propuestas antes de la adjudicación; el criterio de desempate, regulado por el artículo 35, numeral 3, de la Ley 2069 de 2020 beneficia exclusivamente a los empleadores de </w:t>
      </w:r>
      <w:proofErr w:type="spellStart"/>
      <w:r w:rsidRPr="00206556">
        <w:rPr>
          <w:rFonts w:ascii="Verdana" w:hAnsi="Verdana"/>
        </w:rPr>
        <w:t>PcD</w:t>
      </w:r>
      <w:proofErr w:type="spellEnd"/>
      <w:r w:rsidRPr="00206556">
        <w:rPr>
          <w:rFonts w:ascii="Verdana" w:hAnsi="Verdana"/>
        </w:rPr>
        <w:t xml:space="preserve">, no a los emprendimientos y empresas de </w:t>
      </w:r>
      <w:proofErr w:type="spellStart"/>
      <w:r w:rsidRPr="00206556">
        <w:rPr>
          <w:rFonts w:ascii="Verdana" w:hAnsi="Verdana"/>
        </w:rPr>
        <w:t>PcD</w:t>
      </w:r>
      <w:proofErr w:type="spellEnd"/>
      <w:r w:rsidRPr="00206556">
        <w:rPr>
          <w:rFonts w:ascii="Verdana" w:hAnsi="Verdana"/>
        </w:rPr>
        <w:t xml:space="preserve">,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w:t>
      </w:r>
      <w:proofErr w:type="spellStart"/>
      <w:r w:rsidRPr="00206556">
        <w:rPr>
          <w:rFonts w:ascii="Verdana" w:hAnsi="Verdana"/>
        </w:rPr>
        <w:t>PcD</w:t>
      </w:r>
      <w:proofErr w:type="spellEnd"/>
      <w:r w:rsidRPr="00206556">
        <w:rPr>
          <w:rFonts w:ascii="Verdana" w:hAnsi="Verdana"/>
        </w:rPr>
        <w:t xml:space="preserve"> debe tener al menos el 25% de participación y aportar mínimo el 25% de la experiencia. El Decreto 0287 de 2026 no modificó el criterio de desempate de la Ley 2069 de 2020, que como norma de rango legal no puede ser alterada por </w:t>
      </w:r>
      <w:r w:rsidRPr="00206556">
        <w:rPr>
          <w:rFonts w:ascii="Verdana" w:hAnsi="Verdana"/>
        </w:rPr>
        <w:lastRenderedPageBreak/>
        <w:t>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10"/>
      </w:r>
      <w:r>
        <w:rPr>
          <w:rFonts w:ascii="Verdana" w:hAnsi="Verdana"/>
        </w:rPr>
        <w:t>.</w:t>
      </w:r>
    </w:p>
    <w:p w14:paraId="0A184553"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ix</w:t>
      </w:r>
      <w:proofErr w:type="spellEnd"/>
      <w:r w:rsidRPr="00206556">
        <w:rPr>
          <w:rFonts w:ascii="Verdana" w:hAnsi="Verdana"/>
        </w:rPr>
        <w:t xml:space="preserve">) En lo que concierne a la inclusión de personas con discapacidad a través de contratos de prestación de servicios profesionales y/o de apoyo a la gestión, es necesario precisar su naturaleza jurídica, pues esta medida ha generado interpretaciones encontradas en cuanto a si constituye una obligación general para todas las entidades estatales o si, por el contrario, su aplicación queda sujeta a la voluntad de cada entidad. El artículo 2.2.1.2.4.2.7.6. del Decreto 0287 de 2026 despeja esta inquietud al utilizar el verbo "propenderán" para referirse a esta medida, lo que en técnica legislativa colombiana implica un mandato de medios, es decir, realizar todos los esfuerzos necesarios, y no un mandato de resultado, contrario a contratar obligatoriamente en todos los casos. La norma condiciona expresamente la medida a la planeación contractual, la disponibilidad presupuestal y las necesidades del servicio. Aplica exclusivamente en contratación directa mediante contratos de prestación de servicios profesionales y/o de apoyo a la gestión, para entidades sometidas al Estatuto General de la Contratación Pública, sin que aplique a contratos artísticos ni a entidades de régimen especial. La entidad que decida aplicarla debe verificar la idoneidad de la </w:t>
      </w:r>
      <w:proofErr w:type="spellStart"/>
      <w:r w:rsidRPr="00206556">
        <w:rPr>
          <w:rFonts w:ascii="Verdana" w:hAnsi="Verdana"/>
        </w:rPr>
        <w:t>PcD</w:t>
      </w:r>
      <w:proofErr w:type="spellEnd"/>
      <w:r w:rsidRPr="00206556">
        <w:rPr>
          <w:rFonts w:ascii="Verdana" w:hAnsi="Verdana"/>
        </w:rPr>
        <w:t xml:space="preserve"> para cumplir el objeto, acordar los ajustes razonables necesarios, evaluar la no exigencia de garantías, que no son obligatorias para esta tipología, e indicar en el SECOP que el contrato corresponde a esta medida afirmativa. En ningún caso la medida autoriza funciones permanentes ni genera subordinación laboral. La Corte Constitucional ha reconocido que las </w:t>
      </w:r>
      <w:proofErr w:type="spellStart"/>
      <w:r w:rsidRPr="00206556">
        <w:rPr>
          <w:rFonts w:ascii="Verdana" w:hAnsi="Verdana"/>
        </w:rPr>
        <w:t>PcD</w:t>
      </w:r>
      <w:proofErr w:type="spellEnd"/>
      <w:r w:rsidRPr="00206556">
        <w:rPr>
          <w:rFonts w:ascii="Verdana" w:hAnsi="Verdana"/>
        </w:rPr>
        <w:t xml:space="preserve"> gozan de estabilidad ocupacional reforzada</w:t>
      </w:r>
      <w:r w:rsidRPr="00206556">
        <w:rPr>
          <w:rStyle w:val="Refdenotaalpie"/>
          <w:rFonts w:ascii="Verdana" w:hAnsi="Verdana"/>
        </w:rPr>
        <w:footnoteReference w:id="11"/>
      </w:r>
      <w:r>
        <w:rPr>
          <w:rFonts w:ascii="Verdana" w:hAnsi="Verdana"/>
        </w:rPr>
        <w:t>,</w:t>
      </w:r>
      <w:r w:rsidRPr="00206556">
        <w:rPr>
          <w:rFonts w:ascii="Verdana" w:hAnsi="Verdana"/>
        </w:rPr>
        <w:t xml:space="preserve"> que aplica en el marco de estos contratos sin que ello genere relación laboral. El fundamento cuantitativo de la medida es elocuente: según datos del SECOP en el año 2024 se celebraron 747.942 contratos de prestación de servicios por un valor de $16 billones de pesos, </w:t>
      </w:r>
      <w:r w:rsidRPr="00206556">
        <w:rPr>
          <w:rFonts w:ascii="Verdana" w:hAnsi="Verdana"/>
        </w:rPr>
        <w:lastRenderedPageBreak/>
        <w:t xml:space="preserve">universo que representa una oportunidad concreta de inclusión laboral de las </w:t>
      </w:r>
      <w:proofErr w:type="spellStart"/>
      <w:r w:rsidRPr="00206556">
        <w:rPr>
          <w:rFonts w:ascii="Verdana" w:hAnsi="Verdana"/>
        </w:rPr>
        <w:t>PcD</w:t>
      </w:r>
      <w:proofErr w:type="spellEnd"/>
      <w:r w:rsidRPr="00206556">
        <w:rPr>
          <w:rFonts w:ascii="Verdana" w:hAnsi="Verdana"/>
        </w:rPr>
        <w:t xml:space="preserve"> de manera progresiva y sostenida.</w:t>
      </w:r>
    </w:p>
    <w:p w14:paraId="6028323B"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 xml:space="preserve">(x) </w:t>
      </w:r>
      <w:r>
        <w:rPr>
          <w:rFonts w:ascii="Verdana" w:hAnsi="Verdana"/>
        </w:rPr>
        <w:t>En cuanto a</w:t>
      </w:r>
      <w:r w:rsidRPr="00206556">
        <w:rPr>
          <w:rFonts w:ascii="Verdana" w:hAnsi="Verdana"/>
        </w:rPr>
        <w:t xml:space="preserve"> la obligación de compras públicas accesibles en ausencia de normas técnicas. El artículo 2.2.1.2.4.2.7.1. del Decreto 0287 de 2026 impone a las entidades, "independientemente de su régimen de contratación", la obligación de incorporar en los contratos criterios que garanticen la accesibilidad de las </w:t>
      </w:r>
      <w:proofErr w:type="spellStart"/>
      <w:r w:rsidRPr="00206556">
        <w:rPr>
          <w:rFonts w:ascii="Verdana" w:hAnsi="Verdana"/>
        </w:rPr>
        <w:t>PcD</w:t>
      </w:r>
      <w:proofErr w:type="spellEnd"/>
      <w:r w:rsidRPr="00206556">
        <w:rPr>
          <w:rFonts w:ascii="Verdana" w:hAnsi="Verdana"/>
        </w:rPr>
        <w:t>,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w:t>
      </w:r>
      <w:r>
        <w:rPr>
          <w:rFonts w:ascii="Verdana" w:hAnsi="Verdana"/>
        </w:rPr>
        <w:t>,</w:t>
      </w:r>
      <w:r w:rsidRPr="00206556">
        <w:rPr>
          <w:rFonts w:ascii="Verdana" w:hAnsi="Verdana"/>
        </w:rPr>
        <w:t xml:space="preserve"> la cual define los ajustes razonables como las modificaciones y adaptaciones necesarias que no impongan una carga desproporcionada, para garantizar a las </w:t>
      </w:r>
      <w:proofErr w:type="spellStart"/>
      <w:r w:rsidRPr="00206556">
        <w:rPr>
          <w:rFonts w:ascii="Verdana" w:hAnsi="Verdana"/>
        </w:rPr>
        <w:t>PcD</w:t>
      </w:r>
      <w:proofErr w:type="spellEnd"/>
      <w:r w:rsidRPr="00206556">
        <w:rPr>
          <w:rFonts w:ascii="Verdana" w:hAnsi="Verdana"/>
        </w:rPr>
        <w:t xml:space="preserve"> el goce de sus derechos en igualdad de condiciones. Los criterios se determinan en los estudios y documentos previos, procurando la mayor cobertura posible de las categorías de discapacidad.</w:t>
      </w:r>
    </w:p>
    <w:p w14:paraId="011BDA4D" w14:textId="77777777" w:rsidR="005510BC" w:rsidRDefault="005510BC" w:rsidP="005510BC">
      <w:pPr>
        <w:spacing w:after="120" w:line="276" w:lineRule="auto"/>
        <w:ind w:firstLine="709"/>
        <w:jc w:val="both"/>
        <w:rPr>
          <w:rFonts w:ascii="Verdana" w:hAnsi="Verdana"/>
        </w:rPr>
      </w:pPr>
      <w:r w:rsidRPr="00206556">
        <w:rPr>
          <w:rFonts w:ascii="Verdana" w:hAnsi="Verdana"/>
        </w:rPr>
        <w:t>(x</w:t>
      </w:r>
      <w:r>
        <w:rPr>
          <w:rFonts w:ascii="Verdana" w:hAnsi="Verdana"/>
        </w:rPr>
        <w:t>i</w:t>
      </w:r>
      <w:r w:rsidRPr="00206556">
        <w:rPr>
          <w:rFonts w:ascii="Verdana" w:hAnsi="Verdana"/>
        </w:rPr>
        <w:t xml:space="preserve">) </w:t>
      </w:r>
      <w:r>
        <w:rPr>
          <w:rFonts w:ascii="Verdana" w:hAnsi="Verdana"/>
        </w:rPr>
        <w:t>Sobre</w:t>
      </w:r>
      <w:r w:rsidRPr="00206556">
        <w:rPr>
          <w:rFonts w:ascii="Verdana" w:hAnsi="Verdana"/>
        </w:rPr>
        <w:t xml:space="preserve"> las consecuencias de la reducción de </w:t>
      </w:r>
      <w:proofErr w:type="spellStart"/>
      <w:r w:rsidRPr="00206556">
        <w:rPr>
          <w:rFonts w:ascii="Verdana" w:hAnsi="Verdana"/>
        </w:rPr>
        <w:t>PcD</w:t>
      </w:r>
      <w:proofErr w:type="spellEnd"/>
      <w:r w:rsidRPr="00206556">
        <w:rPr>
          <w:rFonts w:ascii="Verdana" w:hAnsi="Verdana"/>
        </w:rPr>
        <w:t xml:space="preserve"> durante la ejecución del contrato. El parágrafo 3 del artículo 2.2.1.2.4.2.7.4. del Decreto 0287 de 2026 establece que el contratista debe presentar con cada solicitud de pago la documentación que acredite la permanencia de las condiciones que dieron lugar al puntaje adicional, y que</w:t>
      </w:r>
      <w:r>
        <w:rPr>
          <w:rFonts w:ascii="Verdana" w:hAnsi="Verdana"/>
        </w:rPr>
        <w:t>:</w:t>
      </w:r>
    </w:p>
    <w:p w14:paraId="24927FC9" w14:textId="77777777" w:rsidR="005510BC" w:rsidRPr="00206556" w:rsidRDefault="005510BC" w:rsidP="005510BC">
      <w:pPr>
        <w:spacing w:after="0" w:line="276" w:lineRule="auto"/>
        <w:ind w:firstLine="708"/>
        <w:jc w:val="both"/>
        <w:rPr>
          <w:rFonts w:ascii="Verdana" w:hAnsi="Verdana"/>
        </w:rPr>
      </w:pPr>
      <w:r w:rsidRPr="00206556">
        <w:rPr>
          <w:rFonts w:ascii="Verdana" w:hAnsi="Verdana"/>
        </w:rPr>
        <w:t xml:space="preserve"> </w:t>
      </w:r>
    </w:p>
    <w:p w14:paraId="233D0442" w14:textId="77777777" w:rsidR="005510BC" w:rsidRPr="00206556" w:rsidRDefault="005510BC" w:rsidP="005510BC">
      <w:pPr>
        <w:spacing w:after="200"/>
        <w:ind w:left="851" w:right="1183"/>
        <w:jc w:val="both"/>
        <w:rPr>
          <w:rFonts w:ascii="Verdana" w:hAnsi="Verdana"/>
          <w:sz w:val="20"/>
          <w:szCs w:val="20"/>
        </w:rPr>
      </w:pPr>
      <w:r w:rsidRPr="00206556">
        <w:rPr>
          <w:rFonts w:ascii="Verdana" w:hAnsi="Verdana"/>
          <w:sz w:val="20"/>
          <w:szCs w:val="20"/>
        </w:rPr>
        <w:t>"la inobservancia de estas medidas y el incumplimiento injustificado en la reducción del número de trabajadores con discapacidad de la planta de personal acreditado para obtener el puntaje adicional podrá constituir causal de incumplimiento contractual y se tramitará conforme a la normatividad vigente"</w:t>
      </w:r>
      <w:r>
        <w:rPr>
          <w:rFonts w:ascii="Verdana" w:hAnsi="Verdana"/>
          <w:sz w:val="20"/>
          <w:szCs w:val="20"/>
        </w:rPr>
        <w:t>.</w:t>
      </w:r>
    </w:p>
    <w:p w14:paraId="76D92CD4" w14:textId="77777777" w:rsidR="005510BC" w:rsidRPr="00206556" w:rsidRDefault="005510BC" w:rsidP="005510BC">
      <w:pPr>
        <w:spacing w:after="200"/>
        <w:ind w:firstLine="708"/>
        <w:jc w:val="both"/>
        <w:rPr>
          <w:rFonts w:ascii="Verdana" w:hAnsi="Verdana"/>
        </w:rPr>
      </w:pPr>
      <w:r w:rsidRPr="00206556">
        <w:rPr>
          <w:rFonts w:ascii="Verdana" w:hAnsi="Verdana"/>
        </w:rPr>
        <w:t xml:space="preserve">El término "podrá" indica que la entidad tiene discrecionalidad para declarar o no el incumplimiento, valorando la justificación del contratista, el impacto real en el objeto del contrato y la posibilidad de subsanación. Solo queda </w:t>
      </w:r>
      <w:r w:rsidRPr="00206556">
        <w:rPr>
          <w:rFonts w:ascii="Verdana" w:hAnsi="Verdana"/>
        </w:rPr>
        <w:lastRenderedPageBreak/>
        <w:t xml:space="preserve">exonerado quien demuestre fuerza mayor o caso fortuito. El parágrafo 4 del mismo artículo añade que las medidas deben observar las garantías constitucionales de la estabilidad laboral reforzada de las </w:t>
      </w:r>
      <w:proofErr w:type="spellStart"/>
      <w:r w:rsidRPr="00206556">
        <w:rPr>
          <w:rFonts w:ascii="Verdana" w:hAnsi="Verdana"/>
        </w:rPr>
        <w:t>PcD</w:t>
      </w:r>
      <w:proofErr w:type="spellEnd"/>
      <w:r w:rsidRPr="00206556">
        <w:rPr>
          <w:rFonts w:ascii="Verdana" w:hAnsi="Verdana"/>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206556">
        <w:rPr>
          <w:rFonts w:ascii="Verdana" w:hAnsi="Verdana"/>
        </w:rPr>
        <w:t>PcD</w:t>
      </w:r>
      <w:proofErr w:type="spellEnd"/>
      <w:r w:rsidRPr="00206556">
        <w:rPr>
          <w:rFonts w:ascii="Verdana" w:hAnsi="Verdana"/>
        </w:rPr>
        <w:t>: la norma busca estabilidad real y no meramente nominal, de modo que el contratista debe adoptar las medidas de permanencia compatibles con el ordenamiento laboral vigente.</w:t>
      </w:r>
    </w:p>
    <w:p w14:paraId="0499C934"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w:t>
      </w:r>
      <w:proofErr w:type="spellStart"/>
      <w:r w:rsidRPr="00670CFB">
        <w:rPr>
          <w:rFonts w:ascii="Verdana" w:hAnsi="Verdana"/>
        </w:rPr>
        <w:t>xi</w:t>
      </w:r>
      <w:r>
        <w:rPr>
          <w:rFonts w:ascii="Verdana" w:hAnsi="Verdana"/>
        </w:rPr>
        <w:t>i</w:t>
      </w:r>
      <w:proofErr w:type="spellEnd"/>
      <w:r w:rsidRPr="00670CFB">
        <w:rPr>
          <w:rFonts w:ascii="Verdana" w:hAnsi="Verdana"/>
        </w:rPr>
        <w:t>)</w:t>
      </w:r>
      <w:r>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w:t>
      </w:r>
      <w:proofErr w:type="spellStart"/>
      <w:r w:rsidRPr="00670CFB">
        <w:rPr>
          <w:rFonts w:ascii="Verdana" w:hAnsi="Verdana"/>
        </w:rPr>
        <w:t>PcD</w:t>
      </w:r>
      <w:proofErr w:type="spellEnd"/>
      <w:r w:rsidRPr="00670CFB">
        <w:rPr>
          <w:rFonts w:ascii="Verdana" w:hAnsi="Verdana"/>
        </w:rPr>
        <w:t xml:space="preserve">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AC87548"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w:t>
      </w:r>
      <w:proofErr w:type="spellStart"/>
      <w:r w:rsidRPr="00670CFB">
        <w:rPr>
          <w:rFonts w:ascii="Verdana" w:hAnsi="Verdana"/>
        </w:rPr>
        <w:t>PcD</w:t>
      </w:r>
      <w:proofErr w:type="spellEnd"/>
      <w:r w:rsidRPr="00670CFB">
        <w:rPr>
          <w:rFonts w:ascii="Verdana" w:hAnsi="Verdana"/>
        </w:rPr>
        <w:t xml:space="preserve">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w:t>
      </w:r>
      <w:proofErr w:type="spellStart"/>
      <w:r w:rsidRPr="00670CFB">
        <w:rPr>
          <w:rFonts w:ascii="Verdana" w:hAnsi="Verdana"/>
        </w:rPr>
        <w:t>PcD</w:t>
      </w:r>
      <w:proofErr w:type="spellEnd"/>
      <w:r w:rsidRPr="00670CFB">
        <w:rPr>
          <w:rFonts w:ascii="Verdana" w:hAnsi="Verdana"/>
        </w:rPr>
        <w:t xml:space="preserve">, más allá de lo que el propio decreto ya exige como mínimo obligatorio. El tercero es la división del proceso en lotes o segmentos, que facilita la participación de emprendimientos </w:t>
      </w:r>
      <w:r w:rsidRPr="00670CFB">
        <w:rPr>
          <w:rFonts w:ascii="Verdana" w:hAnsi="Verdana"/>
        </w:rPr>
        <w:lastRenderedPageBreak/>
        <w:t xml:space="preserve">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7481723"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w:t>
      </w:r>
      <w:proofErr w:type="spellStart"/>
      <w:r w:rsidRPr="00670CFB">
        <w:rPr>
          <w:rFonts w:ascii="Verdana" w:hAnsi="Verdana"/>
        </w:rPr>
        <w:t>PcD</w:t>
      </w:r>
      <w:proofErr w:type="spellEnd"/>
      <w:r w:rsidRPr="00670CFB">
        <w:rPr>
          <w:rFonts w:ascii="Verdana" w:hAnsi="Verdana"/>
        </w:rPr>
        <w:t xml:space="preserve">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w:t>
      </w:r>
      <w:proofErr w:type="spellStart"/>
      <w:r w:rsidRPr="00670CFB">
        <w:rPr>
          <w:rFonts w:ascii="Verdana" w:hAnsi="Verdana"/>
        </w:rPr>
        <w:t>PcD</w:t>
      </w:r>
      <w:proofErr w:type="spellEnd"/>
      <w:r w:rsidRPr="00670CFB">
        <w:rPr>
          <w:rFonts w:ascii="Verdana" w:hAnsi="Verdana"/>
        </w:rPr>
        <w:t xml:space="preserve"> y no para los empleadores de </w:t>
      </w:r>
      <w:proofErr w:type="spellStart"/>
      <w:r w:rsidRPr="00670CFB">
        <w:rPr>
          <w:rFonts w:ascii="Verdana" w:hAnsi="Verdana"/>
        </w:rPr>
        <w:t>PcD</w:t>
      </w:r>
      <w:proofErr w:type="spellEnd"/>
      <w:r w:rsidRPr="00670CFB">
        <w:rPr>
          <w:rFonts w:ascii="Verdana" w:hAnsi="Verdana"/>
        </w:rPr>
        <w:t>.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3AC543C"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w:t>
      </w:r>
      <w:proofErr w:type="spellStart"/>
      <w:r w:rsidRPr="00670CFB">
        <w:rPr>
          <w:rFonts w:ascii="Verdana" w:hAnsi="Verdana"/>
        </w:rPr>
        <w:t>PcD</w:t>
      </w:r>
      <w:proofErr w:type="spellEnd"/>
      <w:r w:rsidRPr="00670CFB">
        <w:rPr>
          <w:rFonts w:ascii="Verdana" w:hAnsi="Verdana"/>
        </w:rPr>
        <w:t xml:space="preserve"> o ser empleadores de </w:t>
      </w:r>
      <w:proofErr w:type="spellStart"/>
      <w:r w:rsidRPr="00670CFB">
        <w:rPr>
          <w:rFonts w:ascii="Verdana" w:hAnsi="Verdana"/>
        </w:rPr>
        <w:t>PcD</w:t>
      </w:r>
      <w:proofErr w:type="spellEnd"/>
      <w:r w:rsidRPr="00670CFB">
        <w:rPr>
          <w:rFonts w:ascii="Verdana" w:hAnsi="Verdana"/>
        </w:rPr>
        <w:t xml:space="preserve"> que superen los mínimos de vinculación exigidos por la Ley 2466 de 2025. </w:t>
      </w:r>
      <w:r>
        <w:rPr>
          <w:rFonts w:ascii="Verdana" w:hAnsi="Verdana"/>
        </w:rPr>
        <w:t xml:space="preserve">Como </w:t>
      </w:r>
      <w:r>
        <w:rPr>
          <w:rFonts w:ascii="Verdana" w:hAnsi="Verdana"/>
        </w:rPr>
        <w:lastRenderedPageBreak/>
        <w:t>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45285651"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3784371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lastRenderedPageBreak/>
        <w:t xml:space="preserve">La quinta medida es la inclusión de </w:t>
      </w:r>
      <w:proofErr w:type="spellStart"/>
      <w:r w:rsidRPr="00670CFB">
        <w:rPr>
          <w:rFonts w:ascii="Verdana" w:hAnsi="Verdana"/>
        </w:rPr>
        <w:t>PcD</w:t>
      </w:r>
      <w:proofErr w:type="spellEnd"/>
      <w:r w:rsidRPr="00670CFB">
        <w:rPr>
          <w:rFonts w:ascii="Verdana" w:hAnsi="Verdana"/>
        </w:rPr>
        <w:t xml:space="preserve">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670CFB">
        <w:rPr>
          <w:rFonts w:ascii="Verdana" w:hAnsi="Verdana"/>
        </w:rPr>
        <w:t>PcD</w:t>
      </w:r>
      <w:proofErr w:type="spellEnd"/>
      <w:r w:rsidRPr="00670CFB">
        <w:rPr>
          <w:rFonts w:ascii="Verdana" w:hAnsi="Verdana"/>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6641789D"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w:t>
      </w:r>
      <w:proofErr w:type="spellStart"/>
      <w:r w:rsidRPr="00670CFB">
        <w:rPr>
          <w:rFonts w:ascii="Verdana" w:hAnsi="Verdana"/>
        </w:rPr>
        <w:t>PcD</w:t>
      </w:r>
      <w:proofErr w:type="spellEnd"/>
      <w:r w:rsidRPr="00670CFB">
        <w:rPr>
          <w:rFonts w:ascii="Verdana" w:hAnsi="Verdana"/>
        </w:rPr>
        <w:t xml:space="preserve">,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w:t>
      </w:r>
      <w:proofErr w:type="gramStart"/>
      <w:r w:rsidRPr="00670CFB">
        <w:rPr>
          <w:rFonts w:ascii="Verdana" w:hAnsi="Verdana"/>
        </w:rPr>
        <w:t>obligación</w:t>
      </w:r>
      <w:proofErr w:type="gramEnd"/>
      <w:r w:rsidRPr="00670CFB">
        <w:rPr>
          <w:rFonts w:ascii="Verdana" w:hAnsi="Verdana"/>
        </w:rPr>
        <w:t xml:space="preserve"> sino que la convierte en autora de sus propios estándares de accesibilidad para ese contrato específico.</w:t>
      </w:r>
    </w:p>
    <w:p w14:paraId="78BD1F6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lastRenderedPageBreak/>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0A69F894" w14:textId="77777777" w:rsidR="005510BC" w:rsidRPr="00206556" w:rsidRDefault="005510BC" w:rsidP="005510BC">
      <w:pPr>
        <w:spacing w:after="0" w:line="276" w:lineRule="auto"/>
        <w:jc w:val="both"/>
        <w:rPr>
          <w:rFonts w:ascii="Verdana" w:eastAsia="Calibri" w:hAnsi="Verdana" w:cs="Arial"/>
          <w:lang w:val="es-ES"/>
        </w:rPr>
      </w:pP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3DF3B5C" w14:textId="77777777" w:rsidR="005510BC"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75F4F75C" w14:textId="77777777"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p>
    <w:p w14:paraId="51C27470" w14:textId="77777777" w:rsidR="005510BC" w:rsidRPr="00206556" w:rsidRDefault="005510BC" w:rsidP="005510BC">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sobre el alcance del Decreto 0287 de 2026 en este concepto</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2" w:history="1">
        <w:r w:rsidRPr="00206556">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lastRenderedPageBreak/>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1CA81020"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13C0EB0F" w14:textId="6AAF1F6D" w:rsidR="00A754B1" w:rsidRPr="00206556" w:rsidRDefault="00143FFF"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5B5588B0" wp14:editId="22A8F057">
            <wp:extent cx="3639058" cy="1343212"/>
            <wp:effectExtent l="0" t="0" r="0" b="0"/>
            <wp:docPr id="1810323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32345" name="Imagen 181032345"/>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4CEF34B1" w:rsidR="00670CFB" w:rsidRPr="00206556" w:rsidRDefault="006B694D"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Lucía Saavedra Castañeda</w:t>
            </w:r>
          </w:p>
          <w:p w14:paraId="53BA1B20" w14:textId="425ECA9A" w:rsidR="00670CFB" w:rsidRPr="00206556" w:rsidRDefault="006B694D" w:rsidP="00670CFB">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 xml:space="preserve">Contratista </w:t>
            </w:r>
            <w:r w:rsidR="00670CFB" w:rsidRPr="00206556">
              <w:rPr>
                <w:rFonts w:ascii="Verdana" w:eastAsia="Times New Roman" w:hAnsi="Verdana" w:cs="Arial"/>
                <w:sz w:val="16"/>
                <w:szCs w:val="16"/>
                <w:lang w:eastAsia="es-ES"/>
              </w:rPr>
              <w:t>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1"/>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bookmarkEnd w:id="0"/>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3215F" w14:textId="77777777" w:rsidR="007978DE" w:rsidRDefault="007978DE" w:rsidP="004A1847">
      <w:pPr>
        <w:spacing w:after="0" w:line="240" w:lineRule="auto"/>
      </w:pPr>
      <w:r>
        <w:separator/>
      </w:r>
    </w:p>
  </w:endnote>
  <w:endnote w:type="continuationSeparator" w:id="0">
    <w:p w14:paraId="747429FC" w14:textId="77777777" w:rsidR="007978DE" w:rsidRDefault="007978D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D03B7" w14:textId="77777777" w:rsidR="007978DE" w:rsidRDefault="007978DE" w:rsidP="004A1847">
      <w:pPr>
        <w:spacing w:after="0" w:line="240" w:lineRule="auto"/>
      </w:pPr>
      <w:r>
        <w:separator/>
      </w:r>
    </w:p>
  </w:footnote>
  <w:footnote w:type="continuationSeparator" w:id="0">
    <w:p w14:paraId="13BE8B43" w14:textId="77777777" w:rsidR="007978DE" w:rsidRDefault="007978DE" w:rsidP="004A1847">
      <w:pPr>
        <w:spacing w:after="0" w:line="240" w:lineRule="auto"/>
      </w:pPr>
      <w:r>
        <w:continuationSeparator/>
      </w:r>
    </w:p>
  </w:footnote>
  <w:footnote w:id="1">
    <w:p w14:paraId="1714CFA3"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46E5890" w14:textId="77777777" w:rsidR="005510BC" w:rsidRPr="00206556" w:rsidRDefault="005510BC" w:rsidP="005510BC">
      <w:pPr>
        <w:spacing w:after="80" w:line="240" w:lineRule="auto"/>
        <w:ind w:firstLine="708"/>
        <w:jc w:val="both"/>
        <w:rPr>
          <w:rFonts w:ascii="Verdana" w:hAnsi="Verdana"/>
          <w:sz w:val="16"/>
          <w:szCs w:val="16"/>
        </w:rPr>
      </w:pPr>
    </w:p>
  </w:footnote>
  <w:footnote w:id="2">
    <w:p w14:paraId="68485690"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5510BC">
      <w:pPr>
        <w:pStyle w:val="Textonotapie"/>
        <w:ind w:firstLine="708"/>
        <w:jc w:val="both"/>
        <w:rPr>
          <w:rFonts w:ascii="Verdana" w:hAnsi="Verdana"/>
          <w:sz w:val="16"/>
          <w:szCs w:val="16"/>
          <w:lang w:val="es-ES"/>
        </w:rPr>
      </w:pPr>
    </w:p>
  </w:footnote>
  <w:footnote w:id="3">
    <w:p w14:paraId="0AFA833E"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7898830" w14:textId="77777777" w:rsidR="005510BC" w:rsidRPr="00206556" w:rsidRDefault="005510BC" w:rsidP="005510BC">
      <w:pPr>
        <w:spacing w:after="80" w:line="240" w:lineRule="auto"/>
        <w:ind w:firstLine="708"/>
        <w:jc w:val="both"/>
        <w:rPr>
          <w:rFonts w:ascii="Verdana" w:hAnsi="Verdana"/>
          <w:sz w:val="16"/>
          <w:szCs w:val="16"/>
        </w:rPr>
      </w:pPr>
    </w:p>
  </w:footnote>
  <w:footnote w:id="4">
    <w:p w14:paraId="023A68CA"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5510BC">
      <w:pPr>
        <w:pStyle w:val="Textonotapie"/>
        <w:ind w:firstLine="708"/>
        <w:jc w:val="both"/>
        <w:rPr>
          <w:rFonts w:ascii="Verdana" w:hAnsi="Verdana"/>
          <w:sz w:val="16"/>
          <w:szCs w:val="16"/>
          <w:lang w:val="es-ES"/>
        </w:rPr>
      </w:pPr>
    </w:p>
  </w:footnote>
  <w:footnote w:id="5">
    <w:p w14:paraId="534B91EE" w14:textId="77777777" w:rsidR="005510BC" w:rsidRPr="00206556" w:rsidRDefault="005510BC" w:rsidP="005510BC">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152A2E9B" w14:textId="77777777" w:rsidR="005510BC" w:rsidRPr="00206556" w:rsidRDefault="005510BC" w:rsidP="005510BC">
      <w:pPr>
        <w:pStyle w:val="Textonotapie"/>
        <w:ind w:firstLine="708"/>
        <w:jc w:val="both"/>
        <w:rPr>
          <w:rFonts w:ascii="Verdana" w:hAnsi="Verdana"/>
          <w:sz w:val="16"/>
          <w:szCs w:val="16"/>
          <w:lang w:val="es-ES"/>
        </w:rPr>
      </w:pPr>
    </w:p>
  </w:footnote>
  <w:footnote w:id="6">
    <w:p w14:paraId="0E4AAD4E"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1E73744" w14:textId="77777777" w:rsidR="005510BC" w:rsidRPr="00206556" w:rsidRDefault="005510BC" w:rsidP="005510BC">
      <w:pPr>
        <w:pStyle w:val="Textonotapie"/>
        <w:ind w:firstLine="708"/>
        <w:rPr>
          <w:rFonts w:ascii="Verdana" w:hAnsi="Verdana"/>
          <w:sz w:val="16"/>
          <w:szCs w:val="16"/>
          <w:lang w:val="es-ES"/>
        </w:rPr>
      </w:pPr>
    </w:p>
  </w:footnote>
  <w:footnote w:id="7">
    <w:p w14:paraId="7E4012CD"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B1E4046" w14:textId="77777777" w:rsidR="005510BC" w:rsidRPr="00206556" w:rsidRDefault="005510BC" w:rsidP="005510BC">
      <w:pPr>
        <w:pStyle w:val="Textonotapie"/>
        <w:ind w:firstLine="708"/>
        <w:rPr>
          <w:rFonts w:ascii="Verdana" w:hAnsi="Verdana"/>
          <w:sz w:val="16"/>
          <w:szCs w:val="16"/>
          <w:lang w:val="es-ES"/>
        </w:rPr>
      </w:pP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2F194327"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 w:id="10">
    <w:p w14:paraId="7731F440"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de Colombia. Sala de Consulta y Servicio Civil. (2013, julio 24). Concepto radicación n.° 2166. Consejero Ponente: Álvaro Namén Vargas. Bogotá: Consejo de Estado.</w:t>
      </w:r>
    </w:p>
    <w:p w14:paraId="52742739" w14:textId="77777777" w:rsidR="005510BC" w:rsidRPr="00206556" w:rsidRDefault="005510BC" w:rsidP="005510BC">
      <w:pPr>
        <w:pStyle w:val="Textonotapie"/>
        <w:ind w:firstLine="708"/>
        <w:rPr>
          <w:rFonts w:ascii="Verdana" w:hAnsi="Verdana"/>
          <w:sz w:val="16"/>
          <w:szCs w:val="16"/>
          <w:lang w:val="es-ES"/>
        </w:rPr>
      </w:pPr>
    </w:p>
  </w:footnote>
  <w:footnote w:id="11">
    <w:p w14:paraId="4D1185CE" w14:textId="77777777" w:rsidR="005510BC" w:rsidRPr="003F21FF" w:rsidRDefault="005510BC" w:rsidP="005510BC">
      <w:pPr>
        <w:pStyle w:val="Textonotapie"/>
        <w:ind w:firstLine="708"/>
        <w:rPr>
          <w:lang w:val="es-ES"/>
        </w:rPr>
      </w:pPr>
      <w:r w:rsidRPr="00206556">
        <w:rPr>
          <w:rStyle w:val="Refdenotaalpie"/>
          <w:rFonts w:ascii="Verdana" w:hAnsi="Verdana"/>
          <w:sz w:val="16"/>
          <w:szCs w:val="16"/>
        </w:rPr>
        <w:footnoteRef/>
      </w:r>
      <w:r w:rsidRPr="00206556">
        <w:rPr>
          <w:rFonts w:ascii="Verdana" w:hAnsi="Verdana"/>
          <w:sz w:val="16"/>
          <w:szCs w:val="16"/>
        </w:rPr>
        <w:t xml:space="preserve"> Corte Constitucional de Colombia. (2017). Sentencia SU-049 de 2017. Magistrada Ponente: María Victoria Calle Correa. Bogotá: Corte Constitucional</w:t>
      </w:r>
      <w:r w:rsidRPr="003F21F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C2D"/>
    <w:rsid w:val="000D5DA7"/>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27F4E"/>
    <w:rsid w:val="00134886"/>
    <w:rsid w:val="001406B4"/>
    <w:rsid w:val="00142035"/>
    <w:rsid w:val="00143FFF"/>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753C"/>
    <w:rsid w:val="00363F8D"/>
    <w:rsid w:val="00366AAB"/>
    <w:rsid w:val="00373B36"/>
    <w:rsid w:val="00374F5E"/>
    <w:rsid w:val="00377CDF"/>
    <w:rsid w:val="00377E3E"/>
    <w:rsid w:val="00395FD0"/>
    <w:rsid w:val="003974B1"/>
    <w:rsid w:val="003A613F"/>
    <w:rsid w:val="003A779E"/>
    <w:rsid w:val="003B1810"/>
    <w:rsid w:val="003B4D9D"/>
    <w:rsid w:val="003C3B8B"/>
    <w:rsid w:val="003C64A5"/>
    <w:rsid w:val="003D0F4D"/>
    <w:rsid w:val="003D15AD"/>
    <w:rsid w:val="003D37EE"/>
    <w:rsid w:val="003D3EB2"/>
    <w:rsid w:val="003D45B0"/>
    <w:rsid w:val="003D5B0D"/>
    <w:rsid w:val="003E0499"/>
    <w:rsid w:val="003E4F80"/>
    <w:rsid w:val="003E6439"/>
    <w:rsid w:val="003E67A6"/>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D6D8D"/>
    <w:rsid w:val="004E19DC"/>
    <w:rsid w:val="004E7B1E"/>
    <w:rsid w:val="004F21C4"/>
    <w:rsid w:val="004F244F"/>
    <w:rsid w:val="004F2BF5"/>
    <w:rsid w:val="004F5ED9"/>
    <w:rsid w:val="004F685F"/>
    <w:rsid w:val="00502309"/>
    <w:rsid w:val="00511EE2"/>
    <w:rsid w:val="00516F85"/>
    <w:rsid w:val="005179DF"/>
    <w:rsid w:val="005259F2"/>
    <w:rsid w:val="0053070B"/>
    <w:rsid w:val="00534597"/>
    <w:rsid w:val="00536F7E"/>
    <w:rsid w:val="005510BC"/>
    <w:rsid w:val="005541CB"/>
    <w:rsid w:val="005562C3"/>
    <w:rsid w:val="005566E8"/>
    <w:rsid w:val="00556BFA"/>
    <w:rsid w:val="005608AE"/>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900D9"/>
    <w:rsid w:val="00690862"/>
    <w:rsid w:val="006A64D0"/>
    <w:rsid w:val="006A66C8"/>
    <w:rsid w:val="006A7374"/>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978DE"/>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5772"/>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63F6"/>
    <w:rsid w:val="009419F9"/>
    <w:rsid w:val="009502B2"/>
    <w:rsid w:val="0095685E"/>
    <w:rsid w:val="00960D60"/>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4CA5"/>
    <w:rsid w:val="009C71FA"/>
    <w:rsid w:val="009C72E7"/>
    <w:rsid w:val="009C7F7E"/>
    <w:rsid w:val="009D044C"/>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3AF9"/>
    <w:rsid w:val="00A300AA"/>
    <w:rsid w:val="00A31841"/>
    <w:rsid w:val="00A33C78"/>
    <w:rsid w:val="00A420A9"/>
    <w:rsid w:val="00A42C60"/>
    <w:rsid w:val="00A500F1"/>
    <w:rsid w:val="00A51816"/>
    <w:rsid w:val="00A52C8E"/>
    <w:rsid w:val="00A54668"/>
    <w:rsid w:val="00A57140"/>
    <w:rsid w:val="00A709D2"/>
    <w:rsid w:val="00A754B1"/>
    <w:rsid w:val="00A8025C"/>
    <w:rsid w:val="00A87C26"/>
    <w:rsid w:val="00A925AD"/>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66FB"/>
    <w:rsid w:val="00B4752F"/>
    <w:rsid w:val="00B53C1C"/>
    <w:rsid w:val="00B5706D"/>
    <w:rsid w:val="00B6113F"/>
    <w:rsid w:val="00B72CD3"/>
    <w:rsid w:val="00B72FFF"/>
    <w:rsid w:val="00B75E25"/>
    <w:rsid w:val="00B902B6"/>
    <w:rsid w:val="00B9043C"/>
    <w:rsid w:val="00B94F8F"/>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4188"/>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52D6"/>
    <w:rsid w:val="00D27B04"/>
    <w:rsid w:val="00D31DC0"/>
    <w:rsid w:val="00D33696"/>
    <w:rsid w:val="00D35983"/>
    <w:rsid w:val="00D361FD"/>
    <w:rsid w:val="00D372F5"/>
    <w:rsid w:val="00D37660"/>
    <w:rsid w:val="00D37910"/>
    <w:rsid w:val="00D423A2"/>
    <w:rsid w:val="00D44E26"/>
    <w:rsid w:val="00D520D8"/>
    <w:rsid w:val="00D63AC2"/>
    <w:rsid w:val="00D7383B"/>
    <w:rsid w:val="00D7788A"/>
    <w:rsid w:val="00D851ED"/>
    <w:rsid w:val="00D9033C"/>
    <w:rsid w:val="00D92301"/>
    <w:rsid w:val="00DA1940"/>
    <w:rsid w:val="00DA231B"/>
    <w:rsid w:val="00DA71B3"/>
    <w:rsid w:val="00DC051E"/>
    <w:rsid w:val="00DC39FC"/>
    <w:rsid w:val="00DC7D55"/>
    <w:rsid w:val="00DD24B2"/>
    <w:rsid w:val="00DE6C8E"/>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C7FDC"/>
    <w:rsid w:val="00EE1AA8"/>
    <w:rsid w:val="00EE7A5D"/>
    <w:rsid w:val="00EF41C4"/>
    <w:rsid w:val="00F14CCF"/>
    <w:rsid w:val="00F23FEA"/>
    <w:rsid w:val="00F31EDC"/>
    <w:rsid w:val="00F32723"/>
    <w:rsid w:val="00F33CF5"/>
    <w:rsid w:val="00F37985"/>
    <w:rsid w:val="00F41C3E"/>
    <w:rsid w:val="00F462B3"/>
    <w:rsid w:val="00F47458"/>
    <w:rsid w:val="00F5119A"/>
    <w:rsid w:val="00F51D39"/>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10183662">
      <w:bodyDiv w:val="1"/>
      <w:marLeft w:val="0"/>
      <w:marRight w:val="0"/>
      <w:marTop w:val="0"/>
      <w:marBottom w:val="0"/>
      <w:divBdr>
        <w:top w:val="none" w:sz="0" w:space="0" w:color="auto"/>
        <w:left w:val="none" w:sz="0" w:space="0" w:color="auto"/>
        <w:bottom w:val="none" w:sz="0" w:space="0" w:color="auto"/>
        <w:right w:val="none" w:sz="0" w:space="0" w:color="auto"/>
      </w:divBdr>
      <w:divsChild>
        <w:div w:id="1115979248">
          <w:marLeft w:val="0"/>
          <w:marRight w:val="0"/>
          <w:marTop w:val="0"/>
          <w:marBottom w:val="0"/>
          <w:divBdr>
            <w:top w:val="none" w:sz="0" w:space="0" w:color="auto"/>
            <w:left w:val="none" w:sz="0" w:space="0" w:color="auto"/>
            <w:bottom w:val="none" w:sz="0" w:space="0" w:color="auto"/>
            <w:right w:val="none" w:sz="0" w:space="0" w:color="auto"/>
          </w:divBdr>
          <w:divsChild>
            <w:div w:id="534586462">
              <w:marLeft w:val="0"/>
              <w:marRight w:val="0"/>
              <w:marTop w:val="0"/>
              <w:marBottom w:val="0"/>
              <w:divBdr>
                <w:top w:val="none" w:sz="0" w:space="0" w:color="auto"/>
                <w:left w:val="none" w:sz="0" w:space="0" w:color="auto"/>
                <w:bottom w:val="none" w:sz="0" w:space="0" w:color="auto"/>
                <w:right w:val="none" w:sz="0" w:space="0" w:color="auto"/>
              </w:divBdr>
              <w:divsChild>
                <w:div w:id="1972711121">
                  <w:marLeft w:val="0"/>
                  <w:marRight w:val="0"/>
                  <w:marTop w:val="0"/>
                  <w:marBottom w:val="0"/>
                  <w:divBdr>
                    <w:top w:val="none" w:sz="0" w:space="0" w:color="auto"/>
                    <w:left w:val="none" w:sz="0" w:space="0" w:color="auto"/>
                    <w:bottom w:val="none" w:sz="0" w:space="0" w:color="auto"/>
                    <w:right w:val="none" w:sz="0" w:space="0" w:color="auto"/>
                  </w:divBdr>
                  <w:divsChild>
                    <w:div w:id="783618552">
                      <w:marLeft w:val="0"/>
                      <w:marRight w:val="0"/>
                      <w:marTop w:val="0"/>
                      <w:marBottom w:val="0"/>
                      <w:divBdr>
                        <w:top w:val="none" w:sz="0" w:space="0" w:color="auto"/>
                        <w:left w:val="none" w:sz="0" w:space="0" w:color="auto"/>
                        <w:bottom w:val="none" w:sz="0" w:space="0" w:color="auto"/>
                        <w:right w:val="none" w:sz="0" w:space="0" w:color="auto"/>
                      </w:divBdr>
                      <w:divsChild>
                        <w:div w:id="1644503414">
                          <w:marLeft w:val="0"/>
                          <w:marRight w:val="0"/>
                          <w:marTop w:val="0"/>
                          <w:marBottom w:val="0"/>
                          <w:divBdr>
                            <w:top w:val="none" w:sz="0" w:space="0" w:color="auto"/>
                            <w:left w:val="none" w:sz="0" w:space="0" w:color="auto"/>
                            <w:bottom w:val="none" w:sz="0" w:space="0" w:color="auto"/>
                            <w:right w:val="none" w:sz="0" w:space="0" w:color="auto"/>
                          </w:divBdr>
                          <w:divsChild>
                            <w:div w:id="1623419293">
                              <w:marLeft w:val="0"/>
                              <w:marRight w:val="0"/>
                              <w:marTop w:val="0"/>
                              <w:marBottom w:val="0"/>
                              <w:divBdr>
                                <w:top w:val="none" w:sz="0" w:space="0" w:color="auto"/>
                                <w:left w:val="none" w:sz="0" w:space="0" w:color="auto"/>
                                <w:bottom w:val="none" w:sz="0" w:space="0" w:color="auto"/>
                                <w:right w:val="none" w:sz="0" w:space="0" w:color="auto"/>
                              </w:divBdr>
                              <w:divsChild>
                                <w:div w:id="7976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0974869">
      <w:bodyDiv w:val="1"/>
      <w:marLeft w:val="0"/>
      <w:marRight w:val="0"/>
      <w:marTop w:val="0"/>
      <w:marBottom w:val="0"/>
      <w:divBdr>
        <w:top w:val="none" w:sz="0" w:space="0" w:color="auto"/>
        <w:left w:val="none" w:sz="0" w:space="0" w:color="auto"/>
        <w:bottom w:val="none" w:sz="0" w:space="0" w:color="auto"/>
        <w:right w:val="none" w:sz="0" w:space="0" w:color="auto"/>
      </w:divBdr>
      <w:divsChild>
        <w:div w:id="1404647611">
          <w:marLeft w:val="0"/>
          <w:marRight w:val="0"/>
          <w:marTop w:val="240"/>
          <w:marBottom w:val="0"/>
          <w:divBdr>
            <w:top w:val="none" w:sz="0" w:space="0" w:color="auto"/>
            <w:left w:val="none" w:sz="0" w:space="0" w:color="auto"/>
            <w:bottom w:val="none" w:sz="0" w:space="0" w:color="auto"/>
            <w:right w:val="none" w:sz="0" w:space="0" w:color="auto"/>
          </w:divBdr>
        </w:div>
        <w:div w:id="70470492">
          <w:marLeft w:val="0"/>
          <w:marRight w:val="0"/>
          <w:marTop w:val="240"/>
          <w:marBottom w:val="0"/>
          <w:divBdr>
            <w:top w:val="none" w:sz="0" w:space="0" w:color="auto"/>
            <w:left w:val="none" w:sz="0" w:space="0" w:color="auto"/>
            <w:bottom w:val="none" w:sz="0" w:space="0" w:color="auto"/>
            <w:right w:val="none" w:sz="0" w:space="0" w:color="auto"/>
          </w:divBdr>
        </w:div>
      </w:divsChild>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7331548">
      <w:bodyDiv w:val="1"/>
      <w:marLeft w:val="0"/>
      <w:marRight w:val="0"/>
      <w:marTop w:val="0"/>
      <w:marBottom w:val="0"/>
      <w:divBdr>
        <w:top w:val="none" w:sz="0" w:space="0" w:color="auto"/>
        <w:left w:val="none" w:sz="0" w:space="0" w:color="auto"/>
        <w:bottom w:val="none" w:sz="0" w:space="0" w:color="auto"/>
        <w:right w:val="none" w:sz="0" w:space="0" w:color="auto"/>
      </w:divBdr>
      <w:divsChild>
        <w:div w:id="37899448">
          <w:marLeft w:val="0"/>
          <w:marRight w:val="0"/>
          <w:marTop w:val="240"/>
          <w:marBottom w:val="0"/>
          <w:divBdr>
            <w:top w:val="none" w:sz="0" w:space="0" w:color="auto"/>
            <w:left w:val="none" w:sz="0" w:space="0" w:color="auto"/>
            <w:bottom w:val="none" w:sz="0" w:space="0" w:color="auto"/>
            <w:right w:val="none" w:sz="0" w:space="0" w:color="auto"/>
          </w:divBdr>
        </w:div>
        <w:div w:id="1618021105">
          <w:marLeft w:val="0"/>
          <w:marRight w:val="0"/>
          <w:marTop w:val="240"/>
          <w:marBottom w:val="0"/>
          <w:divBdr>
            <w:top w:val="none" w:sz="0" w:space="0" w:color="auto"/>
            <w:left w:val="none" w:sz="0" w:space="0" w:color="auto"/>
            <w:bottom w:val="none" w:sz="0" w:space="0" w:color="auto"/>
            <w:right w:val="none" w:sz="0" w:space="0" w:color="auto"/>
          </w:divBdr>
        </w:div>
      </w:divsChild>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1876044635">
      <w:bodyDiv w:val="1"/>
      <w:marLeft w:val="0"/>
      <w:marRight w:val="0"/>
      <w:marTop w:val="0"/>
      <w:marBottom w:val="0"/>
      <w:divBdr>
        <w:top w:val="none" w:sz="0" w:space="0" w:color="auto"/>
        <w:left w:val="none" w:sz="0" w:space="0" w:color="auto"/>
        <w:bottom w:val="none" w:sz="0" w:space="0" w:color="auto"/>
        <w:right w:val="none" w:sz="0" w:space="0" w:color="auto"/>
      </w:divBdr>
      <w:divsChild>
        <w:div w:id="1581402430">
          <w:marLeft w:val="0"/>
          <w:marRight w:val="0"/>
          <w:marTop w:val="0"/>
          <w:marBottom w:val="0"/>
          <w:divBdr>
            <w:top w:val="none" w:sz="0" w:space="0" w:color="auto"/>
            <w:left w:val="none" w:sz="0" w:space="0" w:color="auto"/>
            <w:bottom w:val="none" w:sz="0" w:space="0" w:color="auto"/>
            <w:right w:val="none" w:sz="0" w:space="0" w:color="auto"/>
          </w:divBdr>
          <w:divsChild>
            <w:div w:id="1221668342">
              <w:marLeft w:val="0"/>
              <w:marRight w:val="0"/>
              <w:marTop w:val="0"/>
              <w:marBottom w:val="0"/>
              <w:divBdr>
                <w:top w:val="none" w:sz="0" w:space="0" w:color="auto"/>
                <w:left w:val="none" w:sz="0" w:space="0" w:color="auto"/>
                <w:bottom w:val="none" w:sz="0" w:space="0" w:color="auto"/>
                <w:right w:val="none" w:sz="0" w:space="0" w:color="auto"/>
              </w:divBdr>
              <w:divsChild>
                <w:div w:id="1930846667">
                  <w:marLeft w:val="0"/>
                  <w:marRight w:val="0"/>
                  <w:marTop w:val="0"/>
                  <w:marBottom w:val="0"/>
                  <w:divBdr>
                    <w:top w:val="none" w:sz="0" w:space="0" w:color="auto"/>
                    <w:left w:val="none" w:sz="0" w:space="0" w:color="auto"/>
                    <w:bottom w:val="none" w:sz="0" w:space="0" w:color="auto"/>
                    <w:right w:val="none" w:sz="0" w:space="0" w:color="auto"/>
                  </w:divBdr>
                  <w:divsChild>
                    <w:div w:id="1265455703">
                      <w:marLeft w:val="0"/>
                      <w:marRight w:val="0"/>
                      <w:marTop w:val="0"/>
                      <w:marBottom w:val="0"/>
                      <w:divBdr>
                        <w:top w:val="none" w:sz="0" w:space="0" w:color="auto"/>
                        <w:left w:val="none" w:sz="0" w:space="0" w:color="auto"/>
                        <w:bottom w:val="none" w:sz="0" w:space="0" w:color="auto"/>
                        <w:right w:val="none" w:sz="0" w:space="0" w:color="auto"/>
                      </w:divBdr>
                      <w:divsChild>
                        <w:div w:id="148984696">
                          <w:marLeft w:val="0"/>
                          <w:marRight w:val="0"/>
                          <w:marTop w:val="0"/>
                          <w:marBottom w:val="0"/>
                          <w:divBdr>
                            <w:top w:val="none" w:sz="0" w:space="0" w:color="auto"/>
                            <w:left w:val="none" w:sz="0" w:space="0" w:color="auto"/>
                            <w:bottom w:val="none" w:sz="0" w:space="0" w:color="auto"/>
                            <w:right w:val="none" w:sz="0" w:space="0" w:color="auto"/>
                          </w:divBdr>
                          <w:divsChild>
                            <w:div w:id="1688215885">
                              <w:marLeft w:val="0"/>
                              <w:marRight w:val="0"/>
                              <w:marTop w:val="0"/>
                              <w:marBottom w:val="0"/>
                              <w:divBdr>
                                <w:top w:val="none" w:sz="0" w:space="0" w:color="auto"/>
                                <w:left w:val="none" w:sz="0" w:space="0" w:color="auto"/>
                                <w:bottom w:val="none" w:sz="0" w:space="0" w:color="auto"/>
                                <w:right w:val="none" w:sz="0" w:space="0" w:color="auto"/>
                              </w:divBdr>
                              <w:divsChild>
                                <w:div w:id="33295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2.xml><?xml version="1.0" encoding="utf-8"?>
<ds:datastoreItem xmlns:ds="http://schemas.openxmlformats.org/officeDocument/2006/customXml" ds:itemID="{B5355B7E-B540-4AE8-9D4F-439BACB3DF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57</TotalTime>
  <Pages>35</Pages>
  <Words>12724</Words>
  <Characters>69986</Characters>
  <Application>Microsoft Office Word</Application>
  <DocSecurity>0</DocSecurity>
  <Lines>583</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2026-05-26T19:02:00Z</dcterms:created>
  <dcterms:modified xsi:type="dcterms:W3CDTF">2026-06-05T22:02:00Z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