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9531D9" w14:textId="20BAC1C1" w:rsidR="00582B60" w:rsidRPr="00D73E7E" w:rsidRDefault="003643CC" w:rsidP="00AB539A">
      <w:pPr>
        <w:widowControl w:val="0"/>
        <w:tabs>
          <w:tab w:val="left" w:pos="3151"/>
        </w:tabs>
        <w:autoSpaceDE w:val="0"/>
        <w:autoSpaceDN w:val="0"/>
        <w:spacing w:before="3" w:after="0" w:line="240" w:lineRule="auto"/>
        <w:ind w:right="303"/>
        <w:jc w:val="both"/>
        <w:rPr>
          <w:rFonts w:ascii="Verdana" w:hAnsi="Verdana"/>
          <w:b/>
          <w:bCs/>
        </w:rPr>
      </w:pPr>
      <w:bookmarkStart w:id="0" w:name="_Hlk143780582"/>
      <w:r w:rsidRPr="00D73E7E">
        <w:rPr>
          <w:rFonts w:ascii="Verdana" w:hAnsi="Verdana" w:cs="Arial"/>
          <w:b/>
          <w:bCs/>
        </w:rPr>
        <w:t>CONTRATO DE PRESTACIÓN DE SERVICIOS – Tipología – Elementos característicos - CONTRATACIÓN DIRECTA</w:t>
      </w:r>
    </w:p>
    <w:p w14:paraId="24D8BAFF" w14:textId="77777777" w:rsidR="00582B60" w:rsidRDefault="00582B60" w:rsidP="00AB539A">
      <w:pPr>
        <w:widowControl w:val="0"/>
        <w:tabs>
          <w:tab w:val="left" w:pos="3151"/>
        </w:tabs>
        <w:autoSpaceDE w:val="0"/>
        <w:autoSpaceDN w:val="0"/>
        <w:spacing w:before="3" w:after="0" w:line="240" w:lineRule="auto"/>
        <w:ind w:right="303"/>
        <w:jc w:val="both"/>
        <w:rPr>
          <w:rFonts w:ascii="Verdana" w:hAnsi="Verdana"/>
          <w:b/>
          <w:bCs/>
        </w:rPr>
      </w:pPr>
    </w:p>
    <w:p w14:paraId="4DBE650B" w14:textId="77777777" w:rsidR="00582B60" w:rsidRDefault="00582B60" w:rsidP="00582B60">
      <w:pPr>
        <w:jc w:val="both"/>
        <w:rPr>
          <w:rFonts w:ascii="Verdana" w:eastAsia="Verdana" w:hAnsi="Verdana" w:cs="Verdana"/>
          <w:sz w:val="20"/>
          <w:szCs w:val="20"/>
        </w:rPr>
      </w:pPr>
      <w:r w:rsidRPr="004176AC">
        <w:rPr>
          <w:rFonts w:ascii="Verdana" w:eastAsia="Verdana" w:hAnsi="Verdana" w:cs="Verdana"/>
          <w:sz w:val="20"/>
          <w:szCs w:val="20"/>
        </w:rPr>
        <w:t xml:space="preserve">Desde el punto de vista jurídico, el contrato de prestación de servicios es un contrato estatal de naturaleza bilateral, onerosa y temporal, que se rige por las disposiciones del Estatuto General de Contratación de la Administración Pública y por las normas civiles y comerciales aplicables. Su celebración responde a la necesidad de ejecutar actividades específicas previamente identificadas en los estudios y documentos previos, por lo que su objeto debe encontrarse claramente determinado y vinculado al cumplimiento de las funciones y competencias de la entidad contratante. </w:t>
      </w:r>
    </w:p>
    <w:p w14:paraId="5E5DEC4D" w14:textId="77777777" w:rsidR="00582B60" w:rsidRDefault="00582B60" w:rsidP="00582B60">
      <w:pPr>
        <w:jc w:val="both"/>
        <w:rPr>
          <w:rFonts w:ascii="Verdana" w:eastAsia="Verdana" w:hAnsi="Verdana" w:cs="Verdana"/>
        </w:rPr>
      </w:pPr>
      <w:r w:rsidRPr="005662CF">
        <w:rPr>
          <w:rFonts w:ascii="Verdana" w:eastAsia="Verdana" w:hAnsi="Verdana" w:cs="Verdana"/>
          <w:sz w:val="20"/>
          <w:szCs w:val="20"/>
        </w:rPr>
        <w:t>Una de las características esenciales de esta modalidad contractual es la autonomía e independencia del contratista. A diferencia de la relación laboral, en el contrato de prestación de servicios no existe subordinación jurídica frente a la entidad estatal, lo que significa que el contratista conserva libertad técnica y administrativa para desarrollar las actividades encomendadas, sin perjuicio de la supervisión que ejerza la entidad para verificar el cumplimiento de las obligaciones contractuales. En consecuencia, la remuneración que recibe el contratista corresponde a honorarios pactados entre las partes y no constituye salario.</w:t>
      </w:r>
    </w:p>
    <w:p w14:paraId="3BD98D3F" w14:textId="7B467570" w:rsidR="00AB539A" w:rsidRPr="006432B2" w:rsidRDefault="00333524" w:rsidP="006432B2">
      <w:pPr>
        <w:jc w:val="both"/>
        <w:rPr>
          <w:rFonts w:ascii="Verdana" w:eastAsia="Verdana" w:hAnsi="Verdana" w:cs="Verdana"/>
        </w:rPr>
      </w:pPr>
      <w:r w:rsidRPr="00333524">
        <w:rPr>
          <w:rFonts w:ascii="Verdana" w:hAnsi="Verdana"/>
          <w:b/>
          <w:bCs/>
        </w:rPr>
        <w:t>REQUISITOS HABILITANTES –</w:t>
      </w:r>
      <w:r w:rsidR="00AB539A">
        <w:rPr>
          <w:rFonts w:ascii="Verdana" w:hAnsi="Verdana"/>
          <w:b/>
          <w:bCs/>
        </w:rPr>
        <w:t xml:space="preserve"> </w:t>
      </w:r>
      <w:r w:rsidR="00AB539A" w:rsidRPr="00AB539A">
        <w:rPr>
          <w:rFonts w:ascii="Verdana" w:hAnsi="Verdana" w:cs="Arial"/>
          <w:b/>
          <w:bCs/>
        </w:rPr>
        <w:t>Autonomía contractual – Facultad discrecional</w:t>
      </w:r>
    </w:p>
    <w:p w14:paraId="37B73FD2" w14:textId="77777777" w:rsidR="00333524" w:rsidRPr="00E75DAB" w:rsidRDefault="00333524" w:rsidP="00333524">
      <w:pPr>
        <w:pStyle w:val="NormalWeb"/>
        <w:spacing w:before="0" w:beforeAutospacing="0"/>
        <w:jc w:val="both"/>
        <w:rPr>
          <w:rFonts w:ascii="Verdana" w:hAnsi="Verdana" w:cs="Arial"/>
          <w:sz w:val="22"/>
          <w:szCs w:val="22"/>
        </w:rPr>
      </w:pPr>
      <w:r w:rsidRPr="00E75DAB">
        <w:rPr>
          <w:rFonts w:ascii="Verdana" w:hAnsi="Verdana" w:cs="Arial"/>
          <w:sz w:val="22"/>
          <w:szCs w:val="22"/>
        </w:rPr>
        <w:t xml:space="preserve">De manera preliminar, se precisa que los requisitos habilitantes, entendidos como las condiciones de capacidad jurídica, experiencia, capacidad financiera y de organización, constituyen exigencias de participación aplicables en los procedimientos de selección. Al respecto, el ordenamiento jurídico y la jurisprudencia han aclarado que estas condiciones mínimas de aptitud técnica también operan y deben verificarse en la contratación directa de prestación de servicios, con el fin de asegurar que el contratista seleccionado cuente con la idoneidad requerida para ejecutar el objeto contractual. </w:t>
      </w:r>
    </w:p>
    <w:p w14:paraId="0C1825B2" w14:textId="57CAD100" w:rsidR="00333524" w:rsidRDefault="00333524" w:rsidP="00333524">
      <w:pPr>
        <w:pStyle w:val="NormalWeb"/>
        <w:spacing w:before="0" w:beforeAutospacing="0"/>
        <w:jc w:val="both"/>
        <w:rPr>
          <w:rFonts w:ascii="Verdana" w:hAnsi="Verdana" w:cs="Arial"/>
          <w:sz w:val="22"/>
          <w:szCs w:val="22"/>
        </w:rPr>
      </w:pPr>
      <w:r>
        <w:rPr>
          <w:rFonts w:ascii="Verdana" w:hAnsi="Verdana" w:cs="Arial"/>
          <w:sz w:val="22"/>
          <w:szCs w:val="22"/>
        </w:rPr>
        <w:t xml:space="preserve"> </w:t>
      </w:r>
      <w:r w:rsidRPr="00E75DAB">
        <w:rPr>
          <w:rFonts w:ascii="Verdana" w:hAnsi="Verdana" w:cs="Arial"/>
          <w:sz w:val="22"/>
          <w:szCs w:val="22"/>
        </w:rPr>
        <w:t xml:space="preserve">En el régimen de contratación estatal colombiano, si bien las entidades públicas gozan de competencia para confeccionar los estudios previos y definir los requisitos que deben reunir los oferentes según los factores advertidos en su planeación, esta facultad no puede ejercerse de forma arbitraria o caprichosa. Al tenor del artículo 44 de la Ley 1437 de 2011, aplicable en virtud del artículo 77 de la Ley 80 de 1993, en la medida en que el contenido de una decisión sea discrecional, debe ser adecuada a los fines de la norma que la autoriza, y proporcional a los hechos que le sirven de causa. </w:t>
      </w:r>
    </w:p>
    <w:p w14:paraId="099CC74C" w14:textId="77777777" w:rsidR="00333524" w:rsidRPr="00333524" w:rsidRDefault="00333524" w:rsidP="00333524">
      <w:pPr>
        <w:widowControl w:val="0"/>
        <w:tabs>
          <w:tab w:val="left" w:pos="3151"/>
        </w:tabs>
        <w:autoSpaceDE w:val="0"/>
        <w:autoSpaceDN w:val="0"/>
        <w:spacing w:before="3" w:after="0" w:line="240" w:lineRule="auto"/>
        <w:ind w:right="303"/>
        <w:jc w:val="both"/>
        <w:rPr>
          <w:rFonts w:ascii="Verdana" w:hAnsi="Verdana"/>
          <w:b/>
          <w:bCs/>
        </w:rPr>
      </w:pPr>
      <w:r w:rsidRPr="00333524">
        <w:rPr>
          <w:rFonts w:ascii="Verdana" w:hAnsi="Verdana"/>
          <w:b/>
          <w:bCs/>
        </w:rPr>
        <w:t>EXPERIENCIA PROFESIONAL Y LABORAL – Experiencia general – Experiencia relacionada – Proporcionalidad.</w:t>
      </w:r>
    </w:p>
    <w:p w14:paraId="65800F73" w14:textId="77777777" w:rsidR="007D399A" w:rsidRDefault="007D399A" w:rsidP="00333524">
      <w:pPr>
        <w:pStyle w:val="NormalWeb"/>
        <w:spacing w:before="0" w:beforeAutospacing="0"/>
        <w:jc w:val="both"/>
        <w:rPr>
          <w:rFonts w:ascii="Verdana" w:hAnsi="Verdana" w:cs="Arial"/>
          <w:sz w:val="22"/>
          <w:szCs w:val="22"/>
        </w:rPr>
      </w:pPr>
    </w:p>
    <w:p w14:paraId="603D745B" w14:textId="4407421C" w:rsidR="00333524" w:rsidRDefault="00333524" w:rsidP="00333524">
      <w:pPr>
        <w:pStyle w:val="NormalWeb"/>
        <w:spacing w:before="0" w:beforeAutospacing="0"/>
        <w:jc w:val="both"/>
        <w:rPr>
          <w:rFonts w:ascii="Verdana" w:hAnsi="Verdana" w:cs="Arial"/>
          <w:sz w:val="22"/>
          <w:szCs w:val="22"/>
        </w:rPr>
      </w:pPr>
      <w:r w:rsidRPr="00E75DAB">
        <w:rPr>
          <w:rFonts w:ascii="Verdana" w:hAnsi="Verdana" w:cs="Arial"/>
          <w:sz w:val="22"/>
          <w:szCs w:val="22"/>
        </w:rPr>
        <w:t xml:space="preserve">En consecuencia, la delimitación de las condiciones de experiencia actúa como una limitación a la discrecionalidad administrativa, lo que impone a la Entidad Estatal la carga de justificar técnicamente en los estudios previos y en el análisis del sector la procedencia y proporcionalidad de los requisitos exigidos, de conformidad con el artículo 2.2.1.1.1.6.2 del Decreto 1082 de 2015. </w:t>
      </w:r>
    </w:p>
    <w:p w14:paraId="40056B4F" w14:textId="1972B2AE" w:rsidR="00333524" w:rsidRDefault="00333524" w:rsidP="00333524">
      <w:pPr>
        <w:pStyle w:val="NormalWeb"/>
        <w:spacing w:before="0" w:beforeAutospacing="0"/>
        <w:jc w:val="both"/>
        <w:rPr>
          <w:rFonts w:ascii="Verdana" w:hAnsi="Verdana" w:cs="Arial"/>
          <w:sz w:val="22"/>
          <w:szCs w:val="22"/>
        </w:rPr>
      </w:pPr>
      <w:r w:rsidRPr="00E75DAB">
        <w:rPr>
          <w:rFonts w:ascii="Verdana" w:hAnsi="Verdana" w:cs="Arial"/>
          <w:sz w:val="22"/>
          <w:szCs w:val="22"/>
        </w:rPr>
        <w:t xml:space="preserve">Por otra parte, el artículo 2.2.1.2.1.4.9 del Decreto 1082 de 2015 reglamenta que, para la procedencia de la contratación directa de servicios profesionales y de apoyo a la gestión, la entidad debe verificar la idoneidad o experiencia requerida y relacionada con el área de que se trate. Asimismo, la práctica común en el diseño de los procesos de selección matiza este requisito distinguiendo la experiencia general, la cual se relaciona de manera amplia con el desempeño de la actividad profesional objeto del negocio jurídico, de la experiencia relacionada, concebida como aquella adquirida en el ejercicio de actividades con funciones similares a las del contrato a proveer. </w:t>
      </w:r>
    </w:p>
    <w:p w14:paraId="2AF2837A" w14:textId="689B10CA" w:rsidR="00333524" w:rsidRDefault="00333524" w:rsidP="00333524">
      <w:pPr>
        <w:pStyle w:val="NormalWeb"/>
        <w:spacing w:before="0" w:beforeAutospacing="0"/>
        <w:jc w:val="both"/>
        <w:rPr>
          <w:rFonts w:ascii="Verdana" w:hAnsi="Verdana" w:cs="Arial"/>
          <w:sz w:val="22"/>
          <w:szCs w:val="22"/>
        </w:rPr>
      </w:pPr>
      <w:r w:rsidRPr="00E75DAB">
        <w:rPr>
          <w:rFonts w:ascii="Verdana" w:hAnsi="Verdana" w:cs="Arial"/>
          <w:sz w:val="22"/>
          <w:szCs w:val="22"/>
        </w:rPr>
        <w:t xml:space="preserve">El principio de proporcionalidad exige que los requisitos habilitantes guarden correspondencia estricta con la naturaleza y complejidad del objeto contractual, evitando imponer cargas que limiten de forma injustificada la participación o desnaturalicen la selección objetiva. Con fundamento en los equilibrios normativos expuestos, esta Agencia concluye que la definición de los perfiles y la exigencia de experiencia debe ejercerse de manera motivada, razonable y proporcional, atendiendo las particularidades de cada objeto contractual y los fines de la norma que la autoriza. </w:t>
      </w:r>
    </w:p>
    <w:p w14:paraId="119728C5" w14:textId="0FFBB561" w:rsidR="00333524" w:rsidRPr="00333524" w:rsidRDefault="00333524" w:rsidP="00333524">
      <w:pPr>
        <w:spacing w:after="0" w:line="240" w:lineRule="auto"/>
        <w:jc w:val="both"/>
        <w:rPr>
          <w:rFonts w:ascii="Verdana" w:eastAsia="Verdana" w:hAnsi="Verdana" w:cs="Verdana"/>
          <w:lang w:val="es-ES"/>
        </w:rPr>
      </w:pPr>
      <w:r w:rsidRPr="00E75DAB">
        <w:rPr>
          <w:rFonts w:ascii="Verdana" w:hAnsi="Verdana" w:cs="Arial"/>
        </w:rPr>
        <w:t>Por consiguiente, determinar si es viable exigir una experiencia profesional o laboral en términos amplios o generales es un análisis que corresponde evaluar a la entidad en cada caso concreto durante la etapa de planeación, bajo la estricta obligación de sustentar explícitamente en los estudios previos y en el análisis del sector de qué manera dicha exigencia responde a criterios de necesidad y proporcionalidad frente a las obligaciones específicas que el contratista va a desarrollar.</w:t>
      </w:r>
    </w:p>
    <w:p w14:paraId="7C6B07AD" w14:textId="77777777" w:rsidR="00333524" w:rsidRDefault="00333524" w:rsidP="00333524">
      <w:pPr>
        <w:spacing w:after="0" w:line="240" w:lineRule="auto"/>
        <w:jc w:val="both"/>
        <w:rPr>
          <w:rFonts w:ascii="Verdana" w:eastAsia="Verdana" w:hAnsi="Verdana" w:cs="Verdana"/>
        </w:rPr>
      </w:pPr>
    </w:p>
    <w:p w14:paraId="2B526AF5" w14:textId="77777777" w:rsidR="00333524" w:rsidRDefault="00333524" w:rsidP="00333524">
      <w:pPr>
        <w:spacing w:after="0" w:line="240" w:lineRule="auto"/>
        <w:jc w:val="both"/>
        <w:rPr>
          <w:rFonts w:ascii="Verdana" w:eastAsia="Verdana" w:hAnsi="Verdana" w:cs="Verdana"/>
        </w:rPr>
      </w:pPr>
    </w:p>
    <w:p w14:paraId="44EE0F09" w14:textId="77777777" w:rsidR="00333524" w:rsidRDefault="00333524" w:rsidP="00333524">
      <w:pPr>
        <w:spacing w:after="0" w:line="240" w:lineRule="auto"/>
        <w:jc w:val="both"/>
        <w:rPr>
          <w:rFonts w:ascii="Verdana" w:eastAsia="Verdana" w:hAnsi="Verdana" w:cs="Verdana"/>
        </w:rPr>
      </w:pPr>
    </w:p>
    <w:p w14:paraId="1B5836E4" w14:textId="77777777" w:rsidR="00333524" w:rsidRDefault="00333524" w:rsidP="30821638">
      <w:pPr>
        <w:spacing w:after="0"/>
        <w:rPr>
          <w:rFonts w:ascii="Verdana" w:eastAsia="Verdana" w:hAnsi="Verdana" w:cs="Verdana"/>
        </w:rPr>
      </w:pPr>
    </w:p>
    <w:p w14:paraId="533C021C" w14:textId="77777777" w:rsidR="00333524" w:rsidRDefault="00333524" w:rsidP="30821638">
      <w:pPr>
        <w:spacing w:after="0"/>
        <w:rPr>
          <w:rFonts w:ascii="Verdana" w:eastAsia="Verdana" w:hAnsi="Verdana" w:cs="Verdana"/>
        </w:rPr>
      </w:pPr>
    </w:p>
    <w:p w14:paraId="1E396BC8" w14:textId="77777777" w:rsidR="00333524" w:rsidRDefault="00333524" w:rsidP="30821638">
      <w:pPr>
        <w:spacing w:after="0"/>
        <w:rPr>
          <w:rFonts w:ascii="Verdana" w:eastAsia="Verdana" w:hAnsi="Verdana" w:cs="Verdana"/>
        </w:rPr>
      </w:pPr>
    </w:p>
    <w:p w14:paraId="1468C46D" w14:textId="06E47205" w:rsidR="00C15139" w:rsidRPr="0024624F" w:rsidRDefault="00C15139" w:rsidP="30821638">
      <w:pPr>
        <w:spacing w:after="0"/>
        <w:rPr>
          <w:rFonts w:ascii="Verdana" w:eastAsia="Verdana" w:hAnsi="Verdana" w:cs="Verdana"/>
        </w:rPr>
      </w:pPr>
      <w:r>
        <w:tab/>
      </w:r>
    </w:p>
    <w:p w14:paraId="785A487C" w14:textId="497A7A63" w:rsidR="00333524" w:rsidRDefault="00333524" w:rsidP="00333524">
      <w:pPr>
        <w:pStyle w:val="Textoindependiente"/>
        <w:spacing w:before="49" w:line="576" w:lineRule="exact"/>
        <w:ind w:right="5463"/>
      </w:pPr>
      <w:r>
        <w:rPr>
          <w:noProof/>
        </w:rPr>
        <w:lastRenderedPageBreak/>
        <w:drawing>
          <wp:anchor distT="0" distB="0" distL="0" distR="0" simplePos="0" relativeHeight="251658240" behindDoc="0" locked="0" layoutInCell="1" allowOverlap="1" wp14:anchorId="3A9BC74A" wp14:editId="053940AC">
            <wp:simplePos x="0" y="0"/>
            <wp:positionH relativeFrom="page">
              <wp:posOffset>4291965</wp:posOffset>
            </wp:positionH>
            <wp:positionV relativeFrom="paragraph">
              <wp:posOffset>181615</wp:posOffset>
            </wp:positionV>
            <wp:extent cx="2400300" cy="6159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400300" cy="615950"/>
                    </a:xfrm>
                    <a:prstGeom prst="rect">
                      <a:avLst/>
                    </a:prstGeom>
                  </pic:spPr>
                </pic:pic>
              </a:graphicData>
            </a:graphic>
          </wp:anchor>
        </w:drawing>
      </w:r>
      <w:r>
        <w:t>Bogotá</w:t>
      </w:r>
      <w:r>
        <w:rPr>
          <w:spacing w:val="-12"/>
        </w:rPr>
        <w:t xml:space="preserve"> </w:t>
      </w:r>
      <w:r>
        <w:t>D.C.,</w:t>
      </w:r>
      <w:r>
        <w:rPr>
          <w:spacing w:val="-10"/>
        </w:rPr>
        <w:t xml:space="preserve"> </w:t>
      </w:r>
      <w:r>
        <w:t>01</w:t>
      </w:r>
      <w:r>
        <w:rPr>
          <w:spacing w:val="-9"/>
        </w:rPr>
        <w:t xml:space="preserve"> </w:t>
      </w:r>
      <w:proofErr w:type="gramStart"/>
      <w:r>
        <w:t>Junio</w:t>
      </w:r>
      <w:proofErr w:type="gramEnd"/>
      <w:r>
        <w:rPr>
          <w:spacing w:val="-8"/>
        </w:rPr>
        <w:t xml:space="preserve"> </w:t>
      </w:r>
      <w:r>
        <w:t xml:space="preserve">2026 </w:t>
      </w:r>
    </w:p>
    <w:p w14:paraId="4AB9277D" w14:textId="77777777" w:rsidR="00333524" w:rsidRDefault="00333524" w:rsidP="006C0219">
      <w:pPr>
        <w:spacing w:after="0" w:line="276" w:lineRule="auto"/>
        <w:jc w:val="both"/>
        <w:rPr>
          <w:rFonts w:ascii="Verdana" w:eastAsia="Calibri" w:hAnsi="Verdana" w:cs="Arial"/>
          <w:lang w:val="es-ES" w:eastAsia="es-ES"/>
        </w:rPr>
      </w:pPr>
    </w:p>
    <w:p w14:paraId="3C455039" w14:textId="231B8E39" w:rsidR="006C0219" w:rsidRPr="00B471D2" w:rsidRDefault="006C0219" w:rsidP="006C0219">
      <w:pPr>
        <w:spacing w:after="0" w:line="276" w:lineRule="auto"/>
        <w:jc w:val="both"/>
        <w:rPr>
          <w:rFonts w:ascii="Verdana" w:eastAsia="Calibri" w:hAnsi="Verdana" w:cs="Arial"/>
          <w:lang w:val="es-ES" w:eastAsia="es-ES"/>
        </w:rPr>
      </w:pPr>
      <w:r w:rsidRPr="00B471D2">
        <w:rPr>
          <w:rFonts w:ascii="Verdana" w:eastAsia="Calibri" w:hAnsi="Verdana" w:cs="Arial"/>
          <w:lang w:val="es-ES" w:eastAsia="es-ES"/>
        </w:rPr>
        <w:t>Señor</w:t>
      </w:r>
    </w:p>
    <w:p w14:paraId="4A2371D9" w14:textId="77777777" w:rsidR="006C0219" w:rsidRPr="00B471D2" w:rsidRDefault="006C0219" w:rsidP="006C0219">
      <w:pPr>
        <w:spacing w:after="0" w:line="276" w:lineRule="auto"/>
        <w:jc w:val="both"/>
        <w:rPr>
          <w:rFonts w:ascii="Verdana" w:eastAsia="Calibri" w:hAnsi="Verdana" w:cs="Arial"/>
          <w:b/>
          <w:bCs/>
          <w:lang w:val="es-ES" w:eastAsia="es-ES"/>
        </w:rPr>
      </w:pPr>
      <w:r w:rsidRPr="00B471D2">
        <w:rPr>
          <w:rFonts w:ascii="Verdana" w:eastAsia="Calibri" w:hAnsi="Verdana" w:cs="Arial"/>
          <w:b/>
          <w:bCs/>
          <w:lang w:val="es-ES" w:eastAsia="es-ES"/>
        </w:rPr>
        <w:t xml:space="preserve">Nicolas David Mora Ortiz </w:t>
      </w:r>
    </w:p>
    <w:p w14:paraId="4CD37530" w14:textId="77777777" w:rsidR="006C0219" w:rsidRPr="00B471D2" w:rsidRDefault="006C0219" w:rsidP="006C0219">
      <w:pPr>
        <w:spacing w:after="0" w:line="276" w:lineRule="auto"/>
        <w:rPr>
          <w:rFonts w:ascii="Verdana" w:eastAsia="Calibri" w:hAnsi="Verdana" w:cs="Arial"/>
          <w:u w:val="single"/>
          <w:lang w:val="es-ES" w:eastAsia="es-ES"/>
        </w:rPr>
      </w:pPr>
      <w:hyperlink r:id="rId11" w:history="1">
        <w:r w:rsidRPr="00935BE0">
          <w:rPr>
            <w:rStyle w:val="Hipervnculo"/>
            <w:rFonts w:ascii="Verdana" w:eastAsia="Calibri" w:hAnsi="Verdana" w:cs="Arial"/>
            <w:lang w:val="es-ES" w:eastAsia="es-ES"/>
          </w:rPr>
          <w:t>nicolasdavidmora@hotmail.com</w:t>
        </w:r>
      </w:hyperlink>
      <w:r>
        <w:rPr>
          <w:rFonts w:ascii="Verdana" w:eastAsia="Calibri" w:hAnsi="Verdana" w:cs="Arial"/>
          <w:u w:val="single"/>
          <w:lang w:val="es-ES" w:eastAsia="es-ES"/>
        </w:rPr>
        <w:t xml:space="preserve"> </w:t>
      </w:r>
    </w:p>
    <w:p w14:paraId="674386BB" w14:textId="77777777" w:rsidR="006C0219" w:rsidRPr="00B471D2" w:rsidRDefault="006C0219" w:rsidP="006C0219">
      <w:pPr>
        <w:spacing w:after="0" w:line="276" w:lineRule="auto"/>
        <w:rPr>
          <w:rFonts w:ascii="Verdana" w:eastAsia="Calibri" w:hAnsi="Verdana" w:cs="Arial"/>
          <w:b/>
          <w:bCs/>
          <w:lang w:val="es-ES" w:eastAsia="es-ES"/>
        </w:rPr>
      </w:pPr>
      <w:r w:rsidRPr="00B471D2">
        <w:rPr>
          <w:rFonts w:ascii="Verdana" w:eastAsia="Calibri" w:hAnsi="Verdana" w:cs="Arial"/>
          <w:lang w:val="es-ES" w:eastAsia="es-ES"/>
        </w:rPr>
        <w:t xml:space="preserve">Bogotá, D.C </w:t>
      </w:r>
    </w:p>
    <w:p w14:paraId="740C7FB5" w14:textId="77777777" w:rsidR="006C0219" w:rsidRPr="00B471D2" w:rsidRDefault="006C0219" w:rsidP="006C0219">
      <w:pPr>
        <w:spacing w:after="0" w:line="276"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C0219" w:rsidRPr="00B471D2" w14:paraId="039B9FAA" w14:textId="77777777">
        <w:trPr>
          <w:trHeight w:val="884"/>
        </w:trPr>
        <w:tc>
          <w:tcPr>
            <w:tcW w:w="2689" w:type="dxa"/>
          </w:tcPr>
          <w:p w14:paraId="1E8C41FC" w14:textId="77777777" w:rsidR="006C0219" w:rsidRPr="00D82D23" w:rsidRDefault="006C0219">
            <w:pPr>
              <w:spacing w:line="276" w:lineRule="auto"/>
              <w:jc w:val="both"/>
              <w:rPr>
                <w:rFonts w:ascii="Verdana" w:eastAsia="Calibri" w:hAnsi="Verdana" w:cs="Arial"/>
                <w:b/>
                <w:bCs/>
                <w:color w:val="000000" w:themeColor="text1"/>
                <w:lang w:val="es-ES_tradnl" w:eastAsia="es-ES_tradnl"/>
              </w:rPr>
            </w:pPr>
          </w:p>
        </w:tc>
        <w:tc>
          <w:tcPr>
            <w:tcW w:w="6100" w:type="dxa"/>
          </w:tcPr>
          <w:p w14:paraId="05CC245C" w14:textId="77777777" w:rsidR="006C0219" w:rsidRPr="00D82D23" w:rsidRDefault="006C0219">
            <w:pPr>
              <w:spacing w:line="276" w:lineRule="auto"/>
              <w:jc w:val="both"/>
              <w:rPr>
                <w:rFonts w:ascii="Verdana" w:eastAsia="Calibri" w:hAnsi="Verdana" w:cs="Arial"/>
                <w:b/>
                <w:bCs/>
                <w:color w:val="000000" w:themeColor="text1"/>
                <w:lang w:val="es-ES" w:eastAsia="es-ES"/>
              </w:rPr>
            </w:pPr>
            <w:r w:rsidRPr="00D82D23">
              <w:rPr>
                <w:rFonts w:ascii="Verdana" w:eastAsia="Calibri" w:hAnsi="Verdana" w:cs="Arial"/>
                <w:b/>
                <w:bCs/>
                <w:color w:val="000000" w:themeColor="text1"/>
                <w:lang w:val="es-ES" w:eastAsia="es-ES"/>
              </w:rPr>
              <w:t>Concepto C- 650 de 2026</w:t>
            </w:r>
          </w:p>
        </w:tc>
      </w:tr>
      <w:tr w:rsidR="006C0219" w:rsidRPr="00B471D2" w14:paraId="6327E03D" w14:textId="77777777">
        <w:trPr>
          <w:trHeight w:val="884"/>
        </w:trPr>
        <w:tc>
          <w:tcPr>
            <w:tcW w:w="2689" w:type="dxa"/>
          </w:tcPr>
          <w:p w14:paraId="0448DFC1" w14:textId="7820A8E8" w:rsidR="006C0219" w:rsidRPr="00D82D23" w:rsidRDefault="006C0219">
            <w:pPr>
              <w:spacing w:line="276" w:lineRule="auto"/>
              <w:jc w:val="both"/>
              <w:rPr>
                <w:rFonts w:ascii="Verdana" w:eastAsia="Calibri" w:hAnsi="Verdana" w:cs="Arial"/>
                <w:color w:val="000000" w:themeColor="text1"/>
                <w:lang w:val="es-ES_tradnl" w:eastAsia="es-ES_tradnl"/>
              </w:rPr>
            </w:pPr>
            <w:r w:rsidRPr="00D82D23">
              <w:rPr>
                <w:rFonts w:ascii="Verdana" w:eastAsia="Calibri" w:hAnsi="Verdana" w:cs="Arial"/>
                <w:b/>
                <w:color w:val="000000" w:themeColor="text1"/>
                <w:lang w:val="es-ES_tradnl" w:eastAsia="es-ES_tradnl"/>
              </w:rPr>
              <w:t>Temas:</w:t>
            </w:r>
            <w:r w:rsidRPr="00D82D23">
              <w:rPr>
                <w:rFonts w:ascii="Verdana" w:eastAsia="Calibri" w:hAnsi="Verdana" w:cs="Arial"/>
                <w:color w:val="000000" w:themeColor="text1"/>
                <w:lang w:val="es-ES_tradnl" w:eastAsia="es-ES_tradnl"/>
              </w:rPr>
              <w:t xml:space="preserve">                   </w:t>
            </w:r>
          </w:p>
        </w:tc>
        <w:tc>
          <w:tcPr>
            <w:tcW w:w="6100" w:type="dxa"/>
          </w:tcPr>
          <w:p w14:paraId="5146BB62" w14:textId="77777777" w:rsidR="006C0219" w:rsidRDefault="006C0219" w:rsidP="00C531FB">
            <w:pPr>
              <w:pStyle w:val="NormalWeb"/>
              <w:spacing w:before="0" w:beforeAutospacing="0"/>
              <w:jc w:val="both"/>
              <w:rPr>
                <w:rFonts w:ascii="Verdana" w:hAnsi="Verdana" w:cs="Arial"/>
                <w:sz w:val="22"/>
                <w:szCs w:val="22"/>
              </w:rPr>
            </w:pPr>
            <w:r w:rsidRPr="006850EB">
              <w:rPr>
                <w:rFonts w:ascii="Verdana" w:hAnsi="Verdana" w:cs="Arial"/>
                <w:sz w:val="22"/>
                <w:szCs w:val="22"/>
              </w:rPr>
              <w:t>CONTRATO DE PRESTACIÓN DE SERVICIOS – Tipología – Elementos característicos</w:t>
            </w:r>
            <w:r>
              <w:rPr>
                <w:rFonts w:ascii="Verdana" w:hAnsi="Verdana" w:cs="Arial"/>
                <w:sz w:val="22"/>
                <w:szCs w:val="22"/>
              </w:rPr>
              <w:t xml:space="preserve"> -</w:t>
            </w:r>
            <w:r w:rsidRPr="006850EB">
              <w:rPr>
                <w:rFonts w:ascii="Verdana" w:hAnsi="Verdana" w:cs="Arial"/>
                <w:sz w:val="22"/>
                <w:szCs w:val="22"/>
              </w:rPr>
              <w:t xml:space="preserve"> CONTRATACIÓN DIRECTA – Servicios profesionales y apoyo a la gestión – Estudios previos</w:t>
            </w:r>
            <w:r>
              <w:rPr>
                <w:rFonts w:ascii="Verdana" w:hAnsi="Verdana" w:cs="Arial"/>
                <w:sz w:val="22"/>
                <w:szCs w:val="22"/>
              </w:rPr>
              <w:t xml:space="preserve"> - </w:t>
            </w:r>
            <w:r w:rsidRPr="006850EB">
              <w:rPr>
                <w:rFonts w:ascii="Verdana" w:hAnsi="Verdana" w:cs="Arial"/>
                <w:sz w:val="22"/>
                <w:szCs w:val="22"/>
              </w:rPr>
              <w:t>REQUISITOS HABILITANTES – Autonomía contractual – Facultad discrecional EXPERIENCIA PROFESIONAL Y LABORAL – Experiencia general – Experiencia relacionada – Proporcionalidad.</w:t>
            </w:r>
          </w:p>
          <w:p w14:paraId="30B6780A" w14:textId="4599A97D" w:rsidR="00C531FB" w:rsidRPr="00C531FB" w:rsidRDefault="00C531FB" w:rsidP="00C531FB">
            <w:pPr>
              <w:pStyle w:val="NormalWeb"/>
              <w:spacing w:before="0" w:beforeAutospacing="0"/>
              <w:jc w:val="both"/>
              <w:rPr>
                <w:rFonts w:ascii="Verdana" w:hAnsi="Verdana" w:cs="Arial"/>
                <w:sz w:val="22"/>
                <w:szCs w:val="22"/>
              </w:rPr>
            </w:pPr>
          </w:p>
        </w:tc>
      </w:tr>
      <w:tr w:rsidR="006C0219" w:rsidRPr="00B471D2" w14:paraId="36C66C54" w14:textId="77777777">
        <w:tc>
          <w:tcPr>
            <w:tcW w:w="2689" w:type="dxa"/>
          </w:tcPr>
          <w:p w14:paraId="0BD25E61" w14:textId="77777777" w:rsidR="006C0219" w:rsidRPr="00D82D23" w:rsidRDefault="006C0219">
            <w:pPr>
              <w:spacing w:line="276" w:lineRule="auto"/>
              <w:jc w:val="both"/>
              <w:rPr>
                <w:rFonts w:ascii="Verdana" w:eastAsia="Calibri" w:hAnsi="Verdana" w:cs="Arial"/>
                <w:b/>
                <w:color w:val="000000" w:themeColor="text1"/>
                <w:lang w:val="es-ES_tradnl" w:eastAsia="es-ES_tradnl"/>
              </w:rPr>
            </w:pPr>
            <w:r w:rsidRPr="00D82D23">
              <w:rPr>
                <w:rFonts w:ascii="Verdana" w:eastAsia="Calibri" w:hAnsi="Verdana" w:cs="Arial"/>
                <w:b/>
                <w:color w:val="000000" w:themeColor="text1"/>
                <w:lang w:val="es-ES_tradnl" w:eastAsia="es-ES_tradnl"/>
              </w:rPr>
              <w:t>Radicación:</w:t>
            </w:r>
            <w:r w:rsidRPr="00D82D23">
              <w:rPr>
                <w:rFonts w:ascii="Verdana" w:eastAsia="Calibri" w:hAnsi="Verdana" w:cs="Arial"/>
                <w:color w:val="000000" w:themeColor="text1"/>
                <w:lang w:val="es-ES_tradnl" w:eastAsia="es-ES_tradnl"/>
              </w:rPr>
              <w:t xml:space="preserve">               </w:t>
            </w:r>
          </w:p>
        </w:tc>
        <w:tc>
          <w:tcPr>
            <w:tcW w:w="6100" w:type="dxa"/>
          </w:tcPr>
          <w:p w14:paraId="207B5707" w14:textId="77777777" w:rsidR="006C0219" w:rsidRPr="00D82D23" w:rsidRDefault="006C0219">
            <w:pPr>
              <w:spacing w:line="276" w:lineRule="auto"/>
              <w:jc w:val="both"/>
              <w:rPr>
                <w:rFonts w:ascii="Verdana" w:eastAsia="Calibri" w:hAnsi="Verdana" w:cs="Arial"/>
                <w:color w:val="000000" w:themeColor="text1"/>
                <w:lang w:val="es-ES_tradnl" w:eastAsia="es-ES_tradnl"/>
              </w:rPr>
            </w:pPr>
            <w:r w:rsidRPr="00D82D23">
              <w:rPr>
                <w:rFonts w:ascii="Verdana" w:eastAsia="Calibri" w:hAnsi="Verdana" w:cs="Arial"/>
                <w:color w:val="000000" w:themeColor="text1"/>
                <w:lang w:val="es-ES_tradnl" w:eastAsia="es-ES_tradnl"/>
              </w:rPr>
              <w:t xml:space="preserve">Respuesta a consulta con radicado No. </w:t>
            </w:r>
            <w:r w:rsidRPr="00D82D23">
              <w:rPr>
                <w:rFonts w:ascii="Verdana" w:hAnsi="Verdana"/>
                <w:color w:val="000000" w:themeColor="text1"/>
                <w:shd w:val="clear" w:color="auto" w:fill="FFFFFF"/>
              </w:rPr>
              <w:t>1_2026_04_20_005331</w:t>
            </w:r>
          </w:p>
        </w:tc>
      </w:tr>
    </w:tbl>
    <w:p w14:paraId="7536A29C" w14:textId="77777777" w:rsidR="006C0219" w:rsidRPr="00B471D2" w:rsidRDefault="006C0219" w:rsidP="006C0219">
      <w:pPr>
        <w:spacing w:after="0" w:line="276" w:lineRule="auto"/>
        <w:jc w:val="both"/>
        <w:rPr>
          <w:rFonts w:ascii="Verdana" w:eastAsia="Calibri" w:hAnsi="Verdana" w:cs="Arial"/>
          <w:color w:val="000000"/>
          <w:lang w:val="es-ES_tradnl" w:eastAsia="es-ES_tradnl"/>
        </w:rPr>
      </w:pPr>
    </w:p>
    <w:p w14:paraId="4C09418B" w14:textId="77777777" w:rsidR="006C0219" w:rsidRPr="00B471D2" w:rsidRDefault="006C0219" w:rsidP="006C0219">
      <w:pPr>
        <w:spacing w:after="0" w:line="276" w:lineRule="auto"/>
        <w:jc w:val="both"/>
        <w:rPr>
          <w:rFonts w:ascii="Verdana" w:eastAsia="Calibri" w:hAnsi="Verdana" w:cs="Arial"/>
          <w:color w:val="000000"/>
          <w:lang w:val="es-ES_tradnl" w:eastAsia="es-ES_tradnl"/>
        </w:rPr>
      </w:pPr>
    </w:p>
    <w:p w14:paraId="1A24498A" w14:textId="77777777" w:rsidR="006C0219" w:rsidRPr="00D82D23" w:rsidRDefault="006C0219" w:rsidP="006C0219">
      <w:pPr>
        <w:spacing w:after="0" w:line="276" w:lineRule="auto"/>
        <w:jc w:val="both"/>
        <w:rPr>
          <w:rFonts w:ascii="Verdana" w:eastAsia="Calibri" w:hAnsi="Verdana" w:cs="Arial"/>
          <w:color w:val="000000" w:themeColor="text1"/>
          <w:lang w:val="es-ES" w:eastAsia="es-ES"/>
        </w:rPr>
      </w:pPr>
      <w:r w:rsidRPr="00D82D23">
        <w:rPr>
          <w:rFonts w:ascii="Verdana" w:eastAsia="Calibri" w:hAnsi="Verdana" w:cs="Arial"/>
          <w:color w:val="000000" w:themeColor="text1"/>
          <w:lang w:val="es-ES" w:eastAsia="es-ES"/>
        </w:rPr>
        <w:t xml:space="preserve">Estimado señor Mora: </w:t>
      </w:r>
    </w:p>
    <w:p w14:paraId="7D25F704" w14:textId="77777777" w:rsidR="006C0219" w:rsidRPr="00B471D2" w:rsidRDefault="006C0219" w:rsidP="006C0219">
      <w:pPr>
        <w:tabs>
          <w:tab w:val="left" w:pos="3768"/>
        </w:tabs>
        <w:spacing w:after="0" w:line="276" w:lineRule="auto"/>
        <w:jc w:val="both"/>
        <w:rPr>
          <w:rFonts w:ascii="Verdana" w:eastAsia="Calibri" w:hAnsi="Verdana" w:cs="Arial"/>
          <w:color w:val="000000" w:themeColor="text1"/>
          <w:lang w:val="es-ES" w:eastAsia="es-ES"/>
        </w:rPr>
      </w:pPr>
      <w:r w:rsidRPr="00B471D2">
        <w:rPr>
          <w:rFonts w:ascii="Verdana" w:eastAsia="Calibri" w:hAnsi="Verdana" w:cs="Arial"/>
          <w:color w:val="000000" w:themeColor="text1"/>
          <w:lang w:val="es-ES" w:eastAsia="es-ES"/>
        </w:rPr>
        <w:tab/>
      </w:r>
    </w:p>
    <w:p w14:paraId="34824406" w14:textId="77777777" w:rsidR="006C0219" w:rsidRPr="00B471D2" w:rsidRDefault="006C0219" w:rsidP="006C0219">
      <w:pPr>
        <w:spacing w:after="0" w:line="276" w:lineRule="auto"/>
        <w:jc w:val="both"/>
        <w:rPr>
          <w:rFonts w:ascii="Verdana" w:eastAsia="Calibri" w:hAnsi="Verdana" w:cs="Arial"/>
          <w:color w:val="7030A0"/>
          <w:lang w:val="es-ES" w:eastAsia="es-ES"/>
        </w:rPr>
      </w:pPr>
      <w:r w:rsidRPr="00B471D2">
        <w:rPr>
          <w:rFonts w:ascii="Verdana" w:eastAsia="Calibri" w:hAnsi="Verdana" w:cs="Arial"/>
          <w:color w:val="000000" w:themeColor="text1"/>
          <w:lang w:val="es-ES" w:eastAsia="es-ES"/>
        </w:rPr>
        <w:t>En ejercicio de la competencia otorgada por los artículos 3, numeral 5º, y 11, numeral 8º, del Decreto Ley 4170 de 2011,</w:t>
      </w:r>
      <w:r w:rsidRPr="00B471D2">
        <w:rPr>
          <w:rFonts w:ascii="Verdana" w:eastAsia="Arial MT" w:hAnsi="Verdana" w:cs="Arial MT"/>
          <w:lang w:val="es-ES" w:eastAsia="es-ES"/>
        </w:rPr>
        <w:t xml:space="preserve"> </w:t>
      </w:r>
      <w:r w:rsidRPr="00B471D2">
        <w:rPr>
          <w:rFonts w:ascii="Verdana" w:hAnsi="Verdana" w:cs="Arial"/>
        </w:rPr>
        <w:t xml:space="preserve">así como lo establecido en el artículo 4 de la Resolución 1707 de 2018 expedida por esta Entidad, </w:t>
      </w:r>
      <w:r w:rsidRPr="00B471D2">
        <w:rPr>
          <w:rFonts w:ascii="Verdana" w:eastAsia="Calibri" w:hAnsi="Verdana" w:cs="Arial"/>
          <w:color w:val="000000" w:themeColor="text1"/>
          <w:lang w:val="es-ES" w:eastAsia="es-ES"/>
        </w:rPr>
        <w:t>la Agencia Nacional de Contratación Pública – Colombia Compra Eficiente– responde su solicitud de consulta de fecha</w:t>
      </w:r>
      <w:r>
        <w:rPr>
          <w:rFonts w:ascii="Verdana" w:eastAsia="Calibri" w:hAnsi="Verdana" w:cs="Arial"/>
          <w:color w:val="000000" w:themeColor="text1"/>
          <w:lang w:val="es-ES" w:eastAsia="es-ES"/>
        </w:rPr>
        <w:t xml:space="preserve"> </w:t>
      </w:r>
      <w:r w:rsidRPr="00B471D2">
        <w:rPr>
          <w:rFonts w:ascii="Verdana" w:eastAsia="Calibri" w:hAnsi="Verdana" w:cs="Arial"/>
          <w:color w:val="000000" w:themeColor="text1"/>
          <w:lang w:val="es-ES" w:eastAsia="es-ES"/>
        </w:rPr>
        <w:t xml:space="preserve">20 de abril de 2026, en la cual manifiesta lo siguiente: </w:t>
      </w:r>
    </w:p>
    <w:p w14:paraId="04785F7E" w14:textId="77777777" w:rsidR="006C0219" w:rsidRPr="00AD1BE1" w:rsidRDefault="006C0219" w:rsidP="006C0219">
      <w:pPr>
        <w:pStyle w:val="Prrafodelista"/>
        <w:tabs>
          <w:tab w:val="left" w:pos="142"/>
          <w:tab w:val="left" w:pos="284"/>
        </w:tabs>
        <w:spacing w:line="276" w:lineRule="auto"/>
        <w:ind w:left="0"/>
        <w:jc w:val="both"/>
        <w:rPr>
          <w:rFonts w:ascii="Verdana" w:eastAsia="Century Gothic" w:hAnsi="Verdana" w:cs="Century Gothic"/>
          <w:b/>
          <w:bCs/>
          <w:sz w:val="20"/>
          <w:szCs w:val="20"/>
        </w:rPr>
      </w:pPr>
    </w:p>
    <w:p w14:paraId="18F418ED" w14:textId="77777777" w:rsidR="006C0219" w:rsidRPr="00AD1BE1" w:rsidRDefault="006C0219" w:rsidP="006C0219">
      <w:pPr>
        <w:spacing w:after="0" w:line="276" w:lineRule="auto"/>
        <w:ind w:left="709" w:right="709"/>
        <w:jc w:val="both"/>
        <w:rPr>
          <w:rFonts w:ascii="Verdana" w:eastAsia="Century Gothic" w:hAnsi="Verdana" w:cs="Century Gothic"/>
          <w:color w:val="7030A0"/>
          <w:sz w:val="20"/>
          <w:szCs w:val="20"/>
          <w:lang w:val="es-ES"/>
        </w:rPr>
      </w:pPr>
      <w:r w:rsidRPr="00AD1BE1">
        <w:rPr>
          <w:rFonts w:ascii="Verdana" w:hAnsi="Verdana"/>
          <w:sz w:val="20"/>
          <w:szCs w:val="20"/>
        </w:rPr>
        <w:t>“En el marco de la posibilidad que tiene las entidades para establecer los requisitos a cumplir en el marco de los contratos descrito previamente, ¿es jurídicamente viable que se defina como perfil la acreditación de experiencia profesional y/o laboral en términos generales sin requerir que la misma sea experiencia relacionada con el objeto o las obligaciones del contrato a suscribir?”</w:t>
      </w:r>
    </w:p>
    <w:p w14:paraId="676CFFC1" w14:textId="77777777" w:rsidR="006C0219" w:rsidRPr="00B471D2" w:rsidRDefault="006C0219" w:rsidP="006C0219">
      <w:pPr>
        <w:pStyle w:val="Prrafodelista"/>
        <w:tabs>
          <w:tab w:val="left" w:pos="142"/>
          <w:tab w:val="left" w:pos="284"/>
        </w:tabs>
        <w:spacing w:line="276" w:lineRule="auto"/>
        <w:ind w:left="0"/>
        <w:jc w:val="both"/>
        <w:rPr>
          <w:rFonts w:ascii="Verdana" w:eastAsia="Century Gothic" w:hAnsi="Verdana" w:cs="Century Gothic"/>
          <w:b/>
          <w:bCs/>
        </w:rPr>
      </w:pPr>
    </w:p>
    <w:p w14:paraId="5B9C9023" w14:textId="77777777" w:rsidR="006C0219" w:rsidRPr="00B471D2" w:rsidRDefault="006C0219" w:rsidP="006C0219">
      <w:pPr>
        <w:spacing w:after="120" w:line="276" w:lineRule="auto"/>
        <w:ind w:firstLine="709"/>
        <w:jc w:val="both"/>
        <w:rPr>
          <w:rFonts w:ascii="Verdana" w:eastAsia="Calibri" w:hAnsi="Verdana" w:cs="Arial"/>
          <w:color w:val="000000"/>
          <w:lang w:val="es-ES_tradnl" w:eastAsia="es-ES_tradnl"/>
        </w:rPr>
      </w:pPr>
      <w:r w:rsidRPr="00B471D2">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471D2">
        <w:rPr>
          <w:rFonts w:ascii="Verdana" w:eastAsia="Calibri" w:hAnsi="Verdana" w:cs="Arial"/>
          <w:color w:val="000000"/>
          <w:lang w:val="es-ES_tradnl" w:eastAsia="es-ES_tradnl"/>
        </w:rPr>
        <w:tab/>
      </w:r>
    </w:p>
    <w:p w14:paraId="205286AD" w14:textId="77777777" w:rsidR="006C0219" w:rsidRPr="00B471D2" w:rsidRDefault="006C0219" w:rsidP="006C0219">
      <w:pPr>
        <w:spacing w:after="0" w:line="276" w:lineRule="auto"/>
        <w:ind w:firstLine="709"/>
        <w:jc w:val="both"/>
        <w:rPr>
          <w:rFonts w:ascii="Verdana" w:eastAsia="Calibri" w:hAnsi="Verdana" w:cs="Arial"/>
          <w:color w:val="000000"/>
          <w:lang w:val="es-ES" w:eastAsia="es-ES"/>
        </w:rPr>
      </w:pPr>
      <w:r w:rsidRPr="00B471D2">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sidRPr="00B471D2">
        <w:rPr>
          <w:rFonts w:ascii="Verdana" w:eastAsia="Calibri" w:hAnsi="Verdana" w:cs="Arial"/>
          <w:color w:val="7030A0"/>
          <w:lang w:val="es-ES" w:eastAsia="es-ES"/>
        </w:rPr>
        <w:t xml:space="preserve"> </w:t>
      </w:r>
      <w:r w:rsidRPr="00B471D2">
        <w:rPr>
          <w:rFonts w:ascii="Verdana" w:eastAsia="Calibri" w:hAnsi="Verdana" w:cs="Arial"/>
          <w:color w:val="000000"/>
          <w:lang w:val="es-ES" w:eastAsia="es-ES"/>
        </w:rPr>
        <w:t>jurídico</w:t>
      </w:r>
      <w:r w:rsidRPr="00B471D2">
        <w:rPr>
          <w:rFonts w:ascii="Verdana" w:eastAsia="Calibri" w:hAnsi="Verdana" w:cs="Arial"/>
          <w:color w:val="7030A0"/>
          <w:lang w:val="es-ES" w:eastAsia="es-ES"/>
        </w:rPr>
        <w:t xml:space="preserve"> </w:t>
      </w:r>
      <w:r w:rsidRPr="00B471D2">
        <w:rPr>
          <w:rFonts w:ascii="Verdana" w:eastAsia="Calibri" w:hAnsi="Verdana" w:cs="Arial"/>
          <w:color w:val="000000"/>
          <w:lang w:val="es-ES" w:eastAsia="es-ES"/>
        </w:rPr>
        <w:t xml:space="preserve">de su consulta. </w:t>
      </w:r>
    </w:p>
    <w:p w14:paraId="19056D45" w14:textId="77777777" w:rsidR="006C0219" w:rsidRPr="00B471D2" w:rsidRDefault="006C0219" w:rsidP="006C0219">
      <w:pPr>
        <w:spacing w:after="0" w:line="276" w:lineRule="auto"/>
        <w:ind w:firstLine="709"/>
        <w:jc w:val="both"/>
        <w:rPr>
          <w:rFonts w:ascii="Verdana" w:eastAsia="Calibri" w:hAnsi="Verdana" w:cs="Arial"/>
          <w:color w:val="000000"/>
          <w:lang w:val="es-ES" w:eastAsia="es-ES"/>
        </w:rPr>
      </w:pPr>
    </w:p>
    <w:p w14:paraId="003DC26B" w14:textId="77777777" w:rsidR="006C0219" w:rsidRPr="00B471D2" w:rsidRDefault="006C0219" w:rsidP="006C0219">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B471D2">
        <w:rPr>
          <w:rFonts w:ascii="Verdana" w:eastAsia="Century Gothic" w:hAnsi="Verdana" w:cs="Century Gothic"/>
          <w:b/>
          <w:bCs/>
        </w:rPr>
        <w:t>Problema planteado:</w:t>
      </w:r>
    </w:p>
    <w:p w14:paraId="5C5827E2" w14:textId="77777777" w:rsidR="006C0219" w:rsidRPr="00B471D2" w:rsidRDefault="006C0219" w:rsidP="006C0219">
      <w:pPr>
        <w:tabs>
          <w:tab w:val="left" w:pos="426"/>
        </w:tabs>
        <w:spacing w:after="0" w:line="276" w:lineRule="auto"/>
        <w:jc w:val="both"/>
        <w:rPr>
          <w:rFonts w:ascii="Verdana" w:eastAsia="Century Gothic" w:hAnsi="Verdana" w:cs="Century Gothic"/>
          <w:lang w:val="es-ES"/>
        </w:rPr>
      </w:pPr>
    </w:p>
    <w:p w14:paraId="3CFEFEF7" w14:textId="37819B7D" w:rsidR="006C0219" w:rsidRPr="00EF28B9" w:rsidRDefault="006C0219" w:rsidP="006C0219">
      <w:pPr>
        <w:spacing w:after="0" w:line="276" w:lineRule="auto"/>
        <w:jc w:val="both"/>
        <w:rPr>
          <w:rFonts w:ascii="Verdana" w:eastAsia="Century Gothic" w:hAnsi="Verdana" w:cs="Century Gothic"/>
        </w:rPr>
      </w:pPr>
      <w:r w:rsidRPr="00EF28B9">
        <w:rPr>
          <w:rFonts w:ascii="Verdana" w:eastAsia="Century Gothic" w:hAnsi="Verdana" w:cs="Century Gothic"/>
        </w:rPr>
        <w:t xml:space="preserve">De acuerdo con el contenido de su solicitud, esta Agencia resolverá el  siguiente problema jurídico: </w:t>
      </w:r>
      <w:r w:rsidR="005350CF">
        <w:rPr>
          <w:rFonts w:ascii="Verdana" w:hAnsi="Verdana"/>
        </w:rPr>
        <w:t xml:space="preserve">¿Cuál es la autonomía de las Entidades Estatales para </w:t>
      </w:r>
      <w:r w:rsidRPr="00EF28B9">
        <w:rPr>
          <w:rFonts w:ascii="Verdana" w:hAnsi="Verdana"/>
        </w:rPr>
        <w:t>exi</w:t>
      </w:r>
      <w:r w:rsidR="005350CF">
        <w:rPr>
          <w:rFonts w:ascii="Verdana" w:hAnsi="Verdana"/>
        </w:rPr>
        <w:t>gir</w:t>
      </w:r>
      <w:r w:rsidRPr="00EF28B9">
        <w:rPr>
          <w:rFonts w:ascii="Verdana" w:hAnsi="Verdana"/>
        </w:rPr>
        <w:t xml:space="preserve"> experiencia </w:t>
      </w:r>
      <w:r w:rsidR="005350CF">
        <w:rPr>
          <w:rFonts w:ascii="Verdana" w:hAnsi="Verdana"/>
        </w:rPr>
        <w:t xml:space="preserve">para los </w:t>
      </w:r>
      <w:r w:rsidRPr="00EF28B9">
        <w:rPr>
          <w:rFonts w:ascii="Verdana" w:hAnsi="Verdana"/>
        </w:rPr>
        <w:t>contrato</w:t>
      </w:r>
      <w:r w:rsidR="005350CF">
        <w:rPr>
          <w:rFonts w:ascii="Verdana" w:hAnsi="Verdana"/>
        </w:rPr>
        <w:t>s</w:t>
      </w:r>
      <w:r w:rsidRPr="00EF28B9">
        <w:rPr>
          <w:rFonts w:ascii="Verdana" w:hAnsi="Verdana"/>
        </w:rPr>
        <w:t xml:space="preserve"> de prestación de servicios o apoyo a la gestión? </w:t>
      </w:r>
      <w:r w:rsidRPr="00EF28B9">
        <w:rPr>
          <w:rFonts w:ascii="Verdana" w:eastAsia="Century Gothic" w:hAnsi="Verdana" w:cs="Century Gothic"/>
          <w:color w:val="7030A0"/>
        </w:rPr>
        <w:t xml:space="preserve"> </w:t>
      </w:r>
    </w:p>
    <w:p w14:paraId="1D88273E" w14:textId="77777777" w:rsidR="006C0219" w:rsidRPr="00B471D2" w:rsidRDefault="006C0219" w:rsidP="006C0219">
      <w:pPr>
        <w:spacing w:after="0" w:line="276" w:lineRule="auto"/>
        <w:jc w:val="both"/>
        <w:rPr>
          <w:rFonts w:ascii="Verdana" w:eastAsia="Calibri" w:hAnsi="Verdana" w:cs="Arial"/>
          <w:color w:val="7030A0"/>
          <w:lang w:val="es-ES"/>
        </w:rPr>
      </w:pPr>
    </w:p>
    <w:p w14:paraId="0B564361" w14:textId="77777777" w:rsidR="006C0219" w:rsidRPr="00B471D2" w:rsidRDefault="006C0219" w:rsidP="006C021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471D2">
        <w:rPr>
          <w:rFonts w:ascii="Verdana" w:eastAsia="Century Gothic" w:hAnsi="Verdana" w:cs="Century Gothic"/>
          <w:b/>
          <w:bCs/>
        </w:rPr>
        <w:t>Respuesta:</w:t>
      </w:r>
    </w:p>
    <w:p w14:paraId="07638927" w14:textId="77777777" w:rsidR="006C0219" w:rsidRPr="00B471D2" w:rsidRDefault="006C0219" w:rsidP="006C021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C0219" w:rsidRPr="00B471D2" w14:paraId="30C18106" w14:textId="77777777">
        <w:tc>
          <w:tcPr>
            <w:tcW w:w="8828" w:type="dxa"/>
          </w:tcPr>
          <w:p w14:paraId="54B04235" w14:textId="77777777" w:rsidR="00AB5F19" w:rsidRPr="00E75DAB" w:rsidRDefault="006C0219" w:rsidP="00E75DAB">
            <w:pPr>
              <w:pStyle w:val="NormalWeb"/>
              <w:spacing w:before="0" w:beforeAutospacing="0" w:line="276" w:lineRule="auto"/>
              <w:jc w:val="both"/>
              <w:rPr>
                <w:rFonts w:ascii="Verdana" w:hAnsi="Verdana" w:cs="Arial"/>
                <w:sz w:val="22"/>
                <w:szCs w:val="22"/>
              </w:rPr>
            </w:pPr>
            <w:r w:rsidRPr="00E75DAB">
              <w:rPr>
                <w:rFonts w:ascii="Verdana" w:hAnsi="Verdana" w:cs="Arial"/>
                <w:sz w:val="22"/>
                <w:szCs w:val="22"/>
                <w:lang w:eastAsia="es-MX"/>
              </w:rPr>
              <w:t xml:space="preserve">           </w:t>
            </w:r>
            <w:r w:rsidR="00AB5F19" w:rsidRPr="00E75DAB">
              <w:rPr>
                <w:rFonts w:ascii="Verdana" w:hAnsi="Verdana" w:cs="Arial"/>
                <w:sz w:val="22"/>
                <w:szCs w:val="22"/>
              </w:rPr>
              <w:t xml:space="preserve">De manera preliminar, se precisa que los requisitos habilitantes, entendidos como las condiciones de capacidad jurídica, experiencia, capacidad financiera y de organización, constituyen exigencias de participación aplicables en los procedimientos de selección. Al respecto, el ordenamiento jurídico y la jurisprudencia han aclarado que estas condiciones mínimas de aptitud técnica también operan y deben verificarse en la contratación directa de prestación de </w:t>
            </w:r>
            <w:r w:rsidR="00AB5F19" w:rsidRPr="00E75DAB">
              <w:rPr>
                <w:rFonts w:ascii="Verdana" w:hAnsi="Verdana" w:cs="Arial"/>
                <w:sz w:val="22"/>
                <w:szCs w:val="22"/>
              </w:rPr>
              <w:lastRenderedPageBreak/>
              <w:t xml:space="preserve">servicios, con el fin de asegurar que el contratista seleccionado cuente con la idoneidad requerida para ejecutar el objeto contractual. </w:t>
            </w:r>
          </w:p>
          <w:p w14:paraId="494129EC" w14:textId="7450966E" w:rsidR="00442901" w:rsidRDefault="00442901" w:rsidP="00E75DAB">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00AB5F19" w:rsidRPr="00E75DAB">
              <w:rPr>
                <w:rFonts w:ascii="Verdana" w:hAnsi="Verdana" w:cs="Arial"/>
                <w:sz w:val="22"/>
                <w:szCs w:val="22"/>
              </w:rPr>
              <w:t xml:space="preserve">En el régimen de contratación estatal colombiano, si bien las entidades públicas gozan de competencia para confeccionar los estudios previos y definir los requisitos que deben reunir los oferentes según los factores advertidos en su planeación, esta facultad no puede ejercerse de forma arbitraria o caprichosa. Al tenor del artículo 44 de la Ley 1437 de 2011, aplicable en virtud del artículo 77 de la Ley 80 de 1993, en la medida en que el contenido de una decisión sea discrecional, debe ser adecuada a los fines de la norma que la autoriza, y proporcional a los hechos que le sirven de causa. </w:t>
            </w:r>
          </w:p>
          <w:p w14:paraId="08E8D61B" w14:textId="68AF69BD" w:rsidR="00AB5F19" w:rsidRPr="00E75DAB" w:rsidRDefault="00442901" w:rsidP="00E75DAB">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00AB5F19" w:rsidRPr="00E75DAB">
              <w:rPr>
                <w:rFonts w:ascii="Verdana" w:hAnsi="Verdana" w:cs="Arial"/>
                <w:sz w:val="22"/>
                <w:szCs w:val="22"/>
              </w:rPr>
              <w:t xml:space="preserve">En consecuencia, la delimitación de las condiciones de experiencia actúa como una limitación a la discrecionalidad administrativa, lo que impone a la Entidad Estatal la carga de justificar técnicamente en los estudios previos y en el análisis del sector la procedencia y proporcionalidad de los requisitos exigidos, de conformidad con el artículo 2.2.1.1.1.6.2 del Decreto 1082 de 2015. </w:t>
            </w:r>
          </w:p>
          <w:p w14:paraId="78BA9654" w14:textId="77777777" w:rsidR="0094116F" w:rsidRDefault="00454C24" w:rsidP="00E75DAB">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00AB5F19" w:rsidRPr="00E75DAB">
              <w:rPr>
                <w:rFonts w:ascii="Verdana" w:hAnsi="Verdana" w:cs="Arial"/>
                <w:sz w:val="22"/>
                <w:szCs w:val="22"/>
              </w:rPr>
              <w:t xml:space="preserve">Por otra parte, el artículo 2.2.1.2.1.4.9 del Decreto 1082 de 2015 reglamenta que, para la procedencia de la contratación directa de servicios profesionales y de apoyo a la gestión, la entidad debe verificar la idoneidad o experiencia requerida y relacionada con el área de que se trate. Asimismo, la práctica común en el diseño de los procesos de selección matiza este requisito distinguiendo la experiencia general, la cual se relaciona de manera amplia con el desempeño de la actividad profesional objeto del negocio jurídico, de la experiencia relacionada, concebida como aquella adquirida en el ejercicio de actividades con funciones similares a las del contrato a proveer. </w:t>
            </w:r>
          </w:p>
          <w:p w14:paraId="50B8CE9A" w14:textId="18B745D3" w:rsidR="00854C4F" w:rsidRDefault="0094116F" w:rsidP="00E75DAB">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00AB5F19" w:rsidRPr="00E75DAB">
              <w:rPr>
                <w:rFonts w:ascii="Verdana" w:hAnsi="Verdana" w:cs="Arial"/>
                <w:sz w:val="22"/>
                <w:szCs w:val="22"/>
              </w:rPr>
              <w:t xml:space="preserve">El principio de proporcionalidad exige que los requisitos habilitantes guarden correspondencia estricta con la naturaleza y complejidad del objeto contractual, evitando imponer cargas que limiten de forma injustificada la participación o desnaturalicen la selección objetiva. Con fundamento en los equilibrios normativos expuestos, esta Agencia concluye que la definición de los perfiles y la exigencia de experiencia debe ejercerse de manera motivada, </w:t>
            </w:r>
            <w:r w:rsidR="00AB5F19" w:rsidRPr="00E75DAB">
              <w:rPr>
                <w:rFonts w:ascii="Verdana" w:hAnsi="Verdana" w:cs="Arial"/>
                <w:sz w:val="22"/>
                <w:szCs w:val="22"/>
              </w:rPr>
              <w:lastRenderedPageBreak/>
              <w:t xml:space="preserve">razonable y proporcional, atendiendo las particularidades de cada objeto contractual y los fines de la norma que la autoriza. </w:t>
            </w:r>
          </w:p>
          <w:p w14:paraId="028E8644" w14:textId="06550DBE" w:rsidR="006C0219" w:rsidRPr="00854C4F" w:rsidRDefault="00854C4F" w:rsidP="00AB5F19">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00AB5F19" w:rsidRPr="00E75DAB">
              <w:rPr>
                <w:rFonts w:ascii="Verdana" w:hAnsi="Verdana" w:cs="Arial"/>
                <w:sz w:val="22"/>
                <w:szCs w:val="22"/>
              </w:rPr>
              <w:t xml:space="preserve">Por consiguiente, determinar si es viable exigir una experiencia profesional o laboral en términos amplios o generales es un análisis que corresponde evaluar a la entidad en cada caso concreto durante la etapa de planeación, bajo la estricta obligación de sustentar explícitamente en los estudios previos y en el análisis del sector de qué manera dicha exigencia responde a criterios de necesidad y proporcionalidad frente a las obligaciones específicas que el contratista va a desarrollar. </w:t>
            </w:r>
          </w:p>
        </w:tc>
      </w:tr>
    </w:tbl>
    <w:p w14:paraId="0A7F7E01" w14:textId="77777777" w:rsidR="006C0219" w:rsidRPr="00B471D2" w:rsidRDefault="006C0219" w:rsidP="006C0219">
      <w:pPr>
        <w:tabs>
          <w:tab w:val="left" w:pos="142"/>
          <w:tab w:val="left" w:pos="284"/>
        </w:tabs>
        <w:spacing w:after="0" w:line="276" w:lineRule="auto"/>
        <w:jc w:val="both"/>
        <w:rPr>
          <w:rFonts w:ascii="Verdana" w:eastAsia="Century Gothic" w:hAnsi="Verdana" w:cs="Century Gothic"/>
          <w:b/>
          <w:bCs/>
          <w:lang w:val="es-ES"/>
        </w:rPr>
      </w:pPr>
    </w:p>
    <w:p w14:paraId="5811A708" w14:textId="77777777" w:rsidR="006C0219" w:rsidRPr="00B471D2" w:rsidRDefault="006C0219" w:rsidP="006C021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471D2">
        <w:rPr>
          <w:rFonts w:ascii="Verdana" w:eastAsia="Century Gothic" w:hAnsi="Verdana" w:cs="Century Gothic"/>
          <w:b/>
          <w:bCs/>
        </w:rPr>
        <w:t>Razones de la respuesta:</w:t>
      </w:r>
    </w:p>
    <w:p w14:paraId="3841C05D" w14:textId="77777777" w:rsidR="006C0219" w:rsidRPr="00B471D2" w:rsidRDefault="006C0219" w:rsidP="006C0219">
      <w:pPr>
        <w:spacing w:after="0" w:line="276" w:lineRule="auto"/>
        <w:jc w:val="both"/>
        <w:rPr>
          <w:rFonts w:ascii="Verdana" w:eastAsia="Calibri" w:hAnsi="Verdana" w:cs="Arial"/>
          <w:color w:val="7030A0"/>
          <w:lang w:val="es-ES"/>
        </w:rPr>
      </w:pPr>
    </w:p>
    <w:p w14:paraId="4D7D7D30" w14:textId="77777777" w:rsidR="006C0219" w:rsidRPr="00B471D2" w:rsidRDefault="006C0219" w:rsidP="006C0219">
      <w:pPr>
        <w:spacing w:after="0" w:line="276" w:lineRule="auto"/>
        <w:jc w:val="both"/>
        <w:rPr>
          <w:rFonts w:ascii="Verdana" w:eastAsia="Calibri" w:hAnsi="Verdana" w:cs="Arial"/>
          <w:lang w:val="es-ES"/>
        </w:rPr>
      </w:pPr>
      <w:r w:rsidRPr="00B471D2">
        <w:rPr>
          <w:rFonts w:ascii="Verdana" w:eastAsia="Calibri" w:hAnsi="Verdana" w:cs="Arial"/>
          <w:lang w:val="es-ES"/>
        </w:rPr>
        <w:t xml:space="preserve">Lo anterior se sustenta en las siguientes consideraciones: </w:t>
      </w:r>
    </w:p>
    <w:p w14:paraId="62386643" w14:textId="77777777" w:rsidR="006C0219" w:rsidRPr="00B471D2" w:rsidRDefault="006C0219" w:rsidP="006C0219">
      <w:pPr>
        <w:spacing w:after="0" w:line="276" w:lineRule="auto"/>
        <w:jc w:val="both"/>
        <w:rPr>
          <w:rFonts w:ascii="Verdana" w:eastAsia="Calibri" w:hAnsi="Verdana" w:cs="Arial"/>
          <w:color w:val="7030A0"/>
          <w:lang w:val="es-ES"/>
        </w:rPr>
      </w:pPr>
    </w:p>
    <w:p w14:paraId="28B811A7" w14:textId="77777777" w:rsidR="006C0219" w:rsidRPr="00B471D2" w:rsidRDefault="006C0219" w:rsidP="006C0219">
      <w:pPr>
        <w:spacing w:after="0" w:line="276" w:lineRule="auto"/>
        <w:contextualSpacing/>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numeral 3 del </w:t>
      </w:r>
      <w:bookmarkStart w:id="1" w:name="_Hlk176814493"/>
      <w:r w:rsidRPr="00B471D2">
        <w:rPr>
          <w:rFonts w:ascii="Verdana" w:eastAsia="Times New Roman" w:hAnsi="Verdana" w:cs="Arial"/>
          <w:color w:val="000000"/>
          <w:lang w:val="es-ES"/>
        </w:rPr>
        <w:t xml:space="preserve">artículo 32, de la </w:t>
      </w:r>
      <w:bookmarkStart w:id="2" w:name="_Hlk176438300"/>
      <w:r w:rsidRPr="00B471D2">
        <w:rPr>
          <w:rFonts w:ascii="Verdana" w:eastAsia="Times New Roman" w:hAnsi="Verdana" w:cs="Arial"/>
          <w:color w:val="000000"/>
          <w:lang w:val="es-ES"/>
        </w:rPr>
        <w:t>Ley 80 de 1993</w:t>
      </w:r>
      <w:bookmarkEnd w:id="1"/>
      <w:bookmarkEnd w:id="2"/>
      <w:r w:rsidRPr="00B471D2">
        <w:rPr>
          <w:rFonts w:ascii="Verdana" w:eastAsia="Times New Roman" w:hAnsi="Verdana" w:cs="Arial"/>
          <w:color w:val="000000"/>
          <w:lang w:val="es-ES"/>
        </w:rPr>
        <w:t>, el cual establece:</w:t>
      </w:r>
    </w:p>
    <w:p w14:paraId="3889EA11" w14:textId="77777777" w:rsidR="006C0219" w:rsidRPr="00B471D2" w:rsidRDefault="006C0219" w:rsidP="006C0219">
      <w:pPr>
        <w:spacing w:after="0" w:line="276" w:lineRule="auto"/>
        <w:jc w:val="both"/>
        <w:rPr>
          <w:rFonts w:ascii="Verdana" w:eastAsia="Times New Roman" w:hAnsi="Verdana" w:cs="Arial"/>
          <w:color w:val="000000"/>
          <w:lang w:val="es-ES"/>
        </w:rPr>
      </w:pPr>
    </w:p>
    <w:p w14:paraId="1DE56312"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r w:rsidRPr="00B471D2">
        <w:rPr>
          <w:rFonts w:ascii="Verdana" w:eastAsia="Times New Roman" w:hAnsi="Verdana" w:cs="Arial"/>
          <w:color w:val="000000"/>
          <w:lang w:val="es-ES"/>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04167BAA"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p>
    <w:p w14:paraId="6D92DF3A"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r w:rsidRPr="00B471D2">
        <w:rPr>
          <w:rFonts w:ascii="Verdana" w:eastAsia="Times New Roman" w:hAnsi="Verdana" w:cs="Arial"/>
          <w:color w:val="000000"/>
          <w:lang w:val="es-ES"/>
        </w:rPr>
        <w:t>En ningún caso estos contratos generan relación laboral ni prestaciones sociales y se celebrarán por el término estrictamente indispensable”.</w:t>
      </w:r>
    </w:p>
    <w:p w14:paraId="368AB64C" w14:textId="77777777" w:rsidR="006C0219" w:rsidRPr="00B471D2" w:rsidRDefault="006C0219" w:rsidP="006C0219">
      <w:pPr>
        <w:tabs>
          <w:tab w:val="left" w:pos="284"/>
        </w:tabs>
        <w:spacing w:after="0" w:line="276" w:lineRule="auto"/>
        <w:jc w:val="both"/>
        <w:rPr>
          <w:rFonts w:ascii="Verdana" w:eastAsia="Times New Roman" w:hAnsi="Verdana" w:cs="Arial"/>
          <w:b/>
          <w:color w:val="000000"/>
          <w:lang w:val="es-ES"/>
        </w:rPr>
      </w:pPr>
    </w:p>
    <w:p w14:paraId="02804F9D" w14:textId="77777777" w:rsidR="006C0219" w:rsidRPr="00B471D2" w:rsidRDefault="006C0219" w:rsidP="006C0219">
      <w:pPr>
        <w:spacing w:after="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La celebración de estos contratos se debe efectuar a través de la modalidad de la contratación directa. Así lo prevé el literal </w:t>
      </w:r>
      <w:bookmarkStart w:id="3" w:name="_Hlk176814508"/>
      <w:r w:rsidRPr="00B471D2">
        <w:rPr>
          <w:rFonts w:ascii="Verdana" w:eastAsia="Times New Roman" w:hAnsi="Verdana" w:cs="Arial"/>
          <w:color w:val="000000"/>
          <w:lang w:val="es-ES"/>
        </w:rPr>
        <w:t xml:space="preserve">h) numeral 4 del artículo 2, de </w:t>
      </w:r>
      <w:bookmarkStart w:id="4" w:name="_Hlk176438313"/>
      <w:r w:rsidRPr="00B471D2">
        <w:rPr>
          <w:rFonts w:ascii="Verdana" w:eastAsia="Times New Roman" w:hAnsi="Verdana" w:cs="Arial"/>
          <w:color w:val="000000"/>
          <w:lang w:val="es-ES"/>
        </w:rPr>
        <w:t>la Ley 1150 de 2007</w:t>
      </w:r>
      <w:bookmarkEnd w:id="3"/>
      <w:bookmarkEnd w:id="4"/>
      <w:r w:rsidRPr="00B471D2">
        <w:rPr>
          <w:rFonts w:ascii="Verdana" w:eastAsia="Times New Roman" w:hAnsi="Verdana" w:cs="Arial"/>
          <w:color w:val="000000"/>
          <w:lang w:val="es-ES"/>
        </w:rPr>
        <w:t>, que dispone:</w:t>
      </w:r>
    </w:p>
    <w:p w14:paraId="0F7AF0E3" w14:textId="77777777" w:rsidR="006C0219" w:rsidRPr="00B471D2" w:rsidRDefault="006C0219" w:rsidP="006C0219">
      <w:pPr>
        <w:spacing w:after="0" w:line="276" w:lineRule="auto"/>
        <w:ind w:firstLine="709"/>
        <w:jc w:val="both"/>
        <w:rPr>
          <w:rFonts w:ascii="Verdana" w:eastAsia="Times New Roman" w:hAnsi="Verdana" w:cs="Arial"/>
          <w:color w:val="000000"/>
          <w:lang w:val="es-ES"/>
        </w:rPr>
      </w:pPr>
    </w:p>
    <w:p w14:paraId="7A77E671"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r w:rsidRPr="00B471D2">
        <w:rPr>
          <w:rFonts w:ascii="Verdana" w:eastAsia="Times New Roman" w:hAnsi="Verdana" w:cs="Arial"/>
          <w:color w:val="000000"/>
          <w:lang w:val="es-ES"/>
        </w:rPr>
        <w:lastRenderedPageBreak/>
        <w:t>“(…) Contratación directa. La modalidad de selección de contratación directa solamente procederá en los siguientes casos:</w:t>
      </w:r>
    </w:p>
    <w:p w14:paraId="64D073CF"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 </w:t>
      </w:r>
    </w:p>
    <w:p w14:paraId="2BF7C8A8"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p>
    <w:p w14:paraId="5BD9A38E" w14:textId="77777777" w:rsidR="006C0219" w:rsidRPr="00B471D2" w:rsidRDefault="006C0219" w:rsidP="006C0219">
      <w:pPr>
        <w:spacing w:after="0" w:line="276" w:lineRule="auto"/>
        <w:ind w:left="709" w:right="709"/>
        <w:jc w:val="both"/>
        <w:rPr>
          <w:rFonts w:ascii="Verdana" w:eastAsia="Times New Roman" w:hAnsi="Verdana" w:cs="Arial"/>
          <w:color w:val="000000"/>
          <w:lang w:val="es-ES"/>
        </w:rPr>
      </w:pPr>
      <w:r w:rsidRPr="00B471D2">
        <w:rPr>
          <w:rFonts w:ascii="Verdana" w:eastAsia="Times New Roman" w:hAnsi="Verdana" w:cs="Arial"/>
          <w:color w:val="000000"/>
          <w:lang w:val="es-ES"/>
        </w:rPr>
        <w:t>h) Para la prestación de servicios profesionales y de apoyo a la gestión, o para la ejecución de trabajos artísticos que sólo puedan encomendarse a determinadas personas naturales”.</w:t>
      </w:r>
    </w:p>
    <w:p w14:paraId="47646636" w14:textId="77777777" w:rsidR="006C0219" w:rsidRPr="00B471D2" w:rsidRDefault="006C0219" w:rsidP="006C0219">
      <w:pPr>
        <w:spacing w:after="0" w:line="276" w:lineRule="auto"/>
        <w:ind w:left="709" w:right="709"/>
        <w:jc w:val="both"/>
        <w:rPr>
          <w:rFonts w:ascii="Verdana" w:eastAsia="Times New Roman" w:hAnsi="Verdana" w:cs="Arial"/>
          <w:i/>
          <w:iCs/>
          <w:color w:val="000000"/>
          <w:lang w:val="es-ES"/>
        </w:rPr>
      </w:pPr>
    </w:p>
    <w:p w14:paraId="71B20779" w14:textId="77777777" w:rsidR="006C0219" w:rsidRPr="00B471D2" w:rsidRDefault="006C0219" w:rsidP="006C0219">
      <w:pPr>
        <w:tabs>
          <w:tab w:val="left" w:pos="0"/>
        </w:tabs>
        <w:spacing w:after="0" w:line="276" w:lineRule="auto"/>
        <w:ind w:firstLine="709"/>
        <w:jc w:val="both"/>
        <w:rPr>
          <w:rFonts w:ascii="Verdana" w:hAnsi="Verdana" w:cs="Arial"/>
          <w:noProof/>
          <w:lang w:val="es-ES"/>
        </w:rPr>
      </w:pPr>
      <w:r w:rsidRPr="00B471D2">
        <w:rPr>
          <w:rFonts w:ascii="Verdana" w:hAnsi="Verdana" w:cs="Arial"/>
          <w:noProof/>
          <w:lang w:val="es-ES"/>
        </w:rPr>
        <w:t>En tal sentido, el Decreto 1082 de 2015 en el artículo 2.2.1.2.1.4.9. reglamenta la contratación directa para los contratos de servicios profesionales y de apoyo a la gestión, o para la ejecución de trabajos artísticos que solo puedan encomendarse a determinadas personas naturales, en los siguientes términos:</w:t>
      </w:r>
    </w:p>
    <w:p w14:paraId="55D58F56" w14:textId="77777777" w:rsidR="006C0219" w:rsidRPr="00B471D2" w:rsidRDefault="006C0219" w:rsidP="006C0219">
      <w:pPr>
        <w:spacing w:after="0" w:line="276" w:lineRule="auto"/>
        <w:jc w:val="both"/>
        <w:rPr>
          <w:rFonts w:ascii="Verdana" w:hAnsi="Verdana" w:cs="Arial"/>
          <w:lang w:val="es-ES"/>
        </w:rPr>
      </w:pPr>
    </w:p>
    <w:p w14:paraId="7CE8C31C" w14:textId="77777777" w:rsidR="006C0219" w:rsidRPr="00B471D2" w:rsidRDefault="006C0219" w:rsidP="006C0219">
      <w:pPr>
        <w:spacing w:after="0" w:line="276" w:lineRule="auto"/>
        <w:ind w:left="709" w:right="709"/>
        <w:jc w:val="both"/>
        <w:rPr>
          <w:rFonts w:ascii="Verdana" w:hAnsi="Verdana" w:cs="Arial"/>
          <w:lang w:val="es-ES"/>
        </w:rPr>
      </w:pPr>
      <w:r w:rsidRPr="00B471D2">
        <w:rPr>
          <w:rFonts w:ascii="Verdana" w:hAnsi="Verdana" w:cs="Arial"/>
          <w:lang w:val="es-ES"/>
        </w:rPr>
        <w:t>“Las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08920675" w14:textId="77777777" w:rsidR="006C0219" w:rsidRPr="00B471D2" w:rsidRDefault="006C0219" w:rsidP="006C0219">
      <w:pPr>
        <w:spacing w:after="0" w:line="276" w:lineRule="auto"/>
        <w:ind w:left="709" w:right="709"/>
        <w:jc w:val="both"/>
        <w:rPr>
          <w:rFonts w:ascii="Verdana" w:hAnsi="Verdana" w:cs="Arial"/>
          <w:lang w:val="es-ES"/>
        </w:rPr>
      </w:pPr>
    </w:p>
    <w:p w14:paraId="650E5E97" w14:textId="77777777" w:rsidR="006C0219" w:rsidRPr="00B471D2" w:rsidRDefault="006C0219" w:rsidP="006C0219">
      <w:pPr>
        <w:spacing w:after="0" w:line="276" w:lineRule="auto"/>
        <w:ind w:left="709" w:right="709"/>
        <w:jc w:val="both"/>
        <w:rPr>
          <w:rFonts w:ascii="Verdana" w:hAnsi="Verdana" w:cs="Arial"/>
          <w:lang w:val="es-ES"/>
        </w:rPr>
      </w:pPr>
      <w:r w:rsidRPr="00B471D2">
        <w:rPr>
          <w:rFonts w:ascii="Verdana" w:hAnsi="Verdana" w:cs="Arial"/>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734FA783" w14:textId="77777777" w:rsidR="006C0219" w:rsidRPr="00B471D2" w:rsidRDefault="006C0219" w:rsidP="006C0219">
      <w:pPr>
        <w:spacing w:after="0" w:line="276" w:lineRule="auto"/>
        <w:ind w:left="709" w:right="709"/>
        <w:jc w:val="both"/>
        <w:rPr>
          <w:rFonts w:ascii="Verdana" w:hAnsi="Verdana" w:cs="Arial"/>
          <w:lang w:val="es-ES"/>
        </w:rPr>
      </w:pPr>
    </w:p>
    <w:p w14:paraId="51DA3291" w14:textId="77777777" w:rsidR="006C0219" w:rsidRPr="00B471D2" w:rsidRDefault="006C0219" w:rsidP="006C0219">
      <w:pPr>
        <w:spacing w:after="0" w:line="276" w:lineRule="auto"/>
        <w:ind w:left="709" w:right="709"/>
        <w:jc w:val="both"/>
        <w:rPr>
          <w:rFonts w:ascii="Verdana" w:hAnsi="Verdana" w:cs="Arial"/>
          <w:lang w:val="es-ES"/>
        </w:rPr>
      </w:pPr>
      <w:r w:rsidRPr="00B471D2">
        <w:rPr>
          <w:rFonts w:ascii="Verdana" w:hAnsi="Verdana" w:cs="Arial"/>
          <w:lang w:val="es-ES"/>
        </w:rPr>
        <w:t>La Entidad Estatal, para la contratación de trabajos artísticos que solamente puedan en</w:t>
      </w:r>
      <w:r w:rsidRPr="00B471D2">
        <w:rPr>
          <w:rFonts w:ascii="Verdana" w:hAnsi="Verdana" w:cs="Arial"/>
          <w:lang w:val="es-ES"/>
        </w:rPr>
        <w:softHyphen/>
        <w:t>comendarse a determinadas personas naturales, debe justificar esta situación en los estudios y documentos previos”.</w:t>
      </w:r>
    </w:p>
    <w:p w14:paraId="3AD2C6C2" w14:textId="77777777" w:rsidR="006C0219" w:rsidRPr="00B471D2" w:rsidRDefault="006C0219" w:rsidP="006C0219">
      <w:pPr>
        <w:tabs>
          <w:tab w:val="left" w:pos="0"/>
        </w:tabs>
        <w:spacing w:after="0" w:line="276" w:lineRule="auto"/>
        <w:jc w:val="both"/>
        <w:rPr>
          <w:rFonts w:ascii="Verdana" w:hAnsi="Verdana" w:cs="Arial"/>
          <w:noProof/>
          <w:lang w:val="es-ES"/>
        </w:rPr>
      </w:pPr>
    </w:p>
    <w:p w14:paraId="431FD166" w14:textId="77777777" w:rsidR="006C0219" w:rsidRPr="00B471D2" w:rsidRDefault="006C0219" w:rsidP="006C0219">
      <w:pPr>
        <w:tabs>
          <w:tab w:val="left" w:pos="0"/>
        </w:tabs>
        <w:spacing w:before="120" w:after="0" w:line="276" w:lineRule="auto"/>
        <w:jc w:val="both"/>
        <w:rPr>
          <w:rFonts w:ascii="Verdana" w:hAnsi="Verdana" w:cs="Arial"/>
          <w:color w:val="000000" w:themeColor="text1"/>
          <w:lang w:val="es-ES"/>
        </w:rPr>
      </w:pPr>
      <w:r w:rsidRPr="00B471D2">
        <w:rPr>
          <w:rFonts w:ascii="Verdana" w:hAnsi="Verdana" w:cs="Arial"/>
          <w:color w:val="000000" w:themeColor="text1"/>
          <w:lang w:val="es-ES"/>
        </w:rPr>
        <w:lastRenderedPageBreak/>
        <w:tab/>
        <w:t xml:space="preserve">Como especies del género contrato de prestación de servicios se incluyen los </w:t>
      </w:r>
      <w:r w:rsidRPr="00B471D2">
        <w:rPr>
          <w:rFonts w:ascii="Verdana" w:hAnsi="Verdana" w:cs="Arial"/>
          <w:iCs/>
          <w:color w:val="000000" w:themeColor="text1"/>
          <w:lang w:val="es-ES"/>
        </w:rPr>
        <w:t>contratos de prestación de servicios</w:t>
      </w:r>
      <w:r w:rsidRPr="00B471D2">
        <w:rPr>
          <w:rFonts w:ascii="Verdana" w:hAnsi="Verdana" w:cs="Arial"/>
          <w:i/>
          <w:color w:val="000000" w:themeColor="text1"/>
          <w:lang w:val="es-ES"/>
        </w:rPr>
        <w:t xml:space="preserve"> profesionales, </w:t>
      </w:r>
      <w:r w:rsidRPr="00B471D2">
        <w:rPr>
          <w:rFonts w:ascii="Verdana" w:hAnsi="Verdana" w:cs="Arial"/>
          <w:iCs/>
          <w:color w:val="000000" w:themeColor="text1"/>
          <w:lang w:val="es-ES"/>
        </w:rPr>
        <w:t xml:space="preserve">los contratos de prestación de servicios </w:t>
      </w:r>
      <w:r w:rsidRPr="00B471D2">
        <w:rPr>
          <w:rFonts w:ascii="Verdana" w:hAnsi="Verdana" w:cs="Arial"/>
          <w:i/>
          <w:color w:val="000000" w:themeColor="text1"/>
          <w:lang w:val="es-ES"/>
        </w:rPr>
        <w:t>de apoyo a la gestión</w:t>
      </w:r>
      <w:r w:rsidRPr="00B471D2">
        <w:rPr>
          <w:rFonts w:ascii="Verdana" w:hAnsi="Verdana" w:cs="Arial"/>
          <w:color w:val="000000" w:themeColor="text1"/>
          <w:lang w:val="es-ES"/>
        </w:rPr>
        <w:t xml:space="preserve"> y los </w:t>
      </w:r>
      <w:r w:rsidRPr="00B471D2">
        <w:rPr>
          <w:rFonts w:ascii="Verdana" w:hAnsi="Verdana" w:cs="Arial"/>
          <w:iCs/>
          <w:color w:val="000000" w:themeColor="text1"/>
          <w:lang w:val="es-ES"/>
        </w:rPr>
        <w:t xml:space="preserve">contratos de prestación de servicios </w:t>
      </w:r>
      <w:r w:rsidRPr="00B471D2">
        <w:rPr>
          <w:rFonts w:ascii="Verdana" w:hAnsi="Verdana" w:cs="Arial"/>
          <w:i/>
          <w:color w:val="000000" w:themeColor="text1"/>
          <w:lang w:val="es-ES"/>
        </w:rPr>
        <w:t>artísticos que solo pueden encomendarse a determinadas personas naturales</w:t>
      </w:r>
      <w:r w:rsidRPr="00B471D2">
        <w:rPr>
          <w:rFonts w:ascii="Verdana" w:hAnsi="Verdana" w:cs="Arial"/>
          <w:color w:val="000000" w:themeColor="text1"/>
          <w:vertAlign w:val="superscript"/>
          <w:lang w:val="es-ES"/>
        </w:rPr>
        <w:footnoteReference w:id="1"/>
      </w:r>
      <w:r w:rsidRPr="00B471D2">
        <w:rPr>
          <w:rFonts w:ascii="Verdana" w:hAnsi="Verdana" w:cs="Arial"/>
          <w:color w:val="000000" w:themeColor="text1"/>
          <w:lang w:val="es-ES"/>
        </w:rPr>
        <w:t xml:space="preserve">. La diferencia entre el contrato de prestación de servicios </w:t>
      </w:r>
      <w:r w:rsidRPr="00B471D2">
        <w:rPr>
          <w:rFonts w:ascii="Verdana" w:hAnsi="Verdana" w:cs="Arial"/>
          <w:i/>
          <w:color w:val="000000" w:themeColor="text1"/>
          <w:lang w:val="es-ES"/>
        </w:rPr>
        <w:t>profesionales</w:t>
      </w:r>
      <w:r w:rsidRPr="00B471D2">
        <w:rPr>
          <w:rFonts w:ascii="Verdana" w:hAnsi="Verdana" w:cs="Arial"/>
          <w:color w:val="000000" w:themeColor="text1"/>
          <w:lang w:val="es-ES"/>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explicar que:</w:t>
      </w:r>
    </w:p>
    <w:p w14:paraId="36B1167D" w14:textId="77777777" w:rsidR="006C0219" w:rsidRPr="00B471D2" w:rsidRDefault="006C0219" w:rsidP="006C0219">
      <w:pPr>
        <w:spacing w:after="0" w:line="276" w:lineRule="auto"/>
        <w:ind w:firstLine="709"/>
        <w:jc w:val="both"/>
        <w:rPr>
          <w:rFonts w:ascii="Verdana" w:hAnsi="Verdana" w:cs="Arial"/>
          <w:color w:val="000000" w:themeColor="text1"/>
          <w:lang w:val="es-ES"/>
        </w:rPr>
      </w:pPr>
    </w:p>
    <w:p w14:paraId="42B88A7C" w14:textId="77777777" w:rsidR="006C0219" w:rsidRPr="00B471D2" w:rsidRDefault="006C0219" w:rsidP="006C0219">
      <w:pPr>
        <w:spacing w:after="0" w:line="276" w:lineRule="auto"/>
        <w:ind w:left="709" w:right="709"/>
        <w:jc w:val="both"/>
        <w:rPr>
          <w:rFonts w:ascii="Verdana" w:hAnsi="Verdana" w:cs="Arial"/>
          <w:color w:val="000000" w:themeColor="text1"/>
          <w:lang w:val="es-ES"/>
        </w:rPr>
      </w:pPr>
      <w:r w:rsidRPr="00B471D2">
        <w:rPr>
          <w:rFonts w:ascii="Verdana" w:hAnsi="Verdana" w:cs="Arial"/>
          <w:color w:val="000000" w:themeColor="text1"/>
          <w:lang w:val="es-ES"/>
        </w:rPr>
        <w:t xml:space="preserve">“Su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w:t>
      </w:r>
      <w:r w:rsidRPr="00B471D2">
        <w:rPr>
          <w:rFonts w:ascii="Verdana" w:hAnsi="Verdana" w:cs="Arial"/>
          <w:i/>
          <w:iCs/>
          <w:color w:val="000000" w:themeColor="text1"/>
          <w:u w:val="single"/>
          <w:lang w:val="es-ES"/>
        </w:rPr>
        <w:t>a personas consideradas legalmente como profesionales</w:t>
      </w:r>
      <w:r w:rsidRPr="00B471D2">
        <w:rPr>
          <w:rFonts w:ascii="Verdana" w:hAnsi="Verdana" w:cs="Arial"/>
          <w:color w:val="000000" w:themeColor="text1"/>
          <w:lang w:val="es-ES"/>
        </w:rPr>
        <w:t>. Se caracteriza por demandar un conocimiento intelectivo cualificado: el saber profesional”</w:t>
      </w:r>
      <w:r w:rsidRPr="00B471D2">
        <w:rPr>
          <w:rFonts w:ascii="Verdana" w:hAnsi="Verdana" w:cs="Arial"/>
          <w:color w:val="000000" w:themeColor="text1"/>
          <w:vertAlign w:val="superscript"/>
          <w:lang w:val="es-ES"/>
        </w:rPr>
        <w:footnoteReference w:id="2"/>
      </w:r>
      <w:r w:rsidRPr="00B471D2">
        <w:rPr>
          <w:rFonts w:ascii="Verdana" w:hAnsi="Verdana" w:cs="Arial"/>
          <w:color w:val="000000" w:themeColor="text1"/>
          <w:lang w:val="es-ES"/>
        </w:rPr>
        <w:t xml:space="preserve">. [Énfasis propio] </w:t>
      </w:r>
    </w:p>
    <w:p w14:paraId="3CA57F0E" w14:textId="77777777" w:rsidR="006C0219" w:rsidRPr="00B471D2" w:rsidRDefault="006C0219" w:rsidP="006C0219">
      <w:pPr>
        <w:spacing w:after="0" w:line="276" w:lineRule="auto"/>
        <w:ind w:firstLine="709"/>
        <w:jc w:val="both"/>
        <w:rPr>
          <w:rFonts w:ascii="Verdana" w:hAnsi="Verdana" w:cs="Arial"/>
          <w:color w:val="000000" w:themeColor="text1"/>
          <w:lang w:val="es-ES"/>
        </w:rPr>
      </w:pPr>
    </w:p>
    <w:p w14:paraId="340804EB" w14:textId="77777777" w:rsidR="006C0219" w:rsidRPr="00B471D2" w:rsidRDefault="006C0219" w:rsidP="006C0219">
      <w:pPr>
        <w:spacing w:after="0" w:line="276" w:lineRule="auto"/>
        <w:ind w:firstLine="709"/>
        <w:jc w:val="both"/>
        <w:rPr>
          <w:rFonts w:ascii="Verdana" w:hAnsi="Verdana" w:cs="Arial"/>
          <w:color w:val="000000" w:themeColor="text1"/>
          <w:lang w:val="es-ES"/>
        </w:rPr>
      </w:pPr>
      <w:r w:rsidRPr="00B471D2">
        <w:rPr>
          <w:rFonts w:ascii="Verdana" w:hAnsi="Verdana" w:cs="Arial"/>
          <w:color w:val="000000" w:themeColor="text1"/>
          <w:lang w:val="es-ES"/>
        </w:rPr>
        <w:t xml:space="preserve">Lo expuesto, según la jurisprudencia citada, se diferencia del objeto del </w:t>
      </w:r>
      <w:r w:rsidRPr="00B471D2">
        <w:rPr>
          <w:rFonts w:ascii="Verdana" w:hAnsi="Verdana" w:cs="Arial"/>
          <w:i/>
          <w:iCs/>
          <w:color w:val="000000" w:themeColor="text1"/>
          <w:lang w:val="es-ES"/>
        </w:rPr>
        <w:t>contrato de prestación de servicios de apoyo a la gestión</w:t>
      </w:r>
      <w:r w:rsidRPr="00B471D2">
        <w:rPr>
          <w:rFonts w:ascii="Verdana" w:hAnsi="Verdana" w:cs="Arial"/>
          <w:color w:val="000000" w:themeColor="text1"/>
          <w:lang w:val="es-ES"/>
        </w:rPr>
        <w:t>, en los siguientes aspectos:</w:t>
      </w:r>
    </w:p>
    <w:p w14:paraId="32B17421" w14:textId="77777777" w:rsidR="006C0219" w:rsidRPr="00B471D2" w:rsidRDefault="006C0219" w:rsidP="006C0219">
      <w:pPr>
        <w:spacing w:after="0" w:line="276" w:lineRule="auto"/>
        <w:ind w:firstLine="709"/>
        <w:jc w:val="both"/>
        <w:rPr>
          <w:rFonts w:ascii="Verdana" w:hAnsi="Verdana" w:cs="Arial"/>
          <w:color w:val="000000" w:themeColor="text1"/>
          <w:lang w:val="es-ES"/>
        </w:rPr>
      </w:pPr>
    </w:p>
    <w:p w14:paraId="5CC0D7C6" w14:textId="77777777" w:rsidR="006C0219" w:rsidRPr="00B471D2" w:rsidRDefault="006C0219" w:rsidP="006C0219">
      <w:pPr>
        <w:spacing w:after="120" w:line="276" w:lineRule="auto"/>
        <w:ind w:left="709" w:right="709"/>
        <w:jc w:val="both"/>
        <w:rPr>
          <w:rFonts w:ascii="Verdana" w:hAnsi="Verdana" w:cs="Arial"/>
          <w:color w:val="000000" w:themeColor="text1"/>
          <w:lang w:val="es-ES"/>
        </w:rPr>
      </w:pPr>
      <w:r w:rsidRPr="00B471D2">
        <w:rPr>
          <w:rFonts w:ascii="Verdana" w:hAnsi="Verdana" w:cs="Arial"/>
          <w:color w:val="000000" w:themeColor="text1"/>
          <w:lang w:val="es-ES"/>
        </w:rPr>
        <w:lastRenderedPageBreak/>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6D22B333" w14:textId="77777777" w:rsidR="006C0219" w:rsidRPr="00B471D2" w:rsidRDefault="006C0219" w:rsidP="006C0219">
      <w:pPr>
        <w:spacing w:after="120" w:line="276" w:lineRule="auto"/>
        <w:ind w:left="709" w:right="709"/>
        <w:jc w:val="both"/>
        <w:rPr>
          <w:rFonts w:ascii="Verdana" w:hAnsi="Verdana" w:cs="Arial"/>
          <w:color w:val="000000" w:themeColor="text1"/>
          <w:lang w:val="es-ES"/>
        </w:rPr>
      </w:pPr>
      <w:r w:rsidRPr="00B471D2">
        <w:rPr>
          <w:rFonts w:ascii="Verdana" w:hAnsi="Verdana" w:cs="Arial"/>
          <w:color w:val="000000" w:themeColor="text1"/>
          <w:lang w:val="es-ES"/>
        </w:rPr>
        <w:t xml:space="preserve">Aunque también se caracteriza por el desempeño de actividad intelectiva, ésta se enmarca en un </w:t>
      </w:r>
      <w:r w:rsidRPr="00B471D2">
        <w:rPr>
          <w:rFonts w:ascii="Verdana" w:hAnsi="Verdana" w:cs="Arial"/>
          <w:i/>
          <w:iCs/>
          <w:color w:val="000000" w:themeColor="text1"/>
          <w:u w:val="single"/>
          <w:lang w:val="es-ES"/>
        </w:rPr>
        <w:t>saber propiamente técnico</w:t>
      </w:r>
      <w:r w:rsidRPr="00B471D2">
        <w:rPr>
          <w:rFonts w:ascii="Verdana" w:hAnsi="Verdana" w:cs="Arial"/>
          <w:color w:val="000000" w:themeColor="text1"/>
          <w:lang w:val="es-ES"/>
        </w:rPr>
        <w:t xml:space="preserve">; igualmente involucra actividades en donde </w:t>
      </w:r>
      <w:r w:rsidRPr="00B471D2">
        <w:rPr>
          <w:rFonts w:ascii="Verdana" w:hAnsi="Verdana" w:cs="Arial"/>
          <w:i/>
          <w:iCs/>
          <w:color w:val="000000" w:themeColor="text1"/>
          <w:u w:val="single"/>
          <w:lang w:val="es-ES"/>
        </w:rPr>
        <w:t>prima el esfuerzo físico o mecánico</w:t>
      </w:r>
      <w:r w:rsidRPr="00B471D2">
        <w:rPr>
          <w:rFonts w:ascii="Verdana" w:hAnsi="Verdana" w:cs="Arial"/>
          <w:color w:val="000000" w:themeColor="text1"/>
          <w:lang w:val="es-ES"/>
        </w:rPr>
        <w:t>, en donde no se requiere de personal profesional.</w:t>
      </w:r>
    </w:p>
    <w:p w14:paraId="6741976C" w14:textId="77777777" w:rsidR="006C0219" w:rsidRPr="00B471D2" w:rsidRDefault="006C0219" w:rsidP="006C0219">
      <w:pPr>
        <w:spacing w:after="0" w:line="276" w:lineRule="auto"/>
        <w:ind w:left="709" w:right="709"/>
        <w:jc w:val="both"/>
        <w:rPr>
          <w:rFonts w:ascii="Verdana" w:hAnsi="Verdana" w:cs="Arial"/>
          <w:color w:val="000000" w:themeColor="text1"/>
          <w:lang w:val="es-ES"/>
        </w:rPr>
      </w:pPr>
      <w:r w:rsidRPr="00B471D2">
        <w:rPr>
          <w:rFonts w:ascii="Verdana" w:hAnsi="Verdana" w:cs="Arial"/>
          <w:color w:val="000000" w:themeColor="text1"/>
          <w:lang w:val="es-ES"/>
        </w:rPr>
        <w:t xml:space="preserve">Dentro de su objeto contractual pueden tener lugar actividades </w:t>
      </w:r>
      <w:r w:rsidRPr="00B471D2">
        <w:rPr>
          <w:rFonts w:ascii="Verdana" w:hAnsi="Verdana" w:cs="Arial"/>
          <w:i/>
          <w:iCs/>
          <w:color w:val="000000" w:themeColor="text1"/>
          <w:u w:val="single"/>
          <w:lang w:val="es-ES"/>
        </w:rPr>
        <w:t>operativas, logísticas o asistenciales</w:t>
      </w:r>
      <w:r w:rsidRPr="00B471D2">
        <w:rPr>
          <w:rFonts w:ascii="Verdana" w:hAnsi="Verdana" w:cs="Arial"/>
          <w:color w:val="000000" w:themeColor="text1"/>
          <w:lang w:val="es-ES"/>
        </w:rPr>
        <w:t>, siempre que satisfaga los requisitos antes mencionados y sea acorde con las necesidades de la Administración y el principio de planeación”</w:t>
      </w:r>
      <w:r w:rsidRPr="00B471D2">
        <w:rPr>
          <w:rFonts w:ascii="Verdana" w:hAnsi="Verdana" w:cs="Arial"/>
          <w:color w:val="000000" w:themeColor="text1"/>
          <w:vertAlign w:val="superscript"/>
          <w:lang w:val="es-ES"/>
        </w:rPr>
        <w:footnoteReference w:id="3"/>
      </w:r>
      <w:r w:rsidRPr="00B471D2">
        <w:rPr>
          <w:rFonts w:ascii="Verdana" w:hAnsi="Verdana" w:cs="Arial"/>
          <w:color w:val="000000" w:themeColor="text1"/>
          <w:lang w:val="es-ES"/>
        </w:rPr>
        <w:t>. [Énfasis propio]</w:t>
      </w:r>
    </w:p>
    <w:p w14:paraId="5A5AF9A7" w14:textId="77777777" w:rsidR="006C0219" w:rsidRPr="00B471D2" w:rsidRDefault="006C0219" w:rsidP="006C0219">
      <w:pPr>
        <w:spacing w:after="0" w:line="276" w:lineRule="auto"/>
        <w:ind w:firstLine="709"/>
        <w:jc w:val="both"/>
        <w:rPr>
          <w:rFonts w:ascii="Verdana" w:hAnsi="Verdana" w:cs="Arial"/>
          <w:color w:val="000000" w:themeColor="text1"/>
          <w:lang w:val="es-ES"/>
        </w:rPr>
      </w:pPr>
    </w:p>
    <w:p w14:paraId="6F285953" w14:textId="77777777" w:rsidR="006C0219" w:rsidRPr="00B471D2" w:rsidRDefault="006C0219" w:rsidP="006C0219">
      <w:pPr>
        <w:spacing w:after="0" w:line="276" w:lineRule="auto"/>
        <w:ind w:firstLine="709"/>
        <w:jc w:val="both"/>
        <w:rPr>
          <w:rFonts w:ascii="Verdana" w:hAnsi="Verdana" w:cs="Arial"/>
          <w:color w:val="000000" w:themeColor="text1"/>
          <w:lang w:val="es-ES"/>
        </w:rPr>
      </w:pPr>
      <w:r w:rsidRPr="00B471D2">
        <w:rPr>
          <w:rFonts w:ascii="Verdana" w:hAnsi="Verdana" w:cs="Arial"/>
          <w:color w:val="000000" w:themeColor="text1"/>
          <w:lang w:val="es-ES"/>
        </w:rPr>
        <w:t xml:space="preserve">En este sentido, el contrato de prestación de servicios </w:t>
      </w:r>
      <w:r w:rsidRPr="00B471D2">
        <w:rPr>
          <w:rFonts w:ascii="Verdana" w:hAnsi="Verdana" w:cs="Arial"/>
          <w:i/>
          <w:iCs/>
          <w:color w:val="000000" w:themeColor="text1"/>
          <w:lang w:val="es-ES"/>
        </w:rPr>
        <w:t>profesionales</w:t>
      </w:r>
      <w:r w:rsidRPr="00B471D2">
        <w:rPr>
          <w:rFonts w:ascii="Verdana" w:hAnsi="Verdana" w:cs="Arial"/>
          <w:color w:val="000000" w:themeColor="text1"/>
          <w:lang w:val="es-ES"/>
        </w:rPr>
        <w:t xml:space="preserve"> se caracteriza porque su objeto guarda relación con el desarrollo de actividades que demandan competencias y habilidades profesionales o especializadas de la persona natural o jurídica a contratar, de manera que se trata de un </w:t>
      </w:r>
      <w:r w:rsidRPr="00B471D2">
        <w:rPr>
          <w:rFonts w:ascii="Verdana" w:hAnsi="Verdana" w:cs="Arial"/>
          <w:i/>
          <w:iCs/>
          <w:color w:val="000000" w:themeColor="text1"/>
          <w:lang w:val="es-ES"/>
        </w:rPr>
        <w:t>saber intelectivo cualificado.</w:t>
      </w:r>
      <w:r w:rsidRPr="00B471D2">
        <w:rPr>
          <w:rFonts w:ascii="Verdana" w:hAnsi="Verdana" w:cs="Arial"/>
          <w:color w:val="000000" w:themeColor="text1"/>
          <w:lang w:val="es-ES"/>
        </w:rPr>
        <w:t xml:space="preserve"> En cambio, los contratos de prestación de servicios de </w:t>
      </w:r>
      <w:r w:rsidRPr="00B471D2">
        <w:rPr>
          <w:rFonts w:ascii="Verdana" w:hAnsi="Verdana" w:cs="Arial"/>
          <w:i/>
          <w:iCs/>
          <w:color w:val="000000" w:themeColor="text1"/>
          <w:lang w:val="es-ES"/>
        </w:rPr>
        <w:t>apoyo a la gestión</w:t>
      </w:r>
      <w:r w:rsidRPr="00B471D2">
        <w:rPr>
          <w:rFonts w:ascii="Verdana" w:hAnsi="Verdana" w:cs="Arial"/>
          <w:color w:val="000000" w:themeColor="text1"/>
          <w:lang w:val="es-ES"/>
        </w:rPr>
        <w:t xml:space="preserve"> y de </w:t>
      </w:r>
      <w:r w:rsidRPr="00B471D2">
        <w:rPr>
          <w:rFonts w:ascii="Verdana" w:hAnsi="Verdana" w:cs="Arial"/>
          <w:i/>
          <w:iCs/>
          <w:color w:val="000000" w:themeColor="text1"/>
          <w:lang w:val="es-ES"/>
        </w:rPr>
        <w:t>servicios artísticos</w:t>
      </w:r>
      <w:r w:rsidRPr="00B471D2">
        <w:rPr>
          <w:rFonts w:ascii="Verdana" w:hAnsi="Verdana" w:cs="Arial"/>
          <w:color w:val="000000" w:themeColor="text1"/>
          <w:lang w:val="es-ES"/>
        </w:rPr>
        <w:t xml:space="preserve"> no involucran ese conocimiento profesional o especializado para su ejecución. En los contratos de apoyo a la gestión el contratista desempeña un esfuerzo o actividad de apoyo, acompañamiento, o soporte, donde “lo predominante es el actuar como ejecutor, con el propósito y finalidad de satisfacer necesidades de las entidades estatales </w:t>
      </w:r>
      <w:r w:rsidRPr="00B471D2">
        <w:rPr>
          <w:rFonts w:ascii="Verdana" w:hAnsi="Verdana" w:cs="Arial"/>
          <w:i/>
          <w:iCs/>
          <w:color w:val="000000" w:themeColor="text1"/>
          <w:lang w:val="es-ES"/>
        </w:rPr>
        <w:t xml:space="preserve">en lo relacionado con la gestión administrativa o funcionamiento de </w:t>
      </w:r>
      <w:proofErr w:type="gramStart"/>
      <w:r w:rsidRPr="00B471D2">
        <w:rPr>
          <w:rFonts w:ascii="Verdana" w:hAnsi="Verdana" w:cs="Arial"/>
          <w:i/>
          <w:iCs/>
          <w:color w:val="000000" w:themeColor="text1"/>
          <w:lang w:val="es-ES"/>
        </w:rPr>
        <w:t>la misma</w:t>
      </w:r>
      <w:proofErr w:type="gramEnd"/>
      <w:r w:rsidRPr="00B471D2">
        <w:rPr>
          <w:rFonts w:ascii="Verdana" w:hAnsi="Verdana" w:cs="Arial"/>
          <w:i/>
          <w:iCs/>
          <w:color w:val="000000" w:themeColor="text1"/>
          <w:lang w:val="es-ES"/>
        </w:rPr>
        <w:t>, por personas no profesionales y que no implican el ejercicio de funciones públicas administrativas</w:t>
      </w:r>
      <w:r w:rsidRPr="00B471D2">
        <w:rPr>
          <w:rFonts w:ascii="Verdana" w:hAnsi="Verdana" w:cs="Arial"/>
          <w:color w:val="000000" w:themeColor="text1"/>
          <w:lang w:val="es-ES"/>
        </w:rPr>
        <w:t>”. Igualmente, en el contrato de prestación de servicios artísticos lo prevalente es que la persona que lo ejecute se trate de un artista, es decir, “una persona reconocida como realizador o productor de arte, de obras de arte, ejecutor de trabajos artísticos”, para lo cual es indiferente el carácter de profesional.</w:t>
      </w:r>
    </w:p>
    <w:p w14:paraId="79F7C74D"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A partir de estos enunciados normativos, entre otros de carácter legal y reglamentario que complementan su regulación, y de los pronunciamientos </w:t>
      </w:r>
      <w:r w:rsidRPr="00B471D2">
        <w:rPr>
          <w:rFonts w:ascii="Verdana" w:eastAsia="Times New Roman" w:hAnsi="Verdana" w:cs="Arial"/>
          <w:color w:val="000000"/>
          <w:lang w:val="es-ES"/>
        </w:rPr>
        <w:lastRenderedPageBreak/>
        <w:t>judiciales más destacados sobre el tema, es posible señalar las siguientes características del contrato de prestación de servicios:</w:t>
      </w:r>
    </w:p>
    <w:p w14:paraId="31A5C272"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1) Solo puede celebrarse para realizar “actividades relacionadas con la administración o funcionamiento de la entidad”, es decir, que hagan parte de su giro ordinario o quehacer cotidiano.</w:t>
      </w:r>
    </w:p>
    <w:p w14:paraId="3F21516D"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2) Admite que se suscriba tanto con personas naturales como con personas jurídicas y requiere que la Entidad Estatal justifique en los estudios previos que las actividades que buscan encomendarse a aquella “no puedan realizarse con personal de planta o requieran conocimientos especializados”.</w:t>
      </w:r>
      <w:r w:rsidRPr="00B471D2">
        <w:rPr>
          <w:rFonts w:ascii="Verdana" w:eastAsia="Times New Roman" w:hAnsi="Verdana" w:cs="Arial"/>
          <w:color w:val="000000"/>
          <w:vertAlign w:val="superscript"/>
          <w:lang w:val="es-ES"/>
        </w:rPr>
        <w:footnoteReference w:id="4"/>
      </w:r>
      <w:r w:rsidRPr="00B471D2">
        <w:rPr>
          <w:rFonts w:ascii="Verdana" w:eastAsia="Times New Roman" w:hAnsi="Verdana" w:cs="Arial"/>
          <w:color w:val="000000"/>
          <w:lang w:val="es-ES"/>
        </w:rPr>
        <w:t xml:space="preserve"> </w:t>
      </w:r>
    </w:p>
    <w:p w14:paraId="7C3D9D68"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3) Si bien se celebran para obtener la prestación personal de un servicio, se diferencian del contrato de trabajo</w:t>
      </w:r>
      <w:r w:rsidRPr="00B471D2">
        <w:rPr>
          <w:rFonts w:ascii="Verdana" w:eastAsia="Times New Roman" w:hAnsi="Verdana" w:cs="Arial"/>
          <w:vertAlign w:val="superscript"/>
          <w:lang w:val="es-ES"/>
        </w:rPr>
        <w:footnoteReference w:id="5"/>
      </w:r>
      <w:r w:rsidRPr="00B471D2">
        <w:rPr>
          <w:rFonts w:ascii="Verdana" w:eastAsia="Times New Roman" w:hAnsi="Verdana" w:cs="Arial"/>
          <w:color w:val="000000"/>
          <w:lang w:val="es-ES"/>
        </w:rPr>
        <w:t xml:space="preserve"> en que quien celebra el contrato de prestación de servicios </w:t>
      </w:r>
      <w:r w:rsidRPr="00B471D2">
        <w:rPr>
          <w:rFonts w:ascii="Verdana" w:eastAsia="Times New Roman" w:hAnsi="Verdana" w:cs="Arial"/>
          <w:i/>
          <w:iCs/>
          <w:color w:val="000000"/>
          <w:u w:val="single"/>
          <w:lang w:val="es-ES"/>
        </w:rPr>
        <w:t>debe mantener autonomía e independencia</w:t>
      </w:r>
      <w:r w:rsidRPr="00B471D2">
        <w:rPr>
          <w:rFonts w:ascii="Verdana" w:eastAsia="Times New Roman" w:hAnsi="Verdana" w:cs="Arial"/>
          <w:color w:val="000000"/>
          <w:lang w:val="es-ES"/>
        </w:rPr>
        <w:t xml:space="preserve"> en la ejecución de la labor, lo que significa que no puede existir la </w:t>
      </w:r>
      <w:r w:rsidRPr="00B471D2">
        <w:rPr>
          <w:rFonts w:ascii="Verdana" w:eastAsia="Times New Roman" w:hAnsi="Verdana" w:cs="Arial"/>
          <w:i/>
          <w:color w:val="000000"/>
          <w:lang w:val="es-ES"/>
        </w:rPr>
        <w:t>subordinación y dependencia</w:t>
      </w:r>
      <w:r w:rsidRPr="00B471D2">
        <w:rPr>
          <w:rFonts w:ascii="Verdana" w:eastAsia="Times New Roman" w:hAnsi="Verdana" w:cs="Arial"/>
          <w:color w:val="000000"/>
          <w:lang w:val="es-ES"/>
        </w:rPr>
        <w:t xml:space="preserve">, que es uno de los elementos constitutivos del vínculo laboral. </w:t>
      </w:r>
    </w:p>
    <w:p w14:paraId="62CCA4AD"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Por ello el </w:t>
      </w:r>
      <w:bookmarkStart w:id="7" w:name="_Hlk176814532"/>
      <w:r w:rsidRPr="00B471D2">
        <w:rPr>
          <w:rFonts w:ascii="Verdana" w:eastAsia="Times New Roman" w:hAnsi="Verdana" w:cs="Arial"/>
          <w:color w:val="000000"/>
          <w:lang w:val="es-ES"/>
        </w:rPr>
        <w:t xml:space="preserve">numeral 3º del artículo 32 de la Ley 80 de 1993 </w:t>
      </w:r>
      <w:bookmarkEnd w:id="7"/>
      <w:r w:rsidRPr="00B471D2">
        <w:rPr>
          <w:rFonts w:ascii="Verdana" w:eastAsia="Times New Roman" w:hAnsi="Verdana" w:cs="Arial"/>
          <w:color w:val="000000"/>
          <w:lang w:val="es-ES"/>
        </w:rPr>
        <w:t xml:space="preserve">establece que “En ningún caso estos contratos generan relación laboral ni prestaciones sociales”, inciso que debe interpretarse en el sentido de que los contratos de prestación de servicios profesionales </w:t>
      </w:r>
      <w:r w:rsidRPr="00B471D2">
        <w:rPr>
          <w:rFonts w:ascii="Verdana" w:eastAsia="Times New Roman" w:hAnsi="Verdana" w:cs="Arial"/>
          <w:iCs/>
          <w:color w:val="000000"/>
          <w:lang w:val="es-ES"/>
        </w:rPr>
        <w:t>no pueden</w:t>
      </w:r>
      <w:r w:rsidRPr="00B471D2">
        <w:rPr>
          <w:rFonts w:ascii="Verdana" w:eastAsia="Times New Roman" w:hAnsi="Verdana" w:cs="Arial"/>
          <w:color w:val="000000"/>
          <w:lang w:val="es-ES"/>
        </w:rPr>
        <w:t xml:space="preserve"> generar relación laboral, ni dar lugar a que las Entidades Estatales paguen por su cuenta los aportes al Sistema de Seguridad Social Integral del contratista. </w:t>
      </w:r>
    </w:p>
    <w:p w14:paraId="5FD67177" w14:textId="77777777" w:rsidR="006C0219" w:rsidRPr="00B471D2" w:rsidRDefault="006C0219" w:rsidP="006C0219">
      <w:pPr>
        <w:spacing w:after="120" w:line="276" w:lineRule="auto"/>
        <w:ind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4) Deben ser temporales. Así lo señaló la Corte Constitucional expresando que: “La vigencia del contrato es temporal y, por lo tanto, su duración debe ser por tiempo limitado y el indispensable para ejecutar el objeto contractual </w:t>
      </w:r>
      <w:r w:rsidRPr="00B471D2">
        <w:rPr>
          <w:rFonts w:ascii="Verdana" w:eastAsia="Times New Roman" w:hAnsi="Verdana" w:cs="Arial"/>
          <w:color w:val="000000"/>
          <w:lang w:val="es-ES"/>
        </w:rPr>
        <w:lastRenderedPageBreak/>
        <w:t>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B471D2">
        <w:rPr>
          <w:rFonts w:ascii="Verdana" w:eastAsia="Times New Roman" w:hAnsi="Verdana" w:cs="Arial"/>
          <w:vertAlign w:val="superscript"/>
          <w:lang w:val="es-ES"/>
        </w:rPr>
        <w:footnoteReference w:id="6"/>
      </w:r>
      <w:r w:rsidRPr="00B471D2">
        <w:rPr>
          <w:rFonts w:ascii="Verdana" w:eastAsia="Times New Roman" w:hAnsi="Verdana" w:cs="Arial"/>
          <w:color w:val="000000"/>
          <w:lang w:val="es-ES"/>
        </w:rPr>
        <w:t>.</w:t>
      </w:r>
    </w:p>
    <w:p w14:paraId="40CBBC4B" w14:textId="77777777" w:rsidR="006C0219" w:rsidRPr="00B471D2" w:rsidRDefault="006C0219" w:rsidP="006C0219">
      <w:pPr>
        <w:spacing w:after="120" w:line="276" w:lineRule="auto"/>
        <w:ind w:right="51" w:firstLine="709"/>
        <w:jc w:val="both"/>
        <w:rPr>
          <w:rFonts w:ascii="Verdana" w:eastAsia="Times New Roman" w:hAnsi="Verdana" w:cs="Arial"/>
          <w:color w:val="000000"/>
          <w:lang w:val="es-ES"/>
        </w:rPr>
      </w:pPr>
      <w:r w:rsidRPr="00B471D2">
        <w:rPr>
          <w:rFonts w:ascii="Verdana" w:eastAsia="Times New Roman" w:hAnsi="Verdana" w:cs="Arial"/>
          <w:color w:val="000000"/>
          <w:lang w:val="es-ES"/>
        </w:rPr>
        <w:t>5)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B471D2">
        <w:rPr>
          <w:rFonts w:ascii="Verdana" w:eastAsia="Times New Roman" w:hAnsi="Verdana" w:cs="Arial"/>
          <w:vertAlign w:val="superscript"/>
          <w:lang w:val="es-ES"/>
        </w:rPr>
        <w:footnoteReference w:id="7"/>
      </w:r>
      <w:r w:rsidRPr="00B471D2">
        <w:rPr>
          <w:rFonts w:ascii="Verdana" w:eastAsia="Times New Roman" w:hAnsi="Verdana" w:cs="Arial"/>
          <w:color w:val="000000"/>
          <w:lang w:val="es-ES"/>
        </w:rPr>
        <w:t>.</w:t>
      </w:r>
    </w:p>
    <w:p w14:paraId="63036FD2" w14:textId="77777777" w:rsidR="006C0219" w:rsidRPr="00B471D2" w:rsidRDefault="006C0219" w:rsidP="006C0219">
      <w:pPr>
        <w:spacing w:after="12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6) Su celebración debe realizarse a través de la modalidad de contratación directa, independientemente de la cuantía y del tipo de servicio, siempre que este no se encuentre dentro del objeto del contrato de consultoría.</w:t>
      </w:r>
    </w:p>
    <w:p w14:paraId="15E5BEAE" w14:textId="77777777" w:rsidR="006C0219" w:rsidRPr="00B471D2" w:rsidRDefault="006C0219" w:rsidP="006C0219">
      <w:pPr>
        <w:spacing w:after="12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7) Para su celebración no se requiere en algunos casos la expedición del acto administrativo de justificación de la contratación directa</w:t>
      </w:r>
      <w:r w:rsidRPr="00B471D2">
        <w:rPr>
          <w:rFonts w:ascii="Verdana" w:eastAsia="Times New Roman" w:hAnsi="Verdana" w:cs="Arial"/>
          <w:vertAlign w:val="superscript"/>
          <w:lang w:val="es-ES"/>
        </w:rPr>
        <w:footnoteReference w:id="8"/>
      </w:r>
      <w:r w:rsidRPr="00B471D2">
        <w:rPr>
          <w:rFonts w:ascii="Verdana" w:eastAsia="Times New Roman" w:hAnsi="Verdana" w:cs="Arial"/>
          <w:color w:val="000000"/>
          <w:lang w:val="es-ES"/>
        </w:rPr>
        <w:t xml:space="preserve">. </w:t>
      </w:r>
    </w:p>
    <w:p w14:paraId="29D0E890" w14:textId="77777777" w:rsidR="006C0219" w:rsidRPr="00B471D2" w:rsidRDefault="006C0219" w:rsidP="006C0219">
      <w:pPr>
        <w:spacing w:after="12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8)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deben </w:t>
      </w:r>
      <w:r w:rsidRPr="00B471D2">
        <w:rPr>
          <w:rFonts w:ascii="Verdana" w:eastAsia="Times New Roman" w:hAnsi="Verdana" w:cs="Arial"/>
          <w:color w:val="000000"/>
          <w:lang w:val="es-ES"/>
        </w:rPr>
        <w:lastRenderedPageBreak/>
        <w:t>estar incluidas expresamente en el contrato, ya que no se entienden pactadas por naturaleza. Así se infiere del artículo 14, numeral 2º, de la Ley 80 de 1993</w:t>
      </w:r>
      <w:r w:rsidRPr="00B471D2">
        <w:rPr>
          <w:rFonts w:ascii="Verdana" w:eastAsia="Times New Roman" w:hAnsi="Verdana" w:cs="Arial"/>
          <w:vertAlign w:val="superscript"/>
          <w:lang w:val="es-ES"/>
        </w:rPr>
        <w:footnoteReference w:id="9"/>
      </w:r>
      <w:r w:rsidRPr="00B471D2">
        <w:rPr>
          <w:rFonts w:ascii="Verdana" w:eastAsia="Times New Roman" w:hAnsi="Verdana" w:cs="Arial"/>
          <w:color w:val="000000"/>
          <w:lang w:val="es-ES"/>
        </w:rPr>
        <w:t>.</w:t>
      </w:r>
    </w:p>
    <w:p w14:paraId="4E769D80" w14:textId="77777777" w:rsidR="006C0219" w:rsidRPr="00B471D2" w:rsidRDefault="006C0219" w:rsidP="006C0219">
      <w:pPr>
        <w:spacing w:after="12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 xml:space="preserve">9) En algunos casos no es obligatoria la liquidación, pues así lo estableció el </w:t>
      </w:r>
      <w:bookmarkStart w:id="10" w:name="_Hlk176814631"/>
      <w:r w:rsidRPr="00B471D2">
        <w:rPr>
          <w:rFonts w:ascii="Verdana" w:eastAsia="Times New Roman" w:hAnsi="Verdana" w:cs="Arial"/>
          <w:color w:val="000000"/>
          <w:lang w:val="es-ES"/>
        </w:rPr>
        <w:t>artículo 217 del Decreto 019 de 2012</w:t>
      </w:r>
      <w:bookmarkEnd w:id="10"/>
      <w:r w:rsidRPr="00B471D2">
        <w:rPr>
          <w:rFonts w:ascii="Verdana" w:eastAsia="Times New Roman" w:hAnsi="Verdana" w:cs="Arial"/>
          <w:color w:val="000000"/>
          <w:lang w:val="es-ES"/>
        </w:rPr>
        <w:t>, que modificó el artículo 60 de la Ley 80 de 1993</w:t>
      </w:r>
      <w:r w:rsidRPr="00B471D2">
        <w:rPr>
          <w:rFonts w:ascii="Verdana" w:eastAsia="Times New Roman" w:hAnsi="Verdana" w:cs="Arial"/>
          <w:vertAlign w:val="superscript"/>
          <w:lang w:val="es-ES"/>
        </w:rPr>
        <w:footnoteReference w:id="10"/>
      </w:r>
      <w:r w:rsidRPr="00B471D2">
        <w:rPr>
          <w:rFonts w:ascii="Verdana" w:eastAsia="Times New Roman" w:hAnsi="Verdana" w:cs="Arial"/>
          <w:color w:val="000000"/>
          <w:lang w:val="es-ES"/>
        </w:rPr>
        <w:t>, refiriéndose a los contratos de prestación de servicios profesionales y de apoyo a la gestión.</w:t>
      </w:r>
    </w:p>
    <w:p w14:paraId="37851264" w14:textId="77777777" w:rsidR="006C0219" w:rsidRPr="00B471D2" w:rsidRDefault="006C0219" w:rsidP="006C0219">
      <w:pPr>
        <w:spacing w:after="12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10) Para su celebración no se requiere inscripción en el Registro Único de Proponentes (RUP), según lo prevé el artículo 6 de la Ley 1150 de 2007</w:t>
      </w:r>
      <w:r w:rsidRPr="00B471D2">
        <w:rPr>
          <w:rFonts w:ascii="Verdana" w:eastAsia="Times New Roman" w:hAnsi="Verdana" w:cs="Arial"/>
          <w:vertAlign w:val="superscript"/>
          <w:lang w:val="es-ES"/>
        </w:rPr>
        <w:footnoteReference w:id="11"/>
      </w:r>
      <w:r w:rsidRPr="00B471D2">
        <w:rPr>
          <w:rFonts w:ascii="Verdana" w:eastAsia="Times New Roman" w:hAnsi="Verdana" w:cs="Arial"/>
          <w:color w:val="000000"/>
          <w:lang w:val="es-ES"/>
        </w:rPr>
        <w:t>.</w:t>
      </w:r>
    </w:p>
    <w:p w14:paraId="55DF2FA7" w14:textId="121B5099" w:rsidR="006C0219" w:rsidRDefault="006C0219" w:rsidP="007E765C">
      <w:pPr>
        <w:spacing w:after="0" w:line="276" w:lineRule="auto"/>
        <w:ind w:firstLine="708"/>
        <w:jc w:val="both"/>
        <w:rPr>
          <w:rFonts w:ascii="Verdana" w:eastAsia="Times New Roman" w:hAnsi="Verdana" w:cs="Arial"/>
          <w:color w:val="000000"/>
          <w:lang w:val="es-ES"/>
        </w:rPr>
      </w:pPr>
      <w:r w:rsidRPr="00B471D2">
        <w:rPr>
          <w:rFonts w:ascii="Verdana" w:eastAsia="Times New Roman" w:hAnsi="Verdana" w:cs="Arial"/>
          <w:color w:val="000000"/>
          <w:lang w:val="es-ES"/>
        </w:rPr>
        <w:t>11) En ellos no son necesarias las garantías</w:t>
      </w:r>
      <w:r w:rsidRPr="00B471D2">
        <w:rPr>
          <w:rFonts w:ascii="Verdana" w:eastAsia="Times New Roman" w:hAnsi="Verdana" w:cs="Arial"/>
          <w:vertAlign w:val="superscript"/>
          <w:lang w:val="es-ES"/>
        </w:rPr>
        <w:footnoteReference w:id="12"/>
      </w:r>
      <w:r w:rsidRPr="00B471D2">
        <w:rPr>
          <w:rFonts w:ascii="Verdana" w:eastAsia="Times New Roman" w:hAnsi="Verdana" w:cs="Arial"/>
          <w:color w:val="000000"/>
          <w:lang w:val="es-ES"/>
        </w:rPr>
        <w:t>.</w:t>
      </w:r>
    </w:p>
    <w:p w14:paraId="10E8C6D6" w14:textId="77777777" w:rsidR="00C517B8" w:rsidRPr="00B471D2" w:rsidRDefault="00C517B8" w:rsidP="007E765C">
      <w:pPr>
        <w:spacing w:after="0" w:line="276" w:lineRule="auto"/>
        <w:ind w:firstLine="708"/>
        <w:jc w:val="both"/>
        <w:rPr>
          <w:rFonts w:ascii="Verdana" w:eastAsia="Times New Roman" w:hAnsi="Verdana" w:cs="Arial"/>
          <w:color w:val="000000"/>
          <w:lang w:val="es-ES"/>
        </w:rPr>
      </w:pPr>
    </w:p>
    <w:p w14:paraId="6B9F141E" w14:textId="330B33B2" w:rsidR="002F416A" w:rsidRPr="00E75DAB" w:rsidRDefault="006C0219" w:rsidP="002F416A">
      <w:pPr>
        <w:pStyle w:val="NormalWeb"/>
        <w:spacing w:before="0" w:beforeAutospacing="0" w:line="276" w:lineRule="auto"/>
        <w:jc w:val="both"/>
        <w:rPr>
          <w:rFonts w:ascii="Verdana" w:hAnsi="Verdana" w:cs="Arial"/>
          <w:sz w:val="22"/>
          <w:szCs w:val="22"/>
        </w:rPr>
      </w:pPr>
      <w:r>
        <w:rPr>
          <w:rFonts w:ascii="Verdana" w:hAnsi="Verdana" w:cs="Arial"/>
          <w:color w:val="000000"/>
          <w:sz w:val="22"/>
          <w:szCs w:val="22"/>
          <w:lang w:val="es-ES"/>
        </w:rPr>
        <w:t xml:space="preserve">         </w:t>
      </w:r>
      <w:r w:rsidRPr="00B471D2">
        <w:rPr>
          <w:rFonts w:ascii="Verdana" w:hAnsi="Verdana" w:cs="Arial"/>
          <w:color w:val="000000"/>
          <w:sz w:val="22"/>
          <w:szCs w:val="22"/>
          <w:lang w:val="es-ES"/>
        </w:rPr>
        <w:t xml:space="preserve">En este sentido, y con el propósito de responder en concreto al planteamiento elevado en la consulta </w:t>
      </w:r>
      <w:r w:rsidR="008330D0">
        <w:rPr>
          <w:rFonts w:ascii="Verdana" w:hAnsi="Verdana" w:cs="Arial"/>
          <w:sz w:val="22"/>
          <w:szCs w:val="22"/>
          <w:lang w:eastAsia="es-MX"/>
        </w:rPr>
        <w:t>se tiene que</w:t>
      </w:r>
      <w:r w:rsidR="00B82FA1">
        <w:rPr>
          <w:rFonts w:ascii="Verdana" w:hAnsi="Verdana" w:cs="Arial"/>
          <w:sz w:val="22"/>
          <w:szCs w:val="22"/>
          <w:lang w:eastAsia="es-MX"/>
        </w:rPr>
        <w:t>,</w:t>
      </w:r>
      <w:r w:rsidR="002F416A" w:rsidRPr="00E75DAB">
        <w:rPr>
          <w:rFonts w:ascii="Verdana" w:hAnsi="Verdana" w:cs="Arial"/>
          <w:sz w:val="22"/>
          <w:szCs w:val="22"/>
        </w:rPr>
        <w:t xml:space="preserve"> los requisitos habilitantes, entendidos como las condiciones de capacidad jurídica, experiencia, capacidad financiera y de organización, constituyen exigencias de participación aplicables en los procedimientos de selección. Al respecto, el ordenamiento jurídico y la jurisprudencia han aclarado que estas condiciones mínimas de aptitud técnica también operan y deben verificarse en la contratación directa de prestación de </w:t>
      </w:r>
      <w:r w:rsidR="002F416A" w:rsidRPr="00E75DAB">
        <w:rPr>
          <w:rFonts w:ascii="Verdana" w:hAnsi="Verdana" w:cs="Arial"/>
          <w:sz w:val="22"/>
          <w:szCs w:val="22"/>
        </w:rPr>
        <w:lastRenderedPageBreak/>
        <w:t xml:space="preserve">servicios, con el fin de asegurar que el contratista seleccionado cuente con la idoneidad requerida para ejecutar el objeto contractual. </w:t>
      </w:r>
    </w:p>
    <w:p w14:paraId="50D3B311" w14:textId="77777777" w:rsidR="002F416A" w:rsidRDefault="002F416A" w:rsidP="002F416A">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Pr="00E75DAB">
        <w:rPr>
          <w:rFonts w:ascii="Verdana" w:hAnsi="Verdana" w:cs="Arial"/>
          <w:sz w:val="22"/>
          <w:szCs w:val="22"/>
        </w:rPr>
        <w:t xml:space="preserve">En el régimen de contratación estatal colombiano, si bien las entidades públicas gozan de competencia para confeccionar los estudios previos y definir los requisitos que deben reunir los oferentes según los factores advertidos en su planeación, esta facultad no puede ejercerse de forma arbitraria o caprichosa. Al tenor del artículo 44 de la Ley 1437 de 2011, aplicable en virtud del artículo 77 de la Ley 80 de 1993, en la medida en que el contenido de una decisión sea discrecional, debe ser adecuada a los fines de la norma que la autoriza, y proporcional a los hechos que le sirven de causa. </w:t>
      </w:r>
    </w:p>
    <w:p w14:paraId="648969DE" w14:textId="77777777" w:rsidR="002F416A" w:rsidRPr="00E75DAB" w:rsidRDefault="002F416A" w:rsidP="002F416A">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Pr="00E75DAB">
        <w:rPr>
          <w:rFonts w:ascii="Verdana" w:hAnsi="Verdana" w:cs="Arial"/>
          <w:sz w:val="22"/>
          <w:szCs w:val="22"/>
        </w:rPr>
        <w:t xml:space="preserve">En consecuencia, la delimitación de las condiciones de experiencia actúa como una limitación a la discrecionalidad administrativa, lo que impone a la Entidad Estatal la carga de justificar técnicamente en los estudios previos y en el análisis del sector la procedencia y proporcionalidad de los requisitos exigidos, de conformidad con el artículo 2.2.1.1.1.6.2 del Decreto 1082 de 2015. </w:t>
      </w:r>
    </w:p>
    <w:p w14:paraId="06AF498F" w14:textId="77777777" w:rsidR="002F416A" w:rsidRDefault="002F416A" w:rsidP="002F416A">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Pr="00E75DAB">
        <w:rPr>
          <w:rFonts w:ascii="Verdana" w:hAnsi="Verdana" w:cs="Arial"/>
          <w:sz w:val="22"/>
          <w:szCs w:val="22"/>
        </w:rPr>
        <w:t xml:space="preserve">Por otra parte, el artículo 2.2.1.2.1.4.9 del Decreto 1082 de 2015 reglamenta que, para la procedencia de la contratación directa de servicios profesionales y de apoyo a la gestión, la entidad debe verificar la idoneidad o experiencia requerida y relacionada con el área de que se trate. Asimismo, la práctica común en el diseño de los procesos de selección matiza este requisito distinguiendo la experiencia general, la cual se relaciona de manera amplia con el desempeño de la actividad profesional objeto del negocio jurídico, de la experiencia relacionada, concebida como aquella adquirida en el ejercicio de actividades con funciones similares a las del contrato a proveer. </w:t>
      </w:r>
    </w:p>
    <w:p w14:paraId="29CE542A" w14:textId="12056B5D" w:rsidR="002F416A" w:rsidRDefault="002F416A" w:rsidP="002F416A">
      <w:pPr>
        <w:pStyle w:val="NormalWeb"/>
        <w:spacing w:before="0" w:beforeAutospacing="0" w:line="276" w:lineRule="auto"/>
        <w:jc w:val="both"/>
        <w:rPr>
          <w:rFonts w:ascii="Verdana" w:hAnsi="Verdana" w:cs="Arial"/>
          <w:sz w:val="22"/>
          <w:szCs w:val="22"/>
        </w:rPr>
      </w:pPr>
      <w:r>
        <w:rPr>
          <w:rFonts w:ascii="Verdana" w:hAnsi="Verdana" w:cs="Arial"/>
          <w:sz w:val="22"/>
          <w:szCs w:val="22"/>
        </w:rPr>
        <w:t xml:space="preserve">       </w:t>
      </w:r>
      <w:r w:rsidRPr="00E75DAB">
        <w:rPr>
          <w:rFonts w:ascii="Verdana" w:hAnsi="Verdana" w:cs="Arial"/>
          <w:sz w:val="22"/>
          <w:szCs w:val="22"/>
        </w:rPr>
        <w:t xml:space="preserve">El principio de proporcionalidad exige que los requisitos habilitantes guarden correspondencia estricta con la naturaleza y complejidad del objeto contractual, evitando imponer cargas que limiten de forma injustificada la participación o desnaturalicen la selección objetiva. Con fundamento en los equilibrios normativos expuestos, esta Agencia concluye que la definición de los perfiles y la exigencia de experiencia debe ejercerse de manera motivada, razonable y proporcional, atendiendo las particularidades de cada objeto contractual y los fines de la norma que la autoriza. </w:t>
      </w:r>
    </w:p>
    <w:p w14:paraId="777A6221" w14:textId="425F8B9C" w:rsidR="00362E9F" w:rsidRPr="008C4754" w:rsidRDefault="002F416A" w:rsidP="00F80BC5">
      <w:pPr>
        <w:pStyle w:val="NormalWeb"/>
        <w:spacing w:line="276" w:lineRule="auto"/>
        <w:jc w:val="both"/>
        <w:rPr>
          <w:rFonts w:ascii="Verdana" w:hAnsi="Verdana" w:cs="Arial"/>
          <w:lang w:eastAsia="es-MX"/>
        </w:rPr>
      </w:pPr>
      <w:r>
        <w:rPr>
          <w:rFonts w:ascii="Verdana" w:hAnsi="Verdana" w:cs="Arial"/>
          <w:sz w:val="22"/>
          <w:szCs w:val="22"/>
        </w:rPr>
        <w:lastRenderedPageBreak/>
        <w:t xml:space="preserve">     </w:t>
      </w:r>
      <w:r w:rsidRPr="00E75DAB">
        <w:rPr>
          <w:rFonts w:ascii="Verdana" w:hAnsi="Verdana" w:cs="Arial"/>
          <w:sz w:val="22"/>
          <w:szCs w:val="22"/>
        </w:rPr>
        <w:t>Por consiguiente, determinar si es viable exigir una experiencia profesional o laboral en términos amplios o generales es un análisis que corresponde evaluar a la entidad en cada caso concreto durante la etapa de planeación, bajo la estricta obligación de sustentar explícitamente en los estudios previos y en el análisis del sector de qué manera dicha exigencia responde a criterios de necesidad y proporcionalidad frente a las obligaciones específicas que el contratista va a desarrollar.</w:t>
      </w:r>
    </w:p>
    <w:p w14:paraId="5B8A1D83" w14:textId="77777777" w:rsidR="006C0219" w:rsidRPr="00B471D2" w:rsidRDefault="006C0219" w:rsidP="006C021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471D2">
        <w:rPr>
          <w:rFonts w:ascii="Verdana" w:eastAsia="Century Gothic" w:hAnsi="Verdana" w:cs="Century Gothic"/>
          <w:b/>
          <w:bCs/>
        </w:rPr>
        <w:t>Referencias normativas, jurisprudenciales y otras fuentes:</w:t>
      </w:r>
    </w:p>
    <w:p w14:paraId="5C9B0C85" w14:textId="77777777" w:rsidR="006C0219" w:rsidRPr="00B471D2" w:rsidRDefault="006C0219" w:rsidP="006C0219">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C0219" w:rsidRPr="00B471D2" w14:paraId="36EBB9F6" w14:textId="77777777">
        <w:trPr>
          <w:trHeight w:val="870"/>
        </w:trPr>
        <w:tc>
          <w:tcPr>
            <w:tcW w:w="8647" w:type="dxa"/>
          </w:tcPr>
          <w:p w14:paraId="433C33AA" w14:textId="77777777" w:rsidR="006C0219" w:rsidRPr="008C4754" w:rsidRDefault="006C0219" w:rsidP="006C0219">
            <w:pPr>
              <w:pStyle w:val="NormalWeb"/>
              <w:numPr>
                <w:ilvl w:val="0"/>
                <w:numId w:val="18"/>
              </w:numPr>
              <w:spacing w:before="0" w:beforeAutospacing="0" w:after="0" w:afterAutospacing="0" w:line="276" w:lineRule="auto"/>
              <w:rPr>
                <w:rFonts w:ascii="Verdana" w:hAnsi="Verdana" w:cs="Arial"/>
                <w:sz w:val="22"/>
                <w:szCs w:val="22"/>
              </w:rPr>
            </w:pPr>
            <w:r w:rsidRPr="008C4754">
              <w:rPr>
                <w:rFonts w:ascii="Verdana" w:hAnsi="Verdana" w:cs="Arial"/>
                <w:sz w:val="22"/>
                <w:szCs w:val="22"/>
              </w:rPr>
              <w:t xml:space="preserve">Artículos 26 y 209 de la Constitución Política de Colombia. </w:t>
            </w:r>
          </w:p>
          <w:p w14:paraId="7796E96E" w14:textId="77777777" w:rsidR="006C0219" w:rsidRPr="008C4754" w:rsidRDefault="006C0219" w:rsidP="006C0219">
            <w:pPr>
              <w:pStyle w:val="NormalWeb"/>
              <w:numPr>
                <w:ilvl w:val="0"/>
                <w:numId w:val="18"/>
              </w:numPr>
              <w:spacing w:before="0" w:beforeAutospacing="0" w:after="0" w:afterAutospacing="0" w:line="276" w:lineRule="auto"/>
              <w:rPr>
                <w:rFonts w:ascii="Verdana" w:hAnsi="Verdana" w:cs="Arial"/>
                <w:sz w:val="22"/>
                <w:szCs w:val="22"/>
              </w:rPr>
            </w:pPr>
            <w:r w:rsidRPr="008C4754">
              <w:rPr>
                <w:rFonts w:ascii="Verdana" w:hAnsi="Verdana" w:cs="Arial"/>
                <w:sz w:val="22"/>
                <w:szCs w:val="22"/>
              </w:rPr>
              <w:t xml:space="preserve">Artículos 23, 25 y 32 de la Ley 80 de 1993. </w:t>
            </w:r>
          </w:p>
          <w:p w14:paraId="738617A5" w14:textId="12E9EEA2" w:rsidR="006C0219" w:rsidRDefault="006C0219" w:rsidP="006C0219">
            <w:pPr>
              <w:pStyle w:val="NormalWeb"/>
              <w:numPr>
                <w:ilvl w:val="0"/>
                <w:numId w:val="18"/>
              </w:numPr>
              <w:spacing w:before="0" w:beforeAutospacing="0" w:after="0" w:afterAutospacing="0" w:line="276" w:lineRule="auto"/>
              <w:rPr>
                <w:rFonts w:ascii="Verdana" w:hAnsi="Verdana" w:cs="Arial"/>
                <w:sz w:val="22"/>
                <w:szCs w:val="22"/>
              </w:rPr>
            </w:pPr>
            <w:r w:rsidRPr="008C4754">
              <w:rPr>
                <w:rFonts w:ascii="Verdana" w:hAnsi="Verdana" w:cs="Arial"/>
                <w:sz w:val="22"/>
                <w:szCs w:val="22"/>
              </w:rPr>
              <w:t xml:space="preserve">Artículos 2 y 5 de la Ley 1150 de 2007. </w:t>
            </w:r>
          </w:p>
          <w:p w14:paraId="1916A960" w14:textId="156C7F40" w:rsidR="005F3E83" w:rsidRPr="008C4754" w:rsidRDefault="005F3E83" w:rsidP="006C0219">
            <w:pPr>
              <w:pStyle w:val="NormalWeb"/>
              <w:numPr>
                <w:ilvl w:val="0"/>
                <w:numId w:val="18"/>
              </w:numPr>
              <w:spacing w:before="0" w:beforeAutospacing="0" w:after="0" w:afterAutospacing="0" w:line="276" w:lineRule="auto"/>
              <w:rPr>
                <w:rFonts w:ascii="Verdana" w:hAnsi="Verdana" w:cs="Arial"/>
                <w:sz w:val="22"/>
                <w:szCs w:val="22"/>
              </w:rPr>
            </w:pPr>
            <w:r w:rsidRPr="00E75DAB">
              <w:rPr>
                <w:rFonts w:ascii="Verdana" w:hAnsi="Verdana" w:cs="Arial"/>
                <w:sz w:val="22"/>
                <w:szCs w:val="22"/>
              </w:rPr>
              <w:t>artículo 44 de la Ley 1437 de 2011</w:t>
            </w:r>
          </w:p>
          <w:p w14:paraId="7A460A5A" w14:textId="77777777" w:rsidR="006C0219" w:rsidRPr="008C4754" w:rsidRDefault="006C0219" w:rsidP="006C0219">
            <w:pPr>
              <w:pStyle w:val="NormalWeb"/>
              <w:numPr>
                <w:ilvl w:val="0"/>
                <w:numId w:val="18"/>
              </w:numPr>
              <w:spacing w:before="0" w:beforeAutospacing="0" w:after="0" w:afterAutospacing="0" w:line="276" w:lineRule="auto"/>
              <w:rPr>
                <w:rFonts w:ascii="Verdana" w:hAnsi="Verdana" w:cs="Arial"/>
                <w:sz w:val="22"/>
                <w:szCs w:val="22"/>
              </w:rPr>
            </w:pPr>
            <w:r w:rsidRPr="008C4754">
              <w:rPr>
                <w:rFonts w:ascii="Verdana" w:hAnsi="Verdana" w:cs="Arial"/>
                <w:sz w:val="22"/>
                <w:szCs w:val="22"/>
              </w:rPr>
              <w:t xml:space="preserve">Artículos 2.2.1.1.1.6.2, 2.2.1.1.2.1.1 y 2.2.1.2.1.4.9 del Decreto 1082 de 2015. </w:t>
            </w:r>
          </w:p>
          <w:p w14:paraId="6C0810CF" w14:textId="77777777" w:rsidR="006C0219" w:rsidRPr="008C4754" w:rsidRDefault="006C0219" w:rsidP="006C0219">
            <w:pPr>
              <w:pStyle w:val="NormalWeb"/>
              <w:numPr>
                <w:ilvl w:val="0"/>
                <w:numId w:val="18"/>
              </w:numPr>
              <w:spacing w:before="0" w:beforeAutospacing="0" w:after="0" w:afterAutospacing="0" w:line="276" w:lineRule="auto"/>
              <w:rPr>
                <w:rFonts w:ascii="Verdana" w:hAnsi="Verdana" w:cs="Arial"/>
                <w:sz w:val="22"/>
                <w:szCs w:val="22"/>
              </w:rPr>
            </w:pPr>
            <w:r w:rsidRPr="008C4754">
              <w:rPr>
                <w:rFonts w:ascii="Verdana" w:hAnsi="Verdana" w:cs="Arial"/>
                <w:sz w:val="22"/>
                <w:szCs w:val="22"/>
              </w:rPr>
              <w:t>Consejo de Estado</w:t>
            </w:r>
            <w:r>
              <w:rPr>
                <w:rFonts w:ascii="Verdana" w:hAnsi="Verdana" w:cs="Arial"/>
                <w:sz w:val="22"/>
                <w:szCs w:val="22"/>
              </w:rPr>
              <w:t xml:space="preserve">, </w:t>
            </w:r>
            <w:r w:rsidRPr="008C4754">
              <w:rPr>
                <w:rFonts w:ascii="Verdana" w:hAnsi="Verdana" w:cs="Arial"/>
                <w:sz w:val="22"/>
                <w:szCs w:val="22"/>
              </w:rPr>
              <w:t xml:space="preserve"> Sentencia de Unificación Jurisprudencial del 2 de diciembre de 2013, Expediente 41.719, </w:t>
            </w:r>
          </w:p>
          <w:p w14:paraId="0C79C79E" w14:textId="77777777" w:rsidR="006C0219" w:rsidRPr="008C4754" w:rsidRDefault="006C0219" w:rsidP="006C0219">
            <w:pPr>
              <w:pStyle w:val="NormalWeb"/>
              <w:numPr>
                <w:ilvl w:val="0"/>
                <w:numId w:val="18"/>
              </w:numPr>
              <w:spacing w:before="0" w:beforeAutospacing="0" w:after="0" w:afterAutospacing="0" w:line="276" w:lineRule="auto"/>
              <w:rPr>
                <w:rFonts w:ascii="Verdana" w:hAnsi="Verdana" w:cs="Arial"/>
              </w:rPr>
            </w:pPr>
            <w:r w:rsidRPr="008C4754">
              <w:rPr>
                <w:rFonts w:ascii="Verdana" w:hAnsi="Verdana" w:cs="Arial"/>
                <w:sz w:val="22"/>
                <w:szCs w:val="22"/>
              </w:rPr>
              <w:t>Corte Constitucional de Colombia</w:t>
            </w:r>
            <w:r>
              <w:rPr>
                <w:rFonts w:ascii="Verdana" w:hAnsi="Verdana" w:cs="Arial"/>
                <w:sz w:val="22"/>
                <w:szCs w:val="22"/>
              </w:rPr>
              <w:t xml:space="preserve">, </w:t>
            </w:r>
            <w:r w:rsidRPr="008C4754">
              <w:rPr>
                <w:rFonts w:ascii="Verdana" w:hAnsi="Verdana" w:cs="Arial"/>
                <w:sz w:val="22"/>
                <w:szCs w:val="22"/>
              </w:rPr>
              <w:t xml:space="preserve"> Sentencia C-154 de 1997, Magistrado Ponente: Hernando Herrera Vergara</w:t>
            </w:r>
            <w:r>
              <w:rPr>
                <w:rFonts w:ascii="Arial" w:hAnsi="Arial" w:cs="Arial"/>
              </w:rPr>
              <w:t xml:space="preserve">. </w:t>
            </w:r>
          </w:p>
        </w:tc>
      </w:tr>
    </w:tbl>
    <w:p w14:paraId="0C49E9BD" w14:textId="77777777" w:rsidR="006C0219" w:rsidRPr="00B471D2" w:rsidRDefault="006C0219" w:rsidP="006C0219">
      <w:pPr>
        <w:widowControl w:val="0"/>
        <w:autoSpaceDE w:val="0"/>
        <w:autoSpaceDN w:val="0"/>
        <w:spacing w:after="0" w:line="276" w:lineRule="auto"/>
        <w:jc w:val="both"/>
        <w:rPr>
          <w:rFonts w:ascii="Verdana" w:hAnsi="Verdana" w:cs="Arial"/>
        </w:rPr>
      </w:pPr>
    </w:p>
    <w:p w14:paraId="0A98A332" w14:textId="77777777" w:rsidR="006C0219" w:rsidRPr="00B471D2" w:rsidRDefault="006C0219" w:rsidP="006C021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471D2">
        <w:rPr>
          <w:rFonts w:ascii="Verdana" w:eastAsia="Century Gothic" w:hAnsi="Verdana" w:cs="Century Gothic"/>
          <w:b/>
          <w:bCs/>
        </w:rPr>
        <w:t>Doctrina de la Agencia Nacional de Contratación Pública:</w:t>
      </w:r>
    </w:p>
    <w:p w14:paraId="1CB97D19" w14:textId="77777777" w:rsidR="006C0219" w:rsidRDefault="006C0219" w:rsidP="006C0219">
      <w:pPr>
        <w:widowControl w:val="0"/>
        <w:autoSpaceDE w:val="0"/>
        <w:autoSpaceDN w:val="0"/>
        <w:spacing w:after="0" w:line="276" w:lineRule="auto"/>
        <w:jc w:val="both"/>
        <w:rPr>
          <w:rFonts w:ascii="Verdana" w:hAnsi="Verdana" w:cs="Arial"/>
        </w:rPr>
      </w:pPr>
    </w:p>
    <w:p w14:paraId="1300E9F2" w14:textId="77777777" w:rsidR="006C0219" w:rsidRDefault="006C0219" w:rsidP="006C0219">
      <w:pPr>
        <w:widowControl w:val="0"/>
        <w:autoSpaceDE w:val="0"/>
        <w:autoSpaceDN w:val="0"/>
        <w:spacing w:after="0" w:line="276" w:lineRule="auto"/>
        <w:jc w:val="both"/>
        <w:rPr>
          <w:rFonts w:ascii="Verdana" w:eastAsia="Arial" w:hAnsi="Verdana" w:cs="Arial"/>
          <w:lang w:val="es-ES"/>
        </w:rPr>
      </w:pPr>
      <w:r w:rsidRPr="00F345AB">
        <w:rPr>
          <w:rFonts w:ascii="Verdana" w:hAnsi="Verdana" w:cs="Arial"/>
          <w:color w:val="000000" w:themeColor="text1"/>
          <w:lang w:val="es-ES"/>
        </w:rPr>
        <w:t xml:space="preserve">La Agencia Nacional de Contratación Pública – Colombia Compra Eficiente, en los Conceptos </w:t>
      </w:r>
      <w:r w:rsidRPr="00F345AB">
        <w:rPr>
          <w:rFonts w:ascii="Verdana" w:hAnsi="Verdana" w:cs="Arial"/>
        </w:rPr>
        <w:t xml:space="preserve">La Agencia Nacional de Contratación Pública – Colombia Compra Eficiente </w:t>
      </w:r>
      <w:r>
        <w:rPr>
          <w:rFonts w:ascii="Verdana" w:hAnsi="Verdana" w:cs="Arial"/>
        </w:rPr>
        <w:t xml:space="preserve">se pronunció frente a la experiencia profesional </w:t>
      </w:r>
      <w:r w:rsidRPr="00F345AB">
        <w:rPr>
          <w:rFonts w:ascii="Verdana" w:hAnsi="Verdana" w:cs="Arial"/>
        </w:rPr>
        <w:t>,</w:t>
      </w:r>
      <w:r>
        <w:rPr>
          <w:rFonts w:ascii="Verdana" w:hAnsi="Verdana" w:cs="Arial"/>
        </w:rPr>
        <w:t xml:space="preserve"> C- 357 de agosto de 2024, C258 de 2024, C248 de 2024, C 279 de 2024, C446 de 2023,</w:t>
      </w:r>
      <w:r w:rsidRPr="00F345AB">
        <w:rPr>
          <w:rFonts w:ascii="Verdana" w:hAnsi="Verdana" w:cs="Arial"/>
        </w:rPr>
        <w:t xml:space="preserve"> </w:t>
      </w:r>
      <w:r>
        <w:rPr>
          <w:rFonts w:ascii="Verdana" w:hAnsi="Verdana" w:cs="Arial"/>
        </w:rPr>
        <w:t xml:space="preserve"> así como en los </w:t>
      </w:r>
      <w:r w:rsidRPr="00F345AB">
        <w:rPr>
          <w:rFonts w:ascii="Verdana" w:hAnsi="Verdana" w:cs="Arial"/>
        </w:rPr>
        <w:t>C-231 del 13 de abril de 2020, C-212 del 14 de abril de 2020, C-317 de 10 de junio de 2020, C-337 del 26 de junio de 2020, C-355 del 4 de junio de 2020, C-353 del 30 de junio de 2020 y C-457 del 7 de julio de 2020</w:t>
      </w:r>
      <w:r>
        <w:rPr>
          <w:rFonts w:ascii="Verdana" w:hAnsi="Verdana" w:cs="Arial"/>
        </w:rPr>
        <w:t xml:space="preserve"> y 409 de 2024</w:t>
      </w:r>
      <w:r w:rsidRPr="00F345AB">
        <w:rPr>
          <w:rFonts w:ascii="Verdana" w:hAnsi="Verdana" w:cs="Arial"/>
        </w:rPr>
        <w:t xml:space="preserve">, </w:t>
      </w:r>
      <w:r>
        <w:rPr>
          <w:rFonts w:ascii="Verdana" w:hAnsi="Verdana" w:cs="Arial"/>
        </w:rPr>
        <w:t xml:space="preserve">referente a </w:t>
      </w:r>
      <w:r w:rsidRPr="00F345AB">
        <w:rPr>
          <w:rFonts w:ascii="Verdana" w:hAnsi="Verdana" w:cs="Arial"/>
        </w:rPr>
        <w:t>el cómputo de la experiencia profesional</w:t>
      </w:r>
      <w:r>
        <w:rPr>
          <w:rFonts w:ascii="Verdana" w:hAnsi="Verdana" w:cs="Arial"/>
        </w:rPr>
        <w:t>.</w:t>
      </w:r>
    </w:p>
    <w:p w14:paraId="251BB5CB" w14:textId="77777777" w:rsidR="006C0219" w:rsidRDefault="006C0219" w:rsidP="006C0219">
      <w:pPr>
        <w:widowControl w:val="0"/>
        <w:autoSpaceDE w:val="0"/>
        <w:autoSpaceDN w:val="0"/>
        <w:spacing w:after="0" w:line="276" w:lineRule="auto"/>
        <w:jc w:val="both"/>
        <w:rPr>
          <w:rStyle w:val="normaltextrun"/>
          <w:rFonts w:ascii="Verdana" w:hAnsi="Verdana" w:cs="Arial"/>
          <w:shd w:val="clear" w:color="auto" w:fill="FFFFFF"/>
          <w:lang w:val="es-ES"/>
        </w:rPr>
      </w:pPr>
    </w:p>
    <w:p w14:paraId="3319EE29" w14:textId="77777777" w:rsidR="006C0219" w:rsidRDefault="006C0219" w:rsidP="006C0219">
      <w:pPr>
        <w:widowControl w:val="0"/>
        <w:autoSpaceDE w:val="0"/>
        <w:autoSpaceDN w:val="0"/>
        <w:spacing w:after="0" w:line="276" w:lineRule="auto"/>
        <w:jc w:val="both"/>
        <w:rPr>
          <w:rStyle w:val="normaltextrun"/>
          <w:rFonts w:ascii="Verdana" w:hAnsi="Verdana" w:cs="Arial"/>
          <w:shd w:val="clear" w:color="auto" w:fill="FFFFFF"/>
          <w:lang w:val="es-ES"/>
        </w:rPr>
      </w:pPr>
      <w:r w:rsidRPr="00A30046">
        <w:rPr>
          <w:rFonts w:ascii="Verdana" w:eastAsia="Arial" w:hAnsi="Verdana" w:cs="Arial"/>
          <w:lang w:val="es-ES"/>
        </w:rPr>
        <w:t>Estos y otros conceptos se encuentran disponibles para consulta en el Sistema de Relatoría de la Agencia, en el c</w:t>
      </w:r>
      <w:proofErr w:type="spellStart"/>
      <w:r w:rsidRPr="00A30046">
        <w:rPr>
          <w:rFonts w:ascii="Verdana" w:hAnsi="Verdana" w:cs="Arial"/>
        </w:rPr>
        <w:t>ual</w:t>
      </w:r>
      <w:proofErr w:type="spellEnd"/>
      <w:r w:rsidRPr="00A30046">
        <w:rPr>
          <w:rFonts w:ascii="Verdana" w:hAnsi="Verdana" w:cs="Arial"/>
        </w:rPr>
        <w:t xml:space="preserve"> también podrás encontrar jurisprudencia del Consejo de Estado, laudos arbitrales y la normativa de la contratación concordada con la doctrina de la Subdirección de Gestión Contractual. Accede a </w:t>
      </w:r>
      <w:r w:rsidRPr="00A30046">
        <w:rPr>
          <w:rFonts w:ascii="Verdana" w:hAnsi="Verdana" w:cs="Arial"/>
        </w:rPr>
        <w:lastRenderedPageBreak/>
        <w:t>través del siguiente enlace: </w:t>
      </w:r>
      <w:hyperlink r:id="rId12" w:tgtFrame="_blank" w:tooltip="Dirección URL original: https://relatoria.colombiacompra.gov.co/. Haga clic o pulse si confía en este vínculo." w:history="1">
        <w:r w:rsidRPr="00A30046">
          <w:rPr>
            <w:rFonts w:ascii="Verdana" w:hAnsi="Verdana" w:cs="Arial"/>
            <w:color w:val="0563C1" w:themeColor="hyperlink"/>
            <w:u w:val="single"/>
          </w:rPr>
          <w:t>https://relatoria.colombiacompra.gov.co/</w:t>
        </w:r>
      </w:hyperlink>
      <w:r w:rsidRPr="00A30046">
        <w:rPr>
          <w:rFonts w:ascii="Verdana" w:hAnsi="Verdana" w:cs="Arial"/>
        </w:rPr>
        <w:t> </w:t>
      </w:r>
    </w:p>
    <w:p w14:paraId="04D26454" w14:textId="77777777" w:rsidR="006C0219" w:rsidRPr="00724A38" w:rsidRDefault="006C0219" w:rsidP="006C0219">
      <w:pPr>
        <w:widowControl w:val="0"/>
        <w:autoSpaceDE w:val="0"/>
        <w:autoSpaceDN w:val="0"/>
        <w:spacing w:after="0" w:line="276" w:lineRule="auto"/>
        <w:jc w:val="both"/>
        <w:rPr>
          <w:rStyle w:val="normaltextrun"/>
          <w:rFonts w:ascii="Verdana" w:hAnsi="Verdana" w:cs="Arial"/>
          <w:shd w:val="clear" w:color="auto" w:fill="FFFFFF"/>
        </w:rPr>
      </w:pPr>
      <w:r w:rsidRPr="00724A38">
        <w:rPr>
          <w:rStyle w:val="normaltextrun"/>
          <w:rFonts w:ascii="Verdana" w:hAnsi="Verdana" w:cs="Arial"/>
          <w:color w:val="FF0000"/>
          <w:shd w:val="clear" w:color="auto" w:fill="FFFFFF"/>
          <w:lang w:val="es-ES"/>
        </w:rPr>
        <w:t xml:space="preserve"> </w:t>
      </w:r>
    </w:p>
    <w:p w14:paraId="165F9E4B" w14:textId="77777777" w:rsidR="006C0219" w:rsidRPr="009A385A" w:rsidRDefault="006C0219" w:rsidP="006C0219">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6D486A6D" w14:textId="77777777" w:rsidR="006C0219" w:rsidRDefault="006C0219" w:rsidP="006C0219">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0E27C6DF" w14:textId="77777777" w:rsidR="006C0219" w:rsidRPr="005822C3" w:rsidRDefault="006C0219" w:rsidP="006C0219">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7050273" w14:textId="77777777" w:rsidR="006C0219" w:rsidRPr="005822C3" w:rsidRDefault="006C0219" w:rsidP="006C0219">
      <w:pPr>
        <w:spacing w:after="0"/>
        <w:jc w:val="both"/>
        <w:rPr>
          <w:rFonts w:ascii="Verdana" w:hAnsi="Verdana"/>
        </w:rPr>
      </w:pPr>
      <w:r w:rsidRPr="005822C3">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w:t>
      </w:r>
      <w:r w:rsidRPr="005822C3">
        <w:rPr>
          <w:rFonts w:ascii="Verdana" w:hAnsi="Verdana"/>
        </w:rPr>
        <w:lastRenderedPageBreak/>
        <w:t xml:space="preserve">marco de nuestras funciones a través de nuestros diferentes canales de atención: </w:t>
      </w:r>
    </w:p>
    <w:p w14:paraId="063BBA6A" w14:textId="77777777" w:rsidR="006C0219" w:rsidRPr="005822C3" w:rsidRDefault="006C0219" w:rsidP="006C0219">
      <w:pPr>
        <w:spacing w:after="0"/>
        <w:jc w:val="both"/>
        <w:rPr>
          <w:rFonts w:ascii="Verdana" w:hAnsi="Verdana"/>
        </w:rPr>
      </w:pPr>
      <w:bookmarkStart w:id="11" w:name="_Hlk34951122"/>
      <w:r w:rsidRPr="005822C3">
        <w:rPr>
          <w:rFonts w:ascii="Verdana" w:hAnsi="Verdana"/>
        </w:rPr>
        <w:t xml:space="preserve"> </w:t>
      </w:r>
    </w:p>
    <w:p w14:paraId="3C6B36AC" w14:textId="77777777" w:rsidR="006C0219" w:rsidRPr="005822C3" w:rsidRDefault="006C0219" w:rsidP="006C0219">
      <w:pPr>
        <w:pStyle w:val="Prrafodelista"/>
        <w:numPr>
          <w:ilvl w:val="0"/>
          <w:numId w:val="17"/>
        </w:numPr>
        <w:spacing w:after="0" w:line="240" w:lineRule="auto"/>
        <w:textAlignment w:val="baseline"/>
        <w:rPr>
          <w:rFonts w:ascii="Verdana" w:eastAsia="Times New Roman" w:hAnsi="Verdana" w:cs="Segoe UI"/>
          <w:lang w:eastAsia="es-CO"/>
        </w:rPr>
      </w:pPr>
      <w:r w:rsidRPr="005822C3">
        <w:rPr>
          <w:rFonts w:ascii="Verdana" w:eastAsia="Times New Roman" w:hAnsi="Verdana" w:cs="Segoe UI"/>
          <w:lang w:val="es-MX" w:eastAsia="es-CO"/>
        </w:rPr>
        <w:t xml:space="preserve">Línea nacional gratuita o servicio a la ciudadanía (Mesa de servicio): </w:t>
      </w:r>
      <w:r w:rsidRPr="005822C3">
        <w:rPr>
          <w:rStyle w:val="Hipervnculo"/>
          <w:rFonts w:ascii="Verdana" w:hAnsi="Verdana" w:cs="Segoe UI"/>
        </w:rPr>
        <w:t>01800 0520808</w:t>
      </w:r>
    </w:p>
    <w:p w14:paraId="781D26DE" w14:textId="77777777" w:rsidR="006C0219" w:rsidRPr="005822C3" w:rsidRDefault="006C0219" w:rsidP="006C0219">
      <w:pPr>
        <w:pStyle w:val="Prrafodelista"/>
        <w:numPr>
          <w:ilvl w:val="0"/>
          <w:numId w:val="17"/>
        </w:numPr>
        <w:spacing w:after="0" w:line="240" w:lineRule="auto"/>
        <w:textAlignment w:val="baseline"/>
        <w:rPr>
          <w:rFonts w:ascii="Verdana" w:eastAsia="Times New Roman" w:hAnsi="Verdana" w:cs="Segoe UI"/>
          <w:lang w:eastAsia="es-CO"/>
        </w:rPr>
      </w:pPr>
      <w:r w:rsidRPr="005822C3">
        <w:rPr>
          <w:rFonts w:ascii="Verdana" w:eastAsia="Times New Roman" w:hAnsi="Verdana" w:cs="Segoe UI"/>
          <w:lang w:val="es-MX" w:eastAsia="es-CO"/>
        </w:rPr>
        <w:t xml:space="preserve">Línea en Bogotá (Mesa de servicio): </w:t>
      </w:r>
      <w:r w:rsidRPr="005822C3">
        <w:rPr>
          <w:rStyle w:val="Hipervnculo"/>
          <w:rFonts w:ascii="Verdana" w:hAnsi="Verdana" w:cs="Segoe UI"/>
        </w:rPr>
        <w:t>+57 601 7456788</w:t>
      </w:r>
    </w:p>
    <w:p w14:paraId="1169104E" w14:textId="77777777" w:rsidR="006C0219" w:rsidRPr="005822C3" w:rsidRDefault="006C0219" w:rsidP="006C0219">
      <w:pPr>
        <w:pStyle w:val="Prrafodelista"/>
        <w:numPr>
          <w:ilvl w:val="0"/>
          <w:numId w:val="17"/>
        </w:numPr>
        <w:spacing w:after="0" w:line="240" w:lineRule="auto"/>
        <w:textAlignment w:val="baseline"/>
        <w:rPr>
          <w:rFonts w:ascii="Verdana" w:eastAsia="Times New Roman" w:hAnsi="Verdana" w:cs="Segoe UI"/>
          <w:lang w:eastAsia="es-CO"/>
        </w:rPr>
      </w:pPr>
      <w:r w:rsidRPr="005822C3">
        <w:rPr>
          <w:rFonts w:ascii="Verdana" w:eastAsia="Times New Roman" w:hAnsi="Verdana" w:cs="Segoe UI"/>
          <w:lang w:val="es-MX" w:eastAsia="es-CO"/>
        </w:rPr>
        <w:t xml:space="preserve">Correo de radicación de correspondencia: </w:t>
      </w:r>
      <w:hyperlink r:id="rId16" w:history="1">
        <w:r w:rsidRPr="005822C3">
          <w:rPr>
            <w:rStyle w:val="Hipervnculo"/>
            <w:rFonts w:ascii="Verdana" w:eastAsia="Times New Roman" w:hAnsi="Verdana" w:cs="Segoe UI"/>
            <w:lang w:val="es-MX" w:eastAsia="es-CO"/>
          </w:rPr>
          <w:t>ventanilladeradicacion@colombiacompra.gov.co</w:t>
        </w:r>
      </w:hyperlink>
    </w:p>
    <w:p w14:paraId="06A34B58" w14:textId="77777777" w:rsidR="006C0219" w:rsidRPr="005822C3" w:rsidRDefault="006C0219" w:rsidP="006C0219">
      <w:pPr>
        <w:pStyle w:val="Prrafodelista"/>
        <w:numPr>
          <w:ilvl w:val="0"/>
          <w:numId w:val="17"/>
        </w:numPr>
        <w:spacing w:after="0" w:line="240" w:lineRule="auto"/>
        <w:textAlignment w:val="baseline"/>
        <w:rPr>
          <w:rFonts w:ascii="Verdana" w:eastAsia="Times New Roman" w:hAnsi="Verdana" w:cs="Segoe UI"/>
          <w:lang w:eastAsia="es-CO"/>
        </w:rPr>
      </w:pPr>
      <w:r w:rsidRPr="005822C3">
        <w:rPr>
          <w:rFonts w:ascii="Verdana" w:eastAsia="Times New Roman" w:hAnsi="Verdana" w:cs="Segoe UI"/>
          <w:lang w:val="es-CO" w:eastAsia="es-CO"/>
        </w:rPr>
        <w:t>Formulario web para</w:t>
      </w:r>
      <w:r w:rsidRPr="005822C3">
        <w:rPr>
          <w:rFonts w:ascii="Verdana" w:eastAsia="Times New Roman" w:hAnsi="Verdana" w:cs="Segoe UI"/>
          <w:lang w:eastAsia="es-CO"/>
        </w:rPr>
        <w:t xml:space="preserve"> PQRSD: </w:t>
      </w:r>
      <w:hyperlink r:id="rId17" w:history="1">
        <w:r w:rsidRPr="005822C3">
          <w:rPr>
            <w:rStyle w:val="Hipervnculo"/>
            <w:rFonts w:ascii="Verdana" w:eastAsia="Times New Roman" w:hAnsi="Verdana" w:cs="Segoe UI"/>
            <w:lang w:val="es-MX" w:eastAsia="es-CO"/>
          </w:rPr>
          <w:t>https://www.colombiacompra.gov.co/pqrsd/informacion-importante-antes-de-formular-una-pqrsd</w:t>
        </w:r>
      </w:hyperlink>
    </w:p>
    <w:p w14:paraId="418E1BA0" w14:textId="77777777" w:rsidR="006C0219" w:rsidRPr="005822C3" w:rsidRDefault="006C0219" w:rsidP="006C0219">
      <w:pPr>
        <w:pStyle w:val="Prrafodelista"/>
        <w:spacing w:after="0" w:line="240" w:lineRule="auto"/>
        <w:ind w:left="785"/>
        <w:jc w:val="both"/>
        <w:rPr>
          <w:rFonts w:ascii="Verdana" w:hAnsi="Verdana"/>
        </w:rPr>
      </w:pPr>
    </w:p>
    <w:p w14:paraId="03C6ACDC" w14:textId="77777777" w:rsidR="006C0219" w:rsidRPr="005822C3" w:rsidRDefault="006C0219" w:rsidP="006C0219">
      <w:pPr>
        <w:spacing w:after="0" w:line="240" w:lineRule="auto"/>
        <w:jc w:val="both"/>
        <w:rPr>
          <w:rFonts w:ascii="Verdana" w:hAnsi="Verdana"/>
        </w:rPr>
      </w:pPr>
      <w:r w:rsidRPr="005822C3">
        <w:rPr>
          <w:rFonts w:ascii="Verdana" w:hAnsi="Verdana"/>
        </w:rPr>
        <w:t xml:space="preserve">Evalúa el servicio que ofrece la Agencia por el canal de atención de PQRSD en el siguiente enlace: </w:t>
      </w:r>
      <w:hyperlink r:id="rId18" w:history="1">
        <w:r w:rsidRPr="005822C3">
          <w:rPr>
            <w:rStyle w:val="Hipervnculo"/>
            <w:rFonts w:ascii="Verdana" w:hAnsi="Verdana"/>
          </w:rPr>
          <w:t>https://forms.office.com/r/pPHyWVs2SZ</w:t>
        </w:r>
      </w:hyperlink>
      <w:r w:rsidRPr="005822C3">
        <w:rPr>
          <w:rFonts w:ascii="Verdana" w:hAnsi="Verdana"/>
        </w:rPr>
        <w:t xml:space="preserve"> . ¡Ayúdanos a mejorar porque el compromiso es de todos!</w:t>
      </w:r>
    </w:p>
    <w:p w14:paraId="77E21E54" w14:textId="77777777" w:rsidR="006C0219" w:rsidRPr="005822C3" w:rsidRDefault="006C0219" w:rsidP="006C0219">
      <w:pPr>
        <w:spacing w:after="0" w:line="240" w:lineRule="auto"/>
        <w:jc w:val="both"/>
        <w:rPr>
          <w:rFonts w:ascii="Verdana" w:hAnsi="Verdana"/>
        </w:rPr>
      </w:pPr>
    </w:p>
    <w:p w14:paraId="38B27560" w14:textId="77777777" w:rsidR="006C0219" w:rsidRPr="005822C3" w:rsidRDefault="006C0219" w:rsidP="006C0219">
      <w:pPr>
        <w:spacing w:after="0" w:line="240" w:lineRule="auto"/>
        <w:jc w:val="both"/>
        <w:rPr>
          <w:rFonts w:ascii="Verdana" w:hAnsi="Verdana"/>
        </w:rPr>
      </w:pPr>
      <w:r w:rsidRPr="005822C3">
        <w:rPr>
          <w:rFonts w:ascii="Verdana" w:hAnsi="Verdana"/>
        </w:rPr>
        <w:t xml:space="preserve">Por último, lo invitamos a seguirnos en las redes sociales en las cuales se difunde información institucional: </w:t>
      </w:r>
    </w:p>
    <w:p w14:paraId="314DBD44" w14:textId="77777777" w:rsidR="006C0219" w:rsidRPr="005822C3" w:rsidRDefault="006C0219" w:rsidP="006C0219">
      <w:pPr>
        <w:spacing w:after="0" w:line="240" w:lineRule="auto"/>
        <w:jc w:val="both"/>
        <w:rPr>
          <w:rFonts w:ascii="Verdana" w:hAnsi="Verdana"/>
        </w:rPr>
      </w:pPr>
    </w:p>
    <w:p w14:paraId="0E62A7EE" w14:textId="77777777" w:rsidR="006C0219" w:rsidRPr="005822C3" w:rsidRDefault="006C0219" w:rsidP="006C0219">
      <w:pPr>
        <w:spacing w:after="0" w:line="240" w:lineRule="auto"/>
        <w:jc w:val="both"/>
        <w:rPr>
          <w:rStyle w:val="Hipervnculo"/>
          <w:rFonts w:ascii="Verdana" w:eastAsia="Times New Roman" w:hAnsi="Verdana" w:cs="Segoe UI"/>
          <w:lang w:val="es-MX" w:eastAsia="es-CO"/>
        </w:rPr>
      </w:pPr>
      <w:r w:rsidRPr="005822C3">
        <w:rPr>
          <w:rFonts w:ascii="Verdana" w:hAnsi="Verdana"/>
        </w:rPr>
        <w:t xml:space="preserve">Twitter: </w:t>
      </w:r>
      <w:r w:rsidRPr="005822C3">
        <w:rPr>
          <w:rStyle w:val="Hipervnculo"/>
          <w:rFonts w:ascii="Verdana" w:eastAsia="Times New Roman" w:hAnsi="Verdana" w:cs="Segoe UI"/>
          <w:lang w:val="es-MX" w:eastAsia="es-CO"/>
        </w:rPr>
        <w:t>@colombiacompra</w:t>
      </w:r>
    </w:p>
    <w:p w14:paraId="79D12136" w14:textId="77777777" w:rsidR="006C0219" w:rsidRPr="005822C3" w:rsidRDefault="006C0219" w:rsidP="006C0219">
      <w:pPr>
        <w:spacing w:after="0" w:line="240" w:lineRule="auto"/>
        <w:jc w:val="both"/>
        <w:rPr>
          <w:rFonts w:ascii="Verdana" w:hAnsi="Verdana"/>
        </w:rPr>
      </w:pPr>
      <w:r w:rsidRPr="005822C3">
        <w:rPr>
          <w:rFonts w:ascii="Verdana" w:hAnsi="Verdana"/>
        </w:rPr>
        <w:t xml:space="preserve">Facebook: </w:t>
      </w:r>
      <w:r w:rsidRPr="005822C3">
        <w:rPr>
          <w:rStyle w:val="Hipervnculo"/>
          <w:rFonts w:ascii="Verdana" w:eastAsia="Times New Roman" w:hAnsi="Verdana" w:cs="Segoe UI"/>
          <w:lang w:val="es-MX" w:eastAsia="es-CO"/>
        </w:rPr>
        <w:t>ColombiaCompraEficiente</w:t>
      </w:r>
    </w:p>
    <w:p w14:paraId="66F406F5" w14:textId="77777777" w:rsidR="006C0219" w:rsidRPr="005822C3" w:rsidRDefault="006C0219" w:rsidP="006C0219">
      <w:pPr>
        <w:spacing w:after="0" w:line="240" w:lineRule="auto"/>
        <w:jc w:val="both"/>
        <w:textAlignment w:val="baseline"/>
        <w:rPr>
          <w:rFonts w:ascii="Verdana" w:hAnsi="Verdana"/>
          <w:lang w:eastAsia="es-CO"/>
        </w:rPr>
      </w:pPr>
      <w:r w:rsidRPr="005822C3">
        <w:rPr>
          <w:rFonts w:ascii="Verdana" w:hAnsi="Verdana"/>
        </w:rPr>
        <w:t xml:space="preserve">LinkedIn: </w:t>
      </w:r>
      <w:r w:rsidRPr="005822C3">
        <w:rPr>
          <w:rStyle w:val="Hipervnculo"/>
          <w:rFonts w:ascii="Verdana" w:eastAsia="Times New Roman" w:hAnsi="Verdana" w:cs="Segoe UI"/>
          <w:lang w:val="es-MX" w:eastAsia="es-CO"/>
        </w:rPr>
        <w:t>Agencia Nacional de Contratación Pública - Colombia Compra Eficiente</w:t>
      </w:r>
      <w:r w:rsidRPr="005822C3">
        <w:rPr>
          <w:rFonts w:ascii="Verdana" w:hAnsi="Verdana"/>
          <w:color w:val="2F5496" w:themeColor="accent1" w:themeShade="BF"/>
        </w:rPr>
        <w:t xml:space="preserve"> </w:t>
      </w:r>
      <w:r w:rsidRPr="005822C3">
        <w:rPr>
          <w:rFonts w:ascii="Verdana" w:hAnsi="Verdana"/>
        </w:rPr>
        <w:t xml:space="preserve">Instagram: </w:t>
      </w:r>
      <w:r w:rsidRPr="005822C3">
        <w:rPr>
          <w:rStyle w:val="Hipervnculo"/>
          <w:rFonts w:ascii="Verdana" w:eastAsia="Times New Roman" w:hAnsi="Verdana" w:cs="Segoe UI"/>
          <w:lang w:val="es-MX" w:eastAsia="es-CO"/>
        </w:rPr>
        <w:t>@colombiacompraeficiente</w:t>
      </w:r>
    </w:p>
    <w:p w14:paraId="3ABBC5E3" w14:textId="77777777" w:rsidR="006C0219" w:rsidRPr="005822C3" w:rsidRDefault="006C0219" w:rsidP="006C0219">
      <w:pPr>
        <w:jc w:val="both"/>
        <w:rPr>
          <w:rFonts w:ascii="Verdana" w:eastAsia="Times New Roman" w:hAnsi="Verdana"/>
          <w:lang w:eastAsia="es-CO"/>
        </w:rPr>
      </w:pPr>
    </w:p>
    <w:p w14:paraId="50A369FC" w14:textId="77777777" w:rsidR="006C0219" w:rsidRPr="005822C3" w:rsidRDefault="006C0219" w:rsidP="006C0219">
      <w:pPr>
        <w:jc w:val="both"/>
        <w:textAlignment w:val="baseline"/>
        <w:rPr>
          <w:rFonts w:ascii="Verdana" w:eastAsia="Times New Roman" w:hAnsi="Verdana"/>
          <w:lang w:eastAsia="es-CO"/>
        </w:rPr>
      </w:pPr>
      <w:r w:rsidRPr="005822C3">
        <w:rPr>
          <w:rFonts w:ascii="Verdana" w:eastAsia="Times New Roman" w:hAnsi="Verdana"/>
          <w:lang w:eastAsia="es-CO"/>
        </w:rPr>
        <w:t>Atentamente,</w:t>
      </w:r>
    </w:p>
    <w:bookmarkEnd w:id="11"/>
    <w:p w14:paraId="2825BE31" w14:textId="103FCE0F" w:rsidR="006C0219" w:rsidRPr="004667F5" w:rsidRDefault="00180DC0" w:rsidP="006C0219">
      <w:pPr>
        <w:jc w:val="both"/>
        <w:textAlignment w:val="baseline"/>
        <w:rPr>
          <w:rFonts w:ascii="Verdana" w:eastAsia="Times New Roman" w:hAnsi="Verdana"/>
          <w:lang w:eastAsia="es-CO"/>
        </w:rPr>
      </w:pPr>
      <w:r>
        <w:rPr>
          <w:noProof/>
        </w:rPr>
        <w:drawing>
          <wp:inline distT="0" distB="0" distL="0" distR="0" wp14:anchorId="7AD0BF08" wp14:editId="353D8ED7">
            <wp:extent cx="2171700" cy="266700"/>
            <wp:effectExtent l="0" t="0" r="0" b="0"/>
            <wp:docPr id="681263241" name="drawing" title="--Gra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63241" name="Picture 681263241"/>
                    <pic:cNvPicPr/>
                  </pic:nvPicPr>
                  <pic:blipFill>
                    <a:blip r:embed="rId19">
                      <a:extLst>
                        <a:ext uri="{28A0092B-C50C-407E-A947-70E740481C1C}">
                          <a14:useLocalDpi xmlns:a14="http://schemas.microsoft.com/office/drawing/2010/main"/>
                        </a:ext>
                      </a:extLst>
                    </a:blip>
                    <a:stretch>
                      <a:fillRect/>
                    </a:stretch>
                  </pic:blipFill>
                  <pic:spPr>
                    <a:xfrm>
                      <a:off x="0" y="0"/>
                      <a:ext cx="2171700" cy="266700"/>
                    </a:xfrm>
                    <a:prstGeom prst="rect">
                      <a:avLst/>
                    </a:prstGeom>
                  </pic:spPr>
                </pic:pic>
              </a:graphicData>
            </a:graphic>
          </wp:inline>
        </w:drawing>
      </w:r>
    </w:p>
    <w:p w14:paraId="4AFE28E1" w14:textId="1F150748" w:rsidR="006C0219" w:rsidRDefault="00333524" w:rsidP="006C0219">
      <w:pPr>
        <w:spacing w:after="0" w:line="240" w:lineRule="auto"/>
        <w:jc w:val="center"/>
        <w:textAlignment w:val="baseline"/>
        <w:rPr>
          <w:rFonts w:ascii="Verdana" w:eastAsia="Times New Roman" w:hAnsi="Verdana" w:cs="Segoe UI"/>
          <w:b/>
          <w:bCs/>
          <w:lang w:val="es-MX" w:eastAsia="es-CO"/>
        </w:rPr>
      </w:pPr>
      <w:r w:rsidRPr="004D5C25">
        <w:rPr>
          <w:rFonts w:ascii="Century Gothic" w:hAnsi="Century Gothic"/>
          <w:noProof/>
        </w:rPr>
        <w:drawing>
          <wp:inline distT="0" distB="0" distL="0" distR="0" wp14:anchorId="04C50BA2" wp14:editId="165BFB5A">
            <wp:extent cx="3385733" cy="1453515"/>
            <wp:effectExtent l="0" t="0" r="571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0"/>
                    <a:stretch>
                      <a:fillRect/>
                    </a:stretch>
                  </pic:blipFill>
                  <pic:spPr>
                    <a:xfrm>
                      <a:off x="0" y="0"/>
                      <a:ext cx="3394701" cy="1457365"/>
                    </a:xfrm>
                    <a:prstGeom prst="rect">
                      <a:avLst/>
                    </a:prstGeom>
                  </pic:spPr>
                </pic:pic>
              </a:graphicData>
            </a:graphic>
          </wp:inline>
        </w:drawing>
      </w:r>
    </w:p>
    <w:p w14:paraId="137319BB" w14:textId="77777777" w:rsidR="006C0219" w:rsidRPr="004667F5" w:rsidRDefault="006C0219" w:rsidP="006C0219">
      <w:pPr>
        <w:spacing w:after="0" w:line="240" w:lineRule="auto"/>
        <w:jc w:val="center"/>
        <w:textAlignment w:val="baseline"/>
        <w:rPr>
          <w:rFonts w:ascii="Verdana" w:eastAsia="Times New Roman" w:hAnsi="Verdana" w:cs="Segoe UI"/>
          <w:b/>
          <w:bCs/>
          <w:lang w:val="es-MX"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C0219" w:rsidRPr="00593A5F" w14:paraId="3A586B44" w14:textId="77777777">
        <w:trPr>
          <w:trHeight w:val="315"/>
        </w:trPr>
        <w:tc>
          <w:tcPr>
            <w:tcW w:w="893" w:type="dxa"/>
            <w:vAlign w:val="center"/>
            <w:hideMark/>
          </w:tcPr>
          <w:p w14:paraId="41AED42E" w14:textId="77777777" w:rsidR="006C0219" w:rsidRPr="004E6C40" w:rsidRDefault="006C0219">
            <w:pPr>
              <w:contextualSpacing/>
              <w:rPr>
                <w:rFonts w:ascii="Verdana" w:hAnsi="Verdana" w:cs="Arial"/>
                <w:sz w:val="16"/>
                <w:szCs w:val="16"/>
                <w:lang w:val="es-ES" w:eastAsia="es-ES"/>
              </w:rPr>
            </w:pPr>
            <w:r w:rsidRPr="004E6C4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B0EB9DB" w14:textId="77777777" w:rsidR="006C0219" w:rsidRPr="004E6C40" w:rsidRDefault="006C0219">
            <w:pPr>
              <w:contextualSpacing/>
              <w:rPr>
                <w:rFonts w:ascii="Verdana" w:eastAsia="Arial" w:hAnsi="Verdana" w:cs="Arial"/>
                <w:sz w:val="16"/>
                <w:szCs w:val="16"/>
              </w:rPr>
            </w:pPr>
            <w:r w:rsidRPr="004E6C40">
              <w:rPr>
                <w:rFonts w:ascii="Verdana" w:eastAsia="Arial" w:hAnsi="Verdana" w:cs="Arial"/>
                <w:sz w:val="16"/>
                <w:szCs w:val="16"/>
              </w:rPr>
              <w:t>An</w:t>
            </w:r>
            <w:r>
              <w:rPr>
                <w:rFonts w:ascii="Verdana" w:eastAsia="Arial" w:hAnsi="Verdana" w:cs="Arial"/>
                <w:sz w:val="16"/>
                <w:szCs w:val="16"/>
              </w:rPr>
              <w:t>drea del Pilar Garzón Sánchez</w:t>
            </w:r>
          </w:p>
          <w:p w14:paraId="2EFCFBE6" w14:textId="77777777" w:rsidR="006C0219" w:rsidRPr="004E6C40" w:rsidRDefault="006C0219">
            <w:pPr>
              <w:contextualSpacing/>
              <w:rPr>
                <w:rFonts w:ascii="Verdana" w:eastAsia="Arial" w:hAnsi="Verdana" w:cs="Arial"/>
                <w:sz w:val="16"/>
                <w:szCs w:val="16"/>
              </w:rPr>
            </w:pPr>
            <w:r>
              <w:rPr>
                <w:rStyle w:val="normaltextrun"/>
                <w:rFonts w:ascii="Verdana" w:eastAsia="Arial" w:hAnsi="Verdana" w:cs="Arial"/>
                <w:sz w:val="16"/>
                <w:szCs w:val="16"/>
              </w:rPr>
              <w:t xml:space="preserve">Contratista de </w:t>
            </w:r>
            <w:r w:rsidRPr="004E6C40">
              <w:rPr>
                <w:rStyle w:val="normaltextrun"/>
                <w:rFonts w:ascii="Verdana" w:eastAsia="Arial" w:hAnsi="Verdana" w:cs="Arial"/>
                <w:sz w:val="16"/>
                <w:szCs w:val="16"/>
              </w:rPr>
              <w:t>la Subdirección de Gestión Contractual</w:t>
            </w:r>
          </w:p>
        </w:tc>
      </w:tr>
      <w:tr w:rsidR="006C0219" w:rsidRPr="00593A5F" w14:paraId="483365F8" w14:textId="77777777">
        <w:trPr>
          <w:trHeight w:val="330"/>
        </w:trPr>
        <w:tc>
          <w:tcPr>
            <w:tcW w:w="893" w:type="dxa"/>
            <w:vAlign w:val="center"/>
            <w:hideMark/>
          </w:tcPr>
          <w:p w14:paraId="6D17D8D5" w14:textId="77777777" w:rsidR="006C0219" w:rsidRPr="004E6C40" w:rsidRDefault="006C0219">
            <w:pPr>
              <w:contextualSpacing/>
              <w:rPr>
                <w:rFonts w:ascii="Verdana" w:hAnsi="Verdana" w:cs="Arial"/>
                <w:sz w:val="16"/>
                <w:szCs w:val="16"/>
                <w:lang w:val="es-ES" w:eastAsia="es-ES"/>
              </w:rPr>
            </w:pPr>
            <w:r w:rsidRPr="004E6C4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6E64802" w14:textId="77777777" w:rsidR="006C0219" w:rsidRPr="008C4754" w:rsidRDefault="006C0219">
            <w:pPr>
              <w:pStyle w:val="Ttulo1"/>
              <w:shd w:val="clear" w:color="auto" w:fill="FFFFFF"/>
              <w:spacing w:before="0" w:after="60"/>
              <w:ind w:left="0" w:firstLine="0"/>
              <w:rPr>
                <w:rStyle w:val="normaltextrun"/>
                <w:rFonts w:ascii="Verdana" w:hAnsi="Verdana" w:cs="Segoe UI"/>
                <w:b w:val="0"/>
                <w:bCs w:val="0"/>
                <w:color w:val="242424"/>
                <w:sz w:val="16"/>
                <w:szCs w:val="16"/>
              </w:rPr>
            </w:pPr>
            <w:r w:rsidRPr="008C4754">
              <w:rPr>
                <w:rFonts w:ascii="Verdana" w:hAnsi="Verdana" w:cs="Segoe UI"/>
                <w:b w:val="0"/>
                <w:bCs w:val="0"/>
                <w:color w:val="242424"/>
                <w:sz w:val="16"/>
                <w:szCs w:val="16"/>
              </w:rPr>
              <w:t xml:space="preserve">Adriana </w:t>
            </w:r>
            <w:proofErr w:type="spellStart"/>
            <w:r w:rsidRPr="008C4754">
              <w:rPr>
                <w:rFonts w:ascii="Verdana" w:hAnsi="Verdana" w:cs="Segoe UI"/>
                <w:b w:val="0"/>
                <w:bCs w:val="0"/>
                <w:color w:val="242424"/>
                <w:sz w:val="16"/>
                <w:szCs w:val="16"/>
              </w:rPr>
              <w:t>Katerine</w:t>
            </w:r>
            <w:proofErr w:type="spellEnd"/>
            <w:r w:rsidRPr="008C4754">
              <w:rPr>
                <w:rFonts w:ascii="Verdana" w:hAnsi="Verdana" w:cs="Segoe UI"/>
                <w:b w:val="0"/>
                <w:bCs w:val="0"/>
                <w:color w:val="242424"/>
                <w:sz w:val="16"/>
                <w:szCs w:val="16"/>
              </w:rPr>
              <w:t xml:space="preserve"> López Rodríguez</w:t>
            </w:r>
          </w:p>
          <w:p w14:paraId="0B654C79" w14:textId="77777777" w:rsidR="006C0219" w:rsidRPr="004E6C40" w:rsidRDefault="006C0219">
            <w:pPr>
              <w:pStyle w:val="paragraph"/>
              <w:spacing w:before="0" w:beforeAutospacing="0" w:after="0" w:afterAutospacing="0"/>
              <w:contextualSpacing/>
              <w:textAlignment w:val="baseline"/>
              <w:rPr>
                <w:rFonts w:ascii="Verdana" w:hAnsi="Verdana" w:cs="Segoe UI"/>
                <w:sz w:val="16"/>
                <w:szCs w:val="16"/>
              </w:rPr>
            </w:pPr>
            <w:r w:rsidRPr="00453724">
              <w:rPr>
                <w:rStyle w:val="normaltextrun"/>
                <w:rFonts w:ascii="Verdana" w:hAnsi="Verdana" w:cs="Arial"/>
                <w:sz w:val="16"/>
                <w:szCs w:val="16"/>
                <w:lang w:val="es-ES"/>
              </w:rPr>
              <w:t>Subdirección de Gestión Contractual</w:t>
            </w:r>
            <w:r w:rsidRPr="004E6C40">
              <w:rPr>
                <w:rStyle w:val="eop"/>
                <w:rFonts w:ascii="Verdana" w:hAnsi="Verdana" w:cs="Arial"/>
                <w:sz w:val="16"/>
                <w:szCs w:val="16"/>
              </w:rPr>
              <w:t> </w:t>
            </w:r>
          </w:p>
        </w:tc>
      </w:tr>
      <w:tr w:rsidR="006C0219" w:rsidRPr="00593A5F" w14:paraId="1C36DBDD" w14:textId="77777777">
        <w:trPr>
          <w:trHeight w:val="300"/>
        </w:trPr>
        <w:tc>
          <w:tcPr>
            <w:tcW w:w="893" w:type="dxa"/>
            <w:vAlign w:val="center"/>
          </w:tcPr>
          <w:p w14:paraId="76DBB4C8" w14:textId="77777777" w:rsidR="006C0219" w:rsidRPr="004E6C40" w:rsidRDefault="006C0219">
            <w:pPr>
              <w:contextualSpacing/>
              <w:rPr>
                <w:rFonts w:ascii="Verdana" w:hAnsi="Verdana" w:cs="Arial"/>
                <w:sz w:val="16"/>
                <w:szCs w:val="16"/>
                <w:lang w:val="es-ES" w:eastAsia="es-ES"/>
              </w:rPr>
            </w:pPr>
            <w:r w:rsidRPr="004E6C40">
              <w:rPr>
                <w:rFonts w:ascii="Verdana" w:hAnsi="Verdana" w:cs="Arial"/>
                <w:sz w:val="16"/>
                <w:szCs w:val="16"/>
                <w:lang w:val="es-ES" w:eastAsia="es-ES"/>
              </w:rPr>
              <w:lastRenderedPageBreak/>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5B346C1" w14:textId="77777777" w:rsidR="006C0219" w:rsidRPr="004E6C40" w:rsidRDefault="006C0219">
            <w:pPr>
              <w:contextualSpacing/>
              <w:rPr>
                <w:rFonts w:ascii="Verdana" w:eastAsia="Calibri" w:hAnsi="Verdana" w:cs="Arial"/>
                <w:sz w:val="16"/>
                <w:szCs w:val="16"/>
                <w:lang w:val="pt-BR" w:eastAsia="es-ES"/>
              </w:rPr>
            </w:pPr>
            <w:r w:rsidRPr="004E6C40">
              <w:rPr>
                <w:rFonts w:ascii="Verdana" w:eastAsia="Calibri" w:hAnsi="Verdana" w:cs="Arial"/>
                <w:sz w:val="16"/>
                <w:szCs w:val="16"/>
                <w:lang w:val="pt-BR" w:eastAsia="es-ES"/>
              </w:rPr>
              <w:t xml:space="preserve">Carolina Quintero </w:t>
            </w:r>
            <w:proofErr w:type="spellStart"/>
            <w:r w:rsidRPr="004E6C40">
              <w:rPr>
                <w:rFonts w:ascii="Verdana" w:eastAsia="Calibri" w:hAnsi="Verdana" w:cs="Arial"/>
                <w:sz w:val="16"/>
                <w:szCs w:val="16"/>
                <w:lang w:val="pt-BR" w:eastAsia="es-ES"/>
              </w:rPr>
              <w:t>Gacharná</w:t>
            </w:r>
            <w:proofErr w:type="spellEnd"/>
          </w:p>
          <w:p w14:paraId="29AE3BBF" w14:textId="77777777" w:rsidR="006C0219" w:rsidRPr="004E6C40" w:rsidRDefault="006C0219">
            <w:pPr>
              <w:contextualSpacing/>
              <w:rPr>
                <w:rFonts w:ascii="Verdana" w:eastAsia="Calibri" w:hAnsi="Verdana" w:cs="Arial"/>
                <w:sz w:val="16"/>
                <w:szCs w:val="16"/>
                <w:lang w:val="pt-BR" w:eastAsia="es-ES"/>
              </w:rPr>
            </w:pPr>
            <w:r w:rsidRPr="004E6C40">
              <w:rPr>
                <w:rFonts w:ascii="Verdana" w:eastAsia="Calibri" w:hAnsi="Verdana" w:cs="Arial"/>
                <w:sz w:val="16"/>
                <w:szCs w:val="16"/>
                <w:lang w:eastAsia="es-ES"/>
              </w:rPr>
              <w:t>Subdirectora</w:t>
            </w:r>
            <w:r w:rsidRPr="004E6C40">
              <w:rPr>
                <w:rFonts w:ascii="Verdana" w:eastAsia="Calibri" w:hAnsi="Verdana" w:cs="Arial"/>
                <w:sz w:val="16"/>
                <w:szCs w:val="16"/>
                <w:lang w:val="pt-BR" w:eastAsia="es-ES"/>
              </w:rPr>
              <w:t xml:space="preserve"> de Gestión </w:t>
            </w:r>
            <w:proofErr w:type="spellStart"/>
            <w:r w:rsidRPr="004E6C40">
              <w:rPr>
                <w:rFonts w:ascii="Verdana" w:eastAsia="Calibri" w:hAnsi="Verdana" w:cs="Arial"/>
                <w:sz w:val="16"/>
                <w:szCs w:val="16"/>
                <w:lang w:val="pt-BR" w:eastAsia="es-ES"/>
              </w:rPr>
              <w:t>Contra</w:t>
            </w:r>
            <w:r>
              <w:rPr>
                <w:rFonts w:ascii="Verdana" w:eastAsia="Calibri" w:hAnsi="Verdana" w:cs="Arial"/>
                <w:sz w:val="16"/>
                <w:szCs w:val="16"/>
                <w:lang w:val="pt-BR" w:eastAsia="es-ES"/>
              </w:rPr>
              <w:t>c</w:t>
            </w:r>
            <w:r w:rsidRPr="004E6C40">
              <w:rPr>
                <w:rFonts w:ascii="Verdana" w:eastAsia="Calibri" w:hAnsi="Verdana" w:cs="Arial"/>
                <w:sz w:val="16"/>
                <w:szCs w:val="16"/>
                <w:lang w:val="pt-BR" w:eastAsia="es-ES"/>
              </w:rPr>
              <w:t>tual</w:t>
            </w:r>
            <w:proofErr w:type="spellEnd"/>
            <w:r w:rsidRPr="004E6C40">
              <w:rPr>
                <w:rFonts w:ascii="Verdana" w:eastAsia="Calibri" w:hAnsi="Verdana" w:cs="Arial"/>
                <w:sz w:val="16"/>
                <w:szCs w:val="16"/>
                <w:lang w:val="pt-BR" w:eastAsia="es-ES"/>
              </w:rPr>
              <w:t xml:space="preserve"> ANCP – CCE</w:t>
            </w:r>
          </w:p>
        </w:tc>
      </w:tr>
    </w:tbl>
    <w:p w14:paraId="7F9D8014" w14:textId="77777777" w:rsidR="006C0219" w:rsidRDefault="006C0219" w:rsidP="006C0219">
      <w:pPr>
        <w:spacing w:after="0" w:line="240" w:lineRule="auto"/>
        <w:textAlignment w:val="baseline"/>
        <w:rPr>
          <w:rFonts w:ascii="Verdana" w:eastAsia="Times New Roman" w:hAnsi="Verdana" w:cs="Segoe UI"/>
          <w:lang w:eastAsia="es-CO"/>
        </w:rPr>
      </w:pPr>
    </w:p>
    <w:p w14:paraId="58477474" w14:textId="77777777" w:rsidR="006C0219" w:rsidRPr="00B471D2" w:rsidRDefault="006C0219" w:rsidP="006C0219">
      <w:pPr>
        <w:widowControl w:val="0"/>
        <w:autoSpaceDE w:val="0"/>
        <w:autoSpaceDN w:val="0"/>
        <w:spacing w:after="0" w:line="276" w:lineRule="auto"/>
        <w:jc w:val="both"/>
        <w:rPr>
          <w:rFonts w:ascii="Verdana" w:hAnsi="Verdana" w:cs="Arial"/>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19189B" w14:textId="77777777" w:rsidR="006225F6" w:rsidRDefault="006225F6" w:rsidP="004A1847">
      <w:pPr>
        <w:spacing w:after="0" w:line="240" w:lineRule="auto"/>
      </w:pPr>
      <w:r>
        <w:separator/>
      </w:r>
    </w:p>
  </w:endnote>
  <w:endnote w:type="continuationSeparator" w:id="0">
    <w:p w14:paraId="473857FA" w14:textId="77777777" w:rsidR="006225F6" w:rsidRDefault="006225F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DC92FB" w14:textId="77777777" w:rsidR="006225F6" w:rsidRDefault="006225F6" w:rsidP="004A1847">
      <w:pPr>
        <w:spacing w:after="0" w:line="240" w:lineRule="auto"/>
      </w:pPr>
      <w:r>
        <w:separator/>
      </w:r>
    </w:p>
  </w:footnote>
  <w:footnote w:type="continuationSeparator" w:id="0">
    <w:p w14:paraId="560922C3" w14:textId="77777777" w:rsidR="006225F6" w:rsidRDefault="006225F6" w:rsidP="004A1847">
      <w:pPr>
        <w:spacing w:after="0" w:line="240" w:lineRule="auto"/>
      </w:pPr>
      <w:r>
        <w:continuationSeparator/>
      </w:r>
    </w:p>
  </w:footnote>
  <w:footnote w:id="1">
    <w:p w14:paraId="2200ABDB" w14:textId="77777777" w:rsidR="006C0219" w:rsidRPr="00137DA4" w:rsidRDefault="006C0219" w:rsidP="006C0219">
      <w:pPr>
        <w:pStyle w:val="Textonotapie"/>
        <w:snapToGrid w:val="0"/>
        <w:contextualSpacing/>
        <w:jc w:val="both"/>
        <w:rPr>
          <w:rFonts w:ascii="Verdana" w:hAnsi="Verdana" w:cs="Arial"/>
          <w:color w:val="000000" w:themeColor="text1"/>
          <w:sz w:val="14"/>
          <w:szCs w:val="14"/>
          <w:lang w:val="es-ES"/>
        </w:rPr>
      </w:pPr>
      <w:r w:rsidRPr="00137DA4">
        <w:rPr>
          <w:rStyle w:val="Refdenotaalpie"/>
          <w:rFonts w:ascii="Verdana" w:hAnsi="Verdana" w:cs="Arial"/>
          <w:color w:val="000000" w:themeColor="text1"/>
          <w:sz w:val="14"/>
          <w:szCs w:val="14"/>
        </w:rPr>
        <w:footnoteRef/>
      </w:r>
      <w:r w:rsidRPr="00137DA4">
        <w:rPr>
          <w:rFonts w:ascii="Verdana" w:hAnsi="Verdana" w:cs="Arial"/>
          <w:color w:val="000000" w:themeColor="text1"/>
          <w:sz w:val="14"/>
          <w:szCs w:val="14"/>
        </w:rPr>
        <w:t xml:space="preserve"> </w:t>
      </w:r>
      <w:r w:rsidRPr="00137DA4">
        <w:rPr>
          <w:rFonts w:ascii="Verdana" w:hAnsi="Verdana" w:cs="Arial"/>
          <w:color w:val="000000" w:themeColor="text1"/>
          <w:sz w:val="14"/>
          <w:szCs w:val="14"/>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0ECDA443"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proofErr w:type="gramStart"/>
      <w:r w:rsidRPr="00137DA4">
        <w:rPr>
          <w:rFonts w:ascii="Verdana" w:hAnsi="Verdana" w:cs="Arial"/>
          <w:color w:val="000000" w:themeColor="text1"/>
          <w:sz w:val="14"/>
          <w:szCs w:val="14"/>
          <w:lang w:val="es-ES"/>
        </w:rPr>
        <w:t>»Los</w:t>
      </w:r>
      <w:proofErr w:type="gramEnd"/>
      <w:r w:rsidRPr="00137DA4">
        <w:rPr>
          <w:rFonts w:ascii="Verdana" w:hAnsi="Verdana" w:cs="Arial"/>
          <w:color w:val="000000" w:themeColor="text1"/>
          <w:sz w:val="14"/>
          <w:szCs w:val="14"/>
          <w:lang w:val="es-ES"/>
        </w:rPr>
        <w:t xml:space="preserve">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02235E8F"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proofErr w:type="gramStart"/>
      <w:r w:rsidRPr="00137DA4">
        <w:rPr>
          <w:rFonts w:ascii="Verdana" w:hAnsi="Verdana" w:cs="Arial"/>
          <w:color w:val="000000" w:themeColor="text1"/>
          <w:sz w:val="14"/>
          <w:szCs w:val="14"/>
          <w:lang w:val="es-ES"/>
        </w:rPr>
        <w:t>»La</w:t>
      </w:r>
      <w:proofErr w:type="gramEnd"/>
      <w:r w:rsidRPr="00137DA4">
        <w:rPr>
          <w:rFonts w:ascii="Verdana" w:hAnsi="Verdana" w:cs="Arial"/>
          <w:color w:val="000000" w:themeColor="text1"/>
          <w:sz w:val="14"/>
          <w:szCs w:val="14"/>
          <w:lang w:val="es-ES"/>
        </w:rPr>
        <w:t xml:space="preserve"> Entidad Estatal, para la contratación de trabajos artísticos que solamente puedan encomendarse a determinadas personas naturales, debe justificar esta situación en los estudios y documentos previos».</w:t>
      </w:r>
    </w:p>
    <w:p w14:paraId="21EF3A9D"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p>
  </w:footnote>
  <w:footnote w:id="2">
    <w:p w14:paraId="71A86862" w14:textId="77777777" w:rsidR="006C0219" w:rsidRPr="00137DA4" w:rsidRDefault="006C0219" w:rsidP="006C0219">
      <w:pPr>
        <w:pStyle w:val="Textonotapie"/>
        <w:snapToGrid w:val="0"/>
        <w:contextualSpacing/>
        <w:jc w:val="both"/>
        <w:rPr>
          <w:rFonts w:ascii="Verdana" w:hAnsi="Verdana" w:cs="Arial"/>
          <w:color w:val="000000" w:themeColor="text1"/>
          <w:sz w:val="14"/>
          <w:szCs w:val="14"/>
          <w:lang w:val="es-ES"/>
        </w:rPr>
      </w:pPr>
      <w:r w:rsidRPr="00137DA4">
        <w:rPr>
          <w:rStyle w:val="Refdenotaalpie"/>
          <w:rFonts w:ascii="Verdana" w:hAnsi="Verdana" w:cs="Arial"/>
          <w:color w:val="000000" w:themeColor="text1"/>
          <w:sz w:val="14"/>
          <w:szCs w:val="14"/>
        </w:rPr>
        <w:footnoteRef/>
      </w:r>
      <w:r w:rsidRPr="00137DA4">
        <w:rPr>
          <w:rFonts w:ascii="Verdana" w:hAnsi="Verdana" w:cs="Arial"/>
          <w:color w:val="000000" w:themeColor="text1"/>
          <w:sz w:val="14"/>
          <w:szCs w:val="14"/>
        </w:rPr>
        <w:t xml:space="preserve"> </w:t>
      </w:r>
      <w:r w:rsidRPr="00137DA4">
        <w:rPr>
          <w:rFonts w:ascii="Verdana" w:hAnsi="Verdana" w:cs="Arial"/>
          <w:color w:val="000000" w:themeColor="text1"/>
          <w:sz w:val="14"/>
          <w:szCs w:val="14"/>
          <w:lang w:val="es-ES"/>
        </w:rPr>
        <w:t xml:space="preserve">CONSEJO DE ESTADO. Sección Tercera. Subsección C. Sentencia de Unificación del 2 de diciembre de 2013. </w:t>
      </w:r>
      <w:proofErr w:type="spellStart"/>
      <w:r w:rsidRPr="00137DA4">
        <w:rPr>
          <w:rFonts w:ascii="Verdana" w:hAnsi="Verdana" w:cs="Arial"/>
          <w:color w:val="000000" w:themeColor="text1"/>
          <w:sz w:val="14"/>
          <w:szCs w:val="14"/>
          <w:lang w:val="es-ES"/>
        </w:rPr>
        <w:t>Exp</w:t>
      </w:r>
      <w:proofErr w:type="spellEnd"/>
      <w:r w:rsidRPr="00137DA4">
        <w:rPr>
          <w:rFonts w:ascii="Verdana" w:hAnsi="Verdana" w:cs="Arial"/>
          <w:color w:val="000000" w:themeColor="text1"/>
          <w:sz w:val="14"/>
          <w:szCs w:val="14"/>
          <w:lang w:val="es-ES"/>
        </w:rPr>
        <w:t>. 41.719. C.P. Jaime Orlando Santofimio Gamboa.</w:t>
      </w:r>
    </w:p>
    <w:p w14:paraId="64B97627"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p>
  </w:footnote>
  <w:footnote w:id="3">
    <w:p w14:paraId="39F6AE6E"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r w:rsidRPr="00137DA4">
        <w:rPr>
          <w:rStyle w:val="Refdenotaalpie"/>
          <w:rFonts w:ascii="Verdana" w:hAnsi="Verdana" w:cs="Arial"/>
          <w:color w:val="000000" w:themeColor="text1"/>
          <w:sz w:val="14"/>
          <w:szCs w:val="14"/>
        </w:rPr>
        <w:footnoteRef/>
      </w:r>
      <w:r w:rsidRPr="00137DA4">
        <w:rPr>
          <w:rFonts w:ascii="Verdana" w:hAnsi="Verdana" w:cs="Arial"/>
          <w:color w:val="000000" w:themeColor="text1"/>
          <w:sz w:val="14"/>
          <w:szCs w:val="14"/>
        </w:rPr>
        <w:t xml:space="preserve"> </w:t>
      </w:r>
      <w:proofErr w:type="spellStart"/>
      <w:r w:rsidRPr="00137DA4">
        <w:rPr>
          <w:rFonts w:ascii="Verdana" w:hAnsi="Verdana" w:cs="Arial"/>
          <w:i/>
          <w:iCs/>
          <w:color w:val="000000" w:themeColor="text1"/>
          <w:sz w:val="14"/>
          <w:szCs w:val="14"/>
          <w:lang w:val="es-ES"/>
        </w:rPr>
        <w:t>Ibíd</w:t>
      </w:r>
      <w:proofErr w:type="spellEnd"/>
      <w:r w:rsidRPr="00137DA4">
        <w:rPr>
          <w:rFonts w:ascii="Verdana" w:hAnsi="Verdana" w:cs="Arial"/>
          <w:color w:val="000000" w:themeColor="text1"/>
          <w:sz w:val="14"/>
          <w:szCs w:val="14"/>
          <w:lang w:val="es-ES"/>
        </w:rPr>
        <w:t>.</w:t>
      </w:r>
    </w:p>
    <w:p w14:paraId="478E79E4" w14:textId="77777777" w:rsidR="006C0219" w:rsidRPr="00137DA4" w:rsidRDefault="006C0219" w:rsidP="006C0219">
      <w:pPr>
        <w:pStyle w:val="Textonotapie"/>
        <w:snapToGrid w:val="0"/>
        <w:ind w:firstLine="709"/>
        <w:contextualSpacing/>
        <w:jc w:val="both"/>
        <w:rPr>
          <w:rFonts w:ascii="Verdana" w:hAnsi="Verdana" w:cs="Arial"/>
          <w:color w:val="000000" w:themeColor="text1"/>
          <w:sz w:val="14"/>
          <w:szCs w:val="14"/>
          <w:lang w:val="es-ES"/>
        </w:rPr>
      </w:pPr>
    </w:p>
  </w:footnote>
  <w:footnote w:id="4">
    <w:p w14:paraId="3FE7080E"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rPr>
      </w:pPr>
      <w:r w:rsidRPr="00137DA4">
        <w:rPr>
          <w:rFonts w:ascii="Verdana" w:hAnsi="Verdana" w:cs="Arial"/>
          <w:sz w:val="14"/>
          <w:szCs w:val="14"/>
          <w:vertAlign w:val="superscript"/>
        </w:rPr>
        <w:footnoteRef/>
      </w:r>
      <w:r w:rsidRPr="00137DA4">
        <w:rPr>
          <w:rFonts w:ascii="Verdana" w:hAnsi="Verdana" w:cs="Arial"/>
          <w:sz w:val="14"/>
          <w:szCs w:val="14"/>
        </w:rPr>
        <w:t xml:space="preserve"> </w:t>
      </w:r>
      <w:bookmarkStart w:id="5" w:name="_Hlk176814547"/>
      <w:r w:rsidRPr="00137DA4">
        <w:rPr>
          <w:rFonts w:ascii="Verdana" w:hAnsi="Verdana" w:cs="Arial"/>
          <w:sz w:val="14"/>
          <w:szCs w:val="14"/>
        </w:rPr>
        <w:t>Decreto 1068 de 2015: “</w:t>
      </w:r>
      <w:r w:rsidRPr="00137DA4">
        <w:rPr>
          <w:rFonts w:ascii="Verdana" w:hAnsi="Verdana" w:cs="Arial"/>
          <w:color w:val="000000"/>
          <w:sz w:val="14"/>
          <w:szCs w:val="14"/>
        </w:rPr>
        <w:t>Artículo 2.8.4.4.5</w:t>
      </w:r>
      <w:bookmarkEnd w:id="5"/>
      <w:r w:rsidRPr="00137DA4">
        <w:rPr>
          <w:rFonts w:ascii="Verdana" w:hAnsi="Verdana" w:cs="Arial"/>
          <w:color w:val="000000"/>
          <w:sz w:val="14"/>
          <w:szCs w:val="14"/>
        </w:rPr>
        <w:t xml:space="preserve">. Condiciones para contratar la prestación de servicios. Los contratos de prestación de servicios con personas naturales o jurídicas, sólo se podrán celebrar cuando no exista personal de planta con capacidad para realizar las actividades que se contratarán. </w:t>
      </w:r>
    </w:p>
    <w:p w14:paraId="1D2CCDF7"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rPr>
      </w:pPr>
      <w:r w:rsidRPr="00137DA4">
        <w:rPr>
          <w:rFonts w:ascii="Verdana" w:hAnsi="Verdana" w:cs="Arial"/>
          <w:color w:val="000000"/>
          <w:sz w:val="14"/>
          <w:szCs w:val="14"/>
        </w:rPr>
        <w:t xml:space="preserve">Se entiende que no existe personal de planta en el respectivo organismo, entidad, ente público o persona jurídica, es imposible atender la actividad con personal de planta, porque de acuerdo con los manuales específicos, no existe personal que pueda desarrollar la actividad para la cual se requiere contratar la prestación del servicio, o cuando el desarrollo de la actividad requiere un grado de especialización que implica la contratación del servicio, o cuando aun existiendo personal en la planta, éste no sea suficiente, la inexistencia de personal suficiente deberá acreditarse por el jefe del respectivo organismo. </w:t>
      </w:r>
    </w:p>
    <w:p w14:paraId="5AE63E24" w14:textId="77777777" w:rsidR="006C0219" w:rsidRPr="00137DA4" w:rsidRDefault="006C0219" w:rsidP="006C0219">
      <w:pPr>
        <w:pStyle w:val="Textonotapie"/>
        <w:snapToGrid w:val="0"/>
        <w:ind w:firstLine="708"/>
        <w:contextualSpacing/>
        <w:jc w:val="both"/>
        <w:rPr>
          <w:rFonts w:ascii="Verdana" w:hAnsi="Verdana" w:cs="Arial"/>
          <w:color w:val="000000"/>
          <w:sz w:val="14"/>
          <w:szCs w:val="14"/>
        </w:rPr>
      </w:pPr>
      <w:r w:rsidRPr="00137DA4">
        <w:rPr>
          <w:rFonts w:ascii="Verdana" w:hAnsi="Verdana" w:cs="Arial"/>
          <w:color w:val="000000"/>
          <w:sz w:val="14"/>
          <w:szCs w:val="14"/>
        </w:rPr>
        <w:t>Tampoco se podrán 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w:t>
      </w:r>
    </w:p>
  </w:footnote>
  <w:footnote w:id="5">
    <w:p w14:paraId="4DEADADF"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 xml:space="preserve">El </w:t>
      </w:r>
      <w:bookmarkStart w:id="6" w:name="_Hlk176814562"/>
      <w:r w:rsidRPr="00137DA4">
        <w:rPr>
          <w:rFonts w:ascii="Verdana" w:hAnsi="Verdana" w:cs="Arial"/>
          <w:color w:val="000000"/>
          <w:sz w:val="14"/>
          <w:szCs w:val="14"/>
          <w:lang w:val="es-ES"/>
        </w:rPr>
        <w:t xml:space="preserve">artículo 22 del Código Sustantivo del Trabajo </w:t>
      </w:r>
      <w:bookmarkEnd w:id="6"/>
      <w:r w:rsidRPr="00137DA4">
        <w:rPr>
          <w:rFonts w:ascii="Verdana" w:hAnsi="Verdana" w:cs="Arial"/>
          <w:color w:val="000000"/>
          <w:sz w:val="14"/>
          <w:szCs w:val="14"/>
          <w:lang w:val="es-ES"/>
        </w:rPr>
        <w:t>establece: “1. Contrato de trabajo es aquel por el cual una persona natural se obliga a prestar un servicio personal a otra persona, natural o jurídica, bajo la continuada dependencia o subordinación de la segunda y mediante remuneración.</w:t>
      </w:r>
    </w:p>
    <w:p w14:paraId="45DB7727"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2. Quien presta el servicio se denomina trabajador, quien lo recibe y remunera, empleador, y la remuneración, cualquiera que sea su forma, salario”.</w:t>
      </w:r>
    </w:p>
    <w:p w14:paraId="0F76DA5A" w14:textId="77777777" w:rsidR="006C0219" w:rsidRPr="00137DA4" w:rsidRDefault="006C0219" w:rsidP="006C0219">
      <w:pPr>
        <w:pStyle w:val="Textonotapie"/>
        <w:snapToGrid w:val="0"/>
        <w:ind w:firstLine="709"/>
        <w:contextualSpacing/>
        <w:jc w:val="both"/>
        <w:rPr>
          <w:rFonts w:ascii="Verdana" w:hAnsi="Verdana"/>
          <w:sz w:val="14"/>
          <w:szCs w:val="14"/>
        </w:rPr>
      </w:pPr>
    </w:p>
  </w:footnote>
  <w:footnote w:id="6">
    <w:p w14:paraId="5DA37799"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Corte Constitucional Sentencia C-154 de 1997, Magistrado Ponente Dr. Hernando Herrera Vergara</w:t>
      </w:r>
    </w:p>
  </w:footnote>
  <w:footnote w:id="7">
    <w:p w14:paraId="63301EAB"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bookmarkStart w:id="8" w:name="_Hlk176814586"/>
      <w:r w:rsidRPr="00137DA4">
        <w:rPr>
          <w:rFonts w:ascii="Verdana" w:hAnsi="Verdana" w:cs="Arial"/>
          <w:color w:val="000000"/>
          <w:sz w:val="14"/>
          <w:szCs w:val="14"/>
          <w:lang w:val="es-ES"/>
        </w:rPr>
        <w:t xml:space="preserve">El Decreto 1082 de 2015 lo establece así: “Artículo 2.2.1.2.1.4.9. </w:t>
      </w:r>
      <w:bookmarkEnd w:id="8"/>
      <w:r w:rsidRPr="00137DA4">
        <w:rPr>
          <w:rFonts w:ascii="Verdana" w:hAnsi="Verdana" w:cs="Arial"/>
          <w:color w:val="000000"/>
          <w:sz w:val="14"/>
          <w:szCs w:val="14"/>
          <w:lang w:val="es-ES"/>
        </w:rPr>
        <w:t>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48156A26"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78962073" w14:textId="77777777" w:rsidR="006C0219" w:rsidRPr="00137DA4" w:rsidRDefault="006C0219" w:rsidP="006C0219">
      <w:pPr>
        <w:pStyle w:val="Textonotapie"/>
        <w:snapToGrid w:val="0"/>
        <w:ind w:firstLine="709"/>
        <w:contextualSpacing/>
        <w:jc w:val="both"/>
        <w:rPr>
          <w:rFonts w:ascii="Verdana" w:hAnsi="Verdana"/>
          <w:sz w:val="14"/>
          <w:szCs w:val="14"/>
        </w:rPr>
      </w:pPr>
      <w:r w:rsidRPr="00137DA4">
        <w:rPr>
          <w:rFonts w:ascii="Verdana" w:hAnsi="Verdana" w:cs="Arial"/>
          <w:color w:val="000000"/>
          <w:sz w:val="14"/>
          <w:szCs w:val="14"/>
          <w:lang w:val="es-ES"/>
        </w:rPr>
        <w:t>La Entidad Estatal, para la contratación de trabajos artísticos que solamente puedan en­comendarse a determinadas personas naturales, debe justificar esta situación en los estudios y documentos previos”.</w:t>
      </w:r>
    </w:p>
  </w:footnote>
  <w:footnote w:id="8">
    <w:p w14:paraId="3267C427"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 xml:space="preserve">Así lo prevé el </w:t>
      </w:r>
      <w:bookmarkStart w:id="9" w:name="_Hlk176814610"/>
      <w:r w:rsidRPr="00137DA4">
        <w:rPr>
          <w:rFonts w:ascii="Verdana" w:hAnsi="Verdana" w:cs="Arial"/>
          <w:color w:val="000000"/>
          <w:sz w:val="14"/>
          <w:szCs w:val="14"/>
          <w:lang w:val="es-ES"/>
        </w:rPr>
        <w:t>artículo 2.2.1.2.1.4.1. del Decreto 1082 de 2015</w:t>
      </w:r>
      <w:bookmarkEnd w:id="9"/>
      <w:r w:rsidRPr="00137DA4">
        <w:rPr>
          <w:rFonts w:ascii="Verdana" w:hAnsi="Verdana" w:cs="Arial"/>
          <w:color w:val="000000"/>
          <w:sz w:val="14"/>
          <w:szCs w:val="14"/>
          <w:lang w:val="es-ES"/>
        </w:rPr>
        <w:t>: “La Entidad Estatal debe señalar en un acto administrativo la justificación para contratar bajo la modalidad de contratación directa, el cual debe contener:</w:t>
      </w:r>
    </w:p>
    <w:p w14:paraId="51DCE70E"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1. La causal que invoca para contratar directamente.</w:t>
      </w:r>
    </w:p>
    <w:p w14:paraId="2298EA97"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2. El objeto del contrato.</w:t>
      </w:r>
    </w:p>
    <w:p w14:paraId="5F6C68E9"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3. El presupuesto para la contratación y las condiciones que exigirá al contratista.</w:t>
      </w:r>
    </w:p>
    <w:p w14:paraId="5D01AC7A"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4. El lugar en el cual los interesados pueden consultar los estudios y documentos previos.</w:t>
      </w:r>
    </w:p>
    <w:p w14:paraId="2442AB80" w14:textId="77777777" w:rsidR="006C0219" w:rsidRPr="00137DA4" w:rsidRDefault="006C0219" w:rsidP="006C0219">
      <w:pPr>
        <w:pStyle w:val="Textonotapie"/>
        <w:snapToGrid w:val="0"/>
        <w:ind w:firstLine="709"/>
        <w:contextualSpacing/>
        <w:jc w:val="both"/>
        <w:rPr>
          <w:rFonts w:ascii="Verdana" w:hAnsi="Verdana"/>
          <w:sz w:val="14"/>
          <w:szCs w:val="14"/>
        </w:rPr>
      </w:pPr>
      <w:r w:rsidRPr="00137DA4">
        <w:rPr>
          <w:rFonts w:ascii="Verdana" w:hAnsi="Verdana" w:cs="Arial"/>
          <w:color w:val="000000"/>
          <w:sz w:val="14"/>
          <w:szCs w:val="14"/>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9">
    <w:p w14:paraId="2CBA058C"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Esta norma expresa: “</w:t>
      </w:r>
      <w:r w:rsidRPr="00137DA4">
        <w:rPr>
          <w:rFonts w:ascii="Verdana" w:hAnsi="Verdana" w:cs="Arial"/>
          <w:color w:val="000000"/>
          <w:sz w:val="14"/>
          <w:szCs w:val="14"/>
        </w:rPr>
        <w:t>P</w:t>
      </w:r>
      <w:r w:rsidRPr="00137DA4">
        <w:rPr>
          <w:rFonts w:ascii="Verdana" w:hAnsi="Verdana" w:cs="Arial"/>
          <w:color w:val="000000"/>
          <w:sz w:val="14"/>
          <w:szCs w:val="14"/>
          <w:lang w:val="es-ES"/>
        </w:rPr>
        <w:t>ara el cumplimiento de los fines de la contratación, las entidades estatales al celebrar un contrato:</w:t>
      </w:r>
    </w:p>
    <w:p w14:paraId="7773A09A"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w:t>
      </w:r>
    </w:p>
    <w:p w14:paraId="29E51E7F"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55CFACDA"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Las entidades estatales podrán pactar estas cláusulas en los contratos de suministro y de prestación de servicios.</w:t>
      </w:r>
    </w:p>
    <w:p w14:paraId="1B270250"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color w:val="000000"/>
          <w:sz w:val="14"/>
          <w:szCs w:val="14"/>
          <w:lang w:val="es-ES"/>
        </w:rPr>
        <w:t>[…]”.</w:t>
      </w:r>
    </w:p>
  </w:footnote>
  <w:footnote w:id="10">
    <w:p w14:paraId="429065BE"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La norma dispone: “La liquidación a que se refiere el presente artículo no será obligatoria en los contratos de prestación de servicios profesionales y de apoyo a la gestión”.</w:t>
      </w:r>
    </w:p>
  </w:footnote>
  <w:footnote w:id="11">
    <w:p w14:paraId="389C0A15"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553B9C39"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rPr>
      </w:pPr>
      <w:r w:rsidRPr="00137DA4">
        <w:rPr>
          <w:rFonts w:ascii="Verdana" w:hAnsi="Verdana" w:cs="Arial"/>
          <w:color w:val="000000"/>
          <w:sz w:val="14"/>
          <w:szCs w:val="14"/>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6AE51351"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rPr>
      </w:pPr>
      <w:r w:rsidRPr="00137DA4">
        <w:rPr>
          <w:rFonts w:ascii="Verdana" w:hAnsi="Verdana" w:cs="Arial"/>
          <w:color w:val="000000"/>
          <w:sz w:val="14"/>
          <w:szCs w:val="14"/>
        </w:rPr>
        <w:t>[…]”.</w:t>
      </w:r>
    </w:p>
  </w:footnote>
  <w:footnote w:id="12">
    <w:p w14:paraId="7122F7BE" w14:textId="77777777" w:rsidR="006C0219" w:rsidRPr="00137DA4" w:rsidRDefault="006C0219" w:rsidP="006C0219">
      <w:pPr>
        <w:pStyle w:val="Textonotapie"/>
        <w:snapToGrid w:val="0"/>
        <w:ind w:firstLine="709"/>
        <w:contextualSpacing/>
        <w:jc w:val="both"/>
        <w:rPr>
          <w:rFonts w:ascii="Verdana" w:hAnsi="Verdana" w:cs="Arial"/>
          <w:color w:val="000000"/>
          <w:sz w:val="14"/>
          <w:szCs w:val="14"/>
          <w:lang w:val="es-ES"/>
        </w:rPr>
      </w:pPr>
      <w:r w:rsidRPr="00137DA4">
        <w:rPr>
          <w:rFonts w:ascii="Verdana" w:hAnsi="Verdana" w:cs="Arial"/>
          <w:sz w:val="14"/>
          <w:szCs w:val="14"/>
          <w:vertAlign w:val="superscript"/>
        </w:rPr>
        <w:footnoteRef/>
      </w:r>
      <w:r w:rsidRPr="00137DA4">
        <w:rPr>
          <w:rFonts w:ascii="Verdana" w:hAnsi="Verdana" w:cs="Arial"/>
          <w:color w:val="000000"/>
          <w:sz w:val="14"/>
          <w:szCs w:val="14"/>
        </w:rPr>
        <w:t xml:space="preserve"> </w:t>
      </w:r>
      <w:r w:rsidRPr="00137DA4">
        <w:rPr>
          <w:rFonts w:ascii="Verdana" w:hAnsi="Verdana" w:cs="Arial"/>
          <w:color w:val="000000"/>
          <w:sz w:val="14"/>
          <w:szCs w:val="14"/>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7.8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3271E8"/>
    <w:multiLevelType w:val="hybridMultilevel"/>
    <w:tmpl w:val="A9221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F60CC"/>
    <w:multiLevelType w:val="hybridMultilevel"/>
    <w:tmpl w:val="91AE4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035A5F"/>
    <w:multiLevelType w:val="hybridMultilevel"/>
    <w:tmpl w:val="7C8EC21C"/>
    <w:lvl w:ilvl="0" w:tplc="582AC20E">
      <w:numFmt w:val="bullet"/>
      <w:lvlText w:val="–"/>
      <w:lvlJc w:val="left"/>
      <w:pPr>
        <w:ind w:left="2952" w:hanging="210"/>
      </w:pPr>
      <w:rPr>
        <w:rFonts w:ascii="Verdana" w:eastAsia="Verdana" w:hAnsi="Verdana" w:cs="Verdana" w:hint="default"/>
        <w:b w:val="0"/>
        <w:bCs w:val="0"/>
        <w:i w:val="0"/>
        <w:iCs w:val="0"/>
        <w:spacing w:val="0"/>
        <w:w w:val="100"/>
        <w:sz w:val="22"/>
        <w:szCs w:val="22"/>
        <w:lang w:val="es-ES" w:eastAsia="en-US" w:bidi="ar-SA"/>
      </w:rPr>
    </w:lvl>
    <w:lvl w:ilvl="1" w:tplc="12B28F1E">
      <w:numFmt w:val="bullet"/>
      <w:lvlText w:val="•"/>
      <w:lvlJc w:val="left"/>
      <w:pPr>
        <w:ind w:left="3600" w:hanging="210"/>
      </w:pPr>
      <w:rPr>
        <w:rFonts w:hint="default"/>
        <w:lang w:val="es-ES" w:eastAsia="en-US" w:bidi="ar-SA"/>
      </w:rPr>
    </w:lvl>
    <w:lvl w:ilvl="2" w:tplc="F0E2AF5C">
      <w:numFmt w:val="bullet"/>
      <w:lvlText w:val="•"/>
      <w:lvlJc w:val="left"/>
      <w:pPr>
        <w:ind w:left="4240" w:hanging="210"/>
      </w:pPr>
      <w:rPr>
        <w:rFonts w:hint="default"/>
        <w:lang w:val="es-ES" w:eastAsia="en-US" w:bidi="ar-SA"/>
      </w:rPr>
    </w:lvl>
    <w:lvl w:ilvl="3" w:tplc="EA2064CC">
      <w:numFmt w:val="bullet"/>
      <w:lvlText w:val="•"/>
      <w:lvlJc w:val="left"/>
      <w:pPr>
        <w:ind w:left="4880" w:hanging="210"/>
      </w:pPr>
      <w:rPr>
        <w:rFonts w:hint="default"/>
        <w:lang w:val="es-ES" w:eastAsia="en-US" w:bidi="ar-SA"/>
      </w:rPr>
    </w:lvl>
    <w:lvl w:ilvl="4" w:tplc="834A2B1E">
      <w:numFmt w:val="bullet"/>
      <w:lvlText w:val="•"/>
      <w:lvlJc w:val="left"/>
      <w:pPr>
        <w:ind w:left="5520" w:hanging="210"/>
      </w:pPr>
      <w:rPr>
        <w:rFonts w:hint="default"/>
        <w:lang w:val="es-ES" w:eastAsia="en-US" w:bidi="ar-SA"/>
      </w:rPr>
    </w:lvl>
    <w:lvl w:ilvl="5" w:tplc="78DAEA2C">
      <w:numFmt w:val="bullet"/>
      <w:lvlText w:val="•"/>
      <w:lvlJc w:val="left"/>
      <w:pPr>
        <w:ind w:left="6160" w:hanging="210"/>
      </w:pPr>
      <w:rPr>
        <w:rFonts w:hint="default"/>
        <w:lang w:val="es-ES" w:eastAsia="en-US" w:bidi="ar-SA"/>
      </w:rPr>
    </w:lvl>
    <w:lvl w:ilvl="6" w:tplc="4748E81C">
      <w:numFmt w:val="bullet"/>
      <w:lvlText w:val="•"/>
      <w:lvlJc w:val="left"/>
      <w:pPr>
        <w:ind w:left="6800" w:hanging="210"/>
      </w:pPr>
      <w:rPr>
        <w:rFonts w:hint="default"/>
        <w:lang w:val="es-ES" w:eastAsia="en-US" w:bidi="ar-SA"/>
      </w:rPr>
    </w:lvl>
    <w:lvl w:ilvl="7" w:tplc="0C9ADA9A">
      <w:numFmt w:val="bullet"/>
      <w:lvlText w:val="•"/>
      <w:lvlJc w:val="left"/>
      <w:pPr>
        <w:ind w:left="7440" w:hanging="210"/>
      </w:pPr>
      <w:rPr>
        <w:rFonts w:hint="default"/>
        <w:lang w:val="es-ES" w:eastAsia="en-US" w:bidi="ar-SA"/>
      </w:rPr>
    </w:lvl>
    <w:lvl w:ilvl="8" w:tplc="EE92EE42">
      <w:numFmt w:val="bullet"/>
      <w:lvlText w:val="•"/>
      <w:lvlJc w:val="left"/>
      <w:pPr>
        <w:ind w:left="8080" w:hanging="210"/>
      </w:pPr>
      <w:rPr>
        <w:rFonts w:hint="default"/>
        <w:lang w:val="es-ES" w:eastAsia="en-US" w:bidi="ar-SA"/>
      </w:r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341274352">
    <w:abstractNumId w:val="0"/>
  </w:num>
  <w:num w:numId="17" w16cid:durableId="36048306">
    <w:abstractNumId w:val="3"/>
  </w:num>
  <w:num w:numId="18" w16cid:durableId="2085176362">
    <w:abstractNumId w:val="5"/>
  </w:num>
  <w:num w:numId="19" w16cid:durableId="132921523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3C8"/>
    <w:rsid w:val="00034475"/>
    <w:rsid w:val="00046945"/>
    <w:rsid w:val="00061B2A"/>
    <w:rsid w:val="00082362"/>
    <w:rsid w:val="000A683E"/>
    <w:rsid w:val="000B19B9"/>
    <w:rsid w:val="000C456A"/>
    <w:rsid w:val="000D0334"/>
    <w:rsid w:val="000D5DA7"/>
    <w:rsid w:val="000E5399"/>
    <w:rsid w:val="000F6486"/>
    <w:rsid w:val="00116940"/>
    <w:rsid w:val="00125105"/>
    <w:rsid w:val="00127233"/>
    <w:rsid w:val="00155471"/>
    <w:rsid w:val="0015699B"/>
    <w:rsid w:val="00180DC0"/>
    <w:rsid w:val="00190BEB"/>
    <w:rsid w:val="001A33BF"/>
    <w:rsid w:val="001A3A1F"/>
    <w:rsid w:val="001E3D33"/>
    <w:rsid w:val="001E4177"/>
    <w:rsid w:val="001F0B24"/>
    <w:rsid w:val="001F7DC6"/>
    <w:rsid w:val="0022400B"/>
    <w:rsid w:val="002421BB"/>
    <w:rsid w:val="0025796E"/>
    <w:rsid w:val="002707A2"/>
    <w:rsid w:val="0029327E"/>
    <w:rsid w:val="002951A0"/>
    <w:rsid w:val="002962BC"/>
    <w:rsid w:val="00297D72"/>
    <w:rsid w:val="002A093D"/>
    <w:rsid w:val="002A0DD0"/>
    <w:rsid w:val="002A49AC"/>
    <w:rsid w:val="002A64FD"/>
    <w:rsid w:val="002C7A84"/>
    <w:rsid w:val="002D46C3"/>
    <w:rsid w:val="002D7675"/>
    <w:rsid w:val="002E2BF8"/>
    <w:rsid w:val="002E4FD9"/>
    <w:rsid w:val="002F416A"/>
    <w:rsid w:val="002F4982"/>
    <w:rsid w:val="0030657A"/>
    <w:rsid w:val="00322A85"/>
    <w:rsid w:val="00324168"/>
    <w:rsid w:val="00330834"/>
    <w:rsid w:val="00333524"/>
    <w:rsid w:val="003355C7"/>
    <w:rsid w:val="003448F4"/>
    <w:rsid w:val="00362B1E"/>
    <w:rsid w:val="00362E9F"/>
    <w:rsid w:val="003643CC"/>
    <w:rsid w:val="00374F5E"/>
    <w:rsid w:val="00377E3E"/>
    <w:rsid w:val="003A779E"/>
    <w:rsid w:val="003B78B8"/>
    <w:rsid w:val="003D0F4D"/>
    <w:rsid w:val="003D5B0D"/>
    <w:rsid w:val="003E0499"/>
    <w:rsid w:val="003E4F80"/>
    <w:rsid w:val="003E6439"/>
    <w:rsid w:val="003E72F5"/>
    <w:rsid w:val="003F3941"/>
    <w:rsid w:val="00403E5D"/>
    <w:rsid w:val="00406575"/>
    <w:rsid w:val="00414C74"/>
    <w:rsid w:val="0042722E"/>
    <w:rsid w:val="00442901"/>
    <w:rsid w:val="0044528D"/>
    <w:rsid w:val="00454C24"/>
    <w:rsid w:val="00466E39"/>
    <w:rsid w:val="004A1847"/>
    <w:rsid w:val="004A305D"/>
    <w:rsid w:val="004A513D"/>
    <w:rsid w:val="004D6326"/>
    <w:rsid w:val="004E19C2"/>
    <w:rsid w:val="004F21C4"/>
    <w:rsid w:val="004F685F"/>
    <w:rsid w:val="0051195F"/>
    <w:rsid w:val="005164B6"/>
    <w:rsid w:val="005350CF"/>
    <w:rsid w:val="005566E8"/>
    <w:rsid w:val="00574867"/>
    <w:rsid w:val="00582B60"/>
    <w:rsid w:val="00591460"/>
    <w:rsid w:val="005A65E0"/>
    <w:rsid w:val="005C3777"/>
    <w:rsid w:val="005C5CDC"/>
    <w:rsid w:val="005D476C"/>
    <w:rsid w:val="005E1AD1"/>
    <w:rsid w:val="005F3E83"/>
    <w:rsid w:val="006200BF"/>
    <w:rsid w:val="006219F8"/>
    <w:rsid w:val="006225F6"/>
    <w:rsid w:val="00622BB8"/>
    <w:rsid w:val="006302F7"/>
    <w:rsid w:val="006412F7"/>
    <w:rsid w:val="0064167D"/>
    <w:rsid w:val="006420E7"/>
    <w:rsid w:val="006432B2"/>
    <w:rsid w:val="00646B9F"/>
    <w:rsid w:val="00664865"/>
    <w:rsid w:val="00665C29"/>
    <w:rsid w:val="00665D70"/>
    <w:rsid w:val="00666BE9"/>
    <w:rsid w:val="006732B2"/>
    <w:rsid w:val="006900D9"/>
    <w:rsid w:val="006C0219"/>
    <w:rsid w:val="006C44B0"/>
    <w:rsid w:val="006E3891"/>
    <w:rsid w:val="00700735"/>
    <w:rsid w:val="00706C16"/>
    <w:rsid w:val="007340C3"/>
    <w:rsid w:val="007345D5"/>
    <w:rsid w:val="0075235A"/>
    <w:rsid w:val="00756841"/>
    <w:rsid w:val="007649AB"/>
    <w:rsid w:val="00771D0C"/>
    <w:rsid w:val="007833AC"/>
    <w:rsid w:val="007B268C"/>
    <w:rsid w:val="007B7171"/>
    <w:rsid w:val="007C0C0F"/>
    <w:rsid w:val="007C3DC2"/>
    <w:rsid w:val="007D399A"/>
    <w:rsid w:val="007E5497"/>
    <w:rsid w:val="007E58AF"/>
    <w:rsid w:val="007E765C"/>
    <w:rsid w:val="007E7A79"/>
    <w:rsid w:val="00806F5F"/>
    <w:rsid w:val="00820278"/>
    <w:rsid w:val="008258C9"/>
    <w:rsid w:val="008330D0"/>
    <w:rsid w:val="00844AE9"/>
    <w:rsid w:val="00854C4F"/>
    <w:rsid w:val="00867F95"/>
    <w:rsid w:val="008843B6"/>
    <w:rsid w:val="00891928"/>
    <w:rsid w:val="008A446D"/>
    <w:rsid w:val="008A4B21"/>
    <w:rsid w:val="008B25F1"/>
    <w:rsid w:val="008D180B"/>
    <w:rsid w:val="008F09A1"/>
    <w:rsid w:val="008F0EA7"/>
    <w:rsid w:val="00903A45"/>
    <w:rsid w:val="00906209"/>
    <w:rsid w:val="00923EEF"/>
    <w:rsid w:val="0094116F"/>
    <w:rsid w:val="009419F9"/>
    <w:rsid w:val="009554A6"/>
    <w:rsid w:val="0095685E"/>
    <w:rsid w:val="00961B09"/>
    <w:rsid w:val="00965334"/>
    <w:rsid w:val="0097093E"/>
    <w:rsid w:val="009A0DFA"/>
    <w:rsid w:val="009A1C6F"/>
    <w:rsid w:val="009B2D26"/>
    <w:rsid w:val="009C71FA"/>
    <w:rsid w:val="009C72E7"/>
    <w:rsid w:val="009C7F7E"/>
    <w:rsid w:val="009D3058"/>
    <w:rsid w:val="009E6DB7"/>
    <w:rsid w:val="009F3A13"/>
    <w:rsid w:val="00A122D3"/>
    <w:rsid w:val="00A14468"/>
    <w:rsid w:val="00A17F13"/>
    <w:rsid w:val="00A20739"/>
    <w:rsid w:val="00A23AF9"/>
    <w:rsid w:val="00A27F75"/>
    <w:rsid w:val="00A33C78"/>
    <w:rsid w:val="00AA5A20"/>
    <w:rsid w:val="00AB0ADB"/>
    <w:rsid w:val="00AB539A"/>
    <w:rsid w:val="00AB5F19"/>
    <w:rsid w:val="00B00C0E"/>
    <w:rsid w:val="00B01B1A"/>
    <w:rsid w:val="00B0381D"/>
    <w:rsid w:val="00B44A47"/>
    <w:rsid w:val="00B72CD3"/>
    <w:rsid w:val="00B72FFF"/>
    <w:rsid w:val="00B77591"/>
    <w:rsid w:val="00B82FA1"/>
    <w:rsid w:val="00B83358"/>
    <w:rsid w:val="00B95C96"/>
    <w:rsid w:val="00BA7266"/>
    <w:rsid w:val="00BC1F46"/>
    <w:rsid w:val="00BC3D36"/>
    <w:rsid w:val="00BD1E1F"/>
    <w:rsid w:val="00BD54A6"/>
    <w:rsid w:val="00BD7F72"/>
    <w:rsid w:val="00BF7425"/>
    <w:rsid w:val="00C04FB3"/>
    <w:rsid w:val="00C11D8B"/>
    <w:rsid w:val="00C15139"/>
    <w:rsid w:val="00C330EB"/>
    <w:rsid w:val="00C50D69"/>
    <w:rsid w:val="00C517B8"/>
    <w:rsid w:val="00C531FB"/>
    <w:rsid w:val="00C5365C"/>
    <w:rsid w:val="00C754BE"/>
    <w:rsid w:val="00C76B1C"/>
    <w:rsid w:val="00C925AC"/>
    <w:rsid w:val="00CB6357"/>
    <w:rsid w:val="00CC1B26"/>
    <w:rsid w:val="00CD0B32"/>
    <w:rsid w:val="00CE7EBE"/>
    <w:rsid w:val="00D361FD"/>
    <w:rsid w:val="00D423A2"/>
    <w:rsid w:val="00D44E26"/>
    <w:rsid w:val="00D520D8"/>
    <w:rsid w:val="00D61ABA"/>
    <w:rsid w:val="00D63AC2"/>
    <w:rsid w:val="00D7383B"/>
    <w:rsid w:val="00D73E7E"/>
    <w:rsid w:val="00D7788A"/>
    <w:rsid w:val="00DA231B"/>
    <w:rsid w:val="00DC39FC"/>
    <w:rsid w:val="00DF5254"/>
    <w:rsid w:val="00E02524"/>
    <w:rsid w:val="00E16408"/>
    <w:rsid w:val="00E17FC8"/>
    <w:rsid w:val="00E20894"/>
    <w:rsid w:val="00E245AB"/>
    <w:rsid w:val="00E2764C"/>
    <w:rsid w:val="00E27F2E"/>
    <w:rsid w:val="00E50AFE"/>
    <w:rsid w:val="00E75C92"/>
    <w:rsid w:val="00E75DAB"/>
    <w:rsid w:val="00E771DC"/>
    <w:rsid w:val="00E77551"/>
    <w:rsid w:val="00E8772A"/>
    <w:rsid w:val="00E90F6B"/>
    <w:rsid w:val="00E92C27"/>
    <w:rsid w:val="00EA0E3D"/>
    <w:rsid w:val="00EB1C75"/>
    <w:rsid w:val="00EC38A7"/>
    <w:rsid w:val="00EE1AA8"/>
    <w:rsid w:val="00F047EE"/>
    <w:rsid w:val="00F146F4"/>
    <w:rsid w:val="00F23FEA"/>
    <w:rsid w:val="00F31EDC"/>
    <w:rsid w:val="00F45361"/>
    <w:rsid w:val="00F45EEC"/>
    <w:rsid w:val="00F462B3"/>
    <w:rsid w:val="00F5664F"/>
    <w:rsid w:val="00F666C4"/>
    <w:rsid w:val="00F76AFC"/>
    <w:rsid w:val="00F80BC5"/>
    <w:rsid w:val="00F85F11"/>
    <w:rsid w:val="00FA47C0"/>
    <w:rsid w:val="00FB5DD1"/>
    <w:rsid w:val="00FC2B5D"/>
    <w:rsid w:val="00FF1449"/>
    <w:rsid w:val="00FF2785"/>
    <w:rsid w:val="00FF7963"/>
    <w:rsid w:val="071B8F93"/>
    <w:rsid w:val="07C73DD1"/>
    <w:rsid w:val="09908A09"/>
    <w:rsid w:val="0EFE6349"/>
    <w:rsid w:val="0FF4CCA8"/>
    <w:rsid w:val="13CFC91B"/>
    <w:rsid w:val="19A2EC2C"/>
    <w:rsid w:val="21779BE6"/>
    <w:rsid w:val="22DF171C"/>
    <w:rsid w:val="2859CA1B"/>
    <w:rsid w:val="2C4D2425"/>
    <w:rsid w:val="2EE1E026"/>
    <w:rsid w:val="2F44F38F"/>
    <w:rsid w:val="30821638"/>
    <w:rsid w:val="32A4F9CF"/>
    <w:rsid w:val="33A1FF93"/>
    <w:rsid w:val="356CEDFD"/>
    <w:rsid w:val="3C591AFD"/>
    <w:rsid w:val="42183F0A"/>
    <w:rsid w:val="545B112A"/>
    <w:rsid w:val="5BEB1497"/>
    <w:rsid w:val="5FDE8E37"/>
    <w:rsid w:val="69614A15"/>
    <w:rsid w:val="74BA017B"/>
    <w:rsid w:val="75C83C79"/>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E26B8E2D-25C4-DB47-855E-0B95F1DE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link w:val="Ttulo1Car"/>
    <w:uiPriority w:val="9"/>
    <w:qFormat/>
    <w:rsid w:val="006C0219"/>
    <w:pPr>
      <w:widowControl w:val="0"/>
      <w:autoSpaceDE w:val="0"/>
      <w:autoSpaceDN w:val="0"/>
      <w:spacing w:before="1" w:after="0" w:line="240" w:lineRule="auto"/>
      <w:ind w:left="1181" w:hanging="360"/>
      <w:outlineLvl w:val="0"/>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Ttulo1Car">
    <w:name w:val="Título 1 Car"/>
    <w:basedOn w:val="Fuentedeprrafopredeter"/>
    <w:link w:val="Ttulo1"/>
    <w:uiPriority w:val="9"/>
    <w:rsid w:val="006C0219"/>
    <w:rPr>
      <w:rFonts w:ascii="Arial" w:eastAsia="Arial" w:hAnsi="Arial" w:cs="Arial"/>
      <w:b/>
      <w:bCs/>
      <w:lang w:val="es-ES"/>
    </w:rPr>
  </w:style>
  <w:style w:type="paragraph" w:customStyle="1" w:styleId="Appelnotedebasde">
    <w:name w:val="Appel note de bas de..."/>
    <w:basedOn w:val="Normal"/>
    <w:link w:val="Refdenotaalpie"/>
    <w:uiPriority w:val="99"/>
    <w:rsid w:val="006C021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C0219"/>
    <w:rPr>
      <w:rFonts w:ascii="Geomanist Light" w:hAnsi="Geomanist Light"/>
      <w:lang w:val="es-ES"/>
    </w:rPr>
  </w:style>
  <w:style w:type="character" w:styleId="Refdecomentario">
    <w:name w:val="annotation reference"/>
    <w:basedOn w:val="Fuentedeprrafopredeter"/>
    <w:uiPriority w:val="99"/>
    <w:semiHidden/>
    <w:unhideWhenUsed/>
    <w:rsid w:val="006E3891"/>
    <w:rPr>
      <w:sz w:val="16"/>
      <w:szCs w:val="16"/>
    </w:rPr>
  </w:style>
  <w:style w:type="paragraph" w:styleId="Textocomentario">
    <w:name w:val="annotation text"/>
    <w:basedOn w:val="Normal"/>
    <w:link w:val="TextocomentarioCar"/>
    <w:uiPriority w:val="99"/>
    <w:semiHidden/>
    <w:unhideWhenUsed/>
    <w:rsid w:val="006E38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3891"/>
    <w:rPr>
      <w:sz w:val="20"/>
      <w:szCs w:val="20"/>
    </w:rPr>
  </w:style>
  <w:style w:type="paragraph" w:styleId="Asuntodelcomentario">
    <w:name w:val="annotation subject"/>
    <w:basedOn w:val="Textocomentario"/>
    <w:next w:val="Textocomentario"/>
    <w:link w:val="AsuntodelcomentarioCar"/>
    <w:uiPriority w:val="99"/>
    <w:semiHidden/>
    <w:unhideWhenUsed/>
    <w:rsid w:val="006E3891"/>
    <w:rPr>
      <w:b/>
      <w:bCs/>
    </w:rPr>
  </w:style>
  <w:style w:type="character" w:customStyle="1" w:styleId="AsuntodelcomentarioCar">
    <w:name w:val="Asunto del comentario Car"/>
    <w:basedOn w:val="TextocomentarioCar"/>
    <w:link w:val="Asuntodelcomentario"/>
    <w:uiPriority w:val="99"/>
    <w:semiHidden/>
    <w:rsid w:val="006E3891"/>
    <w:rPr>
      <w:b/>
      <w:bCs/>
      <w:sz w:val="20"/>
      <w:szCs w:val="20"/>
    </w:rPr>
  </w:style>
  <w:style w:type="paragraph" w:styleId="Textoindependiente">
    <w:name w:val="Body Text"/>
    <w:basedOn w:val="Normal"/>
    <w:link w:val="TextoindependienteCar"/>
    <w:uiPriority w:val="1"/>
    <w:qFormat/>
    <w:rsid w:val="00333524"/>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333524"/>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diana.blanco%40colombiacompra.gov.co%7C5aad36a736844ec87b2108dcc1fa4639%7C7b09041e245149d08cb179d5e3d8c1be%7C0%7C0%7C638598527917590308%7CUnknown%7CTWFpbGZsb3d8eyJWIjoiMC4wLjAwMDAiLCJQIjoiV2luMzIiLCJBTiI6Ik1haWwiLCJXVCI6Mn0%3D%7C0%7C%7C%7C&amp;sdata=20bTO%2BV9qR58r83wa63pBfbKVVpQa4CxfO3WRNMrKeM%3D&amp;reserved=0"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olasdavidmora@hot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BDE6B312-E360-4008-9A74-E2E58CE86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17</Pages>
  <Words>4816</Words>
  <Characters>26492</Characters>
  <Application>Microsoft Office Word</Application>
  <DocSecurity>0</DocSecurity>
  <Lines>220</Lines>
  <Paragraphs>62</Paragraphs>
  <ScaleCrop>false</ScaleCrop>
  <Company/>
  <LinksUpToDate>false</LinksUpToDate>
  <CharactersWithSpaces>31246</CharactersWithSpaces>
  <SharedDoc>false</SharedDoc>
  <HLinks>
    <vt:vector size="48"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7667813</vt:i4>
      </vt:variant>
      <vt:variant>
        <vt:i4>3</vt:i4>
      </vt:variant>
      <vt:variant>
        <vt:i4>0</vt:i4>
      </vt:variant>
      <vt:variant>
        <vt:i4>5</vt:i4>
      </vt:variant>
      <vt:variant>
        <vt:lpwstr>https://nam02.safelinks.protection.outlook.com/?url=https%3A%2F%2Frelatoria.colombiacompra.gov.co%2F&amp;data=05%7C02%7Cdiana.blanco%40colombiacompra.gov.co%7C5aad36a736844ec87b2108dcc1fa4639%7C7b09041e245149d08cb179d5e3d8c1be%7C0%7C0%7C638598527917590308%7CUnknown%7CTWFpbGZsb3d8eyJWIjoiMC4wLjAwMDAiLCJQIjoiV2luMzIiLCJBTiI6Ik1haWwiLCJXVCI6Mn0%3D%7C0%7C%7C%7C&amp;sdata=20bTO%2BV9qR58r83wa63pBfbKVVpQa4CxfO3WRNMrKeM%3D&amp;reserved=0</vt:lpwstr>
      </vt:variant>
      <vt:variant>
        <vt:lpwstr/>
      </vt:variant>
      <vt:variant>
        <vt:i4>852007</vt:i4>
      </vt:variant>
      <vt:variant>
        <vt:i4>0</vt:i4>
      </vt:variant>
      <vt:variant>
        <vt:i4>0</vt:i4>
      </vt:variant>
      <vt:variant>
        <vt:i4>5</vt:i4>
      </vt:variant>
      <vt:variant>
        <vt:lpwstr>mailto:nicolasdavidmora@hotmail.com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Andrea del Pilar Garzón Sánchez</cp:lastModifiedBy>
  <cp:revision>17</cp:revision>
  <cp:lastPrinted>2023-01-10T21:18:00Z</cp:lastPrinted>
  <dcterms:created xsi:type="dcterms:W3CDTF">2026-06-10T17:32:00Z</dcterms:created>
  <dcterms:modified xsi:type="dcterms:W3CDTF">2026-07-03T18:00:00Z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