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068FF" w14:textId="77777777" w:rsidR="00E47BE3" w:rsidRDefault="00E47BE3" w:rsidP="30821638">
      <w:pPr>
        <w:spacing w:after="0"/>
        <w:rPr>
          <w:rFonts w:ascii="Verdana" w:eastAsia="Verdana" w:hAnsi="Verdana" w:cs="Verdana"/>
        </w:rPr>
      </w:pPr>
      <w:bookmarkStart w:id="0" w:name="_Hlk143780582"/>
    </w:p>
    <w:p w14:paraId="0A3AF9B7" w14:textId="77777777" w:rsidR="00E47BE3" w:rsidRPr="0091122A" w:rsidRDefault="00E47BE3" w:rsidP="00E47BE3">
      <w:pPr>
        <w:spacing w:after="0"/>
        <w:jc w:val="both"/>
        <w:rPr>
          <w:rFonts w:ascii="Verdana" w:hAnsi="Verdana" w:cs="Arial"/>
          <w:b/>
          <w:bCs/>
          <w:lang w:val="es-ES_tradnl" w:eastAsia="es-ES" w:bidi="es-ES"/>
        </w:rPr>
      </w:pPr>
      <w:r w:rsidRPr="0091122A">
        <w:rPr>
          <w:rFonts w:ascii="Verdana" w:eastAsia="Arial" w:hAnsi="Verdana" w:cs="Arial"/>
          <w:b/>
          <w:lang w:val="es-ES"/>
        </w:rPr>
        <w:t>PRINCIPIO DE PUBLICIDAD – Concepto – Fundamento axiológico – Fundamento constitucional</w:t>
      </w:r>
      <w:r w:rsidRPr="0091122A">
        <w:rPr>
          <w:rFonts w:ascii="Verdana" w:hAnsi="Verdana" w:cs="Arial"/>
          <w:b/>
          <w:bCs/>
          <w:lang w:val="es-ES_tradnl" w:eastAsia="es-ES" w:bidi="es-ES"/>
        </w:rPr>
        <w:t xml:space="preserve"> </w:t>
      </w:r>
    </w:p>
    <w:p w14:paraId="138AA033" w14:textId="77777777" w:rsidR="00E47BE3" w:rsidRPr="0091122A" w:rsidRDefault="00E47BE3" w:rsidP="00E47BE3">
      <w:pPr>
        <w:spacing w:after="0" w:line="240" w:lineRule="auto"/>
        <w:jc w:val="both"/>
        <w:rPr>
          <w:rFonts w:ascii="Verdana" w:hAnsi="Verdana" w:cs="Arial"/>
          <w:b/>
          <w:bCs/>
          <w:sz w:val="20"/>
          <w:szCs w:val="20"/>
          <w:lang w:val="es-ES_tradnl" w:eastAsia="es-ES" w:bidi="es-ES"/>
        </w:rPr>
      </w:pPr>
    </w:p>
    <w:p w14:paraId="48307947" w14:textId="77777777" w:rsidR="00E47BE3" w:rsidRPr="0091122A" w:rsidRDefault="00E47BE3" w:rsidP="00E47BE3">
      <w:pPr>
        <w:spacing w:after="0" w:line="240" w:lineRule="auto"/>
        <w:jc w:val="both"/>
        <w:rPr>
          <w:rFonts w:ascii="Verdana" w:eastAsia="Times New Roman" w:hAnsi="Verdana" w:cs="Arial"/>
          <w:sz w:val="20"/>
          <w:szCs w:val="20"/>
          <w:lang w:val="es-ES" w:eastAsia="es-ES"/>
          <w14:ligatures w14:val="standardContextual"/>
        </w:rPr>
      </w:pPr>
      <w:r w:rsidRPr="0091122A">
        <w:rPr>
          <w:rFonts w:ascii="Verdana" w:eastAsia="Times New Roman" w:hAnsi="Verdana" w:cs="Arial"/>
          <w:sz w:val="20"/>
          <w:szCs w:val="20"/>
          <w:lang w:val="es-ES" w:eastAsia="es-ES"/>
          <w14:ligatures w14:val="standardContextual"/>
        </w:rPr>
        <w:t xml:space="preserve">Uno de los postulados más importantes de un Estado social y democrático de derecho es el principio de </w:t>
      </w:r>
      <w:r w:rsidRPr="0091122A">
        <w:rPr>
          <w:rFonts w:ascii="Verdana" w:eastAsia="Times New Roman" w:hAnsi="Verdana" w:cs="Arial"/>
          <w:i/>
          <w:iCs/>
          <w:sz w:val="20"/>
          <w:szCs w:val="20"/>
          <w:lang w:val="es-ES" w:eastAsia="es-ES"/>
          <w14:ligatures w14:val="standardContextual"/>
        </w:rPr>
        <w:t>publicidad</w:t>
      </w:r>
      <w:r w:rsidRPr="0091122A">
        <w:rPr>
          <w:rFonts w:ascii="Verdana" w:eastAsia="Times New Roman" w:hAnsi="Verdana" w:cs="Arial"/>
          <w:sz w:val="20"/>
          <w:szCs w:val="20"/>
          <w:lang w:val="es-ES" w:eastAsia="es-ES"/>
          <w14:ligatures w14:val="standardContextual"/>
        </w:rPr>
        <w:t xml:space="preserve">,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06A96DD7" w14:textId="77777777" w:rsidR="00E47BE3" w:rsidRDefault="00E47BE3" w:rsidP="00E47BE3">
      <w:pPr>
        <w:spacing w:after="0" w:line="240" w:lineRule="auto"/>
        <w:jc w:val="both"/>
        <w:rPr>
          <w:rFonts w:ascii="Verdana" w:eastAsia="Times New Roman" w:hAnsi="Verdana" w:cs="Arial"/>
          <w:sz w:val="20"/>
          <w:szCs w:val="20"/>
          <w:lang w:val="es-ES" w:eastAsia="es-ES"/>
          <w14:ligatures w14:val="standardContextual"/>
        </w:rPr>
      </w:pPr>
    </w:p>
    <w:p w14:paraId="2CE78ACD" w14:textId="77777777" w:rsidR="00E47BE3" w:rsidRPr="0091122A" w:rsidRDefault="00E47BE3" w:rsidP="00E47BE3">
      <w:pPr>
        <w:spacing w:after="0" w:line="240" w:lineRule="auto"/>
        <w:jc w:val="both"/>
        <w:rPr>
          <w:rFonts w:ascii="Verdana" w:eastAsia="Times New Roman" w:hAnsi="Verdana" w:cs="Arial"/>
          <w:sz w:val="20"/>
          <w:szCs w:val="20"/>
          <w:lang w:val="es-ES" w:eastAsia="es-ES"/>
          <w14:ligatures w14:val="standardContextual"/>
        </w:rPr>
      </w:pPr>
      <w:r w:rsidRPr="0091122A">
        <w:rPr>
          <w:rFonts w:ascii="Verdana" w:eastAsia="Times New Roman" w:hAnsi="Verdana" w:cs="Arial"/>
          <w:sz w:val="20"/>
          <w:szCs w:val="20"/>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49C4AF11" w14:textId="77777777" w:rsidR="00E47BE3" w:rsidRPr="0091122A" w:rsidRDefault="00E47BE3" w:rsidP="00E47BE3">
      <w:pPr>
        <w:spacing w:after="0"/>
        <w:jc w:val="both"/>
        <w:rPr>
          <w:rFonts w:ascii="Verdana" w:hAnsi="Verdana" w:cs="Arial"/>
          <w:b/>
          <w:bCs/>
          <w:lang w:val="es-ES" w:eastAsia="es-ES" w:bidi="es-ES"/>
        </w:rPr>
      </w:pPr>
    </w:p>
    <w:p w14:paraId="197CFBCA" w14:textId="77777777" w:rsidR="00E47BE3" w:rsidRPr="0091122A" w:rsidRDefault="00E47BE3" w:rsidP="00E47BE3">
      <w:pPr>
        <w:spacing w:after="0"/>
        <w:jc w:val="both"/>
        <w:rPr>
          <w:rFonts w:ascii="Verdana" w:hAnsi="Verdana" w:cs="Arial"/>
          <w:b/>
          <w:bCs/>
          <w:lang w:val="es-ES_tradnl" w:eastAsia="es-ES" w:bidi="es-ES"/>
        </w:rPr>
      </w:pPr>
      <w:r w:rsidRPr="0091122A">
        <w:rPr>
          <w:rFonts w:ascii="Verdana" w:hAnsi="Verdana" w:cs="Arial"/>
          <w:b/>
          <w:bCs/>
          <w:lang w:val="es-ES_tradnl" w:eastAsia="es-ES" w:bidi="es-ES"/>
        </w:rPr>
        <w:t xml:space="preserve">PRINCIPIO DE PUBLICIDAD – SECOP – Documentos del proceso – Deber de publicación </w:t>
      </w:r>
    </w:p>
    <w:p w14:paraId="6AD43B56" w14:textId="77777777" w:rsidR="00E47BE3" w:rsidRDefault="00E47BE3" w:rsidP="00E47BE3">
      <w:pPr>
        <w:spacing w:after="0"/>
        <w:jc w:val="both"/>
        <w:rPr>
          <w:rFonts w:ascii="Verdana" w:hAnsi="Verdana"/>
          <w:b/>
        </w:rPr>
      </w:pPr>
    </w:p>
    <w:p w14:paraId="6AF552F7" w14:textId="77777777" w:rsidR="00E47BE3" w:rsidRPr="0091122A" w:rsidRDefault="00E47BE3" w:rsidP="00E47BE3">
      <w:pPr>
        <w:spacing w:after="0" w:line="240" w:lineRule="auto"/>
        <w:jc w:val="both"/>
        <w:rPr>
          <w:rFonts w:ascii="Verdana" w:eastAsia="Times New Roman" w:hAnsi="Verdana" w:cs="Arial"/>
          <w:sz w:val="20"/>
          <w:szCs w:val="20"/>
          <w:lang w:val="es-ES_tradnl" w:eastAsia="es-ES_tradnl"/>
          <w14:ligatures w14:val="standardContextual"/>
        </w:rPr>
      </w:pPr>
      <w:r w:rsidRPr="0091122A">
        <w:rPr>
          <w:rFonts w:ascii="Verdana" w:eastAsia="Times New Roman" w:hAnsi="Verdana" w:cs="Arial"/>
          <w:sz w:val="20"/>
          <w:szCs w:val="20"/>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607CD054" w14:textId="77777777" w:rsidR="00E47BE3" w:rsidRDefault="00E47BE3" w:rsidP="00E47BE3">
      <w:pPr>
        <w:tabs>
          <w:tab w:val="left" w:pos="709"/>
        </w:tabs>
        <w:spacing w:after="0" w:line="240" w:lineRule="auto"/>
        <w:jc w:val="both"/>
        <w:rPr>
          <w:rFonts w:ascii="Verdana" w:hAnsi="Verdana" w:cs="Arial"/>
          <w:sz w:val="20"/>
          <w:szCs w:val="20"/>
          <w:shd w:val="clear" w:color="auto" w:fill="FFFFFF"/>
        </w:rPr>
      </w:pPr>
    </w:p>
    <w:p w14:paraId="2F51176F" w14:textId="77777777" w:rsidR="00E47BE3" w:rsidRPr="0091122A" w:rsidRDefault="00E47BE3" w:rsidP="00E47BE3">
      <w:pPr>
        <w:tabs>
          <w:tab w:val="left" w:pos="709"/>
        </w:tabs>
        <w:spacing w:after="0" w:line="240" w:lineRule="auto"/>
        <w:jc w:val="both"/>
        <w:rPr>
          <w:rFonts w:ascii="Verdana" w:hAnsi="Verdana" w:cs="Arial"/>
          <w:sz w:val="20"/>
          <w:szCs w:val="20"/>
          <w:shd w:val="clear" w:color="auto" w:fill="FFFFFF"/>
        </w:rPr>
      </w:pPr>
      <w:r w:rsidRPr="0091122A">
        <w:rPr>
          <w:rFonts w:ascii="Verdana" w:hAnsi="Verdana" w:cs="Arial"/>
          <w:sz w:val="20"/>
          <w:szCs w:val="20"/>
          <w:shd w:val="clear" w:color="auto" w:fill="FFFFFF"/>
        </w:rPr>
        <w:t xml:space="preserve">La expresión </w:t>
      </w:r>
      <w:r w:rsidRPr="0091122A">
        <w:rPr>
          <w:rFonts w:ascii="Verdana" w:hAnsi="Verdana" w:cs="Arial"/>
          <w:i/>
          <w:iCs/>
          <w:sz w:val="20"/>
          <w:szCs w:val="20"/>
          <w:shd w:val="clear" w:color="auto" w:fill="FFFFFF"/>
        </w:rPr>
        <w:t xml:space="preserve">Documentos del Proceso </w:t>
      </w:r>
      <w:r w:rsidRPr="0091122A">
        <w:rPr>
          <w:rFonts w:ascii="Verdana" w:hAnsi="Verdana" w:cs="Arial"/>
          <w:sz w:val="20"/>
          <w:szCs w:val="20"/>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91122A">
        <w:rPr>
          <w:rFonts w:ascii="Verdana" w:hAnsi="Verdana" w:cs="Arial"/>
          <w:i/>
          <w:iCs/>
          <w:sz w:val="20"/>
          <w:szCs w:val="20"/>
          <w:shd w:val="clear" w:color="auto" w:fill="FFFFFF"/>
        </w:rPr>
        <w:t>y cualquier otro documento expedido por la Entidad Estatal durante el Proceso de Contratación</w:t>
      </w:r>
      <w:r w:rsidRPr="0091122A">
        <w:rPr>
          <w:rFonts w:ascii="Verdana" w:hAnsi="Verdana" w:cs="Arial"/>
          <w:sz w:val="20"/>
          <w:szCs w:val="20"/>
          <w:shd w:val="clear" w:color="auto" w:fill="FFFFFF"/>
        </w:rPr>
        <w:t>”. [Énfasis fuera de texto]</w:t>
      </w:r>
    </w:p>
    <w:p w14:paraId="54FCCCE6" w14:textId="77777777" w:rsidR="00E47BE3" w:rsidRDefault="00E47BE3" w:rsidP="00E47BE3">
      <w:pPr>
        <w:tabs>
          <w:tab w:val="left" w:pos="709"/>
        </w:tabs>
        <w:spacing w:after="0" w:line="240" w:lineRule="auto"/>
        <w:jc w:val="both"/>
        <w:rPr>
          <w:rFonts w:ascii="Verdana" w:hAnsi="Verdana" w:cs="Arial"/>
          <w:sz w:val="20"/>
          <w:szCs w:val="20"/>
          <w:shd w:val="clear" w:color="auto" w:fill="FFFFFF"/>
        </w:rPr>
      </w:pPr>
    </w:p>
    <w:p w14:paraId="014D69A7" w14:textId="77777777" w:rsidR="00E47BE3" w:rsidRPr="0091122A" w:rsidRDefault="00E47BE3" w:rsidP="00E47BE3">
      <w:pPr>
        <w:tabs>
          <w:tab w:val="left" w:pos="709"/>
        </w:tabs>
        <w:spacing w:after="0" w:line="240" w:lineRule="auto"/>
        <w:jc w:val="both"/>
        <w:rPr>
          <w:rFonts w:ascii="Verdana" w:hAnsi="Verdana" w:cs="Arial"/>
          <w:sz w:val="20"/>
          <w:szCs w:val="20"/>
          <w:shd w:val="clear" w:color="auto" w:fill="FFFFFF"/>
        </w:rPr>
      </w:pPr>
      <w:r w:rsidRPr="0091122A">
        <w:rPr>
          <w:rFonts w:ascii="Verdana" w:hAnsi="Verdana" w:cs="Arial"/>
          <w:sz w:val="20"/>
          <w:szCs w:val="20"/>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91122A">
        <w:rPr>
          <w:rFonts w:ascii="Verdana" w:hAnsi="Verdana" w:cs="Arial"/>
          <w:i/>
          <w:iCs/>
          <w:sz w:val="20"/>
          <w:szCs w:val="20"/>
          <w:shd w:val="clear" w:color="auto" w:fill="FFFFFF"/>
        </w:rPr>
        <w:t>Ibidem</w:t>
      </w:r>
      <w:r w:rsidRPr="0091122A">
        <w:rPr>
          <w:rFonts w:ascii="Verdana" w:hAnsi="Verdana" w:cs="Arial"/>
          <w:sz w:val="20"/>
          <w:szCs w:val="20"/>
          <w:shd w:val="clear" w:color="auto" w:fill="FFFFFF"/>
        </w:rPr>
        <w:t xml:space="preserve"> recoge en la noción de </w:t>
      </w:r>
      <w:r w:rsidRPr="0091122A">
        <w:rPr>
          <w:rFonts w:ascii="Verdana" w:hAnsi="Verdana" w:cs="Arial"/>
          <w:sz w:val="20"/>
          <w:szCs w:val="20"/>
          <w:shd w:val="clear" w:color="auto" w:fill="FFFFFF"/>
        </w:rPr>
        <w:lastRenderedPageBreak/>
        <w:t xml:space="preserve">Documentos del Proceso “cualquier otro documento expedido por la Entidad Estatal durante el Proceso de Contratación”. </w:t>
      </w:r>
    </w:p>
    <w:p w14:paraId="11DAD3D5" w14:textId="77777777" w:rsidR="00E47BE3" w:rsidRDefault="00E47BE3" w:rsidP="00E47BE3">
      <w:pPr>
        <w:tabs>
          <w:tab w:val="left" w:pos="709"/>
        </w:tabs>
        <w:spacing w:after="0" w:line="240" w:lineRule="auto"/>
        <w:jc w:val="both"/>
        <w:rPr>
          <w:rFonts w:ascii="Verdana" w:hAnsi="Verdana" w:cs="Arial"/>
          <w:sz w:val="20"/>
          <w:szCs w:val="20"/>
          <w:shd w:val="clear" w:color="auto" w:fill="FFFFFF"/>
        </w:rPr>
      </w:pPr>
    </w:p>
    <w:p w14:paraId="12FD53A5" w14:textId="77777777" w:rsidR="00E47BE3" w:rsidRPr="0091122A" w:rsidRDefault="00E47BE3" w:rsidP="00E47BE3">
      <w:pPr>
        <w:tabs>
          <w:tab w:val="left" w:pos="709"/>
        </w:tabs>
        <w:spacing w:after="0" w:line="240" w:lineRule="auto"/>
        <w:jc w:val="both"/>
        <w:rPr>
          <w:rFonts w:ascii="Verdana" w:hAnsi="Verdana" w:cs="Arial"/>
          <w:sz w:val="20"/>
          <w:szCs w:val="20"/>
          <w:shd w:val="clear" w:color="auto" w:fill="FFFFFF"/>
        </w:rPr>
      </w:pPr>
      <w:r w:rsidRPr="0091122A">
        <w:rPr>
          <w:rFonts w:ascii="Verdana" w:hAnsi="Verdana" w:cs="Arial"/>
          <w:sz w:val="20"/>
          <w:szCs w:val="20"/>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1B7EA7F0" w14:textId="77777777" w:rsidR="00E47BE3" w:rsidRPr="0091122A" w:rsidRDefault="00E47BE3" w:rsidP="00E47BE3">
      <w:pPr>
        <w:spacing w:after="0"/>
        <w:jc w:val="both"/>
        <w:rPr>
          <w:rFonts w:ascii="Verdana" w:hAnsi="Verdana"/>
          <w:b/>
        </w:rPr>
      </w:pPr>
    </w:p>
    <w:p w14:paraId="64FD6CDA" w14:textId="77777777" w:rsidR="00E47BE3" w:rsidRPr="0091122A" w:rsidRDefault="00E47BE3" w:rsidP="00E47BE3">
      <w:pPr>
        <w:spacing w:after="0"/>
        <w:jc w:val="both"/>
        <w:rPr>
          <w:rFonts w:ascii="Verdana" w:hAnsi="Verdana" w:cs="Arial"/>
          <w:b/>
          <w:bCs/>
          <w:lang w:eastAsia="es-ES" w:bidi="es-ES"/>
        </w:rPr>
      </w:pPr>
      <w:r w:rsidRPr="0091122A">
        <w:rPr>
          <w:rFonts w:ascii="Verdana" w:hAnsi="Verdana" w:cs="Arial"/>
          <w:b/>
          <w:bCs/>
          <w:lang w:eastAsia="es-ES" w:bidi="es-ES"/>
        </w:rPr>
        <w:t xml:space="preserve">ENTIDADES CON RÉGIMEN ESPECIAL – Deber de publicar en SECOP – Artículo 53 Ley 2195 de 2022 </w:t>
      </w:r>
    </w:p>
    <w:p w14:paraId="6945D467" w14:textId="77777777" w:rsidR="00E47BE3" w:rsidRPr="00AE3717" w:rsidRDefault="00E47BE3" w:rsidP="00E47BE3">
      <w:pPr>
        <w:spacing w:after="0"/>
        <w:jc w:val="both"/>
        <w:rPr>
          <w:rFonts w:ascii="Verdana" w:hAnsi="Verdana" w:cs="Arial"/>
          <w:b/>
          <w:bCs/>
          <w:sz w:val="20"/>
          <w:szCs w:val="20"/>
          <w:lang w:eastAsia="es-ES" w:bidi="es-ES"/>
        </w:rPr>
      </w:pPr>
    </w:p>
    <w:p w14:paraId="36F25679" w14:textId="2EDA5438" w:rsidR="00E47BE3" w:rsidRDefault="00E47BE3" w:rsidP="00E47BE3">
      <w:pPr>
        <w:tabs>
          <w:tab w:val="left" w:pos="709"/>
        </w:tabs>
        <w:spacing w:after="0" w:line="240" w:lineRule="auto"/>
        <w:jc w:val="both"/>
        <w:rPr>
          <w:rFonts w:ascii="Verdana" w:eastAsia="Calibri" w:hAnsi="Verdana" w:cs="Arial"/>
          <w:color w:val="000000"/>
          <w:sz w:val="20"/>
          <w:szCs w:val="20"/>
        </w:rPr>
      </w:pPr>
      <w:r w:rsidRPr="00AE3717">
        <w:rPr>
          <w:rFonts w:ascii="Verdana" w:hAnsi="Verdana" w:cs="Arial"/>
          <w:sz w:val="20"/>
          <w:szCs w:val="20"/>
          <w:shd w:val="clear" w:color="auto" w:fill="FFFFFF"/>
        </w:rPr>
        <w:t xml:space="preserve">[…] </w:t>
      </w:r>
      <w:r w:rsidRPr="00AE3717">
        <w:rPr>
          <w:rFonts w:ascii="Verdana" w:eastAsia="Calibri" w:hAnsi="Verdana" w:cs="Arial"/>
          <w:color w:val="000000"/>
          <w:sz w:val="20"/>
          <w:szCs w:val="20"/>
        </w:rPr>
        <w:t>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postcontractual”.</w:t>
      </w:r>
    </w:p>
    <w:p w14:paraId="09EC3EBF" w14:textId="77777777" w:rsidR="00E47BE3" w:rsidRPr="00AE3717" w:rsidRDefault="00E47BE3" w:rsidP="00E47BE3">
      <w:pPr>
        <w:tabs>
          <w:tab w:val="left" w:pos="709"/>
        </w:tabs>
        <w:spacing w:after="0" w:line="240" w:lineRule="auto"/>
        <w:jc w:val="both"/>
        <w:rPr>
          <w:rFonts w:ascii="Verdana" w:eastAsia="Calibri" w:hAnsi="Verdana" w:cs="Arial"/>
          <w:color w:val="000000"/>
          <w:sz w:val="20"/>
          <w:szCs w:val="20"/>
        </w:rPr>
      </w:pPr>
    </w:p>
    <w:p w14:paraId="472FD03F" w14:textId="77777777" w:rsidR="00E47BE3" w:rsidRDefault="00E47BE3" w:rsidP="00E47BE3">
      <w:pPr>
        <w:spacing w:after="0" w:line="240" w:lineRule="auto"/>
        <w:jc w:val="both"/>
        <w:rPr>
          <w:rFonts w:ascii="Verdana" w:eastAsia="Calibri" w:hAnsi="Verdana" w:cs="Arial"/>
          <w:color w:val="000000"/>
          <w:sz w:val="20"/>
          <w:szCs w:val="20"/>
        </w:rPr>
      </w:pPr>
      <w:r w:rsidRPr="00AE3717">
        <w:rPr>
          <w:rFonts w:ascii="Verdana" w:eastAsia="Calibri" w:hAnsi="Verdana" w:cs="Arial"/>
          <w:color w:val="000000"/>
          <w:sz w:val="20"/>
          <w:szCs w:val="20"/>
        </w:rPr>
        <w:t>En ese sentido, dicho precepto anteriormente referenciado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que modificó el artículo 13 de la Ley 1150 de 2007, se requiere que publiquen en el SECOP II todo documento expedido durante las diferentes etapas del proceso contractual, abarcando desde la fase previa a su celebración, pasando por la ejecución y hasta la fase posterior a su ejecución. Adicionalmente se aclara, que el cumplimiento del deber de publicación de la documentación contractual debe armonizarse con las normas aplicables al tipo de información que estas contienen, si procede restricción de esta por una reserva constitucional o legal.</w:t>
      </w:r>
    </w:p>
    <w:p w14:paraId="1054D6D5" w14:textId="77777777" w:rsidR="00E47BE3" w:rsidRPr="00AF0096" w:rsidRDefault="00E47BE3" w:rsidP="00E47BE3">
      <w:pPr>
        <w:spacing w:after="0"/>
        <w:jc w:val="both"/>
        <w:rPr>
          <w:rFonts w:ascii="Verdana" w:hAnsi="Verdana"/>
          <w:b/>
        </w:rPr>
      </w:pPr>
    </w:p>
    <w:p w14:paraId="21C269F8" w14:textId="77777777" w:rsidR="00E47BE3" w:rsidRPr="00AF0096" w:rsidRDefault="00E47BE3" w:rsidP="00E47BE3">
      <w:pPr>
        <w:spacing w:after="0" w:line="240" w:lineRule="auto"/>
        <w:jc w:val="both"/>
        <w:rPr>
          <w:rFonts w:ascii="Verdana" w:hAnsi="Verdana" w:cs="Arial"/>
          <w:b/>
          <w:bCs/>
          <w:lang w:eastAsia="es-ES" w:bidi="es-ES"/>
        </w:rPr>
      </w:pPr>
      <w:r w:rsidRPr="00AF0096">
        <w:rPr>
          <w:rFonts w:ascii="Verdana" w:hAnsi="Verdana" w:cs="Arial"/>
          <w:b/>
          <w:bCs/>
          <w:lang w:eastAsia="es-ES" w:bidi="es-ES"/>
        </w:rPr>
        <w:t xml:space="preserve">ENTIDADES DE RÉGIMEN ESPECIAL – SECOP II- Módulo de Régimen Especial – Con oferta – Sin Oferta </w:t>
      </w:r>
    </w:p>
    <w:p w14:paraId="3A681899" w14:textId="77777777" w:rsidR="00E47BE3" w:rsidRDefault="00E47BE3" w:rsidP="00E47BE3">
      <w:pPr>
        <w:spacing w:after="0" w:line="240" w:lineRule="auto"/>
        <w:rPr>
          <w:rFonts w:ascii="Verdana" w:hAnsi="Verdana" w:cs="Arial"/>
          <w:bCs/>
          <w:lang w:eastAsia="es-ES" w:bidi="es-ES"/>
        </w:rPr>
      </w:pPr>
    </w:p>
    <w:p w14:paraId="468486B0" w14:textId="77777777" w:rsidR="00E47BE3" w:rsidRPr="00AF0096" w:rsidRDefault="00E47BE3" w:rsidP="00E47BE3">
      <w:pPr>
        <w:spacing w:after="0" w:line="240" w:lineRule="auto"/>
        <w:jc w:val="both"/>
        <w:rPr>
          <w:rFonts w:ascii="Verdana" w:hAnsi="Verdana" w:cs="Arial"/>
          <w:bCs/>
          <w:sz w:val="20"/>
          <w:szCs w:val="20"/>
          <w:lang w:eastAsia="es-ES" w:bidi="es-ES"/>
        </w:rPr>
      </w:pPr>
      <w:r w:rsidRPr="00AF0096">
        <w:rPr>
          <w:rFonts w:ascii="Verdana" w:hAnsi="Verdana" w:cs="Arial"/>
          <w:bCs/>
          <w:sz w:val="20"/>
          <w:szCs w:val="20"/>
          <w:lang w:eastAsia="es-ES" w:bidi="es-ES"/>
        </w:rPr>
        <w:t>Teniendo en cuenta, la obligatoriedad de</w:t>
      </w:r>
      <w:r w:rsidRPr="00AF0096">
        <w:rPr>
          <w:rFonts w:ascii="Verdana" w:hAnsi="Verdana" w:cs="Arial"/>
          <w:bCs/>
          <w:sz w:val="20"/>
          <w:szCs w:val="20"/>
          <w:lang w:val="es-ES" w:eastAsia="es-ES" w:bidi="es-ES"/>
        </w:rPr>
        <w:t xml:space="preserve"> SECOP II para entidades de régimen especial, es preciso señalar que está habilitado dos módulos para dichas entidades: i) Régimen Especial con Ofertas, que consiste en un procedimiento contractual que se desarrolla en línea y dentro de la plataforma, en el que las entidades pueden estructurar el proceso de contratación y recibir las ofertas de los proveedores y generar el contrato electrónico y demás documentos, conformándose un expediente electrónico; ii) Régimen Especial sin Ofertas, que consiste en que las entidades pueden estructurar el Proceso de Contratación, generar el contrato electrónico y realizar la gestión contractual. Al respecto, </w:t>
      </w:r>
      <w:r w:rsidRPr="00AF0096">
        <w:rPr>
          <w:rFonts w:ascii="Verdana" w:hAnsi="Verdana" w:cs="Arial"/>
          <w:bCs/>
          <w:sz w:val="20"/>
          <w:szCs w:val="20"/>
          <w:lang w:eastAsia="es-ES" w:bidi="es-ES"/>
        </w:rPr>
        <w:t>la Circular Externa No. 002 del 23 de agosto de 2024, estableció los lineamientos para la aplicación del artículo 53 de la Ley 2195 de 2022 por parte de las Entidades Estales que por disposición legal cuentan con un régimen contractual excepcional al Estatuto General de Contratación de la Administración Pública.</w:t>
      </w:r>
    </w:p>
    <w:p w14:paraId="652FF75C" w14:textId="77777777" w:rsidR="00E47BE3" w:rsidRPr="00AF0096" w:rsidRDefault="00E47BE3" w:rsidP="00E47BE3">
      <w:pPr>
        <w:spacing w:after="0" w:line="240" w:lineRule="auto"/>
        <w:jc w:val="both"/>
        <w:rPr>
          <w:rFonts w:ascii="Verdana" w:hAnsi="Verdana" w:cs="Arial"/>
          <w:b/>
          <w:bCs/>
          <w:lang w:eastAsia="es-ES" w:bidi="es-ES"/>
        </w:rPr>
      </w:pPr>
    </w:p>
    <w:p w14:paraId="7C317410" w14:textId="77777777" w:rsidR="00E47BE3" w:rsidRPr="00AF0096" w:rsidRDefault="00E47BE3" w:rsidP="00E47BE3">
      <w:pPr>
        <w:spacing w:after="0" w:line="240" w:lineRule="auto"/>
        <w:jc w:val="both"/>
        <w:rPr>
          <w:rFonts w:ascii="Verdana" w:hAnsi="Verdana" w:cs="Arial"/>
          <w:b/>
          <w:bCs/>
          <w:lang w:eastAsia="es-ES" w:bidi="es-ES"/>
        </w:rPr>
      </w:pPr>
      <w:r w:rsidRPr="00AF0096">
        <w:rPr>
          <w:rFonts w:ascii="Verdana" w:hAnsi="Verdana" w:cs="Arial"/>
          <w:b/>
          <w:bCs/>
          <w:lang w:eastAsia="es-ES" w:bidi="es-ES"/>
        </w:rPr>
        <w:t xml:space="preserve">ACCESO A DOCUMENTACIÓN PÚBLICA – Derecho fundamental – Transparencia – Información contractual </w:t>
      </w:r>
    </w:p>
    <w:p w14:paraId="103E7C62" w14:textId="77777777" w:rsidR="00E47BE3" w:rsidRDefault="00E47BE3" w:rsidP="00E47BE3">
      <w:pPr>
        <w:spacing w:after="0" w:line="240" w:lineRule="auto"/>
        <w:rPr>
          <w:rFonts w:ascii="Verdana" w:hAnsi="Verdana" w:cs="Arial"/>
          <w:bCs/>
          <w:lang w:eastAsia="es-ES" w:bidi="es-ES"/>
        </w:rPr>
      </w:pPr>
    </w:p>
    <w:p w14:paraId="483664BD" w14:textId="77777777" w:rsidR="00E47BE3" w:rsidRPr="003C3C40" w:rsidRDefault="00E47BE3" w:rsidP="00E47BE3">
      <w:pPr>
        <w:spacing w:after="0" w:line="240" w:lineRule="auto"/>
        <w:jc w:val="both"/>
        <w:rPr>
          <w:rFonts w:ascii="Verdana" w:hAnsi="Verdana" w:cs="Arial"/>
          <w:bCs/>
          <w:sz w:val="20"/>
          <w:lang w:eastAsia="es-ES" w:bidi="es-ES"/>
        </w:rPr>
      </w:pPr>
      <w:r>
        <w:rPr>
          <w:rFonts w:ascii="Verdana" w:hAnsi="Verdana" w:cs="Arial"/>
          <w:bCs/>
          <w:sz w:val="20"/>
          <w:lang w:eastAsia="es-ES" w:bidi="es-ES"/>
        </w:rPr>
        <w:t xml:space="preserve">[…] </w:t>
      </w:r>
      <w:r w:rsidRPr="003C3C40">
        <w:rPr>
          <w:rFonts w:ascii="Verdana" w:hAnsi="Verdana" w:cs="Arial"/>
          <w:bCs/>
          <w:sz w:val="20"/>
          <w:lang w:eastAsia="es-ES" w:bidi="es-ES"/>
        </w:rPr>
        <w:t>el cumplimiento del deber de publicación de la documentación contractual debe armonizarse con las normas aplicables al tipo de información que estas contienen, teniendo en cuenta que el artículo 74 de la Constitución establece que la información pública debe ser dada a conocer a la ciudadanía y así los documentos que hagan parte de la actividad contractual puedan catalogarse, prima facie, como información pública, salvo que dicha documentación contenga información sometida a alguna reserva, que establezca la Constitución o la ley, aplicando algunas restricciones a su publicidad o suministro. Sin embargo, esto no necesariamente convierte el documento completo en reservado, es decir, en un documento que no puede publicarse. Al respecto, la Ley Estatutaria 1712 de 2014 define en el artículo 5° dos tipos de información que tendrá el carácter reservado, como es la información pública clasificada y la información pública reservada […]</w:t>
      </w:r>
    </w:p>
    <w:p w14:paraId="69C375C8" w14:textId="77777777" w:rsidR="00E47BE3" w:rsidRPr="003C3C40" w:rsidRDefault="00E47BE3" w:rsidP="00E47BE3">
      <w:pPr>
        <w:spacing w:after="0" w:line="240" w:lineRule="auto"/>
        <w:jc w:val="both"/>
        <w:rPr>
          <w:rFonts w:ascii="Verdana" w:hAnsi="Verdana" w:cs="Arial"/>
          <w:bCs/>
          <w:sz w:val="20"/>
          <w:lang w:eastAsia="es-ES" w:bidi="es-ES"/>
        </w:rPr>
      </w:pPr>
    </w:p>
    <w:p w14:paraId="0A8A72AB" w14:textId="77777777" w:rsidR="00E47BE3" w:rsidRPr="003C3C40" w:rsidRDefault="00E47BE3" w:rsidP="00E47BE3">
      <w:pPr>
        <w:spacing w:after="0" w:line="240" w:lineRule="auto"/>
        <w:jc w:val="both"/>
        <w:rPr>
          <w:rFonts w:ascii="Verdana" w:hAnsi="Verdana" w:cs="Arial"/>
          <w:bCs/>
          <w:sz w:val="20"/>
          <w:lang w:eastAsia="es-ES" w:bidi="es-ES"/>
        </w:rPr>
      </w:pPr>
      <w:r w:rsidRPr="003C3C40">
        <w:rPr>
          <w:rFonts w:ascii="Verdana" w:hAnsi="Verdana" w:cs="Arial"/>
          <w:bCs/>
          <w:sz w:val="20"/>
          <w:lang w:eastAsia="es-ES" w:bidi="es-ES"/>
        </w:rPr>
        <w:t xml:space="preserve">Estos dos tipos de información están contenidos en los artículos 18 y 19 de la Ley 1712 de 2014. Lo anterior significa que, respecto de datos que contengan información clasificada por protección de derechos particulares o reservada por defensa de intereses públicos, las entidades deberán proceder de conformidad con lo dispuesto en la Ley 1712 de 2014 y sus decretos reglamentarios sobre el manejo de la información que está sometida a reserva. </w:t>
      </w:r>
    </w:p>
    <w:p w14:paraId="7C5DCB01" w14:textId="77777777" w:rsidR="00E47BE3" w:rsidRPr="003C3C40" w:rsidRDefault="00E47BE3" w:rsidP="00E47BE3">
      <w:pPr>
        <w:spacing w:after="0" w:line="240" w:lineRule="auto"/>
        <w:jc w:val="both"/>
        <w:rPr>
          <w:rFonts w:ascii="Verdana" w:hAnsi="Verdana" w:cs="Arial"/>
          <w:b/>
          <w:bCs/>
          <w:lang w:eastAsia="es-ES" w:bidi="es-ES"/>
        </w:rPr>
      </w:pPr>
    </w:p>
    <w:p w14:paraId="3541F11B" w14:textId="77777777" w:rsidR="00E47BE3" w:rsidRPr="003C3C40" w:rsidRDefault="00E47BE3" w:rsidP="00E47BE3">
      <w:pPr>
        <w:spacing w:after="0" w:line="240" w:lineRule="auto"/>
        <w:jc w:val="both"/>
        <w:rPr>
          <w:rFonts w:ascii="Verdana" w:hAnsi="Verdana" w:cs="Arial"/>
          <w:b/>
          <w:bCs/>
          <w:lang w:eastAsia="es-ES" w:bidi="es-ES"/>
        </w:rPr>
      </w:pPr>
      <w:r w:rsidRPr="003C3C40">
        <w:rPr>
          <w:rFonts w:ascii="Verdana" w:hAnsi="Verdana" w:cs="Arial"/>
          <w:b/>
          <w:bCs/>
          <w:lang w:eastAsia="es-ES" w:bidi="es-ES"/>
        </w:rPr>
        <w:t>SECRETOS EMPRESARIALES – Secreto Comercial – Secreto Industrial – Concepto – Alcance</w:t>
      </w:r>
    </w:p>
    <w:p w14:paraId="3DCB6982" w14:textId="77777777" w:rsidR="00E47BE3" w:rsidRDefault="00E47BE3" w:rsidP="00E47BE3">
      <w:pPr>
        <w:spacing w:after="0" w:line="240" w:lineRule="auto"/>
        <w:rPr>
          <w:rFonts w:ascii="Verdana" w:hAnsi="Verdana" w:cs="Arial"/>
          <w:bCs/>
          <w:lang w:eastAsia="es-ES" w:bidi="es-ES"/>
        </w:rPr>
      </w:pPr>
    </w:p>
    <w:p w14:paraId="3F9B6BC1" w14:textId="77777777" w:rsidR="00E47BE3" w:rsidRPr="003C3C40" w:rsidRDefault="00E47BE3" w:rsidP="00E47BE3">
      <w:pPr>
        <w:spacing w:after="0" w:line="240" w:lineRule="auto"/>
        <w:jc w:val="both"/>
        <w:rPr>
          <w:rFonts w:ascii="Verdana" w:hAnsi="Verdana" w:cs="Arial"/>
          <w:bCs/>
          <w:sz w:val="20"/>
          <w:szCs w:val="20"/>
          <w:lang w:eastAsia="es-ES" w:bidi="es-ES"/>
        </w:rPr>
      </w:pPr>
      <w:r w:rsidRPr="003C3C40">
        <w:rPr>
          <w:rFonts w:ascii="Verdana" w:hAnsi="Verdana" w:cs="Arial"/>
          <w:bCs/>
          <w:sz w:val="20"/>
          <w:szCs w:val="20"/>
          <w:lang w:eastAsia="es-ES" w:bidi="es-ES"/>
        </w:rPr>
        <w:t>De las materias sujetas de reserva de información establecidas en las Leyes Estatutarias 1712 de 2014 y 1755 de 2015, se encuentra los secretos comerciales o industriales con sus respectivos pronunciamientos de constitucionalidad. Para ello, es necesario entender que los secretos industriales son definidos por la Superintendencia de Industria y Comercio, así: “[…] conjunto de conocimientos o informaciones que no son de dominio público, que son necesarios para la fabricación o comercialización de un producto, para la producción o prestación de un bien o servicio, o para la organización y financiación de una empresa o de una unidad o dependencia empresarial, y que, por ello, procura a quien los domina, una ventaja”. Mientras, el secreto comercial es definido por el Diccionario Panhispánico Jurídico de la siguiente forma: “[…] Información que no es generalmente conocida por las personas pertenecientes a los círculos en que normalmente se utilice este tipo de información, ni es fácilmente accesible para aquellas, tiene valor comercial y no ha sido divulgada o ha sido objeto de medidas razonables para mantenerla reservada”.</w:t>
      </w:r>
    </w:p>
    <w:p w14:paraId="4881A88C" w14:textId="77777777" w:rsidR="00E47BE3" w:rsidRPr="003C3C40" w:rsidRDefault="00E47BE3" w:rsidP="00E47BE3">
      <w:pPr>
        <w:spacing w:after="0" w:line="240" w:lineRule="auto"/>
        <w:jc w:val="both"/>
        <w:rPr>
          <w:rFonts w:ascii="Verdana" w:hAnsi="Verdana" w:cs="Arial"/>
          <w:bCs/>
          <w:sz w:val="20"/>
          <w:szCs w:val="20"/>
          <w:lang w:eastAsia="es-ES" w:bidi="es-ES"/>
        </w:rPr>
      </w:pPr>
      <w:r>
        <w:rPr>
          <w:rFonts w:ascii="Verdana" w:hAnsi="Verdana" w:cs="Arial"/>
          <w:bCs/>
          <w:sz w:val="20"/>
          <w:szCs w:val="20"/>
          <w:lang w:eastAsia="es-ES" w:bidi="es-ES"/>
        </w:rPr>
        <w:t>[…]</w:t>
      </w:r>
    </w:p>
    <w:p w14:paraId="312BF01B" w14:textId="77777777" w:rsidR="00E47BE3" w:rsidRPr="003C3C40" w:rsidRDefault="00E47BE3" w:rsidP="00E47BE3">
      <w:pPr>
        <w:spacing w:after="0" w:line="240" w:lineRule="auto"/>
        <w:jc w:val="both"/>
        <w:rPr>
          <w:rFonts w:ascii="Verdana" w:hAnsi="Verdana" w:cs="Arial"/>
          <w:bCs/>
          <w:sz w:val="20"/>
          <w:szCs w:val="20"/>
          <w:lang w:eastAsia="es-ES" w:bidi="es-ES"/>
        </w:rPr>
      </w:pPr>
      <w:r w:rsidRPr="003C3C40">
        <w:rPr>
          <w:rFonts w:ascii="Verdana" w:hAnsi="Verdana" w:cs="Arial"/>
          <w:bCs/>
          <w:sz w:val="20"/>
          <w:szCs w:val="20"/>
          <w:lang w:eastAsia="es-ES" w:bidi="es-ES"/>
        </w:rPr>
        <w:t xml:space="preserve">De acuerdo al artículo precitado, para que se configure el secreto empresarial, el cual abarca tanto los secretos industriales, comerciales o cualquier otra información que pueda usarse en alguna actividad productiva, debe cumplir tres condiciones: i) Secreta, que significa que no es de conocimiento público ni fácilmente accesible para quienes normalmente manejan información en ese sector; ii) Valor comercial, que implica que su carácter de secreto le otorga una ventaja competitiva o económica; iii) protección razonable: en el sentido de que el titular ha tomado medidas para mantenerla en confidencialidad -cláusulas de confidencialidad, acceso restringido, protocolos de seguridad, entre otros-. Dichos secretos se tratan de una trata de una garantía del derecho a la libre competencia económica amparado en el artículo 333 de la Constitución Política. Si bien, el artículo 260 de la Comunidad Andina de Naciones no establece una forma de proteger el secreto, sí prescribe que el poseedor tendrá el deber de adoptar los mecanismos que resulten razonables para evitar que la información sea de conocimiento público para impedir su fácil acceso. </w:t>
      </w:r>
      <w:proofErr w:type="gramStart"/>
      <w:r w:rsidRPr="003C3C40">
        <w:rPr>
          <w:rFonts w:ascii="Verdana" w:hAnsi="Verdana" w:cs="Arial"/>
          <w:bCs/>
          <w:sz w:val="20"/>
          <w:szCs w:val="20"/>
          <w:lang w:eastAsia="es-ES" w:bidi="es-ES"/>
        </w:rPr>
        <w:t>Uno</w:t>
      </w:r>
      <w:proofErr w:type="gramEnd"/>
      <w:r w:rsidRPr="003C3C40">
        <w:rPr>
          <w:rFonts w:ascii="Verdana" w:hAnsi="Verdana" w:cs="Arial"/>
          <w:bCs/>
          <w:sz w:val="20"/>
          <w:szCs w:val="20"/>
          <w:lang w:eastAsia="es-ES" w:bidi="es-ES"/>
        </w:rPr>
        <w:t xml:space="preserve"> de las formas más usados para tal fin, es la estipulación de cláusulas de confidencialidad, en las que se restrinja el uso público de la información que se comparte en virtud del contrato. </w:t>
      </w:r>
    </w:p>
    <w:p w14:paraId="7DA70F33" w14:textId="77777777" w:rsidR="00E47BE3" w:rsidRDefault="00E47BE3" w:rsidP="00E47BE3">
      <w:pPr>
        <w:spacing w:after="0" w:line="240" w:lineRule="auto"/>
        <w:rPr>
          <w:rFonts w:ascii="Verdana" w:hAnsi="Verdana" w:cs="Arial"/>
          <w:bCs/>
          <w:lang w:eastAsia="es-ES" w:bidi="es-ES"/>
        </w:rPr>
      </w:pPr>
    </w:p>
    <w:p w14:paraId="0CFF1E1A" w14:textId="77777777" w:rsidR="00E47BE3" w:rsidRPr="003C3C40" w:rsidRDefault="00E47BE3" w:rsidP="00E47BE3">
      <w:pPr>
        <w:spacing w:after="0" w:line="240" w:lineRule="auto"/>
        <w:jc w:val="both"/>
        <w:rPr>
          <w:rFonts w:ascii="Verdana" w:hAnsi="Verdana" w:cs="Arial"/>
          <w:b/>
          <w:bCs/>
          <w:lang w:eastAsia="es-ES" w:bidi="es-ES"/>
        </w:rPr>
      </w:pPr>
      <w:r w:rsidRPr="003C3C40">
        <w:rPr>
          <w:rFonts w:ascii="Verdana" w:hAnsi="Verdana" w:cs="Arial"/>
          <w:b/>
          <w:bCs/>
          <w:lang w:eastAsia="es-ES" w:bidi="es-ES"/>
        </w:rPr>
        <w:t>PRINCIPIO DE PUBLICIDAD -Reserva legal – Excepción – Divulgación parcial de la información- SECOP</w:t>
      </w:r>
    </w:p>
    <w:p w14:paraId="3232879D" w14:textId="77777777" w:rsidR="00E47BE3" w:rsidRDefault="00E47BE3" w:rsidP="00E47BE3">
      <w:pPr>
        <w:spacing w:after="0" w:line="240" w:lineRule="auto"/>
        <w:jc w:val="both"/>
        <w:rPr>
          <w:rFonts w:ascii="Verdana" w:hAnsi="Verdana" w:cs="Arial"/>
          <w:bCs/>
          <w:sz w:val="20"/>
          <w:lang w:eastAsia="es-ES" w:bidi="es-ES"/>
        </w:rPr>
      </w:pPr>
    </w:p>
    <w:p w14:paraId="57896667" w14:textId="77777777" w:rsidR="00E47BE3" w:rsidRDefault="00E47BE3" w:rsidP="00E47BE3">
      <w:pPr>
        <w:spacing w:after="0" w:line="240" w:lineRule="auto"/>
        <w:jc w:val="both"/>
        <w:rPr>
          <w:rFonts w:ascii="Verdana" w:hAnsi="Verdana" w:cs="Arial"/>
          <w:bCs/>
          <w:sz w:val="20"/>
          <w:lang w:eastAsia="es-ES" w:bidi="es-ES"/>
        </w:rPr>
      </w:pPr>
      <w:r w:rsidRPr="003C3C40">
        <w:rPr>
          <w:rFonts w:ascii="Verdana" w:hAnsi="Verdana" w:cs="Arial"/>
          <w:bCs/>
          <w:sz w:val="20"/>
          <w:lang w:eastAsia="es-ES" w:bidi="es-ES"/>
        </w:rPr>
        <w:t xml:space="preserve">En efecto, el principio o regla general consiste en la máxima publicidad de la información pública y lo excepcional es la reserva, razón por la cual el artículo 21 de la Ley 1712 de 2014 incluso exige la divulgación parcial de la información contenida en un documento, cuando este contenga parte de información sometida a reserva, pero también incluya información que no esté afectada por la reserva. Además, dicha disposición establece que la reserva de acceso a la información aplica respecto al contenido de un documento público, pero no respecto de su existencia. Sin perjuicio de lo anterior, es posible que el contenido de todo el documento o expediente no deba ser objeto de publicidad por estar amparado de forma íntegra por la reserva, dada su conexión con las causales establecidas en la Constitución o la ley, como puede ser los secretos comerciales o industriales. </w:t>
      </w:r>
    </w:p>
    <w:p w14:paraId="4D2A6B7D" w14:textId="77777777" w:rsidR="00E47BE3" w:rsidRPr="003C3C40" w:rsidRDefault="00E47BE3" w:rsidP="00E47BE3">
      <w:pPr>
        <w:spacing w:after="0" w:line="240" w:lineRule="auto"/>
        <w:jc w:val="both"/>
        <w:rPr>
          <w:rFonts w:ascii="Verdana" w:hAnsi="Verdana" w:cs="Arial"/>
          <w:bCs/>
          <w:sz w:val="20"/>
          <w:lang w:eastAsia="es-ES" w:bidi="es-ES"/>
        </w:rPr>
      </w:pPr>
    </w:p>
    <w:p w14:paraId="6F6A6DBA" w14:textId="77777777" w:rsidR="00E47BE3" w:rsidRPr="003C3C40" w:rsidRDefault="00E47BE3" w:rsidP="00E47BE3">
      <w:pPr>
        <w:spacing w:after="0" w:line="240" w:lineRule="auto"/>
        <w:jc w:val="both"/>
        <w:rPr>
          <w:rFonts w:ascii="Verdana" w:hAnsi="Verdana" w:cs="Arial"/>
          <w:bCs/>
          <w:sz w:val="20"/>
          <w:lang w:eastAsia="es-ES" w:bidi="es-ES"/>
        </w:rPr>
      </w:pPr>
      <w:r w:rsidRPr="003C3C40">
        <w:rPr>
          <w:rFonts w:ascii="Verdana" w:hAnsi="Verdana" w:cs="Arial"/>
          <w:bCs/>
          <w:sz w:val="20"/>
          <w:lang w:eastAsia="es-ES" w:bidi="es-ES"/>
        </w:rPr>
        <w:t>De esta forma, cuando el documento contractual contenga información sensible, clasificada o reservada, para proteger la reserva de información, las autoridades deben abstenerse de publicar en el SECOP la información que tiene protección especial o está sometida a reserva, o según el caso, suministrarla. En tal sentido, el segundo inciso del artículo 25 de la Ley 1437 de 2011 sustituido por el artículo 2° de la Ley 1755 de 2015: “La restricción por reserva legal no se extenderá a otras piezas del respectivo expediente o actuación que no estén cubiertas por ella”.</w:t>
      </w:r>
    </w:p>
    <w:p w14:paraId="6100782C" w14:textId="77777777" w:rsidR="00E47BE3" w:rsidRDefault="00E47BE3" w:rsidP="00E47BE3">
      <w:pPr>
        <w:spacing w:after="0"/>
        <w:jc w:val="both"/>
        <w:rPr>
          <w:rFonts w:ascii="Verdana" w:hAnsi="Verdana" w:cs="Arial"/>
          <w:bCs/>
          <w:lang w:eastAsia="es-ES" w:bidi="es-ES"/>
        </w:rPr>
      </w:pPr>
      <w:r>
        <w:rPr>
          <w:rFonts w:ascii="Verdana" w:hAnsi="Verdana" w:cs="Arial"/>
          <w:bCs/>
          <w:lang w:eastAsia="es-ES" w:bidi="es-ES"/>
        </w:rPr>
        <w:t>[…]</w:t>
      </w:r>
    </w:p>
    <w:p w14:paraId="6A0F16B5" w14:textId="77777777" w:rsidR="00E47BE3" w:rsidRPr="003C3C40" w:rsidRDefault="00E47BE3" w:rsidP="00E47BE3">
      <w:pPr>
        <w:spacing w:after="0"/>
        <w:jc w:val="both"/>
        <w:rPr>
          <w:rFonts w:ascii="Verdana" w:hAnsi="Verdana" w:cs="Arial"/>
          <w:bCs/>
          <w:sz w:val="20"/>
          <w:lang w:eastAsia="es-ES" w:bidi="es-ES"/>
        </w:rPr>
      </w:pPr>
      <w:r w:rsidRPr="003C3C40">
        <w:rPr>
          <w:rFonts w:ascii="Verdana" w:hAnsi="Verdana" w:cs="Arial"/>
          <w:bCs/>
          <w:sz w:val="20"/>
          <w:lang w:eastAsia="es-ES" w:bidi="es-ES"/>
        </w:rPr>
        <w:t>Al respecto, el Decreto 1081 de 2015 en su artículo 2.1.1.4.3.2 establece que, si un mismo acto o documento contiene información que puede divulgarse y a su vez, información clasificada o reservada, la entidad debe revelar los datos no protegidos y presentar los fundamentos constitucionales y legales por los que retiene los datos que no puede divulgar. De igual modo, deben revisar si los documentos contienen datos que no deban divulgarse, conforme a los fundamentos constitucionales y legales, y por tanto, tachar los apartes clasificados o reservados del documento, anonimizar, transliterar o editar el documento para suprimir la información que no puede difundirse; así como abrir un nuevo expediente con la información pública que pueda divulgar; o en su defecto, acudir a las acciones que sean necesarias para cumplir con su deber de permitir el acceso a toda aquella información que no esté clasificada o reservada, teniendo en cuenta el formato y medio de conservación de la información.</w:t>
      </w:r>
    </w:p>
    <w:p w14:paraId="5FE71F14" w14:textId="77777777" w:rsidR="00E47BE3" w:rsidRDefault="00E47BE3" w:rsidP="00E47BE3">
      <w:pPr>
        <w:spacing w:after="0"/>
        <w:rPr>
          <w:rFonts w:ascii="Verdana" w:hAnsi="Verdana" w:cs="Arial"/>
          <w:bCs/>
          <w:lang w:eastAsia="es-ES" w:bidi="es-ES"/>
        </w:rPr>
      </w:pPr>
    </w:p>
    <w:p w14:paraId="40A02FBC" w14:textId="77777777" w:rsidR="00E47BE3" w:rsidRDefault="00E47BE3" w:rsidP="00E47BE3">
      <w:pPr>
        <w:spacing w:after="0"/>
        <w:rPr>
          <w:rFonts w:ascii="Verdana" w:hAnsi="Verdana" w:cs="Arial"/>
          <w:bCs/>
          <w:lang w:eastAsia="es-ES" w:bidi="es-ES"/>
        </w:rPr>
      </w:pPr>
    </w:p>
    <w:p w14:paraId="5C542798" w14:textId="77777777" w:rsidR="00E47BE3" w:rsidRDefault="00E47BE3" w:rsidP="00E47BE3">
      <w:pPr>
        <w:spacing w:after="0"/>
        <w:rPr>
          <w:rFonts w:ascii="Verdana" w:hAnsi="Verdana" w:cs="Arial"/>
          <w:bCs/>
          <w:lang w:eastAsia="es-ES" w:bidi="es-ES"/>
        </w:rPr>
      </w:pPr>
    </w:p>
    <w:p w14:paraId="237FEC6E" w14:textId="77777777" w:rsidR="00E47BE3" w:rsidRDefault="00E47BE3" w:rsidP="00E47BE3">
      <w:pPr>
        <w:spacing w:after="0"/>
        <w:rPr>
          <w:rFonts w:ascii="Verdana" w:hAnsi="Verdana" w:cs="Arial"/>
          <w:bCs/>
          <w:lang w:eastAsia="es-ES" w:bidi="es-ES"/>
        </w:rPr>
      </w:pPr>
    </w:p>
    <w:p w14:paraId="7D9DF540" w14:textId="77777777" w:rsidR="00E47BE3" w:rsidRDefault="00E47BE3" w:rsidP="00E47BE3">
      <w:pPr>
        <w:spacing w:after="0"/>
        <w:rPr>
          <w:rFonts w:ascii="Verdana" w:hAnsi="Verdana" w:cs="Arial"/>
          <w:bCs/>
          <w:lang w:eastAsia="es-ES" w:bidi="es-ES"/>
        </w:rPr>
      </w:pPr>
    </w:p>
    <w:p w14:paraId="2FD6886B" w14:textId="77777777" w:rsidR="00E47BE3" w:rsidRDefault="00E47BE3" w:rsidP="00E47BE3">
      <w:pPr>
        <w:spacing w:after="0"/>
        <w:rPr>
          <w:rFonts w:ascii="Verdana" w:hAnsi="Verdana" w:cs="Arial"/>
          <w:bCs/>
          <w:lang w:eastAsia="es-ES" w:bidi="es-ES"/>
        </w:rPr>
      </w:pPr>
    </w:p>
    <w:p w14:paraId="7B3CC78D" w14:textId="77777777" w:rsidR="00111C99" w:rsidRDefault="00E47BE3" w:rsidP="00111C99">
      <w:r>
        <w:rPr>
          <w:rFonts w:ascii="Verdana" w:eastAsia="Verdana" w:hAnsi="Verdana" w:cs="Verdana"/>
        </w:rPr>
        <w:br w:type="page"/>
      </w:r>
      <w:r w:rsidR="00C15139" w:rsidRPr="30821638">
        <w:rPr>
          <w:rFonts w:ascii="Verdana" w:eastAsia="Verdana" w:hAnsi="Verdana" w:cs="Verdana"/>
        </w:rPr>
        <w:t xml:space="preserve">Bogotá D.C., </w:t>
      </w:r>
      <w:r w:rsidR="00192C1D">
        <w:rPr>
          <w:rFonts w:ascii="Verdana" w:eastAsia="Verdana" w:hAnsi="Verdana" w:cs="Verdana"/>
        </w:rPr>
        <w:t>01 junio 2026</w:t>
      </w:r>
      <w:r w:rsidR="00C15139">
        <w:tab/>
      </w:r>
      <w:r w:rsidR="00C15139">
        <w:br/>
      </w:r>
    </w:p>
    <w:p w14:paraId="5F2CD078" w14:textId="190F4E55" w:rsidR="00C15139" w:rsidRPr="00111C99" w:rsidRDefault="00192C1D" w:rsidP="00111C99">
      <w:pPr>
        <w:rPr>
          <w:rFonts w:ascii="Verdana" w:eastAsia="Verdana" w:hAnsi="Verdana" w:cs="Verdana"/>
        </w:rPr>
      </w:pPr>
      <w:r w:rsidRPr="00192C1D">
        <w:rPr>
          <w:rFonts w:ascii="Verdana" w:eastAsia="Verdana" w:hAnsi="Verdana" w:cs="Verdana"/>
          <w:noProof/>
        </w:rPr>
        <w:drawing>
          <wp:anchor distT="0" distB="0" distL="114300" distR="114300" simplePos="0" relativeHeight="251660288" behindDoc="1" locked="0" layoutInCell="1" allowOverlap="1" wp14:anchorId="147110B1" wp14:editId="40C49D34">
            <wp:simplePos x="0" y="0"/>
            <wp:positionH relativeFrom="column">
              <wp:posOffset>3336290</wp:posOffset>
            </wp:positionH>
            <wp:positionV relativeFrom="paragraph">
              <wp:posOffset>-4445</wp:posOffset>
            </wp:positionV>
            <wp:extent cx="2346325" cy="862330"/>
            <wp:effectExtent l="0" t="0" r="0" b="0"/>
            <wp:wrapTight wrapText="bothSides">
              <wp:wrapPolygon edited="0">
                <wp:start x="0" y="0"/>
                <wp:lineTo x="0" y="20996"/>
                <wp:lineTo x="21395" y="20996"/>
                <wp:lineTo x="21395" y="0"/>
                <wp:lineTo x="0" y="0"/>
              </wp:wrapPolygon>
            </wp:wrapTight>
            <wp:docPr id="13456574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46325" cy="8623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lang w:val="es-MX"/>
        </w:rPr>
        <w:t>Señor (a)</w:t>
      </w:r>
    </w:p>
    <w:p w14:paraId="4EED72CF" w14:textId="6834BC68" w:rsidR="00C15139" w:rsidRPr="008C6AA6" w:rsidRDefault="00185E2F" w:rsidP="00185E2F">
      <w:pPr>
        <w:spacing w:after="0"/>
        <w:rPr>
          <w:rFonts w:ascii="Verdana" w:eastAsia="Verdana" w:hAnsi="Verdana" w:cs="Verdana"/>
          <w:b/>
          <w:bCs/>
        </w:rPr>
      </w:pPr>
      <w:r w:rsidRPr="008C6AA6">
        <w:rPr>
          <w:rFonts w:ascii="Verdana" w:eastAsia="Verdana" w:hAnsi="Verdana" w:cs="Verdana"/>
          <w:b/>
          <w:bCs/>
        </w:rPr>
        <w:t>Sebastián Alfonso Rueda Quesada</w:t>
      </w:r>
    </w:p>
    <w:p w14:paraId="3659A9E4" w14:textId="4326FBED" w:rsidR="00D4514F" w:rsidRDefault="00D4514F" w:rsidP="00185E2F">
      <w:pPr>
        <w:spacing w:after="0"/>
        <w:rPr>
          <w:rFonts w:ascii="Verdana" w:eastAsia="Verdana" w:hAnsi="Verdana" w:cs="Verdana"/>
        </w:rPr>
      </w:pPr>
      <w:hyperlink r:id="rId12" w:history="1">
        <w:r w:rsidRPr="0038317C">
          <w:rPr>
            <w:rStyle w:val="Hipervnculo"/>
            <w:rFonts w:ascii="Verdana" w:eastAsia="Verdana" w:hAnsi="Verdana" w:cs="Verdana"/>
          </w:rPr>
          <w:t>Sebas_rueda08@hotmail.com</w:t>
        </w:r>
      </w:hyperlink>
    </w:p>
    <w:p w14:paraId="26D188DA" w14:textId="1C979F2F" w:rsidR="00D4514F" w:rsidRPr="000E2B93" w:rsidRDefault="00190C61" w:rsidP="00185E2F">
      <w:pPr>
        <w:spacing w:after="0"/>
        <w:rPr>
          <w:rFonts w:ascii="Verdana" w:eastAsia="Verdana" w:hAnsi="Verdana" w:cs="Verdana"/>
        </w:rPr>
      </w:pPr>
      <w:r>
        <w:rPr>
          <w:rFonts w:ascii="Verdana" w:eastAsia="Verdana" w:hAnsi="Verdana" w:cs="Verdana"/>
        </w:rPr>
        <w:t>Ciudad</w:t>
      </w:r>
    </w:p>
    <w:p w14:paraId="4B03230F" w14:textId="77777777" w:rsidR="00E245AB" w:rsidRPr="00E02524" w:rsidRDefault="00E245AB" w:rsidP="30821638">
      <w:pPr>
        <w:spacing w:after="0"/>
        <w:rPr>
          <w:rFonts w:ascii="Verdana" w:eastAsia="Verdana" w:hAnsi="Verdana" w:cs="Verdana"/>
        </w:rPr>
      </w:pPr>
    </w:p>
    <w:p w14:paraId="01804E15" w14:textId="77777777" w:rsidR="00E245AB" w:rsidRPr="00E02524" w:rsidRDefault="00E245AB" w:rsidP="30821638">
      <w:pPr>
        <w:spacing w:after="0"/>
        <w:rPr>
          <w:rFonts w:ascii="Verdana" w:eastAsia="Verdana" w:hAnsi="Verdana" w:cs="Verdana"/>
        </w:rPr>
      </w:pPr>
    </w:p>
    <w:p w14:paraId="1B6C0D12" w14:textId="77777777" w:rsidR="00BA6076" w:rsidRPr="00B57A1B" w:rsidRDefault="00BA6076" w:rsidP="00BA6076">
      <w:pPr>
        <w:spacing w:after="0" w:line="240" w:lineRule="auto"/>
        <w:rPr>
          <w:rFonts w:ascii="Verdana" w:eastAsia="Calibri" w:hAnsi="Verdana" w:cs="Times New Roman"/>
        </w:rPr>
      </w:pPr>
    </w:p>
    <w:p w14:paraId="1B3E3DD0" w14:textId="208CB4A2" w:rsidR="00BA6076" w:rsidRPr="00B57A1B" w:rsidRDefault="00BA6076" w:rsidP="00BA6076">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w:t>
      </w:r>
      <w:r w:rsidR="004C6753">
        <w:rPr>
          <w:rFonts w:ascii="Verdana" w:eastAsia="Calibri" w:hAnsi="Verdana" w:cs="Times New Roman"/>
          <w:b/>
          <w:bCs/>
          <w:lang w:val="es-ES"/>
        </w:rPr>
        <w:t>C-</w:t>
      </w:r>
      <w:r w:rsidR="009E07D3">
        <w:rPr>
          <w:rFonts w:ascii="Verdana" w:eastAsia="Calibri" w:hAnsi="Verdana" w:cs="Times New Roman"/>
          <w:b/>
          <w:bCs/>
          <w:lang w:val="es-ES"/>
        </w:rPr>
        <w:t>659 de 2026</w:t>
      </w:r>
    </w:p>
    <w:p w14:paraId="3DD618F9" w14:textId="77777777" w:rsidR="00BA6076" w:rsidRPr="00B57A1B" w:rsidRDefault="00BA6076" w:rsidP="00BA6076">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BA6076" w:rsidRPr="00B57A1B" w14:paraId="465267E9" w14:textId="77777777" w:rsidTr="003D0350">
        <w:trPr>
          <w:trHeight w:val="645"/>
        </w:trPr>
        <w:tc>
          <w:tcPr>
            <w:tcW w:w="2685" w:type="dxa"/>
            <w:hideMark/>
          </w:tcPr>
          <w:p w14:paraId="5988DC13" w14:textId="77777777" w:rsidR="00BA6076" w:rsidRPr="00B57A1B" w:rsidRDefault="00BA6076" w:rsidP="003D0350">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790A90D0" w14:textId="77777777" w:rsidR="00423581" w:rsidRPr="00AD6B46" w:rsidRDefault="00423581" w:rsidP="00423581">
            <w:pPr>
              <w:spacing w:line="276" w:lineRule="auto"/>
              <w:jc w:val="both"/>
              <w:rPr>
                <w:rFonts w:ascii="Verdana" w:hAnsi="Verdana" w:cs="Arial"/>
                <w:bCs/>
                <w:lang w:val="es-MX" w:eastAsia="es-ES" w:bidi="es-ES"/>
              </w:rPr>
            </w:pPr>
            <w:r w:rsidRPr="00AD6B46">
              <w:rPr>
                <w:rFonts w:ascii="Verdana" w:eastAsia="Arial" w:hAnsi="Verdana" w:cs="Arial"/>
                <w:lang w:val="es-ES"/>
              </w:rPr>
              <w:t>PRINCIPIO DE PUBLICIDAD – Concepto – Fundamento axiológico – Fundamento constitucional</w:t>
            </w:r>
            <w:r w:rsidRPr="00AD6B46">
              <w:rPr>
                <w:rFonts w:ascii="Verdana" w:hAnsi="Verdana" w:cs="Arial"/>
                <w:bCs/>
                <w:lang w:val="es-ES_tradnl" w:eastAsia="es-ES" w:bidi="es-ES"/>
              </w:rPr>
              <w:t xml:space="preserve"> / PRINCIPIO DE PUBLICIDAD – SECOP – Documentos del proceso – Deber de publicación / </w:t>
            </w:r>
            <w:r w:rsidRPr="00AD6B46">
              <w:rPr>
                <w:rFonts w:ascii="Verdana" w:hAnsi="Verdana" w:cs="Arial"/>
                <w:bCs/>
                <w:lang w:eastAsia="es-ES" w:bidi="es-ES"/>
              </w:rPr>
              <w:t>ENTIDADES CON RÉGIMEN ESPECIAL – Deber de publicar en SECOP – Artículo 53 Ley 2195 de 2022</w:t>
            </w:r>
            <w:r>
              <w:rPr>
                <w:rFonts w:ascii="Verdana" w:hAnsi="Verdana" w:cs="Arial"/>
                <w:bCs/>
                <w:lang w:eastAsia="es-ES" w:bidi="es-ES"/>
              </w:rPr>
              <w:t xml:space="preserve"> / ENTIDADES DE RÉGIMEN ESPECIAL – SECOP II- Módulo de Régimen Especial – Con oferta – Sin Oferta</w:t>
            </w:r>
            <w:r w:rsidRPr="00AD6B46">
              <w:rPr>
                <w:rFonts w:ascii="Verdana" w:hAnsi="Verdana" w:cs="Arial"/>
                <w:bCs/>
                <w:lang w:eastAsia="es-ES" w:bidi="es-ES"/>
              </w:rPr>
              <w:t xml:space="preserve"> / ACCESO A DOCUMENTACIÓN PÚBLICA – Derecho fundamental – Transparencia – Información contractual / </w:t>
            </w:r>
            <w:r>
              <w:rPr>
                <w:rFonts w:ascii="Verdana" w:hAnsi="Verdana" w:cs="Arial"/>
                <w:bCs/>
                <w:lang w:eastAsia="es-ES" w:bidi="es-ES"/>
              </w:rPr>
              <w:t xml:space="preserve">SECRETOS EMPRESARIALES – Secreto Comercial – Secreto Industrial – Concepto – Alcance / </w:t>
            </w:r>
            <w:r w:rsidRPr="00AD6B46">
              <w:rPr>
                <w:rFonts w:ascii="Verdana" w:hAnsi="Verdana" w:cs="Arial"/>
                <w:bCs/>
                <w:lang w:eastAsia="es-ES" w:bidi="es-ES"/>
              </w:rPr>
              <w:t xml:space="preserve">PRINCIPIO DE PUBLICIDAD -Reserva legal – Excepción – Divulgación parcial de la información- SECOP. </w:t>
            </w:r>
          </w:p>
          <w:p w14:paraId="4340019F" w14:textId="0A22EDD4" w:rsidR="00BA6076" w:rsidRPr="00423581" w:rsidRDefault="00BA6076" w:rsidP="003D0350">
            <w:pPr>
              <w:spacing w:line="276" w:lineRule="auto"/>
              <w:jc w:val="both"/>
              <w:rPr>
                <w:rFonts w:ascii="Verdana" w:hAnsi="Verdana" w:cs="Arial"/>
                <w:lang w:val="es-MX" w:eastAsia="es-ES"/>
              </w:rPr>
            </w:pPr>
          </w:p>
          <w:p w14:paraId="098B0669" w14:textId="77777777" w:rsidR="00BA6076" w:rsidRPr="00B57A1B" w:rsidRDefault="00BA6076" w:rsidP="003D0350">
            <w:pPr>
              <w:spacing w:line="276" w:lineRule="auto"/>
              <w:jc w:val="both"/>
              <w:rPr>
                <w:rFonts w:ascii="Verdana" w:hAnsi="Verdana" w:cs="Arial"/>
                <w:lang w:val="es-ES" w:eastAsia="es-ES"/>
              </w:rPr>
            </w:pPr>
          </w:p>
        </w:tc>
        <w:tc>
          <w:tcPr>
            <w:tcW w:w="6237" w:type="dxa"/>
          </w:tcPr>
          <w:p w14:paraId="35818EDC" w14:textId="77777777" w:rsidR="00BA6076" w:rsidRPr="00D820F2" w:rsidRDefault="00BA6076" w:rsidP="003D0350">
            <w:pPr>
              <w:spacing w:line="256" w:lineRule="auto"/>
              <w:rPr>
                <w:rFonts w:ascii="Verdana" w:hAnsi="Verdana"/>
                <w:lang w:val="es-ES"/>
              </w:rPr>
            </w:pPr>
          </w:p>
        </w:tc>
      </w:tr>
      <w:tr w:rsidR="00BA6076" w:rsidRPr="00B57A1B" w14:paraId="1D32EE62" w14:textId="77777777" w:rsidTr="003D0350">
        <w:tc>
          <w:tcPr>
            <w:tcW w:w="2685" w:type="dxa"/>
          </w:tcPr>
          <w:p w14:paraId="62693540" w14:textId="77777777" w:rsidR="00BA6076" w:rsidRPr="00B57A1B" w:rsidRDefault="00BA6076" w:rsidP="003D0350">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792CCFC2" w14:textId="3B00B78D" w:rsidR="00BA6076" w:rsidRPr="00A467EE" w:rsidRDefault="00BA6076" w:rsidP="003D0350">
            <w:pPr>
              <w:spacing w:line="257" w:lineRule="auto"/>
              <w:jc w:val="both"/>
              <w:rPr>
                <w:rFonts w:ascii="Verdana" w:hAnsi="Verdana"/>
                <w:lang w:val="es-ES_tradnl"/>
              </w:rPr>
            </w:pPr>
            <w:r w:rsidRPr="00B57A1B">
              <w:rPr>
                <w:rFonts w:ascii="Verdana" w:hAnsi="Verdana"/>
                <w:lang w:val="es-ES_tradnl"/>
              </w:rPr>
              <w:t>Respue</w:t>
            </w:r>
            <w:r>
              <w:rPr>
                <w:rFonts w:ascii="Verdana" w:hAnsi="Verdana"/>
                <w:lang w:val="es-ES_tradnl"/>
              </w:rPr>
              <w:t xml:space="preserve">sta a consulta con radicado No. </w:t>
            </w:r>
            <w:r w:rsidR="00027E15" w:rsidRPr="00027E15">
              <w:rPr>
                <w:rFonts w:ascii="Verdana" w:hAnsi="Verdana"/>
                <w:lang w:val="es-ES_tradnl"/>
              </w:rPr>
              <w:t>1_2026_04_22_005445</w:t>
            </w:r>
          </w:p>
          <w:p w14:paraId="472B3AD0" w14:textId="77777777" w:rsidR="00BA6076" w:rsidRPr="00B57A1B" w:rsidRDefault="00BA6076" w:rsidP="003D0350">
            <w:pPr>
              <w:spacing w:line="257" w:lineRule="auto"/>
              <w:jc w:val="both"/>
              <w:rPr>
                <w:rFonts w:ascii="Verdana" w:hAnsi="Verdana"/>
              </w:rPr>
            </w:pPr>
          </w:p>
          <w:p w14:paraId="607C28C9" w14:textId="77777777" w:rsidR="00BA6076" w:rsidRPr="00B57A1B" w:rsidRDefault="00BA6076" w:rsidP="003D0350">
            <w:pPr>
              <w:spacing w:line="257" w:lineRule="auto"/>
              <w:jc w:val="both"/>
              <w:rPr>
                <w:rFonts w:ascii="Verdana" w:hAnsi="Verdana"/>
              </w:rPr>
            </w:pPr>
          </w:p>
        </w:tc>
        <w:tc>
          <w:tcPr>
            <w:tcW w:w="6237" w:type="dxa"/>
          </w:tcPr>
          <w:p w14:paraId="16357E17" w14:textId="77777777" w:rsidR="00BA6076" w:rsidRPr="00B57A1B" w:rsidRDefault="00BA6076" w:rsidP="003D0350">
            <w:pPr>
              <w:spacing w:line="256" w:lineRule="auto"/>
              <w:rPr>
                <w:rFonts w:ascii="Verdana" w:hAnsi="Verdana"/>
                <w:lang w:val="es-ES_tradnl"/>
              </w:rPr>
            </w:pPr>
          </w:p>
        </w:tc>
      </w:tr>
    </w:tbl>
    <w:p w14:paraId="45EFD7A7" w14:textId="702D2C05" w:rsidR="00BA6076" w:rsidRPr="00B57A1B" w:rsidRDefault="00BA6076" w:rsidP="00BA6076">
      <w:pPr>
        <w:spacing w:after="0" w:line="256" w:lineRule="auto"/>
        <w:rPr>
          <w:rFonts w:ascii="Verdana" w:eastAsia="Calibri" w:hAnsi="Verdana" w:cs="Times New Roman"/>
          <w:lang w:val="es-ES"/>
        </w:rPr>
      </w:pPr>
      <w:r w:rsidRPr="00B57A1B">
        <w:rPr>
          <w:rFonts w:ascii="Verdana" w:eastAsia="Calibri" w:hAnsi="Verdana" w:cs="Times New Roman"/>
          <w:lang w:val="es-ES"/>
        </w:rPr>
        <w:t>Estimad</w:t>
      </w:r>
      <w:r>
        <w:rPr>
          <w:rFonts w:ascii="Verdana" w:eastAsia="Calibri" w:hAnsi="Verdana" w:cs="Times New Roman"/>
          <w:lang w:val="es-ES"/>
        </w:rPr>
        <w:t xml:space="preserve">o señor Rueda: </w:t>
      </w:r>
    </w:p>
    <w:p w14:paraId="1D310866" w14:textId="77777777" w:rsidR="00BA6076" w:rsidRPr="00B57A1B" w:rsidRDefault="00BA6076" w:rsidP="00BA6076">
      <w:pPr>
        <w:spacing w:after="0" w:line="256" w:lineRule="auto"/>
        <w:rPr>
          <w:rFonts w:ascii="Verdana" w:eastAsia="Calibri" w:hAnsi="Verdana" w:cs="Times New Roman"/>
          <w:lang w:val="es-ES"/>
        </w:rPr>
      </w:pPr>
    </w:p>
    <w:p w14:paraId="7D1BE5A7" w14:textId="7CFD3509" w:rsidR="00BA6076" w:rsidRDefault="00BA6076" w:rsidP="00BA6076">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del 2</w:t>
      </w:r>
      <w:r w:rsidR="00027E15">
        <w:rPr>
          <w:rFonts w:ascii="Verdana" w:eastAsia="Calibri" w:hAnsi="Verdana" w:cs="Times New Roman"/>
          <w:bCs/>
          <w:lang w:val="es-ES" w:bidi="es-ES"/>
        </w:rPr>
        <w:t>2</w:t>
      </w:r>
      <w:r>
        <w:rPr>
          <w:rFonts w:ascii="Verdana" w:eastAsia="Calibri" w:hAnsi="Verdana" w:cs="Times New Roman"/>
          <w:bCs/>
          <w:lang w:val="es-ES" w:bidi="es-ES"/>
        </w:rPr>
        <w:t xml:space="preserve"> de</w:t>
      </w:r>
      <w:r w:rsidR="00027E15">
        <w:rPr>
          <w:rFonts w:ascii="Verdana" w:eastAsia="Calibri" w:hAnsi="Verdana" w:cs="Times New Roman"/>
          <w:bCs/>
          <w:lang w:val="es-ES" w:bidi="es-ES"/>
        </w:rPr>
        <w:t xml:space="preserve"> abril de 2026</w:t>
      </w:r>
      <w:r w:rsidRPr="00B57A1B">
        <w:rPr>
          <w:rFonts w:ascii="Verdana" w:eastAsia="Calibri" w:hAnsi="Verdana" w:cs="Times New Roman"/>
          <w:bCs/>
          <w:lang w:val="es-ES" w:bidi="es-ES"/>
        </w:rPr>
        <w:t xml:space="preserve">, en la cual manifiesta: </w:t>
      </w:r>
    </w:p>
    <w:p w14:paraId="32462524" w14:textId="77777777" w:rsidR="00BA6076" w:rsidRPr="00586328" w:rsidRDefault="00BA6076" w:rsidP="00BA6076">
      <w:pPr>
        <w:spacing w:after="0" w:line="240" w:lineRule="auto"/>
        <w:jc w:val="both"/>
        <w:rPr>
          <w:rFonts w:ascii="Verdana" w:eastAsia="Calibri" w:hAnsi="Verdana" w:cs="Times New Roman"/>
          <w:bCs/>
          <w:lang w:bidi="es-ES"/>
        </w:rPr>
      </w:pPr>
    </w:p>
    <w:p w14:paraId="3C867E7D" w14:textId="6D3AB6FA" w:rsidR="00BA6076" w:rsidRDefault="00BA6076" w:rsidP="00027E15">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w:t>
      </w:r>
      <w:r w:rsidR="00027E15">
        <w:rPr>
          <w:rFonts w:ascii="Verdana" w:eastAsia="Calibri" w:hAnsi="Verdana" w:cs="Times New Roman"/>
          <w:bCs/>
          <w:sz w:val="21"/>
          <w:szCs w:val="21"/>
          <w:lang w:bidi="es-ES"/>
        </w:rPr>
        <w:t xml:space="preserve">[…] </w:t>
      </w:r>
    </w:p>
    <w:p w14:paraId="5DC92CD7" w14:textId="77777777" w:rsidR="00027E15" w:rsidRDefault="00027E15" w:rsidP="00027E15">
      <w:pPr>
        <w:spacing w:after="0" w:line="240" w:lineRule="auto"/>
        <w:ind w:left="709" w:right="709"/>
        <w:jc w:val="both"/>
        <w:rPr>
          <w:rFonts w:ascii="Verdana" w:eastAsia="Calibri" w:hAnsi="Verdana" w:cs="Times New Roman"/>
          <w:bCs/>
          <w:sz w:val="21"/>
          <w:szCs w:val="21"/>
          <w:lang w:bidi="es-ES"/>
        </w:rPr>
      </w:pPr>
    </w:p>
    <w:p w14:paraId="2B9F0AD9" w14:textId="08661DE0" w:rsidR="00027E15" w:rsidRDefault="00565844" w:rsidP="00027E15">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PRIMERA: ¿Se encuentra una Empresa de Servicios Públicos (E.S.P.) que desarrolla su objeto en un mercado de libre competencia, obligada legalmente a publicar en el SECOP la totalidad de sus contratos, incluso aquellos que NO</w:t>
      </w:r>
      <w:r w:rsidR="004A17B5">
        <w:rPr>
          <w:rFonts w:ascii="Verdana" w:eastAsia="Calibri" w:hAnsi="Verdana" w:cs="Times New Roman"/>
          <w:bCs/>
          <w:sz w:val="21"/>
          <w:szCs w:val="21"/>
          <w:lang w:bidi="es-ES"/>
        </w:rPr>
        <w:t xml:space="preserve"> guardan </w:t>
      </w:r>
      <w:r w:rsidR="004B5AA9">
        <w:rPr>
          <w:rFonts w:ascii="Verdana" w:eastAsia="Calibri" w:hAnsi="Verdana" w:cs="Times New Roman"/>
          <w:bCs/>
          <w:sz w:val="21"/>
          <w:szCs w:val="21"/>
          <w:lang w:bidi="es-ES"/>
        </w:rPr>
        <w:t>relación</w:t>
      </w:r>
      <w:r w:rsidR="004A17B5">
        <w:rPr>
          <w:rFonts w:ascii="Verdana" w:eastAsia="Calibri" w:hAnsi="Verdana" w:cs="Times New Roman"/>
          <w:bCs/>
          <w:sz w:val="21"/>
          <w:szCs w:val="21"/>
          <w:lang w:bidi="es-ES"/>
        </w:rPr>
        <w:t xml:space="preserve"> directa con la prestación del servicio público?</w:t>
      </w:r>
    </w:p>
    <w:p w14:paraId="0B51D257" w14:textId="77777777" w:rsidR="004A17B5" w:rsidRDefault="004A17B5" w:rsidP="00027E15">
      <w:pPr>
        <w:spacing w:after="0" w:line="240" w:lineRule="auto"/>
        <w:ind w:left="709" w:right="709"/>
        <w:jc w:val="both"/>
        <w:rPr>
          <w:rFonts w:ascii="Verdana" w:eastAsia="Calibri" w:hAnsi="Verdana" w:cs="Times New Roman"/>
          <w:bCs/>
          <w:sz w:val="21"/>
          <w:szCs w:val="21"/>
          <w:lang w:bidi="es-ES"/>
        </w:rPr>
      </w:pPr>
    </w:p>
    <w:p w14:paraId="3E8EA480" w14:textId="7764F8F8" w:rsidR="004A17B5" w:rsidRDefault="004A17B5" w:rsidP="00027E15">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SEGUNDA: De acuerdo con el tenor literal del artículo 5, literal c, de la Ley 1712 de 2014, ¿s</w:t>
      </w:r>
      <w:r w:rsidR="0086445A">
        <w:rPr>
          <w:rFonts w:ascii="Verdana" w:eastAsia="Calibri" w:hAnsi="Verdana" w:cs="Times New Roman"/>
          <w:bCs/>
          <w:sz w:val="21"/>
          <w:szCs w:val="21"/>
          <w:lang w:bidi="es-ES"/>
        </w:rPr>
        <w:t>e entiende que la obligación de transparencia para las E.S.P.</w:t>
      </w:r>
      <w:r w:rsidR="009E74EB">
        <w:rPr>
          <w:rFonts w:ascii="Verdana" w:eastAsia="Calibri" w:hAnsi="Verdana" w:cs="Times New Roman"/>
          <w:bCs/>
          <w:sz w:val="21"/>
          <w:szCs w:val="21"/>
          <w:lang w:bidi="es-ES"/>
        </w:rPr>
        <w:t xml:space="preserve"> está limitada única y exclusivamente a la </w:t>
      </w:r>
      <w:r w:rsidR="004B5AA9">
        <w:rPr>
          <w:rFonts w:ascii="Verdana" w:eastAsia="Calibri" w:hAnsi="Verdana" w:cs="Times New Roman"/>
          <w:bCs/>
          <w:sz w:val="21"/>
          <w:szCs w:val="21"/>
          <w:lang w:bidi="es-ES"/>
        </w:rPr>
        <w:t>información</w:t>
      </w:r>
      <w:r w:rsidR="009E74EB">
        <w:rPr>
          <w:rFonts w:ascii="Verdana" w:eastAsia="Calibri" w:hAnsi="Verdana" w:cs="Times New Roman"/>
          <w:bCs/>
          <w:sz w:val="21"/>
          <w:szCs w:val="21"/>
          <w:lang w:bidi="es-ES"/>
        </w:rPr>
        <w:t xml:space="preserve"> que esté “directamente relacionada con la prestación del servicio público</w:t>
      </w:r>
      <w:r w:rsidR="004B5AA9">
        <w:rPr>
          <w:rFonts w:ascii="Verdana" w:eastAsia="Calibri" w:hAnsi="Verdana" w:cs="Times New Roman"/>
          <w:bCs/>
          <w:sz w:val="21"/>
          <w:szCs w:val="21"/>
          <w:lang w:bidi="es-ES"/>
        </w:rPr>
        <w:t>”?</w:t>
      </w:r>
    </w:p>
    <w:p w14:paraId="3D6E0C11" w14:textId="77777777" w:rsidR="004B5AA9" w:rsidRDefault="004B5AA9" w:rsidP="00027E15">
      <w:pPr>
        <w:spacing w:after="0" w:line="240" w:lineRule="auto"/>
        <w:ind w:left="709" w:right="709"/>
        <w:jc w:val="both"/>
        <w:rPr>
          <w:rFonts w:ascii="Verdana" w:eastAsia="Calibri" w:hAnsi="Verdana" w:cs="Times New Roman"/>
          <w:bCs/>
          <w:sz w:val="21"/>
          <w:szCs w:val="21"/>
          <w:lang w:bidi="es-ES"/>
        </w:rPr>
      </w:pPr>
    </w:p>
    <w:p w14:paraId="2729A3D5" w14:textId="430F3A5F" w:rsidR="004B5AA9" w:rsidRDefault="004B5AA9" w:rsidP="00027E15">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 xml:space="preserve">TERCERA: ¿La protección del secreto comercial, industrial y el derecho a la libre competencia, amparados por el ordenamiento jurídico, constituyen una excepción legal valida para que una E.S.P. </w:t>
      </w:r>
      <w:r w:rsidR="00ED6546">
        <w:rPr>
          <w:rFonts w:ascii="Verdana" w:eastAsia="Calibri" w:hAnsi="Verdana" w:cs="Times New Roman"/>
          <w:bCs/>
          <w:sz w:val="21"/>
          <w:szCs w:val="21"/>
          <w:lang w:bidi="es-ES"/>
        </w:rPr>
        <w:t>se abstenga de publicar contratos cuya divulgación ponga en riesgo su estrategia competitiva frente a otros agentes del mercado?</w:t>
      </w:r>
    </w:p>
    <w:p w14:paraId="2609DEB4" w14:textId="77777777" w:rsidR="00ED6546" w:rsidRDefault="00ED6546" w:rsidP="00027E15">
      <w:pPr>
        <w:spacing w:after="0" w:line="240" w:lineRule="auto"/>
        <w:ind w:left="709" w:right="709"/>
        <w:jc w:val="both"/>
        <w:rPr>
          <w:rFonts w:ascii="Verdana" w:eastAsia="Calibri" w:hAnsi="Verdana" w:cs="Times New Roman"/>
          <w:bCs/>
          <w:sz w:val="21"/>
          <w:szCs w:val="21"/>
          <w:lang w:bidi="es-ES"/>
        </w:rPr>
      </w:pPr>
    </w:p>
    <w:p w14:paraId="26AAAA77" w14:textId="6487E844" w:rsidR="00ED6546" w:rsidRDefault="00ED6546" w:rsidP="00027E15">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 xml:space="preserve">CUARTA: </w:t>
      </w:r>
      <w:r w:rsidR="002C66AE">
        <w:rPr>
          <w:rFonts w:ascii="Verdana" w:eastAsia="Calibri" w:hAnsi="Verdana" w:cs="Times New Roman"/>
          <w:bCs/>
          <w:sz w:val="21"/>
          <w:szCs w:val="21"/>
          <w:lang w:bidi="es-ES"/>
        </w:rPr>
        <w:t>QUE la</w:t>
      </w:r>
      <w:r>
        <w:rPr>
          <w:rFonts w:ascii="Verdana" w:eastAsia="Calibri" w:hAnsi="Verdana" w:cs="Times New Roman"/>
          <w:bCs/>
          <w:sz w:val="21"/>
          <w:szCs w:val="21"/>
          <w:lang w:bidi="es-ES"/>
        </w:rPr>
        <w:t xml:space="preserve"> respuesta a la presente petición </w:t>
      </w:r>
      <w:r w:rsidR="00B87C4C">
        <w:rPr>
          <w:rFonts w:ascii="Verdana" w:eastAsia="Calibri" w:hAnsi="Verdana" w:cs="Times New Roman"/>
          <w:bCs/>
          <w:sz w:val="21"/>
          <w:szCs w:val="21"/>
          <w:lang w:bidi="es-ES"/>
        </w:rPr>
        <w:t xml:space="preserve">sea emitida de fondo, clara y completa dentro de los términos legales establecidos en la </w:t>
      </w:r>
      <w:r w:rsidR="002C66AE">
        <w:rPr>
          <w:rFonts w:ascii="Verdana" w:eastAsia="Calibri" w:hAnsi="Verdana" w:cs="Times New Roman"/>
          <w:bCs/>
          <w:sz w:val="21"/>
          <w:szCs w:val="21"/>
          <w:lang w:bidi="es-ES"/>
        </w:rPr>
        <w:t>Ley 1755 de 2015.</w:t>
      </w:r>
    </w:p>
    <w:p w14:paraId="7E41EE82" w14:textId="77777777" w:rsidR="002C66AE" w:rsidRDefault="002C66AE" w:rsidP="00027E15">
      <w:pPr>
        <w:spacing w:after="0" w:line="240" w:lineRule="auto"/>
        <w:ind w:left="709" w:right="709"/>
        <w:jc w:val="both"/>
        <w:rPr>
          <w:rFonts w:ascii="Verdana" w:eastAsia="Calibri" w:hAnsi="Verdana" w:cs="Times New Roman"/>
          <w:bCs/>
          <w:sz w:val="21"/>
          <w:szCs w:val="21"/>
          <w:lang w:bidi="es-ES"/>
        </w:rPr>
      </w:pPr>
    </w:p>
    <w:p w14:paraId="292734D1" w14:textId="2DD7D6B5" w:rsidR="002C66AE" w:rsidRDefault="002C66AE" w:rsidP="00027E15">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 xml:space="preserve">[…]”. </w:t>
      </w:r>
    </w:p>
    <w:p w14:paraId="0EAF6345" w14:textId="77777777" w:rsidR="00BA6076" w:rsidRPr="00812F2C" w:rsidRDefault="00BA6076" w:rsidP="008F031E">
      <w:pPr>
        <w:spacing w:after="0" w:line="240" w:lineRule="auto"/>
        <w:ind w:right="709"/>
        <w:jc w:val="both"/>
        <w:rPr>
          <w:rFonts w:ascii="Verdana" w:eastAsia="Calibri" w:hAnsi="Verdana" w:cs="Times New Roman"/>
          <w:bCs/>
          <w:sz w:val="21"/>
          <w:szCs w:val="21"/>
          <w:lang w:bidi="es-ES"/>
        </w:rPr>
      </w:pPr>
    </w:p>
    <w:p w14:paraId="79800A15" w14:textId="77777777" w:rsidR="00BA6076" w:rsidRPr="00B57A1B" w:rsidRDefault="00BA6076" w:rsidP="00BA6076">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00FB46D" w14:textId="77777777" w:rsidR="00BA6076" w:rsidRDefault="00BA6076" w:rsidP="00BA6076">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53FFC062" w14:textId="14DC789F" w:rsidR="00730578" w:rsidRPr="00B57A1B" w:rsidRDefault="00730578" w:rsidP="00730578">
      <w:pPr>
        <w:spacing w:after="0" w:line="256" w:lineRule="auto"/>
        <w:contextualSpacing/>
        <w:rPr>
          <w:rFonts w:ascii="Verdana" w:eastAsia="Calibri" w:hAnsi="Verdana" w:cs="Times New Roman"/>
          <w:b/>
          <w:bCs/>
          <w:lang w:val="es-ES"/>
        </w:rPr>
      </w:pPr>
      <w:r>
        <w:rPr>
          <w:rFonts w:ascii="Verdana" w:eastAsia="Calibri" w:hAnsi="Verdana" w:cs="Times New Roman"/>
          <w:b/>
          <w:bCs/>
          <w:lang w:val="es-ES"/>
        </w:rPr>
        <w:t xml:space="preserve">1. </w:t>
      </w:r>
      <w:r w:rsidRPr="00B57A1B">
        <w:rPr>
          <w:rFonts w:ascii="Verdana" w:eastAsia="Calibri" w:hAnsi="Verdana" w:cs="Times New Roman"/>
          <w:b/>
          <w:bCs/>
          <w:lang w:val="es-ES"/>
        </w:rPr>
        <w:t>Problema planteado:</w:t>
      </w:r>
    </w:p>
    <w:p w14:paraId="15844BD7" w14:textId="77777777" w:rsidR="00730578" w:rsidRPr="00B57A1B" w:rsidRDefault="00730578" w:rsidP="00730578">
      <w:pPr>
        <w:spacing w:after="0" w:line="256" w:lineRule="auto"/>
        <w:rPr>
          <w:rFonts w:ascii="Verdana" w:eastAsia="Calibri" w:hAnsi="Verdana" w:cs="Times New Roman"/>
        </w:rPr>
      </w:pPr>
    </w:p>
    <w:p w14:paraId="0F5E4196" w14:textId="01E6A41A" w:rsidR="00730578" w:rsidRDefault="00730578" w:rsidP="00730578">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i)</w:t>
      </w:r>
      <w:r w:rsidR="00A528E1">
        <w:rPr>
          <w:rFonts w:ascii="Verdana" w:eastAsia="Calibri" w:hAnsi="Verdana" w:cs="Times New Roman"/>
          <w:iCs/>
          <w:lang w:val="es-ES"/>
        </w:rPr>
        <w:t xml:space="preserve"> </w:t>
      </w:r>
      <w:r w:rsidR="004F0772">
        <w:rPr>
          <w:rFonts w:ascii="Verdana" w:eastAsia="Calibri" w:hAnsi="Verdana" w:cs="Times New Roman"/>
          <w:iCs/>
          <w:lang w:val="es-ES"/>
        </w:rPr>
        <w:t>¿</w:t>
      </w:r>
      <w:r w:rsidR="00CB24BD">
        <w:rPr>
          <w:rFonts w:ascii="Verdana" w:eastAsia="Calibri" w:hAnsi="Verdana" w:cs="Times New Roman"/>
          <w:iCs/>
          <w:lang w:val="es-ES"/>
        </w:rPr>
        <w:t>Las entidades de régimen especial de contratación están obligadas</w:t>
      </w:r>
      <w:r w:rsidR="0093218E">
        <w:rPr>
          <w:rFonts w:ascii="Verdana" w:eastAsia="Calibri" w:hAnsi="Verdana" w:cs="Times New Roman"/>
          <w:iCs/>
          <w:lang w:val="es-ES"/>
        </w:rPr>
        <w:t xml:space="preserve"> </w:t>
      </w:r>
      <w:r w:rsidR="00414C1C">
        <w:rPr>
          <w:rFonts w:ascii="Verdana" w:eastAsia="Calibri" w:hAnsi="Verdana" w:cs="Times New Roman"/>
          <w:iCs/>
          <w:lang w:val="es-ES"/>
        </w:rPr>
        <w:t>a publicar toda su actividad contractual en el SECOP II?</w:t>
      </w:r>
      <w:r w:rsidR="00D90F14">
        <w:rPr>
          <w:rFonts w:ascii="Verdana" w:eastAsia="Calibri" w:hAnsi="Verdana" w:cs="Times New Roman"/>
          <w:iCs/>
          <w:lang w:val="es-ES"/>
        </w:rPr>
        <w:t xml:space="preserve"> ii</w:t>
      </w:r>
      <w:r w:rsidR="000123B9">
        <w:rPr>
          <w:rFonts w:ascii="Verdana" w:eastAsia="Calibri" w:hAnsi="Verdana" w:cs="Times New Roman"/>
          <w:iCs/>
          <w:lang w:val="es-ES"/>
        </w:rPr>
        <w:t>)</w:t>
      </w:r>
      <w:r w:rsidR="000E6B11">
        <w:rPr>
          <w:rFonts w:ascii="Verdana" w:eastAsia="Calibri" w:hAnsi="Verdana" w:cs="Times New Roman"/>
          <w:iCs/>
          <w:lang w:val="es-ES"/>
        </w:rPr>
        <w:t xml:space="preserve"> </w:t>
      </w:r>
      <w:r w:rsidR="00E967D4" w:rsidRPr="00E967D4">
        <w:rPr>
          <w:rFonts w:ascii="Verdana" w:eastAsia="Calibri" w:hAnsi="Verdana" w:cs="Times New Roman"/>
          <w:iCs/>
        </w:rPr>
        <w:t>¿El secreto comercial y la libre competencia permiten a una E.S.P. no publicar contratos en SECOP II cuando su divulgación afecte su estrategia competitiva?</w:t>
      </w:r>
    </w:p>
    <w:p w14:paraId="3F13CDAF" w14:textId="77777777" w:rsidR="00207190" w:rsidRDefault="00207190" w:rsidP="00730578">
      <w:pPr>
        <w:spacing w:after="0" w:line="276" w:lineRule="auto"/>
        <w:jc w:val="both"/>
        <w:rPr>
          <w:rFonts w:ascii="Verdana" w:eastAsia="Calibri" w:hAnsi="Verdana" w:cs="Times New Roman"/>
          <w:iCs/>
          <w:lang w:val="es-ES"/>
        </w:rPr>
      </w:pPr>
    </w:p>
    <w:p w14:paraId="58CFF94B" w14:textId="3A3A4024" w:rsidR="00730578" w:rsidRDefault="00730578" w:rsidP="00730578">
      <w:pPr>
        <w:spacing w:after="0" w:line="256" w:lineRule="auto"/>
        <w:contextualSpacing/>
        <w:rPr>
          <w:rFonts w:ascii="Verdana" w:eastAsia="Calibri" w:hAnsi="Verdana" w:cs="Times New Roman"/>
          <w:b/>
          <w:bCs/>
          <w:lang w:val="es-ES"/>
        </w:rPr>
      </w:pPr>
      <w:r>
        <w:rPr>
          <w:rFonts w:ascii="Verdana" w:eastAsia="Calibri" w:hAnsi="Verdana" w:cs="Times New Roman"/>
          <w:b/>
          <w:bCs/>
          <w:lang w:val="es-ES"/>
        </w:rPr>
        <w:t xml:space="preserve">2. </w:t>
      </w:r>
      <w:r w:rsidRPr="00B57A1B">
        <w:rPr>
          <w:rFonts w:ascii="Verdana" w:eastAsia="Calibri" w:hAnsi="Verdana" w:cs="Times New Roman"/>
          <w:b/>
          <w:bCs/>
          <w:lang w:val="es-ES"/>
        </w:rPr>
        <w:t>Respuesta:</w:t>
      </w:r>
      <w:r w:rsidR="00FA2FD7">
        <w:rPr>
          <w:rFonts w:ascii="Verdana" w:eastAsia="Calibri" w:hAnsi="Verdana" w:cs="Times New Roman"/>
          <w:b/>
          <w:bCs/>
          <w:lang w:val="es-ES"/>
        </w:rPr>
        <w:t xml:space="preserve"> </w:t>
      </w:r>
    </w:p>
    <w:p w14:paraId="57ACF44A" w14:textId="77777777" w:rsidR="00D079BA" w:rsidRDefault="00D079BA" w:rsidP="00730578">
      <w:pPr>
        <w:spacing w:after="0" w:line="256" w:lineRule="auto"/>
        <w:contextualSpacing/>
        <w:rPr>
          <w:rFonts w:ascii="Verdana" w:eastAsia="Calibri" w:hAnsi="Verdana" w:cs="Times New Roman"/>
          <w:b/>
          <w:bCs/>
          <w:lang w:val="es-ES"/>
        </w:rPr>
      </w:pPr>
    </w:p>
    <w:p w14:paraId="254A0126" w14:textId="034FAA70" w:rsidR="00A106F7" w:rsidRDefault="00376F12" w:rsidP="004B4D2C">
      <w:pPr>
        <w:pBdr>
          <w:top w:val="single" w:sz="4" w:space="1" w:color="auto"/>
          <w:left w:val="single" w:sz="4" w:space="4" w:color="auto"/>
          <w:bottom w:val="single" w:sz="4" w:space="1" w:color="auto"/>
          <w:right w:val="single" w:sz="4" w:space="4" w:color="auto"/>
        </w:pBdr>
        <w:spacing w:after="120" w:line="276" w:lineRule="auto"/>
        <w:ind w:firstLine="709"/>
        <w:contextualSpacing/>
        <w:rPr>
          <w:rFonts w:ascii="Verdana" w:eastAsia="Calibri" w:hAnsi="Verdana" w:cs="Times New Roman"/>
          <w:lang w:val="es-ES"/>
        </w:rPr>
      </w:pPr>
      <w:r w:rsidRPr="00A106F7">
        <w:rPr>
          <w:rFonts w:ascii="Verdana" w:eastAsia="Calibri" w:hAnsi="Verdana" w:cs="Times New Roman"/>
          <w:lang w:val="es-ES"/>
        </w:rPr>
        <w:t xml:space="preserve">De acuerdo con los problemas jurídicos planteados, </w:t>
      </w:r>
      <w:r w:rsidR="00A106F7" w:rsidRPr="00A106F7">
        <w:rPr>
          <w:rFonts w:ascii="Verdana" w:eastAsia="Calibri" w:hAnsi="Verdana" w:cs="Times New Roman"/>
          <w:lang w:val="es-ES"/>
        </w:rPr>
        <w:t xml:space="preserve">se expresa lo siguiente: </w:t>
      </w:r>
    </w:p>
    <w:p w14:paraId="032E8DD6" w14:textId="77777777" w:rsidR="004B4D2C" w:rsidRDefault="004B4D2C" w:rsidP="004B4D2C">
      <w:pPr>
        <w:pBdr>
          <w:top w:val="single" w:sz="4" w:space="1" w:color="auto"/>
          <w:left w:val="single" w:sz="4" w:space="4" w:color="auto"/>
          <w:bottom w:val="single" w:sz="4" w:space="1" w:color="auto"/>
          <w:right w:val="single" w:sz="4" w:space="4" w:color="auto"/>
        </w:pBdr>
        <w:spacing w:after="120" w:line="276" w:lineRule="auto"/>
        <w:contextualSpacing/>
        <w:jc w:val="both"/>
        <w:rPr>
          <w:rFonts w:ascii="Verdana" w:eastAsia="Calibri" w:hAnsi="Verdana" w:cs="Times New Roman"/>
          <w:lang w:val="es-ES"/>
        </w:rPr>
      </w:pPr>
    </w:p>
    <w:p w14:paraId="69306A9B" w14:textId="77777777" w:rsidR="00920265" w:rsidRDefault="00A106F7" w:rsidP="00D64764">
      <w:pPr>
        <w:pBdr>
          <w:top w:val="single" w:sz="4" w:space="1" w:color="auto"/>
          <w:left w:val="single" w:sz="4" w:space="4" w:color="auto"/>
          <w:bottom w:val="single" w:sz="4" w:space="1" w:color="auto"/>
          <w:right w:val="single" w:sz="4" w:space="4" w:color="auto"/>
        </w:pBdr>
        <w:spacing w:after="120" w:line="276" w:lineRule="auto"/>
        <w:ind w:firstLine="709"/>
        <w:contextualSpacing/>
        <w:jc w:val="both"/>
        <w:rPr>
          <w:rFonts w:ascii="Verdana" w:eastAsia="Calibri" w:hAnsi="Verdana" w:cs="Times New Roman"/>
          <w:lang w:val="es-ES"/>
        </w:rPr>
      </w:pPr>
      <w:r>
        <w:rPr>
          <w:rFonts w:ascii="Verdana" w:eastAsia="Calibri" w:hAnsi="Verdana" w:cs="Times New Roman"/>
          <w:lang w:val="es-ES"/>
        </w:rPr>
        <w:t>i</w:t>
      </w:r>
      <w:r w:rsidR="00C867C4">
        <w:rPr>
          <w:rFonts w:ascii="Verdana" w:eastAsia="Calibri" w:hAnsi="Verdana" w:cs="Times New Roman"/>
          <w:lang w:val="es-ES"/>
        </w:rPr>
        <w:t xml:space="preserve">) </w:t>
      </w:r>
      <w:r w:rsidR="00B93E46">
        <w:rPr>
          <w:rFonts w:ascii="Verdana" w:eastAsia="Calibri" w:hAnsi="Verdana" w:cs="Times New Roman"/>
          <w:lang w:val="es-ES"/>
        </w:rPr>
        <w:t>Frente al primer interrogante planteado</w:t>
      </w:r>
      <w:r w:rsidR="007E5C2D">
        <w:rPr>
          <w:rFonts w:ascii="Verdana" w:eastAsia="Calibri" w:hAnsi="Verdana" w:cs="Times New Roman"/>
          <w:lang w:val="es-ES"/>
        </w:rPr>
        <w:t xml:space="preserve">, es necesario señalar que el artículo 53 de la Ley 2195 de 2022 estableció de forma expresa el deber de las entidades estatales que por disposición legal cuenten </w:t>
      </w:r>
      <w:r w:rsidR="0081168A">
        <w:rPr>
          <w:rFonts w:ascii="Verdana" w:eastAsia="Calibri" w:hAnsi="Verdana" w:cs="Times New Roman"/>
          <w:lang w:val="es-ES"/>
        </w:rPr>
        <w:t>con un régimen contractual excepcional al del Estatuto General de Contratación de la Administración Pública</w:t>
      </w:r>
      <w:r w:rsidR="007909CE">
        <w:rPr>
          <w:rFonts w:ascii="Verdana" w:eastAsia="Calibri" w:hAnsi="Verdana" w:cs="Times New Roman"/>
          <w:lang w:val="es-ES"/>
        </w:rPr>
        <w:t xml:space="preserve">, aplicar los principios de la función administrativa </w:t>
      </w:r>
      <w:r w:rsidR="001D689E">
        <w:rPr>
          <w:rFonts w:ascii="Verdana" w:eastAsia="Calibri" w:hAnsi="Verdana" w:cs="Times New Roman"/>
          <w:lang w:val="es-ES"/>
        </w:rPr>
        <w:t>y de la gestión fiscal de que trata</w:t>
      </w:r>
      <w:r w:rsidR="00520C75">
        <w:rPr>
          <w:rFonts w:ascii="Verdana" w:eastAsia="Calibri" w:hAnsi="Verdana" w:cs="Times New Roman"/>
          <w:lang w:val="es-ES"/>
        </w:rPr>
        <w:t>n los artículos 209 y 267 de la Constitución Política y en virtud de los cuales deberán publicar los documentos relacionados</w:t>
      </w:r>
      <w:r w:rsidR="00E31564">
        <w:rPr>
          <w:rFonts w:ascii="Verdana" w:eastAsia="Calibri" w:hAnsi="Verdana" w:cs="Times New Roman"/>
          <w:lang w:val="es-ES"/>
        </w:rPr>
        <w:t xml:space="preserve"> con su actividad contractual en el Sistema Electrónico para la Contratación Pública – SEVOP II</w:t>
      </w:r>
      <w:r w:rsidR="00920265">
        <w:rPr>
          <w:rFonts w:ascii="Verdana" w:eastAsia="Calibri" w:hAnsi="Verdana" w:cs="Times New Roman"/>
          <w:lang w:val="es-ES"/>
        </w:rPr>
        <w:t xml:space="preserve"> – o la plataforma que haga sus veces. </w:t>
      </w:r>
    </w:p>
    <w:p w14:paraId="7F5F30D2" w14:textId="6BBD2277" w:rsidR="00AA6989" w:rsidRDefault="00D64764" w:rsidP="00D64764">
      <w:pPr>
        <w:pBdr>
          <w:top w:val="single" w:sz="4" w:space="1" w:color="auto"/>
          <w:left w:val="single" w:sz="4" w:space="4" w:color="auto"/>
          <w:bottom w:val="single" w:sz="4" w:space="1" w:color="auto"/>
          <w:right w:val="single" w:sz="4" w:space="4" w:color="auto"/>
        </w:pBdr>
        <w:spacing w:after="120" w:line="276" w:lineRule="auto"/>
        <w:ind w:firstLine="709"/>
        <w:contextualSpacing/>
        <w:jc w:val="both"/>
        <w:rPr>
          <w:rFonts w:ascii="Verdana" w:eastAsia="Calibri" w:hAnsi="Verdana" w:cs="Times New Roman"/>
          <w:lang w:val="es-ES"/>
        </w:rPr>
      </w:pPr>
      <w:r>
        <w:rPr>
          <w:rFonts w:ascii="Verdana" w:eastAsia="Calibri" w:hAnsi="Verdana" w:cs="Times New Roman"/>
          <w:lang w:val="es-ES"/>
        </w:rPr>
        <w:t xml:space="preserve">ii) </w:t>
      </w:r>
      <w:r w:rsidR="002110CA">
        <w:rPr>
          <w:rFonts w:ascii="Verdana" w:eastAsia="Calibri" w:hAnsi="Verdana" w:cs="Times New Roman"/>
          <w:lang w:val="es-ES"/>
        </w:rPr>
        <w:t xml:space="preserve">Para resolver el segundo problema jurídico, se señala que </w:t>
      </w:r>
      <w:r w:rsidR="00550DE3">
        <w:rPr>
          <w:rFonts w:ascii="Verdana" w:eastAsia="Calibri" w:hAnsi="Verdana" w:cs="Times New Roman"/>
          <w:lang w:val="es-ES"/>
        </w:rPr>
        <w:t>el artículo 260 de</w:t>
      </w:r>
      <w:r w:rsidR="009E3D0F">
        <w:rPr>
          <w:rFonts w:ascii="Verdana" w:eastAsia="Calibri" w:hAnsi="Verdana" w:cs="Times New Roman"/>
          <w:lang w:val="es-ES"/>
        </w:rPr>
        <w:t xml:space="preserve"> la Comunidad Andina de Naciones, establece que para la configuración del secreto empresaria, deben cumplir con tres condiciones: i) Secreta, que significa que no es de conocimiento público ni fácilmente accesible para quienes normalmente man</w:t>
      </w:r>
      <w:r w:rsidR="00A33E9F">
        <w:rPr>
          <w:rFonts w:ascii="Verdana" w:eastAsia="Calibri" w:hAnsi="Verdana" w:cs="Times New Roman"/>
          <w:lang w:val="es-ES"/>
        </w:rPr>
        <w:t xml:space="preserve">ejan </w:t>
      </w:r>
      <w:r w:rsidR="00DC5F0C">
        <w:rPr>
          <w:rFonts w:ascii="Verdana" w:eastAsia="Calibri" w:hAnsi="Verdana" w:cs="Times New Roman"/>
          <w:lang w:val="es-ES"/>
        </w:rPr>
        <w:t xml:space="preserve">información en ese sector; </w:t>
      </w:r>
      <w:r w:rsidR="00D202EF">
        <w:rPr>
          <w:rFonts w:ascii="Verdana" w:eastAsia="Calibri" w:hAnsi="Verdana" w:cs="Times New Roman"/>
          <w:lang w:val="es-ES"/>
        </w:rPr>
        <w:t xml:space="preserve">ii) </w:t>
      </w:r>
      <w:r w:rsidR="0002049E">
        <w:rPr>
          <w:rFonts w:ascii="Verdana" w:eastAsia="Calibri" w:hAnsi="Verdana" w:cs="Times New Roman"/>
          <w:lang w:val="es-ES"/>
        </w:rPr>
        <w:t xml:space="preserve">Valor comercial, que implica que su carácter de secreto le otorga la ventaja </w:t>
      </w:r>
      <w:r w:rsidR="00177FF3">
        <w:rPr>
          <w:rFonts w:ascii="Verdana" w:eastAsia="Calibri" w:hAnsi="Verdana" w:cs="Times New Roman"/>
          <w:lang w:val="es-ES"/>
        </w:rPr>
        <w:t>competitiva o económica; iii)</w:t>
      </w:r>
      <w:r w:rsidR="00CB5864">
        <w:rPr>
          <w:rFonts w:ascii="Verdana" w:eastAsia="Calibri" w:hAnsi="Verdana" w:cs="Times New Roman"/>
          <w:lang w:val="es-ES"/>
        </w:rPr>
        <w:t xml:space="preserve"> </w:t>
      </w:r>
      <w:r w:rsidR="00890245">
        <w:rPr>
          <w:rFonts w:ascii="Verdana" w:eastAsia="Calibri" w:hAnsi="Verdana" w:cs="Times New Roman"/>
          <w:lang w:val="es-ES"/>
        </w:rPr>
        <w:t>protección razonable: en el sentido de que el titular ha tomado medidas para mantenerla</w:t>
      </w:r>
      <w:r w:rsidR="00E34109">
        <w:rPr>
          <w:rFonts w:ascii="Verdana" w:eastAsia="Calibri" w:hAnsi="Verdana" w:cs="Times New Roman"/>
          <w:lang w:val="es-ES"/>
        </w:rPr>
        <w:t xml:space="preserve"> e confidencialidad – clausulas de confidencialidad, accedo restringido, protocolos</w:t>
      </w:r>
      <w:r w:rsidR="00A0408D">
        <w:rPr>
          <w:rFonts w:ascii="Verdana" w:eastAsia="Calibri" w:hAnsi="Verdana" w:cs="Times New Roman"/>
          <w:lang w:val="es-ES"/>
        </w:rPr>
        <w:t xml:space="preserve"> de seguridad, entre otros-. </w:t>
      </w:r>
      <w:r w:rsidR="00CB71BD">
        <w:rPr>
          <w:rFonts w:ascii="Verdana" w:eastAsia="Calibri" w:hAnsi="Verdana" w:cs="Times New Roman"/>
          <w:lang w:val="es-ES"/>
        </w:rPr>
        <w:t>Dichos secretos se tratan de una trata de garantía</w:t>
      </w:r>
      <w:r w:rsidR="00632683">
        <w:rPr>
          <w:rFonts w:ascii="Verdana" w:eastAsia="Calibri" w:hAnsi="Verdana" w:cs="Times New Roman"/>
          <w:lang w:val="es-ES"/>
        </w:rPr>
        <w:t xml:space="preserve"> de</w:t>
      </w:r>
      <w:r w:rsidR="000E2BE3">
        <w:rPr>
          <w:rFonts w:ascii="Verdana" w:eastAsia="Calibri" w:hAnsi="Verdana" w:cs="Times New Roman"/>
          <w:lang w:val="es-ES"/>
        </w:rPr>
        <w:t xml:space="preserve">l derecho a la libre competencia económica amparado en el artículo 333 de la Constitución Política. Si bien </w:t>
      </w:r>
      <w:r w:rsidR="003348CF">
        <w:rPr>
          <w:rFonts w:ascii="Verdana" w:eastAsia="Calibri" w:hAnsi="Verdana" w:cs="Times New Roman"/>
          <w:lang w:val="es-ES"/>
        </w:rPr>
        <w:t>dicha norma no establece una forma de proteger el secreto, si prescribe que el poseedor tendrá el deber de adoptar los mecanismos que resulten razonables para evitar que la información</w:t>
      </w:r>
      <w:r w:rsidR="009A7C5D">
        <w:rPr>
          <w:rFonts w:ascii="Verdana" w:eastAsia="Calibri" w:hAnsi="Verdana" w:cs="Times New Roman"/>
          <w:lang w:val="es-ES"/>
        </w:rPr>
        <w:t xml:space="preserve"> sea de conocimiento público para impedir su fácil acceso.</w:t>
      </w:r>
      <w:r w:rsidR="001C4483">
        <w:rPr>
          <w:rFonts w:ascii="Verdana" w:eastAsia="Calibri" w:hAnsi="Verdana" w:cs="Times New Roman"/>
          <w:lang w:val="es-ES"/>
        </w:rPr>
        <w:t xml:space="preserve"> </w:t>
      </w:r>
      <w:r w:rsidR="009A7C5D">
        <w:rPr>
          <w:rFonts w:ascii="Verdana" w:eastAsia="Calibri" w:hAnsi="Verdana" w:cs="Times New Roman"/>
          <w:lang w:val="es-ES"/>
        </w:rPr>
        <w:t xml:space="preserve">Una de las formas mas usadas para tal fin, es la estipulación de clausulas de confidencialidad, en las que se restrinja el uso público de la información que se comparte en virtud del contrato. </w:t>
      </w:r>
    </w:p>
    <w:p w14:paraId="40F8A966" w14:textId="77777777" w:rsidR="00A527BF" w:rsidRDefault="009A7C5D" w:rsidP="00A527BF">
      <w:pPr>
        <w:pBdr>
          <w:top w:val="single" w:sz="4" w:space="1" w:color="auto"/>
          <w:left w:val="single" w:sz="4" w:space="4" w:color="auto"/>
          <w:bottom w:val="single" w:sz="4" w:space="1" w:color="auto"/>
          <w:right w:val="single" w:sz="4" w:space="4" w:color="auto"/>
        </w:pBdr>
        <w:spacing w:after="120" w:line="276" w:lineRule="auto"/>
        <w:ind w:firstLine="709"/>
        <w:contextualSpacing/>
        <w:jc w:val="both"/>
        <w:rPr>
          <w:rFonts w:ascii="Verdana" w:eastAsia="Calibri" w:hAnsi="Verdana" w:cs="Times New Roman"/>
          <w:lang w:val="es-ES"/>
        </w:rPr>
      </w:pPr>
      <w:r>
        <w:rPr>
          <w:rFonts w:ascii="Verdana" w:eastAsia="Calibri" w:hAnsi="Verdana" w:cs="Times New Roman"/>
          <w:lang w:val="es-ES"/>
        </w:rPr>
        <w:t xml:space="preserve">Teniendo en cuenta </w:t>
      </w:r>
      <w:r w:rsidR="00CE37C4">
        <w:rPr>
          <w:rFonts w:ascii="Verdana" w:eastAsia="Calibri" w:hAnsi="Verdana" w:cs="Times New Roman"/>
          <w:lang w:val="es-ES"/>
        </w:rPr>
        <w:t>lo expuesto, en el momento de publicar información derivado de los procesos de contratación en sus diferentes etapas – precontractual, contractual y pos</w:t>
      </w:r>
      <w:r w:rsidR="001B27F8">
        <w:rPr>
          <w:rFonts w:ascii="Verdana" w:eastAsia="Calibri" w:hAnsi="Verdana" w:cs="Times New Roman"/>
          <w:lang w:val="es-ES"/>
        </w:rPr>
        <w:t>t</w:t>
      </w:r>
      <w:r w:rsidR="00CE37C4">
        <w:rPr>
          <w:rFonts w:ascii="Verdana" w:eastAsia="Calibri" w:hAnsi="Verdana" w:cs="Times New Roman"/>
          <w:lang w:val="es-ES"/>
        </w:rPr>
        <w:t>contractual</w:t>
      </w:r>
      <w:r w:rsidR="008E3DA4">
        <w:rPr>
          <w:rFonts w:ascii="Verdana" w:eastAsia="Calibri" w:hAnsi="Verdana" w:cs="Times New Roman"/>
          <w:lang w:val="es-ES"/>
        </w:rPr>
        <w:t xml:space="preserve"> – debe garantizarse y salvaguardarse la reserva de información por secretos </w:t>
      </w:r>
      <w:r w:rsidR="00B34459">
        <w:rPr>
          <w:rFonts w:ascii="Verdana" w:eastAsia="Calibri" w:hAnsi="Verdana" w:cs="Times New Roman"/>
          <w:lang w:val="es-ES"/>
        </w:rPr>
        <w:t xml:space="preserve">empresariales, en los que se incluye los secretos comerciales, industriales o </w:t>
      </w:r>
      <w:r w:rsidR="009932B5">
        <w:rPr>
          <w:rFonts w:ascii="Verdana" w:eastAsia="Calibri" w:hAnsi="Verdana" w:cs="Times New Roman"/>
          <w:lang w:val="es-ES"/>
        </w:rPr>
        <w:t>información</w:t>
      </w:r>
      <w:r w:rsidR="00B34459">
        <w:rPr>
          <w:rFonts w:ascii="Verdana" w:eastAsia="Calibri" w:hAnsi="Verdana" w:cs="Times New Roman"/>
          <w:lang w:val="es-ES"/>
        </w:rPr>
        <w:t xml:space="preserve"> que se considere estratégica. En tal sentido</w:t>
      </w:r>
      <w:r w:rsidR="00F32A83">
        <w:rPr>
          <w:rFonts w:ascii="Verdana" w:eastAsia="Calibri" w:hAnsi="Verdana" w:cs="Times New Roman"/>
          <w:lang w:val="es-ES"/>
        </w:rPr>
        <w:t>, debe precisarse que, en virtud del principio de transparencia</w:t>
      </w:r>
      <w:r w:rsidR="005A1259">
        <w:rPr>
          <w:rFonts w:ascii="Verdana" w:eastAsia="Calibri" w:hAnsi="Verdana" w:cs="Times New Roman"/>
          <w:lang w:val="es-ES"/>
        </w:rPr>
        <w:t>, específicamente por cuenta de lo dispuesto</w:t>
      </w:r>
      <w:r w:rsidR="001A474E">
        <w:rPr>
          <w:rFonts w:ascii="Verdana" w:eastAsia="Calibri" w:hAnsi="Verdana" w:cs="Times New Roman"/>
          <w:lang w:val="es-ES"/>
        </w:rPr>
        <w:t xml:space="preserve"> en el numeral 4 del artículo 24 de la Ley 8º de 1993, así como </w:t>
      </w:r>
      <w:r w:rsidR="00D64764">
        <w:rPr>
          <w:rFonts w:ascii="Verdana" w:eastAsia="Calibri" w:hAnsi="Verdana" w:cs="Times New Roman"/>
          <w:lang w:val="es-ES"/>
        </w:rPr>
        <w:t xml:space="preserve">el principio de máxima publicidad establecido en el artículo 2 de la Ley 1712 de 2014, el contenido del expediente de si se trata de documentos que deban publicarse en SECOP. </w:t>
      </w:r>
    </w:p>
    <w:p w14:paraId="2576EA0D" w14:textId="45469CC2" w:rsidR="00A527BF" w:rsidRPr="00A527BF" w:rsidRDefault="00A527BF" w:rsidP="00A527BF">
      <w:pPr>
        <w:pBdr>
          <w:top w:val="single" w:sz="4" w:space="1" w:color="auto"/>
          <w:left w:val="single" w:sz="4" w:space="4" w:color="auto"/>
          <w:bottom w:val="single" w:sz="4" w:space="1" w:color="auto"/>
          <w:right w:val="single" w:sz="4" w:space="4" w:color="auto"/>
        </w:pBdr>
        <w:spacing w:after="120" w:line="276" w:lineRule="auto"/>
        <w:ind w:firstLine="709"/>
        <w:contextualSpacing/>
        <w:jc w:val="both"/>
        <w:rPr>
          <w:rFonts w:ascii="Verdana" w:eastAsia="Calibri" w:hAnsi="Verdana" w:cs="Times New Roman"/>
          <w:lang w:val="es-ES"/>
        </w:rPr>
      </w:pPr>
      <w:r w:rsidRPr="004675CD">
        <w:rPr>
          <w:rFonts w:ascii="Verdana" w:eastAsia="Calibri" w:hAnsi="Verdana" w:cs="Arial"/>
        </w:rPr>
        <w:t>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Arial"/>
        </w:rPr>
        <w:t>.</w:t>
      </w:r>
    </w:p>
    <w:p w14:paraId="7E7F6F9B" w14:textId="77777777" w:rsidR="00D64764" w:rsidRDefault="00D64764" w:rsidP="00A527BF">
      <w:pPr>
        <w:spacing w:after="120" w:line="276" w:lineRule="auto"/>
        <w:ind w:firstLine="709"/>
        <w:contextualSpacing/>
        <w:jc w:val="both"/>
        <w:rPr>
          <w:rFonts w:ascii="Verdana" w:eastAsia="Calibri" w:hAnsi="Verdana" w:cs="Times New Roman"/>
          <w:lang w:val="es-ES"/>
        </w:rPr>
      </w:pPr>
    </w:p>
    <w:p w14:paraId="69C2F3D9" w14:textId="77777777" w:rsidR="002B6348" w:rsidRDefault="002B6348" w:rsidP="00A527BF">
      <w:pPr>
        <w:spacing w:after="120" w:line="276" w:lineRule="auto"/>
        <w:ind w:firstLine="709"/>
        <w:contextualSpacing/>
        <w:jc w:val="both"/>
        <w:rPr>
          <w:rFonts w:ascii="Verdana" w:eastAsia="Calibri" w:hAnsi="Verdana" w:cs="Times New Roman"/>
          <w:lang w:val="es-ES"/>
        </w:rPr>
      </w:pPr>
    </w:p>
    <w:p w14:paraId="0153E976" w14:textId="2F0D8618" w:rsidR="001035E5" w:rsidRPr="001035E5" w:rsidRDefault="00E337ED" w:rsidP="00A527BF">
      <w:pPr>
        <w:spacing w:after="120" w:line="276" w:lineRule="auto"/>
        <w:ind w:firstLine="709"/>
        <w:contextualSpacing/>
        <w:jc w:val="both"/>
        <w:rPr>
          <w:rFonts w:ascii="Verdana" w:eastAsia="Calibri" w:hAnsi="Verdana" w:cs="Times New Roman"/>
          <w:lang w:val="es-ES"/>
        </w:rPr>
      </w:pPr>
      <w:r>
        <w:rPr>
          <w:rFonts w:ascii="Verdana" w:eastAsia="Calibri" w:hAnsi="Verdana" w:cs="Times New Roman"/>
          <w:lang w:val="es-ES"/>
        </w:rPr>
        <w:t xml:space="preserve"> </w:t>
      </w:r>
    </w:p>
    <w:p w14:paraId="3D9BA6C3" w14:textId="77777777" w:rsidR="00730578" w:rsidRPr="00B57A1B" w:rsidRDefault="00730578" w:rsidP="00A527BF">
      <w:pPr>
        <w:spacing w:after="120" w:line="276" w:lineRule="auto"/>
        <w:ind w:firstLine="709"/>
        <w:rPr>
          <w:rFonts w:ascii="Verdana" w:eastAsia="Calibri" w:hAnsi="Verdana" w:cs="Times New Roman"/>
          <w:b/>
          <w:bCs/>
          <w:lang w:val="es-ES"/>
        </w:rPr>
      </w:pPr>
    </w:p>
    <w:p w14:paraId="36A11475" w14:textId="77777777" w:rsidR="00807312" w:rsidRPr="00B57A1B" w:rsidRDefault="00807312" w:rsidP="00A527BF">
      <w:pPr>
        <w:spacing w:after="120" w:line="276" w:lineRule="auto"/>
        <w:ind w:firstLine="709"/>
        <w:jc w:val="both"/>
        <w:rPr>
          <w:rFonts w:ascii="Verdana" w:eastAsia="Calibri" w:hAnsi="Verdana" w:cs="Times New Roman"/>
          <w:lang w:val="es-ES"/>
        </w:rPr>
      </w:pPr>
    </w:p>
    <w:p w14:paraId="5A84189C" w14:textId="77777777" w:rsidR="008C6AA6" w:rsidRPr="00BA6076" w:rsidRDefault="008C6AA6" w:rsidP="30821638">
      <w:pPr>
        <w:spacing w:after="0"/>
        <w:jc w:val="both"/>
        <w:rPr>
          <w:rFonts w:ascii="Verdana" w:eastAsia="Verdana" w:hAnsi="Verdana" w:cs="Verdana"/>
          <w:lang w:val="es-ES"/>
        </w:rPr>
      </w:pPr>
    </w:p>
    <w:p w14:paraId="78A11EE4" w14:textId="77777777" w:rsidR="008C6AA6" w:rsidRPr="00484593" w:rsidRDefault="008C6AA6" w:rsidP="30821638">
      <w:pPr>
        <w:spacing w:after="0"/>
        <w:jc w:val="both"/>
        <w:rPr>
          <w:rFonts w:ascii="Verdana" w:eastAsia="Verdana" w:hAnsi="Verdana" w:cs="Verdana"/>
          <w:b/>
          <w:bCs/>
          <w:lang w:val="es-MX"/>
        </w:rPr>
      </w:pPr>
    </w:p>
    <w:p w14:paraId="03569E67" w14:textId="22188279" w:rsidR="008C6AA6" w:rsidRPr="00484593" w:rsidRDefault="00995BBF" w:rsidP="30821638">
      <w:pPr>
        <w:spacing w:after="0"/>
        <w:jc w:val="both"/>
        <w:rPr>
          <w:rFonts w:ascii="Verdana" w:eastAsia="Verdana" w:hAnsi="Verdana" w:cs="Verdana"/>
          <w:b/>
          <w:bCs/>
          <w:lang w:val="es-MX"/>
        </w:rPr>
      </w:pPr>
      <w:r w:rsidRPr="00484593">
        <w:rPr>
          <w:rFonts w:ascii="Verdana" w:eastAsia="Verdana" w:hAnsi="Verdana" w:cs="Verdana"/>
          <w:b/>
          <w:bCs/>
          <w:lang w:val="es-MX"/>
        </w:rPr>
        <w:t xml:space="preserve">3. Razones de la respuesta: </w:t>
      </w:r>
    </w:p>
    <w:p w14:paraId="657A17BC" w14:textId="77777777" w:rsidR="00995BBF" w:rsidRDefault="00995BBF" w:rsidP="30821638">
      <w:pPr>
        <w:spacing w:after="0"/>
        <w:jc w:val="both"/>
        <w:rPr>
          <w:rFonts w:ascii="Verdana" w:eastAsia="Verdana" w:hAnsi="Verdana" w:cs="Verdana"/>
          <w:lang w:val="es-MX"/>
        </w:rPr>
      </w:pPr>
    </w:p>
    <w:p w14:paraId="0A8038B3" w14:textId="28FED69C" w:rsidR="00995BBF" w:rsidRDefault="00995BBF" w:rsidP="30821638">
      <w:pPr>
        <w:spacing w:after="0"/>
        <w:jc w:val="both"/>
        <w:rPr>
          <w:rFonts w:ascii="Verdana" w:eastAsia="Verdana" w:hAnsi="Verdana" w:cs="Verdana"/>
          <w:lang w:val="es-MX"/>
        </w:rPr>
      </w:pPr>
      <w:r>
        <w:rPr>
          <w:rFonts w:ascii="Verdana" w:eastAsia="Verdana" w:hAnsi="Verdana" w:cs="Verdana"/>
          <w:lang w:val="es-MX"/>
        </w:rPr>
        <w:t xml:space="preserve">Lo anterior se sustenta en las siguientes consideraciones: </w:t>
      </w:r>
    </w:p>
    <w:p w14:paraId="50B2880B" w14:textId="77777777" w:rsidR="00995BBF" w:rsidRDefault="00995BBF" w:rsidP="30821638">
      <w:pPr>
        <w:spacing w:after="0"/>
        <w:jc w:val="both"/>
        <w:rPr>
          <w:rFonts w:ascii="Verdana" w:eastAsia="Verdana" w:hAnsi="Verdana" w:cs="Verdana"/>
          <w:lang w:val="es-MX"/>
        </w:rPr>
      </w:pPr>
    </w:p>
    <w:p w14:paraId="3B9D2EDC" w14:textId="13A27CF6" w:rsidR="00995BBF" w:rsidRDefault="00A4186E" w:rsidP="005F3CF1">
      <w:pPr>
        <w:spacing w:after="120" w:line="276" w:lineRule="auto"/>
        <w:ind w:firstLine="709"/>
        <w:jc w:val="both"/>
        <w:rPr>
          <w:rFonts w:ascii="Verdana" w:eastAsia="Verdana" w:hAnsi="Verdana" w:cs="Verdana"/>
          <w:lang w:val="es-MX"/>
        </w:rPr>
      </w:pPr>
      <w:r>
        <w:rPr>
          <w:rFonts w:ascii="Verdana" w:eastAsia="Verdana" w:hAnsi="Verdana" w:cs="Verdana"/>
          <w:lang w:val="es-MX"/>
        </w:rPr>
        <w:t>Uno de los postulados mas importantes de un Estado Social Democrático de Derecho</w:t>
      </w:r>
      <w:r w:rsidR="00CD7C7E">
        <w:rPr>
          <w:rFonts w:ascii="Verdana" w:eastAsia="Verdana" w:hAnsi="Verdana" w:cs="Verdana"/>
          <w:lang w:val="es-MX"/>
        </w:rPr>
        <w:t xml:space="preserve"> es le principio de publicidad</w:t>
      </w:r>
      <w:r w:rsidR="0028553E">
        <w:rPr>
          <w:rFonts w:ascii="Verdana" w:eastAsia="Verdana" w:hAnsi="Verdana" w:cs="Verdana"/>
          <w:lang w:val="es-MX"/>
        </w:rPr>
        <w:t>, pues este permite que las actuaciones de las autoridades gocen de visibilidad. La Constitución Política de 1991 consagra en varios artículos la publicidad como un principio rector del Estado colombiano. Entre los mas destacados, puede mencionarse el 209, que afirma</w:t>
      </w:r>
      <w:r w:rsidR="00C202B5">
        <w:rPr>
          <w:rFonts w:ascii="Verdana" w:eastAsia="Verdana" w:hAnsi="Verdana" w:cs="Verdana"/>
          <w:lang w:val="es-MX"/>
        </w:rPr>
        <w:t xml:space="preserve"> que la publicidad </w:t>
      </w:r>
      <w:r w:rsidR="00887992">
        <w:rPr>
          <w:rFonts w:ascii="Verdana" w:eastAsia="Verdana" w:hAnsi="Verdana" w:cs="Verdana"/>
          <w:lang w:val="es-MX"/>
        </w:rPr>
        <w:t>es uno de los principios que fundamentan el ejercicio de la función administrativa, y el artículo 74, que consagra la garantía de acceso a los documentos públicos que no gocen de reserva -y esta, además, es excepciona</w:t>
      </w:r>
      <w:r w:rsidR="005F3CF1">
        <w:rPr>
          <w:rFonts w:ascii="Verdana" w:eastAsia="Verdana" w:hAnsi="Verdana" w:cs="Verdana"/>
          <w:lang w:val="es-MX"/>
        </w:rPr>
        <w:t xml:space="preserve">l pues solo procede si existe causal constitucional o legal expresa-. </w:t>
      </w:r>
    </w:p>
    <w:p w14:paraId="77DB4D56" w14:textId="3CFC9605" w:rsidR="005F3CF1" w:rsidRDefault="005F3CF1" w:rsidP="005F3CF1">
      <w:pPr>
        <w:spacing w:after="120" w:line="276" w:lineRule="auto"/>
        <w:ind w:firstLine="709"/>
        <w:jc w:val="both"/>
        <w:rPr>
          <w:rFonts w:ascii="Verdana" w:eastAsia="Verdana" w:hAnsi="Verdana" w:cs="Verdana"/>
          <w:lang w:val="es-MX"/>
        </w:rPr>
      </w:pPr>
      <w:r>
        <w:rPr>
          <w:rFonts w:ascii="Verdana" w:eastAsia="Verdana" w:hAnsi="Verdana" w:cs="Verdana"/>
          <w:lang w:val="es-MX"/>
        </w:rPr>
        <w:t>El principio de publicidad impone a las autoridades administrativas el deber de dar a conocer sus actos, contratos y precisiones para que se divulguen y eventualmente se controlen. Por ello</w:t>
      </w:r>
      <w:r w:rsidR="00464A6B">
        <w:rPr>
          <w:rFonts w:ascii="Verdana" w:eastAsia="Verdana" w:hAnsi="Verdana" w:cs="Verdana"/>
          <w:lang w:val="es-MX"/>
        </w:rPr>
        <w:t xml:space="preserve">, en la contratación estatal, el literal c) del artículo 3 de la Ley 1150 de 2007 establece el Sistema Electrónico para la Contratación Pública, en adelante SECOP, </w:t>
      </w:r>
      <w:r w:rsidR="008E4331">
        <w:rPr>
          <w:rFonts w:ascii="Verdana" w:eastAsia="Verdana" w:hAnsi="Verdana" w:cs="Verdana"/>
          <w:lang w:val="es-MX"/>
        </w:rPr>
        <w:t>como un mecanismo que “contara con información oficial de la contratación realizada con dineros públicos, para lo cual establecerá los patrones a que haya lugar y se encargará de su difusión a través de canales electrónicos</w:t>
      </w:r>
      <w:r w:rsidR="008E4331">
        <w:rPr>
          <w:rStyle w:val="Refdenotaalpie"/>
          <w:rFonts w:ascii="Verdana" w:eastAsia="Verdana" w:hAnsi="Verdana" w:cs="Verdana"/>
          <w:lang w:val="es-MX"/>
        </w:rPr>
        <w:footnoteReference w:id="1"/>
      </w:r>
      <w:r w:rsidR="009B1CE9">
        <w:rPr>
          <w:rFonts w:ascii="Verdana" w:eastAsia="Verdana" w:hAnsi="Verdana" w:cs="Verdana"/>
          <w:lang w:val="es-MX"/>
        </w:rPr>
        <w:t xml:space="preserve">. </w:t>
      </w:r>
    </w:p>
    <w:p w14:paraId="3886749B" w14:textId="1E53B694" w:rsidR="009B1CE9" w:rsidRDefault="009B1CE9" w:rsidP="005F3CF1">
      <w:pPr>
        <w:spacing w:after="120" w:line="276" w:lineRule="auto"/>
        <w:ind w:firstLine="709"/>
        <w:jc w:val="both"/>
        <w:rPr>
          <w:rFonts w:ascii="Verdana" w:eastAsia="Verdana" w:hAnsi="Verdana" w:cs="Verdana"/>
          <w:lang w:val="es-MX"/>
        </w:rPr>
      </w:pPr>
      <w:r>
        <w:rPr>
          <w:rFonts w:ascii="Verdana" w:eastAsia="Verdana" w:hAnsi="Verdana" w:cs="Verdana"/>
          <w:lang w:val="es-MX"/>
        </w:rPr>
        <w:t>De otra parte, la Ley 1712 de 2014</w:t>
      </w:r>
      <w:r w:rsidR="00485C8D">
        <w:rPr>
          <w:rFonts w:ascii="Verdana" w:eastAsia="Verdana" w:hAnsi="Verdana" w:cs="Verdana"/>
          <w:lang w:val="es-MX"/>
        </w:rPr>
        <w:t xml:space="preserve"> – ley estatutaria que regula la transparencia y el derecho de acceso a la información y a los documentos púbicos</w:t>
      </w:r>
      <w:r w:rsidR="004936E2">
        <w:rPr>
          <w:rFonts w:ascii="Verdana" w:eastAsia="Verdana" w:hAnsi="Verdana" w:cs="Verdana"/>
          <w:lang w:val="es-MX"/>
        </w:rPr>
        <w:t>-; identifica como principios que orientan el derecho de acces</w:t>
      </w:r>
      <w:r w:rsidR="00E0068F">
        <w:rPr>
          <w:rFonts w:ascii="Verdana" w:eastAsia="Verdana" w:hAnsi="Verdana" w:cs="Verdana"/>
          <w:lang w:val="es-MX"/>
        </w:rPr>
        <w:t>o a la información pública, el de máxima publicidad, transparencia en la información y buena fe. El principio de máxima publicidad establece que “toda información en posesión, bajo el control o custodia de un sujeto obligado es publica y no podrá ser reservada o limitada sino por disposición constitucional o legal”</w:t>
      </w:r>
      <w:r w:rsidR="00E0068F">
        <w:rPr>
          <w:rStyle w:val="Refdenotaalpie"/>
          <w:rFonts w:ascii="Verdana" w:eastAsia="Verdana" w:hAnsi="Verdana" w:cs="Verdana"/>
          <w:lang w:val="es-MX"/>
        </w:rPr>
        <w:footnoteReference w:id="2"/>
      </w:r>
      <w:r w:rsidR="0039679F">
        <w:rPr>
          <w:rFonts w:ascii="Verdana" w:eastAsia="Verdana" w:hAnsi="Verdana" w:cs="Verdana"/>
          <w:lang w:val="es-MX"/>
        </w:rPr>
        <w:t>.</w:t>
      </w:r>
    </w:p>
    <w:p w14:paraId="12F60DA5" w14:textId="6541AD45" w:rsidR="00F7555C" w:rsidRDefault="0039679F" w:rsidP="00F7555C">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El principio </w:t>
      </w:r>
      <w:r w:rsidR="00731BA7">
        <w:rPr>
          <w:rFonts w:ascii="Verdana" w:eastAsia="Verdana" w:hAnsi="Verdana" w:cs="Verdana"/>
          <w:lang w:val="es-MX"/>
        </w:rPr>
        <w:t xml:space="preserve">de transparencia en la información alude al deber de los sujetos de proporcionar y facilitar el acceso a la misma en los términos mas amplios posibles, y a través de los medios y procedimientos legales. La ley estatutaria citada establece, en el literal e) del artículo 9, que los sujetos obligados, que son todas las entidades </w:t>
      </w:r>
      <w:r w:rsidR="007379D2">
        <w:rPr>
          <w:rFonts w:ascii="Verdana" w:eastAsia="Verdana" w:hAnsi="Verdana" w:cs="Verdana"/>
          <w:lang w:val="es-MX"/>
        </w:rPr>
        <w:t>públicas</w:t>
      </w:r>
      <w:r w:rsidR="00731BA7">
        <w:rPr>
          <w:rStyle w:val="Refdenotaalpie"/>
          <w:rFonts w:ascii="Verdana" w:eastAsia="Verdana" w:hAnsi="Verdana" w:cs="Verdana"/>
          <w:lang w:val="es-MX"/>
        </w:rPr>
        <w:footnoteReference w:id="3"/>
      </w:r>
      <w:r w:rsidR="00D00089">
        <w:rPr>
          <w:rFonts w:ascii="Verdana" w:eastAsia="Verdana" w:hAnsi="Verdana" w:cs="Verdana"/>
          <w:lang w:val="es-MX"/>
        </w:rPr>
        <w:t xml:space="preserve">, </w:t>
      </w:r>
      <w:r w:rsidR="007379D2">
        <w:rPr>
          <w:rFonts w:ascii="Verdana" w:eastAsia="Verdana" w:hAnsi="Verdana" w:cs="Verdana"/>
          <w:lang w:val="es-MX"/>
        </w:rPr>
        <w:t xml:space="preserve">deben publicar </w:t>
      </w:r>
      <w:r w:rsidR="00CE257E">
        <w:rPr>
          <w:rFonts w:ascii="Verdana" w:eastAsia="Verdana" w:hAnsi="Verdana" w:cs="Verdana"/>
          <w:lang w:val="es-MX"/>
        </w:rPr>
        <w:t>la información relativa a su contratación. Esta obligación fue desarrollada por el Decreto Único Reglamentario 1082 de 2015</w:t>
      </w:r>
      <w:r w:rsidR="00CE257E">
        <w:rPr>
          <w:rStyle w:val="Refdenotaalpie"/>
          <w:rFonts w:ascii="Verdana" w:eastAsia="Verdana" w:hAnsi="Verdana" w:cs="Verdana"/>
          <w:lang w:val="es-MX"/>
        </w:rPr>
        <w:footnoteReference w:id="4"/>
      </w:r>
      <w:r w:rsidR="00312BB7">
        <w:rPr>
          <w:rFonts w:ascii="Verdana" w:eastAsia="Verdana" w:hAnsi="Verdana" w:cs="Verdana"/>
          <w:lang w:val="es-MX"/>
        </w:rPr>
        <w:t xml:space="preserve">, el cual dispuso que la publicación de la información contractual de los sujetos obligados, que contratan con cargo a recursos públicos, debe hacerse en el SECOP. </w:t>
      </w:r>
      <w:r w:rsidR="006B69F9">
        <w:rPr>
          <w:rFonts w:ascii="Verdana" w:eastAsia="Verdana" w:hAnsi="Verdana" w:cs="Verdana"/>
          <w:lang w:val="es-MX"/>
        </w:rPr>
        <w:t xml:space="preserve">El derecho de acceso a la información </w:t>
      </w:r>
      <w:r w:rsidR="006772C8">
        <w:rPr>
          <w:rFonts w:ascii="Verdana" w:eastAsia="Verdana" w:hAnsi="Verdana" w:cs="Verdana"/>
          <w:lang w:val="es-MX"/>
        </w:rPr>
        <w:t xml:space="preserve">pública o de interés público permite a toda persona, sin necesidad de acreditar calidad, interés </w:t>
      </w:r>
      <w:r w:rsidR="008F2BF8">
        <w:rPr>
          <w:rFonts w:ascii="Verdana" w:eastAsia="Verdana" w:hAnsi="Verdana" w:cs="Verdana"/>
          <w:lang w:val="es-MX"/>
        </w:rPr>
        <w:t xml:space="preserve">público permite a toda persona, sin necesidad de acreditar calidad, interés o condición </w:t>
      </w:r>
      <w:r w:rsidR="00A86AB3">
        <w:rPr>
          <w:rFonts w:ascii="Verdana" w:eastAsia="Verdana" w:hAnsi="Verdana" w:cs="Verdana"/>
          <w:lang w:val="es-MX"/>
        </w:rPr>
        <w:t>particular</w:t>
      </w:r>
      <w:r w:rsidR="004F1EB7">
        <w:rPr>
          <w:rFonts w:ascii="Verdana" w:eastAsia="Verdana" w:hAnsi="Verdana" w:cs="Verdana"/>
          <w:lang w:val="es-MX"/>
        </w:rPr>
        <w:t>, conocer la</w:t>
      </w:r>
      <w:r w:rsidR="00434021">
        <w:rPr>
          <w:rFonts w:ascii="Verdana" w:eastAsia="Verdana" w:hAnsi="Verdana" w:cs="Verdana"/>
          <w:lang w:val="es-MX"/>
        </w:rPr>
        <w:t xml:space="preserve"> existencia de informació</w:t>
      </w:r>
      <w:r w:rsidR="00310188">
        <w:rPr>
          <w:rFonts w:ascii="Verdana" w:eastAsia="Verdana" w:hAnsi="Verdana" w:cs="Verdana"/>
          <w:lang w:val="es-MX"/>
        </w:rPr>
        <w:t>n pública</w:t>
      </w:r>
      <w:r w:rsidR="001432E7">
        <w:rPr>
          <w:rFonts w:ascii="Verdana" w:eastAsia="Verdana" w:hAnsi="Verdana" w:cs="Verdana"/>
          <w:lang w:val="es-MX"/>
        </w:rPr>
        <w:t xml:space="preserve">, acceder a la misma y difundirla o publicarla, según su </w:t>
      </w:r>
      <w:r w:rsidR="00A242C0">
        <w:rPr>
          <w:rFonts w:ascii="Verdana" w:eastAsia="Verdana" w:hAnsi="Verdana" w:cs="Verdana"/>
          <w:lang w:val="es-MX"/>
        </w:rPr>
        <w:t>interés</w:t>
      </w:r>
      <w:r w:rsidR="001432E7">
        <w:rPr>
          <w:rStyle w:val="Refdenotaalpie"/>
          <w:rFonts w:ascii="Verdana" w:eastAsia="Verdana" w:hAnsi="Verdana" w:cs="Verdana"/>
          <w:lang w:val="es-MX"/>
        </w:rPr>
        <w:footnoteReference w:id="5"/>
      </w:r>
      <w:r w:rsidR="00A242C0">
        <w:rPr>
          <w:rFonts w:ascii="Verdana" w:eastAsia="Verdana" w:hAnsi="Verdana" w:cs="Verdana"/>
          <w:lang w:val="es-MX"/>
        </w:rPr>
        <w:t>. En es</w:t>
      </w:r>
      <w:r w:rsidR="00BB4260">
        <w:rPr>
          <w:rFonts w:ascii="Verdana" w:eastAsia="Verdana" w:hAnsi="Verdana" w:cs="Verdana"/>
          <w:lang w:val="es-MX"/>
        </w:rPr>
        <w:t xml:space="preserve">e contexto, las Entidades Estatales, conforme al artículo </w:t>
      </w:r>
      <w:r w:rsidR="00D40C27">
        <w:rPr>
          <w:rFonts w:ascii="Verdana" w:eastAsia="Verdana" w:hAnsi="Verdana" w:cs="Verdana"/>
          <w:lang w:val="es-MX"/>
        </w:rPr>
        <w:t>2.2.1.1.7.1 del Decreto 1082 de 2015, tienen la obligación de publicar en el SECOP “[…] los Documentos del Proceso y los actos administrativos del Proceso de Contratación</w:t>
      </w:r>
      <w:r w:rsidR="00036616">
        <w:rPr>
          <w:rFonts w:ascii="Verdana" w:eastAsia="Verdana" w:hAnsi="Verdana" w:cs="Verdana"/>
          <w:lang w:val="es-MX"/>
        </w:rPr>
        <w:t xml:space="preserve">, dentro de los tres (3) días siguientes a su expedición […]”. </w:t>
      </w:r>
    </w:p>
    <w:p w14:paraId="7730767B" w14:textId="222E9DF3" w:rsidR="00036616" w:rsidRDefault="00036616" w:rsidP="00F7555C">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La expresión </w:t>
      </w:r>
      <w:r w:rsidR="00B92B0D" w:rsidRPr="00B069AA">
        <w:rPr>
          <w:rFonts w:ascii="Verdana" w:eastAsia="Verdana" w:hAnsi="Verdana" w:cs="Verdana"/>
          <w:i/>
          <w:iCs/>
          <w:lang w:val="es-MX"/>
        </w:rPr>
        <w:t>Documentos del Proceso</w:t>
      </w:r>
      <w:r w:rsidR="00B92B0D">
        <w:rPr>
          <w:rFonts w:ascii="Verdana" w:eastAsia="Verdana" w:hAnsi="Verdana" w:cs="Verdana"/>
          <w:lang w:val="es-MX"/>
        </w:rPr>
        <w:t xml:space="preserve"> </w:t>
      </w:r>
      <w:r w:rsidR="007E723E">
        <w:rPr>
          <w:rFonts w:ascii="Verdana" w:eastAsia="Verdana" w:hAnsi="Verdana" w:cs="Verdana"/>
          <w:lang w:val="es-MX"/>
        </w:rPr>
        <w:t>está definida en el artículo 2.2.1.1.3.1 del Decret</w:t>
      </w:r>
      <w:r w:rsidR="005F2B46">
        <w:rPr>
          <w:rFonts w:ascii="Verdana" w:eastAsia="Verdana" w:hAnsi="Verdana" w:cs="Verdana"/>
          <w:lang w:val="es-MX"/>
        </w:rPr>
        <w:t>o 1082 de 2015, donde se establece que: “son: (a) los estudios y documentos previos; (b) el aviso de convocatoria; (c) los pliegos de condiciones o la invitación; (d)</w:t>
      </w:r>
      <w:r w:rsidR="00B069AA">
        <w:rPr>
          <w:rFonts w:ascii="Verdana" w:eastAsia="Verdana" w:hAnsi="Verdana" w:cs="Verdana"/>
          <w:lang w:val="es-MX"/>
        </w:rPr>
        <w:t xml:space="preserve"> </w:t>
      </w:r>
      <w:r w:rsidR="000A6CCE">
        <w:rPr>
          <w:rFonts w:ascii="Verdana" w:eastAsia="Verdana" w:hAnsi="Verdana" w:cs="Verdana"/>
          <w:lang w:val="es-MX"/>
        </w:rPr>
        <w:t>las adendas</w:t>
      </w:r>
      <w:r w:rsidR="00B069AA">
        <w:rPr>
          <w:rFonts w:ascii="Verdana" w:eastAsia="Verdana" w:hAnsi="Verdana" w:cs="Verdana"/>
          <w:lang w:val="es-MX"/>
        </w:rPr>
        <w:t xml:space="preserve">; (e) </w:t>
      </w:r>
      <w:r w:rsidR="00437E08">
        <w:rPr>
          <w:rFonts w:ascii="Verdana" w:eastAsia="Verdana" w:hAnsi="Verdana" w:cs="Verdana"/>
          <w:lang w:val="es-MX"/>
        </w:rPr>
        <w:t xml:space="preserve">la oferta; (f) el informe de evaluación; (g) el contrato; y </w:t>
      </w:r>
      <w:r w:rsidR="00437E08" w:rsidRPr="000A6CCE">
        <w:rPr>
          <w:rFonts w:ascii="Verdana" w:eastAsia="Verdana" w:hAnsi="Verdana" w:cs="Verdana"/>
          <w:i/>
          <w:iCs/>
          <w:lang w:val="es-MX"/>
        </w:rPr>
        <w:t>cualquier otro documento expedido</w:t>
      </w:r>
      <w:r w:rsidR="000A6CCE" w:rsidRPr="000A6CCE">
        <w:rPr>
          <w:rFonts w:ascii="Verdana" w:eastAsia="Verdana" w:hAnsi="Verdana" w:cs="Verdana"/>
          <w:i/>
          <w:iCs/>
          <w:lang w:val="es-MX"/>
        </w:rPr>
        <w:t xml:space="preserve"> por la Entidad Estatal durante el proceso de Contratación</w:t>
      </w:r>
      <w:r w:rsidR="000A6CCE">
        <w:rPr>
          <w:rFonts w:ascii="Verdana" w:eastAsia="Verdana" w:hAnsi="Verdana" w:cs="Verdana"/>
          <w:lang w:val="es-MX"/>
        </w:rPr>
        <w:t xml:space="preserve">”. </w:t>
      </w:r>
    </w:p>
    <w:p w14:paraId="2EF050D0" w14:textId="710D8CEA" w:rsidR="000A6CCE" w:rsidRDefault="000A6CCE" w:rsidP="00FF2D24">
      <w:pPr>
        <w:spacing w:after="120" w:line="276" w:lineRule="auto"/>
        <w:jc w:val="both"/>
        <w:rPr>
          <w:rFonts w:ascii="Verdana" w:eastAsia="Verdana" w:hAnsi="Verdana" w:cs="Verdana"/>
          <w:lang w:val="es-MX"/>
        </w:rPr>
      </w:pPr>
      <w:r>
        <w:rPr>
          <w:rFonts w:ascii="Verdana" w:eastAsia="Verdana" w:hAnsi="Verdana" w:cs="Verdana"/>
          <w:lang w:val="es-MX"/>
        </w:rPr>
        <w:t>[Énfasis fuera de texto]</w:t>
      </w:r>
    </w:p>
    <w:p w14:paraId="41914B92" w14:textId="77777777" w:rsidR="00FF2D24" w:rsidRDefault="00FF2D24" w:rsidP="00111C99">
      <w:pPr>
        <w:spacing w:after="0" w:line="276" w:lineRule="auto"/>
        <w:ind w:firstLine="709"/>
        <w:jc w:val="both"/>
        <w:rPr>
          <w:rFonts w:ascii="Verdana" w:eastAsia="Verdana" w:hAnsi="Verdana" w:cs="Verdana"/>
          <w:lang w:val="es-MX"/>
        </w:rPr>
      </w:pPr>
    </w:p>
    <w:p w14:paraId="4FAAA323" w14:textId="0AAC745E" w:rsidR="00FF2D24" w:rsidRDefault="00FF2D24" w:rsidP="00F7555C">
      <w:pPr>
        <w:spacing w:after="120" w:line="276" w:lineRule="auto"/>
        <w:ind w:firstLine="709"/>
        <w:jc w:val="both"/>
        <w:rPr>
          <w:rFonts w:ascii="Verdana" w:eastAsia="Verdana" w:hAnsi="Verdana" w:cs="Verdana"/>
          <w:lang w:val="es-MX"/>
        </w:rPr>
      </w:pPr>
      <w:r>
        <w:rPr>
          <w:rFonts w:ascii="Verdana" w:eastAsia="Verdana" w:hAnsi="Verdana" w:cs="Verdana"/>
          <w:lang w:val="es-MX"/>
        </w:rPr>
        <w:t>Sin embargo, para identificar los documentos que deben publicarse, es necesario realizar una interpretación sistemática de las disposiciones del Decreto 1082 de 2015, comoquiera que el anterior no es un listado taxativ</w:t>
      </w:r>
      <w:r w:rsidR="00B2246A">
        <w:rPr>
          <w:rFonts w:ascii="Verdana" w:eastAsia="Verdana" w:hAnsi="Verdana" w:cs="Verdana"/>
          <w:lang w:val="es-MX"/>
        </w:rPr>
        <w:t>o</w:t>
      </w:r>
      <w:r w:rsidR="007F144B">
        <w:rPr>
          <w:rFonts w:ascii="Verdana" w:eastAsia="Verdana" w:hAnsi="Verdana" w:cs="Verdana"/>
          <w:lang w:val="es-MX"/>
        </w:rPr>
        <w:t>, sino</w:t>
      </w:r>
      <w:r w:rsidR="00D90884">
        <w:rPr>
          <w:rFonts w:ascii="Verdana" w:eastAsia="Verdana" w:hAnsi="Verdana" w:cs="Verdana"/>
          <w:lang w:val="es-MX"/>
        </w:rPr>
        <w:t xml:space="preserve"> enunciativo</w:t>
      </w:r>
      <w:r w:rsidR="004E048B">
        <w:rPr>
          <w:rFonts w:ascii="Verdana" w:eastAsia="Verdana" w:hAnsi="Verdana" w:cs="Verdana"/>
          <w:lang w:val="es-MX"/>
        </w:rPr>
        <w:t xml:space="preserve">, porque además de los documentos enlistados, el artículo 2.2.1.1.1.3.1 </w:t>
      </w:r>
      <w:r w:rsidR="004E048B" w:rsidRPr="00F111D4">
        <w:rPr>
          <w:rFonts w:ascii="Verdana" w:eastAsia="Verdana" w:hAnsi="Verdana" w:cs="Verdana"/>
          <w:i/>
          <w:iCs/>
          <w:lang w:val="es-MX"/>
        </w:rPr>
        <w:t>Ibidem</w:t>
      </w:r>
      <w:r w:rsidR="004E048B">
        <w:rPr>
          <w:rFonts w:ascii="Verdana" w:eastAsia="Verdana" w:hAnsi="Verdana" w:cs="Verdana"/>
          <w:lang w:val="es-MX"/>
        </w:rPr>
        <w:t xml:space="preserve"> recoge </w:t>
      </w:r>
      <w:r w:rsidR="00F111D4">
        <w:rPr>
          <w:rFonts w:ascii="Verdana" w:eastAsia="Verdana" w:hAnsi="Verdana" w:cs="Verdana"/>
          <w:lang w:val="es-MX"/>
        </w:rPr>
        <w:t>en la noción de Documentos del Proceso “cualquier otro documento expedido por la Entidad Estatal durante el P</w:t>
      </w:r>
      <w:r w:rsidR="001B2CF7">
        <w:rPr>
          <w:rFonts w:ascii="Verdana" w:eastAsia="Verdana" w:hAnsi="Verdana" w:cs="Verdana"/>
          <w:lang w:val="es-MX"/>
        </w:rPr>
        <w:t xml:space="preserve">roceso de Contratación”. Este mismo artículo define la expresión </w:t>
      </w:r>
      <w:r w:rsidR="00AF6268">
        <w:rPr>
          <w:rFonts w:ascii="Verdana" w:eastAsia="Verdana" w:hAnsi="Verdana" w:cs="Verdana"/>
          <w:lang w:val="es-MX"/>
        </w:rPr>
        <w:t>Proceso de Contratación</w:t>
      </w:r>
      <w:r w:rsidR="001945D9">
        <w:rPr>
          <w:rFonts w:ascii="Verdana" w:eastAsia="Verdana" w:hAnsi="Verdana" w:cs="Verdana"/>
          <w:lang w:val="es-MX"/>
        </w:rPr>
        <w:t xml:space="preserve"> como el “Conjunto </w:t>
      </w:r>
      <w:r w:rsidR="00AC6EEA">
        <w:rPr>
          <w:rFonts w:ascii="Verdana" w:eastAsia="Verdana" w:hAnsi="Verdana" w:cs="Verdana"/>
          <w:lang w:val="es-MX"/>
        </w:rPr>
        <w:t xml:space="preserve">de actos y </w:t>
      </w:r>
      <w:r w:rsidR="00C914A3">
        <w:rPr>
          <w:rFonts w:ascii="Verdana" w:eastAsia="Verdana" w:hAnsi="Verdana" w:cs="Verdana"/>
          <w:lang w:val="es-MX"/>
        </w:rPr>
        <w:t>actividades, y su secuencia, adelantadas por la Entidad Estatal desde la planeación hasta el vencimiento</w:t>
      </w:r>
      <w:r w:rsidR="004A14AD">
        <w:rPr>
          <w:rFonts w:ascii="Verdana" w:eastAsia="Verdana" w:hAnsi="Verdana" w:cs="Verdana"/>
          <w:lang w:val="es-MX"/>
        </w:rPr>
        <w:t xml:space="preserve"> de las garantías de calidad, estabilidad y mantenimiento, o las condiciones de disposición final o recuperación ambiental de las obras o bienes o el vencimiento del plazo</w:t>
      </w:r>
      <w:r w:rsidR="009E3E7A">
        <w:rPr>
          <w:rFonts w:ascii="Verdana" w:eastAsia="Verdana" w:hAnsi="Verdana" w:cs="Verdana"/>
          <w:lang w:val="es-MX"/>
        </w:rPr>
        <w:t xml:space="preserve">, lo que ocurra mas tarde”. Nótese que la norma hace referencia a los documentos “expedidos por la entidad estatal” durante el proceso de contratación, excluyendo de la noción de Documentos del Proceso </w:t>
      </w:r>
      <w:r w:rsidR="00613F59">
        <w:rPr>
          <w:rFonts w:ascii="Verdana" w:eastAsia="Verdana" w:hAnsi="Verdana" w:cs="Verdana"/>
          <w:lang w:val="es-MX"/>
        </w:rPr>
        <w:t xml:space="preserve">los expedidos por un sujeto distinto a la entidad, salvo la oferta, la cual se incluye expresamente en el referido artículo 2.2.1.1.1.3.1. </w:t>
      </w:r>
    </w:p>
    <w:p w14:paraId="2AC41BB0" w14:textId="4DEB1F34" w:rsidR="00613F59" w:rsidRDefault="006366D0" w:rsidP="00F7555C">
      <w:pPr>
        <w:spacing w:after="120" w:line="276" w:lineRule="auto"/>
        <w:ind w:firstLine="709"/>
        <w:jc w:val="both"/>
        <w:rPr>
          <w:rFonts w:ascii="Verdana" w:eastAsia="Verdana" w:hAnsi="Verdana" w:cs="Verdana"/>
          <w:lang w:val="es-MX"/>
        </w:rPr>
      </w:pPr>
      <w:r>
        <w:rPr>
          <w:rFonts w:ascii="Verdana" w:eastAsia="Verdana" w:hAnsi="Verdana" w:cs="Verdana"/>
          <w:lang w:val="es-MX"/>
        </w:rPr>
        <w:t>En ese sentido, la interpretación sistemática de los preceptos del Decreto 1082 de 2015, de acuerdo con el principio de publicidad, inicialmente, indica que las Entidades Estata</w:t>
      </w:r>
      <w:r w:rsidR="000072BD">
        <w:rPr>
          <w:rFonts w:ascii="Verdana" w:eastAsia="Verdana" w:hAnsi="Verdana" w:cs="Verdana"/>
          <w:lang w:val="es-MX"/>
        </w:rPr>
        <w:t xml:space="preserve">les tienen la obligación de publicar todos los documentos que expidan con ocasión </w:t>
      </w:r>
      <w:r w:rsidR="00682D71">
        <w:rPr>
          <w:rFonts w:ascii="Verdana" w:eastAsia="Verdana" w:hAnsi="Verdana" w:cs="Verdana"/>
          <w:lang w:val="es-MX"/>
        </w:rPr>
        <w:t>del Proces</w:t>
      </w:r>
      <w:r w:rsidR="00D011CF">
        <w:rPr>
          <w:rFonts w:ascii="Verdana" w:eastAsia="Verdana" w:hAnsi="Verdana" w:cs="Verdana"/>
          <w:lang w:val="es-MX"/>
        </w:rPr>
        <w:t xml:space="preserve">o de Contratación, es decir, que todos los documentos </w:t>
      </w:r>
      <w:r w:rsidR="00451A55">
        <w:rPr>
          <w:rFonts w:ascii="Verdana" w:eastAsia="Verdana" w:hAnsi="Verdana" w:cs="Verdana"/>
          <w:lang w:val="es-MX"/>
        </w:rPr>
        <w:t>expedidos</w:t>
      </w:r>
      <w:r w:rsidR="004774AC">
        <w:rPr>
          <w:rFonts w:ascii="Verdana" w:eastAsia="Verdana" w:hAnsi="Verdana" w:cs="Verdana"/>
          <w:lang w:val="es-MX"/>
        </w:rPr>
        <w:t xml:space="preserve"> por la entidad durante las etapas precontractual, de ejecución y postcontractual deberán ser publicados en SECOP dentro de los tres (3) días siguientes a su expedición, para cumplir el deber de publicidad regulado por el artículo 2.2.1.1.1.7.1 del Decreto </w:t>
      </w:r>
      <w:r w:rsidR="00D74C64">
        <w:rPr>
          <w:rFonts w:ascii="Verdana" w:eastAsia="Verdana" w:hAnsi="Verdana" w:cs="Verdana"/>
          <w:lang w:val="es-MX"/>
        </w:rPr>
        <w:t xml:space="preserve">1082 de 2015. </w:t>
      </w:r>
    </w:p>
    <w:p w14:paraId="40EBEA13" w14:textId="77777777" w:rsidR="0091226A" w:rsidRDefault="00D74C64" w:rsidP="00F7555C">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Con el propósito de garantizar el cumplimiento del mencionado deber de publicidad, </w:t>
      </w:r>
      <w:r w:rsidR="008D7020">
        <w:rPr>
          <w:rFonts w:ascii="Verdana" w:eastAsia="Verdana" w:hAnsi="Verdana" w:cs="Verdana"/>
          <w:lang w:val="es-MX"/>
        </w:rPr>
        <w:t>se le asignó a la Agencia Nacional de Contratación Pública – Colombia Compra Eficiente</w:t>
      </w:r>
      <w:r w:rsidR="0001693A">
        <w:rPr>
          <w:rFonts w:ascii="Verdana" w:eastAsia="Verdana" w:hAnsi="Verdana" w:cs="Verdana"/>
          <w:lang w:val="es-MX"/>
        </w:rPr>
        <w:t>, la función de administrar el SECOP</w:t>
      </w:r>
      <w:r w:rsidR="0001693A">
        <w:rPr>
          <w:rStyle w:val="Refdenotaalpie"/>
          <w:rFonts w:ascii="Verdana" w:eastAsia="Verdana" w:hAnsi="Verdana" w:cs="Verdana"/>
          <w:lang w:val="es-MX"/>
        </w:rPr>
        <w:footnoteReference w:id="6"/>
      </w:r>
      <w:r w:rsidR="00952BE7">
        <w:rPr>
          <w:rFonts w:ascii="Verdana" w:eastAsia="Verdana" w:hAnsi="Verdana" w:cs="Verdana"/>
          <w:lang w:val="es-MX"/>
        </w:rPr>
        <w:t>. Dicha plataforma ha tenido dos versiones</w:t>
      </w:r>
      <w:r w:rsidR="00823DC1">
        <w:rPr>
          <w:rFonts w:ascii="Verdana" w:eastAsia="Verdana" w:hAnsi="Verdana" w:cs="Verdana"/>
          <w:lang w:val="es-MX"/>
        </w:rPr>
        <w:t xml:space="preserve">, esto es, el SECOP I y SECOP II. La primera </w:t>
      </w:r>
      <w:proofErr w:type="spellStart"/>
      <w:r w:rsidR="00823DC1">
        <w:rPr>
          <w:rFonts w:ascii="Verdana" w:eastAsia="Verdana" w:hAnsi="Verdana" w:cs="Verdana"/>
          <w:lang w:val="es-MX"/>
        </w:rPr>
        <w:t>version</w:t>
      </w:r>
      <w:proofErr w:type="spellEnd"/>
      <w:r w:rsidR="00823DC1">
        <w:rPr>
          <w:rFonts w:ascii="Verdana" w:eastAsia="Verdana" w:hAnsi="Verdana" w:cs="Verdana"/>
          <w:lang w:val="es-MX"/>
        </w:rPr>
        <w:t xml:space="preserve"> de la plataforma</w:t>
      </w:r>
      <w:r w:rsidR="0081321A">
        <w:rPr>
          <w:rFonts w:ascii="Verdana" w:eastAsia="Verdana" w:hAnsi="Verdana" w:cs="Verdana"/>
          <w:lang w:val="es-MX"/>
        </w:rPr>
        <w:t xml:space="preserve"> </w:t>
      </w:r>
      <w:r w:rsidR="00EA4A56">
        <w:rPr>
          <w:rFonts w:ascii="Verdana" w:eastAsia="Verdana" w:hAnsi="Verdana" w:cs="Verdana"/>
          <w:lang w:val="es-MX"/>
        </w:rPr>
        <w:t>- SECOP I-</w:t>
      </w:r>
      <w:r w:rsidR="0081321A">
        <w:rPr>
          <w:rFonts w:ascii="Verdana" w:eastAsia="Verdana" w:hAnsi="Verdana" w:cs="Verdana"/>
          <w:lang w:val="es-MX"/>
        </w:rPr>
        <w:t>, solo funciona como medio de publicidad, es decir, no es transaccional, lo que significa que el procedimiento contractual ocurre fuera de la plataforma</w:t>
      </w:r>
      <w:r w:rsidR="00C34294">
        <w:rPr>
          <w:rFonts w:ascii="Verdana" w:eastAsia="Verdana" w:hAnsi="Verdana" w:cs="Verdana"/>
          <w:lang w:val="es-MX"/>
        </w:rPr>
        <w:t xml:space="preserve"> y a través de un expediente fisico en la entidad, pero las actuaciones </w:t>
      </w:r>
      <w:r w:rsidR="0091226A">
        <w:rPr>
          <w:rFonts w:ascii="Verdana" w:eastAsia="Verdana" w:hAnsi="Verdana" w:cs="Verdana"/>
          <w:lang w:val="es-MX"/>
        </w:rPr>
        <w:t xml:space="preserve">y los documentos se convierten en electrónicos para ser cargados a la plataforma, por quien tenga la función dentro de la entidad, de acuerdo con su organización interna. </w:t>
      </w:r>
    </w:p>
    <w:p w14:paraId="2AF85EC0" w14:textId="77777777" w:rsidR="00D82E5C" w:rsidRDefault="0091226A" w:rsidP="00F7555C">
      <w:pPr>
        <w:spacing w:after="120" w:line="276" w:lineRule="auto"/>
        <w:ind w:firstLine="709"/>
        <w:jc w:val="both"/>
        <w:rPr>
          <w:rFonts w:ascii="Verdana" w:eastAsia="Verdana" w:hAnsi="Verdana" w:cs="Verdana"/>
          <w:lang w:val="es-MX"/>
        </w:rPr>
      </w:pPr>
      <w:r>
        <w:rPr>
          <w:rFonts w:ascii="Verdana" w:eastAsia="Verdana" w:hAnsi="Verdana" w:cs="Verdana"/>
          <w:lang w:val="es-MX"/>
        </w:rPr>
        <w:t>En cambio, el SECOP II</w:t>
      </w:r>
      <w:r w:rsidR="00F4416A">
        <w:rPr>
          <w:rFonts w:ascii="Verdana" w:eastAsia="Verdana" w:hAnsi="Verdana" w:cs="Verdana"/>
          <w:lang w:val="es-MX"/>
        </w:rPr>
        <w:t xml:space="preserve">, es una plataforma transaccional que permite gestionar </w:t>
      </w:r>
      <w:r w:rsidR="00D8018B">
        <w:rPr>
          <w:rFonts w:ascii="Verdana" w:eastAsia="Verdana" w:hAnsi="Verdana" w:cs="Verdana"/>
          <w:lang w:val="es-MX"/>
        </w:rPr>
        <w:t>la línea</w:t>
      </w:r>
      <w:r w:rsidR="00F4416A">
        <w:rPr>
          <w:rFonts w:ascii="Verdana" w:eastAsia="Verdana" w:hAnsi="Verdana" w:cs="Verdana"/>
          <w:lang w:val="es-MX"/>
        </w:rPr>
        <w:t xml:space="preserve">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w:t>
      </w:r>
      <w:r w:rsidR="00F9021A">
        <w:rPr>
          <w:rFonts w:ascii="Verdana" w:eastAsia="Verdana" w:hAnsi="Verdana" w:cs="Verdana"/>
          <w:lang w:val="es-MX"/>
        </w:rPr>
        <w:t xml:space="preserve">, y gestionan la fase de ejecución del contrato. Los proveedores pueden hacer comentarios a los documentos del procedimiento, presentar </w:t>
      </w:r>
      <w:r w:rsidR="00D8018B">
        <w:rPr>
          <w:rFonts w:ascii="Verdana" w:eastAsia="Verdana" w:hAnsi="Verdana" w:cs="Verdana"/>
          <w:lang w:val="es-MX"/>
        </w:rPr>
        <w:t>o</w:t>
      </w:r>
      <w:r w:rsidR="00F9021A">
        <w:rPr>
          <w:rFonts w:ascii="Verdana" w:eastAsia="Verdana" w:hAnsi="Verdana" w:cs="Verdana"/>
          <w:lang w:val="es-MX"/>
        </w:rPr>
        <w:t xml:space="preserve">fertas </w:t>
      </w:r>
      <w:r w:rsidR="00D82E5C">
        <w:rPr>
          <w:rFonts w:ascii="Verdana" w:eastAsia="Verdana" w:hAnsi="Verdana" w:cs="Verdana"/>
          <w:lang w:val="es-MX"/>
        </w:rPr>
        <w:t xml:space="preserve">y seguir el procedimiento de selección en línea. </w:t>
      </w:r>
    </w:p>
    <w:p w14:paraId="71A51EB9" w14:textId="77777777" w:rsidR="007A3152" w:rsidRDefault="00D82E5C" w:rsidP="00F7555C">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Sin embargo, pese a que los documentos que deben publicarse en el SECOP II, corresponden a los mismos que deben publicarse </w:t>
      </w:r>
      <w:r w:rsidR="008D185F">
        <w:rPr>
          <w:rFonts w:ascii="Verdana" w:eastAsia="Verdana" w:hAnsi="Verdana" w:cs="Verdana"/>
          <w:lang w:val="es-MX"/>
        </w:rPr>
        <w:t>en el SECOP I</w:t>
      </w:r>
      <w:r w:rsidR="00B229E7">
        <w:rPr>
          <w:rFonts w:ascii="Verdana" w:eastAsia="Verdana" w:hAnsi="Verdana" w:cs="Verdana"/>
          <w:lang w:val="es-MX"/>
        </w:rPr>
        <w:t xml:space="preserve">, esto es, todos los expedidos con ocasión del Proceso de Contratación con excepción de los expresamente excluidos, la naturaleza transaccional del SECOP II implica que los procesos </w:t>
      </w:r>
      <w:r w:rsidR="001C275E">
        <w:rPr>
          <w:rFonts w:ascii="Verdana" w:eastAsia="Verdana" w:hAnsi="Verdana" w:cs="Verdana"/>
          <w:lang w:val="es-MX"/>
        </w:rPr>
        <w:t xml:space="preserve"> contractuales no solo deban ser publicados mediante esta plataforma, sino también gestionados a trabes de ella, al consistir la mayoría de los hitos contractuales en documentos y actuaciones electrónicas generadas en tiempo real, de tal manera que el proceso contractual avanza en la medida en la que se generen y aprueben estos documentos y ac</w:t>
      </w:r>
      <w:r w:rsidR="007A3152">
        <w:rPr>
          <w:rFonts w:ascii="Verdana" w:eastAsia="Verdana" w:hAnsi="Verdana" w:cs="Verdana"/>
          <w:lang w:val="es-MX"/>
        </w:rPr>
        <w:t xml:space="preserve">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6872EC1A" w14:textId="633D67CB" w:rsidR="00D74C64" w:rsidRDefault="001215B5" w:rsidP="00F7555C">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Lo anterior significa que, el término de tres (3) días para publicar, en la </w:t>
      </w:r>
      <w:r w:rsidR="00EA778A">
        <w:rPr>
          <w:rFonts w:ascii="Verdana" w:eastAsia="Verdana" w:hAnsi="Verdana" w:cs="Verdana"/>
          <w:lang w:val="es-MX"/>
        </w:rPr>
        <w:t>práctica, no opera en las actuaciones generadas de manera electrónica dentro de los procedimientos</w:t>
      </w:r>
      <w:r w:rsidR="00EA4A56">
        <w:rPr>
          <w:rFonts w:ascii="Verdana" w:eastAsia="Verdana" w:hAnsi="Verdana" w:cs="Verdana"/>
          <w:lang w:val="es-MX"/>
        </w:rPr>
        <w:t xml:space="preserve"> </w:t>
      </w:r>
      <w:r w:rsidR="001B43ED">
        <w:rPr>
          <w:rFonts w:ascii="Verdana" w:eastAsia="Verdana" w:hAnsi="Verdana" w:cs="Verdana"/>
          <w:lang w:val="es-MX"/>
        </w:rPr>
        <w:t>gestionados a través de SECOP II</w:t>
      </w:r>
      <w:r w:rsidR="009D66FB">
        <w:rPr>
          <w:rFonts w:ascii="Verdana" w:eastAsia="Verdana" w:hAnsi="Verdana" w:cs="Verdana"/>
          <w:lang w:val="es-MX"/>
        </w:rPr>
        <w:t xml:space="preserve">, comoquiera que tales documentos son creados o expedidos mediante la propia plataforma, razón por que una vez estos se aprueban quedan inmediatamente publicados, sin que transcurra el referido término. </w:t>
      </w:r>
    </w:p>
    <w:p w14:paraId="33D9B2DE" w14:textId="77777777" w:rsidR="00385919" w:rsidRDefault="00F2166E" w:rsidP="00F7555C">
      <w:pPr>
        <w:spacing w:after="120" w:line="276" w:lineRule="auto"/>
        <w:ind w:firstLine="709"/>
        <w:jc w:val="both"/>
        <w:rPr>
          <w:rFonts w:ascii="Verdana" w:eastAsia="Verdana" w:hAnsi="Verdana" w:cs="Verdana"/>
          <w:lang w:val="es-MX"/>
        </w:rPr>
      </w:pPr>
      <w:r>
        <w:rPr>
          <w:rFonts w:ascii="Verdana" w:eastAsia="Verdana" w:hAnsi="Verdana" w:cs="Verdana"/>
          <w:lang w:val="es-MX"/>
        </w:rPr>
        <w:t>De tal manera que, el carácter transaccional de SECOP II, como herramienta</w:t>
      </w:r>
      <w:r w:rsidR="002624B0">
        <w:rPr>
          <w:rFonts w:ascii="Verdana" w:eastAsia="Verdana" w:hAnsi="Verdana" w:cs="Verdana"/>
          <w:lang w:val="es-MX"/>
        </w:rPr>
        <w:t xml:space="preserve"> que permite no solo publicar sino también gestionar y crear Documentos del Proceso</w:t>
      </w:r>
      <w:r w:rsidR="004B4151">
        <w:rPr>
          <w:rFonts w:ascii="Verdana" w:eastAsia="Verdana" w:hAnsi="Verdana" w:cs="Verdana"/>
          <w:lang w:val="es-MX"/>
        </w:rPr>
        <w:t>, de manera electrónica al interior de la plataforma</w:t>
      </w:r>
      <w:r w:rsidR="00283C86">
        <w:rPr>
          <w:rFonts w:ascii="Verdana" w:eastAsia="Verdana" w:hAnsi="Verdana" w:cs="Verdana"/>
          <w:lang w:val="es-MX"/>
        </w:rPr>
        <w:t>, implica que el deber de publicidad respecto de estas ac</w:t>
      </w:r>
      <w:r w:rsidR="00385919">
        <w:rPr>
          <w:rFonts w:ascii="Verdana" w:eastAsia="Verdana" w:hAnsi="Verdana" w:cs="Verdana"/>
          <w:lang w:val="es-MX"/>
        </w:rPr>
        <w:t xml:space="preserve">tuaciones se cumpla de manera distinta a como sucede en el SECOP I, donde los documentos contractuales se expiden primero en un medio fisico que posteriormente es cargado en la plataforma. </w:t>
      </w:r>
    </w:p>
    <w:p w14:paraId="20239AA0" w14:textId="6F707E17" w:rsidR="00F2166E" w:rsidRDefault="00385919" w:rsidP="00F7555C">
      <w:pPr>
        <w:spacing w:after="120" w:line="276" w:lineRule="auto"/>
        <w:ind w:firstLine="709"/>
        <w:jc w:val="both"/>
        <w:rPr>
          <w:rFonts w:ascii="Verdana" w:eastAsia="Verdana" w:hAnsi="Verdana" w:cs="Verdana"/>
          <w:lang w:val="es-MX"/>
        </w:rPr>
      </w:pPr>
      <w:r>
        <w:rPr>
          <w:rFonts w:ascii="Verdana" w:eastAsia="Verdana" w:hAnsi="Verdana" w:cs="Verdana"/>
          <w:lang w:val="es-MX"/>
        </w:rPr>
        <w:t>Ahora bien, teniendo en cuenta lo consultado, debe destacarse que el artículo 53 de la Ley 2195 de 2022 estableció con mayor precisión la obligación de las Entidades Estatales exceptuadas del Estatuto General de Contratación de la Administración Pública</w:t>
      </w:r>
      <w:r w:rsidR="0029673E">
        <w:rPr>
          <w:rFonts w:ascii="Verdana" w:eastAsia="Verdana" w:hAnsi="Verdana" w:cs="Verdana"/>
          <w:lang w:val="es-MX"/>
        </w:rPr>
        <w:t xml:space="preserve"> de publicar en el SECOP II -es decir en la plataforma transaccional vigente</w:t>
      </w:r>
      <w:r w:rsidR="00AC75C1">
        <w:rPr>
          <w:rFonts w:ascii="Verdana" w:eastAsia="Verdana" w:hAnsi="Verdana" w:cs="Verdana"/>
          <w:lang w:val="es-MX"/>
        </w:rPr>
        <w:t xml:space="preserve">- su actividad contractual. así pues, respecto de los documentos que deben ser publicados en el SECOP II a efectos de dar cumplimiento al mandato consagrado en el artículo 53 de la Ley 2195 de 2022, es preciso advertir que la disposición hace referencia a los documentos </w:t>
      </w:r>
      <w:r w:rsidR="00213A9F">
        <w:rPr>
          <w:rFonts w:ascii="Verdana" w:eastAsia="Verdana" w:hAnsi="Verdana" w:cs="Verdana"/>
          <w:lang w:val="es-MX"/>
        </w:rPr>
        <w:t>relacionados con su actividad contractual</w:t>
      </w:r>
      <w:r w:rsidR="00FF635F">
        <w:rPr>
          <w:rFonts w:ascii="Verdana" w:eastAsia="Verdana" w:hAnsi="Verdana" w:cs="Verdana"/>
          <w:lang w:val="es-MX"/>
        </w:rPr>
        <w:t>, la cual define como “[…] los documentos</w:t>
      </w:r>
      <w:r w:rsidR="00E608BF">
        <w:rPr>
          <w:rFonts w:ascii="Verdana" w:eastAsia="Verdana" w:hAnsi="Verdana" w:cs="Verdana"/>
          <w:lang w:val="es-MX"/>
        </w:rPr>
        <w:t>, contratos, actos e información generada por eferentes, contratistas, contratante, supervisor o interventor, tanto en la etapa precontractual</w:t>
      </w:r>
      <w:r w:rsidR="001B27F8">
        <w:rPr>
          <w:rFonts w:ascii="Verdana" w:eastAsia="Verdana" w:hAnsi="Verdana" w:cs="Verdana"/>
          <w:lang w:val="es-MX"/>
        </w:rPr>
        <w:t>, como en la contractual y la postcontractual</w:t>
      </w:r>
      <w:r w:rsidR="002F1B55">
        <w:rPr>
          <w:rFonts w:ascii="Verdana" w:eastAsia="Verdana" w:hAnsi="Verdana" w:cs="Verdana"/>
          <w:lang w:val="es-MX"/>
        </w:rPr>
        <w:t xml:space="preserve">”. </w:t>
      </w:r>
    </w:p>
    <w:p w14:paraId="6DB72AD5" w14:textId="4D90CC5F" w:rsidR="002F1B55" w:rsidRDefault="002F1B55" w:rsidP="00F7555C">
      <w:pPr>
        <w:spacing w:after="120" w:line="276" w:lineRule="auto"/>
        <w:ind w:firstLine="709"/>
        <w:jc w:val="both"/>
        <w:rPr>
          <w:rFonts w:ascii="Verdana" w:eastAsia="Verdana" w:hAnsi="Verdana" w:cs="Verdana"/>
          <w:lang w:val="es-MX"/>
        </w:rPr>
      </w:pPr>
      <w:r>
        <w:rPr>
          <w:rFonts w:ascii="Verdana" w:eastAsia="Verdana" w:hAnsi="Verdana" w:cs="Verdana"/>
          <w:lang w:val="es-MX"/>
        </w:rPr>
        <w:t>En ese sentido, el artículo 53 de la Ley 2195 de 2022 establece el deber de publicar toda aquella información relacionada con el respectivo contrato, sin incluir</w:t>
      </w:r>
      <w:r w:rsidR="008232C3">
        <w:rPr>
          <w:rFonts w:ascii="Verdana" w:eastAsia="Verdana" w:hAnsi="Verdana" w:cs="Verdana"/>
          <w:lang w:val="es-MX"/>
        </w:rPr>
        <w:t xml:space="preserve"> ninguna excepción relacionada con la naturaleza u objeto contractual. por lo tanto, para que las entidades exceptuadas cumplan con el deber de publicidad consagrado en el artículo 53 de la Ley 2195 de 2022</w:t>
      </w:r>
      <w:r w:rsidR="004D56DD">
        <w:rPr>
          <w:rFonts w:ascii="Verdana" w:eastAsia="Verdana" w:hAnsi="Verdana" w:cs="Verdana"/>
          <w:lang w:val="es-MX"/>
        </w:rPr>
        <w:t xml:space="preserve">, se requiere que publiquen en el SECOP II </w:t>
      </w:r>
      <w:r w:rsidR="006145A4">
        <w:rPr>
          <w:rFonts w:ascii="Verdana" w:eastAsia="Verdana" w:hAnsi="Verdana" w:cs="Verdana"/>
          <w:lang w:val="es-MX"/>
        </w:rPr>
        <w:t>todo documento expedido durante las diferentes etapas del proceso contractual, abarcando desde la fase previa a su celebración</w:t>
      </w:r>
      <w:r w:rsidR="00DD403F">
        <w:rPr>
          <w:rFonts w:ascii="Verdana" w:eastAsia="Verdana" w:hAnsi="Verdana" w:cs="Verdana"/>
          <w:lang w:val="es-MX"/>
        </w:rPr>
        <w:t>, pasando por la ejecución y hasta la fase posterior a su ejecución</w:t>
      </w:r>
      <w:r w:rsidR="0069378A">
        <w:rPr>
          <w:rFonts w:ascii="Verdana" w:eastAsia="Verdana" w:hAnsi="Verdana" w:cs="Verdana"/>
          <w:lang w:val="es-MX"/>
        </w:rPr>
        <w:t>. adicionalmente se aclara, que el cumplimiento del deber de publicación de la documentación contractual debe armonizarse con</w:t>
      </w:r>
      <w:r w:rsidR="00CC35FC">
        <w:rPr>
          <w:rFonts w:ascii="Verdana" w:eastAsia="Verdana" w:hAnsi="Verdana" w:cs="Verdana"/>
          <w:lang w:val="es-MX"/>
        </w:rPr>
        <w:t xml:space="preserve"> las normas aplicables al tipo de información que están contienen</w:t>
      </w:r>
      <w:r w:rsidR="00CC35FC">
        <w:rPr>
          <w:rStyle w:val="Refdenotaalpie"/>
          <w:rFonts w:ascii="Verdana" w:eastAsia="Verdana" w:hAnsi="Verdana" w:cs="Verdana"/>
          <w:lang w:val="es-MX"/>
        </w:rPr>
        <w:footnoteReference w:id="7"/>
      </w:r>
      <w:r w:rsidR="00F61F11">
        <w:rPr>
          <w:rFonts w:ascii="Verdana" w:eastAsia="Verdana" w:hAnsi="Verdana" w:cs="Verdana"/>
          <w:lang w:val="es-MX"/>
        </w:rPr>
        <w:t xml:space="preserve">. </w:t>
      </w:r>
      <w:r w:rsidR="00AA740A">
        <w:rPr>
          <w:rFonts w:ascii="Verdana" w:eastAsia="Verdana" w:hAnsi="Verdana" w:cs="Verdana"/>
          <w:lang w:val="es-MX"/>
        </w:rPr>
        <w:t>Lo anterior significa que, respecto de datos sensibles</w:t>
      </w:r>
      <w:r w:rsidR="00EE1E3B">
        <w:rPr>
          <w:rFonts w:ascii="Verdana" w:eastAsia="Verdana" w:hAnsi="Verdana" w:cs="Verdana"/>
          <w:lang w:val="es-MX"/>
        </w:rPr>
        <w:t xml:space="preserve">, información sometida a reserva o de la cual proceda un tratamiento especial que impida su publicidad, las entidades deberán proceder de conformidad con el tratamiento que impongan tales normas. </w:t>
      </w:r>
    </w:p>
    <w:p w14:paraId="7D1AEA76" w14:textId="02C10D23" w:rsidR="00EE1E3B" w:rsidRDefault="00802B40" w:rsidP="00F7555C">
      <w:pPr>
        <w:spacing w:after="120" w:line="276" w:lineRule="auto"/>
        <w:ind w:firstLine="709"/>
        <w:jc w:val="both"/>
        <w:rPr>
          <w:rFonts w:ascii="Verdana" w:eastAsia="Verdana" w:hAnsi="Verdana" w:cs="Verdana"/>
          <w:lang w:val="es-MX"/>
        </w:rPr>
      </w:pPr>
      <w:r>
        <w:rPr>
          <w:rFonts w:ascii="Verdana" w:eastAsia="Verdana" w:hAnsi="Verdana" w:cs="Verdana"/>
          <w:lang w:val="es-MX"/>
        </w:rPr>
        <w:t>Teniendo en</w:t>
      </w:r>
      <w:r w:rsidR="005523B3">
        <w:rPr>
          <w:rFonts w:ascii="Verdana" w:eastAsia="Verdana" w:hAnsi="Verdana" w:cs="Verdana"/>
          <w:lang w:val="es-MX"/>
        </w:rPr>
        <w:t xml:space="preserve"> </w:t>
      </w:r>
      <w:r>
        <w:rPr>
          <w:rFonts w:ascii="Verdana" w:eastAsia="Verdana" w:hAnsi="Verdana" w:cs="Verdana"/>
          <w:lang w:val="es-MX"/>
        </w:rPr>
        <w:t xml:space="preserve">cuenta </w:t>
      </w:r>
      <w:r w:rsidR="005523B3">
        <w:rPr>
          <w:rFonts w:ascii="Verdana" w:eastAsia="Verdana" w:hAnsi="Verdana" w:cs="Verdana"/>
          <w:lang w:val="es-MX"/>
        </w:rPr>
        <w:t>el marco normativo antes reseñado, la Circular Externa</w:t>
      </w:r>
      <w:r w:rsidR="003E312E">
        <w:rPr>
          <w:rFonts w:ascii="Verdana" w:eastAsia="Verdana" w:hAnsi="Verdana" w:cs="Verdana"/>
          <w:lang w:val="es-MX"/>
        </w:rPr>
        <w:t xml:space="preserve"> Única expedida por la Agencia Nacional de Contratación Pública – Colombia Compra Eficiente – estableció que todas las entidades del Estado tienen el deber de publicar oportunamente la información oficial de la contratación en el SECOP, sin distinción de su régimen jurídic</w:t>
      </w:r>
      <w:r w:rsidR="009D6989">
        <w:rPr>
          <w:rFonts w:ascii="Verdana" w:eastAsia="Verdana" w:hAnsi="Verdana" w:cs="Verdana"/>
          <w:lang w:val="es-MX"/>
        </w:rPr>
        <w:t xml:space="preserve">o, naturaleza jurídica o la pertenencia a una u </w:t>
      </w:r>
      <w:r w:rsidR="00347F0E">
        <w:rPr>
          <w:rFonts w:ascii="Verdana" w:eastAsia="Verdana" w:hAnsi="Verdana" w:cs="Verdana"/>
          <w:lang w:val="es-MX"/>
        </w:rPr>
        <w:t>otra rama</w:t>
      </w:r>
      <w:r w:rsidR="00175D51">
        <w:rPr>
          <w:rFonts w:ascii="Verdana" w:eastAsia="Verdana" w:hAnsi="Verdana" w:cs="Verdana"/>
          <w:lang w:val="es-MX"/>
        </w:rPr>
        <w:t xml:space="preserve"> del poder público</w:t>
      </w:r>
      <w:r w:rsidR="00175D51">
        <w:rPr>
          <w:rStyle w:val="Refdenotaalpie"/>
          <w:rFonts w:ascii="Verdana" w:eastAsia="Verdana" w:hAnsi="Verdana" w:cs="Verdana"/>
          <w:lang w:val="es-MX"/>
        </w:rPr>
        <w:footnoteReference w:id="8"/>
      </w:r>
      <w:r w:rsidR="00DA3AAD">
        <w:rPr>
          <w:rFonts w:ascii="Verdana" w:eastAsia="Verdana" w:hAnsi="Verdana" w:cs="Verdana"/>
          <w:lang w:val="es-MX"/>
        </w:rPr>
        <w:t xml:space="preserve">. De igual forma, en la Circular Externa </w:t>
      </w:r>
      <w:r w:rsidR="0009299B">
        <w:rPr>
          <w:rFonts w:ascii="Verdana" w:eastAsia="Verdana" w:hAnsi="Verdana" w:cs="Verdana"/>
          <w:lang w:val="es-MX"/>
        </w:rPr>
        <w:t>No. 002 del 23 de agosto de 2024, estableció los lineamientos para la aplicación del artículo 53 de la Ley 2195 de 2022 por parte de las Entidades Estatales</w:t>
      </w:r>
      <w:r w:rsidR="000D0F5E">
        <w:rPr>
          <w:rFonts w:ascii="Verdana" w:eastAsia="Verdana" w:hAnsi="Verdana" w:cs="Verdana"/>
          <w:lang w:val="es-MX"/>
        </w:rPr>
        <w:t xml:space="preserve"> que por disposición legal cuentan con un régimen contractual excepcional al del Estatuto </w:t>
      </w:r>
      <w:r w:rsidR="007D7808">
        <w:rPr>
          <w:rFonts w:ascii="Verdana" w:eastAsia="Verdana" w:hAnsi="Verdana" w:cs="Verdana"/>
          <w:lang w:val="es-MX"/>
        </w:rPr>
        <w:t>General de la Contratación de la Administración Pública</w:t>
      </w:r>
      <w:r w:rsidR="00F94470">
        <w:rPr>
          <w:rFonts w:ascii="Verdana" w:eastAsia="Verdana" w:hAnsi="Verdana" w:cs="Verdana"/>
          <w:lang w:val="es-MX"/>
        </w:rPr>
        <w:t xml:space="preserve">. </w:t>
      </w:r>
    </w:p>
    <w:p w14:paraId="00466ABC" w14:textId="7971F5BA" w:rsidR="00F94470" w:rsidRDefault="00EB08A5" w:rsidP="00BF0446">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Ahora bien, frente a la publicidad las entidades estatales que por disposición legal cuenten con un régimen contractual </w:t>
      </w:r>
      <w:r w:rsidR="00386314">
        <w:rPr>
          <w:rFonts w:ascii="Verdana" w:eastAsia="Verdana" w:hAnsi="Verdana" w:cs="Verdana"/>
          <w:lang w:val="es-MX"/>
        </w:rPr>
        <w:t>excepcional al del Estatuto General de Contratación de la Administración Pública</w:t>
      </w:r>
      <w:r w:rsidR="00FA0059">
        <w:rPr>
          <w:rFonts w:ascii="Verdana" w:eastAsia="Verdana" w:hAnsi="Verdana" w:cs="Verdana"/>
          <w:lang w:val="es-MX"/>
        </w:rPr>
        <w:t>, esta Agencia en Circular Externa No. 002 del 23 de agosto de 2024, es</w:t>
      </w:r>
      <w:r w:rsidR="00A06C43">
        <w:rPr>
          <w:rFonts w:ascii="Verdana" w:eastAsia="Verdana" w:hAnsi="Verdana" w:cs="Verdana"/>
          <w:lang w:val="es-MX"/>
        </w:rPr>
        <w:t xml:space="preserve">ta Agencia señala que “[…] </w:t>
      </w:r>
      <w:r w:rsidR="00710C7D">
        <w:rPr>
          <w:rFonts w:ascii="Verdana" w:eastAsia="Verdana" w:hAnsi="Verdana" w:cs="Verdana"/>
          <w:lang w:val="es-MX"/>
        </w:rPr>
        <w:t>el término que tienen las Entidades Estatales que por disposición legal cuenten con un régimen</w:t>
      </w:r>
      <w:r w:rsidR="00F36CF4">
        <w:rPr>
          <w:rFonts w:ascii="Verdana" w:eastAsia="Verdana" w:hAnsi="Verdana" w:cs="Verdana"/>
          <w:lang w:val="es-MX"/>
        </w:rPr>
        <w:t xml:space="preserve"> contractual excepcional al del Estatuto General de Contratación de la Administración Pública</w:t>
      </w:r>
      <w:r w:rsidR="00913DE7">
        <w:rPr>
          <w:rFonts w:ascii="Verdana" w:eastAsia="Verdana" w:hAnsi="Verdana" w:cs="Verdana"/>
          <w:lang w:val="es-MX"/>
        </w:rPr>
        <w:t xml:space="preserve"> para publicar en el SECOP II es de tres (3) días posterior a su expedición”</w:t>
      </w:r>
      <w:r w:rsidR="00863F4E">
        <w:rPr>
          <w:rFonts w:ascii="Verdana" w:eastAsia="Verdana" w:hAnsi="Verdana" w:cs="Verdana"/>
          <w:lang w:val="es-MX"/>
        </w:rPr>
        <w:t>. Es decir, que tales entidades, le es aplicable la regla de publicación de los tres (3) días siguientes a su expedición de acto administrativo</w:t>
      </w:r>
      <w:r w:rsidR="00277887">
        <w:rPr>
          <w:rFonts w:ascii="Verdana" w:eastAsia="Verdana" w:hAnsi="Verdana" w:cs="Verdana"/>
          <w:lang w:val="es-MX"/>
        </w:rPr>
        <w:t xml:space="preserve"> o Documento del Proceso, dispuesta en el artículo 2.2.1.1.</w:t>
      </w:r>
      <w:r w:rsidR="004A37AF">
        <w:rPr>
          <w:rFonts w:ascii="Verdana" w:eastAsia="Verdana" w:hAnsi="Verdana" w:cs="Verdana"/>
          <w:lang w:val="es-MX"/>
        </w:rPr>
        <w:t>7.1 del Decreto 1082 de 2015 por remisión expresa en el artículo 2.1.1.</w:t>
      </w:r>
      <w:r w:rsidR="00212BF5">
        <w:rPr>
          <w:rFonts w:ascii="Verdana" w:eastAsia="Verdana" w:hAnsi="Verdana" w:cs="Verdana"/>
          <w:lang w:val="es-MX"/>
        </w:rPr>
        <w:t xml:space="preserve">2.1.7 del Decreto 1081 de 2015. </w:t>
      </w:r>
    </w:p>
    <w:p w14:paraId="5762C40F" w14:textId="77777777" w:rsidR="00BF0446" w:rsidRDefault="00BF0446" w:rsidP="00BF0446">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 xml:space="preserve">Ahora bien, el cumplimiento del deber de publicación de la documentación contractual debe armonizarse con las normas aplicables al tipo de información que estas contienen, teniendo en cuenta que el artículo 74 de la Constitución establece que la información pública debe ser dada a conocer a la ciudadanía y así los documentos que hagan parte de la actividad contractual puedan catalogarse, prima facie, como información pública, salvo que dicha documentación contenga información sometida a alguna reserva, que establezca la Constitución o la ley, aplicando algunas restricciones a su publicidad o suministro. Sin embargo, esto no necesariamente convierte el documento completo en reservado, es decir, en un documento que no puede publicarse. Al respecto, la Ley Estatutaria 1712 de 2014 define en el artículo 5° dos tipos de información que tendrá el carácter reservado, como es la información pública clasificada y la información pública reservada: </w:t>
      </w:r>
    </w:p>
    <w:p w14:paraId="29E43A5A" w14:textId="77777777" w:rsidR="002B0840" w:rsidRPr="002B0840" w:rsidRDefault="002B0840" w:rsidP="002B0840">
      <w:pPr>
        <w:spacing w:after="0" w:line="240" w:lineRule="auto"/>
        <w:ind w:left="709" w:right="709"/>
        <w:jc w:val="both"/>
        <w:rPr>
          <w:rFonts w:ascii="Verdana" w:eastAsia="Calibri" w:hAnsi="Verdana" w:cs="Arial"/>
          <w:color w:val="000000"/>
          <w:sz w:val="21"/>
          <w:szCs w:val="21"/>
        </w:rPr>
      </w:pPr>
      <w:r w:rsidRPr="002B0840">
        <w:rPr>
          <w:rFonts w:ascii="Verdana" w:eastAsia="Calibri" w:hAnsi="Verdana" w:cs="Arial"/>
          <w:bCs/>
          <w:color w:val="000000"/>
          <w:sz w:val="21"/>
          <w:szCs w:val="21"/>
        </w:rPr>
        <w:t xml:space="preserve">Artículo 6°. </w:t>
      </w:r>
      <w:r w:rsidRPr="002B0840">
        <w:rPr>
          <w:rFonts w:ascii="Verdana" w:eastAsia="Calibri" w:hAnsi="Verdana" w:cs="Arial"/>
          <w:i/>
          <w:iCs/>
          <w:color w:val="000000"/>
          <w:sz w:val="21"/>
          <w:szCs w:val="21"/>
        </w:rPr>
        <w:t>Definiciones</w:t>
      </w:r>
      <w:r w:rsidRPr="002B0840">
        <w:rPr>
          <w:rFonts w:ascii="Verdana" w:eastAsia="Calibri" w:hAnsi="Verdana" w:cs="Arial"/>
          <w:color w:val="000000"/>
          <w:sz w:val="21"/>
          <w:szCs w:val="21"/>
        </w:rPr>
        <w:t xml:space="preserve">. </w:t>
      </w:r>
    </w:p>
    <w:p w14:paraId="339F45B2" w14:textId="77777777" w:rsidR="002B0840" w:rsidRPr="002B0840" w:rsidRDefault="002B0840" w:rsidP="002B0840">
      <w:pPr>
        <w:spacing w:after="0" w:line="240" w:lineRule="auto"/>
        <w:ind w:left="709" w:right="709"/>
        <w:jc w:val="both"/>
        <w:rPr>
          <w:rFonts w:ascii="Verdana" w:eastAsia="Calibri" w:hAnsi="Verdana" w:cs="Arial"/>
          <w:color w:val="000000"/>
          <w:sz w:val="21"/>
          <w:szCs w:val="21"/>
        </w:rPr>
      </w:pPr>
      <w:r w:rsidRPr="002B0840">
        <w:rPr>
          <w:rFonts w:ascii="Verdana" w:eastAsia="Calibri" w:hAnsi="Verdana" w:cs="Arial"/>
          <w:bCs/>
          <w:color w:val="000000"/>
          <w:sz w:val="21"/>
          <w:szCs w:val="21"/>
        </w:rPr>
        <w:t>[</w:t>
      </w:r>
      <w:r w:rsidRPr="002B0840">
        <w:rPr>
          <w:rFonts w:ascii="Verdana" w:eastAsia="Calibri" w:hAnsi="Verdana" w:cs="Arial"/>
          <w:color w:val="000000"/>
          <w:sz w:val="21"/>
          <w:szCs w:val="21"/>
        </w:rPr>
        <w:t>…]</w:t>
      </w:r>
    </w:p>
    <w:p w14:paraId="00417D95" w14:textId="77777777" w:rsidR="002B0840" w:rsidRPr="002B0840" w:rsidRDefault="002B0840" w:rsidP="002B0840">
      <w:pPr>
        <w:spacing w:after="0" w:line="240" w:lineRule="auto"/>
        <w:ind w:left="709" w:right="709"/>
        <w:jc w:val="both"/>
        <w:rPr>
          <w:rFonts w:ascii="Verdana" w:eastAsia="Calibri" w:hAnsi="Verdana" w:cs="Arial"/>
          <w:color w:val="000000"/>
          <w:sz w:val="21"/>
          <w:szCs w:val="21"/>
        </w:rPr>
      </w:pPr>
      <w:r w:rsidRPr="002B0840">
        <w:rPr>
          <w:rFonts w:ascii="Verdana" w:eastAsia="Calibri" w:hAnsi="Verdana" w:cs="Arial"/>
          <w:color w:val="000000"/>
          <w:sz w:val="21"/>
          <w:szCs w:val="21"/>
        </w:rPr>
        <w:t>c) </w:t>
      </w:r>
      <w:r w:rsidRPr="002B0840">
        <w:rPr>
          <w:rFonts w:ascii="Verdana" w:eastAsia="Calibri" w:hAnsi="Verdana" w:cs="Arial"/>
          <w:bCs/>
          <w:color w:val="000000"/>
          <w:sz w:val="21"/>
          <w:szCs w:val="21"/>
        </w:rPr>
        <w:t>Información pública clasificada. </w:t>
      </w:r>
      <w:r w:rsidRPr="002B0840">
        <w:rPr>
          <w:rFonts w:ascii="Verdana" w:eastAsia="Calibri" w:hAnsi="Verdana" w:cs="Arial"/>
          <w:color w:val="000000"/>
          <w:sz w:val="21"/>
          <w:szCs w:val="21"/>
        </w:rPr>
        <w:t>Es aquella información que estando en poder o custodia de un sujeto obligado en su calidad de tal, pertenece al ámbito propio, particular y privado o semiprivado de una persona natural o jurídica por lo que su acceso podrá ser negado o exceptuado, siempre que se trate de las circunstancias legítimas y necesarias y los derechos particulares o privados consagrados en el artículo 18 de esta ley; </w:t>
      </w:r>
    </w:p>
    <w:p w14:paraId="6B7B6E48" w14:textId="77777777" w:rsidR="002B0840" w:rsidRPr="002B0840" w:rsidRDefault="002B0840" w:rsidP="002B0840">
      <w:pPr>
        <w:spacing w:after="0" w:line="240" w:lineRule="auto"/>
        <w:ind w:left="709" w:right="709"/>
        <w:jc w:val="both"/>
        <w:rPr>
          <w:rFonts w:ascii="Verdana" w:eastAsia="Calibri" w:hAnsi="Verdana" w:cs="Arial"/>
          <w:color w:val="000000"/>
          <w:sz w:val="21"/>
          <w:szCs w:val="21"/>
        </w:rPr>
      </w:pPr>
    </w:p>
    <w:p w14:paraId="79429FFD" w14:textId="77777777" w:rsidR="002B0840" w:rsidRDefault="002B0840" w:rsidP="002B0840">
      <w:pPr>
        <w:spacing w:after="0" w:line="240" w:lineRule="auto"/>
        <w:ind w:left="709" w:right="709"/>
        <w:jc w:val="both"/>
        <w:rPr>
          <w:rFonts w:ascii="Verdana" w:eastAsia="Calibri" w:hAnsi="Verdana" w:cs="Arial"/>
          <w:color w:val="000000"/>
          <w:sz w:val="21"/>
          <w:szCs w:val="21"/>
        </w:rPr>
      </w:pPr>
      <w:r w:rsidRPr="002B0840">
        <w:rPr>
          <w:rFonts w:ascii="Verdana" w:eastAsia="Calibri" w:hAnsi="Verdana" w:cs="Arial"/>
          <w:color w:val="000000"/>
          <w:sz w:val="21"/>
          <w:szCs w:val="21"/>
        </w:rPr>
        <w:t>d) </w:t>
      </w:r>
      <w:r w:rsidRPr="002B0840">
        <w:rPr>
          <w:rFonts w:ascii="Verdana" w:eastAsia="Calibri" w:hAnsi="Verdana" w:cs="Arial"/>
          <w:bCs/>
          <w:color w:val="000000"/>
          <w:sz w:val="21"/>
          <w:szCs w:val="21"/>
        </w:rPr>
        <w:t>Información pública reservada. </w:t>
      </w:r>
      <w:r w:rsidRPr="002B0840">
        <w:rPr>
          <w:rFonts w:ascii="Verdana" w:eastAsia="Calibri" w:hAnsi="Verdana" w:cs="Arial"/>
          <w:color w:val="000000"/>
          <w:sz w:val="21"/>
          <w:szCs w:val="21"/>
        </w:rPr>
        <w:t>Es aquella información que estando en poder o custodia de un sujeto obligado en su calidad de tal, es exceptuada de acceso a la ciudadanía por daño a intereses públicos y bajo cumplimiento de la totalidad de los requisitos consagrados en el artículo 19 de esta ley; </w:t>
      </w:r>
    </w:p>
    <w:p w14:paraId="221AEBFF" w14:textId="77777777" w:rsidR="00CA117C" w:rsidRDefault="00CA117C" w:rsidP="002B0840">
      <w:pPr>
        <w:spacing w:after="0" w:line="240" w:lineRule="auto"/>
        <w:ind w:left="709" w:right="709"/>
        <w:jc w:val="both"/>
        <w:rPr>
          <w:rFonts w:ascii="Verdana" w:eastAsia="Calibri" w:hAnsi="Verdana" w:cs="Arial"/>
          <w:color w:val="000000"/>
          <w:sz w:val="21"/>
          <w:szCs w:val="21"/>
        </w:rPr>
      </w:pPr>
    </w:p>
    <w:p w14:paraId="0020F2A1" w14:textId="77777777" w:rsidR="00CA117C" w:rsidRPr="00AD6B46" w:rsidRDefault="00CA117C" w:rsidP="00CA117C">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Estos dos tipos de información están contenidos en los artículos 18</w:t>
      </w:r>
      <w:r w:rsidRPr="00AD6B46">
        <w:rPr>
          <w:rFonts w:ascii="Verdana" w:eastAsia="Calibri" w:hAnsi="Verdana" w:cs="Arial"/>
          <w:color w:val="000000"/>
          <w:vertAlign w:val="superscript"/>
        </w:rPr>
        <w:footnoteReference w:id="9"/>
      </w:r>
      <w:r w:rsidRPr="00AD6B46">
        <w:rPr>
          <w:rFonts w:ascii="Verdana" w:eastAsia="Calibri" w:hAnsi="Verdana" w:cs="Arial"/>
          <w:color w:val="000000"/>
        </w:rPr>
        <w:t xml:space="preserve"> y 19 de la Ley 1712 de 2014</w:t>
      </w:r>
      <w:r w:rsidRPr="00AD6B46">
        <w:rPr>
          <w:rFonts w:ascii="Verdana" w:eastAsia="Calibri" w:hAnsi="Verdana" w:cs="Arial"/>
          <w:color w:val="000000"/>
          <w:vertAlign w:val="superscript"/>
        </w:rPr>
        <w:footnoteReference w:id="10"/>
      </w:r>
      <w:r w:rsidRPr="00AD6B46">
        <w:rPr>
          <w:rFonts w:ascii="Verdana" w:eastAsia="Calibri" w:hAnsi="Verdana" w:cs="Arial"/>
          <w:color w:val="000000"/>
        </w:rPr>
        <w:t xml:space="preserve">. Lo anterior significa que, respecto de datos que contengan información clasificada por protección de derechos particulares o reservada por defensa de intereses públicos, las entidades deberán proceder de conformidad con lo dispuesto en la Ley 1712 de 2014 y sus decretos reglamentarios sobre el manejo de la información que está sometida a reserva. </w:t>
      </w:r>
    </w:p>
    <w:p w14:paraId="0B08AFCE" w14:textId="77777777" w:rsidR="00CA117C" w:rsidRDefault="00CA117C" w:rsidP="00CA117C">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En esta misma línea, el artículo 24 de la Ley 1437 de 2011 sustituido por el artículo 2 de la Ley 1755 de 2015</w:t>
      </w:r>
      <w:r w:rsidRPr="00AD6B46">
        <w:rPr>
          <w:rFonts w:ascii="Verdana" w:eastAsia="Calibri" w:hAnsi="Verdana" w:cs="Arial"/>
          <w:color w:val="000000"/>
          <w:vertAlign w:val="superscript"/>
        </w:rPr>
        <w:footnoteReference w:id="11"/>
      </w:r>
      <w:r w:rsidRPr="00AD6B46">
        <w:rPr>
          <w:rFonts w:ascii="Verdana" w:eastAsia="Calibri" w:hAnsi="Verdana" w:cs="Arial"/>
          <w:color w:val="000000"/>
        </w:rPr>
        <w:t xml:space="preserve"> establece algunas materias que son sujetas de reserva de información. De tal forma, que las reservas de información no están solo reguladas en la Ley 1712 de 2014 y en el artículo 24 de la Ley 1437 de 2011 sustituido por el artículo 2 de la Ley 1755 de 2015, pues existen otras normatividades, como la </w:t>
      </w:r>
      <w:r>
        <w:rPr>
          <w:rFonts w:ascii="Verdana" w:eastAsia="Calibri" w:hAnsi="Verdana" w:cs="Arial"/>
          <w:color w:val="000000"/>
        </w:rPr>
        <w:t xml:space="preserve">Ley 1266 de 2008, </w:t>
      </w:r>
      <w:r w:rsidRPr="00AD6B46">
        <w:rPr>
          <w:rFonts w:ascii="Verdana" w:eastAsia="Calibri" w:hAnsi="Verdana" w:cs="Arial"/>
          <w:color w:val="000000"/>
        </w:rPr>
        <w:t>Ley 1581 de 2012, Ley 1621 de 2013, entre otras, que establecen reservas a la información pública.</w:t>
      </w:r>
    </w:p>
    <w:p w14:paraId="674D36D8" w14:textId="77777777" w:rsidR="00CA117C" w:rsidRDefault="00CA117C" w:rsidP="00CA117C">
      <w:pPr>
        <w:spacing w:after="120" w:line="276" w:lineRule="auto"/>
        <w:ind w:firstLine="709"/>
        <w:jc w:val="both"/>
        <w:rPr>
          <w:rFonts w:ascii="Verdana" w:eastAsia="Calibri" w:hAnsi="Verdana" w:cs="Arial"/>
          <w:color w:val="000000"/>
        </w:rPr>
      </w:pPr>
      <w:r>
        <w:rPr>
          <w:rFonts w:ascii="Verdana" w:eastAsia="Calibri" w:hAnsi="Verdana" w:cs="Arial"/>
          <w:color w:val="000000"/>
        </w:rPr>
        <w:t>De las materias sujetas de reserva de información establecidas en las Leyes Estatutarias 1712 de 2014 y 1755 de 2015, se encuentra los secretos comerciales o industriales con sus respectivos pronunciamientos de constitucionalidad</w:t>
      </w:r>
      <w:r>
        <w:rPr>
          <w:rStyle w:val="Refdenotaalpie"/>
          <w:rFonts w:ascii="Verdana" w:eastAsia="Calibri" w:hAnsi="Verdana" w:cs="Arial"/>
          <w:color w:val="000000"/>
        </w:rPr>
        <w:footnoteReference w:id="12"/>
      </w:r>
      <w:r>
        <w:rPr>
          <w:rFonts w:ascii="Verdana" w:eastAsia="Calibri" w:hAnsi="Verdana" w:cs="Arial"/>
          <w:color w:val="000000"/>
        </w:rPr>
        <w:t xml:space="preserve">. Para ello, es necesario entender que los secretos industriales son definidos por la Superintendencia de Industria y Comercio, así: “[…] </w:t>
      </w:r>
      <w:r w:rsidRPr="002D1400">
        <w:rPr>
          <w:rFonts w:ascii="Verdana" w:eastAsia="Calibri" w:hAnsi="Verdana" w:cs="Arial"/>
          <w:color w:val="000000"/>
        </w:rPr>
        <w:t>conjunto de conocimientos o informaciones que no son de dominio público, que son necesarios para la fabricación o comercialización de un producto, para la producción o prestación de un bien o servicio, o para la organización y financiación de una empresa o de una unidad o dependencia empresarial, y que, por ello, procura a quien los domina, una ventaja</w:t>
      </w:r>
      <w:r>
        <w:rPr>
          <w:rFonts w:ascii="Verdana" w:eastAsia="Calibri" w:hAnsi="Verdana" w:cs="Arial"/>
          <w:color w:val="000000"/>
        </w:rPr>
        <w:t>”</w:t>
      </w:r>
      <w:r>
        <w:rPr>
          <w:rStyle w:val="Refdenotaalpie"/>
          <w:rFonts w:ascii="Verdana" w:eastAsia="Calibri" w:hAnsi="Verdana" w:cs="Arial"/>
          <w:color w:val="000000"/>
        </w:rPr>
        <w:footnoteReference w:id="13"/>
      </w:r>
      <w:r w:rsidRPr="002D1400">
        <w:rPr>
          <w:rFonts w:ascii="Verdana" w:eastAsia="Calibri" w:hAnsi="Verdana" w:cs="Arial"/>
          <w:color w:val="000000"/>
        </w:rPr>
        <w:t>.</w:t>
      </w:r>
      <w:r>
        <w:rPr>
          <w:rFonts w:ascii="Verdana" w:eastAsia="Calibri" w:hAnsi="Verdana" w:cs="Arial"/>
          <w:color w:val="000000"/>
        </w:rPr>
        <w:t xml:space="preserve"> Mientras, el secreto comercial es definido por el Diccionario Panhispánico Jurídico de la siguiente forma: “[…] </w:t>
      </w:r>
      <w:r w:rsidRPr="00443CC7">
        <w:rPr>
          <w:rFonts w:ascii="Verdana" w:eastAsia="Calibri" w:hAnsi="Verdana" w:cs="Arial"/>
          <w:color w:val="000000"/>
        </w:rPr>
        <w:t>Información que no es generalmente conocida por las personas pertenecientes a los círculos en que normalmente se utilice este tipo de información, ni es fácilmente accesible para aquellas, tiene valor comercial y no ha sido divulgada o ha sido objeto de medidas razonables para mantenerla reservada</w:t>
      </w:r>
      <w:r>
        <w:rPr>
          <w:rFonts w:ascii="Verdana" w:eastAsia="Calibri" w:hAnsi="Verdana" w:cs="Arial"/>
          <w:color w:val="000000"/>
        </w:rPr>
        <w:t>”</w:t>
      </w:r>
      <w:r>
        <w:rPr>
          <w:rStyle w:val="Refdenotaalpie"/>
          <w:rFonts w:ascii="Verdana" w:eastAsia="Calibri" w:hAnsi="Verdana" w:cs="Arial"/>
          <w:color w:val="000000"/>
        </w:rPr>
        <w:footnoteReference w:id="14"/>
      </w:r>
      <w:r w:rsidRPr="00443CC7">
        <w:rPr>
          <w:rFonts w:ascii="Verdana" w:eastAsia="Calibri" w:hAnsi="Verdana" w:cs="Arial"/>
          <w:color w:val="000000"/>
        </w:rPr>
        <w:t>.</w:t>
      </w:r>
    </w:p>
    <w:p w14:paraId="0C2EF2B0" w14:textId="70B62099" w:rsidR="00CA117C" w:rsidRPr="00C91816" w:rsidRDefault="00CA117C" w:rsidP="00C91816">
      <w:pPr>
        <w:spacing w:after="120" w:line="276" w:lineRule="auto"/>
        <w:ind w:firstLine="708"/>
        <w:jc w:val="both"/>
        <w:rPr>
          <w:rFonts w:ascii="Verdana" w:eastAsia="Calibri" w:hAnsi="Verdana" w:cs="Arial"/>
          <w:color w:val="000000"/>
        </w:rPr>
      </w:pPr>
      <w:r>
        <w:rPr>
          <w:rFonts w:ascii="Verdana" w:eastAsia="Calibri" w:hAnsi="Verdana" w:cs="Arial"/>
          <w:color w:val="000000"/>
        </w:rPr>
        <w:t xml:space="preserve">Para entender la reserva de información sobre los secretos comerciales e industriales, hay que acudir a la definición de secreto empresarial prevista en el Decisión 486 de la Comunidad Andina de Naciones, cuyo tenor literal prescribe: </w:t>
      </w:r>
    </w:p>
    <w:p w14:paraId="0C00A16D" w14:textId="77777777" w:rsidR="002B0840" w:rsidRPr="00C91816" w:rsidRDefault="002B0840" w:rsidP="00C91816">
      <w:pPr>
        <w:spacing w:after="0" w:line="240" w:lineRule="auto"/>
        <w:ind w:left="709" w:right="709"/>
        <w:jc w:val="both"/>
        <w:rPr>
          <w:rFonts w:ascii="Verdana" w:eastAsia="Calibri" w:hAnsi="Verdana" w:cs="Arial"/>
          <w:color w:val="000000"/>
          <w:sz w:val="21"/>
          <w:szCs w:val="21"/>
        </w:rPr>
      </w:pPr>
    </w:p>
    <w:p w14:paraId="3925E944" w14:textId="77777777" w:rsidR="00C91816" w:rsidRPr="00C91816" w:rsidRDefault="00C91816" w:rsidP="00C91816">
      <w:pPr>
        <w:spacing w:after="0" w:line="240" w:lineRule="auto"/>
        <w:ind w:left="709" w:right="709"/>
        <w:jc w:val="both"/>
        <w:rPr>
          <w:rFonts w:ascii="Verdana" w:eastAsia="Times New Roman" w:hAnsi="Verdana" w:cs="Times New Roman"/>
          <w:sz w:val="21"/>
          <w:szCs w:val="21"/>
        </w:rPr>
      </w:pPr>
      <w:r w:rsidRPr="00C91816">
        <w:rPr>
          <w:rFonts w:ascii="Verdana" w:eastAsia="Times New Roman" w:hAnsi="Verdana" w:cs="Times New Roman"/>
          <w:sz w:val="21"/>
          <w:szCs w:val="21"/>
        </w:rPr>
        <w:t xml:space="preserve">“Artículo 260.- Se considerará como secreto empresarial </w:t>
      </w:r>
      <w:r w:rsidRPr="00C91816">
        <w:rPr>
          <w:rFonts w:ascii="Verdana" w:eastAsia="Times New Roman" w:hAnsi="Verdana" w:cs="Times New Roman"/>
          <w:i/>
          <w:sz w:val="21"/>
          <w:szCs w:val="21"/>
          <w:u w:val="single"/>
        </w:rPr>
        <w:t>cualquier información no divulgada que una persona natural o jurídica legítimamente posea</w:t>
      </w:r>
      <w:r w:rsidRPr="00C91816">
        <w:rPr>
          <w:rFonts w:ascii="Verdana" w:eastAsia="Times New Roman" w:hAnsi="Verdana" w:cs="Times New Roman"/>
          <w:i/>
          <w:sz w:val="21"/>
          <w:szCs w:val="21"/>
        </w:rPr>
        <w:t>,</w:t>
      </w:r>
      <w:r w:rsidRPr="00C91816">
        <w:rPr>
          <w:rFonts w:ascii="Verdana" w:eastAsia="Times New Roman" w:hAnsi="Verdana" w:cs="Times New Roman"/>
          <w:sz w:val="21"/>
          <w:szCs w:val="21"/>
        </w:rPr>
        <w:t xml:space="preserve"> que pueda usarse en alguna actividad productiva, </w:t>
      </w:r>
      <w:r w:rsidRPr="00C91816">
        <w:rPr>
          <w:rFonts w:ascii="Verdana" w:eastAsia="Times New Roman" w:hAnsi="Verdana" w:cs="Times New Roman"/>
          <w:i/>
          <w:sz w:val="21"/>
          <w:szCs w:val="21"/>
          <w:u w:val="single"/>
        </w:rPr>
        <w:t>industrial o comercial</w:t>
      </w:r>
      <w:r w:rsidRPr="00C91816">
        <w:rPr>
          <w:rFonts w:ascii="Verdana" w:eastAsia="Times New Roman" w:hAnsi="Verdana" w:cs="Times New Roman"/>
          <w:sz w:val="21"/>
          <w:szCs w:val="21"/>
          <w:u w:val="single"/>
        </w:rPr>
        <w:t>,</w:t>
      </w:r>
      <w:r w:rsidRPr="00C91816">
        <w:rPr>
          <w:rFonts w:ascii="Verdana" w:eastAsia="Times New Roman" w:hAnsi="Verdana" w:cs="Times New Roman"/>
          <w:sz w:val="21"/>
          <w:szCs w:val="21"/>
        </w:rPr>
        <w:t xml:space="preserve"> y que sea susceptible de transmitirse a un tercero, en la medida que dicha información sea:</w:t>
      </w:r>
    </w:p>
    <w:p w14:paraId="7E729A1C" w14:textId="77777777" w:rsidR="00C91816" w:rsidRPr="00C91816" w:rsidRDefault="00C91816" w:rsidP="00C91816">
      <w:pPr>
        <w:spacing w:after="0" w:line="240" w:lineRule="auto"/>
        <w:ind w:left="709" w:right="709"/>
        <w:jc w:val="both"/>
        <w:rPr>
          <w:rFonts w:ascii="Verdana" w:eastAsia="Times New Roman" w:hAnsi="Verdana" w:cs="Times New Roman"/>
          <w:sz w:val="21"/>
          <w:szCs w:val="21"/>
        </w:rPr>
      </w:pPr>
    </w:p>
    <w:p w14:paraId="0D8F1E29" w14:textId="77777777" w:rsidR="00C91816" w:rsidRPr="00C91816" w:rsidRDefault="00C91816" w:rsidP="00C91816">
      <w:pPr>
        <w:spacing w:after="0" w:line="240" w:lineRule="auto"/>
        <w:ind w:left="709" w:right="709"/>
        <w:jc w:val="both"/>
        <w:rPr>
          <w:rFonts w:ascii="Verdana" w:eastAsia="Times New Roman" w:hAnsi="Verdana" w:cs="Times New Roman"/>
          <w:sz w:val="21"/>
          <w:szCs w:val="21"/>
        </w:rPr>
      </w:pPr>
      <w:r w:rsidRPr="00C91816">
        <w:rPr>
          <w:rFonts w:ascii="Verdana" w:eastAsia="Times New Roman" w:hAnsi="Verdana" w:cs="Times New Roman"/>
          <w:sz w:val="21"/>
          <w:szCs w:val="21"/>
        </w:rPr>
        <w:t>a) secreta, en el sentido que como conjunto o en la configuración y reunión precisa de sus componentes, no sea generalmente conocida ni fácilmente accesible por quienes se encuentran en los círculos que normalmente manejan la información respectiva;</w:t>
      </w:r>
    </w:p>
    <w:p w14:paraId="4684B348" w14:textId="77777777" w:rsidR="00C91816" w:rsidRPr="00C91816" w:rsidRDefault="00C91816" w:rsidP="00C91816">
      <w:pPr>
        <w:spacing w:after="0" w:line="240" w:lineRule="auto"/>
        <w:ind w:left="709" w:right="709"/>
        <w:jc w:val="both"/>
        <w:rPr>
          <w:rFonts w:ascii="Verdana" w:eastAsia="Times New Roman" w:hAnsi="Verdana" w:cs="Times New Roman"/>
          <w:sz w:val="21"/>
          <w:szCs w:val="21"/>
        </w:rPr>
      </w:pPr>
      <w:r w:rsidRPr="00C91816">
        <w:rPr>
          <w:rFonts w:ascii="Verdana" w:eastAsia="Times New Roman" w:hAnsi="Verdana" w:cs="Times New Roman"/>
          <w:sz w:val="21"/>
          <w:szCs w:val="21"/>
        </w:rPr>
        <w:t>b) tenga un valor comercial por ser secreta; y</w:t>
      </w:r>
    </w:p>
    <w:p w14:paraId="6BDEA752" w14:textId="77777777" w:rsidR="00C91816" w:rsidRPr="00C91816" w:rsidRDefault="00C91816" w:rsidP="00C91816">
      <w:pPr>
        <w:spacing w:after="0" w:line="240" w:lineRule="auto"/>
        <w:ind w:left="709" w:right="709"/>
        <w:jc w:val="both"/>
        <w:rPr>
          <w:rFonts w:ascii="Verdana" w:eastAsia="Times New Roman" w:hAnsi="Verdana" w:cs="Times New Roman"/>
          <w:sz w:val="21"/>
          <w:szCs w:val="21"/>
        </w:rPr>
      </w:pPr>
      <w:r w:rsidRPr="00C91816">
        <w:rPr>
          <w:rFonts w:ascii="Verdana" w:eastAsia="Times New Roman" w:hAnsi="Verdana" w:cs="Times New Roman"/>
          <w:sz w:val="21"/>
          <w:szCs w:val="21"/>
        </w:rPr>
        <w:t>c) haya sido objeto de medidas razonables tomadas por su legítimo poseedor para mantenerla secreta.</w:t>
      </w:r>
    </w:p>
    <w:p w14:paraId="57C5F0A5" w14:textId="77777777" w:rsidR="00C91816" w:rsidRPr="00C91816" w:rsidRDefault="00C91816" w:rsidP="00C91816">
      <w:pPr>
        <w:spacing w:after="0" w:line="240" w:lineRule="auto"/>
        <w:ind w:left="709" w:right="709"/>
        <w:contextualSpacing/>
        <w:jc w:val="both"/>
        <w:rPr>
          <w:rFonts w:ascii="Verdana" w:eastAsia="Times New Roman" w:hAnsi="Verdana" w:cs="Times New Roman"/>
          <w:sz w:val="21"/>
          <w:szCs w:val="21"/>
        </w:rPr>
      </w:pPr>
      <w:r w:rsidRPr="00C91816">
        <w:rPr>
          <w:rFonts w:ascii="Verdana" w:eastAsia="Times New Roman" w:hAnsi="Verdana" w:cs="Times New Roman"/>
          <w:sz w:val="21"/>
          <w:szCs w:val="21"/>
        </w:rPr>
        <w:t>La información de un secreto empresarial podrá estar referida a la naturaleza, características o finalidades de los productos; a los métodos o procesos de producción; o, a los medios o formas de distribución o comercialización de productos o prestación de servicios” (cursiva y subrayado fuera de texto)</w:t>
      </w:r>
    </w:p>
    <w:p w14:paraId="5FADCD85" w14:textId="77777777" w:rsidR="00C91816" w:rsidRDefault="00C91816" w:rsidP="00C91816">
      <w:pPr>
        <w:spacing w:after="0" w:line="240" w:lineRule="auto"/>
        <w:ind w:left="709" w:right="709"/>
        <w:contextualSpacing/>
        <w:jc w:val="both"/>
        <w:rPr>
          <w:rFonts w:ascii="Times New Roman" w:eastAsia="Times New Roman" w:hAnsi="Times New Roman" w:cs="Times New Roman"/>
          <w:sz w:val="28"/>
          <w:szCs w:val="28"/>
        </w:rPr>
      </w:pPr>
    </w:p>
    <w:p w14:paraId="04CFB598" w14:textId="77777777" w:rsidR="00452023" w:rsidRDefault="00452023" w:rsidP="00E87773">
      <w:pPr>
        <w:spacing w:after="120" w:line="276" w:lineRule="auto"/>
        <w:ind w:firstLine="709"/>
        <w:jc w:val="both"/>
        <w:rPr>
          <w:rFonts w:ascii="Verdana" w:eastAsia="Times New Roman" w:hAnsi="Verdana" w:cs="Times New Roman"/>
        </w:rPr>
      </w:pPr>
      <w:r w:rsidRPr="00EE7B18">
        <w:rPr>
          <w:rFonts w:ascii="Verdana" w:eastAsia="Times New Roman" w:hAnsi="Verdana" w:cs="Times New Roman"/>
        </w:rPr>
        <w:t>De acuerdo al artículo precitado, para que se configure el secreto</w:t>
      </w:r>
      <w:r>
        <w:rPr>
          <w:rFonts w:ascii="Verdana" w:eastAsia="Times New Roman" w:hAnsi="Verdana" w:cs="Times New Roman"/>
        </w:rPr>
        <w:t xml:space="preserve"> empresarial, el cual abarca tanto los secretos industriales, comerciales o cualquier otra información que pueda usarse en alguna actividad productiva, </w:t>
      </w:r>
      <w:r w:rsidRPr="00EE7B18">
        <w:rPr>
          <w:rFonts w:ascii="Verdana" w:eastAsia="Times New Roman" w:hAnsi="Verdana" w:cs="Times New Roman"/>
        </w:rPr>
        <w:t>debe</w:t>
      </w:r>
      <w:r>
        <w:rPr>
          <w:rFonts w:ascii="Verdana" w:eastAsia="Times New Roman" w:hAnsi="Verdana" w:cs="Times New Roman"/>
        </w:rPr>
        <w:t>n</w:t>
      </w:r>
      <w:r w:rsidRPr="00EE7B18">
        <w:rPr>
          <w:rFonts w:ascii="Verdana" w:eastAsia="Times New Roman" w:hAnsi="Verdana" w:cs="Times New Roman"/>
        </w:rPr>
        <w:t xml:space="preserve"> cumplir tres condiciones: i) Secreta, que significa que no es de conocimiento público ni fácilmente accesible para quienes normalmente manejan información en ese sector; ii) Valor comercial, que implica que su carácter de secreto le otorga una ventaja competitiva o económica; iii) protección razonable: en el sentido de que el titular ha tomado medidas para mantenerla en confidencialidad -cláusulas de confidencialidad, acceso restringido, protocolos de seguridad, entre otros-. Dichos secretos se tratan de una trata de una garantía del derecho a la l</w:t>
      </w:r>
      <w:r>
        <w:rPr>
          <w:rFonts w:ascii="Verdana" w:eastAsia="Times New Roman" w:hAnsi="Verdana" w:cs="Times New Roman"/>
        </w:rPr>
        <w:t xml:space="preserve">ibre competencia económica amparado </w:t>
      </w:r>
      <w:r w:rsidRPr="00EE7B18">
        <w:rPr>
          <w:rFonts w:ascii="Verdana" w:eastAsia="Times New Roman" w:hAnsi="Verdana" w:cs="Times New Roman"/>
        </w:rPr>
        <w:t>en el artículo 333 de la Constitución</w:t>
      </w:r>
      <w:r>
        <w:rPr>
          <w:rFonts w:ascii="Verdana" w:eastAsia="Times New Roman" w:hAnsi="Verdana" w:cs="Times New Roman"/>
        </w:rPr>
        <w:t xml:space="preserve"> Política. Si bien, el artículo 260 de la Comunidad Andina de Naciones no establece una forma </w:t>
      </w:r>
      <w:r w:rsidRPr="004874D3">
        <w:rPr>
          <w:rFonts w:ascii="Verdana" w:eastAsia="Times New Roman" w:hAnsi="Verdana" w:cs="Times New Roman"/>
        </w:rPr>
        <w:t>d</w:t>
      </w:r>
      <w:r>
        <w:rPr>
          <w:rFonts w:ascii="Verdana" w:eastAsia="Times New Roman" w:hAnsi="Verdana" w:cs="Times New Roman"/>
        </w:rPr>
        <w:t xml:space="preserve">e proteger el secreto, sí prescribe que el poseedor tendrá el deber </w:t>
      </w:r>
      <w:r w:rsidRPr="004874D3">
        <w:rPr>
          <w:rFonts w:ascii="Verdana" w:eastAsia="Times New Roman" w:hAnsi="Verdana" w:cs="Times New Roman"/>
        </w:rPr>
        <w:t xml:space="preserve">de adoptar los mecanismos que resulten razonables para evitar que la información sea de conocimiento </w:t>
      </w:r>
      <w:r>
        <w:rPr>
          <w:rFonts w:ascii="Verdana" w:eastAsia="Times New Roman" w:hAnsi="Verdana" w:cs="Times New Roman"/>
        </w:rPr>
        <w:t xml:space="preserve">público para impedir su fácil acceso. </w:t>
      </w:r>
      <w:proofErr w:type="gramStart"/>
      <w:r>
        <w:rPr>
          <w:rFonts w:ascii="Verdana" w:eastAsia="Times New Roman" w:hAnsi="Verdana" w:cs="Times New Roman"/>
        </w:rPr>
        <w:t>Uno</w:t>
      </w:r>
      <w:proofErr w:type="gramEnd"/>
      <w:r>
        <w:rPr>
          <w:rFonts w:ascii="Verdana" w:eastAsia="Times New Roman" w:hAnsi="Verdana" w:cs="Times New Roman"/>
        </w:rPr>
        <w:t xml:space="preserve"> de las formas más usados para tal fin, es la estipulación de cláusulas de confidencialidad, en las que se </w:t>
      </w:r>
      <w:r w:rsidRPr="004874D3">
        <w:rPr>
          <w:rFonts w:ascii="Verdana" w:eastAsia="Times New Roman" w:hAnsi="Verdana" w:cs="Times New Roman"/>
        </w:rPr>
        <w:t>restrin</w:t>
      </w:r>
      <w:r>
        <w:rPr>
          <w:rFonts w:ascii="Verdana" w:eastAsia="Times New Roman" w:hAnsi="Verdana" w:cs="Times New Roman"/>
        </w:rPr>
        <w:t>ja</w:t>
      </w:r>
      <w:r w:rsidRPr="004874D3">
        <w:rPr>
          <w:rFonts w:ascii="Verdana" w:eastAsia="Times New Roman" w:hAnsi="Verdana" w:cs="Times New Roman"/>
        </w:rPr>
        <w:t xml:space="preserve"> el uso público de la información que se </w:t>
      </w:r>
      <w:r>
        <w:rPr>
          <w:rFonts w:ascii="Verdana" w:eastAsia="Times New Roman" w:hAnsi="Verdana" w:cs="Times New Roman"/>
        </w:rPr>
        <w:t xml:space="preserve">comparte en virtud del contrato. </w:t>
      </w:r>
    </w:p>
    <w:p w14:paraId="2F763FF7" w14:textId="77777777" w:rsidR="00452023" w:rsidRPr="00995CC5" w:rsidRDefault="00452023" w:rsidP="00E87773">
      <w:pPr>
        <w:spacing w:after="120" w:line="276" w:lineRule="auto"/>
        <w:ind w:firstLine="709"/>
        <w:jc w:val="both"/>
        <w:rPr>
          <w:rFonts w:ascii="Verdana" w:eastAsia="Times New Roman" w:hAnsi="Verdana" w:cs="Times New Roman"/>
        </w:rPr>
      </w:pPr>
      <w:r>
        <w:rPr>
          <w:rFonts w:ascii="Verdana" w:eastAsia="Times New Roman" w:hAnsi="Verdana" w:cs="Times New Roman"/>
        </w:rPr>
        <w:t>En torno a la vulneración de los secretos empresariales, el artículo 265 de la Decisión 486 de la Comunidad Andina de Naciones, prescribe: “</w:t>
      </w:r>
      <w:r w:rsidRPr="00995CC5">
        <w:rPr>
          <w:rFonts w:ascii="Verdana" w:eastAsia="Times New Roman" w:hAnsi="Verdana" w:cs="Times New Roman"/>
        </w:rPr>
        <w:t xml:space="preserve">Toda persona que con motivo de su trabajo, empleo, cargo, puesto, desempeño de su profesión </w:t>
      </w:r>
      <w:r w:rsidRPr="00995CC5">
        <w:rPr>
          <w:rFonts w:ascii="Verdana" w:eastAsia="Times New Roman" w:hAnsi="Verdana" w:cs="Times New Roman"/>
          <w:i/>
        </w:rPr>
        <w:t>o relación de negocios, tenga acceso a un secreto empresarial sobre cuya confidencialidad se le haya prevenido, deberá abstenerse de usarlo o divulgarlo, o de revelarlo sin causa justificada y sin consentimiento de la persona que posea dicho secreto o de su usuario autorizado</w:t>
      </w:r>
      <w:r>
        <w:rPr>
          <w:rFonts w:ascii="Verdana" w:eastAsia="Times New Roman" w:hAnsi="Verdana" w:cs="Times New Roman"/>
        </w:rPr>
        <w:t xml:space="preserve">” (énfasis fuera de texto). Este artículo adquiere un deber de toda persona natural o jurídica, pública o privada </w:t>
      </w:r>
      <w:r w:rsidRPr="00E222B2">
        <w:rPr>
          <w:rFonts w:ascii="Verdana" w:eastAsia="Times New Roman" w:hAnsi="Verdana" w:cs="Times New Roman"/>
        </w:rPr>
        <w:t>que, por razón de su trabajo, cargo, profesión o relación de negocios, tenga acceso a información considerada secreto empresarial y que haya sido advertida como confidencial, está obligada a no usarla ni divulgarla sin una causa legítima y sin el consentimiento del titular o de quien esté autorizado, pues hacerlo constituiría una violación a la protección legal de los secretos empresariales y podría generar sanciones.</w:t>
      </w:r>
      <w:r>
        <w:rPr>
          <w:rFonts w:ascii="Verdana" w:eastAsia="Times New Roman" w:hAnsi="Verdana" w:cs="Times New Roman"/>
        </w:rPr>
        <w:t xml:space="preserve"> Al respecto, </w:t>
      </w:r>
      <w:r w:rsidRPr="003C0EF9">
        <w:rPr>
          <w:rFonts w:ascii="Verdana" w:eastAsia="Times New Roman" w:hAnsi="Verdana" w:cs="Times New Roman"/>
        </w:rPr>
        <w:t xml:space="preserve">el artículo 16 de la Ley de </w:t>
      </w:r>
      <w:r>
        <w:rPr>
          <w:rFonts w:ascii="Verdana" w:eastAsia="Times New Roman" w:hAnsi="Verdana" w:cs="Times New Roman"/>
        </w:rPr>
        <w:t>Ley 256 de 1996</w:t>
      </w:r>
      <w:r w:rsidRPr="000216D4">
        <w:rPr>
          <w:rFonts w:ascii="Verdana" w:eastAsia="Times New Roman" w:hAnsi="Verdana" w:cs="Times New Roman"/>
        </w:rPr>
        <w:t>,</w:t>
      </w:r>
      <w:r w:rsidRPr="000216D4">
        <w:rPr>
          <w:rFonts w:ascii="Arial" w:hAnsi="Arial" w:cs="Arial"/>
          <w:bCs/>
          <w:iCs/>
          <w:color w:val="333333"/>
          <w:sz w:val="25"/>
          <w:szCs w:val="25"/>
          <w:shd w:val="clear" w:color="auto" w:fill="FFFFFF"/>
        </w:rPr>
        <w:t xml:space="preserve"> </w:t>
      </w:r>
      <w:r w:rsidRPr="000216D4">
        <w:rPr>
          <w:rFonts w:ascii="Verdana" w:eastAsia="Times New Roman" w:hAnsi="Verdana" w:cs="Times New Roman"/>
          <w:bCs/>
          <w:iCs/>
        </w:rPr>
        <w:t>“Por la cual se dictan normas sobre competencia desleal”</w:t>
      </w:r>
      <w:r>
        <w:rPr>
          <w:rFonts w:ascii="Verdana" w:eastAsia="Times New Roman" w:hAnsi="Verdana" w:cs="Times New Roman"/>
          <w:bCs/>
          <w:iCs/>
        </w:rPr>
        <w:t>,</w:t>
      </w:r>
      <w:r>
        <w:rPr>
          <w:rFonts w:ascii="Verdana" w:eastAsia="Times New Roman" w:hAnsi="Verdana" w:cs="Times New Roman"/>
        </w:rPr>
        <w:t xml:space="preserve"> dispone:</w:t>
      </w:r>
      <w:r w:rsidRPr="003C0EF9">
        <w:rPr>
          <w:rFonts w:ascii="Verdana" w:eastAsia="Times New Roman" w:hAnsi="Verdana" w:cs="Times New Roman"/>
        </w:rPr>
        <w:t xml:space="preserve"> “Se considera desleal la divulgación o explotación, sin autorización de su titular, de secretos industriales o de cualquiera otra clase de secretos empresariales a los que se haya tenido acceso legítimamente, pero con deber de reserva, o ilegítimamente […]”. Con esta conducta, se protege al competidor, respecto de conductas encaminadas a </w:t>
      </w:r>
      <w:r>
        <w:rPr>
          <w:rFonts w:ascii="Verdana" w:eastAsia="Times New Roman" w:hAnsi="Verdana" w:cs="Times New Roman"/>
        </w:rPr>
        <w:t>adquirir, divulgar o explotar secretos industriales, así como los comerciales</w:t>
      </w:r>
      <w:r w:rsidRPr="003C0EF9">
        <w:rPr>
          <w:rFonts w:ascii="Verdana" w:eastAsia="Times New Roman" w:hAnsi="Verdana" w:cs="Times New Roman"/>
        </w:rPr>
        <w:t>.</w:t>
      </w:r>
    </w:p>
    <w:p w14:paraId="6680C5F6" w14:textId="77777777" w:rsidR="00452023" w:rsidRPr="00AD6B46" w:rsidRDefault="00452023" w:rsidP="00E87773">
      <w:pPr>
        <w:spacing w:after="120" w:line="276" w:lineRule="auto"/>
        <w:ind w:firstLine="709"/>
        <w:jc w:val="both"/>
        <w:rPr>
          <w:rFonts w:ascii="Verdana" w:eastAsia="Calibri" w:hAnsi="Verdana" w:cs="Arial"/>
          <w:color w:val="000000"/>
        </w:rPr>
      </w:pPr>
      <w:r>
        <w:rPr>
          <w:rFonts w:ascii="Verdana" w:eastAsia="Times New Roman" w:hAnsi="Verdana" w:cs="Times New Roman"/>
        </w:rPr>
        <w:t>Teniendo en cuenta lo expuesto, en el momento de publicar información derivado de los procesos de contratación en sus diferentes etapas –precontractual, contractual y poscontractual- debe garantizarse y salvaguardarse la reserva de información por secretos empresariales, en los que se incluye los secretos comerciales e industriales. En tal sentido, de</w:t>
      </w:r>
      <w:r w:rsidRPr="00AD6B46">
        <w:rPr>
          <w:rFonts w:ascii="Verdana" w:eastAsia="Calibri" w:hAnsi="Verdana" w:cs="Arial"/>
          <w:color w:val="000000"/>
        </w:rPr>
        <w:t>be precisarse que, en virtud del principio de transparencia, específicamente por cuenta de lo dispuesto en el numeral 4 del artículo 24 de la ley 80 de 1993</w:t>
      </w:r>
      <w:r w:rsidRPr="00AD6B46">
        <w:rPr>
          <w:rFonts w:ascii="Verdana" w:eastAsia="Calibri" w:hAnsi="Verdana" w:cs="Arial"/>
          <w:color w:val="000000"/>
          <w:vertAlign w:val="superscript"/>
        </w:rPr>
        <w:footnoteReference w:id="15"/>
      </w:r>
      <w:r w:rsidRPr="00AD6B46">
        <w:rPr>
          <w:rFonts w:ascii="Verdana" w:eastAsia="Calibri" w:hAnsi="Verdana" w:cs="Arial"/>
          <w:color w:val="000000"/>
        </w:rPr>
        <w:t>, así como por el principio de máxima publicidad establecido en el artículo 2 de la Ley 1712 de 2014</w:t>
      </w:r>
      <w:r w:rsidRPr="00AD6B46">
        <w:rPr>
          <w:rFonts w:ascii="Verdana" w:eastAsia="Calibri" w:hAnsi="Verdana" w:cs="Arial"/>
          <w:color w:val="000000"/>
          <w:vertAlign w:val="superscript"/>
        </w:rPr>
        <w:footnoteReference w:id="16"/>
      </w:r>
      <w:r w:rsidRPr="00AD6B46">
        <w:rPr>
          <w:rFonts w:ascii="Verdana" w:eastAsia="Calibri" w:hAnsi="Verdana" w:cs="Arial"/>
          <w:color w:val="000000"/>
        </w:rPr>
        <w:t>, el contenido del expediente en el que reposa la actuación es información pú</w:t>
      </w:r>
      <w:r>
        <w:rPr>
          <w:rFonts w:ascii="Verdana" w:eastAsia="Calibri" w:hAnsi="Verdana" w:cs="Arial"/>
          <w:color w:val="000000"/>
        </w:rPr>
        <w:t>blica, independiente</w:t>
      </w:r>
      <w:r w:rsidRPr="00AD6B46">
        <w:rPr>
          <w:rFonts w:ascii="Verdana" w:eastAsia="Calibri" w:hAnsi="Verdana" w:cs="Arial"/>
          <w:color w:val="000000"/>
        </w:rPr>
        <w:t xml:space="preserve"> de si se trata de documentos que deban publicarse en SECOP. Por lo anterior, el contenido del expediente puede ser objeto de solicitud de copias, en ejercicio del derecho de petición, en cualquier momento del proceso de selección, en la medida en que las normas señaladas no imponen ningún condicionamiento, así que podrá solicitarlas cualquier persona, en desarrollo de la vigilancia de la contratación pública, cuestión que podría interesar a cualquier ciudadano</w:t>
      </w:r>
      <w:r w:rsidRPr="00AD6B46">
        <w:rPr>
          <w:rFonts w:ascii="Verdana" w:eastAsia="Calibri" w:hAnsi="Verdana" w:cs="Arial"/>
          <w:color w:val="000000"/>
          <w:vertAlign w:val="superscript"/>
        </w:rPr>
        <w:footnoteReference w:id="17"/>
      </w:r>
      <w:r w:rsidRPr="00AD6B46">
        <w:rPr>
          <w:rFonts w:ascii="Verdana" w:eastAsia="Calibri" w:hAnsi="Verdana" w:cs="Arial"/>
          <w:color w:val="000000"/>
        </w:rPr>
        <w:t>. Esta posibilidad solo se encuentra limitada</w:t>
      </w:r>
      <w:r w:rsidRPr="00AD6B46">
        <w:rPr>
          <w:rFonts w:ascii="Calibri" w:eastAsia="Calibri" w:hAnsi="Calibri" w:cs="Times New Roman"/>
        </w:rPr>
        <w:t xml:space="preserve"> </w:t>
      </w:r>
      <w:r w:rsidRPr="00AD6B46">
        <w:rPr>
          <w:rFonts w:ascii="Verdana" w:eastAsia="Calibri" w:hAnsi="Verdana" w:cs="Arial"/>
          <w:color w:val="000000"/>
        </w:rPr>
        <w:t>respecto de la documentación que tenga la calidad de reservada, que deberá someterse al tratamiento establecido en el artículo 36 del CPACA, en lo relativo a la formación de cuadernos separados</w:t>
      </w:r>
      <w:r w:rsidRPr="00AD6B46">
        <w:rPr>
          <w:rFonts w:ascii="Verdana" w:eastAsia="Calibri" w:hAnsi="Verdana" w:cs="Arial"/>
          <w:color w:val="000000"/>
          <w:vertAlign w:val="superscript"/>
        </w:rPr>
        <w:footnoteReference w:id="18"/>
      </w:r>
      <w:r w:rsidRPr="00AD6B46">
        <w:rPr>
          <w:rFonts w:ascii="Verdana" w:eastAsia="Calibri" w:hAnsi="Verdana" w:cs="Arial"/>
          <w:color w:val="000000"/>
        </w:rPr>
        <w:t>.</w:t>
      </w:r>
    </w:p>
    <w:p w14:paraId="75376966" w14:textId="77777777" w:rsidR="00452023" w:rsidRPr="00AD6B46" w:rsidRDefault="00452023" w:rsidP="00E87773">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ab/>
        <w:t>En efecto, el principio o regla general consiste en la máxima publicidad de la información pública y lo excepcional es la reserva, razón por la cual el artículo 21 de la Ley 1712 de 2014 incluso exige la divulgación parcial de la información contenida en un documento, cuando este contenga parte de información sometida a reserva, pero también incluya información que no esté afectada por la reserva. Además, dicha disposición establece que la reserva de acceso a la información aplica respecto al contenido de un documento público, pero no</w:t>
      </w:r>
      <w:r w:rsidRPr="00AD6B46">
        <w:rPr>
          <w:rFonts w:ascii="Calibri" w:eastAsia="Calibri" w:hAnsi="Calibri" w:cs="Times New Roman"/>
        </w:rPr>
        <w:t xml:space="preserve"> </w:t>
      </w:r>
      <w:r w:rsidRPr="00AD6B46">
        <w:rPr>
          <w:rFonts w:ascii="Verdana" w:eastAsia="Calibri" w:hAnsi="Verdana" w:cs="Arial"/>
          <w:color w:val="000000"/>
        </w:rPr>
        <w:t>respecto de su existencia</w:t>
      </w:r>
      <w:r w:rsidRPr="00AD6B46">
        <w:rPr>
          <w:rFonts w:ascii="Verdana" w:eastAsia="Calibri" w:hAnsi="Verdana" w:cs="Arial"/>
          <w:color w:val="000000"/>
          <w:vertAlign w:val="superscript"/>
        </w:rPr>
        <w:footnoteReference w:id="19"/>
      </w:r>
      <w:r w:rsidRPr="00AD6B46">
        <w:rPr>
          <w:rFonts w:ascii="Verdana" w:eastAsia="Calibri" w:hAnsi="Verdana" w:cs="Arial"/>
          <w:color w:val="000000"/>
        </w:rPr>
        <w:t>. Sin perjuicio de lo anterior, es posible que el contenido de todo el documento o expediente no deba ser objeto de publicidad por estar amparado de forma íntegra por la reserva, dada su conexión con las causales estableci</w:t>
      </w:r>
      <w:r>
        <w:rPr>
          <w:rFonts w:ascii="Verdana" w:eastAsia="Calibri" w:hAnsi="Verdana" w:cs="Arial"/>
          <w:color w:val="000000"/>
        </w:rPr>
        <w:t xml:space="preserve">das en la Constitución o la ley, como puede ser los secretos comerciales o industriales. </w:t>
      </w:r>
    </w:p>
    <w:p w14:paraId="69D351A2" w14:textId="77777777" w:rsidR="00452023" w:rsidRDefault="00452023" w:rsidP="00E87773">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 xml:space="preserve">De esta forma, cuando el documento contractual contenga información sensible, clasificada o reservada, para proteger la reserva de información, las autoridades deben abstenerse de publicar en el SECOP la información que tiene protección especial o está sometida a reserva, o según el caso, suministrarla. </w:t>
      </w:r>
      <w:r>
        <w:rPr>
          <w:rFonts w:ascii="Verdana" w:eastAsia="Calibri" w:hAnsi="Verdana" w:cs="Arial"/>
          <w:color w:val="000000"/>
        </w:rPr>
        <w:t xml:space="preserve">En tal sentido, </w:t>
      </w:r>
      <w:r w:rsidRPr="00AD6B46">
        <w:rPr>
          <w:rFonts w:ascii="Verdana" w:eastAsia="Calibri" w:hAnsi="Verdana" w:cs="Arial"/>
          <w:color w:val="000000"/>
        </w:rPr>
        <w:t>el segundo inciso del artículo 25 de la Ley 1437 de 2011</w:t>
      </w:r>
      <w:r>
        <w:rPr>
          <w:rFonts w:ascii="Verdana" w:eastAsia="Calibri" w:hAnsi="Verdana" w:cs="Arial"/>
          <w:color w:val="000000"/>
        </w:rPr>
        <w:t xml:space="preserve"> sustituido por el artículo 2° de la Ley 1755 de 2015:</w:t>
      </w:r>
      <w:r w:rsidRPr="00AD6B46">
        <w:rPr>
          <w:rFonts w:ascii="Verdana" w:eastAsia="Calibri" w:hAnsi="Verdana" w:cs="Arial"/>
          <w:color w:val="000000"/>
        </w:rPr>
        <w:t xml:space="preserve"> “La restricción por reserva legal no se extenderá a otras piezas del respectivo expediente o actuación que no estén cubiertas por ella”. Por ello, la entidad estatal puede no publicar o suministrar algún documento del proceso o aparte del mismo que contenga información clasificada o reservada</w:t>
      </w:r>
      <w:r>
        <w:rPr>
          <w:rFonts w:ascii="Verdana" w:eastAsia="Calibri" w:hAnsi="Verdana" w:cs="Arial"/>
          <w:color w:val="000000"/>
        </w:rPr>
        <w:t>, como puede ser el caso de los secretos comerciales e industriales</w:t>
      </w:r>
      <w:r w:rsidRPr="00AD6B46">
        <w:rPr>
          <w:rFonts w:ascii="Verdana" w:eastAsia="Calibri" w:hAnsi="Verdana" w:cs="Arial"/>
          <w:color w:val="000000"/>
        </w:rPr>
        <w:t xml:space="preserve">, para no divulgarlo, pero debe publicar los demás documentos o los apartados de estos, en caso de que estos no gocen de reserva. Lo anterior, sin perjuicio de que, dependiendo de la información en específico, todo el documento o expediente no pueda publicarse o suministrarse, por ampararse en su integridad en alguna causal de reserva, dada la conexión de su contenido con la información que el constituyente o el legislador decidió limitar en cuanto a su publicidad o suministro. </w:t>
      </w:r>
    </w:p>
    <w:p w14:paraId="6AEF9D20" w14:textId="77777777" w:rsidR="00452023" w:rsidRPr="00AD6B46" w:rsidRDefault="00452023" w:rsidP="00E87773">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Al respecto, el Decreto 1081 de 2015 en su artículo 2.1.1.4.3.2 establece que, si un mismo acto o documento contiene información que puede divulgarse y a su vez, información clasificada o reservada, la entidad debe revelar los datos no protegidos y presentar los fundamentos constitucionales y legales por los que retiene los datos que no puede divulgar. De igual modo, deben revisar si los documentos contienen datos que no deban divulgarse, conforme a los fundamentos constitucionales y legales, y por tanto, tachar los apartes clasificados o reservados del documento, anonimizar, transliterar o editar el documento para suprimir la información que no puede difundirse; así como abrir un nuevo expediente con la información pública que pueda divulgar; o en su defecto, acudir a las acciones que sean necesarias para cumplir con su deber de permitir el acceso a toda aquella información que no esté clasificada o reservada, teniendo en cuenta el formato y medio de conservación de la información.</w:t>
      </w:r>
    </w:p>
    <w:p w14:paraId="056BB656" w14:textId="77777777" w:rsidR="00452023" w:rsidRPr="00AD6B46" w:rsidRDefault="00452023" w:rsidP="00E87773">
      <w:pPr>
        <w:spacing w:after="120" w:line="276" w:lineRule="auto"/>
        <w:ind w:firstLine="709"/>
        <w:jc w:val="both"/>
        <w:rPr>
          <w:rFonts w:ascii="Verdana" w:hAnsi="Verdana"/>
        </w:rPr>
      </w:pPr>
      <w:r w:rsidRPr="00AD6B46">
        <w:rPr>
          <w:rFonts w:ascii="Verdana" w:eastAsia="Calibri" w:hAnsi="Verdana" w:cs="Arial"/>
          <w:color w:val="000000"/>
        </w:rPr>
        <w:t>Así mismo, el Archivo General de la Nación como entidad encargada de liderar la Política de archivo y gestión documental a nivel nacional, expidió el Acuerdo 001 de 2024 “Por el cual se establece el Acuerdo Único de la Función Archivística, se definen los criterios técnicos y jurídicos para su implementación en el Estado Colombiano y se fijan otras disposiciones”, que en su artículo 7.1.3.</w:t>
      </w:r>
      <w:r w:rsidRPr="00AD6B46">
        <w:rPr>
          <w:rFonts w:ascii="Verdana" w:eastAsia="Calibri" w:hAnsi="Verdana" w:cs="Arial"/>
          <w:color w:val="000000"/>
          <w:vertAlign w:val="superscript"/>
        </w:rPr>
        <w:footnoteReference w:id="20"/>
      </w:r>
      <w:r w:rsidRPr="00AD6B46">
        <w:rPr>
          <w:rFonts w:ascii="Verdana" w:eastAsia="Calibri" w:hAnsi="Verdana" w:cs="Arial"/>
          <w:color w:val="000000"/>
        </w:rPr>
        <w:t xml:space="preserve"> preciso que </w:t>
      </w:r>
      <w:r w:rsidRPr="00AD6B46">
        <w:rPr>
          <w:rFonts w:ascii="Verdana" w:hAnsi="Verdana"/>
        </w:rPr>
        <w:t>la reserva aplica a la información, no a los documentos, para lo cual el responsable de la información verificará qué información está sometida a reserva, y elaborará una versión pública que mantenga la reserva de los titulares de los datos, con el fin de garantizar el principio de máxima publicidad y conforme a las disposiciones legales sobre el acceso a la información. Al respecto, el parágrafo primero del referenciado artículo dispone algunos criterios para la reserva información:</w:t>
      </w:r>
    </w:p>
    <w:p w14:paraId="103EAF54" w14:textId="77777777" w:rsidR="00452023" w:rsidRPr="00E87773" w:rsidRDefault="00452023" w:rsidP="00452023">
      <w:pPr>
        <w:spacing w:after="120" w:line="276" w:lineRule="auto"/>
        <w:ind w:left="709" w:right="709"/>
        <w:jc w:val="both"/>
        <w:rPr>
          <w:rFonts w:ascii="Verdana" w:hAnsi="Verdana"/>
          <w:sz w:val="21"/>
          <w:szCs w:val="21"/>
        </w:rPr>
      </w:pPr>
      <w:r w:rsidRPr="00E87773">
        <w:rPr>
          <w:rFonts w:ascii="Verdana" w:hAnsi="Verdana"/>
          <w:sz w:val="21"/>
          <w:szCs w:val="21"/>
        </w:rPr>
        <w:t xml:space="preserve">Parágrafo 1. De existir reserva legal, se aplicarán, como mínimo, los siguientes criterios: </w:t>
      </w:r>
    </w:p>
    <w:p w14:paraId="4FD8D1D4" w14:textId="77777777" w:rsidR="00452023" w:rsidRPr="00E87773" w:rsidRDefault="00452023" w:rsidP="00452023">
      <w:pPr>
        <w:spacing w:after="0" w:line="240" w:lineRule="auto"/>
        <w:ind w:left="709" w:right="709"/>
        <w:jc w:val="both"/>
        <w:rPr>
          <w:rFonts w:ascii="Verdana" w:hAnsi="Verdana"/>
          <w:sz w:val="21"/>
          <w:szCs w:val="21"/>
        </w:rPr>
      </w:pPr>
      <w:r w:rsidRPr="00E87773">
        <w:rPr>
          <w:rFonts w:ascii="Verdana" w:hAnsi="Verdana"/>
          <w:sz w:val="21"/>
          <w:szCs w:val="21"/>
        </w:rPr>
        <w:t>1. La reserva opera sobre el contenido del documento, no sobre la existencia de este. Estos documentos deben ser identificados de manera clara en los instrumentos de la gestión de información pública.</w:t>
      </w:r>
    </w:p>
    <w:p w14:paraId="4BF68137" w14:textId="77777777" w:rsidR="00452023" w:rsidRPr="00E87773" w:rsidRDefault="00452023" w:rsidP="00452023">
      <w:pPr>
        <w:spacing w:after="0" w:line="240" w:lineRule="auto"/>
        <w:ind w:left="709" w:right="709"/>
        <w:jc w:val="both"/>
        <w:rPr>
          <w:rFonts w:ascii="Verdana" w:hAnsi="Verdana"/>
          <w:sz w:val="21"/>
          <w:szCs w:val="21"/>
        </w:rPr>
      </w:pPr>
      <w:r w:rsidRPr="00E87773">
        <w:rPr>
          <w:rFonts w:ascii="Verdana" w:hAnsi="Verdana"/>
          <w:sz w:val="21"/>
          <w:szCs w:val="21"/>
        </w:rPr>
        <w:t xml:space="preserve"> </w:t>
      </w:r>
    </w:p>
    <w:p w14:paraId="4AC7F498" w14:textId="77777777" w:rsidR="00452023" w:rsidRPr="00E87773" w:rsidRDefault="00452023" w:rsidP="00452023">
      <w:pPr>
        <w:spacing w:after="0" w:line="240" w:lineRule="auto"/>
        <w:ind w:left="709" w:right="709"/>
        <w:jc w:val="both"/>
        <w:rPr>
          <w:rFonts w:ascii="Verdana" w:hAnsi="Verdana"/>
          <w:sz w:val="21"/>
          <w:szCs w:val="21"/>
        </w:rPr>
      </w:pPr>
      <w:r w:rsidRPr="00E87773">
        <w:rPr>
          <w:rFonts w:ascii="Verdana" w:hAnsi="Verdana"/>
          <w:sz w:val="21"/>
          <w:szCs w:val="21"/>
        </w:rPr>
        <w:t>2. La reserva legal solo opera sobre la información que compromete derechos fundamentales o bienes constitucionales, no sobre los procesos o actuaciones de los que hace parte. Para tal efecto se realizarán versiones públicas de estos documentos, que impidan la identificación de los titulares de los datos personales, como lo ordena la normativa vigente.</w:t>
      </w:r>
    </w:p>
    <w:p w14:paraId="73FF4E59" w14:textId="77777777" w:rsidR="00452023" w:rsidRPr="00E87773" w:rsidRDefault="00452023" w:rsidP="00452023">
      <w:pPr>
        <w:spacing w:after="0" w:line="240" w:lineRule="auto"/>
        <w:ind w:left="709" w:right="709"/>
        <w:jc w:val="both"/>
        <w:rPr>
          <w:rFonts w:ascii="Verdana" w:hAnsi="Verdana"/>
          <w:sz w:val="21"/>
          <w:szCs w:val="21"/>
        </w:rPr>
      </w:pPr>
      <w:r w:rsidRPr="00E87773">
        <w:rPr>
          <w:rFonts w:ascii="Verdana" w:hAnsi="Verdana"/>
          <w:sz w:val="21"/>
          <w:szCs w:val="21"/>
        </w:rPr>
        <w:t xml:space="preserve"> </w:t>
      </w:r>
    </w:p>
    <w:p w14:paraId="246D9216" w14:textId="77777777" w:rsidR="00452023" w:rsidRPr="00E87773" w:rsidRDefault="00452023" w:rsidP="00452023">
      <w:pPr>
        <w:spacing w:after="0" w:line="240" w:lineRule="auto"/>
        <w:ind w:left="709" w:right="709"/>
        <w:jc w:val="both"/>
        <w:rPr>
          <w:rFonts w:ascii="Verdana" w:hAnsi="Verdana"/>
          <w:sz w:val="21"/>
          <w:szCs w:val="21"/>
        </w:rPr>
      </w:pPr>
      <w:r w:rsidRPr="00E87773">
        <w:rPr>
          <w:rFonts w:ascii="Verdana" w:hAnsi="Verdana"/>
          <w:sz w:val="21"/>
          <w:szCs w:val="21"/>
        </w:rPr>
        <w:t xml:space="preserve">3. La reserva deberá ser temporal, como lo determine la Ley. </w:t>
      </w:r>
    </w:p>
    <w:p w14:paraId="1A8A233F" w14:textId="77777777" w:rsidR="00452023" w:rsidRPr="00AD6B46" w:rsidRDefault="00452023" w:rsidP="00111C99">
      <w:pPr>
        <w:spacing w:after="0" w:line="276" w:lineRule="auto"/>
        <w:ind w:firstLine="708"/>
        <w:jc w:val="both"/>
        <w:rPr>
          <w:rFonts w:ascii="Verdana" w:eastAsia="Calibri" w:hAnsi="Verdana" w:cs="Arial"/>
          <w:color w:val="000000"/>
        </w:rPr>
      </w:pPr>
    </w:p>
    <w:p w14:paraId="62926713" w14:textId="77777777" w:rsidR="00111C99" w:rsidRDefault="00452023" w:rsidP="00111C99">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Ahora bien, para elaborar estas versiones públicas</w:t>
      </w:r>
      <w:r w:rsidRPr="00AD6B46">
        <w:rPr>
          <w:rFonts w:ascii="Verdana" w:hAnsi="Verdana"/>
          <w:sz w:val="16"/>
          <w:szCs w:val="16"/>
        </w:rPr>
        <w:t xml:space="preserve"> </w:t>
      </w:r>
      <w:r w:rsidRPr="00AD6B46">
        <w:rPr>
          <w:rFonts w:ascii="Verdana" w:eastAsia="Calibri" w:hAnsi="Verdana" w:cs="Arial"/>
          <w:color w:val="000000"/>
        </w:rPr>
        <w:t>que contengan información clasificada o reservada, la entidad debe aplicar estándares para la anonimización de datos, teniendo en cuenta la normativa vigente para la protección de datos personales y acceso a la información, como lo dispone el parágrafo segundo del artículo 7.1.3. del Acuerdo 001 del</w:t>
      </w:r>
      <w:r>
        <w:rPr>
          <w:rFonts w:ascii="Verdana" w:eastAsia="Calibri" w:hAnsi="Verdana" w:cs="Arial"/>
          <w:color w:val="000000"/>
        </w:rPr>
        <w:t xml:space="preserve"> Archivo General de la Nación. De esta manera, c</w:t>
      </w:r>
      <w:r w:rsidRPr="00AD6B46">
        <w:rPr>
          <w:rFonts w:ascii="Verdana" w:eastAsia="Calibri" w:hAnsi="Verdana" w:cs="Arial"/>
          <w:color w:val="000000"/>
        </w:rPr>
        <w:t xml:space="preserve">uando el documento contractual tenga información clasificada o reservada, las autoridades deben abstenerse de publicar en el SECOP la información que tenga dicho carácter, por tanto, deberá publicar la información de forma parcial. </w:t>
      </w:r>
      <w:r>
        <w:rPr>
          <w:rFonts w:ascii="Verdana" w:eastAsia="Calibri" w:hAnsi="Verdana" w:cs="Arial"/>
          <w:color w:val="000000"/>
        </w:rPr>
        <w:t xml:space="preserve">En este asunto que nos compete, debe resaltarse que en el momento de publicar los documentos del proceso debe revisarse si los oferentes o diferentes proponentes o contratistas están remitiendo información que se considera un secreto comercial o industrial, evento en el cual </w:t>
      </w:r>
      <w:r w:rsidRPr="00543BBC">
        <w:rPr>
          <w:rFonts w:ascii="Verdana" w:eastAsia="Calibri" w:hAnsi="Verdana" w:cs="Arial"/>
          <w:color w:val="000000"/>
        </w:rPr>
        <w:t>debe aplicar estándares</w:t>
      </w:r>
      <w:r>
        <w:rPr>
          <w:rFonts w:ascii="Verdana" w:eastAsia="Calibri" w:hAnsi="Verdana" w:cs="Arial"/>
          <w:color w:val="000000"/>
        </w:rPr>
        <w:t xml:space="preserve"> de anonimización o de restricción de la información que se considera clasificada. </w:t>
      </w:r>
    </w:p>
    <w:p w14:paraId="2C59DE7B" w14:textId="168AB6C5" w:rsidR="00452023" w:rsidRDefault="00452023" w:rsidP="00111C99">
      <w:pPr>
        <w:spacing w:after="120" w:line="276" w:lineRule="auto"/>
        <w:ind w:firstLine="709"/>
        <w:jc w:val="both"/>
        <w:rPr>
          <w:rFonts w:ascii="Verdana" w:eastAsia="Calibri" w:hAnsi="Verdana" w:cs="Arial"/>
          <w:color w:val="000000"/>
        </w:rPr>
      </w:pPr>
      <w:r w:rsidRPr="002359C5">
        <w:rPr>
          <w:rFonts w:ascii="Verdana" w:eastAsia="Calibri" w:hAnsi="Verdana" w:cs="Arial"/>
          <w:color w:val="000000"/>
        </w:rPr>
        <w:t xml:space="preserve">A partir de lo expuesto, la empresa industrial y comercial del Estado debe verificar, en cada una de las etapas —precontractual, contractual y poscontractual—, la correcta aplicación de criterios destinados a restringir la divulgación de información considerada clasificada, por </w:t>
      </w:r>
      <w:r>
        <w:rPr>
          <w:rFonts w:ascii="Verdana" w:eastAsia="Calibri" w:hAnsi="Verdana" w:cs="Arial"/>
          <w:color w:val="000000"/>
        </w:rPr>
        <w:t xml:space="preserve">contener secretos comerciales, </w:t>
      </w:r>
      <w:r w:rsidRPr="002359C5">
        <w:rPr>
          <w:rFonts w:ascii="Verdana" w:eastAsia="Calibri" w:hAnsi="Verdana" w:cs="Arial"/>
          <w:color w:val="000000"/>
        </w:rPr>
        <w:t>industriales</w:t>
      </w:r>
      <w:r>
        <w:rPr>
          <w:rFonts w:ascii="Verdana" w:eastAsia="Calibri" w:hAnsi="Verdana" w:cs="Arial"/>
          <w:color w:val="000000"/>
        </w:rPr>
        <w:t xml:space="preserve"> o información estratégica</w:t>
      </w:r>
      <w:r w:rsidRPr="002359C5">
        <w:rPr>
          <w:rFonts w:ascii="Verdana" w:eastAsia="Calibri" w:hAnsi="Verdana" w:cs="Arial"/>
          <w:color w:val="000000"/>
        </w:rPr>
        <w:t xml:space="preserve"> de los proveedores</w:t>
      </w:r>
      <w:r>
        <w:rPr>
          <w:rFonts w:ascii="Verdana" w:eastAsia="Calibri" w:hAnsi="Verdana" w:cs="Arial"/>
          <w:color w:val="000000"/>
        </w:rPr>
        <w:t>, que este amparado bajo el secreto empresarial</w:t>
      </w:r>
      <w:r w:rsidRPr="002359C5">
        <w:rPr>
          <w:rFonts w:ascii="Verdana" w:eastAsia="Calibri" w:hAnsi="Verdana" w:cs="Arial"/>
          <w:color w:val="000000"/>
        </w:rPr>
        <w:t xml:space="preserve">. Dichos criterios deberán observarse en el trámite y publicación dentro del SECOP II, en los módulos de </w:t>
      </w:r>
      <w:r>
        <w:rPr>
          <w:rFonts w:ascii="Verdana" w:eastAsia="Calibri" w:hAnsi="Verdana" w:cs="Arial"/>
          <w:color w:val="000000"/>
        </w:rPr>
        <w:t>régimen especial, tanto con o sin oferta.</w:t>
      </w:r>
    </w:p>
    <w:p w14:paraId="0EB8F0B3" w14:textId="77777777" w:rsidR="00452023" w:rsidRDefault="00452023" w:rsidP="00452023">
      <w:pPr>
        <w:spacing w:after="120" w:line="276" w:lineRule="auto"/>
        <w:ind w:left="709" w:hanging="709"/>
        <w:jc w:val="both"/>
        <w:rPr>
          <w:rFonts w:ascii="Verdana" w:eastAsia="Calibri" w:hAnsi="Verdana" w:cs="Arial"/>
          <w:color w:val="000000"/>
        </w:rPr>
      </w:pPr>
    </w:p>
    <w:p w14:paraId="67F6B899" w14:textId="77777777" w:rsidR="00452023" w:rsidRPr="00B16AC6" w:rsidRDefault="00452023" w:rsidP="00111C99">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iii.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forma de publicación en SECOP II por parte de Empresas Industriales y Comerciales del Estado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1435512" w14:textId="77777777" w:rsidR="00F86128" w:rsidRDefault="00F86128" w:rsidP="00452023">
      <w:pPr>
        <w:spacing w:after="120" w:line="276" w:lineRule="auto"/>
        <w:ind w:firstLine="708"/>
        <w:jc w:val="both"/>
        <w:rPr>
          <w:rFonts w:ascii="Verdana" w:eastAsia="Calibri" w:hAnsi="Verdana" w:cs="Arial"/>
        </w:rPr>
      </w:pPr>
      <w:r w:rsidRPr="004675CD">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70E6D31A" w14:textId="77777777" w:rsidR="006E7CDD" w:rsidRPr="00484593" w:rsidRDefault="006E7CDD" w:rsidP="00111C99">
      <w:pPr>
        <w:spacing w:after="0" w:line="276" w:lineRule="auto"/>
        <w:jc w:val="both"/>
        <w:rPr>
          <w:rFonts w:ascii="Verdana" w:eastAsia="Verdana" w:hAnsi="Verdana" w:cs="Verdana"/>
          <w:b/>
          <w:bCs/>
        </w:rPr>
      </w:pPr>
    </w:p>
    <w:p w14:paraId="55BECF84" w14:textId="04AC92AF" w:rsidR="00415A87" w:rsidRPr="00484593" w:rsidRDefault="00415A87" w:rsidP="00415A87">
      <w:pPr>
        <w:spacing w:after="120" w:line="276" w:lineRule="auto"/>
        <w:jc w:val="both"/>
        <w:rPr>
          <w:rFonts w:ascii="Verdana" w:eastAsia="Verdana" w:hAnsi="Verdana" w:cs="Verdana"/>
          <w:b/>
          <w:bCs/>
        </w:rPr>
      </w:pPr>
      <w:r w:rsidRPr="00484593">
        <w:rPr>
          <w:rFonts w:ascii="Verdana" w:eastAsia="Verdana" w:hAnsi="Verdana" w:cs="Verdana"/>
          <w:b/>
          <w:bCs/>
        </w:rPr>
        <w:t xml:space="preserve">4. </w:t>
      </w:r>
      <w:r w:rsidR="00667DB0" w:rsidRPr="00484593">
        <w:rPr>
          <w:rFonts w:ascii="Verdana" w:eastAsia="Verdana" w:hAnsi="Verdana" w:cs="Verdana"/>
          <w:b/>
          <w:bCs/>
        </w:rPr>
        <w:t xml:space="preserve">Referencias normativas, jurisprudenciales y otras fuentes: </w:t>
      </w:r>
    </w:p>
    <w:p w14:paraId="03D8D5E7" w14:textId="77777777" w:rsidR="00A27C37" w:rsidRPr="0047490F" w:rsidRDefault="00A27C37" w:rsidP="00A27C37">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after="120" w:line="276" w:lineRule="auto"/>
        <w:contextualSpacing/>
        <w:jc w:val="both"/>
        <w:rPr>
          <w:rFonts w:ascii="Verdana" w:eastAsia="Calibri" w:hAnsi="Verdana" w:cs="Arial"/>
          <w:lang w:val="es-ES"/>
        </w:rPr>
      </w:pPr>
      <w:r w:rsidRPr="0047490F">
        <w:rPr>
          <w:rFonts w:ascii="Verdana" w:eastAsia="Calibri" w:hAnsi="Verdana" w:cs="Arial"/>
          <w:lang w:val="es-ES"/>
        </w:rPr>
        <w:t>Constitución Política. Artículos 74 y 209</w:t>
      </w:r>
    </w:p>
    <w:p w14:paraId="3092A2A9" w14:textId="77777777" w:rsidR="00A27C37" w:rsidRPr="0047490F" w:rsidRDefault="00A27C37" w:rsidP="00A27C37">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after="120" w:line="276" w:lineRule="auto"/>
        <w:contextualSpacing/>
        <w:jc w:val="both"/>
        <w:rPr>
          <w:rFonts w:ascii="Verdana" w:eastAsia="Calibri" w:hAnsi="Verdana" w:cs="Arial"/>
          <w:lang w:val="es-ES"/>
        </w:rPr>
      </w:pPr>
      <w:r w:rsidRPr="0047490F">
        <w:rPr>
          <w:rFonts w:ascii="Verdana" w:eastAsia="Calibri" w:hAnsi="Verdana" w:cs="Arial"/>
          <w:lang w:val="es-ES"/>
        </w:rPr>
        <w:t>Ley 1150 de 2007. Literal c), artículo 3</w:t>
      </w:r>
    </w:p>
    <w:p w14:paraId="0476F987" w14:textId="77777777" w:rsidR="00A27C37" w:rsidRPr="0047490F" w:rsidRDefault="00A27C37" w:rsidP="00A27C37">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after="120" w:line="276" w:lineRule="auto"/>
        <w:contextualSpacing/>
        <w:jc w:val="both"/>
        <w:rPr>
          <w:rFonts w:ascii="Verdana" w:eastAsia="Calibri" w:hAnsi="Verdana" w:cs="Arial"/>
          <w:lang w:val="es-ES"/>
        </w:rPr>
      </w:pPr>
      <w:r w:rsidRPr="0047490F">
        <w:rPr>
          <w:rFonts w:ascii="Verdana" w:eastAsia="Calibri" w:hAnsi="Verdana" w:cs="Arial"/>
          <w:lang w:val="es-ES"/>
        </w:rPr>
        <w:t>Ley 1712 de 2014. Literal e), artículo 9</w:t>
      </w:r>
    </w:p>
    <w:p w14:paraId="634F5222" w14:textId="77777777" w:rsidR="00A27C37" w:rsidRPr="0047490F" w:rsidRDefault="00A27C37" w:rsidP="00A27C37">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after="120" w:line="276" w:lineRule="auto"/>
        <w:contextualSpacing/>
        <w:jc w:val="both"/>
        <w:rPr>
          <w:rFonts w:ascii="Verdana" w:eastAsia="Calibri" w:hAnsi="Verdana" w:cs="Arial"/>
          <w:lang w:val="es-ES"/>
        </w:rPr>
      </w:pPr>
      <w:r w:rsidRPr="0047490F">
        <w:rPr>
          <w:rFonts w:ascii="Verdana" w:eastAsia="Calibri" w:hAnsi="Verdana" w:cs="Arial"/>
          <w:lang w:val="es-ES"/>
        </w:rPr>
        <w:t>Ley 1712 de 2014. Artículo 5</w:t>
      </w:r>
    </w:p>
    <w:p w14:paraId="750ED4FD" w14:textId="77777777" w:rsidR="00A27C37" w:rsidRDefault="00A27C37" w:rsidP="00A27C37">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after="120" w:line="276" w:lineRule="auto"/>
        <w:contextualSpacing/>
        <w:jc w:val="both"/>
        <w:rPr>
          <w:rFonts w:ascii="Verdana" w:eastAsia="Calibri" w:hAnsi="Verdana" w:cs="Arial"/>
          <w:lang w:val="es-ES"/>
        </w:rPr>
      </w:pPr>
      <w:r w:rsidRPr="0047490F">
        <w:rPr>
          <w:rFonts w:ascii="Verdana" w:eastAsia="Calibri" w:hAnsi="Verdana" w:cs="Arial"/>
          <w:lang w:val="es-ES"/>
        </w:rPr>
        <w:t>Ley 1712 de 2014. Literal g), artículo 11</w:t>
      </w:r>
    </w:p>
    <w:p w14:paraId="550DEAAA" w14:textId="77777777" w:rsidR="00A27C37" w:rsidRDefault="00A27C37" w:rsidP="00A27C37">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after="120" w:line="276" w:lineRule="auto"/>
        <w:contextualSpacing/>
        <w:jc w:val="both"/>
        <w:rPr>
          <w:rFonts w:ascii="Verdana" w:eastAsia="Calibri" w:hAnsi="Verdana" w:cs="Arial"/>
          <w:lang w:val="es-ES"/>
        </w:rPr>
      </w:pPr>
      <w:r>
        <w:rPr>
          <w:rFonts w:ascii="Verdana" w:eastAsia="Calibri" w:hAnsi="Verdana" w:cs="Arial"/>
          <w:lang w:val="es-ES"/>
        </w:rPr>
        <w:t>Ley 2195 de 2022. Artículo 53</w:t>
      </w:r>
    </w:p>
    <w:p w14:paraId="11F0663C" w14:textId="77777777" w:rsidR="00A27C37" w:rsidRDefault="00A27C37" w:rsidP="00A27C37">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after="120" w:line="276" w:lineRule="auto"/>
        <w:contextualSpacing/>
        <w:jc w:val="both"/>
        <w:rPr>
          <w:rFonts w:ascii="Verdana" w:eastAsia="Calibri" w:hAnsi="Verdana" w:cs="Arial"/>
          <w:lang w:val="es-ES"/>
        </w:rPr>
      </w:pPr>
      <w:r>
        <w:rPr>
          <w:rFonts w:ascii="Verdana" w:eastAsia="Calibri" w:hAnsi="Verdana" w:cs="Arial"/>
          <w:lang w:val="es-ES"/>
        </w:rPr>
        <w:t xml:space="preserve">Decreto 1081 de 2015. Artículo </w:t>
      </w:r>
      <w:r w:rsidRPr="00EF0BDA">
        <w:rPr>
          <w:rStyle w:val="eop"/>
          <w:rFonts w:ascii="Verdana" w:hAnsi="Verdana"/>
          <w:color w:val="000000"/>
          <w:shd w:val="clear" w:color="auto" w:fill="FFFFFF"/>
        </w:rPr>
        <w:t>2.1.1.2.1.7</w:t>
      </w:r>
    </w:p>
    <w:p w14:paraId="4E8EC38B" w14:textId="77777777" w:rsidR="00A27C37" w:rsidRPr="00015133" w:rsidRDefault="00A27C37" w:rsidP="00A27C37">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after="120" w:line="276" w:lineRule="auto"/>
        <w:contextualSpacing/>
        <w:jc w:val="both"/>
        <w:rPr>
          <w:rFonts w:ascii="Verdana" w:eastAsia="Calibri" w:hAnsi="Verdana" w:cs="Arial"/>
          <w:lang w:val="es-ES"/>
        </w:rPr>
      </w:pPr>
      <w:r>
        <w:rPr>
          <w:rFonts w:ascii="Verdana" w:eastAsia="Calibri" w:hAnsi="Verdana" w:cs="Arial"/>
          <w:lang w:val="es-ES"/>
        </w:rPr>
        <w:t xml:space="preserve">Decreto 1082 de 2015. Artículo </w:t>
      </w:r>
      <w:r w:rsidRPr="00EF0BDA">
        <w:rPr>
          <w:rStyle w:val="eop"/>
          <w:rFonts w:ascii="Verdana" w:hAnsi="Verdana"/>
          <w:color w:val="000000"/>
          <w:shd w:val="clear" w:color="auto" w:fill="FFFFFF"/>
        </w:rPr>
        <w:t>2.2.1.1.1.7.1</w:t>
      </w:r>
    </w:p>
    <w:p w14:paraId="10297500" w14:textId="77777777" w:rsidR="00484593" w:rsidRDefault="00A27C37" w:rsidP="00484593">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Aptos" w:hAnsi="Verdana" w:cs="Arial"/>
        </w:rPr>
      </w:pPr>
      <w:r>
        <w:rPr>
          <w:rFonts w:ascii="Verdana" w:eastAsia="Calibri" w:hAnsi="Verdana" w:cs="Arial"/>
          <w:lang w:val="es-ES"/>
        </w:rPr>
        <w:t xml:space="preserve">Circular Externa Única, disponible </w:t>
      </w:r>
      <w:hyperlink r:id="rId13" w:history="1">
        <w:r w:rsidRPr="00793D96">
          <w:rPr>
            <w:rStyle w:val="Hipervnculo"/>
            <w:rFonts w:ascii="Verdana" w:eastAsia="Calibri" w:hAnsi="Verdana" w:cs="Arial"/>
            <w:lang w:val="es-ES"/>
          </w:rPr>
          <w:t>aquí</w:t>
        </w:r>
      </w:hyperlink>
    </w:p>
    <w:p w14:paraId="347AD2CD" w14:textId="77777777" w:rsidR="00B87208" w:rsidRDefault="00A27C37" w:rsidP="00B87208">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Aptos" w:hAnsi="Verdana" w:cs="Arial"/>
        </w:rPr>
      </w:pPr>
      <w:r w:rsidRPr="00484593">
        <w:rPr>
          <w:rFonts w:ascii="Verdana" w:eastAsia="Calibri" w:hAnsi="Verdana" w:cs="Arial"/>
          <w:lang w:val="es-ES"/>
        </w:rPr>
        <w:t xml:space="preserve">Circular Externa No. 002 del 23 de agosto de 2024, disponible </w:t>
      </w:r>
      <w:hyperlink r:id="rId14" w:history="1">
        <w:r w:rsidRPr="00484593">
          <w:rPr>
            <w:rStyle w:val="Hipervnculo"/>
            <w:rFonts w:ascii="Verdana" w:eastAsia="Calibri" w:hAnsi="Verdana" w:cs="Arial"/>
            <w:lang w:val="es-ES"/>
          </w:rPr>
          <w:t>aquí</w:t>
        </w:r>
      </w:hyperlink>
    </w:p>
    <w:p w14:paraId="0E032077" w14:textId="77777777" w:rsidR="00B87208" w:rsidRDefault="00B87208" w:rsidP="00B87208">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Aptos" w:hAnsi="Verdana" w:cs="Arial"/>
        </w:rPr>
      </w:pPr>
      <w:r w:rsidRPr="00B87208">
        <w:rPr>
          <w:rFonts w:ascii="Verdana" w:eastAsia="Calibri" w:hAnsi="Verdana" w:cs="Arial"/>
          <w:color w:val="000000"/>
          <w:lang w:val="pt-BR"/>
        </w:rPr>
        <w:t xml:space="preserve">Corte Constitucional. Sentencia C-274 de 2013. </w:t>
      </w:r>
      <w:r w:rsidRPr="00B87208">
        <w:rPr>
          <w:rFonts w:ascii="Verdana" w:eastAsia="Calibri" w:hAnsi="Verdana" w:cs="Arial"/>
          <w:color w:val="000000"/>
          <w:lang w:val="es-ES"/>
        </w:rPr>
        <w:t xml:space="preserve">M.P. María Victoria Calle Correa. </w:t>
      </w:r>
    </w:p>
    <w:p w14:paraId="693B95C7" w14:textId="77777777" w:rsidR="00B87208" w:rsidRDefault="00B87208" w:rsidP="00B87208">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Aptos" w:hAnsi="Verdana" w:cs="Arial"/>
        </w:rPr>
      </w:pPr>
      <w:r w:rsidRPr="00B87208">
        <w:rPr>
          <w:rFonts w:ascii="Verdana" w:eastAsia="Calibri" w:hAnsi="Verdana" w:cs="Arial"/>
          <w:color w:val="000000"/>
          <w:lang w:val="pt-BR"/>
        </w:rPr>
        <w:t xml:space="preserve">Corte Constitucional. Sentencia C-951 de 2014. </w:t>
      </w:r>
      <w:r w:rsidRPr="00B87208">
        <w:rPr>
          <w:rFonts w:ascii="Verdana" w:eastAsia="Calibri" w:hAnsi="Verdana" w:cs="Arial"/>
          <w:color w:val="000000"/>
          <w:lang w:val="es-ES"/>
        </w:rPr>
        <w:t xml:space="preserve">M.P. María Victoria Calle Correa. </w:t>
      </w:r>
    </w:p>
    <w:p w14:paraId="42FB7D5A" w14:textId="77777777" w:rsidR="00B87208" w:rsidRDefault="00B87208" w:rsidP="00B87208">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Aptos" w:hAnsi="Verdana" w:cs="Arial"/>
        </w:rPr>
      </w:pPr>
      <w:r w:rsidRPr="00B87208">
        <w:rPr>
          <w:rFonts w:ascii="Verdana" w:hAnsi="Verdana" w:cs="Arial"/>
          <w:lang w:val="es-ES"/>
        </w:rPr>
        <w:t>BOBBIO, Norberto. Democracia y secreto. México: Fondo de Cultura Económica, 2013.</w:t>
      </w:r>
    </w:p>
    <w:p w14:paraId="46F05169" w14:textId="77777777" w:rsidR="00B87208" w:rsidRDefault="00B87208" w:rsidP="00B87208">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Aptos" w:hAnsi="Verdana" w:cs="Arial"/>
        </w:rPr>
      </w:pPr>
      <w:r w:rsidRPr="00B87208">
        <w:rPr>
          <w:rFonts w:ascii="Verdana" w:hAnsi="Verdana" w:cs="Arial"/>
        </w:rPr>
        <w:t>MATALLANA CAMACHO Ernesto. Manual de Contratación de la</w:t>
      </w:r>
      <w:r>
        <w:rPr>
          <w:rFonts w:ascii="Verdana" w:hAnsi="Verdana" w:cs="Arial"/>
        </w:rPr>
        <w:t xml:space="preserve"> </w:t>
      </w:r>
      <w:r w:rsidRPr="00B87208">
        <w:rPr>
          <w:rFonts w:ascii="Verdana" w:hAnsi="Verdana" w:cs="Arial"/>
        </w:rPr>
        <w:t>Administración Pública. Reforma a la Ley 80 de 1993. Universidad Externado de Colombia, Cuarta edición, 2015.</w:t>
      </w:r>
    </w:p>
    <w:p w14:paraId="262BF215" w14:textId="35743A60" w:rsidR="00B87208" w:rsidRPr="00B87208" w:rsidRDefault="00B87208" w:rsidP="00B87208">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Aptos" w:hAnsi="Verdana" w:cs="Arial"/>
        </w:rPr>
      </w:pPr>
      <w:r w:rsidRPr="00B87208">
        <w:rPr>
          <w:rFonts w:ascii="Verdana" w:hAnsi="Verdana" w:cs="Arial"/>
        </w:rPr>
        <w:t>Superintendencia de Industria y Comercio. Concepto 22-196277 del 22 de junio de 2022; Concepto 17-394944- -1 del 5 de enero de 2018.</w:t>
      </w:r>
    </w:p>
    <w:p w14:paraId="47BBFF9B" w14:textId="0476333C" w:rsidR="00312BB7" w:rsidRPr="00F7555C" w:rsidRDefault="00312BB7" w:rsidP="00385919">
      <w:pPr>
        <w:spacing w:after="120" w:line="276" w:lineRule="auto"/>
        <w:jc w:val="both"/>
        <w:rPr>
          <w:rFonts w:ascii="Verdana" w:eastAsia="Verdana" w:hAnsi="Verdana" w:cs="Verdana"/>
          <w:lang w:val="es-ES_tradnl"/>
        </w:rPr>
      </w:pPr>
    </w:p>
    <w:p w14:paraId="49E4EF86" w14:textId="27315FD3" w:rsidR="005F3CF1" w:rsidRPr="00DE06A1" w:rsidRDefault="007B49DC" w:rsidP="30821638">
      <w:pPr>
        <w:spacing w:after="0"/>
        <w:jc w:val="both"/>
        <w:rPr>
          <w:rFonts w:ascii="Verdana" w:eastAsia="Verdana" w:hAnsi="Verdana" w:cs="Verdana"/>
          <w:b/>
          <w:bCs/>
          <w:lang w:val="es-MX"/>
        </w:rPr>
      </w:pPr>
      <w:r w:rsidRPr="00DE06A1">
        <w:rPr>
          <w:rFonts w:ascii="Verdana" w:eastAsia="Verdana" w:hAnsi="Verdana" w:cs="Verdana"/>
          <w:b/>
          <w:bCs/>
          <w:lang w:val="es-MX"/>
        </w:rPr>
        <w:t xml:space="preserve">5. Doctrina de la Agencia Nacional de </w:t>
      </w:r>
      <w:r w:rsidR="00C637ED" w:rsidRPr="00DE06A1">
        <w:rPr>
          <w:rFonts w:ascii="Verdana" w:eastAsia="Verdana" w:hAnsi="Verdana" w:cs="Verdana"/>
          <w:b/>
          <w:bCs/>
          <w:lang w:val="es-MX"/>
        </w:rPr>
        <w:t xml:space="preserve">Contratación Pública: </w:t>
      </w:r>
    </w:p>
    <w:p w14:paraId="2C6894AF" w14:textId="77777777" w:rsidR="00C637ED" w:rsidRDefault="00C637ED" w:rsidP="30821638">
      <w:pPr>
        <w:spacing w:after="0"/>
        <w:jc w:val="both"/>
        <w:rPr>
          <w:rFonts w:ascii="Verdana" w:eastAsia="Verdana" w:hAnsi="Verdana" w:cs="Verdana"/>
          <w:lang w:val="es-MX"/>
        </w:rPr>
      </w:pPr>
    </w:p>
    <w:p w14:paraId="5AFE8918" w14:textId="77777777" w:rsidR="008A4371" w:rsidRDefault="00DE06A1" w:rsidP="00DE06A1">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47490F">
        <w:rPr>
          <w:rFonts w:ascii="Verdana" w:eastAsia="Aptos" w:hAnsi="Verdana" w:cs="Arial"/>
          <w:shd w:val="clear" w:color="auto" w:fill="FFFFFF"/>
          <w:lang w:val="es-ES"/>
        </w:rPr>
        <w:t xml:space="preserve">Sobre el Sistema Electrónico para la Contratación Pública – SECOP, esta Subdirección se ha referido en los Conceptos </w:t>
      </w:r>
      <w:r w:rsidRPr="0047490F">
        <w:rPr>
          <w:rFonts w:ascii="Verdana" w:eastAsia="Calibri" w:hAnsi="Verdana" w:cs="Arial"/>
          <w:lang w:val="es-ES_tradnl" w:eastAsia="es-MX"/>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y C-472 del 6 de septiembre de 2021. De igual manera, recientemente, se pronunció sobre la interpretación del artículo 53 de la Ley 2195 de 2022, en los conceptos C-049 del 7 de marzo de 2022, C-120 del 22 de marzo de 2022, C-124 del 22 de marzo de 2022, C-132 del 28 de marzo de 2022, C-337 del 25 de mayo de 2022, C-348 del 13 de junio de 2022, C-480 del 18 de julio de 2022, C- 544 del 29 de agosto de 2022, C-555 del 6 de septiembre de 2022, C- 821 de 29 de noviembre de 2022 y C-071 del 28 de marzo de 2023</w:t>
      </w:r>
      <w:r w:rsidRPr="0047490F">
        <w:rPr>
          <w:rFonts w:ascii="Verdana" w:eastAsia="Aptos" w:hAnsi="Verdana" w:cs="Arial"/>
          <w:shd w:val="clear" w:color="auto" w:fill="FFFFFF"/>
          <w:lang w:val="es-ES"/>
        </w:rPr>
        <w:t xml:space="preserve">, entre otros.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5" w:history="1">
        <w:r w:rsidRPr="00A1554D">
          <w:rPr>
            <w:rStyle w:val="Hipervnculo"/>
            <w:rFonts w:ascii="Verdana" w:hAnsi="Verdana" w:cs="Arial"/>
            <w:shd w:val="clear" w:color="auto" w:fill="FFFFFF"/>
            <w:lang w:val="es-ES"/>
          </w:rPr>
          <w:t>https://relatoria.colombiacompra.gov.co/busqueda/conceptos</w:t>
        </w:r>
      </w:hyperlink>
    </w:p>
    <w:p w14:paraId="777E9E2B" w14:textId="77777777" w:rsidR="008A4371" w:rsidRDefault="008A4371" w:rsidP="00DE06A1">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35E6CC5" w14:textId="77777777" w:rsidR="00342AAB" w:rsidRPr="009A385A" w:rsidRDefault="00342AAB" w:rsidP="00342AAB">
      <w:pPr>
        <w:spacing w:after="0"/>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6" w:tgtFrame="_new" w:history="1">
        <w:r w:rsidRPr="009A385A">
          <w:rPr>
            <w:rStyle w:val="Hipervnculo"/>
            <w:rFonts w:ascii="Verdana" w:hAnsi="Verdana"/>
          </w:rPr>
          <w:t>https://formacionvirtual.colombiacompra.gov.co/mod/page/view.php?id=3718</w:t>
        </w:r>
      </w:hyperlink>
    </w:p>
    <w:p w14:paraId="787F9602" w14:textId="77777777" w:rsidR="00342AAB" w:rsidRDefault="00342AAB" w:rsidP="00342AAB">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7" w:tgtFrame="_new" w:history="1">
        <w:r w:rsidRPr="00635F16">
          <w:rPr>
            <w:rStyle w:val="Hipervnculo"/>
            <w:rFonts w:ascii="Verdana" w:hAnsi="Verdana"/>
          </w:rPr>
          <w:t>https://www.colombiacompra.gov.co/normativa-y-relatoria/documentos-tipo</w:t>
        </w:r>
      </w:hyperlink>
    </w:p>
    <w:p w14:paraId="51AABFC4" w14:textId="77777777" w:rsidR="00342AAB" w:rsidRDefault="00342AAB" w:rsidP="00342AAB">
      <w:pPr>
        <w:jc w:val="both"/>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8"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E8B918E" w14:textId="77777777" w:rsidR="00342AAB" w:rsidRDefault="00342AAB" w:rsidP="00342AAB">
      <w:pPr>
        <w:jc w:val="both"/>
      </w:pPr>
    </w:p>
    <w:p w14:paraId="6B5BB5C5" w14:textId="77777777" w:rsidR="00342AAB" w:rsidRPr="00B06915" w:rsidRDefault="00342AAB" w:rsidP="00342AAB">
      <w:pPr>
        <w:spacing w:after="0" w:line="254" w:lineRule="auto"/>
        <w:rPr>
          <w:rFonts w:ascii="Verdana" w:eastAsia="Calibri" w:hAnsi="Verdana" w:cs="Times New Roman"/>
        </w:rPr>
      </w:pPr>
      <w:r w:rsidRPr="00B06915">
        <w:rPr>
          <w:rFonts w:ascii="Verdana" w:eastAsia="Calibri" w:hAnsi="Verdana" w:cs="Times New Roman"/>
        </w:rPr>
        <w:t xml:space="preserve">Por último, lo invitamos a seguirnos en las redes sociales en las cuales se difunde información institucional: </w:t>
      </w:r>
    </w:p>
    <w:p w14:paraId="385947D2" w14:textId="77777777" w:rsidR="00342AAB" w:rsidRPr="00B06915" w:rsidRDefault="00342AAB" w:rsidP="00342AAB">
      <w:pPr>
        <w:spacing w:after="0" w:line="254" w:lineRule="auto"/>
        <w:rPr>
          <w:rFonts w:ascii="Verdana" w:eastAsia="Calibri" w:hAnsi="Verdana" w:cs="Times New Roman"/>
        </w:rPr>
      </w:pPr>
    </w:p>
    <w:p w14:paraId="54250380" w14:textId="77777777" w:rsidR="00342AAB" w:rsidRPr="00B06915" w:rsidRDefault="00342AAB" w:rsidP="00342AAB">
      <w:pPr>
        <w:spacing w:after="0" w:line="254" w:lineRule="auto"/>
        <w:rPr>
          <w:rFonts w:ascii="Verdana" w:eastAsia="Calibri" w:hAnsi="Verdana" w:cs="Times New Roman"/>
        </w:rPr>
      </w:pPr>
      <w:r w:rsidRPr="00B06915">
        <w:rPr>
          <w:rFonts w:ascii="Verdana" w:eastAsia="Calibri" w:hAnsi="Verdana" w:cs="Times New Roman"/>
        </w:rPr>
        <w:t xml:space="preserve">Twitter: </w:t>
      </w:r>
      <w:r w:rsidRPr="00B06915">
        <w:rPr>
          <w:rFonts w:ascii="Verdana" w:eastAsia="Calibri" w:hAnsi="Verdana" w:cs="Times New Roman"/>
          <w:u w:val="single"/>
        </w:rPr>
        <w:t>@colombiacompra</w:t>
      </w:r>
      <w:r w:rsidRPr="00B06915">
        <w:rPr>
          <w:rFonts w:ascii="Verdana" w:eastAsia="Calibri" w:hAnsi="Verdana" w:cs="Times New Roman"/>
        </w:rPr>
        <w:t xml:space="preserve"> </w:t>
      </w:r>
    </w:p>
    <w:p w14:paraId="2B0438E4" w14:textId="77777777" w:rsidR="00342AAB" w:rsidRPr="00B06915" w:rsidRDefault="00342AAB" w:rsidP="00342AAB">
      <w:pPr>
        <w:spacing w:after="0" w:line="254" w:lineRule="auto"/>
        <w:rPr>
          <w:rFonts w:ascii="Verdana" w:eastAsia="Calibri" w:hAnsi="Verdana" w:cs="Times New Roman"/>
        </w:rPr>
      </w:pPr>
      <w:r w:rsidRPr="00B06915">
        <w:rPr>
          <w:rFonts w:ascii="Verdana" w:eastAsia="Calibri" w:hAnsi="Verdana" w:cs="Times New Roman"/>
        </w:rPr>
        <w:t xml:space="preserve">Facebook: </w:t>
      </w:r>
      <w:proofErr w:type="spellStart"/>
      <w:r w:rsidRPr="00B06915">
        <w:rPr>
          <w:rFonts w:ascii="Verdana" w:eastAsia="Calibri" w:hAnsi="Verdana" w:cs="Times New Roman"/>
          <w:u w:val="single"/>
        </w:rPr>
        <w:t>ColombiaCompraEficiente</w:t>
      </w:r>
      <w:proofErr w:type="spellEnd"/>
    </w:p>
    <w:p w14:paraId="5C07522D" w14:textId="77777777" w:rsidR="00342AAB" w:rsidRPr="00B06915" w:rsidRDefault="00342AAB" w:rsidP="00342AAB">
      <w:pPr>
        <w:spacing w:after="0" w:line="254" w:lineRule="auto"/>
        <w:rPr>
          <w:rFonts w:ascii="Verdana" w:eastAsia="Calibri" w:hAnsi="Verdana" w:cs="Times New Roman"/>
          <w:u w:val="single"/>
        </w:rPr>
      </w:pPr>
      <w:r w:rsidRPr="00B06915">
        <w:rPr>
          <w:rFonts w:ascii="Verdana" w:eastAsia="Calibri" w:hAnsi="Verdana" w:cs="Times New Roman"/>
        </w:rPr>
        <w:t xml:space="preserve">LinkedIn: </w:t>
      </w:r>
      <w:r w:rsidRPr="00B06915">
        <w:rPr>
          <w:rFonts w:ascii="Verdana" w:eastAsia="Calibri" w:hAnsi="Verdana" w:cs="Times New Roman"/>
          <w:u w:val="single"/>
        </w:rPr>
        <w:t>Agencia Nacional de Contratación Pública - Colombia Compra Eficiente</w:t>
      </w:r>
      <w:r w:rsidRPr="00B06915">
        <w:rPr>
          <w:rFonts w:ascii="Verdana" w:eastAsia="Calibri" w:hAnsi="Verdana" w:cs="Times New Roman"/>
        </w:rPr>
        <w:t xml:space="preserve"> Instagram: </w:t>
      </w:r>
      <w:r w:rsidRPr="00B06915">
        <w:rPr>
          <w:rFonts w:ascii="Verdana" w:eastAsia="Calibri" w:hAnsi="Verdana" w:cs="Times New Roman"/>
          <w:u w:val="single"/>
        </w:rPr>
        <w:t>@colombiacompraeficiente_cce</w:t>
      </w:r>
    </w:p>
    <w:p w14:paraId="1FE86FE7" w14:textId="77777777" w:rsidR="00342AAB" w:rsidRPr="00B06915" w:rsidRDefault="00342AAB" w:rsidP="00342AAB">
      <w:pPr>
        <w:spacing w:after="0" w:line="254" w:lineRule="auto"/>
        <w:rPr>
          <w:rFonts w:ascii="Verdana" w:eastAsia="Calibri" w:hAnsi="Verdana" w:cs="Times New Roman"/>
          <w:u w:val="single"/>
        </w:rPr>
      </w:pPr>
    </w:p>
    <w:p w14:paraId="3E738019" w14:textId="7BE27BDD" w:rsidR="00EE64FB" w:rsidRDefault="00342AAB" w:rsidP="00EE64FB">
      <w:pPr>
        <w:spacing w:after="0" w:line="254" w:lineRule="auto"/>
        <w:jc w:val="both"/>
        <w:rPr>
          <w:rFonts w:ascii="Verdana" w:eastAsia="Calibri" w:hAnsi="Verdana" w:cs="Times New Roman"/>
          <w:lang w:val="es-ES_tradnl"/>
        </w:rPr>
      </w:pPr>
      <w:r w:rsidRPr="00B06915">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97CD0B7" w14:textId="34FD6DEC" w:rsidR="00192C1D" w:rsidRDefault="00192C1D" w:rsidP="00EE64FB">
      <w:pPr>
        <w:spacing w:after="0" w:line="254" w:lineRule="auto"/>
        <w:jc w:val="both"/>
        <w:rPr>
          <w:rFonts w:ascii="Verdana" w:eastAsia="Calibri" w:hAnsi="Verdana" w:cs="Times New Roman"/>
          <w:lang w:val="es-ES_tradnl"/>
        </w:rPr>
      </w:pPr>
    </w:p>
    <w:p w14:paraId="03F8BBC9" w14:textId="1EB412F6" w:rsidR="00192C1D" w:rsidRDefault="00342AAB" w:rsidP="00EE64FB">
      <w:pPr>
        <w:spacing w:after="0" w:line="254" w:lineRule="auto"/>
        <w:jc w:val="both"/>
        <w:rPr>
          <w:rFonts w:ascii="Verdana" w:eastAsia="Calibri" w:hAnsi="Verdana" w:cs="Times New Roman"/>
        </w:rPr>
      </w:pPr>
      <w:r w:rsidRPr="00B06915">
        <w:rPr>
          <w:rFonts w:ascii="Verdana" w:eastAsia="Calibri" w:hAnsi="Verdana" w:cs="Times New Roman"/>
        </w:rPr>
        <w:t>Atentament</w:t>
      </w:r>
      <w:r w:rsidR="00BF45F7">
        <w:rPr>
          <w:rFonts w:ascii="Verdana" w:eastAsia="Calibri" w:hAnsi="Verdana" w:cs="Times New Roman"/>
        </w:rPr>
        <w:t>e</w:t>
      </w:r>
      <w:r w:rsidR="00192C1D">
        <w:rPr>
          <w:rFonts w:ascii="Verdana" w:eastAsia="Calibri" w:hAnsi="Verdana" w:cs="Times New Roman"/>
        </w:rPr>
        <w:t>,</w:t>
      </w:r>
    </w:p>
    <w:p w14:paraId="603CBA68" w14:textId="6EBB032C" w:rsidR="00192C1D" w:rsidRPr="00192C1D" w:rsidRDefault="00111C99" w:rsidP="00EE64FB">
      <w:pPr>
        <w:spacing w:after="0" w:line="254" w:lineRule="auto"/>
        <w:jc w:val="both"/>
        <w:rPr>
          <w:rFonts w:ascii="Verdana" w:eastAsia="Calibri" w:hAnsi="Verdana" w:cs="Times New Roman"/>
        </w:rPr>
      </w:pPr>
      <w:r>
        <w:rPr>
          <w:rFonts w:ascii="Verdana" w:hAnsi="Verdana" w:cs="Arial"/>
          <w:noProof/>
          <w:lang w:val="es-ES_tradnl" w:eastAsia="es-CO"/>
        </w:rPr>
        <w:drawing>
          <wp:anchor distT="0" distB="0" distL="114300" distR="114300" simplePos="0" relativeHeight="251661312" behindDoc="1" locked="0" layoutInCell="1" allowOverlap="1" wp14:anchorId="09D4C667" wp14:editId="5BDB1CD4">
            <wp:simplePos x="0" y="0"/>
            <wp:positionH relativeFrom="column">
              <wp:posOffset>1072611</wp:posOffset>
            </wp:positionH>
            <wp:positionV relativeFrom="paragraph">
              <wp:posOffset>0</wp:posOffset>
            </wp:positionV>
            <wp:extent cx="3638550" cy="1163955"/>
            <wp:effectExtent l="0" t="0" r="0" b="0"/>
            <wp:wrapTight wrapText="bothSides">
              <wp:wrapPolygon edited="0">
                <wp:start x="0" y="0"/>
                <wp:lineTo x="0" y="21211"/>
                <wp:lineTo x="21487" y="21211"/>
                <wp:lineTo x="21487" y="0"/>
                <wp:lineTo x="0" y="0"/>
              </wp:wrapPolygon>
            </wp:wrapTight>
            <wp:docPr id="88906571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065718" name="Imagen 1" descr="Texto&#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3638550" cy="1163955"/>
                    </a:xfrm>
                    <a:prstGeom prst="rect">
                      <a:avLst/>
                    </a:prstGeom>
                  </pic:spPr>
                </pic:pic>
              </a:graphicData>
            </a:graphic>
            <wp14:sizeRelV relativeFrom="margin">
              <wp14:pctHeight>0</wp14:pctHeight>
            </wp14:sizeRelV>
          </wp:anchor>
        </w:drawing>
      </w:r>
    </w:p>
    <w:p w14:paraId="75C220FB" w14:textId="067D6709" w:rsidR="00342AAB" w:rsidRDefault="00342AAB" w:rsidP="00342AAB">
      <w:pPr>
        <w:spacing w:after="0" w:line="240" w:lineRule="auto"/>
        <w:textAlignment w:val="baseline"/>
        <w:rPr>
          <w:rFonts w:ascii="Verdana" w:eastAsia="Times New Roman" w:hAnsi="Verdana" w:cs="Segoe UI"/>
          <w:lang w:val="es-MX" w:eastAsia="es-CO"/>
        </w:rPr>
      </w:pPr>
    </w:p>
    <w:p w14:paraId="400A43C2" w14:textId="7D16CCC8" w:rsidR="00BF45F7" w:rsidRDefault="00BF45F7" w:rsidP="00342AAB">
      <w:pPr>
        <w:spacing w:after="0" w:line="240" w:lineRule="auto"/>
        <w:textAlignment w:val="baseline"/>
        <w:rPr>
          <w:rFonts w:ascii="Verdana" w:eastAsia="Times New Roman" w:hAnsi="Verdana" w:cs="Segoe UI"/>
          <w:lang w:val="es-MX" w:eastAsia="es-CO"/>
        </w:rPr>
      </w:pPr>
    </w:p>
    <w:p w14:paraId="0BCFE15E" w14:textId="77777777" w:rsidR="00BF45F7" w:rsidRDefault="00BF45F7" w:rsidP="00342AAB">
      <w:pPr>
        <w:spacing w:after="0" w:line="240" w:lineRule="auto"/>
        <w:textAlignment w:val="baseline"/>
        <w:rPr>
          <w:rFonts w:ascii="Verdana" w:eastAsia="Times New Roman" w:hAnsi="Verdana" w:cs="Segoe UI"/>
          <w:lang w:val="es-MX" w:eastAsia="es-CO"/>
        </w:rPr>
      </w:pPr>
    </w:p>
    <w:p w14:paraId="0C74D504" w14:textId="77777777" w:rsidR="00BF45F7" w:rsidRDefault="00BF45F7" w:rsidP="00342AAB">
      <w:pPr>
        <w:spacing w:after="0" w:line="240" w:lineRule="auto"/>
        <w:textAlignment w:val="baseline"/>
        <w:rPr>
          <w:rFonts w:ascii="Verdana" w:eastAsia="Times New Roman" w:hAnsi="Verdana" w:cs="Segoe UI"/>
          <w:lang w:val="es-MX" w:eastAsia="es-CO"/>
        </w:rPr>
      </w:pPr>
    </w:p>
    <w:p w14:paraId="5C5D743A" w14:textId="77777777" w:rsidR="00BF45F7" w:rsidRDefault="00BF45F7" w:rsidP="00342AAB">
      <w:pPr>
        <w:spacing w:after="0" w:line="240" w:lineRule="auto"/>
        <w:textAlignment w:val="baseline"/>
        <w:rPr>
          <w:rFonts w:ascii="Verdana" w:eastAsia="Times New Roman" w:hAnsi="Verdana" w:cs="Segoe UI"/>
          <w:lang w:val="es-MX" w:eastAsia="es-CO"/>
        </w:rPr>
      </w:pPr>
    </w:p>
    <w:p w14:paraId="281A975F" w14:textId="77777777" w:rsidR="00EE64FB" w:rsidRDefault="00EE64FB" w:rsidP="00342AAB">
      <w:pPr>
        <w:spacing w:after="0" w:line="240" w:lineRule="auto"/>
        <w:textAlignment w:val="baseline"/>
        <w:rPr>
          <w:rFonts w:ascii="Verdana" w:eastAsia="Times New Roman" w:hAnsi="Verdana" w:cs="Segoe UI"/>
          <w:lang w:val="es-MX" w:eastAsia="es-CO"/>
        </w:rPr>
      </w:pPr>
    </w:p>
    <w:p w14:paraId="70FF16D6" w14:textId="77777777" w:rsidR="00192C1D" w:rsidRDefault="00192C1D" w:rsidP="00342AAB">
      <w:pPr>
        <w:spacing w:after="0" w:line="240" w:lineRule="auto"/>
        <w:textAlignment w:val="baseline"/>
        <w:rPr>
          <w:rFonts w:ascii="Verdana" w:eastAsia="Times New Roman" w:hAnsi="Verdana" w:cs="Segoe UI"/>
          <w:lang w:val="es-MX" w:eastAsia="es-CO"/>
        </w:rPr>
      </w:pPr>
    </w:p>
    <w:p w14:paraId="1E944025" w14:textId="77777777" w:rsidR="00192C1D" w:rsidRDefault="00192C1D" w:rsidP="00342AAB">
      <w:pPr>
        <w:spacing w:after="0" w:line="240" w:lineRule="auto"/>
        <w:textAlignment w:val="baseline"/>
        <w:rPr>
          <w:rFonts w:ascii="Verdana" w:eastAsia="Times New Roman" w:hAnsi="Verdana" w:cs="Segoe UI"/>
          <w:lang w:val="es-MX" w:eastAsia="es-CO"/>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342AAB" w:rsidRPr="004C0111" w14:paraId="605E8117" w14:textId="77777777" w:rsidTr="002A11F4">
        <w:trPr>
          <w:trHeight w:val="622"/>
        </w:trPr>
        <w:tc>
          <w:tcPr>
            <w:tcW w:w="893" w:type="dxa"/>
            <w:vAlign w:val="center"/>
            <w:hideMark/>
          </w:tcPr>
          <w:p w14:paraId="33783405" w14:textId="77777777" w:rsidR="00342AAB" w:rsidRPr="004C0111" w:rsidRDefault="00342AAB" w:rsidP="002A11F4">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342AAB" w:rsidRPr="004C0111" w14:paraId="445E70F8" w14:textId="77777777" w:rsidTr="002A11F4">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257080F4" w14:textId="77777777" w:rsidR="00342AAB" w:rsidRPr="004C0111" w:rsidRDefault="00342AAB" w:rsidP="002A11F4">
                  <w:pPr>
                    <w:spacing w:after="0"/>
                    <w:rPr>
                      <w:rFonts w:ascii="Verdana" w:eastAsia="Times New Roman" w:hAnsi="Verdana" w:cs="Arial"/>
                      <w:sz w:val="16"/>
                      <w:szCs w:val="16"/>
                      <w:lang w:val="es-ES" w:eastAsia="es-ES"/>
                    </w:rPr>
                  </w:pPr>
                  <w:r w:rsidRPr="5A972982">
                    <w:rPr>
                      <w:rFonts w:ascii="Verdana" w:eastAsia="Times New Roman" w:hAnsi="Verdana" w:cs="Arial"/>
                      <w:sz w:val="16"/>
                      <w:szCs w:val="16"/>
                      <w:lang w:val="es-ES" w:eastAsia="es-ES"/>
                    </w:rPr>
                    <w:t>Kelmis</w:t>
                  </w:r>
                  <w:r>
                    <w:rPr>
                      <w:rFonts w:ascii="Verdana" w:eastAsia="Times New Roman" w:hAnsi="Verdana" w:cs="Arial"/>
                      <w:sz w:val="16"/>
                      <w:szCs w:val="16"/>
                      <w:lang w:val="es-ES" w:eastAsia="es-ES"/>
                    </w:rPr>
                    <w:t xml:space="preserve"> </w:t>
                  </w:r>
                  <w:r w:rsidRPr="5A972982">
                    <w:rPr>
                      <w:rFonts w:ascii="Verdana" w:eastAsia="Times New Roman" w:hAnsi="Verdana" w:cs="Arial"/>
                      <w:sz w:val="16"/>
                      <w:szCs w:val="16"/>
                      <w:lang w:val="es-ES" w:eastAsia="es-ES"/>
                    </w:rPr>
                    <w:t>Yirama Brugés Alvarado</w:t>
                  </w:r>
                </w:p>
                <w:p w14:paraId="680FE203" w14:textId="77777777" w:rsidR="00342AAB" w:rsidRPr="004C0111" w:rsidRDefault="00342AAB" w:rsidP="002A11F4">
                  <w:pPr>
                    <w:spacing w:after="0"/>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7620B8CD" w14:textId="77777777" w:rsidR="00342AAB" w:rsidRPr="004C0111" w:rsidRDefault="00342AAB" w:rsidP="002A11F4">
            <w:pPr>
              <w:spacing w:line="276" w:lineRule="auto"/>
              <w:contextualSpacing/>
              <w:rPr>
                <w:rFonts w:ascii="Verdana" w:eastAsia="Calibri" w:hAnsi="Verdana" w:cs="Arial"/>
                <w:sz w:val="16"/>
                <w:szCs w:val="16"/>
                <w:lang w:val="es-MX"/>
              </w:rPr>
            </w:pPr>
          </w:p>
        </w:tc>
      </w:tr>
      <w:tr w:rsidR="00342AAB" w:rsidRPr="004C0111" w14:paraId="1E7B5A64" w14:textId="77777777" w:rsidTr="002A11F4">
        <w:trPr>
          <w:trHeight w:val="330"/>
        </w:trPr>
        <w:tc>
          <w:tcPr>
            <w:tcW w:w="893" w:type="dxa"/>
            <w:vAlign w:val="center"/>
            <w:hideMark/>
          </w:tcPr>
          <w:p w14:paraId="248B297F" w14:textId="77777777" w:rsidR="00342AAB" w:rsidRPr="004C0111" w:rsidRDefault="00342AAB" w:rsidP="002A11F4">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09C3B452" w14:textId="39B0BA05" w:rsidR="00342AAB" w:rsidRPr="004C0111" w:rsidRDefault="00BF45F7" w:rsidP="002A11F4">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 xml:space="preserve">Adriana López Rodríguez </w:t>
            </w:r>
          </w:p>
          <w:p w14:paraId="33E976B2" w14:textId="77777777" w:rsidR="00342AAB" w:rsidRPr="004C0111" w:rsidRDefault="00342AAB" w:rsidP="002A11F4">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342AAB" w:rsidRPr="004C0111" w14:paraId="12556FF2" w14:textId="77777777" w:rsidTr="002A11F4">
        <w:trPr>
          <w:trHeight w:val="77"/>
        </w:trPr>
        <w:tc>
          <w:tcPr>
            <w:tcW w:w="893" w:type="dxa"/>
            <w:vAlign w:val="center"/>
          </w:tcPr>
          <w:p w14:paraId="7D476BFE" w14:textId="77777777" w:rsidR="00342AAB" w:rsidRPr="004C0111" w:rsidRDefault="00342AAB" w:rsidP="002A11F4">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3806DBEC" w14:textId="77777777" w:rsidR="00342AAB" w:rsidRPr="002F2853" w:rsidRDefault="00342AAB" w:rsidP="002A11F4">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7A2FAEE5" w14:textId="77777777" w:rsidR="00342AAB" w:rsidRPr="004C0111" w:rsidRDefault="00342AAB" w:rsidP="002A11F4">
            <w:pPr>
              <w:spacing w:line="276" w:lineRule="auto"/>
              <w:contextualSpacing/>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51CFA5DD"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04FAF052" w:rsidR="00127233" w:rsidRPr="0015699B" w:rsidRDefault="00127233" w:rsidP="008C6AA6">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AEE3A2" w14:textId="77777777" w:rsidR="006A2A87" w:rsidRDefault="006A2A87" w:rsidP="004A1847">
      <w:pPr>
        <w:spacing w:after="0" w:line="240" w:lineRule="auto"/>
      </w:pPr>
      <w:r>
        <w:separator/>
      </w:r>
    </w:p>
  </w:endnote>
  <w:endnote w:type="continuationSeparator" w:id="0">
    <w:p w14:paraId="74D07215" w14:textId="77777777" w:rsidR="006A2A87" w:rsidRDefault="006A2A8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29AA32" w14:textId="77777777" w:rsidR="006A2A87" w:rsidRDefault="006A2A87" w:rsidP="004A1847">
      <w:pPr>
        <w:spacing w:after="0" w:line="240" w:lineRule="auto"/>
      </w:pPr>
      <w:r>
        <w:separator/>
      </w:r>
    </w:p>
  </w:footnote>
  <w:footnote w:type="continuationSeparator" w:id="0">
    <w:p w14:paraId="2962D6E6" w14:textId="77777777" w:rsidR="006A2A87" w:rsidRDefault="006A2A87" w:rsidP="004A1847">
      <w:pPr>
        <w:spacing w:after="0" w:line="240" w:lineRule="auto"/>
      </w:pPr>
      <w:r>
        <w:continuationSeparator/>
      </w:r>
    </w:p>
  </w:footnote>
  <w:footnote w:id="1">
    <w:p w14:paraId="38625C4D" w14:textId="77777777" w:rsidR="009B1CE9" w:rsidRPr="009B1CE9" w:rsidRDefault="008E4331" w:rsidP="009B1CE9">
      <w:pPr>
        <w:pStyle w:val="Textonotapie"/>
        <w:ind w:firstLine="709"/>
        <w:jc w:val="both"/>
        <w:rPr>
          <w:rFonts w:ascii="Verdana" w:hAnsi="Verdana" w:cs="Arial"/>
          <w:color w:val="000000" w:themeColor="text1"/>
          <w:sz w:val="16"/>
          <w:szCs w:val="16"/>
        </w:rPr>
      </w:pPr>
      <w:r w:rsidRPr="009B1CE9">
        <w:rPr>
          <w:rStyle w:val="Refdenotaalpie"/>
          <w:rFonts w:ascii="Verdana" w:hAnsi="Verdana"/>
          <w:sz w:val="16"/>
          <w:szCs w:val="16"/>
        </w:rPr>
        <w:footnoteRef/>
      </w:r>
      <w:r w:rsidRPr="009B1CE9">
        <w:rPr>
          <w:rFonts w:ascii="Verdana" w:hAnsi="Verdana"/>
          <w:sz w:val="16"/>
          <w:szCs w:val="16"/>
        </w:rPr>
        <w:t xml:space="preserve"> </w:t>
      </w:r>
      <w:r w:rsidR="009B1CE9" w:rsidRPr="009B1CE9">
        <w:rPr>
          <w:rFonts w:ascii="Verdana" w:hAnsi="Verdana" w:cs="Arial"/>
          <w:color w:val="000000" w:themeColor="text1"/>
          <w:sz w:val="16"/>
          <w:szCs w:val="16"/>
        </w:rPr>
        <w:t>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307BCDDD" w14:textId="77777777" w:rsidR="009B1CE9" w:rsidRPr="009B1CE9" w:rsidRDefault="009B1CE9" w:rsidP="009B1CE9">
      <w:pPr>
        <w:pStyle w:val="Textonotapie"/>
        <w:ind w:firstLine="709"/>
        <w:jc w:val="both"/>
        <w:rPr>
          <w:rFonts w:ascii="Verdana" w:hAnsi="Verdana" w:cs="Arial"/>
          <w:color w:val="000000" w:themeColor="text1"/>
          <w:sz w:val="16"/>
          <w:szCs w:val="16"/>
        </w:rPr>
      </w:pPr>
      <w:r w:rsidRPr="009B1CE9">
        <w:rPr>
          <w:rFonts w:ascii="Verdana" w:hAnsi="Verdana" w:cs="Arial"/>
          <w:color w:val="000000" w:themeColor="text1"/>
          <w:sz w:val="16"/>
          <w:szCs w:val="16"/>
        </w:rPr>
        <w:t>Lo anterior, sin perjuicio de las publicaciones previstas en el numeral 3 del artículo 30 de la Ley 80 de 1993.</w:t>
      </w:r>
    </w:p>
    <w:p w14:paraId="18957399" w14:textId="77777777" w:rsidR="009B1CE9" w:rsidRPr="009B1CE9" w:rsidRDefault="009B1CE9" w:rsidP="009B1CE9">
      <w:pPr>
        <w:pStyle w:val="Textonotapie"/>
        <w:ind w:firstLine="709"/>
        <w:jc w:val="both"/>
        <w:rPr>
          <w:rFonts w:ascii="Verdana" w:hAnsi="Verdana" w:cs="Arial"/>
          <w:color w:val="000000" w:themeColor="text1"/>
          <w:sz w:val="16"/>
          <w:szCs w:val="16"/>
        </w:rPr>
      </w:pPr>
      <w:r w:rsidRPr="009B1CE9">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38808608" w14:textId="77777777" w:rsidR="009B1CE9" w:rsidRPr="009B1CE9" w:rsidRDefault="009B1CE9" w:rsidP="009B1CE9">
      <w:pPr>
        <w:pStyle w:val="Textonotapie"/>
        <w:ind w:firstLine="709"/>
        <w:jc w:val="both"/>
        <w:rPr>
          <w:rFonts w:ascii="Verdana" w:hAnsi="Verdana" w:cs="Arial"/>
          <w:color w:val="000000" w:themeColor="text1"/>
          <w:sz w:val="16"/>
          <w:szCs w:val="16"/>
        </w:rPr>
      </w:pPr>
      <w:r w:rsidRPr="009B1CE9">
        <w:rPr>
          <w:rFonts w:ascii="Verdana" w:hAnsi="Verdana" w:cs="Arial"/>
          <w:color w:val="000000" w:themeColor="text1"/>
          <w:sz w:val="16"/>
          <w:szCs w:val="16"/>
        </w:rPr>
        <w:t>[…]</w:t>
      </w:r>
    </w:p>
    <w:p w14:paraId="35A2A564" w14:textId="77777777" w:rsidR="009B1CE9" w:rsidRPr="009B1CE9" w:rsidRDefault="009B1CE9" w:rsidP="009B1CE9">
      <w:pPr>
        <w:pStyle w:val="Textonotapie"/>
        <w:ind w:firstLine="709"/>
        <w:jc w:val="both"/>
        <w:rPr>
          <w:rFonts w:ascii="Verdana" w:hAnsi="Verdana" w:cs="Arial"/>
          <w:color w:val="000000" w:themeColor="text1"/>
          <w:sz w:val="16"/>
          <w:szCs w:val="16"/>
        </w:rPr>
      </w:pPr>
      <w:r w:rsidRPr="009B1CE9">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5DD6DB48" w14:textId="3BAFC7EB" w:rsidR="008E4331" w:rsidRPr="009B1CE9" w:rsidRDefault="008E4331">
      <w:pPr>
        <w:pStyle w:val="Textonotapie"/>
        <w:rPr>
          <w:rFonts w:ascii="Verdana" w:hAnsi="Verdana"/>
          <w:sz w:val="16"/>
          <w:szCs w:val="16"/>
        </w:rPr>
      </w:pPr>
    </w:p>
  </w:footnote>
  <w:footnote w:id="2">
    <w:p w14:paraId="0ACACA94" w14:textId="77777777" w:rsidR="0039679F" w:rsidRPr="000A3117" w:rsidRDefault="00E0068F" w:rsidP="0039679F">
      <w:pPr>
        <w:pStyle w:val="Textonotapie"/>
        <w:ind w:firstLine="709"/>
        <w:jc w:val="both"/>
        <w:rPr>
          <w:rFonts w:ascii="Verdana" w:hAnsi="Verdana" w:cs="Arial"/>
          <w:color w:val="000000" w:themeColor="text1"/>
          <w:sz w:val="16"/>
          <w:szCs w:val="16"/>
        </w:rPr>
      </w:pPr>
      <w:r w:rsidRPr="0039679F">
        <w:rPr>
          <w:rStyle w:val="Refdenotaalpie"/>
          <w:rFonts w:ascii="Verdana" w:hAnsi="Verdana"/>
          <w:sz w:val="16"/>
          <w:szCs w:val="16"/>
        </w:rPr>
        <w:footnoteRef/>
      </w:r>
      <w:r w:rsidRPr="0039679F">
        <w:rPr>
          <w:rFonts w:ascii="Verdana" w:hAnsi="Verdana"/>
          <w:sz w:val="16"/>
          <w:szCs w:val="16"/>
        </w:rPr>
        <w:t xml:space="preserve"> </w:t>
      </w:r>
      <w:r w:rsidR="0039679F" w:rsidRPr="000A3117">
        <w:rPr>
          <w:rFonts w:ascii="Verdana" w:hAnsi="Verdana" w:cs="Arial"/>
          <w:color w:val="000000" w:themeColor="text1"/>
          <w:sz w:val="16"/>
          <w:szCs w:val="16"/>
        </w:rPr>
        <w:t>Ley 1712 de 2014: “Artículo 2. Toda información en posesión, bajo control o custodia de un sujeto obligado es pública y no podrá ser reservada o limitada sino por disposición constitucional o legal, de conformidad con la presente ley”.</w:t>
      </w:r>
    </w:p>
    <w:p w14:paraId="38E6CC85" w14:textId="20CA37C8" w:rsidR="00E0068F" w:rsidRPr="0039679F" w:rsidRDefault="00E0068F">
      <w:pPr>
        <w:pStyle w:val="Textonotapie"/>
      </w:pPr>
    </w:p>
  </w:footnote>
  <w:footnote w:id="3">
    <w:p w14:paraId="4F5194E3" w14:textId="52B473DA" w:rsidR="00731BA7" w:rsidRDefault="00731BA7" w:rsidP="00D00089">
      <w:pPr>
        <w:pStyle w:val="Textonotapie"/>
        <w:ind w:firstLine="709"/>
        <w:rPr>
          <w:rFonts w:ascii="Verdana" w:hAnsi="Verdana" w:cs="Arial"/>
          <w:color w:val="000000" w:themeColor="text1"/>
          <w:sz w:val="16"/>
          <w:szCs w:val="16"/>
        </w:rPr>
      </w:pPr>
      <w:r w:rsidRPr="00970109">
        <w:rPr>
          <w:rStyle w:val="Refdenotaalpie"/>
          <w:rFonts w:ascii="Verdana" w:hAnsi="Verdana"/>
          <w:sz w:val="16"/>
          <w:szCs w:val="16"/>
        </w:rPr>
        <w:footnoteRef/>
      </w:r>
      <w:r w:rsidRPr="00970109">
        <w:rPr>
          <w:rFonts w:ascii="Verdana" w:hAnsi="Verdana"/>
          <w:sz w:val="16"/>
          <w:szCs w:val="16"/>
        </w:rPr>
        <w:t xml:space="preserve"> </w:t>
      </w:r>
      <w:r w:rsidR="00970109" w:rsidRPr="00970109">
        <w:rPr>
          <w:rFonts w:ascii="Verdana" w:hAnsi="Verdana" w:cs="Arial"/>
          <w:color w:val="000000" w:themeColor="text1"/>
          <w:sz w:val="16"/>
          <w:szCs w:val="16"/>
        </w:rPr>
        <w:t>Ley 1712 de 2014: “Artículo 5. Ámbito de aplicación. Las disposiciones de esta ley serán aplicables a las siguientes personas en calidad de sujetos obligados:</w:t>
      </w:r>
    </w:p>
    <w:p w14:paraId="763AF9B8" w14:textId="77777777" w:rsidR="00D00089" w:rsidRPr="000A3117" w:rsidRDefault="00D00089" w:rsidP="00D00089">
      <w:pPr>
        <w:pStyle w:val="Textonotapie"/>
        <w:ind w:firstLine="709"/>
        <w:jc w:val="both"/>
        <w:rPr>
          <w:rFonts w:ascii="Verdana" w:hAnsi="Verdana" w:cs="Arial"/>
          <w:color w:val="000000" w:themeColor="text1"/>
          <w:sz w:val="16"/>
          <w:szCs w:val="16"/>
        </w:rPr>
      </w:pPr>
      <w:r w:rsidRPr="000A3117">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035F332D" w14:textId="77777777" w:rsidR="00D00089" w:rsidRPr="00D00089" w:rsidRDefault="00D00089">
      <w:pPr>
        <w:pStyle w:val="Textonotapie"/>
        <w:rPr>
          <w:rFonts w:ascii="Verdana" w:hAnsi="Verdana"/>
          <w:sz w:val="16"/>
          <w:szCs w:val="16"/>
        </w:rPr>
      </w:pPr>
    </w:p>
  </w:footnote>
  <w:footnote w:id="4">
    <w:p w14:paraId="6C6C7F44" w14:textId="77777777" w:rsidR="00312BB7" w:rsidRPr="000A3117" w:rsidRDefault="00CE257E" w:rsidP="00312BB7">
      <w:pPr>
        <w:pStyle w:val="Textonotapie"/>
        <w:ind w:firstLine="709"/>
        <w:jc w:val="both"/>
        <w:rPr>
          <w:rFonts w:ascii="Verdana" w:hAnsi="Verdana" w:cs="Arial"/>
          <w:color w:val="000000"/>
          <w:sz w:val="16"/>
          <w:szCs w:val="16"/>
        </w:rPr>
      </w:pPr>
      <w:r>
        <w:rPr>
          <w:rStyle w:val="Refdenotaalpie"/>
        </w:rPr>
        <w:footnoteRef/>
      </w:r>
      <w:r>
        <w:t xml:space="preserve"> </w:t>
      </w:r>
      <w:r w:rsidR="00312BB7" w:rsidRPr="000A3117">
        <w:rPr>
          <w:rFonts w:ascii="Verdana" w:eastAsia="Times New Roman" w:hAnsi="Verdana" w:cs="Arial"/>
          <w:color w:val="000000"/>
          <w:sz w:val="16"/>
          <w:szCs w:val="16"/>
          <w:lang w:val="es-ES" w:eastAsia="es-ES"/>
        </w:rPr>
        <w:t>“</w:t>
      </w:r>
      <w:r w:rsidR="00312BB7" w:rsidRPr="000A3117">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195B3A6F" w14:textId="77777777" w:rsidR="00312BB7" w:rsidRPr="000A3117" w:rsidRDefault="00312BB7" w:rsidP="00312BB7">
      <w:pPr>
        <w:pStyle w:val="Textonotapie"/>
        <w:ind w:firstLine="709"/>
        <w:jc w:val="both"/>
        <w:rPr>
          <w:rFonts w:ascii="Verdana" w:eastAsia="Times New Roman" w:hAnsi="Verdana" w:cs="Arial"/>
          <w:color w:val="000000"/>
          <w:sz w:val="16"/>
          <w:szCs w:val="16"/>
          <w:lang w:val="es-ES" w:eastAsia="es-ES"/>
        </w:rPr>
      </w:pPr>
      <w:r w:rsidRPr="000A3117">
        <w:rPr>
          <w:rFonts w:ascii="Verdana" w:hAnsi="Verdana" w:cs="Arial"/>
          <w:color w:val="000000"/>
          <w:sz w:val="16"/>
          <w:szCs w:val="16"/>
        </w:rPr>
        <w:t>[…].</w:t>
      </w:r>
    </w:p>
    <w:p w14:paraId="5BDD68FF" w14:textId="4F6ADA46" w:rsidR="00312BB7" w:rsidRPr="000A3117" w:rsidRDefault="00312BB7" w:rsidP="00312BB7">
      <w:pPr>
        <w:pStyle w:val="Textonotapie"/>
        <w:ind w:firstLine="709"/>
        <w:jc w:val="both"/>
        <w:rPr>
          <w:rFonts w:ascii="Verdana" w:eastAsia="Times New Roman" w:hAnsi="Verdana" w:cs="Arial"/>
          <w:color w:val="000000"/>
          <w:sz w:val="16"/>
          <w:szCs w:val="16"/>
          <w:lang w:val="es-ES" w:eastAsia="es-ES"/>
        </w:rPr>
      </w:pPr>
      <w:r w:rsidRPr="000A3117">
        <w:rPr>
          <w:rFonts w:ascii="Verdana" w:eastAsia="Times New Roman" w:hAnsi="Verdana" w:cs="Arial"/>
          <w:color w:val="000000"/>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113B45BB" w14:textId="5811F313" w:rsidR="00CE257E" w:rsidRPr="00312BB7" w:rsidRDefault="00CE257E">
      <w:pPr>
        <w:pStyle w:val="Textonotapie"/>
        <w:rPr>
          <w:lang w:val="es-ES"/>
        </w:rPr>
      </w:pPr>
    </w:p>
  </w:footnote>
  <w:footnote w:id="5">
    <w:p w14:paraId="1DEF9BAF" w14:textId="3A19FF2B" w:rsidR="00A242C0" w:rsidRPr="000A3117" w:rsidRDefault="001432E7" w:rsidP="00A242C0">
      <w:pPr>
        <w:pStyle w:val="Textonotapie"/>
        <w:ind w:firstLine="709"/>
        <w:jc w:val="both"/>
        <w:rPr>
          <w:rFonts w:ascii="Verdana" w:hAnsi="Verdana" w:cs="Arial"/>
          <w:color w:val="000000"/>
          <w:sz w:val="16"/>
          <w:szCs w:val="16"/>
        </w:rPr>
      </w:pPr>
      <w:r>
        <w:rPr>
          <w:rStyle w:val="Refdenotaalpie"/>
        </w:rPr>
        <w:footnoteRef/>
      </w:r>
      <w:r>
        <w:t xml:space="preserve"> </w:t>
      </w:r>
      <w:r w:rsidR="00A242C0">
        <w:rPr>
          <w:rFonts w:ascii="Verdana" w:hAnsi="Verdana" w:cs="Arial"/>
          <w:color w:val="000000"/>
          <w:sz w:val="16"/>
          <w:szCs w:val="16"/>
        </w:rPr>
        <w:t>Corte</w:t>
      </w:r>
      <w:r w:rsidR="00A242C0" w:rsidRPr="000A3117">
        <w:rPr>
          <w:rFonts w:ascii="Verdana" w:eastAsia="Times New Roman" w:hAnsi="Verdana" w:cs="Arial"/>
          <w:color w:val="000000"/>
          <w:sz w:val="16"/>
          <w:szCs w:val="16"/>
          <w:lang w:val="es-ES" w:eastAsia="es-ES"/>
        </w:rPr>
        <w:t xml:space="preserve"> Constitucional. Sentencia C‒274 de 9 de mayo de 2013. M.P. Mar</w:t>
      </w:r>
      <w:r w:rsidR="00A242C0" w:rsidRPr="000A3117">
        <w:rPr>
          <w:rFonts w:ascii="Verdana" w:eastAsia="Times New Roman" w:hAnsi="Verdana" w:cs="Century Gothic"/>
          <w:color w:val="000000"/>
          <w:sz w:val="16"/>
          <w:szCs w:val="16"/>
          <w:lang w:val="es-ES" w:eastAsia="es-ES"/>
        </w:rPr>
        <w:t>í</w:t>
      </w:r>
      <w:r w:rsidR="00A242C0" w:rsidRPr="000A3117">
        <w:rPr>
          <w:rFonts w:ascii="Verdana" w:eastAsia="Times New Roman" w:hAnsi="Verdana" w:cs="Arial"/>
          <w:color w:val="000000"/>
          <w:sz w:val="16"/>
          <w:szCs w:val="16"/>
          <w:lang w:val="es-ES" w:eastAsia="es-ES"/>
        </w:rPr>
        <w:t xml:space="preserve">a Victoria Calle Correa. </w:t>
      </w:r>
    </w:p>
    <w:p w14:paraId="0C3450A9" w14:textId="77777777" w:rsidR="00A242C0" w:rsidRPr="000A3117" w:rsidRDefault="00A242C0" w:rsidP="00A242C0">
      <w:pPr>
        <w:pStyle w:val="Textonotapie"/>
        <w:ind w:firstLine="709"/>
        <w:jc w:val="both"/>
        <w:rPr>
          <w:rFonts w:ascii="Verdana" w:hAnsi="Verdana" w:cs="Arial"/>
          <w:color w:val="000000"/>
          <w:sz w:val="16"/>
          <w:szCs w:val="16"/>
          <w:lang w:val="es-CO"/>
        </w:rPr>
      </w:pPr>
    </w:p>
    <w:p w14:paraId="5720CF8D" w14:textId="4E070CD4" w:rsidR="001432E7" w:rsidRPr="001432E7" w:rsidRDefault="001432E7">
      <w:pPr>
        <w:pStyle w:val="Textonotapie"/>
        <w:rPr>
          <w:lang w:val="es-CO"/>
        </w:rPr>
      </w:pPr>
    </w:p>
  </w:footnote>
  <w:footnote w:id="6">
    <w:p w14:paraId="1104AEB5" w14:textId="590B30A5" w:rsidR="0001693A" w:rsidRPr="00952BE7" w:rsidRDefault="0001693A" w:rsidP="00952BE7">
      <w:pPr>
        <w:pStyle w:val="Textonotapie"/>
        <w:ind w:firstLine="708"/>
        <w:rPr>
          <w:rFonts w:ascii="Verdana" w:hAnsi="Verdana"/>
          <w:sz w:val="16"/>
          <w:szCs w:val="16"/>
          <w:lang w:val="es-CO"/>
        </w:rPr>
      </w:pPr>
      <w:r w:rsidRPr="00952BE7">
        <w:rPr>
          <w:rStyle w:val="Refdenotaalpie"/>
          <w:rFonts w:ascii="Verdana" w:hAnsi="Verdana"/>
          <w:sz w:val="16"/>
          <w:szCs w:val="16"/>
        </w:rPr>
        <w:footnoteRef/>
      </w:r>
      <w:r w:rsidRPr="00952BE7">
        <w:rPr>
          <w:rFonts w:ascii="Verdana" w:hAnsi="Verdana"/>
          <w:sz w:val="16"/>
          <w:szCs w:val="16"/>
        </w:rPr>
        <w:t xml:space="preserve"> </w:t>
      </w:r>
      <w:r w:rsidR="00952BE7" w:rsidRPr="00952BE7">
        <w:rPr>
          <w:rFonts w:ascii="Verdana" w:hAnsi="Verdana" w:cs="Arial"/>
          <w:color w:val="000000"/>
          <w:sz w:val="16"/>
          <w:szCs w:val="16"/>
        </w:rPr>
        <w:t>Decreto 4170 de 2011: “Artículo 3. Funciones: La Agencia Nacional de Contratación Pública –Colombia Compra Eficiente– ejercerá las siguientes funciones: [...]</w:t>
      </w:r>
    </w:p>
  </w:footnote>
  <w:footnote w:id="7">
    <w:p w14:paraId="6052BB3E" w14:textId="77777777" w:rsidR="00CF1630" w:rsidRPr="000A3117" w:rsidRDefault="00CC35FC" w:rsidP="00CF1630">
      <w:pPr>
        <w:pStyle w:val="Textonotapie"/>
        <w:ind w:firstLine="708"/>
        <w:contextualSpacing/>
        <w:jc w:val="both"/>
        <w:rPr>
          <w:rFonts w:ascii="Verdana" w:hAnsi="Verdana" w:cs="Arial"/>
          <w:sz w:val="16"/>
          <w:szCs w:val="16"/>
        </w:rPr>
      </w:pPr>
      <w:r>
        <w:rPr>
          <w:rStyle w:val="Refdenotaalpie"/>
        </w:rPr>
        <w:footnoteRef/>
      </w:r>
      <w:r>
        <w:t xml:space="preserve"> </w:t>
      </w:r>
      <w:r w:rsidR="00CF1630" w:rsidRPr="000A3117">
        <w:rPr>
          <w:rFonts w:ascii="Verdana" w:hAnsi="Verdana" w:cs="Arial"/>
          <w:sz w:val="16"/>
          <w:szCs w:val="16"/>
        </w:rPr>
        <w:t xml:space="preserve">Ley 1437 de 2011: “Artículo 24. Informaciones y documentos reservados. Solo tendrán carácter reservado las informaciones y documentos expresamente sometidos a reserva por la Constitución Política o la ley, y en especial:  </w:t>
      </w:r>
    </w:p>
    <w:p w14:paraId="60E62B6A" w14:textId="77777777" w:rsidR="00CF1630" w:rsidRPr="000A3117" w:rsidRDefault="00CF1630" w:rsidP="00CF1630">
      <w:pPr>
        <w:pStyle w:val="Textonotapie"/>
        <w:ind w:firstLine="708"/>
        <w:contextualSpacing/>
        <w:jc w:val="both"/>
        <w:rPr>
          <w:rFonts w:ascii="Verdana" w:hAnsi="Verdana" w:cs="Arial"/>
          <w:sz w:val="16"/>
          <w:szCs w:val="16"/>
        </w:rPr>
      </w:pPr>
      <w:r w:rsidRPr="000A3117">
        <w:rPr>
          <w:rFonts w:ascii="Verdana" w:hAnsi="Verdana" w:cs="Arial"/>
          <w:sz w:val="16"/>
          <w:szCs w:val="16"/>
        </w:rPr>
        <w:t xml:space="preserve">1. Los relacionados con la defensa o seguridad nacionales.  </w:t>
      </w:r>
    </w:p>
    <w:p w14:paraId="791C5EF1" w14:textId="77777777" w:rsidR="00CF1630" w:rsidRPr="000A3117" w:rsidRDefault="00CF1630" w:rsidP="00CF1630">
      <w:pPr>
        <w:pStyle w:val="Textonotapie"/>
        <w:ind w:firstLine="708"/>
        <w:contextualSpacing/>
        <w:jc w:val="both"/>
        <w:rPr>
          <w:rFonts w:ascii="Verdana" w:hAnsi="Verdana" w:cs="Arial"/>
          <w:sz w:val="16"/>
          <w:szCs w:val="16"/>
        </w:rPr>
      </w:pPr>
      <w:r w:rsidRPr="000A3117">
        <w:rPr>
          <w:rFonts w:ascii="Verdana" w:hAnsi="Verdana" w:cs="Arial"/>
          <w:sz w:val="16"/>
          <w:szCs w:val="16"/>
        </w:rPr>
        <w:t xml:space="preserve">2. Las instrucciones en materia diplomática o sobre negociaciones reservadas.  </w:t>
      </w:r>
    </w:p>
    <w:p w14:paraId="507330CC" w14:textId="77777777" w:rsidR="00CF1630" w:rsidRPr="000A3117" w:rsidRDefault="00CF1630" w:rsidP="00CF1630">
      <w:pPr>
        <w:pStyle w:val="Textonotapie"/>
        <w:ind w:firstLine="708"/>
        <w:contextualSpacing/>
        <w:jc w:val="both"/>
        <w:rPr>
          <w:rFonts w:ascii="Verdana" w:hAnsi="Verdana" w:cs="Arial"/>
          <w:sz w:val="16"/>
          <w:szCs w:val="16"/>
        </w:rPr>
      </w:pPr>
      <w:r w:rsidRPr="000A3117">
        <w:rPr>
          <w:rFonts w:ascii="Verdana" w:hAnsi="Verdana" w:cs="Arial"/>
          <w:sz w:val="16"/>
          <w:szCs w:val="16"/>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6E23D5A7" w14:textId="77777777" w:rsidR="00CF1630" w:rsidRPr="000A3117" w:rsidRDefault="00CF1630" w:rsidP="00CF1630">
      <w:pPr>
        <w:pStyle w:val="Textonotapie"/>
        <w:ind w:firstLine="708"/>
        <w:contextualSpacing/>
        <w:jc w:val="both"/>
        <w:rPr>
          <w:rFonts w:ascii="Verdana" w:hAnsi="Verdana" w:cs="Arial"/>
          <w:sz w:val="16"/>
          <w:szCs w:val="16"/>
        </w:rPr>
      </w:pPr>
      <w:r w:rsidRPr="000A3117">
        <w:rPr>
          <w:rFonts w:ascii="Verdana" w:hAnsi="Verdana" w:cs="Arial"/>
          <w:sz w:val="16"/>
          <w:szCs w:val="16"/>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6FC855CF" w14:textId="77777777" w:rsidR="00CF1630" w:rsidRPr="000A3117" w:rsidRDefault="00CF1630" w:rsidP="00F61F11">
      <w:pPr>
        <w:pStyle w:val="Textonotapie"/>
        <w:ind w:firstLine="708"/>
        <w:contextualSpacing/>
        <w:jc w:val="both"/>
        <w:rPr>
          <w:rFonts w:ascii="Verdana" w:hAnsi="Verdana" w:cs="Arial"/>
          <w:sz w:val="16"/>
          <w:szCs w:val="16"/>
        </w:rPr>
      </w:pPr>
      <w:r w:rsidRPr="000A3117">
        <w:rPr>
          <w:rFonts w:ascii="Verdana" w:hAnsi="Verdana" w:cs="Arial"/>
          <w:sz w:val="16"/>
          <w:szCs w:val="16"/>
        </w:rPr>
        <w:t xml:space="preserve">5. Los datos referentes a la información financiera y comercial, en los términos de la Ley Estatutaria 1266 de 2008.  </w:t>
      </w:r>
    </w:p>
    <w:p w14:paraId="7390E700" w14:textId="77777777" w:rsidR="00CF1630" w:rsidRPr="000A3117" w:rsidRDefault="00CF1630" w:rsidP="00CF1630">
      <w:pPr>
        <w:pStyle w:val="Textonotapie"/>
        <w:ind w:firstLine="708"/>
        <w:contextualSpacing/>
        <w:jc w:val="both"/>
        <w:rPr>
          <w:rFonts w:ascii="Verdana" w:hAnsi="Verdana" w:cs="Arial"/>
          <w:sz w:val="16"/>
          <w:szCs w:val="16"/>
        </w:rPr>
      </w:pPr>
      <w:r w:rsidRPr="000A3117">
        <w:rPr>
          <w:rFonts w:ascii="Verdana" w:hAnsi="Verdana" w:cs="Arial"/>
          <w:sz w:val="16"/>
          <w:szCs w:val="16"/>
        </w:rPr>
        <w:t xml:space="preserve">6. Los protegidos por el secreto comercial o industrial, así como los planes estratégicos de las empresas públicas de servicios públicos.  </w:t>
      </w:r>
    </w:p>
    <w:p w14:paraId="18FACE22" w14:textId="77777777" w:rsidR="00CF1630" w:rsidRPr="000A3117" w:rsidRDefault="00CF1630" w:rsidP="00CF1630">
      <w:pPr>
        <w:pStyle w:val="Textonotapie"/>
        <w:ind w:firstLine="708"/>
        <w:contextualSpacing/>
        <w:jc w:val="both"/>
        <w:rPr>
          <w:rFonts w:ascii="Verdana" w:hAnsi="Verdana" w:cs="Arial"/>
          <w:sz w:val="16"/>
          <w:szCs w:val="16"/>
        </w:rPr>
      </w:pPr>
      <w:r w:rsidRPr="000A3117">
        <w:rPr>
          <w:rFonts w:ascii="Verdana" w:hAnsi="Verdana" w:cs="Arial"/>
          <w:sz w:val="16"/>
          <w:szCs w:val="16"/>
        </w:rPr>
        <w:t xml:space="preserve">7. Los amparados por el secreto profesional.  </w:t>
      </w:r>
    </w:p>
    <w:p w14:paraId="68C2ADD0" w14:textId="77777777" w:rsidR="00CF1630" w:rsidRPr="000A3117" w:rsidRDefault="00CF1630" w:rsidP="00CF1630">
      <w:pPr>
        <w:pStyle w:val="Textonotapie"/>
        <w:ind w:firstLine="708"/>
        <w:contextualSpacing/>
        <w:jc w:val="both"/>
        <w:rPr>
          <w:rFonts w:ascii="Verdana" w:hAnsi="Verdana" w:cs="Arial"/>
          <w:sz w:val="16"/>
          <w:szCs w:val="16"/>
        </w:rPr>
      </w:pPr>
      <w:r w:rsidRPr="000A3117">
        <w:rPr>
          <w:rFonts w:ascii="Verdana" w:hAnsi="Verdana" w:cs="Arial"/>
          <w:sz w:val="16"/>
          <w:szCs w:val="16"/>
        </w:rPr>
        <w:t xml:space="preserve">8. Los datos genéticos humanos.  </w:t>
      </w:r>
    </w:p>
    <w:p w14:paraId="11660058" w14:textId="0F92FF00" w:rsidR="00CC35FC" w:rsidRDefault="00CF1630" w:rsidP="00CF1630">
      <w:pPr>
        <w:pStyle w:val="Textonotapie"/>
        <w:rPr>
          <w:rFonts w:ascii="Verdana" w:hAnsi="Verdana" w:cs="Arial"/>
          <w:sz w:val="16"/>
          <w:szCs w:val="16"/>
        </w:rPr>
      </w:pPr>
      <w:r w:rsidRPr="000A3117">
        <w:rPr>
          <w:rFonts w:ascii="Verdana" w:hAnsi="Verdana" w:cs="Arial"/>
          <w:sz w:val="16"/>
          <w:szCs w:val="16"/>
        </w:rPr>
        <w:t xml:space="preserve">Parágrafo. Para efecto de la solicitud de información de carácter reservado, enunciada en los numerales 3, 5, 6 y 7 solo podrá ser solicitada por el titular de la información, por sus apoderados o por personas autorizadas con facultad expresa para acceder a esa información”.  </w:t>
      </w:r>
    </w:p>
    <w:p w14:paraId="3647F2CB" w14:textId="77777777" w:rsidR="00175D51" w:rsidRPr="00CC35FC" w:rsidRDefault="00175D51" w:rsidP="00CF1630">
      <w:pPr>
        <w:pStyle w:val="Textonotapie"/>
        <w:rPr>
          <w:lang w:val="es-CO"/>
        </w:rPr>
      </w:pPr>
    </w:p>
  </w:footnote>
  <w:footnote w:id="8">
    <w:p w14:paraId="42A5EB76" w14:textId="77777777" w:rsidR="00DA3AAD" w:rsidRPr="000A3117" w:rsidRDefault="00175D51" w:rsidP="00DA3AAD">
      <w:pPr>
        <w:pStyle w:val="Textonotapie"/>
        <w:ind w:firstLine="709"/>
        <w:contextualSpacing/>
        <w:jc w:val="both"/>
        <w:rPr>
          <w:rFonts w:ascii="Verdana" w:hAnsi="Verdana" w:cs="Arial"/>
          <w:color w:val="000000"/>
          <w:sz w:val="16"/>
          <w:szCs w:val="16"/>
        </w:rPr>
      </w:pPr>
      <w:r w:rsidRPr="00DA3AAD">
        <w:rPr>
          <w:rStyle w:val="Refdenotaalpie"/>
          <w:rFonts w:ascii="Verdana" w:hAnsi="Verdana"/>
          <w:sz w:val="16"/>
          <w:szCs w:val="16"/>
        </w:rPr>
        <w:footnoteRef/>
      </w:r>
      <w:r w:rsidRPr="00DA3AAD">
        <w:rPr>
          <w:rFonts w:ascii="Verdana" w:hAnsi="Verdana"/>
          <w:sz w:val="16"/>
          <w:szCs w:val="16"/>
        </w:rPr>
        <w:t xml:space="preserve"> </w:t>
      </w:r>
      <w:r w:rsidR="00DA3AAD" w:rsidRPr="00DA3AAD">
        <w:rPr>
          <w:rFonts w:ascii="Verdana" w:hAnsi="Verdana" w:cs="Arial"/>
          <w:color w:val="000000"/>
          <w:sz w:val="16"/>
          <w:szCs w:val="16"/>
        </w:rPr>
        <w:t xml:space="preserve"> “Numeral</w:t>
      </w:r>
      <w:r w:rsidR="00DA3AAD" w:rsidRPr="000A3117">
        <w:rPr>
          <w:rFonts w:ascii="Verdana" w:hAnsi="Verdana" w:cs="Arial"/>
          <w:color w:val="000000"/>
          <w:sz w:val="16"/>
          <w:szCs w:val="16"/>
        </w:rPr>
        <w:t xml:space="preserve"> 1.1 Las Entidades Estatales de acuerdo con la definición del Decreto Reglamentario 1082 de 2015.  </w:t>
      </w:r>
    </w:p>
    <w:p w14:paraId="7246DA11" w14:textId="77777777" w:rsidR="00DA3AAD" w:rsidRPr="000A3117" w:rsidRDefault="00DA3AAD" w:rsidP="00DA3AAD">
      <w:pPr>
        <w:pStyle w:val="Textonotapie"/>
        <w:ind w:firstLine="709"/>
        <w:contextualSpacing/>
        <w:jc w:val="both"/>
        <w:rPr>
          <w:rFonts w:ascii="Verdana" w:hAnsi="Verdana" w:cs="Arial"/>
          <w:color w:val="000000"/>
          <w:sz w:val="16"/>
          <w:szCs w:val="16"/>
        </w:rPr>
      </w:pPr>
      <w:r w:rsidRPr="000A3117">
        <w:rPr>
          <w:rFonts w:ascii="Verdana" w:hAnsi="Verdana" w:cs="Arial"/>
          <w:color w:val="000000"/>
          <w:sz w:val="16"/>
          <w:szCs w:val="16"/>
        </w:rPr>
        <w:t xml:space="preserve">A partir del 18 de julio de 2022, las Entidades Estatales que por disposición legal cuenten con un régimen contractual excepcional al del Estatuto General de Contratación de la Administración Pública, deberán publicar en el SECOP II, todos los documentos relacionados con su actividad contractual, de conformidad con lo señalado en el artículo 53 de la Ley 2195 de 2022. </w:t>
      </w:r>
    </w:p>
    <w:p w14:paraId="2328B3F7" w14:textId="77777777" w:rsidR="00DA3AAD" w:rsidRPr="000A3117" w:rsidRDefault="00DA3AAD" w:rsidP="00DA3AAD">
      <w:pPr>
        <w:pStyle w:val="Textonotapie"/>
        <w:ind w:firstLine="709"/>
        <w:contextualSpacing/>
        <w:jc w:val="both"/>
        <w:rPr>
          <w:rFonts w:ascii="Verdana" w:hAnsi="Verdana" w:cs="Arial"/>
          <w:color w:val="000000"/>
          <w:sz w:val="16"/>
          <w:szCs w:val="16"/>
        </w:rPr>
      </w:pPr>
      <w:r w:rsidRPr="000A3117">
        <w:rPr>
          <w:rFonts w:ascii="Verdana" w:hAnsi="Verdana" w:cs="Arial"/>
          <w:color w:val="000000"/>
          <w:sz w:val="16"/>
          <w:szCs w:val="16"/>
        </w:rPr>
        <w:t>Los particulares deberán publicar la información oficial de la contratación realizada con cargo a recursos públicos. Estos deberán realizar la publicación a través del módulo “Régimen Especial”.</w:t>
      </w:r>
    </w:p>
    <w:p w14:paraId="69008BE9" w14:textId="6B8CD2E2" w:rsidR="00175D51" w:rsidRPr="00DA3AAD" w:rsidRDefault="00175D51" w:rsidP="00175D51">
      <w:pPr>
        <w:pStyle w:val="Textonotapie"/>
        <w:ind w:firstLine="708"/>
      </w:pPr>
    </w:p>
  </w:footnote>
  <w:footnote w:id="9">
    <w:p w14:paraId="1B273E43" w14:textId="77777777" w:rsidR="00CA117C" w:rsidRPr="00CA117C" w:rsidRDefault="00CA117C" w:rsidP="00CA117C">
      <w:pPr>
        <w:pStyle w:val="Textonotapie"/>
        <w:ind w:firstLine="708"/>
        <w:jc w:val="both"/>
        <w:rPr>
          <w:rFonts w:ascii="Verdana" w:hAnsi="Verdana"/>
          <w:sz w:val="16"/>
          <w:szCs w:val="16"/>
          <w:lang w:val="es-CO"/>
        </w:rPr>
      </w:pPr>
      <w:r w:rsidRPr="00CA117C">
        <w:rPr>
          <w:rStyle w:val="Refdenotaalpie"/>
          <w:rFonts w:ascii="Verdana" w:hAnsi="Verdana"/>
          <w:sz w:val="16"/>
          <w:szCs w:val="16"/>
        </w:rPr>
        <w:footnoteRef/>
      </w:r>
      <w:r w:rsidRPr="00CA117C">
        <w:rPr>
          <w:rFonts w:ascii="Verdana" w:hAnsi="Verdana"/>
          <w:sz w:val="16"/>
          <w:szCs w:val="16"/>
        </w:rPr>
        <w:t xml:space="preserve"> </w:t>
      </w:r>
      <w:r w:rsidRPr="00CA117C">
        <w:rPr>
          <w:rFonts w:ascii="Verdana" w:hAnsi="Verdana"/>
          <w:sz w:val="16"/>
          <w:szCs w:val="16"/>
          <w:lang w:val="es-CO"/>
        </w:rPr>
        <w:t>Artículo 18. </w:t>
      </w:r>
      <w:r w:rsidRPr="00CA117C">
        <w:rPr>
          <w:rFonts w:ascii="Verdana" w:hAnsi="Verdana"/>
          <w:i/>
          <w:iCs/>
          <w:sz w:val="16"/>
          <w:szCs w:val="16"/>
          <w:lang w:val="es-CO"/>
        </w:rPr>
        <w:t>Información exceptuada por daño de derechos a personas naturales o jurídicas. </w:t>
      </w:r>
      <w:r w:rsidRPr="00CA117C">
        <w:rPr>
          <w:rFonts w:ascii="Verdana" w:hAnsi="Verdana"/>
          <w:sz w:val="16"/>
          <w:szCs w:val="16"/>
          <w:lang w:val="es-CO"/>
        </w:rPr>
        <w:t>Es toda aquella información pública clasificada, cuyo acceso podrá ser rechazado o denegado de manera motivada y por escrito, siempre que el acceso pudiere causar un daño a los siguientes derechos: </w:t>
      </w:r>
    </w:p>
    <w:p w14:paraId="4B8C4F6E" w14:textId="77777777" w:rsidR="00CA117C" w:rsidRPr="00CA117C" w:rsidRDefault="00CA117C" w:rsidP="00CA117C">
      <w:pPr>
        <w:pStyle w:val="Textonotapie"/>
        <w:ind w:firstLine="708"/>
        <w:jc w:val="both"/>
        <w:rPr>
          <w:rFonts w:ascii="Verdana" w:hAnsi="Verdana"/>
          <w:sz w:val="16"/>
          <w:szCs w:val="16"/>
          <w:lang w:val="es-CO"/>
        </w:rPr>
      </w:pPr>
      <w:r w:rsidRPr="00CA117C">
        <w:rPr>
          <w:rFonts w:ascii="Verdana" w:hAnsi="Verdana"/>
          <w:sz w:val="16"/>
          <w:szCs w:val="16"/>
          <w:lang w:val="es-CO"/>
        </w:rPr>
        <w:t>a) El derecho de toda persona a la intimidad, bajo las limitaciones propias que impone la condición de servidor público, en concordancia con lo estipulado por el artículo 24 de la Ley 1437 de 2011; </w:t>
      </w:r>
    </w:p>
    <w:p w14:paraId="60D0068D" w14:textId="77777777" w:rsidR="00CA117C" w:rsidRPr="00CA117C" w:rsidRDefault="00CA117C" w:rsidP="00CA117C">
      <w:pPr>
        <w:pStyle w:val="Textonotapie"/>
        <w:ind w:firstLine="708"/>
        <w:jc w:val="both"/>
        <w:rPr>
          <w:rFonts w:ascii="Verdana" w:hAnsi="Verdana"/>
          <w:sz w:val="16"/>
          <w:szCs w:val="16"/>
          <w:lang w:val="es-CO"/>
        </w:rPr>
      </w:pPr>
      <w:r w:rsidRPr="00CA117C">
        <w:rPr>
          <w:rFonts w:ascii="Verdana" w:hAnsi="Verdana"/>
          <w:sz w:val="16"/>
          <w:szCs w:val="16"/>
          <w:lang w:val="es-CO"/>
        </w:rPr>
        <w:t>b) El derecho de toda persona a la vida, la salud o la seguridad; </w:t>
      </w:r>
    </w:p>
    <w:p w14:paraId="27983607" w14:textId="77777777" w:rsidR="00CA117C" w:rsidRPr="00CA117C" w:rsidRDefault="00CA117C" w:rsidP="00CA117C">
      <w:pPr>
        <w:pStyle w:val="Textonotapie"/>
        <w:ind w:firstLine="708"/>
        <w:jc w:val="both"/>
        <w:rPr>
          <w:rFonts w:ascii="Verdana" w:hAnsi="Verdana"/>
          <w:sz w:val="16"/>
          <w:szCs w:val="16"/>
          <w:lang w:val="es-CO"/>
        </w:rPr>
      </w:pPr>
      <w:r w:rsidRPr="00CA117C">
        <w:rPr>
          <w:rFonts w:ascii="Verdana" w:hAnsi="Verdana"/>
          <w:sz w:val="16"/>
          <w:szCs w:val="16"/>
          <w:lang w:val="es-CO"/>
        </w:rPr>
        <w:t>c) Los secretos comerciales, industriales y profesionales, así como los estipulados en el parágrafo del artículo 77 de la Ley 1474 de 2011. </w:t>
      </w:r>
    </w:p>
    <w:p w14:paraId="155D661D" w14:textId="77777777" w:rsidR="00CA117C" w:rsidRPr="00CA117C" w:rsidRDefault="00CA117C" w:rsidP="00CA117C">
      <w:pPr>
        <w:pStyle w:val="Textonotapie"/>
        <w:ind w:firstLine="708"/>
        <w:jc w:val="both"/>
        <w:rPr>
          <w:rFonts w:ascii="Verdana" w:hAnsi="Verdana"/>
          <w:sz w:val="16"/>
          <w:szCs w:val="16"/>
          <w:lang w:val="es-CO"/>
        </w:rPr>
      </w:pPr>
      <w:r w:rsidRPr="00CA117C">
        <w:rPr>
          <w:rFonts w:ascii="Verdana" w:hAnsi="Verdana"/>
          <w:sz w:val="16"/>
          <w:szCs w:val="16"/>
          <w:lang w:val="es-CO"/>
        </w:rPr>
        <w:t>Parágrafo. Estas excepciones tienen una duración ilimitada y no deberán aplicarse cuando la persona natural o jurídica ha consentido en la revelación de sus datos personales o privados o bien cuando es claro que la información fue entregada como parte de aquella información que debe estar bajo el régimen de publicidad aplicable.</w:t>
      </w:r>
    </w:p>
  </w:footnote>
  <w:footnote w:id="10">
    <w:p w14:paraId="3B232986" w14:textId="77777777" w:rsidR="00CA117C" w:rsidRPr="00CA117C" w:rsidRDefault="00CA117C" w:rsidP="00CA117C">
      <w:pPr>
        <w:pStyle w:val="Textonotapie"/>
        <w:ind w:firstLine="708"/>
        <w:rPr>
          <w:rFonts w:ascii="Verdana" w:hAnsi="Verdana"/>
          <w:sz w:val="16"/>
          <w:szCs w:val="16"/>
          <w:lang w:val="es-CO"/>
        </w:rPr>
      </w:pPr>
      <w:r w:rsidRPr="00CA117C">
        <w:rPr>
          <w:rStyle w:val="Refdenotaalpie"/>
          <w:rFonts w:ascii="Verdana" w:hAnsi="Verdana"/>
          <w:sz w:val="16"/>
          <w:szCs w:val="16"/>
        </w:rPr>
        <w:footnoteRef/>
      </w:r>
      <w:r w:rsidRPr="00CA117C">
        <w:rPr>
          <w:rFonts w:ascii="Verdana" w:hAnsi="Verdana"/>
          <w:sz w:val="16"/>
          <w:szCs w:val="16"/>
        </w:rPr>
        <w:t xml:space="preserve"> </w:t>
      </w:r>
      <w:r w:rsidRPr="00CA117C">
        <w:rPr>
          <w:rFonts w:ascii="Verdana" w:hAnsi="Verdana"/>
          <w:sz w:val="16"/>
          <w:szCs w:val="16"/>
          <w:lang w:val="es-CO"/>
        </w:rPr>
        <w:t>Artículo 19. </w:t>
      </w:r>
      <w:r w:rsidRPr="00CA117C">
        <w:rPr>
          <w:rFonts w:ascii="Verdana" w:hAnsi="Verdana"/>
          <w:i/>
          <w:iCs/>
          <w:sz w:val="16"/>
          <w:szCs w:val="16"/>
          <w:lang w:val="es-CO"/>
        </w:rPr>
        <w:t>Información exceptuada por daño a los intereses públicos. </w:t>
      </w:r>
      <w:r w:rsidRPr="00CA117C">
        <w:rPr>
          <w:rFonts w:ascii="Verdana" w:hAnsi="Verdana"/>
          <w:sz w:val="16"/>
          <w:szCs w:val="16"/>
          <w:lang w:val="es-CO"/>
        </w:rPr>
        <w:t>Es toda aquella información pública reservada, cuyo acceso podrá ser rechazado o denegado de manera motivada y por escrito en las siguientes circunstancias, siempre que dicho acceso estuviere expresamente prohibido por una norma legal o constitucional:  </w:t>
      </w:r>
    </w:p>
    <w:p w14:paraId="4EFCBBFE" w14:textId="77777777" w:rsidR="00CA117C" w:rsidRPr="00CA117C" w:rsidRDefault="00CA117C" w:rsidP="00CA117C">
      <w:pPr>
        <w:pStyle w:val="Textonotapie"/>
        <w:ind w:firstLine="708"/>
        <w:rPr>
          <w:rFonts w:ascii="Verdana" w:hAnsi="Verdana"/>
          <w:sz w:val="16"/>
          <w:szCs w:val="16"/>
          <w:lang w:val="es-CO"/>
        </w:rPr>
      </w:pPr>
      <w:r w:rsidRPr="00CA117C">
        <w:rPr>
          <w:rFonts w:ascii="Verdana" w:hAnsi="Verdana"/>
          <w:sz w:val="16"/>
          <w:szCs w:val="16"/>
          <w:lang w:val="es-CO"/>
        </w:rPr>
        <w:t>a) La defensa y seguridad nacional; </w:t>
      </w:r>
    </w:p>
    <w:p w14:paraId="50C4CF99" w14:textId="77777777" w:rsidR="00CA117C" w:rsidRPr="00CA117C" w:rsidRDefault="00CA117C" w:rsidP="00CA117C">
      <w:pPr>
        <w:pStyle w:val="Textonotapie"/>
        <w:ind w:firstLine="708"/>
        <w:rPr>
          <w:rFonts w:ascii="Verdana" w:hAnsi="Verdana"/>
          <w:sz w:val="16"/>
          <w:szCs w:val="16"/>
          <w:lang w:val="es-CO"/>
        </w:rPr>
      </w:pPr>
      <w:r w:rsidRPr="00CA117C">
        <w:rPr>
          <w:rFonts w:ascii="Verdana" w:hAnsi="Verdana"/>
          <w:sz w:val="16"/>
          <w:szCs w:val="16"/>
          <w:lang w:val="es-CO"/>
        </w:rPr>
        <w:t>b) La seguridad pública; </w:t>
      </w:r>
    </w:p>
    <w:p w14:paraId="295CEFA2" w14:textId="77777777" w:rsidR="00CA117C" w:rsidRPr="00CA117C" w:rsidRDefault="00CA117C" w:rsidP="00CA117C">
      <w:pPr>
        <w:pStyle w:val="Textonotapie"/>
        <w:ind w:firstLine="708"/>
        <w:rPr>
          <w:rFonts w:ascii="Verdana" w:hAnsi="Verdana"/>
          <w:sz w:val="16"/>
          <w:szCs w:val="16"/>
          <w:lang w:val="es-CO"/>
        </w:rPr>
      </w:pPr>
      <w:r w:rsidRPr="00CA117C">
        <w:rPr>
          <w:rFonts w:ascii="Verdana" w:hAnsi="Verdana"/>
          <w:sz w:val="16"/>
          <w:szCs w:val="16"/>
          <w:lang w:val="es-CO"/>
        </w:rPr>
        <w:t>c) Las relaciones internacionales; </w:t>
      </w:r>
    </w:p>
    <w:p w14:paraId="6D61E587" w14:textId="77777777" w:rsidR="00CA117C" w:rsidRPr="00CA117C" w:rsidRDefault="00CA117C" w:rsidP="00CA117C">
      <w:pPr>
        <w:pStyle w:val="Textonotapie"/>
        <w:ind w:firstLine="708"/>
        <w:rPr>
          <w:rFonts w:ascii="Verdana" w:hAnsi="Verdana"/>
          <w:sz w:val="16"/>
          <w:szCs w:val="16"/>
          <w:lang w:val="es-CO"/>
        </w:rPr>
      </w:pPr>
      <w:r w:rsidRPr="00CA117C">
        <w:rPr>
          <w:rFonts w:ascii="Verdana" w:hAnsi="Verdana"/>
          <w:sz w:val="16"/>
          <w:szCs w:val="16"/>
          <w:lang w:val="es-CO"/>
        </w:rPr>
        <w:t>d) La prevención, investigación y persecución de los delitos y las faltas disciplinarias, mientras que no se haga efectiva la medida de aseguramiento o se formule pliego de cargos, según el caso; </w:t>
      </w:r>
    </w:p>
    <w:p w14:paraId="5FAF576A" w14:textId="77777777" w:rsidR="00CA117C" w:rsidRPr="00CA117C" w:rsidRDefault="00CA117C" w:rsidP="00CA117C">
      <w:pPr>
        <w:pStyle w:val="Textonotapie"/>
        <w:ind w:firstLine="708"/>
        <w:rPr>
          <w:rFonts w:ascii="Verdana" w:hAnsi="Verdana"/>
          <w:sz w:val="16"/>
          <w:szCs w:val="16"/>
          <w:lang w:val="es-CO"/>
        </w:rPr>
      </w:pPr>
      <w:r w:rsidRPr="00CA117C">
        <w:rPr>
          <w:rFonts w:ascii="Verdana" w:hAnsi="Verdana"/>
          <w:sz w:val="16"/>
          <w:szCs w:val="16"/>
          <w:lang w:val="es-CO"/>
        </w:rPr>
        <w:t>e) El debido proceso y la igualdad de las partes en los procesos judiciales; </w:t>
      </w:r>
    </w:p>
    <w:p w14:paraId="64B96296" w14:textId="77777777" w:rsidR="00CA117C" w:rsidRPr="00CA117C" w:rsidRDefault="00CA117C" w:rsidP="00CA117C">
      <w:pPr>
        <w:pStyle w:val="Textonotapie"/>
        <w:ind w:firstLine="708"/>
        <w:rPr>
          <w:rFonts w:ascii="Verdana" w:hAnsi="Verdana"/>
          <w:sz w:val="16"/>
          <w:szCs w:val="16"/>
          <w:lang w:val="es-CO"/>
        </w:rPr>
      </w:pPr>
      <w:r w:rsidRPr="00CA117C">
        <w:rPr>
          <w:rFonts w:ascii="Verdana" w:hAnsi="Verdana"/>
          <w:sz w:val="16"/>
          <w:szCs w:val="16"/>
          <w:lang w:val="es-CO"/>
        </w:rPr>
        <w:t>f) La administración efectiva de la justicia; </w:t>
      </w:r>
    </w:p>
    <w:p w14:paraId="3707EF9B" w14:textId="77777777" w:rsidR="00CA117C" w:rsidRPr="00CA117C" w:rsidRDefault="00CA117C" w:rsidP="00CA117C">
      <w:pPr>
        <w:pStyle w:val="Textonotapie"/>
        <w:ind w:firstLine="708"/>
        <w:rPr>
          <w:rFonts w:ascii="Verdana" w:hAnsi="Verdana"/>
          <w:sz w:val="16"/>
          <w:szCs w:val="16"/>
          <w:lang w:val="es-CO"/>
        </w:rPr>
      </w:pPr>
      <w:r w:rsidRPr="00CA117C">
        <w:rPr>
          <w:rFonts w:ascii="Verdana" w:hAnsi="Verdana"/>
          <w:sz w:val="16"/>
          <w:szCs w:val="16"/>
          <w:lang w:val="es-CO"/>
        </w:rPr>
        <w:t>g) Los derechos de la infancia y la adolescencia; </w:t>
      </w:r>
    </w:p>
    <w:p w14:paraId="467FE25A" w14:textId="77777777" w:rsidR="00CA117C" w:rsidRPr="00CA117C" w:rsidRDefault="00CA117C" w:rsidP="00CA117C">
      <w:pPr>
        <w:pStyle w:val="Textonotapie"/>
        <w:ind w:firstLine="708"/>
        <w:rPr>
          <w:rFonts w:ascii="Verdana" w:hAnsi="Verdana"/>
          <w:sz w:val="16"/>
          <w:szCs w:val="16"/>
          <w:lang w:val="es-CO"/>
        </w:rPr>
      </w:pPr>
      <w:r w:rsidRPr="00CA117C">
        <w:rPr>
          <w:rFonts w:ascii="Verdana" w:hAnsi="Verdana"/>
          <w:sz w:val="16"/>
          <w:szCs w:val="16"/>
          <w:lang w:val="es-CO"/>
        </w:rPr>
        <w:t>h) La estabilidad macroeconómica y financiera del país; </w:t>
      </w:r>
    </w:p>
    <w:p w14:paraId="331B76C1" w14:textId="77777777" w:rsidR="00CA117C" w:rsidRPr="00CA117C" w:rsidRDefault="00CA117C" w:rsidP="00CA117C">
      <w:pPr>
        <w:pStyle w:val="Textonotapie"/>
        <w:ind w:firstLine="708"/>
        <w:rPr>
          <w:rFonts w:ascii="Verdana" w:hAnsi="Verdana"/>
          <w:sz w:val="16"/>
          <w:szCs w:val="16"/>
          <w:lang w:val="es-CO"/>
        </w:rPr>
      </w:pPr>
      <w:r w:rsidRPr="00CA117C">
        <w:rPr>
          <w:rFonts w:ascii="Verdana" w:hAnsi="Verdana"/>
          <w:sz w:val="16"/>
          <w:szCs w:val="16"/>
          <w:lang w:val="es-CO"/>
        </w:rPr>
        <w:t>i) La salud pública. </w:t>
      </w:r>
    </w:p>
    <w:p w14:paraId="3FA79EB5" w14:textId="77777777" w:rsidR="00CA117C" w:rsidRPr="00CA117C" w:rsidRDefault="00CA117C" w:rsidP="00CA117C">
      <w:pPr>
        <w:pStyle w:val="Textonotapie"/>
        <w:ind w:firstLine="708"/>
        <w:rPr>
          <w:rFonts w:ascii="Verdana" w:hAnsi="Verdana"/>
          <w:sz w:val="16"/>
          <w:szCs w:val="16"/>
          <w:lang w:val="es-CO"/>
        </w:rPr>
      </w:pPr>
      <w:r w:rsidRPr="00CA117C">
        <w:rPr>
          <w:rFonts w:ascii="Verdana" w:hAnsi="Verdana"/>
          <w:sz w:val="16"/>
          <w:szCs w:val="16"/>
          <w:lang w:val="es-CO"/>
        </w:rPr>
        <w:t>Parágrafo. Se exceptúan también los documentos que contengan las opiniones o puntos de vista que formen parte del proceso deliberativo de los servidores públicos. </w:t>
      </w:r>
    </w:p>
  </w:footnote>
  <w:footnote w:id="11">
    <w:p w14:paraId="1C80625E" w14:textId="77777777" w:rsidR="00CA117C" w:rsidRPr="00CA117C" w:rsidRDefault="00CA117C" w:rsidP="00CA117C">
      <w:pPr>
        <w:pStyle w:val="Textonotapie"/>
        <w:ind w:firstLine="709"/>
        <w:jc w:val="both"/>
        <w:rPr>
          <w:rFonts w:ascii="Verdana" w:hAnsi="Verdana"/>
          <w:sz w:val="16"/>
          <w:szCs w:val="16"/>
          <w:lang w:val="es-CO"/>
        </w:rPr>
      </w:pPr>
      <w:r w:rsidRPr="00CA117C">
        <w:rPr>
          <w:rStyle w:val="Refdenotaalpie"/>
          <w:rFonts w:ascii="Verdana" w:hAnsi="Verdana"/>
          <w:sz w:val="16"/>
          <w:szCs w:val="16"/>
        </w:rPr>
        <w:footnoteRef/>
      </w:r>
      <w:r w:rsidRPr="00CA117C">
        <w:rPr>
          <w:rFonts w:ascii="Verdana" w:hAnsi="Verdana"/>
          <w:sz w:val="16"/>
          <w:szCs w:val="16"/>
        </w:rPr>
        <w:t xml:space="preserve"> </w:t>
      </w:r>
      <w:r w:rsidRPr="00CA117C">
        <w:rPr>
          <w:rFonts w:ascii="Verdana" w:hAnsi="Verdana"/>
          <w:bCs/>
          <w:sz w:val="16"/>
          <w:szCs w:val="16"/>
          <w:lang w:val="es-CO"/>
        </w:rPr>
        <w:t>Artículo 24. </w:t>
      </w:r>
      <w:r w:rsidRPr="00CA117C">
        <w:rPr>
          <w:rFonts w:ascii="Verdana" w:hAnsi="Verdana"/>
          <w:bCs/>
          <w:i/>
          <w:iCs/>
          <w:sz w:val="16"/>
          <w:szCs w:val="16"/>
          <w:lang w:val="es-CO"/>
        </w:rPr>
        <w:t xml:space="preserve">Informaciones y documentos reservados. </w:t>
      </w:r>
      <w:r w:rsidRPr="00CA117C">
        <w:rPr>
          <w:rFonts w:ascii="Verdana" w:hAnsi="Verdana"/>
          <w:sz w:val="16"/>
          <w:szCs w:val="16"/>
          <w:lang w:val="es-CO"/>
        </w:rPr>
        <w:t>Solo tendrán carácter reservado las informaciones y documentos expresamente sometidos a reserva por la Constitución Política o la ley, y en especial:</w:t>
      </w:r>
    </w:p>
    <w:p w14:paraId="044A771C" w14:textId="77777777" w:rsidR="00CA117C" w:rsidRPr="00CA117C" w:rsidRDefault="00CA117C" w:rsidP="00CA117C">
      <w:pPr>
        <w:pStyle w:val="Textonotapie"/>
        <w:ind w:firstLine="709"/>
        <w:jc w:val="both"/>
        <w:rPr>
          <w:rFonts w:ascii="Verdana" w:hAnsi="Verdana"/>
          <w:sz w:val="16"/>
          <w:szCs w:val="16"/>
          <w:lang w:val="es-CO"/>
        </w:rPr>
      </w:pPr>
      <w:r w:rsidRPr="00CA117C">
        <w:rPr>
          <w:rFonts w:ascii="Verdana" w:hAnsi="Verdana"/>
          <w:sz w:val="16"/>
          <w:szCs w:val="16"/>
          <w:lang w:val="es-CO"/>
        </w:rPr>
        <w:t>1. Los relacionados con la defensa o seguridad nacionales.</w:t>
      </w:r>
    </w:p>
    <w:p w14:paraId="37C8212C" w14:textId="77777777" w:rsidR="00CA117C" w:rsidRPr="00CA117C" w:rsidRDefault="00CA117C" w:rsidP="00CA117C">
      <w:pPr>
        <w:pStyle w:val="Textonotapie"/>
        <w:ind w:firstLine="709"/>
        <w:jc w:val="both"/>
        <w:rPr>
          <w:rFonts w:ascii="Verdana" w:hAnsi="Verdana"/>
          <w:sz w:val="16"/>
          <w:szCs w:val="16"/>
          <w:lang w:val="es-CO"/>
        </w:rPr>
      </w:pPr>
      <w:r w:rsidRPr="00CA117C">
        <w:rPr>
          <w:rFonts w:ascii="Verdana" w:hAnsi="Verdana"/>
          <w:sz w:val="16"/>
          <w:szCs w:val="16"/>
          <w:lang w:val="es-CO"/>
        </w:rPr>
        <w:t>2. Las instrucciones en materia diplomática o sobre negociaciones reservadas.  </w:t>
      </w:r>
    </w:p>
    <w:p w14:paraId="13AD7113" w14:textId="77777777" w:rsidR="00CA117C" w:rsidRPr="00CA117C" w:rsidRDefault="00CA117C" w:rsidP="00CA117C">
      <w:pPr>
        <w:pStyle w:val="Textonotapie"/>
        <w:ind w:firstLine="709"/>
        <w:jc w:val="both"/>
        <w:rPr>
          <w:rFonts w:ascii="Verdana" w:hAnsi="Verdana"/>
          <w:sz w:val="16"/>
          <w:szCs w:val="16"/>
          <w:lang w:val="es-CO"/>
        </w:rPr>
      </w:pPr>
      <w:r w:rsidRPr="00CA117C">
        <w:rPr>
          <w:rFonts w:ascii="Verdana" w:hAnsi="Verdana"/>
          <w:sz w:val="16"/>
          <w:szCs w:val="16"/>
          <w:lang w:val="es-CO"/>
        </w:rPr>
        <w:t>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7FD7A271" w14:textId="77777777" w:rsidR="00CA117C" w:rsidRPr="00CA117C" w:rsidRDefault="00CA117C" w:rsidP="00CA117C">
      <w:pPr>
        <w:pStyle w:val="Textonotapie"/>
        <w:ind w:firstLine="709"/>
        <w:jc w:val="both"/>
        <w:rPr>
          <w:rFonts w:ascii="Verdana" w:hAnsi="Verdana"/>
          <w:sz w:val="16"/>
          <w:szCs w:val="16"/>
          <w:lang w:val="es-CO"/>
        </w:rPr>
      </w:pPr>
      <w:r w:rsidRPr="00CA117C">
        <w:rPr>
          <w:rFonts w:ascii="Verdana" w:hAnsi="Verdana"/>
          <w:sz w:val="16"/>
          <w:szCs w:val="16"/>
          <w:lang w:val="es-CO"/>
        </w:rPr>
        <w:t>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0E7FC044" w14:textId="77777777" w:rsidR="00CA117C" w:rsidRPr="00AF0096" w:rsidRDefault="00CA117C" w:rsidP="00CA117C">
      <w:pPr>
        <w:pStyle w:val="Textonotapie"/>
        <w:ind w:firstLine="709"/>
        <w:jc w:val="both"/>
        <w:rPr>
          <w:rFonts w:ascii="Verdana" w:hAnsi="Verdana"/>
          <w:sz w:val="16"/>
          <w:szCs w:val="16"/>
          <w:lang w:val="es-CO"/>
        </w:rPr>
      </w:pPr>
      <w:r w:rsidRPr="00AF0096">
        <w:rPr>
          <w:rFonts w:ascii="Verdana" w:hAnsi="Verdana"/>
          <w:sz w:val="16"/>
          <w:szCs w:val="16"/>
          <w:lang w:val="es-CO"/>
        </w:rPr>
        <w:t>S. Los datos referentes a la información financiera y comercial, en los términos de la Ley Estatutaria 1266 de 2008.  </w:t>
      </w:r>
    </w:p>
    <w:p w14:paraId="55FFA3E1" w14:textId="77777777" w:rsidR="00CA117C" w:rsidRPr="00AF0096" w:rsidRDefault="00CA117C" w:rsidP="00CA117C">
      <w:pPr>
        <w:pStyle w:val="Textonotapie"/>
        <w:ind w:firstLine="709"/>
        <w:jc w:val="both"/>
        <w:rPr>
          <w:rFonts w:ascii="Verdana" w:hAnsi="Verdana"/>
          <w:sz w:val="16"/>
          <w:szCs w:val="16"/>
          <w:lang w:val="es-CO"/>
        </w:rPr>
      </w:pPr>
      <w:r w:rsidRPr="00AF0096">
        <w:rPr>
          <w:rFonts w:ascii="Verdana" w:hAnsi="Verdana"/>
          <w:sz w:val="16"/>
          <w:szCs w:val="16"/>
          <w:lang w:val="es-CO"/>
        </w:rPr>
        <w:t>6. Los protegidos por el secreto comercial o industrial, así como los planes estratégicos de las empresas públicas de servicios públicos.  </w:t>
      </w:r>
    </w:p>
    <w:p w14:paraId="4B3ECAE6" w14:textId="77777777" w:rsidR="00CA117C" w:rsidRPr="00AF0096" w:rsidRDefault="00CA117C" w:rsidP="00CA117C">
      <w:pPr>
        <w:pStyle w:val="Textonotapie"/>
        <w:ind w:firstLine="709"/>
        <w:jc w:val="both"/>
        <w:rPr>
          <w:rFonts w:ascii="Verdana" w:hAnsi="Verdana"/>
          <w:sz w:val="16"/>
          <w:szCs w:val="16"/>
          <w:lang w:val="es-CO"/>
        </w:rPr>
      </w:pPr>
      <w:r w:rsidRPr="00AF0096">
        <w:rPr>
          <w:rFonts w:ascii="Verdana" w:hAnsi="Verdana"/>
          <w:sz w:val="16"/>
          <w:szCs w:val="16"/>
          <w:lang w:val="es-CO"/>
        </w:rPr>
        <w:t>7. Los amparados por el secreto profesional.  </w:t>
      </w:r>
    </w:p>
    <w:p w14:paraId="42FAC36E" w14:textId="77777777" w:rsidR="00CA117C" w:rsidRPr="00AF0096" w:rsidRDefault="00CA117C" w:rsidP="00CA117C">
      <w:pPr>
        <w:pStyle w:val="Textonotapie"/>
        <w:ind w:firstLine="709"/>
        <w:jc w:val="both"/>
        <w:rPr>
          <w:rFonts w:ascii="Verdana" w:hAnsi="Verdana"/>
          <w:sz w:val="16"/>
          <w:szCs w:val="16"/>
          <w:lang w:val="es-CO"/>
        </w:rPr>
      </w:pPr>
      <w:r w:rsidRPr="00AF0096">
        <w:rPr>
          <w:rFonts w:ascii="Verdana" w:hAnsi="Verdana"/>
          <w:sz w:val="16"/>
          <w:szCs w:val="16"/>
          <w:lang w:val="es-CO"/>
        </w:rPr>
        <w:t>8. Los datos genéticos humanos.  </w:t>
      </w:r>
    </w:p>
    <w:p w14:paraId="29281FB0" w14:textId="77777777" w:rsidR="00CA117C" w:rsidRPr="00AF0096" w:rsidRDefault="00CA117C" w:rsidP="00CA117C">
      <w:pPr>
        <w:pStyle w:val="Textonotapie"/>
        <w:ind w:firstLine="709"/>
        <w:jc w:val="both"/>
        <w:rPr>
          <w:rFonts w:ascii="Verdana" w:hAnsi="Verdana"/>
          <w:sz w:val="16"/>
          <w:szCs w:val="16"/>
          <w:lang w:val="es-CO"/>
        </w:rPr>
      </w:pPr>
      <w:r w:rsidRPr="00AF0096">
        <w:rPr>
          <w:rFonts w:ascii="Verdana" w:hAnsi="Verdana"/>
          <w:bCs/>
          <w:sz w:val="16"/>
          <w:szCs w:val="16"/>
          <w:lang w:val="es-CO"/>
        </w:rPr>
        <w:t>Parágrafo.</w:t>
      </w:r>
      <w:r w:rsidRPr="00AF0096">
        <w:rPr>
          <w:rFonts w:ascii="Verdana" w:hAnsi="Verdana"/>
          <w:sz w:val="16"/>
          <w:szCs w:val="16"/>
          <w:lang w:val="es-CO"/>
        </w:rPr>
        <w:t> Para efecto de la solicitud de información de carácter reservado, enunciada en los numerales 3, 5, 6 y 7 solo podrá ser solicitada por el titular de la información, por sus apoderados o por personas autorizadas con facultad expresa para acceder a esa información. </w:t>
      </w:r>
    </w:p>
  </w:footnote>
  <w:footnote w:id="12">
    <w:p w14:paraId="03547CC8" w14:textId="77777777" w:rsidR="00CA117C" w:rsidRPr="00AF0096" w:rsidRDefault="00CA117C" w:rsidP="00CA117C">
      <w:pPr>
        <w:pStyle w:val="Textonotapie"/>
        <w:ind w:firstLine="708"/>
        <w:jc w:val="both"/>
        <w:rPr>
          <w:rFonts w:ascii="Verdana" w:hAnsi="Verdana"/>
          <w:sz w:val="16"/>
          <w:szCs w:val="16"/>
          <w:lang w:val="es-ES_tradnl"/>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 xml:space="preserve">Al respecto, la Corte Constitucional en la Sentencia C-951 de 2014 que efectuó un control previo de constitucionalidad a la Ley 1755 de 2015 expresa: “Una reserva muy similar, se prevé en el literal c) del artículo 18 de la Ley Estatutaria 1712 de 2014, que restringe el acceso a la denominada como </w:t>
      </w:r>
      <w:r w:rsidRPr="00AF0096">
        <w:rPr>
          <w:rFonts w:ascii="Verdana" w:hAnsi="Verdana"/>
          <w:i/>
          <w:sz w:val="16"/>
          <w:szCs w:val="16"/>
          <w:lang w:val="es-CO"/>
        </w:rPr>
        <w:t xml:space="preserve">información pública clasificada, </w:t>
      </w:r>
      <w:r w:rsidRPr="00AF0096">
        <w:rPr>
          <w:rFonts w:ascii="Verdana" w:hAnsi="Verdana"/>
          <w:sz w:val="16"/>
          <w:szCs w:val="16"/>
          <w:lang w:val="es-CO"/>
        </w:rPr>
        <w:t>el cual puede ser denegado mediante decisión motivada,</w:t>
      </w:r>
      <w:r w:rsidRPr="00AF0096">
        <w:rPr>
          <w:rFonts w:ascii="Verdana" w:hAnsi="Verdana"/>
          <w:i/>
          <w:sz w:val="16"/>
          <w:szCs w:val="16"/>
          <w:lang w:val="es-CO"/>
        </w:rPr>
        <w:t xml:space="preserve"> </w:t>
      </w:r>
      <w:r w:rsidRPr="00AF0096">
        <w:rPr>
          <w:rFonts w:ascii="Verdana" w:hAnsi="Verdana"/>
          <w:sz w:val="16"/>
          <w:szCs w:val="16"/>
          <w:lang w:val="es-CO"/>
        </w:rPr>
        <w:t xml:space="preserve">cuando pudiere causar un daño, entre otros derechos, a los secretos comerciales e industriales. Esta disposición fue declarada exequible en la Sentencia C-274 de 2013, por cuanto la Corte consideró que tal </w:t>
      </w:r>
      <w:r w:rsidRPr="00AF0096">
        <w:rPr>
          <w:rFonts w:ascii="Verdana" w:hAnsi="Verdana"/>
          <w:sz w:val="16"/>
          <w:szCs w:val="16"/>
          <w:lang w:val="es-ES_tradnl"/>
        </w:rPr>
        <w:t>limitación resulta razonable a la luz de los parámetros de constitucionalidad establecidos por la jurisprudencia, toda vez que protege un interés constitucional imperioso y la restricción de acceso a esta información ha sido considerada razonable y proporcionada, por el daño que puede causar a la intimidad y a los derechos económicos de los ciudadanos. En todo caso, la Corporación aclaró, que este tipo de restricciones tienen una duración limitada, fijada en las normas que protegen esta información, por lo que no les sería aplicable la excepción de reserva ilimitada en el tiempo a que hace referencia el parágrafo del artículo 18, como quiera que ello contraría el principio según el cual, tales restricciones deben tener una duración razonable”.</w:t>
      </w:r>
    </w:p>
  </w:footnote>
  <w:footnote w:id="13">
    <w:p w14:paraId="5B43AFF7" w14:textId="77777777" w:rsidR="00CA117C" w:rsidRPr="00AF0096" w:rsidRDefault="00CA117C" w:rsidP="00CA117C">
      <w:pPr>
        <w:pStyle w:val="Default"/>
        <w:ind w:firstLine="708"/>
        <w:jc w:val="both"/>
        <w:rPr>
          <w:rFonts w:ascii="Verdana" w:hAnsi="Verdana"/>
          <w:sz w:val="16"/>
          <w:szCs w:val="16"/>
        </w:rPr>
      </w:pPr>
      <w:r w:rsidRPr="00AF0096">
        <w:rPr>
          <w:rStyle w:val="Refdenotaalpie"/>
          <w:rFonts w:ascii="Verdana" w:hAnsi="Verdana"/>
          <w:sz w:val="16"/>
          <w:szCs w:val="16"/>
        </w:rPr>
        <w:footnoteRef/>
      </w:r>
      <w:r w:rsidRPr="00AF0096">
        <w:rPr>
          <w:rFonts w:ascii="Verdana" w:hAnsi="Verdana"/>
          <w:sz w:val="16"/>
          <w:szCs w:val="16"/>
        </w:rPr>
        <w:t xml:space="preserve"> Superintendencia de Industria y Comercio. Concepto 22-196277 del 22 de junio de 2022; Concepto 17-394944- -1 del 5 de enero de 2018. </w:t>
      </w:r>
    </w:p>
  </w:footnote>
  <w:footnote w:id="14">
    <w:p w14:paraId="4EC2701F" w14:textId="77777777" w:rsidR="00CA117C" w:rsidRPr="00AF0096" w:rsidRDefault="00CA117C" w:rsidP="00CA117C">
      <w:pPr>
        <w:pStyle w:val="Textonotapie"/>
        <w:ind w:firstLine="708"/>
        <w:jc w:val="both"/>
        <w:rPr>
          <w:sz w:val="16"/>
          <w:szCs w:val="16"/>
          <w:lang w:val="es-ES"/>
        </w:rPr>
      </w:pPr>
      <w:r w:rsidRPr="00AF0096">
        <w:rPr>
          <w:rStyle w:val="Refdenotaalpie"/>
          <w:rFonts w:ascii="Verdana" w:hAnsi="Verdana"/>
          <w:sz w:val="16"/>
          <w:szCs w:val="16"/>
        </w:rPr>
        <w:footnoteRef/>
      </w:r>
      <w:r w:rsidRPr="00AF0096">
        <w:rPr>
          <w:rFonts w:ascii="Verdana" w:hAnsi="Verdana"/>
          <w:sz w:val="16"/>
          <w:szCs w:val="16"/>
        </w:rPr>
        <w:t xml:space="preserve"> Diccionario Panhispánico Jurídico. Secreto comercial. Disponible en línea: </w:t>
      </w:r>
      <w:hyperlink r:id="rId1" w:history="1">
        <w:r w:rsidRPr="00AF0096">
          <w:rPr>
            <w:rStyle w:val="Hipervnculo"/>
            <w:rFonts w:ascii="Verdana" w:hAnsi="Verdana"/>
            <w:sz w:val="16"/>
            <w:szCs w:val="16"/>
          </w:rPr>
          <w:t>https://dpej.rae.es/lema/secreto-comercial</w:t>
        </w:r>
      </w:hyperlink>
      <w:r w:rsidRPr="00AF0096">
        <w:rPr>
          <w:rFonts w:ascii="Verdana" w:hAnsi="Verdana"/>
          <w:sz w:val="16"/>
          <w:szCs w:val="16"/>
        </w:rPr>
        <w:t xml:space="preserve"> </w:t>
      </w:r>
    </w:p>
  </w:footnote>
  <w:footnote w:id="15">
    <w:p w14:paraId="7F14C0E9" w14:textId="77777777" w:rsidR="00452023" w:rsidRPr="00AF0096" w:rsidRDefault="00452023" w:rsidP="00452023">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Ley 80 de 1993 “Artículo 24. Del principio de transparencia. En virtud de este principio: […] 4o. Las autoridades expedirán a costa de aquellas personas que demuestren interés legítimo, copias de las actuaciones y propuestas recibidas, respetando la reserva de que gocen legalmente las patentes, procedimientos y privilegios”.</w:t>
      </w:r>
    </w:p>
  </w:footnote>
  <w:footnote w:id="16">
    <w:p w14:paraId="5A39AA19" w14:textId="77777777" w:rsidR="00452023" w:rsidRPr="00AF0096" w:rsidRDefault="00452023" w:rsidP="00452023">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Ley 1712 de 2014 “Artículo 2°. Principio de máxima publicidad para titular universal. Toda información en posesión, bajo control o custodia de un sujeto obligado es pública y no podrá ser reservada o limitada sino por disposición constitucional o legal, de conformidad con la presente ley”.</w:t>
      </w:r>
    </w:p>
  </w:footnote>
  <w:footnote w:id="17">
    <w:p w14:paraId="713F59DF" w14:textId="77777777" w:rsidR="00452023" w:rsidRPr="00AF0096" w:rsidRDefault="00452023" w:rsidP="00452023">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MATALLANA CAMACHO Ernesto. Manual de Contratación de la Administración Pública. Reforma a la Ley 80 de 1993. Universidad Externado de Colombia, Cuarta edición, 2015, pp 139.</w:t>
      </w:r>
    </w:p>
  </w:footnote>
  <w:footnote w:id="18">
    <w:p w14:paraId="2667A338" w14:textId="77777777" w:rsidR="00452023" w:rsidRPr="00AF0096" w:rsidRDefault="00452023" w:rsidP="00452023">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Resultan relevantes las consideraciones expuestas en el concepto C- 322 del 16 de junio de 2020 –radicado No. 2202013000005088–, sobre la aplicación del artículo 36 del CPACA en torno al manejo de información reservada en cuadernos separados: “tratándose de información sometida a reserva, considera esta Agencia que el tratamiento que corresponde a esta información es el procedente a partir de lo dispuesto en el artículo 36 del CPACA sobre la formación y examen de expedientes, en el que se establece que los documentos sometidos a reserva deberán insertarse en un cuaderno separado del expediente principal, el cual no podrá ser consultado por la ciudadanía o interesados en general. El manejo de estos documentos conforme lo indica esta norma, permite guardar la reserva a la que están sometidos dichos documentos en el marco de procesos de contratación, sin que se vean lesionados los intereses de los titulares de la información o contrariadas las normas del régimen de protección de datos personales”.</w:t>
      </w:r>
    </w:p>
  </w:footnote>
  <w:footnote w:id="19">
    <w:p w14:paraId="70ED61B3" w14:textId="77777777" w:rsidR="00452023" w:rsidRPr="00AF0096" w:rsidRDefault="00452023" w:rsidP="00452023">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 xml:space="preserve">“Artículo 21. DIVULGACIÓN PARCIAL Y OTRAS REGLAS. En aquellas circunstancias en que la totalidad de la información contenida en un documento no esté protegida por una excepción contenida en la presente ley, debe hacerse una versión pública que mantenga la reserva únicamente de la parte indispensable. La información pública que no cae en ningún supuesto de excepción deberá ser entregada a la parte solicitante, así como ser de conocimiento público. La reserva de acceso a la información opera respecto del contenido de un documento público, pero no de su existencia. </w:t>
      </w:r>
    </w:p>
    <w:p w14:paraId="5DC9FF5F" w14:textId="77777777" w:rsidR="00452023" w:rsidRPr="00AF0096" w:rsidRDefault="00452023" w:rsidP="00452023">
      <w:pPr>
        <w:pStyle w:val="Textonotapie"/>
        <w:ind w:firstLine="708"/>
        <w:jc w:val="both"/>
        <w:rPr>
          <w:rFonts w:ascii="Verdana" w:hAnsi="Verdana"/>
          <w:sz w:val="16"/>
          <w:szCs w:val="16"/>
          <w:lang w:val="es-CO"/>
        </w:rPr>
      </w:pPr>
      <w:r w:rsidRPr="00AF0096">
        <w:rPr>
          <w:rFonts w:ascii="Verdana" w:hAnsi="Verdana"/>
          <w:sz w:val="16"/>
          <w:szCs w:val="16"/>
          <w:lang w:val="es-CO"/>
        </w:rPr>
        <w:t xml:space="preserve">Ninguna autoridad pública puede negarse a indicar si un documento obra o no en su poder o negar la divulgación de un documento, salvo que el daño causado al interés protegido sea mayor al interés público de obtener acceso a la información. </w:t>
      </w:r>
    </w:p>
    <w:p w14:paraId="2956B65B" w14:textId="77777777" w:rsidR="00452023" w:rsidRPr="00AF0096" w:rsidRDefault="00452023" w:rsidP="00452023">
      <w:pPr>
        <w:pStyle w:val="Textonotapie"/>
        <w:ind w:firstLine="708"/>
        <w:jc w:val="both"/>
        <w:rPr>
          <w:rFonts w:ascii="Verdana" w:hAnsi="Verdana"/>
          <w:sz w:val="16"/>
          <w:szCs w:val="16"/>
          <w:lang w:val="es-CO"/>
        </w:rPr>
      </w:pPr>
      <w:r w:rsidRPr="00AF0096">
        <w:rPr>
          <w:rFonts w:ascii="Verdana" w:hAnsi="Verdana"/>
          <w:sz w:val="16"/>
          <w:szCs w:val="16"/>
          <w:lang w:val="es-CO"/>
        </w:rPr>
        <w:t>Las excepciones de acceso a la información contenidas en la presente ley no aplican en casos de violación de derechos humanos o delitos de lesa humanidad, y en todo caso deberán protegerse los derechos de las víctimas de dichas violaciones”.</w:t>
      </w:r>
    </w:p>
  </w:footnote>
  <w:footnote w:id="20">
    <w:p w14:paraId="7E9E8889" w14:textId="77777777" w:rsidR="00452023" w:rsidRPr="00AF0096" w:rsidRDefault="00452023" w:rsidP="00452023">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Artículo 7.1.3. Reserva de la información. Criterios. En concordancia con lo establecido en la Ley 1712 de 2014, Ley de transparencia y de Acceso a la Información Pública, la reserva aplica a la información, no a los documentos, para lo cual el responsable de la información verificará qué información está sometida a reserva y cuál no, y elaborará una versión pública que mantenga la reserva de los titulares de los datos, para garantizar el principio de máxima publicidad y conforme a las disposiciones legales vigentes sobre el acceso a la información.</w:t>
      </w:r>
    </w:p>
    <w:p w14:paraId="22E8FAEA" w14:textId="77777777" w:rsidR="00452023" w:rsidRPr="00AF0096" w:rsidRDefault="00452023" w:rsidP="00452023">
      <w:pPr>
        <w:pStyle w:val="Textonotapie"/>
        <w:ind w:firstLine="708"/>
        <w:jc w:val="both"/>
        <w:rPr>
          <w:rFonts w:ascii="Verdana" w:hAnsi="Verdana"/>
          <w:sz w:val="16"/>
          <w:szCs w:val="16"/>
          <w:lang w:val="es-CO"/>
        </w:rPr>
      </w:pPr>
      <w:r w:rsidRPr="00AF0096">
        <w:rPr>
          <w:rFonts w:ascii="Verdana" w:hAnsi="Verdana"/>
          <w:sz w:val="16"/>
          <w:szCs w:val="16"/>
          <w:lang w:val="es-CO"/>
        </w:rPr>
        <w:t xml:space="preserve">Parágrafo 1. De existir reserva legal, se aplicarán, como mínimo, los siguientes criterios: </w:t>
      </w:r>
    </w:p>
    <w:p w14:paraId="5EEEA252" w14:textId="77777777" w:rsidR="00452023" w:rsidRPr="00AF0096" w:rsidRDefault="00452023" w:rsidP="00452023">
      <w:pPr>
        <w:pStyle w:val="Textonotapie"/>
        <w:ind w:firstLine="708"/>
        <w:jc w:val="both"/>
        <w:rPr>
          <w:rFonts w:ascii="Verdana" w:hAnsi="Verdana"/>
          <w:sz w:val="16"/>
          <w:szCs w:val="16"/>
          <w:lang w:val="es-CO"/>
        </w:rPr>
      </w:pPr>
      <w:r w:rsidRPr="00AF0096">
        <w:rPr>
          <w:rFonts w:ascii="Verdana" w:hAnsi="Verdana"/>
          <w:sz w:val="16"/>
          <w:szCs w:val="16"/>
          <w:lang w:val="es-CO"/>
        </w:rPr>
        <w:t xml:space="preserve">1. La reserva opera sobre el contenido del documento, no sobre la existencia de este. Estos documentos deben ser identificados de manera clara en los instrumentos de la gestión de información pública. </w:t>
      </w:r>
    </w:p>
    <w:p w14:paraId="03D6104A" w14:textId="77777777" w:rsidR="00452023" w:rsidRPr="00AF0096" w:rsidRDefault="00452023" w:rsidP="00452023">
      <w:pPr>
        <w:pStyle w:val="Textonotapie"/>
        <w:ind w:firstLine="708"/>
        <w:jc w:val="both"/>
        <w:rPr>
          <w:rFonts w:ascii="Verdana" w:hAnsi="Verdana"/>
          <w:sz w:val="16"/>
          <w:szCs w:val="16"/>
          <w:lang w:val="es-CO"/>
        </w:rPr>
      </w:pPr>
      <w:r w:rsidRPr="00AF0096">
        <w:rPr>
          <w:rFonts w:ascii="Verdana" w:hAnsi="Verdana"/>
          <w:sz w:val="16"/>
          <w:szCs w:val="16"/>
          <w:lang w:val="es-CO"/>
        </w:rPr>
        <w:t xml:space="preserve">2. La reserva legal solo opera sobre la información que compromete derechos fundamentales o bienes constitucionales, no sobre los procesos o actuaciones de los que hace parte. Para tal efecto se realizarán versiones públicas de estos documentos, que impidan la identificación de los titulares de los datos personales, como lo ordena la normativa vigente. </w:t>
      </w:r>
    </w:p>
    <w:p w14:paraId="463B9AF5" w14:textId="77777777" w:rsidR="00452023" w:rsidRPr="00AF0096" w:rsidRDefault="00452023" w:rsidP="00452023">
      <w:pPr>
        <w:pStyle w:val="Textonotapie"/>
        <w:ind w:firstLine="708"/>
        <w:jc w:val="both"/>
        <w:rPr>
          <w:rFonts w:ascii="Verdana" w:hAnsi="Verdana"/>
          <w:sz w:val="16"/>
          <w:szCs w:val="16"/>
          <w:lang w:val="es-CO"/>
        </w:rPr>
      </w:pPr>
      <w:r w:rsidRPr="00AF0096">
        <w:rPr>
          <w:rFonts w:ascii="Verdana" w:hAnsi="Verdana"/>
          <w:sz w:val="16"/>
          <w:szCs w:val="16"/>
          <w:lang w:val="es-CO"/>
        </w:rPr>
        <w:t>3. La reserva deberá ser temporal, como lo determine la Ley.</w:t>
      </w:r>
    </w:p>
    <w:p w14:paraId="77B48C0E" w14:textId="77777777" w:rsidR="00452023" w:rsidRPr="002C1712" w:rsidRDefault="00452023" w:rsidP="00452023">
      <w:pPr>
        <w:pStyle w:val="Textonotapie"/>
        <w:ind w:firstLine="708"/>
        <w:jc w:val="both"/>
        <w:rPr>
          <w:sz w:val="12"/>
          <w:szCs w:val="12"/>
          <w:lang w:val="es-ES"/>
        </w:rPr>
      </w:pPr>
      <w:r w:rsidRPr="00AF0096">
        <w:rPr>
          <w:rFonts w:ascii="Verdana" w:hAnsi="Verdana"/>
          <w:sz w:val="16"/>
          <w:szCs w:val="16"/>
          <w:lang w:val="es-CO"/>
        </w:rPr>
        <w:t xml:space="preserve"> Parágrafo 2. Para elaborar versiones públicas de documentos que contengan información clasificada o reservada, la entidad aplicará estándares para la anonimización de datos. El proceso de anonimización de datos requiere una adecuada comprensión del propósito final y uso de la información. Por tal motivo, es importante que el administrador de los documentos identifique los datos objeto de anonimización en articulación con la normativa vigente para la protección de datos personales y acceso a la información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1"/>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0"/>
  </w:num>
  <w:num w:numId="13" w16cid:durableId="1512908409">
    <w:abstractNumId w:val="2"/>
  </w:num>
  <w:num w:numId="14" w16cid:durableId="895897244">
    <w:abstractNumId w:val="15"/>
  </w:num>
  <w:num w:numId="15" w16cid:durableId="390349800">
    <w:abstractNumId w:val="11"/>
  </w:num>
  <w:num w:numId="16" w16cid:durableId="2087140555">
    <w:abstractNumId w:val="3"/>
  </w:num>
  <w:num w:numId="17" w16cid:durableId="1328823183">
    <w:abstractNumId w:val="5"/>
  </w:num>
  <w:num w:numId="18" w16cid:durableId="50359275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2BD"/>
    <w:rsid w:val="000123B9"/>
    <w:rsid w:val="0001693A"/>
    <w:rsid w:val="00016F78"/>
    <w:rsid w:val="0002049E"/>
    <w:rsid w:val="00027E15"/>
    <w:rsid w:val="00036616"/>
    <w:rsid w:val="00046945"/>
    <w:rsid w:val="00061B2A"/>
    <w:rsid w:val="00082362"/>
    <w:rsid w:val="0009299B"/>
    <w:rsid w:val="000A3879"/>
    <w:rsid w:val="000A683E"/>
    <w:rsid w:val="000A6CCE"/>
    <w:rsid w:val="000B19B9"/>
    <w:rsid w:val="000D0334"/>
    <w:rsid w:val="000D0F5E"/>
    <w:rsid w:val="000D5DA7"/>
    <w:rsid w:val="000E0F50"/>
    <w:rsid w:val="000E1B5D"/>
    <w:rsid w:val="000E2BE3"/>
    <w:rsid w:val="000E6B11"/>
    <w:rsid w:val="000F6486"/>
    <w:rsid w:val="001035E5"/>
    <w:rsid w:val="00111C99"/>
    <w:rsid w:val="00116940"/>
    <w:rsid w:val="00117C2E"/>
    <w:rsid w:val="001215B5"/>
    <w:rsid w:val="00125105"/>
    <w:rsid w:val="00127233"/>
    <w:rsid w:val="001306F1"/>
    <w:rsid w:val="00140EBF"/>
    <w:rsid w:val="001432E7"/>
    <w:rsid w:val="001520A0"/>
    <w:rsid w:val="00155FB3"/>
    <w:rsid w:val="0015699B"/>
    <w:rsid w:val="00175D51"/>
    <w:rsid w:val="00177FF3"/>
    <w:rsid w:val="00185E2F"/>
    <w:rsid w:val="00190C61"/>
    <w:rsid w:val="00192C1D"/>
    <w:rsid w:val="001945D9"/>
    <w:rsid w:val="00196D9F"/>
    <w:rsid w:val="001A33BF"/>
    <w:rsid w:val="001A474E"/>
    <w:rsid w:val="001B27F8"/>
    <w:rsid w:val="001B2CF7"/>
    <w:rsid w:val="001B43ED"/>
    <w:rsid w:val="001C275E"/>
    <w:rsid w:val="001C4483"/>
    <w:rsid w:val="001D689E"/>
    <w:rsid w:val="001E4177"/>
    <w:rsid w:val="001F0B24"/>
    <w:rsid w:val="001F7DC6"/>
    <w:rsid w:val="00207190"/>
    <w:rsid w:val="002110CA"/>
    <w:rsid w:val="00212BF5"/>
    <w:rsid w:val="00213A9F"/>
    <w:rsid w:val="00216725"/>
    <w:rsid w:val="002176FC"/>
    <w:rsid w:val="0022400B"/>
    <w:rsid w:val="00240613"/>
    <w:rsid w:val="002421BB"/>
    <w:rsid w:val="00244945"/>
    <w:rsid w:val="002527A8"/>
    <w:rsid w:val="0025796E"/>
    <w:rsid w:val="002624B0"/>
    <w:rsid w:val="002707A2"/>
    <w:rsid w:val="00277887"/>
    <w:rsid w:val="00283C86"/>
    <w:rsid w:val="0028553E"/>
    <w:rsid w:val="002951A0"/>
    <w:rsid w:val="002962BC"/>
    <w:rsid w:val="0029673E"/>
    <w:rsid w:val="002A093D"/>
    <w:rsid w:val="002A0DD0"/>
    <w:rsid w:val="002A49AC"/>
    <w:rsid w:val="002A64FD"/>
    <w:rsid w:val="002B0840"/>
    <w:rsid w:val="002B6348"/>
    <w:rsid w:val="002C66AE"/>
    <w:rsid w:val="002C7A84"/>
    <w:rsid w:val="002E0EB2"/>
    <w:rsid w:val="002E2BF8"/>
    <w:rsid w:val="002E4FD9"/>
    <w:rsid w:val="002F1B55"/>
    <w:rsid w:val="0030430B"/>
    <w:rsid w:val="0030657A"/>
    <w:rsid w:val="0030696C"/>
    <w:rsid w:val="00310188"/>
    <w:rsid w:val="00312BB7"/>
    <w:rsid w:val="00322A85"/>
    <w:rsid w:val="00324168"/>
    <w:rsid w:val="003301E8"/>
    <w:rsid w:val="00330834"/>
    <w:rsid w:val="003348CF"/>
    <w:rsid w:val="00342AAB"/>
    <w:rsid w:val="003448F4"/>
    <w:rsid w:val="00347F0E"/>
    <w:rsid w:val="00374F5E"/>
    <w:rsid w:val="00376F12"/>
    <w:rsid w:val="00377E3E"/>
    <w:rsid w:val="00385919"/>
    <w:rsid w:val="00386314"/>
    <w:rsid w:val="0039679F"/>
    <w:rsid w:val="003976E4"/>
    <w:rsid w:val="003A779E"/>
    <w:rsid w:val="003B297B"/>
    <w:rsid w:val="003D0F4D"/>
    <w:rsid w:val="003D2839"/>
    <w:rsid w:val="003D490F"/>
    <w:rsid w:val="003D5B0D"/>
    <w:rsid w:val="003E0499"/>
    <w:rsid w:val="003E312E"/>
    <w:rsid w:val="003E4F80"/>
    <w:rsid w:val="003E6439"/>
    <w:rsid w:val="003F3941"/>
    <w:rsid w:val="00403AF4"/>
    <w:rsid w:val="00406575"/>
    <w:rsid w:val="00414C1C"/>
    <w:rsid w:val="00414C74"/>
    <w:rsid w:val="00415A87"/>
    <w:rsid w:val="00423581"/>
    <w:rsid w:val="0042722E"/>
    <w:rsid w:val="00434021"/>
    <w:rsid w:val="00437E08"/>
    <w:rsid w:val="0044528D"/>
    <w:rsid w:val="00451A55"/>
    <w:rsid w:val="00452023"/>
    <w:rsid w:val="00464A6B"/>
    <w:rsid w:val="00466E39"/>
    <w:rsid w:val="004774AC"/>
    <w:rsid w:val="00484593"/>
    <w:rsid w:val="00485C8D"/>
    <w:rsid w:val="004870E7"/>
    <w:rsid w:val="004936E2"/>
    <w:rsid w:val="004A14AD"/>
    <w:rsid w:val="004A17B5"/>
    <w:rsid w:val="004A1847"/>
    <w:rsid w:val="004A305D"/>
    <w:rsid w:val="004A37AF"/>
    <w:rsid w:val="004B4151"/>
    <w:rsid w:val="004B4D2C"/>
    <w:rsid w:val="004B5AA9"/>
    <w:rsid w:val="004C6753"/>
    <w:rsid w:val="004D56DD"/>
    <w:rsid w:val="004E048B"/>
    <w:rsid w:val="004F0772"/>
    <w:rsid w:val="004F1EB7"/>
    <w:rsid w:val="004F21C4"/>
    <w:rsid w:val="004F633C"/>
    <w:rsid w:val="004F685F"/>
    <w:rsid w:val="00514D33"/>
    <w:rsid w:val="00520C75"/>
    <w:rsid w:val="00550DE3"/>
    <w:rsid w:val="005523B3"/>
    <w:rsid w:val="005566E8"/>
    <w:rsid w:val="005576BE"/>
    <w:rsid w:val="00565844"/>
    <w:rsid w:val="00574867"/>
    <w:rsid w:val="00591460"/>
    <w:rsid w:val="005A1259"/>
    <w:rsid w:val="005A65E0"/>
    <w:rsid w:val="005B3900"/>
    <w:rsid w:val="005C3777"/>
    <w:rsid w:val="005C5CDC"/>
    <w:rsid w:val="005D476C"/>
    <w:rsid w:val="005F2B46"/>
    <w:rsid w:val="005F3CF1"/>
    <w:rsid w:val="006070B8"/>
    <w:rsid w:val="00613F59"/>
    <w:rsid w:val="006145A4"/>
    <w:rsid w:val="00615C8E"/>
    <w:rsid w:val="006200BF"/>
    <w:rsid w:val="006219F8"/>
    <w:rsid w:val="006302F7"/>
    <w:rsid w:val="00632683"/>
    <w:rsid w:val="006366D0"/>
    <w:rsid w:val="00646B9F"/>
    <w:rsid w:val="00665D70"/>
    <w:rsid w:val="00667DB0"/>
    <w:rsid w:val="006772C8"/>
    <w:rsid w:val="00682D71"/>
    <w:rsid w:val="006900D9"/>
    <w:rsid w:val="0069378A"/>
    <w:rsid w:val="006A2A87"/>
    <w:rsid w:val="006B69F9"/>
    <w:rsid w:val="006E44F5"/>
    <w:rsid w:val="006E7CDD"/>
    <w:rsid w:val="006F110C"/>
    <w:rsid w:val="00706C16"/>
    <w:rsid w:val="00710C7D"/>
    <w:rsid w:val="00713D0F"/>
    <w:rsid w:val="007230C2"/>
    <w:rsid w:val="00730578"/>
    <w:rsid w:val="00731BA7"/>
    <w:rsid w:val="007340C3"/>
    <w:rsid w:val="007379D2"/>
    <w:rsid w:val="0075235A"/>
    <w:rsid w:val="00756841"/>
    <w:rsid w:val="007622C5"/>
    <w:rsid w:val="007649AB"/>
    <w:rsid w:val="00771D0C"/>
    <w:rsid w:val="007833AC"/>
    <w:rsid w:val="007909CE"/>
    <w:rsid w:val="007A3152"/>
    <w:rsid w:val="007B268C"/>
    <w:rsid w:val="007B49DC"/>
    <w:rsid w:val="007B7171"/>
    <w:rsid w:val="007C0C0F"/>
    <w:rsid w:val="007C3DC2"/>
    <w:rsid w:val="007D7808"/>
    <w:rsid w:val="007E311C"/>
    <w:rsid w:val="007E5497"/>
    <w:rsid w:val="007E5C2D"/>
    <w:rsid w:val="007E723E"/>
    <w:rsid w:val="007F144B"/>
    <w:rsid w:val="00802B40"/>
    <w:rsid w:val="00806F5F"/>
    <w:rsid w:val="00807312"/>
    <w:rsid w:val="0081168A"/>
    <w:rsid w:val="0081321A"/>
    <w:rsid w:val="00820278"/>
    <w:rsid w:val="008232C3"/>
    <w:rsid w:val="00823DC1"/>
    <w:rsid w:val="008258C9"/>
    <w:rsid w:val="00826566"/>
    <w:rsid w:val="00830FC9"/>
    <w:rsid w:val="00844AE9"/>
    <w:rsid w:val="00863F4E"/>
    <w:rsid w:val="0086445A"/>
    <w:rsid w:val="00867F95"/>
    <w:rsid w:val="008843B6"/>
    <w:rsid w:val="00887992"/>
    <w:rsid w:val="00890245"/>
    <w:rsid w:val="00891928"/>
    <w:rsid w:val="008A4371"/>
    <w:rsid w:val="008A446D"/>
    <w:rsid w:val="008B25F1"/>
    <w:rsid w:val="008C6AA6"/>
    <w:rsid w:val="008D180B"/>
    <w:rsid w:val="008D185F"/>
    <w:rsid w:val="008D7020"/>
    <w:rsid w:val="008E3DA4"/>
    <w:rsid w:val="008E4331"/>
    <w:rsid w:val="008F031E"/>
    <w:rsid w:val="008F0EA7"/>
    <w:rsid w:val="008F2BF8"/>
    <w:rsid w:val="0091226A"/>
    <w:rsid w:val="00913DE7"/>
    <w:rsid w:val="00920265"/>
    <w:rsid w:val="00923EEF"/>
    <w:rsid w:val="0093218E"/>
    <w:rsid w:val="009419F9"/>
    <w:rsid w:val="00952BE7"/>
    <w:rsid w:val="0095685E"/>
    <w:rsid w:val="00961B09"/>
    <w:rsid w:val="0096333B"/>
    <w:rsid w:val="00965334"/>
    <w:rsid w:val="00970109"/>
    <w:rsid w:val="0097093E"/>
    <w:rsid w:val="009932B5"/>
    <w:rsid w:val="00995BBF"/>
    <w:rsid w:val="009A0DFA"/>
    <w:rsid w:val="009A1C6F"/>
    <w:rsid w:val="009A7C5D"/>
    <w:rsid w:val="009B1CE9"/>
    <w:rsid w:val="009B2D26"/>
    <w:rsid w:val="009C6984"/>
    <w:rsid w:val="009C71FA"/>
    <w:rsid w:val="009C72E7"/>
    <w:rsid w:val="009C7F7E"/>
    <w:rsid w:val="009D3058"/>
    <w:rsid w:val="009D66FB"/>
    <w:rsid w:val="009D6989"/>
    <w:rsid w:val="009E07D3"/>
    <w:rsid w:val="009E3D0F"/>
    <w:rsid w:val="009E3E7A"/>
    <w:rsid w:val="009E74EB"/>
    <w:rsid w:val="009E76ED"/>
    <w:rsid w:val="009F3A13"/>
    <w:rsid w:val="009F46BB"/>
    <w:rsid w:val="00A0408D"/>
    <w:rsid w:val="00A06C43"/>
    <w:rsid w:val="00A106F7"/>
    <w:rsid w:val="00A122D3"/>
    <w:rsid w:val="00A14468"/>
    <w:rsid w:val="00A17F13"/>
    <w:rsid w:val="00A20739"/>
    <w:rsid w:val="00A23AF9"/>
    <w:rsid w:val="00A242C0"/>
    <w:rsid w:val="00A27C37"/>
    <w:rsid w:val="00A33C78"/>
    <w:rsid w:val="00A33E9F"/>
    <w:rsid w:val="00A4186E"/>
    <w:rsid w:val="00A518FC"/>
    <w:rsid w:val="00A527BF"/>
    <w:rsid w:val="00A528E1"/>
    <w:rsid w:val="00A86AB3"/>
    <w:rsid w:val="00AA6989"/>
    <w:rsid w:val="00AA740A"/>
    <w:rsid w:val="00AB0ADB"/>
    <w:rsid w:val="00AB48EF"/>
    <w:rsid w:val="00AC30F7"/>
    <w:rsid w:val="00AC53A7"/>
    <w:rsid w:val="00AC6EEA"/>
    <w:rsid w:val="00AC75C1"/>
    <w:rsid w:val="00AE5C60"/>
    <w:rsid w:val="00AF0259"/>
    <w:rsid w:val="00AF6268"/>
    <w:rsid w:val="00B00C0E"/>
    <w:rsid w:val="00B01B1A"/>
    <w:rsid w:val="00B0381D"/>
    <w:rsid w:val="00B069AA"/>
    <w:rsid w:val="00B2246A"/>
    <w:rsid w:val="00B229E7"/>
    <w:rsid w:val="00B34459"/>
    <w:rsid w:val="00B44A47"/>
    <w:rsid w:val="00B70482"/>
    <w:rsid w:val="00B72CD3"/>
    <w:rsid w:val="00B72FFF"/>
    <w:rsid w:val="00B80DD1"/>
    <w:rsid w:val="00B81352"/>
    <w:rsid w:val="00B82A35"/>
    <w:rsid w:val="00B87208"/>
    <w:rsid w:val="00B87C4C"/>
    <w:rsid w:val="00B92649"/>
    <w:rsid w:val="00B92B0D"/>
    <w:rsid w:val="00B93E46"/>
    <w:rsid w:val="00BA2404"/>
    <w:rsid w:val="00BA6076"/>
    <w:rsid w:val="00BB4260"/>
    <w:rsid w:val="00BC3D36"/>
    <w:rsid w:val="00BD2DA4"/>
    <w:rsid w:val="00BD54A6"/>
    <w:rsid w:val="00BD7F72"/>
    <w:rsid w:val="00BF0446"/>
    <w:rsid w:val="00BF45F7"/>
    <w:rsid w:val="00BF7425"/>
    <w:rsid w:val="00C04FB3"/>
    <w:rsid w:val="00C11D8B"/>
    <w:rsid w:val="00C15139"/>
    <w:rsid w:val="00C202B5"/>
    <w:rsid w:val="00C22115"/>
    <w:rsid w:val="00C330EB"/>
    <w:rsid w:val="00C34294"/>
    <w:rsid w:val="00C50D69"/>
    <w:rsid w:val="00C5365C"/>
    <w:rsid w:val="00C637ED"/>
    <w:rsid w:val="00C63848"/>
    <w:rsid w:val="00C754BE"/>
    <w:rsid w:val="00C76B1C"/>
    <w:rsid w:val="00C867C4"/>
    <w:rsid w:val="00C914A3"/>
    <w:rsid w:val="00C91816"/>
    <w:rsid w:val="00C925AC"/>
    <w:rsid w:val="00CA117C"/>
    <w:rsid w:val="00CB24BD"/>
    <w:rsid w:val="00CB5864"/>
    <w:rsid w:val="00CB6357"/>
    <w:rsid w:val="00CB71BD"/>
    <w:rsid w:val="00CC1B26"/>
    <w:rsid w:val="00CC35FC"/>
    <w:rsid w:val="00CD7C7E"/>
    <w:rsid w:val="00CE257E"/>
    <w:rsid w:val="00CE37C4"/>
    <w:rsid w:val="00CF1630"/>
    <w:rsid w:val="00D00089"/>
    <w:rsid w:val="00D011CF"/>
    <w:rsid w:val="00D079BA"/>
    <w:rsid w:val="00D202EF"/>
    <w:rsid w:val="00D33C6E"/>
    <w:rsid w:val="00D361FD"/>
    <w:rsid w:val="00D40C27"/>
    <w:rsid w:val="00D423A2"/>
    <w:rsid w:val="00D44E26"/>
    <w:rsid w:val="00D4514F"/>
    <w:rsid w:val="00D520D8"/>
    <w:rsid w:val="00D53A6A"/>
    <w:rsid w:val="00D63AC2"/>
    <w:rsid w:val="00D64764"/>
    <w:rsid w:val="00D7383B"/>
    <w:rsid w:val="00D74C64"/>
    <w:rsid w:val="00D7788A"/>
    <w:rsid w:val="00D8018B"/>
    <w:rsid w:val="00D82E5C"/>
    <w:rsid w:val="00D87BE2"/>
    <w:rsid w:val="00D90884"/>
    <w:rsid w:val="00D90F14"/>
    <w:rsid w:val="00DA231B"/>
    <w:rsid w:val="00DA3AAD"/>
    <w:rsid w:val="00DA5776"/>
    <w:rsid w:val="00DB35C8"/>
    <w:rsid w:val="00DC39FC"/>
    <w:rsid w:val="00DC5F0C"/>
    <w:rsid w:val="00DC6270"/>
    <w:rsid w:val="00DD403F"/>
    <w:rsid w:val="00DE06A1"/>
    <w:rsid w:val="00DE4F05"/>
    <w:rsid w:val="00DF5254"/>
    <w:rsid w:val="00E0068F"/>
    <w:rsid w:val="00E02524"/>
    <w:rsid w:val="00E13DD9"/>
    <w:rsid w:val="00E16408"/>
    <w:rsid w:val="00E20894"/>
    <w:rsid w:val="00E245AB"/>
    <w:rsid w:val="00E2764C"/>
    <w:rsid w:val="00E27F2E"/>
    <w:rsid w:val="00E31564"/>
    <w:rsid w:val="00E337ED"/>
    <w:rsid w:val="00E34109"/>
    <w:rsid w:val="00E47BE3"/>
    <w:rsid w:val="00E50AFE"/>
    <w:rsid w:val="00E608BF"/>
    <w:rsid w:val="00E75C92"/>
    <w:rsid w:val="00E771DC"/>
    <w:rsid w:val="00E843A3"/>
    <w:rsid w:val="00E8772A"/>
    <w:rsid w:val="00E87773"/>
    <w:rsid w:val="00E90F6B"/>
    <w:rsid w:val="00E92C27"/>
    <w:rsid w:val="00E967D4"/>
    <w:rsid w:val="00EA0E3D"/>
    <w:rsid w:val="00EA4A56"/>
    <w:rsid w:val="00EA778A"/>
    <w:rsid w:val="00EB08A5"/>
    <w:rsid w:val="00EB6375"/>
    <w:rsid w:val="00EC38A7"/>
    <w:rsid w:val="00ED6546"/>
    <w:rsid w:val="00EE1AA8"/>
    <w:rsid w:val="00EE1DC5"/>
    <w:rsid w:val="00EE1E3B"/>
    <w:rsid w:val="00EE279A"/>
    <w:rsid w:val="00EE64FB"/>
    <w:rsid w:val="00F111D4"/>
    <w:rsid w:val="00F2166E"/>
    <w:rsid w:val="00F23FEA"/>
    <w:rsid w:val="00F31EDC"/>
    <w:rsid w:val="00F32A83"/>
    <w:rsid w:val="00F369EB"/>
    <w:rsid w:val="00F36CF4"/>
    <w:rsid w:val="00F4416A"/>
    <w:rsid w:val="00F462B3"/>
    <w:rsid w:val="00F5664F"/>
    <w:rsid w:val="00F61F11"/>
    <w:rsid w:val="00F666C4"/>
    <w:rsid w:val="00F7555C"/>
    <w:rsid w:val="00F75AFC"/>
    <w:rsid w:val="00F76AFC"/>
    <w:rsid w:val="00F86128"/>
    <w:rsid w:val="00F86A59"/>
    <w:rsid w:val="00F9021A"/>
    <w:rsid w:val="00F94470"/>
    <w:rsid w:val="00FA0059"/>
    <w:rsid w:val="00FA2FD7"/>
    <w:rsid w:val="00FA47C0"/>
    <w:rsid w:val="00FA654D"/>
    <w:rsid w:val="00FB5DD1"/>
    <w:rsid w:val="00FC2B5D"/>
    <w:rsid w:val="00FC3C25"/>
    <w:rsid w:val="00FD46A2"/>
    <w:rsid w:val="00FF1449"/>
    <w:rsid w:val="00FF2D24"/>
    <w:rsid w:val="00FF635F"/>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BA607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F7555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7555C"/>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chrome-extension://efaidnbmnnnibpcajpcglclefindmkaj/https:/www.colombiacompra.gov.co/sites/cce_public/files/cce_circulares/circular_externa_unica_version_3_vf49.pdf"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Sebas_rueda08@hotmail.com" TargetMode="External"/><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chrome-extension://efaidnbmnnnibpcajpcglclefindmkaj/https:/colombiacompra.gov.co/sites/cce_public/files/cce_circulares/doc-20240823-wa0021.pdf"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dpej.rae.es/lema/secreto-comerci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84A1C88-7997-4D81-9FB5-2F6209A3CD76}"/>
</file>

<file path=customXml/itemProps3.xml><?xml version="1.0" encoding="utf-8"?>
<ds:datastoreItem xmlns:ds="http://schemas.openxmlformats.org/officeDocument/2006/customXml" ds:itemID="{03E3BC3D-C6EC-40B7-8F9C-603D0E9114BA}">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28</Pages>
  <Words>8705</Words>
  <Characters>47881</Characters>
  <Application>Microsoft Office Word</Application>
  <DocSecurity>0</DocSecurity>
  <Lines>399</Lines>
  <Paragraphs>112</Paragraphs>
  <ScaleCrop>false</ScaleCrop>
  <Company/>
  <LinksUpToDate>false</LinksUpToDate>
  <CharactersWithSpaces>56474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2026-06-02T14:08:00Z</dcterms:created>
  <dcterms:modified xsi:type="dcterms:W3CDTF">2026-06-02T14:08:00Z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