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882AE" w14:textId="77777777" w:rsidR="00452129" w:rsidRPr="00FD67DB" w:rsidRDefault="00452129" w:rsidP="00452129">
      <w:pPr>
        <w:spacing w:after="0" w:line="240" w:lineRule="auto"/>
        <w:jc w:val="both"/>
        <w:rPr>
          <w:rFonts w:ascii="Verdana" w:eastAsia="Times New Roman" w:hAnsi="Verdana"/>
          <w:b/>
          <w:bCs/>
          <w:lang w:eastAsia="es-ES_tradnl"/>
        </w:rPr>
      </w:pPr>
      <w:bookmarkStart w:id="0" w:name="_Hlk143780582"/>
      <w:r w:rsidRPr="00FD67DB">
        <w:rPr>
          <w:rFonts w:ascii="Verdana" w:eastAsia="Times New Roman" w:hAnsi="Verdana"/>
          <w:b/>
          <w:bCs/>
          <w:lang w:val="es-ES_tradnl" w:eastAsia="es-ES_tradnl"/>
        </w:rPr>
        <w:t>CONVENIOS INTERADMINISTRATIVOS –</w:t>
      </w:r>
      <w:r w:rsidRPr="00FD67DB">
        <w:rPr>
          <w:rFonts w:ascii="Verdana" w:eastAsia="Times New Roman" w:hAnsi="Verdana"/>
          <w:b/>
          <w:bCs/>
          <w:lang w:eastAsia="es-ES_tradnl"/>
        </w:rPr>
        <w:t xml:space="preserve"> Noción – Características </w:t>
      </w:r>
    </w:p>
    <w:p w14:paraId="439A131F" w14:textId="77777777" w:rsidR="00452129" w:rsidRPr="00FD67DB" w:rsidRDefault="00452129" w:rsidP="00452129">
      <w:pPr>
        <w:spacing w:after="0" w:line="240" w:lineRule="auto"/>
        <w:jc w:val="both"/>
        <w:rPr>
          <w:rFonts w:ascii="Verdana" w:eastAsia="Times New Roman" w:hAnsi="Verdana" w:cs="Arial"/>
          <w:sz w:val="20"/>
          <w:szCs w:val="20"/>
          <w:lang w:val="es-ES" w:eastAsia="es-ES_tradnl"/>
        </w:rPr>
      </w:pPr>
    </w:p>
    <w:p w14:paraId="08DC51CD" w14:textId="77777777" w:rsidR="00452129" w:rsidRPr="00FD67DB" w:rsidRDefault="00452129" w:rsidP="00452129">
      <w:pPr>
        <w:spacing w:after="0" w:line="240" w:lineRule="auto"/>
        <w:jc w:val="both"/>
        <w:rPr>
          <w:rFonts w:ascii="Verdana" w:eastAsia="Times New Roman" w:hAnsi="Verdana" w:cs="Arial"/>
          <w:sz w:val="20"/>
          <w:szCs w:val="20"/>
          <w:lang w:val="es-ES" w:eastAsia="es-ES_tradnl"/>
        </w:rPr>
      </w:pPr>
      <w:r w:rsidRPr="00FD67DB">
        <w:rPr>
          <w:rFonts w:ascii="Verdana" w:eastAsia="Times New Roman" w:hAnsi="Verdana" w:cs="Arial"/>
          <w:sz w:val="20"/>
          <w:szCs w:val="20"/>
          <w:lang w:val="es-ES" w:eastAsia="es-ES_tradnl"/>
        </w:rPr>
        <w:t xml:space="preserve">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i) se celebra entre dos entidades públicas que se encuentran en pie de igualdad con el objeto de cumplir competencias de ambas entidades dirigidas a un propósito común; </w:t>
      </w:r>
      <w:proofErr w:type="spellStart"/>
      <w:r w:rsidRPr="00FD67DB">
        <w:rPr>
          <w:rFonts w:ascii="Verdana" w:eastAsia="Times New Roman" w:hAnsi="Verdana" w:cs="Arial"/>
          <w:sz w:val="20"/>
          <w:szCs w:val="20"/>
          <w:lang w:val="es-ES" w:eastAsia="es-ES_tradnl"/>
        </w:rPr>
        <w:t>ii</w:t>
      </w:r>
      <w:proofErr w:type="spellEnd"/>
      <w:r w:rsidRPr="00FD67DB">
        <w:rPr>
          <w:rFonts w:ascii="Verdana" w:eastAsia="Times New Roman" w:hAnsi="Verdana" w:cs="Arial"/>
          <w:sz w:val="20"/>
          <w:szCs w:val="20"/>
          <w:lang w:val="es-ES" w:eastAsia="es-ES_tradnl"/>
        </w:rPr>
        <w:t xml:space="preserve">) la modalidad para su celebración es la contratación directa; y, </w:t>
      </w:r>
      <w:proofErr w:type="spellStart"/>
      <w:r w:rsidRPr="00FD67DB">
        <w:rPr>
          <w:rFonts w:ascii="Verdana" w:eastAsia="Times New Roman" w:hAnsi="Verdana" w:cs="Arial"/>
          <w:sz w:val="20"/>
          <w:szCs w:val="20"/>
          <w:lang w:val="es-ES" w:eastAsia="es-ES_tradnl"/>
        </w:rPr>
        <w:t>iii</w:t>
      </w:r>
      <w:proofErr w:type="spellEnd"/>
      <w:r w:rsidRPr="00FD67DB">
        <w:rPr>
          <w:rFonts w:ascii="Verdana" w:eastAsia="Times New Roman" w:hAnsi="Verdana" w:cs="Arial"/>
          <w:sz w:val="20"/>
          <w:szCs w:val="20"/>
          <w:lang w:val="es-ES" w:eastAsia="es-ES_tradnl"/>
        </w:rPr>
        <w:t xml:space="preserve">) los convenios interadministrativos pueden suponer el compromiso de recursos públicos y, por consiguiente, la realización de aportes financieros. Ello, sin embargo, no supone la posibilidad de que en este tipo de relaciones jurídicas exista una remuneración en favor de uno de los </w:t>
      </w:r>
      <w:proofErr w:type="spellStart"/>
      <w:r w:rsidRPr="00FD67DB">
        <w:rPr>
          <w:rFonts w:ascii="Verdana" w:eastAsia="Times New Roman" w:hAnsi="Verdana" w:cs="Arial"/>
          <w:sz w:val="20"/>
          <w:szCs w:val="20"/>
          <w:lang w:val="es-ES" w:eastAsia="es-ES_tradnl"/>
        </w:rPr>
        <w:t>co-contratantes</w:t>
      </w:r>
      <w:proofErr w:type="spellEnd"/>
      <w:r w:rsidRPr="00FD67DB">
        <w:rPr>
          <w:rFonts w:ascii="Verdana" w:eastAsia="Times New Roman" w:hAnsi="Verdana" w:cs="Arial"/>
          <w:sz w:val="20"/>
          <w:szCs w:val="20"/>
          <w:lang w:val="es-ES" w:eastAsia="es-ES_tradnl"/>
        </w:rPr>
        <w:t xml:space="preserve"> y a cargo de otro u otros.</w:t>
      </w:r>
    </w:p>
    <w:p w14:paraId="073AC82B" w14:textId="77777777" w:rsidR="00452129" w:rsidRPr="00FD67DB" w:rsidRDefault="00452129" w:rsidP="00452129">
      <w:pPr>
        <w:spacing w:after="0" w:line="240" w:lineRule="auto"/>
        <w:jc w:val="both"/>
        <w:rPr>
          <w:rFonts w:ascii="Verdana" w:eastAsia="Geomanist Light" w:hAnsi="Verdana" w:cs="Arial"/>
          <w:b/>
          <w:bCs/>
          <w:color w:val="000000" w:themeColor="text1"/>
          <w:sz w:val="20"/>
          <w:szCs w:val="20"/>
          <w:lang w:val="es-MX"/>
        </w:rPr>
      </w:pPr>
    </w:p>
    <w:p w14:paraId="751DD0EA" w14:textId="77777777" w:rsidR="00452129" w:rsidRPr="00FD67DB" w:rsidRDefault="00452129" w:rsidP="00452129">
      <w:pPr>
        <w:spacing w:after="0"/>
        <w:jc w:val="both"/>
        <w:rPr>
          <w:rFonts w:ascii="Verdana" w:eastAsia="Times New Roman" w:hAnsi="Verdana"/>
          <w:b/>
          <w:bCs/>
          <w:sz w:val="20"/>
          <w:szCs w:val="20"/>
          <w:lang w:val="es-ES_tradnl" w:eastAsia="es-ES_tradnl"/>
        </w:rPr>
      </w:pPr>
      <w:r w:rsidRPr="00FD67DB">
        <w:rPr>
          <w:rFonts w:ascii="Verdana" w:eastAsia="Times New Roman" w:hAnsi="Verdana"/>
          <w:b/>
          <w:bCs/>
          <w:sz w:val="20"/>
          <w:szCs w:val="20"/>
          <w:lang w:val="es-ES_tradnl" w:eastAsia="es-ES_tradnl"/>
        </w:rPr>
        <w:t xml:space="preserve">FRACCIONAMIENTO DEL CONTRATO – Configuración </w:t>
      </w:r>
    </w:p>
    <w:p w14:paraId="13E4A329" w14:textId="77777777" w:rsidR="00452129" w:rsidRPr="00FD67DB" w:rsidRDefault="00452129" w:rsidP="00452129">
      <w:pPr>
        <w:spacing w:after="0"/>
        <w:jc w:val="both"/>
        <w:rPr>
          <w:rFonts w:ascii="Verdana" w:eastAsia="Times New Roman" w:hAnsi="Verdana"/>
          <w:sz w:val="20"/>
          <w:szCs w:val="20"/>
          <w:lang w:val="es-ES_tradnl" w:eastAsia="es-ES_tradnl"/>
        </w:rPr>
      </w:pPr>
    </w:p>
    <w:p w14:paraId="45542300" w14:textId="77777777" w:rsidR="00452129" w:rsidRPr="00FD67DB" w:rsidRDefault="00452129" w:rsidP="00452129">
      <w:pPr>
        <w:spacing w:after="0" w:line="240" w:lineRule="auto"/>
        <w:jc w:val="both"/>
        <w:rPr>
          <w:rFonts w:ascii="Verdana" w:eastAsia="Times New Roman" w:hAnsi="Verdana"/>
          <w:sz w:val="20"/>
          <w:szCs w:val="20"/>
          <w:lang w:val="es-ES_tradnl" w:eastAsia="es-ES_tradnl"/>
        </w:rPr>
      </w:pPr>
      <w:r w:rsidRPr="00FD67DB">
        <w:rPr>
          <w:rFonts w:ascii="Verdana" w:eastAsia="Times New Roman" w:hAnsi="Verdana"/>
          <w:sz w:val="20"/>
          <w:szCs w:val="20"/>
          <w:lang w:val="es-ES_tradnl" w:eastAsia="es-ES_tradnl"/>
        </w:rPr>
        <w:t xml:space="preserve">Según la jurisprudencia del Consejo de Estado habrá fraccionamiento del contrato cuando concurran los siguientes elementos: “i) que exista una separación artificial de un mismo objeto contractual y </w:t>
      </w:r>
      <w:proofErr w:type="spellStart"/>
      <w:r w:rsidRPr="00FD67DB">
        <w:rPr>
          <w:rFonts w:ascii="Verdana" w:eastAsia="Times New Roman" w:hAnsi="Verdana"/>
          <w:sz w:val="20"/>
          <w:szCs w:val="20"/>
          <w:lang w:val="es-ES_tradnl" w:eastAsia="es-ES_tradnl"/>
        </w:rPr>
        <w:t>iii</w:t>
      </w:r>
      <w:proofErr w:type="spellEnd"/>
      <w:r w:rsidRPr="00FD67DB">
        <w:rPr>
          <w:rFonts w:ascii="Verdana" w:eastAsia="Times New Roman" w:hAnsi="Verdana"/>
          <w:sz w:val="20"/>
          <w:szCs w:val="20"/>
          <w:lang w:val="es-ES_tradnl" w:eastAsia="es-ES_tradnl"/>
        </w:rPr>
        <w:t>) que dicha separación tenga como objetivo evitar procedimientos de convocatoria pública y de selección objetiva</w:t>
      </w:r>
      <w:proofErr w:type="gramStart"/>
      <w:r w:rsidRPr="00FD67DB">
        <w:rPr>
          <w:rFonts w:ascii="Verdana" w:eastAsia="Times New Roman" w:hAnsi="Verdana"/>
          <w:sz w:val="20"/>
          <w:szCs w:val="20"/>
          <w:lang w:val="es-ES_tradnl" w:eastAsia="es-ES_tradnl"/>
        </w:rPr>
        <w:t>” .</w:t>
      </w:r>
      <w:proofErr w:type="gramEnd"/>
      <w:r w:rsidRPr="00FD67DB">
        <w:rPr>
          <w:rFonts w:ascii="Verdana" w:eastAsia="Times New Roman" w:hAnsi="Verdana"/>
          <w:sz w:val="20"/>
          <w:szCs w:val="20"/>
          <w:lang w:val="es-ES_tradnl" w:eastAsia="es-ES_tradnl"/>
        </w:rPr>
        <w:t xml:space="preserve"> Por lo que, fraccionar un contrato implica dividir las prestaciones en dos (2) o más contratos que pueden constituir un único negocio jurídico.</w:t>
      </w:r>
    </w:p>
    <w:p w14:paraId="47CF9F4D" w14:textId="77777777" w:rsidR="00452129" w:rsidRPr="00FD67DB" w:rsidRDefault="00452129" w:rsidP="00452129">
      <w:pPr>
        <w:spacing w:after="0" w:line="240" w:lineRule="auto"/>
        <w:jc w:val="both"/>
        <w:rPr>
          <w:rFonts w:ascii="Verdana" w:eastAsia="Times New Roman" w:hAnsi="Verdana"/>
          <w:sz w:val="20"/>
          <w:szCs w:val="20"/>
          <w:lang w:val="es-ES_tradnl" w:eastAsia="es-ES_tradnl"/>
        </w:rPr>
      </w:pPr>
    </w:p>
    <w:p w14:paraId="031F20D2" w14:textId="77777777" w:rsidR="00452129" w:rsidRPr="00FD67DB" w:rsidRDefault="00452129" w:rsidP="00452129">
      <w:pPr>
        <w:spacing w:after="0" w:line="240" w:lineRule="auto"/>
        <w:jc w:val="both"/>
        <w:rPr>
          <w:rFonts w:ascii="Verdana" w:eastAsia="Times New Roman" w:hAnsi="Verdana"/>
          <w:sz w:val="20"/>
          <w:szCs w:val="20"/>
          <w:lang w:val="es-ES_tradnl" w:eastAsia="es-ES_tradnl"/>
        </w:rPr>
      </w:pPr>
      <w:r w:rsidRPr="00FD67DB">
        <w:rPr>
          <w:rFonts w:ascii="Verdana" w:eastAsia="Times New Roman" w:hAnsi="Verdana"/>
          <w:sz w:val="20"/>
          <w:szCs w:val="20"/>
          <w:lang w:val="es-ES_tradnl" w:eastAsia="es-ES_tradnl"/>
        </w:rPr>
        <w:t xml:space="preserve">En línea con lo anterior, podrá identificarse si se está o no frente a un fraccionamiento del contrato si concurren las siguientes circunstancias: i) que sea posible demostrar la unidad del objeto en relación con el contrato cuya legalidad se cuestiona y, de ser así; </w:t>
      </w:r>
      <w:proofErr w:type="spellStart"/>
      <w:r w:rsidRPr="00FD67DB">
        <w:rPr>
          <w:rFonts w:ascii="Verdana" w:eastAsia="Times New Roman" w:hAnsi="Verdana"/>
          <w:sz w:val="20"/>
          <w:szCs w:val="20"/>
          <w:lang w:val="es-ES_tradnl" w:eastAsia="es-ES_tradnl"/>
        </w:rPr>
        <w:t>ii</w:t>
      </w:r>
      <w:proofErr w:type="spellEnd"/>
      <w:r w:rsidRPr="00FD67DB">
        <w:rPr>
          <w:rFonts w:ascii="Verdana" w:eastAsia="Times New Roman" w:hAnsi="Verdana"/>
          <w:sz w:val="20"/>
          <w:szCs w:val="20"/>
          <w:lang w:val="es-ES_tradnl" w:eastAsia="es-ES_tradnl"/>
        </w:rPr>
        <w:t>) determinar cuáles fueron las circunstancias que condujeron a la Administración a celebrar varios contratos, pues sólo de esta manera puede inferirse si el actuar se basó en criterios razonables de interés público o, si por el contrario, los motivos fueron simulados y orientados a infringir las normas de la contratación pública.</w:t>
      </w:r>
    </w:p>
    <w:p w14:paraId="5C3AD594" w14:textId="77777777" w:rsidR="00452129" w:rsidRPr="00FD67DB" w:rsidRDefault="00452129" w:rsidP="00452129">
      <w:pPr>
        <w:spacing w:after="0" w:line="240" w:lineRule="auto"/>
        <w:jc w:val="both"/>
        <w:rPr>
          <w:rFonts w:ascii="Verdana" w:eastAsia="Geomanist Light" w:hAnsi="Verdana" w:cs="Arial"/>
          <w:b/>
          <w:bCs/>
          <w:color w:val="000000" w:themeColor="text1"/>
          <w:sz w:val="20"/>
          <w:szCs w:val="20"/>
          <w:lang w:val="es-MX"/>
        </w:rPr>
      </w:pPr>
    </w:p>
    <w:p w14:paraId="58207EEF" w14:textId="77777777" w:rsidR="00452129" w:rsidRPr="00FD67DB" w:rsidRDefault="00452129" w:rsidP="00452129">
      <w:pPr>
        <w:spacing w:after="0" w:line="240" w:lineRule="auto"/>
        <w:jc w:val="both"/>
        <w:rPr>
          <w:rFonts w:ascii="Verdana" w:eastAsia="Calibri" w:hAnsi="Verdana" w:cs="Arial"/>
          <w:b/>
          <w:bCs/>
          <w:lang w:val="es-ES" w:eastAsia="es-ES"/>
        </w:rPr>
      </w:pPr>
      <w:r w:rsidRPr="00FD67DB">
        <w:rPr>
          <w:rFonts w:ascii="Verdana" w:eastAsia="Calibri" w:hAnsi="Verdana" w:cs="Arial"/>
          <w:b/>
          <w:bCs/>
          <w:lang w:val="es-ES" w:eastAsia="es-ES"/>
        </w:rPr>
        <w:t>PLAN ANUAL DE ADQUISICIONES – Reglas para actualizarlo</w:t>
      </w:r>
    </w:p>
    <w:p w14:paraId="71B28471" w14:textId="77777777" w:rsidR="00452129" w:rsidRPr="00FD67DB" w:rsidRDefault="00452129" w:rsidP="00452129">
      <w:pPr>
        <w:spacing w:after="0" w:line="240" w:lineRule="auto"/>
        <w:jc w:val="both"/>
        <w:rPr>
          <w:rFonts w:ascii="Verdana" w:eastAsia="Calibri" w:hAnsi="Verdana" w:cs="Arial"/>
          <w:b/>
          <w:bCs/>
          <w:sz w:val="20"/>
          <w:szCs w:val="20"/>
          <w:lang w:val="es-ES_tradnl" w:eastAsia="es-ES_tradnl"/>
        </w:rPr>
      </w:pPr>
    </w:p>
    <w:p w14:paraId="688FD949" w14:textId="77777777" w:rsidR="00452129" w:rsidRPr="00FD67DB" w:rsidRDefault="00452129" w:rsidP="00452129">
      <w:pPr>
        <w:spacing w:after="0" w:line="240" w:lineRule="auto"/>
        <w:jc w:val="both"/>
        <w:rPr>
          <w:rFonts w:ascii="Verdana" w:eastAsia="Aptos" w:hAnsi="Verdana" w:cs="Times New Roman"/>
          <w:sz w:val="20"/>
          <w:szCs w:val="20"/>
        </w:rPr>
      </w:pPr>
      <w:r w:rsidRPr="00FD67DB">
        <w:rPr>
          <w:rFonts w:ascii="Verdana" w:eastAsia="Aptos" w:hAnsi="Verdana" w:cs="Times New Roman"/>
          <w:sz w:val="20"/>
          <w:szCs w:val="20"/>
        </w:rPr>
        <w:t xml:space="preserve">[…] el artículo 2.2.1.1.1.4.4 del Decreto 1082 de 2015, dispuso que el PAA deberá actualizarse “por lo menos una vez durante su vigencia”. De esta forma se tiene que, las Entidades Estatales podrán actualizar el Plan Anual de Adquisiciones cuantas veces lo estimen necesario, siempre y cuando se encuentren dentro de los supuestos establecidos en el inciso segundo de la referida norma, esto es: i) cuando haya ajustes en los cronogramas de adquisición, valores, modalidad de selección, origen de los recursos; </w:t>
      </w:r>
      <w:proofErr w:type="spellStart"/>
      <w:r w:rsidRPr="00FD67DB">
        <w:rPr>
          <w:rFonts w:ascii="Verdana" w:eastAsia="Aptos" w:hAnsi="Verdana" w:cs="Times New Roman"/>
          <w:sz w:val="20"/>
          <w:szCs w:val="20"/>
        </w:rPr>
        <w:t>ii</w:t>
      </w:r>
      <w:proofErr w:type="spellEnd"/>
      <w:r w:rsidRPr="00FD67DB">
        <w:rPr>
          <w:rFonts w:ascii="Verdana" w:eastAsia="Aptos" w:hAnsi="Verdana" w:cs="Times New Roman"/>
          <w:sz w:val="20"/>
          <w:szCs w:val="20"/>
        </w:rPr>
        <w:t>) para incluir nuevas obras, bienes y/o servicios; (</w:t>
      </w:r>
      <w:proofErr w:type="spellStart"/>
      <w:r w:rsidRPr="00FD67DB">
        <w:rPr>
          <w:rFonts w:ascii="Verdana" w:eastAsia="Aptos" w:hAnsi="Verdana" w:cs="Times New Roman"/>
          <w:sz w:val="20"/>
          <w:szCs w:val="20"/>
        </w:rPr>
        <w:t>iii</w:t>
      </w:r>
      <w:proofErr w:type="spellEnd"/>
      <w:r w:rsidRPr="00FD67DB">
        <w:rPr>
          <w:rFonts w:ascii="Verdana" w:eastAsia="Aptos" w:hAnsi="Verdana" w:cs="Times New Roman"/>
          <w:sz w:val="20"/>
          <w:szCs w:val="20"/>
        </w:rPr>
        <w:t xml:space="preserve">) excluir obras, bienes y/o servicios; o </w:t>
      </w:r>
      <w:proofErr w:type="spellStart"/>
      <w:r w:rsidRPr="00FD67DB">
        <w:rPr>
          <w:rFonts w:ascii="Verdana" w:eastAsia="Aptos" w:hAnsi="Verdana" w:cs="Times New Roman"/>
          <w:sz w:val="20"/>
          <w:szCs w:val="20"/>
        </w:rPr>
        <w:t>iv</w:t>
      </w:r>
      <w:proofErr w:type="spellEnd"/>
      <w:r w:rsidRPr="00FD67DB">
        <w:rPr>
          <w:rFonts w:ascii="Verdana" w:eastAsia="Aptos" w:hAnsi="Verdana" w:cs="Times New Roman"/>
          <w:sz w:val="20"/>
          <w:szCs w:val="20"/>
        </w:rPr>
        <w:t>) modificar el presupuesto anual de adquisiciones.</w:t>
      </w:r>
    </w:p>
    <w:p w14:paraId="718FB7A2" w14:textId="77777777" w:rsidR="00452129" w:rsidRPr="00FD67DB" w:rsidRDefault="00452129" w:rsidP="00452129">
      <w:pPr>
        <w:spacing w:after="0" w:line="240" w:lineRule="auto"/>
        <w:rPr>
          <w:rFonts w:ascii="Verdana" w:eastAsia="Aptos" w:hAnsi="Verdana" w:cs="Times New Roman"/>
          <w:sz w:val="20"/>
          <w:szCs w:val="20"/>
        </w:rPr>
      </w:pPr>
    </w:p>
    <w:p w14:paraId="3184B431" w14:textId="77777777" w:rsidR="00452129" w:rsidRPr="00FD67DB" w:rsidRDefault="00452129" w:rsidP="00452129">
      <w:pPr>
        <w:spacing w:after="0" w:line="240" w:lineRule="auto"/>
        <w:rPr>
          <w:rFonts w:ascii="Verdana" w:eastAsia="Aptos" w:hAnsi="Verdana" w:cs="Times New Roman"/>
          <w:sz w:val="20"/>
          <w:szCs w:val="20"/>
        </w:rPr>
      </w:pPr>
    </w:p>
    <w:p w14:paraId="4B019CD5" w14:textId="77777777" w:rsidR="00452129" w:rsidRPr="00FD67DB" w:rsidRDefault="00452129" w:rsidP="00452129">
      <w:pPr>
        <w:spacing w:after="0" w:line="240" w:lineRule="auto"/>
        <w:rPr>
          <w:rFonts w:ascii="Verdana" w:eastAsia="Aptos" w:hAnsi="Verdana" w:cs="Times New Roman"/>
          <w:sz w:val="20"/>
          <w:szCs w:val="20"/>
        </w:rPr>
      </w:pPr>
    </w:p>
    <w:p w14:paraId="17EA79D6" w14:textId="77777777" w:rsidR="00452129" w:rsidRPr="00FD67DB" w:rsidRDefault="00452129" w:rsidP="00452129">
      <w:pPr>
        <w:spacing w:after="0" w:line="240" w:lineRule="auto"/>
        <w:rPr>
          <w:rFonts w:ascii="Verdana" w:eastAsia="Aptos" w:hAnsi="Verdana" w:cs="Times New Roman"/>
          <w:sz w:val="20"/>
          <w:szCs w:val="20"/>
        </w:rPr>
      </w:pPr>
    </w:p>
    <w:p w14:paraId="1950D425" w14:textId="77777777" w:rsidR="00452129" w:rsidRDefault="00452129" w:rsidP="00452129">
      <w:pPr>
        <w:spacing w:after="0" w:line="240" w:lineRule="auto"/>
        <w:rPr>
          <w:rFonts w:ascii="Verdana" w:eastAsia="Aptos" w:hAnsi="Verdana" w:cs="Times New Roman"/>
          <w:sz w:val="20"/>
          <w:szCs w:val="20"/>
        </w:rPr>
      </w:pPr>
    </w:p>
    <w:p w14:paraId="5D20B2B1" w14:textId="77777777" w:rsidR="00452129" w:rsidRDefault="00452129" w:rsidP="00452129">
      <w:pPr>
        <w:spacing w:after="0" w:line="240" w:lineRule="auto"/>
        <w:rPr>
          <w:rFonts w:ascii="Verdana" w:eastAsia="Aptos" w:hAnsi="Verdana" w:cs="Times New Roman"/>
          <w:sz w:val="20"/>
          <w:szCs w:val="20"/>
        </w:rPr>
      </w:pPr>
    </w:p>
    <w:p w14:paraId="4076F6FA" w14:textId="77777777" w:rsidR="00452129" w:rsidRDefault="00452129" w:rsidP="00452129">
      <w:pPr>
        <w:spacing w:after="0" w:line="240" w:lineRule="auto"/>
        <w:rPr>
          <w:rFonts w:ascii="Verdana" w:eastAsia="Aptos" w:hAnsi="Verdana" w:cs="Times New Roman"/>
          <w:sz w:val="20"/>
          <w:szCs w:val="20"/>
        </w:rPr>
      </w:pPr>
    </w:p>
    <w:p w14:paraId="6FC555E4" w14:textId="77777777" w:rsidR="00452129" w:rsidRDefault="00452129" w:rsidP="00452129">
      <w:pPr>
        <w:spacing w:after="0" w:line="240" w:lineRule="auto"/>
        <w:rPr>
          <w:rFonts w:ascii="Verdana" w:eastAsia="Aptos" w:hAnsi="Verdana" w:cs="Times New Roman"/>
          <w:sz w:val="20"/>
          <w:szCs w:val="20"/>
        </w:rPr>
      </w:pPr>
    </w:p>
    <w:p w14:paraId="567D3516" w14:textId="77777777" w:rsidR="00452129" w:rsidRDefault="00452129" w:rsidP="00452129">
      <w:pPr>
        <w:spacing w:after="0" w:line="240" w:lineRule="auto"/>
        <w:rPr>
          <w:rFonts w:ascii="Verdana" w:eastAsia="Aptos" w:hAnsi="Verdana" w:cs="Times New Roman"/>
          <w:sz w:val="20"/>
          <w:szCs w:val="20"/>
        </w:rPr>
      </w:pPr>
    </w:p>
    <w:p w14:paraId="39C9AD13" w14:textId="77777777" w:rsidR="00452129" w:rsidRDefault="00452129" w:rsidP="00452129">
      <w:pPr>
        <w:spacing w:after="0" w:line="240" w:lineRule="auto"/>
        <w:rPr>
          <w:rFonts w:ascii="Verdana" w:eastAsia="Aptos" w:hAnsi="Verdana" w:cs="Times New Roman"/>
          <w:sz w:val="20"/>
          <w:szCs w:val="20"/>
        </w:rPr>
      </w:pPr>
    </w:p>
    <w:p w14:paraId="0AA483D1" w14:textId="77777777" w:rsidR="00452129" w:rsidRDefault="00452129" w:rsidP="00452129">
      <w:pPr>
        <w:spacing w:after="0" w:line="240" w:lineRule="auto"/>
        <w:rPr>
          <w:rFonts w:ascii="Verdana" w:eastAsia="Aptos" w:hAnsi="Verdana" w:cs="Times New Roman"/>
          <w:sz w:val="20"/>
          <w:szCs w:val="20"/>
        </w:rPr>
      </w:pPr>
    </w:p>
    <w:p w14:paraId="12DBE903" w14:textId="77777777" w:rsidR="00452129" w:rsidRPr="00FD67DB" w:rsidRDefault="00452129" w:rsidP="00452129">
      <w:pPr>
        <w:spacing w:after="0" w:line="240" w:lineRule="auto"/>
        <w:rPr>
          <w:rFonts w:ascii="Verdana" w:eastAsia="Aptos" w:hAnsi="Verdana" w:cs="Times New Roman"/>
          <w:sz w:val="20"/>
          <w:szCs w:val="20"/>
        </w:rPr>
      </w:pPr>
    </w:p>
    <w:p w14:paraId="4CE75B45" w14:textId="5081CC98" w:rsidR="00452129" w:rsidRPr="00FD67DB" w:rsidRDefault="00452129" w:rsidP="00452129">
      <w:pPr>
        <w:spacing w:after="0" w:line="240" w:lineRule="auto"/>
        <w:jc w:val="both"/>
        <w:rPr>
          <w:rFonts w:ascii="Verdana" w:eastAsia="Calibri" w:hAnsi="Verdana" w:cs="Arial"/>
          <w:lang w:val="es-ES"/>
        </w:rPr>
      </w:pPr>
      <w:r w:rsidRPr="00FD67DB">
        <w:rPr>
          <w:rFonts w:ascii="Verdana" w:eastAsia="Geomanist Light" w:hAnsi="Verdana" w:cs="Arial"/>
          <w:lang w:val="es-MX"/>
        </w:rPr>
        <w:lastRenderedPageBreak/>
        <w:t>Bogotá D.C., </w:t>
      </w:r>
      <w:r w:rsidR="0086681F">
        <w:rPr>
          <w:rFonts w:ascii="Verdana" w:eastAsia="Geomanist Light" w:hAnsi="Verdana" w:cs="Arial"/>
          <w:lang w:val="es-MX"/>
        </w:rPr>
        <w:t>02 de junio de 2026</w:t>
      </w:r>
    </w:p>
    <w:p w14:paraId="62A53903" w14:textId="77777777" w:rsidR="00452129" w:rsidRPr="00FD67DB" w:rsidRDefault="00452129" w:rsidP="00452129">
      <w:pPr>
        <w:spacing w:after="0" w:line="240" w:lineRule="auto"/>
        <w:jc w:val="both"/>
        <w:rPr>
          <w:rFonts w:ascii="Verdana" w:eastAsia="Calibri" w:hAnsi="Verdana" w:cs="Arial"/>
          <w:lang w:val="es-ES"/>
        </w:rPr>
      </w:pPr>
    </w:p>
    <w:p w14:paraId="778904D9" w14:textId="5292E699" w:rsidR="00452129" w:rsidRPr="00FD67DB" w:rsidRDefault="00FF38B1" w:rsidP="00452129">
      <w:pPr>
        <w:spacing w:after="0" w:line="240" w:lineRule="auto"/>
        <w:jc w:val="right"/>
        <w:rPr>
          <w:rFonts w:ascii="Verdana" w:eastAsia="Calibri" w:hAnsi="Verdana" w:cs="Arial"/>
          <w:lang w:val="es-ES"/>
        </w:rPr>
      </w:pPr>
      <w:r w:rsidRPr="00FF38B1">
        <w:rPr>
          <w:rFonts w:ascii="Verdana" w:eastAsia="Calibri" w:hAnsi="Verdana" w:cs="Arial"/>
          <w:lang w:val="es-ES"/>
        </w:rPr>
        <w:drawing>
          <wp:inline distT="0" distB="0" distL="0" distR="0" wp14:anchorId="68A54EFA" wp14:editId="28D3AD08">
            <wp:extent cx="1676634" cy="543001"/>
            <wp:effectExtent l="0" t="0" r="0" b="9525"/>
            <wp:docPr id="13069440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944065" name=""/>
                    <pic:cNvPicPr/>
                  </pic:nvPicPr>
                  <pic:blipFill>
                    <a:blip r:embed="rId10"/>
                    <a:stretch>
                      <a:fillRect/>
                    </a:stretch>
                  </pic:blipFill>
                  <pic:spPr>
                    <a:xfrm>
                      <a:off x="0" y="0"/>
                      <a:ext cx="1676634" cy="543001"/>
                    </a:xfrm>
                    <a:prstGeom prst="rect">
                      <a:avLst/>
                    </a:prstGeom>
                  </pic:spPr>
                </pic:pic>
              </a:graphicData>
            </a:graphic>
          </wp:inline>
        </w:drawing>
      </w:r>
    </w:p>
    <w:p w14:paraId="5E8BF416" w14:textId="77777777" w:rsidR="00452129" w:rsidRPr="00FD67DB" w:rsidRDefault="00452129" w:rsidP="00452129">
      <w:pPr>
        <w:spacing w:after="0" w:line="240" w:lineRule="auto"/>
        <w:jc w:val="both"/>
        <w:rPr>
          <w:rFonts w:ascii="Verdana" w:eastAsia="Calibri" w:hAnsi="Verdana" w:cs="Arial"/>
          <w:lang w:val="es-ES" w:eastAsia="es-ES"/>
        </w:rPr>
      </w:pPr>
      <w:r w:rsidRPr="00FD67DB">
        <w:rPr>
          <w:rFonts w:ascii="Verdana" w:eastAsia="Calibri" w:hAnsi="Verdana" w:cs="Arial"/>
          <w:lang w:val="es-ES" w:eastAsia="es-ES"/>
        </w:rPr>
        <w:t>Señores</w:t>
      </w:r>
    </w:p>
    <w:p w14:paraId="3A1FE88D" w14:textId="77777777" w:rsidR="00452129" w:rsidRPr="00FD67DB" w:rsidRDefault="00452129" w:rsidP="00452129">
      <w:pPr>
        <w:spacing w:after="0" w:line="240" w:lineRule="auto"/>
        <w:rPr>
          <w:rFonts w:ascii="Verdana" w:eastAsia="Calibri" w:hAnsi="Verdana" w:cs="Arial"/>
          <w:b/>
          <w:lang w:val="es-ES" w:eastAsia="es-ES"/>
        </w:rPr>
      </w:pPr>
      <w:r w:rsidRPr="00FD67DB">
        <w:rPr>
          <w:rFonts w:ascii="Verdana" w:eastAsia="Calibri" w:hAnsi="Verdana" w:cs="Arial"/>
          <w:b/>
          <w:lang w:val="es-ES" w:eastAsia="es-ES"/>
        </w:rPr>
        <w:t>Fondo Rotatorio de la Policía</w:t>
      </w:r>
    </w:p>
    <w:p w14:paraId="75294D06" w14:textId="77777777" w:rsidR="00452129" w:rsidRPr="00FD67DB" w:rsidRDefault="00452129" w:rsidP="00452129">
      <w:pPr>
        <w:spacing w:after="0" w:line="240" w:lineRule="auto"/>
        <w:rPr>
          <w:rFonts w:ascii="Verdana" w:hAnsi="Verdana"/>
        </w:rPr>
      </w:pPr>
      <w:hyperlink r:id="rId11" w:history="1">
        <w:r w:rsidRPr="00FD67DB">
          <w:rPr>
            <w:rStyle w:val="Hipervnculo"/>
            <w:rFonts w:ascii="Verdana" w:hAnsi="Verdana"/>
          </w:rPr>
          <w:t>lisette.acosta@forpo.gov.co</w:t>
        </w:r>
      </w:hyperlink>
      <w:r w:rsidRPr="00FD67DB">
        <w:rPr>
          <w:rFonts w:ascii="Verdana" w:hAnsi="Verdana"/>
        </w:rPr>
        <w:t xml:space="preserve"> </w:t>
      </w:r>
    </w:p>
    <w:p w14:paraId="4C7CDD49" w14:textId="77777777" w:rsidR="00452129" w:rsidRPr="00FD67DB" w:rsidRDefault="00452129" w:rsidP="00452129">
      <w:pPr>
        <w:spacing w:after="0" w:line="240" w:lineRule="auto"/>
        <w:rPr>
          <w:rFonts w:ascii="Verdana" w:eastAsia="Calibri" w:hAnsi="Verdana" w:cs="Arial"/>
          <w:b/>
          <w:bCs/>
          <w:lang w:val="es-ES" w:eastAsia="es-ES"/>
        </w:rPr>
      </w:pPr>
      <w:r w:rsidRPr="00FD67DB">
        <w:rPr>
          <w:rFonts w:ascii="Verdana" w:eastAsia="Calibri" w:hAnsi="Verdana" w:cs="Arial"/>
          <w:lang w:val="es-ES" w:eastAsia="es-ES"/>
        </w:rPr>
        <w:t>Ciudad</w:t>
      </w:r>
    </w:p>
    <w:p w14:paraId="6D4207F8" w14:textId="77777777" w:rsidR="00452129" w:rsidRPr="00FD67DB" w:rsidRDefault="00452129" w:rsidP="0045212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2129" w:rsidRPr="00FD67DB" w14:paraId="0F9D1481" w14:textId="77777777" w:rsidTr="007B6D5E">
        <w:trPr>
          <w:trHeight w:val="308"/>
        </w:trPr>
        <w:tc>
          <w:tcPr>
            <w:tcW w:w="2689" w:type="dxa"/>
          </w:tcPr>
          <w:p w14:paraId="193895C1" w14:textId="77777777" w:rsidR="00452129" w:rsidRPr="00FD67DB" w:rsidRDefault="00452129" w:rsidP="007B6D5E">
            <w:pPr>
              <w:jc w:val="both"/>
              <w:rPr>
                <w:rFonts w:ascii="Verdana" w:eastAsia="Calibri" w:hAnsi="Verdana" w:cs="Arial"/>
                <w:b/>
                <w:bCs/>
                <w:lang w:val="es-ES_tradnl" w:eastAsia="es-ES_tradnl"/>
              </w:rPr>
            </w:pPr>
          </w:p>
        </w:tc>
        <w:tc>
          <w:tcPr>
            <w:tcW w:w="6100" w:type="dxa"/>
          </w:tcPr>
          <w:p w14:paraId="2AD5CCE1" w14:textId="77777777" w:rsidR="00452129" w:rsidRPr="00FD67DB" w:rsidRDefault="00452129" w:rsidP="007B6D5E">
            <w:pPr>
              <w:jc w:val="both"/>
              <w:rPr>
                <w:rFonts w:ascii="Verdana" w:eastAsia="Calibri" w:hAnsi="Verdana" w:cs="Arial"/>
                <w:b/>
                <w:bCs/>
                <w:lang w:val="es-ES" w:eastAsia="es-ES"/>
              </w:rPr>
            </w:pPr>
            <w:r w:rsidRPr="00FD67DB">
              <w:rPr>
                <w:rFonts w:ascii="Verdana" w:eastAsia="Calibri" w:hAnsi="Verdana" w:cs="Arial"/>
                <w:b/>
                <w:bCs/>
                <w:lang w:val="es-ES" w:eastAsia="es-ES"/>
              </w:rPr>
              <w:t>Concepto C-663 de 2026</w:t>
            </w:r>
          </w:p>
          <w:p w14:paraId="67219D51" w14:textId="77777777" w:rsidR="00452129" w:rsidRPr="00FD67DB" w:rsidRDefault="00452129" w:rsidP="007B6D5E">
            <w:pPr>
              <w:jc w:val="both"/>
              <w:rPr>
                <w:rFonts w:ascii="Verdana" w:eastAsia="Calibri" w:hAnsi="Verdana" w:cs="Arial"/>
                <w:b/>
                <w:bCs/>
                <w:lang w:val="es-ES" w:eastAsia="es-ES"/>
              </w:rPr>
            </w:pPr>
          </w:p>
        </w:tc>
      </w:tr>
      <w:tr w:rsidR="00452129" w:rsidRPr="00FD67DB" w14:paraId="1DD30175" w14:textId="77777777" w:rsidTr="007B6D5E">
        <w:trPr>
          <w:trHeight w:val="884"/>
        </w:trPr>
        <w:tc>
          <w:tcPr>
            <w:tcW w:w="2689" w:type="dxa"/>
          </w:tcPr>
          <w:p w14:paraId="182857CE" w14:textId="77777777" w:rsidR="00452129" w:rsidRPr="00FD67DB" w:rsidRDefault="00452129" w:rsidP="007B6D5E">
            <w:pPr>
              <w:jc w:val="both"/>
              <w:rPr>
                <w:rFonts w:ascii="Verdana" w:eastAsia="Calibri" w:hAnsi="Verdana" w:cs="Arial"/>
                <w:lang w:val="es-ES_tradnl" w:eastAsia="es-ES_tradnl"/>
              </w:rPr>
            </w:pPr>
            <w:r w:rsidRPr="00FD67DB">
              <w:rPr>
                <w:rFonts w:ascii="Verdana" w:eastAsia="Calibri" w:hAnsi="Verdana" w:cs="Arial"/>
                <w:b/>
                <w:lang w:val="es-ES_tradnl" w:eastAsia="es-ES_tradnl"/>
              </w:rPr>
              <w:t>Temas:</w:t>
            </w:r>
            <w:r w:rsidRPr="00FD67DB">
              <w:rPr>
                <w:rFonts w:ascii="Verdana" w:eastAsia="Calibri" w:hAnsi="Verdana" w:cs="Arial"/>
                <w:lang w:val="es-ES_tradnl" w:eastAsia="es-ES_tradnl"/>
              </w:rPr>
              <w:t xml:space="preserve">                   </w:t>
            </w:r>
          </w:p>
        </w:tc>
        <w:tc>
          <w:tcPr>
            <w:tcW w:w="6100" w:type="dxa"/>
          </w:tcPr>
          <w:p w14:paraId="5EBD437D" w14:textId="77777777" w:rsidR="00452129" w:rsidRPr="00FD67DB" w:rsidRDefault="00452129" w:rsidP="007B6D5E">
            <w:pPr>
              <w:spacing w:line="276" w:lineRule="auto"/>
              <w:jc w:val="both"/>
              <w:rPr>
                <w:rFonts w:ascii="Verdana" w:eastAsia="Calibri" w:hAnsi="Verdana" w:cs="Arial"/>
                <w:lang w:val="es-ES" w:eastAsia="es-ES"/>
              </w:rPr>
            </w:pPr>
            <w:r w:rsidRPr="00FD67DB">
              <w:rPr>
                <w:rFonts w:ascii="Verdana" w:eastAsia="Calibri" w:hAnsi="Verdana" w:cs="Arial"/>
                <w:lang w:val="es-ES" w:eastAsia="es-ES"/>
              </w:rPr>
              <w:t>CONVENIOS INTERADMINISTRATIVOS – Noción – Características /</w:t>
            </w:r>
            <w:r w:rsidRPr="00FD67DB">
              <w:t xml:space="preserve"> </w:t>
            </w:r>
            <w:r w:rsidRPr="00FD67DB">
              <w:rPr>
                <w:rFonts w:ascii="Verdana" w:eastAsia="Calibri" w:hAnsi="Verdana" w:cs="Arial"/>
                <w:lang w:val="es-ES" w:eastAsia="es-ES"/>
              </w:rPr>
              <w:t>FRACCIONAMIENTO DEL CONTRATO – Configuración /</w:t>
            </w:r>
            <w:r w:rsidRPr="00FD67DB">
              <w:t xml:space="preserve"> </w:t>
            </w:r>
            <w:r w:rsidRPr="00FD67DB">
              <w:rPr>
                <w:rFonts w:ascii="Verdana" w:eastAsia="Calibri" w:hAnsi="Verdana" w:cs="Arial"/>
                <w:lang w:val="es-ES" w:eastAsia="es-ES"/>
              </w:rPr>
              <w:t>PLAN ANUAL DE ADQUISICIONES – Reglas para actualizarlo</w:t>
            </w:r>
          </w:p>
        </w:tc>
      </w:tr>
    </w:tbl>
    <w:p w14:paraId="42EBA053" w14:textId="77777777" w:rsidR="00452129" w:rsidRPr="00FD67DB" w:rsidRDefault="00452129" w:rsidP="00452129">
      <w:pPr>
        <w:spacing w:after="0" w:line="240" w:lineRule="auto"/>
        <w:rPr>
          <w:rFonts w:ascii="Verdana" w:eastAsia="Calibri" w:hAnsi="Verdana" w:cs="Arial"/>
          <w:b/>
          <w:bCs/>
          <w:lang w:val="es-ES_tradnl"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52129" w:rsidRPr="00FD67DB" w14:paraId="5263045F" w14:textId="77777777" w:rsidTr="007B6D5E">
        <w:tc>
          <w:tcPr>
            <w:tcW w:w="2689" w:type="dxa"/>
          </w:tcPr>
          <w:p w14:paraId="64725A2E" w14:textId="77777777" w:rsidR="00452129" w:rsidRPr="00FD67DB" w:rsidRDefault="00452129" w:rsidP="007B6D5E">
            <w:pPr>
              <w:jc w:val="both"/>
              <w:rPr>
                <w:rFonts w:ascii="Verdana" w:eastAsia="Calibri" w:hAnsi="Verdana" w:cs="Arial"/>
                <w:b/>
                <w:lang w:val="es-ES_tradnl" w:eastAsia="es-ES_tradnl"/>
              </w:rPr>
            </w:pPr>
            <w:r w:rsidRPr="00FD67DB">
              <w:rPr>
                <w:rFonts w:ascii="Verdana" w:eastAsia="Calibri" w:hAnsi="Verdana" w:cs="Arial"/>
                <w:b/>
                <w:lang w:val="es-ES_tradnl" w:eastAsia="es-ES_tradnl"/>
              </w:rPr>
              <w:t>Radicación:</w:t>
            </w:r>
            <w:r w:rsidRPr="00FD67DB">
              <w:rPr>
                <w:rFonts w:ascii="Verdana" w:eastAsia="Calibri" w:hAnsi="Verdana" w:cs="Arial"/>
                <w:lang w:val="es-ES_tradnl" w:eastAsia="es-ES_tradnl"/>
              </w:rPr>
              <w:t xml:space="preserve">               </w:t>
            </w:r>
          </w:p>
        </w:tc>
        <w:tc>
          <w:tcPr>
            <w:tcW w:w="6100" w:type="dxa"/>
          </w:tcPr>
          <w:p w14:paraId="11FA823C" w14:textId="77777777" w:rsidR="00452129" w:rsidRPr="00FD67DB" w:rsidRDefault="00452129" w:rsidP="007B6D5E">
            <w:pPr>
              <w:jc w:val="both"/>
              <w:rPr>
                <w:rFonts w:ascii="Verdana" w:eastAsia="Calibri" w:hAnsi="Verdana" w:cs="Arial"/>
                <w:lang w:val="es-ES_tradnl" w:eastAsia="es-ES_tradnl"/>
              </w:rPr>
            </w:pPr>
            <w:r w:rsidRPr="00FD67DB">
              <w:rPr>
                <w:rFonts w:ascii="Verdana" w:eastAsia="Calibri" w:hAnsi="Verdana" w:cs="Arial"/>
                <w:lang w:val="es-ES_tradnl" w:eastAsia="es-ES_tradnl"/>
              </w:rPr>
              <w:t>Respuesta a consulta con radicado No. 1_2026_04_22_005489</w:t>
            </w:r>
          </w:p>
        </w:tc>
      </w:tr>
    </w:tbl>
    <w:p w14:paraId="3BABA2C7" w14:textId="77777777" w:rsidR="00452129" w:rsidRPr="00FD67DB" w:rsidRDefault="00452129" w:rsidP="00452129">
      <w:pPr>
        <w:spacing w:after="0" w:line="240" w:lineRule="auto"/>
        <w:jc w:val="both"/>
        <w:rPr>
          <w:rFonts w:ascii="Verdana" w:eastAsia="Calibri" w:hAnsi="Verdana" w:cs="Arial"/>
          <w:lang w:val="es-ES_tradnl" w:eastAsia="es-ES_tradnl"/>
        </w:rPr>
      </w:pPr>
    </w:p>
    <w:p w14:paraId="3D7977E5" w14:textId="77777777" w:rsidR="00452129" w:rsidRPr="00FD67DB" w:rsidRDefault="00452129" w:rsidP="00452129">
      <w:pPr>
        <w:spacing w:after="0" w:line="276" w:lineRule="auto"/>
        <w:jc w:val="both"/>
        <w:rPr>
          <w:rFonts w:ascii="Verdana" w:eastAsia="Calibri" w:hAnsi="Verdana" w:cs="Arial"/>
          <w:lang w:val="es-ES" w:eastAsia="es-ES"/>
        </w:rPr>
      </w:pPr>
      <w:r w:rsidRPr="00FD67DB">
        <w:rPr>
          <w:rFonts w:ascii="Verdana" w:eastAsia="Calibri" w:hAnsi="Verdana" w:cs="Arial"/>
          <w:lang w:val="es-ES" w:eastAsia="es-ES"/>
        </w:rPr>
        <w:t xml:space="preserve">Estimados Señores: </w:t>
      </w:r>
    </w:p>
    <w:p w14:paraId="77F96175" w14:textId="77777777" w:rsidR="00452129" w:rsidRPr="00FD67DB" w:rsidRDefault="00452129" w:rsidP="00452129">
      <w:pPr>
        <w:tabs>
          <w:tab w:val="left" w:pos="3768"/>
        </w:tabs>
        <w:spacing w:after="0" w:line="276" w:lineRule="auto"/>
        <w:jc w:val="both"/>
        <w:rPr>
          <w:rFonts w:ascii="Verdana" w:eastAsia="Calibri" w:hAnsi="Verdana" w:cs="Arial"/>
          <w:lang w:val="es-ES" w:eastAsia="es-ES"/>
        </w:rPr>
      </w:pPr>
    </w:p>
    <w:p w14:paraId="351CBA78" w14:textId="77777777" w:rsidR="00452129" w:rsidRPr="00FD67DB" w:rsidRDefault="00452129" w:rsidP="00452129">
      <w:pPr>
        <w:spacing w:after="0" w:line="276" w:lineRule="auto"/>
        <w:jc w:val="both"/>
        <w:rPr>
          <w:rFonts w:ascii="Verdana" w:eastAsia="Calibri" w:hAnsi="Verdana" w:cs="Arial"/>
          <w:lang w:val="es-ES" w:eastAsia="es-ES"/>
        </w:rPr>
      </w:pPr>
      <w:r w:rsidRPr="00FD67DB">
        <w:rPr>
          <w:rFonts w:ascii="Verdana" w:eastAsia="Calibri" w:hAnsi="Verdana" w:cs="Arial"/>
          <w:lang w:val="es-ES" w:eastAsia="es-ES"/>
        </w:rPr>
        <w:t>En ejercicio de la competencia otorgada por los artículos 3, numeral 5º, y 11, numeral 8º, del Decreto Ley 4170 de 2011,</w:t>
      </w:r>
      <w:r w:rsidRPr="00FD67DB">
        <w:rPr>
          <w:rFonts w:ascii="Verdana" w:eastAsia="Arial MT" w:hAnsi="Verdana" w:cs="Arial MT"/>
          <w:lang w:val="es-ES" w:eastAsia="es-ES"/>
        </w:rPr>
        <w:t xml:space="preserve"> </w:t>
      </w:r>
      <w:r w:rsidRPr="00FD67DB">
        <w:rPr>
          <w:rFonts w:ascii="Verdana" w:eastAsia="Aptos" w:hAnsi="Verdana" w:cs="Arial"/>
        </w:rPr>
        <w:t xml:space="preserve">así como lo establecido en el artículo 4 de la Resolución 1707 de 2018 expedida por esta Entidad, </w:t>
      </w:r>
      <w:r w:rsidRPr="00FD67DB">
        <w:rPr>
          <w:rFonts w:ascii="Verdana" w:eastAsia="Calibri" w:hAnsi="Verdana" w:cs="Arial"/>
          <w:lang w:val="es-ES" w:eastAsia="es-ES"/>
        </w:rPr>
        <w:t xml:space="preserve">la Agencia Nacional de Contratación Pública – Colombia Compra Eficiente– responde su petición del 22 de abril de 2026, en la que realizan la siguiente consulta: </w:t>
      </w:r>
    </w:p>
    <w:p w14:paraId="2A2A55E7" w14:textId="77777777" w:rsidR="00452129" w:rsidRPr="00FD67DB" w:rsidRDefault="00452129" w:rsidP="00452129">
      <w:pPr>
        <w:spacing w:after="0" w:line="276" w:lineRule="auto"/>
        <w:jc w:val="both"/>
        <w:rPr>
          <w:rFonts w:ascii="Verdana" w:eastAsia="Calibri" w:hAnsi="Verdana" w:cs="Arial"/>
          <w:lang w:val="es-ES" w:eastAsia="es-ES"/>
        </w:rPr>
      </w:pPr>
    </w:p>
    <w:p w14:paraId="352E3D42" w14:textId="77777777" w:rsidR="00452129" w:rsidRPr="00FD67DB" w:rsidRDefault="00452129" w:rsidP="00452129">
      <w:pPr>
        <w:spacing w:after="0" w:line="240" w:lineRule="auto"/>
        <w:ind w:left="709" w:right="709"/>
        <w:jc w:val="both"/>
        <w:rPr>
          <w:rFonts w:ascii="Verdana" w:eastAsia="Calibri" w:hAnsi="Verdana" w:cs="Arial"/>
          <w:sz w:val="20"/>
          <w:szCs w:val="20"/>
          <w:lang w:val="es-MX"/>
        </w:rPr>
      </w:pPr>
      <w:r w:rsidRPr="00FD67DB">
        <w:rPr>
          <w:rFonts w:ascii="Verdana" w:eastAsia="Calibri" w:hAnsi="Verdana" w:cs="Arial"/>
          <w:sz w:val="20"/>
          <w:szCs w:val="20"/>
          <w:lang w:val="es-MX"/>
        </w:rPr>
        <w:t>“[…]</w:t>
      </w:r>
    </w:p>
    <w:p w14:paraId="49F0EB9C" w14:textId="77777777" w:rsidR="00452129" w:rsidRPr="00FD67DB" w:rsidRDefault="00452129" w:rsidP="00452129">
      <w:pPr>
        <w:spacing w:after="0" w:line="240" w:lineRule="auto"/>
        <w:ind w:left="709" w:right="709"/>
        <w:jc w:val="both"/>
        <w:rPr>
          <w:rFonts w:ascii="Verdana" w:eastAsia="Calibri" w:hAnsi="Verdana" w:cs="Arial"/>
          <w:i/>
          <w:iCs/>
          <w:sz w:val="20"/>
          <w:szCs w:val="20"/>
          <w:lang w:val="es-MX"/>
        </w:rPr>
      </w:pPr>
      <w:r w:rsidRPr="00FD67DB">
        <w:rPr>
          <w:rFonts w:ascii="Verdana" w:eastAsia="Calibri" w:hAnsi="Verdana" w:cs="Arial"/>
          <w:i/>
          <w:iCs/>
          <w:sz w:val="20"/>
          <w:szCs w:val="20"/>
          <w:lang w:val="es-MX"/>
        </w:rPr>
        <w:t>¿Es jurídicamente procedente que Fondo Rotatorio de la Policía adelante procesos contractuales y suscriba contratos con objetos similares –como de motocicletas– cuando estas se originan en convenios interadministrativos distintos, responden a necesidades independientes, cuentan con fuentes de financiación autónomas y están destinadas a beneficiarios o unidades diferentes, sin que ello configure un fraccionamiento indebido del contrato ni una vulneración de los principios de planeación, economía y selección objetiva?</w:t>
      </w:r>
    </w:p>
    <w:p w14:paraId="3A8BA952" w14:textId="77777777" w:rsidR="00452129" w:rsidRPr="00FD67DB" w:rsidRDefault="00452129" w:rsidP="00452129">
      <w:pPr>
        <w:spacing w:after="0" w:line="240" w:lineRule="auto"/>
        <w:ind w:left="709" w:right="709"/>
        <w:jc w:val="both"/>
        <w:rPr>
          <w:rFonts w:ascii="Verdana" w:eastAsia="Calibri" w:hAnsi="Verdana" w:cs="Arial"/>
          <w:i/>
          <w:iCs/>
          <w:sz w:val="20"/>
          <w:szCs w:val="20"/>
          <w:lang w:val="es-MX"/>
        </w:rPr>
      </w:pPr>
    </w:p>
    <w:p w14:paraId="1AEB8CFA" w14:textId="77777777" w:rsidR="00452129" w:rsidRPr="00FD67DB" w:rsidRDefault="00452129" w:rsidP="00452129">
      <w:pPr>
        <w:spacing w:after="0" w:line="240" w:lineRule="auto"/>
        <w:ind w:left="709" w:right="709"/>
        <w:jc w:val="both"/>
        <w:rPr>
          <w:rFonts w:ascii="Verdana" w:eastAsia="Calibri" w:hAnsi="Verdana" w:cs="Arial"/>
          <w:sz w:val="20"/>
          <w:szCs w:val="20"/>
          <w:lang w:val="es-MX"/>
        </w:rPr>
      </w:pPr>
      <w:r w:rsidRPr="00FD67DB">
        <w:rPr>
          <w:rFonts w:ascii="Verdana" w:eastAsia="Calibri" w:hAnsi="Verdana" w:cs="Arial"/>
          <w:sz w:val="20"/>
          <w:szCs w:val="20"/>
          <w:lang w:val="es-MX"/>
        </w:rPr>
        <w:t>En virtud de lo anterior, respetuosamente se solicita a esa Agencia emitir concepto en relación con los siguientes aspectos:</w:t>
      </w:r>
    </w:p>
    <w:p w14:paraId="598C12A8" w14:textId="77777777" w:rsidR="00452129" w:rsidRPr="00FD67DB" w:rsidRDefault="00452129" w:rsidP="00452129">
      <w:pPr>
        <w:pStyle w:val="Prrafodelista"/>
        <w:numPr>
          <w:ilvl w:val="0"/>
          <w:numId w:val="2"/>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t>La procedencia jurídica de adelantar procesos contractuales con objetos similares en el marco de convenios interadministrativos distintos, sin que ello constituya fraccionamiento indebido del contrato o contravenga los principios que rigen la contratación estatal.</w:t>
      </w:r>
    </w:p>
    <w:p w14:paraId="6DB4ADF1" w14:textId="77777777" w:rsidR="00452129" w:rsidRPr="00FD67DB" w:rsidRDefault="00452129" w:rsidP="00452129">
      <w:pPr>
        <w:pStyle w:val="Prrafodelista"/>
        <w:numPr>
          <w:ilvl w:val="0"/>
          <w:numId w:val="2"/>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t>Los criterios jurídicos y técnicos que deben considerarse para establecer la existencia de una necesidad independiente, la autonomía de la fuente de financiación y la debida diferenciación del objeto contractual en escenarios como el descrito.</w:t>
      </w:r>
    </w:p>
    <w:p w14:paraId="4781DA81" w14:textId="77777777" w:rsidR="00452129" w:rsidRPr="00FD67DB" w:rsidRDefault="00452129" w:rsidP="00452129">
      <w:pPr>
        <w:pStyle w:val="Prrafodelista"/>
        <w:numPr>
          <w:ilvl w:val="0"/>
          <w:numId w:val="2"/>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lastRenderedPageBreak/>
        <w:t xml:space="preserve">Las recomendaciones y lineamientos que estime pertinentes para garantizar que la actuación del Fondo Rotatorio de la Policía se ajuste plenamente al ordenamiento jurídico vigente, en especial a los principios de planeación, economía, transparencia y selección objetiva. </w:t>
      </w:r>
    </w:p>
    <w:p w14:paraId="5BA86CB1" w14:textId="77777777" w:rsidR="00452129" w:rsidRPr="00FD67DB" w:rsidRDefault="00452129" w:rsidP="00452129">
      <w:pPr>
        <w:spacing w:after="0" w:line="240" w:lineRule="auto"/>
        <w:ind w:left="709" w:right="709"/>
        <w:jc w:val="both"/>
        <w:rPr>
          <w:rFonts w:ascii="Verdana" w:eastAsia="Calibri" w:hAnsi="Verdana" w:cs="Arial"/>
          <w:sz w:val="20"/>
          <w:szCs w:val="20"/>
          <w:lang w:val="es-MX"/>
        </w:rPr>
      </w:pPr>
      <w:r w:rsidRPr="00FD67DB">
        <w:rPr>
          <w:rFonts w:ascii="Verdana" w:eastAsia="Calibri" w:hAnsi="Verdana" w:cs="Arial"/>
          <w:sz w:val="20"/>
          <w:szCs w:val="20"/>
          <w:lang w:val="es-MX"/>
        </w:rPr>
        <w:t>[…]</w:t>
      </w:r>
    </w:p>
    <w:p w14:paraId="675E965E" w14:textId="77777777" w:rsidR="00452129" w:rsidRPr="00FD67DB" w:rsidRDefault="00452129" w:rsidP="00452129">
      <w:pPr>
        <w:spacing w:after="0" w:line="240" w:lineRule="auto"/>
        <w:ind w:left="709" w:right="709"/>
        <w:jc w:val="both"/>
        <w:rPr>
          <w:rFonts w:ascii="Verdana" w:eastAsia="Calibri" w:hAnsi="Verdana" w:cs="Arial"/>
          <w:i/>
          <w:iCs/>
          <w:sz w:val="20"/>
          <w:szCs w:val="20"/>
          <w:lang w:val="es-MX"/>
        </w:rPr>
      </w:pPr>
      <w:r w:rsidRPr="00FD67DB">
        <w:rPr>
          <w:rFonts w:ascii="Verdana" w:eastAsia="Calibri" w:hAnsi="Verdana" w:cs="Arial"/>
          <w:i/>
          <w:iCs/>
          <w:sz w:val="20"/>
          <w:szCs w:val="20"/>
          <w:lang w:val="es-MX"/>
        </w:rPr>
        <w:t>¿Es obligatorio modificar el Plan Anual de Adquisiciones cuando se presenta una variación en la fecha estimada de publicación del proceso, o dicha modificación solo resulta exigible en aquellos eventos en los que se alteren elementos del proceso de contratación?</w:t>
      </w:r>
    </w:p>
    <w:p w14:paraId="32BB8CB6" w14:textId="77777777" w:rsidR="00452129" w:rsidRPr="00FD67DB" w:rsidRDefault="00452129" w:rsidP="00452129">
      <w:pPr>
        <w:spacing w:after="0" w:line="240" w:lineRule="auto"/>
        <w:ind w:left="709" w:right="709"/>
        <w:jc w:val="both"/>
        <w:rPr>
          <w:rFonts w:ascii="Verdana" w:eastAsia="Calibri" w:hAnsi="Verdana" w:cs="Arial"/>
          <w:i/>
          <w:iCs/>
          <w:sz w:val="20"/>
          <w:szCs w:val="20"/>
          <w:lang w:val="es-MX"/>
        </w:rPr>
      </w:pPr>
    </w:p>
    <w:p w14:paraId="6011DF8F" w14:textId="77777777" w:rsidR="00452129" w:rsidRPr="00FD67DB" w:rsidRDefault="00452129" w:rsidP="00452129">
      <w:pPr>
        <w:spacing w:after="0" w:line="240" w:lineRule="auto"/>
        <w:ind w:left="709" w:right="709"/>
        <w:jc w:val="both"/>
        <w:rPr>
          <w:rFonts w:ascii="Verdana" w:eastAsia="Calibri" w:hAnsi="Verdana" w:cs="Arial"/>
          <w:sz w:val="20"/>
          <w:szCs w:val="20"/>
          <w:lang w:val="es-MX"/>
        </w:rPr>
      </w:pPr>
      <w:r w:rsidRPr="00FD67DB">
        <w:rPr>
          <w:rFonts w:ascii="Verdana" w:eastAsia="Calibri" w:hAnsi="Verdana" w:cs="Arial"/>
          <w:sz w:val="20"/>
          <w:szCs w:val="20"/>
          <w:lang w:val="es-MX"/>
        </w:rPr>
        <w:t>Así mismo, se solicita precisar:</w:t>
      </w:r>
    </w:p>
    <w:p w14:paraId="28BA48B1" w14:textId="77777777" w:rsidR="00452129" w:rsidRPr="00FD67DB" w:rsidRDefault="00452129" w:rsidP="00452129">
      <w:pPr>
        <w:spacing w:after="0" w:line="240" w:lineRule="auto"/>
        <w:ind w:left="709" w:right="709"/>
        <w:jc w:val="both"/>
        <w:rPr>
          <w:rFonts w:ascii="Verdana" w:eastAsia="Calibri" w:hAnsi="Verdana" w:cs="Arial"/>
          <w:sz w:val="20"/>
          <w:szCs w:val="20"/>
          <w:lang w:val="es-MX"/>
        </w:rPr>
      </w:pPr>
    </w:p>
    <w:p w14:paraId="0D837CAE" w14:textId="77777777" w:rsidR="00452129" w:rsidRPr="00FD67DB" w:rsidRDefault="00452129" w:rsidP="00452129">
      <w:pPr>
        <w:pStyle w:val="Prrafodelista"/>
        <w:numPr>
          <w:ilvl w:val="0"/>
          <w:numId w:val="3"/>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t>En qué casos en obligatorio modificar el Plan Anual de Adquisiciones, especialmente frente a cambios en cronogramas, valores, objetos o modalidades de selección.</w:t>
      </w:r>
    </w:p>
    <w:p w14:paraId="0852D28A" w14:textId="77777777" w:rsidR="00452129" w:rsidRPr="00FD67DB" w:rsidRDefault="00452129" w:rsidP="00452129">
      <w:pPr>
        <w:pStyle w:val="Prrafodelista"/>
        <w:numPr>
          <w:ilvl w:val="0"/>
          <w:numId w:val="3"/>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t>Si las variaciones en la fecha estimada de publicación constituyen un cambio sustancial que obligue a su actualización en el SECOP.</w:t>
      </w:r>
    </w:p>
    <w:p w14:paraId="6C63BBDE" w14:textId="77777777" w:rsidR="00452129" w:rsidRPr="00FD67DB" w:rsidRDefault="00452129" w:rsidP="00452129">
      <w:pPr>
        <w:pStyle w:val="Prrafodelista"/>
        <w:numPr>
          <w:ilvl w:val="0"/>
          <w:numId w:val="3"/>
        </w:numPr>
        <w:spacing w:after="0" w:line="240" w:lineRule="auto"/>
        <w:ind w:right="709"/>
        <w:jc w:val="both"/>
        <w:rPr>
          <w:rFonts w:ascii="Verdana" w:eastAsia="Calibri" w:hAnsi="Verdana" w:cs="Arial"/>
          <w:i/>
          <w:iCs/>
          <w:sz w:val="20"/>
          <w:szCs w:val="20"/>
          <w:lang w:val="es-MX"/>
        </w:rPr>
      </w:pPr>
      <w:r w:rsidRPr="00FD67DB">
        <w:rPr>
          <w:rFonts w:ascii="Verdana" w:eastAsia="Calibri" w:hAnsi="Verdana" w:cs="Arial"/>
          <w:sz w:val="20"/>
          <w:szCs w:val="20"/>
          <w:lang w:val="es-MX"/>
        </w:rPr>
        <w:t>Las buenas prácticas o lineamientos que recomienda esa Agencia para la gestión y actualización del PAA, en el marco de los principios de planeación, transparencia y publicidad”. [sic] [Cursivas propias]</w:t>
      </w:r>
    </w:p>
    <w:p w14:paraId="492B1548" w14:textId="77777777" w:rsidR="00452129" w:rsidRPr="00FD67DB" w:rsidRDefault="00452129" w:rsidP="00452129">
      <w:pPr>
        <w:spacing w:after="0" w:line="276" w:lineRule="auto"/>
        <w:jc w:val="both"/>
        <w:rPr>
          <w:rFonts w:ascii="Verdana" w:eastAsia="Calibri" w:hAnsi="Verdana" w:cs="Arial"/>
          <w:lang w:val="es-ES" w:eastAsia="es-ES"/>
        </w:rPr>
      </w:pPr>
    </w:p>
    <w:p w14:paraId="14DC38B6" w14:textId="77777777" w:rsidR="00452129" w:rsidRPr="00FD67DB" w:rsidRDefault="00452129" w:rsidP="00452129">
      <w:pPr>
        <w:spacing w:after="120" w:line="276" w:lineRule="auto"/>
        <w:jc w:val="both"/>
        <w:rPr>
          <w:rFonts w:ascii="Verdana" w:eastAsia="Calibri" w:hAnsi="Verdana" w:cs="Arial"/>
          <w:lang w:val="es-ES" w:eastAsia="es-ES"/>
        </w:rPr>
      </w:pPr>
      <w:r w:rsidRPr="00FD67D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y Contratación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F785184" w14:textId="77777777" w:rsidR="00452129" w:rsidRPr="00FD67DB" w:rsidRDefault="00452129" w:rsidP="00452129">
      <w:pPr>
        <w:spacing w:after="0" w:line="276" w:lineRule="auto"/>
        <w:ind w:firstLine="709"/>
        <w:jc w:val="both"/>
        <w:rPr>
          <w:rFonts w:ascii="Verdana" w:eastAsia="Calibri" w:hAnsi="Verdana" w:cs="Arial"/>
          <w:lang w:val="es-ES" w:eastAsia="es-ES"/>
        </w:rPr>
      </w:pPr>
      <w:r w:rsidRPr="00FD67DB">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5DC2606" w14:textId="77777777" w:rsidR="00452129" w:rsidRPr="00FD67DB" w:rsidRDefault="00452129" w:rsidP="00452129">
      <w:pPr>
        <w:spacing w:after="0" w:line="276" w:lineRule="auto"/>
        <w:ind w:firstLine="709"/>
        <w:jc w:val="both"/>
        <w:rPr>
          <w:rFonts w:ascii="Verdana" w:eastAsia="Calibri" w:hAnsi="Verdana" w:cs="Arial"/>
          <w:lang w:val="es-ES" w:eastAsia="es-ES"/>
        </w:rPr>
      </w:pPr>
    </w:p>
    <w:p w14:paraId="09AB6B55" w14:textId="77777777" w:rsidR="00452129" w:rsidRPr="00FD67DB" w:rsidRDefault="00452129" w:rsidP="00452129">
      <w:pPr>
        <w:widowControl w:val="0"/>
        <w:autoSpaceDE w:val="0"/>
        <w:autoSpaceDN w:val="0"/>
        <w:spacing w:before="1" w:after="0" w:line="240" w:lineRule="auto"/>
        <w:ind w:left="360" w:hanging="360"/>
        <w:jc w:val="both"/>
        <w:outlineLvl w:val="0"/>
        <w:rPr>
          <w:rFonts w:ascii="Verdana" w:eastAsia="Arial" w:hAnsi="Verdana" w:cs="Arial"/>
          <w:b/>
          <w:bCs/>
          <w:lang w:val="es-ES"/>
        </w:rPr>
      </w:pPr>
      <w:r w:rsidRPr="00FD67DB">
        <w:rPr>
          <w:rFonts w:ascii="Verdana" w:eastAsia="Arial" w:hAnsi="Verdana" w:cs="Arial"/>
          <w:b/>
          <w:bCs/>
          <w:lang w:val="es-ES"/>
        </w:rPr>
        <w:t>1. Problema planteado:</w:t>
      </w:r>
    </w:p>
    <w:p w14:paraId="1041435F" w14:textId="77777777" w:rsidR="00452129" w:rsidRPr="00FD67DB" w:rsidRDefault="00452129" w:rsidP="00452129">
      <w:pPr>
        <w:tabs>
          <w:tab w:val="left" w:pos="426"/>
        </w:tabs>
        <w:spacing w:after="0" w:line="276" w:lineRule="auto"/>
        <w:jc w:val="both"/>
        <w:rPr>
          <w:rFonts w:ascii="Verdana" w:eastAsia="Century Gothic" w:hAnsi="Verdana" w:cs="Century Gothic"/>
          <w:lang w:val="es-ES"/>
        </w:rPr>
      </w:pPr>
    </w:p>
    <w:p w14:paraId="32C23C6C" w14:textId="77777777" w:rsidR="00452129" w:rsidRPr="00FD67DB" w:rsidRDefault="00452129" w:rsidP="00452129">
      <w:pPr>
        <w:spacing w:after="0"/>
        <w:jc w:val="both"/>
        <w:rPr>
          <w:rFonts w:ascii="Verdana" w:hAnsi="Verdana"/>
        </w:rPr>
      </w:pPr>
      <w:r w:rsidRPr="00FD67DB">
        <w:rPr>
          <w:rFonts w:ascii="Verdana" w:eastAsia="Century Gothic" w:hAnsi="Verdana" w:cs="Century Gothic"/>
        </w:rPr>
        <w:t xml:space="preserve">De acuerdo con el contenido de su solicitud, le informamos que la misma se resolverá desde los siguientes </w:t>
      </w:r>
      <w:bookmarkStart w:id="1" w:name="_Hlk171070029"/>
      <w:r w:rsidRPr="00FD67DB">
        <w:rPr>
          <w:rFonts w:ascii="Verdana" w:eastAsia="Century Gothic" w:hAnsi="Verdana" w:cs="Century Gothic"/>
        </w:rPr>
        <w:t xml:space="preserve">interrogantes: i) ¿Puede una Entidad Estatal celebrar convenios interadministrativos con el mismo objeto sin generar </w:t>
      </w:r>
      <w:r w:rsidRPr="00FD67DB">
        <w:rPr>
          <w:rFonts w:ascii="Verdana" w:eastAsia="Century Gothic" w:hAnsi="Verdana" w:cs="Century Gothic"/>
        </w:rPr>
        <w:lastRenderedPageBreak/>
        <w:t xml:space="preserve">fraccionamiento del contrato?; y, </w:t>
      </w:r>
      <w:proofErr w:type="spellStart"/>
      <w:r w:rsidRPr="00FD67DB">
        <w:rPr>
          <w:rFonts w:ascii="Verdana" w:eastAsia="Century Gothic" w:hAnsi="Verdana" w:cs="Century Gothic"/>
        </w:rPr>
        <w:t>ii</w:t>
      </w:r>
      <w:proofErr w:type="spellEnd"/>
      <w:r w:rsidRPr="00FD67DB">
        <w:rPr>
          <w:rFonts w:ascii="Verdana" w:eastAsia="Century Gothic" w:hAnsi="Verdana" w:cs="Century Gothic"/>
        </w:rPr>
        <w:t>) ¿En qué circunstancias las Entidades Estatales deben actualizar su Plan Anual de Adquisiciones?</w:t>
      </w:r>
    </w:p>
    <w:p w14:paraId="6094DBD1" w14:textId="77777777" w:rsidR="00452129" w:rsidRPr="00FD67DB" w:rsidRDefault="00452129" w:rsidP="00452129">
      <w:pPr>
        <w:spacing w:after="0"/>
        <w:jc w:val="both"/>
        <w:rPr>
          <w:rFonts w:ascii="Verdana" w:hAnsi="Verdana"/>
        </w:rPr>
      </w:pPr>
    </w:p>
    <w:bookmarkEnd w:id="1"/>
    <w:p w14:paraId="49C1BFEF" w14:textId="77777777" w:rsidR="00452129" w:rsidRPr="00FD67DB" w:rsidRDefault="00452129" w:rsidP="00452129">
      <w:pPr>
        <w:widowControl w:val="0"/>
        <w:autoSpaceDE w:val="0"/>
        <w:autoSpaceDN w:val="0"/>
        <w:spacing w:before="1" w:after="0" w:line="240" w:lineRule="auto"/>
        <w:jc w:val="both"/>
        <w:outlineLvl w:val="0"/>
        <w:rPr>
          <w:rFonts w:ascii="Verdana" w:eastAsia="Arial" w:hAnsi="Verdana" w:cs="Arial"/>
          <w:b/>
          <w:bCs/>
          <w:lang w:val="es-ES"/>
        </w:rPr>
      </w:pPr>
      <w:r w:rsidRPr="00FD67DB">
        <w:rPr>
          <w:rFonts w:ascii="Verdana" w:eastAsia="Arial" w:hAnsi="Verdana" w:cs="Arial"/>
          <w:b/>
          <w:bCs/>
          <w:lang w:val="es-ES"/>
        </w:rPr>
        <w:t>2. Respuesta:</w:t>
      </w:r>
    </w:p>
    <w:p w14:paraId="28ED19F4" w14:textId="77777777" w:rsidR="00452129" w:rsidRPr="00FD67DB" w:rsidRDefault="00452129" w:rsidP="00452129">
      <w:pPr>
        <w:spacing w:after="0"/>
        <w:rPr>
          <w:rFonts w:ascii="Verdana" w:eastAsia="Aptos" w:hAnsi="Verdana" w:cs="Times New Rom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52129" w:rsidRPr="00FD67DB" w14:paraId="01A489BF" w14:textId="77777777" w:rsidTr="007B6D5E">
        <w:tc>
          <w:tcPr>
            <w:tcW w:w="8828" w:type="dxa"/>
          </w:tcPr>
          <w:p w14:paraId="2B096F39" w14:textId="77777777" w:rsidR="00452129" w:rsidRPr="00FD67DB" w:rsidRDefault="00452129" w:rsidP="007B6D5E">
            <w:pPr>
              <w:spacing w:line="276" w:lineRule="auto"/>
              <w:jc w:val="both"/>
              <w:rPr>
                <w:rFonts w:ascii="Verdana" w:eastAsia="Times New Roman" w:hAnsi="Verdana"/>
                <w:lang w:val="es-ES_tradnl" w:eastAsia="es-ES_tradnl"/>
              </w:rPr>
            </w:pPr>
            <w:bookmarkStart w:id="2" w:name="_Hlk171067516"/>
            <w:r w:rsidRPr="00FD67DB">
              <w:rPr>
                <w:rFonts w:ascii="Verdana" w:eastAsia="Times New Roman" w:hAnsi="Verdana"/>
                <w:lang w:val="es-ES_tradnl" w:eastAsia="es-ES_tradnl"/>
              </w:rPr>
              <w:t xml:space="preserve">i) Inicialmente debe precisar que, según la jurisprudencia del Consejo de Estado habrá fraccionamiento del contrato cuando concurran los siguientes elementos: “i) que exista una separación artificial de un mismo objeto contractual y </w:t>
            </w:r>
            <w:proofErr w:type="spellStart"/>
            <w:r w:rsidRPr="00FD67DB">
              <w:rPr>
                <w:rFonts w:ascii="Verdana" w:eastAsia="Times New Roman" w:hAnsi="Verdana"/>
                <w:lang w:val="es-ES_tradnl" w:eastAsia="es-ES_tradnl"/>
              </w:rPr>
              <w:t>iii</w:t>
            </w:r>
            <w:proofErr w:type="spellEnd"/>
            <w:r w:rsidRPr="00FD67DB">
              <w:rPr>
                <w:rFonts w:ascii="Verdana" w:eastAsia="Times New Roman" w:hAnsi="Verdana"/>
                <w:lang w:val="es-ES_tradnl" w:eastAsia="es-ES_tradnl"/>
              </w:rPr>
              <w:t>) que dicha separación tenga como objetivo evitar procedimientos de convocatoria pública y de selección objetiva”. Por lo que, fraccionar un contrato implica dividir las prestaciones en dos (2) o más contratos que pueden constituir un único negocio jurídico.</w:t>
            </w:r>
          </w:p>
          <w:p w14:paraId="23FC9F6C" w14:textId="77777777" w:rsidR="00452129" w:rsidRPr="00FD67DB" w:rsidRDefault="00452129" w:rsidP="007B6D5E">
            <w:pPr>
              <w:spacing w:before="120" w:line="276" w:lineRule="auto"/>
              <w:jc w:val="both"/>
              <w:rPr>
                <w:rFonts w:ascii="Verdana" w:eastAsia="Times New Roman" w:hAnsi="Verdana"/>
                <w:lang w:val="es-ES_tradnl" w:eastAsia="es-ES_tradnl"/>
              </w:rPr>
            </w:pPr>
            <w:r w:rsidRPr="00FD67DB">
              <w:rPr>
                <w:rFonts w:ascii="Verdana" w:eastAsia="Times New Roman" w:hAnsi="Verdana"/>
                <w:lang w:val="es-ES_tradnl" w:eastAsia="es-ES_tradnl"/>
              </w:rPr>
              <w:tab/>
              <w:t xml:space="preserve">En línea con lo anterior, podrá identificarse si se está o no frente a un fraccionamiento del contrato si concurren las siguientes circunstancias: i) que sea posible demostrar la unidad del objeto en relación con el contrato cuya legalidad se cuestiona y, de ser así; </w:t>
            </w:r>
            <w:proofErr w:type="spellStart"/>
            <w:r w:rsidRPr="00FD67DB">
              <w:rPr>
                <w:rFonts w:ascii="Verdana" w:eastAsia="Times New Roman" w:hAnsi="Verdana"/>
                <w:lang w:val="es-ES_tradnl" w:eastAsia="es-ES_tradnl"/>
              </w:rPr>
              <w:t>ii</w:t>
            </w:r>
            <w:proofErr w:type="spellEnd"/>
            <w:r w:rsidRPr="00FD67DB">
              <w:rPr>
                <w:rFonts w:ascii="Verdana" w:eastAsia="Times New Roman" w:hAnsi="Verdana"/>
                <w:lang w:val="es-ES_tradnl" w:eastAsia="es-ES_tradnl"/>
              </w:rPr>
              <w:t>) determinar cuáles fueron las circunstancias que condujeron a la Administración a celebrar varios contratos, pues sólo de esta manera puede inferirse si el actuar se basó en criterios razonables de interés público o, si por el contrario, los motivos fueron simulados y orientados a infringir las normas de la contratación pública.</w:t>
            </w:r>
          </w:p>
          <w:p w14:paraId="2D7CB12D" w14:textId="77777777" w:rsidR="00452129" w:rsidRPr="00FD67DB" w:rsidRDefault="00452129" w:rsidP="007B6D5E">
            <w:pPr>
              <w:spacing w:before="120" w:line="276" w:lineRule="auto"/>
              <w:ind w:firstLine="709"/>
              <w:jc w:val="both"/>
              <w:rPr>
                <w:rFonts w:ascii="Verdana" w:eastAsia="Calibri" w:hAnsi="Verdana" w:cs="Arial"/>
              </w:rPr>
            </w:pPr>
            <w:r w:rsidRPr="00FD67DB">
              <w:rPr>
                <w:rFonts w:ascii="Verdana" w:eastAsia="Calibri" w:hAnsi="Verdana" w:cs="Arial"/>
              </w:rPr>
              <w:t xml:space="preserve">Con todo, le corresponderá a la entidad contratante definir si con la celebración de convenios interadministrativos con un mismo objeto, genera o no, fraccionamiento del contrato.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23A5D501" w14:textId="77777777" w:rsidR="00452129" w:rsidRPr="00FD67DB" w:rsidRDefault="00452129" w:rsidP="007B6D5E">
            <w:pPr>
              <w:spacing w:line="276" w:lineRule="auto"/>
              <w:jc w:val="both"/>
              <w:rPr>
                <w:rFonts w:ascii="Verdana" w:eastAsia="Geomanist Light" w:hAnsi="Verdana" w:cs="Arial"/>
                <w:color w:val="000000"/>
                <w:lang w:val="es-MX"/>
              </w:rPr>
            </w:pPr>
          </w:p>
          <w:p w14:paraId="2BE9500C" w14:textId="77777777" w:rsidR="00452129" w:rsidRPr="00FD67DB" w:rsidRDefault="00452129" w:rsidP="007B6D5E">
            <w:pPr>
              <w:spacing w:line="276" w:lineRule="auto"/>
              <w:jc w:val="both"/>
              <w:rPr>
                <w:rFonts w:ascii="Verdana" w:eastAsia="Calibri" w:hAnsi="Verdana" w:cs="Arial"/>
              </w:rPr>
            </w:pPr>
            <w:proofErr w:type="spellStart"/>
            <w:r w:rsidRPr="00FD67DB">
              <w:rPr>
                <w:rFonts w:ascii="Verdana" w:eastAsia="Calibri" w:hAnsi="Verdana" w:cs="Arial"/>
              </w:rPr>
              <w:t>ii</w:t>
            </w:r>
            <w:proofErr w:type="spellEnd"/>
            <w:r w:rsidRPr="00FD67DB">
              <w:rPr>
                <w:rFonts w:ascii="Verdana" w:eastAsia="Calibri" w:hAnsi="Verdana" w:cs="Arial"/>
              </w:rPr>
              <w:t>) Sobre el particular se aclara</w:t>
            </w:r>
            <w:r w:rsidRPr="00FD67DB">
              <w:t xml:space="preserve"> </w:t>
            </w:r>
            <w:r w:rsidRPr="00FD67DB">
              <w:rPr>
                <w:rFonts w:ascii="Verdana" w:eastAsia="Calibri" w:hAnsi="Verdana" w:cs="Arial"/>
              </w:rPr>
              <w:t xml:space="preserve">que el artículo 2.2.1.1.1.4.4 del Decreto 1082 de 2015, dispuso que el PAA deberá actualizarse “por lo menos una vez durante su vigencia”. De esta forma se tiene que, las Entidades Estatales podrán actualizar el Plan Anual de Adquisiciones cuantas veces lo estimen necesario, siempre y cuando se encuentren dentro de los supuestos establecidos en el inciso segundo de la referida norma, esto es: i) cuando haya ajustes en los cronogramas de adquisición, valores, modalidad de selección, origen de los recursos; </w:t>
            </w:r>
            <w:proofErr w:type="spellStart"/>
            <w:r w:rsidRPr="00FD67DB">
              <w:rPr>
                <w:rFonts w:ascii="Verdana" w:eastAsia="Calibri" w:hAnsi="Verdana" w:cs="Arial"/>
              </w:rPr>
              <w:t>ii</w:t>
            </w:r>
            <w:proofErr w:type="spellEnd"/>
            <w:r w:rsidRPr="00FD67DB">
              <w:rPr>
                <w:rFonts w:ascii="Verdana" w:eastAsia="Calibri" w:hAnsi="Verdana" w:cs="Arial"/>
              </w:rPr>
              <w:t xml:space="preserve">) para incluir nuevas obras, bienes y/o servicios; </w:t>
            </w:r>
            <w:proofErr w:type="spellStart"/>
            <w:r w:rsidRPr="00FD67DB">
              <w:rPr>
                <w:rFonts w:ascii="Verdana" w:eastAsia="Calibri" w:hAnsi="Verdana" w:cs="Arial"/>
              </w:rPr>
              <w:t>iii</w:t>
            </w:r>
            <w:proofErr w:type="spellEnd"/>
            <w:r w:rsidRPr="00FD67DB">
              <w:rPr>
                <w:rFonts w:ascii="Verdana" w:eastAsia="Calibri" w:hAnsi="Verdana" w:cs="Arial"/>
              </w:rPr>
              <w:t xml:space="preserve">) excluir obras, bienes y/o servicios; o </w:t>
            </w:r>
            <w:proofErr w:type="spellStart"/>
            <w:r w:rsidRPr="00FD67DB">
              <w:rPr>
                <w:rFonts w:ascii="Verdana" w:eastAsia="Calibri" w:hAnsi="Verdana" w:cs="Arial"/>
              </w:rPr>
              <w:t>iv</w:t>
            </w:r>
            <w:proofErr w:type="spellEnd"/>
            <w:r w:rsidRPr="00FD67DB">
              <w:rPr>
                <w:rFonts w:ascii="Verdana" w:eastAsia="Calibri" w:hAnsi="Verdana" w:cs="Arial"/>
              </w:rPr>
              <w:t>) modificar el presupuesto anual de adquisiciones.</w:t>
            </w:r>
          </w:p>
          <w:p w14:paraId="30B0972E" w14:textId="77777777" w:rsidR="00452129" w:rsidRPr="00FD67DB" w:rsidRDefault="00452129" w:rsidP="007B6D5E">
            <w:pPr>
              <w:spacing w:before="120" w:line="276" w:lineRule="auto"/>
              <w:jc w:val="both"/>
              <w:rPr>
                <w:rFonts w:ascii="Verdana" w:eastAsia="Calibri" w:hAnsi="Verdana" w:cs="Arial"/>
              </w:rPr>
            </w:pPr>
            <w:r w:rsidRPr="00FD67DB">
              <w:rPr>
                <w:rFonts w:ascii="Verdana" w:eastAsia="Calibri" w:hAnsi="Verdana" w:cs="Arial"/>
              </w:rPr>
              <w:lastRenderedPageBreak/>
              <w:tab/>
              <w:t>Adicionalmente, se indica que esta Agencia puso a disposición de los interesados del Sistema de Compra y Contratación Pública la “Guía para elaborar el Plan Anual de Adquisiciones”, donde se establece una lista de verificación para elaborarlo o actualizarlo, que contiene los pasos para ayudar a la entidad a cumplir las etapas que se deben agotar para obtener este documento, que es una herramienta de planeación. Dicha guía, constituye además, una herramienta orientadora para las Entidades Estatales, en la que se desarrollan lineamientos que les servirán de apoyo para preparar y actualizar el PAA. Esta guía, de acuerdo con lo establecido en el numeral 2, literal c) del artículo 2.2.1.2.5.2 del Decreto 1082 de 2015, deberá utilizarse por parte de las Entidades Estatales, como un instrumento de buena práctica contractual.</w:t>
            </w:r>
          </w:p>
        </w:tc>
      </w:tr>
      <w:bookmarkEnd w:id="2"/>
    </w:tbl>
    <w:p w14:paraId="2045032F" w14:textId="77777777" w:rsidR="00452129" w:rsidRPr="00FD67DB" w:rsidRDefault="00452129" w:rsidP="00452129">
      <w:pPr>
        <w:widowControl w:val="0"/>
        <w:autoSpaceDE w:val="0"/>
        <w:autoSpaceDN w:val="0"/>
        <w:spacing w:before="1" w:after="0" w:line="240" w:lineRule="auto"/>
        <w:ind w:left="360" w:hanging="360"/>
        <w:outlineLvl w:val="0"/>
        <w:rPr>
          <w:rFonts w:ascii="Verdana" w:eastAsia="Arial" w:hAnsi="Verdana" w:cs="Arial"/>
          <w:b/>
        </w:rPr>
      </w:pPr>
    </w:p>
    <w:p w14:paraId="1297EEA8" w14:textId="77777777" w:rsidR="00452129" w:rsidRPr="00FD67DB" w:rsidRDefault="00452129" w:rsidP="00452129">
      <w:pPr>
        <w:widowControl w:val="0"/>
        <w:autoSpaceDE w:val="0"/>
        <w:autoSpaceDN w:val="0"/>
        <w:spacing w:before="1" w:after="0" w:line="240" w:lineRule="auto"/>
        <w:ind w:left="360" w:hanging="360"/>
        <w:outlineLvl w:val="0"/>
        <w:rPr>
          <w:rFonts w:ascii="Verdana" w:eastAsia="Arial" w:hAnsi="Verdana" w:cs="Arial"/>
          <w:b/>
          <w:bCs/>
          <w:lang w:val="es-ES"/>
        </w:rPr>
      </w:pPr>
      <w:r w:rsidRPr="00FD67DB">
        <w:rPr>
          <w:rFonts w:ascii="Verdana" w:eastAsia="Arial" w:hAnsi="Verdana" w:cs="Arial"/>
          <w:b/>
          <w:bCs/>
          <w:lang w:val="es-ES"/>
        </w:rPr>
        <w:t>3. Razones de la respuesta</w:t>
      </w:r>
    </w:p>
    <w:p w14:paraId="69AB5412" w14:textId="77777777" w:rsidR="00452129" w:rsidRPr="00FD67DB" w:rsidRDefault="00452129" w:rsidP="00452129">
      <w:pPr>
        <w:spacing w:after="0" w:line="276" w:lineRule="auto"/>
        <w:jc w:val="both"/>
        <w:rPr>
          <w:rFonts w:ascii="Verdana" w:eastAsia="Calibri" w:hAnsi="Verdana" w:cs="Arial"/>
          <w:lang w:val="es-ES"/>
        </w:rPr>
      </w:pPr>
    </w:p>
    <w:p w14:paraId="6CC51F19" w14:textId="77777777" w:rsidR="00452129" w:rsidRPr="00FD67DB" w:rsidRDefault="00452129" w:rsidP="00452129">
      <w:pPr>
        <w:spacing w:after="0" w:line="276" w:lineRule="auto"/>
        <w:jc w:val="both"/>
        <w:rPr>
          <w:rFonts w:ascii="Verdana" w:eastAsia="Calibri" w:hAnsi="Verdana" w:cs="Arial"/>
          <w:lang w:val="es-ES"/>
        </w:rPr>
      </w:pPr>
      <w:r w:rsidRPr="00FD67DB">
        <w:rPr>
          <w:rFonts w:ascii="Verdana" w:eastAsia="Calibri" w:hAnsi="Verdana" w:cs="Arial"/>
          <w:lang w:val="es-ES"/>
        </w:rPr>
        <w:t xml:space="preserve">Las respuestas anteriores se sustentan en las siguientes consideraciones: </w:t>
      </w:r>
    </w:p>
    <w:p w14:paraId="61470175" w14:textId="77777777" w:rsidR="00452129" w:rsidRPr="00FD67DB" w:rsidRDefault="00452129" w:rsidP="00452129">
      <w:pPr>
        <w:spacing w:after="0" w:line="276" w:lineRule="auto"/>
        <w:jc w:val="both"/>
        <w:rPr>
          <w:rFonts w:ascii="Verdana" w:eastAsia="Calibri" w:hAnsi="Verdana" w:cs="Arial"/>
          <w:lang w:val="es-ES"/>
        </w:rPr>
      </w:pPr>
    </w:p>
    <w:p w14:paraId="7C0FDD9C" w14:textId="77777777" w:rsidR="00452129" w:rsidRPr="00FD67DB" w:rsidRDefault="00452129" w:rsidP="00452129">
      <w:pPr>
        <w:spacing w:after="120" w:line="276" w:lineRule="auto"/>
        <w:jc w:val="both"/>
        <w:rPr>
          <w:rFonts w:ascii="Verdana" w:eastAsia="Arial MT" w:hAnsi="Verdana" w:cs="Arial"/>
          <w:lang w:eastAsia="es-ES" w:bidi="es-ES"/>
        </w:rPr>
      </w:pPr>
      <w:r w:rsidRPr="00FD67DB">
        <w:rPr>
          <w:rFonts w:ascii="Verdana" w:eastAsia="Calibri" w:hAnsi="Verdana" w:cs="Arial"/>
          <w:lang w:val="es-ES"/>
        </w:rPr>
        <w:t xml:space="preserve">i) De manera preliminar debe precisarse que, </w:t>
      </w:r>
      <w:r w:rsidRPr="00FD67DB">
        <w:rPr>
          <w:rFonts w:ascii="Verdana" w:eastAsia="Times New Roman" w:hAnsi="Verdana" w:cs="Arial"/>
          <w:lang w:val="es-ES" w:eastAsia="es-ES_tradnl"/>
        </w:rPr>
        <w:t>en consonancia con el artículo 209 de la Constitución Política</w:t>
      </w:r>
      <w:r w:rsidRPr="00FD67DB">
        <w:rPr>
          <w:rFonts w:ascii="Verdana" w:eastAsia="Times New Roman" w:hAnsi="Verdana" w:cs="Arial"/>
          <w:vertAlign w:val="superscript"/>
          <w:lang w:val="es-ES" w:eastAsia="es-ES_tradnl"/>
        </w:rPr>
        <w:footnoteReference w:id="1"/>
      </w:r>
      <w:r w:rsidRPr="00FD67DB">
        <w:rPr>
          <w:rFonts w:ascii="Verdana" w:eastAsia="Times New Roman" w:hAnsi="Verdana" w:cs="Arial"/>
          <w:lang w:val="es-ES" w:eastAsia="es-ES_tradnl"/>
        </w:rPr>
        <w:t>, del que se desprenden los deberes de coordinación y colaboración a cargo de todas las autoridades administrativas,</w:t>
      </w:r>
      <w:r w:rsidRPr="00FD67DB">
        <w:rPr>
          <w:rFonts w:ascii="Verdana" w:eastAsia="Calibri" w:hAnsi="Verdana" w:cs="Arial"/>
        </w:rPr>
        <w:t xml:space="preserve"> el artículo 95 de la Ley 489 de 1998</w:t>
      </w:r>
      <w:r w:rsidRPr="00FD67DB">
        <w:rPr>
          <w:rFonts w:ascii="Verdana" w:eastAsia="Calibri" w:hAnsi="Verdana" w:cs="Arial"/>
          <w:vertAlign w:val="superscript"/>
        </w:rPr>
        <w:footnoteReference w:id="2"/>
      </w:r>
      <w:r w:rsidRPr="00FD67DB">
        <w:rPr>
          <w:rFonts w:ascii="Verdana" w:eastAsia="Calibri" w:hAnsi="Verdana" w:cs="Arial"/>
        </w:rPr>
        <w:t xml:space="preserve"> dispone que “las entidades públicas podrán asociarse con el fin de cooperar en el cumplimiento de funciones administrativas o de prestar conjuntamente servicios que se hallen a su cargo mediante la celebración de convenios interadministrativos […]”</w:t>
      </w:r>
      <w:r w:rsidRPr="00FD67DB">
        <w:rPr>
          <w:rFonts w:ascii="Verdana" w:eastAsia="Calibri" w:hAnsi="Verdana" w:cs="Arial"/>
          <w:vertAlign w:val="superscript"/>
        </w:rPr>
        <w:footnoteReference w:id="3"/>
      </w:r>
      <w:r w:rsidRPr="00FD67DB">
        <w:rPr>
          <w:rFonts w:ascii="Verdana" w:eastAsia="Calibri" w:hAnsi="Verdana" w:cs="Arial"/>
        </w:rPr>
        <w:t>. De tal suerte que, si bien la Ley 80 de 1993 faculta a las Entidades Estatales para celebrar cualquier acto jurídico generador de obligaciones, la norma en cita regula en forma particular la figura del convenio interadministrativo y define los elementos que caracterizan a este tipo de negocio jurídico.</w:t>
      </w:r>
    </w:p>
    <w:p w14:paraId="07B5B066" w14:textId="77777777" w:rsidR="00452129" w:rsidRPr="00FD67DB" w:rsidRDefault="00452129" w:rsidP="00452129">
      <w:pPr>
        <w:spacing w:after="0" w:line="276" w:lineRule="auto"/>
        <w:ind w:firstLine="708"/>
        <w:jc w:val="both"/>
        <w:rPr>
          <w:rFonts w:ascii="Verdana" w:eastAsia="Calibri" w:hAnsi="Verdana" w:cs="Arial"/>
        </w:rPr>
      </w:pPr>
      <w:r w:rsidRPr="00FD67DB">
        <w:rPr>
          <w:rFonts w:ascii="Verdana" w:eastAsia="Calibri" w:hAnsi="Verdana" w:cs="Arial"/>
        </w:rPr>
        <w:t>Sobre el alcance de los convenios interadministrativos, el Consejo de Estado ha dejado en claro lo siguiente:</w:t>
      </w:r>
    </w:p>
    <w:p w14:paraId="603CDCF2" w14:textId="77777777" w:rsidR="00452129" w:rsidRPr="00FD67DB" w:rsidRDefault="00452129" w:rsidP="00452129">
      <w:pPr>
        <w:spacing w:after="0" w:line="276" w:lineRule="auto"/>
        <w:ind w:firstLine="709"/>
        <w:jc w:val="both"/>
        <w:rPr>
          <w:rFonts w:ascii="Verdana" w:eastAsia="Calibri" w:hAnsi="Verdana" w:cs="Arial"/>
        </w:rPr>
      </w:pPr>
    </w:p>
    <w:p w14:paraId="19F509FB" w14:textId="77777777" w:rsidR="00452129" w:rsidRPr="00FD67DB" w:rsidRDefault="00452129" w:rsidP="00452129">
      <w:pPr>
        <w:spacing w:after="0" w:line="240" w:lineRule="auto"/>
        <w:ind w:left="709" w:right="714"/>
        <w:jc w:val="both"/>
        <w:rPr>
          <w:rFonts w:ascii="Verdana" w:eastAsia="Calibri" w:hAnsi="Verdana" w:cs="Arial"/>
          <w:bCs/>
          <w:sz w:val="20"/>
          <w:szCs w:val="20"/>
          <w:lang w:val="es-ES_tradnl"/>
        </w:rPr>
      </w:pPr>
      <w:r w:rsidRPr="00FD67DB">
        <w:rPr>
          <w:rFonts w:ascii="Verdana" w:eastAsia="Calibri" w:hAnsi="Verdana" w:cs="Arial"/>
          <w:bCs/>
          <w:sz w:val="20"/>
          <w:szCs w:val="20"/>
          <w:lang w:eastAsia="es-ES_tradnl"/>
        </w:rPr>
        <w:t xml:space="preserve">“[…] </w:t>
      </w:r>
      <w:r w:rsidRPr="00FD67DB">
        <w:rPr>
          <w:rFonts w:ascii="Verdana" w:eastAsia="Calibri" w:hAnsi="Verdana" w:cs="Arial"/>
          <w:bCs/>
          <w:sz w:val="20"/>
          <w:szCs w:val="20"/>
          <w:lang w:val="es-ES_tradnl"/>
        </w:rPr>
        <w:t xml:space="preserve">i) Constituyen verdaderos contratos en los términos del Código de Comercio cuando su objeto lo constituyen obligaciones patrimoniales. </w:t>
      </w:r>
      <w:proofErr w:type="spellStart"/>
      <w:r w:rsidRPr="00FD67DB">
        <w:rPr>
          <w:rFonts w:ascii="Verdana" w:eastAsia="Calibri" w:hAnsi="Verdana" w:cs="Arial"/>
          <w:bCs/>
          <w:sz w:val="20"/>
          <w:szCs w:val="20"/>
          <w:lang w:val="es-ES_tradnl"/>
        </w:rPr>
        <w:t>ii</w:t>
      </w:r>
      <w:proofErr w:type="spellEnd"/>
      <w:r w:rsidRPr="00FD67DB">
        <w:rPr>
          <w:rFonts w:ascii="Verdana" w:eastAsia="Calibri" w:hAnsi="Verdana" w:cs="Arial"/>
          <w:bCs/>
          <w:sz w:val="20"/>
          <w:szCs w:val="20"/>
          <w:lang w:val="es-ES_tradnl"/>
        </w:rPr>
        <w:t xml:space="preserve">) Tienen como fuente la autonomía contractual. </w:t>
      </w:r>
      <w:proofErr w:type="spellStart"/>
      <w:r w:rsidRPr="00FD67DB">
        <w:rPr>
          <w:rFonts w:ascii="Verdana" w:eastAsia="Calibri" w:hAnsi="Verdana" w:cs="Arial"/>
          <w:bCs/>
          <w:sz w:val="20"/>
          <w:szCs w:val="20"/>
          <w:lang w:val="es-ES_tradnl"/>
        </w:rPr>
        <w:t>iii</w:t>
      </w:r>
      <w:proofErr w:type="spellEnd"/>
      <w:r w:rsidRPr="00FD67DB">
        <w:rPr>
          <w:rFonts w:ascii="Verdana" w:eastAsia="Calibri" w:hAnsi="Verdana" w:cs="Arial"/>
          <w:bCs/>
          <w:sz w:val="20"/>
          <w:szCs w:val="20"/>
          <w:lang w:val="es-ES_tradnl"/>
        </w:rPr>
        <w:t xml:space="preserve">) Son contratos nominados, puesto que están mencionados por la ley. </w:t>
      </w:r>
      <w:proofErr w:type="spellStart"/>
      <w:r w:rsidRPr="00FD67DB">
        <w:rPr>
          <w:rFonts w:ascii="Verdana" w:eastAsia="Calibri" w:hAnsi="Verdana" w:cs="Arial"/>
          <w:bCs/>
          <w:sz w:val="20"/>
          <w:szCs w:val="20"/>
          <w:lang w:val="es-ES_tradnl"/>
        </w:rPr>
        <w:t>iv</w:t>
      </w:r>
      <w:proofErr w:type="spellEnd"/>
      <w:r w:rsidRPr="00FD67DB">
        <w:rPr>
          <w:rFonts w:ascii="Verdana" w:eastAsia="Calibri" w:hAnsi="Verdana" w:cs="Arial"/>
          <w:bCs/>
          <w:sz w:val="20"/>
          <w:szCs w:val="20"/>
          <w:lang w:val="es-ES_tradnl"/>
        </w:rPr>
        <w:t xml:space="preserve">) Son contratos atípicos desde la perspectiva legal, dado que se advierte la ausencia de unas normas que de manera detallada los disciplinen, expliquen y desarrollen, como sí las tienen los contratos típicos, por ejemplo, compraventa, arrendamiento, mandato, etc. v) La normativa a la cual se encuentran sujetos en principio es la del Estatuto General de Contratación, en atención a que las partes que los celebran son entidades estatales y, por consiguiente, también se obligan a las disposiciones que resulten pertinentes del Código Civil y el Código de Comercio. vi) Dan lugar a la creación de obligaciones jurídicamente exigibles. </w:t>
      </w:r>
      <w:proofErr w:type="spellStart"/>
      <w:r w:rsidRPr="00FD67DB">
        <w:rPr>
          <w:rFonts w:ascii="Verdana" w:eastAsia="Calibri" w:hAnsi="Verdana" w:cs="Arial"/>
          <w:bCs/>
          <w:sz w:val="20"/>
          <w:szCs w:val="20"/>
          <w:lang w:val="es-ES_tradnl"/>
        </w:rPr>
        <w:t>vii</w:t>
      </w:r>
      <w:proofErr w:type="spellEnd"/>
      <w:r w:rsidRPr="00FD67DB">
        <w:rPr>
          <w:rFonts w:ascii="Verdana" w:eastAsia="Calibri" w:hAnsi="Verdana" w:cs="Arial"/>
          <w:bCs/>
          <w:sz w:val="20"/>
          <w:szCs w:val="20"/>
          <w:lang w:val="es-ES_tradnl"/>
        </w:rPr>
        <w:t xml:space="preserve">) Persiguen una finalidad común a través de la realización de intereses compartidos entre las entidades vinculadas. </w:t>
      </w:r>
      <w:proofErr w:type="spellStart"/>
      <w:r w:rsidRPr="00FD67DB">
        <w:rPr>
          <w:rFonts w:ascii="Verdana" w:eastAsia="Calibri" w:hAnsi="Verdana" w:cs="Arial"/>
          <w:bCs/>
          <w:sz w:val="20"/>
          <w:szCs w:val="20"/>
          <w:lang w:val="es-ES_tradnl"/>
        </w:rPr>
        <w:t>viii</w:t>
      </w:r>
      <w:proofErr w:type="spellEnd"/>
      <w:r w:rsidRPr="00FD67DB">
        <w:rPr>
          <w:rFonts w:ascii="Verdana" w:eastAsia="Calibri" w:hAnsi="Verdana" w:cs="Arial"/>
          <w:bCs/>
          <w:sz w:val="20"/>
          <w:szCs w:val="20"/>
          <w:lang w:val="es-ES_tradnl"/>
        </w:rPr>
        <w:t>) La acción mediante la cual se deben ventilar las diferencias que sobre el particular surjan es la de controversias contractuales”</w:t>
      </w:r>
      <w:r w:rsidRPr="00FD67DB">
        <w:rPr>
          <w:rFonts w:ascii="Verdana" w:eastAsia="Times New Roman" w:hAnsi="Verdana" w:cs="Arial"/>
          <w:sz w:val="20"/>
          <w:szCs w:val="20"/>
          <w:vertAlign w:val="superscript"/>
          <w:lang w:val="es-ES" w:eastAsia="es-ES_tradnl"/>
        </w:rPr>
        <w:footnoteReference w:id="4"/>
      </w:r>
      <w:r w:rsidRPr="00FD67DB">
        <w:rPr>
          <w:rFonts w:ascii="Verdana" w:eastAsia="Calibri" w:hAnsi="Verdana" w:cs="Arial"/>
          <w:bCs/>
          <w:sz w:val="20"/>
          <w:szCs w:val="20"/>
          <w:lang w:val="es-ES_tradnl"/>
        </w:rPr>
        <w:t>.</w:t>
      </w:r>
    </w:p>
    <w:p w14:paraId="688CA265" w14:textId="77777777" w:rsidR="00452129" w:rsidRPr="00FD67DB" w:rsidRDefault="00452129" w:rsidP="00452129">
      <w:pPr>
        <w:spacing w:after="0" w:line="276" w:lineRule="auto"/>
        <w:ind w:right="713"/>
        <w:jc w:val="both"/>
        <w:rPr>
          <w:rFonts w:ascii="Verdana" w:eastAsia="Times New Roman" w:hAnsi="Verdana" w:cs="Arial"/>
          <w:lang w:val="es-ES" w:eastAsia="es-ES_tradnl"/>
        </w:rPr>
      </w:pPr>
    </w:p>
    <w:p w14:paraId="763EF014" w14:textId="77777777" w:rsidR="00452129" w:rsidRPr="00FD67DB" w:rsidRDefault="00452129" w:rsidP="00452129">
      <w:pPr>
        <w:spacing w:after="120" w:line="276" w:lineRule="auto"/>
        <w:ind w:firstLine="709"/>
        <w:jc w:val="both"/>
        <w:rPr>
          <w:rFonts w:ascii="Verdana" w:eastAsia="Times New Roman" w:hAnsi="Verdana" w:cs="Arial"/>
          <w:lang w:val="es-ES" w:eastAsia="es-ES_tradnl"/>
        </w:rPr>
      </w:pPr>
      <w:r w:rsidRPr="00FD67DB">
        <w:rPr>
          <w:rFonts w:ascii="Verdana" w:eastAsia="Times New Roman" w:hAnsi="Verdana" w:cs="Arial"/>
          <w:lang w:val="es-ES" w:eastAsia="es-ES_tradnl"/>
        </w:rPr>
        <w:t>A su turno, la doctrina especializada en la materia, a partir de la aplicación de un criterio material que envuelve la causa tenida en cuenta para contratar, ha dejado entrever que los convenios interadministrativos son una figura autónoma e independiente de la de los contratos interadministrativos</w:t>
      </w:r>
      <w:r w:rsidRPr="00FD67DB">
        <w:rPr>
          <w:rFonts w:ascii="Verdana" w:eastAsia="Times New Roman" w:hAnsi="Verdana" w:cs="Arial"/>
          <w:vertAlign w:val="superscript"/>
          <w:lang w:val="es-ES" w:eastAsia="es-ES_tradnl"/>
        </w:rPr>
        <w:footnoteReference w:id="5"/>
      </w:r>
      <w:r w:rsidRPr="00FD67DB">
        <w:rPr>
          <w:rFonts w:ascii="Verdana" w:eastAsia="Times New Roman" w:hAnsi="Verdana" w:cs="Arial"/>
          <w:lang w:val="es-ES" w:eastAsia="es-ES_tradnl"/>
        </w:rPr>
        <w:t>. Así “[…] es posible afirmar que el contrato es en efecto un acuerdo de voluntades que modifica las situaciones jurídicas subjetivas de las partes intervinientes, pero no se trata de cualquier clase de voluntades, sino únicamente de aquellas manifestadas por sujetos de derecho que tienen pretensiones o interés disímiles que se pueden ver como opuestos. En otras palabras, el contrato es un acuerdo de voluntades, en el cual cada uno de los participantes tiene finalidades opuestas”</w:t>
      </w:r>
      <w:r w:rsidRPr="00FD67DB">
        <w:rPr>
          <w:rFonts w:ascii="Verdana" w:eastAsia="Times New Roman" w:hAnsi="Verdana" w:cs="Arial"/>
          <w:vertAlign w:val="superscript"/>
          <w:lang w:val="es-ES" w:eastAsia="es-ES_tradnl"/>
        </w:rPr>
        <w:footnoteReference w:id="6"/>
      </w:r>
      <w:r w:rsidRPr="00FD67DB">
        <w:rPr>
          <w:rFonts w:ascii="Verdana" w:eastAsia="Times New Roman" w:hAnsi="Verdana" w:cs="Arial"/>
          <w:lang w:val="es-ES" w:eastAsia="es-ES_tradnl"/>
        </w:rPr>
        <w:t>. Con todo, según se advierte, “[…] basta agregar un ingrediente subjetivo para poder deducir la existencia del contrato de la administración, cual es la necesaria e imprescindible presencia de un sujeto especial de derecho llamado administración pública, lo cual implica que el contrato de la administración es un acuerdo de voluntades en el cual cada uno de los participantes pretende satisfacer necesidades o finalidades opuestas, donde necesariamente una de las partes tiene que ser una administración pública”</w:t>
      </w:r>
      <w:r w:rsidRPr="00FD67DB">
        <w:rPr>
          <w:rFonts w:ascii="Verdana" w:eastAsia="Times New Roman" w:hAnsi="Verdana" w:cs="Arial"/>
          <w:vertAlign w:val="superscript"/>
          <w:lang w:val="es-ES" w:eastAsia="es-ES_tradnl"/>
        </w:rPr>
        <w:footnoteReference w:id="7"/>
      </w:r>
      <w:r w:rsidRPr="00FD67DB">
        <w:rPr>
          <w:rFonts w:ascii="Verdana" w:eastAsia="Times New Roman" w:hAnsi="Verdana" w:cs="Arial"/>
          <w:lang w:val="es-ES" w:eastAsia="es-ES_tradnl"/>
        </w:rPr>
        <w:t>.</w:t>
      </w:r>
    </w:p>
    <w:p w14:paraId="678D24FA" w14:textId="77777777" w:rsidR="00452129" w:rsidRPr="00FD67DB" w:rsidRDefault="00452129" w:rsidP="00452129">
      <w:pPr>
        <w:spacing w:after="120" w:line="276" w:lineRule="auto"/>
        <w:ind w:firstLine="709"/>
        <w:jc w:val="both"/>
        <w:rPr>
          <w:rFonts w:ascii="Verdana" w:eastAsia="Calibri" w:hAnsi="Verdana" w:cs="Arial"/>
          <w:lang w:eastAsia="es-ES"/>
        </w:rPr>
      </w:pPr>
      <w:r w:rsidRPr="00FD67DB">
        <w:rPr>
          <w:rFonts w:ascii="Verdana" w:eastAsia="Times New Roman" w:hAnsi="Verdana" w:cs="Arial"/>
          <w:lang w:val="es-ES" w:eastAsia="es-ES_tradnl"/>
        </w:rPr>
        <w:lastRenderedPageBreak/>
        <w:t xml:space="preserve">En este punto, debe precisarse que </w:t>
      </w:r>
      <w:r w:rsidRPr="00FD67DB">
        <w:rPr>
          <w:rFonts w:ascii="Verdana" w:eastAsia="Times New Roman" w:hAnsi="Verdana" w:cs="Arial"/>
          <w:color w:val="000000" w:themeColor="text1"/>
          <w:lang w:val="es-ES" w:eastAsia="es-CO"/>
        </w:rPr>
        <w:t xml:space="preserve">los contratos y convenios interadministrativos están determinados por un criterio orgánico, pues es necesario que los extremos de la relación contractual sean Entidades Estatales, </w:t>
      </w:r>
      <w:r w:rsidRPr="00FD67DB">
        <w:rPr>
          <w:rFonts w:ascii="Verdana" w:eastAsia="Calibri" w:hAnsi="Verdana" w:cs="Arial"/>
          <w:lang w:eastAsia="es-ES"/>
        </w:rPr>
        <w:t>independientemente de las normas que regulan la relación contractual. En este sentido, los convenios interadministrativos solo pueden ser celebrados entre Entidades Estatales, pues a éstas corresponde la realización de los fines y tareas que el legislador les ha asignado</w:t>
      </w:r>
      <w:r w:rsidRPr="00FD67DB">
        <w:rPr>
          <w:rStyle w:val="Refdenotaalpie"/>
          <w:rFonts w:ascii="Verdana" w:eastAsia="Calibri" w:hAnsi="Verdana" w:cs="Arial"/>
          <w:lang w:eastAsia="es-ES"/>
        </w:rPr>
        <w:footnoteReference w:id="8"/>
      </w:r>
      <w:r w:rsidRPr="00FD67DB">
        <w:rPr>
          <w:rFonts w:ascii="Verdana" w:eastAsia="Calibri" w:hAnsi="Verdana" w:cs="Arial"/>
          <w:lang w:eastAsia="es-ES"/>
        </w:rPr>
        <w:t>.</w:t>
      </w:r>
    </w:p>
    <w:p w14:paraId="2CD07273" w14:textId="77777777" w:rsidR="00452129" w:rsidRPr="00FD67DB" w:rsidRDefault="00452129" w:rsidP="00452129">
      <w:pPr>
        <w:spacing w:after="120" w:line="276" w:lineRule="auto"/>
        <w:ind w:firstLine="709"/>
        <w:jc w:val="both"/>
        <w:rPr>
          <w:rFonts w:ascii="Verdana" w:eastAsia="Calibri" w:hAnsi="Verdana" w:cs="Arial"/>
          <w:lang w:eastAsia="es-ES"/>
        </w:rPr>
      </w:pPr>
      <w:r w:rsidRPr="00FD67DB">
        <w:rPr>
          <w:rFonts w:ascii="Verdana" w:eastAsia="Calibri" w:hAnsi="Verdana" w:cs="Arial"/>
          <w:lang w:val="es-ES"/>
        </w:rPr>
        <w:t xml:space="preserve">Frente a lo anterior, resulta necesario que la Entidad Estatal con la cual se suscribe el contrato o convenio interadministrativo </w:t>
      </w:r>
      <w:r w:rsidRPr="00FD67DB">
        <w:rPr>
          <w:rFonts w:ascii="Verdana" w:eastAsia="Calibri" w:hAnsi="Verdana" w:cs="Arial"/>
          <w:color w:val="000000" w:themeColor="text1"/>
          <w:lang w:val="es-ES_tradnl"/>
        </w:rPr>
        <w:t xml:space="preserve">cuenten con la capacidad jurídica para ejecutar lo pactado en el mismo en los términos del </w:t>
      </w:r>
      <w:r w:rsidRPr="00FD67DB">
        <w:rPr>
          <w:rFonts w:ascii="Verdana" w:eastAsia="Calibri" w:hAnsi="Verdana" w:cs="Arial"/>
          <w:color w:val="000000" w:themeColor="text1"/>
        </w:rPr>
        <w:t>el literal c) del numeral 4 del artículo 2 de la Ley 1150 de 2007, modificado por el artículo 92 de la Ley 1474 de 2011</w:t>
      </w:r>
      <w:r w:rsidRPr="00FD67DB">
        <w:rPr>
          <w:rFonts w:ascii="Verdana" w:eastAsia="Calibri" w:hAnsi="Verdana" w:cs="Arial"/>
          <w:color w:val="000000" w:themeColor="text1"/>
          <w:lang w:val="es-ES_tradnl"/>
        </w:rPr>
        <w:t>, de manera que su objeto social les permita la ejecución de las actividades acordadas.</w:t>
      </w:r>
      <w:r w:rsidRPr="00FD67DB">
        <w:rPr>
          <w:rFonts w:ascii="Verdana" w:eastAsia="Calibri" w:hAnsi="Verdana" w:cs="Arial"/>
          <w:lang w:eastAsia="es-ES"/>
        </w:rPr>
        <w:t xml:space="preserve"> </w:t>
      </w:r>
      <w:r w:rsidRPr="00FD67DB">
        <w:rPr>
          <w:rFonts w:ascii="Verdana" w:eastAsia="Calibri" w:hAnsi="Verdana" w:cs="Arial"/>
          <w:bCs/>
          <w:color w:val="000000" w:themeColor="text1"/>
          <w:lang w:eastAsia="es-ES_tradnl" w:bidi="es-ES"/>
        </w:rPr>
        <w:t xml:space="preserve">En relación con las diferencias entre los </w:t>
      </w:r>
      <w:proofErr w:type="gramStart"/>
      <w:r w:rsidRPr="00FD67DB">
        <w:rPr>
          <w:rFonts w:ascii="Verdana" w:eastAsia="Calibri" w:hAnsi="Verdana" w:cs="Arial"/>
          <w:bCs/>
          <w:color w:val="000000" w:themeColor="text1"/>
          <w:lang w:eastAsia="es-ES_tradnl" w:bidi="es-ES"/>
        </w:rPr>
        <w:t>contratos interadministrativos y los convenios interadministrativos</w:t>
      </w:r>
      <w:proofErr w:type="gramEnd"/>
      <w:r w:rsidRPr="00FD67DB">
        <w:rPr>
          <w:rFonts w:ascii="Verdana" w:eastAsia="Calibri" w:hAnsi="Verdana" w:cs="Arial"/>
          <w:bCs/>
          <w:color w:val="000000" w:themeColor="text1"/>
          <w:lang w:eastAsia="es-ES_tradnl" w:bidi="es-ES"/>
        </w:rPr>
        <w:t xml:space="preserve"> de que trata el artículo 95 de la Ley 489 de 1998, la Sala de Consulta y Servicio Civil del Consejo de Estado expresó lo siguiente: </w:t>
      </w:r>
    </w:p>
    <w:p w14:paraId="53C36145" w14:textId="77777777" w:rsidR="00452129" w:rsidRPr="00FD67DB" w:rsidRDefault="00452129" w:rsidP="00452129">
      <w:pPr>
        <w:spacing w:beforeLines="120" w:before="288" w:afterLines="120" w:after="288" w:line="276" w:lineRule="auto"/>
        <w:ind w:firstLine="709"/>
        <w:contextualSpacing/>
        <w:jc w:val="both"/>
        <w:rPr>
          <w:rFonts w:ascii="Verdana" w:eastAsia="Calibri" w:hAnsi="Verdana" w:cs="Arial"/>
          <w:bCs/>
          <w:color w:val="000000" w:themeColor="text1"/>
          <w:sz w:val="20"/>
          <w:szCs w:val="20"/>
          <w:lang w:eastAsia="es-ES_tradnl" w:bidi="es-ES"/>
        </w:rPr>
      </w:pPr>
    </w:p>
    <w:p w14:paraId="09777673" w14:textId="77777777" w:rsidR="00452129" w:rsidRPr="00FD67DB" w:rsidRDefault="00452129" w:rsidP="00452129">
      <w:pPr>
        <w:spacing w:after="0" w:line="240" w:lineRule="auto"/>
        <w:ind w:left="709" w:right="709"/>
        <w:contextualSpacing/>
        <w:jc w:val="both"/>
        <w:rPr>
          <w:rFonts w:ascii="Verdana" w:eastAsia="Calibri" w:hAnsi="Verdana" w:cs="Arial"/>
          <w:bCs/>
          <w:color w:val="000000" w:themeColor="text1"/>
          <w:sz w:val="20"/>
          <w:szCs w:val="20"/>
          <w:lang w:eastAsia="es-ES_tradnl" w:bidi="es-ES"/>
        </w:rPr>
      </w:pPr>
      <w:r w:rsidRPr="00FD67DB">
        <w:rPr>
          <w:rFonts w:ascii="Verdana" w:eastAsia="Calibri" w:hAnsi="Verdana" w:cs="Arial"/>
          <w:bCs/>
          <w:color w:val="000000" w:themeColor="text1"/>
          <w:sz w:val="20"/>
          <w:szCs w:val="20"/>
          <w:lang w:eastAsia="es-ES_tradnl" w:bidi="es-ES"/>
        </w:rPr>
        <w:t>“La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w:t>
      </w:r>
      <w:r w:rsidRPr="00FD67DB">
        <w:rPr>
          <w:rFonts w:ascii="Verdana" w:eastAsia="Calibri" w:hAnsi="Verdana" w:cs="Arial"/>
          <w:bCs/>
          <w:color w:val="000000" w:themeColor="text1"/>
          <w:sz w:val="20"/>
          <w:szCs w:val="20"/>
          <w:vertAlign w:val="superscript"/>
          <w:lang w:val="es-ES_tradnl" w:eastAsia="es-ES_tradnl" w:bidi="es-ES"/>
        </w:rPr>
        <w:t xml:space="preserve"> </w:t>
      </w:r>
      <w:r w:rsidRPr="00FD67DB">
        <w:rPr>
          <w:rFonts w:ascii="Verdana" w:eastAsia="Calibri" w:hAnsi="Verdana" w:cs="Arial"/>
          <w:bCs/>
          <w:color w:val="000000" w:themeColor="text1"/>
          <w:sz w:val="20"/>
          <w:szCs w:val="20"/>
          <w:vertAlign w:val="superscript"/>
          <w:lang w:val="es-ES_tradnl" w:eastAsia="es-ES_tradnl" w:bidi="es-ES"/>
        </w:rPr>
        <w:footnoteReference w:id="9"/>
      </w:r>
    </w:p>
    <w:p w14:paraId="4707E036" w14:textId="77777777" w:rsidR="00452129" w:rsidRPr="00FD67DB" w:rsidRDefault="00452129" w:rsidP="00452129">
      <w:pPr>
        <w:spacing w:beforeLines="120" w:before="288" w:afterLines="120" w:after="288" w:line="276" w:lineRule="auto"/>
        <w:ind w:firstLine="708"/>
        <w:contextualSpacing/>
        <w:jc w:val="both"/>
        <w:rPr>
          <w:rFonts w:ascii="Verdana" w:eastAsia="Calibri" w:hAnsi="Verdana" w:cs="Arial"/>
          <w:bCs/>
          <w:color w:val="000000" w:themeColor="text1"/>
          <w:sz w:val="20"/>
          <w:szCs w:val="20"/>
          <w:lang w:eastAsia="es-ES_tradnl" w:bidi="es-ES"/>
        </w:rPr>
      </w:pPr>
    </w:p>
    <w:p w14:paraId="14314792" w14:textId="77777777" w:rsidR="00452129" w:rsidRPr="00FD67DB" w:rsidRDefault="00452129" w:rsidP="00452129">
      <w:pPr>
        <w:spacing w:line="276" w:lineRule="auto"/>
        <w:ind w:firstLine="709"/>
        <w:contextualSpacing/>
        <w:jc w:val="both"/>
        <w:rPr>
          <w:rFonts w:ascii="Verdana" w:eastAsia="Calibri" w:hAnsi="Verdana" w:cs="Arial"/>
          <w:bCs/>
          <w:color w:val="000000" w:themeColor="text1"/>
          <w:lang w:eastAsia="es-ES_tradnl" w:bidi="es-ES"/>
        </w:rPr>
      </w:pPr>
      <w:r w:rsidRPr="00FD67DB">
        <w:rPr>
          <w:rFonts w:ascii="Verdana" w:eastAsia="Calibri" w:hAnsi="Verdana" w:cs="Arial"/>
          <w:bCs/>
          <w:color w:val="000000" w:themeColor="text1"/>
          <w:lang w:eastAsia="es-ES_tradnl" w:bidi="es-ES"/>
        </w:rPr>
        <w:t>En línea con lo anterior, la Sala Contenciosa Administrativa del Consejo de Estado en sentencia del 14 de junio de 2019 también señaló:</w:t>
      </w:r>
    </w:p>
    <w:p w14:paraId="4193583F" w14:textId="77777777" w:rsidR="00452129" w:rsidRPr="00FD67DB" w:rsidRDefault="00452129" w:rsidP="00452129">
      <w:pPr>
        <w:spacing w:beforeLines="120" w:before="288" w:afterLines="120" w:after="288" w:line="276" w:lineRule="auto"/>
        <w:contextualSpacing/>
        <w:rPr>
          <w:rFonts w:ascii="Verdana" w:eastAsia="Calibri" w:hAnsi="Verdana" w:cs="Arial"/>
          <w:bCs/>
          <w:color w:val="000000" w:themeColor="text1"/>
          <w:lang w:eastAsia="es-ES_tradnl" w:bidi="es-ES"/>
        </w:rPr>
      </w:pPr>
    </w:p>
    <w:p w14:paraId="4CAD492B" w14:textId="77777777" w:rsidR="00452129" w:rsidRPr="00FD67DB" w:rsidRDefault="00452129" w:rsidP="00452129">
      <w:pPr>
        <w:spacing w:after="0" w:line="240" w:lineRule="auto"/>
        <w:ind w:left="709" w:right="709"/>
        <w:contextualSpacing/>
        <w:jc w:val="both"/>
        <w:rPr>
          <w:rFonts w:ascii="Verdana" w:eastAsia="Calibri" w:hAnsi="Verdana" w:cs="Arial"/>
          <w:bCs/>
          <w:color w:val="000000" w:themeColor="text1"/>
          <w:sz w:val="20"/>
          <w:szCs w:val="20"/>
          <w:lang w:val="es-ES_tradnl" w:eastAsia="es-ES_tradnl" w:bidi="es-ES"/>
        </w:rPr>
      </w:pPr>
      <w:r w:rsidRPr="00FD67DB">
        <w:rPr>
          <w:rFonts w:ascii="Verdana" w:eastAsia="Calibri" w:hAnsi="Verdana" w:cs="Arial"/>
          <w:bCs/>
          <w:color w:val="000000" w:themeColor="text1"/>
          <w:sz w:val="20"/>
          <w:szCs w:val="20"/>
          <w:lang w:val="es-ES_tradnl" w:eastAsia="es-ES_tradnl" w:bidi="es-ES"/>
        </w:rPr>
        <w:t>“La Sala de Consulta y Servicio Civil</w:t>
      </w:r>
      <w:r w:rsidRPr="00FD67DB">
        <w:rPr>
          <w:rFonts w:ascii="Verdana" w:eastAsia="Calibri" w:hAnsi="Verdana" w:cs="Arial"/>
          <w:bCs/>
          <w:color w:val="000000" w:themeColor="text1"/>
          <w:sz w:val="20"/>
          <w:szCs w:val="20"/>
          <w:vertAlign w:val="superscript"/>
          <w:lang w:val="es-ES_tradnl" w:eastAsia="es-ES_tradnl" w:bidi="es-ES"/>
        </w:rPr>
        <w:footnoteReference w:id="10"/>
      </w:r>
      <w:r w:rsidRPr="00FD67DB">
        <w:rPr>
          <w:rFonts w:ascii="Verdana" w:eastAsia="Calibri" w:hAnsi="Verdana" w:cs="Arial"/>
          <w:bCs/>
          <w:color w:val="000000" w:themeColor="text1"/>
          <w:sz w:val="20"/>
          <w:szCs w:val="20"/>
          <w:lang w:val="es-ES_tradnl" w:eastAsia="es-ES_tradnl" w:bidi="es-ES"/>
        </w:rPr>
        <w:t xml:space="preserve"> de esta Corporación se ha referido a los </w:t>
      </w:r>
      <w:r w:rsidRPr="00FD67DB">
        <w:rPr>
          <w:rFonts w:ascii="Verdana" w:eastAsia="Calibri" w:hAnsi="Verdana" w:cs="Arial"/>
          <w:bCs/>
          <w:i/>
          <w:color w:val="000000" w:themeColor="text1"/>
          <w:sz w:val="20"/>
          <w:szCs w:val="20"/>
          <w:lang w:val="es-ES_tradnl" w:eastAsia="es-ES_tradnl" w:bidi="es-ES"/>
        </w:rPr>
        <w:t>“convenios interadministrativos”</w:t>
      </w:r>
      <w:r w:rsidRPr="00FD67DB">
        <w:rPr>
          <w:rFonts w:ascii="Verdana" w:eastAsia="Calibri" w:hAnsi="Verdana" w:cs="Arial"/>
          <w:bCs/>
          <w:color w:val="000000" w:themeColor="text1"/>
          <w:sz w:val="20"/>
          <w:szCs w:val="20"/>
          <w:lang w:val="es-ES_tradnl" w:eastAsia="es-ES_tradnl" w:bidi="es-ES"/>
        </w:rPr>
        <w:t xml:space="preserve"> a los cuales alude el artículo 95 de la Ley 489 de 1998, calificándolos de </w:t>
      </w:r>
      <w:r w:rsidRPr="00FD67DB">
        <w:rPr>
          <w:rFonts w:ascii="Verdana" w:eastAsia="Calibri" w:hAnsi="Verdana" w:cs="Arial"/>
          <w:bCs/>
          <w:i/>
          <w:color w:val="000000" w:themeColor="text1"/>
          <w:sz w:val="20"/>
          <w:szCs w:val="20"/>
          <w:lang w:val="es-ES_tradnl" w:eastAsia="es-ES_tradnl" w:bidi="es-ES"/>
        </w:rPr>
        <w:t xml:space="preserve">“puros” </w:t>
      </w:r>
      <w:r w:rsidRPr="00FD67DB">
        <w:rPr>
          <w:rFonts w:ascii="Verdana" w:eastAsia="Calibri" w:hAnsi="Verdana" w:cs="Arial"/>
          <w:bCs/>
          <w:color w:val="000000" w:themeColor="text1"/>
          <w:sz w:val="20"/>
          <w:szCs w:val="20"/>
          <w:lang w:val="es-ES_tradnl" w:eastAsia="es-ES_tradnl" w:bidi="es-ES"/>
        </w:rPr>
        <w:t xml:space="preserve">y entendiendo que estos, además de perseguir la finalidad de cooperación antes indicada, no implican intereses contrapuestos ni tampoco se circunscriben a un </w:t>
      </w:r>
      <w:r w:rsidRPr="00FD67DB">
        <w:rPr>
          <w:rFonts w:ascii="Verdana" w:eastAsia="Calibri" w:hAnsi="Verdana" w:cs="Arial"/>
          <w:bCs/>
          <w:i/>
          <w:color w:val="000000" w:themeColor="text1"/>
          <w:sz w:val="20"/>
          <w:szCs w:val="20"/>
          <w:lang w:val="es-ES_tradnl" w:eastAsia="es-ES_tradnl" w:bidi="es-ES"/>
        </w:rPr>
        <w:t>“intercambio patrimonial”</w:t>
      </w:r>
      <w:r w:rsidRPr="00FD67DB">
        <w:rPr>
          <w:rFonts w:ascii="Verdana" w:eastAsia="Calibri" w:hAnsi="Verdana" w:cs="Arial"/>
          <w:bCs/>
          <w:color w:val="000000" w:themeColor="text1"/>
          <w:sz w:val="20"/>
          <w:szCs w:val="20"/>
          <w:lang w:val="es-ES_tradnl" w:eastAsia="es-ES_tradnl" w:bidi="es-ES"/>
        </w:rPr>
        <w:t xml:space="preserve">. Sin perjuicio de lo anterior, en otra </w:t>
      </w:r>
      <w:r w:rsidRPr="00FD67DB">
        <w:rPr>
          <w:rFonts w:ascii="Verdana" w:eastAsia="Calibri" w:hAnsi="Verdana" w:cs="Arial"/>
          <w:bCs/>
          <w:color w:val="000000" w:themeColor="text1"/>
          <w:sz w:val="20"/>
          <w:szCs w:val="20"/>
          <w:lang w:val="es-ES_tradnl" w:eastAsia="es-ES_tradnl" w:bidi="es-ES"/>
        </w:rPr>
        <w:lastRenderedPageBreak/>
        <w:t>oportunidad, la misma Sala</w:t>
      </w:r>
      <w:r w:rsidRPr="00FD67DB">
        <w:rPr>
          <w:rFonts w:ascii="Verdana" w:eastAsia="Calibri" w:hAnsi="Verdana" w:cs="Arial"/>
          <w:bCs/>
          <w:color w:val="000000" w:themeColor="text1"/>
          <w:sz w:val="20"/>
          <w:szCs w:val="20"/>
          <w:vertAlign w:val="superscript"/>
          <w:lang w:val="es-ES_tradnl" w:eastAsia="es-ES_tradnl" w:bidi="es-ES"/>
        </w:rPr>
        <w:footnoteReference w:id="11"/>
      </w:r>
      <w:r w:rsidRPr="00FD67DB">
        <w:rPr>
          <w:rFonts w:ascii="Verdana" w:eastAsia="Calibri" w:hAnsi="Verdana" w:cs="Arial"/>
          <w:bCs/>
          <w:color w:val="000000" w:themeColor="text1"/>
          <w:sz w:val="20"/>
          <w:szCs w:val="20"/>
          <w:lang w:val="es-ES_tradnl" w:eastAsia="es-ES_tradnl" w:bidi="es-ES"/>
        </w:rPr>
        <w:t xml:space="preserve"> había indicado que, si bien en dichos convenios no se daba un </w:t>
      </w:r>
      <w:r w:rsidRPr="00FD67DB">
        <w:rPr>
          <w:rFonts w:ascii="Verdana" w:eastAsia="Calibri" w:hAnsi="Verdana" w:cs="Arial"/>
          <w:bCs/>
          <w:i/>
          <w:color w:val="000000" w:themeColor="text1"/>
          <w:sz w:val="20"/>
          <w:szCs w:val="20"/>
          <w:lang w:val="es-ES_tradnl" w:eastAsia="es-ES_tradnl" w:bidi="es-ES"/>
        </w:rPr>
        <w:t>“verdadero intercambio de bienes o servicios (contrato conmutativo)”</w:t>
      </w:r>
      <w:r w:rsidRPr="00FD67DB">
        <w:rPr>
          <w:rFonts w:ascii="Verdana" w:eastAsia="Calibri" w:hAnsi="Verdana" w:cs="Arial"/>
          <w:bCs/>
          <w:color w:val="000000" w:themeColor="text1"/>
          <w:sz w:val="20"/>
          <w:szCs w:val="20"/>
          <w:lang w:val="es-ES_tradnl" w:eastAsia="es-ES_tradnl" w:bidi="es-ES"/>
        </w:rPr>
        <w:t>, ello no impedía que se conviniera una remuneración a cargo de alguna(s) entidad(es).</w:t>
      </w:r>
    </w:p>
    <w:p w14:paraId="2EDCE01F" w14:textId="77777777" w:rsidR="00452129" w:rsidRPr="00FD67DB" w:rsidRDefault="00452129" w:rsidP="00452129">
      <w:pPr>
        <w:spacing w:beforeLines="120" w:before="288" w:afterLines="120" w:after="288" w:line="276" w:lineRule="auto"/>
        <w:ind w:left="708" w:right="709" w:firstLine="708"/>
        <w:contextualSpacing/>
        <w:jc w:val="both"/>
        <w:rPr>
          <w:rFonts w:ascii="Verdana" w:eastAsia="Calibri" w:hAnsi="Verdana" w:cs="Arial"/>
          <w:bCs/>
          <w:color w:val="000000" w:themeColor="text1"/>
          <w:sz w:val="20"/>
          <w:szCs w:val="20"/>
          <w:lang w:val="es-ES_tradnl" w:eastAsia="es-ES_tradnl" w:bidi="es-ES"/>
        </w:rPr>
      </w:pPr>
    </w:p>
    <w:p w14:paraId="6A8ED582" w14:textId="77777777" w:rsidR="00452129" w:rsidRPr="00FD67DB" w:rsidRDefault="00452129" w:rsidP="00452129">
      <w:pPr>
        <w:spacing w:beforeLines="120" w:before="288" w:afterLines="120" w:after="288" w:line="240" w:lineRule="auto"/>
        <w:ind w:left="708" w:right="709"/>
        <w:contextualSpacing/>
        <w:jc w:val="both"/>
        <w:rPr>
          <w:rFonts w:ascii="Verdana" w:eastAsia="Calibri" w:hAnsi="Verdana" w:cs="Arial"/>
          <w:bCs/>
          <w:color w:val="000000" w:themeColor="text1"/>
          <w:sz w:val="20"/>
          <w:szCs w:val="20"/>
          <w:lang w:eastAsia="es-ES_tradnl" w:bidi="es-ES"/>
        </w:rPr>
      </w:pPr>
      <w:r w:rsidRPr="00FD67DB">
        <w:rPr>
          <w:rFonts w:ascii="Verdana" w:eastAsia="Calibri" w:hAnsi="Verdana" w:cs="Arial"/>
          <w:bCs/>
          <w:color w:val="000000" w:themeColor="text1"/>
          <w:sz w:val="20"/>
          <w:szCs w:val="20"/>
          <w:lang w:val="es-ES_tradnl" w:eastAsia="es-ES_tradnl" w:bidi="es-ES"/>
        </w:rPr>
        <w:t xml:space="preserve">Lo expuesto evidencia que, en general, las interpretaciones en torno a los </w:t>
      </w:r>
      <w:r w:rsidRPr="00FD67DB">
        <w:rPr>
          <w:rFonts w:ascii="Verdana" w:eastAsia="Calibri" w:hAnsi="Verdana" w:cs="Arial"/>
          <w:bCs/>
          <w:i/>
          <w:color w:val="000000" w:themeColor="text1"/>
          <w:sz w:val="20"/>
          <w:szCs w:val="20"/>
          <w:lang w:val="es-ES_tradnl" w:eastAsia="es-ES_tradnl" w:bidi="es-ES"/>
        </w:rPr>
        <w:t>“convenios interadministrativos”</w:t>
      </w:r>
      <w:r w:rsidRPr="00FD67DB">
        <w:rPr>
          <w:rFonts w:ascii="Verdana" w:eastAsia="Calibri" w:hAnsi="Verdana" w:cs="Arial"/>
          <w:bCs/>
          <w:color w:val="000000" w:themeColor="text1"/>
          <w:sz w:val="20"/>
          <w:szCs w:val="20"/>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FD67DB">
        <w:rPr>
          <w:rFonts w:ascii="Verdana" w:eastAsia="Calibri" w:hAnsi="Verdana" w:cs="Arial"/>
          <w:bCs/>
          <w:color w:val="000000" w:themeColor="text1"/>
          <w:sz w:val="20"/>
          <w:szCs w:val="20"/>
          <w:vertAlign w:val="superscript"/>
          <w:lang w:val="es-ES_tradnl" w:eastAsia="es-ES_tradnl" w:bidi="es-ES"/>
        </w:rPr>
        <w:footnoteReference w:id="12"/>
      </w:r>
      <w:r w:rsidRPr="00FD67DB">
        <w:rPr>
          <w:rFonts w:ascii="Verdana" w:eastAsia="Calibri" w:hAnsi="Verdana" w:cs="Arial"/>
          <w:bCs/>
          <w:color w:val="000000" w:themeColor="text1"/>
          <w:sz w:val="20"/>
          <w:szCs w:val="20"/>
          <w:lang w:val="es-ES_tradnl" w:eastAsia="es-ES_tradnl" w:bidi="es-ES"/>
        </w:rPr>
        <w:t>.</w:t>
      </w:r>
      <w:r w:rsidRPr="00FD67DB">
        <w:rPr>
          <w:rFonts w:ascii="Verdana" w:eastAsia="Calibri" w:hAnsi="Verdana" w:cs="Arial"/>
          <w:bCs/>
          <w:color w:val="000000" w:themeColor="text1"/>
          <w:sz w:val="20"/>
          <w:szCs w:val="20"/>
          <w:vertAlign w:val="superscript"/>
          <w:lang w:eastAsia="es-ES_tradnl" w:bidi="es-ES"/>
        </w:rPr>
        <w:footnoteReference w:id="13"/>
      </w:r>
      <w:r w:rsidRPr="00FD67DB">
        <w:rPr>
          <w:rFonts w:ascii="Verdana" w:eastAsia="Calibri" w:hAnsi="Verdana" w:cs="Arial"/>
          <w:bCs/>
          <w:color w:val="000000" w:themeColor="text1"/>
          <w:sz w:val="20"/>
          <w:szCs w:val="20"/>
          <w:lang w:val="es-ES_tradnl" w:eastAsia="es-ES_tradnl" w:bidi="es-ES"/>
        </w:rPr>
        <w:t xml:space="preserve"> </w:t>
      </w:r>
    </w:p>
    <w:p w14:paraId="04A1CAAD" w14:textId="77777777" w:rsidR="00452129" w:rsidRPr="00FD67DB" w:rsidRDefault="00452129" w:rsidP="00452129">
      <w:pPr>
        <w:snapToGrid w:val="0"/>
        <w:spacing w:after="0" w:line="276" w:lineRule="auto"/>
        <w:ind w:firstLine="709"/>
        <w:jc w:val="both"/>
        <w:rPr>
          <w:rFonts w:ascii="Verdana" w:eastAsia="Calibri" w:hAnsi="Verdana" w:cs="Arial"/>
          <w:bCs/>
          <w:color w:val="000000" w:themeColor="text1"/>
          <w:lang w:eastAsia="es-ES_tradnl" w:bidi="es-ES"/>
        </w:rPr>
      </w:pPr>
    </w:p>
    <w:p w14:paraId="4DE8F848" w14:textId="77777777" w:rsidR="00452129" w:rsidRPr="00FD67DB" w:rsidRDefault="00452129" w:rsidP="00452129">
      <w:pPr>
        <w:snapToGrid w:val="0"/>
        <w:spacing w:after="120" w:line="276" w:lineRule="auto"/>
        <w:ind w:firstLine="709"/>
        <w:jc w:val="both"/>
        <w:rPr>
          <w:rFonts w:ascii="Verdana" w:eastAsia="Calibri" w:hAnsi="Verdana" w:cs="Arial"/>
          <w:bCs/>
          <w:color w:val="000000" w:themeColor="text1"/>
          <w:lang w:eastAsia="es-ES_tradnl" w:bidi="es-ES"/>
        </w:rPr>
      </w:pPr>
      <w:r w:rsidRPr="00FD67DB">
        <w:rPr>
          <w:rFonts w:ascii="Verdana" w:eastAsia="Calibri" w:hAnsi="Verdana" w:cs="Arial"/>
          <w:bCs/>
          <w:color w:val="000000" w:themeColor="text1"/>
          <w:lang w:eastAsia="es-ES_tradnl" w:bidi="es-ES"/>
        </w:rPr>
        <w:t xml:space="preserve">En esta ocasión la referida corporación judicial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en una relación de carácter conmutativo, mientras que los convenios interadministrativos involucran la ejecución de actividades en función de un interés común para las partes; en esencia se pretende el cumplimiento de fines coincidentes entre quienes lo ejecutan. </w:t>
      </w:r>
    </w:p>
    <w:p w14:paraId="7D89CD27" w14:textId="77777777" w:rsidR="00452129" w:rsidRPr="00FD67DB" w:rsidRDefault="00452129" w:rsidP="00452129">
      <w:pPr>
        <w:snapToGrid w:val="0"/>
        <w:spacing w:after="120" w:line="276" w:lineRule="auto"/>
        <w:ind w:firstLine="709"/>
        <w:jc w:val="both"/>
        <w:rPr>
          <w:rFonts w:ascii="Verdana" w:eastAsia="Calibri" w:hAnsi="Verdana" w:cs="Arial"/>
          <w:bCs/>
          <w:color w:val="000000" w:themeColor="text1"/>
          <w:lang w:eastAsia="es-ES_tradnl" w:bidi="es-ES"/>
        </w:rPr>
      </w:pPr>
      <w:r w:rsidRPr="00FD67DB">
        <w:rPr>
          <w:rFonts w:ascii="Verdana" w:eastAsia="Calibri" w:hAnsi="Verdana" w:cs="Arial"/>
          <w:bCs/>
          <w:color w:val="000000" w:themeColor="text1"/>
          <w:lang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y conmutativa, en la que existen unas exigencias y restricciones normativas adicionales, de manera que, en efecto, dista de la naturaleza y esencia del convenio interadministrativo.</w:t>
      </w:r>
    </w:p>
    <w:p w14:paraId="2A9039B2" w14:textId="77777777" w:rsidR="00452129" w:rsidRPr="00FD67DB" w:rsidRDefault="00452129" w:rsidP="00452129">
      <w:pPr>
        <w:snapToGrid w:val="0"/>
        <w:spacing w:after="120" w:line="276" w:lineRule="auto"/>
        <w:ind w:firstLine="709"/>
        <w:jc w:val="both"/>
        <w:rPr>
          <w:rFonts w:ascii="Verdana" w:eastAsia="Calibri" w:hAnsi="Verdana" w:cs="Arial"/>
          <w:bCs/>
          <w:color w:val="000000" w:themeColor="text1"/>
          <w:lang w:eastAsia="es-ES_tradnl" w:bidi="es-ES"/>
        </w:rPr>
      </w:pPr>
      <w:r w:rsidRPr="00FD67DB">
        <w:rPr>
          <w:rFonts w:ascii="Verdana" w:eastAsia="Times New Roman" w:hAnsi="Verdana" w:cs="Arial"/>
          <w:lang w:val="es-ES" w:eastAsia="es-ES_tradnl"/>
        </w:rPr>
        <w:t xml:space="preserve">Visto lo anterior, de conformidad con lo previsto en el artículo 95 de la Ley 489 de 1998 y el alcance que la jurisprudencia y conceptos del Consejo de Estado  y la doctrina le han conferido al tema de la regulación de los contratos y convenios interadministrativos, esta última tipología presenta las siguientes características: i) se celebra entre dos Entidades Estatales que se encuentran en pie de igualdad con el objeto de cumplir competencias de ambas entidades dirigidas a un propósito común; </w:t>
      </w:r>
      <w:proofErr w:type="spellStart"/>
      <w:r w:rsidRPr="00FD67DB">
        <w:rPr>
          <w:rFonts w:ascii="Verdana" w:eastAsia="Times New Roman" w:hAnsi="Verdana" w:cs="Arial"/>
          <w:lang w:val="es-ES" w:eastAsia="es-ES_tradnl"/>
        </w:rPr>
        <w:t>ii</w:t>
      </w:r>
      <w:proofErr w:type="spellEnd"/>
      <w:r w:rsidRPr="00FD67DB">
        <w:rPr>
          <w:rFonts w:ascii="Verdana" w:eastAsia="Times New Roman" w:hAnsi="Verdana" w:cs="Arial"/>
          <w:lang w:val="es-ES" w:eastAsia="es-ES_tradnl"/>
        </w:rPr>
        <w:t xml:space="preserve">) la modalidad para su celebración es la contratación directa; y </w:t>
      </w:r>
      <w:proofErr w:type="spellStart"/>
      <w:r w:rsidRPr="00FD67DB">
        <w:rPr>
          <w:rFonts w:ascii="Verdana" w:eastAsia="Times New Roman" w:hAnsi="Verdana" w:cs="Arial"/>
          <w:lang w:val="es-ES" w:eastAsia="es-ES_tradnl"/>
        </w:rPr>
        <w:t>iii</w:t>
      </w:r>
      <w:proofErr w:type="spellEnd"/>
      <w:r w:rsidRPr="00FD67DB">
        <w:rPr>
          <w:rFonts w:ascii="Verdana" w:eastAsia="Times New Roman" w:hAnsi="Verdana" w:cs="Arial"/>
          <w:lang w:val="es-ES" w:eastAsia="es-ES_tradnl"/>
        </w:rPr>
        <w:t xml:space="preserve">) los convenios interadministrativos pueden suponer el </w:t>
      </w:r>
      <w:r w:rsidRPr="00FD67DB">
        <w:rPr>
          <w:rFonts w:ascii="Verdana" w:eastAsia="Times New Roman" w:hAnsi="Verdana" w:cs="Arial"/>
          <w:lang w:val="es-ES" w:eastAsia="es-ES_tradnl"/>
        </w:rPr>
        <w:lastRenderedPageBreak/>
        <w:t xml:space="preserve">compromiso de recursos públicos y, por consiguiente, la realización de aportes financieros. Ello, sin embargo, no supone la posibilidad de que en este tipo de relaciones jurídicas exista una remuneración en favor de uno de los </w:t>
      </w:r>
      <w:proofErr w:type="spellStart"/>
      <w:r w:rsidRPr="00FD67DB">
        <w:rPr>
          <w:rFonts w:ascii="Verdana" w:eastAsia="Times New Roman" w:hAnsi="Verdana" w:cs="Arial"/>
          <w:lang w:val="es-ES" w:eastAsia="es-ES_tradnl"/>
        </w:rPr>
        <w:t>co-contratantes</w:t>
      </w:r>
      <w:proofErr w:type="spellEnd"/>
      <w:r w:rsidRPr="00FD67DB">
        <w:rPr>
          <w:rFonts w:ascii="Verdana" w:eastAsia="Times New Roman" w:hAnsi="Verdana" w:cs="Arial"/>
          <w:lang w:val="es-ES" w:eastAsia="es-ES_tradnl"/>
        </w:rPr>
        <w:t xml:space="preserve"> y a cargo de otro u otros.</w:t>
      </w:r>
    </w:p>
    <w:p w14:paraId="7A02241F" w14:textId="77777777" w:rsidR="00452129" w:rsidRPr="00FD67DB" w:rsidRDefault="00452129" w:rsidP="00452129">
      <w:pPr>
        <w:snapToGrid w:val="0"/>
        <w:spacing w:after="0" w:line="276" w:lineRule="auto"/>
        <w:ind w:firstLine="709"/>
        <w:jc w:val="both"/>
        <w:rPr>
          <w:rFonts w:ascii="Verdana" w:eastAsia="Calibri" w:hAnsi="Verdana" w:cs="Arial"/>
          <w:bCs/>
          <w:color w:val="000000" w:themeColor="text1"/>
          <w:lang w:eastAsia="es-ES_tradnl" w:bidi="es-ES"/>
        </w:rPr>
      </w:pPr>
      <w:r w:rsidRPr="00FD67DB">
        <w:rPr>
          <w:rFonts w:ascii="Verdana" w:eastAsia="Calibri" w:hAnsi="Verdana" w:cs="Arial"/>
          <w:bCs/>
          <w:color w:val="000000" w:themeColor="text1"/>
          <w:lang w:eastAsia="es-ES_tradnl" w:bidi="es-ES"/>
        </w:rPr>
        <w:t xml:space="preserve">En suma, el convenio interadministrativo es un negocio jurídico en el cual están presentes dos Entidades Estatales y cuyo objeto es coordinar, cooperar, colaborar o distribuir competencias en la realización de funciones administrativas de interés común y, por tanto, tienen intereses convergentes o coincidentes, sin que se reciba por alguna de ellas el pago de un precio o contraprestación; en tanto que el contrato interadministrativo, aunque es celebrado también entre dos Entidades Estatales, es un negocio jurídico generador de obligaciones al cual acuden estas con diversidad de intereses y en ellos existe una contraprestación directa a favor de la entidad contratista que ha entregado el bien o prestado el servicio o realizado la obra a favor de la entidad contratante. </w:t>
      </w:r>
    </w:p>
    <w:p w14:paraId="3F30BDE3" w14:textId="77777777" w:rsidR="00452129" w:rsidRPr="00FD67DB" w:rsidRDefault="00452129" w:rsidP="00452129">
      <w:pPr>
        <w:spacing w:after="0" w:line="276" w:lineRule="auto"/>
        <w:jc w:val="both"/>
        <w:rPr>
          <w:rFonts w:ascii="Verdana" w:eastAsia="Times New Roman" w:hAnsi="Verdana" w:cs="Arial"/>
          <w:lang w:eastAsia="es-CO"/>
        </w:rPr>
      </w:pPr>
    </w:p>
    <w:p w14:paraId="4BF1746C" w14:textId="77777777" w:rsidR="00452129" w:rsidRPr="00FD67DB" w:rsidRDefault="00452129" w:rsidP="00452129">
      <w:pPr>
        <w:spacing w:after="0" w:line="276" w:lineRule="auto"/>
        <w:jc w:val="both"/>
        <w:rPr>
          <w:rFonts w:ascii="Verdana" w:eastAsia="Times New Roman" w:hAnsi="Verdana" w:cs="Arial"/>
          <w:lang w:eastAsia="es-CO"/>
        </w:rPr>
      </w:pPr>
      <w:proofErr w:type="spellStart"/>
      <w:r w:rsidRPr="00FD67DB">
        <w:rPr>
          <w:rFonts w:ascii="Verdana" w:eastAsia="Times New Roman" w:hAnsi="Verdana" w:cs="Arial"/>
          <w:lang w:eastAsia="es-CO"/>
        </w:rPr>
        <w:t>ii</w:t>
      </w:r>
      <w:proofErr w:type="spellEnd"/>
      <w:r w:rsidRPr="00FD67DB">
        <w:rPr>
          <w:rFonts w:ascii="Verdana" w:eastAsia="Times New Roman" w:hAnsi="Verdana" w:cs="Arial"/>
          <w:lang w:eastAsia="es-CO"/>
        </w:rPr>
        <w:t>) Realizadas las anteriores precisiones sobre los contratos y convenios interadministrativos, resulta pertinente analizar con el fin de resolver uno de los problemas jurídicos planteados, la figura del fraccionamiento del contrato. De esta forma, se tiene que el Consejo de Estado ha precisado lo siguiente:</w:t>
      </w:r>
    </w:p>
    <w:p w14:paraId="090C2D9A" w14:textId="77777777" w:rsidR="00452129" w:rsidRPr="00FD67DB" w:rsidRDefault="00452129" w:rsidP="00452129">
      <w:pPr>
        <w:spacing w:after="0" w:line="276" w:lineRule="auto"/>
        <w:jc w:val="both"/>
        <w:rPr>
          <w:rFonts w:ascii="Verdana" w:eastAsia="Times New Roman" w:hAnsi="Verdana" w:cs="Arial"/>
          <w:lang w:eastAsia="es-CO"/>
        </w:rPr>
      </w:pPr>
    </w:p>
    <w:p w14:paraId="333E22AC" w14:textId="77777777" w:rsidR="00452129" w:rsidRPr="00FD67DB" w:rsidRDefault="00452129" w:rsidP="00452129">
      <w:pPr>
        <w:spacing w:after="0" w:line="240" w:lineRule="auto"/>
        <w:ind w:left="709" w:right="709"/>
        <w:jc w:val="both"/>
        <w:rPr>
          <w:rFonts w:ascii="Verdana" w:eastAsia="Times New Roman" w:hAnsi="Verdana" w:cs="Arial"/>
          <w:sz w:val="20"/>
          <w:szCs w:val="20"/>
          <w:lang w:eastAsia="es-CO"/>
        </w:rPr>
      </w:pPr>
      <w:r w:rsidRPr="00FD67DB">
        <w:rPr>
          <w:rFonts w:ascii="Verdana" w:eastAsia="Times New Roman" w:hAnsi="Verdana" w:cs="Arial"/>
          <w:sz w:val="20"/>
          <w:szCs w:val="20"/>
          <w:lang w:eastAsia="es-CO"/>
        </w:rPr>
        <w:t xml:space="preserve">“Cuando la contratación directa Cuando la contratación directa se realiza burlando el proceso licitatorio a través del fraccionamiento del contrato, es decir, </w:t>
      </w:r>
      <w:r w:rsidRPr="00FD67DB">
        <w:rPr>
          <w:rFonts w:ascii="Verdana" w:eastAsia="Times New Roman" w:hAnsi="Verdana" w:cs="Arial"/>
          <w:i/>
          <w:iCs/>
          <w:sz w:val="20"/>
          <w:szCs w:val="20"/>
          <w:u w:val="single"/>
          <w:lang w:eastAsia="es-CO"/>
        </w:rPr>
        <w:t>buscando que ninguno de los contratos resultantes de dividir un mismo objeto supere el monto de la cuantía requerida para la licitación</w:t>
      </w:r>
      <w:r w:rsidRPr="00FD67DB">
        <w:rPr>
          <w:rFonts w:ascii="Verdana" w:eastAsia="Times New Roman" w:hAnsi="Verdana" w:cs="Arial"/>
          <w:sz w:val="20"/>
          <w:szCs w:val="20"/>
          <w:lang w:eastAsia="es-CO"/>
        </w:rPr>
        <w:t>, se están desconociendo los principios que inspiran la contratación pública. Al respecto, aunque la conducta de fraccionar los contratos no está prohibida expresamente en la Ley 80 de 1993, la jurisprudencia y la doctrina han sido claras en que la prohibición está implícita si tenemos en cuenta los aspectos esenciales de los principios y reglas que informan el estatuto contractual. En efecto, se ha considerado que “Si bien dicha figura no aparece dentro del estatuto actual en los mismos términos de los estatutos anteriores, ello obedece a la estructura misma de la ley 80, puesto que se pretendió terminar con la exagerada reglamentación y rigorismo y en cambio se determinaron pautas, reglas y principios, de los que se infiere la prohibición del fraccionamiento, y que se traduce en distintas disposiciones como la regla contenida en el numeral 8º del artículo 24, según la cual las autoridades no actuarán con desviación o abuso del poder y ejercerán sus competencias exclusivamente para los fines previstos en la ley, y al propio tiempo les prohíbe eludir los procedimientos de selección objetiva y los demás requisitos previstos en dicho estatuto”. [Énfasis fuera de texto]</w:t>
      </w:r>
    </w:p>
    <w:p w14:paraId="71C4DD06" w14:textId="77777777" w:rsidR="00452129" w:rsidRPr="00FD67DB" w:rsidRDefault="00452129" w:rsidP="00452129">
      <w:pPr>
        <w:spacing w:after="0" w:line="276" w:lineRule="auto"/>
        <w:jc w:val="both"/>
        <w:rPr>
          <w:rFonts w:ascii="Verdana" w:eastAsia="Calibri" w:hAnsi="Verdana" w:cs="Arial"/>
        </w:rPr>
      </w:pPr>
    </w:p>
    <w:p w14:paraId="28602664" w14:textId="77777777" w:rsidR="00452129" w:rsidRPr="00FD67DB" w:rsidRDefault="00452129" w:rsidP="00452129">
      <w:pPr>
        <w:spacing w:after="0" w:line="276" w:lineRule="auto"/>
        <w:ind w:firstLine="708"/>
        <w:jc w:val="both"/>
        <w:rPr>
          <w:rFonts w:ascii="Verdana" w:eastAsia="Century Gothic" w:hAnsi="Verdana" w:cs="Century Gothic"/>
        </w:rPr>
      </w:pPr>
      <w:r w:rsidRPr="00FD67DB">
        <w:rPr>
          <w:rFonts w:ascii="Verdana" w:eastAsia="Century Gothic" w:hAnsi="Verdana" w:cs="Century Gothic"/>
        </w:rPr>
        <w:t xml:space="preserve">En esa misma línea, pero en la Sentencia del 31 de enero de 2011 proferida por la Sección Tercera de la Sala de lo Contencioso Administrativo del Consejo de Estado, expediente 17767 con ponencia de Olga Melida Valle de </w:t>
      </w:r>
      <w:proofErr w:type="spellStart"/>
      <w:r w:rsidRPr="00FD67DB">
        <w:rPr>
          <w:rFonts w:ascii="Verdana" w:eastAsia="Century Gothic" w:hAnsi="Verdana" w:cs="Century Gothic"/>
        </w:rPr>
        <w:t>De</w:t>
      </w:r>
      <w:proofErr w:type="spellEnd"/>
      <w:r w:rsidRPr="00FD67DB">
        <w:rPr>
          <w:rFonts w:ascii="Verdana" w:eastAsia="Century Gothic" w:hAnsi="Verdana" w:cs="Century Gothic"/>
        </w:rPr>
        <w:t xml:space="preserve"> La Hoz, se señaló:</w:t>
      </w:r>
    </w:p>
    <w:p w14:paraId="0BADA3DF" w14:textId="77777777" w:rsidR="00452129" w:rsidRPr="00FD67DB" w:rsidRDefault="00452129" w:rsidP="00452129">
      <w:pPr>
        <w:spacing w:after="0" w:line="276" w:lineRule="auto"/>
        <w:ind w:firstLine="708"/>
        <w:jc w:val="both"/>
        <w:rPr>
          <w:rFonts w:ascii="Verdana" w:eastAsia="Century Gothic" w:hAnsi="Verdana" w:cs="Century Gothic"/>
        </w:rPr>
      </w:pPr>
    </w:p>
    <w:p w14:paraId="1F7457D0" w14:textId="77777777" w:rsidR="00452129" w:rsidRPr="00FD67DB" w:rsidRDefault="00452129" w:rsidP="00452129">
      <w:pPr>
        <w:spacing w:after="0" w:line="240" w:lineRule="auto"/>
        <w:ind w:left="709" w:right="709"/>
        <w:jc w:val="both"/>
        <w:rPr>
          <w:rFonts w:ascii="Verdana" w:eastAsia="Century Gothic" w:hAnsi="Verdana" w:cs="Century Gothic"/>
          <w:sz w:val="21"/>
          <w:szCs w:val="21"/>
        </w:rPr>
      </w:pPr>
      <w:r w:rsidRPr="00FD67DB">
        <w:rPr>
          <w:rFonts w:ascii="Verdana" w:eastAsia="Century Gothic" w:hAnsi="Verdana" w:cs="Century Gothic"/>
          <w:sz w:val="21"/>
          <w:szCs w:val="21"/>
        </w:rPr>
        <w:t xml:space="preserve">“La Corte Suprema de Justicia ha precisado que el fraccionamiento de contratos tiene lugar, “en los eventos en los cuales la administración para eludir el procedimiento de licitación pública, divide disimuladamente el objeto del contrato con el ánimo de favorecer a los contratistas. En su demostración, deben confluir las circunstancias siguientes: i) Que sea posible pregonar la unidad de objeto en relación con el contrato cuya legalidad se cuestiona y, de ser así, </w:t>
      </w:r>
      <w:proofErr w:type="spellStart"/>
      <w:r w:rsidRPr="00FD67DB">
        <w:rPr>
          <w:rFonts w:ascii="Verdana" w:eastAsia="Century Gothic" w:hAnsi="Verdana" w:cs="Century Gothic"/>
          <w:sz w:val="21"/>
          <w:szCs w:val="21"/>
        </w:rPr>
        <w:t>ii</w:t>
      </w:r>
      <w:proofErr w:type="spellEnd"/>
      <w:r w:rsidRPr="00FD67DB">
        <w:rPr>
          <w:rFonts w:ascii="Verdana" w:eastAsia="Century Gothic" w:hAnsi="Verdana" w:cs="Century Gothic"/>
          <w:sz w:val="21"/>
          <w:szCs w:val="21"/>
        </w:rPr>
        <w:t>) determinar cuáles fueron las circunstancias que condujeron a la administración a celebrar varios contratos, pues solo de esta manera se puede inferir si el actuar se cimentó en criterios razonables de interés público, o si por contraste, los motivos fueron simulados y orientados a soslayar las normas de la contratación pública”.</w:t>
      </w:r>
    </w:p>
    <w:p w14:paraId="4D598A13" w14:textId="77777777" w:rsidR="00452129" w:rsidRPr="00FD67DB" w:rsidRDefault="00452129" w:rsidP="00452129">
      <w:pPr>
        <w:spacing w:after="0" w:line="276" w:lineRule="auto"/>
        <w:jc w:val="both"/>
        <w:rPr>
          <w:rFonts w:ascii="Verdana" w:eastAsia="Century Gothic" w:hAnsi="Verdana" w:cs="Century Gothic"/>
        </w:rPr>
      </w:pPr>
    </w:p>
    <w:p w14:paraId="7F12C7A0" w14:textId="77777777" w:rsidR="00452129" w:rsidRPr="00FD67DB" w:rsidRDefault="00452129" w:rsidP="00452129">
      <w:pPr>
        <w:spacing w:after="0" w:line="276" w:lineRule="auto"/>
        <w:jc w:val="both"/>
        <w:rPr>
          <w:rFonts w:ascii="Verdana" w:eastAsia="Calibri" w:hAnsi="Verdana" w:cs="Arial"/>
        </w:rPr>
      </w:pPr>
      <w:r w:rsidRPr="00FD67DB">
        <w:rPr>
          <w:rFonts w:ascii="Verdana" w:eastAsia="Calibri" w:hAnsi="Verdana" w:cs="Arial"/>
        </w:rPr>
        <w:tab/>
        <w:t>De esta forma, considera el Alto Tribunal Administrativo que se desconocen los principios que rigen la contratación estatal cuando “se celebran varios contratos, cada uno de menor cuantía y todos con el mismo objeto, si sumadas sus cuantías resulta ser que se contrató un objeto único, por cuantía superior, que por lo mismo debió ser materia de licitación o concurso […] Pero ¿cuándo se trata de un mismo objeto? La ley no lo dice, pero un objeto es el mismo cuando es naturalmente uno. Dicho en otros términos, se fracciona un contrato cuando se quebranta y se divide la unidad natural de su objeto”</w:t>
      </w:r>
      <w:r w:rsidRPr="00FD67DB">
        <w:rPr>
          <w:rStyle w:val="Refdenotaalpie"/>
          <w:rFonts w:ascii="Verdana" w:eastAsia="Century Gothic" w:hAnsi="Verdana" w:cs="Century Gothic"/>
        </w:rPr>
        <w:footnoteReference w:id="14"/>
      </w:r>
      <w:r w:rsidRPr="00FD67DB">
        <w:rPr>
          <w:rFonts w:ascii="Verdana" w:eastAsia="Calibri" w:hAnsi="Verdana" w:cs="Arial"/>
        </w:rPr>
        <w:t>.</w:t>
      </w:r>
    </w:p>
    <w:p w14:paraId="0E814555" w14:textId="77777777" w:rsidR="00452129" w:rsidRPr="00FD67DB" w:rsidRDefault="00452129" w:rsidP="00452129">
      <w:pPr>
        <w:spacing w:before="120" w:after="0" w:line="276" w:lineRule="auto"/>
        <w:jc w:val="both"/>
        <w:rPr>
          <w:rFonts w:ascii="Verdana" w:eastAsia="Calibri" w:hAnsi="Verdana" w:cs="Arial"/>
          <w:bCs/>
          <w:color w:val="000000" w:themeColor="text1"/>
        </w:rPr>
      </w:pPr>
      <w:r w:rsidRPr="00FD67DB">
        <w:rPr>
          <w:rFonts w:ascii="Verdana" w:eastAsia="Calibri" w:hAnsi="Verdana" w:cs="Arial"/>
        </w:rPr>
        <w:tab/>
        <w:t xml:space="preserve">Según la jurisprudencia del Consejo de Estado habrá fraccionamiento del contrato cuando concurran los siguientes elementos: “i) que exista una separación artificial de un mismo objeto contractual y </w:t>
      </w:r>
      <w:proofErr w:type="spellStart"/>
      <w:r w:rsidRPr="00FD67DB">
        <w:rPr>
          <w:rFonts w:ascii="Verdana" w:eastAsia="Calibri" w:hAnsi="Verdana" w:cs="Arial"/>
        </w:rPr>
        <w:t>iii</w:t>
      </w:r>
      <w:proofErr w:type="spellEnd"/>
      <w:r w:rsidRPr="00FD67DB">
        <w:rPr>
          <w:rFonts w:ascii="Verdana" w:eastAsia="Calibri" w:hAnsi="Verdana" w:cs="Arial"/>
        </w:rPr>
        <w:t>) que dicha separación tenga como objetivo evitar procedimientos de convocatoria pública y de selección objetiva”</w:t>
      </w:r>
      <w:r w:rsidRPr="00FD67DB">
        <w:rPr>
          <w:rStyle w:val="Refdenotaalpie"/>
          <w:rFonts w:ascii="Verdana" w:eastAsia="Century Gothic" w:hAnsi="Verdana" w:cs="Century Gothic"/>
        </w:rPr>
        <w:footnoteReference w:id="15"/>
      </w:r>
      <w:r w:rsidRPr="00FD67DB">
        <w:rPr>
          <w:rFonts w:ascii="Verdana" w:eastAsia="Century Gothic" w:hAnsi="Verdana" w:cs="Century Gothic"/>
        </w:rPr>
        <w:t>. Por lo que, fraccionar un contrato implica dividir las prestaciones en dos (2) o más contratos que pueden constituir un único negocio jurídico</w:t>
      </w:r>
      <w:r w:rsidRPr="00FD67DB">
        <w:rPr>
          <w:rStyle w:val="Refdenotaalpie"/>
          <w:rFonts w:ascii="Verdana" w:eastAsia="Calibri" w:hAnsi="Verdana" w:cs="Arial"/>
          <w:bCs/>
          <w:color w:val="000000" w:themeColor="text1"/>
        </w:rPr>
        <w:footnoteReference w:id="16"/>
      </w:r>
      <w:r w:rsidRPr="00FD67DB">
        <w:rPr>
          <w:rFonts w:ascii="Verdana" w:eastAsia="Calibri" w:hAnsi="Verdana" w:cs="Arial"/>
          <w:bCs/>
          <w:color w:val="000000" w:themeColor="text1"/>
        </w:rPr>
        <w:t>.</w:t>
      </w:r>
    </w:p>
    <w:p w14:paraId="104D7944" w14:textId="77777777" w:rsidR="00452129" w:rsidRPr="00FD67DB" w:rsidRDefault="00452129" w:rsidP="00452129">
      <w:pPr>
        <w:spacing w:before="120" w:after="0" w:line="276" w:lineRule="auto"/>
        <w:jc w:val="both"/>
        <w:rPr>
          <w:rFonts w:ascii="Verdana" w:eastAsia="Calibri" w:hAnsi="Verdana" w:cs="Arial"/>
          <w:bCs/>
          <w:color w:val="000000" w:themeColor="text1"/>
        </w:rPr>
      </w:pPr>
      <w:r w:rsidRPr="00FD67DB">
        <w:rPr>
          <w:rFonts w:ascii="Verdana" w:eastAsia="Calibri" w:hAnsi="Verdana" w:cs="Arial"/>
          <w:bCs/>
          <w:color w:val="000000" w:themeColor="text1"/>
        </w:rPr>
        <w:tab/>
        <w:t xml:space="preserve">En línea con lo anterior, podrá identificarse si se está o no frente a un fraccionamiento del contrato si concurren las siguientes circunstancias: i) que sea posible demostrar la unidad del objeto en relación con el contrato cuya legalidad se cuestiona y, de ser así; </w:t>
      </w:r>
      <w:proofErr w:type="spellStart"/>
      <w:r w:rsidRPr="00FD67DB">
        <w:rPr>
          <w:rFonts w:ascii="Verdana" w:eastAsia="Calibri" w:hAnsi="Verdana" w:cs="Arial"/>
          <w:bCs/>
          <w:color w:val="000000" w:themeColor="text1"/>
        </w:rPr>
        <w:t>ii</w:t>
      </w:r>
      <w:proofErr w:type="spellEnd"/>
      <w:r w:rsidRPr="00FD67DB">
        <w:rPr>
          <w:rFonts w:ascii="Verdana" w:eastAsia="Calibri" w:hAnsi="Verdana" w:cs="Arial"/>
          <w:bCs/>
          <w:color w:val="000000" w:themeColor="text1"/>
        </w:rPr>
        <w:t xml:space="preserve">) determinar cuáles fueron las circunstancias que condujeron a la Administración a celebrar varios contratos, pues sólo de esta manera puede inferirse si el actuar se basó en criterios </w:t>
      </w:r>
      <w:r w:rsidRPr="00FD67DB">
        <w:rPr>
          <w:rFonts w:ascii="Verdana" w:eastAsia="Calibri" w:hAnsi="Verdana" w:cs="Arial"/>
          <w:bCs/>
          <w:color w:val="000000" w:themeColor="text1"/>
        </w:rPr>
        <w:lastRenderedPageBreak/>
        <w:t>razonables de interés público o, si por el contrario, los motivos fueron simulados y orientados a infringir las normas de la contratación pública</w:t>
      </w:r>
      <w:r w:rsidRPr="00FD67DB">
        <w:rPr>
          <w:rStyle w:val="Refdenotaalpie"/>
          <w:rFonts w:ascii="Verdana" w:eastAsia="Calibri" w:hAnsi="Verdana" w:cs="Arial"/>
          <w:bCs/>
          <w:color w:val="000000" w:themeColor="text1"/>
        </w:rPr>
        <w:footnoteReference w:id="17"/>
      </w:r>
      <w:r w:rsidRPr="00FD67DB">
        <w:rPr>
          <w:rFonts w:ascii="Verdana" w:eastAsia="Calibri" w:hAnsi="Verdana" w:cs="Arial"/>
          <w:bCs/>
          <w:color w:val="000000" w:themeColor="text1"/>
        </w:rPr>
        <w:t>.</w:t>
      </w:r>
    </w:p>
    <w:p w14:paraId="0731DFB4" w14:textId="77777777" w:rsidR="00452129" w:rsidRPr="00FD67DB" w:rsidRDefault="00452129" w:rsidP="00452129">
      <w:pPr>
        <w:spacing w:before="120" w:after="0" w:line="276" w:lineRule="auto"/>
        <w:ind w:firstLine="709"/>
        <w:jc w:val="both"/>
        <w:rPr>
          <w:rFonts w:ascii="Verdana" w:hAnsi="Verdana"/>
        </w:rPr>
      </w:pPr>
      <w:r w:rsidRPr="00FD67DB">
        <w:rPr>
          <w:rFonts w:ascii="Verdana" w:hAnsi="Verdana"/>
        </w:rPr>
        <w:t>A su vez, la doctrina señala que “[e]l fraccionamiento, hoy en día, se prueba a partir de la existencia de varios contratos estatales debidamente perfeccionados que tengan como objeto las mismas prestaciones, pese a que en algunos de ellos se puedan advertir pequeñas diferencias o variaciones que consistan en adiciones o disminuciones de las actividades que lo componen[...], sin embargo, es de creer que es imperioso que esos contratos, por lo menos en su proceso de formación, suscripción y duración tengan un grado inescindible de cercanía temporal”</w:t>
      </w:r>
      <w:r w:rsidRPr="00FD67DB">
        <w:rPr>
          <w:rFonts w:ascii="Verdana" w:hAnsi="Verdana"/>
          <w:vertAlign w:val="superscript"/>
        </w:rPr>
        <w:footnoteReference w:id="18"/>
      </w:r>
      <w:r w:rsidRPr="00FD67DB">
        <w:rPr>
          <w:rFonts w:ascii="Verdana" w:hAnsi="Verdana"/>
        </w:rPr>
        <w:t xml:space="preserve">. </w:t>
      </w:r>
    </w:p>
    <w:p w14:paraId="1F5FA022" w14:textId="77777777" w:rsidR="00452129" w:rsidRPr="00FD67DB" w:rsidRDefault="00452129" w:rsidP="00452129">
      <w:pPr>
        <w:spacing w:before="120" w:after="0" w:line="276" w:lineRule="auto"/>
        <w:ind w:firstLine="709"/>
        <w:jc w:val="both"/>
        <w:rPr>
          <w:rFonts w:ascii="Verdana" w:eastAsia="Calibri" w:hAnsi="Verdana" w:cs="Arial"/>
        </w:rPr>
      </w:pPr>
      <w:r w:rsidRPr="00FD67DB">
        <w:rPr>
          <w:rFonts w:ascii="Verdana" w:eastAsia="Calibri" w:hAnsi="Verdana" w:cs="Arial"/>
        </w:rPr>
        <w:t xml:space="preserve">Con todo, le corresponderá a la entidad contratante definir si con la celebración de convenios interadministrativos con un mismo objeto, genera o no, fraccionamiento del contrato.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28F047B" w14:textId="77777777" w:rsidR="00452129" w:rsidRPr="00FD67DB" w:rsidRDefault="00452129" w:rsidP="00452129">
      <w:pPr>
        <w:spacing w:after="0" w:line="276" w:lineRule="auto"/>
        <w:ind w:firstLine="709"/>
        <w:jc w:val="both"/>
        <w:rPr>
          <w:rFonts w:ascii="Verdana" w:hAnsi="Verdana"/>
        </w:rPr>
      </w:pPr>
    </w:p>
    <w:p w14:paraId="33ABAB24" w14:textId="77777777" w:rsidR="00452129" w:rsidRPr="00FD67DB" w:rsidRDefault="00452129" w:rsidP="00452129">
      <w:pPr>
        <w:spacing w:after="0" w:line="276" w:lineRule="auto"/>
        <w:contextualSpacing/>
        <w:jc w:val="both"/>
        <w:rPr>
          <w:rFonts w:ascii="Verdana" w:eastAsia="Calibri" w:hAnsi="Verdana" w:cs="Arial"/>
        </w:rPr>
      </w:pPr>
      <w:proofErr w:type="spellStart"/>
      <w:r w:rsidRPr="00FD67DB">
        <w:rPr>
          <w:rFonts w:ascii="Verdana" w:hAnsi="Verdana"/>
        </w:rPr>
        <w:t>iii</w:t>
      </w:r>
      <w:proofErr w:type="spellEnd"/>
      <w:r w:rsidRPr="00FD67DB">
        <w:rPr>
          <w:rFonts w:ascii="Verdana" w:hAnsi="Verdana"/>
        </w:rPr>
        <w:t xml:space="preserve">) Por otra parte, se precisa que la </w:t>
      </w:r>
      <w:r w:rsidRPr="00FD67DB">
        <w:rPr>
          <w:rFonts w:ascii="Verdana" w:eastAsia="Calibri" w:hAnsi="Verdana" w:cs="Arial"/>
        </w:rPr>
        <w:t>Guía para elaborar el Plan Anual de Adquisiciones</w:t>
      </w:r>
      <w:r w:rsidRPr="00FD67DB">
        <w:rPr>
          <w:rFonts w:ascii="Verdana" w:eastAsia="Calibri" w:hAnsi="Verdana" w:cs="Arial"/>
          <w:vertAlign w:val="superscript"/>
        </w:rPr>
        <w:footnoteReference w:id="19"/>
      </w:r>
      <w:r w:rsidRPr="00FD67DB">
        <w:rPr>
          <w:rFonts w:ascii="Verdana" w:eastAsia="Calibri" w:hAnsi="Verdana" w:cs="Arial"/>
        </w:rPr>
        <w:t xml:space="preserve"> de esta Agencia, define al Plan Anual de Adquisiciones, en adelante PAA como “un instrumento de planificación y orientación de la contratación de las Entidades Estatales, diseñado para identificar las necesidades de contratación, en el que se incluyen, de manera estimativa, los bienes, obras y servicios que la Administración Pública está interesada en adquirir para determinada vigencia”. Sin perjuicio de lo anterior, el PAA no restringe las decisiones en la contratación que habrán de adoptarse dentro de la anualidad respectiva, por lo que se considera un documento de carácter estimativo que tiene entre otras finalidades, la de “servir como referente inicial para evaluar la ejecución de presupuesto y pronosticar la demanda de bienes y servicios de la entidad durante el año referido del plan”</w:t>
      </w:r>
      <w:r w:rsidRPr="00FD67DB">
        <w:rPr>
          <w:rFonts w:ascii="Aptos" w:eastAsia="Aptos" w:hAnsi="Aptos" w:cs="Times New Roman"/>
          <w:color w:val="000000"/>
          <w:vertAlign w:val="superscript"/>
        </w:rPr>
        <w:footnoteReference w:id="20"/>
      </w:r>
      <w:r w:rsidRPr="00FD67DB">
        <w:rPr>
          <w:rFonts w:ascii="Verdana" w:eastAsia="Calibri" w:hAnsi="Verdana" w:cs="Arial"/>
        </w:rPr>
        <w:t>.</w:t>
      </w:r>
    </w:p>
    <w:p w14:paraId="5BD1505B" w14:textId="77777777" w:rsidR="00452129" w:rsidRPr="00FD67DB" w:rsidRDefault="00452129" w:rsidP="00452129">
      <w:pPr>
        <w:spacing w:before="120" w:after="120" w:line="276" w:lineRule="auto"/>
        <w:ind w:firstLine="708"/>
        <w:jc w:val="both"/>
        <w:rPr>
          <w:rFonts w:ascii="Verdana" w:eastAsia="Calibri" w:hAnsi="Verdana" w:cs="Arial"/>
          <w:lang w:val="es-ES"/>
        </w:rPr>
      </w:pPr>
      <w:r w:rsidRPr="00FD67DB">
        <w:rPr>
          <w:rFonts w:ascii="Verdana" w:eastAsia="Aptos" w:hAnsi="Verdana" w:cs="Arial"/>
        </w:rPr>
        <w:lastRenderedPageBreak/>
        <w:t>De acuerdo con el artículo 2.2.1.1.1.3.1 del Decreto 1082 de 2015, el PAA es el plan general de compras al que se refiere el artículo 74 de la Ley 1474 de 2011 y el plan de compras al que se refiere la Ley Anual de Presupuesto. Asimismo, este artículo lo define como un instrumento de planeación contractual que las Entidades Estatales deben diligenciar, publicar y actualizar. En particular, el artículo 74 de la Ley 1474 de 2011 dispone que “todas las entidades del Estado” deben publicar, a más tardar el 31 de enero de cada año, en su respectiva página web, el plan de acción, en el cual se incluye el plan general de compras</w:t>
      </w:r>
      <w:r w:rsidRPr="00FD67DB">
        <w:rPr>
          <w:rFonts w:ascii="Aptos" w:eastAsia="Aptos" w:hAnsi="Aptos" w:cs="Times New Roman"/>
          <w:shd w:val="clear" w:color="auto" w:fill="FFFFFF"/>
          <w:vertAlign w:val="superscript"/>
          <w:lang w:val="es-ES_tradnl"/>
        </w:rPr>
        <w:footnoteReference w:id="21"/>
      </w:r>
      <w:r w:rsidRPr="00FD67DB">
        <w:rPr>
          <w:rFonts w:ascii="Verdana" w:eastAsia="Aptos" w:hAnsi="Verdana" w:cs="Arial"/>
          <w:shd w:val="clear" w:color="auto" w:fill="FFFFFF"/>
          <w:lang w:val="es-ES_tradnl"/>
        </w:rPr>
        <w:t>.</w:t>
      </w:r>
    </w:p>
    <w:p w14:paraId="08048974" w14:textId="77777777" w:rsidR="00452129" w:rsidRPr="00FD67DB" w:rsidRDefault="00452129" w:rsidP="00452129">
      <w:pPr>
        <w:spacing w:after="120" w:line="276" w:lineRule="auto"/>
        <w:jc w:val="both"/>
        <w:rPr>
          <w:rFonts w:ascii="Verdana" w:eastAsia="Calibri" w:hAnsi="Verdana" w:cs="Arial"/>
          <w:lang w:val="es-ES"/>
        </w:rPr>
      </w:pPr>
      <w:r w:rsidRPr="00FD67DB">
        <w:rPr>
          <w:rFonts w:ascii="Verdana" w:eastAsia="Calibri" w:hAnsi="Verdana" w:cs="Arial"/>
          <w:lang w:val="es-ES"/>
        </w:rPr>
        <w:tab/>
        <w:t>Como ya se indicó, el plan general de compras para el ordenamiento vigente corresponde con el concepto de PAA como lo establece el artículo 2.2.1.1.1.3.1 del Decreto 1082 de 2015</w:t>
      </w:r>
      <w:r w:rsidRPr="00FD67DB">
        <w:rPr>
          <w:rFonts w:ascii="Aptos" w:eastAsia="Aptos" w:hAnsi="Aptos" w:cs="Times New Roman"/>
          <w:shd w:val="clear" w:color="auto" w:fill="FFFFFF"/>
          <w:vertAlign w:val="superscript"/>
          <w:lang w:val="es-ES_tradnl"/>
        </w:rPr>
        <w:footnoteReference w:id="22"/>
      </w:r>
      <w:r w:rsidRPr="00FD67DB">
        <w:rPr>
          <w:rFonts w:ascii="Verdana" w:eastAsia="Aptos" w:hAnsi="Verdana" w:cs="Arial"/>
          <w:shd w:val="clear" w:color="auto" w:fill="FFFFFF"/>
          <w:lang w:val="es-ES_tradnl"/>
        </w:rPr>
        <w:t>.</w:t>
      </w:r>
      <w:r w:rsidRPr="00FD67DB">
        <w:t xml:space="preserve"> </w:t>
      </w:r>
      <w:r w:rsidRPr="00FD67DB">
        <w:rPr>
          <w:rFonts w:ascii="Verdana" w:eastAsia="Aptos" w:hAnsi="Verdana" w:cs="Arial"/>
          <w:shd w:val="clear" w:color="auto" w:fill="FFFFFF"/>
          <w:lang w:val="es-ES_tradnl"/>
        </w:rPr>
        <w:t>Además, de acuerdo con el artículo 2.2.1.1.1.4.3 ibidem, el PAA también debe publicarse en el Sistema Electrónico para la Contratación Pública, en adelante SECOP</w:t>
      </w:r>
      <w:r w:rsidRPr="00FD67DB">
        <w:rPr>
          <w:rFonts w:ascii="Aptos" w:eastAsia="Aptos" w:hAnsi="Aptos" w:cs="Times New Roman"/>
          <w:shd w:val="clear" w:color="auto" w:fill="FFFFFF"/>
          <w:vertAlign w:val="superscript"/>
        </w:rPr>
        <w:footnoteReference w:id="23"/>
      </w:r>
      <w:r w:rsidRPr="00FD67DB">
        <w:rPr>
          <w:rFonts w:ascii="Verdana" w:eastAsia="Aptos" w:hAnsi="Verdana" w:cs="Arial"/>
          <w:shd w:val="clear" w:color="auto" w:fill="FFFFFF"/>
          <w:lang w:val="es-ES"/>
        </w:rPr>
        <w:t>.</w:t>
      </w:r>
      <w:r w:rsidRPr="00FD67DB">
        <w:t xml:space="preserve"> </w:t>
      </w:r>
      <w:r w:rsidRPr="00FD67DB">
        <w:rPr>
          <w:rFonts w:ascii="Verdana" w:eastAsia="Aptos" w:hAnsi="Verdana" w:cs="Arial"/>
          <w:shd w:val="clear" w:color="auto" w:fill="FFFFFF"/>
          <w:lang w:val="es-ES"/>
        </w:rPr>
        <w:t xml:space="preserve">Se trata de una obligación que involucra a todas las entidades del Estado sin importar la rama a la cual pertenecen, o si se trata de entidades descentralizadas territorialmente o por servicios; los órganos con competencia para contratar, como los concejos </w:t>
      </w:r>
      <w:r w:rsidRPr="00FD67DB">
        <w:rPr>
          <w:rFonts w:ascii="Verdana" w:eastAsia="Aptos" w:hAnsi="Verdana" w:cs="Arial"/>
          <w:shd w:val="clear" w:color="auto" w:fill="FFFFFF"/>
          <w:lang w:val="es-ES"/>
        </w:rPr>
        <w:lastRenderedPageBreak/>
        <w:t>municipales; las empresas del Estado y las sociedades en las que el Estado tenga participación, sin que importe su monto.</w:t>
      </w:r>
    </w:p>
    <w:p w14:paraId="3119EB2D" w14:textId="77777777" w:rsidR="00452129" w:rsidRPr="00FD67DB" w:rsidRDefault="00452129" w:rsidP="00452129">
      <w:pPr>
        <w:spacing w:after="120" w:line="276" w:lineRule="auto"/>
        <w:ind w:firstLine="708"/>
        <w:jc w:val="both"/>
        <w:rPr>
          <w:rFonts w:ascii="Verdana" w:eastAsia="Calibri" w:hAnsi="Verdana" w:cs="Arial"/>
          <w:lang w:val="es-ES"/>
        </w:rPr>
      </w:pPr>
      <w:r w:rsidRPr="00FD67DB">
        <w:rPr>
          <w:rFonts w:ascii="Verdana" w:eastAsia="Calibri" w:hAnsi="Verdana" w:cs="Arial"/>
          <w:lang w:val="es-ES"/>
        </w:rPr>
        <w:t>El artículo 2.1.1.2.1.10 del Decreto 1081 de 2015 señala que los sujetos obligados que contraten con cargo a recursos públicos tienen la obligación de publicar el PAA en el SECOP. Los sujetos que no contratan con cargo a recursos públicos no tienen tal obligación, mientras que aquellos que sí contratan tanto con cargo a recursos públicos como con aquellos que no tienen esta naturaleza, solamente tienen el deber de publicar el PAA para los recursos de carácter público que se ejecutarán durante la vigencia fiscal.</w:t>
      </w:r>
    </w:p>
    <w:p w14:paraId="4A5FF47D" w14:textId="77777777" w:rsidR="00452129" w:rsidRPr="00FD67DB" w:rsidRDefault="00452129" w:rsidP="00452129">
      <w:pPr>
        <w:spacing w:after="120" w:line="276" w:lineRule="auto"/>
        <w:ind w:firstLine="708"/>
        <w:jc w:val="both"/>
        <w:rPr>
          <w:rFonts w:ascii="Verdana" w:eastAsia="Calibri" w:hAnsi="Verdana" w:cs="Arial"/>
          <w:lang w:val="es-ES"/>
        </w:rPr>
      </w:pPr>
      <w:r w:rsidRPr="00FD67DB">
        <w:rPr>
          <w:rFonts w:ascii="Verdana" w:eastAsia="Calibri" w:hAnsi="Verdana" w:cs="Arial"/>
          <w:lang w:val="es-ES"/>
        </w:rPr>
        <w:t xml:space="preserve">Teniendo en claro lo anterior, los artículos 2.2.1.1.1.4.1, 2.2.1.1.1.4.36 y 2.2.1.1.1.4.47 del Decreto 1082 de 2015 establecen el deber de las entidades de “elaborar el Plan Anual de Adquisiciones, el cual debe contener la lista de bienes, obras y servicios que pretenden adquirir durante el año”. El aparte trascrito confirma el carácter estimativo del PAA, pues contiene un listado de bienes, obras o servicios que, producto del ejercicio de planeación de la entidad, esta pretende adquirir dentro de la vigencia correspondiente. Esta naturaleza estimativa del documento contiene los siguientes aspectos: i) la necesidad; </w:t>
      </w:r>
      <w:proofErr w:type="spellStart"/>
      <w:r w:rsidRPr="00FD67DB">
        <w:rPr>
          <w:rFonts w:ascii="Verdana" w:eastAsia="Calibri" w:hAnsi="Verdana" w:cs="Arial"/>
          <w:lang w:val="es-ES"/>
        </w:rPr>
        <w:t>ii</w:t>
      </w:r>
      <w:proofErr w:type="spellEnd"/>
      <w:r w:rsidRPr="00FD67DB">
        <w:rPr>
          <w:rFonts w:ascii="Verdana" w:eastAsia="Calibri" w:hAnsi="Verdana" w:cs="Arial"/>
          <w:lang w:val="es-ES"/>
        </w:rPr>
        <w:t xml:space="preserve">) la identificación en el clasificador si la entidad conoce el bien, obra o servicio que satisface la necesidad; </w:t>
      </w:r>
      <w:proofErr w:type="spellStart"/>
      <w:r w:rsidRPr="00FD67DB">
        <w:rPr>
          <w:rFonts w:ascii="Verdana" w:eastAsia="Calibri" w:hAnsi="Verdana" w:cs="Arial"/>
          <w:lang w:val="es-ES"/>
        </w:rPr>
        <w:t>iii</w:t>
      </w:r>
      <w:proofErr w:type="spellEnd"/>
      <w:r w:rsidRPr="00FD67DB">
        <w:rPr>
          <w:rFonts w:ascii="Verdana" w:eastAsia="Calibri" w:hAnsi="Verdana" w:cs="Arial"/>
          <w:lang w:val="es-ES"/>
        </w:rPr>
        <w:t xml:space="preserve">) el valor estimado del contrato; </w:t>
      </w:r>
      <w:proofErr w:type="spellStart"/>
      <w:r w:rsidRPr="00FD67DB">
        <w:rPr>
          <w:rFonts w:ascii="Verdana" w:eastAsia="Calibri" w:hAnsi="Verdana" w:cs="Arial"/>
          <w:lang w:val="es-ES"/>
        </w:rPr>
        <w:t>iv</w:t>
      </w:r>
      <w:proofErr w:type="spellEnd"/>
      <w:r w:rsidRPr="00FD67DB">
        <w:rPr>
          <w:rFonts w:ascii="Verdana" w:eastAsia="Calibri" w:hAnsi="Verdana" w:cs="Arial"/>
          <w:lang w:val="es-ES"/>
        </w:rPr>
        <w:t>) el tipo de recursos con cargo a los cuales la entidad pagará el bien, obra o servicio; v) la modalidad de selección del contratista y vi) la fecha aproximada en la cual la entidad indicará el procedimiento de selección.</w:t>
      </w:r>
    </w:p>
    <w:p w14:paraId="5E3342C3" w14:textId="77777777" w:rsidR="00452129" w:rsidRPr="00FD67DB" w:rsidRDefault="00452129" w:rsidP="00452129">
      <w:pPr>
        <w:spacing w:after="120" w:line="276" w:lineRule="auto"/>
        <w:ind w:firstLine="708"/>
        <w:jc w:val="both"/>
        <w:rPr>
          <w:rFonts w:ascii="Verdana" w:eastAsia="Calibri" w:hAnsi="Verdana" w:cs="Arial"/>
          <w:lang w:val="es-ES"/>
        </w:rPr>
      </w:pPr>
      <w:r w:rsidRPr="00FD67DB">
        <w:rPr>
          <w:rFonts w:ascii="Verdana" w:eastAsia="Calibri" w:hAnsi="Verdana" w:cs="Arial"/>
          <w:lang w:val="es-ES"/>
        </w:rPr>
        <w:t xml:space="preserve">En ese contexto, el artículo 2.2.1.1.1.4.1. del Decreto 1082 de 2015, señala que “las entidades deben elaborar un plan anual de adquisiciones, el cual debe contener la lista de bienes, obras y servicios que pretenden adquirir durante el año”. Este aparte permite extraer el contenido esencialísimo del mismo, pues los enlista como requisitos mínimos del plan. Luego, la norma establece el deber de incluir otra información: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que no siendo menos importante es complementaria y descriptiva de la información esencialísima del plan, como se explicará a continuación. </w:t>
      </w:r>
    </w:p>
    <w:p w14:paraId="6F952D7F" w14:textId="77777777" w:rsidR="00452129" w:rsidRPr="00FD67DB" w:rsidRDefault="00452129" w:rsidP="00452129">
      <w:pPr>
        <w:spacing w:after="120" w:line="276" w:lineRule="auto"/>
        <w:ind w:firstLine="708"/>
        <w:jc w:val="both"/>
        <w:rPr>
          <w:rFonts w:ascii="Verdana" w:eastAsia="Times New Roman" w:hAnsi="Verdana" w:cs="Arial"/>
          <w:lang w:val="es-ES"/>
        </w:rPr>
      </w:pPr>
      <w:r w:rsidRPr="00FD67DB">
        <w:rPr>
          <w:rFonts w:ascii="Verdana" w:eastAsia="Times New Roman" w:hAnsi="Verdana" w:cs="Arial"/>
          <w:lang w:val="es-ES"/>
        </w:rPr>
        <w:t xml:space="preserve">La norma citada en el párrafo precedente dispone que el PAA tiene un contenido esencial –la lista de bienes, obras y servicios que pretenda adquirir la entidad– y otro que es obligatorio incluirlo pero que es complementario y descriptivo de lo esencial –valor del contrato, modalidad de selección, tipo de recursos, etc.–. A partir de esta clasificación se infiere su finalidad y el criterio </w:t>
      </w:r>
      <w:r w:rsidRPr="00FD67DB">
        <w:rPr>
          <w:rFonts w:ascii="Verdana" w:eastAsia="Times New Roman" w:hAnsi="Verdana" w:cs="Arial"/>
          <w:lang w:val="es-ES"/>
        </w:rPr>
        <w:lastRenderedPageBreak/>
        <w:t>rector para que, en cada caso, la entidad resuelva cómo se define si un bien, obra o servicio se incluye o no en el plan.</w:t>
      </w:r>
    </w:p>
    <w:p w14:paraId="48FF483D" w14:textId="77777777" w:rsidR="00452129" w:rsidRPr="00FD67DB" w:rsidRDefault="00452129" w:rsidP="00452129">
      <w:pPr>
        <w:spacing w:after="0" w:line="276" w:lineRule="auto"/>
        <w:ind w:firstLine="709"/>
        <w:jc w:val="both"/>
        <w:rPr>
          <w:rFonts w:ascii="Verdana" w:hAnsi="Verdana"/>
        </w:rPr>
      </w:pPr>
      <w:r w:rsidRPr="00FD67DB">
        <w:rPr>
          <w:rFonts w:ascii="Verdana" w:hAnsi="Verdana"/>
        </w:rPr>
        <w:t xml:space="preserve">Ahora bien, y por resultar relevante se aclara que el artículo 2.2.1.1.1.4.4 del Decreto 1082 de 2015, dispuso que el PAA deberá actualizarse “por lo menos una vez durante su vigencia”. De esta forma se tiene que, las Entidades Estatales podrán actualizar el Plan Anual de Adquisiciones cuantas veces lo estimen necesario, siempre y cuando se encuentren dentro de los supuestos establecidos en el inciso segundo de la referida norma, esto es: i) cuando haya ajustes en los cronogramas de adquisición, valores, modalidad de selección, origen de los recursos; </w:t>
      </w:r>
      <w:proofErr w:type="spellStart"/>
      <w:r w:rsidRPr="00FD67DB">
        <w:rPr>
          <w:rFonts w:ascii="Verdana" w:hAnsi="Verdana"/>
        </w:rPr>
        <w:t>ii</w:t>
      </w:r>
      <w:proofErr w:type="spellEnd"/>
      <w:r w:rsidRPr="00FD67DB">
        <w:rPr>
          <w:rFonts w:ascii="Verdana" w:hAnsi="Verdana"/>
        </w:rPr>
        <w:t>) para incluir nuevas obras, bienes y/o servicios; (</w:t>
      </w:r>
      <w:proofErr w:type="spellStart"/>
      <w:r w:rsidRPr="00FD67DB">
        <w:rPr>
          <w:rFonts w:ascii="Verdana" w:hAnsi="Verdana"/>
        </w:rPr>
        <w:t>iii</w:t>
      </w:r>
      <w:proofErr w:type="spellEnd"/>
      <w:r w:rsidRPr="00FD67DB">
        <w:rPr>
          <w:rFonts w:ascii="Verdana" w:hAnsi="Verdana"/>
        </w:rPr>
        <w:t xml:space="preserve">) excluir obras, bienes y/o servicios; o </w:t>
      </w:r>
      <w:proofErr w:type="spellStart"/>
      <w:r w:rsidRPr="00FD67DB">
        <w:rPr>
          <w:rFonts w:ascii="Verdana" w:hAnsi="Verdana"/>
        </w:rPr>
        <w:t>iv</w:t>
      </w:r>
      <w:proofErr w:type="spellEnd"/>
      <w:r w:rsidRPr="00FD67DB">
        <w:rPr>
          <w:rFonts w:ascii="Verdana" w:hAnsi="Verdana"/>
        </w:rPr>
        <w:t>) modificar el presupuesto anual de adquisiciones.</w:t>
      </w:r>
    </w:p>
    <w:p w14:paraId="0483239B" w14:textId="77777777" w:rsidR="00452129" w:rsidRPr="00FD67DB" w:rsidRDefault="00452129" w:rsidP="00452129">
      <w:pPr>
        <w:spacing w:before="120" w:after="0" w:line="276" w:lineRule="auto"/>
        <w:jc w:val="both"/>
        <w:rPr>
          <w:rFonts w:ascii="Verdana" w:eastAsia="Calibri" w:hAnsi="Verdana" w:cs="Arial"/>
        </w:rPr>
      </w:pPr>
      <w:r w:rsidRPr="00FD67DB">
        <w:rPr>
          <w:rFonts w:ascii="Verdana" w:eastAsia="Calibri" w:hAnsi="Verdana" w:cs="Arial"/>
        </w:rPr>
        <w:tab/>
        <w:t>Adicionalmente, se indica que</w:t>
      </w:r>
      <w:r w:rsidRPr="00FD67DB">
        <w:t xml:space="preserve"> </w:t>
      </w:r>
      <w:r w:rsidRPr="00FD67DB">
        <w:rPr>
          <w:rFonts w:ascii="Verdana" w:eastAsia="Calibri" w:hAnsi="Verdana" w:cs="Arial"/>
        </w:rPr>
        <w:t>esta Agencia puso a disposición de los interesados del Sistema de Compra y Contratación Pública la “Guía para elaborar el Plan Anual de Adquisiciones”, donde se establece una lista de verificación para elaborarlo o actualizarlo, que contiene los pasos para ayudar a la entidad a cumplir las etapas que se deben agotar para obtener este documento, que es una herramienta de planeación. Dicha guía, constituye además, una herramienta orientadora para las Entidades Estatales, en la que se desarrollan lineamientos que les servirán de apoyo para preparar y actualizar el PAA. Esta guía, de acuerdo con lo establecido en el numeral 2, literal c) del artículo 2.2.1.2.5.2 del Decreto 1082 de 2015, deberá utilizarse por parte de las Entidades Estatales, como un instrumento de buena práctica contractual.</w:t>
      </w:r>
    </w:p>
    <w:p w14:paraId="35F9A3D0" w14:textId="77777777" w:rsidR="00452129" w:rsidRPr="00FD67DB" w:rsidRDefault="00452129" w:rsidP="00452129">
      <w:pPr>
        <w:widowControl w:val="0"/>
        <w:autoSpaceDE w:val="0"/>
        <w:autoSpaceDN w:val="0"/>
        <w:spacing w:before="120" w:after="0" w:line="276" w:lineRule="auto"/>
        <w:ind w:firstLine="709"/>
        <w:jc w:val="both"/>
        <w:rPr>
          <w:rFonts w:ascii="Verdana" w:eastAsia="Calibri" w:hAnsi="Verdana" w:cs="Arial"/>
        </w:rPr>
      </w:pPr>
      <w:r w:rsidRPr="00FD67DB">
        <w:rPr>
          <w:rFonts w:ascii="Verdana" w:eastAsia="Calibri" w:hAnsi="Verdana" w:cs="Arial"/>
        </w:rPr>
        <w:t xml:space="preserve">Finalmente se precisa, que el análisis sobre la estructuración de un proceso de contratación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  </w:t>
      </w:r>
    </w:p>
    <w:p w14:paraId="450E265F" w14:textId="77777777" w:rsidR="00452129" w:rsidRPr="00FD67DB" w:rsidRDefault="00452129" w:rsidP="00452129">
      <w:pPr>
        <w:widowControl w:val="0"/>
        <w:autoSpaceDE w:val="0"/>
        <w:autoSpaceDN w:val="0"/>
        <w:spacing w:before="120" w:after="0" w:line="276" w:lineRule="auto"/>
        <w:ind w:firstLine="709"/>
        <w:jc w:val="both"/>
        <w:rPr>
          <w:rFonts w:ascii="Verdana" w:eastAsia="Calibri" w:hAnsi="Verdana" w:cs="Arial"/>
        </w:rPr>
      </w:pPr>
      <w:r w:rsidRPr="00FD67DB">
        <w:rPr>
          <w:rFonts w:ascii="Verdana" w:eastAsia="Calibri" w:hAnsi="Verdana" w:cs="Arial"/>
        </w:rPr>
        <w:t>Dentro de este marco, la entidad contratante definirá en cada caso concreto lo relacionado con el tema objeto de consulta. Al tratarse de un análisis que debe realizarse en el procedimiento contractual específico, la Agencia sólo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AE2F31C" w14:textId="77777777" w:rsidR="00452129" w:rsidRPr="00FD67DB" w:rsidRDefault="00452129" w:rsidP="00452129">
      <w:pPr>
        <w:spacing w:after="0" w:line="276" w:lineRule="auto"/>
        <w:jc w:val="both"/>
        <w:rPr>
          <w:rFonts w:ascii="Verdana" w:eastAsia="Calibri" w:hAnsi="Verdana" w:cs="Arial"/>
          <w:lang w:val="es-ES" w:eastAsia="es-CO"/>
        </w:rPr>
      </w:pPr>
    </w:p>
    <w:p w14:paraId="7F9568E3" w14:textId="77777777" w:rsidR="00452129" w:rsidRPr="00FD67DB" w:rsidRDefault="00452129" w:rsidP="00452129">
      <w:pPr>
        <w:widowControl w:val="0"/>
        <w:autoSpaceDE w:val="0"/>
        <w:autoSpaceDN w:val="0"/>
        <w:spacing w:before="1" w:after="0" w:line="240" w:lineRule="auto"/>
        <w:outlineLvl w:val="0"/>
        <w:rPr>
          <w:rFonts w:ascii="Verdana" w:eastAsia="Arial" w:hAnsi="Verdana" w:cs="Arial"/>
          <w:b/>
          <w:bCs/>
          <w:lang w:val="es-ES"/>
        </w:rPr>
      </w:pPr>
      <w:r w:rsidRPr="00FD67DB">
        <w:rPr>
          <w:rFonts w:ascii="Verdana" w:eastAsia="Arial" w:hAnsi="Verdana" w:cs="Arial"/>
          <w:b/>
          <w:bCs/>
          <w:lang w:val="es-ES"/>
        </w:rPr>
        <w:lastRenderedPageBreak/>
        <w:t>4.Referencias normativas, jurisprudenciales y otras fuentes:</w:t>
      </w:r>
    </w:p>
    <w:p w14:paraId="21E5C600" w14:textId="77777777" w:rsidR="00452129" w:rsidRPr="00FD67DB" w:rsidRDefault="00452129" w:rsidP="00452129">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2129" w:rsidRPr="00FD67DB" w14:paraId="4B616F43" w14:textId="77777777" w:rsidTr="007B6D5E">
        <w:trPr>
          <w:trHeight w:val="870"/>
        </w:trPr>
        <w:tc>
          <w:tcPr>
            <w:tcW w:w="8647" w:type="dxa"/>
          </w:tcPr>
          <w:p w14:paraId="06E9B975"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Constitución Política de 1991. Artículo 209.</w:t>
            </w:r>
          </w:p>
          <w:p w14:paraId="4F7C6D9B"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Ley 489 de 1998. Artículo 95</w:t>
            </w:r>
          </w:p>
          <w:p w14:paraId="7385C4AC"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Ley 1150 de 2007. Artículo 2, numeral 4, literal c)</w:t>
            </w:r>
          </w:p>
          <w:p w14:paraId="6DD6F3DE"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Ley 1474 de 2011. Artículo 92</w:t>
            </w:r>
          </w:p>
          <w:p w14:paraId="6A566F60"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Decreto 1082 de 2015. Artículos 2.2.1.1.1.3.1, 2.2.1.1.1.4.3, 2.2.1.1.1.4.1, 2.2.1.1.1.4.4, 2.2.1.1.1.4.36 y 2.2.1.1.1.4.47</w:t>
            </w:r>
          </w:p>
          <w:p w14:paraId="10FBAD17"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Decreto 1081 de 2015. Artículo 2.1.1.2.1.10</w:t>
            </w:r>
          </w:p>
          <w:p w14:paraId="222BFE75"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 xml:space="preserve">Colombia Compra Eficiente. Guía para elaborar el Plan Anual de Adquisiciones. Disponible </w:t>
            </w:r>
            <w:hyperlink r:id="rId12" w:history="1">
              <w:r w:rsidRPr="00FD67DB">
                <w:rPr>
                  <w:rStyle w:val="Hipervnculo"/>
                  <w:rFonts w:ascii="Verdana" w:eastAsia="Geomanist Light" w:hAnsi="Verdana" w:cs="Arial"/>
                  <w:lang w:val="es-MX"/>
                </w:rPr>
                <w:t>aquí</w:t>
              </w:r>
            </w:hyperlink>
          </w:p>
          <w:p w14:paraId="0CCDA3B3"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Consejo de Estado, Sala de lo Contencioso Administrativo, Sección Tercera, sentencia de 23 de junio de 2010, exp.17860.</w:t>
            </w:r>
          </w:p>
          <w:p w14:paraId="480DD1A9"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Consejo de Estado. Sección Tercera-. Sentencia del 21 de febrero de 2025. Radicación Número: 68.280. CP: José Roberto Sáchica Méndez.</w:t>
            </w:r>
          </w:p>
          <w:p w14:paraId="55310CBF"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 xml:space="preserve">Consejo de Estado. Sala de Consulta y Servicio Civil. Concepto 26 de julio de 2016. </w:t>
            </w:r>
            <w:proofErr w:type="spellStart"/>
            <w:r w:rsidRPr="00FD67DB">
              <w:rPr>
                <w:rFonts w:ascii="Verdana" w:eastAsia="Geomanist Light" w:hAnsi="Verdana" w:cs="Arial"/>
                <w:color w:val="000000" w:themeColor="text1"/>
                <w:lang w:val="es-MX"/>
              </w:rPr>
              <w:t>Exp</w:t>
            </w:r>
            <w:proofErr w:type="spellEnd"/>
            <w:r w:rsidRPr="00FD67DB">
              <w:rPr>
                <w:rFonts w:ascii="Verdana" w:eastAsia="Geomanist Light" w:hAnsi="Verdana" w:cs="Arial"/>
                <w:color w:val="000000" w:themeColor="text1"/>
                <w:lang w:val="es-MX"/>
              </w:rPr>
              <w:t>. 2.257. C.P. Álvaro Namén Vargas.</w:t>
            </w:r>
          </w:p>
          <w:p w14:paraId="55C2D8BF"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Consejo de Estado. Sala Plena. Sentencia del 3 de octubre de 2000, expedientes AC-10529 y AC-10968 con ponencia de Darío Quiñónez Pinilla.</w:t>
            </w:r>
          </w:p>
          <w:p w14:paraId="2F01FDAA" w14:textId="77777777" w:rsidR="00452129" w:rsidRPr="00FD67DB" w:rsidRDefault="00452129" w:rsidP="00452129">
            <w:pPr>
              <w:pStyle w:val="Prrafodelista"/>
              <w:numPr>
                <w:ilvl w:val="0"/>
                <w:numId w:val="1"/>
              </w:numPr>
              <w:jc w:val="both"/>
              <w:rPr>
                <w:rFonts w:ascii="Verdana" w:eastAsia="Geomanist Light" w:hAnsi="Verdana" w:cs="Arial"/>
                <w:color w:val="000000" w:themeColor="text1"/>
                <w:lang w:val="es-MX"/>
              </w:rPr>
            </w:pPr>
            <w:r w:rsidRPr="00FD67DB">
              <w:rPr>
                <w:rFonts w:ascii="Verdana" w:eastAsia="Geomanist Light" w:hAnsi="Verdana" w:cs="Arial"/>
                <w:color w:val="000000" w:themeColor="text1"/>
                <w:lang w:val="es-MX"/>
              </w:rPr>
              <w:t>Santos Rodríguez, Jorge Enrique. “Consideraciones sobre los convenios y contratos interadministrativos”. Universidad Externado de Colombia, Revista Digital de Derecho Administrativo, Bogotá 2009.</w:t>
            </w:r>
          </w:p>
          <w:p w14:paraId="7A6D3A45" w14:textId="77777777" w:rsidR="00452129" w:rsidRPr="00FD67DB" w:rsidRDefault="00452129" w:rsidP="007B6D5E">
            <w:pPr>
              <w:pStyle w:val="Prrafodelista"/>
              <w:jc w:val="both"/>
              <w:rPr>
                <w:rFonts w:ascii="Verdana" w:eastAsia="Geomanist Light" w:hAnsi="Verdana" w:cs="Arial"/>
                <w:color w:val="000000" w:themeColor="text1"/>
                <w:sz w:val="20"/>
                <w:szCs w:val="20"/>
                <w:lang w:val="es-MX"/>
              </w:rPr>
            </w:pPr>
          </w:p>
        </w:tc>
      </w:tr>
    </w:tbl>
    <w:p w14:paraId="73F64377" w14:textId="77777777" w:rsidR="00452129" w:rsidRPr="00FD67DB" w:rsidRDefault="00452129" w:rsidP="00452129">
      <w:pPr>
        <w:widowControl w:val="0"/>
        <w:autoSpaceDE w:val="0"/>
        <w:autoSpaceDN w:val="0"/>
        <w:spacing w:after="0" w:line="276" w:lineRule="auto"/>
        <w:jc w:val="both"/>
        <w:rPr>
          <w:rFonts w:ascii="Verdana" w:eastAsia="Aptos" w:hAnsi="Verdana" w:cs="Arial"/>
        </w:rPr>
      </w:pPr>
    </w:p>
    <w:p w14:paraId="49871C2C" w14:textId="77777777" w:rsidR="00452129" w:rsidRPr="00FD67DB" w:rsidRDefault="00452129" w:rsidP="00452129">
      <w:pPr>
        <w:widowControl w:val="0"/>
        <w:autoSpaceDE w:val="0"/>
        <w:autoSpaceDN w:val="0"/>
        <w:spacing w:before="1" w:after="0" w:line="276" w:lineRule="auto"/>
        <w:outlineLvl w:val="0"/>
        <w:rPr>
          <w:rFonts w:ascii="Verdana" w:eastAsia="Arial" w:hAnsi="Verdana" w:cs="Arial"/>
          <w:b/>
          <w:bCs/>
          <w:lang w:val="es-ES"/>
        </w:rPr>
      </w:pPr>
      <w:r w:rsidRPr="00FD67DB">
        <w:rPr>
          <w:rFonts w:ascii="Verdana" w:eastAsia="Arial" w:hAnsi="Verdana" w:cs="Arial"/>
          <w:b/>
          <w:bCs/>
          <w:lang w:val="es-ES"/>
        </w:rPr>
        <w:t>5. Doctrina de la Agencia Nacional de Contratación Pública:</w:t>
      </w:r>
    </w:p>
    <w:p w14:paraId="5F50AC35" w14:textId="77777777" w:rsidR="00452129" w:rsidRPr="00FD67DB" w:rsidRDefault="00452129" w:rsidP="00452129">
      <w:pPr>
        <w:widowControl w:val="0"/>
        <w:autoSpaceDE w:val="0"/>
        <w:autoSpaceDN w:val="0"/>
        <w:spacing w:after="0" w:line="276" w:lineRule="auto"/>
        <w:jc w:val="both"/>
        <w:rPr>
          <w:rFonts w:ascii="Verdana" w:eastAsia="Aptos" w:hAnsi="Verdana" w:cs="Arial"/>
        </w:rPr>
      </w:pPr>
    </w:p>
    <w:p w14:paraId="34EB607F" w14:textId="77777777" w:rsidR="00452129" w:rsidRPr="00FD67DB" w:rsidRDefault="00452129" w:rsidP="00452129">
      <w:pPr>
        <w:jc w:val="both"/>
        <w:rPr>
          <w:rFonts w:ascii="Verdana" w:hAnsi="Verdana" w:cs="Arial"/>
          <w:shd w:val="clear" w:color="auto" w:fill="FFFFFF"/>
          <w:lang w:val="es-ES"/>
        </w:rPr>
      </w:pPr>
      <w:r w:rsidRPr="00FD67DB">
        <w:rPr>
          <w:rStyle w:val="normaltextrun"/>
          <w:rFonts w:ascii="Verdana" w:hAnsi="Verdana" w:cs="Arial"/>
          <w:shd w:val="clear" w:color="auto" w:fill="FFFFFF"/>
          <w:lang w:val="es-ES"/>
        </w:rPr>
        <w:t xml:space="preserve">Esta Subdirección estudió el fraccionamiento de los contratos en los conceptos </w:t>
      </w:r>
      <w:r w:rsidRPr="00FD67DB">
        <w:rPr>
          <w:rFonts w:ascii="Verdana" w:eastAsia="Calibri" w:hAnsi="Verdana" w:cs="Times New Roman"/>
        </w:rPr>
        <w:t xml:space="preserve">C-122 del 23 de julio de 2024, C-086 del 17 de febrero de 2025, C-843 del 11 de agosto de 2025, entre otros. </w:t>
      </w:r>
      <w:r w:rsidRPr="00FD67DB">
        <w:rPr>
          <w:rStyle w:val="normaltextrun"/>
          <w:rFonts w:ascii="Verdana" w:hAnsi="Verdana" w:cs="Arial"/>
          <w:shd w:val="clear" w:color="auto" w:fill="FFFFFF"/>
          <w:lang w:val="es-ES"/>
        </w:rPr>
        <w:t xml:space="preserve">Igualmente, se ha pronunciado sobre el PAA en los </w:t>
      </w:r>
      <w:r w:rsidRPr="00FD67DB">
        <w:rPr>
          <w:rFonts w:ascii="Verdana" w:eastAsia="Calibri" w:hAnsi="Verdana" w:cs="Times New Roman"/>
        </w:rPr>
        <w:t>conceptos C-438 del 31 de octubre de 2023, C-066 del 26 de febrero de 2025, C-645 del 2 de julio de 2025, C-748 del 25 de julio de 2025, C-819 del 31 de julio de 2025.</w:t>
      </w:r>
      <w:r w:rsidRPr="00FD67DB">
        <w:rPr>
          <w:rStyle w:val="normaltextrun"/>
          <w:rFonts w:ascii="Verdana" w:hAnsi="Verdana" w:cs="Arial"/>
          <w:shd w:val="clear" w:color="auto" w:fill="FFFFFF"/>
          <w:lang w:val="es-ES"/>
        </w:rPr>
        <w:t xml:space="preserve"> </w:t>
      </w:r>
      <w:r w:rsidRPr="00FD67DB">
        <w:rPr>
          <w:rFonts w:ascii="Verdana" w:eastAsia="Calibri" w:hAnsi="Verdana" w:cs="Arial"/>
          <w:bCs/>
          <w:shd w:val="clear" w:color="auto" w:fill="FFFFFF"/>
          <w:lang w:val="es-ES"/>
        </w:rPr>
        <w:t xml:space="preserve">En tal sentido, recoge los conceptos expuestos, sin perjuicio de otras consideraciones. </w:t>
      </w:r>
      <w:r w:rsidRPr="00FD67DB">
        <w:rPr>
          <w:rFonts w:ascii="Verdana" w:eastAsia="Aptos" w:hAnsi="Verdana" w:cs="Arial"/>
          <w:shd w:val="clear" w:color="auto" w:fill="FFFFFF"/>
          <w:lang w:val="es-ES"/>
        </w:rPr>
        <w:t xml:space="preserve">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FD67DB">
          <w:rPr>
            <w:rFonts w:ascii="Verdana" w:eastAsia="Aptos" w:hAnsi="Verdana" w:cs="Arial"/>
            <w:u w:val="single"/>
            <w:shd w:val="clear" w:color="auto" w:fill="FFFFFF"/>
            <w:lang w:val="es-ES"/>
          </w:rPr>
          <w:t>https://relatoria.colombiacompra.gov.co/</w:t>
        </w:r>
      </w:hyperlink>
      <w:r w:rsidRPr="00FD67DB">
        <w:rPr>
          <w:rFonts w:ascii="Verdana" w:eastAsia="Aptos" w:hAnsi="Verdana" w:cs="Arial"/>
          <w:shd w:val="clear" w:color="auto" w:fill="FFFFFF"/>
          <w:lang w:val="es-ES"/>
        </w:rPr>
        <w:t xml:space="preserve">. </w:t>
      </w:r>
    </w:p>
    <w:p w14:paraId="44E1A98D" w14:textId="77777777" w:rsidR="00452129" w:rsidRPr="00FD67DB" w:rsidRDefault="00452129" w:rsidP="00452129">
      <w:pPr>
        <w:spacing w:before="120" w:after="120" w:line="276" w:lineRule="auto"/>
        <w:ind w:firstLine="709"/>
        <w:jc w:val="both"/>
        <w:rPr>
          <w:rFonts w:ascii="Verdana" w:eastAsia="Aptos" w:hAnsi="Verdana" w:cs="Times New Roman"/>
        </w:rPr>
      </w:pPr>
      <w:r w:rsidRPr="00FD67DB">
        <w:rPr>
          <w:rFonts w:ascii="Verdana" w:eastAsia="Aptos" w:hAnsi="Verdana" w:cs="Times New Roman"/>
        </w:rPr>
        <w:t xml:space="preserve">La sostenibilidad no es una opción, es una obligación. Por ello, la Agencia Nacional de Contratación Pública –Colombia Compra Eficiente– te invita a realizar el </w:t>
      </w:r>
      <w:r w:rsidRPr="00FD67DB">
        <w:rPr>
          <w:rFonts w:ascii="Verdana" w:eastAsia="Aptos" w:hAnsi="Verdana" w:cs="Times New Roman"/>
          <w:b/>
          <w:bCs/>
        </w:rPr>
        <w:t>Curso de Contratación Pública Sostenible y Socialmente Responsable</w:t>
      </w:r>
      <w:r w:rsidRPr="00FD67DB">
        <w:rPr>
          <w:rFonts w:ascii="Verdana" w:eastAsia="Aptos" w:hAnsi="Verdana" w:cs="Times New Roman"/>
        </w:rPr>
        <w:t xml:space="preserve">, una herramienta clave para fortalecer las capacidades de todos los compradores públicos, proveedores, servidores públicos v para generar mayor valor público. Accede al curso y aprende como implementar criterios </w:t>
      </w:r>
      <w:r w:rsidRPr="00FD67DB">
        <w:rPr>
          <w:rFonts w:ascii="Verdana" w:eastAsia="Aptos" w:hAnsi="Verdana" w:cs="Times New Roman"/>
        </w:rPr>
        <w:lastRenderedPageBreak/>
        <w:t>sociales y ambientales en las diferentes etapas del proceso de contratación:</w:t>
      </w:r>
      <w:r w:rsidRPr="00FD67DB">
        <w:rPr>
          <w:rFonts w:ascii="Verdana" w:eastAsia="Aptos" w:hAnsi="Verdana" w:cs="Times New Roman"/>
        </w:rPr>
        <w:br/>
      </w:r>
      <w:hyperlink r:id="rId14" w:tgtFrame="_new" w:history="1">
        <w:r w:rsidRPr="00FD67DB">
          <w:rPr>
            <w:rFonts w:ascii="Verdana" w:eastAsia="Aptos" w:hAnsi="Verdana" w:cs="Times New Roman"/>
            <w:u w:val="single"/>
          </w:rPr>
          <w:t>https://formacionvirtual.colombiacompra.gov.co/mod/page/view.php?id=3718</w:t>
        </w:r>
      </w:hyperlink>
    </w:p>
    <w:p w14:paraId="20324FA8" w14:textId="77777777" w:rsidR="00452129" w:rsidRPr="00FD67DB" w:rsidRDefault="00452129" w:rsidP="00452129">
      <w:pPr>
        <w:spacing w:line="276" w:lineRule="auto"/>
        <w:ind w:firstLine="708"/>
        <w:jc w:val="both"/>
        <w:rPr>
          <w:rFonts w:ascii="Verdana" w:eastAsia="Aptos" w:hAnsi="Verdana" w:cs="Times New Roman"/>
        </w:rPr>
      </w:pPr>
      <w:r w:rsidRPr="00FD67DB">
        <w:rPr>
          <w:rFonts w:ascii="Verdana" w:eastAsia="Aptos" w:hAnsi="Verdana" w:cs="Times New Roman"/>
        </w:rPr>
        <w:t xml:space="preserve">De otro lado, te contamos que esta Agencia ha da un paso decisivo en la estandarización y modernización del </w:t>
      </w:r>
      <w:r w:rsidRPr="00FD67DB">
        <w:rPr>
          <w:rFonts w:ascii="Verdana" w:eastAsia="Aptos" w:hAnsi="Verdana" w:cs="Times New Roman"/>
          <w:b/>
          <w:bCs/>
        </w:rPr>
        <w:t>sector  social</w:t>
      </w:r>
      <w:r w:rsidRPr="00FD67DB">
        <w:rPr>
          <w:rFonts w:ascii="Verdana" w:eastAsia="Aptos" w:hAnsi="Verdana" w:cs="Times New Roman"/>
        </w:rPr>
        <w:t xml:space="preserve"> con la expedición de las </w:t>
      </w:r>
      <w:r w:rsidRPr="00FD67DB">
        <w:rPr>
          <w:rFonts w:ascii="Verdana" w:eastAsia="Aptos" w:hAnsi="Verdana" w:cs="Times New Roman"/>
          <w:b/>
          <w:bCs/>
        </w:rPr>
        <w:t>Resoluciones 539, 540, 541, 952 y 953 de 2025</w:t>
      </w:r>
      <w:r w:rsidRPr="00FD67DB">
        <w:rPr>
          <w:rFonts w:ascii="Verdana" w:eastAsia="Aptos" w:hAnsi="Verdana" w:cs="Times New Roman"/>
        </w:rPr>
        <w:t xml:space="preserve">, </w:t>
      </w:r>
      <w:r w:rsidRPr="00FD67DB">
        <w:rPr>
          <w:rFonts w:ascii="Verdana" w:eastAsia="Aptos" w:hAnsi="Verdana" w:cs="Times New Roman"/>
          <w:b/>
          <w:bCs/>
        </w:rPr>
        <w:t>mediante las cuales adoptó Documentos Tipo</w:t>
      </w:r>
      <w:r w:rsidRPr="00FD67DB">
        <w:rPr>
          <w:rFonts w:ascii="Verdana" w:eastAsia="Aptos" w:hAnsi="Verdana" w:cs="Times New Roman"/>
        </w:rPr>
        <w:t xml:space="preserve"> para las modalidades de selección de</w:t>
      </w:r>
      <w:r w:rsidRPr="00FD67DB">
        <w:rPr>
          <w:rFonts w:ascii="Verdana" w:eastAsia="Aptos" w:hAnsi="Verdana" w:cs="Times New Roman"/>
          <w:b/>
          <w:bCs/>
        </w:rPr>
        <w:t xml:space="preserve"> licitación pública (versión 2), selección abreviada de menor cuantía, mínima cuantía, consultoría e interventoría</w:t>
      </w:r>
      <w:r w:rsidRPr="00FD67DB">
        <w:rPr>
          <w:rFonts w:ascii="Verdana" w:eastAsia="Aptos"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D67DB">
          <w:rPr>
            <w:rFonts w:ascii="Verdana" w:eastAsia="Aptos" w:hAnsi="Verdana" w:cs="Times New Roman"/>
            <w:u w:val="single"/>
          </w:rPr>
          <w:t>https://www.colombiacompra.gov.co/normativa-y-relatoria/documentos-tipo</w:t>
        </w:r>
      </w:hyperlink>
    </w:p>
    <w:p w14:paraId="452693CF" w14:textId="77777777" w:rsidR="00452129" w:rsidRPr="00FD67DB" w:rsidRDefault="00452129" w:rsidP="00452129">
      <w:pPr>
        <w:spacing w:after="0" w:line="276" w:lineRule="auto"/>
        <w:ind w:firstLine="708"/>
        <w:jc w:val="both"/>
        <w:rPr>
          <w:rFonts w:ascii="Verdana" w:eastAsia="Aptos" w:hAnsi="Verdana" w:cs="Times New Roman"/>
        </w:rPr>
      </w:pPr>
      <w:r w:rsidRPr="00FD67DB">
        <w:rPr>
          <w:rFonts w:ascii="Verdana" w:eastAsia="Aptos" w:hAnsi="Verdana" w:cs="Times New Roman"/>
        </w:rPr>
        <w:t xml:space="preserve">Si quieres conocer más sobre la aplicación de Documentos Tipo puedes consultar la última versión de la </w:t>
      </w:r>
      <w:r w:rsidRPr="00FD67DB">
        <w:rPr>
          <w:rFonts w:ascii="Verdana" w:eastAsia="Aptos" w:hAnsi="Verdana" w:cs="Times New Roman"/>
          <w:b/>
          <w:bCs/>
        </w:rPr>
        <w:t>Guía para la comprensión e implementación de los Documentos Tipo de obra pública de infraestructura de transporte</w:t>
      </w:r>
      <w:r w:rsidRPr="00FD67DB">
        <w:rPr>
          <w:rFonts w:ascii="Verdana" w:eastAsia="Aptos"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D67DB">
        <w:rPr>
          <w:rFonts w:ascii="Verdana" w:eastAsia="Aptos" w:hAnsi="Verdana" w:cs="Times New Roman"/>
        </w:rPr>
        <w:br/>
      </w:r>
      <w:hyperlink r:id="rId16" w:tgtFrame="_new" w:history="1">
        <w:r w:rsidRPr="00FD67DB">
          <w:rPr>
            <w:rFonts w:ascii="Verdana" w:eastAsia="Aptos" w:hAnsi="Verdana" w:cs="Times New Roman"/>
            <w:u w:val="single"/>
          </w:rPr>
          <w:t>https://www.colombiacompra.gov.co/archivos/manual/guia-para-la-comprension-e-implementacion-de-los-documentos-tipo-de-obra-publica-de-infraestructura-de-transporte-bajo-las-diferentes-modalidades-de-contratacion-vigentes</w:t>
        </w:r>
      </w:hyperlink>
    </w:p>
    <w:p w14:paraId="74013361" w14:textId="77777777" w:rsidR="00452129" w:rsidRPr="00FD67DB" w:rsidRDefault="00452129" w:rsidP="00452129">
      <w:pPr>
        <w:spacing w:before="120" w:after="0" w:line="276" w:lineRule="auto"/>
        <w:ind w:firstLine="708"/>
        <w:jc w:val="both"/>
        <w:rPr>
          <w:rFonts w:ascii="Verdana" w:eastAsia="Aptos" w:hAnsi="Verdana" w:cs="Times New Roman"/>
        </w:rPr>
      </w:pPr>
      <w:r w:rsidRPr="00FD67DB">
        <w:rPr>
          <w:rFonts w:ascii="Verdana" w:eastAsia="Aptos" w:hAnsi="Verdana" w:cs="Times New Roman"/>
        </w:rPr>
        <w:t xml:space="preserve">Por último, lo invitamos a seguirnos en las redes sociales en las cuales se difunde información institucional: </w:t>
      </w:r>
    </w:p>
    <w:p w14:paraId="6D1CFF81" w14:textId="77777777" w:rsidR="00452129" w:rsidRPr="00FD67DB" w:rsidRDefault="00452129" w:rsidP="00452129">
      <w:pPr>
        <w:spacing w:after="0" w:line="276" w:lineRule="auto"/>
        <w:jc w:val="both"/>
        <w:rPr>
          <w:rFonts w:ascii="Verdana" w:eastAsia="Aptos" w:hAnsi="Verdana" w:cs="Times New Roman"/>
        </w:rPr>
      </w:pPr>
    </w:p>
    <w:p w14:paraId="0C82EE07" w14:textId="77777777" w:rsidR="00452129" w:rsidRPr="00FD67DB" w:rsidRDefault="00452129" w:rsidP="00452129">
      <w:pPr>
        <w:spacing w:after="0" w:line="276" w:lineRule="auto"/>
        <w:jc w:val="both"/>
        <w:rPr>
          <w:rFonts w:ascii="Verdana" w:eastAsia="Aptos" w:hAnsi="Verdana" w:cs="Times New Roman"/>
        </w:rPr>
      </w:pPr>
      <w:r w:rsidRPr="00FD67DB">
        <w:rPr>
          <w:rFonts w:ascii="Verdana" w:eastAsia="Aptos" w:hAnsi="Verdana" w:cs="Times New Roman"/>
        </w:rPr>
        <w:t xml:space="preserve">Twitter: </w:t>
      </w:r>
      <w:r w:rsidRPr="00FD67DB">
        <w:rPr>
          <w:rFonts w:ascii="Verdana" w:eastAsia="Aptos" w:hAnsi="Verdana" w:cs="Arial"/>
          <w:u w:val="single"/>
          <w:shd w:val="clear" w:color="auto" w:fill="FFFFFF"/>
          <w:lang w:val="es-ES"/>
        </w:rPr>
        <w:t>@colombiacompra</w:t>
      </w:r>
      <w:r w:rsidRPr="00FD67DB">
        <w:rPr>
          <w:rFonts w:ascii="Verdana" w:eastAsia="Aptos" w:hAnsi="Verdana" w:cs="Times New Roman"/>
        </w:rPr>
        <w:t xml:space="preserve"> </w:t>
      </w:r>
    </w:p>
    <w:p w14:paraId="15F24741" w14:textId="77777777" w:rsidR="00452129" w:rsidRPr="00FD67DB" w:rsidRDefault="00452129" w:rsidP="00452129">
      <w:pPr>
        <w:spacing w:after="0" w:line="276" w:lineRule="auto"/>
        <w:jc w:val="both"/>
        <w:rPr>
          <w:rFonts w:ascii="Verdana" w:eastAsia="Aptos" w:hAnsi="Verdana" w:cs="Times New Roman"/>
        </w:rPr>
      </w:pPr>
      <w:r w:rsidRPr="00FD67DB">
        <w:rPr>
          <w:rFonts w:ascii="Verdana" w:eastAsia="Aptos" w:hAnsi="Verdana" w:cs="Times New Roman"/>
        </w:rPr>
        <w:t xml:space="preserve">Facebook: </w:t>
      </w:r>
      <w:proofErr w:type="spellStart"/>
      <w:r w:rsidRPr="00FD67DB">
        <w:rPr>
          <w:rFonts w:ascii="Verdana" w:eastAsia="Aptos" w:hAnsi="Verdana" w:cs="Arial"/>
          <w:u w:val="single"/>
          <w:shd w:val="clear" w:color="auto" w:fill="FFFFFF"/>
          <w:lang w:val="es-ES"/>
        </w:rPr>
        <w:t>ColombiaCompraEficiente</w:t>
      </w:r>
      <w:proofErr w:type="spellEnd"/>
    </w:p>
    <w:p w14:paraId="0AA451BF" w14:textId="77777777" w:rsidR="00452129" w:rsidRPr="00FD67DB" w:rsidRDefault="00452129" w:rsidP="00452129">
      <w:pPr>
        <w:spacing w:after="0" w:line="276" w:lineRule="auto"/>
        <w:jc w:val="both"/>
        <w:rPr>
          <w:rFonts w:ascii="Verdana" w:eastAsia="Aptos" w:hAnsi="Verdana" w:cs="Times New Roman"/>
        </w:rPr>
      </w:pPr>
      <w:r w:rsidRPr="00FD67DB">
        <w:rPr>
          <w:rFonts w:ascii="Verdana" w:eastAsia="Aptos" w:hAnsi="Verdana" w:cs="Times New Roman"/>
        </w:rPr>
        <w:t xml:space="preserve">LinkedIn: </w:t>
      </w:r>
      <w:r w:rsidRPr="00FD67DB">
        <w:rPr>
          <w:rFonts w:ascii="Verdana" w:eastAsia="Aptos" w:hAnsi="Verdana" w:cs="Arial"/>
          <w:u w:val="single"/>
          <w:shd w:val="clear" w:color="auto" w:fill="FFFFFF"/>
          <w:lang w:val="es-ES"/>
        </w:rPr>
        <w:t>Agencia Nacional de Contratación Pública - Colombia Compra Eficiente</w:t>
      </w:r>
      <w:r w:rsidRPr="00FD67DB">
        <w:rPr>
          <w:rFonts w:ascii="Verdana" w:eastAsia="Aptos" w:hAnsi="Verdana" w:cs="Times New Roman"/>
        </w:rPr>
        <w:t xml:space="preserve"> Instagram: </w:t>
      </w:r>
      <w:r w:rsidRPr="00FD67DB">
        <w:rPr>
          <w:rFonts w:ascii="Verdana" w:eastAsia="Aptos" w:hAnsi="Verdana" w:cs="Arial"/>
          <w:u w:val="single"/>
          <w:shd w:val="clear" w:color="auto" w:fill="FFFFFF"/>
          <w:lang w:val="es-ES"/>
        </w:rPr>
        <w:t>@colombiacompraeficiente_cce</w:t>
      </w:r>
    </w:p>
    <w:p w14:paraId="5CE0CAA7" w14:textId="77777777" w:rsidR="00452129" w:rsidRPr="00FD67DB" w:rsidRDefault="00452129" w:rsidP="00452129">
      <w:pPr>
        <w:widowControl w:val="0"/>
        <w:autoSpaceDE w:val="0"/>
        <w:autoSpaceDN w:val="0"/>
        <w:spacing w:after="0" w:line="276" w:lineRule="auto"/>
        <w:jc w:val="both"/>
        <w:rPr>
          <w:rFonts w:ascii="Verdana" w:eastAsia="Aptos" w:hAnsi="Verdana" w:cs="Arial"/>
        </w:rPr>
      </w:pPr>
    </w:p>
    <w:p w14:paraId="36CB4056" w14:textId="77777777" w:rsidR="00452129" w:rsidRPr="00FD67DB" w:rsidRDefault="00452129" w:rsidP="00452129">
      <w:pPr>
        <w:widowControl w:val="0"/>
        <w:autoSpaceDE w:val="0"/>
        <w:autoSpaceDN w:val="0"/>
        <w:spacing w:after="0" w:line="276" w:lineRule="auto"/>
        <w:jc w:val="both"/>
        <w:rPr>
          <w:rFonts w:ascii="Verdana" w:eastAsia="Aptos" w:hAnsi="Verdana" w:cs="Arial"/>
          <w:lang w:val="es-ES_tradnl"/>
        </w:rPr>
      </w:pPr>
      <w:r w:rsidRPr="00FD67DB">
        <w:rPr>
          <w:rFonts w:ascii="Verdana" w:eastAsia="Aptos" w:hAnsi="Verdana" w:cs="Arial"/>
        </w:rPr>
        <w:t xml:space="preserve">Este concepto tiene el alcance previsto en el artículo 28 del Código de Procedimiento Administrativo y de lo Contencioso Administrativo </w:t>
      </w:r>
      <w:r w:rsidRPr="00FD67DB">
        <w:rPr>
          <w:rFonts w:ascii="Verdana" w:eastAsia="Aptos" w:hAnsi="Verdana" w:cs="Arial"/>
          <w:lang w:val="es-ES_tradnl"/>
        </w:rPr>
        <w:t>y las expresiones aquí utilizadas con mayúscula inicial deben ser entendidas con el significado que les otorga el artículo 2.2.1.1.1.3.1. del Decreto 1082 de 2015.</w:t>
      </w:r>
    </w:p>
    <w:p w14:paraId="2E6FEAA6" w14:textId="77777777" w:rsidR="00452129" w:rsidRPr="00FD67DB" w:rsidRDefault="00452129" w:rsidP="00452129">
      <w:pPr>
        <w:widowControl w:val="0"/>
        <w:autoSpaceDE w:val="0"/>
        <w:autoSpaceDN w:val="0"/>
        <w:spacing w:after="0" w:line="276" w:lineRule="auto"/>
        <w:jc w:val="both"/>
        <w:rPr>
          <w:rFonts w:ascii="Verdana" w:eastAsia="Aptos" w:hAnsi="Verdana" w:cs="Arial"/>
        </w:rPr>
      </w:pPr>
    </w:p>
    <w:p w14:paraId="1689C01E" w14:textId="77777777" w:rsidR="00452129" w:rsidRPr="00FD67DB" w:rsidRDefault="00452129" w:rsidP="00452129">
      <w:pPr>
        <w:spacing w:after="0" w:line="276" w:lineRule="auto"/>
        <w:rPr>
          <w:rFonts w:ascii="Verdana" w:eastAsia="Aptos" w:hAnsi="Verdana" w:cs="Arial"/>
          <w:lang w:eastAsia="es-CO"/>
        </w:rPr>
      </w:pPr>
      <w:r w:rsidRPr="00FD67DB">
        <w:rPr>
          <w:rFonts w:ascii="Verdana" w:eastAsia="Times New Roman" w:hAnsi="Verdana" w:cs="Arial"/>
          <w:lang w:eastAsia="es-CO"/>
        </w:rPr>
        <w:t>Atentamente,</w:t>
      </w:r>
      <w:r w:rsidRPr="00FD67DB">
        <w:rPr>
          <w:rFonts w:ascii="Verdana" w:eastAsia="Aptos" w:hAnsi="Verdana" w:cs="Arial"/>
          <w:lang w:eastAsia="es-CO"/>
        </w:rPr>
        <w:t xml:space="preserve"> </w:t>
      </w:r>
    </w:p>
    <w:p w14:paraId="250F8322" w14:textId="6BB9FEF6" w:rsidR="00452129" w:rsidRPr="00FD67DB" w:rsidRDefault="0048063A" w:rsidP="00452129">
      <w:pPr>
        <w:spacing w:after="0" w:line="276" w:lineRule="auto"/>
        <w:jc w:val="center"/>
        <w:rPr>
          <w:rFonts w:ascii="Verdana" w:eastAsia="Aptos" w:hAnsi="Verdana" w:cs="Arial"/>
          <w:lang w:val="es-ES_tradnl" w:eastAsia="es-CO"/>
        </w:rPr>
      </w:pPr>
      <w:r>
        <w:rPr>
          <w:noProof/>
        </w:rPr>
        <w:lastRenderedPageBreak/>
        <w:drawing>
          <wp:inline distT="0" distB="0" distL="0" distR="0" wp14:anchorId="5977212C" wp14:editId="4A406DED">
            <wp:extent cx="3257550" cy="1390650"/>
            <wp:effectExtent l="0" t="0" r="0" b="0"/>
            <wp:docPr id="160631609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El contenido generado por IA puede ser incorrect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57550" cy="1390650"/>
                    </a:xfrm>
                    <a:prstGeom prst="rect">
                      <a:avLst/>
                    </a:prstGeom>
                    <a:noFill/>
                    <a:ln>
                      <a:noFill/>
                    </a:ln>
                  </pic:spPr>
                </pic:pic>
              </a:graphicData>
            </a:graphic>
          </wp:inline>
        </w:drawing>
      </w:r>
    </w:p>
    <w:tbl>
      <w:tblPr>
        <w:tblStyle w:val="Tablaconcuadrcula11"/>
        <w:tblpPr w:leftFromText="141" w:rightFromText="141" w:vertAnchor="text" w:horzAnchor="margin" w:tblpY="-1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
        <w:gridCol w:w="4344"/>
      </w:tblGrid>
      <w:tr w:rsidR="00452129" w:rsidRPr="00FD67DB" w14:paraId="7EA9400B" w14:textId="77777777" w:rsidTr="007B6D5E">
        <w:trPr>
          <w:trHeight w:val="286"/>
        </w:trPr>
        <w:tc>
          <w:tcPr>
            <w:tcW w:w="901" w:type="dxa"/>
            <w:vAlign w:val="center"/>
            <w:hideMark/>
          </w:tcPr>
          <w:p w14:paraId="5F266B11"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Elaboró:</w:t>
            </w:r>
          </w:p>
        </w:tc>
        <w:tc>
          <w:tcPr>
            <w:tcW w:w="4344" w:type="dxa"/>
            <w:tcBorders>
              <w:top w:val="nil"/>
              <w:left w:val="nil"/>
              <w:bottom w:val="dotted" w:sz="4" w:space="0" w:color="7F7F7F"/>
              <w:right w:val="nil"/>
            </w:tcBorders>
            <w:vAlign w:val="center"/>
            <w:hideMark/>
          </w:tcPr>
          <w:p w14:paraId="5FE66276"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Nasly Yeana Mosquera Rivas</w:t>
            </w:r>
          </w:p>
          <w:p w14:paraId="245C294D"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Analista T2–06 de la Subdirección de Gestión Contractual</w:t>
            </w:r>
          </w:p>
        </w:tc>
      </w:tr>
      <w:tr w:rsidR="00452129" w:rsidRPr="00FD67DB" w14:paraId="0D986C3B" w14:textId="77777777" w:rsidTr="007B6D5E">
        <w:trPr>
          <w:trHeight w:val="299"/>
        </w:trPr>
        <w:tc>
          <w:tcPr>
            <w:tcW w:w="901" w:type="dxa"/>
            <w:vAlign w:val="center"/>
          </w:tcPr>
          <w:p w14:paraId="3E0AD45E"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Revisó:</w:t>
            </w:r>
          </w:p>
        </w:tc>
        <w:tc>
          <w:tcPr>
            <w:tcW w:w="4344" w:type="dxa"/>
            <w:tcBorders>
              <w:top w:val="dotted" w:sz="4" w:space="0" w:color="7F7F7F"/>
              <w:left w:val="nil"/>
              <w:bottom w:val="dotted" w:sz="4" w:space="0" w:color="7F7F7F"/>
              <w:right w:val="nil"/>
            </w:tcBorders>
            <w:vAlign w:val="center"/>
          </w:tcPr>
          <w:p w14:paraId="4081E30E"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D</w:t>
            </w:r>
            <w:r w:rsidRPr="00FD67DB">
              <w:rPr>
                <w:rFonts w:eastAsia="Aptos"/>
                <w:sz w:val="14"/>
                <w:szCs w:val="14"/>
                <w:lang w:eastAsia="es-ES"/>
              </w:rPr>
              <w:t>iana Lucía Saavedra Castañeda</w:t>
            </w:r>
          </w:p>
          <w:p w14:paraId="51F05FCF"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Contratista de la Subdirección de Gestión Contractual</w:t>
            </w:r>
          </w:p>
        </w:tc>
      </w:tr>
      <w:tr w:rsidR="00452129" w:rsidRPr="00FD67DB" w14:paraId="44E0C90C" w14:textId="77777777" w:rsidTr="007B6D5E">
        <w:trPr>
          <w:trHeight w:val="272"/>
        </w:trPr>
        <w:tc>
          <w:tcPr>
            <w:tcW w:w="901" w:type="dxa"/>
            <w:vAlign w:val="center"/>
            <w:hideMark/>
          </w:tcPr>
          <w:p w14:paraId="2B7CD9B8"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Aprobó:</w:t>
            </w:r>
          </w:p>
        </w:tc>
        <w:tc>
          <w:tcPr>
            <w:tcW w:w="4344" w:type="dxa"/>
            <w:tcBorders>
              <w:top w:val="dotted" w:sz="4" w:space="0" w:color="7F7F7F"/>
              <w:left w:val="nil"/>
              <w:bottom w:val="dotted" w:sz="4" w:space="0" w:color="7F7F7F"/>
              <w:right w:val="nil"/>
            </w:tcBorders>
            <w:vAlign w:val="center"/>
            <w:hideMark/>
          </w:tcPr>
          <w:p w14:paraId="6FB929DA"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Carolina Quintero Gacharná</w:t>
            </w:r>
          </w:p>
          <w:p w14:paraId="2D879160" w14:textId="77777777" w:rsidR="00452129" w:rsidRPr="00FD67DB" w:rsidRDefault="00452129" w:rsidP="007B6D5E">
            <w:pPr>
              <w:rPr>
                <w:rFonts w:ascii="Verdana" w:eastAsia="Aptos" w:hAnsi="Verdana" w:cs="Arial"/>
                <w:sz w:val="14"/>
                <w:szCs w:val="14"/>
                <w:lang w:eastAsia="es-ES"/>
              </w:rPr>
            </w:pPr>
            <w:r w:rsidRPr="00FD67DB">
              <w:rPr>
                <w:rFonts w:ascii="Verdana" w:eastAsia="Aptos" w:hAnsi="Verdana" w:cs="Arial"/>
                <w:sz w:val="14"/>
                <w:szCs w:val="14"/>
                <w:lang w:eastAsia="es-ES"/>
              </w:rPr>
              <w:t>Subdirectora de Gestión Contractual ANCP – CCE</w:t>
            </w:r>
          </w:p>
        </w:tc>
      </w:tr>
    </w:tbl>
    <w:p w14:paraId="7E8D9B89" w14:textId="77777777" w:rsidR="00452129" w:rsidRPr="00FD67DB" w:rsidRDefault="00452129" w:rsidP="00452129">
      <w:pPr>
        <w:spacing w:after="0" w:line="240" w:lineRule="auto"/>
        <w:rPr>
          <w:rFonts w:ascii="Verdana" w:eastAsia="Times New Roman" w:hAnsi="Verdana" w:cs="Arial"/>
          <w:sz w:val="24"/>
          <w:szCs w:val="24"/>
          <w:lang w:eastAsia="es-ES"/>
        </w:rPr>
      </w:pPr>
    </w:p>
    <w:p w14:paraId="1994D03B" w14:textId="77777777" w:rsidR="00452129" w:rsidRPr="00FD67DB" w:rsidRDefault="00452129" w:rsidP="00452129">
      <w:pPr>
        <w:rPr>
          <w:rFonts w:ascii="Verdana" w:eastAsia="Aptos" w:hAnsi="Verdana" w:cs="Times New Roman"/>
        </w:rPr>
      </w:pPr>
    </w:p>
    <w:p w14:paraId="4A6FD117" w14:textId="56341B53" w:rsidR="00452129" w:rsidRPr="000E2B93" w:rsidRDefault="00452129" w:rsidP="00452129">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3EB52E1B" w14:textId="77777777" w:rsidR="00452129" w:rsidRPr="00452129" w:rsidRDefault="00452129" w:rsidP="00452129"/>
    <w:sectPr w:rsidR="00452129" w:rsidRPr="0045212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415733" w14:textId="77777777" w:rsidR="008C0F26" w:rsidRDefault="008C0F26" w:rsidP="00452129">
      <w:pPr>
        <w:spacing w:after="0" w:line="240" w:lineRule="auto"/>
      </w:pPr>
      <w:r>
        <w:separator/>
      </w:r>
    </w:p>
  </w:endnote>
  <w:endnote w:type="continuationSeparator" w:id="0">
    <w:p w14:paraId="75D52A57" w14:textId="77777777" w:rsidR="008C0F26" w:rsidRDefault="008C0F26" w:rsidP="004521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56FE0E" w14:textId="77777777" w:rsidR="008C0F26" w:rsidRDefault="008C0F26" w:rsidP="00452129">
      <w:pPr>
        <w:spacing w:after="0" w:line="240" w:lineRule="auto"/>
      </w:pPr>
      <w:r>
        <w:separator/>
      </w:r>
    </w:p>
  </w:footnote>
  <w:footnote w:type="continuationSeparator" w:id="0">
    <w:p w14:paraId="08C2493F" w14:textId="77777777" w:rsidR="008C0F26" w:rsidRDefault="008C0F26" w:rsidP="00452129">
      <w:pPr>
        <w:spacing w:after="0" w:line="240" w:lineRule="auto"/>
      </w:pPr>
      <w:r>
        <w:continuationSeparator/>
      </w:r>
    </w:p>
  </w:footnote>
  <w:footnote w:id="1">
    <w:p w14:paraId="06650F77"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w:t>
      </w:r>
      <w:r w:rsidRPr="00EE5AEC">
        <w:rPr>
          <w:rFonts w:ascii="Verdana" w:hAnsi="Verdana" w:cs="Arial"/>
          <w:i/>
          <w:iCs/>
          <w:sz w:val="18"/>
          <w:szCs w:val="18"/>
          <w:lang w:val="es-ES"/>
        </w:rPr>
        <w:t>“</w:t>
      </w:r>
      <w:r w:rsidRPr="00EE5AEC">
        <w:rPr>
          <w:rFonts w:ascii="Verdana" w:hAnsi="Verdana" w:cs="Arial"/>
          <w:bCs/>
          <w:i/>
          <w:iCs/>
          <w:sz w:val="18"/>
          <w:szCs w:val="18"/>
          <w:lang w:val="es-ES_tradnl"/>
        </w:rPr>
        <w:t>La función administrativa está al servicio de los intereses generales y se desarrolla con fundamento en los principios de igualdad, moralidad, eficacia, economía, celeridad, imparcialidad y publicidad, mediante la descentralización, la delegación y la desconcentración de funciones. Las autoridades administrativas deben coordinar sus actuaciones para el adecuado cumplimiento de los fines del estado. La administración pública, en todos sus órdenes, tendrá un control interno que se ejercerá en los términos que señale la Ley”.</w:t>
      </w:r>
    </w:p>
  </w:footnote>
  <w:footnote w:id="2">
    <w:p w14:paraId="6E0F0046" w14:textId="77777777" w:rsidR="00452129" w:rsidRPr="00EE5AEC" w:rsidRDefault="00452129" w:rsidP="00452129">
      <w:pPr>
        <w:pStyle w:val="Textonotapie"/>
        <w:ind w:firstLine="709"/>
        <w:jc w:val="both"/>
        <w:rPr>
          <w:rFonts w:ascii="Verdana" w:hAnsi="Verdana" w:cs="Arial"/>
          <w:sz w:val="18"/>
          <w:szCs w:val="18"/>
        </w:rPr>
      </w:pPr>
    </w:p>
    <w:p w14:paraId="508A7889"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w:t>
      </w:r>
      <w:r w:rsidRPr="00EE5AEC">
        <w:rPr>
          <w:rFonts w:ascii="Verdana" w:hAnsi="Verdana" w:cs="Arial"/>
          <w:color w:val="000000" w:themeColor="text1"/>
          <w:sz w:val="18"/>
          <w:szCs w:val="18"/>
        </w:rPr>
        <w:t>“</w:t>
      </w:r>
      <w:r w:rsidRPr="00EE5AEC">
        <w:rPr>
          <w:rStyle w:val="nfasis"/>
          <w:rFonts w:ascii="Verdana" w:hAnsi="Verdana" w:cs="Arial"/>
          <w:color w:val="000000" w:themeColor="text1"/>
          <w:sz w:val="18"/>
          <w:szCs w:val="18"/>
          <w:shd w:val="clear" w:color="auto" w:fill="FFFFFF"/>
        </w:rPr>
        <w:t>Por la cual se dictan normas sobre la organización y funcionamiento de las entidades del orden nacional, se expiden las disposiciones, principios y reglas generales para el ejercicio de las atribuciones previstas en los numerales 15 y 16 del artículo 189 de la Constitución Política y se dictan otras disposiciones”.</w:t>
      </w:r>
    </w:p>
  </w:footnote>
  <w:footnote w:id="3">
    <w:p w14:paraId="6B3F0A64" w14:textId="77777777" w:rsidR="00452129" w:rsidRPr="00EE5AEC" w:rsidRDefault="00452129" w:rsidP="00452129">
      <w:pPr>
        <w:pStyle w:val="Textonotapie"/>
        <w:ind w:firstLine="709"/>
        <w:jc w:val="both"/>
        <w:rPr>
          <w:rFonts w:ascii="Verdana" w:hAnsi="Verdana" w:cs="Arial"/>
          <w:sz w:val="18"/>
          <w:szCs w:val="18"/>
        </w:rPr>
      </w:pPr>
    </w:p>
    <w:p w14:paraId="6C7E8A5F" w14:textId="77777777" w:rsidR="00452129" w:rsidRPr="00EE5AEC" w:rsidRDefault="00452129" w:rsidP="00452129">
      <w:pPr>
        <w:pStyle w:val="Textonotapie"/>
        <w:ind w:firstLine="709"/>
        <w:jc w:val="both"/>
        <w:rPr>
          <w:rFonts w:ascii="Verdana" w:hAnsi="Verdana"/>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Este artículo fue declarado exequible por la Corte Constitucional mediante la Sentencia C-671 de 1999, M.P. Alfredo Beltrán Sierra.</w:t>
      </w:r>
    </w:p>
  </w:footnote>
  <w:footnote w:id="4">
    <w:p w14:paraId="4D8F5C04" w14:textId="77777777" w:rsidR="00452129" w:rsidRPr="00EE5AEC" w:rsidRDefault="00452129" w:rsidP="00452129">
      <w:pPr>
        <w:pStyle w:val="Textonotapie"/>
        <w:ind w:firstLine="709"/>
        <w:jc w:val="both"/>
        <w:rPr>
          <w:rFonts w:ascii="Verdana" w:hAnsi="Verdana" w:cs="Arial"/>
          <w:sz w:val="18"/>
          <w:szCs w:val="18"/>
        </w:rPr>
      </w:pPr>
    </w:p>
    <w:p w14:paraId="0FC9E8E3"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Consejo de Estado, Sala de lo Contencioso Administrativo, Sección Tercera, sentencia de 23 de junio de 2010, exp.17860.</w:t>
      </w:r>
    </w:p>
  </w:footnote>
  <w:footnote w:id="5">
    <w:p w14:paraId="4FF8015D"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Santos Rodríguez, Jorge Enrique. </w:t>
      </w:r>
      <w:r w:rsidRPr="00EE5AEC">
        <w:rPr>
          <w:rFonts w:ascii="Verdana" w:hAnsi="Verdana" w:cs="Arial"/>
          <w:i/>
          <w:iCs/>
          <w:sz w:val="18"/>
          <w:szCs w:val="18"/>
        </w:rPr>
        <w:t>“Consideraciones sobre los convenios y contratos interadministrativos”</w:t>
      </w:r>
      <w:r w:rsidRPr="00EE5AEC">
        <w:rPr>
          <w:rFonts w:ascii="Verdana" w:hAnsi="Verdana" w:cs="Arial"/>
          <w:sz w:val="18"/>
          <w:szCs w:val="18"/>
        </w:rPr>
        <w:t>. Universidad Externado de Colombia, Revista Digital de Derecho Administrativo, Bogotá 2009.</w:t>
      </w:r>
    </w:p>
  </w:footnote>
  <w:footnote w:id="6">
    <w:p w14:paraId="78592FC3"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Sobre el concepto causalista de contrato y sus efectos respecto de la actividad negocial de la administración, cfr. Augusto Ramón Chávez Marín Los convenios de la administración: entre la gestión pública y la actividad negocial, Bogotá, Universidad del Rosario, 2008, pp. 41 y ss.</w:t>
      </w:r>
    </w:p>
  </w:footnote>
  <w:footnote w:id="7">
    <w:p w14:paraId="108A4A06" w14:textId="77777777" w:rsidR="00452129" w:rsidRPr="00EE5AEC" w:rsidRDefault="00452129" w:rsidP="00452129">
      <w:pPr>
        <w:pStyle w:val="Textonotapie"/>
        <w:ind w:firstLine="709"/>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Expósito Vélez, Juan Carlos. </w:t>
      </w:r>
      <w:r w:rsidRPr="00EE5AEC">
        <w:rPr>
          <w:rFonts w:ascii="Verdana" w:hAnsi="Verdana" w:cs="Arial"/>
          <w:i/>
          <w:iCs/>
          <w:sz w:val="18"/>
          <w:szCs w:val="18"/>
        </w:rPr>
        <w:t>“La configuración del contrato de la administración pública en derecho colombiano y español”</w:t>
      </w:r>
      <w:r w:rsidRPr="00EE5AEC">
        <w:rPr>
          <w:rFonts w:ascii="Verdana" w:hAnsi="Verdana" w:cs="Arial"/>
          <w:sz w:val="18"/>
          <w:szCs w:val="18"/>
        </w:rPr>
        <w:t>. Bogotá, universidad Externado de Colombia, 2003, p. 25.</w:t>
      </w:r>
    </w:p>
  </w:footnote>
  <w:footnote w:id="8">
    <w:p w14:paraId="24467729" w14:textId="77777777" w:rsidR="00452129" w:rsidRPr="00EE5AEC" w:rsidRDefault="00452129" w:rsidP="00452129">
      <w:pPr>
        <w:pStyle w:val="Textonotapie"/>
        <w:ind w:firstLine="709"/>
        <w:jc w:val="both"/>
        <w:rPr>
          <w:rFonts w:ascii="Verdana" w:hAnsi="Verdana"/>
          <w:sz w:val="18"/>
          <w:szCs w:val="18"/>
          <w:lang w:val="es-CO"/>
        </w:rPr>
      </w:pPr>
      <w:r w:rsidRPr="00EE5AEC">
        <w:rPr>
          <w:rStyle w:val="Refdenotaalpie"/>
          <w:rFonts w:ascii="Verdana" w:hAnsi="Verdana"/>
          <w:sz w:val="18"/>
          <w:szCs w:val="18"/>
        </w:rPr>
        <w:footnoteRef/>
      </w:r>
      <w:r w:rsidRPr="00EE5AEC">
        <w:rPr>
          <w:rFonts w:ascii="Verdana" w:hAnsi="Verdana"/>
          <w:sz w:val="18"/>
          <w:szCs w:val="18"/>
        </w:rPr>
        <w:t xml:space="preserve"> </w:t>
      </w:r>
      <w:r w:rsidRPr="00EE5AEC">
        <w:rPr>
          <w:rFonts w:ascii="Verdana" w:hAnsi="Verdana" w:cs="Arial"/>
          <w:sz w:val="18"/>
          <w:szCs w:val="18"/>
        </w:rPr>
        <w:t xml:space="preserve">Consejo de Estado -Sección Tercera-. Sentencia del </w:t>
      </w:r>
      <w:r w:rsidRPr="00EE5AEC">
        <w:rPr>
          <w:rFonts w:ascii="Verdana" w:hAnsi="Verdana" w:cs="Arial"/>
          <w:bCs/>
          <w:iCs/>
          <w:sz w:val="18"/>
          <w:szCs w:val="18"/>
        </w:rPr>
        <w:t>21 de febrero de 2025. Radicación Número: 68.280. CP: José Roberto Sáchica Méndez.</w:t>
      </w:r>
    </w:p>
  </w:footnote>
  <w:footnote w:id="9">
    <w:p w14:paraId="3E563577" w14:textId="77777777" w:rsidR="00452129" w:rsidRPr="00EE5AEC" w:rsidRDefault="00452129" w:rsidP="00452129">
      <w:pPr>
        <w:ind w:firstLine="708"/>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Consejo de Estado. Sala de Consulta y Servicio Civil. Concepto 26 de julio de 2016. Exp. 2.257. C.P. Álvaro Namén Vargas.</w:t>
      </w:r>
    </w:p>
  </w:footnote>
  <w:footnote w:id="10">
    <w:p w14:paraId="0C4DDA58" w14:textId="77777777" w:rsidR="00452129" w:rsidRPr="00EE5AEC" w:rsidRDefault="00452129" w:rsidP="00452129">
      <w:pPr>
        <w:ind w:firstLine="708"/>
        <w:contextualSpacing/>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[Referencia propia de la cita] «CE. SCSC. Concepto de 1 de noviembre de 2016 [Rad. 11001-03-06-000-2016-00125-00(2305)]. MP. Germán Alberto Bula Escobar».</w:t>
      </w:r>
    </w:p>
    <w:p w14:paraId="21BE19B8" w14:textId="77777777" w:rsidR="00452129" w:rsidRPr="00EE5AEC" w:rsidRDefault="00452129" w:rsidP="00452129">
      <w:pPr>
        <w:ind w:firstLine="708"/>
        <w:contextualSpacing/>
        <w:jc w:val="both"/>
        <w:rPr>
          <w:rFonts w:ascii="Verdana" w:hAnsi="Verdana" w:cs="Arial"/>
          <w:sz w:val="18"/>
          <w:szCs w:val="18"/>
        </w:rPr>
      </w:pPr>
    </w:p>
  </w:footnote>
  <w:footnote w:id="11">
    <w:p w14:paraId="14ED60B8" w14:textId="77777777" w:rsidR="00452129" w:rsidRPr="00EE5AEC" w:rsidRDefault="00452129" w:rsidP="00452129">
      <w:pPr>
        <w:ind w:firstLine="708"/>
        <w:contextualSpacing/>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[Referencia propia de la cita] «CE. SCSC. Concepto de 30 de abril de 2008 [Rad. 11001-03-06-000-2008-00013-00(1881)]. MP. Enrique José Arboleda Perdomo. En esta oportunidad, la Sala indicó que el contenido </w:t>
      </w:r>
      <w:r w:rsidRPr="00EE5AEC">
        <w:rPr>
          <w:rFonts w:ascii="Verdana" w:hAnsi="Verdana" w:cs="Arial"/>
          <w:i/>
          <w:sz w:val="18"/>
          <w:szCs w:val="18"/>
        </w:rPr>
        <w:t>“obligacional”</w:t>
      </w:r>
      <w:r w:rsidRPr="00EE5AEC">
        <w:rPr>
          <w:rFonts w:ascii="Verdana" w:hAnsi="Verdana" w:cs="Arial"/>
          <w:sz w:val="18"/>
          <w:szCs w:val="18"/>
        </w:rPr>
        <w:t xml:space="preserve"> de los convenios se estructura definiendo el resultado querido por las partes y los medios que cada entidad despliega para la obtención del respectivo objeto».</w:t>
      </w:r>
    </w:p>
  </w:footnote>
  <w:footnote w:id="12">
    <w:p w14:paraId="71A42126" w14:textId="77777777" w:rsidR="00452129" w:rsidRPr="00EE5AEC" w:rsidRDefault="00452129" w:rsidP="00452129">
      <w:pPr>
        <w:spacing w:line="240" w:lineRule="auto"/>
        <w:ind w:firstLine="709"/>
        <w:contextualSpacing/>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[Referencia propia de la cita] «La normativa vigente del EGCAP </w:t>
      </w:r>
      <w:r w:rsidRPr="00EE5AEC">
        <w:rPr>
          <w:rFonts w:ascii="Verdana" w:hAnsi="Verdana" w:cs="Arial"/>
          <w:i/>
          <w:sz w:val="18"/>
          <w:szCs w:val="18"/>
        </w:rPr>
        <w:t>[literal c) del numeral 4. del artículo 2 de la Ley 1150/07]</w:t>
      </w:r>
      <w:r w:rsidRPr="00EE5AEC">
        <w:rPr>
          <w:rFonts w:ascii="Verdana" w:hAnsi="Verdana" w:cs="Arial"/>
          <w:sz w:val="18"/>
          <w:szCs w:val="18"/>
        </w:rPr>
        <w:t xml:space="preserve"> se refiere a </w:t>
      </w:r>
      <w:r w:rsidRPr="00EE5AEC">
        <w:rPr>
          <w:rFonts w:ascii="Verdana" w:hAnsi="Verdana" w:cs="Arial"/>
          <w:i/>
          <w:sz w:val="18"/>
          <w:szCs w:val="18"/>
        </w:rPr>
        <w:t>“contratos interadministrativos”</w:t>
      </w:r>
      <w:r w:rsidRPr="00EE5AEC">
        <w:rPr>
          <w:rFonts w:ascii="Verdana" w:hAnsi="Verdana" w:cs="Arial"/>
          <w:sz w:val="18"/>
          <w:szCs w:val="18"/>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3">
    <w:p w14:paraId="40989262" w14:textId="77777777" w:rsidR="00452129" w:rsidRPr="00EE5AEC" w:rsidRDefault="00452129" w:rsidP="00452129">
      <w:pPr>
        <w:pStyle w:val="Textonotapie"/>
        <w:ind w:firstLine="709"/>
        <w:jc w:val="both"/>
        <w:rPr>
          <w:rFonts w:ascii="Verdana" w:hAnsi="Verdana" w:cs="Arial"/>
          <w:sz w:val="18"/>
          <w:szCs w:val="18"/>
          <w:lang w:val="es-ES"/>
        </w:rPr>
      </w:pPr>
      <w:r w:rsidRPr="00EE5AEC">
        <w:rPr>
          <w:rStyle w:val="Refdenotaalpie"/>
          <w:rFonts w:ascii="Verdana" w:hAnsi="Verdana" w:cs="Arial"/>
          <w:sz w:val="18"/>
          <w:szCs w:val="18"/>
        </w:rPr>
        <w:footnoteRef/>
      </w:r>
      <w:r w:rsidRPr="00EE5AEC">
        <w:rPr>
          <w:rFonts w:ascii="Verdana" w:hAnsi="Verdana" w:cs="Arial"/>
          <w:sz w:val="18"/>
          <w:szCs w:val="18"/>
        </w:rPr>
        <w:t xml:space="preserve"> En sentido similar </w:t>
      </w:r>
      <w:r w:rsidRPr="00EE5AEC">
        <w:rPr>
          <w:rFonts w:ascii="Verdana" w:hAnsi="Verdana" w:cs="Arial"/>
          <w:sz w:val="18"/>
          <w:szCs w:val="18"/>
          <w:lang w:val="es-ES"/>
        </w:rPr>
        <w:t xml:space="preserve">ver, entre otras, al 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3834A2E0" w14:textId="77777777" w:rsidR="00452129" w:rsidRPr="00EE5AEC" w:rsidRDefault="00452129" w:rsidP="00452129">
      <w:pPr>
        <w:pStyle w:val="Textonotapie"/>
        <w:ind w:firstLine="709"/>
        <w:jc w:val="both"/>
        <w:rPr>
          <w:rFonts w:ascii="Verdana" w:hAnsi="Verdana" w:cs="Arial"/>
          <w:sz w:val="18"/>
          <w:szCs w:val="18"/>
          <w:lang w:val="es-ES"/>
        </w:rPr>
      </w:pPr>
    </w:p>
  </w:footnote>
  <w:footnote w:id="14">
    <w:p w14:paraId="56594D15" w14:textId="77777777" w:rsidR="00452129" w:rsidRPr="00EE5AEC" w:rsidRDefault="00452129" w:rsidP="00452129">
      <w:pPr>
        <w:pStyle w:val="Textonotapie"/>
        <w:ind w:firstLine="708"/>
        <w:jc w:val="both"/>
        <w:rPr>
          <w:rFonts w:ascii="Verdana" w:hAnsi="Verdana"/>
          <w:sz w:val="18"/>
          <w:szCs w:val="18"/>
        </w:rPr>
      </w:pPr>
      <w:r w:rsidRPr="00EE5AEC">
        <w:rPr>
          <w:rStyle w:val="Refdenotaalpie"/>
          <w:rFonts w:ascii="Verdana" w:hAnsi="Verdana"/>
          <w:sz w:val="18"/>
          <w:szCs w:val="18"/>
        </w:rPr>
        <w:footnoteRef/>
      </w:r>
      <w:r w:rsidRPr="00EE5AEC">
        <w:rPr>
          <w:rFonts w:ascii="Verdana" w:hAnsi="Verdana"/>
          <w:sz w:val="18"/>
          <w:szCs w:val="18"/>
        </w:rPr>
        <w:t xml:space="preserve"> Sala</w:t>
      </w:r>
      <w:r w:rsidRPr="00EE5AEC">
        <w:rPr>
          <w:rFonts w:ascii="Verdana" w:hAnsi="Verdana"/>
          <w:spacing w:val="4"/>
          <w:sz w:val="18"/>
          <w:szCs w:val="18"/>
        </w:rPr>
        <w:t xml:space="preserve"> </w:t>
      </w:r>
      <w:r w:rsidRPr="00EE5AEC">
        <w:rPr>
          <w:rFonts w:ascii="Verdana" w:hAnsi="Verdana"/>
          <w:sz w:val="18"/>
          <w:szCs w:val="18"/>
        </w:rPr>
        <w:t>Plena</w:t>
      </w:r>
      <w:r w:rsidRPr="00EE5AEC">
        <w:rPr>
          <w:rFonts w:ascii="Verdana" w:hAnsi="Verdana"/>
          <w:spacing w:val="4"/>
          <w:sz w:val="18"/>
          <w:szCs w:val="18"/>
        </w:rPr>
        <w:t xml:space="preserve"> </w:t>
      </w:r>
      <w:r w:rsidRPr="00EE5AEC">
        <w:rPr>
          <w:rFonts w:ascii="Verdana" w:hAnsi="Verdana"/>
          <w:sz w:val="18"/>
          <w:szCs w:val="18"/>
        </w:rPr>
        <w:t>de</w:t>
      </w:r>
      <w:r w:rsidRPr="00EE5AEC">
        <w:rPr>
          <w:rFonts w:ascii="Verdana" w:hAnsi="Verdana"/>
          <w:spacing w:val="3"/>
          <w:sz w:val="18"/>
          <w:szCs w:val="18"/>
        </w:rPr>
        <w:t xml:space="preserve"> </w:t>
      </w:r>
      <w:r w:rsidRPr="00EE5AEC">
        <w:rPr>
          <w:rFonts w:ascii="Verdana" w:hAnsi="Verdana"/>
          <w:sz w:val="18"/>
          <w:szCs w:val="18"/>
        </w:rPr>
        <w:t>lo</w:t>
      </w:r>
      <w:r w:rsidRPr="00EE5AEC">
        <w:rPr>
          <w:rFonts w:ascii="Verdana" w:hAnsi="Verdana"/>
          <w:spacing w:val="2"/>
          <w:sz w:val="18"/>
          <w:szCs w:val="18"/>
        </w:rPr>
        <w:t xml:space="preserve"> </w:t>
      </w:r>
      <w:r w:rsidRPr="00EE5AEC">
        <w:rPr>
          <w:rFonts w:ascii="Verdana" w:hAnsi="Verdana"/>
          <w:sz w:val="18"/>
          <w:szCs w:val="18"/>
        </w:rPr>
        <w:t>Contencioso</w:t>
      </w:r>
      <w:r w:rsidRPr="00EE5AEC">
        <w:rPr>
          <w:rFonts w:ascii="Verdana" w:hAnsi="Verdana"/>
          <w:spacing w:val="5"/>
          <w:sz w:val="18"/>
          <w:szCs w:val="18"/>
        </w:rPr>
        <w:t xml:space="preserve"> </w:t>
      </w:r>
      <w:r w:rsidRPr="00EE5AEC">
        <w:rPr>
          <w:rFonts w:ascii="Verdana" w:hAnsi="Verdana"/>
          <w:sz w:val="18"/>
          <w:szCs w:val="18"/>
        </w:rPr>
        <w:t>Administrativa</w:t>
      </w:r>
      <w:r w:rsidRPr="00EE5AEC">
        <w:rPr>
          <w:rFonts w:ascii="Verdana" w:hAnsi="Verdana"/>
          <w:spacing w:val="6"/>
          <w:sz w:val="18"/>
          <w:szCs w:val="18"/>
        </w:rPr>
        <w:t xml:space="preserve"> </w:t>
      </w:r>
      <w:r w:rsidRPr="00EE5AEC">
        <w:rPr>
          <w:rFonts w:ascii="Verdana" w:hAnsi="Verdana"/>
          <w:sz w:val="18"/>
          <w:szCs w:val="18"/>
        </w:rPr>
        <w:t>del</w:t>
      </w:r>
      <w:r w:rsidRPr="00EE5AEC">
        <w:rPr>
          <w:rFonts w:ascii="Verdana" w:hAnsi="Verdana"/>
          <w:spacing w:val="2"/>
          <w:sz w:val="18"/>
          <w:szCs w:val="18"/>
        </w:rPr>
        <w:t xml:space="preserve"> </w:t>
      </w:r>
      <w:r w:rsidRPr="00EE5AEC">
        <w:rPr>
          <w:rFonts w:ascii="Verdana" w:hAnsi="Verdana"/>
          <w:sz w:val="18"/>
          <w:szCs w:val="18"/>
        </w:rPr>
        <w:t>Consejo</w:t>
      </w:r>
      <w:r w:rsidRPr="00EE5AEC">
        <w:rPr>
          <w:rFonts w:ascii="Verdana" w:hAnsi="Verdana"/>
          <w:spacing w:val="4"/>
          <w:sz w:val="18"/>
          <w:szCs w:val="18"/>
        </w:rPr>
        <w:t xml:space="preserve"> </w:t>
      </w:r>
      <w:r w:rsidRPr="00EE5AEC">
        <w:rPr>
          <w:rFonts w:ascii="Verdana" w:hAnsi="Verdana"/>
          <w:sz w:val="18"/>
          <w:szCs w:val="18"/>
        </w:rPr>
        <w:t>de</w:t>
      </w:r>
      <w:r w:rsidRPr="00EE5AEC">
        <w:rPr>
          <w:rFonts w:ascii="Verdana" w:hAnsi="Verdana"/>
          <w:spacing w:val="3"/>
          <w:sz w:val="18"/>
          <w:szCs w:val="18"/>
        </w:rPr>
        <w:t xml:space="preserve"> </w:t>
      </w:r>
      <w:r w:rsidRPr="00EE5AEC">
        <w:rPr>
          <w:rFonts w:ascii="Verdana" w:hAnsi="Verdana"/>
          <w:sz w:val="18"/>
          <w:szCs w:val="18"/>
        </w:rPr>
        <w:t>Estado,</w:t>
      </w:r>
      <w:r w:rsidRPr="00EE5AEC">
        <w:rPr>
          <w:rFonts w:ascii="Verdana" w:hAnsi="Verdana"/>
          <w:spacing w:val="4"/>
          <w:sz w:val="18"/>
          <w:szCs w:val="18"/>
        </w:rPr>
        <w:t xml:space="preserve"> </w:t>
      </w:r>
      <w:r w:rsidRPr="00EE5AEC">
        <w:rPr>
          <w:rFonts w:ascii="Verdana" w:hAnsi="Verdana"/>
          <w:sz w:val="18"/>
          <w:szCs w:val="18"/>
        </w:rPr>
        <w:t>Sentencia</w:t>
      </w:r>
      <w:r w:rsidRPr="00EE5AEC">
        <w:rPr>
          <w:rFonts w:ascii="Verdana" w:hAnsi="Verdana"/>
          <w:spacing w:val="4"/>
          <w:sz w:val="18"/>
          <w:szCs w:val="18"/>
        </w:rPr>
        <w:t xml:space="preserve"> </w:t>
      </w:r>
      <w:r w:rsidRPr="00EE5AEC">
        <w:rPr>
          <w:rFonts w:ascii="Verdana" w:hAnsi="Verdana"/>
          <w:sz w:val="18"/>
          <w:szCs w:val="18"/>
        </w:rPr>
        <w:t>del</w:t>
      </w:r>
      <w:r w:rsidRPr="00EE5AEC">
        <w:rPr>
          <w:rFonts w:ascii="Verdana" w:hAnsi="Verdana"/>
          <w:spacing w:val="3"/>
          <w:sz w:val="18"/>
          <w:szCs w:val="18"/>
        </w:rPr>
        <w:t xml:space="preserve"> </w:t>
      </w:r>
      <w:r w:rsidRPr="00EE5AEC">
        <w:rPr>
          <w:rFonts w:ascii="Verdana" w:hAnsi="Verdana"/>
          <w:sz w:val="18"/>
          <w:szCs w:val="18"/>
        </w:rPr>
        <w:t>3</w:t>
      </w:r>
      <w:r w:rsidRPr="00EE5AEC">
        <w:rPr>
          <w:rFonts w:ascii="Verdana" w:hAnsi="Verdana"/>
          <w:spacing w:val="3"/>
          <w:sz w:val="18"/>
          <w:szCs w:val="18"/>
        </w:rPr>
        <w:t xml:space="preserve"> </w:t>
      </w:r>
      <w:r w:rsidRPr="00EE5AEC">
        <w:rPr>
          <w:rFonts w:ascii="Verdana" w:hAnsi="Verdana"/>
          <w:sz w:val="18"/>
          <w:szCs w:val="18"/>
        </w:rPr>
        <w:t>de</w:t>
      </w:r>
      <w:r w:rsidRPr="00EE5AEC">
        <w:rPr>
          <w:rFonts w:ascii="Verdana" w:hAnsi="Verdana"/>
          <w:spacing w:val="3"/>
          <w:sz w:val="18"/>
          <w:szCs w:val="18"/>
        </w:rPr>
        <w:t xml:space="preserve"> </w:t>
      </w:r>
      <w:r w:rsidRPr="00EE5AEC">
        <w:rPr>
          <w:rFonts w:ascii="Verdana" w:hAnsi="Verdana"/>
          <w:sz w:val="18"/>
          <w:szCs w:val="18"/>
        </w:rPr>
        <w:t>octubre</w:t>
      </w:r>
      <w:r w:rsidRPr="00EE5AEC">
        <w:rPr>
          <w:rFonts w:ascii="Verdana" w:hAnsi="Verdana"/>
          <w:spacing w:val="3"/>
          <w:sz w:val="18"/>
          <w:szCs w:val="18"/>
        </w:rPr>
        <w:t xml:space="preserve"> </w:t>
      </w:r>
      <w:r w:rsidRPr="00EE5AEC">
        <w:rPr>
          <w:rFonts w:ascii="Verdana" w:hAnsi="Verdana"/>
          <w:sz w:val="18"/>
          <w:szCs w:val="18"/>
        </w:rPr>
        <w:t>de</w:t>
      </w:r>
      <w:r w:rsidRPr="00EE5AEC">
        <w:rPr>
          <w:rFonts w:ascii="Verdana" w:hAnsi="Verdana"/>
          <w:spacing w:val="1"/>
          <w:sz w:val="18"/>
          <w:szCs w:val="18"/>
        </w:rPr>
        <w:t xml:space="preserve"> </w:t>
      </w:r>
      <w:r w:rsidRPr="00EE5AEC">
        <w:rPr>
          <w:rFonts w:ascii="Verdana" w:hAnsi="Verdana"/>
          <w:sz w:val="18"/>
          <w:szCs w:val="18"/>
        </w:rPr>
        <w:t>2000,</w:t>
      </w:r>
      <w:r w:rsidRPr="00EE5AEC">
        <w:rPr>
          <w:rFonts w:ascii="Verdana" w:hAnsi="Verdana"/>
          <w:spacing w:val="-3"/>
          <w:sz w:val="18"/>
          <w:szCs w:val="18"/>
        </w:rPr>
        <w:t xml:space="preserve"> </w:t>
      </w:r>
      <w:r w:rsidRPr="00EE5AEC">
        <w:rPr>
          <w:rFonts w:ascii="Verdana" w:hAnsi="Verdana"/>
          <w:sz w:val="18"/>
          <w:szCs w:val="18"/>
        </w:rPr>
        <w:t>expedientes</w:t>
      </w:r>
      <w:r w:rsidRPr="00EE5AEC">
        <w:rPr>
          <w:rFonts w:ascii="Verdana" w:hAnsi="Verdana"/>
          <w:spacing w:val="-2"/>
          <w:sz w:val="18"/>
          <w:szCs w:val="18"/>
        </w:rPr>
        <w:t xml:space="preserve"> </w:t>
      </w:r>
      <w:r w:rsidRPr="00EE5AEC">
        <w:rPr>
          <w:rFonts w:ascii="Verdana" w:hAnsi="Verdana"/>
          <w:sz w:val="18"/>
          <w:szCs w:val="18"/>
        </w:rPr>
        <w:t>AC-10529</w:t>
      </w:r>
      <w:r w:rsidRPr="00EE5AEC">
        <w:rPr>
          <w:rFonts w:ascii="Verdana" w:hAnsi="Verdana"/>
          <w:spacing w:val="-2"/>
          <w:sz w:val="18"/>
          <w:szCs w:val="18"/>
        </w:rPr>
        <w:t xml:space="preserve"> </w:t>
      </w:r>
      <w:r w:rsidRPr="00EE5AEC">
        <w:rPr>
          <w:rFonts w:ascii="Verdana" w:hAnsi="Verdana"/>
          <w:sz w:val="18"/>
          <w:szCs w:val="18"/>
        </w:rPr>
        <w:t>y</w:t>
      </w:r>
      <w:r w:rsidRPr="00EE5AEC">
        <w:rPr>
          <w:rFonts w:ascii="Verdana" w:hAnsi="Verdana"/>
          <w:spacing w:val="-2"/>
          <w:sz w:val="18"/>
          <w:szCs w:val="18"/>
        </w:rPr>
        <w:t xml:space="preserve"> </w:t>
      </w:r>
      <w:r w:rsidRPr="00EE5AEC">
        <w:rPr>
          <w:rFonts w:ascii="Verdana" w:hAnsi="Verdana"/>
          <w:sz w:val="18"/>
          <w:szCs w:val="18"/>
        </w:rPr>
        <w:t>AC-10968</w:t>
      </w:r>
      <w:r w:rsidRPr="00EE5AEC">
        <w:rPr>
          <w:rFonts w:ascii="Verdana" w:hAnsi="Verdana"/>
          <w:spacing w:val="-2"/>
          <w:sz w:val="18"/>
          <w:szCs w:val="18"/>
        </w:rPr>
        <w:t xml:space="preserve"> </w:t>
      </w:r>
      <w:r w:rsidRPr="00EE5AEC">
        <w:rPr>
          <w:rFonts w:ascii="Verdana" w:hAnsi="Verdana"/>
          <w:sz w:val="18"/>
          <w:szCs w:val="18"/>
        </w:rPr>
        <w:t>con</w:t>
      </w:r>
      <w:r w:rsidRPr="00EE5AEC">
        <w:rPr>
          <w:rFonts w:ascii="Verdana" w:hAnsi="Verdana"/>
          <w:spacing w:val="-2"/>
          <w:sz w:val="18"/>
          <w:szCs w:val="18"/>
        </w:rPr>
        <w:t xml:space="preserve"> </w:t>
      </w:r>
      <w:r w:rsidRPr="00EE5AEC">
        <w:rPr>
          <w:rFonts w:ascii="Verdana" w:hAnsi="Verdana"/>
          <w:sz w:val="18"/>
          <w:szCs w:val="18"/>
        </w:rPr>
        <w:t>ponencia</w:t>
      </w:r>
      <w:r w:rsidRPr="00EE5AEC">
        <w:rPr>
          <w:rFonts w:ascii="Verdana" w:hAnsi="Verdana"/>
          <w:spacing w:val="-2"/>
          <w:sz w:val="18"/>
          <w:szCs w:val="18"/>
        </w:rPr>
        <w:t xml:space="preserve"> </w:t>
      </w:r>
      <w:r w:rsidRPr="00EE5AEC">
        <w:rPr>
          <w:rFonts w:ascii="Verdana" w:hAnsi="Verdana"/>
          <w:sz w:val="18"/>
          <w:szCs w:val="18"/>
        </w:rPr>
        <w:t>de</w:t>
      </w:r>
      <w:r w:rsidRPr="00EE5AEC">
        <w:rPr>
          <w:rFonts w:ascii="Verdana" w:hAnsi="Verdana"/>
          <w:spacing w:val="-2"/>
          <w:sz w:val="18"/>
          <w:szCs w:val="18"/>
        </w:rPr>
        <w:t xml:space="preserve"> </w:t>
      </w:r>
      <w:r w:rsidRPr="00EE5AEC">
        <w:rPr>
          <w:rFonts w:ascii="Verdana" w:hAnsi="Verdana"/>
          <w:sz w:val="18"/>
          <w:szCs w:val="18"/>
        </w:rPr>
        <w:t>Darío</w:t>
      </w:r>
      <w:r w:rsidRPr="00EE5AEC">
        <w:rPr>
          <w:rFonts w:ascii="Verdana" w:hAnsi="Verdana"/>
          <w:spacing w:val="-2"/>
          <w:sz w:val="18"/>
          <w:szCs w:val="18"/>
        </w:rPr>
        <w:t xml:space="preserve"> </w:t>
      </w:r>
      <w:r w:rsidRPr="00EE5AEC">
        <w:rPr>
          <w:rFonts w:ascii="Verdana" w:hAnsi="Verdana"/>
          <w:sz w:val="18"/>
          <w:szCs w:val="18"/>
        </w:rPr>
        <w:t>Quiñónez</w:t>
      </w:r>
      <w:r w:rsidRPr="00EE5AEC">
        <w:rPr>
          <w:rFonts w:ascii="Verdana" w:hAnsi="Verdana"/>
          <w:spacing w:val="-2"/>
          <w:sz w:val="18"/>
          <w:szCs w:val="18"/>
        </w:rPr>
        <w:t xml:space="preserve"> </w:t>
      </w:r>
      <w:r w:rsidRPr="00EE5AEC">
        <w:rPr>
          <w:rFonts w:ascii="Verdana" w:hAnsi="Verdana"/>
          <w:sz w:val="18"/>
          <w:szCs w:val="18"/>
        </w:rPr>
        <w:t>Pinilla.</w:t>
      </w:r>
    </w:p>
    <w:p w14:paraId="3AEEF313" w14:textId="77777777" w:rsidR="00452129" w:rsidRPr="00EE5AEC" w:rsidRDefault="00452129" w:rsidP="00452129">
      <w:pPr>
        <w:pStyle w:val="Textonotapie"/>
        <w:ind w:firstLine="708"/>
        <w:jc w:val="both"/>
        <w:rPr>
          <w:rFonts w:ascii="Verdana" w:hAnsi="Verdana"/>
          <w:sz w:val="18"/>
          <w:szCs w:val="18"/>
          <w:lang w:val="es-CO"/>
        </w:rPr>
      </w:pPr>
    </w:p>
  </w:footnote>
  <w:footnote w:id="15">
    <w:p w14:paraId="7BEFEE93" w14:textId="77777777" w:rsidR="00452129" w:rsidRPr="00EE5AEC" w:rsidRDefault="00452129" w:rsidP="00452129">
      <w:pPr>
        <w:pStyle w:val="Textonotapie"/>
        <w:ind w:firstLine="708"/>
        <w:jc w:val="both"/>
        <w:rPr>
          <w:rFonts w:ascii="Verdana" w:hAnsi="Verdana"/>
          <w:sz w:val="18"/>
          <w:szCs w:val="18"/>
        </w:rPr>
      </w:pPr>
      <w:r w:rsidRPr="00EE5AEC">
        <w:rPr>
          <w:rStyle w:val="Refdenotaalpie"/>
          <w:rFonts w:ascii="Verdana" w:hAnsi="Verdana"/>
          <w:sz w:val="18"/>
          <w:szCs w:val="18"/>
        </w:rPr>
        <w:footnoteRef/>
      </w:r>
      <w:r w:rsidRPr="00EE5AEC">
        <w:rPr>
          <w:rFonts w:ascii="Verdana" w:hAnsi="Verdana"/>
          <w:sz w:val="18"/>
          <w:szCs w:val="18"/>
        </w:rPr>
        <w:t xml:space="preserve"> Consejo</w:t>
      </w:r>
      <w:r w:rsidRPr="00EE5AEC">
        <w:rPr>
          <w:rFonts w:ascii="Verdana" w:hAnsi="Verdana"/>
          <w:spacing w:val="-5"/>
          <w:sz w:val="18"/>
          <w:szCs w:val="18"/>
        </w:rPr>
        <w:t xml:space="preserve"> </w:t>
      </w:r>
      <w:r w:rsidRPr="00EE5AEC">
        <w:rPr>
          <w:rFonts w:ascii="Verdana" w:hAnsi="Verdana"/>
          <w:sz w:val="18"/>
          <w:szCs w:val="18"/>
        </w:rPr>
        <w:t>de</w:t>
      </w:r>
      <w:r w:rsidRPr="00EE5AEC">
        <w:rPr>
          <w:rFonts w:ascii="Verdana" w:hAnsi="Verdana"/>
          <w:spacing w:val="-4"/>
          <w:sz w:val="18"/>
          <w:szCs w:val="18"/>
        </w:rPr>
        <w:t xml:space="preserve"> </w:t>
      </w:r>
      <w:r w:rsidRPr="00EE5AEC">
        <w:rPr>
          <w:rFonts w:ascii="Verdana" w:hAnsi="Verdana"/>
          <w:sz w:val="18"/>
          <w:szCs w:val="18"/>
        </w:rPr>
        <w:t>Estado.</w:t>
      </w:r>
      <w:r w:rsidRPr="00EE5AEC">
        <w:rPr>
          <w:rFonts w:ascii="Verdana" w:hAnsi="Verdana"/>
          <w:spacing w:val="-5"/>
          <w:sz w:val="18"/>
          <w:szCs w:val="18"/>
        </w:rPr>
        <w:t xml:space="preserve"> </w:t>
      </w:r>
      <w:r w:rsidRPr="00EE5AEC">
        <w:rPr>
          <w:rFonts w:ascii="Verdana" w:hAnsi="Verdana"/>
          <w:sz w:val="18"/>
          <w:szCs w:val="18"/>
        </w:rPr>
        <w:t>Sentencia</w:t>
      </w:r>
      <w:r w:rsidRPr="00EE5AEC">
        <w:rPr>
          <w:rFonts w:ascii="Verdana" w:hAnsi="Verdana"/>
          <w:spacing w:val="-5"/>
          <w:sz w:val="18"/>
          <w:szCs w:val="18"/>
        </w:rPr>
        <w:t xml:space="preserve"> </w:t>
      </w:r>
      <w:r w:rsidRPr="00EE5AEC">
        <w:rPr>
          <w:rFonts w:ascii="Verdana" w:hAnsi="Verdana"/>
          <w:sz w:val="18"/>
          <w:szCs w:val="18"/>
        </w:rPr>
        <w:t>del</w:t>
      </w:r>
      <w:r w:rsidRPr="00EE5AEC">
        <w:rPr>
          <w:rFonts w:ascii="Verdana" w:hAnsi="Verdana"/>
          <w:spacing w:val="-4"/>
          <w:sz w:val="18"/>
          <w:szCs w:val="18"/>
        </w:rPr>
        <w:t xml:space="preserve"> </w:t>
      </w:r>
      <w:r w:rsidRPr="00EE5AEC">
        <w:rPr>
          <w:rFonts w:ascii="Verdana" w:hAnsi="Verdana"/>
          <w:sz w:val="18"/>
          <w:szCs w:val="18"/>
        </w:rPr>
        <w:t>10</w:t>
      </w:r>
      <w:r w:rsidRPr="00EE5AEC">
        <w:rPr>
          <w:rFonts w:ascii="Verdana" w:hAnsi="Verdana"/>
          <w:spacing w:val="-5"/>
          <w:sz w:val="18"/>
          <w:szCs w:val="18"/>
        </w:rPr>
        <w:t xml:space="preserve"> </w:t>
      </w:r>
      <w:r w:rsidRPr="00EE5AEC">
        <w:rPr>
          <w:rFonts w:ascii="Verdana" w:hAnsi="Verdana"/>
          <w:sz w:val="18"/>
          <w:szCs w:val="18"/>
        </w:rPr>
        <w:t>de</w:t>
      </w:r>
      <w:r w:rsidRPr="00EE5AEC">
        <w:rPr>
          <w:rFonts w:ascii="Verdana" w:hAnsi="Verdana"/>
          <w:spacing w:val="-5"/>
          <w:sz w:val="18"/>
          <w:szCs w:val="18"/>
        </w:rPr>
        <w:t xml:space="preserve"> </w:t>
      </w:r>
      <w:r w:rsidRPr="00EE5AEC">
        <w:rPr>
          <w:rFonts w:ascii="Verdana" w:hAnsi="Verdana"/>
          <w:sz w:val="18"/>
          <w:szCs w:val="18"/>
        </w:rPr>
        <w:t>febrero</w:t>
      </w:r>
      <w:r w:rsidRPr="00EE5AEC">
        <w:rPr>
          <w:rFonts w:ascii="Verdana" w:hAnsi="Verdana"/>
          <w:spacing w:val="-4"/>
          <w:sz w:val="18"/>
          <w:szCs w:val="18"/>
        </w:rPr>
        <w:t xml:space="preserve"> </w:t>
      </w:r>
      <w:r w:rsidRPr="00EE5AEC">
        <w:rPr>
          <w:rFonts w:ascii="Verdana" w:hAnsi="Verdana"/>
          <w:sz w:val="18"/>
          <w:szCs w:val="18"/>
        </w:rPr>
        <w:t>de</w:t>
      </w:r>
      <w:r w:rsidRPr="00EE5AEC">
        <w:rPr>
          <w:rFonts w:ascii="Verdana" w:hAnsi="Verdana"/>
          <w:spacing w:val="-5"/>
          <w:sz w:val="18"/>
          <w:szCs w:val="18"/>
        </w:rPr>
        <w:t xml:space="preserve"> </w:t>
      </w:r>
      <w:r w:rsidRPr="00EE5AEC">
        <w:rPr>
          <w:rFonts w:ascii="Verdana" w:hAnsi="Verdana"/>
          <w:sz w:val="18"/>
          <w:szCs w:val="18"/>
        </w:rPr>
        <w:t>2022.</w:t>
      </w:r>
      <w:r w:rsidRPr="00EE5AEC">
        <w:rPr>
          <w:rFonts w:ascii="Verdana" w:hAnsi="Verdana"/>
          <w:spacing w:val="-4"/>
          <w:sz w:val="18"/>
          <w:szCs w:val="18"/>
        </w:rPr>
        <w:t xml:space="preserve"> </w:t>
      </w:r>
      <w:r w:rsidRPr="00EE5AEC">
        <w:rPr>
          <w:rFonts w:ascii="Verdana" w:hAnsi="Verdana"/>
          <w:sz w:val="18"/>
          <w:szCs w:val="18"/>
        </w:rPr>
        <w:t>MP:</w:t>
      </w:r>
      <w:r w:rsidRPr="00EE5AEC">
        <w:rPr>
          <w:rFonts w:ascii="Verdana" w:hAnsi="Verdana"/>
          <w:spacing w:val="-5"/>
          <w:sz w:val="18"/>
          <w:szCs w:val="18"/>
        </w:rPr>
        <w:t xml:space="preserve"> </w:t>
      </w:r>
      <w:r w:rsidRPr="00EE5AEC">
        <w:rPr>
          <w:rFonts w:ascii="Verdana" w:hAnsi="Verdana"/>
          <w:sz w:val="18"/>
          <w:szCs w:val="18"/>
        </w:rPr>
        <w:t>César</w:t>
      </w:r>
      <w:r w:rsidRPr="00EE5AEC">
        <w:rPr>
          <w:rFonts w:ascii="Verdana" w:hAnsi="Verdana"/>
          <w:spacing w:val="-5"/>
          <w:sz w:val="18"/>
          <w:szCs w:val="18"/>
        </w:rPr>
        <w:t xml:space="preserve"> </w:t>
      </w:r>
      <w:r w:rsidRPr="00EE5AEC">
        <w:rPr>
          <w:rFonts w:ascii="Verdana" w:hAnsi="Verdana"/>
          <w:sz w:val="18"/>
          <w:szCs w:val="18"/>
        </w:rPr>
        <w:t>Palomino</w:t>
      </w:r>
      <w:r w:rsidRPr="00EE5AEC">
        <w:rPr>
          <w:rFonts w:ascii="Verdana" w:hAnsi="Verdana"/>
          <w:spacing w:val="-4"/>
          <w:sz w:val="18"/>
          <w:szCs w:val="18"/>
        </w:rPr>
        <w:t xml:space="preserve"> </w:t>
      </w:r>
      <w:r w:rsidRPr="00EE5AEC">
        <w:rPr>
          <w:rFonts w:ascii="Verdana" w:hAnsi="Verdana"/>
          <w:sz w:val="18"/>
          <w:szCs w:val="18"/>
        </w:rPr>
        <w:t>Cortés.</w:t>
      </w:r>
    </w:p>
    <w:p w14:paraId="3EA072F7" w14:textId="77777777" w:rsidR="00452129" w:rsidRPr="00EE5AEC" w:rsidRDefault="00452129" w:rsidP="00452129">
      <w:pPr>
        <w:pStyle w:val="Textonotapie"/>
        <w:ind w:firstLine="708"/>
        <w:jc w:val="both"/>
        <w:rPr>
          <w:rFonts w:ascii="Verdana" w:hAnsi="Verdana"/>
          <w:sz w:val="18"/>
          <w:szCs w:val="18"/>
          <w:lang w:val="es-CO"/>
        </w:rPr>
      </w:pPr>
    </w:p>
  </w:footnote>
  <w:footnote w:id="16">
    <w:p w14:paraId="2C67476C" w14:textId="77777777" w:rsidR="00452129" w:rsidRPr="00EE5AEC" w:rsidRDefault="00452129" w:rsidP="00452129">
      <w:pPr>
        <w:pStyle w:val="Textonotapie"/>
        <w:ind w:firstLine="708"/>
        <w:jc w:val="both"/>
        <w:rPr>
          <w:rFonts w:ascii="Verdana" w:hAnsi="Verdana"/>
          <w:sz w:val="18"/>
          <w:szCs w:val="18"/>
          <w:lang w:val="es-CO"/>
        </w:rPr>
      </w:pPr>
      <w:r w:rsidRPr="00EE5AEC">
        <w:rPr>
          <w:rStyle w:val="Refdenotaalpie"/>
          <w:rFonts w:ascii="Verdana" w:hAnsi="Verdana"/>
          <w:sz w:val="18"/>
          <w:szCs w:val="18"/>
        </w:rPr>
        <w:footnoteRef/>
      </w:r>
      <w:r w:rsidRPr="00EE5AEC">
        <w:rPr>
          <w:rFonts w:ascii="Verdana" w:hAnsi="Verdana"/>
          <w:sz w:val="18"/>
          <w:szCs w:val="18"/>
        </w:rPr>
        <w:t xml:space="preserve"> De acuerdo con la jurisprudencia, el fraccionamiento “[…] se configura, cuando la administración de manera artificiosa divide la unidad natural del objeto contractual, a fin de seleccionar directamente al contratista cuando debía convocar un proceso de licitación, o para acomodarlo a un proceso menos estricto y riguroso de contratación en defecto del que se imponía seguir atendidos su objeto y cuantía, práctica que riñe con las normas que rigen la contratación estatal, particularmente con los principios de transparencia y de selección objetiva” (CORTE SUPREMA DE JUSTICIA. Sala Especial de Primera Instancia. Sentencia del 17 de marzo de 2022. Rad. 00267. M.P. Ariel Augusto Torres Rojas).  </w:t>
      </w:r>
    </w:p>
  </w:footnote>
  <w:footnote w:id="17">
    <w:p w14:paraId="112BBDF9" w14:textId="77777777" w:rsidR="00452129" w:rsidRPr="00EE5AEC" w:rsidRDefault="00452129" w:rsidP="00452129">
      <w:pPr>
        <w:pStyle w:val="Textonotapie"/>
        <w:ind w:firstLine="708"/>
        <w:jc w:val="both"/>
        <w:rPr>
          <w:rFonts w:ascii="Verdana" w:hAnsi="Verdana"/>
          <w:sz w:val="18"/>
          <w:szCs w:val="18"/>
        </w:rPr>
      </w:pPr>
    </w:p>
    <w:p w14:paraId="5623B4B9" w14:textId="77777777" w:rsidR="00452129" w:rsidRPr="00EE5AEC" w:rsidRDefault="00452129" w:rsidP="00452129">
      <w:pPr>
        <w:pStyle w:val="Textonotapie"/>
        <w:ind w:firstLine="708"/>
        <w:jc w:val="both"/>
        <w:rPr>
          <w:rFonts w:ascii="Verdana" w:hAnsi="Verdana"/>
          <w:sz w:val="18"/>
          <w:szCs w:val="18"/>
          <w:lang w:val="es-CO"/>
        </w:rPr>
      </w:pPr>
      <w:r w:rsidRPr="00EE5AEC">
        <w:rPr>
          <w:rStyle w:val="Refdenotaalpie"/>
          <w:rFonts w:ascii="Verdana" w:hAnsi="Verdana"/>
          <w:sz w:val="18"/>
          <w:szCs w:val="18"/>
        </w:rPr>
        <w:footnoteRef/>
      </w:r>
      <w:r w:rsidRPr="00EE5AEC">
        <w:rPr>
          <w:rFonts w:ascii="Verdana" w:hAnsi="Verdana"/>
          <w:sz w:val="18"/>
          <w:szCs w:val="18"/>
        </w:rPr>
        <w:t xml:space="preserve"> Cfr. CORTE SUPREMA DE JUSTICIA. Sala Especial de Primera Instancia. Sentencia del 23 de marzo de 2006. Rad. 21780. M.P. Edgar Lombana Trujillo.</w:t>
      </w:r>
    </w:p>
  </w:footnote>
  <w:footnote w:id="18">
    <w:p w14:paraId="32D9110C" w14:textId="77777777" w:rsidR="00452129" w:rsidRPr="00EE5AEC" w:rsidRDefault="00452129" w:rsidP="00452129">
      <w:pPr>
        <w:pStyle w:val="Textonotapie"/>
        <w:ind w:left="40" w:firstLine="668"/>
        <w:jc w:val="both"/>
        <w:rPr>
          <w:rFonts w:ascii="Verdana" w:hAnsi="Verdana" w:cs="Arial"/>
          <w:sz w:val="18"/>
          <w:szCs w:val="18"/>
          <w:vertAlign w:val="superscript"/>
        </w:rPr>
      </w:pPr>
    </w:p>
    <w:p w14:paraId="4C6FCC28" w14:textId="77777777" w:rsidR="00452129" w:rsidRPr="00EE5AEC" w:rsidRDefault="00452129" w:rsidP="00452129">
      <w:pPr>
        <w:pStyle w:val="Textonotapie"/>
        <w:ind w:left="40" w:firstLine="668"/>
        <w:jc w:val="both"/>
        <w:rPr>
          <w:rFonts w:ascii="Verdana" w:hAnsi="Verdana" w:cs="Arial"/>
          <w:sz w:val="18"/>
          <w:szCs w:val="18"/>
        </w:rPr>
      </w:pPr>
      <w:r w:rsidRPr="00EE5AEC">
        <w:rPr>
          <w:rFonts w:ascii="Verdana" w:hAnsi="Verdana" w:cs="Arial"/>
          <w:sz w:val="18"/>
          <w:szCs w:val="18"/>
          <w:vertAlign w:val="superscript"/>
        </w:rPr>
        <w:footnoteRef/>
      </w:r>
      <w:r w:rsidRPr="00EE5AEC">
        <w:rPr>
          <w:rFonts w:ascii="Verdana" w:hAnsi="Verdana" w:cs="Arial"/>
          <w:sz w:val="18"/>
          <w:szCs w:val="18"/>
          <w:vertAlign w:val="superscript"/>
        </w:rPr>
        <w:t xml:space="preserve"> </w:t>
      </w:r>
      <w:r w:rsidRPr="00EE5AEC">
        <w:rPr>
          <w:rFonts w:ascii="Verdana" w:hAnsi="Verdana" w:cs="Arial"/>
          <w:sz w:val="18"/>
          <w:szCs w:val="18"/>
        </w:rPr>
        <w:t>Rodríguez Tamayo, Mauricio Fernando. Los contratos estatales, 3 edición, Bogotá, Tirant lo Blanch, 2022. Pág. 370.</w:t>
      </w:r>
    </w:p>
  </w:footnote>
  <w:footnote w:id="19">
    <w:p w14:paraId="77F7E95A" w14:textId="77777777" w:rsidR="00452129" w:rsidRPr="00EE5AEC" w:rsidRDefault="00452129" w:rsidP="00452129">
      <w:pPr>
        <w:pStyle w:val="Textonotapie"/>
        <w:ind w:firstLine="708"/>
        <w:jc w:val="both"/>
        <w:rPr>
          <w:rFonts w:ascii="Verdana" w:hAnsi="Verdana"/>
          <w:sz w:val="18"/>
          <w:szCs w:val="18"/>
        </w:rPr>
      </w:pPr>
      <w:r w:rsidRPr="00EE5AEC">
        <w:rPr>
          <w:rStyle w:val="Refdenotaalpie"/>
          <w:rFonts w:ascii="Verdana" w:hAnsi="Verdana"/>
          <w:sz w:val="18"/>
          <w:szCs w:val="18"/>
        </w:rPr>
        <w:footnoteRef/>
      </w:r>
      <w:r w:rsidRPr="00EE5AEC">
        <w:rPr>
          <w:rFonts w:ascii="Verdana" w:hAnsi="Verdana"/>
          <w:sz w:val="18"/>
          <w:szCs w:val="18"/>
        </w:rPr>
        <w:t>Disponible en este enlace:</w:t>
      </w:r>
    </w:p>
    <w:p w14:paraId="7CC02531" w14:textId="77777777" w:rsidR="00452129" w:rsidRPr="00EE5AEC" w:rsidRDefault="00452129" w:rsidP="00452129">
      <w:pPr>
        <w:pStyle w:val="Textonotapie"/>
        <w:ind w:firstLine="708"/>
        <w:jc w:val="both"/>
        <w:rPr>
          <w:rFonts w:ascii="Verdana" w:hAnsi="Verdana"/>
          <w:sz w:val="18"/>
          <w:szCs w:val="18"/>
          <w:lang w:val="es-CO"/>
        </w:rPr>
      </w:pPr>
      <w:hyperlink r:id="rId1" w:history="1">
        <w:r w:rsidRPr="00EE5AEC">
          <w:rPr>
            <w:rStyle w:val="Hipervnculo"/>
            <w:rFonts w:ascii="Verdana" w:hAnsi="Verdana"/>
            <w:sz w:val="18"/>
            <w:szCs w:val="18"/>
          </w:rPr>
          <w:t>https://www.colombiacompra.gov.co/sites/cce_public/files/cce_documents/guia_para_elaborar_el_plan_anual_de_adquisiciones_0.pdf</w:t>
        </w:r>
      </w:hyperlink>
      <w:r w:rsidRPr="00EE5AEC">
        <w:rPr>
          <w:rFonts w:ascii="Verdana" w:hAnsi="Verdana"/>
          <w:sz w:val="18"/>
          <w:szCs w:val="18"/>
        </w:rPr>
        <w:t xml:space="preserve"> </w:t>
      </w:r>
    </w:p>
  </w:footnote>
  <w:footnote w:id="20">
    <w:p w14:paraId="725FC09C" w14:textId="77777777" w:rsidR="00452129" w:rsidRPr="00EE5AEC" w:rsidRDefault="00452129" w:rsidP="00452129">
      <w:pPr>
        <w:pStyle w:val="Textonotapie"/>
        <w:ind w:firstLine="708"/>
        <w:jc w:val="both"/>
        <w:rPr>
          <w:rFonts w:ascii="Verdana" w:hAnsi="Verdana" w:cs="Arial"/>
          <w:sz w:val="18"/>
          <w:szCs w:val="18"/>
          <w:lang w:val="es-CO"/>
        </w:rPr>
      </w:pPr>
      <w:r w:rsidRPr="00EE5AEC">
        <w:rPr>
          <w:rStyle w:val="Refdenotaalpie"/>
          <w:rFonts w:ascii="Verdana" w:hAnsi="Verdana" w:cs="Arial"/>
          <w:sz w:val="18"/>
          <w:szCs w:val="18"/>
        </w:rPr>
        <w:footnoteRef/>
      </w:r>
      <w:r w:rsidRPr="00EE5AEC">
        <w:rPr>
          <w:rFonts w:ascii="Verdana" w:eastAsia="Calibri" w:hAnsi="Verdana" w:cs="Arial"/>
          <w:sz w:val="18"/>
          <w:szCs w:val="18"/>
        </w:rPr>
        <w:t xml:space="preserve"> Agencia Nacional de Contratación Pública </w:t>
      </w:r>
      <w:r w:rsidRPr="00EE5AEC">
        <w:rPr>
          <w:rFonts w:ascii="Verdana" w:eastAsia="Calibri" w:hAnsi="Verdana" w:cs="Arial"/>
          <w:bCs/>
          <w:sz w:val="18"/>
          <w:szCs w:val="18"/>
        </w:rPr>
        <w:t xml:space="preserve">– </w:t>
      </w:r>
      <w:r w:rsidRPr="00EE5AEC">
        <w:rPr>
          <w:rFonts w:ascii="Verdana" w:eastAsia="Calibri" w:hAnsi="Verdana" w:cs="Arial"/>
          <w:sz w:val="18"/>
          <w:szCs w:val="18"/>
        </w:rPr>
        <w:t>Colombia Compra Eficiente</w:t>
      </w:r>
      <w:r w:rsidRPr="00EE5AEC">
        <w:rPr>
          <w:rFonts w:ascii="Verdana" w:hAnsi="Verdana" w:cs="Arial"/>
          <w:sz w:val="18"/>
          <w:szCs w:val="18"/>
          <w:lang w:val="es-CO"/>
        </w:rPr>
        <w:t xml:space="preserve"> Guía para elaborar el Plan Anual de Adquisiciones. Página 3. </w:t>
      </w:r>
    </w:p>
  </w:footnote>
  <w:footnote w:id="21">
    <w:p w14:paraId="5E6D0B98" w14:textId="77777777" w:rsidR="00452129" w:rsidRPr="00EE5AEC" w:rsidRDefault="00452129" w:rsidP="00452129">
      <w:pPr>
        <w:pStyle w:val="Textonotapie"/>
        <w:ind w:firstLine="708"/>
        <w:jc w:val="both"/>
        <w:rPr>
          <w:rFonts w:ascii="Verdana" w:hAnsi="Verdana" w:cs="Arial"/>
          <w:sz w:val="18"/>
          <w:szCs w:val="18"/>
        </w:rPr>
      </w:pPr>
    </w:p>
    <w:p w14:paraId="1862A7DA" w14:textId="77777777" w:rsidR="00452129" w:rsidRPr="00EE5AEC" w:rsidRDefault="00452129" w:rsidP="00452129">
      <w:pPr>
        <w:pStyle w:val="Textonotapie"/>
        <w:ind w:firstLine="708"/>
        <w:jc w:val="both"/>
        <w:rPr>
          <w:rFonts w:ascii="Verdana" w:hAnsi="Verdana" w:cs="Arial"/>
          <w:sz w:val="18"/>
          <w:szCs w:val="18"/>
          <w:lang w:val="es-ES"/>
        </w:rPr>
      </w:pPr>
      <w:r w:rsidRPr="00EE5AEC">
        <w:rPr>
          <w:rStyle w:val="Refdenotaalpie"/>
          <w:rFonts w:ascii="Verdana" w:hAnsi="Verdana" w:cs="Arial"/>
          <w:sz w:val="18"/>
          <w:szCs w:val="18"/>
        </w:rPr>
        <w:footnoteRef/>
      </w:r>
      <w:r w:rsidRPr="00EE5AEC">
        <w:rPr>
          <w:rFonts w:ascii="Verdana" w:hAnsi="Verdana" w:cs="Arial"/>
          <w:sz w:val="18"/>
          <w:szCs w:val="18"/>
        </w:rPr>
        <w:t xml:space="preserve"> El artículo 74 de la Ley 1474 prescribe: “</w:t>
      </w:r>
      <w:r w:rsidRPr="00EE5AEC">
        <w:rPr>
          <w:rFonts w:ascii="Verdana" w:hAnsi="Verdana" w:cs="Arial"/>
          <w:sz w:val="18"/>
          <w:szCs w:val="18"/>
          <w:lang w:val="es-ES"/>
        </w:rPr>
        <w:t>A partir de la vigencia de la presente ley, todas las entidades del Estado a más tardar el 31 de enero de cada año deberán publicar en su respectiva página web el Plan de Acción para el año siguiente, en el cual se especificarán los objetivos, las estrategias, los proyectos, las metas, los responsables, los planes generales de compras y la distribución presupuestal de sus proyectos de inversión junto a los indicadores de gestión.</w:t>
      </w:r>
    </w:p>
    <w:p w14:paraId="1BCE23AC" w14:textId="77777777" w:rsidR="00452129" w:rsidRPr="00EE5AEC" w:rsidRDefault="00452129" w:rsidP="00452129">
      <w:pPr>
        <w:pStyle w:val="Textonotapie"/>
        <w:ind w:firstLine="708"/>
        <w:jc w:val="both"/>
        <w:rPr>
          <w:rFonts w:ascii="Verdana" w:hAnsi="Verdana" w:cs="Arial"/>
          <w:sz w:val="18"/>
          <w:szCs w:val="18"/>
          <w:lang w:val="es-ES"/>
        </w:rPr>
      </w:pPr>
      <w:r w:rsidRPr="00EE5AEC">
        <w:rPr>
          <w:rFonts w:ascii="Verdana" w:hAnsi="Verdana" w:cs="Arial"/>
          <w:sz w:val="18"/>
          <w:szCs w:val="18"/>
          <w:lang w:val="es-ES"/>
        </w:rPr>
        <w:t>A partir del año siguiente, el Plan de Acción deberá estar acompañado del informe de gestión del año inmediatamente anterior.</w:t>
      </w:r>
    </w:p>
    <w:p w14:paraId="4E3B5048" w14:textId="77777777" w:rsidR="00452129" w:rsidRPr="00EE5AEC" w:rsidRDefault="00452129" w:rsidP="00452129">
      <w:pPr>
        <w:pStyle w:val="Textonotapie"/>
        <w:ind w:firstLine="708"/>
        <w:jc w:val="both"/>
        <w:rPr>
          <w:rFonts w:ascii="Verdana" w:hAnsi="Verdana" w:cs="Arial"/>
          <w:sz w:val="18"/>
          <w:szCs w:val="18"/>
          <w:lang w:val="es-ES"/>
        </w:rPr>
      </w:pPr>
      <w:r w:rsidRPr="00EE5AEC">
        <w:rPr>
          <w:rFonts w:ascii="Verdana" w:hAnsi="Verdana" w:cs="Arial"/>
          <w:sz w:val="18"/>
          <w:szCs w:val="18"/>
          <w:lang w:val="es-ES"/>
        </w:rPr>
        <w:t>Igualmente publicarán por dicho medio su presupuesto debidamente desagregado, así como las modificaciones a este o a su desagregación.</w:t>
      </w:r>
      <w:r w:rsidRPr="00EE5AEC">
        <w:rPr>
          <w:rFonts w:ascii="Verdana" w:hAnsi="Verdana" w:cs="Arial"/>
          <w:sz w:val="18"/>
          <w:szCs w:val="18"/>
          <w:lang w:val="es-ES"/>
        </w:rPr>
        <w:tab/>
      </w:r>
    </w:p>
    <w:p w14:paraId="5483A8FB" w14:textId="77777777" w:rsidR="00452129" w:rsidRPr="00EE5AEC" w:rsidRDefault="00452129" w:rsidP="00452129">
      <w:pPr>
        <w:pStyle w:val="Textonotapie"/>
        <w:ind w:firstLine="708"/>
        <w:jc w:val="both"/>
        <w:rPr>
          <w:rFonts w:ascii="Verdana" w:hAnsi="Verdana" w:cs="Arial"/>
          <w:sz w:val="18"/>
          <w:szCs w:val="18"/>
          <w:lang w:val="es-ES"/>
        </w:rPr>
      </w:pPr>
      <w:r w:rsidRPr="00EE5AEC">
        <w:rPr>
          <w:rFonts w:ascii="Verdana" w:hAnsi="Verdana" w:cs="Arial"/>
          <w:sz w:val="18"/>
          <w:szCs w:val="18"/>
          <w:lang w:val="es-ES"/>
        </w:rPr>
        <w:t>Parágrafo. Las empresas industriales y comerciales del Estado y las Sociedades de Economía Mixta estarán exentas de publicar la información relacionada con sus proyectos de inversión”.</w:t>
      </w:r>
    </w:p>
    <w:p w14:paraId="59F68251" w14:textId="77777777" w:rsidR="00452129" w:rsidRPr="00EE5AEC" w:rsidRDefault="00452129" w:rsidP="00452129">
      <w:pPr>
        <w:pStyle w:val="Textonotapie"/>
        <w:ind w:firstLine="708"/>
        <w:jc w:val="both"/>
        <w:rPr>
          <w:rFonts w:ascii="Verdana" w:hAnsi="Verdana" w:cs="Arial"/>
          <w:sz w:val="18"/>
          <w:szCs w:val="18"/>
          <w:lang w:val="es-ES"/>
        </w:rPr>
      </w:pPr>
    </w:p>
  </w:footnote>
  <w:footnote w:id="22">
    <w:p w14:paraId="60F25529" w14:textId="77777777" w:rsidR="00452129" w:rsidRPr="00EE5AEC" w:rsidRDefault="00452129" w:rsidP="00452129">
      <w:pPr>
        <w:pStyle w:val="Textonotapie"/>
        <w:ind w:firstLine="709"/>
        <w:jc w:val="both"/>
        <w:rPr>
          <w:rFonts w:ascii="Verdana" w:hAnsi="Verdana" w:cs="Arial"/>
          <w:color w:val="000000"/>
          <w:sz w:val="18"/>
          <w:szCs w:val="18"/>
          <w:shd w:val="clear" w:color="auto" w:fill="FFFFFF"/>
        </w:rPr>
      </w:pPr>
      <w:r w:rsidRPr="00EE5AEC">
        <w:rPr>
          <w:rStyle w:val="Refdenotaalpie"/>
          <w:rFonts w:ascii="Verdana" w:hAnsi="Verdana" w:cs="Arial"/>
          <w:color w:val="000000"/>
          <w:sz w:val="18"/>
          <w:szCs w:val="18"/>
        </w:rPr>
        <w:footnoteRef/>
      </w:r>
      <w:r w:rsidRPr="00EE5AEC">
        <w:rPr>
          <w:rFonts w:ascii="Verdana" w:hAnsi="Verdana" w:cs="Arial"/>
          <w:color w:val="000000"/>
          <w:sz w:val="18"/>
          <w:szCs w:val="18"/>
        </w:rPr>
        <w:t xml:space="preserve"> “</w:t>
      </w:r>
      <w:r w:rsidRPr="00EE5AEC">
        <w:rPr>
          <w:rStyle w:val="Fuerte"/>
          <w:rFonts w:ascii="Verdana" w:hAnsi="Verdana" w:cs="Arial"/>
          <w:color w:val="000000"/>
          <w:sz w:val="18"/>
          <w:szCs w:val="18"/>
          <w:shd w:val="clear" w:color="auto" w:fill="FFFFFF"/>
        </w:rPr>
        <w:t>Artículo 2.2.1.1.1.3.1. </w:t>
      </w:r>
      <w:r w:rsidRPr="00EE5AEC">
        <w:rPr>
          <w:rStyle w:val="nfasis"/>
          <w:rFonts w:ascii="Verdana" w:hAnsi="Verdana" w:cs="Arial"/>
          <w:color w:val="000000"/>
          <w:sz w:val="18"/>
          <w:szCs w:val="18"/>
          <w:shd w:val="clear" w:color="auto" w:fill="FFFFFF"/>
        </w:rPr>
        <w:t>Definiciones. </w:t>
      </w:r>
      <w:r w:rsidRPr="00EE5AEC">
        <w:rPr>
          <w:rFonts w:ascii="Verdana" w:hAnsi="Verdana" w:cs="Arial"/>
          <w:color w:val="000000"/>
          <w:sz w:val="18"/>
          <w:szCs w:val="18"/>
          <w:shd w:val="clear" w:color="auto" w:fill="FFFFFF"/>
        </w:rPr>
        <w:t>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4BB9E9C6" w14:textId="77777777" w:rsidR="00452129" w:rsidRPr="00EE5AEC" w:rsidRDefault="00452129" w:rsidP="00452129">
      <w:pPr>
        <w:pStyle w:val="Textonotapie"/>
        <w:ind w:firstLine="709"/>
        <w:jc w:val="both"/>
        <w:rPr>
          <w:rFonts w:ascii="Verdana" w:hAnsi="Verdana" w:cs="Arial"/>
          <w:color w:val="000000"/>
          <w:sz w:val="18"/>
          <w:szCs w:val="18"/>
          <w:shd w:val="clear" w:color="auto" w:fill="FFFFFF"/>
        </w:rPr>
      </w:pPr>
      <w:r w:rsidRPr="00EE5AEC">
        <w:rPr>
          <w:rFonts w:ascii="Verdana" w:hAnsi="Verdana" w:cs="Arial"/>
          <w:color w:val="000000"/>
          <w:sz w:val="18"/>
          <w:szCs w:val="18"/>
          <w:shd w:val="clear" w:color="auto" w:fill="FFFFFF"/>
        </w:rPr>
        <w:t>[…]</w:t>
      </w:r>
    </w:p>
    <w:p w14:paraId="364A2FA4" w14:textId="77777777" w:rsidR="00452129" w:rsidRPr="00EE5AEC" w:rsidRDefault="00452129" w:rsidP="00452129">
      <w:pPr>
        <w:pStyle w:val="NormalWeb"/>
        <w:shd w:val="clear" w:color="auto" w:fill="FFFFFF"/>
        <w:spacing w:before="0" w:beforeAutospacing="0" w:after="0" w:afterAutospacing="0"/>
        <w:ind w:firstLine="709"/>
        <w:jc w:val="both"/>
        <w:rPr>
          <w:rFonts w:ascii="Verdana" w:hAnsi="Verdana" w:cs="Arial"/>
          <w:color w:val="000000"/>
          <w:sz w:val="18"/>
          <w:szCs w:val="18"/>
        </w:rPr>
      </w:pPr>
      <w:r w:rsidRPr="00EE5AEC">
        <w:rPr>
          <w:rStyle w:val="nfasis"/>
          <w:rFonts w:ascii="Verdana" w:hAnsi="Verdana" w:cs="Arial"/>
          <w:color w:val="000000"/>
          <w:sz w:val="18"/>
          <w:szCs w:val="18"/>
        </w:rPr>
        <w:t>Plan Anual de Adquisiciones: </w:t>
      </w:r>
      <w:r w:rsidRPr="00EE5AEC">
        <w:rPr>
          <w:rFonts w:ascii="Verdana" w:hAnsi="Verdana" w:cs="Arial"/>
          <w:color w:val="000000"/>
          <w:sz w:val="18"/>
          <w:szCs w:val="18"/>
        </w:rPr>
        <w:t>Plan general de compras al que se refiere el </w:t>
      </w:r>
      <w:hyperlink r:id="rId2" w:history="1">
        <w:r w:rsidRPr="00EE5AEC">
          <w:rPr>
            <w:rFonts w:ascii="Verdana" w:hAnsi="Verdana" w:cs="Arial"/>
            <w:color w:val="000000"/>
            <w:sz w:val="18"/>
            <w:szCs w:val="18"/>
          </w:rPr>
          <w:t>artículo 74 de la Ley 1474 de 2011</w:t>
        </w:r>
      </w:hyperlink>
      <w:r w:rsidRPr="00EE5AEC">
        <w:rPr>
          <w:rFonts w:ascii="Verdana" w:hAnsi="Verdana" w:cs="Arial"/>
          <w:color w:val="000000"/>
          <w:sz w:val="18"/>
          <w:szCs w:val="18"/>
        </w:rPr>
        <w:t> y el plan de compras al que se refiere la Ley Anual de Presupuesto. Es un instrumento de planeación contractual que las Entidades Estatales deben diligenciar, publicar y actualizar en los términos del presente título”.</w:t>
      </w:r>
    </w:p>
    <w:p w14:paraId="571270D5" w14:textId="77777777" w:rsidR="00452129" w:rsidRPr="00EE5AEC" w:rsidRDefault="00452129" w:rsidP="00452129">
      <w:pPr>
        <w:pStyle w:val="NormalWeb"/>
        <w:shd w:val="clear" w:color="auto" w:fill="FFFFFF"/>
        <w:spacing w:before="0" w:beforeAutospacing="0" w:after="0" w:afterAutospacing="0"/>
        <w:ind w:firstLine="709"/>
        <w:jc w:val="both"/>
        <w:rPr>
          <w:rFonts w:ascii="Verdana" w:hAnsi="Verdana" w:cs="Arial"/>
          <w:color w:val="000000"/>
          <w:sz w:val="18"/>
          <w:szCs w:val="18"/>
        </w:rPr>
      </w:pPr>
    </w:p>
  </w:footnote>
  <w:footnote w:id="23">
    <w:p w14:paraId="797F7571" w14:textId="77777777" w:rsidR="00452129" w:rsidRPr="00EE5AEC" w:rsidRDefault="00452129" w:rsidP="00452129">
      <w:pPr>
        <w:pStyle w:val="Textonotapie"/>
        <w:ind w:firstLine="708"/>
        <w:jc w:val="both"/>
        <w:rPr>
          <w:rFonts w:ascii="Verdana" w:hAnsi="Verdana" w:cs="Arial"/>
          <w:sz w:val="18"/>
          <w:szCs w:val="18"/>
        </w:rPr>
      </w:pPr>
      <w:r w:rsidRPr="00EE5AEC">
        <w:rPr>
          <w:rStyle w:val="Refdenotaalpie"/>
          <w:rFonts w:ascii="Verdana" w:hAnsi="Verdana" w:cs="Arial"/>
          <w:sz w:val="18"/>
          <w:szCs w:val="18"/>
        </w:rPr>
        <w:footnoteRef/>
      </w:r>
      <w:r w:rsidRPr="00EE5AEC">
        <w:rPr>
          <w:rFonts w:ascii="Verdana" w:hAnsi="Verdana" w:cs="Arial"/>
          <w:sz w:val="18"/>
          <w:szCs w:val="18"/>
        </w:rPr>
        <w:t xml:space="preserve"> Decreto 1082 de 2015: “Artículo 2.2.1.1.1.4.3. Publicación del Plan Anual de Adquisiciones.</w:t>
      </w:r>
      <w:r w:rsidRPr="00EE5AEC">
        <w:rPr>
          <w:rFonts w:ascii="Verdana" w:hAnsi="Verdana" w:cs="Arial"/>
          <w:i/>
          <w:iCs/>
          <w:sz w:val="18"/>
          <w:szCs w:val="18"/>
        </w:rPr>
        <w:t> </w:t>
      </w:r>
      <w:r w:rsidRPr="00EE5AEC">
        <w:rPr>
          <w:rFonts w:ascii="Verdana" w:hAnsi="Verdana" w:cs="Arial"/>
          <w:sz w:val="18"/>
          <w:szCs w:val="18"/>
        </w:rPr>
        <w:t>La Entidad Estatal debe publicar su Plan Anual de Adquisiciones y las actualizaciones del mismo en su página web y en el SECOP, en la forma que para el efecto disponga Colombia Compra Eficiente”.</w:t>
      </w:r>
    </w:p>
    <w:p w14:paraId="29C956A1" w14:textId="77777777" w:rsidR="00452129" w:rsidRPr="00EE5AEC" w:rsidRDefault="00452129" w:rsidP="00452129">
      <w:pPr>
        <w:pStyle w:val="Textonotapie"/>
        <w:ind w:firstLine="708"/>
        <w:jc w:val="both"/>
        <w:rPr>
          <w:rFonts w:ascii="Verdana" w:hAnsi="Verdana" w:cs="Arial"/>
          <w:sz w:val="18"/>
          <w:szCs w:val="1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812DBC"/>
    <w:multiLevelType w:val="hybridMultilevel"/>
    <w:tmpl w:val="E452DC22"/>
    <w:lvl w:ilvl="0" w:tplc="4ED23CB8">
      <w:start w:val="1"/>
      <w:numFmt w:val="decimal"/>
      <w:lvlText w:val="%1."/>
      <w:lvlJc w:val="left"/>
      <w:pPr>
        <w:ind w:left="1069" w:hanging="360"/>
      </w:pPr>
      <w:rPr>
        <w:rFonts w:hint="default"/>
        <w:i w:val="0"/>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 w15:restartNumberingAfterBreak="0">
    <w:nsid w:val="137B1B98"/>
    <w:multiLevelType w:val="hybridMultilevel"/>
    <w:tmpl w:val="869A49BE"/>
    <w:lvl w:ilvl="0" w:tplc="70444C90">
      <w:start w:val="1"/>
      <w:numFmt w:val="decimal"/>
      <w:lvlText w:val="%1."/>
      <w:lvlJc w:val="left"/>
      <w:pPr>
        <w:ind w:left="1069" w:hanging="360"/>
      </w:pPr>
      <w:rPr>
        <w:rFonts w:hint="default"/>
        <w:i w:val="0"/>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2"/>
  </w:num>
  <w:num w:numId="2" w16cid:durableId="1916891555">
    <w:abstractNumId w:val="1"/>
  </w:num>
  <w:num w:numId="3" w16cid:durableId="8989035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129"/>
    <w:rsid w:val="00452129"/>
    <w:rsid w:val="0048063A"/>
    <w:rsid w:val="004F18A9"/>
    <w:rsid w:val="005727E1"/>
    <w:rsid w:val="005818E2"/>
    <w:rsid w:val="0086681F"/>
    <w:rsid w:val="008C0F26"/>
    <w:rsid w:val="008E5C2E"/>
    <w:rsid w:val="00924CE1"/>
    <w:rsid w:val="00A518B8"/>
    <w:rsid w:val="00E54FF3"/>
    <w:rsid w:val="00EE5AEC"/>
    <w:rsid w:val="00FF38B1"/>
  </w:rsids>
  <m:mathPr>
    <m:mathFont m:val="Cambria Math"/>
    <m:brkBin m:val="before"/>
    <m:brkBinSub m:val="--"/>
    <m:smallFrac m:val="0"/>
    <m:dispDef/>
    <m:lMargin m:val="0"/>
    <m:rMargin m:val="0"/>
    <m:defJc m:val="centerGroup"/>
    <m:wrapIndent m:val="1440"/>
    <m:intLim m:val="subSup"/>
    <m:naryLim m:val="undOvr"/>
  </m:mathPr>
  <w:themeFontLang w:val="es-C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79ED2B"/>
  <w15:chartTrackingRefBased/>
  <w15:docId w15:val="{8C060719-AB0A-4CF6-953E-B3A83719E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2129"/>
    <w:rPr>
      <w:kern w:val="0"/>
      <w14:ligatures w14:val="none"/>
    </w:rPr>
  </w:style>
  <w:style w:type="paragraph" w:styleId="Ttulo1">
    <w:name w:val="heading 1"/>
    <w:basedOn w:val="Normal"/>
    <w:next w:val="Normal"/>
    <w:link w:val="Ttulo1Car"/>
    <w:uiPriority w:val="9"/>
    <w:qFormat/>
    <w:rsid w:val="004521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521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5212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5212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5212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5212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5212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5212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5212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5212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5212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5212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5212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5212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5212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5212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5212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52129"/>
    <w:rPr>
      <w:rFonts w:eastAsiaTheme="majorEastAsia" w:cstheme="majorBidi"/>
      <w:color w:val="272727" w:themeColor="text1" w:themeTint="D8"/>
    </w:rPr>
  </w:style>
  <w:style w:type="paragraph" w:styleId="Ttulo">
    <w:name w:val="Title"/>
    <w:basedOn w:val="Normal"/>
    <w:next w:val="Normal"/>
    <w:link w:val="TtuloCar"/>
    <w:uiPriority w:val="10"/>
    <w:qFormat/>
    <w:rsid w:val="004521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5212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5212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5212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52129"/>
    <w:pPr>
      <w:spacing w:before="160"/>
      <w:jc w:val="center"/>
    </w:pPr>
    <w:rPr>
      <w:i/>
      <w:iCs/>
      <w:color w:val="404040" w:themeColor="text1" w:themeTint="BF"/>
    </w:rPr>
  </w:style>
  <w:style w:type="character" w:customStyle="1" w:styleId="CitaCar">
    <w:name w:val="Cita Car"/>
    <w:basedOn w:val="Fuentedeprrafopredeter"/>
    <w:link w:val="Cita"/>
    <w:uiPriority w:val="29"/>
    <w:rsid w:val="00452129"/>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452129"/>
    <w:pPr>
      <w:ind w:left="720"/>
      <w:contextualSpacing/>
    </w:pPr>
  </w:style>
  <w:style w:type="character" w:styleId="nfasisintenso">
    <w:name w:val="Intense Emphasis"/>
    <w:basedOn w:val="Fuentedeprrafopredeter"/>
    <w:uiPriority w:val="21"/>
    <w:qFormat/>
    <w:rsid w:val="00452129"/>
    <w:rPr>
      <w:i/>
      <w:iCs/>
      <w:color w:val="0F4761" w:themeColor="accent1" w:themeShade="BF"/>
    </w:rPr>
  </w:style>
  <w:style w:type="paragraph" w:styleId="Citadestacada">
    <w:name w:val="Intense Quote"/>
    <w:basedOn w:val="Normal"/>
    <w:next w:val="Normal"/>
    <w:link w:val="CitadestacadaCar"/>
    <w:uiPriority w:val="30"/>
    <w:qFormat/>
    <w:rsid w:val="004521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52129"/>
    <w:rPr>
      <w:i/>
      <w:iCs/>
      <w:color w:val="0F4761" w:themeColor="accent1" w:themeShade="BF"/>
    </w:rPr>
  </w:style>
  <w:style w:type="character" w:styleId="Referenciaintensa">
    <w:name w:val="Intense Reference"/>
    <w:basedOn w:val="Fuentedeprrafopredeter"/>
    <w:uiPriority w:val="32"/>
    <w:qFormat/>
    <w:rsid w:val="00452129"/>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52129"/>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52129"/>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52129"/>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52129"/>
    <w:rPr>
      <w:vertAlign w:val="superscript"/>
    </w:rPr>
  </w:style>
  <w:style w:type="character" w:customStyle="1" w:styleId="normaltextrun">
    <w:name w:val="normaltextrun"/>
    <w:basedOn w:val="Fuentedeprrafopredeter"/>
    <w:rsid w:val="00452129"/>
  </w:style>
  <w:style w:type="table" w:styleId="Tablaconcuadrcula">
    <w:name w:val="Table Grid"/>
    <w:basedOn w:val="Tablanormal"/>
    <w:uiPriority w:val="39"/>
    <w:qFormat/>
    <w:rsid w:val="004521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52129"/>
    <w:rPr>
      <w:color w:val="0000FF"/>
      <w:u w:val="single"/>
    </w:rPr>
  </w:style>
  <w:style w:type="paragraph" w:styleId="NormalWeb">
    <w:name w:val="Normal (Web)"/>
    <w:basedOn w:val="Normal"/>
    <w:uiPriority w:val="99"/>
    <w:semiHidden/>
    <w:unhideWhenUsed/>
    <w:rsid w:val="00452129"/>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52129"/>
    <w:pPr>
      <w:spacing w:line="240" w:lineRule="exact"/>
    </w:pPr>
    <w:rPr>
      <w:kern w:val="2"/>
      <w:vertAlign w:val="superscript"/>
      <w14:ligatures w14:val="standardContextual"/>
    </w:rPr>
  </w:style>
  <w:style w:type="table" w:customStyle="1" w:styleId="Tablaconcuadrcula11">
    <w:name w:val="Tabla con cuadrícula11"/>
    <w:basedOn w:val="Tablanormal"/>
    <w:next w:val="Tablaconcuadrcula"/>
    <w:uiPriority w:val="59"/>
    <w:qFormat/>
    <w:rsid w:val="0045212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452129"/>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52129"/>
  </w:style>
  <w:style w:type="character" w:styleId="nfasis">
    <w:name w:val="Emphasis"/>
    <w:basedOn w:val="Fuentedeprrafopredeter"/>
    <w:uiPriority w:val="20"/>
    <w:qFormat/>
    <w:rsid w:val="004521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archivos/manual/guia-para-elaborar-el-plan-anual-de-adquisicione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isette.acosta@forpo.gov.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alcaldiabogota.gov.co/sisjur/normas/Norma1.jsp?i=43292" TargetMode="External"/><Relationship Id="rId1" Type="http://schemas.openxmlformats.org/officeDocument/2006/relationships/hyperlink" Target="https://www.colombiacompra.gov.co/sites/cce_public/files/cce_documents/guia_para_elaborar_el_plan_anual_de_adquisiciones_0.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BEE0F47-D521-447C-98A0-8FF5A8CC16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CD09FC-A378-4ECF-9208-BB8906A28EAC}">
  <ds:schemaRefs>
    <ds:schemaRef ds:uri="http://schemas.microsoft.com/sharepoint/v3/contenttype/forms"/>
  </ds:schemaRefs>
</ds:datastoreItem>
</file>

<file path=customXml/itemProps3.xml><?xml version="1.0" encoding="utf-8"?>
<ds:datastoreItem xmlns:ds="http://schemas.openxmlformats.org/officeDocument/2006/customXml" ds:itemID="{6E61AFEC-F100-4C72-8859-31FB0F66BD3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6195</Words>
  <Characters>34077</Characters>
  <Application>Microsoft Office Word</Application>
  <DocSecurity>0</DocSecurity>
  <Lines>283</Lines>
  <Paragraphs>80</Paragraphs>
  <ScaleCrop>false</ScaleCrop>
  <Company/>
  <LinksUpToDate>false</LinksUpToDate>
  <CharactersWithSpaces>40192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Nasly Yeana Mosquera Rivas</dc:creator>
  <cp:keywords/>
  <dc:description/>
  <cp:lastModifiedBy>Nasly Yeana Mosquera Rivas</cp:lastModifiedBy>
  <cp:revision>4</cp:revision>
  <dcterms:created xsi:type="dcterms:W3CDTF">2026-06-03T13:13:00Z</dcterms:created>
  <dcterms:modified xsi:type="dcterms:W3CDTF">2026-06-03T13:14:00Z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