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BDECAC"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bookmarkStart w:id="0" w:name="_Hlk143780582"/>
      <w:r w:rsidRPr="005D3BFD">
        <w:rPr>
          <w:rFonts w:ascii="Verdana" w:eastAsia="Calibri" w:hAnsi="Verdana" w:cs="Arial"/>
          <w:b/>
          <w:bCs/>
          <w:lang w:val="es-ES" w:eastAsia="es-ES_tradnl"/>
        </w:rPr>
        <w:t>REQUISITOS HABILITANTES – Noción</w:t>
      </w:r>
    </w:p>
    <w:p w14:paraId="332D3955" w14:textId="77777777" w:rsidR="00FA669F" w:rsidRPr="005D3BFD" w:rsidRDefault="00FA669F" w:rsidP="00FA669F">
      <w:pPr>
        <w:spacing w:after="0" w:line="240" w:lineRule="auto"/>
        <w:contextualSpacing/>
        <w:jc w:val="both"/>
        <w:rPr>
          <w:rFonts w:ascii="Verdana" w:eastAsia="Calibri" w:hAnsi="Verdana" w:cs="Arial"/>
          <w:color w:val="000000" w:themeColor="text1"/>
          <w:lang w:val="es-ES"/>
        </w:rPr>
      </w:pPr>
    </w:p>
    <w:p w14:paraId="68FD4A38" w14:textId="77777777" w:rsidR="00FA669F" w:rsidRPr="00874757" w:rsidRDefault="00FA669F" w:rsidP="00FA669F">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Los </w:t>
      </w:r>
      <w:r w:rsidRPr="00874757">
        <w:rPr>
          <w:rFonts w:ascii="Verdana" w:eastAsia="Calibri" w:hAnsi="Verdana" w:cs="Arial"/>
          <w:i/>
          <w:iCs/>
          <w:color w:val="000000" w:themeColor="text1"/>
          <w:sz w:val="20"/>
          <w:szCs w:val="20"/>
          <w:lang w:val="es-ES"/>
        </w:rPr>
        <w:t>requisitos habilitantes</w:t>
      </w:r>
      <w:r w:rsidRPr="00874757">
        <w:rPr>
          <w:rFonts w:ascii="Verdana" w:eastAsia="Calibri" w:hAnsi="Verdana" w:cs="Arial"/>
          <w:color w:val="000000" w:themeColor="text1"/>
          <w:sz w:val="20"/>
          <w:szCs w:val="20"/>
          <w:lang w:val="es-ES"/>
        </w:rPr>
        <w:t xml:space="preserve"> son exigencias para la participación en los procedimientos de selección, establecidas en disposiciones normativas, de carácter legal o reglamentario, o contenidas en el acto administrativo que regula las reglas de la convocatoria, es decir, en el pliego de condiciones o su documento equivalente. Se diferencian de los </w:t>
      </w:r>
      <w:r w:rsidRPr="00874757">
        <w:rPr>
          <w:rFonts w:ascii="Verdana" w:eastAsia="Calibri" w:hAnsi="Verdana" w:cs="Arial"/>
          <w:i/>
          <w:iCs/>
          <w:color w:val="000000" w:themeColor="text1"/>
          <w:sz w:val="20"/>
          <w:szCs w:val="20"/>
          <w:lang w:val="es-ES"/>
        </w:rPr>
        <w:t>criterios de evaluación</w:t>
      </w:r>
      <w:r w:rsidRPr="00874757">
        <w:rPr>
          <w:rFonts w:ascii="Verdana" w:eastAsia="Calibri" w:hAnsi="Verdana" w:cs="Arial"/>
          <w:color w:val="000000" w:themeColor="text1"/>
          <w:sz w:val="20"/>
          <w:szCs w:val="20"/>
          <w:lang w:val="es-ES"/>
        </w:rPr>
        <w:t xml:space="preserve"> –también conocidos como </w:t>
      </w:r>
      <w:r w:rsidRPr="00874757">
        <w:rPr>
          <w:rFonts w:ascii="Verdana" w:eastAsia="Calibri" w:hAnsi="Verdana" w:cs="Arial"/>
          <w:i/>
          <w:iCs/>
          <w:color w:val="000000" w:themeColor="text1"/>
          <w:sz w:val="20"/>
          <w:szCs w:val="20"/>
          <w:lang w:val="es-ES"/>
        </w:rPr>
        <w:t>criterios de calificación</w:t>
      </w:r>
      <w:r w:rsidRPr="00874757">
        <w:rPr>
          <w:rFonts w:ascii="Verdana" w:eastAsia="Calibri" w:hAnsi="Verdana" w:cs="Arial"/>
          <w:color w:val="000000" w:themeColor="text1"/>
          <w:sz w:val="20"/>
          <w:szCs w:val="20"/>
          <w:lang w:val="es-ES"/>
        </w:rPr>
        <w:t xml:space="preserve">– en que la Entidad Estatal define estos factores para la asignación de puntaje en la comparación de las ofertas con el fin de establecer el orden de elegibilidad y la propuesta ganadora. </w:t>
      </w:r>
    </w:p>
    <w:p w14:paraId="5815261A" w14:textId="77777777" w:rsidR="00FA669F" w:rsidRPr="00874757" w:rsidRDefault="00FA669F" w:rsidP="00FA669F">
      <w:pPr>
        <w:spacing w:after="0" w:line="240" w:lineRule="auto"/>
        <w:contextualSpacing/>
        <w:jc w:val="both"/>
        <w:rPr>
          <w:rFonts w:ascii="Verdana" w:eastAsia="Calibri" w:hAnsi="Verdana" w:cs="Arial"/>
          <w:color w:val="000000" w:themeColor="text1"/>
          <w:sz w:val="20"/>
          <w:szCs w:val="20"/>
          <w:lang w:val="es-ES"/>
        </w:rPr>
      </w:pPr>
    </w:p>
    <w:p w14:paraId="3E639288" w14:textId="77777777" w:rsidR="00FA669F" w:rsidRPr="00874757" w:rsidRDefault="00FA669F" w:rsidP="00FA669F">
      <w:pPr>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En efecto, los requisitos habilitantes constituyen obligaciones que los proponentes deben cumplir y acreditar para participar en el procedimiento de selección, por lo que no son objeto de evaluación a través de la asignación de un puntaje que determine el orden de escogencia. En contraste, los requisitos habilitantes constituyen criterios previos a la evaluación, de manera que quienes no los acrediten no pueden continuar en el procedimiento de selección. Esto sin perjuicio del derecho que tienen los oferentes de subsanar los defectos que presenten en la prueba de tales requisitos, de conformidad con el artículo 5, parágrafos 1º al 4º, de la Ley 1150 de 2007.</w:t>
      </w:r>
    </w:p>
    <w:p w14:paraId="0CF93224"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p>
    <w:p w14:paraId="4F055489"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REQUISITOS HABILITANTES – Autonomía</w:t>
      </w:r>
    </w:p>
    <w:p w14:paraId="1A88F439" w14:textId="77777777" w:rsidR="00FA669F" w:rsidRPr="005D3BFD" w:rsidRDefault="00FA669F" w:rsidP="00FA669F">
      <w:pPr>
        <w:widowControl w:val="0"/>
        <w:autoSpaceDE w:val="0"/>
        <w:autoSpaceDN w:val="0"/>
        <w:spacing w:after="0" w:line="240" w:lineRule="auto"/>
        <w:contextualSpacing/>
        <w:jc w:val="both"/>
        <w:rPr>
          <w:rFonts w:ascii="Verdana" w:eastAsia="Calibri" w:hAnsi="Verdana" w:cs="Arial"/>
          <w:color w:val="000000" w:themeColor="text1"/>
          <w:lang w:val="es-ES"/>
        </w:rPr>
      </w:pPr>
    </w:p>
    <w:p w14:paraId="130DEA21" w14:textId="77777777" w:rsidR="00FA669F" w:rsidRPr="00874757" w:rsidRDefault="00FA669F" w:rsidP="00FA669F">
      <w:pPr>
        <w:widowControl w:val="0"/>
        <w:autoSpaceDE w:val="0"/>
        <w:autoSpaceDN w:val="0"/>
        <w:spacing w:after="0" w:line="240" w:lineRule="auto"/>
        <w:contextualSpacing/>
        <w:jc w:val="both"/>
        <w:rPr>
          <w:rFonts w:ascii="Verdana" w:eastAsia="Calibri" w:hAnsi="Verdana" w:cs="Arial"/>
          <w:color w:val="000000" w:themeColor="text1"/>
          <w:sz w:val="20"/>
          <w:szCs w:val="20"/>
          <w:lang w:val="es-ES"/>
        </w:rPr>
      </w:pPr>
      <w:r w:rsidRPr="00874757">
        <w:rPr>
          <w:rFonts w:ascii="Verdana" w:eastAsia="Calibri" w:hAnsi="Verdana" w:cs="Arial"/>
          <w:color w:val="000000" w:themeColor="text1"/>
          <w:sz w:val="20"/>
          <w:szCs w:val="20"/>
          <w:lang w:val="es-ES"/>
        </w:rPr>
        <w:t xml:space="preserve">En consecuencia, corresponde a las Entidades Estatales, durante la etapa de planeación del contrato, estudiar y determinar los requisitos habilitantes que establecerán en los pliegos de condiciones, los cuales deben fijarse de forma adecuada y proporcional. Según el artículo 2.2.1.1.1.6.2 del Decreto 1082 de 2015, las entidades deben hacer lo anterior de acuerdo con la naturaleza, el valor del contrato, la forma de pago, los riesgos asociados, el plazo y la complejidad de ejecución del objeto. Esta facultad, además implica que las entidades deben establecer la forma en que los proponentes acreditarán estos requisitos y la manera en que la entidad verificará su cumplimiento. </w:t>
      </w:r>
    </w:p>
    <w:p w14:paraId="17DBA90A"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p>
    <w:p w14:paraId="60F0AF2F"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Definición</w:t>
      </w:r>
    </w:p>
    <w:p w14:paraId="0C7D9404"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p>
    <w:p w14:paraId="48A40D2F" w14:textId="77777777" w:rsidR="00FA669F" w:rsidRPr="00874757" w:rsidRDefault="00FA669F" w:rsidP="00FA669F">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color w:val="000000"/>
          <w:sz w:val="20"/>
          <w:szCs w:val="20"/>
          <w:lang w:val="es-ES" w:eastAsia="es-ES_tradnl"/>
        </w:rPr>
        <w:t xml:space="preserve">Ahora bien, dentro de los requisitos habilitantes se destaca la capacidad financiera, la cual </w:t>
      </w:r>
      <w:r w:rsidRPr="00874757">
        <w:rPr>
          <w:rFonts w:ascii="Verdana" w:eastAsia="Calibri" w:hAnsi="Verdana" w:cs="Arial"/>
          <w:sz w:val="20"/>
          <w:szCs w:val="20"/>
          <w:lang w:val="es-ES"/>
        </w:rPr>
        <w:t xml:space="preserve">se deriva del comportamiento contable de la empresa, su liquidez y endeudamiento, para determinar que sus recursos y solidez le permiten cumplir los compromisos que adquiera. Como explica esta Agencia en el </w:t>
      </w:r>
      <w:r w:rsidRPr="00874757">
        <w:rPr>
          <w:rFonts w:ascii="Verdana" w:eastAsia="Calibri" w:hAnsi="Verdana" w:cs="Arial"/>
          <w:i/>
          <w:iCs/>
          <w:sz w:val="20"/>
          <w:szCs w:val="20"/>
          <w:lang w:val="es-ES"/>
        </w:rPr>
        <w:t>Manual para determinar y verificar los requisitos habilitantes en los procesos de contratación</w:t>
      </w:r>
      <w:r w:rsidRPr="00874757">
        <w:rPr>
          <w:rFonts w:ascii="Verdana" w:eastAsia="Calibri" w:hAnsi="Verdana" w:cs="Arial"/>
          <w:sz w:val="20"/>
          <w:szCs w:val="20"/>
          <w:lang w:val="es-ES"/>
        </w:rPr>
        <w:t>: “Los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p>
    <w:p w14:paraId="589A9299"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p>
    <w:p w14:paraId="3CF6DF35" w14:textId="77777777" w:rsidR="00FA669F" w:rsidRPr="005D3BFD" w:rsidRDefault="00FA669F" w:rsidP="00FA669F">
      <w:pPr>
        <w:spacing w:after="0" w:line="240" w:lineRule="auto"/>
        <w:contextualSpacing/>
        <w:jc w:val="both"/>
        <w:rPr>
          <w:rFonts w:ascii="Verdana" w:eastAsia="Calibri" w:hAnsi="Verdana" w:cs="Arial"/>
          <w:b/>
          <w:bCs/>
          <w:lang w:val="es-ES" w:eastAsia="es-ES_tradnl"/>
        </w:rPr>
      </w:pPr>
      <w:r w:rsidRPr="005D3BFD">
        <w:rPr>
          <w:rFonts w:ascii="Verdana" w:eastAsia="Calibri" w:hAnsi="Verdana" w:cs="Arial"/>
          <w:b/>
          <w:bCs/>
          <w:lang w:val="es-ES" w:eastAsia="es-ES_tradnl"/>
        </w:rPr>
        <w:t>CAPACIDAD FINANCIERA – Verificación</w:t>
      </w:r>
    </w:p>
    <w:p w14:paraId="65DDD61C" w14:textId="77777777" w:rsidR="00FA669F" w:rsidRPr="005D3BFD" w:rsidRDefault="00FA669F" w:rsidP="00FA669F">
      <w:pPr>
        <w:spacing w:after="0" w:line="240" w:lineRule="auto"/>
        <w:contextualSpacing/>
        <w:jc w:val="both"/>
        <w:rPr>
          <w:rFonts w:ascii="Verdana" w:eastAsia="Calibri" w:hAnsi="Verdana" w:cs="Arial"/>
          <w:b/>
          <w:bCs/>
          <w:sz w:val="21"/>
          <w:szCs w:val="21"/>
          <w:lang w:val="es-ES" w:eastAsia="es-ES_tradnl"/>
        </w:rPr>
      </w:pPr>
    </w:p>
    <w:p w14:paraId="0A6BD28E" w14:textId="77777777" w:rsidR="00FA669F" w:rsidRPr="00874757" w:rsidRDefault="00FA669F" w:rsidP="00FA669F">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Por otra parte, los requisitos habilitantes como la capacidad financiera deben ser evaluados de acuerdo con lo registrado en el RUP, salvo los procesos exceptuados de </w:t>
      </w:r>
      <w:r w:rsidRPr="00874757">
        <w:rPr>
          <w:rFonts w:ascii="Verdana" w:eastAsia="Calibri" w:hAnsi="Verdana" w:cs="Arial"/>
          <w:sz w:val="20"/>
          <w:szCs w:val="20"/>
          <w:lang w:val="es-ES"/>
        </w:rPr>
        <w:lastRenderedPageBreak/>
        <w:t>este registro. Según el artículo 2.2.1.1.1.5.2. del Decreto 1082 de 2015, para la inscripción en el RUP el proponente aporta, entre otros, “Estados financieros de la sociedad (…)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I. Principales cuentas detalladas del balance general. II. Principales cuentas del estado de pérdidas y ganancias. III. Cuentas contingentes deudoras y acreedoras (…)”.</w:t>
      </w:r>
    </w:p>
    <w:p w14:paraId="65795804" w14:textId="77777777" w:rsidR="00FA669F" w:rsidRPr="00874757" w:rsidRDefault="00FA669F" w:rsidP="00FA669F">
      <w:pPr>
        <w:spacing w:after="0" w:line="240" w:lineRule="auto"/>
        <w:contextualSpacing/>
        <w:jc w:val="both"/>
        <w:rPr>
          <w:rFonts w:ascii="Verdana" w:eastAsia="Calibri" w:hAnsi="Verdana" w:cs="Arial"/>
          <w:sz w:val="20"/>
          <w:szCs w:val="20"/>
          <w:lang w:val="es-ES"/>
        </w:rPr>
      </w:pPr>
    </w:p>
    <w:p w14:paraId="7B3287C3" w14:textId="77777777" w:rsidR="00FA669F" w:rsidRPr="00874757" w:rsidRDefault="00FA669F" w:rsidP="00FA669F">
      <w:pPr>
        <w:spacing w:after="0" w:line="240" w:lineRule="auto"/>
        <w:contextualSpacing/>
        <w:jc w:val="both"/>
        <w:rPr>
          <w:rFonts w:ascii="Verdana" w:eastAsia="Calibri" w:hAnsi="Verdana" w:cs="Arial"/>
          <w:sz w:val="20"/>
          <w:szCs w:val="20"/>
          <w:lang w:val="es-ES"/>
        </w:rPr>
      </w:pPr>
      <w:r w:rsidRPr="00874757">
        <w:rPr>
          <w:rFonts w:ascii="Verdana" w:eastAsia="Calibri" w:hAnsi="Verdana" w:cs="Arial"/>
          <w:sz w:val="20"/>
          <w:szCs w:val="20"/>
          <w:lang w:val="es-ES"/>
        </w:rPr>
        <w:t xml:space="preserve">Así pues, el artículo 6 de la Ley 1150 de 2007 señala que el RUP es plena prueba de las circunstancias que constan en él, como la capacidad financiera, y “las entidades estatales en los procesos de contratación no podrán exigir, ni los proponentes aportar documentación que deba utilizarse para efectuar la inscripción en el registro”. Por lo </w:t>
      </w:r>
      <w:proofErr w:type="gramStart"/>
      <w:r w:rsidRPr="00874757">
        <w:rPr>
          <w:rFonts w:ascii="Verdana" w:eastAsia="Calibri" w:hAnsi="Verdana" w:cs="Arial"/>
          <w:sz w:val="20"/>
          <w:szCs w:val="20"/>
          <w:lang w:val="es-ES"/>
        </w:rPr>
        <w:t>que</w:t>
      </w:r>
      <w:proofErr w:type="gramEnd"/>
      <w:r w:rsidRPr="00874757">
        <w:rPr>
          <w:rFonts w:ascii="Verdana" w:eastAsia="Calibri" w:hAnsi="Verdana" w:cs="Arial"/>
          <w:sz w:val="20"/>
          <w:szCs w:val="20"/>
          <w:lang w:val="es-ES"/>
        </w:rPr>
        <w:t xml:space="preserve"> para resolver su consulta, debido a que los estados financieros y sus notas son documentos que se utilizan para la inscripción en el RUP, las entidades no los pueden exigir ni verificar ya que la capacidad financiera se debe evaluar exclusivamente con el RUP. Sin embargo, para los procesos exceptuados del RUP, “corresponderá a las entidades contratantes cumplir con la labor de verificación de las condiciones de los proponentes” y en esa medida, son autónomas para determinar si la documentación aportada por el proponente para verificar la capacidad financiera cumple o no cumple con lo exigido en el pliego de condiciones.</w:t>
      </w:r>
    </w:p>
    <w:p w14:paraId="5C8F3CC6" w14:textId="77777777" w:rsidR="00FA669F" w:rsidRPr="005D3BFD" w:rsidRDefault="00FA669F" w:rsidP="00FA669F">
      <w:pPr>
        <w:spacing w:after="0" w:line="240" w:lineRule="auto"/>
        <w:contextualSpacing/>
        <w:jc w:val="both"/>
        <w:rPr>
          <w:rFonts w:ascii="Verdana" w:eastAsia="Calibri" w:hAnsi="Verdana" w:cs="Arial"/>
          <w:b/>
          <w:bCs/>
          <w:sz w:val="21"/>
          <w:szCs w:val="21"/>
          <w:lang w:val="es-ES" w:eastAsia="es-ES_tradnl"/>
        </w:rPr>
      </w:pPr>
    </w:p>
    <w:p w14:paraId="7E1B585C" w14:textId="77777777" w:rsidR="00FA669F" w:rsidRPr="00E44A93" w:rsidRDefault="00FA669F" w:rsidP="00FA669F">
      <w:pPr>
        <w:spacing w:after="0" w:line="240" w:lineRule="auto"/>
        <w:contextualSpacing/>
        <w:jc w:val="both"/>
        <w:rPr>
          <w:rFonts w:ascii="Verdana" w:eastAsia="Calibri" w:hAnsi="Verdana" w:cs="Arial"/>
          <w:b/>
          <w:bCs/>
          <w:lang w:val="es-ES" w:eastAsia="es-ES_tradnl"/>
        </w:rPr>
      </w:pPr>
      <w:r w:rsidRPr="00E44A93">
        <w:rPr>
          <w:rFonts w:ascii="Verdana" w:eastAsia="Calibri" w:hAnsi="Verdana" w:cs="Arial"/>
          <w:b/>
          <w:bCs/>
          <w:lang w:val="es-ES" w:eastAsia="es-ES_tradnl"/>
        </w:rPr>
        <w:t>PROPONENTES PLURALES – Verificación de requisitos habilitantes - Indicadores negativos de uno de sus integrantes</w:t>
      </w:r>
    </w:p>
    <w:p w14:paraId="7A19B8DB" w14:textId="77777777" w:rsidR="00FA669F" w:rsidRPr="005D3BFD" w:rsidRDefault="00FA669F" w:rsidP="00FA669F">
      <w:pPr>
        <w:spacing w:after="0" w:line="240" w:lineRule="auto"/>
        <w:contextualSpacing/>
        <w:jc w:val="both"/>
        <w:rPr>
          <w:rFonts w:ascii="Verdana" w:eastAsia="Calibri" w:hAnsi="Verdana" w:cs="Arial"/>
          <w:b/>
          <w:bCs/>
          <w:sz w:val="21"/>
          <w:szCs w:val="21"/>
          <w:lang w:val="es-ES" w:eastAsia="es-ES_tradnl"/>
        </w:rPr>
      </w:pPr>
    </w:p>
    <w:p w14:paraId="47D59814" w14:textId="77777777" w:rsidR="00FA669F" w:rsidRDefault="00FA669F" w:rsidP="00FA669F">
      <w:pPr>
        <w:spacing w:after="0"/>
        <w:jc w:val="both"/>
        <w:rPr>
          <w:rFonts w:ascii="Verdana" w:hAnsi="Verdana"/>
          <w:sz w:val="20"/>
          <w:szCs w:val="20"/>
        </w:rPr>
      </w:pPr>
      <w:r w:rsidRPr="002768F9">
        <w:rPr>
          <w:rFonts w:ascii="Verdana" w:hAnsi="Verdana"/>
          <w:sz w:val="20"/>
          <w:szCs w:val="20"/>
        </w:rPr>
        <w:t>La existencia de pérdidas operacionales o de indicadores negativos de rentabilidad del patrimonio o rentabilidad del activo en uno de los integrantes de un consorcio o unión temporal no permite concluir, por sí sola, el incumplimiento de los requisitos habilitantes por parte del proponente plural. La verificación debe efectuarse con base en la metodología de cálculo prevista en los documentos del proceso, a fin de determinar si el proponente plural, evaluado en su conjunto, acredita las condiciones de capacidad financiera y organizacional exigidas por la entidad estatal.</w:t>
      </w:r>
    </w:p>
    <w:p w14:paraId="68380E1B" w14:textId="77777777" w:rsidR="00FA669F" w:rsidRDefault="00FA669F" w:rsidP="00FA669F">
      <w:pPr>
        <w:spacing w:after="0"/>
        <w:rPr>
          <w:rFonts w:ascii="Verdana" w:hAnsi="Verdana"/>
          <w:sz w:val="20"/>
          <w:szCs w:val="20"/>
        </w:rPr>
      </w:pPr>
    </w:p>
    <w:p w14:paraId="49820FA7" w14:textId="77777777" w:rsidR="00FA669F" w:rsidRDefault="00FA669F" w:rsidP="00FA669F">
      <w:pPr>
        <w:spacing w:after="0"/>
        <w:rPr>
          <w:rFonts w:ascii="Verdana" w:hAnsi="Verdana"/>
          <w:sz w:val="20"/>
          <w:szCs w:val="20"/>
        </w:rPr>
      </w:pPr>
    </w:p>
    <w:p w14:paraId="1D9F5E73" w14:textId="77777777" w:rsidR="00FA669F" w:rsidRDefault="00FA669F" w:rsidP="00FA669F">
      <w:pPr>
        <w:spacing w:after="0"/>
        <w:rPr>
          <w:rFonts w:ascii="Verdana" w:hAnsi="Verdana"/>
          <w:sz w:val="20"/>
          <w:szCs w:val="20"/>
        </w:rPr>
      </w:pPr>
    </w:p>
    <w:p w14:paraId="05F72105" w14:textId="77777777" w:rsidR="00FA669F" w:rsidRDefault="00FA669F" w:rsidP="00FA669F">
      <w:pPr>
        <w:spacing w:after="0"/>
        <w:rPr>
          <w:rFonts w:ascii="Verdana" w:hAnsi="Verdana"/>
          <w:sz w:val="20"/>
          <w:szCs w:val="20"/>
        </w:rPr>
      </w:pPr>
    </w:p>
    <w:p w14:paraId="74BA7BFA" w14:textId="77777777" w:rsidR="00FA669F" w:rsidRDefault="00FA669F" w:rsidP="00FA669F">
      <w:pPr>
        <w:spacing w:after="0"/>
        <w:rPr>
          <w:rFonts w:ascii="Verdana" w:hAnsi="Verdana"/>
          <w:sz w:val="20"/>
          <w:szCs w:val="20"/>
        </w:rPr>
      </w:pPr>
    </w:p>
    <w:p w14:paraId="31332ABF" w14:textId="77777777" w:rsidR="00FA669F" w:rsidRDefault="00FA669F" w:rsidP="00FA669F">
      <w:pPr>
        <w:spacing w:after="0"/>
        <w:rPr>
          <w:rFonts w:ascii="Verdana" w:hAnsi="Verdana"/>
          <w:sz w:val="20"/>
          <w:szCs w:val="20"/>
        </w:rPr>
      </w:pPr>
    </w:p>
    <w:p w14:paraId="12FB9DDB" w14:textId="77777777" w:rsidR="00FA669F" w:rsidRDefault="00FA669F" w:rsidP="00FA669F">
      <w:pPr>
        <w:spacing w:after="0"/>
        <w:rPr>
          <w:rFonts w:ascii="Verdana" w:hAnsi="Verdana"/>
          <w:sz w:val="20"/>
          <w:szCs w:val="20"/>
        </w:rPr>
      </w:pPr>
    </w:p>
    <w:p w14:paraId="59E3A470" w14:textId="77777777" w:rsidR="00FA669F" w:rsidRDefault="00FA669F" w:rsidP="00FA669F">
      <w:pPr>
        <w:spacing w:after="0"/>
        <w:rPr>
          <w:rFonts w:ascii="Verdana" w:hAnsi="Verdana"/>
          <w:sz w:val="20"/>
          <w:szCs w:val="20"/>
        </w:rPr>
      </w:pPr>
    </w:p>
    <w:p w14:paraId="0D283A47" w14:textId="77777777" w:rsidR="00FA669F" w:rsidRDefault="00FA669F" w:rsidP="00FA669F">
      <w:pPr>
        <w:spacing w:after="0"/>
        <w:rPr>
          <w:rFonts w:ascii="Verdana" w:hAnsi="Verdana"/>
          <w:sz w:val="20"/>
          <w:szCs w:val="20"/>
        </w:rPr>
      </w:pPr>
    </w:p>
    <w:p w14:paraId="5B50643F" w14:textId="77777777" w:rsidR="00FA669F" w:rsidRDefault="00FA669F" w:rsidP="00FA669F">
      <w:pPr>
        <w:spacing w:after="0"/>
        <w:rPr>
          <w:rFonts w:ascii="Verdana" w:hAnsi="Verdana"/>
          <w:sz w:val="20"/>
          <w:szCs w:val="20"/>
        </w:rPr>
      </w:pPr>
    </w:p>
    <w:p w14:paraId="3622B667" w14:textId="77777777" w:rsidR="00FA669F" w:rsidRDefault="00FA669F" w:rsidP="00FA669F">
      <w:pPr>
        <w:spacing w:after="0"/>
        <w:rPr>
          <w:rFonts w:ascii="Verdana" w:hAnsi="Verdana"/>
          <w:sz w:val="20"/>
          <w:szCs w:val="20"/>
        </w:rPr>
      </w:pPr>
    </w:p>
    <w:p w14:paraId="0E5CA563" w14:textId="77777777" w:rsidR="00FA669F" w:rsidRDefault="00FA669F" w:rsidP="00FA669F">
      <w:pPr>
        <w:spacing w:after="0"/>
        <w:rPr>
          <w:rFonts w:ascii="Verdana" w:hAnsi="Verdana"/>
          <w:sz w:val="20"/>
          <w:szCs w:val="20"/>
        </w:rPr>
      </w:pPr>
    </w:p>
    <w:p w14:paraId="13417307" w14:textId="77777777" w:rsidR="00FA669F" w:rsidRPr="00E31648" w:rsidRDefault="00FA669F" w:rsidP="00FA669F">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 xml:space="preserve">01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junio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50E67F86" w14:textId="77777777" w:rsidR="00FA669F" w:rsidRDefault="00FA669F" w:rsidP="00FA669F">
      <w:pPr>
        <w:spacing w:after="0" w:line="240" w:lineRule="auto"/>
        <w:jc w:val="both"/>
        <w:rPr>
          <w:rFonts w:ascii="Verdana" w:eastAsia="Calibri" w:hAnsi="Verdana" w:cs="Arial"/>
          <w:color w:val="000000" w:themeColor="text1"/>
          <w:lang w:val="es-ES"/>
        </w:rPr>
      </w:pPr>
    </w:p>
    <w:p w14:paraId="69C17C41" w14:textId="7B0D7BD1" w:rsidR="003474F3" w:rsidRDefault="003474F3" w:rsidP="003474F3">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79DE2792" wp14:editId="635CD2BD">
            <wp:extent cx="2324100" cy="714375"/>
            <wp:effectExtent l="0" t="0" r="0" b="9525"/>
            <wp:docPr id="929611536"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24100" cy="714375"/>
                    </a:xfrm>
                    <a:prstGeom prst="rect">
                      <a:avLst/>
                    </a:prstGeom>
                    <a:noFill/>
                    <a:ln>
                      <a:noFill/>
                    </a:ln>
                  </pic:spPr>
                </pic:pic>
              </a:graphicData>
            </a:graphic>
          </wp:inline>
        </w:drawing>
      </w:r>
    </w:p>
    <w:p w14:paraId="08A848E1" w14:textId="77777777" w:rsidR="003474F3" w:rsidRDefault="003474F3" w:rsidP="00FA669F">
      <w:pPr>
        <w:spacing w:after="0" w:line="240" w:lineRule="auto"/>
        <w:jc w:val="both"/>
        <w:rPr>
          <w:rFonts w:ascii="Verdana" w:eastAsia="Calibri" w:hAnsi="Verdana" w:cs="Arial"/>
          <w:color w:val="000000" w:themeColor="text1"/>
          <w:lang w:val="es-ES"/>
        </w:rPr>
      </w:pPr>
    </w:p>
    <w:p w14:paraId="35B7296C" w14:textId="77777777" w:rsidR="00FA669F" w:rsidRDefault="00FA669F" w:rsidP="00FA669F">
      <w:pPr>
        <w:spacing w:after="0" w:line="240" w:lineRule="auto"/>
        <w:jc w:val="both"/>
        <w:rPr>
          <w:rFonts w:ascii="Verdana" w:eastAsia="Calibri" w:hAnsi="Verdana" w:cs="Arial"/>
          <w:color w:val="000000" w:themeColor="text1"/>
          <w:lang w:val="es-ES" w:eastAsia="es-ES"/>
        </w:rPr>
      </w:pPr>
    </w:p>
    <w:p w14:paraId="4EBCE3BC" w14:textId="77777777" w:rsidR="00FA669F" w:rsidRPr="0046108F" w:rsidRDefault="00FA669F" w:rsidP="00FA669F">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3F79726C" w14:textId="77777777" w:rsidR="00FA669F" w:rsidRDefault="00FA669F" w:rsidP="00FA669F">
      <w:pPr>
        <w:spacing w:after="0" w:line="240" w:lineRule="auto"/>
        <w:rPr>
          <w:rFonts w:ascii="Verdana" w:eastAsia="Calibri" w:hAnsi="Verdana" w:cs="Arial"/>
          <w:b/>
          <w:bCs/>
          <w:lang w:eastAsia="es-ES"/>
        </w:rPr>
      </w:pPr>
      <w:r w:rsidRPr="000B5978">
        <w:rPr>
          <w:rFonts w:ascii="Verdana" w:eastAsia="Calibri" w:hAnsi="Verdana" w:cs="Arial"/>
          <w:b/>
          <w:bCs/>
          <w:lang w:eastAsia="es-ES"/>
        </w:rPr>
        <w:t>CLAUDIA LUCÍA RAMÍREZ GÓMEZ</w:t>
      </w:r>
    </w:p>
    <w:p w14:paraId="31276BE2" w14:textId="77777777" w:rsidR="00FA669F" w:rsidRPr="00D57FE3" w:rsidRDefault="00FA669F" w:rsidP="00FA669F">
      <w:pPr>
        <w:spacing w:after="0" w:line="240" w:lineRule="auto"/>
        <w:rPr>
          <w:rFonts w:ascii="Verdana" w:eastAsia="Calibri" w:hAnsi="Verdana" w:cs="Arial"/>
          <w:lang w:val="es-ES" w:eastAsia="es-ES"/>
        </w:rPr>
      </w:pPr>
      <w:hyperlink r:id="rId11" w:history="1">
        <w:r w:rsidRPr="00A65779">
          <w:rPr>
            <w:rStyle w:val="Hipervnculo"/>
            <w:rFonts w:ascii="Verdana" w:eastAsia="Calibri" w:hAnsi="Verdana" w:cs="Arial"/>
            <w:lang w:eastAsia="es-ES"/>
          </w:rPr>
          <w:t>c.ramirez@cite-res.com</w:t>
        </w:r>
      </w:hyperlink>
      <w:r>
        <w:rPr>
          <w:rFonts w:ascii="Verdana" w:eastAsia="Calibri" w:hAnsi="Verdana" w:cs="Arial"/>
          <w:lang w:eastAsia="es-ES"/>
        </w:rPr>
        <w:t xml:space="preserve"> </w:t>
      </w:r>
    </w:p>
    <w:p w14:paraId="50627DFD" w14:textId="77777777" w:rsidR="00FA669F" w:rsidRPr="006B17A7" w:rsidRDefault="00FA669F" w:rsidP="00FA669F">
      <w:pPr>
        <w:spacing w:after="0" w:line="240" w:lineRule="auto"/>
        <w:rPr>
          <w:rFonts w:ascii="Verdana" w:eastAsia="Calibri" w:hAnsi="Verdana" w:cs="Arial"/>
          <w:b/>
          <w:bCs/>
          <w:lang w:val="es-ES" w:eastAsia="es-ES"/>
        </w:rPr>
      </w:pPr>
      <w:r>
        <w:rPr>
          <w:rFonts w:ascii="Verdana" w:eastAsia="Calibri" w:hAnsi="Verdana" w:cs="Arial"/>
          <w:lang w:val="es-ES" w:eastAsia="es-ES"/>
        </w:rPr>
        <w:t>Manizales (Caldas)</w:t>
      </w:r>
    </w:p>
    <w:p w14:paraId="6D883849" w14:textId="77777777" w:rsidR="00FA669F" w:rsidRPr="00CB7ABE" w:rsidRDefault="00FA669F" w:rsidP="00FA669F">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FA669F" w:rsidRPr="00115E3D" w14:paraId="3AF45A94" w14:textId="77777777" w:rsidTr="00E83E74">
        <w:trPr>
          <w:trHeight w:val="615"/>
        </w:trPr>
        <w:tc>
          <w:tcPr>
            <w:tcW w:w="2270" w:type="dxa"/>
          </w:tcPr>
          <w:p w14:paraId="1DE43F82" w14:textId="77777777" w:rsidR="00FA669F" w:rsidRPr="00CB7ABE" w:rsidRDefault="00FA669F" w:rsidP="00E83E74">
            <w:pPr>
              <w:jc w:val="both"/>
              <w:rPr>
                <w:rFonts w:ascii="Verdana" w:eastAsia="Calibri" w:hAnsi="Verdana" w:cs="Arial"/>
                <w:b/>
                <w:bCs/>
                <w:color w:val="000000" w:themeColor="text1"/>
                <w:lang w:eastAsia="es-ES_tradnl"/>
              </w:rPr>
            </w:pPr>
          </w:p>
        </w:tc>
        <w:tc>
          <w:tcPr>
            <w:tcW w:w="6547" w:type="dxa"/>
          </w:tcPr>
          <w:p w14:paraId="586522C9" w14:textId="77777777" w:rsidR="00FA669F" w:rsidRPr="008A209A" w:rsidRDefault="00FA669F" w:rsidP="00E83E74">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665</w:t>
            </w:r>
            <w:r w:rsidRPr="008A209A">
              <w:rPr>
                <w:rFonts w:ascii="Verdana" w:eastAsia="Calibri" w:hAnsi="Verdana" w:cs="Arial"/>
                <w:b/>
                <w:bCs/>
                <w:color w:val="000000" w:themeColor="text1"/>
                <w:lang w:val="es-ES" w:eastAsia="es-ES"/>
              </w:rPr>
              <w:t xml:space="preserve"> de 2026</w:t>
            </w:r>
          </w:p>
        </w:tc>
      </w:tr>
      <w:tr w:rsidR="00FA669F" w:rsidRPr="007E403E" w14:paraId="23591F64" w14:textId="77777777" w:rsidTr="00E83E74">
        <w:trPr>
          <w:trHeight w:val="1071"/>
        </w:trPr>
        <w:tc>
          <w:tcPr>
            <w:tcW w:w="2270" w:type="dxa"/>
          </w:tcPr>
          <w:p w14:paraId="4B43A646" w14:textId="77777777" w:rsidR="00FA669F" w:rsidRPr="001B36DA" w:rsidRDefault="00FA669F" w:rsidP="00E83E74">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7D4EA258" w14:textId="77777777" w:rsidR="00FA669F" w:rsidRPr="00EF2068" w:rsidRDefault="00FA669F" w:rsidP="00E83E74">
            <w:pPr>
              <w:jc w:val="both"/>
              <w:rPr>
                <w:rFonts w:ascii="Verdana" w:eastAsia="Century Gothic" w:hAnsi="Verdana" w:cs="Century Gothic"/>
                <w:b/>
                <w:bCs/>
                <w:lang w:val="es-ES"/>
              </w:rPr>
            </w:pPr>
            <w:r w:rsidRPr="00EF2068">
              <w:rPr>
                <w:rFonts w:ascii="Verdana" w:eastAsia="Calibri" w:hAnsi="Verdana" w:cs="Arial"/>
                <w:lang w:val="es-ES" w:eastAsia="es-ES_tradnl"/>
              </w:rPr>
              <w:t xml:space="preserve">REQUISITOS HABILITANTES – Noción / REQUISITOS HABILITANTES – Autonomía / CAPACIDAD FINANCIERA– Definición </w:t>
            </w:r>
            <w:r w:rsidRPr="00EF2068">
              <w:rPr>
                <w:rFonts w:ascii="Verdana" w:eastAsia="Calibri" w:hAnsi="Verdana" w:cs="Arial"/>
                <w:bCs/>
                <w:lang w:val="es-ES" w:eastAsia="es-ES_tradnl"/>
              </w:rPr>
              <w:t>/ CAPACIDAD FINANCIERA – Verificación</w:t>
            </w:r>
            <w:r>
              <w:rPr>
                <w:rFonts w:ascii="Verdana" w:eastAsia="Calibri" w:hAnsi="Verdana" w:cs="Arial"/>
                <w:bCs/>
                <w:lang w:val="es-ES" w:eastAsia="es-ES_tradnl"/>
              </w:rPr>
              <w:t xml:space="preserve"> </w:t>
            </w:r>
            <w:r w:rsidRPr="00E44A93">
              <w:rPr>
                <w:rFonts w:ascii="Verdana" w:eastAsia="Calibri" w:hAnsi="Verdana" w:cs="Arial"/>
                <w:bCs/>
                <w:lang w:val="es-ES" w:eastAsia="es-ES_tradnl"/>
              </w:rPr>
              <w:t>PROPONENTES PLURALES – Verificación de requisitos habilitantes - Indicadores negativos de uno de sus integrantes</w:t>
            </w:r>
          </w:p>
          <w:p w14:paraId="4CB6FEC8" w14:textId="77777777" w:rsidR="00FA669F" w:rsidRPr="00103B36" w:rsidRDefault="00FA669F" w:rsidP="00E83E74">
            <w:pPr>
              <w:spacing w:line="276" w:lineRule="auto"/>
              <w:jc w:val="both"/>
              <w:rPr>
                <w:rFonts w:ascii="Verdana" w:eastAsia="Calibri" w:hAnsi="Verdana" w:cs="Arial"/>
                <w:color w:val="000000" w:themeColor="text1"/>
                <w:highlight w:val="yellow"/>
                <w:lang w:val="es-ES" w:eastAsia="es-ES"/>
              </w:rPr>
            </w:pPr>
            <w:r w:rsidRPr="00103B36">
              <w:rPr>
                <w:rFonts w:ascii="Verdana" w:eastAsia="Calibri" w:hAnsi="Verdana" w:cs="Arial"/>
                <w:highlight w:val="yellow"/>
                <w:lang w:val="es-ES" w:eastAsia="es-ES"/>
              </w:rPr>
              <w:t xml:space="preserve">                                    </w:t>
            </w:r>
          </w:p>
        </w:tc>
      </w:tr>
      <w:tr w:rsidR="00FA669F" w:rsidRPr="00115E3D" w14:paraId="7627C0BB" w14:textId="77777777" w:rsidTr="00E83E74">
        <w:trPr>
          <w:trHeight w:val="653"/>
        </w:trPr>
        <w:tc>
          <w:tcPr>
            <w:tcW w:w="2270" w:type="dxa"/>
          </w:tcPr>
          <w:p w14:paraId="2D1605E9" w14:textId="77777777" w:rsidR="00FA669F" w:rsidRPr="00CB7ABE" w:rsidRDefault="00FA669F" w:rsidP="00E83E74">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0ED9988" w14:textId="77777777" w:rsidR="00FA669F" w:rsidRPr="00CB7ABE" w:rsidRDefault="00FA669F" w:rsidP="00E83E74">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0B5978">
              <w:rPr>
                <w:rFonts w:ascii="Verdana" w:eastAsia="Calibri" w:hAnsi="Verdana" w:cs="Arial"/>
                <w:color w:val="000000" w:themeColor="text1"/>
                <w:lang w:val="es-ES_tradnl" w:eastAsia="es-ES_tradnl"/>
              </w:rPr>
              <w:t>1_2026_04_21_005395</w:t>
            </w:r>
            <w:r>
              <w:rPr>
                <w:rFonts w:ascii="Verdana" w:eastAsia="Calibri" w:hAnsi="Verdana" w:cs="Arial"/>
                <w:color w:val="000000" w:themeColor="text1"/>
                <w:lang w:val="es-ES_tradnl" w:eastAsia="es-ES_tradnl"/>
              </w:rPr>
              <w:t>.</w:t>
            </w:r>
          </w:p>
        </w:tc>
      </w:tr>
      <w:tr w:rsidR="00FA669F" w:rsidRPr="00115E3D" w14:paraId="2CE08ACE" w14:textId="77777777" w:rsidTr="00E83E74">
        <w:trPr>
          <w:trHeight w:val="653"/>
        </w:trPr>
        <w:tc>
          <w:tcPr>
            <w:tcW w:w="2270" w:type="dxa"/>
          </w:tcPr>
          <w:p w14:paraId="6E19CD54" w14:textId="77777777" w:rsidR="00FA669F" w:rsidRPr="00CB7ABE" w:rsidRDefault="00FA669F" w:rsidP="00E83E74">
            <w:pPr>
              <w:jc w:val="both"/>
              <w:rPr>
                <w:rFonts w:ascii="Verdana" w:eastAsia="Calibri" w:hAnsi="Verdana" w:cs="Arial"/>
                <w:b/>
                <w:color w:val="000000" w:themeColor="text1"/>
                <w:lang w:val="es-ES_tradnl" w:eastAsia="es-ES_tradnl"/>
              </w:rPr>
            </w:pPr>
          </w:p>
        </w:tc>
        <w:tc>
          <w:tcPr>
            <w:tcW w:w="6547" w:type="dxa"/>
          </w:tcPr>
          <w:p w14:paraId="6EE6F20B" w14:textId="77777777" w:rsidR="00FA669F" w:rsidRPr="00CB7ABE" w:rsidRDefault="00FA669F" w:rsidP="00E83E74">
            <w:pPr>
              <w:ind w:right="1"/>
              <w:jc w:val="both"/>
              <w:rPr>
                <w:rFonts w:ascii="Verdana" w:eastAsia="Calibri" w:hAnsi="Verdana" w:cs="Arial"/>
                <w:color w:val="000000" w:themeColor="text1"/>
                <w:lang w:val="es-ES_tradnl" w:eastAsia="es-ES_tradnl"/>
              </w:rPr>
            </w:pPr>
          </w:p>
        </w:tc>
      </w:tr>
    </w:tbl>
    <w:p w14:paraId="3D39CF96" w14:textId="77777777" w:rsidR="00FA669F" w:rsidRPr="00115E3D" w:rsidRDefault="00FA669F" w:rsidP="00FA669F">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a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 Ramírez;</w:t>
      </w:r>
    </w:p>
    <w:p w14:paraId="6DDD83A8" w14:textId="77777777" w:rsidR="00FA669F" w:rsidRPr="00115E3D" w:rsidRDefault="00FA669F" w:rsidP="00FA669F">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610BFE3" w14:textId="77438CD5" w:rsidR="00FA669F" w:rsidRPr="00115E3D" w:rsidRDefault="00FA669F" w:rsidP="00FA669F">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w:t>
      </w:r>
      <w:r>
        <w:rPr>
          <w:rFonts w:ascii="Verdana" w:eastAsia="Calibri" w:hAnsi="Verdana" w:cs="Arial"/>
          <w:color w:val="000000" w:themeColor="text1"/>
          <w:lang w:val="es-ES" w:eastAsia="es-ES"/>
        </w:rPr>
        <w:t xml:space="preserve"> a su solicitud radicada ante esta entidad el 22 de abril de 2026 </w:t>
      </w:r>
      <w:r w:rsidRPr="00115E3D">
        <w:rPr>
          <w:rFonts w:ascii="Verdana" w:eastAsia="Calibri" w:hAnsi="Verdana" w:cs="Arial"/>
          <w:color w:val="000000" w:themeColor="text1"/>
          <w:lang w:val="es-ES" w:eastAsia="es-ES"/>
        </w:rPr>
        <w:t xml:space="preserve">en la cual manifiesta lo siguiente: </w:t>
      </w:r>
    </w:p>
    <w:p w14:paraId="2B9E4B0C" w14:textId="77777777" w:rsidR="00FA669F" w:rsidRDefault="00FA669F" w:rsidP="00FA669F">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72B1CE31" w14:textId="77777777" w:rsidR="00FA669F" w:rsidRPr="000B5978" w:rsidRDefault="00FA669F" w:rsidP="00FA669F">
      <w:pPr>
        <w:spacing w:after="0" w:line="240" w:lineRule="auto"/>
        <w:ind w:left="709" w:right="709"/>
        <w:jc w:val="both"/>
        <w:rPr>
          <w:rFonts w:ascii="Verdana" w:eastAsia="Century Gothic" w:hAnsi="Verdana" w:cs="Century Gothic"/>
          <w:i/>
          <w:iCs/>
          <w:color w:val="000000" w:themeColor="text1"/>
          <w:sz w:val="20"/>
          <w:szCs w:val="20"/>
          <w:lang w:val="es-ES"/>
        </w:rPr>
      </w:pPr>
      <w:r w:rsidRPr="00104557">
        <w:rPr>
          <w:rFonts w:ascii="Verdana" w:eastAsia="Century Gothic" w:hAnsi="Verdana" w:cs="Century Gothic"/>
          <w:i/>
          <w:iCs/>
          <w:color w:val="000000" w:themeColor="text1"/>
          <w:sz w:val="20"/>
          <w:szCs w:val="20"/>
          <w:lang w:val="es-ES"/>
        </w:rPr>
        <w:t>“</w:t>
      </w:r>
      <w:r w:rsidRPr="000B5978">
        <w:rPr>
          <w:rFonts w:ascii="Verdana" w:eastAsia="Century Gothic" w:hAnsi="Verdana" w:cs="Century Gothic"/>
          <w:i/>
          <w:iCs/>
          <w:color w:val="000000" w:themeColor="text1"/>
          <w:sz w:val="20"/>
          <w:szCs w:val="20"/>
        </w:rPr>
        <w:t xml:space="preserve">Por medio de la presente se solicita respetuosamente a la Agencia Nacional de Contratación Pública - Colombia Compra Eficiente nos informe si es posible que una empresa que presentó pérdida operacional en la vigencia 2025 tiene posibilidades de participar bajo la modalidad de </w:t>
      </w:r>
      <w:r w:rsidRPr="000B5978">
        <w:rPr>
          <w:rFonts w:ascii="Verdana" w:eastAsia="Century Gothic" w:hAnsi="Verdana" w:cs="Century Gothic"/>
          <w:i/>
          <w:iCs/>
          <w:color w:val="000000" w:themeColor="text1"/>
          <w:sz w:val="20"/>
          <w:szCs w:val="20"/>
        </w:rPr>
        <w:lastRenderedPageBreak/>
        <w:t>proponente plural (Unión Temporal o Consorcio), en procesos de contratación pública que se publiquen en el SECOP, dado que sus indicadores de Rentabilidad del Patrimonio y Rentabilidad del Activo serán negativos</w:t>
      </w:r>
      <w:r>
        <w:rPr>
          <w:rFonts w:ascii="Verdana" w:eastAsia="Century Gothic" w:hAnsi="Verdana" w:cs="Century Gothic"/>
          <w:i/>
          <w:iCs/>
          <w:color w:val="000000" w:themeColor="text1"/>
          <w:sz w:val="20"/>
          <w:szCs w:val="20"/>
        </w:rPr>
        <w:t>”</w:t>
      </w:r>
      <w:r w:rsidRPr="000B5978">
        <w:rPr>
          <w:rFonts w:ascii="Verdana" w:eastAsia="Century Gothic" w:hAnsi="Verdana" w:cs="Century Gothic"/>
          <w:i/>
          <w:iCs/>
          <w:color w:val="000000" w:themeColor="text1"/>
          <w:sz w:val="20"/>
          <w:szCs w:val="20"/>
        </w:rPr>
        <w:t xml:space="preserve">. </w:t>
      </w:r>
    </w:p>
    <w:p w14:paraId="2A402EE7" w14:textId="77777777" w:rsidR="00FA669F" w:rsidRPr="000B5978" w:rsidRDefault="00FA669F" w:rsidP="00FA669F">
      <w:pPr>
        <w:spacing w:after="0" w:line="240" w:lineRule="auto"/>
        <w:ind w:left="709" w:right="709"/>
        <w:jc w:val="both"/>
        <w:rPr>
          <w:rFonts w:ascii="Verdana" w:eastAsia="Century Gothic" w:hAnsi="Verdana" w:cs="Century Gothic"/>
          <w:i/>
          <w:iCs/>
          <w:color w:val="000000" w:themeColor="text1"/>
          <w:sz w:val="20"/>
          <w:szCs w:val="20"/>
        </w:rPr>
      </w:pPr>
    </w:p>
    <w:p w14:paraId="7B542C8E" w14:textId="77777777" w:rsidR="00FA669F" w:rsidRPr="00CF5ED9" w:rsidRDefault="00FA669F" w:rsidP="00FA669F">
      <w:pPr>
        <w:spacing w:after="0" w:line="240" w:lineRule="auto"/>
        <w:ind w:left="709" w:right="709"/>
        <w:jc w:val="both"/>
        <w:rPr>
          <w:rFonts w:ascii="Verdana" w:eastAsia="Century Gothic" w:hAnsi="Verdana" w:cs="Century Gothic"/>
          <w:i/>
          <w:iCs/>
          <w:color w:val="000000" w:themeColor="text1"/>
          <w:sz w:val="20"/>
          <w:szCs w:val="20"/>
        </w:rPr>
      </w:pPr>
      <w:r w:rsidRPr="000B5978">
        <w:rPr>
          <w:rFonts w:ascii="Verdana" w:eastAsia="Century Gothic" w:hAnsi="Verdana" w:cs="Century Gothic"/>
          <w:i/>
          <w:iCs/>
          <w:color w:val="000000" w:themeColor="text1"/>
          <w:sz w:val="20"/>
          <w:szCs w:val="20"/>
        </w:rPr>
        <w:t xml:space="preserve">Si bien es claro que la participación en cualquier convocatoria del SECOP está sujeta al cumplimiento del pliego de condiciones que publique la entidad, preocupa que un proponente plural sea descalificado por el mero hecho de que una de las empresas que lo conforme tenga indicadores negativos, </w:t>
      </w:r>
      <w:proofErr w:type="spellStart"/>
      <w:r w:rsidRPr="000B5978">
        <w:rPr>
          <w:rFonts w:ascii="Verdana" w:eastAsia="Century Gothic" w:hAnsi="Verdana" w:cs="Century Gothic"/>
          <w:i/>
          <w:iCs/>
          <w:color w:val="000000" w:themeColor="text1"/>
          <w:sz w:val="20"/>
          <w:szCs w:val="20"/>
        </w:rPr>
        <w:t>aún</w:t>
      </w:r>
      <w:proofErr w:type="spellEnd"/>
      <w:r w:rsidRPr="000B5978">
        <w:rPr>
          <w:rFonts w:ascii="Verdana" w:eastAsia="Century Gothic" w:hAnsi="Verdana" w:cs="Century Gothic"/>
          <w:i/>
          <w:iCs/>
          <w:color w:val="000000" w:themeColor="text1"/>
          <w:sz w:val="20"/>
          <w:szCs w:val="20"/>
        </w:rPr>
        <w:t xml:space="preserve"> cuando se cumpla en conjunto con los indicadores exigidos.</w:t>
      </w:r>
      <w:r>
        <w:rPr>
          <w:rFonts w:ascii="Verdana" w:eastAsia="Century Gothic" w:hAnsi="Verdana" w:cs="Century Gothic"/>
          <w:i/>
          <w:iCs/>
          <w:color w:val="000000" w:themeColor="text1"/>
          <w:sz w:val="20"/>
          <w:szCs w:val="20"/>
          <w:lang w:val="es-MX"/>
        </w:rPr>
        <w:t>“</w:t>
      </w:r>
    </w:p>
    <w:p w14:paraId="673E3F37" w14:textId="77777777" w:rsidR="00FA669F" w:rsidRDefault="00FA669F" w:rsidP="00FA669F">
      <w:pPr>
        <w:spacing w:after="0" w:line="240" w:lineRule="auto"/>
        <w:ind w:left="709" w:right="709"/>
        <w:jc w:val="both"/>
        <w:rPr>
          <w:rFonts w:ascii="Verdana" w:eastAsia="Century Gothic" w:hAnsi="Verdana" w:cs="Century Gothic"/>
          <w:i/>
          <w:iCs/>
          <w:color w:val="000000" w:themeColor="text1"/>
          <w:sz w:val="20"/>
          <w:szCs w:val="20"/>
          <w:lang w:val="es-ES"/>
        </w:rPr>
      </w:pPr>
    </w:p>
    <w:p w14:paraId="1CB86CE4" w14:textId="57BE4965" w:rsidR="00FA669F" w:rsidRPr="00115E3D" w:rsidRDefault="00FA669F" w:rsidP="009035FE">
      <w:pPr>
        <w:spacing w:after="12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A3615F5" w14:textId="77777777" w:rsidR="00FA669F" w:rsidRPr="00115E3D" w:rsidRDefault="00FA669F" w:rsidP="00FA669F">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37F53B82" w14:textId="77777777" w:rsidR="00FA669F" w:rsidRPr="00115E3D" w:rsidRDefault="00FA669F" w:rsidP="00FA669F">
      <w:pPr>
        <w:spacing w:after="0" w:line="276" w:lineRule="auto"/>
        <w:ind w:firstLine="709"/>
        <w:jc w:val="both"/>
        <w:rPr>
          <w:rFonts w:ascii="Verdana" w:eastAsia="Calibri" w:hAnsi="Verdana" w:cs="Arial"/>
          <w:color w:val="000000" w:themeColor="text1"/>
          <w:lang w:val="es-ES" w:eastAsia="es-ES"/>
        </w:rPr>
      </w:pPr>
    </w:p>
    <w:p w14:paraId="55F8CC75" w14:textId="77777777" w:rsidR="00FA669F" w:rsidRPr="00115E3D" w:rsidRDefault="00FA669F" w:rsidP="00FA669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44C8835D" w14:textId="77777777" w:rsidR="00FA669F" w:rsidRPr="00115E3D" w:rsidRDefault="00FA669F" w:rsidP="00FA669F">
      <w:pPr>
        <w:tabs>
          <w:tab w:val="left" w:pos="426"/>
        </w:tabs>
        <w:spacing w:after="0" w:line="276" w:lineRule="auto"/>
        <w:jc w:val="both"/>
        <w:rPr>
          <w:rFonts w:ascii="Verdana" w:eastAsia="Century Gothic" w:hAnsi="Verdana" w:cs="Century Gothic"/>
          <w:color w:val="000000" w:themeColor="text1"/>
          <w:lang w:val="es-ES"/>
        </w:rPr>
      </w:pPr>
    </w:p>
    <w:p w14:paraId="5B645EF9" w14:textId="77777777" w:rsidR="00FA669F" w:rsidRDefault="00FA669F" w:rsidP="00FA669F">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Pr>
          <w:rFonts w:ascii="Verdana" w:eastAsia="Century Gothic" w:hAnsi="Verdana" w:cs="Century Gothic"/>
          <w:color w:val="000000" w:themeColor="text1"/>
        </w:rPr>
        <w:t xml:space="preserve"> </w:t>
      </w:r>
      <w:r w:rsidRPr="00312C79">
        <w:rPr>
          <w:rFonts w:ascii="Verdana" w:hAnsi="Verdana"/>
        </w:rPr>
        <w:t>¿Puede una entidad estatal descalificar a un proponente plural por el hecho de que uno de sus integrantes presente indicadores negativos de rentabilidad, aun cuando el proponente plural, evaluado conforme a las reglas del proceso, cumpla los requisitos financieros y organizacionales exigidos?</w:t>
      </w:r>
    </w:p>
    <w:p w14:paraId="349C6EA5" w14:textId="77777777" w:rsidR="00FA669F" w:rsidRPr="00B511C1" w:rsidRDefault="00FA669F" w:rsidP="00FA669F">
      <w:pPr>
        <w:spacing w:after="0" w:line="276" w:lineRule="auto"/>
        <w:jc w:val="both"/>
        <w:rPr>
          <w:rFonts w:ascii="Verdana" w:eastAsia="Century Gothic" w:hAnsi="Verdana" w:cs="Century Gothic"/>
          <w:color w:val="000000" w:themeColor="text1"/>
        </w:rPr>
      </w:pPr>
    </w:p>
    <w:p w14:paraId="704D70E7" w14:textId="77777777" w:rsidR="00FA669F" w:rsidRPr="00115E3D" w:rsidRDefault="00FA669F" w:rsidP="00FA66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65F13A43" w14:textId="77777777" w:rsidR="00FA669F" w:rsidRPr="00115E3D" w:rsidRDefault="00FA669F" w:rsidP="00FA669F">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A669F" w:rsidRPr="00115E3D" w14:paraId="13F0694E" w14:textId="77777777" w:rsidTr="00E83E74">
        <w:trPr>
          <w:trHeight w:val="774"/>
        </w:trPr>
        <w:tc>
          <w:tcPr>
            <w:tcW w:w="8828" w:type="dxa"/>
          </w:tcPr>
          <w:p w14:paraId="72550F5A"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De conformidad con el artículo 7 de la Ley 80 de 1993, los consorcios y las uniones temporales constituyen mecanismos de asociación mediante los cuales dos o más personas naturales o jurídicas presentan conjuntamente una propuesta para la adjudicación, celebración y ejecución de un contrato estatal. Aunque estas figuras no dan lugar al nacimiento de una persona jurídica distinta de sus integrantes, la ley les reconoce capacidad para contratar con el Estado, ejecutar las obligaciones derivadas del contrato y ejercer los derechos que de este se desprenden.</w:t>
            </w:r>
          </w:p>
          <w:p w14:paraId="443AE8EE"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En el caso de los consorcios, los integrantes responden solidariamente por la totalidad de las obligaciones derivadas de la propuesta y del contrato, de manera que las actuaciones, hechos u omisiones que se presenten durante la ejecución contractual afectan a todos sus miembros. Por su parte, en las uniones temporales los integrantes también responden solidariamente por el cumplimiento de la propuesta y del objeto contratado; sin embargo, las sanciones derivadas del incumplimiento se imponen de acuerdo con la participación de cada miembro en la ejecución del contrato.</w:t>
            </w:r>
          </w:p>
          <w:p w14:paraId="2306C868"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La Corte Constitucional, en la Sentencia C-414 de 1994</w:t>
            </w:r>
            <w:r>
              <w:rPr>
                <w:rStyle w:val="Refdenotaalpie"/>
                <w:rFonts w:ascii="Verdana" w:eastAsia="Arial" w:hAnsi="Verdana" w:cs="Arial"/>
              </w:rPr>
              <w:footnoteReference w:id="2"/>
            </w:r>
            <w:r w:rsidRPr="00312C79">
              <w:rPr>
                <w:rFonts w:ascii="Verdana" w:eastAsia="Arial" w:hAnsi="Verdana" w:cs="Arial"/>
              </w:rPr>
              <w:t>, señaló que el consorcio constituye una figura propia del derecho privado que opera como un instrumento de cooperación empresarial, mediante el cual varias personas unen esfuerzos para participar en la celebración y ejecución de contratos estatales, sin perder por ello su individualidad jurídica.</w:t>
            </w:r>
          </w:p>
          <w:p w14:paraId="5642FE5E"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En concordancia con lo anterior, el numeral 3.3 del Manual para Determinar y Verificar los Requisitos Habilitantes en los Procesos de Contratación</w:t>
            </w:r>
            <w:r>
              <w:rPr>
                <w:rStyle w:val="Refdenotaalpie"/>
                <w:rFonts w:ascii="Verdana" w:eastAsia="Arial" w:hAnsi="Verdana" w:cs="Arial"/>
              </w:rPr>
              <w:footnoteReference w:id="3"/>
            </w:r>
            <w:r w:rsidRPr="00312C79">
              <w:rPr>
                <w:rFonts w:ascii="Verdana" w:eastAsia="Arial" w:hAnsi="Verdana" w:cs="Arial"/>
              </w:rPr>
              <w:t xml:space="preserve"> – V3 de Colombia Compra Eficiente define los consorcios y las uniones temporales como mecanismos de colaboración empresarial mediante los cuales sus integrantes comparten recursos técnicos, financieros y organizacionales con el propósito de incrementar sus capacidades para participar en procesos de selección y ejecutar contratos estatales.</w:t>
            </w:r>
          </w:p>
          <w:p w14:paraId="63254C04"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lastRenderedPageBreak/>
              <w:t xml:space="preserve">        </w:t>
            </w:r>
            <w:r w:rsidRPr="00312C79">
              <w:rPr>
                <w:rFonts w:ascii="Verdana" w:eastAsia="Arial" w:hAnsi="Verdana" w:cs="Arial"/>
              </w:rPr>
              <w:t>De esta manera, la finalidad de las estructuras plurales consiste precisamente en permitir que sus integrantes aúnen esfuerzos y capacidades para acreditar las condiciones mínimas exigidas por las entidades estatales. Dentro de dichas condiciones se encuentran los requisitos habilitantes relacionados con la capacidad financiera y la capacidad organizacional, los cuales constituyen mecanismos para verificar que el oferente cuenta con las condiciones necesarias para ejecutar adecuada y oportunamente el contrato.</w:t>
            </w:r>
          </w:p>
          <w:p w14:paraId="28E21690"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En atención a la posibilidad legal de que los requisitos habilitantes sean acreditados a través de consorcios o uniones temporales, el numeral 5.4 del Manual para Determinar y Verificar los Requisitos Habilitantes en los Procesos de Contratación – V3 establece que las entidades estatales deben definir y justificar en los documentos del proceso la metodología aplicable para calcular los indicadores financieros y organizacionales de los proponentes plurales a partir de la información de cada uno de sus integrantes.</w:t>
            </w:r>
          </w:p>
          <w:p w14:paraId="04885561"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Las metodologías previstas por Colombia Compra Eficiente permiten que la entidad estatal determine los indicadores financieros y organizacionales del proponente plural mediante mecanismos simples o ponderados, según se tenga o no en cuenta el porcentaje de participación de cada integrante dentro de la estructura plural. En todo caso, dichas metodologías tienen como finalidad determinar la capacidad financiera y organizacional del oferente plural considerado integralmente.</w:t>
            </w:r>
          </w:p>
          <w:p w14:paraId="7D400D27"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Sobre este aspecto, el Manual señala expresamente que las metodologías que incorporan ponderación según la participación de cada integrante permiten una evaluación más precisa del nivel de solvencia financiera del proponente plural en su conjunto, toda vez que la contribución de cada miembro es valorada proporcionalmente a su grado de participación en la ejecución contractual.</w:t>
            </w:r>
          </w:p>
          <w:p w14:paraId="1D4583BC" w14:textId="2CD19DA0" w:rsidR="00FA669F" w:rsidRPr="00312C79" w:rsidRDefault="00FA669F" w:rsidP="00E83E74">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 xml:space="preserve">Así las cosas, </w:t>
            </w:r>
            <w:r>
              <w:rPr>
                <w:rFonts w:ascii="Verdana" w:eastAsia="Arial" w:hAnsi="Verdana" w:cs="Arial"/>
              </w:rPr>
              <w:t>en atención al</w:t>
            </w:r>
            <w:r w:rsidRPr="00043F94">
              <w:rPr>
                <w:rFonts w:ascii="Verdana" w:eastAsia="Arial" w:hAnsi="Verdana" w:cs="Arial"/>
              </w:rPr>
              <w:t xml:space="preserve"> estudio efectuado por </w:t>
            </w:r>
            <w:r>
              <w:rPr>
                <w:rFonts w:ascii="Verdana" w:eastAsia="Arial" w:hAnsi="Verdana" w:cs="Arial"/>
              </w:rPr>
              <w:t>el apoyo financiero de esta Subdirección Contractual</w:t>
            </w:r>
            <w:r w:rsidRPr="00312C79">
              <w:rPr>
                <w:rFonts w:ascii="Verdana" w:eastAsia="Arial" w:hAnsi="Verdana" w:cs="Arial"/>
              </w:rPr>
              <w:t xml:space="preserve"> el análisis de los indicadores financieros y organizacionales en el caso de los consorcios y uniones temporales no se orienta, en principio, a evaluar aisladamente la situación financiera de cada uno de sus integrantes, sino a establecer si el proponente plural, considerado como oferente dentro del proceso de selección, acredita las condiciones mínimas exigidas por la entidad estatal para la ejecución del contrato.</w:t>
            </w:r>
          </w:p>
          <w:p w14:paraId="0EDB92CD" w14:textId="77777777" w:rsidR="00FA669F" w:rsidRPr="00312C79" w:rsidRDefault="00FA669F" w:rsidP="00E83E74">
            <w:pPr>
              <w:spacing w:after="120" w:line="276" w:lineRule="auto"/>
              <w:jc w:val="both"/>
              <w:rPr>
                <w:rFonts w:ascii="Verdana" w:eastAsia="Arial" w:hAnsi="Verdana" w:cs="Arial"/>
              </w:rPr>
            </w:pPr>
            <w:r>
              <w:rPr>
                <w:rFonts w:ascii="Verdana" w:eastAsia="Arial" w:hAnsi="Verdana" w:cs="Arial"/>
              </w:rPr>
              <w:lastRenderedPageBreak/>
              <w:t xml:space="preserve">            </w:t>
            </w:r>
            <w:r w:rsidRPr="00312C79">
              <w:rPr>
                <w:rFonts w:ascii="Verdana" w:eastAsia="Arial" w:hAnsi="Verdana" w:cs="Arial"/>
              </w:rPr>
              <w:t xml:space="preserve">En consecuencia, la circunstancia de que uno de los integrantes de una estructura plural presente pérdida operacional o registre indicadores negativos de rentabilidad del patrimonio o rentabilidad del activo no conduce, por sí misma, a concluir que el proponente plural incumple los requisitos habilitantes. Lo jurídicamente relevante será verificar el resultado obtenido por el consorcio o la unión temporal al aplicar la metodología de cálculo prevista en los documentos del proceso, con el fin de determinar si el </w:t>
            </w:r>
            <w:r w:rsidRPr="009035FE">
              <w:rPr>
                <w:rFonts w:ascii="Verdana" w:eastAsia="Arial" w:hAnsi="Verdana" w:cs="Arial"/>
              </w:rPr>
              <w:t>proponente plural, evaluado en su conjunto</w:t>
            </w:r>
            <w:r w:rsidRPr="00312C79">
              <w:rPr>
                <w:rFonts w:ascii="Verdana" w:eastAsia="Arial" w:hAnsi="Verdana" w:cs="Arial"/>
              </w:rPr>
              <w:t>, cumple las exigencias de capacidad financiera y organizacional definidas por la entidad estatal.</w:t>
            </w:r>
          </w:p>
          <w:p w14:paraId="189B6B3D" w14:textId="77777777" w:rsidR="00FA669F" w:rsidRPr="00B643B2" w:rsidRDefault="00FA669F" w:rsidP="00E83E74">
            <w:pPr>
              <w:spacing w:after="120" w:line="276" w:lineRule="auto"/>
              <w:jc w:val="both"/>
              <w:rPr>
                <w:rFonts w:ascii="Verdana" w:eastAsia="Calibri" w:hAnsi="Verdana"/>
              </w:rPr>
            </w:pPr>
            <w:r w:rsidRPr="005E0DA4">
              <w:rPr>
                <w:rFonts w:ascii="Verdana" w:eastAsia="Arial" w:hAnsi="Verdana" w:cs="Arial"/>
              </w:rPr>
              <w:t xml:space="preserve"> </w:t>
            </w:r>
            <w:r w:rsidRPr="009924B0">
              <w:rPr>
                <w:rFonts w:ascii="Verdana" w:eastAsia="Arial" w:hAnsi="Verdana" w:cs="Arial"/>
              </w:rPr>
              <w:t xml:space="preserve"> </w:t>
            </w: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1D6DAF72" w14:textId="77777777" w:rsidR="00FA669F" w:rsidRPr="0029110A" w:rsidRDefault="00FA669F" w:rsidP="00E83E74">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3CF13B59" w14:textId="77777777" w:rsidR="00FA669F" w:rsidRDefault="00FA669F" w:rsidP="00FA669F">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D7EA6E4" w14:textId="77777777" w:rsidR="00FA669F" w:rsidRDefault="00FA669F" w:rsidP="00FA669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ED53F56" w14:textId="77777777" w:rsidR="00FA669F" w:rsidRDefault="00FA669F" w:rsidP="009035FE">
      <w:pPr>
        <w:spacing w:after="0" w:line="276" w:lineRule="auto"/>
        <w:jc w:val="both"/>
        <w:rPr>
          <w:rFonts w:ascii="Verdana" w:hAnsi="Verdana"/>
        </w:rPr>
      </w:pPr>
    </w:p>
    <w:p w14:paraId="65EB9D28" w14:textId="77777777" w:rsidR="00FA669F" w:rsidRPr="003B7A7F" w:rsidRDefault="00FA669F" w:rsidP="009035FE">
      <w:pPr>
        <w:spacing w:after="0" w:line="276" w:lineRule="auto"/>
        <w:jc w:val="both"/>
        <w:rPr>
          <w:rFonts w:ascii="Verdana" w:eastAsia="Calibri" w:hAnsi="Verdana" w:cs="Arial"/>
          <w:b/>
          <w:bCs/>
          <w:lang w:eastAsia="es-MX"/>
        </w:rPr>
      </w:pPr>
      <w:r>
        <w:rPr>
          <w:rFonts w:ascii="Verdana" w:hAnsi="Verdana"/>
        </w:rPr>
        <w:t>Lo anterior se sustenta en las siguientes consideraciones:</w:t>
      </w:r>
    </w:p>
    <w:p w14:paraId="42277221" w14:textId="77777777" w:rsidR="00B11E07" w:rsidRDefault="00B11E07" w:rsidP="00B11E07">
      <w:pPr>
        <w:spacing w:after="0" w:line="276" w:lineRule="auto"/>
        <w:jc w:val="both"/>
        <w:rPr>
          <w:rFonts w:ascii="Verdana" w:hAnsi="Verdana" w:cs="Arial"/>
          <w:color w:val="000000" w:themeColor="text1"/>
          <w:lang w:val="es-ES_tradnl"/>
        </w:rPr>
      </w:pPr>
    </w:p>
    <w:p w14:paraId="5CF59CA0" w14:textId="3701AE6C" w:rsidR="00FA669F" w:rsidRPr="00886F14" w:rsidRDefault="00FA669F" w:rsidP="009035FE">
      <w:pPr>
        <w:spacing w:after="120" w:line="276" w:lineRule="auto"/>
        <w:jc w:val="both"/>
        <w:rPr>
          <w:rFonts w:ascii="Verdana" w:hAnsi="Verdana" w:cs="Arial"/>
          <w:color w:val="000000" w:themeColor="text1"/>
          <w:lang w:val="es-ES_tradnl"/>
        </w:rPr>
      </w:pPr>
      <w:r>
        <w:rPr>
          <w:rFonts w:ascii="Verdana" w:hAnsi="Verdana" w:cs="Arial"/>
          <w:color w:val="000000" w:themeColor="text1"/>
          <w:lang w:val="es-ES_tradnl"/>
        </w:rPr>
        <w:t>De manera preliminar es pertinente indicar que l</w:t>
      </w:r>
      <w:r w:rsidRPr="00886F14">
        <w:rPr>
          <w:rFonts w:ascii="Verdana" w:hAnsi="Verdana" w:cs="Arial"/>
          <w:color w:val="000000" w:themeColor="text1"/>
          <w:lang w:val="es-ES_tradnl"/>
        </w:rPr>
        <w:t xml:space="preserve">os </w:t>
      </w:r>
      <w:r w:rsidRPr="0090373B">
        <w:rPr>
          <w:rFonts w:ascii="Verdana" w:hAnsi="Verdana" w:cs="Arial"/>
          <w:color w:val="000000" w:themeColor="text1"/>
          <w:lang w:val="es-ES_tradnl"/>
        </w:rPr>
        <w:t>requisitos habilitantes</w:t>
      </w:r>
      <w:r w:rsidRPr="00886F14">
        <w:rPr>
          <w:rFonts w:ascii="Verdana" w:hAnsi="Verdana" w:cs="Arial"/>
          <w:color w:val="000000" w:themeColor="text1"/>
          <w:lang w:val="es-ES_tradnl"/>
        </w:rPr>
        <w:t xml:space="preserve"> se definen como exigencias de participación en los procedimientos de selección, establecidos en disposiciones normativas, de carácter legal o reglamentario, o las contenidas en el acto administrativo que regula las reglas de la convocatoria, es decir, en el pliego de condiciones o el documento equivalente a este. Se </w:t>
      </w:r>
      <w:r w:rsidRPr="00886F14">
        <w:rPr>
          <w:rFonts w:ascii="Verdana" w:hAnsi="Verdana" w:cs="Arial"/>
          <w:color w:val="000000" w:themeColor="text1"/>
          <w:lang w:val="es-ES_tradnl"/>
        </w:rPr>
        <w:lastRenderedPageBreak/>
        <w:t xml:space="preserve">diferencian de los </w:t>
      </w:r>
      <w:r w:rsidRPr="00886F14">
        <w:rPr>
          <w:rFonts w:ascii="Verdana" w:hAnsi="Verdana" w:cs="Arial"/>
          <w:i/>
          <w:iCs/>
          <w:color w:val="000000" w:themeColor="text1"/>
          <w:lang w:val="es-ES_tradnl"/>
        </w:rPr>
        <w:t>criterios de evaluación</w:t>
      </w:r>
      <w:r w:rsidRPr="00886F14">
        <w:rPr>
          <w:rFonts w:ascii="Verdana" w:hAnsi="Verdana" w:cs="Arial"/>
          <w:color w:val="000000" w:themeColor="text1"/>
          <w:lang w:val="es-ES_tradnl"/>
        </w:rPr>
        <w:t xml:space="preserve"> –también conocidos como </w:t>
      </w:r>
      <w:r w:rsidRPr="00886F14">
        <w:rPr>
          <w:rFonts w:ascii="Verdana" w:hAnsi="Verdana" w:cs="Arial"/>
          <w:i/>
          <w:iCs/>
          <w:color w:val="000000" w:themeColor="text1"/>
          <w:lang w:val="es-ES_tradnl"/>
        </w:rPr>
        <w:t>criterios de calificación</w:t>
      </w:r>
      <w:r w:rsidRPr="00886F14">
        <w:rPr>
          <w:rFonts w:ascii="Verdana" w:hAnsi="Verdana" w:cs="Arial"/>
          <w:color w:val="000000" w:themeColor="text1"/>
          <w:lang w:val="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55868C1A" w14:textId="77777777" w:rsidR="00FA669F" w:rsidRPr="00886F14" w:rsidRDefault="00FA669F" w:rsidP="00FA669F">
      <w:pPr>
        <w:spacing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 xml:space="preserve">  </w:t>
      </w:r>
      <w:r w:rsidRPr="00886F14">
        <w:rPr>
          <w:rFonts w:ascii="Verdana" w:hAnsi="Verdana" w:cs="Arial"/>
          <w:color w:val="000000" w:themeColor="text1"/>
          <w:lang w:val="es-ES_tradnl"/>
        </w:rPr>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w:t>
      </w:r>
      <w:r>
        <w:rPr>
          <w:rFonts w:ascii="Verdana" w:hAnsi="Verdana" w:cs="Arial"/>
          <w:color w:val="000000" w:themeColor="text1"/>
          <w:lang w:val="es-ES_tradnl"/>
        </w:rPr>
        <w:t>. D</w:t>
      </w:r>
      <w:r w:rsidRPr="00886F14">
        <w:rPr>
          <w:rFonts w:ascii="Verdana" w:hAnsi="Verdana" w:cs="Arial"/>
          <w:color w:val="000000" w:themeColor="text1"/>
          <w:lang w:val="es-ES_tradnl"/>
        </w:rPr>
        <w:t xml:space="preserve">e </w:t>
      </w:r>
      <w:r>
        <w:rPr>
          <w:rFonts w:ascii="Verdana" w:hAnsi="Verdana" w:cs="Arial"/>
          <w:color w:val="000000" w:themeColor="text1"/>
          <w:lang w:val="es-ES_tradnl"/>
        </w:rPr>
        <w:t xml:space="preserve">esta </w:t>
      </w:r>
      <w:r w:rsidRPr="00886F14">
        <w:rPr>
          <w:rFonts w:ascii="Verdana" w:hAnsi="Verdana" w:cs="Arial"/>
          <w:color w:val="000000" w:themeColor="text1"/>
          <w:lang w:val="es-ES_tradnl"/>
        </w:rPr>
        <w:t>manera</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quienes no los reúnan no pueden continuar en el procedimiento de selección, </w:t>
      </w:r>
      <w:r>
        <w:rPr>
          <w:rFonts w:ascii="Verdana" w:hAnsi="Verdana" w:cs="Arial"/>
          <w:color w:val="000000" w:themeColor="text1"/>
          <w:lang w:val="es-ES_tradnl"/>
        </w:rPr>
        <w:t>es decir</w:t>
      </w:r>
      <w:r w:rsidRPr="00886F14">
        <w:rPr>
          <w:rFonts w:ascii="Verdana" w:hAnsi="Verdana" w:cs="Arial"/>
          <w:color w:val="000000" w:themeColor="text1"/>
          <w:lang w:val="es-ES_tradnl"/>
        </w:rPr>
        <w:t>, incurren en causal de rechazo. Esto</w:t>
      </w:r>
      <w:r>
        <w:rPr>
          <w:rFonts w:ascii="Verdana" w:hAnsi="Verdana" w:cs="Arial"/>
          <w:color w:val="000000" w:themeColor="text1"/>
          <w:lang w:val="es-ES_tradnl"/>
        </w:rPr>
        <w:t>,</w:t>
      </w:r>
      <w:r w:rsidRPr="00886F14">
        <w:rPr>
          <w:rFonts w:ascii="Verdana" w:hAnsi="Verdana" w:cs="Arial"/>
          <w:color w:val="000000" w:themeColor="text1"/>
          <w:lang w:val="es-ES_tradnl"/>
        </w:rPr>
        <w:t xml:space="preserve"> sin perjuicio del derecho que tienen los oferentes de subsanar los defectos que se presenten en la prueba de tales requisitos, de conformidad con el artículo 5, parágrafos 1º al 4º, de la Ley 1150 de 2007.</w:t>
      </w:r>
    </w:p>
    <w:p w14:paraId="25B9A374" w14:textId="77777777" w:rsidR="00FA669F" w:rsidRDefault="00FA669F" w:rsidP="00FA669F">
      <w:pPr>
        <w:spacing w:after="120" w:line="276" w:lineRule="auto"/>
        <w:ind w:firstLine="708"/>
        <w:jc w:val="both"/>
        <w:rPr>
          <w:rFonts w:ascii="Verdana" w:hAnsi="Verdana" w:cs="Arial"/>
          <w:color w:val="000000" w:themeColor="text1"/>
          <w:lang w:val="es-ES_tradnl"/>
        </w:rPr>
      </w:pPr>
      <w:r w:rsidRPr="00886F14">
        <w:rPr>
          <w:rFonts w:ascii="Verdana" w:hAnsi="Verdana" w:cs="Arial"/>
          <w:color w:val="000000" w:themeColor="text1"/>
          <w:lang w:val="es-ES_tradnl"/>
        </w:rPr>
        <w:t>El mencionado artículo dispone que se considera objetiva la selección en la cual la escogencia se haga al ofrecimiento más favorable a la Entidad y a los fines que ella busca, sin tener en consideración factores de afecto o de interés y, en general, cualquier clase de motivación subjetiva</w:t>
      </w:r>
      <w:r w:rsidRPr="00886F14">
        <w:rPr>
          <w:rFonts w:ascii="Verdana" w:hAnsi="Verdana" w:cs="Arial"/>
          <w:i/>
          <w:iCs/>
          <w:color w:val="000000" w:themeColor="text1"/>
          <w:lang w:val="es-ES_tradnl"/>
        </w:rPr>
        <w:t>.</w:t>
      </w:r>
      <w:r w:rsidRPr="00886F14">
        <w:rPr>
          <w:rFonts w:ascii="Verdana" w:hAnsi="Verdana" w:cs="Arial"/>
          <w:color w:val="000000" w:themeColor="text1"/>
          <w:lang w:val="es-ES_tradnl"/>
        </w:rPr>
        <w:t xml:space="preserve"> En ese contexto, los factores de escogencia y calificación que establezcan las Entidades en los pliegos de condiciones o en sus documentos equivalentes deberán tener en cuenta, entre otras cuestiones, los criterios establecidos en dicha disposición. </w:t>
      </w:r>
    </w:p>
    <w:p w14:paraId="5DC06318" w14:textId="77777777" w:rsidR="00FA669F" w:rsidRPr="00886F14" w:rsidRDefault="00FA669F" w:rsidP="00FA669F">
      <w:pPr>
        <w:spacing w:after="0" w:line="276" w:lineRule="auto"/>
        <w:ind w:firstLine="708"/>
        <w:jc w:val="both"/>
        <w:rPr>
          <w:rFonts w:ascii="Verdana" w:hAnsi="Verdana" w:cs="Arial"/>
          <w:color w:val="000000" w:themeColor="text1"/>
          <w:lang w:val="es-ES"/>
        </w:rPr>
      </w:pPr>
      <w:r w:rsidRPr="5D636007">
        <w:rPr>
          <w:rFonts w:ascii="Verdana" w:hAnsi="Verdana" w:cs="Arial"/>
          <w:color w:val="000000" w:themeColor="text1"/>
          <w:lang w:val="es-ES"/>
        </w:rPr>
        <w:t xml:space="preserve">Específicamente, el numeral 1º del referido artículo 5 establece que en los procesos de selección de contratistas serán objeto de verificación, como requisitos habilitantes, </w:t>
      </w:r>
      <w:r w:rsidRPr="5D636007">
        <w:rPr>
          <w:rFonts w:ascii="Verdana" w:hAnsi="Verdana" w:cs="Arial"/>
          <w:i/>
          <w:color w:val="000000" w:themeColor="text1"/>
          <w:lang w:val="es-ES"/>
        </w:rPr>
        <w:t>entre otros</w:t>
      </w:r>
      <w:r w:rsidRPr="5D636007">
        <w:rPr>
          <w:rFonts w:ascii="Verdana" w:hAnsi="Verdana" w:cs="Arial"/>
          <w:color w:val="000000" w:themeColor="text1"/>
          <w:lang w:val="es-ES"/>
        </w:rPr>
        <w:t xml:space="preserve">, los siguientes: i) la capacidad jurídica; </w:t>
      </w:r>
      <w:proofErr w:type="spellStart"/>
      <w:r w:rsidRPr="5D636007">
        <w:rPr>
          <w:rFonts w:ascii="Verdana" w:hAnsi="Verdana" w:cs="Arial"/>
          <w:color w:val="000000" w:themeColor="text1"/>
          <w:lang w:val="es-ES"/>
        </w:rPr>
        <w:t>ii</w:t>
      </w:r>
      <w:proofErr w:type="spellEnd"/>
      <w:r w:rsidRPr="5D636007">
        <w:rPr>
          <w:rFonts w:ascii="Verdana" w:hAnsi="Verdana" w:cs="Arial"/>
          <w:color w:val="000000" w:themeColor="text1"/>
          <w:lang w:val="es-ES"/>
        </w:rPr>
        <w:t>) la experiencia</w:t>
      </w:r>
      <w:r>
        <w:rPr>
          <w:rFonts w:ascii="Verdana" w:hAnsi="Verdana" w:cs="Arial"/>
          <w:color w:val="000000" w:themeColor="text1"/>
          <w:lang w:val="es-ES"/>
        </w:rPr>
        <w:t xml:space="preserve"> – a la que se refiere en su consulta</w:t>
      </w:r>
      <w:r w:rsidRPr="5D636007">
        <w:rPr>
          <w:rFonts w:ascii="Verdana" w:hAnsi="Verdana" w:cs="Arial"/>
          <w:color w:val="000000" w:themeColor="text1"/>
          <w:lang w:val="es-ES"/>
        </w:rPr>
        <w:t xml:space="preserve">; </w:t>
      </w:r>
      <w:proofErr w:type="spellStart"/>
      <w:r w:rsidRPr="5D636007">
        <w:rPr>
          <w:rFonts w:ascii="Verdana" w:hAnsi="Verdana" w:cs="Arial"/>
          <w:color w:val="000000" w:themeColor="text1"/>
          <w:lang w:val="es-ES"/>
        </w:rPr>
        <w:t>iii</w:t>
      </w:r>
      <w:proofErr w:type="spellEnd"/>
      <w:r w:rsidRPr="5D636007">
        <w:rPr>
          <w:rFonts w:ascii="Verdana" w:hAnsi="Verdana" w:cs="Arial"/>
          <w:color w:val="000000" w:themeColor="text1"/>
          <w:lang w:val="es-ES"/>
        </w:rPr>
        <w:t xml:space="preserve">) la capacidad financiera y </w:t>
      </w:r>
      <w:proofErr w:type="spellStart"/>
      <w:r w:rsidRPr="5D636007">
        <w:rPr>
          <w:rFonts w:ascii="Verdana" w:hAnsi="Verdana" w:cs="Arial"/>
          <w:color w:val="000000" w:themeColor="text1"/>
          <w:lang w:val="es-ES"/>
        </w:rPr>
        <w:t>iv</w:t>
      </w:r>
      <w:proofErr w:type="spellEnd"/>
      <w:r w:rsidRPr="5D636007">
        <w:rPr>
          <w:rFonts w:ascii="Verdana" w:hAnsi="Verdana" w:cs="Arial"/>
          <w:color w:val="000000" w:themeColor="text1"/>
          <w:lang w:val="es-ES"/>
        </w:rPr>
        <w:t xml:space="preserve">) la capacidad de organización. En efecto, la normativa citada prescribe lo siguiente: </w:t>
      </w:r>
    </w:p>
    <w:p w14:paraId="38A67446" w14:textId="77777777" w:rsidR="00FA669F" w:rsidRDefault="00FA669F" w:rsidP="00FA669F">
      <w:pPr>
        <w:spacing w:after="0" w:line="240" w:lineRule="auto"/>
        <w:ind w:left="709" w:right="709"/>
        <w:rPr>
          <w:rFonts w:ascii="Verdana" w:hAnsi="Verdana" w:cs="Arial"/>
          <w:i/>
          <w:color w:val="000000" w:themeColor="text1"/>
          <w:sz w:val="20"/>
          <w:szCs w:val="20"/>
          <w:lang w:val="es-ES_tradnl"/>
        </w:rPr>
      </w:pPr>
    </w:p>
    <w:p w14:paraId="64C77220" w14:textId="77777777" w:rsidR="00FA669F" w:rsidRPr="00E123D7" w:rsidRDefault="00FA669F" w:rsidP="00FA669F">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i/>
          <w:color w:val="000000" w:themeColor="text1"/>
          <w:sz w:val="20"/>
          <w:szCs w:val="20"/>
          <w:lang w:val="es-ES_tradnl"/>
        </w:rPr>
        <w:t>“</w:t>
      </w:r>
      <w:r w:rsidRPr="00E123D7">
        <w:rPr>
          <w:rFonts w:ascii="Verdana" w:hAnsi="Verdana" w:cs="Arial"/>
          <w:color w:val="000000" w:themeColor="text1"/>
          <w:sz w:val="20"/>
          <w:szCs w:val="20"/>
          <w:lang w:val="es-ES_tradnl"/>
        </w:rPr>
        <w:t xml:space="preserve">Artículo 5. De la Selección Objetiva. </w:t>
      </w:r>
    </w:p>
    <w:p w14:paraId="52722784" w14:textId="77777777" w:rsidR="00FA669F" w:rsidRPr="00E123D7" w:rsidRDefault="00FA669F" w:rsidP="00FA669F">
      <w:pPr>
        <w:spacing w:after="0" w:line="240" w:lineRule="auto"/>
        <w:ind w:left="709" w:right="709"/>
        <w:rPr>
          <w:rFonts w:ascii="Verdana" w:hAnsi="Verdana" w:cs="Arial"/>
          <w:color w:val="000000" w:themeColor="text1"/>
          <w:sz w:val="20"/>
          <w:szCs w:val="20"/>
          <w:lang w:val="es-ES_tradnl"/>
        </w:rPr>
      </w:pPr>
      <w:r w:rsidRPr="00E123D7">
        <w:rPr>
          <w:rFonts w:ascii="Verdana" w:hAnsi="Verdana" w:cs="Arial"/>
          <w:color w:val="000000" w:themeColor="text1"/>
          <w:sz w:val="20"/>
          <w:szCs w:val="20"/>
          <w:lang w:val="es-ES_tradnl"/>
        </w:rPr>
        <w:t>[…]</w:t>
      </w:r>
    </w:p>
    <w:p w14:paraId="0062D065" w14:textId="77777777" w:rsidR="00FA669F" w:rsidRPr="00E123D7" w:rsidRDefault="00FA669F" w:rsidP="00FA669F">
      <w:pPr>
        <w:pStyle w:val="Prrafodelista"/>
        <w:spacing w:after="0" w:line="240" w:lineRule="auto"/>
        <w:ind w:left="709" w:right="709"/>
        <w:jc w:val="both"/>
        <w:rPr>
          <w:rFonts w:ascii="Verdana" w:eastAsia="Calibri" w:hAnsi="Verdana" w:cs="Arial"/>
          <w:color w:val="000000" w:themeColor="text1"/>
          <w:sz w:val="20"/>
          <w:szCs w:val="20"/>
        </w:rPr>
      </w:pPr>
      <w:r w:rsidRPr="00E123D7">
        <w:rPr>
          <w:rFonts w:ascii="Verdana" w:eastAsia="Calibri" w:hAnsi="Verdana" w:cs="Arial"/>
          <w:color w:val="000000" w:themeColor="text1"/>
          <w:sz w:val="20"/>
          <w:szCs w:val="20"/>
        </w:rPr>
        <w:t xml:space="preserve">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w:t>
      </w:r>
      <w:r w:rsidRPr="00E123D7">
        <w:rPr>
          <w:rFonts w:ascii="Verdana" w:eastAsia="Calibri" w:hAnsi="Verdana" w:cs="Arial"/>
          <w:color w:val="000000" w:themeColor="text1"/>
          <w:sz w:val="20"/>
          <w:szCs w:val="20"/>
        </w:rPr>
        <w:lastRenderedPageBreak/>
        <w:t>condiciones antes señaladas será efectuada por las Cámaras de Comercio de conformidad con lo establecido en el artículo 6 de la presente ley, de acuerdo con lo cual se expedirá la respectiva certificación</w:t>
      </w:r>
      <w:r w:rsidRPr="00E123D7">
        <w:rPr>
          <w:rFonts w:ascii="Verdana" w:eastAsia="Calibri" w:hAnsi="Verdana" w:cs="Arial"/>
          <w:i/>
          <w:color w:val="000000" w:themeColor="text1"/>
          <w:sz w:val="20"/>
          <w:szCs w:val="20"/>
        </w:rPr>
        <w:t>”</w:t>
      </w:r>
      <w:r w:rsidRPr="00E123D7">
        <w:rPr>
          <w:rFonts w:ascii="Verdana" w:eastAsia="Calibri" w:hAnsi="Verdana" w:cs="Arial"/>
          <w:color w:val="000000" w:themeColor="text1"/>
          <w:sz w:val="20"/>
          <w:szCs w:val="20"/>
        </w:rPr>
        <w:t>.</w:t>
      </w:r>
    </w:p>
    <w:p w14:paraId="69E15335" w14:textId="77777777" w:rsidR="00FA669F" w:rsidRPr="00E123D7" w:rsidRDefault="00FA669F" w:rsidP="00FA669F">
      <w:pPr>
        <w:spacing w:after="0" w:line="276" w:lineRule="auto"/>
        <w:ind w:right="709"/>
        <w:jc w:val="both"/>
        <w:rPr>
          <w:rFonts w:ascii="Verdana" w:eastAsia="Calibri" w:hAnsi="Verdana" w:cs="Arial"/>
          <w:color w:val="000000" w:themeColor="text1"/>
          <w:lang w:val="es-ES_tradnl"/>
        </w:rPr>
      </w:pPr>
    </w:p>
    <w:p w14:paraId="75B9EBAE" w14:textId="345A8997" w:rsidR="00FA669F" w:rsidRDefault="00FA669F" w:rsidP="009035FE">
      <w:pPr>
        <w:spacing w:after="120" w:line="276" w:lineRule="auto"/>
        <w:ind w:firstLine="708"/>
        <w:jc w:val="both"/>
        <w:rPr>
          <w:rFonts w:ascii="Verdana" w:eastAsia="Times New Roman" w:hAnsi="Verdana" w:cs="Arial"/>
          <w:lang w:val="es-ES_tradnl" w:eastAsia="es-MX"/>
        </w:rPr>
      </w:pPr>
      <w:bookmarkStart w:id="2" w:name="_Hlk99547809"/>
      <w:bookmarkStart w:id="3" w:name="_Hlk99546625"/>
      <w:r w:rsidRPr="00C94107">
        <w:rPr>
          <w:rFonts w:ascii="Verdana" w:eastAsia="Times New Roman" w:hAnsi="Verdana" w:cs="Arial"/>
          <w:lang w:val="es-ES_tradnl" w:eastAsia="es-MX"/>
        </w:rPr>
        <w:t xml:space="preserve">La Agencia Nacional de Contratación Pública – Colombia Compra Eficiente ha defendido el carácter </w:t>
      </w:r>
      <w:bookmarkStart w:id="4" w:name="_Hlk99547799"/>
      <w:r w:rsidRPr="00C94107">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mencionada disposición, al referirse a los requisitos habilitantes, no contiene una expresión como “únicamente” o “solo”, de la que pueda colegirse la taxatividad de los requisitos señalados. </w:t>
      </w:r>
      <w:bookmarkEnd w:id="2"/>
      <w:bookmarkEnd w:id="4"/>
      <w:r w:rsidRPr="00C94107">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Estatales, de las que derivan requisitos habilitantes, como sucede, por ejemplo, con la capacidad residual a la que se refiere el artículo 6º, parágrafo 1, de la Ley 1150 de 2007</w:t>
      </w:r>
      <w:bookmarkEnd w:id="3"/>
      <w:r w:rsidRPr="00C94107">
        <w:rPr>
          <w:rFonts w:ascii="Verdana" w:eastAsia="Times New Roman" w:hAnsi="Verdana" w:cs="Arial"/>
          <w:vertAlign w:val="superscript"/>
          <w:lang w:val="es-ES_tradnl" w:eastAsia="es-MX"/>
        </w:rPr>
        <w:footnoteReference w:id="4"/>
      </w:r>
      <w:r w:rsidRPr="00C94107">
        <w:rPr>
          <w:rFonts w:ascii="Verdana" w:eastAsia="Times New Roman" w:hAnsi="Verdana" w:cs="Arial"/>
          <w:lang w:val="es-ES_tradnl" w:eastAsia="es-MX"/>
        </w:rPr>
        <w:t xml:space="preserve">. </w:t>
      </w:r>
    </w:p>
    <w:p w14:paraId="7893764E" w14:textId="77777777" w:rsidR="00FA669F" w:rsidRPr="00D014B6" w:rsidRDefault="00FA669F" w:rsidP="00FA669F">
      <w:pPr>
        <w:spacing w:after="120" w:line="276" w:lineRule="auto"/>
        <w:ind w:firstLine="708"/>
        <w:jc w:val="both"/>
        <w:rPr>
          <w:rFonts w:ascii="Verdana" w:eastAsia="Calibri" w:hAnsi="Verdana" w:cs="Arial"/>
          <w:color w:val="000000" w:themeColor="text1"/>
        </w:rPr>
      </w:pPr>
      <w:r>
        <w:rPr>
          <w:rFonts w:ascii="Verdana" w:eastAsia="Calibri" w:hAnsi="Verdana" w:cs="Arial"/>
        </w:rPr>
        <w:t>Ahora bien, es importante resaltar que t</w:t>
      </w:r>
      <w:r w:rsidRPr="00D014B6">
        <w:rPr>
          <w:rFonts w:ascii="Verdana" w:eastAsia="Calibri" w:hAnsi="Verdana" w:cs="Arial"/>
        </w:rPr>
        <w:t xml:space="preserve">anto la </w:t>
      </w:r>
      <w:r>
        <w:rPr>
          <w:rFonts w:ascii="Verdana" w:eastAsia="Calibri" w:hAnsi="Verdana" w:cs="Arial"/>
        </w:rPr>
        <w:t>L</w:t>
      </w:r>
      <w:r w:rsidRPr="00D014B6">
        <w:rPr>
          <w:rFonts w:ascii="Verdana" w:eastAsia="Calibri" w:hAnsi="Verdana" w:cs="Arial"/>
        </w:rPr>
        <w:t xml:space="preserve">ey 1150 de 2007 como el Decreto 1082 de 2015 exigen determinar unas </w:t>
      </w:r>
      <w:r w:rsidRPr="00D014B6">
        <w:rPr>
          <w:rFonts w:ascii="Verdana" w:eastAsia="Calibri" w:hAnsi="Verdana" w:cs="Arial"/>
          <w:color w:val="000000" w:themeColor="text1"/>
          <w:lang w:val="es-ES_tradnl"/>
        </w:rPr>
        <w:t xml:space="preserve">condiciones mínimas </w:t>
      </w:r>
      <w:r w:rsidRPr="00D014B6">
        <w:rPr>
          <w:rFonts w:ascii="Verdana" w:eastAsia="Calibri" w:hAnsi="Verdana" w:cs="Arial"/>
          <w:color w:val="000000" w:themeColor="text1"/>
        </w:rPr>
        <w:t>de los proponentes</w:t>
      </w:r>
      <w:r>
        <w:rPr>
          <w:rFonts w:ascii="Verdana" w:eastAsia="Calibri" w:hAnsi="Verdana" w:cs="Arial"/>
          <w:color w:val="000000" w:themeColor="text1"/>
        </w:rPr>
        <w:t xml:space="preserve"> (habilitantes)</w:t>
      </w:r>
      <w:r w:rsidRPr="00D014B6">
        <w:rPr>
          <w:rFonts w:ascii="Verdana" w:eastAsia="Calibri" w:hAnsi="Verdana" w:cs="Arial"/>
          <w:color w:val="000000" w:themeColor="text1"/>
        </w:rPr>
        <w:t>, con el fin de asegurar que el contratista tenga las aptitudes necesarias para que la realización del objeto contractual se efectué de manera eficiente y eficaz, respondiendo adecuadamente a la necesidad identificada.</w:t>
      </w:r>
      <w:r>
        <w:rPr>
          <w:rFonts w:ascii="Verdana" w:eastAsia="Calibri" w:hAnsi="Verdana" w:cs="Arial"/>
          <w:color w:val="000000" w:themeColor="text1"/>
        </w:rPr>
        <w:t xml:space="preserve"> E</w:t>
      </w:r>
      <w:r w:rsidRPr="00D014B6">
        <w:rPr>
          <w:rFonts w:ascii="Verdana" w:eastAsia="Calibri" w:hAnsi="Verdana" w:cs="Arial"/>
          <w:color w:val="000000" w:themeColor="text1"/>
        </w:rPr>
        <w:t>stos requisitos deben</w:t>
      </w:r>
      <w:r>
        <w:rPr>
          <w:rFonts w:ascii="Verdana" w:eastAsia="Calibri" w:hAnsi="Verdana" w:cs="Arial"/>
          <w:color w:val="000000" w:themeColor="text1"/>
        </w:rPr>
        <w:t xml:space="preserve"> ser</w:t>
      </w:r>
      <w:r w:rsidRPr="00D014B6">
        <w:rPr>
          <w:rFonts w:ascii="Verdana" w:eastAsia="Calibri" w:hAnsi="Verdana" w:cs="Arial"/>
          <w:color w:val="000000" w:themeColor="text1"/>
        </w:rPr>
        <w:t xml:space="preserve"> establec</w:t>
      </w:r>
      <w:r>
        <w:rPr>
          <w:rFonts w:ascii="Verdana" w:eastAsia="Calibri" w:hAnsi="Verdana" w:cs="Arial"/>
          <w:color w:val="000000" w:themeColor="text1"/>
        </w:rPr>
        <w:t>idos</w:t>
      </w:r>
      <w:r w:rsidRPr="00D014B6">
        <w:rPr>
          <w:rFonts w:ascii="Verdana" w:eastAsia="Calibri" w:hAnsi="Verdana" w:cs="Arial"/>
          <w:color w:val="000000" w:themeColor="text1"/>
        </w:rPr>
        <w:t xml:space="preserve"> de forma adecuada y proporcional a la naturaleza y valor del contrato. Esta proporcionalidad no implica que no se deben exigir ciertos requisitos habilitantes, sino que estos deben tener una relación directa con el objeto del contrato, de suerte que su acreditación sea efectiva para demostrar que el proponente es idóneo para ejecutar el contrato y que los mismos no establezcan condiciones más allá de las necesarias para verificar la idoneidad requerida de los proponentes respecto del objeto ofertado, ya que lo contrario limita la libre concurrencia.</w:t>
      </w:r>
    </w:p>
    <w:p w14:paraId="4C2E9787" w14:textId="77777777" w:rsidR="00FA669F" w:rsidRPr="00D014B6" w:rsidRDefault="00FA669F" w:rsidP="00FA669F">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Particularmente, </w:t>
      </w:r>
      <w:r>
        <w:rPr>
          <w:rFonts w:ascii="Verdana" w:eastAsia="Calibri" w:hAnsi="Verdana" w:cs="Arial"/>
          <w:color w:val="000000" w:themeColor="text1"/>
        </w:rPr>
        <w:t>respecto a los requisitos de capacidad financiera y organizacional a solicitar en los procesos de contratación,</w:t>
      </w:r>
      <w:r w:rsidRPr="00D014B6">
        <w:rPr>
          <w:rFonts w:ascii="Verdana" w:eastAsia="Calibri" w:hAnsi="Verdana" w:cs="Arial"/>
          <w:color w:val="000000" w:themeColor="text1"/>
        </w:rPr>
        <w:t xml:space="preserve"> el </w:t>
      </w:r>
      <w:r w:rsidRPr="00D014B6">
        <w:rPr>
          <w:rFonts w:ascii="Verdana" w:eastAsia="Calibri" w:hAnsi="Verdana" w:cs="Arial"/>
          <w:color w:val="000000" w:themeColor="text1"/>
          <w:lang w:val="es-ES_tradnl"/>
        </w:rPr>
        <w:t xml:space="preserve">“Manual para </w:t>
      </w:r>
      <w:r w:rsidRPr="00D014B6">
        <w:rPr>
          <w:rFonts w:ascii="Verdana" w:eastAsia="Calibri" w:hAnsi="Verdana" w:cs="Arial"/>
          <w:color w:val="000000" w:themeColor="text1"/>
          <w:lang w:val="es-ES_tradnl"/>
        </w:rPr>
        <w:lastRenderedPageBreak/>
        <w:t>determinar y verificar los requisitos habilitantes en los Procesos de Contratación”</w:t>
      </w:r>
      <w:r>
        <w:rPr>
          <w:rStyle w:val="Refdenotaalpie"/>
          <w:rFonts w:ascii="Verdana" w:eastAsia="Calibri" w:hAnsi="Verdana" w:cs="Arial"/>
          <w:color w:val="000000" w:themeColor="text1"/>
          <w:lang w:val="es-ES_tradnl"/>
        </w:rPr>
        <w:footnoteReference w:id="5"/>
      </w:r>
      <w:r w:rsidRPr="00D014B6">
        <w:rPr>
          <w:rFonts w:ascii="Verdana" w:eastAsia="Calibri" w:hAnsi="Verdana" w:cs="Arial"/>
          <w:color w:val="000000" w:themeColor="text1"/>
          <w:lang w:val="es-ES_tradnl"/>
        </w:rPr>
        <w:t xml:space="preserve"> expedido por esta Agencia</w:t>
      </w:r>
      <w:r w:rsidRPr="00D014B6">
        <w:rPr>
          <w:rFonts w:ascii="Verdana" w:eastAsia="Calibri" w:hAnsi="Verdana" w:cs="Arial"/>
          <w:color w:val="000000" w:themeColor="text1"/>
        </w:rPr>
        <w:t>, indica que la capacidad financiera</w:t>
      </w:r>
      <w:r>
        <w:rPr>
          <w:rFonts w:ascii="Verdana" w:eastAsia="Calibri" w:hAnsi="Verdana" w:cs="Arial"/>
          <w:color w:val="000000" w:themeColor="text1"/>
        </w:rPr>
        <w:t xml:space="preserve"> y organizacional</w:t>
      </w:r>
      <w:r w:rsidRPr="00D014B6">
        <w:rPr>
          <w:rFonts w:ascii="Verdana" w:eastAsia="Calibri" w:hAnsi="Verdana" w:cs="Arial"/>
          <w:color w:val="000000" w:themeColor="text1"/>
        </w:rPr>
        <w:t xml:space="preserve"> que la entidad requiera para un proceso de contratación “debe ser adecuada y proporcional a la naturaleza, forma de pago, plazo, complejidad, riesgo y al valor del contrato. Además, los requisitos de capacidad financiera deben ser establecidos con fundamento en los estudios del sector, para cuya elaboración se recomienda la aplicación de lo dispuesto en la «Guía para la Elaboración de Estudios de Sector», expedida por esta Agencia”. Así, en atención a la naturaleza del contrato a suscribir y su valor, plazo y forma de pago, la entidad debe hacer uso de los indicadores que considere adecuados respecto del objeto del proceso de contratación. </w:t>
      </w:r>
    </w:p>
    <w:p w14:paraId="3278065D" w14:textId="77777777" w:rsidR="00FA669F" w:rsidRPr="00D014B6" w:rsidRDefault="00FA669F" w:rsidP="00FA669F">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En este sentido</w:t>
      </w:r>
      <w:r>
        <w:rPr>
          <w:rFonts w:ascii="Verdana" w:eastAsia="Calibri" w:hAnsi="Verdana" w:cs="Arial"/>
          <w:color w:val="000000" w:themeColor="text1"/>
        </w:rPr>
        <w:t xml:space="preserve">, es importante precisar </w:t>
      </w:r>
      <w:r w:rsidRPr="00D014B6">
        <w:rPr>
          <w:rFonts w:ascii="Verdana" w:eastAsia="Calibri" w:hAnsi="Verdana" w:cs="Arial"/>
          <w:color w:val="000000" w:themeColor="text1"/>
        </w:rPr>
        <w:t xml:space="preserve">la exigencia de </w:t>
      </w:r>
      <w:r>
        <w:rPr>
          <w:rFonts w:ascii="Verdana" w:eastAsia="Calibri" w:hAnsi="Verdana" w:cs="Arial"/>
          <w:color w:val="000000" w:themeColor="text1"/>
        </w:rPr>
        <w:t>los requisitos de</w:t>
      </w:r>
      <w:r w:rsidRPr="00D014B6">
        <w:rPr>
          <w:rFonts w:ascii="Verdana" w:eastAsia="Calibri" w:hAnsi="Verdana" w:cs="Arial"/>
          <w:color w:val="000000" w:themeColor="text1"/>
        </w:rPr>
        <w:t xml:space="preserve"> capacidad financiera y organizaci</w:t>
      </w:r>
      <w:r>
        <w:rPr>
          <w:rFonts w:ascii="Verdana" w:eastAsia="Calibri" w:hAnsi="Verdana" w:cs="Arial"/>
          <w:color w:val="000000" w:themeColor="text1"/>
        </w:rPr>
        <w:t>onal</w:t>
      </w:r>
      <w:r w:rsidRPr="00D014B6">
        <w:rPr>
          <w:rFonts w:ascii="Verdana" w:eastAsia="Calibri" w:hAnsi="Verdana" w:cs="Arial"/>
          <w:color w:val="000000" w:themeColor="text1"/>
        </w:rPr>
        <w:t xml:space="preserve"> debe responder a criterios de razonabilidad y proporcionalidad, de tal manera que dichos requisitos deben establecerse en función del alcance y la naturaleza específica del objeto a contratar. </w:t>
      </w:r>
    </w:p>
    <w:p w14:paraId="4198DBFA" w14:textId="77777777" w:rsidR="00FA669F" w:rsidRDefault="00FA669F" w:rsidP="00FA669F">
      <w:pPr>
        <w:widowControl w:val="0"/>
        <w:autoSpaceDE w:val="0"/>
        <w:autoSpaceDN w:val="0"/>
        <w:spacing w:after="120" w:line="276" w:lineRule="auto"/>
        <w:ind w:firstLine="709"/>
        <w:jc w:val="both"/>
        <w:rPr>
          <w:rFonts w:ascii="Verdana" w:eastAsia="Calibri" w:hAnsi="Verdana" w:cs="Arial"/>
          <w:color w:val="000000" w:themeColor="text1"/>
        </w:rPr>
      </w:pPr>
      <w:r w:rsidRPr="00D014B6">
        <w:rPr>
          <w:rFonts w:ascii="Verdana" w:eastAsia="Calibri" w:hAnsi="Verdana" w:cs="Arial"/>
          <w:color w:val="000000" w:themeColor="text1"/>
        </w:rPr>
        <w:t xml:space="preserve">Para tales efectos, el </w:t>
      </w:r>
      <w:r w:rsidRPr="00885EDB">
        <w:rPr>
          <w:rFonts w:ascii="Verdana" w:eastAsia="Calibri" w:hAnsi="Verdana" w:cs="Arial"/>
          <w:color w:val="000000" w:themeColor="text1"/>
          <w:lang w:val="es-ES_tradnl"/>
        </w:rPr>
        <w:t>“Manual para determinar y verificar los requisitos habilitantes en los Procesos de Contratación”,</w:t>
      </w:r>
      <w:r w:rsidRPr="00D014B6">
        <w:rPr>
          <w:rFonts w:ascii="Verdana" w:eastAsia="Calibri" w:hAnsi="Verdana" w:cs="Arial"/>
          <w:color w:val="000000" w:themeColor="text1"/>
          <w:lang w:val="es-ES_tradnl"/>
        </w:rPr>
        <w:t xml:space="preserve"> señala que “</w:t>
      </w:r>
      <w:r w:rsidRPr="00D014B6">
        <w:rPr>
          <w:rFonts w:ascii="Verdana" w:eastAsia="Calibri" w:hAnsi="Verdana" w:cs="Arial"/>
          <w:color w:val="000000" w:themeColor="text1"/>
        </w:rPr>
        <w:t>La Entidad Estatal debe determinar los indicadores de capacidad financiera y organizacional, así como la relación de dependencia entre cada indicador y la ejecución del contrato. Entre más fuerte sea esta relación, más rigurosos deben ser los análisis de datos para establecer los límites de los requisitos habilitantes y los indicadores previstos deben ser más exigentes</w:t>
      </w:r>
      <w:r>
        <w:rPr>
          <w:rFonts w:ascii="Verdana" w:eastAsia="Calibri" w:hAnsi="Verdana" w:cs="Arial"/>
          <w:color w:val="000000" w:themeColor="text1"/>
        </w:rPr>
        <w:t xml:space="preserve">, por lo cual, </w:t>
      </w:r>
      <w:r w:rsidRPr="00D5142D">
        <w:rPr>
          <w:rFonts w:ascii="Verdana" w:eastAsia="Calibri" w:hAnsi="Verdana" w:cs="Arial"/>
          <w:color w:val="000000" w:themeColor="text1"/>
        </w:rPr>
        <w:t>no es suficiente la aplicación mecánica de fórmulas financieras, pues deben conocer cada indicador, sus fórmulas de cálculo y su interpretación.</w:t>
      </w:r>
      <w:r w:rsidRPr="00D014B6">
        <w:rPr>
          <w:rFonts w:ascii="Verdana" w:eastAsia="Calibri" w:hAnsi="Verdana" w:cs="Arial"/>
          <w:color w:val="000000" w:themeColor="text1"/>
        </w:rPr>
        <w:t xml:space="preserve"> </w:t>
      </w:r>
      <w:r w:rsidRPr="00D014B6">
        <w:rPr>
          <w:rFonts w:ascii="Verdana" w:eastAsia="Calibri" w:hAnsi="Verdana" w:cs="Arial"/>
        </w:rPr>
        <w:t xml:space="preserve">[…] </w:t>
      </w:r>
      <w:r w:rsidRPr="00D014B6">
        <w:rPr>
          <w:rFonts w:ascii="Verdana" w:eastAsia="Calibri" w:hAnsi="Verdana" w:cs="Arial"/>
          <w:color w:val="000000" w:themeColor="text1"/>
        </w:rPr>
        <w:t xml:space="preserve">Para ello, la Entidad Estatal puede fijar límites más </w:t>
      </w:r>
      <w:r w:rsidRPr="00D014B6">
        <w:rPr>
          <w:rFonts w:ascii="Verdana" w:eastAsia="Calibri" w:hAnsi="Verdana" w:cs="Arial"/>
          <w:i/>
          <w:iCs/>
          <w:color w:val="000000" w:themeColor="text1"/>
        </w:rPr>
        <w:t>flexibles</w:t>
      </w:r>
      <w:r w:rsidRPr="00D014B6">
        <w:rPr>
          <w:rFonts w:ascii="Verdana" w:eastAsia="Calibri" w:hAnsi="Verdana" w:cs="Arial"/>
          <w:color w:val="000000" w:themeColor="text1"/>
        </w:rPr>
        <w:t xml:space="preserve"> dados por el comportamiento del sector económico estudiando, por ejemplo, los valores máximos y mínimos del indicador para las empresas objeto de análisis”. </w:t>
      </w:r>
    </w:p>
    <w:p w14:paraId="203BD685" w14:textId="77777777" w:rsidR="00FA669F" w:rsidRDefault="00FA669F" w:rsidP="00FA669F">
      <w:pPr>
        <w:spacing w:before="120" w:line="276" w:lineRule="auto"/>
        <w:ind w:firstLine="708"/>
        <w:jc w:val="both"/>
        <w:rPr>
          <w:rFonts w:ascii="Verdana" w:eastAsia="Arial" w:hAnsi="Verdana" w:cs="Arial"/>
        </w:rPr>
      </w:pPr>
      <w:r>
        <w:rPr>
          <w:rFonts w:ascii="Verdana" w:hAnsi="Verdana"/>
          <w:bCs/>
          <w:lang w:val="es-MX" w:eastAsia="es-CO"/>
        </w:rPr>
        <w:t>Ahora bien, en atención al problema jurídico planteado es de precisar que</w:t>
      </w:r>
      <w:r w:rsidRPr="00312C79">
        <w:rPr>
          <w:rFonts w:ascii="Verdana" w:eastAsia="Arial" w:hAnsi="Verdana" w:cs="Arial"/>
        </w:rPr>
        <w:t xml:space="preserve"> el artículo 7 de la Ley 80 de 1993, los consorcios y las uniones temporales constituyen mecanismos de asociación mediante los cuales dos o más personas naturales o jurídicas presentan conjuntamente una propuesta para la adjudicación, celebración y ejecución de un contrato estatal. Aunque estas figuras no dan lugar al nacimiento de una persona jurídica distinta de sus </w:t>
      </w:r>
      <w:r w:rsidRPr="00312C79">
        <w:rPr>
          <w:rFonts w:ascii="Verdana" w:eastAsia="Arial" w:hAnsi="Verdana" w:cs="Arial"/>
        </w:rPr>
        <w:lastRenderedPageBreak/>
        <w:t>integrantes, la ley les reconoce capacidad para contratar con el Estado, ejecutar las obligaciones derivadas del contrato y ejercer los derechos que de este se desprenden.</w:t>
      </w:r>
    </w:p>
    <w:p w14:paraId="32A177D8"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En el caso de los consorcios, los integrantes responden solidariamente por la totalidad de las obligaciones derivadas de la propuesta y del contrato, de manera que las actuaciones, hechos u omisiones que se presenten durante la ejecución contractual afectan a todos sus miembros. Por su parte, en las uniones temporales los integrantes también responden solidariamente por el cumplimiento de la propuesta y del objeto contratado; sin embargo, las sanciones derivadas del incumplimiento se imponen de acuerdo con la participación de cada miembro en la ejecución del contrato.</w:t>
      </w:r>
    </w:p>
    <w:p w14:paraId="777F76E7"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La Corte Constitucional, en la Sentencia C-414 de 1994</w:t>
      </w:r>
      <w:r>
        <w:rPr>
          <w:rStyle w:val="Refdenotaalpie"/>
          <w:rFonts w:ascii="Verdana" w:eastAsia="Arial" w:hAnsi="Verdana" w:cs="Arial"/>
        </w:rPr>
        <w:footnoteReference w:id="6"/>
      </w:r>
      <w:r w:rsidRPr="00312C79">
        <w:rPr>
          <w:rFonts w:ascii="Verdana" w:eastAsia="Arial" w:hAnsi="Verdana" w:cs="Arial"/>
        </w:rPr>
        <w:t>, señaló que el consorcio constituye una figura propia del derecho privado que opera como un instrumento de cooperación empresarial, mediante el cual varias personas unen esfuerzos para participar en la celebración y ejecución de contratos estatales, sin perder por ello su individualidad jurídica.</w:t>
      </w:r>
    </w:p>
    <w:p w14:paraId="70016929"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En concordancia con lo anterior, el numeral 3.3 del Manual para Determinar y Verificar los Requisitos Habilitantes en los Procesos de Contratación</w:t>
      </w:r>
      <w:r>
        <w:rPr>
          <w:rStyle w:val="Refdenotaalpie"/>
          <w:rFonts w:ascii="Verdana" w:eastAsia="Arial" w:hAnsi="Verdana" w:cs="Arial"/>
        </w:rPr>
        <w:footnoteReference w:id="7"/>
      </w:r>
      <w:r w:rsidRPr="00312C79">
        <w:rPr>
          <w:rFonts w:ascii="Verdana" w:eastAsia="Arial" w:hAnsi="Verdana" w:cs="Arial"/>
        </w:rPr>
        <w:t xml:space="preserve"> – V3 de Colombia Compra Eficiente define los consorcios y las uniones temporales como mecanismos de colaboración empresarial mediante los cuales sus integrantes comparten recursos técnicos, financieros y organizacionales con el propósito de incrementar sus capacidades para participar en procesos de selección y ejecutar contratos estatales.</w:t>
      </w:r>
    </w:p>
    <w:p w14:paraId="012C43CF"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De esta manera, la finalidad de las estructuras plurales consiste precisamente en permitir que sus integrantes aúnen esfuerzos y capacidades para acreditar las condiciones mínimas exigidas por las entidades estatales. Dentro de dichas condiciones se encuentran los requisitos habilitantes relacionados con la capacidad financiera y la capacidad organizacional, los cuales constituyen mecanismos para verificar que el oferente cuenta con las condiciones necesarias para ejecutar adecuada y oportunamente el contrato.</w:t>
      </w:r>
    </w:p>
    <w:p w14:paraId="1A31FDB2"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lastRenderedPageBreak/>
        <w:t xml:space="preserve">           </w:t>
      </w:r>
      <w:r w:rsidRPr="00312C79">
        <w:rPr>
          <w:rFonts w:ascii="Verdana" w:eastAsia="Arial" w:hAnsi="Verdana" w:cs="Arial"/>
        </w:rPr>
        <w:t>En atención a la posibilidad legal de que los requisitos habilitantes sean acreditados a través de consorcios o uniones temporales, el numeral 5.4 del Manual para Determinar y Verificar los Requisitos Habilitantes en los Procesos de Contratación – V3 establece que las entidades estatales deben definir y justificar en los documentos del proceso la metodología aplicable para calcular los indicadores financieros y organizacionales de los proponentes plurales a partir de la información de cada uno de sus integrantes.</w:t>
      </w:r>
    </w:p>
    <w:p w14:paraId="0ADE5090"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Las metodologías previstas por Colombia Compra Eficiente permiten que la entidad estatal determine los indicadores financieros y organizacionales del proponente plural mediante mecanismos simples o ponderados, según se tenga o no en cuenta el porcentaje de participación de cada integrante dentro de la estructura plural. En todo caso, dichas metodologías tienen como finalidad determinar la capacidad financiera y organizacional del oferente plural considerado integralmente.</w:t>
      </w:r>
    </w:p>
    <w:p w14:paraId="0DC55A74"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Sobre este aspecto, el Manual señala expresamente que las metodologías que incorporan ponderación según la participación de cada integrante permiten una evaluación más precisa del nivel de solvencia financiera del proponente plural en su conjunto, toda vez que la contribución de cada miembro es valorada proporcionalmente a su grado de participación en la ejecución contractual.</w:t>
      </w:r>
    </w:p>
    <w:p w14:paraId="672BBD76"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 xml:space="preserve">Así las cosas, </w:t>
      </w:r>
      <w:r>
        <w:rPr>
          <w:rFonts w:ascii="Verdana" w:eastAsia="Arial" w:hAnsi="Verdana" w:cs="Arial"/>
        </w:rPr>
        <w:t>en atención al</w:t>
      </w:r>
      <w:r w:rsidRPr="00043F94">
        <w:rPr>
          <w:rFonts w:ascii="Verdana" w:eastAsia="Arial" w:hAnsi="Verdana" w:cs="Arial"/>
        </w:rPr>
        <w:t xml:space="preserve"> estudios efectuado por </w:t>
      </w:r>
      <w:r>
        <w:rPr>
          <w:rFonts w:ascii="Verdana" w:eastAsia="Arial" w:hAnsi="Verdana" w:cs="Arial"/>
        </w:rPr>
        <w:t>el apoyo financiero de esta Subdirección Contractual</w:t>
      </w:r>
      <w:r w:rsidRPr="00312C79">
        <w:rPr>
          <w:rFonts w:ascii="Verdana" w:eastAsia="Arial" w:hAnsi="Verdana" w:cs="Arial"/>
        </w:rPr>
        <w:t xml:space="preserve"> el análisis de los indicadores financieros y organizacionales en el caso de los consorcios y uniones temporales no se orienta, en principio, a evaluar aisladamente la situación financiera de cada uno de sus integrantes, sino a establecer si el proponente plural, considerado como oferente dentro del proceso de selección, acredita las condiciones mínimas exigidas por la entidad estatal para la ejecución del contrato.</w:t>
      </w:r>
    </w:p>
    <w:p w14:paraId="14104B99" w14:textId="77777777" w:rsidR="00FA669F" w:rsidRPr="00312C79" w:rsidRDefault="00FA669F" w:rsidP="00FA669F">
      <w:pPr>
        <w:spacing w:after="120" w:line="276" w:lineRule="auto"/>
        <w:jc w:val="both"/>
        <w:rPr>
          <w:rFonts w:ascii="Verdana" w:eastAsia="Arial" w:hAnsi="Verdana" w:cs="Arial"/>
        </w:rPr>
      </w:pPr>
      <w:r>
        <w:rPr>
          <w:rFonts w:ascii="Verdana" w:eastAsia="Arial" w:hAnsi="Verdana" w:cs="Arial"/>
        </w:rPr>
        <w:t xml:space="preserve">            </w:t>
      </w:r>
      <w:r w:rsidRPr="00312C79">
        <w:rPr>
          <w:rFonts w:ascii="Verdana" w:eastAsia="Arial" w:hAnsi="Verdana" w:cs="Arial"/>
        </w:rPr>
        <w:t xml:space="preserve">En consecuencia, la circunstancia de que uno de los integrantes de una estructura plural presente pérdida operacional o registre indicadores negativos de rentabilidad del patrimonio o rentabilidad del activo no conduce, por sí misma, a concluir que el proponente plural incumple los requisitos habilitantes. Lo jurídicamente relevante será verificar el resultado obtenido por el consorcio o la unión temporal al aplicar la metodología de cálculo prevista en los documentos del proceso, con el fin de determinar si el </w:t>
      </w:r>
      <w:r w:rsidRPr="009035FE">
        <w:rPr>
          <w:rFonts w:ascii="Verdana" w:eastAsia="Arial" w:hAnsi="Verdana" w:cs="Arial"/>
        </w:rPr>
        <w:t>proponente plural, evaluado en su conjunto</w:t>
      </w:r>
      <w:r w:rsidRPr="00312C79">
        <w:rPr>
          <w:rFonts w:ascii="Verdana" w:eastAsia="Arial" w:hAnsi="Verdana" w:cs="Arial"/>
        </w:rPr>
        <w:t>, cumple las exigencias de capacidad financiera y organizacional definidas por la entidad estatal.</w:t>
      </w:r>
    </w:p>
    <w:p w14:paraId="5030E1C8" w14:textId="77777777" w:rsidR="00FA669F" w:rsidRPr="00920927" w:rsidRDefault="00FA669F" w:rsidP="00FA669F">
      <w:pPr>
        <w:spacing w:line="276" w:lineRule="auto"/>
        <w:ind w:firstLine="360"/>
        <w:jc w:val="both"/>
        <w:rPr>
          <w:rFonts w:ascii="Verdana" w:eastAsia="Times New Roman" w:hAnsi="Verdana" w:cs="Arial"/>
          <w:lang w:eastAsia="es-MX"/>
        </w:rPr>
      </w:pPr>
      <w:r>
        <w:rPr>
          <w:rFonts w:ascii="Verdana" w:eastAsia="Calibri" w:hAnsi="Verdana" w:cs="Arial"/>
        </w:rPr>
        <w:lastRenderedPageBreak/>
        <w:t xml:space="preserve">    F</w:t>
      </w:r>
      <w:r w:rsidRPr="006B17A7">
        <w:rPr>
          <w:rFonts w:ascii="Verdana" w:eastAsia="Calibri" w:hAnsi="Verdana" w:cs="Arial"/>
        </w:rPr>
        <w:t xml:space="preserve">inalmente debe advertirse que el análisis requerido para resolver problemas específicos </w:t>
      </w:r>
      <w:r>
        <w:rPr>
          <w:rFonts w:ascii="Verdana" w:eastAsia="Calibri" w:hAnsi="Verdana" w:cs="Arial"/>
        </w:rPr>
        <w:t xml:space="preserve">frente a los requisitos habilitantes en procesos de contratación con sociedad extranjeras </w:t>
      </w:r>
      <w:r w:rsidRPr="006B17A7">
        <w:rPr>
          <w:rFonts w:ascii="Verdana" w:eastAsia="Calibri" w:hAnsi="Verdana" w:cs="Arial"/>
        </w:rPr>
        <w:t xml:space="preserve">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7E528E25" w14:textId="77777777" w:rsidR="00FA669F" w:rsidRPr="006B17A7" w:rsidRDefault="00FA669F" w:rsidP="00FA669F">
      <w:pPr>
        <w:spacing w:before="120" w:after="0" w:line="276" w:lineRule="auto"/>
        <w:ind w:firstLine="360"/>
        <w:jc w:val="both"/>
        <w:rPr>
          <w:rFonts w:ascii="Verdana" w:eastAsia="Calibri" w:hAnsi="Verdana" w:cs="Arial"/>
        </w:rPr>
      </w:pPr>
      <w:r>
        <w:rPr>
          <w:rFonts w:ascii="Verdana" w:eastAsia="Calibri" w:hAnsi="Verdana" w:cs="Arial"/>
        </w:rPr>
        <w:t xml:space="preserve">    </w:t>
      </w: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40240F23" w14:textId="77777777" w:rsidR="00FA669F" w:rsidRPr="006B17A7" w:rsidRDefault="00FA669F" w:rsidP="00FA669F">
      <w:pPr>
        <w:spacing w:after="0" w:line="276" w:lineRule="auto"/>
        <w:ind w:firstLine="708"/>
        <w:jc w:val="both"/>
        <w:rPr>
          <w:rFonts w:ascii="Verdana" w:eastAsia="Calibri" w:hAnsi="Verdana" w:cs="Arial"/>
        </w:rPr>
      </w:pPr>
    </w:p>
    <w:p w14:paraId="4265888F" w14:textId="77777777" w:rsidR="00FA669F" w:rsidRPr="006B17A7" w:rsidRDefault="00FA669F" w:rsidP="00FA669F">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4C349D6E" w14:textId="77777777" w:rsidR="00FA669F" w:rsidRPr="006B17A7" w:rsidRDefault="00FA669F" w:rsidP="00FA669F">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A669F" w:rsidRPr="006B17A7" w14:paraId="45817F2F" w14:textId="77777777" w:rsidTr="00E83E74">
        <w:trPr>
          <w:trHeight w:val="870"/>
        </w:trPr>
        <w:tc>
          <w:tcPr>
            <w:tcW w:w="8647" w:type="dxa"/>
          </w:tcPr>
          <w:p w14:paraId="198869BE" w14:textId="77777777" w:rsidR="00FA669F" w:rsidRPr="00E7517B" w:rsidRDefault="00FA669F" w:rsidP="009035FE">
            <w:pPr>
              <w:widowControl w:val="0"/>
              <w:numPr>
                <w:ilvl w:val="0"/>
                <w:numId w:val="17"/>
              </w:numPr>
              <w:autoSpaceDE w:val="0"/>
              <w:autoSpaceDN w:val="0"/>
              <w:spacing w:after="120" w:line="276" w:lineRule="auto"/>
              <w:contextualSpacing/>
              <w:jc w:val="both"/>
              <w:rPr>
                <w:rFonts w:ascii="Verdana" w:hAnsi="Verdana" w:cs="Arial"/>
                <w:lang w:val="es-ES_tradnl"/>
              </w:rPr>
            </w:pPr>
            <w:r w:rsidRPr="00E7517B">
              <w:rPr>
                <w:rFonts w:ascii="Verdana" w:hAnsi="Verdana" w:cs="Arial"/>
                <w:lang w:val="es-ES_tradnl"/>
              </w:rPr>
              <w:t>Ley 80 de 1993.</w:t>
            </w:r>
          </w:p>
          <w:p w14:paraId="756CD2F9" w14:textId="77777777" w:rsidR="00B11E07" w:rsidRDefault="00B11E07" w:rsidP="00B11E07">
            <w:pPr>
              <w:pStyle w:val="Prrafodelista"/>
              <w:widowControl w:val="0"/>
              <w:numPr>
                <w:ilvl w:val="0"/>
                <w:numId w:val="17"/>
              </w:numPr>
              <w:autoSpaceDE w:val="0"/>
              <w:autoSpaceDN w:val="0"/>
              <w:spacing w:after="120" w:line="276" w:lineRule="auto"/>
              <w:jc w:val="both"/>
              <w:rPr>
                <w:rFonts w:ascii="Verdana" w:hAnsi="Verdana" w:cs="Arial"/>
                <w:lang w:val="es-ES_tradnl"/>
              </w:rPr>
            </w:pPr>
            <w:r w:rsidRPr="00E7517B">
              <w:rPr>
                <w:rFonts w:ascii="Verdana" w:hAnsi="Verdana" w:cs="Arial"/>
                <w:lang w:val="es-ES_tradnl"/>
              </w:rPr>
              <w:t>Ley 1150 de 2007, artículo 5</w:t>
            </w:r>
            <w:r>
              <w:rPr>
                <w:rFonts w:ascii="Verdana" w:hAnsi="Verdana" w:cs="Arial"/>
                <w:lang w:val="es-ES_tradnl"/>
              </w:rPr>
              <w:t>.</w:t>
            </w:r>
          </w:p>
          <w:p w14:paraId="214D5D44" w14:textId="77777777" w:rsidR="00FA669F" w:rsidRPr="00E7517B" w:rsidRDefault="00FA669F" w:rsidP="009035FE">
            <w:pPr>
              <w:widowControl w:val="0"/>
              <w:numPr>
                <w:ilvl w:val="0"/>
                <w:numId w:val="17"/>
              </w:numPr>
              <w:autoSpaceDE w:val="0"/>
              <w:autoSpaceDN w:val="0"/>
              <w:spacing w:after="120" w:line="276" w:lineRule="auto"/>
              <w:contextualSpacing/>
              <w:jc w:val="both"/>
              <w:rPr>
                <w:rFonts w:ascii="Verdana" w:hAnsi="Verdana" w:cs="Arial"/>
                <w:lang w:val="es-ES_tradnl"/>
              </w:rPr>
            </w:pPr>
            <w:r w:rsidRPr="00E7517B">
              <w:rPr>
                <w:rFonts w:ascii="Verdana" w:hAnsi="Verdana" w:cs="Arial"/>
                <w:lang w:val="es-ES_tradnl"/>
              </w:rPr>
              <w:t xml:space="preserve">Ley 1437 de 2011. </w:t>
            </w:r>
          </w:p>
          <w:p w14:paraId="2FFFB8DE" w14:textId="77777777" w:rsidR="00FA669F" w:rsidRPr="00E7517B" w:rsidRDefault="00FA669F" w:rsidP="00FA669F">
            <w:pPr>
              <w:pStyle w:val="Prrafodelista"/>
              <w:widowControl w:val="0"/>
              <w:numPr>
                <w:ilvl w:val="0"/>
                <w:numId w:val="17"/>
              </w:numPr>
              <w:autoSpaceDE w:val="0"/>
              <w:autoSpaceDN w:val="0"/>
              <w:spacing w:after="120" w:line="276" w:lineRule="auto"/>
              <w:jc w:val="both"/>
              <w:rPr>
                <w:rFonts w:ascii="Verdana" w:hAnsi="Verdana" w:cs="Arial"/>
                <w:lang w:val="es-ES_tradnl"/>
              </w:rPr>
            </w:pPr>
            <w:r w:rsidRPr="00E7517B">
              <w:rPr>
                <w:rFonts w:ascii="Verdana" w:hAnsi="Verdana" w:cs="Arial"/>
                <w:lang w:val="es-ES_tradnl"/>
              </w:rPr>
              <w:t xml:space="preserve">Decreto 1082 de 2015, </w:t>
            </w:r>
            <w:r w:rsidRPr="00E7517B">
              <w:rPr>
                <w:rFonts w:ascii="Verdana" w:eastAsia="Calibri" w:hAnsi="Verdana" w:cs="Arial"/>
                <w:bCs/>
                <w:lang w:val="es-ES_tradnl"/>
              </w:rPr>
              <w:t>artículos 2.2.1.1.1.5.2, 2.2.1.1.1.5.3, 2.2.1.1.1.6.2.</w:t>
            </w:r>
          </w:p>
          <w:p w14:paraId="16A902F0" w14:textId="77777777" w:rsidR="00FA669F" w:rsidRPr="00E7517B" w:rsidRDefault="00FA669F" w:rsidP="00FA669F">
            <w:pPr>
              <w:pStyle w:val="Prrafodelista"/>
              <w:widowControl w:val="0"/>
              <w:numPr>
                <w:ilvl w:val="0"/>
                <w:numId w:val="17"/>
              </w:numPr>
              <w:autoSpaceDE w:val="0"/>
              <w:autoSpaceDN w:val="0"/>
              <w:spacing w:after="120" w:line="276" w:lineRule="auto"/>
              <w:jc w:val="both"/>
              <w:rPr>
                <w:rFonts w:ascii="Verdana" w:hAnsi="Verdana" w:cs="Arial"/>
                <w:lang w:val="es-ES_tradnl"/>
              </w:rPr>
            </w:pPr>
            <w:r w:rsidRPr="00E7517B">
              <w:rPr>
                <w:rFonts w:ascii="Verdana" w:hAnsi="Verdana" w:cs="Arial"/>
                <w:lang w:val="es-ES_tradnl"/>
              </w:rPr>
              <w:t>CORTE CONSTITUCIONAL, Sentencia C-414 de 1994, M.P. Antonio Barrera Carbonell, 22 de septiembre de 1994</w:t>
            </w:r>
            <w:r>
              <w:rPr>
                <w:rFonts w:ascii="Verdana" w:hAnsi="Verdana" w:cs="Arial"/>
                <w:lang w:val="es-ES_tradnl"/>
              </w:rPr>
              <w:t>.</w:t>
            </w:r>
          </w:p>
          <w:p w14:paraId="6CE26D21" w14:textId="77777777" w:rsidR="00FA669F" w:rsidRPr="006B17A7" w:rsidRDefault="00FA669F" w:rsidP="00FA669F">
            <w:pPr>
              <w:pStyle w:val="Prrafodelista"/>
              <w:widowControl w:val="0"/>
              <w:numPr>
                <w:ilvl w:val="0"/>
                <w:numId w:val="17"/>
              </w:numPr>
              <w:autoSpaceDE w:val="0"/>
              <w:autoSpaceDN w:val="0"/>
              <w:spacing w:after="120" w:line="276" w:lineRule="auto"/>
              <w:contextualSpacing w:val="0"/>
              <w:jc w:val="both"/>
              <w:rPr>
                <w:rFonts w:ascii="Verdana" w:eastAsia="Aptos" w:hAnsi="Verdana" w:cs="Arial"/>
              </w:rPr>
            </w:pPr>
            <w:r w:rsidRPr="00E7517B">
              <w:rPr>
                <w:rFonts w:ascii="Verdana" w:eastAsia="Calibri" w:hAnsi="Verdana" w:cs="Arial"/>
                <w:bCs/>
                <w:lang w:val="es-ES_tradnl"/>
              </w:rPr>
              <w:t>Agencia Nacional de Contratación Pública – Colombia Compra Eficiente, “Manual para determinar y verificar los requisitos habilitantes en los Procesos de Contratación”.</w:t>
            </w:r>
          </w:p>
        </w:tc>
      </w:tr>
    </w:tbl>
    <w:p w14:paraId="13F90538" w14:textId="77777777" w:rsidR="00FA669F" w:rsidRPr="006B17A7" w:rsidRDefault="00FA669F" w:rsidP="00FA669F">
      <w:pPr>
        <w:widowControl w:val="0"/>
        <w:autoSpaceDE w:val="0"/>
        <w:autoSpaceDN w:val="0"/>
        <w:spacing w:after="0" w:line="276" w:lineRule="auto"/>
        <w:jc w:val="both"/>
        <w:rPr>
          <w:rFonts w:ascii="Verdana" w:eastAsia="Aptos" w:hAnsi="Verdana" w:cs="Arial"/>
        </w:rPr>
      </w:pPr>
    </w:p>
    <w:p w14:paraId="5349F256" w14:textId="77777777" w:rsidR="00FA669F" w:rsidRPr="006B17A7" w:rsidRDefault="00FA669F" w:rsidP="00FA669F">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56E2A189" w14:textId="77777777" w:rsidR="00FA669F" w:rsidRPr="006B17A7" w:rsidRDefault="00FA669F" w:rsidP="00FA669F">
      <w:pPr>
        <w:widowControl w:val="0"/>
        <w:autoSpaceDE w:val="0"/>
        <w:autoSpaceDN w:val="0"/>
        <w:spacing w:after="0" w:line="276" w:lineRule="auto"/>
        <w:jc w:val="both"/>
        <w:rPr>
          <w:rFonts w:ascii="Verdana" w:eastAsia="Aptos" w:hAnsi="Verdana" w:cs="Arial"/>
        </w:rPr>
      </w:pPr>
    </w:p>
    <w:p w14:paraId="4F5BEBDF" w14:textId="77777777" w:rsidR="00FA669F" w:rsidRPr="00C27319" w:rsidRDefault="00FA669F" w:rsidP="00FA669F">
      <w:pPr>
        <w:widowControl w:val="0"/>
        <w:autoSpaceDE w:val="0"/>
        <w:autoSpaceDN w:val="0"/>
        <w:spacing w:after="0" w:line="276" w:lineRule="auto"/>
        <w:jc w:val="both"/>
        <w:rPr>
          <w:rFonts w:ascii="Verdana" w:hAnsi="Verdana" w:cs="Arial"/>
          <w:shd w:val="clear" w:color="auto" w:fill="FFFFFF"/>
          <w:lang w:val="es-ES"/>
        </w:rPr>
      </w:pPr>
      <w:r w:rsidRPr="005F0A61">
        <w:rPr>
          <w:rFonts w:ascii="Verdana" w:hAnsi="Verdana" w:cs="Arial"/>
          <w:color w:val="000000" w:themeColor="text1"/>
          <w:shd w:val="clear" w:color="auto" w:fill="FFFFFF"/>
          <w:lang w:val="es-ES"/>
        </w:rPr>
        <w:lastRenderedPageBreak/>
        <w:t>La Agencia Nacional de Contratación Pública – Colombia Compra Eficiente se ha referido a la acreditación de requisitos habilitantes y la capacidad financiera en los conceptos con radicado No. 2201913000007980 del 24 de octubre de 2019,</w:t>
      </w:r>
      <w:r w:rsidRPr="005F0A61">
        <w:rPr>
          <w:rFonts w:ascii="Verdana" w:hAnsi="Verdana"/>
          <w:lang w:val="es-ES"/>
        </w:rPr>
        <w:t xml:space="preserve"> C-868 del 19 de diciembre de 2022, C-877 del 26 de diciembre de 2022, </w:t>
      </w:r>
      <w:r w:rsidRPr="005F0A61">
        <w:rPr>
          <w:rFonts w:ascii="Verdana" w:hAnsi="Verdana" w:cs="Arial"/>
          <w:color w:val="000000" w:themeColor="text1"/>
          <w:shd w:val="clear" w:color="auto" w:fill="FFFFFF"/>
          <w:lang w:val="es-ES"/>
        </w:rPr>
        <w:t xml:space="preserve"> </w:t>
      </w:r>
      <w:r w:rsidRPr="005F0A61">
        <w:rPr>
          <w:rFonts w:ascii="Verdana" w:hAnsi="Verdana"/>
          <w:lang w:val="es-ES"/>
        </w:rPr>
        <w:t xml:space="preserve">C-417 del 27 de septiembre de 2023 ,C-432 del 23 de octubre de 2023, C-174 del 23 de julio de 2024, </w:t>
      </w:r>
      <w:r w:rsidRPr="005F0A61">
        <w:rPr>
          <w:rFonts w:ascii="Verdana" w:eastAsia="Calibri" w:hAnsi="Verdana" w:cs="Arial"/>
          <w:lang w:val="es-ES" w:eastAsia="es-ES_tradnl"/>
        </w:rPr>
        <w:t xml:space="preserve">C- 530 del 4 de octubre de 2024, C-595 del 24 de octubre 2024, </w:t>
      </w:r>
      <w:r w:rsidRPr="005F0A61">
        <w:rPr>
          <w:rFonts w:ascii="Verdana" w:eastAsia="Calibri" w:hAnsi="Verdana" w:cs="Arial"/>
          <w:lang w:val="es-ES" w:eastAsia="es-ES"/>
        </w:rPr>
        <w:t xml:space="preserve">C-648 del 6 de noviembre 2024, </w:t>
      </w:r>
      <w:r>
        <w:rPr>
          <w:rFonts w:ascii="Verdana" w:eastAsia="Calibri" w:hAnsi="Verdana" w:cs="Arial"/>
          <w:lang w:val="es-ES" w:eastAsia="es-ES"/>
        </w:rPr>
        <w:t xml:space="preserve">C-688 del 19 de noviembre de 2024, </w:t>
      </w:r>
      <w:r w:rsidRPr="005F0A61">
        <w:rPr>
          <w:rFonts w:ascii="Verdana" w:eastAsia="Calibri" w:hAnsi="Verdana" w:cs="Arial"/>
          <w:lang w:val="es-ES" w:eastAsia="es-ES"/>
        </w:rPr>
        <w:t>C-615 del 10 de junio de 2025</w:t>
      </w:r>
      <w:r>
        <w:rPr>
          <w:rFonts w:ascii="Verdana" w:eastAsia="Calibri" w:hAnsi="Verdana" w:cs="Arial"/>
          <w:lang w:val="es-ES" w:eastAsia="es-ES"/>
        </w:rPr>
        <w:t>, C-1084 de 2025, C-1169 del 30 de septiembre de 2025, C-1248 del 10 de octubre de 2025 y C-1591 del 09 de diciembre de 2025</w:t>
      </w:r>
      <w:r w:rsidRPr="001F1412">
        <w:rPr>
          <w:rFonts w:ascii="Verdana" w:hAnsi="Verdana" w:cs="Arial"/>
          <w:shd w:val="clear" w:color="auto" w:fill="FFFFFF"/>
          <w:lang w:val="es-ES"/>
        </w:rPr>
        <w:t xml:space="preserve">. </w:t>
      </w:r>
      <w:r w:rsidRPr="00505CD6">
        <w:rPr>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2" w:history="1">
        <w:r w:rsidRPr="009D49DA">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1474A175" w14:textId="77777777" w:rsidR="00FA669F" w:rsidRPr="00115E3D" w:rsidRDefault="00FA669F" w:rsidP="00FA669F">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5962B801" w14:textId="77777777" w:rsidR="00FA669F" w:rsidRPr="009A385A" w:rsidRDefault="00FA669F" w:rsidP="00FA669F">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B39E88A" w14:textId="77777777" w:rsidR="00FA669F" w:rsidRDefault="00FA669F" w:rsidP="00FA669F">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79AB85F" w14:textId="77777777" w:rsidR="00FA669F" w:rsidRPr="009A385A" w:rsidRDefault="00FA669F" w:rsidP="00FA669F">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w:t>
      </w:r>
      <w:r w:rsidRPr="00797327">
        <w:rPr>
          <w:rFonts w:ascii="Verdana" w:hAnsi="Verdana"/>
        </w:rPr>
        <w:lastRenderedPageBreak/>
        <w:t>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459FDDDE" w14:textId="77777777" w:rsidR="00FA669F" w:rsidRPr="00115E3D" w:rsidRDefault="00FA669F" w:rsidP="00FA669F">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210F60D2" w14:textId="77777777" w:rsidR="00FA669F" w:rsidRPr="00115E3D" w:rsidRDefault="00FA669F" w:rsidP="00FA669F">
      <w:pPr>
        <w:spacing w:after="0" w:line="240" w:lineRule="auto"/>
        <w:jc w:val="both"/>
        <w:rPr>
          <w:rFonts w:ascii="Verdana" w:hAnsi="Verdana"/>
          <w:color w:val="000000" w:themeColor="text1"/>
        </w:rPr>
      </w:pPr>
    </w:p>
    <w:p w14:paraId="66022397" w14:textId="77777777" w:rsidR="00FA669F" w:rsidRPr="00115E3D" w:rsidRDefault="00FA669F" w:rsidP="00FA669F">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B1C46BF" w14:textId="77777777" w:rsidR="00FA669F" w:rsidRPr="00115E3D" w:rsidRDefault="00FA669F" w:rsidP="00FA669F">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06D30700" w14:textId="77777777" w:rsidR="00FA669F" w:rsidRPr="00115E3D" w:rsidRDefault="00FA669F" w:rsidP="00FA669F">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8C036FB" w14:textId="77777777" w:rsidR="00FA669F" w:rsidRPr="00115E3D" w:rsidRDefault="00FA669F" w:rsidP="00FA669F">
      <w:pPr>
        <w:widowControl w:val="0"/>
        <w:autoSpaceDE w:val="0"/>
        <w:autoSpaceDN w:val="0"/>
        <w:spacing w:after="0" w:line="276" w:lineRule="auto"/>
        <w:jc w:val="both"/>
        <w:rPr>
          <w:rFonts w:ascii="Verdana" w:hAnsi="Verdana" w:cs="Arial"/>
          <w:color w:val="000000" w:themeColor="text1"/>
        </w:rPr>
      </w:pPr>
    </w:p>
    <w:p w14:paraId="310A2CED" w14:textId="77777777" w:rsidR="00FA669F" w:rsidRPr="00115E3D" w:rsidRDefault="00FA669F" w:rsidP="00FA669F">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E6A4F98" w14:textId="77777777" w:rsidR="00FA669F" w:rsidRDefault="00FA669F" w:rsidP="00FA669F">
      <w:pPr>
        <w:spacing w:after="0" w:line="240" w:lineRule="auto"/>
        <w:rPr>
          <w:rFonts w:ascii="Verdana" w:eastAsia="Times New Roman" w:hAnsi="Verdana" w:cs="Arial"/>
          <w:color w:val="000000" w:themeColor="text1"/>
          <w:lang w:eastAsia="es-CO"/>
        </w:rPr>
      </w:pPr>
    </w:p>
    <w:p w14:paraId="7F7C6FB4" w14:textId="77777777" w:rsidR="00FA669F" w:rsidRDefault="00FA669F" w:rsidP="00FA669F">
      <w:pPr>
        <w:spacing w:after="0" w:line="240" w:lineRule="auto"/>
        <w:rPr>
          <w:rFonts w:ascii="Verdana" w:eastAsia="Times New Roman" w:hAnsi="Verdana" w:cs="Arial"/>
          <w:color w:val="000000" w:themeColor="text1"/>
          <w:lang w:eastAsia="es-CO"/>
        </w:rPr>
      </w:pPr>
    </w:p>
    <w:p w14:paraId="63D64566" w14:textId="77777777" w:rsidR="00FA669F" w:rsidRPr="00115E3D" w:rsidRDefault="00FA669F" w:rsidP="00FA669F">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E314162" w14:textId="4724ED85" w:rsidR="00FA669F" w:rsidRDefault="003474F3" w:rsidP="00FA669F">
      <w:pPr>
        <w:spacing w:line="276" w:lineRule="auto"/>
        <w:jc w:val="center"/>
        <w:rPr>
          <w:noProof/>
          <w:color w:val="000000" w:themeColor="text1"/>
          <w:lang w:val="es-ES_tradnl" w:eastAsia="es-CO"/>
        </w:rPr>
      </w:pPr>
      <w:r>
        <w:rPr>
          <w:noProof/>
        </w:rPr>
        <w:drawing>
          <wp:inline distT="0" distB="0" distL="0" distR="0" wp14:anchorId="5D518D00" wp14:editId="60B3AED6">
            <wp:extent cx="3249930" cy="1395139"/>
            <wp:effectExtent l="0" t="0" r="7620" b="0"/>
            <wp:docPr id="4185793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53816" cy="1396807"/>
                    </a:xfrm>
                    <a:prstGeom prst="rect">
                      <a:avLst/>
                    </a:prstGeom>
                    <a:noFill/>
                    <a:ln>
                      <a:noFill/>
                    </a:ln>
                  </pic:spPr>
                </pic:pic>
              </a:graphicData>
            </a:graphic>
          </wp:inline>
        </w:drawing>
      </w:r>
      <w:r w:rsidR="00FA669F">
        <w:rPr>
          <w:noProof/>
          <w:color w:val="000000" w:themeColor="text1"/>
          <w:lang w:val="es-ES_tradnl" w:eastAsia="es-CO"/>
        </w:rPr>
        <w:t xml:space="preserve"> </w:t>
      </w:r>
    </w:p>
    <w:p w14:paraId="32A61296" w14:textId="77777777" w:rsidR="00FA669F" w:rsidRDefault="00FA669F" w:rsidP="00FA669F">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A669F" w:rsidRPr="00115E3D" w14:paraId="1592372C" w14:textId="77777777" w:rsidTr="00E83E74">
        <w:trPr>
          <w:trHeight w:val="315"/>
        </w:trPr>
        <w:tc>
          <w:tcPr>
            <w:tcW w:w="893" w:type="dxa"/>
            <w:vAlign w:val="center"/>
            <w:hideMark/>
          </w:tcPr>
          <w:p w14:paraId="2823D0FF" w14:textId="77777777" w:rsidR="00FA669F" w:rsidRPr="00115E3D" w:rsidRDefault="00FA669F"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1158B93" w14:textId="77777777" w:rsidR="00FA669F" w:rsidRPr="00115E3D" w:rsidRDefault="00FA669F" w:rsidP="00E83E74">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32983E13" w14:textId="77777777" w:rsidR="00FA669F" w:rsidRPr="00115E3D" w:rsidRDefault="00FA669F" w:rsidP="00E83E74">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FA669F" w:rsidRPr="00115E3D" w14:paraId="0759803B" w14:textId="77777777" w:rsidTr="00E83E74">
        <w:trPr>
          <w:trHeight w:val="330"/>
        </w:trPr>
        <w:tc>
          <w:tcPr>
            <w:tcW w:w="893" w:type="dxa"/>
            <w:vAlign w:val="center"/>
            <w:hideMark/>
          </w:tcPr>
          <w:p w14:paraId="255B50EA" w14:textId="77777777" w:rsidR="00FA669F" w:rsidRPr="00115E3D" w:rsidRDefault="00FA669F"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3BEC80" w14:textId="77777777" w:rsidR="00FA669F" w:rsidRDefault="00FA669F" w:rsidP="00E83E74">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04ECB146" w14:textId="77777777" w:rsidR="00FA669F" w:rsidRPr="00115E3D" w:rsidRDefault="00FA669F" w:rsidP="00E83E74">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FA669F" w:rsidRPr="00115E3D" w14:paraId="6086859E" w14:textId="77777777" w:rsidTr="00E83E74">
        <w:trPr>
          <w:trHeight w:val="300"/>
        </w:trPr>
        <w:tc>
          <w:tcPr>
            <w:tcW w:w="893" w:type="dxa"/>
            <w:vAlign w:val="center"/>
          </w:tcPr>
          <w:p w14:paraId="0F991AF3" w14:textId="77777777" w:rsidR="00FA669F" w:rsidRPr="00115E3D" w:rsidRDefault="00FA669F" w:rsidP="00E83E74">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AB82A3" w14:textId="77777777" w:rsidR="00FA669F" w:rsidRPr="00115E3D" w:rsidRDefault="00FA669F" w:rsidP="00E83E7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71BFA76A" w14:textId="77777777" w:rsidR="00FA669F" w:rsidRPr="00115E3D" w:rsidRDefault="00FA669F" w:rsidP="00E83E74">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6847398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FD976" w14:textId="77777777" w:rsidR="007129BA" w:rsidRDefault="007129BA" w:rsidP="004A1847">
      <w:pPr>
        <w:spacing w:after="0" w:line="240" w:lineRule="auto"/>
      </w:pPr>
      <w:r>
        <w:separator/>
      </w:r>
    </w:p>
  </w:endnote>
  <w:endnote w:type="continuationSeparator" w:id="0">
    <w:p w14:paraId="6496710B" w14:textId="77777777" w:rsidR="007129BA" w:rsidRDefault="007129BA" w:rsidP="004A1847">
      <w:pPr>
        <w:spacing w:after="0" w:line="240" w:lineRule="auto"/>
      </w:pPr>
      <w:r>
        <w:continuationSeparator/>
      </w:r>
    </w:p>
  </w:endnote>
  <w:endnote w:type="continuationNotice" w:id="1">
    <w:p w14:paraId="71B9D532" w14:textId="77777777" w:rsidR="007129BA" w:rsidRDefault="007129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672023" w14:textId="77777777" w:rsidR="007129BA" w:rsidRDefault="007129BA" w:rsidP="004A1847">
      <w:pPr>
        <w:spacing w:after="0" w:line="240" w:lineRule="auto"/>
      </w:pPr>
      <w:r>
        <w:separator/>
      </w:r>
    </w:p>
  </w:footnote>
  <w:footnote w:type="continuationSeparator" w:id="0">
    <w:p w14:paraId="69D015C5" w14:textId="77777777" w:rsidR="007129BA" w:rsidRDefault="007129BA" w:rsidP="004A1847">
      <w:pPr>
        <w:spacing w:after="0" w:line="240" w:lineRule="auto"/>
      </w:pPr>
      <w:r>
        <w:continuationSeparator/>
      </w:r>
    </w:p>
  </w:footnote>
  <w:footnote w:type="continuationNotice" w:id="1">
    <w:p w14:paraId="2325FFD3" w14:textId="77777777" w:rsidR="007129BA" w:rsidRDefault="007129BA">
      <w:pPr>
        <w:spacing w:after="0" w:line="240" w:lineRule="auto"/>
      </w:pPr>
    </w:p>
  </w:footnote>
  <w:footnote w:id="2">
    <w:p w14:paraId="6A63AEA2" w14:textId="77777777" w:rsidR="00FA669F" w:rsidRPr="0043540B" w:rsidRDefault="00FA669F" w:rsidP="00FA669F">
      <w:pPr>
        <w:pStyle w:val="Textonotapie"/>
        <w:rPr>
          <w:rFonts w:ascii="Verdana" w:hAnsi="Verdana"/>
          <w:sz w:val="16"/>
          <w:szCs w:val="16"/>
          <w:lang w:val="es-ES"/>
        </w:rPr>
      </w:pPr>
      <w:r w:rsidRPr="0043540B">
        <w:rPr>
          <w:rStyle w:val="Refdenotaalpie"/>
          <w:rFonts w:ascii="Verdana" w:hAnsi="Verdana"/>
          <w:sz w:val="16"/>
          <w:szCs w:val="16"/>
        </w:rPr>
        <w:footnoteRef/>
      </w:r>
      <w:r w:rsidRPr="0043540B">
        <w:rPr>
          <w:rFonts w:ascii="Verdana" w:hAnsi="Verdana"/>
          <w:sz w:val="16"/>
          <w:szCs w:val="16"/>
        </w:rPr>
        <w:t xml:space="preserve"> </w:t>
      </w:r>
      <w:r w:rsidRPr="0043540B">
        <w:rPr>
          <w:rFonts w:ascii="Verdana" w:hAnsi="Verdana"/>
          <w:sz w:val="16"/>
          <w:szCs w:val="16"/>
          <w:lang w:val="es-CO"/>
        </w:rPr>
        <w:t xml:space="preserve">CORTE CONSTITUCIONAL, Sentencia C-414 de 1994, M.P. Antonio Barrera Carbonell, 22 de septiembre de 1994. Disponible en: </w:t>
      </w:r>
      <w:hyperlink r:id="rId1" w:tgtFrame="_blank" w:history="1">
        <w:r w:rsidRPr="0043540B">
          <w:rPr>
            <w:rStyle w:val="Hipervnculo"/>
            <w:rFonts w:ascii="Verdana" w:hAnsi="Verdana"/>
            <w:sz w:val="16"/>
            <w:szCs w:val="16"/>
            <w:lang w:val="es-CO"/>
          </w:rPr>
          <w:t>Corte Constitucional – Sentencia C-414 de 1994</w:t>
        </w:r>
      </w:hyperlink>
      <w:r>
        <w:rPr>
          <w:rFonts w:ascii="Verdana" w:hAnsi="Verdana"/>
          <w:sz w:val="16"/>
          <w:szCs w:val="16"/>
        </w:rPr>
        <w:t xml:space="preserve"> </w:t>
      </w:r>
    </w:p>
  </w:footnote>
  <w:footnote w:id="3">
    <w:p w14:paraId="0D2F6BF9" w14:textId="77777777" w:rsidR="00FA669F" w:rsidRPr="0043540B" w:rsidRDefault="00FA669F" w:rsidP="00FA669F">
      <w:pPr>
        <w:pStyle w:val="Textonotapie"/>
        <w:rPr>
          <w:rFonts w:ascii="Verdana" w:hAnsi="Verdana"/>
          <w:sz w:val="16"/>
          <w:szCs w:val="16"/>
          <w:lang w:val="es-ES"/>
        </w:rPr>
      </w:pPr>
      <w:r w:rsidRPr="0043540B">
        <w:rPr>
          <w:rStyle w:val="Refdenotaalpie"/>
          <w:rFonts w:ascii="Verdana" w:hAnsi="Verdana"/>
          <w:sz w:val="16"/>
          <w:szCs w:val="16"/>
        </w:rPr>
        <w:footnoteRef/>
      </w:r>
      <w:r w:rsidRPr="0043540B">
        <w:rPr>
          <w:rFonts w:ascii="Verdana" w:hAnsi="Verdana"/>
          <w:sz w:val="16"/>
          <w:szCs w:val="16"/>
        </w:rPr>
        <w:t xml:space="preserve"> </w:t>
      </w:r>
      <w:r>
        <w:rPr>
          <w:rFonts w:ascii="Verdana" w:hAnsi="Verdana"/>
          <w:sz w:val="16"/>
          <w:szCs w:val="16"/>
        </w:rPr>
        <w:t xml:space="preserve">Disponible en </w:t>
      </w:r>
      <w:hyperlink r:id="rId2" w:history="1">
        <w:r w:rsidRPr="00435947">
          <w:rPr>
            <w:rStyle w:val="Hipervnculo"/>
            <w:rFonts w:ascii="Verdana" w:hAnsi="Verdana"/>
            <w:sz w:val="16"/>
            <w:szCs w:val="16"/>
          </w:rPr>
          <w:t>https://www.colombiacompra.gov.co/archivos/manual/manual-para-determinar-y-verificar-los-requisitos-habilitantes-en-los-procesos-de-contratacion</w:t>
        </w:r>
      </w:hyperlink>
      <w:r>
        <w:rPr>
          <w:rFonts w:ascii="Verdana" w:hAnsi="Verdana"/>
          <w:sz w:val="16"/>
          <w:szCs w:val="16"/>
        </w:rPr>
        <w:t xml:space="preserve"> </w:t>
      </w:r>
    </w:p>
  </w:footnote>
  <w:footnote w:id="4">
    <w:p w14:paraId="6F4DF13E" w14:textId="77777777" w:rsidR="00FA669F" w:rsidRPr="00FC26A8" w:rsidRDefault="00FA669F" w:rsidP="00FA669F">
      <w:pPr>
        <w:pStyle w:val="NormalWeb"/>
        <w:snapToGrid w:val="0"/>
        <w:spacing w:before="0" w:beforeAutospacing="0" w:after="0" w:afterAutospacing="0"/>
        <w:ind w:firstLine="709"/>
        <w:contextualSpacing/>
        <w:jc w:val="both"/>
        <w:rPr>
          <w:rFonts w:ascii="Verdana" w:hAnsi="Verdana" w:cs="Arial"/>
          <w:sz w:val="16"/>
          <w:szCs w:val="16"/>
        </w:rPr>
      </w:pPr>
      <w:r w:rsidRPr="00FC26A8">
        <w:rPr>
          <w:rStyle w:val="Refdenotaalpie"/>
          <w:rFonts w:ascii="Verdana" w:eastAsiaTheme="majorEastAsia" w:hAnsi="Verdana" w:cs="Arial"/>
          <w:sz w:val="16"/>
          <w:szCs w:val="16"/>
        </w:rPr>
        <w:footnoteRef/>
      </w:r>
      <w:r w:rsidRPr="00FC26A8">
        <w:rPr>
          <w:rFonts w:ascii="Verdana" w:hAnsi="Verdana" w:cs="Arial"/>
          <w:sz w:val="16"/>
          <w:szCs w:val="16"/>
        </w:rPr>
        <w:t xml:space="preserve"> </w:t>
      </w:r>
      <w:r w:rsidRPr="00FC26A8">
        <w:rPr>
          <w:rFonts w:ascii="Verdana" w:hAnsi="Verdana" w:cs="Arial"/>
          <w:sz w:val="16"/>
          <w:szCs w:val="16"/>
          <w:lang w:val="es-ES"/>
        </w:rPr>
        <w:t>“</w:t>
      </w:r>
      <w:r w:rsidRPr="00FC26A8">
        <w:rPr>
          <w:rFonts w:ascii="Verdana" w:hAnsi="Verdana" w:cs="Arial"/>
          <w:sz w:val="16"/>
          <w:szCs w:val="16"/>
        </w:rPr>
        <w:t xml:space="preserve">Para poder participar en los procesos de selección de los contratos de obra, la capacidad residual del proponente o K de contratación deberá ser igual o superior al que la entidad haya establecido para el efecto en los pliegos de condiciones. </w:t>
      </w:r>
    </w:p>
    <w:p w14:paraId="1C2CC3CC" w14:textId="77777777" w:rsidR="00FA669F" w:rsidRDefault="00FA669F" w:rsidP="00FA669F">
      <w:pPr>
        <w:snapToGrid w:val="0"/>
        <w:spacing w:after="0" w:line="240" w:lineRule="auto"/>
        <w:ind w:firstLine="708"/>
        <w:contextualSpacing/>
        <w:jc w:val="both"/>
        <w:rPr>
          <w:rFonts w:ascii="Verdana" w:hAnsi="Verdana" w:cs="Arial"/>
          <w:sz w:val="16"/>
          <w:szCs w:val="16"/>
        </w:rPr>
      </w:pPr>
      <w:r w:rsidRPr="001B0871">
        <w:rPr>
          <w:rFonts w:ascii="Verdana" w:hAnsi="Verdana" w:cs="Arial"/>
          <w:sz w:val="16"/>
          <w:szCs w:val="16"/>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7C602EB7" w14:textId="77777777" w:rsidR="00FA669F" w:rsidRPr="001B0871" w:rsidRDefault="00FA669F" w:rsidP="00FA669F">
      <w:pPr>
        <w:snapToGrid w:val="0"/>
        <w:spacing w:after="0" w:line="240" w:lineRule="auto"/>
        <w:ind w:firstLine="708"/>
        <w:contextualSpacing/>
        <w:jc w:val="both"/>
        <w:rPr>
          <w:rFonts w:ascii="Verdana" w:hAnsi="Verdana" w:cs="Arial"/>
          <w:sz w:val="16"/>
          <w:szCs w:val="16"/>
        </w:rPr>
      </w:pPr>
    </w:p>
  </w:footnote>
  <w:footnote w:id="5">
    <w:p w14:paraId="10ED18DF" w14:textId="77777777" w:rsidR="00FA669F" w:rsidRPr="00AF5AD6" w:rsidRDefault="00FA669F" w:rsidP="00FA669F">
      <w:pPr>
        <w:pStyle w:val="Textonotapie"/>
        <w:rPr>
          <w:rFonts w:ascii="Verdana" w:hAnsi="Verdana"/>
          <w:sz w:val="16"/>
          <w:szCs w:val="16"/>
          <w:lang w:val="es-ES"/>
        </w:rPr>
      </w:pPr>
      <w:r w:rsidRPr="00AF5AD6">
        <w:rPr>
          <w:rStyle w:val="Refdenotaalpie"/>
          <w:rFonts w:ascii="Verdana" w:hAnsi="Verdana"/>
          <w:sz w:val="16"/>
          <w:szCs w:val="16"/>
        </w:rPr>
        <w:footnoteRef/>
      </w:r>
      <w:r w:rsidRPr="00AF5AD6">
        <w:rPr>
          <w:rFonts w:ascii="Verdana" w:hAnsi="Verdana"/>
          <w:sz w:val="16"/>
          <w:szCs w:val="16"/>
        </w:rPr>
        <w:t xml:space="preserve"> https://www.colombiacompra.gov.co/archivos/manual/manual-para-determinar-y-verificar-los-requisitos-habilitantes-en-los-procesos-de-contratacion</w:t>
      </w:r>
    </w:p>
  </w:footnote>
  <w:footnote w:id="6">
    <w:p w14:paraId="72DFD62F" w14:textId="77777777" w:rsidR="00FA669F" w:rsidRPr="0043540B" w:rsidRDefault="00FA669F" w:rsidP="00FA669F">
      <w:pPr>
        <w:pStyle w:val="Textonotapie"/>
        <w:rPr>
          <w:rFonts w:ascii="Verdana" w:hAnsi="Verdana"/>
          <w:sz w:val="16"/>
          <w:szCs w:val="16"/>
          <w:lang w:val="es-ES"/>
        </w:rPr>
      </w:pPr>
      <w:r w:rsidRPr="0043540B">
        <w:rPr>
          <w:rStyle w:val="Refdenotaalpie"/>
          <w:rFonts w:ascii="Verdana" w:hAnsi="Verdana"/>
          <w:sz w:val="16"/>
          <w:szCs w:val="16"/>
        </w:rPr>
        <w:footnoteRef/>
      </w:r>
      <w:r w:rsidRPr="0043540B">
        <w:rPr>
          <w:rFonts w:ascii="Verdana" w:hAnsi="Verdana"/>
          <w:sz w:val="16"/>
          <w:szCs w:val="16"/>
        </w:rPr>
        <w:t xml:space="preserve"> </w:t>
      </w:r>
      <w:r w:rsidRPr="0043540B">
        <w:rPr>
          <w:rFonts w:ascii="Verdana" w:hAnsi="Verdana"/>
          <w:sz w:val="16"/>
          <w:szCs w:val="16"/>
          <w:lang w:val="es-CO"/>
        </w:rPr>
        <w:t xml:space="preserve">CORTE CONSTITUCIONAL, Sentencia C-414 de 1994, M.P. Antonio Barrera Carbonell, 22 de septiembre de 1994. Disponible en: </w:t>
      </w:r>
      <w:hyperlink r:id="rId3" w:tgtFrame="_blank" w:history="1">
        <w:r w:rsidRPr="0043540B">
          <w:rPr>
            <w:rStyle w:val="Hipervnculo"/>
            <w:rFonts w:ascii="Verdana" w:hAnsi="Verdana"/>
            <w:sz w:val="16"/>
            <w:szCs w:val="16"/>
            <w:lang w:val="es-CO"/>
          </w:rPr>
          <w:t>Corte Constitucional – Sentencia C-414 de 1994</w:t>
        </w:r>
      </w:hyperlink>
    </w:p>
  </w:footnote>
  <w:footnote w:id="7">
    <w:p w14:paraId="1028CB9A" w14:textId="77777777" w:rsidR="00FA669F" w:rsidRPr="0043540B" w:rsidRDefault="00FA669F" w:rsidP="00FA669F">
      <w:pPr>
        <w:pStyle w:val="Textonotapie"/>
        <w:rPr>
          <w:rFonts w:ascii="Verdana" w:hAnsi="Verdana"/>
          <w:sz w:val="16"/>
          <w:szCs w:val="16"/>
          <w:lang w:val="es-ES"/>
        </w:rPr>
      </w:pPr>
      <w:r w:rsidRPr="0043540B">
        <w:rPr>
          <w:rStyle w:val="Refdenotaalpie"/>
          <w:rFonts w:ascii="Verdana" w:hAnsi="Verdana"/>
          <w:sz w:val="16"/>
          <w:szCs w:val="16"/>
        </w:rPr>
        <w:footnoteRef/>
      </w:r>
      <w:r w:rsidRPr="0043540B">
        <w:rPr>
          <w:rFonts w:ascii="Verdana" w:hAnsi="Verdana"/>
          <w:sz w:val="16"/>
          <w:szCs w:val="16"/>
        </w:rPr>
        <w:t xml:space="preserve"> </w:t>
      </w:r>
      <w:r>
        <w:rPr>
          <w:rFonts w:ascii="Verdana" w:hAnsi="Verdana"/>
          <w:sz w:val="16"/>
          <w:szCs w:val="16"/>
        </w:rPr>
        <w:t xml:space="preserve">Disponible en </w:t>
      </w:r>
      <w:hyperlink r:id="rId4" w:history="1">
        <w:r w:rsidRPr="00435947">
          <w:rPr>
            <w:rStyle w:val="Hipervnculo"/>
            <w:rFonts w:ascii="Verdana" w:hAnsi="Verdana"/>
            <w:sz w:val="16"/>
            <w:szCs w:val="16"/>
          </w:rPr>
          <w:t>https://www.colombiacompra.gov.co/archivos/manual/manual-para-determinar-y-verificar-los-requisitos-habilitantes-en-los-procesos-de-contratacion</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973318251">
    <w:abstractNumId w:val="0"/>
  </w:num>
  <w:num w:numId="17" w16cid:durableId="136763636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3765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5B73"/>
    <w:rsid w:val="002C0E1C"/>
    <w:rsid w:val="002C7A84"/>
    <w:rsid w:val="002E2BF8"/>
    <w:rsid w:val="002E4FD9"/>
    <w:rsid w:val="0030657A"/>
    <w:rsid w:val="00322A85"/>
    <w:rsid w:val="00324168"/>
    <w:rsid w:val="00330834"/>
    <w:rsid w:val="003448F4"/>
    <w:rsid w:val="003474F3"/>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B178A"/>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E4E2B"/>
    <w:rsid w:val="00706C16"/>
    <w:rsid w:val="007129BA"/>
    <w:rsid w:val="007340C3"/>
    <w:rsid w:val="0075235A"/>
    <w:rsid w:val="00756841"/>
    <w:rsid w:val="007640E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035FE"/>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620"/>
    <w:rsid w:val="00A122D3"/>
    <w:rsid w:val="00A14468"/>
    <w:rsid w:val="00A17480"/>
    <w:rsid w:val="00A17F13"/>
    <w:rsid w:val="00A20739"/>
    <w:rsid w:val="00A23AF9"/>
    <w:rsid w:val="00A33C78"/>
    <w:rsid w:val="00A3404A"/>
    <w:rsid w:val="00AB0ADB"/>
    <w:rsid w:val="00AF363F"/>
    <w:rsid w:val="00B00C0E"/>
    <w:rsid w:val="00B01B1A"/>
    <w:rsid w:val="00B0381D"/>
    <w:rsid w:val="00B11E07"/>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084B"/>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1B59"/>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0B7E"/>
    <w:rsid w:val="00FA47C0"/>
    <w:rsid w:val="00FA669F"/>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A669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A669F"/>
    <w:rPr>
      <w:rFonts w:ascii="Geomanist Light" w:hAnsi="Geomanist Light"/>
      <w:lang w:val="es-ES"/>
    </w:rPr>
  </w:style>
  <w:style w:type="character" w:customStyle="1" w:styleId="NormalWebCar">
    <w:name w:val="Normal (Web) Car"/>
    <w:link w:val="NormalWeb"/>
    <w:uiPriority w:val="99"/>
    <w:locked/>
    <w:rsid w:val="00FA669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amirez@cite-res.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corteconstitucional.gov.co/relatoria/1994/C-414-94.htm?utm_source=chatgpt.com" TargetMode="External"/><Relationship Id="rId2" Type="http://schemas.openxmlformats.org/officeDocument/2006/relationships/hyperlink" Target="https://www.colombiacompra.gov.co/archivos/manual/manual-para-determinar-y-verificar-los-requisitos-habilitantes-en-los-procesos-de-contratacion" TargetMode="External"/><Relationship Id="rId1" Type="http://schemas.openxmlformats.org/officeDocument/2006/relationships/hyperlink" Target="https://www.corteconstitucional.gov.co/relatoria/1994/C-414-94.htm?utm_source=chatgpt.com" TargetMode="External"/><Relationship Id="rId4" Type="http://schemas.openxmlformats.org/officeDocument/2006/relationships/hyperlink" Target="https://www.colombiacompra.gov.co/archivos/manual/manual-para-determinar-y-verificar-los-requisitos-habilitantes-en-los-procesos-de-contrat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E87AA6C-00B1-4FC5-9321-D01C076C9BA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15</Pages>
  <Words>5224</Words>
  <Characters>28737</Characters>
  <Application>Microsoft Office Word</Application>
  <DocSecurity>0</DocSecurity>
  <Lines>239</Lines>
  <Paragraphs>67</Paragraphs>
  <ScaleCrop>false</ScaleCrop>
  <Company/>
  <LinksUpToDate>false</LinksUpToDate>
  <CharactersWithSpaces>33894</CharactersWithSpaces>
  <SharedDoc>false</SharedDoc>
  <HLinks>
    <vt:vector size="54"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524327</vt:i4>
      </vt:variant>
      <vt:variant>
        <vt:i4>0</vt:i4>
      </vt:variant>
      <vt:variant>
        <vt:i4>0</vt:i4>
      </vt:variant>
      <vt:variant>
        <vt:i4>5</vt:i4>
      </vt:variant>
      <vt:variant>
        <vt:lpwstr>mailto:c.ramirez@cite-res.com</vt:lpwstr>
      </vt:variant>
      <vt:variant>
        <vt:lpwstr/>
      </vt:variant>
      <vt:variant>
        <vt:i4>65617</vt:i4>
      </vt:variant>
      <vt:variant>
        <vt:i4>9</vt:i4>
      </vt:variant>
      <vt:variant>
        <vt:i4>0</vt:i4>
      </vt:variant>
      <vt:variant>
        <vt:i4>5</vt:i4>
      </vt:variant>
      <vt:variant>
        <vt:lpwstr>https://www.colombiacompra.gov.co/archivos/manual/manual-para-determinar-y-verificar-los-requisitos-habilitantes-en-los-procesos-de-contratacion</vt:lpwstr>
      </vt:variant>
      <vt:variant>
        <vt:lpwstr/>
      </vt:variant>
      <vt:variant>
        <vt:i4>60</vt:i4>
      </vt:variant>
      <vt:variant>
        <vt:i4>6</vt:i4>
      </vt:variant>
      <vt:variant>
        <vt:i4>0</vt:i4>
      </vt:variant>
      <vt:variant>
        <vt:i4>5</vt:i4>
      </vt:variant>
      <vt:variant>
        <vt:lpwstr>https://www.corteconstitucional.gov.co/relatoria/1994/C-414-94.htm?utm_source=chatgpt.com</vt:lpwstr>
      </vt:variant>
      <vt:variant>
        <vt:lpwstr/>
      </vt:variant>
      <vt:variant>
        <vt:i4>65617</vt:i4>
      </vt:variant>
      <vt:variant>
        <vt:i4>3</vt:i4>
      </vt:variant>
      <vt:variant>
        <vt:i4>0</vt:i4>
      </vt:variant>
      <vt:variant>
        <vt:i4>5</vt:i4>
      </vt:variant>
      <vt:variant>
        <vt:lpwstr>https://www.colombiacompra.gov.co/archivos/manual/manual-para-determinar-y-verificar-los-requisitos-habilitantes-en-los-procesos-de-contratacion</vt:lpwstr>
      </vt:variant>
      <vt:variant>
        <vt:lpwstr/>
      </vt:variant>
      <vt:variant>
        <vt:i4>60</vt:i4>
      </vt:variant>
      <vt:variant>
        <vt:i4>0</vt:i4>
      </vt:variant>
      <vt:variant>
        <vt:i4>0</vt:i4>
      </vt:variant>
      <vt:variant>
        <vt:i4>5</vt:i4>
      </vt:variant>
      <vt:variant>
        <vt:lpwstr>https://www.corteconstitucional.gov.co/relatoria/1994/C-414-94.htm?utm_source=chatgpt.com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2</cp:revision>
  <cp:lastPrinted>2023-01-10T21:18:00Z</cp:lastPrinted>
  <dcterms:created xsi:type="dcterms:W3CDTF">2026-06-02T22:22:00Z</dcterms:created>
  <dcterms:modified xsi:type="dcterms:W3CDTF">2026-06-02T22:22:00Z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