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64F0" w14:textId="3183073F" w:rsidR="00785813" w:rsidRDefault="00785813" w:rsidP="00785813">
      <w:pPr>
        <w:spacing w:after="0" w:line="240" w:lineRule="auto"/>
        <w:jc w:val="both"/>
        <w:rPr>
          <w:rFonts w:ascii="Verdana" w:eastAsia="Geomanist Light" w:hAnsi="Verdana" w:cs="Arial"/>
          <w:b/>
          <w:bCs/>
          <w:lang w:val="es-ES"/>
        </w:rPr>
      </w:pPr>
      <w:r>
        <w:rPr>
          <w:rFonts w:ascii="Verdana" w:eastAsia="Geomanist Light" w:hAnsi="Verdana" w:cs="Arial"/>
          <w:b/>
          <w:bCs/>
          <w:lang w:val="es-ES"/>
        </w:rPr>
        <w:t>PLANEACIÓN CONTRACTUAL</w:t>
      </w:r>
      <w:r w:rsidRPr="002C6742">
        <w:rPr>
          <w:rFonts w:ascii="Verdana" w:eastAsia="Geomanist Light" w:hAnsi="Verdana" w:cs="Arial"/>
          <w:b/>
          <w:bCs/>
          <w:lang w:val="es-ES"/>
        </w:rPr>
        <w:t xml:space="preserve"> – </w:t>
      </w:r>
      <w:r>
        <w:rPr>
          <w:rFonts w:ascii="Verdana" w:eastAsia="Geomanist Light" w:hAnsi="Verdana" w:cs="Arial"/>
          <w:b/>
          <w:bCs/>
          <w:lang w:val="es-ES"/>
        </w:rPr>
        <w:t>Alcance – División</w:t>
      </w:r>
      <w:r w:rsidRPr="00785813">
        <w:rPr>
          <w:rFonts w:ascii="Verdana" w:eastAsia="Geomanist Light" w:hAnsi="Verdana" w:cs="Arial"/>
          <w:b/>
          <w:bCs/>
          <w:lang w:val="es-ES"/>
        </w:rPr>
        <w:t xml:space="preserve"> del Proceso − Lotes o segmentos</w:t>
      </w:r>
    </w:p>
    <w:p w14:paraId="760C6DE2" w14:textId="77777777" w:rsidR="00785813" w:rsidRPr="00785813" w:rsidRDefault="00785813" w:rsidP="00785813">
      <w:pPr>
        <w:spacing w:after="0" w:line="240" w:lineRule="auto"/>
        <w:jc w:val="both"/>
        <w:rPr>
          <w:rFonts w:ascii="Verdana" w:eastAsia="Geomanist Light" w:hAnsi="Verdana" w:cs="Arial"/>
          <w:b/>
          <w:bCs/>
          <w:lang w:val="es-ES"/>
        </w:rPr>
      </w:pPr>
    </w:p>
    <w:p w14:paraId="4E4AC2F8" w14:textId="53BF42D6" w:rsidR="00B506ED" w:rsidRPr="00005492" w:rsidRDefault="00785813" w:rsidP="00005492">
      <w:pPr>
        <w:spacing w:after="120" w:line="276" w:lineRule="auto"/>
        <w:jc w:val="both"/>
        <w:rPr>
          <w:rFonts w:ascii="Verdana" w:hAnsi="Verdana" w:cs="Arial"/>
          <w:sz w:val="20"/>
          <w:szCs w:val="20"/>
        </w:rPr>
      </w:pPr>
      <w:r w:rsidRPr="00005492">
        <w:rPr>
          <w:rFonts w:ascii="Verdana" w:hAnsi="Verdana" w:cs="Arial"/>
          <w:sz w:val="20"/>
          <w:szCs w:val="20"/>
        </w:rPr>
        <w:t xml:space="preserve">[…] Será a través de la planeación del proceso de contratación que la Entidad contratante decidirá de acuerdo a los estudios previos que establezca la necesidad de contratar, la configuración del mercado para la adquisición del bien o servicio, la modalidad y los valores de la contratación, donde se debe establecer con precisión </w:t>
      </w:r>
      <w:r w:rsidRPr="00005492">
        <w:rPr>
          <w:rFonts w:ascii="Verdana" w:eastAsia="Times New Roman" w:hAnsi="Verdana" w:cs="Times New Roman"/>
          <w:sz w:val="20"/>
          <w:szCs w:val="20"/>
          <w:lang w:eastAsia="es-MX"/>
        </w:rPr>
        <w:t>la decisión de dividir un proceso en lotes, o de cambiar el modelo adoptado en vigencias anteriores, que en todo caso, es una expresión de la autonomía administrativa que el ordenamiento le reconoce a la entidad estatal.</w:t>
      </w:r>
    </w:p>
    <w:p w14:paraId="45AD32D1" w14:textId="6B73F397" w:rsidR="007C2929" w:rsidRPr="00005492" w:rsidRDefault="00B506ED" w:rsidP="00005492">
      <w:pPr>
        <w:spacing w:after="0" w:line="240" w:lineRule="auto"/>
        <w:jc w:val="both"/>
        <w:rPr>
          <w:rFonts w:ascii="Verdana" w:eastAsia="Geomanist Light" w:hAnsi="Verdana" w:cs="Arial"/>
          <w:b/>
          <w:bCs/>
          <w:lang w:val="es-ES"/>
        </w:rPr>
      </w:pPr>
      <w:r>
        <w:rPr>
          <w:rFonts w:ascii="Verdana" w:eastAsia="Geomanist Light" w:hAnsi="Verdana" w:cs="Arial"/>
          <w:b/>
          <w:bCs/>
          <w:lang w:val="es-ES"/>
        </w:rPr>
        <w:t xml:space="preserve">PLAN ANUAL DE ADQUISICIONES </w:t>
      </w:r>
      <w:r w:rsidRPr="002C6742">
        <w:rPr>
          <w:rFonts w:ascii="Verdana" w:eastAsia="Geomanist Light" w:hAnsi="Verdana" w:cs="Arial"/>
          <w:b/>
          <w:bCs/>
          <w:lang w:val="es-ES"/>
        </w:rPr>
        <w:t>–</w:t>
      </w:r>
      <w:r w:rsidRPr="00785813">
        <w:rPr>
          <w:rFonts w:ascii="Verdana" w:eastAsia="Geomanist Light" w:hAnsi="Verdana" w:cs="Arial"/>
          <w:b/>
          <w:bCs/>
          <w:lang w:val="es-ES"/>
        </w:rPr>
        <w:t>Lotes o segmentos</w:t>
      </w:r>
    </w:p>
    <w:p w14:paraId="6AA344AE" w14:textId="77777777" w:rsidR="007C2929" w:rsidRDefault="007C2929" w:rsidP="00151715">
      <w:pPr>
        <w:spacing w:after="0" w:line="240" w:lineRule="auto"/>
        <w:rPr>
          <w:rFonts w:ascii="Verdana" w:eastAsia="Geomanist Light" w:hAnsi="Verdana" w:cs="Arial"/>
          <w:color w:val="000000" w:themeColor="text1"/>
          <w:lang w:val="es-MX"/>
        </w:rPr>
      </w:pPr>
    </w:p>
    <w:p w14:paraId="44B2FD1C" w14:textId="256DC7D1" w:rsidR="007C2929" w:rsidRPr="00005492" w:rsidRDefault="00785813" w:rsidP="00B506ED">
      <w:pPr>
        <w:spacing w:after="0" w:line="240" w:lineRule="auto"/>
        <w:jc w:val="both"/>
        <w:rPr>
          <w:rFonts w:ascii="Verdana" w:eastAsia="Geomanist Light" w:hAnsi="Verdana" w:cs="Arial"/>
          <w:color w:val="000000" w:themeColor="text1"/>
          <w:sz w:val="20"/>
          <w:szCs w:val="20"/>
          <w:lang w:val="es-MX"/>
        </w:rPr>
      </w:pPr>
      <w:r w:rsidRPr="00005492">
        <w:rPr>
          <w:rFonts w:ascii="Verdana" w:hAnsi="Verdana" w:cs="Arial"/>
          <w:sz w:val="20"/>
          <w:szCs w:val="20"/>
        </w:rPr>
        <w:t xml:space="preserve">Las entidades estatales sometidas al Estatuto General de Contratación de la Administración Pública, en el marco de la autonomía y discrecionalidad que les asiste para desarrollar su actividad contractual, tienen la posibilidad de segmentar los objetos a contratar, adelantando procesos de contratación divididos en lotes. En términos de eficiencia y economía, esto es procedente cuando, en atención a las condiciones de ejecución requeridas, resulta conveniente segmentar el cumplimiento del objeto del contrato, dando lugar a lotes o segmentos, de tal manera que los virtuales proponentes puedan ofertar respecto de un lote en concreto, y la entidad pueda definir un adjudicatario para uno de los lotes definidos.   </w:t>
      </w:r>
    </w:p>
    <w:p w14:paraId="51E4F3EA" w14:textId="77777777" w:rsidR="007C2929" w:rsidRPr="00005492" w:rsidRDefault="007C2929" w:rsidP="00B506ED">
      <w:pPr>
        <w:spacing w:after="0" w:line="240" w:lineRule="auto"/>
        <w:jc w:val="both"/>
        <w:rPr>
          <w:rFonts w:ascii="Verdana" w:eastAsia="Geomanist Light" w:hAnsi="Verdana" w:cs="Arial"/>
          <w:color w:val="000000" w:themeColor="text1"/>
          <w:sz w:val="20"/>
          <w:szCs w:val="20"/>
          <w:lang w:val="es-MX"/>
        </w:rPr>
      </w:pPr>
    </w:p>
    <w:p w14:paraId="3A6C98A4" w14:textId="7EDCEE0B" w:rsidR="007C2929" w:rsidRPr="00005492" w:rsidRDefault="00B506ED" w:rsidP="00B506ED">
      <w:pPr>
        <w:spacing w:after="0" w:line="240" w:lineRule="auto"/>
        <w:jc w:val="both"/>
        <w:rPr>
          <w:rFonts w:ascii="Verdana" w:eastAsia="Geomanist Light" w:hAnsi="Verdana" w:cs="Arial"/>
          <w:color w:val="000000" w:themeColor="text1"/>
          <w:sz w:val="20"/>
          <w:szCs w:val="20"/>
          <w:lang w:val="es-MX"/>
        </w:rPr>
      </w:pPr>
      <w:r w:rsidRPr="00005492">
        <w:rPr>
          <w:rFonts w:ascii="Verdana" w:hAnsi="Verdana" w:cs="Arial"/>
          <w:sz w:val="20"/>
          <w:szCs w:val="20"/>
        </w:rPr>
        <w:t>Sin perjuicio de lo anterior, con la expedición del Decreto 142 del de 2023  se reglamentó la disposición contenida en el numeral 6 del artículo 33 de la Ley 2069 de 2020. Con el fin de cumplir el mandato legal indicado, el artículo 2 del Decreto 0142 de 2023 modificó el artículo 2.2.1.1.1.4.1 del Decreto 1082 de 2015, para instar a las entidades públicas para que, desde la configuración del Plan Anual de Adquisiciones, propendan por planear su contratación de tal manera que promueva el adelantamiento de procesos de contratación por lotes o segmentos, a fin de promover la participación de las Mipymes en los procesos de contratación.</w:t>
      </w:r>
    </w:p>
    <w:p w14:paraId="04ED297F" w14:textId="77777777" w:rsidR="00005492" w:rsidRDefault="00005492" w:rsidP="00B506ED">
      <w:pPr>
        <w:spacing w:after="0" w:line="240" w:lineRule="auto"/>
        <w:jc w:val="both"/>
        <w:rPr>
          <w:rFonts w:ascii="Verdana" w:eastAsia="Geomanist Light" w:hAnsi="Verdana" w:cs="Arial"/>
          <w:color w:val="000000" w:themeColor="text1"/>
          <w:lang w:val="es-MX"/>
        </w:rPr>
      </w:pPr>
    </w:p>
    <w:p w14:paraId="3BD261A1" w14:textId="3ACF75BC" w:rsidR="00B506ED" w:rsidRDefault="00B506ED" w:rsidP="00B506ED">
      <w:pPr>
        <w:spacing w:after="0" w:line="240" w:lineRule="auto"/>
        <w:jc w:val="both"/>
        <w:rPr>
          <w:rFonts w:ascii="Verdana" w:eastAsia="Geomanist Light" w:hAnsi="Verdana" w:cs="Arial"/>
          <w:b/>
          <w:bCs/>
          <w:lang w:val="es-ES"/>
        </w:rPr>
      </w:pPr>
      <w:r>
        <w:rPr>
          <w:rFonts w:ascii="Verdana" w:eastAsia="Geomanist Light" w:hAnsi="Verdana" w:cs="Arial"/>
          <w:b/>
          <w:bCs/>
          <w:lang w:val="es-ES"/>
        </w:rPr>
        <w:t xml:space="preserve">FRACCIONAMIENTO CONTRACTUAL </w:t>
      </w:r>
      <w:r w:rsidRPr="002C6742">
        <w:rPr>
          <w:rFonts w:ascii="Verdana" w:eastAsia="Geomanist Light" w:hAnsi="Verdana" w:cs="Arial"/>
          <w:b/>
          <w:bCs/>
          <w:lang w:val="es-ES"/>
        </w:rPr>
        <w:t>–</w:t>
      </w:r>
      <w:r>
        <w:rPr>
          <w:rFonts w:ascii="Verdana" w:eastAsia="Geomanist Light" w:hAnsi="Verdana" w:cs="Arial"/>
          <w:b/>
          <w:bCs/>
          <w:lang w:val="es-ES"/>
        </w:rPr>
        <w:t xml:space="preserve"> Elementos </w:t>
      </w:r>
      <w:r w:rsidR="00005492" w:rsidRPr="00005492">
        <w:rPr>
          <w:rFonts w:ascii="Verdana" w:eastAsia="Geomanist Light" w:hAnsi="Verdana" w:cs="Arial"/>
          <w:b/>
          <w:bCs/>
          <w:lang w:val="es-ES"/>
        </w:rPr>
        <w:t>–</w:t>
      </w:r>
      <w:r>
        <w:rPr>
          <w:rFonts w:ascii="Verdana" w:eastAsia="Geomanist Light" w:hAnsi="Verdana" w:cs="Arial"/>
          <w:b/>
          <w:bCs/>
          <w:lang w:val="es-ES"/>
        </w:rPr>
        <w:t xml:space="preserve"> Nulidad </w:t>
      </w:r>
    </w:p>
    <w:p w14:paraId="5DC957A1" w14:textId="77777777" w:rsidR="00B506ED" w:rsidRDefault="00B506ED" w:rsidP="00B506ED">
      <w:pPr>
        <w:spacing w:after="0" w:line="276" w:lineRule="auto"/>
        <w:jc w:val="both"/>
        <w:rPr>
          <w:rFonts w:ascii="Verdana" w:hAnsi="Verdana"/>
        </w:rPr>
      </w:pPr>
    </w:p>
    <w:p w14:paraId="4C0BE35C" w14:textId="491FA352" w:rsidR="00B506ED" w:rsidRPr="00005492" w:rsidRDefault="00B506ED" w:rsidP="00B506ED">
      <w:pPr>
        <w:spacing w:after="0" w:line="276" w:lineRule="auto"/>
        <w:jc w:val="both"/>
        <w:rPr>
          <w:rFonts w:ascii="Verdana" w:hAnsi="Verdana"/>
          <w:sz w:val="20"/>
          <w:szCs w:val="20"/>
        </w:rPr>
      </w:pPr>
      <w:r w:rsidRPr="00005492">
        <w:rPr>
          <w:rFonts w:ascii="Verdana" w:hAnsi="Verdana"/>
          <w:sz w:val="20"/>
          <w:szCs w:val="20"/>
        </w:rPr>
        <w:t>El fraccionamiento contractual es una práctica mediante la cual se dividen contratos para evitar procedimientos de contratación pública o para eludir límites establecidos en la normativa. En Colombia, esta práctica es ilegal ya que va en contra de los principios fundamentales de la contratación especialmente en el Estatuto General de Contratación de la Administración Pública (Ley 80 de 1993), la Ley 1150 de 2007, y el Estatuto Anticorrupción (Ley 1474 de 2011).</w:t>
      </w:r>
    </w:p>
    <w:p w14:paraId="44FD3F95" w14:textId="77777777" w:rsidR="00B506ED" w:rsidRPr="00005492" w:rsidRDefault="00B506ED" w:rsidP="00B506ED">
      <w:pPr>
        <w:spacing w:after="0" w:line="276" w:lineRule="auto"/>
        <w:jc w:val="both"/>
        <w:rPr>
          <w:rFonts w:ascii="Verdana" w:hAnsi="Verdana"/>
          <w:sz w:val="20"/>
          <w:szCs w:val="20"/>
        </w:rPr>
      </w:pPr>
    </w:p>
    <w:p w14:paraId="427D0CD9" w14:textId="69106181" w:rsidR="00B506ED" w:rsidRPr="00005492" w:rsidRDefault="00B506ED" w:rsidP="00CE274E">
      <w:pPr>
        <w:spacing w:after="0" w:line="276" w:lineRule="auto"/>
        <w:jc w:val="both"/>
        <w:rPr>
          <w:rFonts w:ascii="Verdana" w:hAnsi="Verdana"/>
          <w:sz w:val="20"/>
          <w:szCs w:val="20"/>
        </w:rPr>
      </w:pPr>
      <w:r w:rsidRPr="00005492">
        <w:rPr>
          <w:rFonts w:ascii="Verdana" w:hAnsi="Verdana"/>
          <w:sz w:val="20"/>
          <w:szCs w:val="20"/>
        </w:rPr>
        <w:t xml:space="preserve">[…] Ahora bien, a la luz de la jurisprudencia solo habrá fraccionamiento del contrato cuando concurran los siguientes elementos: “i) que exista una separación artificial de un mismo objeto contractual y ii) que dicha separación tenga como objetivo evitar procedimientos de convocatoria pública y de selección objetiva”. De manera que estos </w:t>
      </w:r>
      <w:r w:rsidRPr="00005492">
        <w:rPr>
          <w:rFonts w:ascii="Verdana" w:hAnsi="Verdana"/>
          <w:sz w:val="20"/>
          <w:szCs w:val="20"/>
        </w:rPr>
        <w:lastRenderedPageBreak/>
        <w:t xml:space="preserve">elementos deberán ser constatados por la autoridad judicial competente para declarar una eventual nulidad absoluta del contrato. </w:t>
      </w:r>
    </w:p>
    <w:p w14:paraId="51530D1E" w14:textId="77777777" w:rsidR="007C2929" w:rsidRPr="00005492" w:rsidRDefault="007C2929" w:rsidP="00151715">
      <w:pPr>
        <w:spacing w:after="0" w:line="240" w:lineRule="auto"/>
        <w:rPr>
          <w:rFonts w:ascii="Verdana" w:eastAsia="Geomanist Light" w:hAnsi="Verdana" w:cs="Arial"/>
          <w:color w:val="000000" w:themeColor="text1"/>
          <w:sz w:val="20"/>
          <w:szCs w:val="20"/>
          <w:lang w:val="es-MX"/>
        </w:rPr>
      </w:pPr>
    </w:p>
    <w:p w14:paraId="609699DE" w14:textId="2C687C88" w:rsidR="007C2929" w:rsidRPr="00005492" w:rsidRDefault="00B506ED" w:rsidP="00005492">
      <w:pPr>
        <w:spacing w:after="0" w:line="276" w:lineRule="auto"/>
        <w:jc w:val="both"/>
        <w:rPr>
          <w:rFonts w:ascii="Verdana" w:hAnsi="Verdana"/>
          <w:sz w:val="20"/>
          <w:szCs w:val="20"/>
        </w:rPr>
      </w:pPr>
      <w:r w:rsidRPr="00005492">
        <w:rPr>
          <w:rFonts w:ascii="Verdana" w:hAnsi="Verdana"/>
          <w:sz w:val="20"/>
          <w:szCs w:val="20"/>
        </w:rPr>
        <w:t xml:space="preserve">[…] Fraccionar la unidad natural de un objeto contractual con el propósito de evadir una cuantía superior que implicaría un proceso de selección diferente, tiene como consecuencia la nulidad absoluta del contrato en los términos de los artículos 44 y 45 de la Ley 80 de 1993, aplicable en lo correspondiente a este tipo de contrato. </w:t>
      </w:r>
    </w:p>
    <w:p w14:paraId="7FFA8EE8" w14:textId="2CB076CB" w:rsidR="007C2929" w:rsidRDefault="007C2929" w:rsidP="00151715">
      <w:pPr>
        <w:spacing w:after="0" w:line="240" w:lineRule="auto"/>
        <w:rPr>
          <w:rFonts w:ascii="Verdana" w:eastAsia="Geomanist Light" w:hAnsi="Verdana" w:cs="Arial"/>
          <w:color w:val="000000" w:themeColor="text1"/>
          <w:lang w:val="es-MX"/>
        </w:rPr>
      </w:pPr>
    </w:p>
    <w:p w14:paraId="61ADC9E0" w14:textId="6F85B091" w:rsidR="007C2929" w:rsidRPr="00005492" w:rsidRDefault="00B506ED" w:rsidP="00005492">
      <w:pPr>
        <w:spacing w:after="0" w:line="240" w:lineRule="auto"/>
        <w:jc w:val="both"/>
        <w:rPr>
          <w:rFonts w:ascii="Verdana" w:eastAsia="Geomanist Light" w:hAnsi="Verdana" w:cs="Arial"/>
          <w:b/>
          <w:bCs/>
          <w:lang w:val="es-ES"/>
        </w:rPr>
      </w:pPr>
      <w:r>
        <w:rPr>
          <w:rFonts w:ascii="Verdana" w:eastAsia="Geomanist Light" w:hAnsi="Verdana" w:cs="Arial"/>
          <w:b/>
          <w:bCs/>
          <w:lang w:val="es-ES"/>
        </w:rPr>
        <w:t xml:space="preserve">FRACCIONAMIENTO CONTRACTUAL </w:t>
      </w:r>
      <w:r w:rsidR="00005492" w:rsidRPr="00005492">
        <w:rPr>
          <w:rFonts w:ascii="Verdana" w:eastAsia="Geomanist Light" w:hAnsi="Verdana" w:cs="Arial"/>
          <w:b/>
          <w:bCs/>
          <w:lang w:val="es-ES"/>
        </w:rPr>
        <w:t>–</w:t>
      </w:r>
      <w:r>
        <w:rPr>
          <w:rFonts w:ascii="Verdana" w:eastAsia="Geomanist Light" w:hAnsi="Verdana" w:cs="Arial"/>
          <w:b/>
          <w:bCs/>
          <w:lang w:val="es-ES"/>
        </w:rPr>
        <w:t xml:space="preserve"> División en lotes </w:t>
      </w:r>
      <w:r w:rsidRPr="002C6742">
        <w:rPr>
          <w:rFonts w:ascii="Verdana" w:eastAsia="Geomanist Light" w:hAnsi="Verdana" w:cs="Arial"/>
          <w:b/>
          <w:bCs/>
          <w:lang w:val="es-ES"/>
        </w:rPr>
        <w:t>–</w:t>
      </w:r>
      <w:r>
        <w:rPr>
          <w:rFonts w:ascii="Verdana" w:eastAsia="Geomanist Light" w:hAnsi="Verdana" w:cs="Arial"/>
          <w:b/>
          <w:bCs/>
          <w:lang w:val="es-ES"/>
        </w:rPr>
        <w:t xml:space="preserve"> Distinción</w:t>
      </w:r>
    </w:p>
    <w:p w14:paraId="558355F4" w14:textId="77777777" w:rsidR="007C2929" w:rsidRDefault="007C2929" w:rsidP="00151715">
      <w:pPr>
        <w:spacing w:after="0" w:line="240" w:lineRule="auto"/>
        <w:rPr>
          <w:rFonts w:ascii="Verdana" w:eastAsia="Geomanist Light" w:hAnsi="Verdana" w:cs="Arial"/>
          <w:color w:val="000000" w:themeColor="text1"/>
          <w:lang w:val="es-MX"/>
        </w:rPr>
      </w:pPr>
    </w:p>
    <w:p w14:paraId="5648E3E1" w14:textId="1F84ACFE" w:rsidR="007C2929" w:rsidRPr="00005492" w:rsidRDefault="00B506ED" w:rsidP="00005492">
      <w:pPr>
        <w:spacing w:after="0" w:line="240" w:lineRule="auto"/>
        <w:jc w:val="both"/>
        <w:rPr>
          <w:rFonts w:ascii="Verdana" w:eastAsia="Geomanist Light" w:hAnsi="Verdana" w:cs="Arial"/>
          <w:color w:val="000000" w:themeColor="text1"/>
          <w:sz w:val="20"/>
          <w:szCs w:val="20"/>
          <w:lang w:val="es-MX"/>
        </w:rPr>
      </w:pPr>
      <w:r w:rsidRPr="00005492">
        <w:rPr>
          <w:rFonts w:ascii="Verdana" w:hAnsi="Verdana" w:cs="Arial"/>
          <w:sz w:val="20"/>
          <w:szCs w:val="20"/>
          <w:lang w:eastAsia="es-ES"/>
        </w:rPr>
        <w:t>Con todo, debe distinguirse el fraccionamiento de contrato de la división en lotes. El primero se encuentra prohibido, porque atenta contra el principio de selección objetiva; mientras que el segundo está permitido, con el propósito facilitar la segmentación de mercado y propiciar que varios contratistas ejecuten porciones puntales del objeto contractual.</w:t>
      </w:r>
    </w:p>
    <w:p w14:paraId="54B1D5E8" w14:textId="77777777" w:rsidR="007C2929" w:rsidRDefault="007C2929" w:rsidP="00151715">
      <w:pPr>
        <w:spacing w:after="0" w:line="240" w:lineRule="auto"/>
        <w:rPr>
          <w:rFonts w:ascii="Verdana" w:eastAsia="Geomanist Light" w:hAnsi="Verdana" w:cs="Arial"/>
          <w:color w:val="000000" w:themeColor="text1"/>
          <w:lang w:val="es-MX"/>
        </w:rPr>
      </w:pPr>
    </w:p>
    <w:p w14:paraId="40D00427" w14:textId="77777777" w:rsidR="007C2929" w:rsidRDefault="007C2929" w:rsidP="00151715">
      <w:pPr>
        <w:spacing w:after="0" w:line="240" w:lineRule="auto"/>
        <w:rPr>
          <w:rFonts w:ascii="Verdana" w:eastAsia="Geomanist Light" w:hAnsi="Verdana" w:cs="Arial"/>
          <w:color w:val="000000" w:themeColor="text1"/>
          <w:lang w:val="es-MX"/>
        </w:rPr>
      </w:pPr>
    </w:p>
    <w:p w14:paraId="2685AF30" w14:textId="77777777" w:rsidR="007C2929" w:rsidRDefault="007C2929" w:rsidP="00151715">
      <w:pPr>
        <w:spacing w:after="0" w:line="240" w:lineRule="auto"/>
        <w:rPr>
          <w:rFonts w:ascii="Verdana" w:eastAsia="Geomanist Light" w:hAnsi="Verdana" w:cs="Arial"/>
          <w:color w:val="000000" w:themeColor="text1"/>
          <w:lang w:val="es-MX"/>
        </w:rPr>
      </w:pPr>
    </w:p>
    <w:p w14:paraId="6C814318" w14:textId="77777777" w:rsidR="007C2929" w:rsidRDefault="007C2929" w:rsidP="00151715">
      <w:pPr>
        <w:spacing w:after="0" w:line="240" w:lineRule="auto"/>
        <w:rPr>
          <w:rFonts w:ascii="Verdana" w:eastAsia="Geomanist Light" w:hAnsi="Verdana" w:cs="Arial"/>
          <w:color w:val="000000" w:themeColor="text1"/>
          <w:lang w:val="es-MX"/>
        </w:rPr>
      </w:pPr>
    </w:p>
    <w:p w14:paraId="7FDF2EF7" w14:textId="77777777" w:rsidR="007C2929" w:rsidRDefault="007C2929" w:rsidP="00151715">
      <w:pPr>
        <w:spacing w:after="0" w:line="240" w:lineRule="auto"/>
        <w:rPr>
          <w:rFonts w:ascii="Verdana" w:eastAsia="Geomanist Light" w:hAnsi="Verdana" w:cs="Arial"/>
          <w:color w:val="000000" w:themeColor="text1"/>
          <w:lang w:val="es-MX"/>
        </w:rPr>
      </w:pPr>
    </w:p>
    <w:p w14:paraId="63567DF1" w14:textId="77777777" w:rsidR="00005492" w:rsidRDefault="00005492" w:rsidP="00151715">
      <w:pPr>
        <w:spacing w:after="0" w:line="240" w:lineRule="auto"/>
        <w:jc w:val="both"/>
        <w:rPr>
          <w:rFonts w:ascii="Verdana" w:eastAsia="Geomanist Light" w:hAnsi="Verdana" w:cs="Arial"/>
          <w:color w:val="000000" w:themeColor="text1"/>
          <w:lang w:val="es-MX"/>
        </w:rPr>
      </w:pPr>
    </w:p>
    <w:p w14:paraId="61C2B452" w14:textId="77777777" w:rsidR="00005492" w:rsidRDefault="00005492" w:rsidP="00151715">
      <w:pPr>
        <w:spacing w:after="0" w:line="240" w:lineRule="auto"/>
        <w:jc w:val="both"/>
        <w:rPr>
          <w:rFonts w:ascii="Verdana" w:eastAsia="Geomanist Light" w:hAnsi="Verdana" w:cs="Arial"/>
          <w:color w:val="000000" w:themeColor="text1"/>
          <w:lang w:val="es-MX"/>
        </w:rPr>
      </w:pPr>
    </w:p>
    <w:p w14:paraId="7BAEF7FC" w14:textId="77777777" w:rsidR="00005492" w:rsidRDefault="00005492" w:rsidP="00151715">
      <w:pPr>
        <w:spacing w:after="0" w:line="240" w:lineRule="auto"/>
        <w:jc w:val="both"/>
        <w:rPr>
          <w:rFonts w:ascii="Verdana" w:eastAsia="Geomanist Light" w:hAnsi="Verdana" w:cs="Arial"/>
          <w:color w:val="000000" w:themeColor="text1"/>
          <w:lang w:val="es-MX"/>
        </w:rPr>
      </w:pPr>
    </w:p>
    <w:p w14:paraId="158131EF" w14:textId="77777777" w:rsidR="00005492" w:rsidRDefault="00005492" w:rsidP="00151715">
      <w:pPr>
        <w:spacing w:after="0" w:line="240" w:lineRule="auto"/>
        <w:jc w:val="both"/>
        <w:rPr>
          <w:rFonts w:ascii="Verdana" w:eastAsia="Geomanist Light" w:hAnsi="Verdana" w:cs="Arial"/>
          <w:color w:val="000000" w:themeColor="text1"/>
          <w:lang w:val="es-MX"/>
        </w:rPr>
      </w:pPr>
    </w:p>
    <w:p w14:paraId="02BEB636" w14:textId="77777777" w:rsidR="00005492" w:rsidRDefault="00005492" w:rsidP="00151715">
      <w:pPr>
        <w:spacing w:after="0" w:line="240" w:lineRule="auto"/>
        <w:jc w:val="both"/>
        <w:rPr>
          <w:rFonts w:ascii="Verdana" w:eastAsia="Geomanist Light" w:hAnsi="Verdana" w:cs="Arial"/>
          <w:color w:val="000000" w:themeColor="text1"/>
          <w:lang w:val="es-MX"/>
        </w:rPr>
      </w:pPr>
    </w:p>
    <w:p w14:paraId="4556D558" w14:textId="77777777" w:rsidR="00005492" w:rsidRDefault="00005492" w:rsidP="00151715">
      <w:pPr>
        <w:spacing w:after="0" w:line="240" w:lineRule="auto"/>
        <w:jc w:val="both"/>
        <w:rPr>
          <w:rFonts w:ascii="Verdana" w:eastAsia="Geomanist Light" w:hAnsi="Verdana" w:cs="Arial"/>
          <w:color w:val="000000" w:themeColor="text1"/>
          <w:lang w:val="es-MX"/>
        </w:rPr>
      </w:pPr>
    </w:p>
    <w:p w14:paraId="45B0980A" w14:textId="77777777" w:rsidR="00005492" w:rsidRDefault="00005492" w:rsidP="00151715">
      <w:pPr>
        <w:spacing w:after="0" w:line="240" w:lineRule="auto"/>
        <w:jc w:val="both"/>
        <w:rPr>
          <w:rFonts w:ascii="Verdana" w:eastAsia="Geomanist Light" w:hAnsi="Verdana" w:cs="Arial"/>
          <w:color w:val="000000" w:themeColor="text1"/>
          <w:lang w:val="es-MX"/>
        </w:rPr>
      </w:pPr>
    </w:p>
    <w:p w14:paraId="0FB588C8" w14:textId="77777777" w:rsidR="00005492" w:rsidRDefault="00005492" w:rsidP="00151715">
      <w:pPr>
        <w:spacing w:after="0" w:line="240" w:lineRule="auto"/>
        <w:jc w:val="both"/>
        <w:rPr>
          <w:rFonts w:ascii="Verdana" w:eastAsia="Geomanist Light" w:hAnsi="Verdana" w:cs="Arial"/>
          <w:color w:val="000000" w:themeColor="text1"/>
          <w:lang w:val="es-MX"/>
        </w:rPr>
      </w:pPr>
    </w:p>
    <w:p w14:paraId="20A2DE31" w14:textId="77777777" w:rsidR="00005492" w:rsidRDefault="00005492" w:rsidP="00151715">
      <w:pPr>
        <w:spacing w:after="0" w:line="240" w:lineRule="auto"/>
        <w:jc w:val="both"/>
        <w:rPr>
          <w:rFonts w:ascii="Verdana" w:eastAsia="Geomanist Light" w:hAnsi="Verdana" w:cs="Arial"/>
          <w:color w:val="000000" w:themeColor="text1"/>
          <w:lang w:val="es-MX"/>
        </w:rPr>
      </w:pPr>
    </w:p>
    <w:p w14:paraId="6D2C06EA" w14:textId="77777777" w:rsidR="00005492" w:rsidRDefault="00005492" w:rsidP="00151715">
      <w:pPr>
        <w:spacing w:after="0" w:line="240" w:lineRule="auto"/>
        <w:jc w:val="both"/>
        <w:rPr>
          <w:rFonts w:ascii="Verdana" w:eastAsia="Geomanist Light" w:hAnsi="Verdana" w:cs="Arial"/>
          <w:color w:val="000000" w:themeColor="text1"/>
          <w:lang w:val="es-MX"/>
        </w:rPr>
      </w:pPr>
    </w:p>
    <w:p w14:paraId="50ADE553" w14:textId="77777777" w:rsidR="00005492" w:rsidRDefault="00005492" w:rsidP="00151715">
      <w:pPr>
        <w:spacing w:after="0" w:line="240" w:lineRule="auto"/>
        <w:jc w:val="both"/>
        <w:rPr>
          <w:rFonts w:ascii="Verdana" w:eastAsia="Geomanist Light" w:hAnsi="Verdana" w:cs="Arial"/>
          <w:color w:val="000000" w:themeColor="text1"/>
          <w:lang w:val="es-MX"/>
        </w:rPr>
      </w:pPr>
    </w:p>
    <w:p w14:paraId="4C5EB696" w14:textId="77777777" w:rsidR="00005492" w:rsidRDefault="00005492" w:rsidP="00151715">
      <w:pPr>
        <w:spacing w:after="0" w:line="240" w:lineRule="auto"/>
        <w:jc w:val="both"/>
        <w:rPr>
          <w:rFonts w:ascii="Verdana" w:eastAsia="Geomanist Light" w:hAnsi="Verdana" w:cs="Arial"/>
          <w:color w:val="000000" w:themeColor="text1"/>
          <w:lang w:val="es-MX"/>
        </w:rPr>
      </w:pPr>
    </w:p>
    <w:p w14:paraId="659A3096" w14:textId="77777777" w:rsidR="00005492" w:rsidRDefault="00005492" w:rsidP="00151715">
      <w:pPr>
        <w:spacing w:after="0" w:line="240" w:lineRule="auto"/>
        <w:jc w:val="both"/>
        <w:rPr>
          <w:rFonts w:ascii="Verdana" w:eastAsia="Geomanist Light" w:hAnsi="Verdana" w:cs="Arial"/>
          <w:color w:val="000000" w:themeColor="text1"/>
          <w:lang w:val="es-MX"/>
        </w:rPr>
      </w:pPr>
    </w:p>
    <w:p w14:paraId="609C3112" w14:textId="77777777" w:rsidR="00C01331" w:rsidRDefault="00C01331" w:rsidP="00151715">
      <w:pPr>
        <w:spacing w:after="0" w:line="240" w:lineRule="auto"/>
        <w:jc w:val="both"/>
        <w:rPr>
          <w:rFonts w:ascii="Verdana" w:eastAsia="Geomanist Light" w:hAnsi="Verdana" w:cs="Arial"/>
          <w:color w:val="000000" w:themeColor="text1"/>
          <w:lang w:val="es-MX"/>
        </w:rPr>
      </w:pPr>
    </w:p>
    <w:p w14:paraId="7AA8D544" w14:textId="77777777" w:rsidR="00C01331" w:rsidRDefault="00C01331" w:rsidP="00151715">
      <w:pPr>
        <w:spacing w:after="0" w:line="240" w:lineRule="auto"/>
        <w:jc w:val="both"/>
        <w:rPr>
          <w:rFonts w:ascii="Verdana" w:eastAsia="Geomanist Light" w:hAnsi="Verdana" w:cs="Arial"/>
          <w:color w:val="000000" w:themeColor="text1"/>
          <w:lang w:val="es-MX"/>
        </w:rPr>
      </w:pPr>
    </w:p>
    <w:p w14:paraId="41BD4C57" w14:textId="77777777" w:rsidR="00C01331" w:rsidRDefault="00C01331" w:rsidP="00151715">
      <w:pPr>
        <w:spacing w:after="0" w:line="240" w:lineRule="auto"/>
        <w:jc w:val="both"/>
        <w:rPr>
          <w:rFonts w:ascii="Verdana" w:eastAsia="Geomanist Light" w:hAnsi="Verdana" w:cs="Arial"/>
          <w:color w:val="000000" w:themeColor="text1"/>
          <w:lang w:val="es-MX"/>
        </w:rPr>
      </w:pPr>
    </w:p>
    <w:p w14:paraId="5D67306C" w14:textId="77777777" w:rsidR="00C01331" w:rsidRDefault="00C01331" w:rsidP="00151715">
      <w:pPr>
        <w:spacing w:after="0" w:line="240" w:lineRule="auto"/>
        <w:jc w:val="both"/>
        <w:rPr>
          <w:rFonts w:ascii="Verdana" w:eastAsia="Geomanist Light" w:hAnsi="Verdana" w:cs="Arial"/>
          <w:color w:val="000000" w:themeColor="text1"/>
          <w:lang w:val="es-MX"/>
        </w:rPr>
      </w:pPr>
    </w:p>
    <w:p w14:paraId="19D96EE5" w14:textId="77777777" w:rsidR="00C01331" w:rsidRDefault="00C01331" w:rsidP="00151715">
      <w:pPr>
        <w:spacing w:after="0" w:line="240" w:lineRule="auto"/>
        <w:jc w:val="both"/>
        <w:rPr>
          <w:rFonts w:ascii="Verdana" w:eastAsia="Geomanist Light" w:hAnsi="Verdana" w:cs="Arial"/>
          <w:color w:val="000000" w:themeColor="text1"/>
          <w:lang w:val="es-MX"/>
        </w:rPr>
      </w:pPr>
    </w:p>
    <w:p w14:paraId="5A80DB20" w14:textId="77777777" w:rsidR="00C01331" w:rsidRDefault="00C01331" w:rsidP="00151715">
      <w:pPr>
        <w:spacing w:after="0" w:line="240" w:lineRule="auto"/>
        <w:jc w:val="both"/>
        <w:rPr>
          <w:rFonts w:ascii="Verdana" w:eastAsia="Geomanist Light" w:hAnsi="Verdana" w:cs="Arial"/>
          <w:color w:val="000000" w:themeColor="text1"/>
          <w:lang w:val="es-MX"/>
        </w:rPr>
      </w:pPr>
    </w:p>
    <w:p w14:paraId="296CB687" w14:textId="77777777" w:rsidR="00C01331" w:rsidRDefault="00C01331" w:rsidP="00151715">
      <w:pPr>
        <w:spacing w:after="0" w:line="240" w:lineRule="auto"/>
        <w:jc w:val="both"/>
        <w:rPr>
          <w:rFonts w:ascii="Verdana" w:eastAsia="Geomanist Light" w:hAnsi="Verdana" w:cs="Arial"/>
          <w:color w:val="000000" w:themeColor="text1"/>
          <w:lang w:val="es-MX"/>
        </w:rPr>
      </w:pPr>
    </w:p>
    <w:p w14:paraId="6EEA1C0B" w14:textId="77777777" w:rsidR="00C01331" w:rsidRDefault="00C01331" w:rsidP="00151715">
      <w:pPr>
        <w:spacing w:after="0" w:line="240" w:lineRule="auto"/>
        <w:jc w:val="both"/>
        <w:rPr>
          <w:rFonts w:ascii="Verdana" w:eastAsia="Geomanist Light" w:hAnsi="Verdana" w:cs="Arial"/>
          <w:color w:val="000000" w:themeColor="text1"/>
          <w:lang w:val="es-MX"/>
        </w:rPr>
      </w:pPr>
    </w:p>
    <w:p w14:paraId="6964C447" w14:textId="77777777" w:rsidR="00C01331" w:rsidRDefault="00C01331" w:rsidP="00151715">
      <w:pPr>
        <w:spacing w:after="0" w:line="240" w:lineRule="auto"/>
        <w:jc w:val="both"/>
        <w:rPr>
          <w:rFonts w:ascii="Verdana" w:eastAsia="Geomanist Light" w:hAnsi="Verdana" w:cs="Arial"/>
          <w:color w:val="000000" w:themeColor="text1"/>
          <w:lang w:val="es-MX"/>
        </w:rPr>
      </w:pPr>
    </w:p>
    <w:p w14:paraId="5590C606" w14:textId="77777777" w:rsidR="00C01331" w:rsidRDefault="00C01331" w:rsidP="00151715">
      <w:pPr>
        <w:spacing w:after="0" w:line="240" w:lineRule="auto"/>
        <w:jc w:val="both"/>
        <w:rPr>
          <w:rFonts w:ascii="Verdana" w:eastAsia="Geomanist Light" w:hAnsi="Verdana" w:cs="Arial"/>
          <w:color w:val="000000" w:themeColor="text1"/>
          <w:lang w:val="es-MX"/>
        </w:rPr>
      </w:pPr>
    </w:p>
    <w:p w14:paraId="45CD1753" w14:textId="77777777" w:rsidR="00C01331" w:rsidRDefault="00C01331" w:rsidP="00151715">
      <w:pPr>
        <w:spacing w:after="0" w:line="240" w:lineRule="auto"/>
        <w:jc w:val="both"/>
        <w:rPr>
          <w:rFonts w:ascii="Verdana" w:eastAsia="Geomanist Light" w:hAnsi="Verdana" w:cs="Arial"/>
          <w:color w:val="000000" w:themeColor="text1"/>
          <w:lang w:val="es-MX"/>
        </w:rPr>
      </w:pPr>
    </w:p>
    <w:p w14:paraId="13833D1F" w14:textId="2E09B763" w:rsidR="00151715" w:rsidRDefault="00BF7921" w:rsidP="00151715">
      <w:pPr>
        <w:spacing w:after="0" w:line="240" w:lineRule="auto"/>
        <w:jc w:val="both"/>
        <w:rPr>
          <w:rFonts w:ascii="Verdana" w:eastAsia="Calibri" w:hAnsi="Verdana" w:cs="Arial"/>
          <w:color w:val="000000"/>
          <w:lang w:val="es-ES"/>
        </w:rPr>
      </w:pPr>
      <w:r w:rsidRPr="00BF7921">
        <w:rPr>
          <w:rFonts w:ascii="Verdana" w:eastAsia="Geomanist Light" w:hAnsi="Verdana" w:cs="Arial"/>
          <w:color w:val="000000" w:themeColor="text1"/>
          <w:lang w:val="es-MX"/>
        </w:rPr>
        <w:lastRenderedPageBreak/>
        <w:t xml:space="preserve">Bogotá D.C., </w:t>
      </w:r>
      <w:r w:rsidR="00A573FF">
        <w:rPr>
          <w:rFonts w:ascii="Verdana" w:eastAsia="Geomanist Light" w:hAnsi="Verdana" w:cs="Arial"/>
          <w:color w:val="000000" w:themeColor="text1"/>
          <w:lang w:val="es-MX"/>
        </w:rPr>
        <w:t xml:space="preserve">02 </w:t>
      </w:r>
      <w:r w:rsidRPr="00BF7921">
        <w:rPr>
          <w:rFonts w:ascii="Verdana" w:eastAsia="Geomanist Light" w:hAnsi="Verdana" w:cs="Arial"/>
          <w:color w:val="000000" w:themeColor="text1"/>
          <w:lang w:val="es-MX"/>
        </w:rPr>
        <w:t xml:space="preserve">de </w:t>
      </w:r>
      <w:r w:rsidR="00005492">
        <w:rPr>
          <w:rFonts w:ascii="Verdana" w:eastAsia="Geomanist Light" w:hAnsi="Verdana" w:cs="Arial"/>
          <w:color w:val="000000" w:themeColor="text1"/>
          <w:lang w:val="es-MX"/>
        </w:rPr>
        <w:t>junio</w:t>
      </w:r>
      <w:r w:rsidRPr="00BF7921">
        <w:rPr>
          <w:rFonts w:ascii="Verdana" w:eastAsia="Geomanist Light" w:hAnsi="Verdana" w:cs="Arial"/>
          <w:color w:val="000000" w:themeColor="text1"/>
          <w:lang w:val="es-MX"/>
        </w:rPr>
        <w:t xml:space="preserve"> de </w:t>
      </w:r>
      <w:r w:rsidR="00A573FF">
        <w:rPr>
          <w:rFonts w:ascii="Verdana" w:eastAsia="Geomanist Light" w:hAnsi="Verdana" w:cs="Arial"/>
          <w:color w:val="000000" w:themeColor="text1"/>
          <w:lang w:val="es-MX"/>
        </w:rPr>
        <w:t xml:space="preserve">2026 </w:t>
      </w:r>
    </w:p>
    <w:p w14:paraId="2CCC78D3" w14:textId="13DC951D" w:rsidR="00151715" w:rsidRDefault="00A573FF" w:rsidP="008A7E15">
      <w:pPr>
        <w:spacing w:after="0" w:line="240" w:lineRule="auto"/>
        <w:jc w:val="right"/>
        <w:rPr>
          <w:rFonts w:ascii="Verdana" w:eastAsia="Calibri" w:hAnsi="Verdana" w:cs="Arial"/>
          <w:color w:val="000000"/>
          <w:lang w:val="es-ES"/>
        </w:rPr>
      </w:pPr>
      <w:r w:rsidRPr="00A573FF">
        <w:rPr>
          <w:rFonts w:ascii="Verdana" w:eastAsia="Calibri" w:hAnsi="Verdana" w:cs="Arial"/>
          <w:noProof/>
          <w:color w:val="000000"/>
          <w:lang w:val="es-ES"/>
        </w:rPr>
        <w:drawing>
          <wp:anchor distT="0" distB="0" distL="114300" distR="114300" simplePos="0" relativeHeight="251658240" behindDoc="0" locked="0" layoutInCell="1" allowOverlap="1" wp14:anchorId="105133D5" wp14:editId="6EF41BDA">
            <wp:simplePos x="0" y="0"/>
            <wp:positionH relativeFrom="column">
              <wp:posOffset>3165862</wp:posOffset>
            </wp:positionH>
            <wp:positionV relativeFrom="paragraph">
              <wp:posOffset>-3479</wp:posOffset>
            </wp:positionV>
            <wp:extent cx="2446102" cy="656408"/>
            <wp:effectExtent l="0" t="0" r="0" b="0"/>
            <wp:wrapSquare wrapText="bothSides"/>
            <wp:docPr id="1806069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6917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6102" cy="656408"/>
                    </a:xfrm>
                    <a:prstGeom prst="rect">
                      <a:avLst/>
                    </a:prstGeom>
                  </pic:spPr>
                </pic:pic>
              </a:graphicData>
            </a:graphic>
          </wp:anchor>
        </w:drawing>
      </w:r>
    </w:p>
    <w:p w14:paraId="7B6FD8BF" w14:textId="77777777" w:rsidR="008A7E15" w:rsidRPr="00593A5F" w:rsidRDefault="008A7E15" w:rsidP="00151715">
      <w:pPr>
        <w:spacing w:after="0" w:line="240" w:lineRule="auto"/>
        <w:jc w:val="both"/>
        <w:rPr>
          <w:rFonts w:ascii="Verdana" w:eastAsia="Calibri" w:hAnsi="Verdana" w:cs="Arial"/>
          <w:color w:val="000000"/>
          <w:lang w:val="es-ES"/>
        </w:rPr>
      </w:pPr>
    </w:p>
    <w:p w14:paraId="3B43F0B9" w14:textId="7B70CF2F" w:rsidR="00151715" w:rsidRPr="00BF7921" w:rsidRDefault="00151715" w:rsidP="00151715">
      <w:pPr>
        <w:spacing w:after="0" w:line="240" w:lineRule="auto"/>
        <w:jc w:val="both"/>
        <w:rPr>
          <w:rFonts w:ascii="Verdana" w:eastAsia="Calibri" w:hAnsi="Verdana" w:cs="Arial"/>
          <w:lang w:val="es-ES" w:eastAsia="es-ES"/>
        </w:rPr>
      </w:pPr>
      <w:r w:rsidRPr="00BF7921">
        <w:rPr>
          <w:rFonts w:ascii="Verdana" w:eastAsia="Calibri" w:hAnsi="Verdana" w:cs="Arial"/>
          <w:lang w:val="es-ES" w:eastAsia="es-ES"/>
        </w:rPr>
        <w:t>Señor</w:t>
      </w:r>
      <w:r w:rsidR="00BF7921" w:rsidRPr="00BF7921">
        <w:rPr>
          <w:rFonts w:ascii="Verdana" w:eastAsia="Calibri" w:hAnsi="Verdana" w:cs="Arial"/>
          <w:lang w:val="es-ES" w:eastAsia="es-ES"/>
        </w:rPr>
        <w:t>es</w:t>
      </w:r>
    </w:p>
    <w:p w14:paraId="6523670A" w14:textId="640EEB5A" w:rsidR="00B074DA" w:rsidRDefault="00B074DA" w:rsidP="00151715">
      <w:pPr>
        <w:spacing w:after="0" w:line="240" w:lineRule="auto"/>
        <w:rPr>
          <w:rFonts w:ascii="Verdana" w:eastAsia="Calibri" w:hAnsi="Verdana" w:cs="Arial"/>
          <w:b/>
          <w:lang w:val="es-ES_tradnl" w:eastAsia="es-ES_tradnl"/>
        </w:rPr>
      </w:pPr>
      <w:r w:rsidRPr="00B074DA">
        <w:rPr>
          <w:rFonts w:ascii="Verdana" w:eastAsia="Calibri" w:hAnsi="Verdana" w:cs="Arial"/>
          <w:b/>
          <w:lang w:val="es-ES_tradnl" w:eastAsia="es-ES_tradnl"/>
        </w:rPr>
        <w:t xml:space="preserve">Promotora </w:t>
      </w:r>
      <w:r>
        <w:rPr>
          <w:rFonts w:ascii="Verdana" w:eastAsia="Calibri" w:hAnsi="Verdana" w:cs="Arial"/>
          <w:b/>
          <w:lang w:val="es-ES_tradnl" w:eastAsia="es-ES_tradnl"/>
        </w:rPr>
        <w:t>de</w:t>
      </w:r>
      <w:r w:rsidRPr="00B074DA">
        <w:rPr>
          <w:rFonts w:ascii="Verdana" w:eastAsia="Calibri" w:hAnsi="Verdana" w:cs="Arial"/>
          <w:b/>
          <w:lang w:val="es-ES_tradnl" w:eastAsia="es-ES_tradnl"/>
        </w:rPr>
        <w:t xml:space="preserve"> </w:t>
      </w:r>
      <w:r>
        <w:rPr>
          <w:rFonts w:ascii="Verdana" w:eastAsia="Calibri" w:hAnsi="Verdana" w:cs="Arial"/>
          <w:b/>
          <w:lang w:val="es-ES_tradnl" w:eastAsia="es-ES_tradnl"/>
        </w:rPr>
        <w:t>E</w:t>
      </w:r>
      <w:r w:rsidRPr="00B074DA">
        <w:rPr>
          <w:rFonts w:ascii="Verdana" w:eastAsia="Calibri" w:hAnsi="Verdana" w:cs="Arial"/>
          <w:b/>
          <w:lang w:val="es-ES_tradnl" w:eastAsia="es-ES_tradnl"/>
        </w:rPr>
        <w:t>ventos &amp; Turismo SAS</w:t>
      </w:r>
    </w:p>
    <w:p w14:paraId="2A69AD4C" w14:textId="27CAC989" w:rsidR="00B074DA" w:rsidRDefault="00B074DA" w:rsidP="00151715">
      <w:pPr>
        <w:spacing w:after="0" w:line="240" w:lineRule="auto"/>
        <w:rPr>
          <w:rFonts w:ascii="Verdana" w:hAnsi="Verdana"/>
        </w:rPr>
      </w:pPr>
      <w:hyperlink r:id="rId12" w:history="1">
        <w:r w:rsidRPr="004147C0">
          <w:rPr>
            <w:rStyle w:val="Hipervnculo"/>
            <w:rFonts w:ascii="Verdana" w:hAnsi="Verdana"/>
          </w:rPr>
          <w:t>secretaria.general@promotoraeventosyturismo.gov.co</w:t>
        </w:r>
      </w:hyperlink>
    </w:p>
    <w:p w14:paraId="34D92817" w14:textId="0CF4E7B4" w:rsidR="00151715" w:rsidRPr="00BF7921" w:rsidRDefault="00151715" w:rsidP="00151715">
      <w:pPr>
        <w:spacing w:after="0" w:line="240" w:lineRule="auto"/>
        <w:rPr>
          <w:rFonts w:ascii="Verdana" w:eastAsia="Calibri" w:hAnsi="Verdana" w:cs="Arial"/>
          <w:lang w:val="es-ES" w:eastAsia="es-ES"/>
        </w:rPr>
      </w:pPr>
      <w:r w:rsidRPr="00BF7921">
        <w:rPr>
          <w:rFonts w:ascii="Verdana" w:eastAsia="Calibri" w:hAnsi="Verdana" w:cs="Arial"/>
          <w:lang w:val="es-ES" w:eastAsia="es-ES"/>
        </w:rPr>
        <w:t xml:space="preserve">Valle del Cauca </w:t>
      </w:r>
    </w:p>
    <w:p w14:paraId="09E3C31D" w14:textId="77777777" w:rsidR="00151715" w:rsidRPr="00593A5F" w:rsidRDefault="00151715" w:rsidP="00151715">
      <w:pPr>
        <w:spacing w:after="0" w:line="240" w:lineRule="auto"/>
        <w:rPr>
          <w:rFonts w:ascii="Verdana" w:eastAsia="Calibri" w:hAnsi="Verdana" w:cs="Arial"/>
          <w:b/>
          <w:bCs/>
          <w:color w:val="000000"/>
          <w:lang w:val="es-ES_tradnl" w:eastAsia="es-ES_tradnl"/>
        </w:rPr>
      </w:pPr>
    </w:p>
    <w:p w14:paraId="01C0F154" w14:textId="77777777" w:rsidR="00151715" w:rsidRPr="00593A5F" w:rsidRDefault="00151715" w:rsidP="00151715">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51715" w:rsidRPr="00593A5F" w14:paraId="45B4F064" w14:textId="77777777" w:rsidTr="004913FE">
        <w:trPr>
          <w:trHeight w:val="884"/>
        </w:trPr>
        <w:tc>
          <w:tcPr>
            <w:tcW w:w="2689" w:type="dxa"/>
          </w:tcPr>
          <w:p w14:paraId="61F6C30F" w14:textId="77777777" w:rsidR="00151715" w:rsidRPr="00CE274E" w:rsidRDefault="00151715" w:rsidP="004913FE">
            <w:pPr>
              <w:jc w:val="both"/>
              <w:rPr>
                <w:rFonts w:ascii="Verdana" w:eastAsia="Calibri" w:hAnsi="Verdana" w:cs="Arial"/>
                <w:b/>
                <w:bCs/>
                <w:color w:val="000000" w:themeColor="text1"/>
                <w:lang w:val="es-ES_tradnl" w:eastAsia="es-ES_tradnl"/>
              </w:rPr>
            </w:pPr>
          </w:p>
        </w:tc>
        <w:tc>
          <w:tcPr>
            <w:tcW w:w="6100" w:type="dxa"/>
          </w:tcPr>
          <w:p w14:paraId="52A60259" w14:textId="5EC2C4B4" w:rsidR="00151715" w:rsidRPr="00CE274E" w:rsidRDefault="00151715" w:rsidP="00B074DA">
            <w:pPr>
              <w:jc w:val="both"/>
              <w:rPr>
                <w:rFonts w:ascii="Verdana" w:eastAsia="Calibri" w:hAnsi="Verdana" w:cs="Arial"/>
                <w:b/>
                <w:bCs/>
                <w:color w:val="000000" w:themeColor="text1"/>
                <w:lang w:val="es-ES" w:eastAsia="es-ES"/>
              </w:rPr>
            </w:pPr>
            <w:r w:rsidRPr="00CE274E">
              <w:rPr>
                <w:rFonts w:ascii="Verdana" w:eastAsia="Calibri" w:hAnsi="Verdana" w:cs="Arial"/>
                <w:b/>
                <w:bCs/>
                <w:color w:val="000000" w:themeColor="text1"/>
                <w:lang w:val="es-ES" w:eastAsia="es-ES"/>
              </w:rPr>
              <w:t>Concepto C</w:t>
            </w:r>
            <w:r w:rsidR="00B41106">
              <w:rPr>
                <w:rFonts w:ascii="Verdana" w:eastAsia="Calibri" w:hAnsi="Verdana" w:cs="Arial"/>
                <w:b/>
                <w:bCs/>
                <w:color w:val="000000" w:themeColor="text1"/>
                <w:lang w:val="es-ES" w:eastAsia="es-ES"/>
              </w:rPr>
              <w:t>-</w:t>
            </w:r>
            <w:r w:rsidR="00B074DA" w:rsidRPr="00CE274E">
              <w:rPr>
                <w:rFonts w:ascii="Verdana" w:eastAsia="Calibri" w:hAnsi="Verdana" w:cs="Arial"/>
                <w:b/>
                <w:bCs/>
                <w:color w:val="000000" w:themeColor="text1"/>
                <w:lang w:val="es-ES" w:eastAsia="es-ES"/>
              </w:rPr>
              <w:t>667</w:t>
            </w:r>
            <w:r w:rsidR="00B41106">
              <w:rPr>
                <w:rFonts w:ascii="Verdana" w:eastAsia="Calibri" w:hAnsi="Verdana" w:cs="Arial"/>
                <w:b/>
                <w:bCs/>
                <w:color w:val="000000" w:themeColor="text1"/>
                <w:lang w:val="es-ES" w:eastAsia="es-ES"/>
              </w:rPr>
              <w:t xml:space="preserve"> de 2026</w:t>
            </w:r>
          </w:p>
        </w:tc>
      </w:tr>
      <w:tr w:rsidR="00151715" w:rsidRPr="00593A5F" w14:paraId="74E50451" w14:textId="77777777" w:rsidTr="004913FE">
        <w:trPr>
          <w:trHeight w:val="884"/>
        </w:trPr>
        <w:tc>
          <w:tcPr>
            <w:tcW w:w="2689" w:type="dxa"/>
          </w:tcPr>
          <w:p w14:paraId="497700EC" w14:textId="77777777" w:rsidR="00151715" w:rsidRPr="00CE274E" w:rsidRDefault="00151715" w:rsidP="004913FE">
            <w:pPr>
              <w:jc w:val="both"/>
              <w:rPr>
                <w:rFonts w:ascii="Verdana" w:eastAsia="Calibri" w:hAnsi="Verdana" w:cs="Arial"/>
                <w:color w:val="000000" w:themeColor="text1"/>
                <w:lang w:val="es-ES_tradnl" w:eastAsia="es-ES_tradnl"/>
              </w:rPr>
            </w:pPr>
            <w:r w:rsidRPr="00CE274E">
              <w:rPr>
                <w:rFonts w:ascii="Verdana" w:eastAsia="Calibri" w:hAnsi="Verdana" w:cs="Arial"/>
                <w:b/>
                <w:color w:val="000000" w:themeColor="text1"/>
                <w:lang w:val="es-ES_tradnl" w:eastAsia="es-ES_tradnl"/>
              </w:rPr>
              <w:t>Temas:</w:t>
            </w:r>
            <w:r w:rsidRPr="00CE274E">
              <w:rPr>
                <w:rFonts w:ascii="Verdana" w:eastAsia="Calibri" w:hAnsi="Verdana" w:cs="Arial"/>
                <w:color w:val="000000" w:themeColor="text1"/>
                <w:lang w:val="es-ES_tradnl" w:eastAsia="es-ES_tradnl"/>
              </w:rPr>
              <w:t xml:space="preserve">                   </w:t>
            </w:r>
          </w:p>
        </w:tc>
        <w:tc>
          <w:tcPr>
            <w:tcW w:w="6100" w:type="dxa"/>
          </w:tcPr>
          <w:p w14:paraId="48ADCB8D" w14:textId="0D210234" w:rsidR="003B5E4C" w:rsidRPr="00CE274E" w:rsidRDefault="00B506ED" w:rsidP="004913FE">
            <w:pPr>
              <w:spacing w:line="276" w:lineRule="auto"/>
              <w:jc w:val="both"/>
              <w:rPr>
                <w:rFonts w:ascii="Verdana" w:eastAsia="Calibri" w:hAnsi="Verdana" w:cs="Arial"/>
                <w:color w:val="000000" w:themeColor="text1"/>
                <w:lang w:val="es-ES" w:eastAsia="es-ES"/>
              </w:rPr>
            </w:pPr>
            <w:r w:rsidRPr="00CE274E">
              <w:rPr>
                <w:rFonts w:ascii="Verdana" w:eastAsia="Calibri" w:hAnsi="Verdana" w:cs="Arial"/>
                <w:color w:val="000000" w:themeColor="text1"/>
                <w:lang w:val="es-ES" w:eastAsia="es-ES"/>
              </w:rPr>
              <w:t>PLANEACIÓN CONTRACTUAL – Alcance – División del Proceso − Lotes o segmentos</w:t>
            </w:r>
            <w:r w:rsidR="00CE274E" w:rsidRPr="00CE274E">
              <w:rPr>
                <w:rFonts w:ascii="Verdana" w:eastAsia="Calibri" w:hAnsi="Verdana" w:cs="Arial"/>
                <w:color w:val="000000" w:themeColor="text1"/>
                <w:lang w:val="es-ES" w:eastAsia="es-ES"/>
              </w:rPr>
              <w:t xml:space="preserve"> / </w:t>
            </w:r>
            <w:r w:rsidRPr="00CE274E">
              <w:rPr>
                <w:rFonts w:ascii="Verdana" w:eastAsia="Calibri" w:hAnsi="Verdana" w:cs="Arial"/>
                <w:color w:val="000000" w:themeColor="text1"/>
                <w:lang w:val="es-ES" w:eastAsia="es-ES"/>
              </w:rPr>
              <w:t>PLAN ANUAL DE ADQUISICIONES –</w:t>
            </w:r>
            <w:r w:rsidR="00CE274E" w:rsidRPr="00CE274E">
              <w:rPr>
                <w:rFonts w:ascii="Verdana" w:eastAsia="Calibri" w:hAnsi="Verdana" w:cs="Arial"/>
                <w:color w:val="000000" w:themeColor="text1"/>
                <w:lang w:val="es-ES" w:eastAsia="es-ES"/>
              </w:rPr>
              <w:t xml:space="preserve"> </w:t>
            </w:r>
            <w:r w:rsidRPr="00CE274E">
              <w:rPr>
                <w:rFonts w:ascii="Verdana" w:eastAsia="Calibri" w:hAnsi="Verdana" w:cs="Arial"/>
                <w:color w:val="000000" w:themeColor="text1"/>
                <w:lang w:val="es-ES" w:eastAsia="es-ES"/>
              </w:rPr>
              <w:t>Lotes o segmentos</w:t>
            </w:r>
            <w:r w:rsidR="00CE274E" w:rsidRPr="00CE274E">
              <w:rPr>
                <w:rFonts w:ascii="Verdana" w:eastAsia="Calibri" w:hAnsi="Verdana" w:cs="Arial"/>
                <w:color w:val="000000" w:themeColor="text1"/>
                <w:lang w:val="es-ES" w:eastAsia="es-ES"/>
              </w:rPr>
              <w:t xml:space="preserve"> </w:t>
            </w:r>
            <w:r w:rsidR="00005492" w:rsidRPr="00CE274E">
              <w:rPr>
                <w:rFonts w:ascii="Verdana" w:eastAsia="Calibri" w:hAnsi="Verdana" w:cs="Arial"/>
                <w:color w:val="000000" w:themeColor="text1"/>
                <w:lang w:val="es-ES" w:eastAsia="es-ES"/>
              </w:rPr>
              <w:t>/ FRACCIONAMIENTO</w:t>
            </w:r>
            <w:r w:rsidR="00CE274E" w:rsidRPr="00CE274E">
              <w:rPr>
                <w:rFonts w:ascii="Verdana" w:eastAsia="Calibri" w:hAnsi="Verdana" w:cs="Arial"/>
                <w:color w:val="000000" w:themeColor="text1"/>
                <w:lang w:val="es-ES" w:eastAsia="es-ES"/>
              </w:rPr>
              <w:t xml:space="preserve"> CONTRACTUAL – Elementos – Nulidad / FRACCIONAMIENTO CONTRACTUAL - División en lotes – Distinción</w:t>
            </w:r>
          </w:p>
          <w:p w14:paraId="2DAA2F4A" w14:textId="70C0E427" w:rsidR="00CE274E" w:rsidRPr="00CE274E" w:rsidRDefault="00CE274E" w:rsidP="004913FE">
            <w:pPr>
              <w:spacing w:line="276" w:lineRule="auto"/>
              <w:jc w:val="both"/>
              <w:rPr>
                <w:rFonts w:ascii="Verdana" w:eastAsia="Calibri" w:hAnsi="Verdana" w:cs="Arial"/>
                <w:color w:val="000000" w:themeColor="text1"/>
                <w:lang w:val="es-ES" w:eastAsia="es-ES"/>
              </w:rPr>
            </w:pPr>
          </w:p>
        </w:tc>
      </w:tr>
      <w:tr w:rsidR="00151715" w:rsidRPr="008E6AD9" w14:paraId="616C57D5" w14:textId="77777777" w:rsidTr="00BF7921">
        <w:trPr>
          <w:trHeight w:val="210"/>
        </w:trPr>
        <w:tc>
          <w:tcPr>
            <w:tcW w:w="2689" w:type="dxa"/>
          </w:tcPr>
          <w:p w14:paraId="10E3A0D9" w14:textId="77777777" w:rsidR="00151715" w:rsidRPr="008E6AD9" w:rsidRDefault="00151715" w:rsidP="004913FE">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079E5D42" w14:textId="20559B8A" w:rsidR="00151715" w:rsidRPr="00B84736" w:rsidRDefault="00151715" w:rsidP="004913FE">
            <w:pPr>
              <w:spacing w:line="276" w:lineRule="auto"/>
              <w:jc w:val="both"/>
              <w:rPr>
                <w:rFonts w:ascii="Verdana" w:eastAsia="Calibri" w:hAnsi="Verdana" w:cs="Arial"/>
                <w:highlight w:val="red"/>
                <w:lang w:eastAsia="es-ES_tradnl"/>
              </w:rPr>
            </w:pPr>
            <w:r w:rsidRPr="00BF7921">
              <w:rPr>
                <w:rFonts w:ascii="Verdana" w:eastAsia="Calibri" w:hAnsi="Verdana" w:cs="Arial"/>
                <w:lang w:val="es-ES_tradnl" w:eastAsia="es-ES_tradnl"/>
              </w:rPr>
              <w:t xml:space="preserve">Respuesta a la consulta con radicado No. </w:t>
            </w:r>
            <w:r w:rsidR="00B074DA" w:rsidRPr="00B074DA">
              <w:rPr>
                <w:rFonts w:ascii="Verdana" w:eastAsia="Calibri" w:hAnsi="Verdana" w:cs="Arial"/>
                <w:lang w:val="es-ES_tradnl" w:eastAsia="es-ES_tradnl"/>
              </w:rPr>
              <w:t>1_2026_04_22_005499</w:t>
            </w:r>
          </w:p>
        </w:tc>
      </w:tr>
    </w:tbl>
    <w:p w14:paraId="147282B0" w14:textId="77777777" w:rsidR="00151715" w:rsidRPr="00593A5F" w:rsidRDefault="00151715" w:rsidP="00151715">
      <w:pPr>
        <w:spacing w:after="0" w:line="240" w:lineRule="auto"/>
        <w:jc w:val="both"/>
        <w:rPr>
          <w:rFonts w:ascii="Verdana" w:eastAsia="Calibri" w:hAnsi="Verdana" w:cs="Arial"/>
          <w:color w:val="000000"/>
          <w:lang w:val="es-ES_tradnl" w:eastAsia="es-ES_tradnl"/>
        </w:rPr>
      </w:pPr>
    </w:p>
    <w:p w14:paraId="080C5A88" w14:textId="77777777" w:rsidR="00151715" w:rsidRPr="00593A5F" w:rsidRDefault="00151715" w:rsidP="00151715">
      <w:pPr>
        <w:spacing w:after="0" w:line="240" w:lineRule="auto"/>
        <w:jc w:val="both"/>
        <w:rPr>
          <w:rFonts w:ascii="Verdana" w:eastAsia="Calibri" w:hAnsi="Verdana" w:cs="Arial"/>
          <w:color w:val="000000"/>
          <w:lang w:val="es-ES_tradnl" w:eastAsia="es-ES_tradnl"/>
        </w:rPr>
      </w:pPr>
    </w:p>
    <w:p w14:paraId="5CF9B68C" w14:textId="513BEAE0" w:rsidR="00151715" w:rsidRPr="008E6AD9" w:rsidRDefault="00151715" w:rsidP="00151715">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sidR="00BF7921">
        <w:rPr>
          <w:rFonts w:ascii="Verdana" w:eastAsia="Calibri" w:hAnsi="Verdana" w:cs="Arial"/>
          <w:lang w:val="es-ES" w:eastAsia="es-ES"/>
        </w:rPr>
        <w:t>os</w:t>
      </w:r>
      <w:r w:rsidRPr="008E6AD9">
        <w:rPr>
          <w:rFonts w:ascii="Verdana" w:eastAsia="Calibri" w:hAnsi="Verdana" w:cs="Arial"/>
          <w:lang w:val="es-ES" w:eastAsia="es-ES"/>
        </w:rPr>
        <w:t xml:space="preserve"> </w:t>
      </w:r>
      <w:r>
        <w:rPr>
          <w:rFonts w:ascii="Verdana" w:eastAsia="Calibri" w:hAnsi="Verdana" w:cs="Arial"/>
          <w:lang w:val="es-ES" w:eastAsia="es-ES"/>
        </w:rPr>
        <w:t>señor</w:t>
      </w:r>
      <w:r w:rsidR="00BF7921">
        <w:rPr>
          <w:rFonts w:ascii="Verdana" w:eastAsia="Calibri" w:hAnsi="Verdana" w:cs="Arial"/>
          <w:lang w:val="es-ES" w:eastAsia="es-ES"/>
        </w:rPr>
        <w:t>es</w:t>
      </w:r>
      <w:r w:rsidRPr="00BF7921">
        <w:rPr>
          <w:rFonts w:ascii="Verdana" w:eastAsia="Calibri" w:hAnsi="Verdana" w:cs="Arial"/>
          <w:lang w:val="es-ES" w:eastAsia="es-ES"/>
        </w:rPr>
        <w:t>:</w:t>
      </w:r>
      <w:r w:rsidRPr="008E6AD9">
        <w:rPr>
          <w:rFonts w:ascii="Verdana" w:eastAsia="Calibri" w:hAnsi="Verdana" w:cs="Arial"/>
          <w:lang w:val="es-ES" w:eastAsia="es-ES"/>
        </w:rPr>
        <w:t xml:space="preserve"> </w:t>
      </w:r>
    </w:p>
    <w:p w14:paraId="72DCF9F7" w14:textId="77777777" w:rsidR="00151715" w:rsidRDefault="00151715" w:rsidP="00151715">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226E6228" w14:textId="7C9CAF16" w:rsidR="00151715" w:rsidRPr="00593A5F" w:rsidRDefault="00151715" w:rsidP="00151715">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593A5F">
        <w:rPr>
          <w:rFonts w:ascii="Verdana" w:hAnsi="Verdana" w:cs="Arial"/>
        </w:rPr>
        <w:t xml:space="preserve">así como lo establecido en </w:t>
      </w:r>
      <w:r>
        <w:rPr>
          <w:rFonts w:ascii="Verdana" w:hAnsi="Verdana" w:cs="Arial"/>
        </w:rPr>
        <w:t xml:space="preserve">el artículo 4 de </w:t>
      </w:r>
      <w:r w:rsidRPr="00593A5F">
        <w:rPr>
          <w:rFonts w:ascii="Verdana" w:hAnsi="Verdana" w:cs="Arial"/>
        </w:rPr>
        <w:t xml:space="preserve">la Resolución 1707 de 2018 expedida por esta Entidad, </w:t>
      </w:r>
      <w:r w:rsidRPr="00593A5F">
        <w:rPr>
          <w:rFonts w:ascii="Verdana" w:eastAsia="Calibri" w:hAnsi="Verdana" w:cs="Arial"/>
          <w:color w:val="000000" w:themeColor="text1"/>
          <w:lang w:val="es-ES" w:eastAsia="es-ES"/>
        </w:rPr>
        <w:t xml:space="preserve">la Agencia Nacional de Contratación </w:t>
      </w:r>
      <w:r w:rsidRPr="00BF7921">
        <w:rPr>
          <w:rFonts w:ascii="Verdana" w:eastAsia="Calibri" w:hAnsi="Verdana" w:cs="Arial"/>
          <w:color w:val="000000" w:themeColor="text1"/>
          <w:lang w:val="es-ES" w:eastAsia="es-ES"/>
        </w:rPr>
        <w:t xml:space="preserve">Pública – Colombia Compra Eficiente responde su solicitud de consulta de </w:t>
      </w:r>
      <w:r w:rsidRPr="00BF7921">
        <w:rPr>
          <w:rFonts w:ascii="Verdana" w:eastAsia="Calibri" w:hAnsi="Verdana" w:cs="Arial"/>
          <w:lang w:val="es-ES" w:eastAsia="es-ES"/>
        </w:rPr>
        <w:t xml:space="preserve">fecha </w:t>
      </w:r>
      <w:r w:rsidR="00B074DA">
        <w:rPr>
          <w:rFonts w:ascii="Verdana" w:eastAsia="Calibri" w:hAnsi="Verdana" w:cs="Arial"/>
          <w:lang w:val="es-ES" w:eastAsia="es-ES"/>
        </w:rPr>
        <w:t>22</w:t>
      </w:r>
      <w:r w:rsidRPr="00BF7921">
        <w:rPr>
          <w:rFonts w:ascii="Verdana" w:eastAsia="Calibri" w:hAnsi="Verdana" w:cs="Arial"/>
          <w:lang w:val="es-ES" w:eastAsia="es-ES"/>
        </w:rPr>
        <w:t xml:space="preserve"> de </w:t>
      </w:r>
      <w:r w:rsidR="00BF7921" w:rsidRPr="00BF7921">
        <w:rPr>
          <w:rFonts w:ascii="Verdana" w:eastAsia="Calibri" w:hAnsi="Verdana" w:cs="Arial"/>
          <w:lang w:val="es-ES" w:eastAsia="es-ES"/>
        </w:rPr>
        <w:t>abril</w:t>
      </w:r>
      <w:r w:rsidRPr="00BF7921">
        <w:rPr>
          <w:rFonts w:ascii="Verdana" w:eastAsia="Calibri" w:hAnsi="Verdana" w:cs="Arial"/>
          <w:lang w:val="es-ES" w:eastAsia="es-ES"/>
        </w:rPr>
        <w:t xml:space="preserve"> de 202</w:t>
      </w:r>
      <w:r w:rsidR="00BF7921" w:rsidRPr="00BF7921">
        <w:rPr>
          <w:rFonts w:ascii="Verdana" w:eastAsia="Calibri" w:hAnsi="Verdana" w:cs="Arial"/>
          <w:lang w:val="es-ES" w:eastAsia="es-ES"/>
        </w:rPr>
        <w:t>6</w:t>
      </w:r>
      <w:r w:rsidRPr="00BF7921">
        <w:rPr>
          <w:rFonts w:ascii="Verdana" w:eastAsia="Calibri" w:hAnsi="Verdana" w:cs="Arial"/>
          <w:lang w:val="es-ES" w:eastAsia="es-ES"/>
        </w:rPr>
        <w:t>, en la cual</w:t>
      </w:r>
      <w:r>
        <w:rPr>
          <w:rFonts w:ascii="Verdana" w:eastAsia="Calibri" w:hAnsi="Verdana" w:cs="Arial"/>
          <w:lang w:val="es-ES" w:eastAsia="es-ES"/>
        </w:rPr>
        <w:t xml:space="preserve"> pregunta lo siguiente</w:t>
      </w:r>
      <w:r w:rsidRPr="008E6AD9">
        <w:rPr>
          <w:rFonts w:ascii="Verdana" w:eastAsia="Calibri" w:hAnsi="Verdana" w:cs="Arial"/>
          <w:lang w:val="es-ES" w:eastAsia="es-ES"/>
        </w:rPr>
        <w:t>:</w:t>
      </w:r>
    </w:p>
    <w:p w14:paraId="7FB861E2" w14:textId="77777777" w:rsidR="00151715" w:rsidRPr="00B84736" w:rsidRDefault="00151715" w:rsidP="00050308">
      <w:pPr>
        <w:pStyle w:val="Prrafodelista"/>
        <w:tabs>
          <w:tab w:val="left" w:pos="142"/>
          <w:tab w:val="left" w:pos="284"/>
        </w:tabs>
        <w:spacing w:after="0" w:line="276" w:lineRule="auto"/>
        <w:ind w:left="0"/>
        <w:jc w:val="both"/>
        <w:rPr>
          <w:rFonts w:ascii="Verdana" w:eastAsia="Century Gothic" w:hAnsi="Verdana" w:cs="Century Gothic"/>
          <w:b/>
          <w:bCs/>
          <w:sz w:val="21"/>
          <w:szCs w:val="21"/>
        </w:rPr>
      </w:pPr>
    </w:p>
    <w:p w14:paraId="1FCE9C57" w14:textId="3DD21F9E" w:rsidR="00B074DA" w:rsidRDefault="00151715" w:rsidP="00B074DA">
      <w:pPr>
        <w:spacing w:after="120" w:line="240" w:lineRule="auto"/>
        <w:ind w:left="709" w:right="709"/>
        <w:jc w:val="both"/>
        <w:rPr>
          <w:rFonts w:ascii="Verdana" w:hAnsi="Verdana"/>
          <w:sz w:val="21"/>
          <w:szCs w:val="21"/>
        </w:rPr>
      </w:pPr>
      <w:bookmarkStart w:id="0" w:name="_Hlk95313578"/>
      <w:r w:rsidRPr="00B84736">
        <w:rPr>
          <w:rFonts w:ascii="Verdana" w:eastAsia="Century Gothic" w:hAnsi="Verdana" w:cs="Century Gothic"/>
          <w:sz w:val="21"/>
          <w:szCs w:val="21"/>
          <w:lang w:val="es-ES"/>
        </w:rPr>
        <w:t>“</w:t>
      </w:r>
      <w:bookmarkEnd w:id="0"/>
      <w:r w:rsidR="00B074DA">
        <w:rPr>
          <w:rFonts w:ascii="Verdana" w:eastAsia="Century Gothic" w:hAnsi="Verdana" w:cs="Century Gothic"/>
          <w:sz w:val="21"/>
          <w:szCs w:val="21"/>
          <w:lang w:val="es-ES"/>
        </w:rPr>
        <w:t xml:space="preserve">1. </w:t>
      </w:r>
      <w:r w:rsidR="00B074DA" w:rsidRPr="00B074DA">
        <w:rPr>
          <w:rFonts w:ascii="Verdana" w:hAnsi="Verdana"/>
          <w:sz w:val="21"/>
          <w:szCs w:val="21"/>
        </w:rPr>
        <w:t xml:space="preserve">¿Es jurídicamente viable, bajo la autonomía administrativa y los principios de planeación y economía, que una Entidad opte por un modelo de agrupación por lotes para servicios de logística técnica, aun cuando exista un antecedente de contratación global, siempre que medie una justificación técnica basada en mitigación de riesgos y la especialidad de los escenarios? </w:t>
      </w:r>
    </w:p>
    <w:p w14:paraId="6C28C342" w14:textId="73C44BF8" w:rsidR="00B074DA" w:rsidRPr="00B074DA" w:rsidRDefault="00B074DA" w:rsidP="00B074DA">
      <w:pPr>
        <w:spacing w:after="120" w:line="240" w:lineRule="auto"/>
        <w:ind w:left="709" w:right="709"/>
        <w:jc w:val="both"/>
        <w:rPr>
          <w:rFonts w:ascii="Verdana" w:hAnsi="Verdana"/>
          <w:sz w:val="21"/>
          <w:szCs w:val="21"/>
        </w:rPr>
      </w:pPr>
      <w:r>
        <w:rPr>
          <w:rFonts w:ascii="Verdana" w:hAnsi="Verdana"/>
          <w:sz w:val="21"/>
          <w:szCs w:val="21"/>
        </w:rPr>
        <w:t xml:space="preserve">2. </w:t>
      </w:r>
      <w:r w:rsidRPr="00B074DA">
        <w:rPr>
          <w:rFonts w:ascii="Verdana" w:hAnsi="Verdana"/>
          <w:sz w:val="21"/>
          <w:szCs w:val="21"/>
        </w:rPr>
        <w:t xml:space="preserve">¿Se configura el fenómeno del fraccionamiento de contratos cuando la Entidad decide segmentar la contratación por grupos de eventos (lotes), atendiendo a la divisibilidad material del objeto y a la no </w:t>
      </w:r>
      <w:r w:rsidRPr="00B074DA">
        <w:rPr>
          <w:rFonts w:ascii="Verdana" w:hAnsi="Verdana"/>
          <w:sz w:val="21"/>
          <w:szCs w:val="21"/>
        </w:rPr>
        <w:lastRenderedPageBreak/>
        <w:t>simultaneidad de los cronogramas, con el fin de optimizar la supervisión y ejecución?</w:t>
      </w:r>
    </w:p>
    <w:p w14:paraId="4D14D214" w14:textId="14D7B564" w:rsidR="00151715" w:rsidRPr="00B84736" w:rsidRDefault="00B074DA" w:rsidP="00B074DA">
      <w:pPr>
        <w:spacing w:after="120" w:line="240" w:lineRule="auto"/>
        <w:ind w:left="709" w:right="709"/>
        <w:jc w:val="both"/>
        <w:rPr>
          <w:rFonts w:ascii="Verdana" w:eastAsia="Century Gothic" w:hAnsi="Verdana" w:cs="Century Gothic"/>
          <w:sz w:val="21"/>
          <w:szCs w:val="21"/>
          <w:lang w:val="es-ES"/>
        </w:rPr>
      </w:pPr>
      <w:r>
        <w:rPr>
          <w:rFonts w:ascii="Verdana" w:hAnsi="Verdana"/>
          <w:sz w:val="21"/>
          <w:szCs w:val="21"/>
        </w:rPr>
        <w:t xml:space="preserve">3. </w:t>
      </w:r>
      <w:r w:rsidRPr="00B074DA">
        <w:rPr>
          <w:rFonts w:ascii="Verdana" w:hAnsi="Verdana"/>
          <w:sz w:val="21"/>
          <w:szCs w:val="21"/>
        </w:rPr>
        <w:t>¿Existe impedimento para que la Entidad adelante, de forma paralela o integrada, la adquisición de bienes (compraventa de equipo técnico) y la contratación de servicios de operación, considerando que la compra de activos busca la autosuficiencia operativa y la eficiencia en el gasto público a mediano plazo?</w:t>
      </w:r>
      <w:r>
        <w:rPr>
          <w:rFonts w:ascii="Verdana" w:hAnsi="Verdana"/>
          <w:sz w:val="21"/>
          <w:szCs w:val="21"/>
        </w:rPr>
        <w:t>”</w:t>
      </w:r>
    </w:p>
    <w:p w14:paraId="32CC1B8A" w14:textId="77777777" w:rsidR="00151715" w:rsidRPr="008E6AD9" w:rsidRDefault="00151715" w:rsidP="00050308">
      <w:pPr>
        <w:pStyle w:val="Prrafodelista"/>
        <w:tabs>
          <w:tab w:val="left" w:pos="142"/>
          <w:tab w:val="left" w:pos="284"/>
        </w:tabs>
        <w:spacing w:after="0" w:line="276" w:lineRule="auto"/>
        <w:ind w:left="0"/>
        <w:jc w:val="both"/>
        <w:rPr>
          <w:rFonts w:ascii="Verdana" w:eastAsia="Century Gothic" w:hAnsi="Verdana" w:cs="Century Gothic"/>
          <w:b/>
          <w:bCs/>
        </w:rPr>
      </w:pPr>
    </w:p>
    <w:p w14:paraId="526CCF20" w14:textId="77777777" w:rsidR="00B84736" w:rsidRDefault="00B84736" w:rsidP="00B84736">
      <w:pPr>
        <w:spacing w:after="0" w:line="276" w:lineRule="auto"/>
        <w:ind w:firstLine="709"/>
        <w:jc w:val="both"/>
        <w:rPr>
          <w:rFonts w:ascii="Verdana" w:eastAsia="Calibri" w:hAnsi="Verdana" w:cs="Arial"/>
          <w:color w:val="000000"/>
          <w:lang w:val="es-ES" w:eastAsia="es-ES"/>
        </w:rPr>
      </w:pPr>
      <w:r w:rsidRPr="00B84736">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CF509C8" w14:textId="77777777" w:rsidR="00B84736" w:rsidRDefault="00B84736" w:rsidP="00B84736">
      <w:pPr>
        <w:spacing w:after="0" w:line="276" w:lineRule="auto"/>
        <w:ind w:firstLine="709"/>
        <w:jc w:val="both"/>
        <w:rPr>
          <w:rFonts w:ascii="Verdana" w:eastAsia="Calibri" w:hAnsi="Verdana" w:cs="Arial"/>
          <w:color w:val="000000"/>
          <w:lang w:val="es-ES" w:eastAsia="es-ES"/>
        </w:rPr>
      </w:pPr>
    </w:p>
    <w:p w14:paraId="35BC5EA6" w14:textId="615E627C" w:rsidR="00151715" w:rsidRDefault="00B84736" w:rsidP="00B84736">
      <w:pPr>
        <w:spacing w:after="0" w:line="276" w:lineRule="auto"/>
        <w:ind w:firstLine="709"/>
        <w:jc w:val="both"/>
        <w:rPr>
          <w:rFonts w:ascii="Verdana" w:eastAsia="Calibri" w:hAnsi="Verdana" w:cs="Arial"/>
          <w:color w:val="000000"/>
          <w:lang w:val="es-ES" w:eastAsia="es-ES"/>
        </w:rPr>
      </w:pPr>
      <w:r w:rsidRPr="00B84736">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w:t>
      </w:r>
    </w:p>
    <w:p w14:paraId="65D617DD" w14:textId="77777777" w:rsidR="00B84736" w:rsidRPr="00593A5F" w:rsidRDefault="00B84736" w:rsidP="00B84736">
      <w:pPr>
        <w:spacing w:after="0" w:line="276" w:lineRule="auto"/>
        <w:ind w:firstLine="709"/>
        <w:jc w:val="both"/>
        <w:rPr>
          <w:rFonts w:ascii="Verdana" w:eastAsia="Calibri" w:hAnsi="Verdana" w:cs="Arial"/>
          <w:color w:val="000000"/>
          <w:lang w:val="es-ES" w:eastAsia="es-ES"/>
        </w:rPr>
      </w:pPr>
    </w:p>
    <w:p w14:paraId="1687DC7A" w14:textId="77777777" w:rsidR="00151715" w:rsidRPr="00593A5F" w:rsidRDefault="00151715" w:rsidP="00151715">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7521E373" w14:textId="77777777" w:rsidR="00151715" w:rsidRPr="00593A5F" w:rsidRDefault="00151715" w:rsidP="00151715">
      <w:pPr>
        <w:tabs>
          <w:tab w:val="left" w:pos="426"/>
        </w:tabs>
        <w:spacing w:after="0" w:line="276" w:lineRule="auto"/>
        <w:jc w:val="both"/>
        <w:rPr>
          <w:rFonts w:ascii="Verdana" w:eastAsia="Century Gothic" w:hAnsi="Verdana" w:cs="Century Gothic"/>
          <w:lang w:val="es-ES"/>
        </w:rPr>
      </w:pPr>
    </w:p>
    <w:p w14:paraId="301F9649" w14:textId="1D724E3C" w:rsidR="00151715" w:rsidRPr="00593A5F" w:rsidRDefault="00151715" w:rsidP="00151715">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w:t>
      </w:r>
      <w:r w:rsidRPr="00593A5F">
        <w:rPr>
          <w:rFonts w:ascii="Verdana" w:eastAsia="Century Gothic" w:hAnsi="Verdana" w:cs="Century Gothic"/>
        </w:rPr>
        <w:t xml:space="preserve">su solicitud, esta Agencia resolverá </w:t>
      </w:r>
      <w:r>
        <w:rPr>
          <w:rFonts w:ascii="Verdana" w:eastAsia="Century Gothic" w:hAnsi="Verdana" w:cs="Century Gothic"/>
        </w:rPr>
        <w:t>el</w:t>
      </w:r>
      <w:r w:rsidRPr="00593A5F">
        <w:rPr>
          <w:rFonts w:ascii="Verdana" w:eastAsia="Century Gothic" w:hAnsi="Verdana" w:cs="Century Gothic"/>
        </w:rPr>
        <w:t xml:space="preserve"> siguiente problema jurídico: </w:t>
      </w:r>
      <w:r w:rsidR="00B074DA">
        <w:rPr>
          <w:rFonts w:ascii="Verdana" w:eastAsia="Century Gothic" w:hAnsi="Verdana" w:cs="Century Gothic"/>
        </w:rPr>
        <w:t xml:space="preserve">1. </w:t>
      </w:r>
      <w:r w:rsidR="00B074DA" w:rsidRPr="00B074DA">
        <w:rPr>
          <w:rFonts w:ascii="Verdana" w:eastAsia="Century Gothic" w:hAnsi="Verdana" w:cs="Century Gothic"/>
        </w:rPr>
        <w:t>¿</w:t>
      </w:r>
      <w:r w:rsidR="00B074DA">
        <w:rPr>
          <w:rFonts w:ascii="Verdana" w:eastAsia="Century Gothic" w:hAnsi="Verdana" w:cs="Century Gothic"/>
        </w:rPr>
        <w:t>Es posible para una entidad estatal</w:t>
      </w:r>
      <w:r w:rsidR="00B074DA" w:rsidRPr="00B074DA">
        <w:rPr>
          <w:rFonts w:ascii="Verdana" w:eastAsia="Century Gothic" w:hAnsi="Verdana" w:cs="Century Gothic"/>
        </w:rPr>
        <w:t xml:space="preserve"> dividir sus procesos de contratación en lotes o segmentos, cuando en vigencias anteriores se optó por una contratación bajo un único objeto?</w:t>
      </w:r>
      <w:r w:rsidR="00B074DA">
        <w:rPr>
          <w:rFonts w:ascii="Verdana" w:eastAsia="Century Gothic" w:hAnsi="Verdana" w:cs="Century Gothic"/>
        </w:rPr>
        <w:t xml:space="preserve">, 2. </w:t>
      </w:r>
      <w:r w:rsidR="00B074DA" w:rsidRPr="00B074DA">
        <w:rPr>
          <w:rFonts w:ascii="Verdana" w:eastAsia="Century Gothic" w:hAnsi="Verdana" w:cs="Century Gothic"/>
        </w:rPr>
        <w:t>¿Cuál es la distinción jurídica entre el fraccionamiento de contratos y la</w:t>
      </w:r>
      <w:r w:rsidR="00B074DA">
        <w:rPr>
          <w:rFonts w:ascii="Verdana" w:eastAsia="Century Gothic" w:hAnsi="Verdana" w:cs="Century Gothic"/>
        </w:rPr>
        <w:t xml:space="preserve"> </w:t>
      </w:r>
      <w:r w:rsidR="00B074DA" w:rsidRPr="00B074DA">
        <w:rPr>
          <w:rFonts w:ascii="Verdana" w:eastAsia="Century Gothic" w:hAnsi="Verdana" w:cs="Century Gothic"/>
        </w:rPr>
        <w:t>división en lotes?</w:t>
      </w:r>
    </w:p>
    <w:p w14:paraId="46D52A63" w14:textId="77777777" w:rsidR="00151715" w:rsidRPr="004B140F" w:rsidRDefault="00151715" w:rsidP="00151715">
      <w:pPr>
        <w:spacing w:after="0" w:line="276" w:lineRule="auto"/>
        <w:jc w:val="both"/>
        <w:rPr>
          <w:rFonts w:ascii="Verdana" w:eastAsia="Calibri" w:hAnsi="Verdana" w:cs="Arial"/>
          <w:color w:val="7030A0"/>
        </w:rPr>
      </w:pPr>
    </w:p>
    <w:p w14:paraId="7AC7F6D2" w14:textId="77777777" w:rsidR="00151715" w:rsidRPr="00593A5F" w:rsidRDefault="00151715" w:rsidP="0015171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6454D4D7" w14:textId="77777777" w:rsidR="00151715" w:rsidRPr="00593A5F" w:rsidRDefault="00151715" w:rsidP="00151715">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51715" w:rsidRPr="00593A5F" w14:paraId="7C1DEBA6" w14:textId="77777777" w:rsidTr="004913FE">
        <w:trPr>
          <w:jc w:val="center"/>
        </w:trPr>
        <w:tc>
          <w:tcPr>
            <w:tcW w:w="8828" w:type="dxa"/>
          </w:tcPr>
          <w:p w14:paraId="24AF14DE" w14:textId="77777777" w:rsidR="00FF3433" w:rsidRDefault="00FF3433" w:rsidP="00FF3433">
            <w:pPr>
              <w:widowControl w:val="0"/>
              <w:autoSpaceDE w:val="0"/>
              <w:autoSpaceDN w:val="0"/>
              <w:spacing w:after="120" w:line="276" w:lineRule="auto"/>
              <w:ind w:firstLine="591"/>
              <w:jc w:val="both"/>
              <w:rPr>
                <w:rFonts w:ascii="Verdana" w:eastAsia="Times New Roman" w:hAnsi="Verdana" w:cs="Arial"/>
                <w:color w:val="000000"/>
                <w:lang w:val="es-ES_tradnl" w:eastAsia="es-ES_tradnl"/>
              </w:rPr>
            </w:pPr>
            <w:bookmarkStart w:id="1" w:name="_Hlk171694685"/>
          </w:p>
          <w:p w14:paraId="38ED0202" w14:textId="00DCD903" w:rsidR="00B074DA" w:rsidRPr="00B074DA" w:rsidRDefault="00B074DA" w:rsidP="009A7827">
            <w:pPr>
              <w:spacing w:before="100" w:beforeAutospacing="1" w:after="100" w:afterAutospacing="1" w:line="276" w:lineRule="auto"/>
              <w:ind w:firstLine="592"/>
              <w:jc w:val="both"/>
              <w:rPr>
                <w:rFonts w:ascii="Verdana" w:eastAsia="Times New Roman" w:hAnsi="Verdana" w:cs="Times New Roman"/>
                <w:lang w:eastAsia="es-MX"/>
              </w:rPr>
            </w:pPr>
            <w:r>
              <w:rPr>
                <w:rFonts w:ascii="Verdana" w:eastAsia="Times New Roman" w:hAnsi="Verdana" w:cs="Times New Roman"/>
                <w:lang w:eastAsia="es-MX"/>
              </w:rPr>
              <w:t xml:space="preserve">i. </w:t>
            </w:r>
            <w:r w:rsidRPr="00B074DA">
              <w:rPr>
                <w:rFonts w:ascii="Verdana" w:eastAsia="Times New Roman" w:hAnsi="Verdana" w:cs="Times New Roman"/>
                <w:lang w:eastAsia="es-MX"/>
              </w:rPr>
              <w:t>El principio de planeación opera como condición de validez de cualquier decisión contractual, incluida la relativa a la estructura del proceso de selección. La decisión de dividir un proceso en lotes, de mantenerlo bajo un único objeto, o de cambiar el modelo adoptado en vigencias anteriores, es una expresión de la autonomía administrativa que el ordenamiento le reconoce a la entidad estatal. Lo que el ordenamiento impone no es la perpetuación de modelos contractuales previos, sino que cada decisión esté soportada en estudios previos objetivos, razonados y actualizados.</w:t>
            </w:r>
          </w:p>
          <w:p w14:paraId="7772D972" w14:textId="77777777" w:rsidR="00B074DA" w:rsidRPr="00B074DA" w:rsidRDefault="00B074DA" w:rsidP="009A7827">
            <w:pPr>
              <w:spacing w:before="100" w:beforeAutospacing="1" w:after="100" w:afterAutospacing="1" w:line="276" w:lineRule="auto"/>
              <w:ind w:firstLine="592"/>
              <w:jc w:val="both"/>
              <w:rPr>
                <w:rFonts w:ascii="Verdana" w:eastAsia="Times New Roman" w:hAnsi="Verdana" w:cs="Times New Roman"/>
                <w:lang w:eastAsia="es-MX"/>
              </w:rPr>
            </w:pPr>
            <w:r w:rsidRPr="00B074DA">
              <w:rPr>
                <w:rFonts w:ascii="Verdana" w:eastAsia="Times New Roman" w:hAnsi="Verdana" w:cs="Times New Roman"/>
                <w:lang w:eastAsia="es-MX"/>
              </w:rPr>
              <w:t xml:space="preserve">La planeación contractual exige, en este contexto, que la entidad realice un análisis del sector que le permita justificar, con base en criterios técnicos y económicos verificables, la estructura del proceso que adopte. El Concepto C-183 de 2025 de esta Agencia precisa al respecto que el artículo 2.2.1.1.1.6.1 del Decreto 1082 de 2015 dispone que la entidad estatal debe hacer, durante la etapa de planeación, el análisis necesario para conocer el sector relativo al objeto del proceso de contratación desde la perspectiva legal, comercial, financiera, organizacional, técnica, y de análisis de riesgo. </w:t>
            </w:r>
          </w:p>
          <w:p w14:paraId="0C0CD8A3" w14:textId="77777777" w:rsidR="00B074DA" w:rsidRPr="00B074DA" w:rsidRDefault="00B074DA" w:rsidP="009A7827">
            <w:pPr>
              <w:spacing w:before="100" w:beforeAutospacing="1" w:after="100" w:afterAutospacing="1" w:line="276" w:lineRule="auto"/>
              <w:ind w:firstLine="592"/>
              <w:jc w:val="both"/>
              <w:rPr>
                <w:rFonts w:ascii="Verdana" w:eastAsia="Times New Roman" w:hAnsi="Verdana" w:cs="Times New Roman"/>
                <w:lang w:eastAsia="es-MX"/>
              </w:rPr>
            </w:pPr>
            <w:r w:rsidRPr="00B074DA">
              <w:rPr>
                <w:rFonts w:ascii="Verdana" w:eastAsia="Times New Roman" w:hAnsi="Verdana" w:cs="Times New Roman"/>
                <w:lang w:eastAsia="es-MX"/>
              </w:rPr>
              <w:t>En consecuencia, el antecedente de haber contratado bajo un único objeto en vigencias anteriores no condiciona jurídicamente la estructura que la entidad adopte en períodos posteriores. Lo que sí es exigible, en todo caso, es que la decisión de modificar la estructura contractual esté adecuadamente documentada y justificada en los estudios previos, dando cuenta de las razones técnicas, económicas y de gestión del riesgo que la fundamentan, sin que esta Agencia pueda pronunciarse sobre si una justificación concreta es o no suficiente, pues ello excede su competencia consultiva.</w:t>
            </w:r>
          </w:p>
          <w:p w14:paraId="426DB5DD" w14:textId="49EA91C2" w:rsidR="00151715" w:rsidRDefault="00B074DA" w:rsidP="009A7827">
            <w:pPr>
              <w:widowControl w:val="0"/>
              <w:autoSpaceDE w:val="0"/>
              <w:autoSpaceDN w:val="0"/>
              <w:spacing w:after="120" w:line="276" w:lineRule="auto"/>
              <w:ind w:firstLine="591"/>
              <w:jc w:val="both"/>
              <w:rPr>
                <w:rFonts w:ascii="Verdana" w:hAnsi="Verdana" w:cs="Arial"/>
                <w:lang w:eastAsia="es-ES"/>
              </w:rPr>
            </w:pPr>
            <w:r>
              <w:rPr>
                <w:rFonts w:ascii="Verdana" w:eastAsia="Times New Roman" w:hAnsi="Verdana" w:cs="Times New Roman"/>
                <w:lang w:eastAsia="es-MX"/>
              </w:rPr>
              <w:t>Por lo tanto, e</w:t>
            </w:r>
            <w:r w:rsidRPr="00B074DA">
              <w:rPr>
                <w:rFonts w:ascii="Verdana" w:eastAsia="Times New Roman" w:hAnsi="Verdana" w:cs="Times New Roman"/>
                <w:lang w:eastAsia="es-MX"/>
              </w:rPr>
              <w:t xml:space="preserve">l principio de planeación desarrollado en el artículo 2.2.1.1.2.1.1 del Decreto 1082 de 2015, impone a las entidades estatales el deber de estructurar sus procesos de contratación sobre la base de estudios previos objetivos, razonados y actualizados. Este deber aplica a cualquier decisión sobre la forma de organizar el proceso de selección —incluyendo la elección entre un objeto único y la división en lotes—, con independencia de lo que se haya hecho en vigencias anteriores. El antecedente de haber contratado bajo un único objeto no genera obligación jurídica de reproducir ese modelo, pero cualquier cambio de estructura debe estar debidamente </w:t>
            </w:r>
            <w:r w:rsidRPr="00B074DA">
              <w:rPr>
                <w:rFonts w:ascii="Verdana" w:eastAsia="Times New Roman" w:hAnsi="Verdana" w:cs="Times New Roman"/>
                <w:lang w:eastAsia="es-MX"/>
              </w:rPr>
              <w:lastRenderedPageBreak/>
              <w:t>sustentado en los estudios previos del proceso que se adelante</w:t>
            </w:r>
            <w:r w:rsidR="00151715" w:rsidRPr="00B074DA">
              <w:rPr>
                <w:rFonts w:ascii="Verdana" w:hAnsi="Verdana" w:cs="Arial"/>
                <w:lang w:eastAsia="es-ES"/>
              </w:rPr>
              <w:t>.</w:t>
            </w:r>
            <w:r>
              <w:rPr>
                <w:rFonts w:ascii="Verdana" w:hAnsi="Verdana" w:cs="Arial"/>
                <w:lang w:eastAsia="es-ES"/>
              </w:rPr>
              <w:t xml:space="preserve"> </w:t>
            </w:r>
          </w:p>
          <w:p w14:paraId="1A85A838" w14:textId="77777777" w:rsidR="00B074DA" w:rsidRDefault="00B074DA" w:rsidP="009A7827">
            <w:pPr>
              <w:widowControl w:val="0"/>
              <w:autoSpaceDE w:val="0"/>
              <w:autoSpaceDN w:val="0"/>
              <w:spacing w:after="120" w:line="276" w:lineRule="auto"/>
              <w:ind w:firstLine="591"/>
              <w:jc w:val="both"/>
              <w:rPr>
                <w:rFonts w:ascii="Verdana" w:hAnsi="Verdana" w:cs="Arial"/>
                <w:lang w:eastAsia="es-ES"/>
              </w:rPr>
            </w:pPr>
          </w:p>
          <w:p w14:paraId="0F46A491" w14:textId="77777777" w:rsidR="00B074DA" w:rsidRPr="00B074DA" w:rsidRDefault="00B074DA" w:rsidP="009A7827">
            <w:pPr>
              <w:widowControl w:val="0"/>
              <w:autoSpaceDE w:val="0"/>
              <w:autoSpaceDN w:val="0"/>
              <w:spacing w:after="120" w:line="276" w:lineRule="auto"/>
              <w:ind w:firstLine="591"/>
              <w:jc w:val="both"/>
              <w:rPr>
                <w:rFonts w:ascii="Verdana" w:hAnsi="Verdana" w:cs="Arial"/>
                <w:lang w:eastAsia="es-ES"/>
              </w:rPr>
            </w:pPr>
            <w:r>
              <w:rPr>
                <w:rFonts w:ascii="Verdana" w:hAnsi="Verdana" w:cs="Arial"/>
                <w:lang w:eastAsia="es-ES"/>
              </w:rPr>
              <w:t xml:space="preserve">ii. </w:t>
            </w:r>
            <w:r w:rsidRPr="00B074DA">
              <w:rPr>
                <w:rFonts w:ascii="Verdana" w:hAnsi="Verdana" w:cs="Arial"/>
                <w:lang w:eastAsia="es-ES"/>
              </w:rPr>
              <w:t>El criterio diferenciador entre el fraccionamiento prohibido y la división en lotes es, en esencia, el elemento teleológico: la finalidad de la segmentación. El fraccionamiento es antijurídico porque su propósito es eludir una modalidad de selección más rigurosa mediante la división artificial de un objeto que es naturalmente uno. La división en lotes, en cambio, responde a criterios técnicos, económicos o geográficos objetivos, y su finalidad es facilitar la ejecución del contrato, ampliar la participación de los proponentes y optimizar el uso de los recursos públicos.</w:t>
            </w:r>
          </w:p>
          <w:p w14:paraId="2423FEC8" w14:textId="77777777" w:rsidR="00B074DA" w:rsidRPr="00B074DA" w:rsidRDefault="00B074DA" w:rsidP="009A7827">
            <w:pPr>
              <w:widowControl w:val="0"/>
              <w:autoSpaceDE w:val="0"/>
              <w:autoSpaceDN w:val="0"/>
              <w:spacing w:after="120" w:line="276" w:lineRule="auto"/>
              <w:ind w:firstLine="591"/>
              <w:jc w:val="both"/>
              <w:rPr>
                <w:rFonts w:ascii="Verdana" w:hAnsi="Verdana" w:cs="Arial"/>
                <w:lang w:eastAsia="es-ES"/>
              </w:rPr>
            </w:pPr>
            <w:r w:rsidRPr="00B074DA">
              <w:rPr>
                <w:rFonts w:ascii="Verdana" w:hAnsi="Verdana" w:cs="Arial"/>
                <w:lang w:eastAsia="es-ES"/>
              </w:rPr>
              <w:t>Es igualmente relevante la regla que esta Agencia ha precisado en el Concepto C-305 de 2025 respecto de los efectos de la lotificación sobre la modalidad de selección: la sumatoria de los valores de todos los lotes —y no el valor individual de cada uno— es la que determina el procedimiento de selección aplicable. Esto significa que la división en lotes no puede ser utilizada como mecanismo indirecto para acceder a modalidades de selección más expeditas que no corresponderían si se considerara el valor agregado de la contratación.</w:t>
            </w:r>
          </w:p>
          <w:p w14:paraId="6A52974E" w14:textId="26365AF8" w:rsidR="00B074DA" w:rsidRDefault="00B074DA" w:rsidP="009A7827">
            <w:pPr>
              <w:widowControl w:val="0"/>
              <w:autoSpaceDE w:val="0"/>
              <w:autoSpaceDN w:val="0"/>
              <w:spacing w:after="120" w:line="276" w:lineRule="auto"/>
              <w:ind w:firstLine="591"/>
              <w:jc w:val="both"/>
              <w:rPr>
                <w:rFonts w:ascii="Verdana" w:hAnsi="Verdana" w:cs="Arial"/>
                <w:lang w:eastAsia="es-ES"/>
              </w:rPr>
            </w:pPr>
            <w:r w:rsidRPr="00B074DA">
              <w:rPr>
                <w:rFonts w:ascii="Verdana" w:hAnsi="Verdana" w:cs="Arial"/>
                <w:lang w:eastAsia="es-ES"/>
              </w:rPr>
              <w:t>Adicionalmente, el Concepto C-1450 de 2025 advierte que la autonomía administrativa de la entidad para organizar sus procesos internos está condicionada al estricto respeto de los principios constitucionales y legales que rigen la contratación pública, tales como la transparencia, la eficiencia, la planeación y la responsabilidad; por ello, la decisión de estructurar los procesos de una manera determinada debe ir acompañada de una evaluación técnica que asegure la pertinencia, actualidad y adecuación del documento para cada contrato específico, evitando que se convierta en un instrumento para fragmentar procesos con el fin de evadir requisitos legales o principios de selección objetiva.</w:t>
            </w:r>
            <w:r w:rsidR="009A7827">
              <w:rPr>
                <w:rFonts w:ascii="Verdana" w:hAnsi="Verdana" w:cs="Arial"/>
                <w:lang w:eastAsia="es-ES"/>
              </w:rPr>
              <w:t xml:space="preserve">  </w:t>
            </w:r>
          </w:p>
          <w:p w14:paraId="6AC95283" w14:textId="486F59CF" w:rsidR="009A7827" w:rsidRDefault="009A7827" w:rsidP="009A7827">
            <w:pPr>
              <w:widowControl w:val="0"/>
              <w:autoSpaceDE w:val="0"/>
              <w:autoSpaceDN w:val="0"/>
              <w:spacing w:after="120" w:line="276" w:lineRule="auto"/>
              <w:ind w:firstLine="591"/>
              <w:jc w:val="both"/>
              <w:rPr>
                <w:rFonts w:ascii="Verdana" w:hAnsi="Verdana" w:cs="Arial"/>
                <w:lang w:eastAsia="es-ES"/>
              </w:rPr>
            </w:pPr>
            <w:r>
              <w:rPr>
                <w:rFonts w:ascii="Verdana" w:hAnsi="Verdana" w:cs="Arial"/>
                <w:lang w:eastAsia="es-ES"/>
              </w:rPr>
              <w:t>Para concluir, l</w:t>
            </w:r>
            <w:r w:rsidRPr="009A7827">
              <w:rPr>
                <w:rFonts w:ascii="Verdana" w:hAnsi="Verdana" w:cs="Arial"/>
                <w:lang w:eastAsia="es-ES"/>
              </w:rPr>
              <w:t xml:space="preserve">a distinción jurídica entre fraccionamiento y división en lotes reside en la finalidad de la segmentación y en la verificación de la unidad natural del objeto contractual. Hay fraccionamiento cuando concurren dos elementos: i) la separación artificial de un mismo objeto contractual que es naturalmente uno; y ii) la finalidad de eludir procedimientos de convocatoria pública y de selección objetiva. Hay legítima división en lotes cuando la segmentación responde a criterios técnicos, económicos o geográficos objetivos, no tiene por propósito evadir modalidades más rigurosas de </w:t>
            </w:r>
            <w:r w:rsidRPr="009A7827">
              <w:rPr>
                <w:rFonts w:ascii="Verdana" w:hAnsi="Verdana" w:cs="Arial"/>
                <w:lang w:eastAsia="es-ES"/>
              </w:rPr>
              <w:lastRenderedPageBreak/>
              <w:t>selección, y la sumatoria de los valores de todos los lotes —y no el de cada uno individualmente— es la que determina el procedimiento de selección aplicable</w:t>
            </w:r>
            <w:r>
              <w:rPr>
                <w:rFonts w:ascii="Verdana" w:hAnsi="Verdana" w:cs="Arial"/>
                <w:lang w:eastAsia="es-ES"/>
              </w:rPr>
              <w:t xml:space="preserve">. </w:t>
            </w:r>
          </w:p>
          <w:p w14:paraId="7C78F367" w14:textId="02496DAE" w:rsidR="00B074DA" w:rsidRDefault="009A7827" w:rsidP="00303146">
            <w:pPr>
              <w:widowControl w:val="0"/>
              <w:autoSpaceDE w:val="0"/>
              <w:autoSpaceDN w:val="0"/>
              <w:spacing w:after="120" w:line="276" w:lineRule="auto"/>
              <w:ind w:firstLine="591"/>
              <w:jc w:val="both"/>
              <w:rPr>
                <w:rFonts w:ascii="Verdana" w:hAnsi="Verdana" w:cs="Arial"/>
                <w:lang w:eastAsia="es-ES"/>
              </w:rPr>
            </w:pPr>
            <w:r w:rsidRPr="009A7827">
              <w:rPr>
                <w:rFonts w:ascii="Verdana" w:hAnsi="Verdana" w:cs="Arial"/>
                <w:lang w:eastAsia="es-ES"/>
              </w:rPr>
              <w:t>Por último respecto de su pregunta sobre la contratación de servicios de forma integrada o paralela debe advertirse que el análisis requerido para resolver problemas específicos en torno a la celebración de contratos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 </w:t>
            </w:r>
          </w:p>
          <w:p w14:paraId="6AF9617D" w14:textId="3B98CBEF" w:rsidR="00B074DA" w:rsidRPr="00BD0B8C" w:rsidRDefault="00B074DA" w:rsidP="00266E77">
            <w:pPr>
              <w:widowControl w:val="0"/>
              <w:autoSpaceDE w:val="0"/>
              <w:autoSpaceDN w:val="0"/>
              <w:spacing w:after="120" w:line="276" w:lineRule="auto"/>
              <w:ind w:firstLine="591"/>
              <w:jc w:val="both"/>
              <w:rPr>
                <w:rFonts w:ascii="Verdana" w:hAnsi="Verdana" w:cs="Arial"/>
                <w:lang w:eastAsia="es-ES"/>
              </w:rPr>
            </w:pPr>
          </w:p>
        </w:tc>
      </w:tr>
    </w:tbl>
    <w:p w14:paraId="22E62715" w14:textId="77777777" w:rsidR="00151715" w:rsidRPr="00593A5F" w:rsidRDefault="00151715" w:rsidP="00151715">
      <w:pPr>
        <w:tabs>
          <w:tab w:val="left" w:pos="142"/>
          <w:tab w:val="left" w:pos="284"/>
        </w:tabs>
        <w:spacing w:after="0" w:line="276" w:lineRule="auto"/>
        <w:jc w:val="both"/>
        <w:rPr>
          <w:rFonts w:ascii="Verdana" w:eastAsia="Century Gothic" w:hAnsi="Verdana" w:cs="Century Gothic"/>
          <w:b/>
          <w:bCs/>
          <w:lang w:val="es-ES"/>
        </w:rPr>
      </w:pPr>
    </w:p>
    <w:bookmarkEnd w:id="1"/>
    <w:p w14:paraId="72761A21" w14:textId="77777777" w:rsidR="00151715" w:rsidRPr="00593A5F" w:rsidRDefault="00151715" w:rsidP="0015171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37D56B76" w14:textId="77777777" w:rsidR="00151715" w:rsidRPr="00593A5F" w:rsidRDefault="00151715" w:rsidP="00151715">
      <w:pPr>
        <w:spacing w:after="0" w:line="276" w:lineRule="auto"/>
        <w:jc w:val="both"/>
        <w:rPr>
          <w:rFonts w:ascii="Verdana" w:eastAsia="Calibri" w:hAnsi="Verdana" w:cs="Arial"/>
          <w:color w:val="7030A0"/>
          <w:lang w:val="es-ES"/>
        </w:rPr>
      </w:pPr>
    </w:p>
    <w:p w14:paraId="118850EE" w14:textId="77777777" w:rsidR="00151715" w:rsidRDefault="00151715" w:rsidP="00151715">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359583BE" w14:textId="77777777" w:rsidR="00151715" w:rsidRPr="00415608" w:rsidRDefault="00151715" w:rsidP="00151715">
      <w:pPr>
        <w:spacing w:after="0" w:line="276" w:lineRule="auto"/>
        <w:jc w:val="both"/>
        <w:rPr>
          <w:rFonts w:ascii="Verdana" w:eastAsia="Calibri" w:hAnsi="Verdana" w:cs="Arial"/>
          <w:lang w:val="es-ES"/>
        </w:rPr>
      </w:pPr>
    </w:p>
    <w:p w14:paraId="44B20651" w14:textId="77777777" w:rsidR="00F44EAD" w:rsidRPr="00F44EAD" w:rsidRDefault="00151715" w:rsidP="00F44EAD">
      <w:pPr>
        <w:spacing w:after="120" w:line="276" w:lineRule="auto"/>
        <w:jc w:val="both"/>
        <w:rPr>
          <w:rFonts w:ascii="Verdana" w:eastAsia="Calibri" w:hAnsi="Verdana" w:cs="Arial"/>
          <w:lang w:val="es-ES"/>
        </w:rPr>
      </w:pPr>
      <w:r>
        <w:rPr>
          <w:rFonts w:ascii="Verdana" w:eastAsia="Calibri" w:hAnsi="Verdana" w:cs="Arial"/>
          <w:lang w:val="es-ES"/>
        </w:rPr>
        <w:t xml:space="preserve">i. </w:t>
      </w:r>
      <w:r w:rsidR="00F44EAD" w:rsidRPr="00F44EAD">
        <w:rPr>
          <w:rFonts w:ascii="Verdana" w:eastAsia="Calibri" w:hAnsi="Verdana" w:cs="Arial"/>
          <w:lang w:val="es-ES"/>
        </w:rPr>
        <w:t>El principio de planeación en la contratación estatal se deriva del artículo 25 de la Ley 80 de 1993, que consagra el principio de economía e impone a las entidades el deber de adelantar sus procesos con base en estudios y documentos previos que establezcan la conveniencia y oportunidad de la contratación. El artículo 2.2.1.1.2.1.1 del Decreto 1082 de 2015 desarrolla este principio al establecer el contenido mínimo de los estudios previos que debe elaborar la entidad antes de iniciar cualquier procedimiento de selección, independientemente de la modalidad aplicable.</w:t>
      </w:r>
    </w:p>
    <w:p w14:paraId="7CA92F75" w14:textId="77777777" w:rsidR="00F44EAD" w:rsidRPr="00F44EAD" w:rsidRDefault="00F44EAD" w:rsidP="006D7BAD">
      <w:pPr>
        <w:spacing w:after="120" w:line="276" w:lineRule="auto"/>
        <w:ind w:firstLine="709"/>
        <w:jc w:val="both"/>
        <w:rPr>
          <w:rFonts w:ascii="Verdana" w:eastAsia="Calibri" w:hAnsi="Verdana" w:cs="Arial"/>
          <w:lang w:val="es-ES"/>
        </w:rPr>
      </w:pPr>
      <w:r w:rsidRPr="00F44EAD">
        <w:rPr>
          <w:rFonts w:ascii="Verdana" w:eastAsia="Calibri" w:hAnsi="Verdana" w:cs="Arial"/>
          <w:lang w:val="es-ES"/>
        </w:rPr>
        <w:t xml:space="preserve">Conforme a la doctrina consolidada de esta Agencia —Concepto C-124 de 2024 y Concepto C-237 de 2025—, 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con la finalidad de realizar la escogencia diligente </w:t>
      </w:r>
      <w:r w:rsidRPr="00F44EAD">
        <w:rPr>
          <w:rFonts w:ascii="Verdana" w:eastAsia="Calibri" w:hAnsi="Verdana" w:cs="Arial"/>
          <w:lang w:val="es-ES"/>
        </w:rPr>
        <w:lastRenderedPageBreak/>
        <w:t>de la mejor oferta, para beneficiar los intereses y fines públicos inmersos en la contratación de las entidades estatales.</w:t>
      </w:r>
    </w:p>
    <w:p w14:paraId="0105BF4A" w14:textId="40477487" w:rsidR="00F44EAD" w:rsidRDefault="00F44EAD" w:rsidP="006D7BAD">
      <w:pPr>
        <w:spacing w:after="120" w:line="276" w:lineRule="auto"/>
        <w:ind w:firstLine="709"/>
        <w:jc w:val="both"/>
        <w:rPr>
          <w:rFonts w:ascii="Verdana" w:eastAsia="Calibri" w:hAnsi="Verdana" w:cs="Arial"/>
          <w:lang w:val="es-ES"/>
        </w:rPr>
      </w:pPr>
      <w:r w:rsidRPr="00F44EAD">
        <w:rPr>
          <w:rFonts w:ascii="Verdana" w:eastAsia="Calibri" w:hAnsi="Verdana" w:cs="Arial"/>
          <w:lang w:val="es-ES"/>
        </w:rPr>
        <w:t>Asimismo, conforme al Concepto C-124 de 2024 de esta Agencia, antes de iniciar un procedimiento de selección, la entidad estatal podrá determinar con los estudios previos: i) la verdadera necesidad de la celebración del contrato; ii) las modalidades existentes para satisfacer esa necesidad y las razones que justifiquen la modalidad o tipo contractual que se escoja; iii) las calidades, especificaciones, cantidades y demás características que puedan o deban reunir los bienes, las obras o los servicios cuya contratación se haya determinado necesaria; iv) los costos, valores y alternativas que, a precios de mercado reales, podría demandar la celebración y ejecución del contrato; v) la disponibilidad de recursos o la capacidad financiera de la entidad contratante para asumir las obligaciones de pago producto de la celebración del contrato; vi) la existencia y disponibilidad, en el mercado nacional o internacional, de proveedores, constructores, profesionales, etc., en condiciones de atender los requerimientos y satisfacer las necesidades.</w:t>
      </w:r>
    </w:p>
    <w:p w14:paraId="07F926E7" w14:textId="77777777" w:rsidR="006D7BAD" w:rsidRPr="006D7BAD" w:rsidRDefault="006D7BAD" w:rsidP="006D7BAD">
      <w:pPr>
        <w:spacing w:after="120" w:line="276" w:lineRule="auto"/>
        <w:ind w:firstLine="709"/>
        <w:jc w:val="both"/>
        <w:rPr>
          <w:rFonts w:ascii="Verdana" w:hAnsi="Verdana" w:cs="Arial"/>
        </w:rPr>
      </w:pPr>
      <w:r w:rsidRPr="006D7BAD">
        <w:rPr>
          <w:rFonts w:ascii="Verdana" w:hAnsi="Verdana" w:cs="Arial"/>
        </w:rPr>
        <w:t>Cuando las entidades cumplen con los elementos mínimos establecidos en la norma y aquellos adicionales que identifiquen en la etapa de planeación de los procedimientos de contratación, permiten que los contratos resultantes cuenten con el sustento técnico, económico y jurídico que incidirá en una adecuada ejecución.</w:t>
      </w:r>
    </w:p>
    <w:p w14:paraId="7C561AF8" w14:textId="77777777" w:rsidR="006D7BAD" w:rsidRPr="006D7BAD" w:rsidRDefault="006D7BAD" w:rsidP="006D7BAD">
      <w:pPr>
        <w:spacing w:after="120" w:line="276" w:lineRule="auto"/>
        <w:ind w:firstLine="709"/>
        <w:jc w:val="both"/>
        <w:rPr>
          <w:rFonts w:ascii="Verdana" w:hAnsi="Verdana" w:cs="Arial"/>
        </w:rPr>
      </w:pPr>
      <w:r w:rsidRPr="006D7BAD">
        <w:rPr>
          <w:rFonts w:ascii="Verdana" w:hAnsi="Verdana" w:cs="Arial"/>
        </w:rPr>
        <w:t>Mas allá del cumplimiento de la normativa, “los estudios y documentos previos son el soporte para elaborar el proyecto de pliegos, los pliegos de condiciones, y el contrato” , por lo que deben publicarse en la etapa precontractual y sirven de motivación para los documentos expedidos unilateralmente por la entidad estatal tales como el acto administrativo de apertura, los pliegos de condiciones y el acto de adjudicación, entre otros.</w:t>
      </w:r>
    </w:p>
    <w:p w14:paraId="060D61F0" w14:textId="11A69FA7" w:rsidR="00F44EAD" w:rsidRDefault="006D7BAD" w:rsidP="006D7BAD">
      <w:pPr>
        <w:spacing w:after="120" w:line="276" w:lineRule="auto"/>
        <w:ind w:firstLine="709"/>
        <w:jc w:val="both"/>
        <w:rPr>
          <w:rFonts w:ascii="Verdana" w:hAnsi="Verdana" w:cs="Arial"/>
        </w:rPr>
      </w:pPr>
      <w:r w:rsidRPr="006D7BAD">
        <w:rPr>
          <w:rFonts w:ascii="Verdana" w:hAnsi="Verdana" w:cs="Arial"/>
        </w:rPr>
        <w:t>De lo explicado se desprende que los estudios y documentos previos son necesarios antes de la celebración del contrato, pues fundamentan las condiciones que la entidad estatal exige en su proceso de contratación. Sin embargo, luego de la suscripción del contrato la entidad no debe actuar unilateralmente, sino que debe respetar la buena fe contractual y proceder de acuerdo con lo pactado.</w:t>
      </w:r>
    </w:p>
    <w:p w14:paraId="7184F134" w14:textId="3C865E32" w:rsidR="00151715" w:rsidRPr="00FF3433" w:rsidRDefault="006D7BAD" w:rsidP="00785813">
      <w:pPr>
        <w:spacing w:after="120" w:line="276" w:lineRule="auto"/>
        <w:ind w:firstLine="709"/>
        <w:jc w:val="both"/>
        <w:rPr>
          <w:rFonts w:ascii="Verdana" w:hAnsi="Verdana" w:cs="Arial"/>
        </w:rPr>
      </w:pPr>
      <w:r>
        <w:rPr>
          <w:rFonts w:ascii="Verdana" w:hAnsi="Verdana" w:cs="Arial"/>
        </w:rPr>
        <w:t xml:space="preserve">Por lo tanto, </w:t>
      </w:r>
      <w:r w:rsidR="00785813">
        <w:rPr>
          <w:rFonts w:ascii="Verdana" w:hAnsi="Verdana" w:cs="Arial"/>
        </w:rPr>
        <w:t>s</w:t>
      </w:r>
      <w:r w:rsidR="00785813" w:rsidRPr="00785813">
        <w:rPr>
          <w:rFonts w:ascii="Verdana" w:hAnsi="Verdana" w:cs="Arial"/>
        </w:rPr>
        <w:t xml:space="preserve">erá a través de la planeación del proceso de contratación que la Entidad contratante decidirá de acuerdo a los estudios previos que establezca la necesidad de contratar, la configuración del mercado para la </w:t>
      </w:r>
      <w:r w:rsidR="00785813" w:rsidRPr="00785813">
        <w:rPr>
          <w:rFonts w:ascii="Verdana" w:hAnsi="Verdana" w:cs="Arial"/>
        </w:rPr>
        <w:lastRenderedPageBreak/>
        <w:t>adquisición del bien o servicio, la modalidad y los valores de la contratación, donde se debe establecer con precisión la decisión de dividir un proceso en lotes, o de cambiar el modelo adoptado en vigencias anteriores, que en todo caso, es una expresión de la autonomía administrativa que el ordenamiento le reconoce a la entidad estatal.</w:t>
      </w:r>
    </w:p>
    <w:p w14:paraId="14265F10" w14:textId="77777777" w:rsidR="00151715" w:rsidRPr="00FF3433" w:rsidRDefault="00151715" w:rsidP="00151715">
      <w:pPr>
        <w:spacing w:after="0" w:line="276" w:lineRule="auto"/>
        <w:jc w:val="both"/>
        <w:rPr>
          <w:rFonts w:ascii="Verdana" w:hAnsi="Verdana" w:cs="Arial"/>
        </w:rPr>
      </w:pPr>
    </w:p>
    <w:p w14:paraId="3F9ECC7E" w14:textId="6A15419D" w:rsidR="001C06AB" w:rsidRPr="001C06AB" w:rsidRDefault="00151715" w:rsidP="001C06AB">
      <w:pPr>
        <w:spacing w:after="120" w:line="276" w:lineRule="auto"/>
        <w:jc w:val="both"/>
        <w:rPr>
          <w:rFonts w:ascii="Verdana" w:hAnsi="Verdana" w:cs="Arial"/>
        </w:rPr>
      </w:pPr>
      <w:r w:rsidRPr="001C06AB">
        <w:rPr>
          <w:rFonts w:ascii="Verdana" w:hAnsi="Verdana" w:cs="Arial"/>
        </w:rPr>
        <w:t xml:space="preserve">ii. </w:t>
      </w:r>
      <w:r w:rsidR="001C06AB" w:rsidRPr="001C06AB">
        <w:rPr>
          <w:rFonts w:ascii="Verdana" w:hAnsi="Verdana" w:cs="Arial"/>
        </w:rPr>
        <w:t xml:space="preserve">Las entidades estatales sometidas al Estatuto General de Contratación de la Administración Pública, en el marco de la autonomía y discrecionalidad que les asiste para desarrollar su actividad contractual, tienen la posibilidad de segmentar los objetos a contratar, adelantando procesos de contratación divididos en lotes. En términos de eficiencia y economía, esto es procedente cuando, en atención a las condiciones de ejecución requeridas, resulta conveniente segmentar el cumplimiento del objeto del contrato, dando lugar a lotes o segmentos, de tal manera que los virtuales proponentes puedan ofertar respecto de un lote en concreto, y la entidad pueda definir un adjudicatario para uno de los lotes definidos.   </w:t>
      </w:r>
    </w:p>
    <w:p w14:paraId="4A17CF72" w14:textId="28AF020D" w:rsidR="001C06AB" w:rsidRPr="001C06AB" w:rsidRDefault="001C06AB" w:rsidP="001C06AB">
      <w:pPr>
        <w:spacing w:after="120" w:line="276" w:lineRule="auto"/>
        <w:ind w:firstLine="709"/>
        <w:jc w:val="both"/>
        <w:rPr>
          <w:rFonts w:ascii="Verdana" w:hAnsi="Verdana" w:cs="Arial"/>
        </w:rPr>
      </w:pPr>
      <w:r w:rsidRPr="001C06AB">
        <w:rPr>
          <w:rFonts w:ascii="Verdana" w:hAnsi="Verdana" w:cs="Arial"/>
        </w:rPr>
        <w:t xml:space="preserve">Sin perjuicio de lo anterior, con la expedición del Decreto 142 del de 2023  se reglamentó la disposición contenida en el numeral 6 del artículo 33 de la Ley 2069 de 2020. Con el fin de cumplir el mandato legal indicado, el artículo 2 del Decreto 0142 de 2023 modificó el artículo 2.2.1.1.1.4.1 del Decreto 1082 de 2015, para instar a las entidades públicas para que, desde la configuración del Plan Anual de Adquisiciones, propendan por planear su contratación de tal manera que promueva el adelantamiento de procesos de contratación por lotes o segmentos, a fin de promover la participación de las Mipymes en los procesos de contratación. En concordancia con lo anterior, el artículo 6 del Decreto 142 de 2023, adicionó el 2.2.1.2.4.2.19 al Decreto 1082 de 2015, ratificando en el reglamento el deber de las entidades estatales de promover la división de procesos de contratación en lotes o segmentos, ya establecido de manera expresa en el numeral 6 del artículo 33 de la Ley 2069 de 2020. Esta última obedece al siguiente tenor:  </w:t>
      </w:r>
    </w:p>
    <w:p w14:paraId="0E7E21CF" w14:textId="77777777" w:rsidR="001C06AB" w:rsidRPr="00561482" w:rsidRDefault="001C06AB" w:rsidP="00561482">
      <w:pPr>
        <w:spacing w:after="120" w:line="276" w:lineRule="auto"/>
        <w:ind w:left="851" w:right="1183"/>
        <w:jc w:val="both"/>
        <w:rPr>
          <w:rFonts w:ascii="Verdana" w:hAnsi="Verdana" w:cs="Arial"/>
          <w:sz w:val="21"/>
          <w:szCs w:val="21"/>
        </w:rPr>
      </w:pPr>
    </w:p>
    <w:p w14:paraId="17E3AA10" w14:textId="77777777" w:rsidR="001C06AB" w:rsidRPr="00561482" w:rsidRDefault="001C06AB" w:rsidP="00561482">
      <w:pPr>
        <w:spacing w:after="120" w:line="276" w:lineRule="auto"/>
        <w:ind w:left="851" w:right="1183"/>
        <w:jc w:val="both"/>
        <w:rPr>
          <w:rFonts w:ascii="Verdana" w:hAnsi="Verdana" w:cs="Arial"/>
          <w:sz w:val="21"/>
          <w:szCs w:val="21"/>
        </w:rPr>
      </w:pPr>
      <w:r w:rsidRPr="00561482">
        <w:rPr>
          <w:rFonts w:ascii="Verdana" w:hAnsi="Verdana" w:cs="Arial"/>
          <w:sz w:val="21"/>
          <w:szCs w:val="21"/>
        </w:rPr>
        <w:t xml:space="preserve">“Artículo 2.2.1.2.4.2.19. División en lotes o segmentos. Las entidades estatales promoverán la división de procesos de contratación en lotes o segmentos que faciliten la participación de las Mipymes atendiendo a criterios tales como: i) el tipo de entregable, ii) el valor del contrato y iii) el ámbito geográfico de la entrega. Para el efecto: las entidades estatales deberán tener </w:t>
      </w:r>
      <w:r w:rsidRPr="00561482">
        <w:rPr>
          <w:rFonts w:ascii="Verdana" w:hAnsi="Verdana" w:cs="Arial"/>
          <w:sz w:val="21"/>
          <w:szCs w:val="21"/>
        </w:rPr>
        <w:lastRenderedPageBreak/>
        <w:t xml:space="preserve">en cuenta el análisis del sector económico y de los oferentes en los términos establecidos en el artículo 2.2.1.1.1.6.1. de presente decreto. </w:t>
      </w:r>
    </w:p>
    <w:p w14:paraId="13FFF391" w14:textId="77777777" w:rsidR="001C06AB" w:rsidRPr="00561482" w:rsidRDefault="001C06AB" w:rsidP="00561482">
      <w:pPr>
        <w:spacing w:after="120" w:line="276" w:lineRule="auto"/>
        <w:ind w:left="851" w:right="1183"/>
        <w:jc w:val="both"/>
        <w:rPr>
          <w:rFonts w:ascii="Verdana" w:hAnsi="Verdana" w:cs="Arial"/>
          <w:sz w:val="21"/>
          <w:szCs w:val="21"/>
        </w:rPr>
      </w:pPr>
      <w:r w:rsidRPr="00561482">
        <w:rPr>
          <w:rFonts w:ascii="Verdana" w:hAnsi="Verdana" w:cs="Arial"/>
          <w:sz w:val="21"/>
          <w:szCs w:val="21"/>
        </w:rPr>
        <w:t xml:space="preserve">[…]  </w:t>
      </w:r>
    </w:p>
    <w:p w14:paraId="5D2FCDA7" w14:textId="77777777" w:rsidR="001C06AB" w:rsidRPr="00561482" w:rsidRDefault="001C06AB" w:rsidP="00561482">
      <w:pPr>
        <w:spacing w:after="120" w:line="276" w:lineRule="auto"/>
        <w:ind w:left="851" w:right="1183"/>
        <w:jc w:val="both"/>
        <w:rPr>
          <w:rFonts w:ascii="Verdana" w:hAnsi="Verdana" w:cs="Arial"/>
          <w:sz w:val="21"/>
          <w:szCs w:val="21"/>
        </w:rPr>
      </w:pPr>
      <w:r w:rsidRPr="00561482">
        <w:rPr>
          <w:rFonts w:ascii="Verdana" w:hAnsi="Verdana" w:cs="Arial"/>
          <w:sz w:val="21"/>
          <w:szCs w:val="21"/>
        </w:rPr>
        <w:t xml:space="preserve">Las entidades estatales podrán incluir en el pliego de condiciones mecanismos o reglas que limiten el número de lotes que se adjudican a un mismo proponente, con el fin de evitar que se concentre la contratación, sobre la base de criterios objetivos y no discriminatorios. La decisión de no adjudicar un contrato en lotes o segmentos podrá obedecer entre otras razones, a que mediante este mecanismo se pueda restringir la competencia o que la segmentación del mercado pueda conducir a que la ejecución del contrato sea imposible desde el punto de vista técnico o económico. </w:t>
      </w:r>
    </w:p>
    <w:p w14:paraId="0790A06C" w14:textId="0DF1608E" w:rsidR="001C06AB" w:rsidRPr="00561482" w:rsidRDefault="001C06AB" w:rsidP="00561482">
      <w:pPr>
        <w:spacing w:after="120" w:line="276" w:lineRule="auto"/>
        <w:ind w:left="851" w:right="1183"/>
        <w:jc w:val="both"/>
        <w:rPr>
          <w:rFonts w:ascii="Verdana" w:hAnsi="Verdana" w:cs="Arial"/>
          <w:sz w:val="21"/>
          <w:szCs w:val="21"/>
        </w:rPr>
      </w:pPr>
      <w:r w:rsidRPr="00561482">
        <w:rPr>
          <w:rFonts w:ascii="Verdana" w:hAnsi="Verdana" w:cs="Arial"/>
          <w:sz w:val="21"/>
          <w:szCs w:val="21"/>
        </w:rPr>
        <w:t>Parágrafo. En los Procesos de Contratación adelantados por lotes o grupos deberá aplicarse lo regulado en el artículo 2.2.1.2.4.2.2. del presente Decreto, tornando en consideración el valor del Proceso de Contratación imputable al respectivo lote en el que se solicite su aplicación. De igual manera será aplicable lo previsto en el artículo 2.2.1.2.4.2.3. a partir del lugar de ejecución del contrato asociado al respectivo lote o segmento”.</w:t>
      </w:r>
    </w:p>
    <w:p w14:paraId="337190B2" w14:textId="77777777" w:rsidR="001C06AB" w:rsidRDefault="001C06AB" w:rsidP="001C06AB">
      <w:pPr>
        <w:spacing w:after="120" w:line="276" w:lineRule="auto"/>
        <w:jc w:val="both"/>
        <w:rPr>
          <w:rFonts w:ascii="Verdana" w:hAnsi="Verdana" w:cs="Arial"/>
        </w:rPr>
      </w:pPr>
    </w:p>
    <w:p w14:paraId="555FAC91" w14:textId="4BA9286C" w:rsidR="001C06AB" w:rsidRPr="001C06AB" w:rsidRDefault="001C06AB" w:rsidP="00561482">
      <w:pPr>
        <w:spacing w:after="120" w:line="276" w:lineRule="auto"/>
        <w:ind w:firstLine="709"/>
        <w:jc w:val="both"/>
        <w:rPr>
          <w:rFonts w:ascii="Verdana" w:hAnsi="Verdana" w:cs="Arial"/>
        </w:rPr>
      </w:pPr>
      <w:r w:rsidRPr="001C06AB">
        <w:rPr>
          <w:rFonts w:ascii="Verdana" w:eastAsia="Century Gothic" w:hAnsi="Verdana" w:cs="Arial"/>
          <w:color w:val="000000" w:themeColor="text1"/>
        </w:rPr>
        <w:t xml:space="preserve">Ahora bien,  el artículo 6 del Decreto 142 de 2023, adiciona el 2.2.1.2.4.2.19. a la </w:t>
      </w:r>
      <w:r w:rsidRPr="001C06AB">
        <w:rPr>
          <w:rFonts w:ascii="Verdana" w:hAnsi="Verdana" w:cs="Arial"/>
        </w:rPr>
        <w:t>sección 2 de la Sección 4 del Capítulo 2 del Título 1 de la Parte 2 del Libro 2 del Decreto número 1082 de 2015, establece los criterios que pueden tener las entidades públicas para dividir los procesos por lotes o segmentos como lo son:  i) el tipo de entregable; ii) el valor del contrato; (iii) el ámbito geográfico de la entrega. Estos criterios se disponen, con el fin de facilitar la participación de las MiPymes en los procesos de contratación. Asimismo, la norma señala que, para dar cumplimiento a lo indicado, las Entidades Estatales deberán tener en cuenta el análisis del sector económico y de los oferentes en los términos establecidos en el artículo 2.2.1.1.1.6.1. del Decreto 1082 de 2015.</w:t>
      </w:r>
    </w:p>
    <w:p w14:paraId="526C1B9A"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 xml:space="preserve">Por su parte, el cuarto inciso de la disposición, habilita a las entidades públicas para que incluyan en los pliegos de condiciones mecanismos y reglas que limiten el número de lotes que pueden ser adjudicados a un mismo oferente. En relación con este aspecto, la Agencia Nacional de Contratación Pública – Colombia Compra Eficiente considera que, la norma no determina los </w:t>
      </w:r>
      <w:r w:rsidRPr="001C06AB">
        <w:rPr>
          <w:rFonts w:ascii="Verdana" w:hAnsi="Verdana" w:cs="Arial"/>
        </w:rPr>
        <w:lastRenderedPageBreak/>
        <w:t>mecanismos y reglas que pueden establecer las entidades para limitar el número de lotes a adjudicarse a un mismo oferente, así las cosas, la Entidad Estatal, podrá limitar el número de lotes de los que puede resultar adjudicatario un mismo proponente, considerando los lotes o segmentos de los distintos procesos de selección que se encuentre adelantando. Esto, “con la finalidad de evitar que se concentre la contratación” en un solo oferente, y siempre y cuando esta restricción se realice sobre la base de criterios objetivos y no discriminatorios.</w:t>
      </w:r>
    </w:p>
    <w:p w14:paraId="186BD67D"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 xml:space="preserve">Bajo este contexto, le corresponde a la Entidad Estatal en ejercicio de su autonomía y discrecionalidad que le confiere el artículo 2.2.1.2.4.2.19 del Decreto 1082 de 2015 −adicionado por el artículo 6 del Decreto 142 de 2023−, determinar en los pliegos de condiciones para los procesos estructurados por lotes o segmentos, si un proponente puede resultar adjudicatario en uno o varios de los lotes o segmentos en los que se dividen los distinto procesos de contratación que se encuentra adelantando. Como quiera que la Entidad Estatal puede limitar los lotes a un número determinado, podrá establecer causales de rechazo para evitar que se concentre la contratación en un único proponente. </w:t>
      </w:r>
    </w:p>
    <w:p w14:paraId="7C103054"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 xml:space="preserve">Además, el inciso en comento establece que, la decisión de la entidad de no adjudicar un contrato puede obedecer −entre otras razones− a que: i) mediante este mecanismo se pueda restringir la competencia o ii) que la segmentación del mercado pueda conducir a que la ejecución del contrato sea imposible desde el punto de vista técnico o económico. </w:t>
      </w:r>
    </w:p>
    <w:p w14:paraId="141B0C31"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Ahora bien, al llevar a cabo un proceso de contratación en lotes o segmentos, es importante realizar estudios previos y el respectivo análisis del sector para identificar las oportunidades y determinar qué aspectos pueden adelantarse en el proceso de contratación. Así las cosas, es esencial realizar estudios del mercado. Estos estudios incluyen la evaluación de la oferta y la demanda en el sector específico en el que se llevará a cabo la contratación. El objetivo principal es comprender la situación actual del mercado, identificar a los posibles proveedores y determinar si hay suficiente competencia para garantizar una selección justa.</w:t>
      </w:r>
    </w:p>
    <w:p w14:paraId="6CAF6913"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De igual manera, se deben verificar los requisitos que deben cumplir los proveedores en cada lote o segmento de la contratación. Esto implica identificar los servicios o productos necesarios, establecer los plazos y las cantidades requeridas, y definir cualquier requisito adicional que pueda ser relevante.</w:t>
      </w:r>
    </w:p>
    <w:p w14:paraId="205EDD5D"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 xml:space="preserve">Por su parte, antes de dividir el proceso de contratación en lotes o segmentos, es importante evaluar los posibles riesgos asociados. Esto implica </w:t>
      </w:r>
      <w:r w:rsidRPr="001C06AB">
        <w:rPr>
          <w:rFonts w:ascii="Verdana" w:hAnsi="Verdana" w:cs="Arial"/>
        </w:rPr>
        <w:lastRenderedPageBreak/>
        <w:t>identificar los riesgos potenciales que podrían afectar la ejecución de los contratos y desarrollar estrategias para mitigarlos. También se deben considerar los riesgos financieros, legales y operativos relacionados con cada lote o segmento. A su vez, al efectuar un análisis de viabilidad al momento de adelantar un proceso de contratación en lotes, es importante realizar un análisis de viabilidad para determinar si esta estrategia es factible y beneficiosa. Se deben considerar factores como el tamaño y la complejidad de los lotes, los recursos disponibles, la capacidad de gestión y supervisión, y la posibilidad de lograr economías de escala o sinergias entre los lotes.</w:t>
      </w:r>
    </w:p>
    <w:p w14:paraId="725EFBFE"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A su vez, resulta importante efectuar el correspondiente análisis de oferta y demanda para determinar el valor del precio en un proceso de contratación en lotes y segmentos. Este enfoque permite evaluar cómo la relación entre la oferta y la demanda afecta el precio de un bien o servicio en particular, de esta manera el análisis de oferta implica examinar la cantidad de bienes o servicios disponibles en el mercado para satisfacer la demanda, esto incluye evaluar la capacidad de producción de los proveedores existentes, así como cualquier capacidad adicional que se pueda generar. Además, se consideran factores como la disponibilidad de insumos, la tecnología utilizada y las barreras de entrada para nuevos proveedores, lo que conlleva a realizar una adecuada planificación del proceso de contratación, esto implica que las entidades estatales deben identificar de manera previa y precisa las necesidades y objetivos de la contratación, así como los recursos necesarios para llevarla a cabo. La planificación debe contemplar la definición clara de los requerimientos, la estimación de costos, los plazos de ejecución, entre otros aspectos relevantes. La planeación adecuada permite maximizar los beneficios de las contrataciones y minimizar los riesgos asociados.</w:t>
      </w:r>
    </w:p>
    <w:p w14:paraId="40F63CDB"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En armonía con lo expuesto, y en atención al principio de selección objetiva todas las contrataciones públicas deben realizarse de manera imparcial y transparente, asegurando la igualdad de oportunidades para los participantes, por lo cual las entidades deben establecer criterios claros y transparentes para la selección del contratista, basados en méritos y capacidades técnicas. La selección debe realizarse mediante procedimientos competitivos que permitan evaluar las ofertas de manera objetiva y justa, evitando cualquier tipo de favoritismo o discriminación.</w:t>
      </w:r>
    </w:p>
    <w:p w14:paraId="41896185" w14:textId="77777777" w:rsidR="001C06AB" w:rsidRPr="001C06AB" w:rsidRDefault="001C06AB" w:rsidP="00561482">
      <w:pPr>
        <w:spacing w:after="120" w:line="276" w:lineRule="auto"/>
        <w:ind w:firstLine="709"/>
        <w:jc w:val="both"/>
        <w:rPr>
          <w:rFonts w:ascii="Verdana" w:hAnsi="Verdana" w:cs="Arial"/>
        </w:rPr>
      </w:pPr>
      <w:r w:rsidRPr="001C06AB">
        <w:rPr>
          <w:rFonts w:ascii="Verdana" w:hAnsi="Verdana" w:cs="Arial"/>
        </w:rPr>
        <w:t xml:space="preserve">Por su parte, el parágrafo de la norma menciona que, en los procesos de contratación adelantados por lotes o grupos deberá aplicarse lo regulado en el artículo 2.2.1.2.4.2.2 “convocatorias limitadas a MiPymes” del Decreto 1082 de </w:t>
      </w:r>
      <w:r w:rsidRPr="001C06AB">
        <w:rPr>
          <w:rFonts w:ascii="Verdana" w:hAnsi="Verdana" w:cs="Arial"/>
        </w:rPr>
        <w:lastRenderedPageBreak/>
        <w:t>2015, tomando en consideración el valor del Proceso de Contratación imputable al respectivo lote en el que se solicite su aplicación.</w:t>
      </w:r>
    </w:p>
    <w:p w14:paraId="4E6EFB7D" w14:textId="2BF449CD" w:rsidR="001C06AB" w:rsidRPr="001C06AB" w:rsidRDefault="00561482" w:rsidP="00561482">
      <w:pPr>
        <w:spacing w:after="120" w:line="276" w:lineRule="auto"/>
        <w:ind w:firstLine="709"/>
        <w:jc w:val="both"/>
        <w:rPr>
          <w:rFonts w:ascii="Verdana" w:hAnsi="Verdana" w:cs="Arial"/>
        </w:rPr>
      </w:pPr>
      <w:r w:rsidRPr="001C06AB">
        <w:rPr>
          <w:rFonts w:ascii="Verdana" w:hAnsi="Verdana" w:cs="Arial"/>
        </w:rPr>
        <w:t>Así</w:t>
      </w:r>
      <w:r w:rsidR="001C06AB" w:rsidRPr="001C06AB">
        <w:rPr>
          <w:rFonts w:ascii="Verdana" w:hAnsi="Verdana" w:cs="Arial"/>
        </w:rPr>
        <w:t xml:space="preserve"> las cosas, no aplicar la división en lotes, sin una justificación técnica debidamente sustentada, puede considerarse una omisión contraria a los principios de planeación y responsabilidad en la contratación, así como una posible vulneración al derecho de participación en condiciones equitativas.</w:t>
      </w:r>
    </w:p>
    <w:p w14:paraId="5282F37E" w14:textId="12B2D1E4" w:rsidR="00151715" w:rsidRDefault="001C06AB" w:rsidP="00561482">
      <w:pPr>
        <w:spacing w:after="120" w:line="276" w:lineRule="auto"/>
        <w:ind w:firstLine="709"/>
        <w:jc w:val="both"/>
        <w:rPr>
          <w:rFonts w:ascii="Verdana" w:hAnsi="Verdana"/>
        </w:rPr>
      </w:pPr>
      <w:r w:rsidRPr="001C06AB">
        <w:rPr>
          <w:rFonts w:ascii="Verdana" w:hAnsi="Verdana" w:cs="Arial"/>
        </w:rPr>
        <w:t>En conclusión, la división en lotes no es una facultad discrecional absoluta, sino una obligación técnica y jurídica que debe ser evaluada con rigor por la entidad contratante cuando el objeto lo permita, especialmente si con ello se puede garantizar el acceso efectivo de las MIPYMES al mercado estatal.</w:t>
      </w:r>
    </w:p>
    <w:p w14:paraId="04C41D4A" w14:textId="77777777" w:rsidR="00151715" w:rsidRDefault="00151715" w:rsidP="00151715">
      <w:pPr>
        <w:pStyle w:val="Textoindependiente"/>
        <w:spacing w:after="0"/>
        <w:ind w:right="108"/>
        <w:jc w:val="both"/>
        <w:rPr>
          <w:rFonts w:ascii="Verdana" w:hAnsi="Verdana"/>
        </w:rPr>
      </w:pPr>
    </w:p>
    <w:p w14:paraId="3A8ACA80" w14:textId="6A867BD9" w:rsidR="009F7721" w:rsidRPr="009F7721" w:rsidRDefault="00151715" w:rsidP="009F7721">
      <w:pPr>
        <w:spacing w:after="0" w:line="276" w:lineRule="auto"/>
        <w:jc w:val="both"/>
        <w:rPr>
          <w:rFonts w:ascii="Verdana" w:hAnsi="Verdana"/>
        </w:rPr>
      </w:pPr>
      <w:r>
        <w:rPr>
          <w:rFonts w:ascii="Verdana" w:hAnsi="Verdana"/>
        </w:rPr>
        <w:t>i</w:t>
      </w:r>
      <w:r w:rsidR="00561482">
        <w:rPr>
          <w:rFonts w:ascii="Verdana" w:hAnsi="Verdana"/>
        </w:rPr>
        <w:t>ii</w:t>
      </w:r>
      <w:r>
        <w:rPr>
          <w:rFonts w:ascii="Verdana" w:hAnsi="Verdana"/>
        </w:rPr>
        <w:t xml:space="preserve">. </w:t>
      </w:r>
      <w:r w:rsidR="009F7721">
        <w:rPr>
          <w:rFonts w:ascii="Verdana" w:hAnsi="Verdana"/>
        </w:rPr>
        <w:t xml:space="preserve"> </w:t>
      </w:r>
      <w:r w:rsidR="009F7721" w:rsidRPr="009F7721">
        <w:rPr>
          <w:rFonts w:ascii="Verdana" w:hAnsi="Verdana"/>
        </w:rPr>
        <w:t>El fraccionamiento contractual es una práctica mediante la cual se dividen contratos para evitar procedimientos de contratación pública o para eludir límites establecidos en la normativa. En Colombia, esta práctica es ilegal ya que va en contra de los principios fundamentales de la contratación especialmente en el Estatuto General de Contratación de la Administración Pública (Ley 80 de 1993), la Ley 1150 de 2007, y el Estatuto Anticorrupción (Ley 1474 de 2011).</w:t>
      </w:r>
    </w:p>
    <w:p w14:paraId="4D0FD8C0" w14:textId="77777777" w:rsidR="009F7721" w:rsidRDefault="009F7721" w:rsidP="00E32185">
      <w:pPr>
        <w:spacing w:after="0" w:line="276" w:lineRule="auto"/>
        <w:jc w:val="both"/>
        <w:rPr>
          <w:rFonts w:ascii="Verdana" w:hAnsi="Verdana"/>
        </w:rPr>
      </w:pPr>
    </w:p>
    <w:p w14:paraId="31DA65B1" w14:textId="721C91BC" w:rsidR="00E32185" w:rsidRPr="00E32185" w:rsidRDefault="00E32185" w:rsidP="009F7721">
      <w:pPr>
        <w:spacing w:after="0" w:line="276" w:lineRule="auto"/>
        <w:ind w:firstLine="709"/>
        <w:jc w:val="both"/>
        <w:rPr>
          <w:rFonts w:ascii="Verdana" w:hAnsi="Verdana"/>
        </w:rPr>
      </w:pPr>
      <w:r w:rsidRPr="00E32185">
        <w:rPr>
          <w:rFonts w:ascii="Verdana" w:hAnsi="Verdana"/>
        </w:rPr>
        <w:t>Sobre el fraccionamiento del contrato procede citar lo expuesto por el Consejo de Estado</w:t>
      </w:r>
      <w:r>
        <w:rPr>
          <w:rStyle w:val="Refdenotaalpie"/>
          <w:rFonts w:ascii="Verdana" w:hAnsi="Verdana"/>
        </w:rPr>
        <w:footnoteReference w:id="2"/>
      </w:r>
      <w:r w:rsidRPr="00E32185">
        <w:rPr>
          <w:rFonts w:ascii="Verdana" w:hAnsi="Verdana"/>
        </w:rPr>
        <w:t>, quien sobre el particular precisó:</w:t>
      </w:r>
    </w:p>
    <w:p w14:paraId="227BFCC3" w14:textId="77777777" w:rsidR="00E32185" w:rsidRPr="00E32185" w:rsidRDefault="00E32185" w:rsidP="00E32185">
      <w:pPr>
        <w:spacing w:after="0" w:line="276" w:lineRule="auto"/>
        <w:jc w:val="both"/>
        <w:rPr>
          <w:rFonts w:ascii="Verdana" w:hAnsi="Verdana"/>
        </w:rPr>
      </w:pPr>
    </w:p>
    <w:p w14:paraId="099C86EE" w14:textId="77777777" w:rsidR="00E32185" w:rsidRPr="00E32185" w:rsidRDefault="00E32185" w:rsidP="00E32185">
      <w:pPr>
        <w:spacing w:after="0" w:line="276" w:lineRule="auto"/>
        <w:ind w:left="851" w:right="900"/>
        <w:jc w:val="both"/>
        <w:rPr>
          <w:rFonts w:ascii="Verdana" w:hAnsi="Verdana"/>
          <w:sz w:val="21"/>
          <w:szCs w:val="21"/>
        </w:rPr>
      </w:pPr>
      <w:r w:rsidRPr="00E32185">
        <w:rPr>
          <w:rFonts w:ascii="Verdana" w:hAnsi="Verdana"/>
          <w:sz w:val="21"/>
          <w:szCs w:val="21"/>
        </w:rPr>
        <w:t xml:space="preserve">“Cuando la contratación directa se realiza burlando el proceso licitatorio a través del fraccionamiento del contrato, es decir, buscando que ninguno de los contratos resultantes de dividir un mismo objeto supere el monto de la cuantía requerida para la licitación, se están desconociendo los principios que inspiran la contratación pública. Al respecto, aunque la conducta de fraccionar los contratos no está prohibida expresamente en la Ley 80 de 1993, la jurisprudencia y la doctrina han sido claras en que la prohibición está implícita si tenemos en cuenta los aspectos esenciales de los principios y reglas que informan el estatuto contractual. En efecto, se ha considerado que “Si bien dicha figura no aparece dentro del estatuto actual en los mismos términos de los estatutos anteriores, ello obedece a la estructura misma de la ley 80, puesto que se pretendió terminar con la exagerada reglamentación y rigorismo y </w:t>
      </w:r>
      <w:r w:rsidRPr="00E32185">
        <w:rPr>
          <w:rFonts w:ascii="Verdana" w:hAnsi="Verdana"/>
          <w:sz w:val="21"/>
          <w:szCs w:val="21"/>
        </w:rPr>
        <w:lastRenderedPageBreak/>
        <w:t>en cambio se determinaron pautas, reglas y principios, de los que se infiere la prohibición del fraccionamiento, y que se traduce en distintas disposiciones como la regla contenida en el numeral 8º del artículo 24, según la cual las autoridades no actuarán con desviación o abuso del poder y ejercerán sus competencias exclusivamente para los fines previstos en la ley, y al propio tiempo les prohíbe eludir los procedimientos de selección objetiva y los demás requisitos previstos en dicho estatuto”.</w:t>
      </w:r>
    </w:p>
    <w:p w14:paraId="54F113E1" w14:textId="77777777" w:rsidR="00E32185" w:rsidRPr="00E32185" w:rsidRDefault="00E32185" w:rsidP="00E32185">
      <w:pPr>
        <w:spacing w:after="0" w:line="276" w:lineRule="auto"/>
        <w:jc w:val="both"/>
        <w:rPr>
          <w:rFonts w:ascii="Verdana" w:hAnsi="Verdana"/>
        </w:rPr>
      </w:pPr>
    </w:p>
    <w:p w14:paraId="3F947A27" w14:textId="313F3E51" w:rsidR="00E32185" w:rsidRPr="00E32185" w:rsidRDefault="00E32185" w:rsidP="009F7721">
      <w:pPr>
        <w:spacing w:after="0" w:line="276" w:lineRule="auto"/>
        <w:ind w:firstLine="709"/>
        <w:jc w:val="both"/>
        <w:rPr>
          <w:rFonts w:ascii="Verdana" w:hAnsi="Verdana"/>
        </w:rPr>
      </w:pPr>
      <w:r w:rsidRPr="00E32185">
        <w:rPr>
          <w:rFonts w:ascii="Verdana" w:hAnsi="Verdana"/>
        </w:rPr>
        <w:t>En esa misma línea, pero en la Sentencia del 31 de enero de 2011 proferida por la Sección Tercera de la Sala de lo Contencioso Administrativo del Consejo de Estado, expediente 17767 con ponencia de Olga Melida Valle de De La Hoz, se señaló:</w:t>
      </w:r>
    </w:p>
    <w:p w14:paraId="3E1EF4B9" w14:textId="77777777" w:rsidR="00E32185" w:rsidRPr="00E32185" w:rsidRDefault="00E32185" w:rsidP="00E32185">
      <w:pPr>
        <w:spacing w:after="0" w:line="276" w:lineRule="auto"/>
        <w:jc w:val="both"/>
        <w:rPr>
          <w:rFonts w:ascii="Verdana" w:hAnsi="Verdana"/>
        </w:rPr>
      </w:pPr>
    </w:p>
    <w:p w14:paraId="449F2CC8" w14:textId="77777777" w:rsidR="00E32185" w:rsidRPr="00E32185" w:rsidRDefault="00E32185" w:rsidP="00E32185">
      <w:pPr>
        <w:spacing w:after="0" w:line="276" w:lineRule="auto"/>
        <w:ind w:left="993" w:right="1183"/>
        <w:jc w:val="both"/>
        <w:rPr>
          <w:rFonts w:ascii="Verdana" w:hAnsi="Verdana"/>
          <w:sz w:val="21"/>
          <w:szCs w:val="21"/>
        </w:rPr>
      </w:pPr>
      <w:r w:rsidRPr="00E32185">
        <w:rPr>
          <w:rFonts w:ascii="Verdana" w:hAnsi="Verdana"/>
          <w:sz w:val="21"/>
          <w:szCs w:val="21"/>
        </w:rPr>
        <w:t>“La Corte Suprema de Justicia ha precisado que el fraccionamiento de contratos tiene lugar, “en los eventos en los cuales la administración para eludir el procedimiento de licitación pública, divide disimuladamente el objeto del contrato con el ánimo de favorecer a los contratistas. En su demostración, deben confluir las circunstancias siguientes: i) Que sea posible pregonar la unidad de objeto en relación con el contrato cuya legalidad se cuestiona y, de ser así, ii) determinar cuáles fueron las circunstancias que condujeron a la administración a celebrar varios contratos, pues solo de esta manera se puede inferir si el actuar se cimentó en criterios razonables de interés público, o si por contraste, los motivos fueron simulados y orientados a soslayar las normas de la contratación pública”.</w:t>
      </w:r>
    </w:p>
    <w:p w14:paraId="2985CAC0" w14:textId="77777777" w:rsidR="00E32185" w:rsidRPr="00E32185" w:rsidRDefault="00E32185" w:rsidP="00E32185">
      <w:pPr>
        <w:spacing w:after="0" w:line="276" w:lineRule="auto"/>
        <w:jc w:val="both"/>
        <w:rPr>
          <w:rFonts w:ascii="Verdana" w:hAnsi="Verdana"/>
        </w:rPr>
      </w:pPr>
    </w:p>
    <w:p w14:paraId="0CBFF647" w14:textId="70ED6860" w:rsidR="00E32185" w:rsidRDefault="00E32185" w:rsidP="009F7721">
      <w:pPr>
        <w:spacing w:after="0" w:line="276" w:lineRule="auto"/>
        <w:ind w:firstLine="709"/>
        <w:jc w:val="both"/>
        <w:rPr>
          <w:rFonts w:ascii="Verdana" w:hAnsi="Verdana"/>
        </w:rPr>
      </w:pPr>
      <w:r w:rsidRPr="00E32185">
        <w:rPr>
          <w:rFonts w:ascii="Verdana" w:hAnsi="Verdana"/>
        </w:rPr>
        <w:t>Vale la pena destacar que se desconocen los principios que rigen la contratación estatal cuando “se celebran varios contratos, cada uno de menor cuantía y todos con el mismo objeto, si sumadas sus cuantías resulta ser que se contrató un objeto único, por cuantía superior, que por lo mismo debió ser materia de licitación o concurso (…) Pero ¿cuándo se trata de un mismo objeto? La ley no lo dice, pero un objeto es el mismo cuando es naturalmente uno. Dicho, en otros términos, se fracciona un contrato cuando se quebranta y se divide la unidad natural de su objeto”</w:t>
      </w:r>
      <w:r>
        <w:rPr>
          <w:rStyle w:val="Refdenotaalpie"/>
          <w:rFonts w:ascii="Verdana" w:hAnsi="Verdana"/>
        </w:rPr>
        <w:footnoteReference w:id="3"/>
      </w:r>
      <w:r>
        <w:rPr>
          <w:rFonts w:ascii="Verdana" w:hAnsi="Verdana"/>
        </w:rPr>
        <w:t xml:space="preserve">. </w:t>
      </w:r>
    </w:p>
    <w:p w14:paraId="1DCDAB1D" w14:textId="77777777" w:rsidR="00E32185" w:rsidRPr="00E32185" w:rsidRDefault="00E32185" w:rsidP="00E32185">
      <w:pPr>
        <w:spacing w:after="0" w:line="276" w:lineRule="auto"/>
        <w:jc w:val="both"/>
        <w:rPr>
          <w:rFonts w:ascii="Verdana" w:hAnsi="Verdana"/>
        </w:rPr>
      </w:pPr>
    </w:p>
    <w:p w14:paraId="3B57C30E" w14:textId="47EEE68C" w:rsidR="00E32185" w:rsidRDefault="00E32185" w:rsidP="009F7721">
      <w:pPr>
        <w:spacing w:after="0" w:line="276" w:lineRule="auto"/>
        <w:ind w:firstLine="709"/>
        <w:jc w:val="both"/>
        <w:rPr>
          <w:rFonts w:ascii="Verdana" w:hAnsi="Verdana"/>
        </w:rPr>
      </w:pPr>
      <w:r w:rsidRPr="00E32185">
        <w:rPr>
          <w:rFonts w:ascii="Verdana" w:hAnsi="Verdana"/>
        </w:rPr>
        <w:t>Fraccionar la unidad natural de un objeto contractual con el propósito de evadir una cuantía superior que implicaría un proceso de selección diferente, tiene como consecuencia la nulidad absoluta del contrato en los términos de los artículos 44 y 45 de la Ley 80 de 1993, aplicable en lo correspondiente a este tipo de contrato</w:t>
      </w:r>
      <w:r w:rsidR="009F7721">
        <w:rPr>
          <w:rStyle w:val="Refdenotaalpie"/>
          <w:rFonts w:ascii="Verdana" w:hAnsi="Verdana"/>
        </w:rPr>
        <w:footnoteReference w:id="4"/>
      </w:r>
      <w:r w:rsidRPr="00E32185">
        <w:rPr>
          <w:rFonts w:ascii="Verdana" w:hAnsi="Verdana"/>
        </w:rPr>
        <w:t>.</w:t>
      </w:r>
    </w:p>
    <w:p w14:paraId="3C3E9535" w14:textId="77777777" w:rsidR="009F7721" w:rsidRPr="00E32185" w:rsidRDefault="009F7721" w:rsidP="00E32185">
      <w:pPr>
        <w:spacing w:after="0" w:line="276" w:lineRule="auto"/>
        <w:jc w:val="both"/>
        <w:rPr>
          <w:rFonts w:ascii="Verdana" w:hAnsi="Verdana"/>
        </w:rPr>
      </w:pPr>
    </w:p>
    <w:p w14:paraId="054C4586" w14:textId="15BDAD12" w:rsidR="009F7721" w:rsidRDefault="00E32185" w:rsidP="009F7721">
      <w:pPr>
        <w:spacing w:after="0" w:line="276" w:lineRule="auto"/>
        <w:ind w:firstLine="709"/>
        <w:jc w:val="both"/>
        <w:rPr>
          <w:rFonts w:ascii="Verdana" w:hAnsi="Verdana"/>
        </w:rPr>
      </w:pPr>
      <w:r w:rsidRPr="00E32185">
        <w:rPr>
          <w:rFonts w:ascii="Verdana" w:hAnsi="Verdana"/>
        </w:rPr>
        <w:t>Ahora bien, a la luz de la jurisprudencia solo habrá fraccionamiento del contrato cuando concurran los siguientes elementos: “i) que exista una separación artificial de un mismo objeto contractual y ii) que dicha separación tenga como objetivo evitar procedimientos de convocatoria pública y de selección objetiva”</w:t>
      </w:r>
      <w:r w:rsidR="009F7721">
        <w:rPr>
          <w:rStyle w:val="Refdenotaalpie"/>
          <w:rFonts w:ascii="Verdana" w:hAnsi="Verdana"/>
        </w:rPr>
        <w:footnoteReference w:id="5"/>
      </w:r>
      <w:r>
        <w:rPr>
          <w:rFonts w:ascii="Verdana" w:hAnsi="Verdana"/>
        </w:rPr>
        <w:t>.</w:t>
      </w:r>
      <w:r w:rsidRPr="00E32185">
        <w:rPr>
          <w:rFonts w:ascii="Verdana" w:hAnsi="Verdana"/>
        </w:rPr>
        <w:t xml:space="preserve"> De manera que estos elementos deberán ser constatados por la autoridad judicial competente para declarar una eventual nulidad absoluta del contrato.</w:t>
      </w:r>
      <w:r>
        <w:rPr>
          <w:rFonts w:ascii="Verdana" w:hAnsi="Verdana"/>
        </w:rPr>
        <w:t xml:space="preserve"> </w:t>
      </w:r>
    </w:p>
    <w:p w14:paraId="43F5026E" w14:textId="77777777" w:rsidR="009F7721" w:rsidRDefault="009F7721" w:rsidP="00E32185">
      <w:pPr>
        <w:spacing w:after="0" w:line="276" w:lineRule="auto"/>
        <w:jc w:val="both"/>
        <w:rPr>
          <w:rFonts w:ascii="Verdana" w:hAnsi="Verdana"/>
        </w:rPr>
      </w:pPr>
    </w:p>
    <w:p w14:paraId="089CECEF" w14:textId="09A9282D" w:rsidR="00E32185" w:rsidRDefault="00E32185" w:rsidP="009F7721">
      <w:pPr>
        <w:spacing w:after="0" w:line="276" w:lineRule="auto"/>
        <w:ind w:firstLine="709"/>
        <w:jc w:val="both"/>
        <w:rPr>
          <w:rFonts w:ascii="Verdana" w:hAnsi="Verdana"/>
        </w:rPr>
      </w:pPr>
      <w:r w:rsidRPr="00E32185">
        <w:rPr>
          <w:rFonts w:ascii="Verdana" w:hAnsi="Verdana"/>
        </w:rPr>
        <w:t>En este contexto, el fraccionamiento implica dividir las prestaciones en dos o más contratos que pueden constituir un único negocio jurídico</w:t>
      </w:r>
      <w:r w:rsidR="009F7721">
        <w:rPr>
          <w:rStyle w:val="Refdenotaalpie"/>
          <w:rFonts w:ascii="Verdana" w:hAnsi="Verdana"/>
        </w:rPr>
        <w:footnoteReference w:id="6"/>
      </w:r>
      <w:r w:rsidRPr="00E32185">
        <w:rPr>
          <w:rFonts w:ascii="Verdana" w:hAnsi="Verdana"/>
        </w:rPr>
        <w:t>. Para demostrarlo deben concurrir las siguientes circunstancias: i) que sea posible demostrar la unidad del objeto en relación con el contrato cuya legalidad se cuestiona y, de ser así, ii) determinar cuáles fueron las circunstancias que condujeron a la Administración a celebrar varios contratos, pues sólo de esta manera puede inferirse si el actuar se basó en criterios razonables de interés público o, si por el contrario, los motivos fueron simulados y orientados a infringir las normas de la contratación pública</w:t>
      </w:r>
      <w:r w:rsidR="009F7721">
        <w:rPr>
          <w:rStyle w:val="Refdenotaalpie"/>
          <w:rFonts w:ascii="Verdana" w:hAnsi="Verdana"/>
        </w:rPr>
        <w:footnoteReference w:id="7"/>
      </w:r>
      <w:r w:rsidRPr="00E32185">
        <w:rPr>
          <w:rFonts w:ascii="Verdana" w:hAnsi="Verdana"/>
        </w:rPr>
        <w:t xml:space="preserve">. </w:t>
      </w:r>
    </w:p>
    <w:p w14:paraId="266BC976" w14:textId="77777777" w:rsidR="00E32185" w:rsidRPr="00E32185" w:rsidRDefault="00E32185" w:rsidP="00E32185">
      <w:pPr>
        <w:spacing w:after="0" w:line="276" w:lineRule="auto"/>
        <w:jc w:val="both"/>
        <w:rPr>
          <w:rFonts w:ascii="Verdana" w:hAnsi="Verdana"/>
        </w:rPr>
      </w:pPr>
    </w:p>
    <w:p w14:paraId="073A5343" w14:textId="23EB077E" w:rsidR="00E32185" w:rsidRDefault="00E32185" w:rsidP="002A622C">
      <w:pPr>
        <w:spacing w:after="0" w:line="276" w:lineRule="auto"/>
        <w:ind w:firstLine="709"/>
        <w:jc w:val="both"/>
        <w:rPr>
          <w:rFonts w:ascii="Verdana" w:hAnsi="Verdana"/>
        </w:rPr>
      </w:pPr>
      <w:r w:rsidRPr="00E32185">
        <w:rPr>
          <w:rFonts w:ascii="Verdana" w:hAnsi="Verdana"/>
        </w:rPr>
        <w:t>Así entonces, ha sido reiterada la posición del Consejo de Estado en el sentido de sostener que si bien es cierto la figura del fraccionamiento de los contratos no aparece prohibida expresamente en la Ley 80 de 1993, su aplicación se deriva de las pautas, reglas y principios establecidos por dicha Ley.</w:t>
      </w:r>
    </w:p>
    <w:p w14:paraId="18D96C79" w14:textId="77777777" w:rsidR="00E32185" w:rsidRPr="00E32185" w:rsidRDefault="00E32185" w:rsidP="00E32185">
      <w:pPr>
        <w:spacing w:after="0" w:line="276" w:lineRule="auto"/>
        <w:jc w:val="both"/>
        <w:rPr>
          <w:rFonts w:ascii="Verdana" w:hAnsi="Verdana"/>
        </w:rPr>
      </w:pPr>
    </w:p>
    <w:p w14:paraId="3E8516B6" w14:textId="12C510C6" w:rsidR="002A622C" w:rsidRDefault="00E32185" w:rsidP="002A622C">
      <w:pPr>
        <w:spacing w:after="0" w:line="276" w:lineRule="auto"/>
        <w:ind w:firstLine="709"/>
        <w:jc w:val="both"/>
        <w:rPr>
          <w:rFonts w:ascii="Verdana" w:hAnsi="Verdana" w:cs="Arial"/>
          <w:lang w:eastAsia="es-ES"/>
        </w:rPr>
      </w:pPr>
      <w:r w:rsidRPr="00E32185">
        <w:rPr>
          <w:rFonts w:ascii="Verdana" w:hAnsi="Verdana"/>
        </w:rPr>
        <w:lastRenderedPageBreak/>
        <w:t>A su vez, la doctrina señala que “El fraccionamiento, hoy en día, se prueba a partir de la existencia de varios contratos estatales debidamente perfeccionados que tengan como objeto las mismas prestaciones, pese a que en algunos de ellos se puedan advertir pequeñas diferencias o variaciones que consistan en adiciones o disminuciones de las actividades que lo componen[...], sin embargo, es de creer que es imperioso que esos contratos, por lo menos en su proceso de formación, suscripción y duración tengan un grado inescindible de cercanía temporal”</w:t>
      </w:r>
      <w:r w:rsidR="009F7721">
        <w:rPr>
          <w:rStyle w:val="Refdenotaalpie"/>
          <w:rFonts w:ascii="Verdana" w:hAnsi="Verdana"/>
        </w:rPr>
        <w:footnoteReference w:id="8"/>
      </w:r>
      <w:r w:rsidR="00151715" w:rsidRPr="00301910">
        <w:rPr>
          <w:rFonts w:ascii="Verdana" w:hAnsi="Verdana" w:cs="Arial"/>
          <w:lang w:eastAsia="es-ES"/>
        </w:rPr>
        <w:t>.</w:t>
      </w:r>
    </w:p>
    <w:p w14:paraId="6C19267A" w14:textId="77777777" w:rsidR="002A622C" w:rsidRDefault="002A622C" w:rsidP="002A622C">
      <w:pPr>
        <w:spacing w:after="0" w:line="276" w:lineRule="auto"/>
        <w:jc w:val="both"/>
        <w:rPr>
          <w:rFonts w:ascii="Verdana" w:hAnsi="Verdana" w:cs="Arial"/>
          <w:lang w:eastAsia="es-ES"/>
        </w:rPr>
      </w:pPr>
    </w:p>
    <w:p w14:paraId="4AAB3322" w14:textId="77777777" w:rsidR="002A622C" w:rsidRPr="002A622C" w:rsidRDefault="002A622C" w:rsidP="002A622C">
      <w:pPr>
        <w:spacing w:after="0" w:line="276" w:lineRule="auto"/>
        <w:jc w:val="both"/>
        <w:rPr>
          <w:rFonts w:ascii="Verdana" w:hAnsi="Verdana" w:cs="Arial"/>
          <w:lang w:eastAsia="es-ES"/>
        </w:rPr>
      </w:pPr>
      <w:r>
        <w:rPr>
          <w:rFonts w:ascii="Verdana" w:hAnsi="Verdana" w:cs="Arial"/>
          <w:lang w:eastAsia="es-ES"/>
        </w:rPr>
        <w:t xml:space="preserve">iv. </w:t>
      </w:r>
      <w:r w:rsidRPr="002A622C">
        <w:rPr>
          <w:rFonts w:ascii="Verdana" w:hAnsi="Verdana" w:cs="Arial"/>
          <w:lang w:eastAsia="es-ES"/>
        </w:rPr>
        <w:t xml:space="preserve">Con todo, debe distinguirse el fraccionamiento de contrato de la división en lotes. El primero se encuentra prohibido, porque atenta contra el principio de selección objetiva; mientras que el segundo está permitido, con el propósito facilitar la segmentación de mercado y propiciar que varios contratistas ejecuten porciones puntales del objeto contractual. Sobre este último punto, el artículo 12.6 de la Ley 590 de 2000 –modificado por el artículo 33 de la Ley de Emprendimiento– dispone que “[…] Con el fin de promover el acceso de las MIPYMES al mercado de Compras Públicas, las Entidades Estatales indistintamente de su régimen de contratación, los patrimonios autónomos constituidos por Entidades Estatales y los particulares que ejecuten recursos públicos: […] 6. Promoverán la división del Proceso de Contratación en lotes o segmentos que faciliten la participación de las MIPYMES en el Proceso de Contratación [...]”. Por ello, el artículo 2.2.1.2.4.2.19 del Decreto 1082 de 2015 –adicionado por el artículo 8 del Decreto 142 de 2023– dispone lo siguiente: </w:t>
      </w:r>
    </w:p>
    <w:p w14:paraId="24D582C9" w14:textId="77777777" w:rsidR="002A622C" w:rsidRPr="002A622C" w:rsidRDefault="002A622C" w:rsidP="002A622C">
      <w:pPr>
        <w:spacing w:after="0" w:line="276" w:lineRule="auto"/>
        <w:jc w:val="both"/>
        <w:rPr>
          <w:rFonts w:ascii="Verdana" w:hAnsi="Verdana" w:cs="Arial"/>
          <w:lang w:eastAsia="es-ES"/>
        </w:rPr>
      </w:pPr>
    </w:p>
    <w:p w14:paraId="2E070DEC" w14:textId="77777777" w:rsidR="002A622C" w:rsidRPr="002A622C" w:rsidRDefault="002A622C" w:rsidP="002A622C">
      <w:pPr>
        <w:spacing w:after="0" w:line="276" w:lineRule="auto"/>
        <w:ind w:left="709" w:right="900"/>
        <w:jc w:val="both"/>
        <w:rPr>
          <w:rFonts w:ascii="Verdana" w:hAnsi="Verdana" w:cs="Arial"/>
          <w:sz w:val="21"/>
          <w:szCs w:val="21"/>
          <w:lang w:eastAsia="es-ES"/>
        </w:rPr>
      </w:pPr>
      <w:r w:rsidRPr="002A622C">
        <w:rPr>
          <w:rFonts w:ascii="Verdana" w:hAnsi="Verdana" w:cs="Arial"/>
          <w:sz w:val="21"/>
          <w:szCs w:val="21"/>
          <w:lang w:eastAsia="es-ES"/>
        </w:rPr>
        <w:t xml:space="preserve">“Las entidades estatales promoverán la división de procesos de contratación en lotes o segmentos que faciliten la participación de las Mipymes atendiendo a criterios tales como: i) el tipo de entregable, ii) el valor del contrato y iii) el ámbito geográfico de la entrega. Para el efecto: las entidades estatales deberán tener en cuenta el análisis del sector económico y de los oferentes en los términos establecidos en el artículo 2.2.1.1.1.6.1. de presente decreto. </w:t>
      </w:r>
    </w:p>
    <w:p w14:paraId="5B10D674" w14:textId="77777777" w:rsidR="002A622C" w:rsidRPr="002A622C" w:rsidRDefault="002A622C" w:rsidP="002A622C">
      <w:pPr>
        <w:spacing w:after="0" w:line="276" w:lineRule="auto"/>
        <w:ind w:left="709" w:right="900"/>
        <w:jc w:val="both"/>
        <w:rPr>
          <w:rFonts w:ascii="Verdana" w:hAnsi="Verdana" w:cs="Arial"/>
          <w:sz w:val="21"/>
          <w:szCs w:val="21"/>
          <w:lang w:eastAsia="es-ES"/>
        </w:rPr>
      </w:pPr>
    </w:p>
    <w:p w14:paraId="5FADD35A" w14:textId="77777777" w:rsidR="002A622C" w:rsidRPr="002A622C" w:rsidRDefault="002A622C" w:rsidP="002A622C">
      <w:pPr>
        <w:spacing w:after="0" w:line="276" w:lineRule="auto"/>
        <w:ind w:left="709" w:right="900"/>
        <w:jc w:val="both"/>
        <w:rPr>
          <w:rFonts w:ascii="Verdana" w:hAnsi="Verdana" w:cs="Arial"/>
          <w:sz w:val="21"/>
          <w:szCs w:val="21"/>
          <w:lang w:eastAsia="es-ES"/>
        </w:rPr>
      </w:pPr>
      <w:r w:rsidRPr="002A622C">
        <w:rPr>
          <w:rFonts w:ascii="Verdana" w:hAnsi="Verdana" w:cs="Arial"/>
          <w:sz w:val="21"/>
          <w:szCs w:val="21"/>
          <w:lang w:eastAsia="es-ES"/>
        </w:rPr>
        <w:t xml:space="preserve">Dentro de estas Mipymes se encuentran entre otras, las cooperativas de acuerdo con los requisitos del artículo 23 de la Ley 2069 de 2020 o las que se constituyan como entidades de economía solidaria de </w:t>
      </w:r>
      <w:r w:rsidRPr="002A622C">
        <w:rPr>
          <w:rFonts w:ascii="Verdana" w:hAnsi="Verdana" w:cs="Arial"/>
          <w:sz w:val="21"/>
          <w:szCs w:val="21"/>
          <w:lang w:eastAsia="es-ES"/>
        </w:rPr>
        <w:lastRenderedPageBreak/>
        <w:t xml:space="preserve">acuerdo con los requisitos del artículo 6° de la Ley 454 de 1998 o la norma que las modifique o sustituya. </w:t>
      </w:r>
    </w:p>
    <w:p w14:paraId="0B9B930C" w14:textId="77777777" w:rsidR="002A622C" w:rsidRPr="002A622C" w:rsidRDefault="002A622C" w:rsidP="002A622C">
      <w:pPr>
        <w:spacing w:after="0" w:line="276" w:lineRule="auto"/>
        <w:ind w:left="709" w:right="900"/>
        <w:jc w:val="both"/>
        <w:rPr>
          <w:rFonts w:ascii="Verdana" w:hAnsi="Verdana" w:cs="Arial"/>
          <w:sz w:val="21"/>
          <w:szCs w:val="21"/>
          <w:lang w:eastAsia="es-ES"/>
        </w:rPr>
      </w:pPr>
    </w:p>
    <w:p w14:paraId="2A91FB83" w14:textId="77777777" w:rsidR="002A622C" w:rsidRPr="002A622C" w:rsidRDefault="002A622C" w:rsidP="002A622C">
      <w:pPr>
        <w:spacing w:after="0" w:line="276" w:lineRule="auto"/>
        <w:ind w:left="709" w:right="900"/>
        <w:jc w:val="both"/>
        <w:rPr>
          <w:rFonts w:ascii="Verdana" w:hAnsi="Verdana" w:cs="Arial"/>
          <w:sz w:val="21"/>
          <w:szCs w:val="21"/>
          <w:lang w:eastAsia="es-ES"/>
        </w:rPr>
      </w:pPr>
      <w:r w:rsidRPr="002A622C">
        <w:rPr>
          <w:rFonts w:ascii="Verdana" w:hAnsi="Verdana" w:cs="Arial"/>
          <w:sz w:val="21"/>
          <w:szCs w:val="21"/>
          <w:lang w:eastAsia="es-ES"/>
        </w:rPr>
        <w:t xml:space="preserve">Las asociaciones conformadas por sujetos de especial protección constitucional, asociaciones de pequeños productores locales y productores locales agropecuarios cuyos sistemas productivos pertenezcan a la Agricultura Campesina, Familiar y Comunitaria podrán ser clasificadas como Mipymes en los términos previstos en el artículo 23 de la Ley 2069 de 2020, el artículo 2° de la Ley 590 de 2000 y por el Decreto número 957 de 2019 o las normas que los modifiquen. </w:t>
      </w:r>
    </w:p>
    <w:p w14:paraId="3C1AEFDD" w14:textId="77777777" w:rsidR="002A622C" w:rsidRPr="002A622C" w:rsidRDefault="002A622C" w:rsidP="002A622C">
      <w:pPr>
        <w:spacing w:after="0" w:line="276" w:lineRule="auto"/>
        <w:ind w:left="709" w:right="900"/>
        <w:jc w:val="both"/>
        <w:rPr>
          <w:rFonts w:ascii="Verdana" w:hAnsi="Verdana" w:cs="Arial"/>
          <w:sz w:val="21"/>
          <w:szCs w:val="21"/>
          <w:lang w:eastAsia="es-ES"/>
        </w:rPr>
      </w:pPr>
    </w:p>
    <w:p w14:paraId="3D6AA5EF" w14:textId="77777777" w:rsidR="002A622C" w:rsidRPr="002A622C" w:rsidRDefault="002A622C" w:rsidP="002A622C">
      <w:pPr>
        <w:spacing w:after="0" w:line="276" w:lineRule="auto"/>
        <w:ind w:left="709" w:right="900"/>
        <w:jc w:val="both"/>
        <w:rPr>
          <w:rFonts w:ascii="Verdana" w:hAnsi="Verdana" w:cs="Arial"/>
          <w:sz w:val="21"/>
          <w:szCs w:val="21"/>
          <w:lang w:eastAsia="es-ES"/>
        </w:rPr>
      </w:pPr>
      <w:r w:rsidRPr="002A622C">
        <w:rPr>
          <w:rFonts w:ascii="Verdana" w:hAnsi="Verdana" w:cs="Arial"/>
          <w:sz w:val="21"/>
          <w:szCs w:val="21"/>
          <w:lang w:eastAsia="es-ES"/>
        </w:rPr>
        <w:t xml:space="preserve">Las entidades estatales podrán incluir en el pliego de condiciones mecanismos o reglas que limiten el número de lotes que se adjudican a un mismo proponente, con el fin de evitar que se concentre la contratación, sobre la base de criterios objetivos y no discriminatorios. La decisión de no adjudicar un contrato en lotes o segmentos podrá obedecer entre otras razones, a que mediante este mecanismo se pueda restringir la competencia o que la segmentación del mercado pueda conducir a que la ejecución del contrato sea imposible desde el punto de vista técnico o económico. </w:t>
      </w:r>
    </w:p>
    <w:p w14:paraId="3072B037" w14:textId="77777777" w:rsidR="002A622C" w:rsidRPr="002A622C" w:rsidRDefault="002A622C" w:rsidP="002A622C">
      <w:pPr>
        <w:spacing w:after="0" w:line="276" w:lineRule="auto"/>
        <w:ind w:left="709" w:right="900"/>
        <w:jc w:val="both"/>
        <w:rPr>
          <w:rFonts w:ascii="Verdana" w:hAnsi="Verdana" w:cs="Arial"/>
          <w:sz w:val="21"/>
          <w:szCs w:val="21"/>
          <w:lang w:eastAsia="es-ES"/>
        </w:rPr>
      </w:pPr>
    </w:p>
    <w:p w14:paraId="3F6C9765" w14:textId="77777777" w:rsidR="002A622C" w:rsidRPr="002A622C" w:rsidRDefault="002A622C" w:rsidP="002A622C">
      <w:pPr>
        <w:spacing w:after="0" w:line="276" w:lineRule="auto"/>
        <w:ind w:left="709" w:right="900"/>
        <w:jc w:val="both"/>
        <w:rPr>
          <w:rFonts w:ascii="Verdana" w:hAnsi="Verdana" w:cs="Arial"/>
          <w:sz w:val="21"/>
          <w:szCs w:val="21"/>
          <w:lang w:eastAsia="es-ES"/>
        </w:rPr>
      </w:pPr>
      <w:r w:rsidRPr="002A622C">
        <w:rPr>
          <w:rFonts w:ascii="Verdana" w:hAnsi="Verdana" w:cs="Arial"/>
          <w:sz w:val="21"/>
          <w:szCs w:val="21"/>
          <w:lang w:eastAsia="es-ES"/>
        </w:rPr>
        <w:t>Parágrafo. En los Procesos de Contratación adelantados por lotes o grupos deberá aplicarse lo regulado en el artículo 2.2.1.2.4.2.2. del presente Decreto, tornando en consideración el valor del Proceso de Contratación imputable al respectivo lote en el que se solicite su aplicación. De igual manera será aplicable lo previsto en el artículo 2.2.1.2.4.2.3. a partir del lugar de ejecución del contrato asociado al respectivo lote o segmento”.</w:t>
      </w:r>
    </w:p>
    <w:p w14:paraId="43F8C1CD" w14:textId="77777777" w:rsidR="002A622C" w:rsidRPr="002A622C" w:rsidRDefault="002A622C" w:rsidP="002A622C">
      <w:pPr>
        <w:spacing w:after="0" w:line="276" w:lineRule="auto"/>
        <w:jc w:val="both"/>
        <w:rPr>
          <w:rFonts w:ascii="Verdana" w:hAnsi="Verdana" w:cs="Arial"/>
          <w:lang w:eastAsia="es-ES"/>
        </w:rPr>
      </w:pPr>
      <w:r w:rsidRPr="002A622C">
        <w:rPr>
          <w:rFonts w:ascii="Verdana" w:hAnsi="Verdana" w:cs="Arial"/>
          <w:lang w:eastAsia="es-ES"/>
        </w:rPr>
        <w:t xml:space="preserve"> </w:t>
      </w:r>
    </w:p>
    <w:p w14:paraId="64DB45C6" w14:textId="7D974CFB" w:rsidR="002A622C" w:rsidRPr="00301910" w:rsidRDefault="002A622C" w:rsidP="002A622C">
      <w:pPr>
        <w:spacing w:after="0" w:line="276" w:lineRule="auto"/>
        <w:jc w:val="both"/>
        <w:rPr>
          <w:rFonts w:ascii="Verdana" w:hAnsi="Verdana" w:cs="Arial"/>
          <w:lang w:eastAsia="es-ES"/>
        </w:rPr>
      </w:pPr>
      <w:r w:rsidRPr="002A622C">
        <w:rPr>
          <w:rFonts w:ascii="Verdana" w:hAnsi="Verdana" w:cs="Arial"/>
          <w:lang w:eastAsia="es-ES"/>
        </w:rPr>
        <w:tab/>
        <w:t>Aunque la división en lotes despliega sus efectos en contratos cuantiosos, la norma no distingue entre modalidades de selección. Por tanto, las entidades estatales pueden evaluar la posibilidad económica o técnica de lotear. En esta hipótesis, la sumatoria de los negocios jurídicos suscritos con cada contratista determina el procedimiento aplicable</w:t>
      </w:r>
      <w:r w:rsidR="00B36A13">
        <w:rPr>
          <w:rStyle w:val="Refdenotaalpie"/>
          <w:rFonts w:ascii="Verdana" w:hAnsi="Verdana" w:cs="Arial"/>
          <w:lang w:eastAsia="es-ES"/>
        </w:rPr>
        <w:footnoteReference w:id="9"/>
      </w:r>
      <w:r w:rsidRPr="002A622C">
        <w:rPr>
          <w:rFonts w:ascii="Verdana" w:hAnsi="Verdana" w:cs="Arial"/>
          <w:lang w:eastAsia="es-ES"/>
        </w:rPr>
        <w:t xml:space="preserve"> . En otras palabras, como la división en </w:t>
      </w:r>
      <w:r w:rsidRPr="002A622C">
        <w:rPr>
          <w:rFonts w:ascii="Verdana" w:hAnsi="Verdana" w:cs="Arial"/>
          <w:lang w:eastAsia="es-ES"/>
        </w:rPr>
        <w:lastRenderedPageBreak/>
        <w:t>lotes no tiene el objetivo de eludir procedimientos de selección, éste no es un caso de fraccionamiento de contrato. Dentro de este marco, corresponde a la entidad contratante establecer las reglas para la adjudicación de cada lote en los documentos del proceso, así como de verificar si –en función de su alcance– tienen los mismos criterios habilitantes y factores de evaluación.</w:t>
      </w:r>
    </w:p>
    <w:p w14:paraId="299278EE" w14:textId="77777777" w:rsidR="00151715" w:rsidRPr="00182C89" w:rsidRDefault="00151715" w:rsidP="00151715">
      <w:pPr>
        <w:tabs>
          <w:tab w:val="left" w:pos="709"/>
        </w:tabs>
        <w:spacing w:after="0" w:line="276" w:lineRule="auto"/>
        <w:jc w:val="both"/>
        <w:rPr>
          <w:rFonts w:ascii="Verdana" w:eastAsia="Calibri" w:hAnsi="Verdana" w:cs="Arial"/>
          <w:color w:val="000000" w:themeColor="text1"/>
        </w:rPr>
      </w:pPr>
    </w:p>
    <w:p w14:paraId="56963306" w14:textId="7A30902D" w:rsidR="00650CC1" w:rsidRPr="008713CA" w:rsidRDefault="00650CC1" w:rsidP="008713CA">
      <w:pPr>
        <w:pStyle w:val="Prrafodelista"/>
        <w:numPr>
          <w:ilvl w:val="0"/>
          <w:numId w:val="16"/>
        </w:numPr>
        <w:ind w:left="284"/>
        <w:rPr>
          <w:rFonts w:ascii="Verdana" w:eastAsia="Century Gothic" w:hAnsi="Verdana" w:cs="Century Gothic"/>
          <w:b/>
          <w:bCs/>
        </w:rPr>
      </w:pPr>
      <w:r w:rsidRPr="008713CA">
        <w:rPr>
          <w:rFonts w:ascii="Verdana" w:eastAsia="Century Gothic" w:hAnsi="Verdana" w:cs="Century Gothic"/>
          <w:b/>
          <w:bCs/>
        </w:rPr>
        <w:t>Referencias normativas, jurisprudenciales y otras fuentes:</w:t>
      </w:r>
    </w:p>
    <w:p w14:paraId="78EF20EF" w14:textId="77777777" w:rsidR="00151715" w:rsidRPr="00593A5F" w:rsidRDefault="00151715" w:rsidP="0015171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51715" w:rsidRPr="002407CE" w14:paraId="5F308321" w14:textId="77777777" w:rsidTr="004913FE">
        <w:trPr>
          <w:trHeight w:val="870"/>
          <w:jc w:val="center"/>
        </w:trPr>
        <w:tc>
          <w:tcPr>
            <w:tcW w:w="8647" w:type="dxa"/>
          </w:tcPr>
          <w:p w14:paraId="08CF60D9" w14:textId="77777777" w:rsidR="00151715" w:rsidRDefault="00151715"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313 y 355.</w:t>
            </w:r>
          </w:p>
          <w:p w14:paraId="16C3073A" w14:textId="77777777" w:rsidR="00151715" w:rsidRDefault="00151715"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1333 de 1986, artículo 167.</w:t>
            </w:r>
          </w:p>
          <w:p w14:paraId="52F8FDDB" w14:textId="77777777" w:rsidR="00151715" w:rsidRDefault="00151715"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9 de 1989, artículo 38.</w:t>
            </w:r>
          </w:p>
          <w:p w14:paraId="352FA6D5" w14:textId="63357544" w:rsidR="00151715" w:rsidRDefault="00151715"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Ley 80 de 1993, </w:t>
            </w:r>
            <w:r w:rsidR="00B36A13" w:rsidRPr="00B36A13">
              <w:rPr>
                <w:rFonts w:ascii="Verdana" w:hAnsi="Verdana" w:cs="Arial"/>
              </w:rPr>
              <w:t>artículos 3°, 25 y 32</w:t>
            </w:r>
          </w:p>
          <w:p w14:paraId="001FFEEB" w14:textId="77777777" w:rsidR="00151715" w:rsidRPr="00BD0B8C" w:rsidRDefault="00151715"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136 de 1994, artículo 32.</w:t>
            </w:r>
          </w:p>
          <w:p w14:paraId="66832010" w14:textId="77777777" w:rsidR="00151715" w:rsidRDefault="00151715"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Ley 489 de 1998, artículo 96. </w:t>
            </w:r>
          </w:p>
          <w:p w14:paraId="38E51626" w14:textId="71BC7C89" w:rsidR="00B36A13" w:rsidRDefault="00B36A13" w:rsidP="0015171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B36A13">
              <w:rPr>
                <w:rFonts w:ascii="Verdana" w:hAnsi="Verdana" w:cs="Arial"/>
              </w:rPr>
              <w:t>Ley 590 de 2000, artículo 12, numeral 6°</w:t>
            </w:r>
          </w:p>
          <w:p w14:paraId="14C18C18" w14:textId="77777777" w:rsidR="00151715" w:rsidRDefault="00151715" w:rsidP="0015171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Código Civil, artículos </w:t>
            </w:r>
            <w:r w:rsidRPr="00222802">
              <w:rPr>
                <w:rFonts w:ascii="Verdana" w:eastAsia="Calibri" w:hAnsi="Verdana" w:cs="Arial"/>
                <w:bCs/>
                <w:color w:val="000000" w:themeColor="text1"/>
              </w:rPr>
              <w:t>2200 al 2220</w:t>
            </w:r>
            <w:r>
              <w:rPr>
                <w:rFonts w:ascii="Verdana" w:hAnsi="Verdana" w:cs="Arial"/>
              </w:rPr>
              <w:t>.</w:t>
            </w:r>
          </w:p>
          <w:p w14:paraId="51B2757A" w14:textId="4DB95249" w:rsidR="008713CA" w:rsidRPr="00B36A13" w:rsidRDefault="008713CA" w:rsidP="0015171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FF3433">
              <w:rPr>
                <w:rFonts w:ascii="Verdana" w:hAnsi="Verdana" w:cs="Arial"/>
                <w:color w:val="000000" w:themeColor="text1"/>
              </w:rPr>
              <w:t>Ley 1150 de 2007</w:t>
            </w:r>
            <w:r w:rsidR="00B36A13">
              <w:rPr>
                <w:rFonts w:ascii="Verdana" w:hAnsi="Verdana" w:cs="Arial"/>
                <w:color w:val="000000" w:themeColor="text1"/>
              </w:rPr>
              <w:t xml:space="preserve">, </w:t>
            </w:r>
            <w:r w:rsidRPr="00FF3433">
              <w:rPr>
                <w:rFonts w:ascii="Verdana" w:hAnsi="Verdana" w:cs="Arial"/>
                <w:color w:val="000000" w:themeColor="text1"/>
              </w:rPr>
              <w:t>artículo 2°</w:t>
            </w:r>
            <w:r>
              <w:rPr>
                <w:rFonts w:ascii="Verdana" w:hAnsi="Verdana" w:cs="Arial"/>
                <w:color w:val="000000" w:themeColor="text1"/>
              </w:rPr>
              <w:t xml:space="preserve">. </w:t>
            </w:r>
          </w:p>
          <w:p w14:paraId="531966D0" w14:textId="3BF87DAA" w:rsidR="00B36A13" w:rsidRPr="008713CA" w:rsidRDefault="00B36A13" w:rsidP="0015171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B36A13">
              <w:rPr>
                <w:rFonts w:ascii="Verdana" w:hAnsi="Verdana" w:cs="Arial"/>
              </w:rPr>
              <w:t>Ley 1437 de 2011, artículo 28</w:t>
            </w:r>
          </w:p>
          <w:p w14:paraId="226B7278" w14:textId="40F69C95" w:rsidR="008713CA" w:rsidRPr="008713CA" w:rsidRDefault="008713CA" w:rsidP="0015171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FF3433">
              <w:rPr>
                <w:rFonts w:ascii="Verdana" w:hAnsi="Verdana" w:cs="Arial"/>
                <w:color w:val="000000" w:themeColor="text1"/>
              </w:rPr>
              <w:t>Decreto 1082 de 2015</w:t>
            </w:r>
            <w:r>
              <w:rPr>
                <w:rFonts w:ascii="Verdana" w:hAnsi="Verdana" w:cs="Arial"/>
                <w:color w:val="000000" w:themeColor="text1"/>
              </w:rPr>
              <w:t>,</w:t>
            </w:r>
            <w:r w:rsidR="00B36A13">
              <w:rPr>
                <w:rFonts w:ascii="Verdana" w:hAnsi="Verdana" w:cs="Arial"/>
                <w:color w:val="000000" w:themeColor="text1"/>
              </w:rPr>
              <w:t xml:space="preserve"> </w:t>
            </w:r>
            <w:r w:rsidR="00B36A13" w:rsidRPr="00B36A13">
              <w:rPr>
                <w:rFonts w:ascii="Verdana" w:hAnsi="Verdana" w:cs="Arial"/>
                <w:color w:val="000000" w:themeColor="text1"/>
              </w:rPr>
              <w:t>artículos 2.2.1.1.1.4.1, 2.2.1.1.1.6.1, 2.2.1.1.2.1.1 y 2.2.1.2.4.2.19</w:t>
            </w:r>
          </w:p>
          <w:p w14:paraId="3A3FBC21" w14:textId="77777777" w:rsidR="008713CA" w:rsidRPr="00B36A13" w:rsidRDefault="008713CA" w:rsidP="0015171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EE030F">
              <w:rPr>
                <w:rFonts w:ascii="Verdana" w:eastAsia="Times New Roman" w:hAnsi="Verdana" w:cs="Arial"/>
                <w:color w:val="000000"/>
                <w:lang w:val="es-ES_tradnl" w:eastAsia="es-ES_tradnl"/>
              </w:rPr>
              <w:t>Decreto 092 de 2017</w:t>
            </w:r>
          </w:p>
          <w:p w14:paraId="4F71E379" w14:textId="403E767C" w:rsidR="00B36A13" w:rsidRPr="00C02F8B" w:rsidRDefault="00B36A13" w:rsidP="0015171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B36A13">
              <w:rPr>
                <w:rFonts w:ascii="Verdana" w:hAnsi="Verdana" w:cs="Arial"/>
              </w:rPr>
              <w:t>Decreto 142 de 2023</w:t>
            </w:r>
            <w:r>
              <w:rPr>
                <w:rFonts w:ascii="Verdana" w:hAnsi="Verdana" w:cs="Arial"/>
              </w:rPr>
              <w:t>, r</w:t>
            </w:r>
            <w:r w:rsidRPr="00B36A13">
              <w:rPr>
                <w:rFonts w:ascii="Verdana" w:hAnsi="Verdana" w:cs="Arial"/>
              </w:rPr>
              <w:t>eglamentación del numeral 6 del artículo 33 de la Ley 2069 de 2020; incorporación del artículo 2.2.1.2.4.2.19 al Decreto 1082 de 2015</w:t>
            </w:r>
          </w:p>
        </w:tc>
      </w:tr>
    </w:tbl>
    <w:p w14:paraId="63237196" w14:textId="77777777" w:rsidR="00151715" w:rsidRPr="002407CE" w:rsidRDefault="00151715" w:rsidP="00151715">
      <w:pPr>
        <w:widowControl w:val="0"/>
        <w:autoSpaceDE w:val="0"/>
        <w:autoSpaceDN w:val="0"/>
        <w:spacing w:after="0" w:line="276" w:lineRule="auto"/>
        <w:jc w:val="both"/>
        <w:rPr>
          <w:rFonts w:ascii="Verdana" w:hAnsi="Verdana" w:cs="Arial"/>
        </w:rPr>
      </w:pPr>
    </w:p>
    <w:p w14:paraId="61C97735" w14:textId="77777777" w:rsidR="00151715" w:rsidRPr="00593A5F" w:rsidRDefault="00151715" w:rsidP="0015171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08EF25CB" w14:textId="77777777" w:rsidR="00151715" w:rsidRPr="00593A5F" w:rsidRDefault="00151715" w:rsidP="00151715">
      <w:pPr>
        <w:widowControl w:val="0"/>
        <w:autoSpaceDE w:val="0"/>
        <w:autoSpaceDN w:val="0"/>
        <w:spacing w:after="0" w:line="276" w:lineRule="auto"/>
        <w:jc w:val="both"/>
        <w:rPr>
          <w:rFonts w:ascii="Verdana" w:hAnsi="Verdana" w:cs="Arial"/>
        </w:rPr>
      </w:pPr>
    </w:p>
    <w:p w14:paraId="674CB43C" w14:textId="693F6CCD" w:rsidR="008713CA" w:rsidRPr="007C2929" w:rsidRDefault="008713CA" w:rsidP="008713CA">
      <w:pPr>
        <w:widowControl w:val="0"/>
        <w:autoSpaceDE w:val="0"/>
        <w:autoSpaceDN w:val="0"/>
        <w:spacing w:after="0" w:line="276" w:lineRule="auto"/>
        <w:jc w:val="both"/>
        <w:rPr>
          <w:rFonts w:ascii="Verdana" w:hAnsi="Verdana" w:cs="Arial"/>
          <w:color w:val="000000" w:themeColor="text1"/>
          <w:shd w:val="clear" w:color="auto" w:fill="FFFFFF"/>
        </w:rPr>
      </w:pPr>
      <w:r w:rsidRPr="007C2929">
        <w:rPr>
          <w:rFonts w:ascii="Verdana" w:hAnsi="Verdana" w:cs="Arial"/>
          <w:shd w:val="clear" w:color="auto" w:fill="FFFFFF"/>
        </w:rPr>
        <w:t>La Agencia Nacional de Contratación Pública – Colombia Compra Eficiente se ha referido al</w:t>
      </w:r>
      <w:r w:rsidR="00151715" w:rsidRPr="007C2929">
        <w:rPr>
          <w:rFonts w:ascii="Verdana" w:hAnsi="Verdana" w:cs="Arial"/>
          <w:shd w:val="clear" w:color="auto" w:fill="FFFFFF"/>
        </w:rPr>
        <w:t xml:space="preserve"> contrato de comodato en los Conceptos </w:t>
      </w:r>
      <w:r w:rsidR="00151715" w:rsidRPr="007C2929">
        <w:rPr>
          <w:rFonts w:ascii="Verdana" w:eastAsia="Calibri" w:hAnsi="Verdana" w:cs="Arial"/>
          <w:bCs/>
          <w:color w:val="000000" w:themeColor="text1"/>
        </w:rPr>
        <w:t>415140000909 de 2015,</w:t>
      </w:r>
      <w:r w:rsidR="00151715" w:rsidRPr="007C2929">
        <w:rPr>
          <w:rFonts w:ascii="Verdana" w:hAnsi="Verdana" w:cs="Arial"/>
          <w:shd w:val="clear" w:color="auto" w:fill="FFFFFF"/>
        </w:rPr>
        <w:t xml:space="preserve"> C-014 del 24 de marzo de 2020, C-012 del 18 de febrero de 2022, C-799 del 12 de diciembre de 2022, C-161 del 6 de junio de 2023 y C-270 del 12 de julio de 2023</w:t>
      </w:r>
      <w:r w:rsidRPr="007C2929">
        <w:rPr>
          <w:rFonts w:ascii="Verdana" w:hAnsi="Verdana" w:cs="Arial"/>
          <w:shd w:val="clear" w:color="auto" w:fill="FFFFFF"/>
        </w:rPr>
        <w:t xml:space="preserve">, Concepto C – 685 de 14 de noviembre de 2024, Concepto C- 858 de 12 </w:t>
      </w:r>
      <w:r w:rsidRPr="007C2929">
        <w:rPr>
          <w:rFonts w:ascii="Verdana" w:hAnsi="Verdana" w:cs="Arial"/>
          <w:shd w:val="clear" w:color="auto" w:fill="FFFFFF"/>
        </w:rPr>
        <w:lastRenderedPageBreak/>
        <w:t>de diciembre de 2024,</w:t>
      </w:r>
      <w:r w:rsidR="007C2929" w:rsidRPr="007C2929">
        <w:rPr>
          <w:rFonts w:ascii="Verdana" w:eastAsia="Times New Roman" w:hAnsi="Verdana" w:cs="Times New Roman"/>
          <w:b/>
          <w:bCs/>
          <w:lang w:eastAsia="es-MX"/>
        </w:rPr>
        <w:t xml:space="preserve"> C-122 de 2024</w:t>
      </w:r>
      <w:r w:rsidR="007C2929" w:rsidRPr="007C2929">
        <w:rPr>
          <w:rFonts w:ascii="Verdana" w:eastAsia="Times New Roman" w:hAnsi="Verdana" w:cs="Times New Roman"/>
          <w:lang w:eastAsia="es-MX"/>
        </w:rPr>
        <w:t xml:space="preserve">, </w:t>
      </w:r>
      <w:r w:rsidR="007C2929" w:rsidRPr="007C2929">
        <w:rPr>
          <w:rFonts w:ascii="Verdana" w:hAnsi="Verdana"/>
        </w:rPr>
        <w:t xml:space="preserve"> C-124 de 2024, </w:t>
      </w:r>
      <w:r w:rsidR="007C2929" w:rsidRPr="007C2929">
        <w:rPr>
          <w:rFonts w:ascii="Verdana" w:eastAsia="Times New Roman" w:hAnsi="Verdana" w:cs="Times New Roman"/>
          <w:b/>
          <w:bCs/>
          <w:lang w:eastAsia="es-MX"/>
        </w:rPr>
        <w:t>C-221 de 2024</w:t>
      </w:r>
      <w:r w:rsidR="007C2929" w:rsidRPr="007C2929">
        <w:rPr>
          <w:rFonts w:ascii="Verdana" w:eastAsia="Times New Roman" w:hAnsi="Verdana" w:cs="Times New Roman"/>
          <w:lang w:eastAsia="es-MX"/>
        </w:rPr>
        <w:t xml:space="preserve">, </w:t>
      </w:r>
      <w:r w:rsidR="007C2929" w:rsidRPr="007C2929">
        <w:rPr>
          <w:rFonts w:ascii="Verdana" w:hAnsi="Verdana"/>
        </w:rPr>
        <w:t xml:space="preserve"> </w:t>
      </w:r>
      <w:r w:rsidR="007C2929" w:rsidRPr="007C2929">
        <w:rPr>
          <w:rFonts w:ascii="Verdana" w:hAnsi="Verdana" w:cs="Arial"/>
          <w:shd w:val="clear" w:color="auto" w:fill="FFFFFF"/>
        </w:rPr>
        <w:t xml:space="preserve">C-239 de 2024, </w:t>
      </w:r>
      <w:r w:rsidR="007C2929" w:rsidRPr="007C2929">
        <w:rPr>
          <w:rFonts w:ascii="Verdana" w:eastAsia="Times New Roman" w:hAnsi="Verdana" w:cs="Times New Roman"/>
          <w:b/>
          <w:bCs/>
          <w:lang w:eastAsia="es-MX"/>
        </w:rPr>
        <w:t>C-183 de 2025</w:t>
      </w:r>
      <w:r w:rsidR="007C2929" w:rsidRPr="007C2929">
        <w:rPr>
          <w:rFonts w:ascii="Verdana" w:eastAsia="Times New Roman" w:hAnsi="Verdana" w:cs="Times New Roman"/>
          <w:lang w:eastAsia="es-MX"/>
        </w:rPr>
        <w:t xml:space="preserve">, </w:t>
      </w:r>
      <w:r w:rsidR="007C2929" w:rsidRPr="007C2929">
        <w:rPr>
          <w:rFonts w:ascii="Verdana" w:hAnsi="Verdana" w:cs="Arial"/>
          <w:shd w:val="clear" w:color="auto" w:fill="FFFFFF"/>
        </w:rPr>
        <w:t xml:space="preserve">Concepto C-299 de 2025, Concepto C-237 de 2025, </w:t>
      </w:r>
      <w:r w:rsidR="007C2929" w:rsidRPr="007C2929">
        <w:rPr>
          <w:rFonts w:ascii="Verdana" w:eastAsia="Times New Roman" w:hAnsi="Verdana" w:cs="Times New Roman"/>
          <w:b/>
          <w:bCs/>
          <w:lang w:eastAsia="es-MX"/>
        </w:rPr>
        <w:t>C-305 de 2025</w:t>
      </w:r>
      <w:r w:rsidR="007C2929" w:rsidRPr="007C2929">
        <w:rPr>
          <w:rFonts w:ascii="Verdana" w:eastAsia="Times New Roman" w:hAnsi="Verdana" w:cs="Times New Roman"/>
          <w:lang w:eastAsia="es-MX"/>
        </w:rPr>
        <w:t xml:space="preserve">, </w:t>
      </w:r>
      <w:r w:rsidR="007C2929" w:rsidRPr="007C2929">
        <w:rPr>
          <w:rFonts w:ascii="Verdana" w:eastAsia="Times New Roman" w:hAnsi="Verdana" w:cs="Times New Roman"/>
          <w:b/>
          <w:bCs/>
          <w:lang w:eastAsia="es-MX"/>
        </w:rPr>
        <w:t>C-1450 de 2025</w:t>
      </w:r>
      <w:r w:rsidR="007C2929" w:rsidRPr="007C2929">
        <w:rPr>
          <w:rFonts w:ascii="Verdana" w:eastAsia="Times New Roman" w:hAnsi="Verdana" w:cs="Times New Roman"/>
          <w:lang w:eastAsia="es-MX"/>
        </w:rPr>
        <w:t xml:space="preserve">, </w:t>
      </w:r>
      <w:r w:rsidRPr="007C2929">
        <w:rPr>
          <w:rFonts w:ascii="Verdana" w:hAnsi="Verdana" w:cs="Arial"/>
          <w:shd w:val="clear" w:color="auto" w:fill="FFFFFF"/>
        </w:rPr>
        <w:t>Concepto C-257 de 10 de marzo 2026, Concepto C-439 de 29 de abril de 2026, Concepto C-364 de 21 de abril 2026 y Concepto C- 393 de 15 de abril de 2026, entre otros</w:t>
      </w:r>
      <w:r w:rsidR="00151715" w:rsidRPr="007C2929">
        <w:rPr>
          <w:rFonts w:ascii="Verdana" w:hAnsi="Verdana" w:cs="Arial"/>
          <w:shd w:val="clear" w:color="auto" w:fill="FFFFFF"/>
        </w:rPr>
        <w:t xml:space="preserve">. </w:t>
      </w:r>
      <w:r w:rsidRPr="007C2929">
        <w:rPr>
          <w:rFonts w:ascii="Verdana" w:eastAsia="Calibri" w:hAnsi="Verdana" w:cs="Times New Roman"/>
        </w:rPr>
        <w:t>Estos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4AB5C29" w14:textId="77777777" w:rsidR="008713CA" w:rsidRPr="0065720B" w:rsidRDefault="008713CA" w:rsidP="008713CA">
      <w:pPr>
        <w:widowControl w:val="0"/>
        <w:autoSpaceDE w:val="0"/>
        <w:autoSpaceDN w:val="0"/>
        <w:spacing w:after="0" w:line="276" w:lineRule="auto"/>
        <w:jc w:val="both"/>
        <w:rPr>
          <w:rStyle w:val="normaltextrun"/>
          <w:rFonts w:ascii="Verdana" w:eastAsia="Calibri" w:hAnsi="Verdana" w:cs="Arial"/>
          <w:lang w:val="es-ES_tradnl" w:eastAsia="en-GB"/>
        </w:rPr>
      </w:pPr>
      <w:hyperlink r:id="rId13" w:history="1">
        <w:r w:rsidRPr="00191357">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w:t>
      </w:r>
    </w:p>
    <w:p w14:paraId="3CFB35C3" w14:textId="77777777" w:rsidR="008713CA" w:rsidRDefault="008713CA" w:rsidP="008713CA">
      <w:pPr>
        <w:widowControl w:val="0"/>
        <w:autoSpaceDE w:val="0"/>
        <w:autoSpaceDN w:val="0"/>
        <w:spacing w:after="0" w:line="276" w:lineRule="auto"/>
        <w:jc w:val="both"/>
        <w:rPr>
          <w:rFonts w:ascii="Verdana" w:hAnsi="Verdana" w:cs="Arial"/>
          <w:color w:val="000000" w:themeColor="text1"/>
          <w:shd w:val="clear" w:color="auto" w:fill="FFFFFF"/>
        </w:rPr>
      </w:pPr>
    </w:p>
    <w:p w14:paraId="0C4A3B68" w14:textId="77777777" w:rsidR="008713CA" w:rsidRPr="009A385A" w:rsidRDefault="008713CA" w:rsidP="008713CA">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16D5B5CA" w14:textId="77777777" w:rsidR="008713CA" w:rsidRDefault="008713CA" w:rsidP="008713CA">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1FABB1EB" w14:textId="77777777" w:rsidR="008713CA" w:rsidRDefault="008713CA" w:rsidP="008713CA">
      <w:pPr>
        <w:widowControl w:val="0"/>
        <w:autoSpaceDE w:val="0"/>
        <w:autoSpaceDN w:val="0"/>
        <w:spacing w:after="0" w:line="276" w:lineRule="auto"/>
        <w:jc w:val="both"/>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8D54C4E" w14:textId="77777777" w:rsidR="008713CA" w:rsidRDefault="008713CA" w:rsidP="008713CA">
      <w:pPr>
        <w:widowControl w:val="0"/>
        <w:autoSpaceDE w:val="0"/>
        <w:autoSpaceDN w:val="0"/>
        <w:spacing w:after="0" w:line="276" w:lineRule="auto"/>
        <w:jc w:val="both"/>
      </w:pPr>
    </w:p>
    <w:p w14:paraId="49DD0E33" w14:textId="77777777" w:rsidR="008713CA" w:rsidRPr="0027034B" w:rsidRDefault="008713CA" w:rsidP="008713CA">
      <w:pPr>
        <w:spacing w:after="0" w:line="276" w:lineRule="auto"/>
        <w:jc w:val="both"/>
        <w:rPr>
          <w:rFonts w:ascii="Verdana" w:eastAsia="Calibri" w:hAnsi="Verdana" w:cs="Times New Roman"/>
        </w:rPr>
      </w:pPr>
      <w:r w:rsidRPr="0027034B">
        <w:rPr>
          <w:rFonts w:ascii="Verdana" w:eastAsia="Calibri" w:hAnsi="Verdana" w:cs="Times New Roman"/>
        </w:rPr>
        <w:t xml:space="preserve">Por último, lo invitamos a seguirnos en las redes sociales en las cuales se difunde información institucional: </w:t>
      </w:r>
    </w:p>
    <w:p w14:paraId="40768767" w14:textId="77777777" w:rsidR="008713CA" w:rsidRPr="0027034B" w:rsidRDefault="008713CA" w:rsidP="008713CA">
      <w:pPr>
        <w:spacing w:after="0" w:line="276" w:lineRule="auto"/>
        <w:jc w:val="both"/>
        <w:rPr>
          <w:rFonts w:ascii="Verdana" w:eastAsia="Calibri" w:hAnsi="Verdana" w:cs="Times New Roman"/>
        </w:rPr>
      </w:pPr>
    </w:p>
    <w:p w14:paraId="1E356232" w14:textId="77777777" w:rsidR="008713CA" w:rsidRPr="0027034B" w:rsidRDefault="008713CA" w:rsidP="008713CA">
      <w:pPr>
        <w:spacing w:after="0" w:line="276" w:lineRule="auto"/>
        <w:jc w:val="both"/>
        <w:rPr>
          <w:rFonts w:ascii="Verdana" w:eastAsia="Calibri" w:hAnsi="Verdana" w:cs="Times New Roman"/>
        </w:rPr>
      </w:pPr>
      <w:r w:rsidRPr="0027034B">
        <w:rPr>
          <w:rFonts w:ascii="Verdana" w:eastAsia="Calibri" w:hAnsi="Verdana" w:cs="Times New Roman"/>
        </w:rPr>
        <w:t xml:space="preserve">Twitter: </w:t>
      </w:r>
      <w:r w:rsidRPr="0027034B">
        <w:rPr>
          <w:rFonts w:ascii="Verdana" w:eastAsia="Calibri" w:hAnsi="Verdana" w:cs="Times New Roman"/>
          <w:u w:val="single"/>
        </w:rPr>
        <w:t>@colombiacompra</w:t>
      </w:r>
      <w:r w:rsidRPr="0027034B">
        <w:rPr>
          <w:rFonts w:ascii="Verdana" w:eastAsia="Calibri" w:hAnsi="Verdana" w:cs="Times New Roman"/>
        </w:rPr>
        <w:t xml:space="preserve"> </w:t>
      </w:r>
    </w:p>
    <w:p w14:paraId="0104E199" w14:textId="77777777" w:rsidR="008713CA" w:rsidRPr="0027034B" w:rsidRDefault="008713CA" w:rsidP="008713CA">
      <w:pPr>
        <w:spacing w:after="0" w:line="276" w:lineRule="auto"/>
        <w:jc w:val="both"/>
        <w:rPr>
          <w:rFonts w:ascii="Verdana" w:eastAsia="Calibri" w:hAnsi="Verdana" w:cs="Times New Roman"/>
        </w:rPr>
      </w:pPr>
      <w:r w:rsidRPr="0027034B">
        <w:rPr>
          <w:rFonts w:ascii="Verdana" w:eastAsia="Calibri" w:hAnsi="Verdana" w:cs="Times New Roman"/>
        </w:rPr>
        <w:t xml:space="preserve">Facebook: </w:t>
      </w:r>
      <w:r w:rsidRPr="0027034B">
        <w:rPr>
          <w:rFonts w:ascii="Verdana" w:eastAsia="Calibri" w:hAnsi="Verdana" w:cs="Times New Roman"/>
          <w:u w:val="single"/>
        </w:rPr>
        <w:t>ColombiaCompraEficiente</w:t>
      </w:r>
    </w:p>
    <w:p w14:paraId="334F5E5C" w14:textId="77777777" w:rsidR="008713CA" w:rsidRPr="0027034B" w:rsidRDefault="008713CA" w:rsidP="008713CA">
      <w:pPr>
        <w:spacing w:after="0" w:line="276" w:lineRule="auto"/>
        <w:jc w:val="both"/>
        <w:rPr>
          <w:rFonts w:ascii="Verdana" w:eastAsia="Calibri" w:hAnsi="Verdana" w:cs="Times New Roman"/>
        </w:rPr>
      </w:pPr>
      <w:r w:rsidRPr="0027034B">
        <w:rPr>
          <w:rFonts w:ascii="Verdana" w:eastAsia="Calibri" w:hAnsi="Verdana" w:cs="Times New Roman"/>
        </w:rPr>
        <w:t xml:space="preserve">LinkedIn: </w:t>
      </w:r>
      <w:r w:rsidRPr="0027034B">
        <w:rPr>
          <w:rFonts w:ascii="Verdana" w:eastAsia="Calibri" w:hAnsi="Verdana" w:cs="Times New Roman"/>
          <w:u w:val="single"/>
        </w:rPr>
        <w:t>Agencia Nacional de Contratación Pública - Colombia Compra Eficiente</w:t>
      </w:r>
      <w:r w:rsidRPr="0027034B">
        <w:rPr>
          <w:rFonts w:ascii="Verdana" w:eastAsia="Calibri" w:hAnsi="Verdana" w:cs="Times New Roman"/>
        </w:rPr>
        <w:t xml:space="preserve"> Instagram: </w:t>
      </w:r>
      <w:r w:rsidRPr="0027034B">
        <w:rPr>
          <w:rFonts w:ascii="Verdana" w:eastAsia="Calibri" w:hAnsi="Verdana" w:cs="Times New Roman"/>
          <w:u w:val="single"/>
        </w:rPr>
        <w:t>@colombiacompraeficiente_cce</w:t>
      </w:r>
    </w:p>
    <w:p w14:paraId="06E3B69C" w14:textId="77777777" w:rsidR="008713CA" w:rsidRPr="00103B90" w:rsidRDefault="008713CA" w:rsidP="008713CA">
      <w:pPr>
        <w:widowControl w:val="0"/>
        <w:autoSpaceDE w:val="0"/>
        <w:autoSpaceDN w:val="0"/>
        <w:spacing w:after="0" w:line="276" w:lineRule="auto"/>
        <w:jc w:val="both"/>
        <w:rPr>
          <w:rFonts w:ascii="Verdana" w:hAnsi="Verdana"/>
        </w:rPr>
      </w:pPr>
    </w:p>
    <w:p w14:paraId="68E12CB7" w14:textId="77777777" w:rsidR="008713CA" w:rsidRPr="00505CD6" w:rsidRDefault="008713CA" w:rsidP="008713CA">
      <w:pPr>
        <w:widowControl w:val="0"/>
        <w:autoSpaceDE w:val="0"/>
        <w:autoSpaceDN w:val="0"/>
        <w:spacing w:after="0" w:line="276" w:lineRule="auto"/>
        <w:jc w:val="both"/>
        <w:rPr>
          <w:rFonts w:ascii="Verdana" w:hAnsi="Verdana" w:cs="Arial"/>
          <w:lang w:val="es-ES_tradnl"/>
        </w:rPr>
      </w:pPr>
      <w:r w:rsidRPr="00505CD6">
        <w:rPr>
          <w:rFonts w:ascii="Verdana" w:hAnsi="Verdana" w:cs="Arial"/>
        </w:rPr>
        <w:t xml:space="preserve">Este concepto tiene el alcance previsto en el artículo 28 del Código de Procedimiento Administrativo y de lo Contencioso Administrativo </w:t>
      </w:r>
      <w:r w:rsidRPr="00505CD6">
        <w:rPr>
          <w:rFonts w:ascii="Verdana" w:hAnsi="Verdana" w:cs="Arial"/>
          <w:lang w:val="es-ES_tradnl"/>
        </w:rPr>
        <w:t>y las expresiones aquí utilizadas con mayúscula inicial deben ser entendidas con el significado que les otorga el artículo 2.2.1.1.1.3.1. del Decreto 1082 de 2015.</w:t>
      </w:r>
    </w:p>
    <w:p w14:paraId="217D46DB" w14:textId="77777777" w:rsidR="008713CA" w:rsidRPr="00505CD6" w:rsidRDefault="008713CA" w:rsidP="008713CA">
      <w:pPr>
        <w:widowControl w:val="0"/>
        <w:autoSpaceDE w:val="0"/>
        <w:autoSpaceDN w:val="0"/>
        <w:spacing w:after="0" w:line="276" w:lineRule="auto"/>
        <w:jc w:val="both"/>
        <w:rPr>
          <w:rFonts w:ascii="Verdana" w:hAnsi="Verdana" w:cs="Arial"/>
        </w:rPr>
      </w:pPr>
    </w:p>
    <w:p w14:paraId="5E13FDAC" w14:textId="77777777" w:rsidR="008713CA" w:rsidRDefault="008713CA" w:rsidP="008713CA">
      <w:pPr>
        <w:spacing w:after="0" w:line="276" w:lineRule="auto"/>
        <w:jc w:val="both"/>
        <w:rPr>
          <w:rFonts w:ascii="Verdana" w:hAnsi="Verdana" w:cs="Arial"/>
          <w:lang w:eastAsia="es-CO"/>
        </w:rPr>
      </w:pPr>
      <w:r w:rsidRPr="00505CD6">
        <w:rPr>
          <w:rFonts w:ascii="Verdana" w:eastAsia="Times New Roman" w:hAnsi="Verdana" w:cs="Arial"/>
          <w:lang w:eastAsia="es-CO"/>
        </w:rPr>
        <w:t>Atentamente,</w:t>
      </w:r>
      <w:r w:rsidRPr="00505CD6">
        <w:rPr>
          <w:rFonts w:ascii="Verdana" w:hAnsi="Verdana" w:cs="Arial"/>
          <w:lang w:eastAsia="es-CO"/>
        </w:rPr>
        <w:t xml:space="preserve"> </w:t>
      </w:r>
    </w:p>
    <w:p w14:paraId="3FF79F94" w14:textId="77777777" w:rsidR="008713CA" w:rsidRDefault="008713CA" w:rsidP="008713CA">
      <w:pPr>
        <w:spacing w:after="0" w:line="276" w:lineRule="auto"/>
        <w:jc w:val="both"/>
        <w:rPr>
          <w:rFonts w:ascii="Verdana" w:hAnsi="Verdana" w:cs="Arial"/>
          <w:lang w:eastAsia="es-CO"/>
        </w:rPr>
      </w:pPr>
    </w:p>
    <w:p w14:paraId="19B1C06B" w14:textId="77777777" w:rsidR="008713CA" w:rsidRDefault="008713CA" w:rsidP="008713CA">
      <w:pPr>
        <w:spacing w:after="0" w:line="276" w:lineRule="auto"/>
        <w:jc w:val="both"/>
        <w:rPr>
          <w:rFonts w:ascii="Verdana" w:hAnsi="Verdana" w:cs="Arial"/>
          <w:lang w:eastAsia="es-CO"/>
        </w:rPr>
      </w:pPr>
    </w:p>
    <w:p w14:paraId="3E25AD0D" w14:textId="747E7887" w:rsidR="008713CA" w:rsidRPr="00A573FF" w:rsidRDefault="00A573FF" w:rsidP="00A573FF">
      <w:pPr>
        <w:spacing w:after="0" w:line="276" w:lineRule="auto"/>
        <w:jc w:val="center"/>
        <w:rPr>
          <w:rFonts w:ascii="Verdana" w:hAnsi="Verdana"/>
        </w:rPr>
      </w:pPr>
      <w:r w:rsidRPr="002C3AD6">
        <w:rPr>
          <w:rFonts w:ascii="Century Gothic" w:hAnsi="Century Gothic"/>
          <w:noProof/>
        </w:rPr>
        <w:drawing>
          <wp:inline distT="0" distB="0" distL="0" distR="0" wp14:anchorId="591EACE6" wp14:editId="08DBE5D3">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713CA" w:rsidRPr="00593A5F" w14:paraId="5D56E366" w14:textId="77777777" w:rsidTr="005B2213">
        <w:trPr>
          <w:trHeight w:val="315"/>
        </w:trPr>
        <w:tc>
          <w:tcPr>
            <w:tcW w:w="893" w:type="dxa"/>
            <w:vAlign w:val="center"/>
            <w:hideMark/>
          </w:tcPr>
          <w:p w14:paraId="466CAA0F" w14:textId="77777777" w:rsidR="008713CA" w:rsidRPr="003751C7" w:rsidRDefault="008713CA" w:rsidP="005B2213">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1C4CF39" w14:textId="77777777" w:rsidR="008713CA" w:rsidRDefault="008713CA" w:rsidP="005B2213">
            <w:pPr>
              <w:contextualSpacing/>
              <w:rPr>
                <w:rFonts w:ascii="Verdana" w:hAnsi="Verdana"/>
                <w:sz w:val="16"/>
                <w:szCs w:val="16"/>
              </w:rPr>
            </w:pPr>
          </w:p>
          <w:p w14:paraId="064EAC61" w14:textId="77777777" w:rsidR="008713CA" w:rsidRDefault="008713CA" w:rsidP="005B2213">
            <w:pPr>
              <w:contextualSpacing/>
              <w:rPr>
                <w:rFonts w:ascii="Verdana" w:hAnsi="Verdana"/>
                <w:sz w:val="16"/>
                <w:szCs w:val="16"/>
              </w:rPr>
            </w:pPr>
            <w:r>
              <w:rPr>
                <w:rFonts w:ascii="Verdana" w:hAnsi="Verdana"/>
                <w:sz w:val="16"/>
                <w:szCs w:val="16"/>
              </w:rPr>
              <w:t xml:space="preserve">Camilo José Martínez Martínez </w:t>
            </w:r>
          </w:p>
          <w:p w14:paraId="1337C395" w14:textId="77777777" w:rsidR="008713CA" w:rsidRPr="007911EE" w:rsidRDefault="008713CA" w:rsidP="005B2213">
            <w:pPr>
              <w:contextualSpacing/>
              <w:rPr>
                <w:rFonts w:ascii="Verdana" w:eastAsia="Arial" w:hAnsi="Verdana" w:cs="Arial"/>
                <w:sz w:val="16"/>
                <w:szCs w:val="16"/>
              </w:rPr>
            </w:pPr>
            <w:r w:rsidRPr="007911EE">
              <w:rPr>
                <w:rFonts w:ascii="Verdana" w:hAnsi="Verdana"/>
                <w:sz w:val="16"/>
                <w:szCs w:val="16"/>
              </w:rPr>
              <w:t>Contratista de la Subdirección de Gestión Contractual</w:t>
            </w:r>
          </w:p>
        </w:tc>
      </w:tr>
      <w:tr w:rsidR="008713CA" w:rsidRPr="00593A5F" w14:paraId="18E63FDC" w14:textId="77777777" w:rsidTr="005B2213">
        <w:trPr>
          <w:trHeight w:val="330"/>
        </w:trPr>
        <w:tc>
          <w:tcPr>
            <w:tcW w:w="893" w:type="dxa"/>
            <w:vAlign w:val="center"/>
            <w:hideMark/>
          </w:tcPr>
          <w:p w14:paraId="695EA9B4" w14:textId="77777777" w:rsidR="008713CA" w:rsidRPr="003751C7" w:rsidRDefault="008713CA" w:rsidP="005B2213">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09EBF9B" w14:textId="77777777" w:rsidR="00B36A13" w:rsidRDefault="00B36A13" w:rsidP="005B2213">
            <w:pPr>
              <w:spacing w:line="276" w:lineRule="auto"/>
              <w:contextualSpacing/>
              <w:jc w:val="both"/>
              <w:rPr>
                <w:rFonts w:ascii="Verdana" w:hAnsi="Verdana"/>
                <w:sz w:val="16"/>
                <w:szCs w:val="16"/>
              </w:rPr>
            </w:pPr>
            <w:r w:rsidRPr="00B36A13">
              <w:rPr>
                <w:rFonts w:ascii="Verdana" w:hAnsi="Verdana"/>
                <w:sz w:val="16"/>
                <w:szCs w:val="16"/>
              </w:rPr>
              <w:t>Diana Saavedra</w:t>
            </w:r>
          </w:p>
          <w:p w14:paraId="179DB99B" w14:textId="176A35CD" w:rsidR="008713CA" w:rsidRPr="007911EE" w:rsidRDefault="008713CA" w:rsidP="005B2213">
            <w:pPr>
              <w:spacing w:line="276" w:lineRule="auto"/>
              <w:contextualSpacing/>
              <w:jc w:val="both"/>
              <w:rPr>
                <w:rFonts w:ascii="Verdana" w:hAnsi="Verdana" w:cstheme="minorHAnsi"/>
                <w:sz w:val="16"/>
                <w:szCs w:val="16"/>
              </w:rPr>
            </w:pPr>
            <w:r>
              <w:rPr>
                <w:rStyle w:val="normaltextrun"/>
                <w:rFonts w:ascii="Verdana" w:eastAsia="Arial" w:hAnsi="Verdana"/>
                <w:sz w:val="16"/>
                <w:szCs w:val="16"/>
              </w:rPr>
              <w:t xml:space="preserve">Contratista </w:t>
            </w:r>
            <w:r w:rsidRPr="00CD7324">
              <w:rPr>
                <w:rStyle w:val="normaltextrun"/>
                <w:rFonts w:ascii="Verdana" w:eastAsia="Arial" w:hAnsi="Verdana"/>
                <w:sz w:val="16"/>
                <w:szCs w:val="16"/>
              </w:rPr>
              <w:t>de la</w:t>
            </w:r>
            <w:r w:rsidRPr="007911EE">
              <w:rPr>
                <w:rStyle w:val="normaltextrun"/>
                <w:rFonts w:ascii="Verdana" w:eastAsia="Arial" w:hAnsi="Verdana" w:cs="Arial"/>
                <w:sz w:val="16"/>
                <w:szCs w:val="16"/>
              </w:rPr>
              <w:t xml:space="preserve"> Subdirección de Gestión Contractual</w:t>
            </w:r>
          </w:p>
        </w:tc>
      </w:tr>
      <w:tr w:rsidR="008713CA" w:rsidRPr="00593A5F" w14:paraId="2D9BFEF8" w14:textId="77777777" w:rsidTr="005B2213">
        <w:trPr>
          <w:trHeight w:val="330"/>
        </w:trPr>
        <w:tc>
          <w:tcPr>
            <w:tcW w:w="893" w:type="dxa"/>
            <w:vAlign w:val="center"/>
          </w:tcPr>
          <w:p w14:paraId="542C9883" w14:textId="77777777" w:rsidR="008713CA" w:rsidRPr="003751C7" w:rsidRDefault="008713CA" w:rsidP="005B2213">
            <w:pPr>
              <w:contextualSpacing/>
              <w:rPr>
                <w:rFonts w:ascii="Verdana" w:hAnsi="Verdana" w:cs="Arial"/>
                <w:sz w:val="16"/>
                <w:szCs w:val="16"/>
                <w:lang w:val="es-ES" w:eastAsia="es-ES"/>
              </w:rPr>
            </w:pPr>
            <w:r w:rsidRPr="00EB1CF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DE3BF44" w14:textId="77777777" w:rsidR="008713CA" w:rsidRDefault="008713CA" w:rsidP="005B2213">
            <w:pPr>
              <w:spacing w:line="276" w:lineRule="auto"/>
              <w:contextualSpacing/>
              <w:jc w:val="both"/>
              <w:rPr>
                <w:rFonts w:ascii="Verdana" w:hAnsi="Verdana"/>
                <w:sz w:val="16"/>
                <w:szCs w:val="16"/>
              </w:rPr>
            </w:pPr>
            <w:r>
              <w:rPr>
                <w:rFonts w:ascii="Verdana" w:hAnsi="Verdana"/>
                <w:sz w:val="16"/>
                <w:szCs w:val="16"/>
              </w:rPr>
              <w:t>Carolina Quintero Gacharná</w:t>
            </w:r>
          </w:p>
          <w:p w14:paraId="352D8033" w14:textId="77777777" w:rsidR="008713CA" w:rsidRDefault="008713CA" w:rsidP="005B2213">
            <w:pPr>
              <w:spacing w:line="276" w:lineRule="auto"/>
              <w:contextualSpacing/>
              <w:jc w:val="both"/>
              <w:rPr>
                <w:rFonts w:ascii="Verdana" w:hAnsi="Verdana"/>
                <w:sz w:val="16"/>
                <w:szCs w:val="16"/>
              </w:rPr>
            </w:pPr>
            <w:r w:rsidRPr="00EB1CF7">
              <w:rPr>
                <w:rFonts w:ascii="Verdana" w:eastAsia="Calibri" w:hAnsi="Verdana" w:cs="Arial"/>
                <w:sz w:val="16"/>
                <w:szCs w:val="16"/>
                <w:lang w:eastAsia="es-ES"/>
              </w:rPr>
              <w:t>Subdirectora</w:t>
            </w:r>
            <w:r w:rsidRPr="00EB1CF7">
              <w:rPr>
                <w:rFonts w:ascii="Verdana" w:eastAsia="Calibri" w:hAnsi="Verdana" w:cs="Arial"/>
                <w:sz w:val="16"/>
                <w:szCs w:val="16"/>
                <w:lang w:val="pt-BR" w:eastAsia="es-ES"/>
              </w:rPr>
              <w:t xml:space="preserve"> de Gestión Contratual </w:t>
            </w:r>
            <w:r>
              <w:rPr>
                <w:rFonts w:ascii="Verdana" w:eastAsia="Calibri" w:hAnsi="Verdana" w:cs="Arial"/>
                <w:sz w:val="16"/>
                <w:szCs w:val="16"/>
                <w:lang w:val="pt-BR" w:eastAsia="es-ES"/>
              </w:rPr>
              <w:t xml:space="preserve">- </w:t>
            </w:r>
            <w:r w:rsidRPr="00EB1CF7">
              <w:rPr>
                <w:rFonts w:ascii="Verdana" w:eastAsia="Calibri" w:hAnsi="Verdana" w:cs="Arial"/>
                <w:sz w:val="16"/>
                <w:szCs w:val="16"/>
                <w:lang w:val="pt-BR" w:eastAsia="es-ES"/>
              </w:rPr>
              <w:t>ANCP – CCE</w:t>
            </w:r>
          </w:p>
        </w:tc>
      </w:tr>
    </w:tbl>
    <w:p w14:paraId="0F293BF4" w14:textId="42CF250F" w:rsidR="00127233" w:rsidRPr="001A068A" w:rsidRDefault="00127233" w:rsidP="00A573FF">
      <w:pPr>
        <w:widowControl w:val="0"/>
        <w:autoSpaceDE w:val="0"/>
        <w:autoSpaceDN w:val="0"/>
        <w:spacing w:after="0" w:line="276" w:lineRule="auto"/>
        <w:jc w:val="both"/>
      </w:pPr>
    </w:p>
    <w:sectPr w:rsidR="00127233" w:rsidRPr="001A068A"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CFEA" w14:textId="77777777" w:rsidR="002A0E58" w:rsidRDefault="002A0E58" w:rsidP="004A1847">
      <w:pPr>
        <w:spacing w:after="0" w:line="240" w:lineRule="auto"/>
      </w:pPr>
      <w:r>
        <w:separator/>
      </w:r>
    </w:p>
  </w:endnote>
  <w:endnote w:type="continuationSeparator" w:id="0">
    <w:p w14:paraId="26DE1DC0" w14:textId="77777777" w:rsidR="002A0E58" w:rsidRDefault="002A0E58" w:rsidP="004A1847">
      <w:pPr>
        <w:spacing w:after="0" w:line="240" w:lineRule="auto"/>
      </w:pPr>
      <w:r>
        <w:continuationSeparator/>
      </w:r>
    </w:p>
  </w:endnote>
  <w:endnote w:type="continuationNotice" w:id="1">
    <w:p w14:paraId="49621DC3" w14:textId="77777777" w:rsidR="002A0E58" w:rsidRDefault="002A0E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6F80" w14:textId="77777777" w:rsidR="002A0E58" w:rsidRDefault="002A0E58" w:rsidP="004A1847">
      <w:pPr>
        <w:spacing w:after="0" w:line="240" w:lineRule="auto"/>
      </w:pPr>
      <w:r>
        <w:separator/>
      </w:r>
    </w:p>
  </w:footnote>
  <w:footnote w:type="continuationSeparator" w:id="0">
    <w:p w14:paraId="7CAB2462" w14:textId="77777777" w:rsidR="002A0E58" w:rsidRDefault="002A0E58" w:rsidP="004A1847">
      <w:pPr>
        <w:spacing w:after="0" w:line="240" w:lineRule="auto"/>
      </w:pPr>
      <w:r>
        <w:continuationSeparator/>
      </w:r>
    </w:p>
  </w:footnote>
  <w:footnote w:type="continuationNotice" w:id="1">
    <w:p w14:paraId="255BC7DD" w14:textId="77777777" w:rsidR="002A0E58" w:rsidRDefault="002A0E58">
      <w:pPr>
        <w:spacing w:after="0" w:line="240" w:lineRule="auto"/>
      </w:pPr>
    </w:p>
  </w:footnote>
  <w:footnote w:id="2">
    <w:p w14:paraId="6E98D168" w14:textId="01E11719" w:rsidR="00E32185" w:rsidRPr="00B36A13" w:rsidRDefault="00E32185" w:rsidP="00B36A13">
      <w:pPr>
        <w:pStyle w:val="Textonotapie"/>
        <w:ind w:firstLine="567"/>
        <w:rPr>
          <w:rFonts w:ascii="Verdana" w:hAnsi="Verdana"/>
          <w:sz w:val="16"/>
          <w:szCs w:val="16"/>
          <w:lang w:val="es-ES_tradnl"/>
        </w:rPr>
      </w:pPr>
      <w:r w:rsidRPr="00B36A13">
        <w:rPr>
          <w:rStyle w:val="Refdenotaalpie"/>
          <w:rFonts w:ascii="Verdana" w:hAnsi="Verdana"/>
          <w:sz w:val="16"/>
          <w:szCs w:val="16"/>
        </w:rPr>
        <w:footnoteRef/>
      </w:r>
      <w:r w:rsidRPr="00B36A13">
        <w:rPr>
          <w:rFonts w:ascii="Verdana" w:hAnsi="Verdana"/>
          <w:sz w:val="16"/>
          <w:szCs w:val="16"/>
        </w:rPr>
        <w:t xml:space="preserve"> Sección</w:t>
      </w:r>
      <w:r w:rsidRPr="00B36A13">
        <w:rPr>
          <w:rFonts w:ascii="Verdana" w:hAnsi="Verdana"/>
          <w:spacing w:val="-5"/>
          <w:sz w:val="16"/>
          <w:szCs w:val="16"/>
        </w:rPr>
        <w:t xml:space="preserve"> </w:t>
      </w:r>
      <w:r w:rsidRPr="00B36A13">
        <w:rPr>
          <w:rFonts w:ascii="Verdana" w:hAnsi="Verdana"/>
          <w:sz w:val="16"/>
          <w:szCs w:val="16"/>
        </w:rPr>
        <w:t>Tercera</w:t>
      </w:r>
      <w:r w:rsidRPr="00B36A13">
        <w:rPr>
          <w:rFonts w:ascii="Verdana" w:hAnsi="Verdana"/>
          <w:spacing w:val="-5"/>
          <w:sz w:val="16"/>
          <w:szCs w:val="16"/>
        </w:rPr>
        <w:t xml:space="preserve"> </w:t>
      </w:r>
      <w:r w:rsidRPr="00B36A13">
        <w:rPr>
          <w:rFonts w:ascii="Verdana" w:hAnsi="Verdana"/>
          <w:sz w:val="16"/>
          <w:szCs w:val="16"/>
        </w:rPr>
        <w:t>de</w:t>
      </w:r>
      <w:r w:rsidRPr="00B36A13">
        <w:rPr>
          <w:rFonts w:ascii="Verdana" w:hAnsi="Verdana"/>
          <w:spacing w:val="-4"/>
          <w:sz w:val="16"/>
          <w:szCs w:val="16"/>
        </w:rPr>
        <w:t xml:space="preserve"> </w:t>
      </w:r>
      <w:r w:rsidRPr="00B36A13">
        <w:rPr>
          <w:rFonts w:ascii="Verdana" w:hAnsi="Verdana"/>
          <w:sz w:val="16"/>
          <w:szCs w:val="16"/>
        </w:rPr>
        <w:t>la</w:t>
      </w:r>
      <w:r w:rsidRPr="00B36A13">
        <w:rPr>
          <w:rFonts w:ascii="Verdana" w:hAnsi="Verdana"/>
          <w:spacing w:val="-5"/>
          <w:sz w:val="16"/>
          <w:szCs w:val="16"/>
        </w:rPr>
        <w:t xml:space="preserve"> </w:t>
      </w:r>
      <w:r w:rsidRPr="00B36A13">
        <w:rPr>
          <w:rFonts w:ascii="Verdana" w:hAnsi="Verdana"/>
          <w:sz w:val="16"/>
          <w:szCs w:val="16"/>
        </w:rPr>
        <w:t>Sala</w:t>
      </w:r>
      <w:r w:rsidRPr="00B36A13">
        <w:rPr>
          <w:rFonts w:ascii="Verdana" w:hAnsi="Verdana"/>
          <w:spacing w:val="-5"/>
          <w:sz w:val="16"/>
          <w:szCs w:val="16"/>
        </w:rPr>
        <w:t xml:space="preserve"> </w:t>
      </w:r>
      <w:r w:rsidRPr="00B36A13">
        <w:rPr>
          <w:rFonts w:ascii="Verdana" w:hAnsi="Verdana"/>
          <w:sz w:val="16"/>
          <w:szCs w:val="16"/>
        </w:rPr>
        <w:t>de</w:t>
      </w:r>
      <w:r w:rsidRPr="00B36A13">
        <w:rPr>
          <w:rFonts w:ascii="Verdana" w:hAnsi="Verdana"/>
          <w:spacing w:val="-5"/>
          <w:sz w:val="16"/>
          <w:szCs w:val="16"/>
        </w:rPr>
        <w:t xml:space="preserve"> </w:t>
      </w:r>
      <w:r w:rsidRPr="00B36A13">
        <w:rPr>
          <w:rFonts w:ascii="Verdana" w:hAnsi="Verdana"/>
          <w:sz w:val="16"/>
          <w:szCs w:val="16"/>
        </w:rPr>
        <w:t>lo</w:t>
      </w:r>
      <w:r w:rsidRPr="00B36A13">
        <w:rPr>
          <w:rFonts w:ascii="Verdana" w:hAnsi="Verdana"/>
          <w:spacing w:val="-5"/>
          <w:sz w:val="16"/>
          <w:szCs w:val="16"/>
        </w:rPr>
        <w:t xml:space="preserve"> </w:t>
      </w:r>
      <w:r w:rsidRPr="00B36A13">
        <w:rPr>
          <w:rFonts w:ascii="Verdana" w:hAnsi="Verdana"/>
          <w:sz w:val="16"/>
          <w:szCs w:val="16"/>
        </w:rPr>
        <w:t>Contencioso</w:t>
      </w:r>
      <w:r w:rsidRPr="00B36A13">
        <w:rPr>
          <w:rFonts w:ascii="Verdana" w:hAnsi="Verdana"/>
          <w:spacing w:val="-4"/>
          <w:sz w:val="16"/>
          <w:szCs w:val="16"/>
        </w:rPr>
        <w:t xml:space="preserve"> </w:t>
      </w:r>
      <w:r w:rsidRPr="00B36A13">
        <w:rPr>
          <w:rFonts w:ascii="Verdana" w:hAnsi="Verdana"/>
          <w:sz w:val="16"/>
          <w:szCs w:val="16"/>
        </w:rPr>
        <w:t>Administrativo</w:t>
      </w:r>
      <w:r w:rsidRPr="00B36A13">
        <w:rPr>
          <w:rFonts w:ascii="Verdana" w:hAnsi="Verdana"/>
          <w:spacing w:val="-5"/>
          <w:sz w:val="16"/>
          <w:szCs w:val="16"/>
        </w:rPr>
        <w:t xml:space="preserve"> </w:t>
      </w:r>
      <w:r w:rsidRPr="00B36A13">
        <w:rPr>
          <w:rFonts w:ascii="Verdana" w:hAnsi="Verdana"/>
          <w:sz w:val="16"/>
          <w:szCs w:val="16"/>
        </w:rPr>
        <w:t>del</w:t>
      </w:r>
      <w:r w:rsidRPr="00B36A13">
        <w:rPr>
          <w:rFonts w:ascii="Verdana" w:hAnsi="Verdana"/>
          <w:spacing w:val="-5"/>
          <w:sz w:val="16"/>
          <w:szCs w:val="16"/>
        </w:rPr>
        <w:t xml:space="preserve"> </w:t>
      </w:r>
      <w:r w:rsidRPr="00B36A13">
        <w:rPr>
          <w:rFonts w:ascii="Verdana" w:hAnsi="Verdana"/>
          <w:sz w:val="16"/>
          <w:szCs w:val="16"/>
        </w:rPr>
        <w:t>Consejo</w:t>
      </w:r>
      <w:r w:rsidRPr="00B36A13">
        <w:rPr>
          <w:rFonts w:ascii="Verdana" w:hAnsi="Verdana"/>
          <w:spacing w:val="-5"/>
          <w:sz w:val="16"/>
          <w:szCs w:val="16"/>
        </w:rPr>
        <w:t xml:space="preserve"> </w:t>
      </w:r>
      <w:r w:rsidRPr="00B36A13">
        <w:rPr>
          <w:rFonts w:ascii="Verdana" w:hAnsi="Verdana"/>
          <w:sz w:val="16"/>
          <w:szCs w:val="16"/>
        </w:rPr>
        <w:t>de</w:t>
      </w:r>
      <w:r w:rsidRPr="00B36A13">
        <w:rPr>
          <w:rFonts w:ascii="Verdana" w:hAnsi="Verdana"/>
          <w:spacing w:val="-4"/>
          <w:sz w:val="16"/>
          <w:szCs w:val="16"/>
        </w:rPr>
        <w:t xml:space="preserve"> </w:t>
      </w:r>
      <w:r w:rsidRPr="00B36A13">
        <w:rPr>
          <w:rFonts w:ascii="Verdana" w:hAnsi="Verdana"/>
          <w:sz w:val="16"/>
          <w:szCs w:val="16"/>
        </w:rPr>
        <w:t>Estado,</w:t>
      </w:r>
      <w:r w:rsidRPr="00B36A13">
        <w:rPr>
          <w:rFonts w:ascii="Verdana" w:hAnsi="Verdana"/>
          <w:spacing w:val="-5"/>
          <w:sz w:val="16"/>
          <w:szCs w:val="16"/>
        </w:rPr>
        <w:t xml:space="preserve"> </w:t>
      </w:r>
      <w:r w:rsidRPr="00B36A13">
        <w:rPr>
          <w:rFonts w:ascii="Verdana" w:hAnsi="Verdana"/>
          <w:sz w:val="16"/>
          <w:szCs w:val="16"/>
        </w:rPr>
        <w:t>Sentencia</w:t>
      </w:r>
      <w:r w:rsidRPr="00B36A13">
        <w:rPr>
          <w:rFonts w:ascii="Verdana" w:hAnsi="Verdana"/>
          <w:spacing w:val="-5"/>
          <w:sz w:val="16"/>
          <w:szCs w:val="16"/>
        </w:rPr>
        <w:t xml:space="preserve"> </w:t>
      </w:r>
      <w:r w:rsidRPr="00B36A13">
        <w:rPr>
          <w:rFonts w:ascii="Verdana" w:hAnsi="Verdana"/>
          <w:sz w:val="16"/>
          <w:szCs w:val="16"/>
        </w:rPr>
        <w:t>del</w:t>
      </w:r>
      <w:r w:rsidRPr="00B36A13">
        <w:rPr>
          <w:rFonts w:ascii="Verdana" w:hAnsi="Verdana"/>
          <w:spacing w:val="-5"/>
          <w:sz w:val="16"/>
          <w:szCs w:val="16"/>
        </w:rPr>
        <w:t xml:space="preserve"> </w:t>
      </w:r>
      <w:r w:rsidRPr="00B36A13">
        <w:rPr>
          <w:rFonts w:ascii="Verdana" w:hAnsi="Verdana"/>
          <w:sz w:val="16"/>
          <w:szCs w:val="16"/>
        </w:rPr>
        <w:t>29</w:t>
      </w:r>
      <w:r w:rsidRPr="00B36A13">
        <w:rPr>
          <w:rFonts w:ascii="Verdana" w:hAnsi="Verdana"/>
          <w:spacing w:val="-5"/>
          <w:sz w:val="16"/>
          <w:szCs w:val="16"/>
        </w:rPr>
        <w:t xml:space="preserve"> </w:t>
      </w:r>
      <w:r w:rsidRPr="00B36A13">
        <w:rPr>
          <w:rFonts w:ascii="Verdana" w:hAnsi="Verdana"/>
          <w:sz w:val="16"/>
          <w:szCs w:val="16"/>
        </w:rPr>
        <w:t>de</w:t>
      </w:r>
      <w:r w:rsidRPr="00B36A13">
        <w:rPr>
          <w:rFonts w:ascii="Verdana" w:hAnsi="Verdana"/>
          <w:spacing w:val="1"/>
          <w:sz w:val="16"/>
          <w:szCs w:val="16"/>
        </w:rPr>
        <w:t xml:space="preserve"> </w:t>
      </w:r>
      <w:r w:rsidRPr="00B36A13">
        <w:rPr>
          <w:rFonts w:ascii="Verdana" w:hAnsi="Verdana"/>
          <w:sz w:val="16"/>
          <w:szCs w:val="16"/>
        </w:rPr>
        <w:t>abril</w:t>
      </w:r>
      <w:r w:rsidRPr="00B36A13">
        <w:rPr>
          <w:rFonts w:ascii="Verdana" w:hAnsi="Verdana"/>
          <w:spacing w:val="-2"/>
          <w:sz w:val="16"/>
          <w:szCs w:val="16"/>
        </w:rPr>
        <w:t xml:space="preserve"> </w:t>
      </w:r>
      <w:r w:rsidRPr="00B36A13">
        <w:rPr>
          <w:rFonts w:ascii="Verdana" w:hAnsi="Verdana"/>
          <w:sz w:val="16"/>
          <w:szCs w:val="16"/>
        </w:rPr>
        <w:t>de</w:t>
      </w:r>
      <w:r w:rsidRPr="00B36A13">
        <w:rPr>
          <w:rFonts w:ascii="Verdana" w:hAnsi="Verdana"/>
          <w:spacing w:val="-2"/>
          <w:sz w:val="16"/>
          <w:szCs w:val="16"/>
        </w:rPr>
        <w:t xml:space="preserve"> </w:t>
      </w:r>
      <w:r w:rsidRPr="00B36A13">
        <w:rPr>
          <w:rFonts w:ascii="Verdana" w:hAnsi="Verdana"/>
          <w:sz w:val="16"/>
          <w:szCs w:val="16"/>
        </w:rPr>
        <w:t>2015,</w:t>
      </w:r>
      <w:r w:rsidRPr="00B36A13">
        <w:rPr>
          <w:rFonts w:ascii="Verdana" w:hAnsi="Verdana"/>
          <w:spacing w:val="-2"/>
          <w:sz w:val="16"/>
          <w:szCs w:val="16"/>
        </w:rPr>
        <w:t xml:space="preserve"> </w:t>
      </w:r>
      <w:r w:rsidRPr="00B36A13">
        <w:rPr>
          <w:rFonts w:ascii="Verdana" w:hAnsi="Verdana"/>
          <w:sz w:val="16"/>
          <w:szCs w:val="16"/>
        </w:rPr>
        <w:t>expediente</w:t>
      </w:r>
      <w:r w:rsidRPr="00B36A13">
        <w:rPr>
          <w:rFonts w:ascii="Verdana" w:hAnsi="Verdana"/>
          <w:spacing w:val="-2"/>
          <w:sz w:val="16"/>
          <w:szCs w:val="16"/>
        </w:rPr>
        <w:t xml:space="preserve"> </w:t>
      </w:r>
      <w:r w:rsidRPr="00B36A13">
        <w:rPr>
          <w:rFonts w:ascii="Verdana" w:hAnsi="Verdana"/>
          <w:sz w:val="16"/>
          <w:szCs w:val="16"/>
        </w:rPr>
        <w:t>29201</w:t>
      </w:r>
      <w:r w:rsidRPr="00B36A13">
        <w:rPr>
          <w:rFonts w:ascii="Verdana" w:hAnsi="Verdana"/>
          <w:spacing w:val="-2"/>
          <w:sz w:val="16"/>
          <w:szCs w:val="16"/>
        </w:rPr>
        <w:t xml:space="preserve"> </w:t>
      </w:r>
      <w:r w:rsidRPr="00B36A13">
        <w:rPr>
          <w:rFonts w:ascii="Verdana" w:hAnsi="Verdana"/>
          <w:sz w:val="16"/>
          <w:szCs w:val="16"/>
        </w:rPr>
        <w:t>con</w:t>
      </w:r>
      <w:r w:rsidRPr="00B36A13">
        <w:rPr>
          <w:rFonts w:ascii="Verdana" w:hAnsi="Verdana"/>
          <w:spacing w:val="-2"/>
          <w:sz w:val="16"/>
          <w:szCs w:val="16"/>
        </w:rPr>
        <w:t xml:space="preserve"> </w:t>
      </w:r>
      <w:r w:rsidRPr="00B36A13">
        <w:rPr>
          <w:rFonts w:ascii="Verdana" w:hAnsi="Verdana"/>
          <w:sz w:val="16"/>
          <w:szCs w:val="16"/>
        </w:rPr>
        <w:t>ponencia</w:t>
      </w:r>
      <w:r w:rsidRPr="00B36A13">
        <w:rPr>
          <w:rFonts w:ascii="Verdana" w:hAnsi="Verdana"/>
          <w:spacing w:val="-2"/>
          <w:sz w:val="16"/>
          <w:szCs w:val="16"/>
        </w:rPr>
        <w:t xml:space="preserve"> </w:t>
      </w:r>
      <w:r w:rsidRPr="00B36A13">
        <w:rPr>
          <w:rFonts w:ascii="Verdana" w:hAnsi="Verdana"/>
          <w:sz w:val="16"/>
          <w:szCs w:val="16"/>
        </w:rPr>
        <w:t>de</w:t>
      </w:r>
      <w:r w:rsidRPr="00B36A13">
        <w:rPr>
          <w:rFonts w:ascii="Verdana" w:hAnsi="Verdana"/>
          <w:spacing w:val="-2"/>
          <w:sz w:val="16"/>
          <w:szCs w:val="16"/>
        </w:rPr>
        <w:t xml:space="preserve"> </w:t>
      </w:r>
      <w:r w:rsidRPr="00B36A13">
        <w:rPr>
          <w:rFonts w:ascii="Verdana" w:hAnsi="Verdana"/>
          <w:sz w:val="16"/>
          <w:szCs w:val="16"/>
        </w:rPr>
        <w:t>Olga</w:t>
      </w:r>
      <w:r w:rsidRPr="00B36A13">
        <w:rPr>
          <w:rFonts w:ascii="Verdana" w:hAnsi="Verdana"/>
          <w:spacing w:val="-2"/>
          <w:sz w:val="16"/>
          <w:szCs w:val="16"/>
        </w:rPr>
        <w:t xml:space="preserve"> </w:t>
      </w:r>
      <w:r w:rsidRPr="00B36A13">
        <w:rPr>
          <w:rFonts w:ascii="Verdana" w:hAnsi="Verdana"/>
          <w:sz w:val="16"/>
          <w:szCs w:val="16"/>
        </w:rPr>
        <w:t>Melida</w:t>
      </w:r>
      <w:r w:rsidRPr="00B36A13">
        <w:rPr>
          <w:rFonts w:ascii="Verdana" w:hAnsi="Verdana"/>
          <w:spacing w:val="-2"/>
          <w:sz w:val="16"/>
          <w:szCs w:val="16"/>
        </w:rPr>
        <w:t xml:space="preserve"> </w:t>
      </w:r>
      <w:r w:rsidRPr="00B36A13">
        <w:rPr>
          <w:rFonts w:ascii="Verdana" w:hAnsi="Verdana"/>
          <w:sz w:val="16"/>
          <w:szCs w:val="16"/>
        </w:rPr>
        <w:t>Valle</w:t>
      </w:r>
      <w:r w:rsidRPr="00B36A13">
        <w:rPr>
          <w:rFonts w:ascii="Verdana" w:hAnsi="Verdana"/>
          <w:spacing w:val="-2"/>
          <w:sz w:val="16"/>
          <w:szCs w:val="16"/>
        </w:rPr>
        <w:t xml:space="preserve"> </w:t>
      </w:r>
      <w:r w:rsidRPr="00B36A13">
        <w:rPr>
          <w:rFonts w:ascii="Verdana" w:hAnsi="Verdana"/>
          <w:sz w:val="16"/>
          <w:szCs w:val="16"/>
        </w:rPr>
        <w:t>de</w:t>
      </w:r>
      <w:r w:rsidRPr="00B36A13">
        <w:rPr>
          <w:rFonts w:ascii="Verdana" w:hAnsi="Verdana"/>
          <w:spacing w:val="-2"/>
          <w:sz w:val="16"/>
          <w:szCs w:val="16"/>
        </w:rPr>
        <w:t xml:space="preserve"> </w:t>
      </w:r>
      <w:r w:rsidRPr="00B36A13">
        <w:rPr>
          <w:rFonts w:ascii="Verdana" w:hAnsi="Verdana"/>
          <w:sz w:val="16"/>
          <w:szCs w:val="16"/>
        </w:rPr>
        <w:t>De</w:t>
      </w:r>
      <w:r w:rsidRPr="00B36A13">
        <w:rPr>
          <w:rFonts w:ascii="Verdana" w:hAnsi="Verdana"/>
          <w:spacing w:val="-2"/>
          <w:sz w:val="16"/>
          <w:szCs w:val="16"/>
        </w:rPr>
        <w:t xml:space="preserve"> </w:t>
      </w:r>
      <w:r w:rsidRPr="00B36A13">
        <w:rPr>
          <w:rFonts w:ascii="Verdana" w:hAnsi="Verdana"/>
          <w:sz w:val="16"/>
          <w:szCs w:val="16"/>
        </w:rPr>
        <w:t>La</w:t>
      </w:r>
      <w:r w:rsidRPr="00B36A13">
        <w:rPr>
          <w:rFonts w:ascii="Verdana" w:hAnsi="Verdana"/>
          <w:spacing w:val="-2"/>
          <w:sz w:val="16"/>
          <w:szCs w:val="16"/>
        </w:rPr>
        <w:t xml:space="preserve"> </w:t>
      </w:r>
      <w:r w:rsidRPr="00B36A13">
        <w:rPr>
          <w:rFonts w:ascii="Verdana" w:hAnsi="Verdana"/>
          <w:sz w:val="16"/>
          <w:szCs w:val="16"/>
        </w:rPr>
        <w:t>Hoz</w:t>
      </w:r>
    </w:p>
  </w:footnote>
  <w:footnote w:id="3">
    <w:p w14:paraId="5ECA247B" w14:textId="5E8C30FE" w:rsidR="00E32185" w:rsidRPr="00B36A13" w:rsidRDefault="00E32185" w:rsidP="00B36A13">
      <w:pPr>
        <w:pStyle w:val="Textonotapie"/>
        <w:ind w:firstLine="567"/>
        <w:jc w:val="both"/>
        <w:rPr>
          <w:rFonts w:ascii="Verdana" w:hAnsi="Verdana"/>
          <w:sz w:val="16"/>
          <w:szCs w:val="16"/>
          <w:lang w:val="es-ES_tradnl"/>
        </w:rPr>
      </w:pPr>
      <w:r w:rsidRPr="00B36A13">
        <w:rPr>
          <w:rStyle w:val="Refdenotaalpie"/>
          <w:rFonts w:ascii="Verdana" w:hAnsi="Verdana"/>
          <w:sz w:val="16"/>
          <w:szCs w:val="16"/>
        </w:rPr>
        <w:footnoteRef/>
      </w:r>
      <w:r w:rsidRPr="00B36A13">
        <w:rPr>
          <w:rFonts w:ascii="Verdana" w:hAnsi="Verdana"/>
          <w:sz w:val="16"/>
          <w:szCs w:val="16"/>
        </w:rPr>
        <w:t xml:space="preserve"> Sala Plena de lo Contencioso Administrativa del Consejo de Estado, Sentencia del 3 de octubre de 2000, expedientes AC-10529 y AC-10968 con ponencia de Darío Quiñónez Pinilla.</w:t>
      </w:r>
    </w:p>
  </w:footnote>
  <w:footnote w:id="4">
    <w:p w14:paraId="330F6FF6" w14:textId="6A846153" w:rsidR="009F7721" w:rsidRPr="00B36A13" w:rsidRDefault="009F7721" w:rsidP="00B36A13">
      <w:pPr>
        <w:pStyle w:val="Textonotapie"/>
        <w:ind w:firstLine="567"/>
        <w:jc w:val="both"/>
        <w:rPr>
          <w:rFonts w:ascii="Verdana" w:hAnsi="Verdana"/>
          <w:sz w:val="16"/>
          <w:szCs w:val="16"/>
          <w:lang w:val="es-ES_tradnl"/>
        </w:rPr>
      </w:pPr>
      <w:r w:rsidRPr="00B36A13">
        <w:rPr>
          <w:rStyle w:val="Refdenotaalpie"/>
          <w:rFonts w:ascii="Verdana" w:hAnsi="Verdana"/>
          <w:sz w:val="16"/>
          <w:szCs w:val="16"/>
        </w:rPr>
        <w:footnoteRef/>
      </w:r>
      <w:r w:rsidRPr="00B36A13">
        <w:rPr>
          <w:rFonts w:ascii="Verdana" w:hAnsi="Verdana"/>
          <w:sz w:val="16"/>
          <w:szCs w:val="16"/>
        </w:rPr>
        <w:t xml:space="preserve"> Sala Plena de lo Contencioso Administrativa del Consejo de Estado, Sentencia del 3 de octubre de 2000, expedientes AC-10529 y AC-10968 con ponencia de Darío Quiñónez Pinilla.</w:t>
      </w:r>
    </w:p>
  </w:footnote>
  <w:footnote w:id="5">
    <w:p w14:paraId="28A53846" w14:textId="3D62B621" w:rsidR="009F7721" w:rsidRPr="00B36A13" w:rsidRDefault="009F7721" w:rsidP="00B36A13">
      <w:pPr>
        <w:pStyle w:val="Textonotapie"/>
        <w:ind w:firstLine="567"/>
        <w:jc w:val="both"/>
        <w:rPr>
          <w:rFonts w:ascii="Verdana" w:hAnsi="Verdana"/>
          <w:sz w:val="16"/>
          <w:szCs w:val="16"/>
          <w:lang w:val="es-ES_tradnl"/>
        </w:rPr>
      </w:pPr>
      <w:r w:rsidRPr="00B36A13">
        <w:rPr>
          <w:rStyle w:val="Refdenotaalpie"/>
          <w:rFonts w:ascii="Verdana" w:hAnsi="Verdana"/>
          <w:sz w:val="16"/>
          <w:szCs w:val="16"/>
        </w:rPr>
        <w:footnoteRef/>
      </w:r>
      <w:r w:rsidRPr="00B36A13">
        <w:rPr>
          <w:rFonts w:ascii="Verdana" w:hAnsi="Verdana"/>
          <w:sz w:val="16"/>
          <w:szCs w:val="16"/>
        </w:rPr>
        <w:t xml:space="preserve"> Consejo</w:t>
      </w:r>
      <w:r w:rsidRPr="00B36A13">
        <w:rPr>
          <w:rFonts w:ascii="Verdana" w:hAnsi="Verdana"/>
          <w:spacing w:val="-5"/>
          <w:sz w:val="16"/>
          <w:szCs w:val="16"/>
        </w:rPr>
        <w:t xml:space="preserve"> </w:t>
      </w:r>
      <w:r w:rsidRPr="00B36A13">
        <w:rPr>
          <w:rFonts w:ascii="Verdana" w:hAnsi="Verdana"/>
          <w:sz w:val="16"/>
          <w:szCs w:val="16"/>
        </w:rPr>
        <w:t>de</w:t>
      </w:r>
      <w:r w:rsidRPr="00B36A13">
        <w:rPr>
          <w:rFonts w:ascii="Verdana" w:hAnsi="Verdana"/>
          <w:spacing w:val="-4"/>
          <w:sz w:val="16"/>
          <w:szCs w:val="16"/>
        </w:rPr>
        <w:t xml:space="preserve"> </w:t>
      </w:r>
      <w:r w:rsidRPr="00B36A13">
        <w:rPr>
          <w:rFonts w:ascii="Verdana" w:hAnsi="Verdana"/>
          <w:sz w:val="16"/>
          <w:szCs w:val="16"/>
        </w:rPr>
        <w:t>Estado.</w:t>
      </w:r>
      <w:r w:rsidRPr="00B36A13">
        <w:rPr>
          <w:rFonts w:ascii="Verdana" w:hAnsi="Verdana"/>
          <w:spacing w:val="-5"/>
          <w:sz w:val="16"/>
          <w:szCs w:val="16"/>
        </w:rPr>
        <w:t xml:space="preserve"> </w:t>
      </w:r>
      <w:r w:rsidRPr="00B36A13">
        <w:rPr>
          <w:rFonts w:ascii="Verdana" w:hAnsi="Verdana"/>
          <w:sz w:val="16"/>
          <w:szCs w:val="16"/>
        </w:rPr>
        <w:t>Sentencia</w:t>
      </w:r>
      <w:r w:rsidRPr="00B36A13">
        <w:rPr>
          <w:rFonts w:ascii="Verdana" w:hAnsi="Verdana"/>
          <w:spacing w:val="-5"/>
          <w:sz w:val="16"/>
          <w:szCs w:val="16"/>
        </w:rPr>
        <w:t xml:space="preserve"> </w:t>
      </w:r>
      <w:r w:rsidRPr="00B36A13">
        <w:rPr>
          <w:rFonts w:ascii="Verdana" w:hAnsi="Verdana"/>
          <w:sz w:val="16"/>
          <w:szCs w:val="16"/>
        </w:rPr>
        <w:t>del</w:t>
      </w:r>
      <w:r w:rsidRPr="00B36A13">
        <w:rPr>
          <w:rFonts w:ascii="Verdana" w:hAnsi="Verdana"/>
          <w:spacing w:val="-4"/>
          <w:sz w:val="16"/>
          <w:szCs w:val="16"/>
        </w:rPr>
        <w:t xml:space="preserve"> </w:t>
      </w:r>
      <w:r w:rsidRPr="00B36A13">
        <w:rPr>
          <w:rFonts w:ascii="Verdana" w:hAnsi="Verdana"/>
          <w:sz w:val="16"/>
          <w:szCs w:val="16"/>
        </w:rPr>
        <w:t>10</w:t>
      </w:r>
      <w:r w:rsidRPr="00B36A13">
        <w:rPr>
          <w:rFonts w:ascii="Verdana" w:hAnsi="Verdana"/>
          <w:spacing w:val="-5"/>
          <w:sz w:val="16"/>
          <w:szCs w:val="16"/>
        </w:rPr>
        <w:t xml:space="preserve"> </w:t>
      </w:r>
      <w:r w:rsidRPr="00B36A13">
        <w:rPr>
          <w:rFonts w:ascii="Verdana" w:hAnsi="Verdana"/>
          <w:sz w:val="16"/>
          <w:szCs w:val="16"/>
        </w:rPr>
        <w:t>de</w:t>
      </w:r>
      <w:r w:rsidRPr="00B36A13">
        <w:rPr>
          <w:rFonts w:ascii="Verdana" w:hAnsi="Verdana"/>
          <w:spacing w:val="-5"/>
          <w:sz w:val="16"/>
          <w:szCs w:val="16"/>
        </w:rPr>
        <w:t xml:space="preserve"> </w:t>
      </w:r>
      <w:r w:rsidRPr="00B36A13">
        <w:rPr>
          <w:rFonts w:ascii="Verdana" w:hAnsi="Verdana"/>
          <w:sz w:val="16"/>
          <w:szCs w:val="16"/>
        </w:rPr>
        <w:t>febrero</w:t>
      </w:r>
      <w:r w:rsidRPr="00B36A13">
        <w:rPr>
          <w:rFonts w:ascii="Verdana" w:hAnsi="Verdana"/>
          <w:spacing w:val="-4"/>
          <w:sz w:val="16"/>
          <w:szCs w:val="16"/>
        </w:rPr>
        <w:t xml:space="preserve"> </w:t>
      </w:r>
      <w:r w:rsidRPr="00B36A13">
        <w:rPr>
          <w:rFonts w:ascii="Verdana" w:hAnsi="Verdana"/>
          <w:sz w:val="16"/>
          <w:szCs w:val="16"/>
        </w:rPr>
        <w:t>de</w:t>
      </w:r>
      <w:r w:rsidRPr="00B36A13">
        <w:rPr>
          <w:rFonts w:ascii="Verdana" w:hAnsi="Verdana"/>
          <w:spacing w:val="-5"/>
          <w:sz w:val="16"/>
          <w:szCs w:val="16"/>
        </w:rPr>
        <w:t xml:space="preserve"> </w:t>
      </w:r>
      <w:r w:rsidRPr="00B36A13">
        <w:rPr>
          <w:rFonts w:ascii="Verdana" w:hAnsi="Verdana"/>
          <w:sz w:val="16"/>
          <w:szCs w:val="16"/>
        </w:rPr>
        <w:t>2022.</w:t>
      </w:r>
      <w:r w:rsidRPr="00B36A13">
        <w:rPr>
          <w:rFonts w:ascii="Verdana" w:hAnsi="Verdana"/>
          <w:spacing w:val="-4"/>
          <w:sz w:val="16"/>
          <w:szCs w:val="16"/>
        </w:rPr>
        <w:t xml:space="preserve"> </w:t>
      </w:r>
      <w:r w:rsidRPr="00B36A13">
        <w:rPr>
          <w:rFonts w:ascii="Verdana" w:hAnsi="Verdana"/>
          <w:sz w:val="16"/>
          <w:szCs w:val="16"/>
        </w:rPr>
        <w:t>MP:</w:t>
      </w:r>
      <w:r w:rsidRPr="00B36A13">
        <w:rPr>
          <w:rFonts w:ascii="Verdana" w:hAnsi="Verdana"/>
          <w:spacing w:val="-5"/>
          <w:sz w:val="16"/>
          <w:szCs w:val="16"/>
        </w:rPr>
        <w:t xml:space="preserve"> </w:t>
      </w:r>
      <w:r w:rsidRPr="00B36A13">
        <w:rPr>
          <w:rFonts w:ascii="Verdana" w:hAnsi="Verdana"/>
          <w:sz w:val="16"/>
          <w:szCs w:val="16"/>
        </w:rPr>
        <w:t>César</w:t>
      </w:r>
      <w:r w:rsidRPr="00B36A13">
        <w:rPr>
          <w:rFonts w:ascii="Verdana" w:hAnsi="Verdana"/>
          <w:spacing w:val="-5"/>
          <w:sz w:val="16"/>
          <w:szCs w:val="16"/>
        </w:rPr>
        <w:t xml:space="preserve"> </w:t>
      </w:r>
      <w:r w:rsidRPr="00B36A13">
        <w:rPr>
          <w:rFonts w:ascii="Verdana" w:hAnsi="Verdana"/>
          <w:sz w:val="16"/>
          <w:szCs w:val="16"/>
        </w:rPr>
        <w:t>Palomino</w:t>
      </w:r>
      <w:r w:rsidRPr="00B36A13">
        <w:rPr>
          <w:rFonts w:ascii="Verdana" w:hAnsi="Verdana"/>
          <w:spacing w:val="-4"/>
          <w:sz w:val="16"/>
          <w:szCs w:val="16"/>
        </w:rPr>
        <w:t xml:space="preserve"> </w:t>
      </w:r>
      <w:r w:rsidRPr="00B36A13">
        <w:rPr>
          <w:rFonts w:ascii="Verdana" w:hAnsi="Verdana"/>
          <w:sz w:val="16"/>
          <w:szCs w:val="16"/>
        </w:rPr>
        <w:t>Cortés.</w:t>
      </w:r>
    </w:p>
  </w:footnote>
  <w:footnote w:id="6">
    <w:p w14:paraId="3976EC7D" w14:textId="7947ABFF" w:rsidR="009F7721" w:rsidRPr="009F7721" w:rsidRDefault="009F7721" w:rsidP="00B36A13">
      <w:pPr>
        <w:pStyle w:val="Textonotapie"/>
        <w:ind w:firstLine="567"/>
        <w:jc w:val="both"/>
        <w:rPr>
          <w:lang w:val="es-ES_tradnl"/>
        </w:rPr>
      </w:pPr>
      <w:r w:rsidRPr="00B36A13">
        <w:rPr>
          <w:rStyle w:val="Refdenotaalpie"/>
          <w:rFonts w:ascii="Verdana" w:hAnsi="Verdana"/>
          <w:sz w:val="16"/>
          <w:szCs w:val="16"/>
        </w:rPr>
        <w:footnoteRef/>
      </w:r>
      <w:r w:rsidRPr="00B36A13">
        <w:rPr>
          <w:rFonts w:ascii="Verdana" w:hAnsi="Verdana"/>
          <w:sz w:val="16"/>
          <w:szCs w:val="16"/>
        </w:rPr>
        <w:t xml:space="preserve"> De acuerdo con la jurisprudencia, el fraccionamiento “[…] se configura, cuando la administración de manera artificiosa divide la unidad natural del objeto contractual, a fin de seleccionar directamente al contratista cuando debía convocar un proceso de licitación, o para acomodarlo a un proceso menos estricto y riguroso de contratación en defecto del que se imponía seguir atendidos su objeto y cuantía, práctica que riñe con las normas que rigen la contratación estatal, particularmente con los principios de transparencia y de selección objetiva” (CORTE SUPREMA DE JUSTICIA. Sala Especial de Primera Instancia. Sentencia del 17 de marzo de 2022. Rad. 00267. M.P. Ariel Augusto Torres Rojas).</w:t>
      </w:r>
      <w:r w:rsidRPr="00E931C6">
        <w:rPr>
          <w:rFonts w:ascii="Verdana" w:hAnsi="Verdana"/>
          <w:sz w:val="16"/>
          <w:szCs w:val="16"/>
        </w:rPr>
        <w:t xml:space="preserve">  </w:t>
      </w:r>
    </w:p>
  </w:footnote>
  <w:footnote w:id="7">
    <w:p w14:paraId="45E98EF6" w14:textId="3CB3FA47" w:rsidR="009F7721" w:rsidRPr="00B36A13" w:rsidRDefault="009F7721" w:rsidP="00B36A13">
      <w:pPr>
        <w:pStyle w:val="Textonotapie"/>
        <w:ind w:firstLine="567"/>
        <w:jc w:val="both"/>
        <w:rPr>
          <w:rFonts w:ascii="Verdana" w:hAnsi="Verdana"/>
          <w:sz w:val="16"/>
          <w:szCs w:val="16"/>
          <w:lang w:val="es-ES_tradnl"/>
        </w:rPr>
      </w:pPr>
      <w:r w:rsidRPr="00B36A13">
        <w:rPr>
          <w:rStyle w:val="Refdenotaalpie"/>
          <w:rFonts w:ascii="Verdana" w:hAnsi="Verdana"/>
          <w:sz w:val="16"/>
          <w:szCs w:val="16"/>
        </w:rPr>
        <w:footnoteRef/>
      </w:r>
      <w:r w:rsidRPr="00B36A13">
        <w:rPr>
          <w:rFonts w:ascii="Verdana" w:hAnsi="Verdana"/>
          <w:sz w:val="16"/>
          <w:szCs w:val="16"/>
        </w:rPr>
        <w:t xml:space="preserve"> Cfr. CORTE SUPREMA DE JUSTICIA. Sala Especial de Primera Instancia. Sentencia del 23 de marzo de 2006. Rad. 21780. M.P. Edgar Lombana Trujillo.</w:t>
      </w:r>
    </w:p>
  </w:footnote>
  <w:footnote w:id="8">
    <w:p w14:paraId="48B27EDB" w14:textId="5E0DE423" w:rsidR="009F7721" w:rsidRPr="009F7721" w:rsidRDefault="009F7721" w:rsidP="00B36A13">
      <w:pPr>
        <w:pStyle w:val="Textonotapie"/>
        <w:ind w:firstLine="567"/>
        <w:jc w:val="both"/>
        <w:rPr>
          <w:lang w:val="es-ES_tradnl"/>
        </w:rPr>
      </w:pPr>
      <w:r w:rsidRPr="00B36A13">
        <w:rPr>
          <w:rStyle w:val="Refdenotaalpie"/>
          <w:rFonts w:ascii="Verdana" w:hAnsi="Verdana"/>
          <w:sz w:val="16"/>
          <w:szCs w:val="16"/>
        </w:rPr>
        <w:footnoteRef/>
      </w:r>
      <w:r w:rsidRPr="00B36A13">
        <w:rPr>
          <w:rFonts w:ascii="Verdana" w:hAnsi="Verdana"/>
          <w:sz w:val="16"/>
          <w:szCs w:val="16"/>
        </w:rPr>
        <w:t xml:space="preserve"> </w:t>
      </w:r>
      <w:r w:rsidRPr="00B36A13">
        <w:rPr>
          <w:rFonts w:ascii="Verdana" w:hAnsi="Verdana" w:cs="Arial"/>
          <w:sz w:val="16"/>
          <w:szCs w:val="16"/>
          <w:lang w:val="pt-PT"/>
        </w:rPr>
        <w:t xml:space="preserve">Rodríguez Tamayo, Mauricio Fernando. </w:t>
      </w:r>
      <w:r w:rsidRPr="00B36A13">
        <w:rPr>
          <w:rFonts w:ascii="Verdana" w:hAnsi="Verdana" w:cs="Arial"/>
          <w:sz w:val="16"/>
          <w:szCs w:val="16"/>
        </w:rPr>
        <w:t>Los contratos estatales, 3 edición, Bogotá, Tirant lo Blanch, 2022. Pág. 370.</w:t>
      </w:r>
    </w:p>
  </w:footnote>
  <w:footnote w:id="9">
    <w:p w14:paraId="30713DCF" w14:textId="3A780DD3" w:rsidR="00B36A13" w:rsidRPr="00B36A13" w:rsidRDefault="00B36A13" w:rsidP="00B36A13">
      <w:pPr>
        <w:pStyle w:val="Textonotapie"/>
        <w:ind w:firstLine="567"/>
        <w:jc w:val="both"/>
        <w:rPr>
          <w:rFonts w:ascii="Verdana" w:hAnsi="Verdana"/>
          <w:sz w:val="16"/>
          <w:szCs w:val="16"/>
          <w:lang w:val="es-ES_tradnl"/>
        </w:rPr>
      </w:pPr>
      <w:r w:rsidRPr="00B36A13">
        <w:rPr>
          <w:rStyle w:val="Refdenotaalpie"/>
          <w:rFonts w:ascii="Verdana" w:hAnsi="Verdana"/>
          <w:sz w:val="16"/>
          <w:szCs w:val="16"/>
        </w:rPr>
        <w:footnoteRef/>
      </w:r>
      <w:r w:rsidRPr="00B36A13">
        <w:rPr>
          <w:rFonts w:ascii="Verdana" w:hAnsi="Verdana"/>
          <w:sz w:val="16"/>
          <w:szCs w:val="16"/>
        </w:rPr>
        <w:t xml:space="preserve"> De forma análoga, la doctrina estima que “[…] como regla general, cuando se proceda a dividir el contrato en lotes, las normas procedimentales y los aspectos vinculados al principio de publicidad, que deban aplicarse a cada lote o parcela de prestación diferenciada, se determinará con base en el valor acumulado del conjunto de los lotes, calculado según lo establecido en la propia ley. No obstante lo anterior, se entenderá que cada lote constituirá un contrato, salvo en los casos de las ofertas integradoras adjudicadas, en los cuales se suscribirá un contrato por cada oferta integrada” (Cfr. CANÓNICO SARABIA, Alejandro. La contratación pública estratégica y el acceso de las PYMES. Santiago: Ediciones Olejnik, 2022. pp. 148-149).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3A62134E"/>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4856BAC"/>
    <w:multiLevelType w:val="hybridMultilevel"/>
    <w:tmpl w:val="FE269584"/>
    <w:lvl w:ilvl="0" w:tplc="A4C23EA4">
      <w:start w:val="1"/>
      <w:numFmt w:val="bullet"/>
      <w:lvlText w:val="-"/>
      <w:lvlJc w:val="left"/>
      <w:pPr>
        <w:tabs>
          <w:tab w:val="num" w:pos="720"/>
        </w:tabs>
        <w:ind w:left="720" w:hanging="360"/>
      </w:pPr>
      <w:rPr>
        <w:rFonts w:ascii="Times New Roman" w:eastAsia="Times New Roman" w:hAnsi="Times New Roman" w:cs="Times New Roman" w:hint="default"/>
      </w:rPr>
    </w:lvl>
    <w:lvl w:ilvl="1" w:tplc="24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190BA4"/>
    <w:multiLevelType w:val="hybridMultilevel"/>
    <w:tmpl w:val="2ED2866E"/>
    <w:lvl w:ilvl="0" w:tplc="AA806230">
      <w:start w:val="1"/>
      <w:numFmt w:val="decimal"/>
      <w:lvlText w:val="%1."/>
      <w:lvlJc w:val="left"/>
      <w:pPr>
        <w:ind w:left="1028" w:hanging="221"/>
      </w:pPr>
      <w:rPr>
        <w:rFonts w:ascii="Arial" w:eastAsia="Arial" w:hAnsi="Arial" w:cs="Arial" w:hint="default"/>
        <w:color w:val="auto"/>
        <w:spacing w:val="-2"/>
        <w:w w:val="100"/>
        <w:sz w:val="22"/>
        <w:szCs w:val="22"/>
        <w:lang w:val="es-ES" w:eastAsia="es-ES" w:bidi="es-ES"/>
      </w:rPr>
    </w:lvl>
    <w:lvl w:ilvl="1" w:tplc="053E5822">
      <w:numFmt w:val="bullet"/>
      <w:lvlText w:val="•"/>
      <w:lvlJc w:val="left"/>
      <w:pPr>
        <w:ind w:left="1846" w:hanging="221"/>
      </w:pPr>
      <w:rPr>
        <w:rFonts w:hint="default"/>
        <w:lang w:val="es-ES" w:eastAsia="es-ES" w:bidi="es-ES"/>
      </w:rPr>
    </w:lvl>
    <w:lvl w:ilvl="2" w:tplc="90242A8E">
      <w:numFmt w:val="bullet"/>
      <w:lvlText w:val="•"/>
      <w:lvlJc w:val="left"/>
      <w:pPr>
        <w:ind w:left="2672" w:hanging="221"/>
      </w:pPr>
      <w:rPr>
        <w:rFonts w:hint="default"/>
        <w:lang w:val="es-ES" w:eastAsia="es-ES" w:bidi="es-ES"/>
      </w:rPr>
    </w:lvl>
    <w:lvl w:ilvl="3" w:tplc="E160CF42">
      <w:numFmt w:val="bullet"/>
      <w:lvlText w:val="•"/>
      <w:lvlJc w:val="left"/>
      <w:pPr>
        <w:ind w:left="3498" w:hanging="221"/>
      </w:pPr>
      <w:rPr>
        <w:rFonts w:hint="default"/>
        <w:lang w:val="es-ES" w:eastAsia="es-ES" w:bidi="es-ES"/>
      </w:rPr>
    </w:lvl>
    <w:lvl w:ilvl="4" w:tplc="9B26973A">
      <w:numFmt w:val="bullet"/>
      <w:lvlText w:val="•"/>
      <w:lvlJc w:val="left"/>
      <w:pPr>
        <w:ind w:left="4324" w:hanging="221"/>
      </w:pPr>
      <w:rPr>
        <w:rFonts w:hint="default"/>
        <w:lang w:val="es-ES" w:eastAsia="es-ES" w:bidi="es-ES"/>
      </w:rPr>
    </w:lvl>
    <w:lvl w:ilvl="5" w:tplc="017409CE">
      <w:numFmt w:val="bullet"/>
      <w:lvlText w:val="•"/>
      <w:lvlJc w:val="left"/>
      <w:pPr>
        <w:ind w:left="5150" w:hanging="221"/>
      </w:pPr>
      <w:rPr>
        <w:rFonts w:hint="default"/>
        <w:lang w:val="es-ES" w:eastAsia="es-ES" w:bidi="es-ES"/>
      </w:rPr>
    </w:lvl>
    <w:lvl w:ilvl="6" w:tplc="870EC5D4">
      <w:numFmt w:val="bullet"/>
      <w:lvlText w:val="•"/>
      <w:lvlJc w:val="left"/>
      <w:pPr>
        <w:ind w:left="5976" w:hanging="221"/>
      </w:pPr>
      <w:rPr>
        <w:rFonts w:hint="default"/>
        <w:lang w:val="es-ES" w:eastAsia="es-ES" w:bidi="es-ES"/>
      </w:rPr>
    </w:lvl>
    <w:lvl w:ilvl="7" w:tplc="F4B4208E">
      <w:numFmt w:val="bullet"/>
      <w:lvlText w:val="•"/>
      <w:lvlJc w:val="left"/>
      <w:pPr>
        <w:ind w:left="6802" w:hanging="221"/>
      </w:pPr>
      <w:rPr>
        <w:rFonts w:hint="default"/>
        <w:lang w:val="es-ES" w:eastAsia="es-ES" w:bidi="es-ES"/>
      </w:rPr>
    </w:lvl>
    <w:lvl w:ilvl="8" w:tplc="55B09E2E">
      <w:numFmt w:val="bullet"/>
      <w:lvlText w:val="•"/>
      <w:lvlJc w:val="left"/>
      <w:pPr>
        <w:ind w:left="7628" w:hanging="221"/>
      </w:pPr>
      <w:rPr>
        <w:rFonts w:hint="default"/>
        <w:lang w:val="es-ES" w:eastAsia="es-ES" w:bidi="es-ES"/>
      </w:r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330140246">
    <w:abstractNumId w:val="0"/>
  </w:num>
  <w:num w:numId="17" w16cid:durableId="679089576">
    <w:abstractNumId w:val="9"/>
  </w:num>
  <w:num w:numId="18" w16cid:durableId="658970328">
    <w:abstractNumId w:val="10"/>
  </w:num>
  <w:num w:numId="19" w16cid:durableId="2029864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5492"/>
    <w:rsid w:val="00050308"/>
    <w:rsid w:val="00061B2A"/>
    <w:rsid w:val="00082362"/>
    <w:rsid w:val="00085B10"/>
    <w:rsid w:val="000A683E"/>
    <w:rsid w:val="000B19B9"/>
    <w:rsid w:val="000D0334"/>
    <w:rsid w:val="000E3552"/>
    <w:rsid w:val="000F6486"/>
    <w:rsid w:val="00125105"/>
    <w:rsid w:val="00127233"/>
    <w:rsid w:val="00141295"/>
    <w:rsid w:val="00151715"/>
    <w:rsid w:val="001642D3"/>
    <w:rsid w:val="001A068A"/>
    <w:rsid w:val="001C06AB"/>
    <w:rsid w:val="001E4177"/>
    <w:rsid w:val="001F7DC6"/>
    <w:rsid w:val="00220BAD"/>
    <w:rsid w:val="00232AC4"/>
    <w:rsid w:val="002421BB"/>
    <w:rsid w:val="0025796E"/>
    <w:rsid w:val="00266E77"/>
    <w:rsid w:val="002707A2"/>
    <w:rsid w:val="002951A0"/>
    <w:rsid w:val="002962BC"/>
    <w:rsid w:val="002A093D"/>
    <w:rsid w:val="002A0DD0"/>
    <w:rsid w:val="002A0E58"/>
    <w:rsid w:val="002A3491"/>
    <w:rsid w:val="002A49AC"/>
    <w:rsid w:val="002A622C"/>
    <w:rsid w:val="002A64FD"/>
    <w:rsid w:val="002C7A84"/>
    <w:rsid w:val="002E4FD9"/>
    <w:rsid w:val="002F7D1F"/>
    <w:rsid w:val="00303146"/>
    <w:rsid w:val="003127CD"/>
    <w:rsid w:val="00322A85"/>
    <w:rsid w:val="00324168"/>
    <w:rsid w:val="003448F4"/>
    <w:rsid w:val="00370085"/>
    <w:rsid w:val="00374F5E"/>
    <w:rsid w:val="00377E3E"/>
    <w:rsid w:val="00384061"/>
    <w:rsid w:val="003A26D1"/>
    <w:rsid w:val="003A779E"/>
    <w:rsid w:val="003B5E4C"/>
    <w:rsid w:val="003C01A4"/>
    <w:rsid w:val="003D0F4D"/>
    <w:rsid w:val="003D5B0D"/>
    <w:rsid w:val="003E0499"/>
    <w:rsid w:val="003F3941"/>
    <w:rsid w:val="00406575"/>
    <w:rsid w:val="0041513F"/>
    <w:rsid w:val="0042722E"/>
    <w:rsid w:val="0044528D"/>
    <w:rsid w:val="004A1847"/>
    <w:rsid w:val="004A305D"/>
    <w:rsid w:val="004C617D"/>
    <w:rsid w:val="004D6811"/>
    <w:rsid w:val="004F21C4"/>
    <w:rsid w:val="004F685F"/>
    <w:rsid w:val="005566E8"/>
    <w:rsid w:val="00561482"/>
    <w:rsid w:val="00574867"/>
    <w:rsid w:val="00591460"/>
    <w:rsid w:val="00592628"/>
    <w:rsid w:val="005C02BC"/>
    <w:rsid w:val="005C3777"/>
    <w:rsid w:val="005C5CDC"/>
    <w:rsid w:val="005D476C"/>
    <w:rsid w:val="00610812"/>
    <w:rsid w:val="006219F8"/>
    <w:rsid w:val="00650CC1"/>
    <w:rsid w:val="00650FF7"/>
    <w:rsid w:val="00665D70"/>
    <w:rsid w:val="00671DAC"/>
    <w:rsid w:val="00681EF0"/>
    <w:rsid w:val="006900D9"/>
    <w:rsid w:val="006C2F86"/>
    <w:rsid w:val="006D12F8"/>
    <w:rsid w:val="006D33AE"/>
    <w:rsid w:val="006D7BAD"/>
    <w:rsid w:val="00701AF0"/>
    <w:rsid w:val="00706C16"/>
    <w:rsid w:val="00756841"/>
    <w:rsid w:val="007649AB"/>
    <w:rsid w:val="00765362"/>
    <w:rsid w:val="00771D0C"/>
    <w:rsid w:val="007833AC"/>
    <w:rsid w:val="00785813"/>
    <w:rsid w:val="007B268C"/>
    <w:rsid w:val="007B7171"/>
    <w:rsid w:val="007C0C0F"/>
    <w:rsid w:val="007C2929"/>
    <w:rsid w:val="007C3DC2"/>
    <w:rsid w:val="007E5497"/>
    <w:rsid w:val="00806F5F"/>
    <w:rsid w:val="008137F6"/>
    <w:rsid w:val="00820278"/>
    <w:rsid w:val="00842C25"/>
    <w:rsid w:val="008470E5"/>
    <w:rsid w:val="008713CA"/>
    <w:rsid w:val="008843B6"/>
    <w:rsid w:val="00886DAA"/>
    <w:rsid w:val="00891928"/>
    <w:rsid w:val="0089293E"/>
    <w:rsid w:val="008A446D"/>
    <w:rsid w:val="008A7E15"/>
    <w:rsid w:val="008D180B"/>
    <w:rsid w:val="008F0EA7"/>
    <w:rsid w:val="00923EEF"/>
    <w:rsid w:val="009419F9"/>
    <w:rsid w:val="0095685E"/>
    <w:rsid w:val="00961B09"/>
    <w:rsid w:val="00964DB5"/>
    <w:rsid w:val="00965334"/>
    <w:rsid w:val="0097093E"/>
    <w:rsid w:val="009A0DFA"/>
    <w:rsid w:val="009A7827"/>
    <w:rsid w:val="009B2D26"/>
    <w:rsid w:val="009C71FA"/>
    <w:rsid w:val="009C72E7"/>
    <w:rsid w:val="009D3058"/>
    <w:rsid w:val="009F3A13"/>
    <w:rsid w:val="009F7721"/>
    <w:rsid w:val="00A11E3E"/>
    <w:rsid w:val="00A122D3"/>
    <w:rsid w:val="00A17F13"/>
    <w:rsid w:val="00A20739"/>
    <w:rsid w:val="00A33C78"/>
    <w:rsid w:val="00A51E03"/>
    <w:rsid w:val="00A565EC"/>
    <w:rsid w:val="00A573FF"/>
    <w:rsid w:val="00A81425"/>
    <w:rsid w:val="00AB0ADB"/>
    <w:rsid w:val="00B01B1A"/>
    <w:rsid w:val="00B039C8"/>
    <w:rsid w:val="00B074DA"/>
    <w:rsid w:val="00B36A13"/>
    <w:rsid w:val="00B41106"/>
    <w:rsid w:val="00B506ED"/>
    <w:rsid w:val="00B72CD3"/>
    <w:rsid w:val="00B72FFF"/>
    <w:rsid w:val="00B7336C"/>
    <w:rsid w:val="00B84736"/>
    <w:rsid w:val="00BC3D36"/>
    <w:rsid w:val="00BD7F72"/>
    <w:rsid w:val="00BF077A"/>
    <w:rsid w:val="00BF7921"/>
    <w:rsid w:val="00C01331"/>
    <w:rsid w:val="00C04FB3"/>
    <w:rsid w:val="00C330EB"/>
    <w:rsid w:val="00C36E15"/>
    <w:rsid w:val="00C53237"/>
    <w:rsid w:val="00C56787"/>
    <w:rsid w:val="00C754BE"/>
    <w:rsid w:val="00C76B1C"/>
    <w:rsid w:val="00CB6357"/>
    <w:rsid w:val="00CC1B26"/>
    <w:rsid w:val="00CD052B"/>
    <w:rsid w:val="00CE274E"/>
    <w:rsid w:val="00D141CF"/>
    <w:rsid w:val="00D423A2"/>
    <w:rsid w:val="00D520D8"/>
    <w:rsid w:val="00D63AC2"/>
    <w:rsid w:val="00D7383B"/>
    <w:rsid w:val="00DA231B"/>
    <w:rsid w:val="00DA23A0"/>
    <w:rsid w:val="00DC39FC"/>
    <w:rsid w:val="00DC5158"/>
    <w:rsid w:val="00DD64CF"/>
    <w:rsid w:val="00DE3002"/>
    <w:rsid w:val="00DF5254"/>
    <w:rsid w:val="00E007FB"/>
    <w:rsid w:val="00E13592"/>
    <w:rsid w:val="00E16408"/>
    <w:rsid w:val="00E20894"/>
    <w:rsid w:val="00E245AB"/>
    <w:rsid w:val="00E2764C"/>
    <w:rsid w:val="00E27F2E"/>
    <w:rsid w:val="00E32185"/>
    <w:rsid w:val="00E413EA"/>
    <w:rsid w:val="00E50AFE"/>
    <w:rsid w:val="00E75C92"/>
    <w:rsid w:val="00E771DC"/>
    <w:rsid w:val="00E8772A"/>
    <w:rsid w:val="00E90F6B"/>
    <w:rsid w:val="00E92C27"/>
    <w:rsid w:val="00EA0E3D"/>
    <w:rsid w:val="00EC38A7"/>
    <w:rsid w:val="00ED5CFD"/>
    <w:rsid w:val="00EE030F"/>
    <w:rsid w:val="00EE1AA8"/>
    <w:rsid w:val="00F31EDC"/>
    <w:rsid w:val="00F44EAD"/>
    <w:rsid w:val="00F462B3"/>
    <w:rsid w:val="00F5664F"/>
    <w:rsid w:val="00F666C4"/>
    <w:rsid w:val="00F76AFC"/>
    <w:rsid w:val="00F86C3A"/>
    <w:rsid w:val="00FA47C0"/>
    <w:rsid w:val="00FB5DD1"/>
    <w:rsid w:val="00FC2B5D"/>
    <w:rsid w:val="00FD37E4"/>
    <w:rsid w:val="00FF1449"/>
    <w:rsid w:val="00FF3433"/>
    <w:rsid w:val="5CEADB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5171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151715"/>
    <w:rPr>
      <w:rFonts w:ascii="Geomanist Light" w:hAnsi="Geomanist Light"/>
      <w:lang w:val="es-ES"/>
    </w:rPr>
  </w:style>
  <w:style w:type="paragraph" w:styleId="Textoindependiente">
    <w:name w:val="Body Text"/>
    <w:basedOn w:val="Normal"/>
    <w:link w:val="TextoindependienteCar"/>
    <w:uiPriority w:val="99"/>
    <w:unhideWhenUsed/>
    <w:rsid w:val="00151715"/>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151715"/>
    <w:rPr>
      <w:rFonts w:eastAsiaTheme="minorEastAsia"/>
      <w:lang w:eastAsia="es-CO"/>
    </w:rPr>
  </w:style>
  <w:style w:type="character" w:styleId="Refdecomentario">
    <w:name w:val="annotation reference"/>
    <w:basedOn w:val="Fuentedeprrafopredeter"/>
    <w:uiPriority w:val="99"/>
    <w:semiHidden/>
    <w:unhideWhenUsed/>
    <w:rsid w:val="00842C25"/>
    <w:rPr>
      <w:sz w:val="16"/>
      <w:szCs w:val="16"/>
    </w:rPr>
  </w:style>
  <w:style w:type="paragraph" w:styleId="Textocomentario">
    <w:name w:val="annotation text"/>
    <w:basedOn w:val="Normal"/>
    <w:link w:val="TextocomentarioCar"/>
    <w:uiPriority w:val="99"/>
    <w:semiHidden/>
    <w:unhideWhenUsed/>
    <w:rsid w:val="00842C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42C25"/>
    <w:rPr>
      <w:sz w:val="20"/>
      <w:szCs w:val="20"/>
    </w:rPr>
  </w:style>
  <w:style w:type="paragraph" w:styleId="Asuntodelcomentario">
    <w:name w:val="annotation subject"/>
    <w:basedOn w:val="Textocomentario"/>
    <w:next w:val="Textocomentario"/>
    <w:link w:val="AsuntodelcomentarioCar"/>
    <w:uiPriority w:val="99"/>
    <w:semiHidden/>
    <w:unhideWhenUsed/>
    <w:rsid w:val="00842C25"/>
    <w:rPr>
      <w:b/>
      <w:bCs/>
    </w:rPr>
  </w:style>
  <w:style w:type="character" w:customStyle="1" w:styleId="AsuntodelcomentarioCar">
    <w:name w:val="Asunto del comentario Car"/>
    <w:basedOn w:val="TextocomentarioCar"/>
    <w:link w:val="Asuntodelcomentario"/>
    <w:uiPriority w:val="99"/>
    <w:semiHidden/>
    <w:rsid w:val="00842C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5437">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2824882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43514720">
      <w:bodyDiv w:val="1"/>
      <w:marLeft w:val="0"/>
      <w:marRight w:val="0"/>
      <w:marTop w:val="0"/>
      <w:marBottom w:val="0"/>
      <w:divBdr>
        <w:top w:val="none" w:sz="0" w:space="0" w:color="auto"/>
        <w:left w:val="none" w:sz="0" w:space="0" w:color="auto"/>
        <w:bottom w:val="none" w:sz="0" w:space="0" w:color="auto"/>
        <w:right w:val="none" w:sz="0" w:space="0" w:color="auto"/>
      </w:divBdr>
    </w:div>
    <w:div w:id="2003848616">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cretaria.general@promotoraeventosyturismo.gov.c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6cb9e4b-f1d1-4245-83ec-6cad768d538a">
      <UserInfo>
        <DisplayName>Poxta IOIP</DisplayName>
        <AccountId>719</AccountId>
        <AccountType/>
      </UserInfo>
    </SharedWithUsers>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B8C0B-21A6-4ED7-805A-2D5604FBF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3.xml><?xml version="1.0" encoding="utf-8"?>
<ds:datastoreItem xmlns:ds="http://schemas.openxmlformats.org/officeDocument/2006/customXml" ds:itemID="{6B819C95-99F6-4018-8C99-62F7532FD5F5}">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20</Pages>
  <Words>6710</Words>
  <Characters>36911</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43534</CharactersWithSpaces>
  <SharedDoc>false</SharedDoc>
  <HLinks>
    <vt:vector size="18" baseType="variant">
      <vt:variant>
        <vt:i4>4980822</vt:i4>
      </vt:variant>
      <vt:variant>
        <vt:i4>6</vt:i4>
      </vt:variant>
      <vt:variant>
        <vt:i4>0</vt:i4>
      </vt:variant>
      <vt:variant>
        <vt:i4>5</vt:i4>
      </vt:variant>
      <vt:variant>
        <vt:lpwstr>https://www.colombiacompra.gov.co/sala-de-prensa/boletin-digital/boletin-de-relatoria-2024-iv</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3342431</vt:i4>
      </vt:variant>
      <vt:variant>
        <vt:i4>0</vt:i4>
      </vt:variant>
      <vt:variant>
        <vt:i4>0</vt:i4>
      </vt:variant>
      <vt:variant>
        <vt:i4>5</vt:i4>
      </vt:variant>
      <vt:variant>
        <vt:lpwstr>mailto:actosadministrativos@tulua.gov.co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13</cp:revision>
  <cp:lastPrinted>2023-01-10T21:18:00Z</cp:lastPrinted>
  <dcterms:created xsi:type="dcterms:W3CDTF">2024-11-13T18:44:00Z</dcterms:created>
  <dcterms:modified xsi:type="dcterms:W3CDTF">2026-07-20T22:53:00Z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