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Pr="001A6631" w:rsidR="001A6631" w:rsidP="001A6631" w:rsidRDefault="001A6631" w14:paraId="40A44457" w14:textId="67F54B7E">
      <w:pPr>
        <w:spacing w:after="0"/>
        <w:jc w:val="both"/>
        <w:rPr>
          <w:rFonts w:ascii="Verdana" w:hAnsi="Verdana" w:eastAsia="Verdana" w:cs="Verdana"/>
        </w:rPr>
      </w:pPr>
      <w:bookmarkStart w:name="_Hlk143780582" w:id="0"/>
      <w:r w:rsidRPr="001A6631">
        <w:rPr>
          <w:rFonts w:ascii="Verdana" w:hAnsi="Verdana" w:eastAsia="Calibri" w:cs="Arial"/>
          <w:b/>
          <w:bCs/>
          <w:kern w:val="2"/>
          <w:lang w:val="es-ES" w:eastAsia="es-ES"/>
          <w14:ligatures w14:val="standardContextual"/>
        </w:rPr>
        <w:t>SUBSANABILIDAD – Aplicación – R</w:t>
      </w:r>
      <w:r w:rsidRPr="001A6631">
        <w:rPr>
          <w:rFonts w:ascii="Verdana" w:hAnsi="Verdana" w:eastAsia="Calibri" w:cs="Times New Roman"/>
          <w:b/>
          <w:bCs/>
          <w:kern w:val="2"/>
          <w:lang w:val="es-ES" w:eastAsia="es-ES"/>
          <w14:ligatures w14:val="standardContextual"/>
        </w:rPr>
        <w:t>egla general</w:t>
      </w:r>
      <w:r w:rsidRPr="001A6631">
        <w:rPr>
          <w:rFonts w:ascii="Verdana" w:hAnsi="Verdana" w:eastAsia="Calibri" w:cs="Arial"/>
          <w:b/>
          <w:bCs/>
          <w:kern w:val="2"/>
          <w:lang w:val="es-ES" w:eastAsia="es-ES"/>
          <w14:ligatures w14:val="standardContextual"/>
        </w:rPr>
        <w:t xml:space="preserve"> – Excepciones </w:t>
      </w:r>
    </w:p>
    <w:p w:rsidRPr="001A6631" w:rsidR="001A6631" w:rsidP="001A6631" w:rsidRDefault="001A6631" w14:paraId="78DEA6BA" w14:textId="77777777">
      <w:pPr>
        <w:tabs>
          <w:tab w:val="left" w:pos="426"/>
        </w:tabs>
        <w:spacing w:after="0" w:line="276" w:lineRule="auto"/>
        <w:jc w:val="both"/>
        <w:rPr>
          <w:rFonts w:ascii="Verdana" w:hAnsi="Verdana" w:eastAsia="Calibri" w:cs="Arial"/>
          <w:b/>
          <w:kern w:val="2"/>
          <w:lang w:eastAsia="es-CO"/>
          <w14:ligatures w14:val="standardContextual"/>
        </w:rPr>
      </w:pPr>
    </w:p>
    <w:p w:rsidRPr="00A332B3" w:rsidR="001A6631" w:rsidP="001A6631" w:rsidRDefault="00F22746" w14:paraId="10AF27B5" w14:textId="0A39EA23">
      <w:pPr>
        <w:spacing w:after="0" w:line="240" w:lineRule="auto"/>
        <w:jc w:val="both"/>
        <w:rPr>
          <w:rFonts w:ascii="Verdana" w:hAnsi="Verdana" w:eastAsia="Times New Roman" w:cs="Arial"/>
          <w:sz w:val="20"/>
          <w:szCs w:val="20"/>
          <w:lang w:val="es-ES_tradnl" w:eastAsia="es-ES_tradnl"/>
        </w:rPr>
      </w:pPr>
      <w:r w:rsidRPr="00651026">
        <w:rPr>
          <w:rFonts w:ascii="Verdana" w:hAnsi="Verdana" w:eastAsia="Calibri" w:cs="Arial"/>
          <w:noProof/>
          <w:sz w:val="20"/>
          <w:szCs w:val="20"/>
          <w:lang w:val="es-ES_tradnl"/>
        </w:rPr>
        <w:t>L</w:t>
      </w:r>
      <w:r w:rsidRPr="00651026">
        <w:rPr>
          <w:rFonts w:ascii="Verdana" w:hAnsi="Verdana" w:eastAsia="Times New Roman" w:cs="Arial"/>
          <w:sz w:val="20"/>
          <w:szCs w:val="20"/>
        </w:rPr>
        <w:t xml:space="preserve">a regla de la </w:t>
      </w:r>
      <w:proofErr w:type="spellStart"/>
      <w:r w:rsidRPr="00651026">
        <w:rPr>
          <w:rFonts w:ascii="Verdana" w:hAnsi="Verdana" w:eastAsia="Times New Roman" w:cs="Arial"/>
          <w:sz w:val="20"/>
          <w:szCs w:val="20"/>
        </w:rPr>
        <w:t>subsanabilidad</w:t>
      </w:r>
      <w:proofErr w:type="spellEnd"/>
      <w:r w:rsidRPr="00651026">
        <w:rPr>
          <w:rFonts w:ascii="Verdana" w:hAnsi="Verdana" w:eastAsia="Times New Roman" w:cs="Arial"/>
          <w:sz w:val="20"/>
          <w:szCs w:val="20"/>
        </w:rPr>
        <w:t xml:space="preserve"> de las ofertas en los procedimientos de selección</w:t>
      </w:r>
      <w:r w:rsidRPr="00651026">
        <w:rPr>
          <w:rFonts w:ascii="Verdana" w:hAnsi="Verdana" w:eastAsia="Times New Roman" w:cs="Arial"/>
          <w:b/>
          <w:bCs/>
          <w:sz w:val="20"/>
          <w:szCs w:val="20"/>
        </w:rPr>
        <w:t xml:space="preserve"> </w:t>
      </w:r>
      <w:r w:rsidRPr="00651026">
        <w:rPr>
          <w:rFonts w:ascii="Verdana" w:hAnsi="Verdana" w:eastAsia="Times New Roman" w:cs="Arial"/>
          <w:sz w:val="20"/>
          <w:szCs w:val="20"/>
          <w:lang w:val="es-ES_tradnl" w:eastAsia="es-ES_tradnl"/>
        </w:rPr>
        <w:t>indica que, por regla general, la falta de entrega y los defectos en la acreditación de los requisitos habilitantes son aspectos subsanables. La excepción a esta regla se encuentra en la prohibición de permitir que se subsanen aspectos que otorgan puntaje, la acreditación de circunstancias ocurridas con posterioridad al cierre del proceso y de permitir la entrega de la garantía de seriedad de la oferta que no fue aportada con la propuesta.</w:t>
      </w:r>
    </w:p>
    <w:p w:rsidRPr="001A6631" w:rsidR="001A6631" w:rsidP="001A6631" w:rsidRDefault="001A6631" w14:paraId="2A93013A" w14:textId="77777777">
      <w:pPr>
        <w:spacing w:after="0" w:line="276" w:lineRule="auto"/>
        <w:jc w:val="both"/>
        <w:rPr>
          <w:rFonts w:ascii="Verdana" w:hAnsi="Verdana" w:eastAsia="Calibri" w:cs="Arial"/>
          <w:bCs/>
          <w:kern w:val="2"/>
          <w:lang w:val="es-ES_tradnl" w:eastAsia="es-CO"/>
          <w14:ligatures w14:val="standardContextual"/>
        </w:rPr>
      </w:pPr>
    </w:p>
    <w:p w:rsidRPr="001A6631" w:rsidR="001A6631" w:rsidP="001A6631" w:rsidRDefault="001A6631" w14:paraId="64A2E9EE" w14:textId="77777777">
      <w:pPr>
        <w:spacing w:after="0" w:line="276" w:lineRule="auto"/>
        <w:jc w:val="both"/>
        <w:rPr>
          <w:rFonts w:ascii="Verdana" w:hAnsi="Verdana" w:eastAsia="Calibri" w:cs="Arial"/>
          <w:b/>
          <w:bCs/>
          <w:kern w:val="2"/>
          <w:lang w:val="es-ES" w:eastAsia="es-ES"/>
          <w14:ligatures w14:val="standardContextual"/>
        </w:rPr>
      </w:pPr>
      <w:r w:rsidRPr="001A6631">
        <w:rPr>
          <w:rFonts w:ascii="Verdana" w:hAnsi="Verdana" w:eastAsia="Calibri" w:cs="Arial"/>
          <w:b/>
          <w:bCs/>
          <w:kern w:val="2"/>
          <w:lang w:val="es-ES" w:eastAsia="es-ES"/>
          <w14:ligatures w14:val="standardContextual"/>
        </w:rPr>
        <w:t>SUBSANABILIDAD – Ley 1882 de 2018</w:t>
      </w:r>
    </w:p>
    <w:p w:rsidRPr="001A6631" w:rsidR="001A6631" w:rsidP="001A6631" w:rsidRDefault="001A6631" w14:paraId="58F543D3" w14:textId="77777777">
      <w:pPr>
        <w:spacing w:after="0" w:line="276" w:lineRule="auto"/>
        <w:jc w:val="both"/>
        <w:rPr>
          <w:rFonts w:ascii="Verdana" w:hAnsi="Verdana" w:eastAsia="Times New Roman" w:cs="Arial"/>
          <w:kern w:val="2"/>
          <w:lang w:val="es-ES" w:eastAsia="es-ES_tradnl"/>
          <w14:ligatures w14:val="standardContextual"/>
        </w:rPr>
      </w:pPr>
    </w:p>
    <w:p w:rsidRPr="00395F7D" w:rsidR="001A6631" w:rsidP="001A6631" w:rsidRDefault="001A6631" w14:paraId="5437D2DD" w14:textId="6FDDE9A1">
      <w:pPr>
        <w:spacing w:after="0" w:line="240" w:lineRule="auto"/>
        <w:jc w:val="both"/>
        <w:rPr>
          <w:rFonts w:ascii="Verdana" w:hAnsi="Verdana" w:eastAsia="Calibri" w:cs="Arial"/>
          <w:bCs/>
          <w:kern w:val="2"/>
          <w:sz w:val="20"/>
          <w:szCs w:val="20"/>
          <w:lang w:eastAsia="es-CO"/>
          <w14:ligatures w14:val="standardContextual"/>
        </w:rPr>
      </w:pPr>
      <w:r w:rsidRPr="00395F7D">
        <w:rPr>
          <w:rFonts w:ascii="Verdana" w:hAnsi="Verdana" w:eastAsia="Calibri" w:cs="Arial"/>
          <w:bCs/>
          <w:kern w:val="2"/>
          <w:sz w:val="20"/>
          <w:szCs w:val="20"/>
          <w:lang w:eastAsia="es-CO"/>
          <w14:ligatures w14:val="standardContextual"/>
        </w:rPr>
        <w:t xml:space="preserve">[…] </w:t>
      </w:r>
      <w:r w:rsidRPr="00395F7D" w:rsidR="00F22746">
        <w:rPr>
          <w:rFonts w:ascii="Verdana" w:hAnsi="Verdana" w:eastAsia="Times New Roman" w:cs="Arial"/>
          <w:sz w:val="20"/>
          <w:szCs w:val="20"/>
          <w:lang w:val="es-ES" w:eastAsia="es-ES"/>
        </w:rPr>
        <w:t xml:space="preserve">la Ley 1882 de 2018: i) mantiene el criterio de la Ley 80 de 1993, relativo a que todo lo que no sea necesario para la comparación de propuestas no es título suficiente para su rechazo; </w:t>
      </w:r>
      <w:proofErr w:type="spellStart"/>
      <w:r w:rsidRPr="00395F7D" w:rsidR="00F22746">
        <w:rPr>
          <w:rFonts w:ascii="Verdana" w:hAnsi="Verdana" w:eastAsia="Times New Roman" w:cs="Arial"/>
          <w:sz w:val="20"/>
          <w:szCs w:val="20"/>
          <w:lang w:val="es-ES" w:eastAsia="es-ES"/>
        </w:rPr>
        <w:t>ii</w:t>
      </w:r>
      <w:proofErr w:type="spellEnd"/>
      <w:r w:rsidRPr="00395F7D" w:rsidR="00F22746">
        <w:rPr>
          <w:rFonts w:ascii="Verdana" w:hAnsi="Verdana" w:eastAsia="Times New Roman" w:cs="Arial"/>
          <w:sz w:val="20"/>
          <w:szCs w:val="20"/>
          <w:lang w:val="es-ES" w:eastAsia="es-ES"/>
        </w:rPr>
        <w:t xml:space="preserve">) mantiene el criterio aclaratorio de la Ley 1150 de 2007, según el cual todo lo que no afecte la asignación de puntaje puede subsanarse; y, </w:t>
      </w:r>
      <w:proofErr w:type="spellStart"/>
      <w:r w:rsidRPr="00395F7D" w:rsidR="00F22746">
        <w:rPr>
          <w:rFonts w:ascii="Verdana" w:hAnsi="Verdana" w:eastAsia="Times New Roman" w:cs="Arial"/>
          <w:sz w:val="20"/>
          <w:szCs w:val="20"/>
          <w:lang w:val="es-ES" w:eastAsia="es-ES"/>
        </w:rPr>
        <w:t>iii</w:t>
      </w:r>
      <w:proofErr w:type="spellEnd"/>
      <w:r w:rsidRPr="00395F7D" w:rsidR="00F22746">
        <w:rPr>
          <w:rFonts w:ascii="Verdana" w:hAnsi="Verdana" w:eastAsia="Times New Roman" w:cs="Arial"/>
          <w:sz w:val="20"/>
          <w:szCs w:val="20"/>
          <w:lang w:val="es-ES" w:eastAsia="es-ES"/>
        </w:rPr>
        <w:t>) introduce modificaciones en relación con algunos aspectos que se analizarán a continuación.</w:t>
      </w:r>
    </w:p>
    <w:p w:rsidRPr="001A6631" w:rsidR="001A6631" w:rsidP="001A6631" w:rsidRDefault="001A6631" w14:paraId="7CA1409F" w14:textId="77777777">
      <w:pPr>
        <w:spacing w:after="0" w:line="276" w:lineRule="auto"/>
        <w:jc w:val="both"/>
        <w:rPr>
          <w:rFonts w:ascii="Verdana" w:hAnsi="Verdana" w:eastAsia="Calibri" w:cs="Arial"/>
          <w:b/>
          <w:bCs/>
          <w:kern w:val="2"/>
          <w:lang w:eastAsia="es-ES"/>
          <w14:ligatures w14:val="standardContextual"/>
        </w:rPr>
      </w:pPr>
    </w:p>
    <w:p w:rsidRPr="001A6631" w:rsidR="001A6631" w:rsidP="001A6631" w:rsidRDefault="001A6631" w14:paraId="513919E2" w14:textId="77777777">
      <w:pPr>
        <w:spacing w:after="0" w:line="276" w:lineRule="auto"/>
        <w:jc w:val="both"/>
        <w:rPr>
          <w:rFonts w:ascii="Verdana" w:hAnsi="Verdana" w:eastAsia="Calibri" w:cs="Arial"/>
          <w:b/>
          <w:bCs/>
          <w:color w:val="000000"/>
          <w:kern w:val="2"/>
          <w14:ligatures w14:val="standardContextual"/>
        </w:rPr>
      </w:pPr>
      <w:r w:rsidRPr="001A6631">
        <w:rPr>
          <w:rFonts w:ascii="Verdana" w:hAnsi="Verdana" w:eastAsia="Calibri" w:cs="Arial"/>
          <w:b/>
          <w:bCs/>
          <w:color w:val="000000"/>
          <w:kern w:val="2"/>
          <w14:ligatures w14:val="standardContextual"/>
        </w:rPr>
        <w:t>SUBSANABILIDAD – Circunstancias posteriores – Cierre del proceso – Prueba</w:t>
      </w:r>
    </w:p>
    <w:p w:rsidRPr="001A6631" w:rsidR="001A6631" w:rsidP="001A6631" w:rsidRDefault="001A6631" w14:paraId="16A2D257" w14:textId="77777777">
      <w:pPr>
        <w:spacing w:after="0" w:line="276" w:lineRule="auto"/>
        <w:jc w:val="both"/>
        <w:rPr>
          <w:rFonts w:ascii="Verdana" w:hAnsi="Verdana" w:eastAsia="Calibri" w:cs="Times New Roman"/>
          <w:color w:val="000000"/>
          <w:kern w:val="2"/>
          <w:lang w:val="es-ES_tradnl"/>
          <w14:ligatures w14:val="standardContextual"/>
        </w:rPr>
      </w:pPr>
    </w:p>
    <w:p w:rsidRPr="00395F7D" w:rsidR="001A6631" w:rsidP="001A6631" w:rsidRDefault="001A6631" w14:paraId="7F6C01E8" w14:textId="1A51BB45">
      <w:pPr>
        <w:spacing w:after="0" w:line="240" w:lineRule="auto"/>
        <w:jc w:val="both"/>
        <w:rPr>
          <w:rFonts w:ascii="Verdana" w:hAnsi="Verdana" w:eastAsia="Calibri" w:cs="Times New Roman"/>
          <w:color w:val="000000"/>
          <w:kern w:val="2"/>
          <w:sz w:val="20"/>
          <w:szCs w:val="20"/>
          <w:lang w:val="es-ES"/>
          <w14:ligatures w14:val="standardContextual"/>
        </w:rPr>
      </w:pPr>
      <w:r w:rsidRPr="00395F7D">
        <w:rPr>
          <w:rFonts w:ascii="Verdana" w:hAnsi="Verdana" w:eastAsia="Calibri" w:cs="Times New Roman"/>
          <w:color w:val="000000"/>
          <w:kern w:val="2"/>
          <w:sz w:val="20"/>
          <w:szCs w:val="20"/>
          <w:lang w:val="es-ES"/>
          <w14:ligatures w14:val="standardContextual"/>
        </w:rPr>
        <w:t xml:space="preserve">[…] </w:t>
      </w:r>
      <w:r w:rsidRPr="00395F7D" w:rsidR="00F22746">
        <w:rPr>
          <w:rFonts w:ascii="Verdana" w:hAnsi="Verdana" w:eastAsia="Times New Roman" w:cs="Arial"/>
          <w:sz w:val="20"/>
          <w:szCs w:val="20"/>
          <w:lang w:val="es-ES" w:eastAsia="es-ES"/>
        </w:rPr>
        <w:t xml:space="preserve">no es la prueba –usualmente un documento– lo que debe ser anterior al cierre del proceso, sino el hecho que ella acredita. Es decir, ante la solicitud de la Administración de subsanar determinado requisito, el documento podría estar fechado con posterioridad al vencimiento del término para recibir propuestas, siempre y cuando el hecho que acredite haya ocurrido antes, esto es, que no sea una circunstancia ocurrida con posterioridad al cierre del proceso. Es por esto </w:t>
      </w:r>
      <w:proofErr w:type="gramStart"/>
      <w:r w:rsidRPr="00395F7D" w:rsidR="00F22746">
        <w:rPr>
          <w:rFonts w:ascii="Verdana" w:hAnsi="Verdana" w:eastAsia="Times New Roman" w:cs="Arial"/>
          <w:sz w:val="20"/>
          <w:szCs w:val="20"/>
          <w:lang w:val="es-ES" w:eastAsia="es-ES"/>
        </w:rPr>
        <w:t>que</w:t>
      </w:r>
      <w:proofErr w:type="gramEnd"/>
      <w:r w:rsidRPr="00395F7D" w:rsidR="00F22746">
        <w:rPr>
          <w:rFonts w:ascii="Verdana" w:hAnsi="Verdana" w:eastAsia="Times New Roman" w:cs="Arial"/>
          <w:sz w:val="20"/>
          <w:szCs w:val="20"/>
          <w:lang w:val="es-ES" w:eastAsia="es-ES"/>
        </w:rPr>
        <w:t xml:space="preserve"> el Consejo de Estado sostiene que “lo que se subsana es la prueba y no la condición habilitante o un elemento de la propuesta [...] lo que se puede remediar es la prueba y no el requisito: La posibilidad debe recaer exclusivamente sobre circunstancias acaecidas antes del cierre del respectivo proceso, esto es, del vencimiento del plazo para presentar ofertas”.</w:t>
      </w:r>
    </w:p>
    <w:p w:rsidRPr="001A6631" w:rsidR="001A6631" w:rsidP="001A6631" w:rsidRDefault="001A6631" w14:paraId="6D922B39" w14:textId="77777777">
      <w:pPr>
        <w:spacing w:line="276" w:lineRule="auto"/>
        <w:contextualSpacing/>
        <w:jc w:val="both"/>
        <w:rPr>
          <w:rFonts w:ascii="Verdana" w:hAnsi="Verdana" w:eastAsia="Aptos" w:cs="Arial"/>
          <w:b/>
          <w:bCs/>
          <w:color w:val="000000"/>
          <w:kern w:val="2"/>
          <w:lang w:val="es-ES_tradnl"/>
          <w14:ligatures w14:val="standardContextual"/>
        </w:rPr>
      </w:pPr>
    </w:p>
    <w:p w:rsidRPr="001A6631" w:rsidR="001A6631" w:rsidP="001A6631" w:rsidRDefault="001A6631" w14:paraId="1B9112FC" w14:textId="77777777">
      <w:pPr>
        <w:spacing w:after="0" w:line="276" w:lineRule="auto"/>
        <w:jc w:val="both"/>
        <w:rPr>
          <w:rFonts w:ascii="Verdana" w:hAnsi="Verdana" w:eastAsia="Geomanist Light" w:cs="Arial"/>
          <w:b/>
          <w:bCs/>
          <w:lang w:val="es-ES_tradnl"/>
        </w:rPr>
      </w:pPr>
      <w:r w:rsidRPr="001A6631">
        <w:rPr>
          <w:rFonts w:ascii="Verdana" w:hAnsi="Verdana" w:eastAsia="Geomanist Light" w:cs="Arial"/>
          <w:b/>
          <w:bCs/>
          <w:lang w:val="es-ES_tradnl"/>
        </w:rPr>
        <w:t>SUBSANABILIDAD – Oportunidad – Informe de evaluación – Publicación – Documentos tipo de infraestructura de transporte – Deber de aportar los documentos faltantes</w:t>
      </w:r>
    </w:p>
    <w:p w:rsidRPr="001A6631" w:rsidR="001A6631" w:rsidP="001A6631" w:rsidRDefault="001A6631" w14:paraId="279208F8" w14:textId="77777777">
      <w:pPr>
        <w:spacing w:after="0" w:line="240" w:lineRule="auto"/>
        <w:rPr>
          <w:rFonts w:ascii="Verdana" w:hAnsi="Verdana" w:eastAsia="Geomanist Light" w:cs="Arial"/>
          <w:lang w:val="es-ES_tradnl"/>
        </w:rPr>
      </w:pPr>
    </w:p>
    <w:p w:rsidR="004450C9" w:rsidP="00410737" w:rsidRDefault="004450C9" w14:paraId="7E1B000F" w14:textId="77777777">
      <w:pPr>
        <w:spacing w:after="0" w:line="240" w:lineRule="auto"/>
        <w:jc w:val="both"/>
        <w:rPr>
          <w:rFonts w:ascii="Verdana" w:hAnsi="Verdana" w:eastAsia="Calibri" w:cs="Arial"/>
          <w:color w:val="000000"/>
          <w:sz w:val="20"/>
          <w:szCs w:val="20"/>
        </w:rPr>
      </w:pPr>
      <w:r w:rsidRPr="00410737">
        <w:rPr>
          <w:rFonts w:ascii="Verdana" w:hAnsi="Verdana" w:eastAsia="Calibri" w:cs="Arial"/>
          <w:color w:val="000000"/>
          <w:sz w:val="20"/>
          <w:szCs w:val="20"/>
        </w:rPr>
        <w:t xml:space="preserve">[…] </w:t>
      </w:r>
      <w:r w:rsidRPr="00410737">
        <w:rPr>
          <w:rFonts w:ascii="Verdana" w:hAnsi="Verdana" w:eastAsia="Calibri" w:cs="Arial"/>
          <w:color w:val="000000"/>
          <w:sz w:val="20"/>
          <w:szCs w:val="20"/>
        </w:rPr>
        <w:t xml:space="preserve">se tiene que las entidades contratantes deben publicar en SECOP, durante cinco (5) días hábiles, el informe de evaluación relacionado con los requisitos habilitantes y documentos a los que se les asigne puntaje, diferentes a la oferta económica. Durante este término, los proponentes podrán realizar las observaciones que consideren, así como entregar los documentos e información requerida conforme al numeral 1.6 </w:t>
      </w:r>
      <w:r w:rsidRPr="00410737">
        <w:rPr>
          <w:rFonts w:ascii="Verdana" w:hAnsi="Verdana" w:eastAsia="Calibri" w:cs="Arial"/>
          <w:color w:val="000000"/>
          <w:sz w:val="20"/>
          <w:szCs w:val="20"/>
        </w:rPr>
        <w:lastRenderedPageBreak/>
        <w:t>“REGLAS DE SUBSANABILIDAD, EXPLICACIONES Y ACLARACIONES” del documento base, sin perjuicio de que ya lo hubieren hecho en un momento anterior.</w:t>
      </w:r>
    </w:p>
    <w:p w:rsidRPr="00410737" w:rsidR="00410737" w:rsidP="00410737" w:rsidRDefault="00410737" w14:paraId="4DFD7FE0" w14:textId="77777777">
      <w:pPr>
        <w:spacing w:after="0" w:line="240" w:lineRule="auto"/>
        <w:jc w:val="both"/>
        <w:rPr>
          <w:rFonts w:ascii="Verdana" w:hAnsi="Verdana" w:eastAsia="Calibri" w:cs="Arial"/>
          <w:color w:val="000000"/>
          <w:sz w:val="20"/>
          <w:szCs w:val="20"/>
        </w:rPr>
      </w:pPr>
    </w:p>
    <w:p w:rsidR="004450C9" w:rsidP="00410737" w:rsidRDefault="004450C9" w14:paraId="6CDE2E91" w14:textId="77777777">
      <w:pPr>
        <w:spacing w:after="0" w:line="240" w:lineRule="auto"/>
        <w:jc w:val="both"/>
        <w:rPr>
          <w:rFonts w:ascii="Verdana" w:hAnsi="Verdana" w:eastAsia="Calibri" w:cs="Arial"/>
          <w:color w:val="000000"/>
          <w:sz w:val="20"/>
          <w:szCs w:val="20"/>
        </w:rPr>
      </w:pPr>
      <w:r w:rsidRPr="00410737">
        <w:rPr>
          <w:rFonts w:ascii="Verdana" w:hAnsi="Verdana" w:eastAsia="Calibri" w:cs="Arial"/>
          <w:color w:val="000000"/>
          <w:sz w:val="20"/>
          <w:szCs w:val="20"/>
        </w:rPr>
        <w:t xml:space="preserve">A su turno, con posterioridad al vencimiento del plazo para presentar observaciones y a más tardar el día antes de la audiencia efectiva de adjudicación, la entidad debe publicar el informe final de evaluación, en caso de que haya sufrido alteraciones. </w:t>
      </w:r>
    </w:p>
    <w:p w:rsidRPr="00410737" w:rsidR="00410737" w:rsidP="00410737" w:rsidRDefault="00410737" w14:paraId="02CDA396" w14:textId="77777777">
      <w:pPr>
        <w:spacing w:after="0" w:line="240" w:lineRule="auto"/>
        <w:jc w:val="both"/>
        <w:rPr>
          <w:rFonts w:ascii="Verdana" w:hAnsi="Verdana" w:eastAsia="Calibri" w:cs="Arial"/>
          <w:color w:val="000000"/>
          <w:sz w:val="20"/>
          <w:szCs w:val="20"/>
        </w:rPr>
      </w:pPr>
    </w:p>
    <w:p w:rsidRPr="00410737" w:rsidR="004450C9" w:rsidP="00410737" w:rsidRDefault="004450C9" w14:paraId="22AD58E7" w14:textId="77777777">
      <w:pPr>
        <w:spacing w:after="0" w:line="240" w:lineRule="auto"/>
        <w:jc w:val="both"/>
        <w:rPr>
          <w:rFonts w:ascii="Verdana" w:hAnsi="Verdana" w:eastAsia="Calibri" w:cs="Arial"/>
          <w:color w:val="000000"/>
          <w:sz w:val="20"/>
          <w:szCs w:val="20"/>
        </w:rPr>
      </w:pPr>
      <w:r w:rsidRPr="00410737">
        <w:rPr>
          <w:rFonts w:ascii="Verdana" w:hAnsi="Verdana" w:eastAsia="Calibri" w:cs="Arial"/>
          <w:color w:val="000000"/>
          <w:sz w:val="20"/>
          <w:szCs w:val="20"/>
        </w:rPr>
        <w:t xml:space="preserve">Finalmente, conviene advertir que, en atención a lo dispuesto en el numeral 2.6 del documento base, que señala las reglas que conciernen a la </w:t>
      </w:r>
      <w:r w:rsidRPr="00410737">
        <w:rPr>
          <w:rFonts w:ascii="Verdana" w:hAnsi="Verdana" w:eastAsia="Calibri" w:cs="Arial"/>
          <w:i/>
          <w:iCs/>
          <w:color w:val="000000"/>
          <w:sz w:val="20"/>
          <w:szCs w:val="20"/>
        </w:rPr>
        <w:t>audiencia efectiva de adjudicación,</w:t>
      </w:r>
      <w:r w:rsidRPr="00410737">
        <w:rPr>
          <w:rFonts w:ascii="Verdana" w:hAnsi="Verdana" w:eastAsia="Calibri" w:cs="Arial"/>
          <w:color w:val="000000"/>
          <w:sz w:val="20"/>
          <w:szCs w:val="20"/>
        </w:rPr>
        <w:t xml:space="preserve"> al inicio de la misma, la entidad otorgará la palabra a los proponentes para presentar las observaciones al informe final de evaluación, lo cual no podrá entenderse como una oportunidad adicional para aportar documentos o elementos que no hayan sido incorporados en el plazo definido en el numeral 1.6. Esto, sin perjuicio de la potestad de la entidad de realizar las verificaciones que considere pertinentes para la adecuada selección del contratista.</w:t>
      </w:r>
    </w:p>
    <w:p w:rsidRPr="001A6631" w:rsidR="001A6631" w:rsidP="004450C9" w:rsidRDefault="001A6631" w14:paraId="6AB303A4" w14:textId="6F3862DE">
      <w:pPr>
        <w:spacing w:after="0" w:line="240" w:lineRule="auto"/>
        <w:jc w:val="both"/>
        <w:rPr>
          <w:rFonts w:ascii="Verdana" w:hAnsi="Verdana" w:eastAsia="Calibri" w:cs="Arial"/>
          <w:color w:val="000000"/>
          <w:sz w:val="20"/>
          <w:szCs w:val="20"/>
        </w:rPr>
      </w:pPr>
    </w:p>
    <w:p w:rsidRPr="001A6631" w:rsidR="001A6631" w:rsidP="001A6631" w:rsidRDefault="001A6631" w14:paraId="709F9234" w14:textId="77777777">
      <w:pPr>
        <w:spacing w:after="0" w:line="240" w:lineRule="auto"/>
        <w:jc w:val="both"/>
        <w:rPr>
          <w:rFonts w:ascii="Verdana" w:hAnsi="Verdana" w:eastAsia="Calibri" w:cs="Arial"/>
          <w:color w:val="000000"/>
          <w:sz w:val="20"/>
          <w:szCs w:val="20"/>
        </w:rPr>
      </w:pPr>
    </w:p>
    <w:p w:rsidRPr="001A6631" w:rsidR="001A6631" w:rsidP="001A6631" w:rsidRDefault="001A6631" w14:paraId="34B8B6BF" w14:textId="77777777">
      <w:pPr>
        <w:spacing w:after="0" w:line="240" w:lineRule="auto"/>
        <w:rPr>
          <w:rFonts w:ascii="Verdana" w:hAnsi="Verdana" w:eastAsia="Geomanist Light" w:cs="Arial"/>
          <w:sz w:val="20"/>
          <w:szCs w:val="20"/>
          <w:lang w:val="es-ES_tradnl"/>
        </w:rPr>
      </w:pPr>
    </w:p>
    <w:p w:rsidRPr="001A6631" w:rsidR="001A6631" w:rsidP="001A6631" w:rsidRDefault="001A6631" w14:paraId="2D479FEB" w14:textId="77777777">
      <w:pPr>
        <w:spacing w:after="0" w:line="240" w:lineRule="auto"/>
        <w:rPr>
          <w:rFonts w:ascii="Verdana" w:hAnsi="Verdana" w:eastAsia="Calibri" w:cs="Times New Roman"/>
          <w:lang w:val="es-ES_tradnl"/>
        </w:rPr>
      </w:pPr>
    </w:p>
    <w:p w:rsidRPr="001A6631" w:rsidR="001A6631" w:rsidP="001A6631" w:rsidRDefault="001A6631" w14:paraId="2FCECEBE" w14:textId="77777777">
      <w:pPr>
        <w:spacing w:after="0" w:line="240" w:lineRule="auto"/>
        <w:rPr>
          <w:rFonts w:ascii="Verdana" w:hAnsi="Verdana" w:eastAsia="Calibri" w:cs="Times New Roman"/>
          <w:lang w:val="es-ES_tradnl"/>
        </w:rPr>
      </w:pPr>
    </w:p>
    <w:p w:rsidRPr="001A6631" w:rsidR="001A6631" w:rsidP="001A6631" w:rsidRDefault="001A6631" w14:paraId="2BDE16BB" w14:textId="77777777">
      <w:pPr>
        <w:spacing w:after="0" w:line="240" w:lineRule="auto"/>
        <w:rPr>
          <w:rFonts w:ascii="Verdana" w:hAnsi="Verdana" w:eastAsia="Calibri" w:cs="Times New Roman"/>
          <w:lang w:val="es-ES_tradnl"/>
        </w:rPr>
      </w:pPr>
    </w:p>
    <w:p w:rsidRPr="001A6631" w:rsidR="001A6631" w:rsidP="001A6631" w:rsidRDefault="001A6631" w14:paraId="021AD742" w14:textId="77777777">
      <w:pPr>
        <w:spacing w:after="0" w:line="240" w:lineRule="auto"/>
        <w:jc w:val="both"/>
        <w:rPr>
          <w:rFonts w:ascii="Verdana" w:hAnsi="Verdana" w:eastAsia="Calibri" w:cs="Times New Roman"/>
          <w:lang w:val="es-ES_tradnl"/>
        </w:rPr>
      </w:pPr>
    </w:p>
    <w:p w:rsidRPr="001A6631" w:rsidR="001A6631" w:rsidP="001A6631" w:rsidRDefault="001A6631" w14:paraId="5AC0B1DA" w14:textId="77777777">
      <w:pPr>
        <w:spacing w:after="0" w:line="240" w:lineRule="auto"/>
        <w:jc w:val="both"/>
        <w:rPr>
          <w:rFonts w:ascii="Verdana" w:hAnsi="Verdana" w:eastAsia="Calibri" w:cs="Times New Roman"/>
          <w:lang w:val="es-ES_tradnl"/>
        </w:rPr>
      </w:pPr>
    </w:p>
    <w:p w:rsidRPr="001A6631" w:rsidR="001A6631" w:rsidP="001A6631" w:rsidRDefault="001A6631" w14:paraId="2D73DEDA" w14:textId="77777777">
      <w:pPr>
        <w:spacing w:after="0" w:line="240" w:lineRule="auto"/>
        <w:jc w:val="both"/>
        <w:rPr>
          <w:rFonts w:ascii="Verdana" w:hAnsi="Verdana" w:eastAsia="Calibri" w:cs="Times New Roman"/>
          <w:lang w:val="es-ES_tradnl"/>
        </w:rPr>
      </w:pPr>
    </w:p>
    <w:p w:rsidRPr="001A6631" w:rsidR="001A6631" w:rsidP="001A6631" w:rsidRDefault="001A6631" w14:paraId="513915D4" w14:textId="77777777">
      <w:pPr>
        <w:spacing w:after="0" w:line="240" w:lineRule="auto"/>
        <w:jc w:val="both"/>
        <w:rPr>
          <w:rFonts w:ascii="Verdana" w:hAnsi="Verdana" w:eastAsia="Calibri" w:cs="Times New Roman"/>
          <w:lang w:val="es-ES_tradnl"/>
        </w:rPr>
      </w:pPr>
    </w:p>
    <w:p w:rsidRPr="001A6631" w:rsidR="001A6631" w:rsidP="001A6631" w:rsidRDefault="001A6631" w14:paraId="16074E8B" w14:textId="77777777">
      <w:pPr>
        <w:spacing w:after="0" w:line="240" w:lineRule="auto"/>
        <w:jc w:val="both"/>
        <w:rPr>
          <w:rFonts w:ascii="Verdana" w:hAnsi="Verdana" w:eastAsia="Calibri" w:cs="Times New Roman"/>
          <w:lang w:val="es-ES_tradnl"/>
        </w:rPr>
      </w:pPr>
    </w:p>
    <w:p w:rsidRPr="001A6631" w:rsidR="001A6631" w:rsidP="001A6631" w:rsidRDefault="001A6631" w14:paraId="315CECE2" w14:textId="77777777">
      <w:pPr>
        <w:spacing w:after="0" w:line="240" w:lineRule="auto"/>
        <w:jc w:val="both"/>
        <w:rPr>
          <w:rFonts w:ascii="Verdana" w:hAnsi="Verdana" w:eastAsia="Calibri" w:cs="Times New Roman"/>
          <w:lang w:val="es-ES_tradnl"/>
        </w:rPr>
      </w:pPr>
    </w:p>
    <w:p w:rsidRPr="001A6631" w:rsidR="001A6631" w:rsidP="001A6631" w:rsidRDefault="001A6631" w14:paraId="54F87164" w14:textId="77777777">
      <w:pPr>
        <w:spacing w:after="0" w:line="240" w:lineRule="auto"/>
        <w:jc w:val="both"/>
        <w:rPr>
          <w:rFonts w:ascii="Verdana" w:hAnsi="Verdana" w:eastAsia="Calibri" w:cs="Times New Roman"/>
          <w:lang w:val="es-ES_tradnl"/>
        </w:rPr>
      </w:pPr>
    </w:p>
    <w:p w:rsidRPr="001A6631" w:rsidR="001A6631" w:rsidP="001A6631" w:rsidRDefault="001A6631" w14:paraId="5A22FA9E" w14:textId="77777777">
      <w:pPr>
        <w:spacing w:after="0" w:line="240" w:lineRule="auto"/>
        <w:jc w:val="both"/>
        <w:rPr>
          <w:rFonts w:ascii="Verdana" w:hAnsi="Verdana" w:eastAsia="Calibri" w:cs="Times New Roman"/>
          <w:lang w:val="es-ES_tradnl"/>
        </w:rPr>
      </w:pPr>
    </w:p>
    <w:p w:rsidRPr="001A6631" w:rsidR="001A6631" w:rsidP="001A6631" w:rsidRDefault="001A6631" w14:paraId="0AF571D1" w14:textId="77777777">
      <w:pPr>
        <w:spacing w:after="0" w:line="240" w:lineRule="auto"/>
        <w:jc w:val="both"/>
        <w:rPr>
          <w:rFonts w:ascii="Verdana" w:hAnsi="Verdana" w:eastAsia="Calibri" w:cs="Times New Roman"/>
          <w:lang w:val="es-ES_tradnl"/>
        </w:rPr>
      </w:pPr>
    </w:p>
    <w:p w:rsidRPr="001A6631" w:rsidR="001A6631" w:rsidP="001A6631" w:rsidRDefault="001A6631" w14:paraId="051C206B" w14:textId="77777777">
      <w:pPr>
        <w:spacing w:after="0" w:line="240" w:lineRule="auto"/>
        <w:jc w:val="both"/>
        <w:rPr>
          <w:rFonts w:ascii="Verdana" w:hAnsi="Verdana" w:eastAsia="Calibri" w:cs="Times New Roman"/>
          <w:lang w:val="es-ES_tradnl"/>
        </w:rPr>
      </w:pPr>
    </w:p>
    <w:p w:rsidRPr="001A6631" w:rsidR="001A6631" w:rsidP="001A6631" w:rsidRDefault="001A6631" w14:paraId="231452E8" w14:textId="77777777">
      <w:pPr>
        <w:spacing w:after="0" w:line="240" w:lineRule="auto"/>
        <w:jc w:val="both"/>
        <w:rPr>
          <w:rFonts w:ascii="Verdana" w:hAnsi="Verdana" w:eastAsia="Calibri" w:cs="Times New Roman"/>
          <w:lang w:val="es-ES_tradnl"/>
        </w:rPr>
      </w:pPr>
    </w:p>
    <w:p w:rsidRPr="001A6631" w:rsidR="001A6631" w:rsidP="001A6631" w:rsidRDefault="001A6631" w14:paraId="5DBD644C" w14:textId="77777777">
      <w:pPr>
        <w:spacing w:after="0" w:line="240" w:lineRule="auto"/>
        <w:jc w:val="both"/>
        <w:rPr>
          <w:rFonts w:ascii="Verdana" w:hAnsi="Verdana" w:eastAsia="Calibri" w:cs="Times New Roman"/>
          <w:lang w:val="es-ES_tradnl"/>
        </w:rPr>
      </w:pPr>
    </w:p>
    <w:p w:rsidRPr="001A6631" w:rsidR="001A6631" w:rsidP="001A6631" w:rsidRDefault="001A6631" w14:paraId="45BDA587" w14:textId="77777777">
      <w:pPr>
        <w:spacing w:after="0" w:line="240" w:lineRule="auto"/>
        <w:jc w:val="both"/>
        <w:rPr>
          <w:rFonts w:ascii="Verdana" w:hAnsi="Verdana" w:eastAsia="Calibri" w:cs="Times New Roman"/>
          <w:lang w:val="es-ES_tradnl"/>
        </w:rPr>
      </w:pPr>
    </w:p>
    <w:p w:rsidRPr="001A6631" w:rsidR="001A6631" w:rsidP="001A6631" w:rsidRDefault="001A6631" w14:paraId="178417CB" w14:textId="77777777">
      <w:pPr>
        <w:spacing w:after="0" w:line="240" w:lineRule="auto"/>
        <w:jc w:val="both"/>
        <w:rPr>
          <w:rFonts w:ascii="Verdana" w:hAnsi="Verdana" w:eastAsia="Calibri" w:cs="Times New Roman"/>
          <w:lang w:val="es-ES_tradnl"/>
        </w:rPr>
      </w:pPr>
    </w:p>
    <w:p w:rsidRPr="001A6631" w:rsidR="001A6631" w:rsidP="001A6631" w:rsidRDefault="001A6631" w14:paraId="419181DD" w14:textId="77777777">
      <w:pPr>
        <w:rPr>
          <w:rFonts w:ascii="Verdana" w:hAnsi="Verdana" w:eastAsia="Calibri" w:cs="Times New Roman"/>
          <w:lang w:val="es-ES_tradnl"/>
        </w:rPr>
      </w:pPr>
      <w:r w:rsidRPr="001A6631">
        <w:rPr>
          <w:rFonts w:ascii="Verdana" w:hAnsi="Verdana" w:eastAsia="Calibri" w:cs="Times New Roman"/>
          <w:lang w:val="es-ES_tradnl"/>
        </w:rPr>
        <w:br w:type="page"/>
      </w:r>
    </w:p>
    <w:p w:rsidR="001A6631" w:rsidP="001A6631" w:rsidRDefault="001A6631" w14:paraId="75DEC979" w14:textId="2E5210D5">
      <w:pPr>
        <w:spacing w:after="0" w:line="240" w:lineRule="auto"/>
        <w:jc w:val="both"/>
        <w:rPr>
          <w:rFonts w:ascii="Verdana" w:hAnsi="Verdana" w:eastAsia="Verdana" w:cs="Verdana"/>
        </w:rPr>
      </w:pPr>
      <w:r w:rsidRPr="30821638">
        <w:rPr>
          <w:rFonts w:ascii="Verdana" w:hAnsi="Verdana" w:eastAsia="Verdana" w:cs="Verdana"/>
        </w:rPr>
        <w:lastRenderedPageBreak/>
        <w:t>Bogotá D.C.,</w:t>
      </w:r>
      <w:r w:rsidR="001D7E6E">
        <w:rPr>
          <w:rFonts w:ascii="Verdana" w:hAnsi="Verdana" w:eastAsia="Verdana" w:cs="Verdana"/>
        </w:rPr>
        <w:t xml:space="preserve"> 02 Junio 2026</w:t>
      </w:r>
    </w:p>
    <w:p w:rsidRPr="001A6631" w:rsidR="001A6631" w:rsidP="001D7E6E" w:rsidRDefault="001D7E6E" w14:paraId="7EE41B64" w14:textId="53CA9734">
      <w:pPr>
        <w:spacing w:after="0" w:line="240" w:lineRule="auto"/>
        <w:jc w:val="right"/>
        <w:rPr>
          <w:rFonts w:ascii="Verdana" w:hAnsi="Verdana" w:eastAsia="Calibri" w:cs="Arial"/>
          <w:lang w:val="es-ES_tradnl" w:eastAsia="es-ES"/>
        </w:rPr>
      </w:pPr>
      <w:r>
        <w:rPr>
          <w:rFonts w:ascii="Verdana" w:hAnsi="Verdana" w:eastAsia="Calibri" w:cs="Arial"/>
          <w:noProof/>
          <w:lang w:val="es-ES_tradnl" w:eastAsia="es-ES"/>
        </w:rPr>
        <w:drawing>
          <wp:inline distT="0" distB="0" distL="0" distR="0" wp14:anchorId="1E1790F7" wp14:editId="5D31DEBB">
            <wp:extent cx="2317310" cy="645112"/>
            <wp:effectExtent l="0" t="0" r="0" b="3175"/>
            <wp:docPr id="18403017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030170" name="Imagen 184030170"/>
                    <pic:cNvPicPr/>
                  </pic:nvPicPr>
                  <pic:blipFill>
                    <a:blip r:embed="rId10">
                      <a:extLst>
                        <a:ext uri="{28A0092B-C50C-407E-A947-70E740481C1C}">
                          <a14:useLocalDpi xmlns:a14="http://schemas.microsoft.com/office/drawing/2010/main" val="0"/>
                        </a:ext>
                      </a:extLst>
                    </a:blip>
                    <a:stretch>
                      <a:fillRect/>
                    </a:stretch>
                  </pic:blipFill>
                  <pic:spPr>
                    <a:xfrm>
                      <a:off x="0" y="0"/>
                      <a:ext cx="2329002" cy="648367"/>
                    </a:xfrm>
                    <a:prstGeom prst="rect">
                      <a:avLst/>
                    </a:prstGeom>
                  </pic:spPr>
                </pic:pic>
              </a:graphicData>
            </a:graphic>
          </wp:inline>
        </w:drawing>
      </w:r>
    </w:p>
    <w:p w:rsidRPr="001A6631" w:rsidR="001A6631" w:rsidP="001A6631" w:rsidRDefault="001A6631" w14:paraId="0FFBD606" w14:textId="77777777">
      <w:pPr>
        <w:spacing w:after="0" w:line="240" w:lineRule="auto"/>
        <w:jc w:val="both"/>
        <w:rPr>
          <w:rFonts w:ascii="Verdana" w:hAnsi="Verdana" w:eastAsia="Calibri" w:cs="Arial"/>
          <w:lang w:val="es-ES_tradnl" w:eastAsia="es-ES"/>
        </w:rPr>
      </w:pPr>
      <w:r w:rsidRPr="001A6631">
        <w:rPr>
          <w:rFonts w:ascii="Verdana" w:hAnsi="Verdana" w:eastAsia="Calibri" w:cs="Arial"/>
          <w:lang w:val="es-ES_tradnl" w:eastAsia="es-ES"/>
        </w:rPr>
        <w:t>Señor</w:t>
      </w:r>
    </w:p>
    <w:p w:rsidRPr="001A6631" w:rsidR="001A6631" w:rsidP="001A6631" w:rsidRDefault="001A6631" w14:paraId="4B4E600C" w14:textId="77777777">
      <w:pPr>
        <w:spacing w:after="0" w:line="240" w:lineRule="auto"/>
        <w:rPr>
          <w:rFonts w:ascii="Verdana" w:hAnsi="Verdana" w:eastAsia="Calibri" w:cs="Arial"/>
          <w:b/>
          <w:bCs/>
          <w:lang w:val="es-ES" w:eastAsia="es-ES"/>
        </w:rPr>
      </w:pPr>
      <w:r w:rsidRPr="001A6631">
        <w:rPr>
          <w:rFonts w:ascii="Verdana" w:hAnsi="Verdana" w:eastAsia="Calibri" w:cs="Arial"/>
          <w:b/>
          <w:bCs/>
          <w:lang w:val="es-ES" w:eastAsia="es-ES"/>
        </w:rPr>
        <w:t>Omar Yire Mendoza Comas</w:t>
      </w:r>
    </w:p>
    <w:p w:rsidRPr="001A6631" w:rsidR="001A6631" w:rsidP="001A6631" w:rsidRDefault="001A6631" w14:paraId="18C78B39" w14:textId="77777777">
      <w:pPr>
        <w:spacing w:after="0" w:line="240" w:lineRule="auto"/>
        <w:rPr>
          <w:rFonts w:ascii="Verdana" w:hAnsi="Verdana" w:eastAsia="Calibri" w:cs="Arial"/>
          <w:lang w:val="es-ES_tradnl" w:eastAsia="es-ES"/>
        </w:rPr>
      </w:pPr>
      <w:r w:rsidRPr="001A6631">
        <w:rPr>
          <w:rFonts w:ascii="Verdana" w:hAnsi="Verdana" w:eastAsia="Calibri" w:cs="Arial"/>
          <w:lang w:val="es-ES_tradnl" w:eastAsia="es-ES"/>
        </w:rPr>
        <w:t>Medellín, Antioquia</w:t>
      </w:r>
    </w:p>
    <w:p w:rsidRPr="001A6631" w:rsidR="001A6631" w:rsidP="001A6631" w:rsidRDefault="001A6631" w14:paraId="3A34BB89" w14:textId="77777777">
      <w:pPr>
        <w:spacing w:after="0" w:line="240" w:lineRule="auto"/>
        <w:rPr>
          <w:rFonts w:ascii="Verdana" w:hAnsi="Verdana" w:eastAsia="Calibri" w:cs="Arial"/>
          <w:b/>
          <w:bCs/>
          <w:lang w:val="es-ES_tradnl" w:eastAsia="es-ES_tradnl"/>
        </w:rPr>
      </w:pPr>
    </w:p>
    <w:p w:rsidRPr="001A6631" w:rsidR="001A6631" w:rsidP="001A6631" w:rsidRDefault="001A6631" w14:paraId="140B4898" w14:textId="77777777">
      <w:pPr>
        <w:spacing w:after="0" w:line="240" w:lineRule="auto"/>
        <w:rPr>
          <w:rFonts w:ascii="Verdana" w:hAnsi="Verdana" w:eastAsia="Calibri" w:cs="Arial"/>
          <w:b/>
          <w:bCs/>
          <w:lang w:val="es-ES_tradnl" w:eastAsia="es-ES_tradnl"/>
        </w:rPr>
      </w:pPr>
    </w:p>
    <w:tbl>
      <w:tblPr>
        <w:tblStyle w:val="Tablaconcuadrcula"/>
        <w:tblW w:w="8789"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left w:w="0" w:type="dxa"/>
          <w:right w:w="0" w:type="dxa"/>
        </w:tblCellMar>
        <w:tblLook w:val="04A0" w:firstRow="1" w:lastRow="0" w:firstColumn="1" w:lastColumn="0" w:noHBand="0" w:noVBand="1"/>
      </w:tblPr>
      <w:tblGrid>
        <w:gridCol w:w="2689"/>
        <w:gridCol w:w="6100"/>
      </w:tblGrid>
      <w:tr w:rsidRPr="001A6631" w:rsidR="001A6631" w:rsidTr="00590674" w14:paraId="4745DD93" w14:textId="77777777">
        <w:trPr>
          <w:trHeight w:val="884"/>
        </w:trPr>
        <w:tc>
          <w:tcPr>
            <w:tcW w:w="2689" w:type="dxa"/>
          </w:tcPr>
          <w:p w:rsidRPr="001A6631" w:rsidR="001A6631" w:rsidP="001A6631" w:rsidRDefault="001A6631" w14:paraId="0FECB02F" w14:textId="77777777">
            <w:pPr>
              <w:jc w:val="both"/>
              <w:rPr>
                <w:rFonts w:ascii="Verdana" w:hAnsi="Verdana" w:eastAsia="Calibri" w:cs="Arial"/>
                <w:b/>
                <w:bCs/>
                <w:lang w:val="es-ES_tradnl" w:eastAsia="es-ES_tradnl"/>
              </w:rPr>
            </w:pPr>
          </w:p>
        </w:tc>
        <w:tc>
          <w:tcPr>
            <w:tcW w:w="6100" w:type="dxa"/>
          </w:tcPr>
          <w:p w:rsidRPr="001A6631" w:rsidR="001A6631" w:rsidP="001A6631" w:rsidRDefault="001A6631" w14:paraId="062FC110" w14:textId="77777777">
            <w:pPr>
              <w:jc w:val="both"/>
              <w:rPr>
                <w:rFonts w:ascii="Verdana" w:hAnsi="Verdana" w:eastAsia="Calibri" w:cs="Arial"/>
                <w:b/>
                <w:bCs/>
                <w:lang w:val="es-ES_tradnl" w:eastAsia="es-ES"/>
              </w:rPr>
            </w:pPr>
            <w:r w:rsidRPr="001A6631">
              <w:rPr>
                <w:rFonts w:ascii="Verdana" w:hAnsi="Verdana" w:eastAsia="Calibri" w:cs="Arial"/>
                <w:b/>
                <w:bCs/>
                <w:lang w:val="es-ES_tradnl" w:eastAsia="es-ES"/>
              </w:rPr>
              <w:t>Concepto C – 668 de 2026</w:t>
            </w:r>
          </w:p>
          <w:p w:rsidRPr="001A6631" w:rsidR="001A6631" w:rsidP="001A6631" w:rsidRDefault="001A6631" w14:paraId="710E28F3" w14:textId="77777777">
            <w:pPr>
              <w:tabs>
                <w:tab w:val="left" w:pos="1137"/>
              </w:tabs>
              <w:rPr>
                <w:rFonts w:ascii="Verdana" w:hAnsi="Verdana" w:eastAsia="Calibri" w:cs="Arial"/>
                <w:lang w:val="es-ES_tradnl" w:eastAsia="es-ES"/>
              </w:rPr>
            </w:pPr>
            <w:r w:rsidRPr="001A6631">
              <w:rPr>
                <w:rFonts w:ascii="Verdana" w:hAnsi="Verdana" w:eastAsia="Calibri" w:cs="Arial"/>
                <w:lang w:val="es-ES_tradnl" w:eastAsia="es-ES"/>
              </w:rPr>
              <w:tab/>
            </w:r>
          </w:p>
        </w:tc>
      </w:tr>
      <w:tr w:rsidRPr="001A6631" w:rsidR="001A6631" w:rsidTr="00590674" w14:paraId="50940A2A" w14:textId="77777777">
        <w:trPr>
          <w:trHeight w:val="884"/>
        </w:trPr>
        <w:tc>
          <w:tcPr>
            <w:tcW w:w="2689" w:type="dxa"/>
          </w:tcPr>
          <w:p w:rsidRPr="001A6631" w:rsidR="001A6631" w:rsidP="001A6631" w:rsidRDefault="001A6631" w14:paraId="5E522E70" w14:textId="77777777">
            <w:pPr>
              <w:jc w:val="both"/>
              <w:rPr>
                <w:rFonts w:ascii="Verdana" w:hAnsi="Verdana" w:eastAsia="Calibri" w:cs="Arial"/>
                <w:lang w:val="es-ES_tradnl" w:eastAsia="es-ES_tradnl"/>
              </w:rPr>
            </w:pPr>
            <w:r w:rsidRPr="001A6631">
              <w:rPr>
                <w:rFonts w:ascii="Verdana" w:hAnsi="Verdana" w:eastAsia="Calibri" w:cs="Arial"/>
                <w:b/>
                <w:lang w:val="es-ES_tradnl" w:eastAsia="es-ES_tradnl"/>
              </w:rPr>
              <w:t>Temas:</w:t>
            </w:r>
            <w:r w:rsidRPr="001A6631">
              <w:rPr>
                <w:rFonts w:ascii="Verdana" w:hAnsi="Verdana" w:eastAsia="Calibri" w:cs="Arial"/>
                <w:lang w:val="es-ES_tradnl" w:eastAsia="es-ES_tradnl"/>
              </w:rPr>
              <w:t xml:space="preserve">                   </w:t>
            </w:r>
          </w:p>
        </w:tc>
        <w:tc>
          <w:tcPr>
            <w:tcW w:w="6100" w:type="dxa"/>
          </w:tcPr>
          <w:p w:rsidRPr="001A6631" w:rsidR="001A6631" w:rsidP="001A6631" w:rsidRDefault="001A6631" w14:paraId="11CC56F5" w14:textId="77777777">
            <w:pPr>
              <w:spacing w:line="276" w:lineRule="auto"/>
              <w:jc w:val="both"/>
              <w:rPr>
                <w:rFonts w:ascii="Verdana" w:hAnsi="Verdana" w:eastAsia="Geomanist Light" w:cs="Arial"/>
                <w:bCs/>
                <w:lang w:val="es-ES_tradnl"/>
              </w:rPr>
            </w:pPr>
            <w:r w:rsidRPr="001A6631">
              <w:rPr>
                <w:rFonts w:ascii="Verdana" w:hAnsi="Verdana" w:eastAsia="Calibri" w:cs="Arial"/>
                <w:bCs/>
                <w:lang w:val="es-ES" w:eastAsia="es-ES"/>
              </w:rPr>
              <w:t>SUBSANABILIDAD – Aplicación – R</w:t>
            </w:r>
            <w:r w:rsidRPr="001A6631">
              <w:rPr>
                <w:rFonts w:ascii="Verdana" w:hAnsi="Verdana" w:eastAsia="Calibri" w:cs="Times New Roman"/>
                <w:bCs/>
                <w:lang w:val="es-ES" w:eastAsia="es-ES"/>
              </w:rPr>
              <w:t>egla general</w:t>
            </w:r>
            <w:r w:rsidRPr="001A6631">
              <w:rPr>
                <w:rFonts w:ascii="Verdana" w:hAnsi="Verdana" w:eastAsia="Calibri" w:cs="Arial"/>
                <w:bCs/>
                <w:lang w:val="es-ES" w:eastAsia="es-ES"/>
              </w:rPr>
              <w:t xml:space="preserve"> – Excepciones / SUBSANABILIDAD – Ley 1882 de 2018 / </w:t>
            </w:r>
            <w:r w:rsidRPr="001A6631">
              <w:rPr>
                <w:rFonts w:ascii="Verdana" w:hAnsi="Verdana" w:eastAsia="Calibri" w:cs="Arial"/>
                <w:bCs/>
                <w:color w:val="000000"/>
              </w:rPr>
              <w:t xml:space="preserve">SUBSANABILIDAD – Circunstancias posteriores – Cierre del proceso – Prueba / </w:t>
            </w:r>
            <w:r w:rsidRPr="001A6631">
              <w:rPr>
                <w:rFonts w:ascii="Verdana" w:hAnsi="Verdana" w:eastAsia="Geomanist Light" w:cs="Arial"/>
                <w:bCs/>
                <w:lang w:val="es-ES_tradnl"/>
              </w:rPr>
              <w:t>SUBSANABILIDAD – Oportunidad – Informe de evaluación – Publicación – Documentos tipo de infraestructura de transporte – Deber de aportar los documentos faltantes</w:t>
            </w:r>
          </w:p>
          <w:p w:rsidRPr="001A6631" w:rsidR="001A6631" w:rsidP="001A6631" w:rsidRDefault="001A6631" w14:paraId="6730A76E" w14:textId="77777777">
            <w:pPr>
              <w:spacing w:line="276" w:lineRule="auto"/>
              <w:jc w:val="both"/>
              <w:rPr>
                <w:rFonts w:ascii="Verdana" w:hAnsi="Verdana" w:eastAsia="Calibri" w:cs="Arial"/>
                <w:bCs/>
                <w:highlight w:val="yellow"/>
                <w:lang w:val="es-ES_tradnl" w:eastAsia="es-ES"/>
              </w:rPr>
            </w:pPr>
          </w:p>
        </w:tc>
      </w:tr>
      <w:tr w:rsidRPr="001A6631" w:rsidR="001A6631" w:rsidTr="00590674" w14:paraId="6AEB90F3" w14:textId="77777777">
        <w:tc>
          <w:tcPr>
            <w:tcW w:w="2689" w:type="dxa"/>
          </w:tcPr>
          <w:p w:rsidRPr="001A6631" w:rsidR="001A6631" w:rsidP="001A6631" w:rsidRDefault="001A6631" w14:paraId="5A56D9FA" w14:textId="77777777">
            <w:pPr>
              <w:jc w:val="both"/>
              <w:rPr>
                <w:rFonts w:ascii="Verdana" w:hAnsi="Verdana" w:eastAsia="Calibri" w:cs="Arial"/>
                <w:b/>
                <w:lang w:val="es-ES_tradnl" w:eastAsia="es-ES_tradnl"/>
              </w:rPr>
            </w:pPr>
            <w:r w:rsidRPr="001A6631">
              <w:rPr>
                <w:rFonts w:ascii="Verdana" w:hAnsi="Verdana" w:eastAsia="Calibri" w:cs="Arial"/>
                <w:b/>
                <w:lang w:val="es-ES_tradnl" w:eastAsia="es-ES_tradnl"/>
              </w:rPr>
              <w:t>Radicación:</w:t>
            </w:r>
            <w:r w:rsidRPr="001A6631">
              <w:rPr>
                <w:rFonts w:ascii="Verdana" w:hAnsi="Verdana" w:eastAsia="Calibri" w:cs="Arial"/>
                <w:lang w:val="es-ES_tradnl" w:eastAsia="es-ES_tradnl"/>
              </w:rPr>
              <w:t xml:space="preserve">               </w:t>
            </w:r>
          </w:p>
        </w:tc>
        <w:tc>
          <w:tcPr>
            <w:tcW w:w="6100" w:type="dxa"/>
          </w:tcPr>
          <w:p w:rsidRPr="001A6631" w:rsidR="001A6631" w:rsidP="001A6631" w:rsidRDefault="001A6631" w14:paraId="50F53B2A" w14:textId="77777777">
            <w:pPr>
              <w:jc w:val="both"/>
              <w:rPr>
                <w:rFonts w:ascii="Verdana" w:hAnsi="Verdana" w:eastAsia="Calibri" w:cs="Arial"/>
                <w:lang w:val="es-ES_tradnl" w:eastAsia="es-ES_tradnl"/>
              </w:rPr>
            </w:pPr>
            <w:r w:rsidRPr="001A6631">
              <w:rPr>
                <w:rFonts w:ascii="Verdana" w:hAnsi="Verdana" w:eastAsia="Calibri" w:cs="Arial"/>
                <w:lang w:val="es-ES_tradnl" w:eastAsia="es-ES_tradnl"/>
              </w:rPr>
              <w:t>Respuesta a consultas acumuladas con radicados No. 1_2026_04_22_005529 y 1_2026_05_05_006044</w:t>
            </w:r>
          </w:p>
        </w:tc>
      </w:tr>
    </w:tbl>
    <w:p w:rsidRPr="001A6631" w:rsidR="001A6631" w:rsidP="001A6631" w:rsidRDefault="001A6631" w14:paraId="6A249A2F" w14:textId="77777777">
      <w:pPr>
        <w:spacing w:after="0" w:line="240" w:lineRule="auto"/>
        <w:jc w:val="both"/>
        <w:rPr>
          <w:rFonts w:ascii="Verdana" w:hAnsi="Verdana" w:eastAsia="Calibri" w:cs="Arial"/>
          <w:lang w:val="es-ES_tradnl" w:eastAsia="es-ES_tradnl"/>
        </w:rPr>
      </w:pPr>
    </w:p>
    <w:p w:rsidRPr="001A6631" w:rsidR="001A6631" w:rsidP="001A6631" w:rsidRDefault="001A6631" w14:paraId="193BEA19" w14:textId="77777777">
      <w:pPr>
        <w:spacing w:after="0" w:line="240" w:lineRule="auto"/>
        <w:jc w:val="both"/>
        <w:rPr>
          <w:rFonts w:ascii="Verdana" w:hAnsi="Verdana" w:eastAsia="Calibri" w:cs="Arial"/>
          <w:lang w:val="es-ES_tradnl" w:eastAsia="es-ES_tradnl"/>
        </w:rPr>
      </w:pPr>
    </w:p>
    <w:p w:rsidRPr="001A6631" w:rsidR="001A6631" w:rsidP="001A6631" w:rsidRDefault="001A6631" w14:paraId="2A907F93" w14:textId="77777777">
      <w:pPr>
        <w:spacing w:after="0" w:line="276" w:lineRule="auto"/>
        <w:jc w:val="both"/>
        <w:rPr>
          <w:rFonts w:ascii="Verdana" w:hAnsi="Verdana" w:eastAsia="Calibri" w:cs="Arial"/>
          <w:lang w:val="es-ES" w:eastAsia="es-ES"/>
        </w:rPr>
      </w:pPr>
      <w:r w:rsidRPr="001A6631">
        <w:rPr>
          <w:rFonts w:ascii="Verdana" w:hAnsi="Verdana" w:eastAsia="Calibri" w:cs="Arial"/>
          <w:lang w:val="es-ES" w:eastAsia="es-ES"/>
        </w:rPr>
        <w:t xml:space="preserve">Estimado señor Mendoza Comas: </w:t>
      </w:r>
    </w:p>
    <w:p w:rsidRPr="001A6631" w:rsidR="001A6631" w:rsidP="001A6631" w:rsidRDefault="001A6631" w14:paraId="047AF09D" w14:textId="77777777">
      <w:pPr>
        <w:tabs>
          <w:tab w:val="left" w:pos="3768"/>
        </w:tabs>
        <w:spacing w:after="0" w:line="276" w:lineRule="auto"/>
        <w:jc w:val="both"/>
        <w:rPr>
          <w:rFonts w:ascii="Verdana" w:hAnsi="Verdana" w:eastAsia="Calibri" w:cs="Arial"/>
          <w:lang w:val="es-ES_tradnl" w:eastAsia="es-ES"/>
        </w:rPr>
      </w:pPr>
      <w:r w:rsidRPr="001A6631">
        <w:rPr>
          <w:rFonts w:ascii="Verdana" w:hAnsi="Verdana" w:eastAsia="Calibri" w:cs="Arial"/>
          <w:lang w:val="es-ES_tradnl" w:eastAsia="es-ES"/>
        </w:rPr>
        <w:tab/>
      </w:r>
    </w:p>
    <w:p w:rsidRPr="001A6631" w:rsidR="001A6631" w:rsidP="001A6631" w:rsidRDefault="001A6631" w14:paraId="7B6D7213" w14:textId="77777777">
      <w:pPr>
        <w:snapToGrid w:val="0"/>
        <w:spacing w:after="0" w:line="276" w:lineRule="auto"/>
        <w:jc w:val="both"/>
        <w:rPr>
          <w:rFonts w:ascii="Verdana" w:hAnsi="Verdana" w:eastAsia="Calibri" w:cs="Arial"/>
          <w:lang w:val="es-ES_tradnl" w:eastAsia="es-ES"/>
        </w:rPr>
      </w:pPr>
      <w:r w:rsidRPr="001A6631">
        <w:rPr>
          <w:rFonts w:ascii="Verdana" w:hAnsi="Verdana" w:eastAsia="Calibri" w:cs="Arial"/>
          <w:lang w:val="es-ES_tradnl" w:eastAsia="es-ES"/>
        </w:rPr>
        <w:t>En ejercicio de la competencia otorgada por los artículos 3, numeral 5º, y 11, numeral 8º, del Decreto Ley 4170 de 2011,</w:t>
      </w:r>
      <w:r w:rsidRPr="001A6631">
        <w:rPr>
          <w:rFonts w:ascii="Verdana" w:hAnsi="Verdana" w:eastAsia="Arial MT" w:cs="Arial MT"/>
          <w:lang w:val="es-ES_tradnl" w:eastAsia="es-ES"/>
        </w:rPr>
        <w:t xml:space="preserve"> </w:t>
      </w:r>
      <w:r w:rsidRPr="001A6631">
        <w:rPr>
          <w:rFonts w:ascii="Verdana" w:hAnsi="Verdana" w:eastAsia="Calibri" w:cs="Arial"/>
          <w:lang w:val="es-ES_tradnl"/>
        </w:rPr>
        <w:t xml:space="preserve">así como lo establecido en la Resolución No. 469 del 2025 expedida por esta Entidad, </w:t>
      </w:r>
      <w:r w:rsidRPr="001A6631">
        <w:rPr>
          <w:rFonts w:ascii="Verdana" w:hAnsi="Verdana" w:eastAsia="Calibri" w:cs="Arial"/>
          <w:lang w:val="es-ES_tradnl" w:eastAsia="es-ES"/>
        </w:rPr>
        <w:t>la Agencia Nacional de Contratación Pública –Colombia Compra Eficiente– responde sus solicitudes de consultas acumuladas de fechas 22 de abril y 3 de mayo de 2026, respectivamente. En relación con los documentos tipo, usted manifiesta lo siguiente:</w:t>
      </w:r>
    </w:p>
    <w:p w:rsidRPr="001A6631" w:rsidR="001A6631" w:rsidP="001A6631" w:rsidRDefault="001A6631" w14:paraId="30BE4833" w14:textId="77777777">
      <w:pPr>
        <w:tabs>
          <w:tab w:val="left" w:pos="142"/>
          <w:tab w:val="left" w:pos="1275"/>
        </w:tabs>
        <w:snapToGrid w:val="0"/>
        <w:spacing w:after="0" w:line="276" w:lineRule="auto"/>
        <w:jc w:val="both"/>
        <w:rPr>
          <w:rFonts w:ascii="Verdana" w:hAnsi="Verdana" w:eastAsia="Century Gothic" w:cs="Century Gothic"/>
          <w:b/>
          <w:bCs/>
          <w:lang w:val="es-ES_tradnl"/>
        </w:rPr>
      </w:pPr>
      <w:r w:rsidRPr="001A6631">
        <w:rPr>
          <w:rFonts w:ascii="Verdana" w:hAnsi="Verdana" w:eastAsia="Century Gothic" w:cs="Century Gothic"/>
          <w:b/>
          <w:bCs/>
          <w:lang w:val="es-ES_tradnl"/>
        </w:rPr>
        <w:tab/>
      </w:r>
      <w:r w:rsidRPr="001A6631">
        <w:rPr>
          <w:rFonts w:ascii="Verdana" w:hAnsi="Verdana" w:eastAsia="Century Gothic" w:cs="Century Gothic"/>
          <w:b/>
          <w:bCs/>
          <w:lang w:val="es-ES_tradnl"/>
        </w:rPr>
        <w:tab/>
      </w:r>
    </w:p>
    <w:p w:rsidRPr="001A6631" w:rsidR="001A6631" w:rsidP="001A6631" w:rsidRDefault="001A6631" w14:paraId="0EE4ABC4" w14:textId="77777777">
      <w:pPr>
        <w:snapToGrid w:val="0"/>
        <w:spacing w:after="0" w:line="240" w:lineRule="auto"/>
        <w:ind w:left="720" w:right="709"/>
        <w:jc w:val="both"/>
        <w:rPr>
          <w:rFonts w:ascii="Verdana" w:hAnsi="Verdana" w:eastAsia="Century Gothic" w:cs="Century Gothic"/>
          <w:sz w:val="21"/>
          <w:szCs w:val="21"/>
          <w:lang w:val="es-ES"/>
        </w:rPr>
      </w:pPr>
      <w:r w:rsidRPr="001A6631">
        <w:rPr>
          <w:rFonts w:ascii="Verdana" w:hAnsi="Verdana" w:eastAsia="Century Gothic" w:cs="Century Gothic"/>
          <w:sz w:val="21"/>
          <w:szCs w:val="21"/>
          <w:lang w:val="es-ES"/>
        </w:rPr>
        <w:t>“</w:t>
      </w:r>
      <w:r w:rsidRPr="001A6631">
        <w:rPr>
          <w:rFonts w:ascii="Verdana" w:hAnsi="Verdana" w:eastAsia="Century Gothic" w:cs="Century Gothic"/>
          <w:b/>
          <w:bCs/>
          <w:sz w:val="21"/>
          <w:szCs w:val="21"/>
          <w:lang w:val="es-ES"/>
        </w:rPr>
        <w:t>PREGUNTA 1:</w:t>
      </w:r>
      <w:r w:rsidRPr="001A6631">
        <w:rPr>
          <w:rFonts w:ascii="Verdana" w:hAnsi="Verdana" w:eastAsia="Century Gothic" w:cs="Century Gothic"/>
          <w:sz w:val="21"/>
          <w:szCs w:val="21"/>
          <w:lang w:val="es-ES"/>
        </w:rPr>
        <w:t xml:space="preserve"> En el marco del régimen preclusivo estipulado en el parágrafo 1 del artículo 5 de la Ley 1150 de 2007 (modificado por la Ley 1882 de 2018), el rigor transaccional de SECOP II (Ley 527 de 1999) y la obligatoriedad de los Documentos Tipo: ¿Existe alguna </w:t>
      </w:r>
      <w:r w:rsidRPr="001A6631">
        <w:rPr>
          <w:rFonts w:ascii="Verdana" w:hAnsi="Verdana" w:eastAsia="Century Gothic" w:cs="Century Gothic"/>
          <w:sz w:val="21"/>
          <w:szCs w:val="21"/>
          <w:lang w:val="es-ES"/>
        </w:rPr>
        <w:lastRenderedPageBreak/>
        <w:t xml:space="preserve">disposición normativa o jurisprudencial vigente que faculte a una entidad estatal para eximir a un proponente de la carga de aportar los soportes probatorios al momento del cierre, y le permita a la entidad incluir oficiosamente dicho soporte en la matriz de ponderación extrayéndolo de sus propios archivos físicos, escudándose en la "Ley </w:t>
      </w:r>
      <w:proofErr w:type="spellStart"/>
      <w:r w:rsidRPr="001A6631">
        <w:rPr>
          <w:rFonts w:ascii="Verdana" w:hAnsi="Verdana" w:eastAsia="Century Gothic" w:cs="Century Gothic"/>
          <w:sz w:val="21"/>
          <w:szCs w:val="21"/>
          <w:lang w:val="es-ES"/>
        </w:rPr>
        <w:t>Antitrámites</w:t>
      </w:r>
      <w:proofErr w:type="spellEnd"/>
      <w:r w:rsidRPr="001A6631">
        <w:rPr>
          <w:rFonts w:ascii="Verdana" w:hAnsi="Verdana" w:eastAsia="Century Gothic" w:cs="Century Gothic"/>
          <w:sz w:val="21"/>
          <w:szCs w:val="21"/>
          <w:lang w:val="es-ES"/>
        </w:rPr>
        <w:t>" y la "Potestad Verificadora", por el simple hecho de que dicha experiencia fue ejecutada históricamente con esa misma entidad?</w:t>
      </w:r>
    </w:p>
    <w:p w:rsidRPr="001A6631" w:rsidR="001A6631" w:rsidP="001A6631" w:rsidRDefault="001A6631" w14:paraId="759E2C82" w14:textId="77777777">
      <w:pPr>
        <w:snapToGrid w:val="0"/>
        <w:spacing w:after="0" w:line="240" w:lineRule="auto"/>
        <w:ind w:left="720" w:right="709"/>
        <w:jc w:val="both"/>
        <w:rPr>
          <w:rFonts w:ascii="Verdana" w:hAnsi="Verdana" w:eastAsia="Century Gothic" w:cs="Century Gothic"/>
          <w:sz w:val="21"/>
          <w:szCs w:val="21"/>
          <w:lang w:val="es-ES"/>
        </w:rPr>
      </w:pPr>
    </w:p>
    <w:p w:rsidRPr="001A6631" w:rsidR="001A6631" w:rsidP="001A6631" w:rsidRDefault="001A6631" w14:paraId="501E5ACE" w14:textId="77777777">
      <w:pPr>
        <w:snapToGrid w:val="0"/>
        <w:spacing w:after="0" w:line="240" w:lineRule="auto"/>
        <w:ind w:left="720" w:right="709"/>
        <w:jc w:val="both"/>
        <w:rPr>
          <w:rFonts w:ascii="Verdana" w:hAnsi="Verdana" w:eastAsia="Century Gothic" w:cs="Century Gothic"/>
          <w:sz w:val="21"/>
          <w:szCs w:val="21"/>
          <w:lang w:val="es-ES"/>
        </w:rPr>
      </w:pPr>
      <w:r w:rsidRPr="001A6631">
        <w:rPr>
          <w:rFonts w:ascii="Verdana" w:hAnsi="Verdana" w:eastAsia="Century Gothic" w:cs="Century Gothic"/>
          <w:b/>
          <w:bCs/>
          <w:sz w:val="21"/>
          <w:szCs w:val="21"/>
          <w:lang w:val="es-ES"/>
        </w:rPr>
        <w:t>PREGUNTA 2:</w:t>
      </w:r>
      <w:r w:rsidRPr="001A6631">
        <w:rPr>
          <w:rFonts w:ascii="Verdana" w:hAnsi="Verdana" w:eastAsia="Century Gothic" w:cs="Century Gothic"/>
          <w:sz w:val="21"/>
          <w:szCs w:val="21"/>
          <w:lang w:val="es-ES"/>
        </w:rPr>
        <w:t xml:space="preserve"> O, por el contrario, a la luz del mandato imperativo de la preclusión, el principio de selección objetiva y la carga probatoria digital en SECOP II, ¿la entidad pública tiene el deber legal inexcusable de asignar cero (0) puntos en el factor de ponderación a dicho proponente, toda vez que la extracción oficiosa de archivos físicos propios para suplir la omisión transaccional del oferente configura una alteración extemporánea de la oferta, una falsa motivación en el informe de evaluación y una violación flagrante al principio de igualdad frente a los demás competidores externos?”</w:t>
      </w:r>
    </w:p>
    <w:p w:rsidRPr="001A6631" w:rsidR="001A6631" w:rsidP="001A6631" w:rsidRDefault="001A6631" w14:paraId="378E7A1C" w14:textId="77777777">
      <w:pPr>
        <w:snapToGrid w:val="0"/>
        <w:spacing w:after="0" w:line="240" w:lineRule="auto"/>
        <w:ind w:left="720" w:right="709"/>
        <w:jc w:val="both"/>
        <w:rPr>
          <w:rFonts w:ascii="Verdana" w:hAnsi="Verdana" w:eastAsia="Century Gothic" w:cs="Century Gothic"/>
          <w:lang w:val="es-ES_tradnl"/>
        </w:rPr>
      </w:pPr>
    </w:p>
    <w:p w:rsidRPr="001A6631" w:rsidR="001A6631" w:rsidP="001A6631" w:rsidRDefault="001A6631" w14:paraId="6FEF65E0" w14:textId="77777777">
      <w:pPr>
        <w:spacing w:after="120" w:line="276" w:lineRule="auto"/>
        <w:ind w:firstLine="709"/>
        <w:jc w:val="both"/>
        <w:rPr>
          <w:rFonts w:ascii="Verdana" w:hAnsi="Verdana" w:eastAsia="Calibri" w:cs="Arial"/>
          <w:lang w:val="es-ES" w:eastAsia="es-ES"/>
        </w:rPr>
      </w:pPr>
      <w:r w:rsidRPr="001A6631">
        <w:rPr>
          <w:rFonts w:ascii="Verdana" w:hAnsi="Verdana" w:eastAsia="Calibri"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compras públicas.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1A6631">
        <w:rPr>
          <w:rFonts w:ascii="Calibri" w:hAnsi="Calibri" w:eastAsia="Calibri" w:cs="Times New Roman"/>
        </w:rPr>
        <w:tab/>
      </w:r>
    </w:p>
    <w:p w:rsidRPr="001A6631" w:rsidR="001A6631" w:rsidP="001A6631" w:rsidRDefault="001A6631" w14:paraId="4E243D2F" w14:textId="77777777">
      <w:pPr>
        <w:snapToGrid w:val="0"/>
        <w:spacing w:after="0" w:line="276" w:lineRule="auto"/>
        <w:ind w:firstLine="709"/>
        <w:jc w:val="both"/>
        <w:rPr>
          <w:rFonts w:ascii="Verdana" w:hAnsi="Verdana" w:eastAsia="Calibri" w:cs="Arial"/>
          <w:lang w:val="es-ES_tradnl" w:eastAsia="es-ES"/>
        </w:rPr>
      </w:pPr>
      <w:r w:rsidRPr="001A6631">
        <w:rPr>
          <w:rFonts w:ascii="Verdana" w:hAnsi="Verdana" w:eastAsia="Calibri" w:cs="Arial"/>
          <w:lang w:val="es-ES_tradnl" w:eastAsia="es-ES"/>
        </w:rPr>
        <w:t xml:space="preserve">Conforme a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rsidRPr="001A6631" w:rsidR="001A6631" w:rsidP="001A6631" w:rsidRDefault="001A6631" w14:paraId="5F4C02D3" w14:textId="77777777">
      <w:pPr>
        <w:snapToGrid w:val="0"/>
        <w:spacing w:after="0" w:line="276" w:lineRule="auto"/>
        <w:ind w:firstLine="709"/>
        <w:jc w:val="both"/>
        <w:rPr>
          <w:rFonts w:ascii="Verdana" w:hAnsi="Verdana" w:eastAsia="Calibri" w:cs="Arial"/>
          <w:lang w:val="es-ES_tradnl" w:eastAsia="es-ES"/>
        </w:rPr>
      </w:pPr>
    </w:p>
    <w:p w:rsidRPr="001A6631" w:rsidR="001A6631" w:rsidP="001A6631" w:rsidRDefault="001A6631" w14:paraId="02152ED3" w14:textId="77777777">
      <w:pPr>
        <w:numPr>
          <w:ilvl w:val="0"/>
          <w:numId w:val="16"/>
        </w:numPr>
        <w:tabs>
          <w:tab w:val="left" w:pos="142"/>
          <w:tab w:val="left" w:pos="284"/>
        </w:tabs>
        <w:snapToGrid w:val="0"/>
        <w:spacing w:after="0" w:line="276" w:lineRule="auto"/>
        <w:ind w:left="357" w:hanging="357"/>
        <w:jc w:val="both"/>
        <w:rPr>
          <w:rFonts w:ascii="Verdana" w:hAnsi="Verdana" w:eastAsia="Century Gothic" w:cs="Century Gothic"/>
          <w:b/>
          <w:bCs/>
          <w:lang w:val="es-ES_tradnl"/>
        </w:rPr>
      </w:pPr>
      <w:r w:rsidRPr="001A6631">
        <w:rPr>
          <w:rFonts w:ascii="Verdana" w:hAnsi="Verdana" w:eastAsia="Century Gothic" w:cs="Century Gothic"/>
          <w:b/>
          <w:bCs/>
          <w:lang w:val="es-ES_tradnl"/>
        </w:rPr>
        <w:t>Problema planteado:</w:t>
      </w:r>
    </w:p>
    <w:p w:rsidRPr="001A6631" w:rsidR="001A6631" w:rsidP="001A6631" w:rsidRDefault="001A6631" w14:paraId="01B203C9" w14:textId="77777777">
      <w:pPr>
        <w:tabs>
          <w:tab w:val="left" w:pos="426"/>
        </w:tabs>
        <w:snapToGrid w:val="0"/>
        <w:spacing w:after="0" w:line="276" w:lineRule="auto"/>
        <w:jc w:val="both"/>
        <w:rPr>
          <w:rFonts w:ascii="Verdana" w:hAnsi="Verdana" w:eastAsia="Century Gothic" w:cs="Century Gothic"/>
          <w:lang w:val="es-ES_tradnl"/>
        </w:rPr>
      </w:pPr>
    </w:p>
    <w:p w:rsidRPr="001A6631" w:rsidR="001A6631" w:rsidP="001A6631" w:rsidRDefault="001A6631" w14:paraId="2547F32A" w14:textId="77777777">
      <w:pPr>
        <w:snapToGrid w:val="0"/>
        <w:spacing w:after="0" w:line="276" w:lineRule="auto"/>
        <w:jc w:val="both"/>
        <w:rPr>
          <w:rFonts w:ascii="Verdana" w:hAnsi="Verdana" w:eastAsia="Century Gothic" w:cs="Century Gothic"/>
          <w:lang w:val="es-ES"/>
        </w:rPr>
      </w:pPr>
      <w:r w:rsidRPr="001A6631">
        <w:rPr>
          <w:rFonts w:ascii="Verdana" w:hAnsi="Verdana" w:eastAsia="Century Gothic" w:cs="Century Gothic"/>
          <w:lang w:val="es-ES"/>
        </w:rPr>
        <w:lastRenderedPageBreak/>
        <w:t xml:space="preserve">De acuerdo con el contenido de su solicitud, esta Agencia resolverá el siguiente problema jurídico: ¿cuál es el alcance de la regla de </w:t>
      </w:r>
      <w:proofErr w:type="spellStart"/>
      <w:r w:rsidRPr="001A6631">
        <w:rPr>
          <w:rFonts w:ascii="Verdana" w:hAnsi="Verdana" w:eastAsia="Century Gothic" w:cs="Century Gothic"/>
          <w:lang w:val="es-ES"/>
        </w:rPr>
        <w:t>subsanabilidad</w:t>
      </w:r>
      <w:proofErr w:type="spellEnd"/>
      <w:r w:rsidRPr="001A6631">
        <w:rPr>
          <w:rFonts w:ascii="Verdana" w:hAnsi="Verdana" w:eastAsia="Century Gothic" w:cs="Century Gothic"/>
          <w:lang w:val="es-ES"/>
        </w:rPr>
        <w:t xml:space="preserve"> de las ofertas frente a los proponentes en los pliegos tipo de infraestructura de transporte?</w:t>
      </w:r>
    </w:p>
    <w:p w:rsidRPr="001A6631" w:rsidR="001A6631" w:rsidP="001A6631" w:rsidRDefault="001A6631" w14:paraId="5448651F" w14:textId="77777777">
      <w:pPr>
        <w:snapToGrid w:val="0"/>
        <w:spacing w:after="0" w:line="276" w:lineRule="auto"/>
        <w:jc w:val="both"/>
        <w:rPr>
          <w:rFonts w:ascii="Verdana" w:hAnsi="Verdana" w:eastAsia="Century Gothic" w:cs="Century Gothic"/>
          <w:lang w:val="es-ES_tradnl"/>
        </w:rPr>
      </w:pPr>
    </w:p>
    <w:p w:rsidRPr="001A6631" w:rsidR="001A6631" w:rsidP="001A6631" w:rsidRDefault="001A6631" w14:paraId="785C4AC6" w14:textId="77777777">
      <w:pPr>
        <w:numPr>
          <w:ilvl w:val="0"/>
          <w:numId w:val="16"/>
        </w:numPr>
        <w:tabs>
          <w:tab w:val="left" w:pos="142"/>
          <w:tab w:val="left" w:pos="284"/>
        </w:tabs>
        <w:snapToGrid w:val="0"/>
        <w:spacing w:after="0" w:line="276" w:lineRule="auto"/>
        <w:ind w:left="357" w:hanging="357"/>
        <w:jc w:val="both"/>
        <w:rPr>
          <w:rFonts w:ascii="Verdana" w:hAnsi="Verdana" w:eastAsia="Century Gothic" w:cs="Century Gothic"/>
          <w:b/>
          <w:bCs/>
          <w:lang w:val="es-ES_tradnl"/>
        </w:rPr>
      </w:pPr>
      <w:r w:rsidRPr="001A6631">
        <w:rPr>
          <w:rFonts w:ascii="Verdana" w:hAnsi="Verdana" w:eastAsia="Century Gothic" w:cs="Century Gothic"/>
          <w:b/>
          <w:bCs/>
          <w:lang w:val="es-ES_tradnl"/>
        </w:rPr>
        <w:t>Respuesta:</w:t>
      </w:r>
    </w:p>
    <w:p w:rsidRPr="001A6631" w:rsidR="001A6631" w:rsidP="001A6631" w:rsidRDefault="001A6631" w14:paraId="07AD7915" w14:textId="77777777">
      <w:pPr>
        <w:tabs>
          <w:tab w:val="left" w:pos="142"/>
          <w:tab w:val="left" w:pos="284"/>
        </w:tabs>
        <w:snapToGrid w:val="0"/>
        <w:spacing w:after="0" w:line="276" w:lineRule="auto"/>
        <w:jc w:val="both"/>
        <w:rPr>
          <w:rFonts w:ascii="Verdana" w:hAnsi="Verdana" w:eastAsia="Century Gothic" w:cs="Century Gothic"/>
          <w:b/>
          <w:bCs/>
          <w:lang w:val="es-ES_tradnl"/>
        </w:rPr>
      </w:pPr>
    </w:p>
    <w:tbl>
      <w:tblPr>
        <w:tblStyle w:val="Tablaconcuadrcula"/>
        <w:tblW w:w="0" w:type="auto"/>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Look w:val="04A0" w:firstRow="1" w:lastRow="0" w:firstColumn="1" w:lastColumn="0" w:noHBand="0" w:noVBand="1"/>
      </w:tblPr>
      <w:tblGrid>
        <w:gridCol w:w="8828"/>
      </w:tblGrid>
      <w:tr w:rsidRPr="001A6631" w:rsidR="001A6631" w:rsidTr="00590674" w14:paraId="1ED59E44" w14:textId="77777777">
        <w:tc>
          <w:tcPr>
            <w:tcW w:w="8828" w:type="dxa"/>
          </w:tcPr>
          <w:p w:rsidRPr="001A6631" w:rsidR="001A6631" w:rsidP="001A6631" w:rsidRDefault="001A6631" w14:paraId="250AC484" w14:textId="77777777">
            <w:pPr>
              <w:spacing w:line="276" w:lineRule="auto"/>
              <w:jc w:val="both"/>
              <w:rPr>
                <w:rFonts w:ascii="Verdana" w:hAnsi="Verdana" w:eastAsia="Calibri" w:cs="Arial"/>
                <w:color w:val="000000"/>
              </w:rPr>
            </w:pPr>
            <w:r w:rsidRPr="001A6631">
              <w:rPr>
                <w:rFonts w:ascii="Verdana" w:hAnsi="Verdana" w:eastAsia="Calibri" w:cs="Arial"/>
                <w:color w:val="000000"/>
              </w:rPr>
              <w:t>En los documentos tipo, el numeral 1.6 del documento base de infraestructura de transporte</w:t>
            </w:r>
            <w:r w:rsidRPr="001A6631">
              <w:rPr>
                <w:rFonts w:ascii="Verdana" w:hAnsi="Verdana" w:eastAsia="Calibri" w:cs="Arial"/>
                <w:color w:val="000000"/>
                <w:vertAlign w:val="superscript"/>
              </w:rPr>
              <w:footnoteReference w:id="1"/>
            </w:r>
            <w:r w:rsidRPr="001A6631">
              <w:rPr>
                <w:rFonts w:ascii="Verdana" w:hAnsi="Verdana" w:eastAsia="Calibri" w:cs="Arial"/>
                <w:color w:val="000000"/>
              </w:rPr>
              <w:t xml:space="preserve"> contempla las reglas de </w:t>
            </w:r>
            <w:proofErr w:type="spellStart"/>
            <w:r w:rsidRPr="001A6631">
              <w:rPr>
                <w:rFonts w:ascii="Verdana" w:hAnsi="Verdana" w:eastAsia="Calibri" w:cs="Arial"/>
                <w:color w:val="000000"/>
              </w:rPr>
              <w:t>subsanabilidad</w:t>
            </w:r>
            <w:proofErr w:type="spellEnd"/>
            <w:r w:rsidRPr="001A6631">
              <w:rPr>
                <w:rFonts w:ascii="Verdana" w:hAnsi="Verdana" w:eastAsia="Calibri" w:cs="Arial"/>
                <w:color w:val="000000"/>
              </w:rPr>
              <w:t xml:space="preserve"> de las ofertas, en los siguientes términos:</w:t>
            </w:r>
          </w:p>
          <w:p w:rsidRPr="001A6631" w:rsidR="001A6631" w:rsidP="001A6631" w:rsidRDefault="001A6631" w14:paraId="2921C409" w14:textId="77777777">
            <w:pPr>
              <w:spacing w:line="276" w:lineRule="auto"/>
              <w:jc w:val="both"/>
              <w:rPr>
                <w:rFonts w:ascii="Verdana" w:hAnsi="Verdana" w:eastAsia="Calibri" w:cs="Arial"/>
                <w:color w:val="000000"/>
              </w:rPr>
            </w:pPr>
          </w:p>
          <w:p w:rsidRPr="001A6631" w:rsidR="001A6631" w:rsidP="001A6631" w:rsidRDefault="001A6631" w14:paraId="0F6A5D12" w14:textId="77777777">
            <w:pPr>
              <w:ind w:left="709" w:right="709"/>
              <w:jc w:val="both"/>
              <w:rPr>
                <w:rFonts w:ascii="Verdana" w:hAnsi="Verdana" w:eastAsia="Calibri" w:cs="Arial"/>
                <w:color w:val="000000"/>
                <w:sz w:val="21"/>
                <w:szCs w:val="21"/>
              </w:rPr>
            </w:pPr>
            <w:r w:rsidRPr="001A6631">
              <w:rPr>
                <w:rFonts w:ascii="Verdana" w:hAnsi="Verdana" w:eastAsia="Calibri" w:cs="Arial"/>
                <w:color w:val="000000"/>
                <w:sz w:val="21"/>
                <w:szCs w:val="21"/>
              </w:rPr>
              <w:t>“[…]</w:t>
            </w:r>
          </w:p>
          <w:p w:rsidRPr="001A6631" w:rsidR="001A6631" w:rsidP="001A6631" w:rsidRDefault="001A6631" w14:paraId="7E81402B" w14:textId="77777777">
            <w:pPr>
              <w:ind w:left="709" w:right="709"/>
              <w:jc w:val="both"/>
              <w:rPr>
                <w:rFonts w:ascii="Verdana" w:hAnsi="Verdana" w:eastAsia="Calibri" w:cs="Arial"/>
                <w:color w:val="000000"/>
                <w:sz w:val="21"/>
                <w:szCs w:val="21"/>
              </w:rPr>
            </w:pPr>
            <w:r w:rsidRPr="001A6631">
              <w:rPr>
                <w:rFonts w:ascii="Verdana" w:hAnsi="Verdana" w:eastAsia="Calibri" w:cs="Arial"/>
                <w:color w:val="000000"/>
                <w:sz w:val="21"/>
                <w:szCs w:val="21"/>
              </w:rPr>
              <w:t xml:space="preserve">En caso de ser necesario, la entidad debe solicitar a los proponentes durante el proceso de evaluación, y a más tardar en el informe de evaluación, las aclaraciones, precisiones o solicitud de documentos que puedan ser subsanables. No obstante, los proponentes no podrán completar, adicionar, modificar o mejorar sus propuestas en los aspectos que otorgan puntaje, los cuales podrán ser objeto de aclaraciones y explicaciones. Los proponentes deberán allegar las aclaraciones o documentos requeridos en el momento en el que fueron solicitados y a más tardar hasta el término de traslado del informe de evaluación, es decir, dentro de los cinco (5) días hábiles siguientes, contados a partir del día hábil siguiente a la expedición del informe de evaluación. </w:t>
            </w:r>
          </w:p>
          <w:p w:rsidRPr="001A6631" w:rsidR="001A6631" w:rsidP="001A6631" w:rsidRDefault="001A6631" w14:paraId="3F87C082" w14:textId="77777777">
            <w:pPr>
              <w:ind w:left="709" w:right="709"/>
              <w:jc w:val="both"/>
              <w:rPr>
                <w:rFonts w:ascii="Verdana" w:hAnsi="Verdana" w:eastAsia="Calibri" w:cs="Arial"/>
                <w:color w:val="000000"/>
                <w:sz w:val="21"/>
                <w:szCs w:val="21"/>
              </w:rPr>
            </w:pPr>
          </w:p>
          <w:p w:rsidRPr="001A6631" w:rsidR="001A6631" w:rsidP="001A6631" w:rsidRDefault="001A6631" w14:paraId="55F1240D" w14:textId="77777777">
            <w:pPr>
              <w:ind w:left="709" w:right="709"/>
              <w:jc w:val="both"/>
              <w:rPr>
                <w:rFonts w:ascii="Verdana" w:hAnsi="Verdana" w:eastAsia="Calibri" w:cs="Arial"/>
                <w:color w:val="000000"/>
                <w:sz w:val="21"/>
                <w:szCs w:val="21"/>
              </w:rPr>
            </w:pPr>
            <w:r w:rsidRPr="001A6631">
              <w:rPr>
                <w:rFonts w:ascii="Verdana" w:hAnsi="Verdana" w:eastAsia="Calibri" w:cs="Arial"/>
                <w:color w:val="000000"/>
                <w:sz w:val="21"/>
                <w:szCs w:val="21"/>
              </w:rPr>
              <w:t>En caso de que la Entidad no hubiese advertido durante el proceso de evaluación la ausencia de requisitos o la falta de documentos referentes a la futura contratación o al Proponente, ya sea en relación con los requisitos habilitantes o para aclarar aspectos que otorgan puntaje o relativos a los factores de desempate y, por ende, no los haya requerido, podrá hacerlo posteriormente, otorgándole al Proponente un término igual al establecido para el traslado del informe de evaluación, con el fin de que los allegue. En caso de que sea necesario, la Entidad ajustará el Cronograma. Lo aquí descrito también aplicará cuando la observación a la oferta provenga de otro Proponente y se hubiere realizado en el traslado del informe de evaluación.</w:t>
            </w:r>
          </w:p>
          <w:p w:rsidRPr="001A6631" w:rsidR="001A6631" w:rsidP="001A6631" w:rsidRDefault="001A6631" w14:paraId="1F00E4FC" w14:textId="77777777">
            <w:pPr>
              <w:ind w:left="709" w:right="709"/>
              <w:jc w:val="both"/>
              <w:rPr>
                <w:rFonts w:ascii="Verdana" w:hAnsi="Verdana" w:eastAsia="Calibri" w:cs="Arial"/>
                <w:color w:val="000000"/>
                <w:sz w:val="21"/>
                <w:szCs w:val="21"/>
              </w:rPr>
            </w:pPr>
          </w:p>
          <w:p w:rsidRPr="001A6631" w:rsidR="001A6631" w:rsidP="001A6631" w:rsidRDefault="001A6631" w14:paraId="005D5E5C" w14:textId="77777777">
            <w:pPr>
              <w:ind w:left="709" w:right="709"/>
              <w:jc w:val="both"/>
              <w:rPr>
                <w:rFonts w:ascii="Verdana" w:hAnsi="Verdana" w:eastAsia="Calibri" w:cs="Arial"/>
                <w:color w:val="000000"/>
                <w:sz w:val="21"/>
                <w:szCs w:val="21"/>
              </w:rPr>
            </w:pPr>
            <w:r w:rsidRPr="001A6631">
              <w:rPr>
                <w:rFonts w:ascii="Verdana" w:hAnsi="Verdana" w:eastAsia="Calibri" w:cs="Arial"/>
                <w:color w:val="000000"/>
                <w:sz w:val="21"/>
                <w:szCs w:val="21"/>
              </w:rPr>
              <w:t xml:space="preserve">En los procesos adelantados en el SECOP I, las subsanaciones, explicaciones y aclaraciones se presentarán por cualquier medio: en </w:t>
            </w:r>
            <w:r w:rsidRPr="001A6631">
              <w:rPr>
                <w:rFonts w:ascii="Verdana" w:hAnsi="Verdana" w:eastAsia="Calibri" w:cs="Arial"/>
                <w:color w:val="000000"/>
                <w:sz w:val="21"/>
                <w:szCs w:val="21"/>
              </w:rPr>
              <w:lastRenderedPageBreak/>
              <w:t>físico, entre las horas de atención al público; o por correo electrónico hasta las 11:59 p. m. del día establecido en el cronograma. Los adelantados en el SECOP II se subsanarán por medio de mensajes, en la forma prevista en la plataforma.</w:t>
            </w:r>
          </w:p>
          <w:p w:rsidRPr="001A6631" w:rsidR="001A6631" w:rsidP="001A6631" w:rsidRDefault="001A6631" w14:paraId="18F9957D" w14:textId="77777777">
            <w:pPr>
              <w:ind w:left="709" w:right="709"/>
              <w:jc w:val="both"/>
              <w:rPr>
                <w:rFonts w:ascii="Verdana" w:hAnsi="Verdana" w:eastAsia="Calibri" w:cs="Arial"/>
                <w:color w:val="000000"/>
                <w:sz w:val="21"/>
                <w:szCs w:val="21"/>
              </w:rPr>
            </w:pPr>
          </w:p>
          <w:p w:rsidRPr="001A6631" w:rsidR="001A6631" w:rsidP="001A6631" w:rsidRDefault="001A6631" w14:paraId="39E89A61" w14:textId="77777777">
            <w:pPr>
              <w:ind w:left="709" w:right="709"/>
              <w:jc w:val="both"/>
              <w:rPr>
                <w:rFonts w:ascii="Verdana" w:hAnsi="Verdana" w:eastAsia="Calibri" w:cs="Arial"/>
                <w:color w:val="000000"/>
                <w:sz w:val="21"/>
                <w:szCs w:val="21"/>
              </w:rPr>
            </w:pPr>
            <w:r w:rsidRPr="001A6631">
              <w:rPr>
                <w:rFonts w:ascii="Verdana" w:hAnsi="Verdana" w:eastAsia="Calibri" w:cs="Arial"/>
                <w:color w:val="000000"/>
                <w:sz w:val="21"/>
                <w:szCs w:val="21"/>
              </w:rPr>
              <w:t>Todos aquellos requisitos de la oferta que afecten la asignación de puntaje, incluyendo los necesarios para acreditar requisitos de desempate, no son subsanables, por lo que los mismos deben ser aportados por los proponentes desde la presentación de la oferta.</w:t>
            </w:r>
          </w:p>
          <w:p w:rsidRPr="001A6631" w:rsidR="001A6631" w:rsidP="001A6631" w:rsidRDefault="001A6631" w14:paraId="2B774566" w14:textId="77777777">
            <w:pPr>
              <w:ind w:left="709" w:right="709"/>
              <w:jc w:val="both"/>
              <w:rPr>
                <w:rFonts w:ascii="Verdana" w:hAnsi="Verdana" w:eastAsia="Calibri" w:cs="Arial"/>
                <w:color w:val="000000"/>
                <w:sz w:val="21"/>
                <w:szCs w:val="21"/>
              </w:rPr>
            </w:pPr>
            <w:r w:rsidRPr="001A6631">
              <w:rPr>
                <w:rFonts w:ascii="Verdana" w:hAnsi="Verdana" w:eastAsia="Calibri" w:cs="Arial"/>
                <w:color w:val="000000"/>
                <w:sz w:val="21"/>
                <w:szCs w:val="21"/>
              </w:rPr>
              <w:t>[…]”</w:t>
            </w:r>
          </w:p>
          <w:p w:rsidRPr="001A6631" w:rsidR="001A6631" w:rsidP="001A6631" w:rsidRDefault="001A6631" w14:paraId="19AE3505" w14:textId="77777777">
            <w:pPr>
              <w:spacing w:line="276" w:lineRule="auto"/>
              <w:ind w:left="709" w:right="709"/>
              <w:jc w:val="both"/>
              <w:rPr>
                <w:rFonts w:ascii="Verdana" w:hAnsi="Verdana" w:eastAsia="Calibri" w:cs="Arial"/>
                <w:color w:val="000000"/>
              </w:rPr>
            </w:pPr>
          </w:p>
          <w:p w:rsidRPr="001A6631" w:rsidR="001A6631" w:rsidP="001A6631" w:rsidRDefault="001A6631" w14:paraId="4B34C7EC" w14:textId="77777777">
            <w:pPr>
              <w:spacing w:after="120" w:line="276" w:lineRule="auto"/>
              <w:ind w:firstLine="709"/>
              <w:jc w:val="both"/>
              <w:rPr>
                <w:rFonts w:ascii="Verdana" w:hAnsi="Verdana" w:eastAsia="Calibri" w:cs="Arial"/>
                <w:color w:val="000000"/>
              </w:rPr>
            </w:pPr>
            <w:r w:rsidRPr="001A6631">
              <w:rPr>
                <w:rFonts w:ascii="Verdana" w:hAnsi="Verdana" w:eastAsia="Calibri" w:cs="Arial"/>
                <w:color w:val="000000"/>
              </w:rPr>
              <w:t xml:space="preserve">Como puede observarse, los documentos tipo se encuentran en plena consonancia con lo expuesto en el presente concepto, de acuerdo con las normas aquí referidas. Sin embargo, este es un análisis que deberá realizar la entidad contratante en cada caso concreto, dependiendo de la situación que amerite subsanación. </w:t>
            </w:r>
          </w:p>
          <w:p w:rsidRPr="001A6631" w:rsidR="001A6631" w:rsidP="001A6631" w:rsidRDefault="001A6631" w14:paraId="42E69109" w14:textId="77777777">
            <w:pPr>
              <w:spacing w:line="276" w:lineRule="auto"/>
              <w:ind w:firstLine="709"/>
              <w:jc w:val="both"/>
              <w:rPr>
                <w:rFonts w:ascii="Verdana" w:hAnsi="Verdana" w:eastAsia="Calibri" w:cs="Arial"/>
                <w:color w:val="000000"/>
              </w:rPr>
            </w:pPr>
            <w:r w:rsidRPr="001A6631">
              <w:rPr>
                <w:rFonts w:ascii="Verdana" w:hAnsi="Verdana" w:eastAsia="Calibri" w:cs="Arial"/>
                <w:color w:val="000000"/>
              </w:rPr>
              <w:t xml:space="preserve">Ahora bien, el numeral 2.5 del documento base de los documentos tipo en comento, dispone las reglas sobre el </w:t>
            </w:r>
            <w:r w:rsidRPr="001A6631">
              <w:rPr>
                <w:rFonts w:ascii="Verdana" w:hAnsi="Verdana" w:eastAsia="Calibri" w:cs="Arial"/>
                <w:i/>
                <w:iCs/>
                <w:color w:val="000000"/>
              </w:rPr>
              <w:t>informe de evaluación de aspectos distintos a la oferta económica,</w:t>
            </w:r>
            <w:r w:rsidRPr="001A6631">
              <w:rPr>
                <w:rFonts w:ascii="Verdana" w:hAnsi="Verdana" w:eastAsia="Calibri" w:cs="Arial"/>
                <w:color w:val="000000"/>
              </w:rPr>
              <w:t xml:space="preserve"> en los siguientes términos:</w:t>
            </w:r>
          </w:p>
          <w:p w:rsidRPr="001A6631" w:rsidR="001A6631" w:rsidP="001A6631" w:rsidRDefault="001A6631" w14:paraId="2256DA1E" w14:textId="77777777">
            <w:pPr>
              <w:spacing w:line="276" w:lineRule="auto"/>
              <w:ind w:firstLine="709"/>
              <w:jc w:val="both"/>
              <w:rPr>
                <w:rFonts w:ascii="Verdana" w:hAnsi="Verdana" w:eastAsia="Calibri" w:cs="Arial"/>
                <w:color w:val="000000"/>
              </w:rPr>
            </w:pPr>
          </w:p>
          <w:p w:rsidRPr="001A6631" w:rsidR="001A6631" w:rsidP="001A6631" w:rsidRDefault="001A6631" w14:paraId="78FA6E30" w14:textId="77777777">
            <w:pPr>
              <w:ind w:left="709" w:right="709"/>
              <w:jc w:val="both"/>
              <w:rPr>
                <w:rFonts w:ascii="Verdana" w:hAnsi="Verdana" w:eastAsia="Aptos" w:cs="Times New Roman"/>
                <w:sz w:val="21"/>
                <w:szCs w:val="21"/>
                <w:lang w:val="es-MX"/>
              </w:rPr>
            </w:pPr>
            <w:r w:rsidRPr="001A6631">
              <w:rPr>
                <w:rFonts w:ascii="Verdana" w:hAnsi="Verdana" w:eastAsia="Aptos" w:cs="Times New Roman"/>
                <w:sz w:val="21"/>
                <w:szCs w:val="21"/>
                <w:lang w:val="es-MX"/>
              </w:rPr>
              <w:t xml:space="preserve">“En la fecha establecida en el Anexo 2 - Cronograma, la entidad publicará el informe de evaluación de los documentos e información de los requisitos habilitantes y los documentos a los que se les asigne puntaje, diferentes a la oferta económica, contenidos en el Sobre 1. El informe permanecerá publicado en el SECOP y a disposición de los interesados durante cinco (5) días hábiles, término hasta el cual los proponentes podrán hacer las observaciones que consideren y entregar los documentos y la información solicitada por la entidad en los términos señalados en la sección 1.6, salvo que ya lo hubieren hecho en un momento anterior, de conformidad con el mismo numeral citado. </w:t>
            </w:r>
          </w:p>
          <w:p w:rsidRPr="001A6631" w:rsidR="001A6631" w:rsidP="001A6631" w:rsidRDefault="001A6631" w14:paraId="3A62179B" w14:textId="77777777">
            <w:pPr>
              <w:ind w:left="709" w:right="709"/>
              <w:jc w:val="both"/>
              <w:rPr>
                <w:rFonts w:ascii="Verdana" w:hAnsi="Verdana" w:eastAsia="Aptos" w:cs="Times New Roman"/>
                <w:sz w:val="21"/>
                <w:szCs w:val="21"/>
                <w:lang w:val="es-MX"/>
              </w:rPr>
            </w:pPr>
            <w:r w:rsidRPr="001A6631">
              <w:rPr>
                <w:rFonts w:ascii="Verdana" w:hAnsi="Verdana" w:eastAsia="Aptos" w:cs="Times New Roman"/>
                <w:sz w:val="21"/>
                <w:szCs w:val="21"/>
                <w:lang w:val="es-MX"/>
              </w:rPr>
              <w:t>[…]</w:t>
            </w:r>
          </w:p>
          <w:p w:rsidRPr="001A6631" w:rsidR="001A6631" w:rsidP="001A6631" w:rsidRDefault="001A6631" w14:paraId="60306C00" w14:textId="77777777">
            <w:pPr>
              <w:ind w:left="709" w:right="709"/>
              <w:jc w:val="both"/>
              <w:rPr>
                <w:rFonts w:ascii="Verdana" w:hAnsi="Verdana" w:eastAsia="Aptos" w:cs="Times New Roman"/>
                <w:sz w:val="21"/>
                <w:szCs w:val="21"/>
                <w:lang w:val="es-MX"/>
              </w:rPr>
            </w:pPr>
            <w:r w:rsidRPr="001A6631">
              <w:rPr>
                <w:rFonts w:ascii="Verdana" w:hAnsi="Verdana" w:eastAsia="Aptos" w:cs="Times New Roman"/>
                <w:sz w:val="21"/>
                <w:szCs w:val="21"/>
                <w:lang w:val="es-MX"/>
              </w:rPr>
              <w:t>Con posterioridad al vencimiento del plazo para presentar observaciones y a más tardar el día antes de la audiencia efectiva de adjudicación, hasta las 11:59 p.m. de acuerdo con lo señalado en el Anexo 2 – Cronograma, la entidad debe publicar el informe final de evaluación, en caso de que el inicial haya sufrido variaciones”.</w:t>
            </w:r>
          </w:p>
          <w:p w:rsidRPr="001A6631" w:rsidR="001A6631" w:rsidP="001A6631" w:rsidRDefault="001A6631" w14:paraId="3CAC1BE9" w14:textId="77777777">
            <w:pPr>
              <w:spacing w:line="276" w:lineRule="auto"/>
              <w:jc w:val="both"/>
              <w:rPr>
                <w:rFonts w:ascii="Verdana" w:hAnsi="Verdana" w:eastAsia="Calibri" w:cs="Arial"/>
                <w:color w:val="000000"/>
              </w:rPr>
            </w:pPr>
          </w:p>
          <w:p w:rsidRPr="001A6631" w:rsidR="001A6631" w:rsidP="001A6631" w:rsidRDefault="001A6631" w14:paraId="31B7804E" w14:textId="77777777">
            <w:pPr>
              <w:spacing w:after="120" w:line="276" w:lineRule="auto"/>
              <w:ind w:firstLine="709"/>
              <w:jc w:val="both"/>
              <w:rPr>
                <w:rFonts w:ascii="Verdana" w:hAnsi="Verdana" w:eastAsia="Calibri" w:cs="Arial"/>
                <w:color w:val="000000"/>
              </w:rPr>
            </w:pPr>
            <w:r w:rsidRPr="001A6631">
              <w:rPr>
                <w:rFonts w:ascii="Verdana" w:hAnsi="Verdana" w:eastAsia="Calibri" w:cs="Arial"/>
                <w:color w:val="000000"/>
              </w:rPr>
              <w:t xml:space="preserve">De acuerdo con lo anterior, se tiene que las entidades contratantes deben publicar en el SECOP, durante cinco (5) días hábiles, el informe de </w:t>
            </w:r>
            <w:r w:rsidRPr="001A6631">
              <w:rPr>
                <w:rFonts w:ascii="Verdana" w:hAnsi="Verdana" w:eastAsia="Calibri" w:cs="Arial"/>
                <w:color w:val="000000"/>
              </w:rPr>
              <w:lastRenderedPageBreak/>
              <w:t>evaluación relacionado con los requisitos habilitantes y documentos a los que se les asigne puntaje, diferentes a la oferta económica. Durante este término, los proponentes podrán realizar las observaciones que consideren, así como entregar los documentos e información requerida conforme al numeral 1.6 “REGLAS DE SUBSANABILIDAD, EXPLICACIONES Y ACLARACIONES” del documento base, sin perjuicio de que ya lo hubieren hecho en un momento anterior.</w:t>
            </w:r>
          </w:p>
          <w:p w:rsidRPr="001A6631" w:rsidR="001A6631" w:rsidP="001A6631" w:rsidRDefault="001A6631" w14:paraId="67C1EED3" w14:textId="77777777">
            <w:pPr>
              <w:spacing w:after="120" w:line="276" w:lineRule="auto"/>
              <w:ind w:firstLine="709"/>
              <w:jc w:val="both"/>
              <w:rPr>
                <w:rFonts w:ascii="Verdana" w:hAnsi="Verdana" w:eastAsia="Calibri" w:cs="Arial"/>
                <w:color w:val="000000"/>
              </w:rPr>
            </w:pPr>
            <w:r w:rsidRPr="001A6631">
              <w:rPr>
                <w:rFonts w:ascii="Verdana" w:hAnsi="Verdana" w:eastAsia="Calibri" w:cs="Arial"/>
                <w:color w:val="000000"/>
              </w:rPr>
              <w:t xml:space="preserve">A su turno, con posterioridad al vencimiento del plazo para presentar observaciones y a más tardar el día antes de la audiencia efectiva de adjudicación, la entidad debe publicar el informe final de evaluación, en caso de que haya sufrido alteraciones. </w:t>
            </w:r>
          </w:p>
          <w:p w:rsidRPr="001A6631" w:rsidR="001A6631" w:rsidP="001A6631" w:rsidRDefault="001A6631" w14:paraId="15F4013A" w14:textId="77777777">
            <w:pPr>
              <w:spacing w:after="120" w:line="276" w:lineRule="auto"/>
              <w:ind w:firstLine="709"/>
              <w:jc w:val="both"/>
              <w:rPr>
                <w:rFonts w:ascii="Verdana" w:hAnsi="Verdana" w:eastAsia="Calibri" w:cs="Arial"/>
                <w:color w:val="000000"/>
              </w:rPr>
            </w:pPr>
            <w:r w:rsidRPr="001A6631">
              <w:rPr>
                <w:rFonts w:ascii="Verdana" w:hAnsi="Verdana" w:eastAsia="Calibri" w:cs="Arial"/>
                <w:color w:val="000000"/>
              </w:rPr>
              <w:t xml:space="preserve">Finalmente, conviene advertir que, en atención a lo dispuesto en el numeral 2.6 del documento base, que señala las reglas que conciernen a la </w:t>
            </w:r>
            <w:r w:rsidRPr="001A6631">
              <w:rPr>
                <w:rFonts w:ascii="Verdana" w:hAnsi="Verdana" w:eastAsia="Calibri" w:cs="Arial"/>
                <w:i/>
                <w:iCs/>
                <w:color w:val="000000"/>
              </w:rPr>
              <w:t>audiencia efectiva de adjudicación,</w:t>
            </w:r>
            <w:r w:rsidRPr="001A6631">
              <w:rPr>
                <w:rFonts w:ascii="Verdana" w:hAnsi="Verdana" w:eastAsia="Calibri" w:cs="Arial"/>
                <w:color w:val="000000"/>
              </w:rPr>
              <w:t xml:space="preserve"> al inicio de la misma, la entidad otorgará la palabra a los proponentes para presentar las observaciones al informe final de evaluación, lo cual no podrá entenderse como una oportunidad adicional para aportar documentos o elementos que no hayan sido incorporados en el plazo definido en el numeral 1.6. Esto, sin perjuicio de la potestad de la entidad de realizar las verificaciones que considere pertinentes para la adecuada selección del contratista.</w:t>
            </w:r>
          </w:p>
          <w:p w:rsidRPr="001A6631" w:rsidR="001A6631" w:rsidP="001A6631" w:rsidRDefault="001A6631" w14:paraId="4CDFC91D" w14:textId="77777777">
            <w:pPr>
              <w:spacing w:after="120" w:line="276" w:lineRule="auto"/>
              <w:ind w:firstLine="709"/>
              <w:jc w:val="both"/>
              <w:rPr>
                <w:rFonts w:ascii="Verdana" w:hAnsi="Verdana" w:eastAsia="Calibri" w:cs="Arial"/>
                <w:color w:val="000000"/>
              </w:rPr>
            </w:pPr>
            <w:r w:rsidRPr="001A6631">
              <w:rPr>
                <w:rFonts w:ascii="Verdana" w:hAnsi="Verdana" w:eastAsia="Calibri" w:cs="Arial"/>
                <w:color w:val="000000"/>
              </w:rPr>
              <w:t>Una vez resueltas las observaciones frente al informe de evaluación, en caso de que haya lugar a ello, la entidad dará apertura al Sobre No. 2 de los proponentes habilitados, y evaluará la oferta económica a través del mecanismo escogido mediante el método aleatorio que resulte aplicable de conformidad con lo establecido en el numeral 4.1. del documento base. Con posterioridad, se correrá traslado a los proponentes habilitados solo para la revisión del aspecto económico y se definirá el orden de elegibilidad.</w:t>
            </w:r>
          </w:p>
          <w:p w:rsidRPr="0011509F" w:rsidR="001A6631" w:rsidP="001A6631" w:rsidRDefault="001A6631" w14:paraId="40333C78" w14:textId="77777777">
            <w:pPr>
              <w:spacing w:after="120" w:line="276" w:lineRule="auto"/>
              <w:ind w:firstLine="709"/>
              <w:jc w:val="both"/>
              <w:rPr>
                <w:rFonts w:ascii="Verdana" w:hAnsi="Verdana" w:eastAsia="Calibri" w:cs="Arial"/>
                <w:i/>
                <w:iCs/>
                <w:color w:val="000000"/>
              </w:rPr>
            </w:pPr>
            <w:r w:rsidRPr="0011509F">
              <w:rPr>
                <w:rFonts w:ascii="Verdana" w:hAnsi="Verdana" w:eastAsia="Calibri" w:cs="Arial"/>
                <w:color w:val="000000"/>
              </w:rPr>
              <w:t xml:space="preserve">Al margen de lo expuesto, es importante precisar que corresponde a los proponentes subsanar los requisitos habilitantes en los términos y oportunidades previstas por las entidades estatales, aportando, en caso de que sea necesario, los documentos faltantes, en las condiciones señaladas en este concepto. Por lo demás, teniendo en cuenta que los requisitos habilitantes son objeto de verificación por parte de la entidad contratante, conforme al documento base, en caso de que la propuesta cumpla con todos los aspectos, </w:t>
            </w:r>
            <w:r w:rsidRPr="0011509F">
              <w:rPr>
                <w:rFonts w:ascii="Verdana" w:hAnsi="Verdana" w:eastAsia="Calibri" w:cs="Arial"/>
                <w:color w:val="000000"/>
              </w:rPr>
              <w:lastRenderedPageBreak/>
              <w:t xml:space="preserve">será evaluada como </w:t>
            </w:r>
            <w:r w:rsidRPr="0011509F">
              <w:rPr>
                <w:rFonts w:ascii="Verdana" w:hAnsi="Verdana" w:eastAsia="Calibri" w:cs="Arial"/>
                <w:i/>
                <w:iCs/>
                <w:color w:val="000000"/>
              </w:rPr>
              <w:t>“cumple”,</w:t>
            </w:r>
            <w:r w:rsidRPr="0011509F">
              <w:rPr>
                <w:rFonts w:ascii="Verdana" w:hAnsi="Verdana" w:eastAsia="Calibri" w:cs="Arial"/>
                <w:color w:val="000000"/>
              </w:rPr>
              <w:t xml:space="preserve"> y en caso contrario, la evaluación será </w:t>
            </w:r>
            <w:r w:rsidRPr="0011509F">
              <w:rPr>
                <w:rFonts w:ascii="Verdana" w:hAnsi="Verdana" w:eastAsia="Calibri" w:cs="Arial"/>
                <w:i/>
                <w:iCs/>
                <w:color w:val="000000"/>
              </w:rPr>
              <w:t>“no cumple”.</w:t>
            </w:r>
          </w:p>
          <w:p w:rsidRPr="0011509F" w:rsidR="001A6631" w:rsidP="001A6631" w:rsidRDefault="001A6631" w14:paraId="08A3A6C2" w14:textId="77777777">
            <w:pPr>
              <w:spacing w:after="120" w:line="276" w:lineRule="auto"/>
              <w:ind w:firstLine="709"/>
              <w:jc w:val="both"/>
              <w:rPr>
                <w:rFonts w:ascii="Verdana" w:hAnsi="Verdana" w:eastAsia="Calibri" w:cs="Arial"/>
                <w:color w:val="000000"/>
              </w:rPr>
            </w:pPr>
            <w:r w:rsidRPr="0011509F">
              <w:rPr>
                <w:rFonts w:ascii="Verdana" w:hAnsi="Verdana" w:eastAsia="Calibri" w:cs="Arial"/>
                <w:color w:val="000000"/>
              </w:rPr>
              <w:t xml:space="preserve">Sin embargo, la subsanación de la oferta es un análisis que debe realizarse en cada caso concreto, de forma tal que </w:t>
            </w:r>
            <w:proofErr w:type="spellStart"/>
            <w:r w:rsidRPr="0011509F">
              <w:rPr>
                <w:rFonts w:ascii="Verdana" w:hAnsi="Verdana" w:eastAsia="Calibri" w:cs="Arial"/>
                <w:color w:val="000000"/>
              </w:rPr>
              <w:t>si</w:t>
            </w:r>
            <w:proofErr w:type="spellEnd"/>
            <w:r w:rsidRPr="0011509F">
              <w:rPr>
                <w:rFonts w:ascii="Verdana" w:hAnsi="Verdana" w:eastAsia="Calibri" w:cs="Arial"/>
                <w:color w:val="000000"/>
              </w:rPr>
              <w:t xml:space="preserve">, eventualmente, el documento faltante corresponde a una certificación de experiencia que debe expedir la misma entidad contratante, podría ser válido el aporte de dicha certificación por parte de la entidad contratante, siempre y cuando se realice dentro de las oportunidades previstas, y no mejore o modifique la oferta en aspectos que otorgan puntaje.  </w:t>
            </w:r>
          </w:p>
          <w:p w:rsidRPr="001A6631" w:rsidR="001A6631" w:rsidP="001A6631" w:rsidRDefault="001A6631" w14:paraId="094107D1" w14:textId="77777777">
            <w:pPr>
              <w:spacing w:line="276" w:lineRule="auto"/>
              <w:ind w:firstLine="709"/>
              <w:jc w:val="both"/>
              <w:rPr>
                <w:rFonts w:ascii="Verdana" w:hAnsi="Verdana" w:eastAsia="Calibri" w:cs="Arial"/>
                <w:color w:val="000000"/>
              </w:rPr>
            </w:pPr>
            <w:r w:rsidRPr="0011509F">
              <w:rPr>
                <w:rFonts w:ascii="Verdana" w:hAnsi="Verdana" w:eastAsia="Calibri" w:cs="Arial"/>
                <w:color w:val="000000"/>
              </w:rPr>
              <w:t xml:space="preserve">No obstante, conforme a las reglas de </w:t>
            </w:r>
            <w:proofErr w:type="spellStart"/>
            <w:r w:rsidRPr="0011509F">
              <w:rPr>
                <w:rFonts w:ascii="Verdana" w:hAnsi="Verdana" w:eastAsia="Calibri" w:cs="Arial"/>
                <w:color w:val="000000"/>
              </w:rPr>
              <w:t>subsanabilidad</w:t>
            </w:r>
            <w:proofErr w:type="spellEnd"/>
            <w:r w:rsidRPr="0011509F">
              <w:rPr>
                <w:rFonts w:ascii="Verdana" w:hAnsi="Verdana" w:eastAsia="Calibri" w:cs="Arial"/>
                <w:color w:val="000000"/>
              </w:rPr>
              <w:t xml:space="preserve"> de las ofertas contempladas en las normas y en los documentos tipo, corresponde a los proponentes presentar sus ofertas de forma completa e íntegra, adjuntando todos los documentos soporte o prueba de las condiciones que pretendan hacer valer, por lo que, en principio, el deber de subsanar y presentar documentos faltantes recae en los oferentes y no en las entidades contratantes.</w:t>
            </w:r>
          </w:p>
        </w:tc>
      </w:tr>
    </w:tbl>
    <w:p w:rsidRPr="001A6631" w:rsidR="001A6631" w:rsidP="001A6631" w:rsidRDefault="001A6631" w14:paraId="0425592B" w14:textId="77777777">
      <w:pPr>
        <w:tabs>
          <w:tab w:val="left" w:pos="142"/>
          <w:tab w:val="left" w:pos="284"/>
        </w:tabs>
        <w:snapToGrid w:val="0"/>
        <w:spacing w:after="0" w:line="276" w:lineRule="auto"/>
        <w:jc w:val="both"/>
        <w:rPr>
          <w:rFonts w:ascii="Verdana" w:hAnsi="Verdana" w:eastAsia="Century Gothic" w:cs="Century Gothic"/>
          <w:b/>
          <w:bCs/>
          <w:lang w:val="es-ES_tradnl"/>
        </w:rPr>
      </w:pPr>
    </w:p>
    <w:p w:rsidRPr="001A6631" w:rsidR="001A6631" w:rsidP="001A6631" w:rsidRDefault="001A6631" w14:paraId="27DA7E85" w14:textId="77777777">
      <w:pPr>
        <w:numPr>
          <w:ilvl w:val="0"/>
          <w:numId w:val="16"/>
        </w:numPr>
        <w:tabs>
          <w:tab w:val="left" w:pos="142"/>
          <w:tab w:val="left" w:pos="284"/>
        </w:tabs>
        <w:snapToGrid w:val="0"/>
        <w:spacing w:after="0" w:line="276" w:lineRule="auto"/>
        <w:ind w:left="357" w:hanging="357"/>
        <w:jc w:val="both"/>
        <w:rPr>
          <w:rFonts w:ascii="Verdana" w:hAnsi="Verdana" w:eastAsia="Century Gothic" w:cs="Century Gothic"/>
          <w:b/>
          <w:bCs/>
          <w:lang w:val="es-ES_tradnl"/>
        </w:rPr>
      </w:pPr>
      <w:r w:rsidRPr="001A6631">
        <w:rPr>
          <w:rFonts w:ascii="Verdana" w:hAnsi="Verdana" w:eastAsia="Century Gothic" w:cs="Century Gothic"/>
          <w:b/>
          <w:bCs/>
          <w:lang w:val="es-ES_tradnl"/>
        </w:rPr>
        <w:t>Razones de la respuesta:</w:t>
      </w:r>
    </w:p>
    <w:p w:rsidRPr="001A6631" w:rsidR="001A6631" w:rsidP="001A6631" w:rsidRDefault="001A6631" w14:paraId="04347B21" w14:textId="77777777">
      <w:pPr>
        <w:snapToGrid w:val="0"/>
        <w:spacing w:after="0" w:line="276" w:lineRule="auto"/>
        <w:jc w:val="both"/>
        <w:rPr>
          <w:rFonts w:ascii="Verdana" w:hAnsi="Verdana" w:eastAsia="Calibri" w:cs="Arial"/>
          <w:lang w:val="es-ES_tradnl"/>
        </w:rPr>
      </w:pPr>
    </w:p>
    <w:p w:rsidRPr="001A6631" w:rsidR="001A6631" w:rsidP="001A6631" w:rsidRDefault="001A6631" w14:paraId="6C64470D" w14:textId="77777777">
      <w:pPr>
        <w:snapToGrid w:val="0"/>
        <w:spacing w:after="0" w:line="276" w:lineRule="auto"/>
        <w:jc w:val="both"/>
        <w:rPr>
          <w:rFonts w:ascii="Verdana" w:hAnsi="Verdana" w:eastAsia="Calibri" w:cs="Arial"/>
          <w:lang w:val="es-ES_tradnl"/>
        </w:rPr>
      </w:pPr>
      <w:r w:rsidRPr="001A6631">
        <w:rPr>
          <w:rFonts w:ascii="Verdana" w:hAnsi="Verdana" w:eastAsia="Calibri" w:cs="Arial"/>
          <w:lang w:val="es-ES_tradnl"/>
        </w:rPr>
        <w:t xml:space="preserve">Lo anterior se sustenta en las siguientes consideraciones: </w:t>
      </w:r>
    </w:p>
    <w:p w:rsidRPr="001A6631" w:rsidR="001A6631" w:rsidP="001A6631" w:rsidRDefault="001A6631" w14:paraId="5E06A20D" w14:textId="77777777">
      <w:pPr>
        <w:snapToGrid w:val="0"/>
        <w:spacing w:after="0" w:line="276" w:lineRule="auto"/>
        <w:jc w:val="both"/>
        <w:rPr>
          <w:rFonts w:ascii="Verdana" w:hAnsi="Verdana" w:eastAsia="Calibri" w:cs="Arial"/>
          <w:lang w:val="es-ES_tradnl"/>
        </w:rPr>
      </w:pPr>
    </w:p>
    <w:p w:rsidRPr="001A6631" w:rsidR="001A6631" w:rsidP="001A6631" w:rsidRDefault="001A6631" w14:paraId="3F83AEF4" w14:textId="77777777">
      <w:pPr>
        <w:spacing w:after="120" w:line="276" w:lineRule="auto"/>
        <w:jc w:val="both"/>
        <w:rPr>
          <w:rFonts w:ascii="Verdana" w:hAnsi="Verdana" w:eastAsia="Times New Roman" w:cs="Arial"/>
          <w:lang w:val="es-ES_tradnl" w:eastAsia="es-ES_tradnl"/>
        </w:rPr>
      </w:pPr>
      <w:r w:rsidRPr="001A6631">
        <w:rPr>
          <w:rFonts w:ascii="Verdana" w:hAnsi="Verdana" w:eastAsia="Calibri" w:cs="Arial"/>
          <w:noProof/>
          <w:lang w:val="es-ES_tradnl"/>
        </w:rPr>
        <w:t>L</w:t>
      </w:r>
      <w:r w:rsidRPr="001A6631">
        <w:rPr>
          <w:rFonts w:ascii="Verdana" w:hAnsi="Verdana" w:eastAsia="Times New Roman" w:cs="Arial"/>
        </w:rPr>
        <w:t xml:space="preserve">a regla de la </w:t>
      </w:r>
      <w:proofErr w:type="spellStart"/>
      <w:r w:rsidRPr="001A6631">
        <w:rPr>
          <w:rFonts w:ascii="Verdana" w:hAnsi="Verdana" w:eastAsia="Times New Roman" w:cs="Arial"/>
        </w:rPr>
        <w:t>subsanabilidad</w:t>
      </w:r>
      <w:proofErr w:type="spellEnd"/>
      <w:r w:rsidRPr="001A6631">
        <w:rPr>
          <w:rFonts w:ascii="Verdana" w:hAnsi="Verdana" w:eastAsia="Times New Roman" w:cs="Arial"/>
        </w:rPr>
        <w:t xml:space="preserve"> de las ofertas en los procedimientos de selección</w:t>
      </w:r>
      <w:r w:rsidRPr="001A6631">
        <w:rPr>
          <w:rFonts w:ascii="Verdana" w:hAnsi="Verdana" w:eastAsia="Times New Roman" w:cs="Arial"/>
          <w:b/>
          <w:bCs/>
        </w:rPr>
        <w:t xml:space="preserve"> </w:t>
      </w:r>
      <w:r w:rsidRPr="001A6631">
        <w:rPr>
          <w:rFonts w:ascii="Verdana" w:hAnsi="Verdana" w:eastAsia="Times New Roman" w:cs="Arial"/>
          <w:lang w:val="es-ES_tradnl" w:eastAsia="es-ES_tradnl"/>
        </w:rPr>
        <w:t>indica que, por regla general, la falta de entrega y los defectos en la acreditación de los requisitos habilitantes son aspectos subsanables. La excepción a esta regla se encuentra en la prohibición de permitir que se subsanen aspectos que otorgan puntaje, la acreditación de circunstancias ocurridas con posterioridad al cierre del proceso y de permitir la entrega de la garantía de seriedad de la oferta que no fue aportada con la propuesta.</w:t>
      </w:r>
    </w:p>
    <w:p w:rsidRPr="001A6631" w:rsidR="001A6631" w:rsidP="001A6631" w:rsidRDefault="001A6631" w14:paraId="39DBA580" w14:textId="77777777">
      <w:pPr>
        <w:spacing w:after="120" w:line="276" w:lineRule="auto"/>
        <w:ind w:firstLine="708"/>
        <w:jc w:val="both"/>
        <w:rPr>
          <w:rFonts w:ascii="Verdana" w:hAnsi="Verdana" w:eastAsia="Times New Roman" w:cs="Arial"/>
          <w:lang w:val="es-ES" w:eastAsia="es-ES"/>
        </w:rPr>
      </w:pPr>
      <w:r w:rsidRPr="001A6631">
        <w:rPr>
          <w:rFonts w:ascii="Verdana" w:hAnsi="Verdana" w:eastAsia="Times New Roman" w:cs="Arial"/>
          <w:lang w:val="es-ES_tradnl" w:eastAsia="es-ES_tradnl"/>
        </w:rPr>
        <w:t>La posibilidad de enmendar, corregir o subsanar los errores en los que se incurre en los documentos contentivos de la oferta es un tema que ha tenido diferentes momentos o etapas en el ordenamiento jurídico colombiano, momentos que se han expuesto de manera detallada en conceptos como el C-</w:t>
      </w:r>
      <w:r w:rsidRPr="001A6631">
        <w:rPr>
          <w:rFonts w:ascii="Verdana" w:hAnsi="Verdana" w:eastAsia="Times New Roman" w:cs="Arial"/>
          <w:lang w:val="es-ES_tradnl" w:eastAsia="es-ES_tradnl"/>
        </w:rPr>
        <w:lastRenderedPageBreak/>
        <w:t>285 del 20 de mayo de 2022</w:t>
      </w:r>
      <w:r w:rsidRPr="001A6631">
        <w:rPr>
          <w:rFonts w:ascii="Verdana" w:hAnsi="Verdana" w:eastAsia="Times New Roman" w:cs="Arial"/>
          <w:vertAlign w:val="superscript"/>
          <w:lang w:val="es-ES_tradnl" w:eastAsia="es-ES_tradnl"/>
        </w:rPr>
        <w:footnoteReference w:id="2"/>
      </w:r>
      <w:r w:rsidRPr="001A6631">
        <w:rPr>
          <w:rFonts w:ascii="Verdana" w:hAnsi="Verdana" w:eastAsia="Times New Roman" w:cs="Arial"/>
          <w:lang w:val="es-ES_tradnl" w:eastAsia="es-ES_tradnl"/>
        </w:rPr>
        <w:t xml:space="preserve"> o el C-447 del 19 de septiembre de 2024</w:t>
      </w:r>
      <w:r w:rsidRPr="001A6631">
        <w:rPr>
          <w:rFonts w:ascii="Verdana" w:hAnsi="Verdana" w:eastAsia="Times New Roman" w:cs="Arial"/>
          <w:vertAlign w:val="superscript"/>
          <w:lang w:val="es-ES_tradnl" w:eastAsia="es-ES_tradnl"/>
        </w:rPr>
        <w:footnoteReference w:id="3"/>
      </w:r>
      <w:r w:rsidRPr="001A6631">
        <w:rPr>
          <w:rFonts w:ascii="Verdana" w:hAnsi="Verdana" w:eastAsia="Times New Roman" w:cs="Arial"/>
          <w:lang w:val="es-ES_tradnl" w:eastAsia="es-ES_tradnl"/>
        </w:rPr>
        <w:t>, los cuales, en el evento en que tenga interés, podrá consultar en los enlaces de la nota al pie. Sin embargo</w:t>
      </w:r>
      <w:r w:rsidRPr="001A6631">
        <w:rPr>
          <w:rFonts w:ascii="Verdana" w:hAnsi="Verdana" w:eastAsia="Times New Roman" w:cs="Arial"/>
          <w:lang w:val="es-ES" w:eastAsia="es-ES"/>
        </w:rPr>
        <w:t xml:space="preserve">, a continuación, se hará referencia particularmente al último momento, que refleja la postura vigente en torno a la </w:t>
      </w:r>
      <w:proofErr w:type="spellStart"/>
      <w:r w:rsidRPr="001A6631">
        <w:rPr>
          <w:rFonts w:ascii="Verdana" w:hAnsi="Verdana" w:eastAsia="Times New Roman" w:cs="Arial"/>
          <w:lang w:val="es-ES" w:eastAsia="es-ES"/>
        </w:rPr>
        <w:t>subsanabilidad</w:t>
      </w:r>
      <w:proofErr w:type="spellEnd"/>
      <w:r w:rsidRPr="001A6631">
        <w:rPr>
          <w:rFonts w:ascii="Verdana" w:hAnsi="Verdana" w:eastAsia="Times New Roman" w:cs="Arial"/>
          <w:lang w:val="es-ES" w:eastAsia="es-ES"/>
        </w:rPr>
        <w:t>.</w:t>
      </w:r>
    </w:p>
    <w:p w:rsidRPr="001A6631" w:rsidR="001A6631" w:rsidP="001A6631" w:rsidRDefault="001A6631" w14:paraId="3A68F7B1" w14:textId="77777777">
      <w:pPr>
        <w:tabs>
          <w:tab w:val="left" w:pos="284"/>
        </w:tabs>
        <w:spacing w:after="0" w:line="276" w:lineRule="auto"/>
        <w:ind w:firstLine="709"/>
        <w:jc w:val="both"/>
        <w:rPr>
          <w:rFonts w:ascii="Verdana" w:hAnsi="Verdana" w:eastAsia="Times New Roman" w:cs="Arial"/>
          <w:lang w:val="es-ES_tradnl" w:eastAsia="es-CO"/>
        </w:rPr>
      </w:pPr>
      <w:r w:rsidRPr="001A6631">
        <w:rPr>
          <w:rFonts w:ascii="Verdana" w:hAnsi="Verdana" w:eastAsia="Times New Roman" w:cs="Arial"/>
          <w:lang w:val="es-ES_tradnl" w:eastAsia="es-ES_tradnl"/>
        </w:rPr>
        <w:t xml:space="preserve">La expedición de la Ley </w:t>
      </w:r>
      <w:r w:rsidRPr="001A6631">
        <w:rPr>
          <w:rFonts w:ascii="Verdana" w:hAnsi="Verdana" w:eastAsia="Times New Roman" w:cs="Arial"/>
          <w:lang w:val="es-ES_tradnl" w:eastAsia="es-CO"/>
        </w:rPr>
        <w:t xml:space="preserve">1882 de 2018 tuvo por finalidad la de introducir cambios y ajustes para fortalecer la contratación pública. En ese orden, mediante su artículo 5 modificó el parágrafo 1º y adicionó algunos otros, entre ellos el 3° y 4° del artículo 5 de la Ley 1150 de 2007, en los siguientes términos: </w:t>
      </w:r>
    </w:p>
    <w:p w:rsidRPr="001A6631" w:rsidR="001A6631" w:rsidP="001A6631" w:rsidRDefault="001A6631" w14:paraId="67F3131F" w14:textId="77777777">
      <w:pPr>
        <w:spacing w:after="0" w:line="276" w:lineRule="auto"/>
        <w:ind w:left="709" w:right="709"/>
        <w:jc w:val="both"/>
        <w:rPr>
          <w:rFonts w:ascii="Verdana" w:hAnsi="Verdana" w:eastAsia="Times New Roman" w:cs="Arial"/>
          <w:lang w:val="es-ES_tradnl" w:eastAsia="es-CO"/>
        </w:rPr>
      </w:pPr>
    </w:p>
    <w:p w:rsidRPr="001A6631" w:rsidR="001A6631" w:rsidP="001A6631" w:rsidRDefault="001A6631" w14:paraId="73317396" w14:textId="77777777">
      <w:pPr>
        <w:spacing w:after="0" w:line="240" w:lineRule="auto"/>
        <w:ind w:left="709" w:right="709"/>
        <w:jc w:val="both"/>
        <w:rPr>
          <w:rFonts w:ascii="Verdana" w:hAnsi="Verdana" w:eastAsia="Times New Roman" w:cs="Arial"/>
          <w:sz w:val="21"/>
          <w:szCs w:val="21"/>
          <w:lang w:val="es-ES_tradnl" w:eastAsia="es-CO"/>
        </w:rPr>
      </w:pPr>
      <w:r w:rsidRPr="001A6631">
        <w:rPr>
          <w:rFonts w:ascii="Verdana" w:hAnsi="Verdana" w:eastAsia="Times New Roman" w:cs="Arial"/>
          <w:sz w:val="21"/>
          <w:szCs w:val="21"/>
          <w:lang w:val="es-ES_tradnl" w:eastAsia="es-CO"/>
        </w:rPr>
        <w:t xml:space="preserve">“Artículo 5°. De la selección objetiva. </w:t>
      </w:r>
    </w:p>
    <w:p w:rsidRPr="001A6631" w:rsidR="001A6631" w:rsidP="001A6631" w:rsidRDefault="001A6631" w14:paraId="4B2C2DD7" w14:textId="77777777">
      <w:pPr>
        <w:spacing w:after="0" w:line="240" w:lineRule="auto"/>
        <w:ind w:left="709" w:right="709"/>
        <w:jc w:val="both"/>
        <w:textAlignment w:val="baseline"/>
        <w:rPr>
          <w:rFonts w:ascii="Verdana" w:hAnsi="Verdana" w:eastAsia="Times New Roman" w:cs="Arial"/>
          <w:color w:val="000000"/>
          <w:sz w:val="21"/>
          <w:szCs w:val="21"/>
          <w:lang w:val="es-ES" w:eastAsia="es-CO"/>
        </w:rPr>
      </w:pPr>
    </w:p>
    <w:p w:rsidRPr="001A6631" w:rsidR="001A6631" w:rsidP="001A6631" w:rsidRDefault="001A6631" w14:paraId="78E75DC1" w14:textId="77777777">
      <w:pPr>
        <w:spacing w:after="0" w:line="240" w:lineRule="auto"/>
        <w:ind w:left="709" w:right="709"/>
        <w:jc w:val="both"/>
        <w:textAlignment w:val="baseline"/>
        <w:rPr>
          <w:rFonts w:ascii="Verdana" w:hAnsi="Verdana" w:eastAsia="Times New Roman" w:cs="Segoe UI"/>
          <w:sz w:val="21"/>
          <w:szCs w:val="21"/>
          <w:lang w:eastAsia="es-CO"/>
        </w:rPr>
      </w:pPr>
      <w:r w:rsidRPr="001A6631">
        <w:rPr>
          <w:rFonts w:ascii="Verdana" w:hAnsi="Verdana" w:eastAsia="Times New Roman" w:cs="Arial"/>
          <w:color w:val="000000"/>
          <w:sz w:val="21"/>
          <w:szCs w:val="21"/>
          <w:lang w:val="es-ES" w:eastAsia="es-CO"/>
        </w:rPr>
        <w:t xml:space="preserve">Es objetiva la selección en la cual la escogencia se haga al ofrecimiento más favorable a la entidad y a los fines que ella busca, sin tener en consideración factores de afecto o de interés y, en general, cualquier clase de motivación subjetiva. En consecuencia, los factores de escogencia y calificación que establezcan las entidades en los pliegos de condiciones o sus </w:t>
      </w:r>
      <w:proofErr w:type="gramStart"/>
      <w:r w:rsidRPr="001A6631">
        <w:rPr>
          <w:rFonts w:ascii="Verdana" w:hAnsi="Verdana" w:eastAsia="Times New Roman" w:cs="Arial"/>
          <w:color w:val="000000"/>
          <w:sz w:val="21"/>
          <w:szCs w:val="21"/>
          <w:lang w:val="es-ES" w:eastAsia="es-CO"/>
        </w:rPr>
        <w:t>equivalentes,</w:t>
      </w:r>
      <w:proofErr w:type="gramEnd"/>
      <w:r w:rsidRPr="001A6631">
        <w:rPr>
          <w:rFonts w:ascii="Verdana" w:hAnsi="Verdana" w:eastAsia="Times New Roman" w:cs="Arial"/>
          <w:color w:val="000000"/>
          <w:sz w:val="21"/>
          <w:szCs w:val="21"/>
          <w:lang w:val="es-ES" w:eastAsia="es-CO"/>
        </w:rPr>
        <w:t xml:space="preserve"> tendrán en cuenta los siguientes criterios:</w:t>
      </w:r>
      <w:r w:rsidRPr="001A6631">
        <w:rPr>
          <w:rFonts w:ascii="Verdana" w:hAnsi="Verdana" w:eastAsia="Times New Roman" w:cs="Arial"/>
          <w:color w:val="000000"/>
          <w:sz w:val="21"/>
          <w:szCs w:val="21"/>
          <w:lang w:eastAsia="es-CO"/>
        </w:rPr>
        <w:t> </w:t>
      </w:r>
    </w:p>
    <w:p w:rsidRPr="001A6631" w:rsidR="001A6631" w:rsidP="001A6631" w:rsidRDefault="001A6631" w14:paraId="5F04AE58" w14:textId="77777777">
      <w:pPr>
        <w:spacing w:after="0" w:line="240" w:lineRule="auto"/>
        <w:ind w:left="709" w:right="709"/>
        <w:jc w:val="both"/>
        <w:textAlignment w:val="baseline"/>
        <w:rPr>
          <w:rFonts w:ascii="Verdana" w:hAnsi="Verdana" w:eastAsia="Times New Roman" w:cs="Segoe UI"/>
          <w:sz w:val="21"/>
          <w:szCs w:val="21"/>
          <w:lang w:eastAsia="es-CO"/>
        </w:rPr>
      </w:pPr>
      <w:r w:rsidRPr="001A6631">
        <w:rPr>
          <w:rFonts w:ascii="Verdana" w:hAnsi="Verdana" w:eastAsia="Times New Roman" w:cs="Arial"/>
          <w:color w:val="000000"/>
          <w:sz w:val="21"/>
          <w:szCs w:val="21"/>
          <w:lang w:eastAsia="es-CO"/>
        </w:rPr>
        <w:t> </w:t>
      </w:r>
    </w:p>
    <w:p w:rsidRPr="001A6631" w:rsidR="001A6631" w:rsidP="001A6631" w:rsidRDefault="001A6631" w14:paraId="51A16246" w14:textId="77777777">
      <w:pPr>
        <w:spacing w:after="0" w:line="240" w:lineRule="auto"/>
        <w:ind w:left="709" w:right="709"/>
        <w:jc w:val="both"/>
        <w:textAlignment w:val="baseline"/>
        <w:rPr>
          <w:rFonts w:ascii="Verdana" w:hAnsi="Verdana" w:eastAsia="Times New Roman" w:cs="Segoe UI"/>
          <w:sz w:val="21"/>
          <w:szCs w:val="21"/>
          <w:lang w:eastAsia="es-CO"/>
        </w:rPr>
      </w:pPr>
      <w:r w:rsidRPr="001A6631">
        <w:rPr>
          <w:rFonts w:ascii="Verdana" w:hAnsi="Verdana" w:eastAsia="Times New Roman" w:cs="Arial"/>
          <w:color w:val="000000"/>
          <w:sz w:val="21"/>
          <w:szCs w:val="21"/>
          <w:lang w:val="es-ES" w:eastAsia="es-CO"/>
        </w:rPr>
        <w:t>1. La capacidad jurídica y las condiciones de experiencia, capacidad financiera y de organización de los proponentes serán objeto de verificación de cumplimiento como requisitos habilitantes para la participación en el proceso de selección y no otorgarán puntaje, con excepción de lo previsto en el numeral 4 del presente artículo. La exigencia de tales condiciones debe ser adecuada y proporcional a la naturaleza del contrato a suscribir y a su valor. La verificación documental de las condiciones antes señaladas será efectuada por las Cámaras de Comercio de conformidad con lo establecido en el artículo 6o de la presente ley, de acuerdo con lo cual se expedirá la respectiva certificación.</w:t>
      </w:r>
      <w:r w:rsidRPr="001A6631">
        <w:rPr>
          <w:rFonts w:ascii="Verdana" w:hAnsi="Verdana" w:eastAsia="Times New Roman" w:cs="Arial"/>
          <w:color w:val="000000"/>
          <w:sz w:val="21"/>
          <w:szCs w:val="21"/>
          <w:lang w:eastAsia="es-CO"/>
        </w:rPr>
        <w:t> </w:t>
      </w:r>
    </w:p>
    <w:p w:rsidRPr="001A6631" w:rsidR="001A6631" w:rsidP="001A6631" w:rsidRDefault="001A6631" w14:paraId="3743FE62" w14:textId="77777777">
      <w:pPr>
        <w:spacing w:after="0" w:line="240" w:lineRule="auto"/>
        <w:ind w:left="709" w:right="709"/>
        <w:jc w:val="both"/>
        <w:textAlignment w:val="baseline"/>
        <w:rPr>
          <w:rFonts w:ascii="Verdana" w:hAnsi="Verdana" w:eastAsia="Times New Roman" w:cs="Segoe UI"/>
          <w:sz w:val="21"/>
          <w:szCs w:val="21"/>
          <w:lang w:eastAsia="es-CO"/>
        </w:rPr>
      </w:pPr>
      <w:r w:rsidRPr="001A6631">
        <w:rPr>
          <w:rFonts w:ascii="Verdana" w:hAnsi="Verdana" w:eastAsia="Times New Roman" w:cs="Arial"/>
          <w:color w:val="000000"/>
          <w:sz w:val="21"/>
          <w:szCs w:val="21"/>
          <w:lang w:eastAsia="es-CO"/>
        </w:rPr>
        <w:t> </w:t>
      </w:r>
    </w:p>
    <w:p w:rsidRPr="001A6631" w:rsidR="001A6631" w:rsidP="001A6631" w:rsidRDefault="001A6631" w14:paraId="4682BF1B" w14:textId="77777777">
      <w:pPr>
        <w:spacing w:after="0" w:line="240" w:lineRule="auto"/>
        <w:ind w:left="709" w:right="709"/>
        <w:jc w:val="both"/>
        <w:textAlignment w:val="baseline"/>
        <w:rPr>
          <w:rFonts w:ascii="Verdana" w:hAnsi="Verdana" w:eastAsia="Times New Roman" w:cs="Segoe UI"/>
          <w:sz w:val="21"/>
          <w:szCs w:val="21"/>
          <w:lang w:eastAsia="es-CO"/>
        </w:rPr>
      </w:pPr>
      <w:r w:rsidRPr="001A6631">
        <w:rPr>
          <w:rFonts w:ascii="Verdana" w:hAnsi="Verdana" w:eastAsia="Times New Roman" w:cs="Arial"/>
          <w:color w:val="000000"/>
          <w:sz w:val="21"/>
          <w:szCs w:val="21"/>
          <w:lang w:val="es-ES" w:eastAsia="es-CO"/>
        </w:rPr>
        <w:t xml:space="preserve">2. “Numeral modificado por el artículo 88 de la Ley 1474 de 2011. El nuevo texto es el </w:t>
      </w:r>
      <w:proofErr w:type="spellStart"/>
      <w:r w:rsidRPr="001A6631">
        <w:rPr>
          <w:rFonts w:ascii="Verdana" w:hAnsi="Verdana" w:eastAsia="Times New Roman" w:cs="Arial"/>
          <w:color w:val="000000"/>
          <w:sz w:val="21"/>
          <w:szCs w:val="21"/>
          <w:lang w:val="es-ES" w:eastAsia="es-CO"/>
        </w:rPr>
        <w:t>siguiente</w:t>
      </w:r>
      <w:proofErr w:type="gramStart"/>
      <w:r w:rsidRPr="001A6631">
        <w:rPr>
          <w:rFonts w:ascii="Verdana" w:hAnsi="Verdana" w:eastAsia="Times New Roman" w:cs="Arial"/>
          <w:color w:val="000000"/>
          <w:sz w:val="21"/>
          <w:szCs w:val="21"/>
          <w:lang w:val="es-ES" w:eastAsia="es-CO"/>
        </w:rPr>
        <w:t>:”La</w:t>
      </w:r>
      <w:proofErr w:type="spellEnd"/>
      <w:proofErr w:type="gramEnd"/>
      <w:r w:rsidRPr="001A6631">
        <w:rPr>
          <w:rFonts w:ascii="Verdana" w:hAnsi="Verdana" w:eastAsia="Times New Roman" w:cs="Arial"/>
          <w:color w:val="000000"/>
          <w:sz w:val="21"/>
          <w:szCs w:val="21"/>
          <w:lang w:val="es-ES" w:eastAsia="es-CO"/>
        </w:rPr>
        <w:t xml:space="preserve"> oferta más favorable será aquella que, teniendo en cuenta los factores técnicos y económicos de escogencia </w:t>
      </w:r>
      <w:r w:rsidRPr="001A6631">
        <w:rPr>
          <w:rFonts w:ascii="Verdana" w:hAnsi="Verdana" w:eastAsia="Times New Roman" w:cs="Arial"/>
          <w:color w:val="000000"/>
          <w:sz w:val="21"/>
          <w:szCs w:val="21"/>
          <w:lang w:val="es-ES" w:eastAsia="es-CO"/>
        </w:rPr>
        <w:lastRenderedPageBreak/>
        <w:t>y la ponderación precisa y detallada de los mismos contenida en los pliegos de condiciones o sus equivalentes, resulte ser la más ventajosa para la entidad, sin que la favorabilidad la constituyan factores diferentes a los contenidos en dichos documentos. En los contratos de obra pública, el menor plazo ofrecido no será objeto de evaluación. La entidad efectuará las comparaciones del caso mediante el cotejo de los ofrecimientos recibidos y la consulta de precios o condiciones del mercado y los estudios y deducciones de la entidad o de los organismos consultores o asesores designados para ello.</w:t>
      </w:r>
      <w:r w:rsidRPr="001A6631">
        <w:rPr>
          <w:rFonts w:ascii="Verdana" w:hAnsi="Verdana" w:eastAsia="Times New Roman" w:cs="Arial"/>
          <w:color w:val="000000"/>
          <w:sz w:val="21"/>
          <w:szCs w:val="21"/>
          <w:lang w:eastAsia="es-CO"/>
        </w:rPr>
        <w:t> </w:t>
      </w:r>
    </w:p>
    <w:p w:rsidRPr="001A6631" w:rsidR="001A6631" w:rsidP="001A6631" w:rsidRDefault="001A6631" w14:paraId="20EA4FEB" w14:textId="77777777">
      <w:pPr>
        <w:spacing w:after="0" w:line="240" w:lineRule="auto"/>
        <w:ind w:left="709" w:right="709"/>
        <w:jc w:val="both"/>
        <w:textAlignment w:val="baseline"/>
        <w:rPr>
          <w:rFonts w:ascii="Verdana" w:hAnsi="Verdana" w:eastAsia="Times New Roman" w:cs="Segoe UI"/>
          <w:sz w:val="21"/>
          <w:szCs w:val="21"/>
          <w:lang w:eastAsia="es-CO"/>
        </w:rPr>
      </w:pPr>
    </w:p>
    <w:p w:rsidRPr="001A6631" w:rsidR="001A6631" w:rsidP="001A6631" w:rsidRDefault="001A6631" w14:paraId="5808AD6E" w14:textId="77777777">
      <w:pPr>
        <w:spacing w:after="0" w:line="240" w:lineRule="auto"/>
        <w:ind w:left="709" w:right="709"/>
        <w:jc w:val="both"/>
        <w:textAlignment w:val="baseline"/>
        <w:rPr>
          <w:rFonts w:ascii="Verdana" w:hAnsi="Verdana" w:eastAsia="Times New Roman" w:cs="Segoe UI"/>
          <w:sz w:val="21"/>
          <w:szCs w:val="21"/>
          <w:lang w:eastAsia="es-CO"/>
        </w:rPr>
      </w:pPr>
      <w:r w:rsidRPr="001A6631">
        <w:rPr>
          <w:rFonts w:ascii="Verdana" w:hAnsi="Verdana" w:eastAsia="Times New Roman" w:cs="Arial"/>
          <w:color w:val="000000"/>
          <w:sz w:val="21"/>
          <w:szCs w:val="21"/>
          <w:lang w:val="es-ES" w:eastAsia="es-CO"/>
        </w:rPr>
        <w:t>En los procesos de selección en los que se tenga en cuenta los factores técnicos y económicos, la oferta más ventajosa será la que resulte de aplicar alguna de las siguientes alternativas:</w:t>
      </w:r>
      <w:r w:rsidRPr="001A6631">
        <w:rPr>
          <w:rFonts w:ascii="Verdana" w:hAnsi="Verdana" w:eastAsia="Times New Roman" w:cs="Arial"/>
          <w:color w:val="000000"/>
          <w:sz w:val="21"/>
          <w:szCs w:val="21"/>
          <w:lang w:eastAsia="es-CO"/>
        </w:rPr>
        <w:t> </w:t>
      </w:r>
    </w:p>
    <w:p w:rsidRPr="001A6631" w:rsidR="001A6631" w:rsidP="001A6631" w:rsidRDefault="001A6631" w14:paraId="5FF2449A" w14:textId="77777777">
      <w:pPr>
        <w:spacing w:after="0" w:line="240" w:lineRule="auto"/>
        <w:ind w:left="709" w:right="709"/>
        <w:jc w:val="both"/>
        <w:textAlignment w:val="baseline"/>
        <w:rPr>
          <w:rFonts w:ascii="Verdana" w:hAnsi="Verdana" w:eastAsia="Times New Roman" w:cs="Segoe UI"/>
          <w:sz w:val="21"/>
          <w:szCs w:val="21"/>
          <w:lang w:eastAsia="es-CO"/>
        </w:rPr>
      </w:pPr>
    </w:p>
    <w:p w:rsidRPr="001A6631" w:rsidR="001A6631" w:rsidP="001A6631" w:rsidRDefault="001A6631" w14:paraId="6C3EBA82" w14:textId="77777777">
      <w:pPr>
        <w:spacing w:after="0" w:line="240" w:lineRule="auto"/>
        <w:ind w:left="709" w:right="709"/>
        <w:jc w:val="both"/>
        <w:textAlignment w:val="baseline"/>
        <w:rPr>
          <w:rFonts w:ascii="Verdana" w:hAnsi="Verdana" w:eastAsia="Times New Roman" w:cs="Segoe UI"/>
          <w:sz w:val="21"/>
          <w:szCs w:val="21"/>
          <w:lang w:eastAsia="es-CO"/>
        </w:rPr>
      </w:pPr>
      <w:r w:rsidRPr="001A6631">
        <w:rPr>
          <w:rFonts w:ascii="Verdana" w:hAnsi="Verdana" w:eastAsia="Times New Roman" w:cs="Arial"/>
          <w:color w:val="000000"/>
          <w:sz w:val="21"/>
          <w:szCs w:val="21"/>
          <w:lang w:val="es-ES" w:eastAsia="es-CO"/>
        </w:rPr>
        <w:t>a) La ponderación de los elementos de calidad y precio soportados en puntajes o fórmulas señaladas en el pliego de condiciones; o</w:t>
      </w:r>
    </w:p>
    <w:p w:rsidRPr="001A6631" w:rsidR="001A6631" w:rsidP="001A6631" w:rsidRDefault="001A6631" w14:paraId="3D860304" w14:textId="77777777">
      <w:pPr>
        <w:spacing w:after="0" w:line="240" w:lineRule="auto"/>
        <w:ind w:left="709" w:right="709"/>
        <w:jc w:val="both"/>
        <w:textAlignment w:val="baseline"/>
        <w:rPr>
          <w:rFonts w:ascii="Verdana" w:hAnsi="Verdana" w:eastAsia="Times New Roman" w:cs="Segoe UI"/>
          <w:sz w:val="21"/>
          <w:szCs w:val="21"/>
          <w:lang w:eastAsia="es-CO"/>
        </w:rPr>
      </w:pPr>
    </w:p>
    <w:p w:rsidRPr="001A6631" w:rsidR="001A6631" w:rsidP="001A6631" w:rsidRDefault="001A6631" w14:paraId="592E789C" w14:textId="77777777">
      <w:pPr>
        <w:spacing w:after="0" w:line="240" w:lineRule="auto"/>
        <w:ind w:left="709" w:right="709"/>
        <w:jc w:val="both"/>
        <w:textAlignment w:val="baseline"/>
        <w:rPr>
          <w:rFonts w:ascii="Verdana" w:hAnsi="Verdana" w:eastAsia="Times New Roman" w:cs="Segoe UI"/>
          <w:sz w:val="21"/>
          <w:szCs w:val="21"/>
          <w:lang w:eastAsia="es-CO"/>
        </w:rPr>
      </w:pPr>
      <w:r w:rsidRPr="001A6631">
        <w:rPr>
          <w:rFonts w:ascii="Verdana" w:hAnsi="Verdana" w:eastAsia="Times New Roman" w:cs="Arial"/>
          <w:color w:val="000000"/>
          <w:sz w:val="21"/>
          <w:szCs w:val="21"/>
          <w:lang w:val="es-ES" w:eastAsia="es-CO"/>
        </w:rPr>
        <w:t>b) La ponderación de los elementos de calidad y precio que representen la mejor relación de costo-beneficio para la entidad.</w:t>
      </w:r>
      <w:r w:rsidRPr="001A6631">
        <w:rPr>
          <w:rFonts w:ascii="Verdana" w:hAnsi="Verdana" w:eastAsia="Times New Roman" w:cs="Arial"/>
          <w:color w:val="000000"/>
          <w:sz w:val="21"/>
          <w:szCs w:val="21"/>
          <w:lang w:eastAsia="es-CO"/>
        </w:rPr>
        <w:t> </w:t>
      </w:r>
    </w:p>
    <w:p w:rsidRPr="001A6631" w:rsidR="001A6631" w:rsidP="001A6631" w:rsidRDefault="001A6631" w14:paraId="66D5CF70" w14:textId="77777777">
      <w:pPr>
        <w:spacing w:after="0" w:line="240" w:lineRule="auto"/>
        <w:ind w:left="709" w:right="709"/>
        <w:jc w:val="both"/>
        <w:textAlignment w:val="baseline"/>
        <w:rPr>
          <w:rFonts w:ascii="Verdana" w:hAnsi="Verdana" w:eastAsia="Times New Roman" w:cs="Segoe UI"/>
          <w:sz w:val="21"/>
          <w:szCs w:val="21"/>
          <w:lang w:eastAsia="es-CO"/>
        </w:rPr>
      </w:pPr>
    </w:p>
    <w:p w:rsidRPr="001A6631" w:rsidR="001A6631" w:rsidP="001A6631" w:rsidRDefault="001A6631" w14:paraId="3383E291" w14:textId="77777777">
      <w:pPr>
        <w:spacing w:after="0" w:line="240" w:lineRule="auto"/>
        <w:ind w:left="709" w:right="709"/>
        <w:jc w:val="both"/>
        <w:textAlignment w:val="baseline"/>
        <w:rPr>
          <w:rFonts w:ascii="Verdana" w:hAnsi="Verdana" w:eastAsia="Times New Roman" w:cs="Segoe UI"/>
          <w:sz w:val="21"/>
          <w:szCs w:val="21"/>
          <w:lang w:eastAsia="es-CO"/>
        </w:rPr>
      </w:pPr>
      <w:r w:rsidRPr="001A6631">
        <w:rPr>
          <w:rFonts w:ascii="Verdana" w:hAnsi="Verdana" w:eastAsia="Times New Roman" w:cs="Arial"/>
          <w:color w:val="000000"/>
          <w:sz w:val="21"/>
          <w:szCs w:val="21"/>
          <w:lang w:val="es-ES" w:eastAsia="es-CO"/>
        </w:rPr>
        <w:t>3. Sin perjuicio de lo previsto en el numeral 1 del presente artículo, en los pliegos de condiciones para las contrataciones cuyo objeto sea la adquisición o suministro de bienes y servicios de características técnicas uniformes y común utilización, las entidades estatales incluirán como único factor de evaluación el menor precio ofrecido.</w:t>
      </w:r>
      <w:r w:rsidRPr="001A6631">
        <w:rPr>
          <w:rFonts w:ascii="Verdana" w:hAnsi="Verdana" w:eastAsia="Times New Roman" w:cs="Arial"/>
          <w:color w:val="000000"/>
          <w:sz w:val="21"/>
          <w:szCs w:val="21"/>
          <w:lang w:eastAsia="es-CO"/>
        </w:rPr>
        <w:t> </w:t>
      </w:r>
    </w:p>
    <w:p w:rsidRPr="001A6631" w:rsidR="001A6631" w:rsidP="001A6631" w:rsidRDefault="001A6631" w14:paraId="65979736" w14:textId="77777777">
      <w:pPr>
        <w:spacing w:after="0" w:line="240" w:lineRule="auto"/>
        <w:ind w:left="709" w:right="709"/>
        <w:jc w:val="both"/>
        <w:textAlignment w:val="baseline"/>
        <w:rPr>
          <w:rFonts w:ascii="Verdana" w:hAnsi="Verdana" w:eastAsia="Times New Roman" w:cs="Segoe UI"/>
          <w:sz w:val="21"/>
          <w:szCs w:val="21"/>
          <w:lang w:eastAsia="es-CO"/>
        </w:rPr>
      </w:pPr>
      <w:r w:rsidRPr="001A6631">
        <w:rPr>
          <w:rFonts w:ascii="Verdana" w:hAnsi="Verdana" w:eastAsia="Times New Roman" w:cs="Arial"/>
          <w:color w:val="000000"/>
          <w:sz w:val="21"/>
          <w:szCs w:val="21"/>
          <w:lang w:eastAsia="es-CO"/>
        </w:rPr>
        <w:t> </w:t>
      </w:r>
    </w:p>
    <w:p w:rsidRPr="001A6631" w:rsidR="001A6631" w:rsidP="001A6631" w:rsidRDefault="001A6631" w14:paraId="0390D7D9" w14:textId="77777777">
      <w:pPr>
        <w:spacing w:after="0" w:line="240" w:lineRule="auto"/>
        <w:ind w:left="709" w:right="709"/>
        <w:jc w:val="both"/>
        <w:textAlignment w:val="baseline"/>
        <w:rPr>
          <w:rFonts w:ascii="Verdana" w:hAnsi="Verdana" w:eastAsia="Times New Roman" w:cs="Segoe UI"/>
          <w:sz w:val="21"/>
          <w:szCs w:val="21"/>
          <w:lang w:eastAsia="es-CO"/>
        </w:rPr>
      </w:pPr>
      <w:r w:rsidRPr="001A6631">
        <w:rPr>
          <w:rFonts w:ascii="Verdana" w:hAnsi="Verdana" w:eastAsia="Times New Roman" w:cs="Arial"/>
          <w:color w:val="000000"/>
          <w:sz w:val="21"/>
          <w:szCs w:val="21"/>
          <w:lang w:val="es-ES" w:eastAsia="es-CO"/>
        </w:rPr>
        <w:t>4. En los procesos para la selección de consultores se hará uso de factores de calificación destinados a valorar los aspectos técnicos de la oferta o proyecto. De conformidad con las condiciones que señale el reglamento, se podrán utilizar criterios de experiencia específica del oferente y del equipo de trabajo, en el campo de que se trate.</w:t>
      </w:r>
      <w:r w:rsidRPr="001A6631">
        <w:rPr>
          <w:rFonts w:ascii="Verdana" w:hAnsi="Verdana" w:eastAsia="Times New Roman" w:cs="Arial"/>
          <w:color w:val="000000"/>
          <w:sz w:val="21"/>
          <w:szCs w:val="21"/>
          <w:lang w:eastAsia="es-CO"/>
        </w:rPr>
        <w:t> </w:t>
      </w:r>
    </w:p>
    <w:p w:rsidRPr="001A6631" w:rsidR="001A6631" w:rsidP="001A6631" w:rsidRDefault="001A6631" w14:paraId="66B56284" w14:textId="77777777">
      <w:pPr>
        <w:spacing w:after="0" w:line="240" w:lineRule="auto"/>
        <w:ind w:left="709" w:right="709"/>
        <w:jc w:val="both"/>
        <w:textAlignment w:val="baseline"/>
        <w:rPr>
          <w:rFonts w:ascii="Verdana" w:hAnsi="Verdana" w:eastAsia="Times New Roman" w:cs="Segoe UI"/>
          <w:sz w:val="21"/>
          <w:szCs w:val="21"/>
          <w:lang w:eastAsia="es-CO"/>
        </w:rPr>
      </w:pPr>
      <w:r w:rsidRPr="001A6631">
        <w:rPr>
          <w:rFonts w:ascii="Verdana" w:hAnsi="Verdana" w:eastAsia="Times New Roman" w:cs="Arial"/>
          <w:color w:val="000000"/>
          <w:sz w:val="21"/>
          <w:szCs w:val="21"/>
          <w:lang w:eastAsia="es-CO"/>
        </w:rPr>
        <w:t> </w:t>
      </w:r>
    </w:p>
    <w:p w:rsidRPr="001A6631" w:rsidR="001A6631" w:rsidP="001A6631" w:rsidRDefault="001A6631" w14:paraId="5791551E" w14:textId="77777777">
      <w:pPr>
        <w:spacing w:after="0" w:line="240" w:lineRule="auto"/>
        <w:ind w:left="709" w:right="709"/>
        <w:jc w:val="both"/>
        <w:textAlignment w:val="baseline"/>
        <w:rPr>
          <w:rFonts w:ascii="Verdana" w:hAnsi="Verdana" w:eastAsia="Times New Roman" w:cs="Segoe UI"/>
          <w:sz w:val="21"/>
          <w:szCs w:val="21"/>
          <w:lang w:eastAsia="es-CO"/>
        </w:rPr>
      </w:pPr>
      <w:r w:rsidRPr="001A6631">
        <w:rPr>
          <w:rFonts w:ascii="Verdana" w:hAnsi="Verdana" w:eastAsia="Times New Roman" w:cs="Arial"/>
          <w:color w:val="000000"/>
          <w:sz w:val="21"/>
          <w:szCs w:val="21"/>
          <w:lang w:val="es-ES" w:eastAsia="es-CO"/>
        </w:rPr>
        <w:t>En ningún caso se podrá incluir el precio, como factor de escogencia para la selección de consultores.</w:t>
      </w:r>
      <w:r w:rsidRPr="001A6631">
        <w:rPr>
          <w:rFonts w:ascii="Verdana" w:hAnsi="Verdana" w:eastAsia="Times New Roman" w:cs="Arial"/>
          <w:color w:val="000000"/>
          <w:sz w:val="21"/>
          <w:szCs w:val="21"/>
          <w:lang w:eastAsia="es-CO"/>
        </w:rPr>
        <w:t> </w:t>
      </w:r>
    </w:p>
    <w:p w:rsidRPr="001A6631" w:rsidR="001A6631" w:rsidP="001A6631" w:rsidRDefault="001A6631" w14:paraId="7D7B40B4" w14:textId="77777777">
      <w:pPr>
        <w:spacing w:after="0" w:line="240" w:lineRule="auto"/>
        <w:ind w:left="709" w:right="709"/>
        <w:jc w:val="both"/>
        <w:textAlignment w:val="baseline"/>
        <w:rPr>
          <w:rFonts w:ascii="Verdana" w:hAnsi="Verdana" w:eastAsia="Times New Roman" w:cs="Segoe UI"/>
          <w:sz w:val="21"/>
          <w:szCs w:val="21"/>
          <w:lang w:eastAsia="es-CO"/>
        </w:rPr>
      </w:pPr>
      <w:r w:rsidRPr="001A6631">
        <w:rPr>
          <w:rFonts w:ascii="Verdana" w:hAnsi="Verdana" w:eastAsia="Times New Roman" w:cs="Arial"/>
          <w:color w:val="000000"/>
          <w:sz w:val="21"/>
          <w:szCs w:val="21"/>
          <w:lang w:eastAsia="es-CO"/>
        </w:rPr>
        <w:t> </w:t>
      </w:r>
    </w:p>
    <w:p w:rsidRPr="001A6631" w:rsidR="001A6631" w:rsidP="001A6631" w:rsidRDefault="001A6631" w14:paraId="7C6E2D4D" w14:textId="77777777">
      <w:pPr>
        <w:spacing w:after="0" w:line="240" w:lineRule="auto"/>
        <w:ind w:left="709" w:right="709"/>
        <w:jc w:val="both"/>
        <w:textAlignment w:val="baseline"/>
        <w:rPr>
          <w:rFonts w:ascii="Verdana" w:hAnsi="Verdana" w:eastAsia="Times New Roman" w:cs="Segoe UI"/>
          <w:sz w:val="21"/>
          <w:szCs w:val="21"/>
          <w:lang w:eastAsia="es-CO"/>
        </w:rPr>
      </w:pPr>
      <w:r w:rsidRPr="001A6631">
        <w:rPr>
          <w:rFonts w:ascii="Verdana" w:hAnsi="Verdana" w:eastAsia="Times New Roman" w:cs="Arial"/>
          <w:color w:val="000000"/>
          <w:sz w:val="21"/>
          <w:szCs w:val="21"/>
          <w:u w:val="single"/>
          <w:lang w:val="es-ES" w:eastAsia="es-CO"/>
        </w:rPr>
        <w:t xml:space="preserve">PARÁGRAFO 1o. “Parágrafo modificado por el artículo 5 de la Ley 1882 de 2018. El nuevo texto es el siguiente:” La ausencia de requisitos o la falta de documentos referentes a la futura contratación o al proponente, no necesarios para la comparación de las propuestas no servirán de título suficiente para el rechazo de los ofrecimientos hechos. En consecuencia, todos aquellos requisitos de la propuesta que no afecten la asignación de </w:t>
      </w:r>
      <w:proofErr w:type="gramStart"/>
      <w:r w:rsidRPr="001A6631">
        <w:rPr>
          <w:rFonts w:ascii="Verdana" w:hAnsi="Verdana" w:eastAsia="Times New Roman" w:cs="Arial"/>
          <w:color w:val="000000"/>
          <w:sz w:val="21"/>
          <w:szCs w:val="21"/>
          <w:u w:val="single"/>
          <w:lang w:val="es-ES" w:eastAsia="es-CO"/>
        </w:rPr>
        <w:t>puntaje,</w:t>
      </w:r>
      <w:proofErr w:type="gramEnd"/>
      <w:r w:rsidRPr="001A6631">
        <w:rPr>
          <w:rFonts w:ascii="Verdana" w:hAnsi="Verdana" w:eastAsia="Times New Roman" w:cs="Arial"/>
          <w:color w:val="000000"/>
          <w:sz w:val="21"/>
          <w:szCs w:val="21"/>
          <w:u w:val="single"/>
          <w:lang w:val="es-ES" w:eastAsia="es-CO"/>
        </w:rPr>
        <w:t xml:space="preserve"> deberán ser solicitados por las entidades estatales y deberán ser entregados por los proponentes hasta el término de traslado del informe de evaluación que </w:t>
      </w:r>
      <w:r w:rsidRPr="001A6631">
        <w:rPr>
          <w:rFonts w:ascii="Verdana" w:hAnsi="Verdana" w:eastAsia="Times New Roman" w:cs="Arial"/>
          <w:color w:val="000000"/>
          <w:sz w:val="21"/>
          <w:szCs w:val="21"/>
          <w:u w:val="single"/>
          <w:lang w:val="es-ES" w:eastAsia="es-CO"/>
        </w:rPr>
        <w:lastRenderedPageBreak/>
        <w:t>corresponda a cada modalidad de selección</w:t>
      </w:r>
      <w:r w:rsidRPr="001A6631">
        <w:rPr>
          <w:rFonts w:ascii="Verdana" w:hAnsi="Verdana" w:eastAsia="Times New Roman" w:cs="Arial"/>
          <w:color w:val="000000"/>
          <w:sz w:val="21"/>
          <w:szCs w:val="21"/>
          <w:lang w:val="es-ES" w:eastAsia="es-CO"/>
        </w:rPr>
        <w:t xml:space="preserve">, salvo lo dispuesto para el proceso de Mínima cuantía y para el proceso de selección a través del sistema de subasta. </w:t>
      </w:r>
      <w:r w:rsidRPr="001A6631">
        <w:rPr>
          <w:rFonts w:ascii="Verdana" w:hAnsi="Verdana" w:eastAsia="Times New Roman" w:cs="Arial"/>
          <w:color w:val="000000"/>
          <w:sz w:val="21"/>
          <w:szCs w:val="21"/>
          <w:u w:val="single"/>
          <w:lang w:val="es-ES" w:eastAsia="es-CO"/>
        </w:rPr>
        <w:t>Serán rechazadas las ofertas de aquellos proponentes que no suministren la información y la documentación solicitada por la entidad estatal hasta el plazo anteriormente señalado.</w:t>
      </w:r>
      <w:r w:rsidRPr="001A6631">
        <w:rPr>
          <w:rFonts w:ascii="Verdana" w:hAnsi="Verdana" w:eastAsia="Times New Roman" w:cs="Arial"/>
          <w:color w:val="000000"/>
          <w:sz w:val="21"/>
          <w:szCs w:val="21"/>
          <w:u w:val="single"/>
          <w:lang w:eastAsia="es-CO"/>
        </w:rPr>
        <w:t> </w:t>
      </w:r>
    </w:p>
    <w:p w:rsidRPr="001A6631" w:rsidR="001A6631" w:rsidP="001A6631" w:rsidRDefault="001A6631" w14:paraId="29CCE32D" w14:textId="77777777">
      <w:pPr>
        <w:spacing w:after="0" w:line="240" w:lineRule="auto"/>
        <w:ind w:left="709" w:right="709"/>
        <w:jc w:val="both"/>
        <w:textAlignment w:val="baseline"/>
        <w:rPr>
          <w:rFonts w:ascii="Verdana" w:hAnsi="Verdana" w:eastAsia="Times New Roman" w:cs="Segoe UI"/>
          <w:sz w:val="21"/>
          <w:szCs w:val="21"/>
          <w:lang w:eastAsia="es-CO"/>
        </w:rPr>
      </w:pPr>
      <w:r w:rsidRPr="001A6631">
        <w:rPr>
          <w:rFonts w:ascii="Verdana" w:hAnsi="Verdana" w:eastAsia="Times New Roman" w:cs="Arial"/>
          <w:color w:val="000000"/>
          <w:sz w:val="21"/>
          <w:szCs w:val="21"/>
          <w:lang w:eastAsia="es-CO"/>
        </w:rPr>
        <w:t> </w:t>
      </w:r>
    </w:p>
    <w:p w:rsidRPr="001A6631" w:rsidR="001A6631" w:rsidP="001A6631" w:rsidRDefault="001A6631" w14:paraId="34340718" w14:textId="77777777">
      <w:pPr>
        <w:spacing w:after="0" w:line="240" w:lineRule="auto"/>
        <w:ind w:left="709" w:right="709"/>
        <w:jc w:val="both"/>
        <w:textAlignment w:val="baseline"/>
        <w:rPr>
          <w:rFonts w:ascii="Verdana" w:hAnsi="Verdana" w:eastAsia="Times New Roman" w:cs="Segoe UI"/>
          <w:sz w:val="21"/>
          <w:szCs w:val="21"/>
          <w:lang w:eastAsia="es-CO"/>
        </w:rPr>
      </w:pPr>
      <w:r w:rsidRPr="001A6631">
        <w:rPr>
          <w:rFonts w:ascii="Verdana" w:hAnsi="Verdana" w:eastAsia="Times New Roman" w:cs="Arial"/>
          <w:color w:val="000000"/>
          <w:sz w:val="21"/>
          <w:szCs w:val="21"/>
          <w:u w:val="single"/>
          <w:lang w:val="es-ES" w:eastAsia="es-CO"/>
        </w:rPr>
        <w:t>Durante el término otorgado para subsanar las ofertas, los proponentes no podrán acreditar circunstancias ocurridas con posterioridad al cierre del proceso.</w:t>
      </w:r>
      <w:r w:rsidRPr="001A6631">
        <w:rPr>
          <w:rFonts w:ascii="Verdana" w:hAnsi="Verdana" w:eastAsia="Times New Roman" w:cs="Arial"/>
          <w:color w:val="000000"/>
          <w:sz w:val="21"/>
          <w:szCs w:val="21"/>
          <w:lang w:eastAsia="es-CO"/>
        </w:rPr>
        <w:t> </w:t>
      </w:r>
    </w:p>
    <w:p w:rsidRPr="001A6631" w:rsidR="001A6631" w:rsidP="001A6631" w:rsidRDefault="001A6631" w14:paraId="4B010414" w14:textId="77777777">
      <w:pPr>
        <w:spacing w:after="0" w:line="240" w:lineRule="auto"/>
        <w:ind w:left="709" w:right="709"/>
        <w:jc w:val="both"/>
        <w:textAlignment w:val="baseline"/>
        <w:rPr>
          <w:rFonts w:ascii="Verdana" w:hAnsi="Verdana" w:eastAsia="Times New Roman" w:cs="Segoe UI"/>
          <w:sz w:val="21"/>
          <w:szCs w:val="21"/>
          <w:lang w:eastAsia="es-CO"/>
        </w:rPr>
      </w:pPr>
      <w:r w:rsidRPr="001A6631">
        <w:rPr>
          <w:rFonts w:ascii="Verdana" w:hAnsi="Verdana" w:eastAsia="Times New Roman" w:cs="Arial"/>
          <w:color w:val="000000"/>
          <w:sz w:val="21"/>
          <w:szCs w:val="21"/>
          <w:lang w:eastAsia="es-CO"/>
        </w:rPr>
        <w:t> </w:t>
      </w:r>
    </w:p>
    <w:p w:rsidRPr="001A6631" w:rsidR="001A6631" w:rsidP="001A6631" w:rsidRDefault="001A6631" w14:paraId="01063D60" w14:textId="77777777">
      <w:pPr>
        <w:spacing w:after="0" w:line="240" w:lineRule="auto"/>
        <w:ind w:left="709" w:right="709"/>
        <w:jc w:val="both"/>
        <w:textAlignment w:val="baseline"/>
        <w:rPr>
          <w:rFonts w:ascii="Verdana" w:hAnsi="Verdana" w:eastAsia="Times New Roman" w:cs="Segoe UI"/>
          <w:sz w:val="21"/>
          <w:szCs w:val="21"/>
          <w:lang w:eastAsia="es-CO"/>
        </w:rPr>
      </w:pPr>
      <w:r w:rsidRPr="001A6631">
        <w:rPr>
          <w:rFonts w:ascii="Verdana" w:hAnsi="Verdana" w:eastAsia="Times New Roman" w:cs="Arial"/>
          <w:color w:val="000000"/>
          <w:sz w:val="21"/>
          <w:szCs w:val="21"/>
          <w:lang w:val="es-ES" w:eastAsia="es-CO"/>
        </w:rPr>
        <w:t>PARÁGRAFO 2o. Las certificaciones de sistemas de gestión de calidad no serán objeto de calificación, ni podrán establecerse como documento habilitante para participar en licitaciones o concursos.</w:t>
      </w:r>
      <w:r w:rsidRPr="001A6631">
        <w:rPr>
          <w:rFonts w:ascii="Verdana" w:hAnsi="Verdana" w:eastAsia="Times New Roman" w:cs="Arial"/>
          <w:color w:val="000000"/>
          <w:sz w:val="21"/>
          <w:szCs w:val="21"/>
          <w:lang w:eastAsia="es-CO"/>
        </w:rPr>
        <w:t> </w:t>
      </w:r>
    </w:p>
    <w:p w:rsidRPr="001A6631" w:rsidR="001A6631" w:rsidP="001A6631" w:rsidRDefault="001A6631" w14:paraId="676D31A3" w14:textId="77777777">
      <w:pPr>
        <w:spacing w:after="0" w:line="240" w:lineRule="auto"/>
        <w:ind w:left="709" w:right="709"/>
        <w:jc w:val="both"/>
        <w:textAlignment w:val="baseline"/>
        <w:rPr>
          <w:rFonts w:ascii="Verdana" w:hAnsi="Verdana" w:eastAsia="Times New Roman" w:cs="Segoe UI"/>
          <w:sz w:val="21"/>
          <w:szCs w:val="21"/>
          <w:lang w:eastAsia="es-CO"/>
        </w:rPr>
      </w:pPr>
      <w:r w:rsidRPr="001A6631">
        <w:rPr>
          <w:rFonts w:ascii="Verdana" w:hAnsi="Verdana" w:eastAsia="Times New Roman" w:cs="Arial"/>
          <w:color w:val="000000"/>
          <w:sz w:val="21"/>
          <w:szCs w:val="21"/>
          <w:lang w:eastAsia="es-CO"/>
        </w:rPr>
        <w:t> </w:t>
      </w:r>
    </w:p>
    <w:p w:rsidRPr="001A6631" w:rsidR="001A6631" w:rsidP="001A6631" w:rsidRDefault="001A6631" w14:paraId="63162908" w14:textId="77777777">
      <w:pPr>
        <w:spacing w:after="0" w:line="240" w:lineRule="auto"/>
        <w:ind w:left="709" w:right="709"/>
        <w:jc w:val="both"/>
        <w:textAlignment w:val="baseline"/>
        <w:rPr>
          <w:rFonts w:ascii="Verdana" w:hAnsi="Verdana" w:eastAsia="Times New Roman" w:cs="Segoe UI"/>
          <w:sz w:val="21"/>
          <w:szCs w:val="21"/>
          <w:u w:val="single"/>
          <w:lang w:eastAsia="es-CO"/>
        </w:rPr>
      </w:pPr>
      <w:r w:rsidRPr="001A6631">
        <w:rPr>
          <w:rFonts w:ascii="Verdana" w:hAnsi="Verdana" w:eastAsia="Times New Roman" w:cs="Arial"/>
          <w:color w:val="000000"/>
          <w:sz w:val="21"/>
          <w:szCs w:val="21"/>
          <w:u w:val="single"/>
          <w:lang w:val="es-ES" w:eastAsia="es-CO"/>
        </w:rPr>
        <w:t xml:space="preserve">PARÁGRAFO 3o. “Parágrafo adicionado por el artículo 5 de la Ley 1882 de 2018. El nuevo texto es el siguiente:” La no entrega de la garantía de seriedad junto con la propuesta no será subsanable y será causal de rechazo de </w:t>
      </w:r>
      <w:proofErr w:type="gramStart"/>
      <w:r w:rsidRPr="001A6631">
        <w:rPr>
          <w:rFonts w:ascii="Verdana" w:hAnsi="Verdana" w:eastAsia="Times New Roman" w:cs="Arial"/>
          <w:color w:val="000000"/>
          <w:sz w:val="21"/>
          <w:szCs w:val="21"/>
          <w:u w:val="single"/>
          <w:lang w:val="es-ES" w:eastAsia="es-CO"/>
        </w:rPr>
        <w:t>la misma</w:t>
      </w:r>
      <w:proofErr w:type="gramEnd"/>
      <w:r w:rsidRPr="001A6631">
        <w:rPr>
          <w:rFonts w:ascii="Verdana" w:hAnsi="Verdana" w:eastAsia="Times New Roman" w:cs="Arial"/>
          <w:color w:val="000000"/>
          <w:sz w:val="21"/>
          <w:szCs w:val="21"/>
          <w:u w:val="single"/>
          <w:lang w:val="es-ES" w:eastAsia="es-CO"/>
        </w:rPr>
        <w:t>.</w:t>
      </w:r>
      <w:r w:rsidRPr="001A6631">
        <w:rPr>
          <w:rFonts w:ascii="Verdana" w:hAnsi="Verdana" w:eastAsia="Times New Roman" w:cs="Arial"/>
          <w:color w:val="000000"/>
          <w:sz w:val="21"/>
          <w:szCs w:val="21"/>
          <w:u w:val="single"/>
          <w:lang w:eastAsia="es-CO"/>
        </w:rPr>
        <w:t> </w:t>
      </w:r>
    </w:p>
    <w:p w:rsidRPr="001A6631" w:rsidR="001A6631" w:rsidP="001A6631" w:rsidRDefault="001A6631" w14:paraId="64311602" w14:textId="77777777">
      <w:pPr>
        <w:spacing w:after="0" w:line="240" w:lineRule="auto"/>
        <w:ind w:left="709" w:right="709"/>
        <w:jc w:val="both"/>
        <w:textAlignment w:val="baseline"/>
        <w:rPr>
          <w:rFonts w:ascii="Verdana" w:hAnsi="Verdana" w:eastAsia="Times New Roman" w:cs="Segoe UI"/>
          <w:sz w:val="21"/>
          <w:szCs w:val="21"/>
          <w:lang w:eastAsia="es-CO"/>
        </w:rPr>
      </w:pPr>
      <w:r w:rsidRPr="001A6631">
        <w:rPr>
          <w:rFonts w:ascii="Verdana" w:hAnsi="Verdana" w:eastAsia="Times New Roman" w:cs="Arial"/>
          <w:color w:val="000000"/>
          <w:sz w:val="21"/>
          <w:szCs w:val="21"/>
          <w:lang w:eastAsia="es-CO"/>
        </w:rPr>
        <w:t> </w:t>
      </w:r>
    </w:p>
    <w:p w:rsidRPr="001A6631" w:rsidR="001A6631" w:rsidP="001A6631" w:rsidRDefault="001A6631" w14:paraId="4A263F77" w14:textId="77777777">
      <w:pPr>
        <w:spacing w:after="0" w:line="240" w:lineRule="auto"/>
        <w:ind w:left="709" w:right="709"/>
        <w:jc w:val="both"/>
        <w:textAlignment w:val="baseline"/>
        <w:rPr>
          <w:rFonts w:ascii="Verdana" w:hAnsi="Verdana" w:eastAsia="Times New Roman" w:cs="Segoe UI"/>
          <w:sz w:val="21"/>
          <w:szCs w:val="21"/>
          <w:lang w:eastAsia="es-CO"/>
        </w:rPr>
      </w:pPr>
      <w:r w:rsidRPr="001A6631">
        <w:rPr>
          <w:rFonts w:ascii="Verdana" w:hAnsi="Verdana" w:eastAsia="Times New Roman" w:cs="Arial"/>
          <w:color w:val="000000"/>
          <w:sz w:val="21"/>
          <w:szCs w:val="21"/>
          <w:lang w:val="es-ES" w:eastAsia="es-CO"/>
        </w:rPr>
        <w:t>PARÁGRAFO 4o. “Parágrafo adicionado por el artículo 5 de la Ley 1882 de 2018. El nuevo texto es el siguiente:” En aquellos procesos de selección en los que se utilice el mecanismo de subasta, los documentos referentes a la futura contratación o al proponente, no necesarios para la comparación de las propuestas, deberán ser solicitados hasta el momento previo a su realización.</w:t>
      </w:r>
      <w:r w:rsidRPr="001A6631">
        <w:rPr>
          <w:rFonts w:ascii="Verdana" w:hAnsi="Verdana" w:eastAsia="Times New Roman" w:cs="Arial"/>
          <w:color w:val="000000"/>
          <w:sz w:val="21"/>
          <w:szCs w:val="21"/>
          <w:lang w:eastAsia="es-CO"/>
        </w:rPr>
        <w:t> </w:t>
      </w:r>
    </w:p>
    <w:p w:rsidRPr="001A6631" w:rsidR="001A6631" w:rsidP="001A6631" w:rsidRDefault="001A6631" w14:paraId="385D91EC" w14:textId="77777777">
      <w:pPr>
        <w:spacing w:after="0" w:line="240" w:lineRule="auto"/>
        <w:ind w:left="709" w:right="709"/>
        <w:jc w:val="both"/>
        <w:textAlignment w:val="baseline"/>
        <w:rPr>
          <w:rFonts w:ascii="Verdana" w:hAnsi="Verdana" w:eastAsia="Times New Roman" w:cs="Segoe UI"/>
          <w:sz w:val="21"/>
          <w:szCs w:val="21"/>
          <w:lang w:eastAsia="es-CO"/>
        </w:rPr>
      </w:pPr>
      <w:r w:rsidRPr="001A6631">
        <w:rPr>
          <w:rFonts w:ascii="Verdana" w:hAnsi="Verdana" w:eastAsia="Times New Roman" w:cs="Arial"/>
          <w:color w:val="000000"/>
          <w:sz w:val="21"/>
          <w:szCs w:val="21"/>
          <w:lang w:eastAsia="es-CO"/>
        </w:rPr>
        <w:t> </w:t>
      </w:r>
    </w:p>
    <w:p w:rsidRPr="001A6631" w:rsidR="001A6631" w:rsidP="001A6631" w:rsidRDefault="001A6631" w14:paraId="78B3CE77" w14:textId="77777777">
      <w:pPr>
        <w:spacing w:after="0" w:line="240" w:lineRule="auto"/>
        <w:ind w:left="709" w:right="709"/>
        <w:jc w:val="both"/>
        <w:textAlignment w:val="baseline"/>
        <w:rPr>
          <w:rFonts w:ascii="Verdana" w:hAnsi="Verdana" w:eastAsia="Times New Roman" w:cs="Segoe UI"/>
          <w:sz w:val="21"/>
          <w:szCs w:val="21"/>
          <w:lang w:eastAsia="es-CO"/>
        </w:rPr>
      </w:pPr>
      <w:r w:rsidRPr="001A6631">
        <w:rPr>
          <w:rFonts w:ascii="Verdana" w:hAnsi="Verdana" w:eastAsia="Times New Roman" w:cs="Arial"/>
          <w:color w:val="000000"/>
          <w:sz w:val="21"/>
          <w:szCs w:val="21"/>
          <w:lang w:val="es-ES" w:eastAsia="es-CO"/>
        </w:rPr>
        <w:t>PARÁGRAFO 5o. “Parágrafo adicionado por el artículo 5 de la Ley 1882 de 2018. El nuevo texto es el siguiente:” En los procesos de contratación, las entidades estatales deberán aceptar la experiencia adquirida por los proponentes a través de la ejecución de contratos con particulares”. [Subrayado por fuera de texto original]</w:t>
      </w:r>
    </w:p>
    <w:p w:rsidRPr="001A6631" w:rsidR="001A6631" w:rsidP="001A6631" w:rsidRDefault="001A6631" w14:paraId="2504B33A" w14:textId="77777777">
      <w:pPr>
        <w:spacing w:after="0" w:line="276" w:lineRule="auto"/>
        <w:ind w:left="709" w:right="709"/>
        <w:jc w:val="both"/>
        <w:rPr>
          <w:rFonts w:ascii="Verdana" w:hAnsi="Verdana" w:eastAsia="Times New Roman" w:cs="Arial"/>
          <w:lang w:eastAsia="es-CO"/>
        </w:rPr>
      </w:pPr>
    </w:p>
    <w:p w:rsidRPr="001A6631" w:rsidR="001A6631" w:rsidP="001A6631" w:rsidRDefault="001A6631" w14:paraId="405C859F" w14:textId="77777777">
      <w:pPr>
        <w:spacing w:after="120" w:line="276" w:lineRule="auto"/>
        <w:ind w:firstLine="709"/>
        <w:jc w:val="both"/>
        <w:rPr>
          <w:rFonts w:ascii="Verdana" w:hAnsi="Verdana" w:eastAsia="Times New Roman" w:cs="Arial"/>
          <w:lang w:val="es-ES" w:eastAsia="es-ES"/>
        </w:rPr>
      </w:pPr>
      <w:r w:rsidRPr="001A6631">
        <w:rPr>
          <w:rFonts w:ascii="Verdana" w:hAnsi="Verdana" w:eastAsia="Times New Roman" w:cs="Arial"/>
          <w:lang w:val="es-ES" w:eastAsia="es-ES"/>
        </w:rPr>
        <w:t xml:space="preserve">Como puede observarse, la Ley 1882 de 2018: i) mantiene el criterio de la Ley 80 de 1993, relativo a que todo lo que no sea necesario para la comparación de propuestas no es título suficiente para su rechazo; </w:t>
      </w:r>
      <w:proofErr w:type="spellStart"/>
      <w:r w:rsidRPr="001A6631">
        <w:rPr>
          <w:rFonts w:ascii="Verdana" w:hAnsi="Verdana" w:eastAsia="Times New Roman" w:cs="Arial"/>
          <w:lang w:val="es-ES" w:eastAsia="es-ES"/>
        </w:rPr>
        <w:t>ii</w:t>
      </w:r>
      <w:proofErr w:type="spellEnd"/>
      <w:r w:rsidRPr="001A6631">
        <w:rPr>
          <w:rFonts w:ascii="Verdana" w:hAnsi="Verdana" w:eastAsia="Times New Roman" w:cs="Arial"/>
          <w:lang w:val="es-ES" w:eastAsia="es-ES"/>
        </w:rPr>
        <w:t xml:space="preserve">) mantiene el criterio aclaratorio de la Ley 1150 de 2007, según el cual todo lo que no afecte la asignación de puntaje puede subsanarse; y, </w:t>
      </w:r>
      <w:proofErr w:type="spellStart"/>
      <w:r w:rsidRPr="001A6631">
        <w:rPr>
          <w:rFonts w:ascii="Verdana" w:hAnsi="Verdana" w:eastAsia="Times New Roman" w:cs="Arial"/>
          <w:lang w:val="es-ES" w:eastAsia="es-ES"/>
        </w:rPr>
        <w:t>iii</w:t>
      </w:r>
      <w:proofErr w:type="spellEnd"/>
      <w:r w:rsidRPr="001A6631">
        <w:rPr>
          <w:rFonts w:ascii="Verdana" w:hAnsi="Verdana" w:eastAsia="Times New Roman" w:cs="Arial"/>
          <w:lang w:val="es-ES" w:eastAsia="es-ES"/>
        </w:rPr>
        <w:t xml:space="preserve">) introduce modificaciones en relación con algunos aspectos que se analizarán a continuación. </w:t>
      </w:r>
    </w:p>
    <w:p w:rsidRPr="001A6631" w:rsidR="001A6631" w:rsidP="001A6631" w:rsidRDefault="001A6631" w14:paraId="387EFE87" w14:textId="77777777">
      <w:pPr>
        <w:spacing w:after="120" w:line="276" w:lineRule="auto"/>
        <w:ind w:right="51" w:firstLine="709"/>
        <w:jc w:val="both"/>
        <w:rPr>
          <w:rFonts w:ascii="Verdana" w:hAnsi="Verdana" w:eastAsia="Times New Roman" w:cs="Arial"/>
          <w:lang w:val="es-ES_tradnl" w:eastAsia="es-ES_tradnl"/>
        </w:rPr>
      </w:pPr>
      <w:r w:rsidRPr="001A6631">
        <w:rPr>
          <w:rFonts w:ascii="Verdana" w:hAnsi="Verdana" w:eastAsia="Times New Roman" w:cs="Arial"/>
          <w:i/>
          <w:iCs/>
          <w:lang w:val="es-ES_tradnl" w:eastAsia="es-ES_tradnl"/>
        </w:rPr>
        <w:t xml:space="preserve">La primera modificación </w:t>
      </w:r>
      <w:r w:rsidRPr="001A6631">
        <w:rPr>
          <w:rFonts w:ascii="Verdana" w:hAnsi="Verdana" w:eastAsia="Times New Roman" w:cs="Arial"/>
          <w:lang w:val="es-ES_tradnl" w:eastAsia="es-ES_tradnl"/>
        </w:rPr>
        <w:t xml:space="preserve">está relacionada con el ámbito temporal para ejercer la facultad de subsanar la oferta, pues la Ley 1882 de 2018 fijó una regla general y una excepción. La regla general es que, el límite para que la entidad </w:t>
      </w:r>
      <w:r w:rsidRPr="001A6631">
        <w:rPr>
          <w:rFonts w:ascii="Verdana" w:hAnsi="Verdana" w:eastAsia="Times New Roman" w:cs="Arial"/>
          <w:lang w:val="es-ES_tradnl" w:eastAsia="es-ES_tradnl"/>
        </w:rPr>
        <w:lastRenderedPageBreak/>
        <w:t>solicite y para que el proponente corrija lo que haga falta es hasta el término de traslado del informe de evaluación que corresponda a cada modalidad de selección. La excepción es que el límite anterior no aplica para los procesos de mínima cuantía y para el proceso de selección a través del sistema de subasta</w:t>
      </w:r>
      <w:r w:rsidRPr="001A6631">
        <w:rPr>
          <w:rFonts w:ascii="Verdana" w:hAnsi="Verdana" w:eastAsia="Times New Roman" w:cs="Arial"/>
          <w:vertAlign w:val="superscript"/>
          <w:lang w:val="es-ES_tradnl" w:eastAsia="es-ES_tradnl"/>
        </w:rPr>
        <w:footnoteReference w:id="4"/>
      </w:r>
      <w:r w:rsidRPr="001A6631">
        <w:rPr>
          <w:rFonts w:ascii="Verdana" w:hAnsi="Verdana" w:eastAsia="Times New Roman" w:cs="Arial"/>
          <w:lang w:val="es-ES_tradnl" w:eastAsia="es-ES_tradnl"/>
        </w:rPr>
        <w:t>.</w:t>
      </w:r>
    </w:p>
    <w:p w:rsidRPr="001A6631" w:rsidR="001A6631" w:rsidP="001A6631" w:rsidRDefault="001A6631" w14:paraId="7AF74BBE" w14:textId="77777777">
      <w:pPr>
        <w:spacing w:after="120" w:line="276" w:lineRule="auto"/>
        <w:ind w:firstLine="709"/>
        <w:jc w:val="both"/>
        <w:rPr>
          <w:rFonts w:ascii="Verdana" w:hAnsi="Verdana" w:eastAsia="Times New Roman" w:cs="Arial"/>
          <w:lang w:val="es-ES" w:eastAsia="es-ES"/>
        </w:rPr>
      </w:pPr>
      <w:r w:rsidRPr="001A6631">
        <w:rPr>
          <w:rFonts w:ascii="Verdana" w:hAnsi="Verdana" w:eastAsia="Times New Roman" w:cs="Arial"/>
          <w:lang w:val="es-ES" w:eastAsia="es-ES"/>
        </w:rPr>
        <w:t xml:space="preserve">Frente a la regla general aplicable a los demás procesos de selección, la norma fijó un límite final para que la Administración y los oferentes subsanen los requisitos o documentos que puedan y deban ser subsanados. No </w:t>
      </w:r>
      <w:proofErr w:type="gramStart"/>
      <w:r w:rsidRPr="001A6631">
        <w:rPr>
          <w:rFonts w:ascii="Verdana" w:hAnsi="Verdana" w:eastAsia="Times New Roman" w:cs="Arial"/>
          <w:lang w:val="es-ES" w:eastAsia="es-ES"/>
        </w:rPr>
        <w:t>obstante</w:t>
      </w:r>
      <w:proofErr w:type="gramEnd"/>
      <w:r w:rsidRPr="001A6631">
        <w:rPr>
          <w:rFonts w:ascii="Verdana" w:hAnsi="Verdana" w:eastAsia="Times New Roman" w:cs="Arial"/>
          <w:lang w:val="es-ES" w:eastAsia="es-ES"/>
        </w:rPr>
        <w:t xml:space="preserve"> lo anterior, nada impide, y la norma no lo hace, que la Administración requiera al proponente antes de publicar el informe de evaluación. En efecto, la redacción de la norma permite que la Administración solicite a los oferentes subsanar y que estos lo hagan hasta antes del término de traslado del informe de evaluación: “</w:t>
      </w:r>
      <w:r w:rsidRPr="001A6631">
        <w:rPr>
          <w:rFonts w:ascii="Verdana" w:hAnsi="Verdana" w:eastAsia="Times New Roman" w:cs="Arial"/>
          <w:i/>
          <w:iCs/>
          <w:lang w:val="es-ES" w:eastAsia="es-ES"/>
        </w:rPr>
        <w:t>deberán ser solicitados por las entidades estatales y deberán ser entregados por los proponentes hasta el término de traslado del informe de evaluación que corresponda a cada modalidad de selección”.</w:t>
      </w:r>
      <w:r w:rsidRPr="001A6631">
        <w:rPr>
          <w:rFonts w:ascii="Verdana" w:hAnsi="Verdana" w:eastAsia="Times New Roman" w:cs="Arial"/>
          <w:lang w:val="es-ES" w:eastAsia="es-ES"/>
        </w:rPr>
        <w:t xml:space="preserve"> </w:t>
      </w:r>
    </w:p>
    <w:p w:rsidRPr="001A6631" w:rsidR="001A6631" w:rsidP="001A6631" w:rsidRDefault="001A6631" w14:paraId="7C21BBE5" w14:textId="77777777">
      <w:pPr>
        <w:spacing w:after="120" w:line="276" w:lineRule="auto"/>
        <w:ind w:firstLine="709"/>
        <w:jc w:val="both"/>
        <w:rPr>
          <w:rFonts w:ascii="Verdana" w:hAnsi="Verdana" w:eastAsia="Times New Roman" w:cs="Arial"/>
          <w:lang w:val="es-ES" w:eastAsia="es-ES"/>
        </w:rPr>
      </w:pPr>
      <w:r w:rsidRPr="001A6631">
        <w:rPr>
          <w:rFonts w:ascii="Verdana" w:hAnsi="Verdana" w:eastAsia="Times New Roman" w:cs="Arial"/>
          <w:lang w:val="es-ES" w:eastAsia="es-ES"/>
        </w:rPr>
        <w:t xml:space="preserve">Sin perjuicio de lo expuesto, de la lectura de este aparte podrían, en la práctica, darse dos interpretaciones que dan lugar a dos formas de proceder en los procesos de selección, en lo que a la </w:t>
      </w:r>
      <w:proofErr w:type="spellStart"/>
      <w:r w:rsidRPr="001A6631">
        <w:rPr>
          <w:rFonts w:ascii="Verdana" w:hAnsi="Verdana" w:eastAsia="Times New Roman" w:cs="Arial"/>
          <w:lang w:val="es-ES" w:eastAsia="es-ES"/>
        </w:rPr>
        <w:t>subsanabilidad</w:t>
      </w:r>
      <w:proofErr w:type="spellEnd"/>
      <w:r w:rsidRPr="001A6631">
        <w:rPr>
          <w:rFonts w:ascii="Verdana" w:hAnsi="Verdana" w:eastAsia="Times New Roman" w:cs="Arial"/>
          <w:lang w:val="es-ES" w:eastAsia="es-ES"/>
        </w:rPr>
        <w:t xml:space="preserve"> de las ofertas se refiere. </w:t>
      </w:r>
      <w:r w:rsidRPr="001A6631">
        <w:rPr>
          <w:rFonts w:ascii="Verdana" w:hAnsi="Verdana" w:eastAsia="Times New Roman" w:cs="Arial"/>
          <w:i/>
          <w:iCs/>
          <w:lang w:val="es-ES" w:eastAsia="es-ES"/>
        </w:rPr>
        <w:t>Primera</w:t>
      </w:r>
      <w:r w:rsidRPr="001A6631">
        <w:rPr>
          <w:rFonts w:ascii="Verdana" w:hAnsi="Verdana" w:eastAsia="Times New Roman" w:cs="Arial"/>
          <w:lang w:val="es-ES" w:eastAsia="es-ES"/>
        </w:rPr>
        <w:t xml:space="preserve">, que la posibilidad para subsanar de los oferentes es el término de traslado del informe de evaluación, ya que es en este documento donde la Administración consigna los requisitos o documentos omitidos que los oferentes deben subsanar, so pena de rechazo. </w:t>
      </w:r>
      <w:r w:rsidRPr="001A6631">
        <w:rPr>
          <w:rFonts w:ascii="Verdana" w:hAnsi="Verdana" w:eastAsia="Times New Roman" w:cs="Arial"/>
          <w:i/>
          <w:iCs/>
          <w:lang w:val="es-ES" w:eastAsia="es-ES"/>
        </w:rPr>
        <w:t>Segunda</w:t>
      </w:r>
      <w:r w:rsidRPr="001A6631">
        <w:rPr>
          <w:rFonts w:ascii="Verdana" w:hAnsi="Verdana" w:eastAsia="Times New Roman" w:cs="Arial"/>
          <w:lang w:val="es-ES" w:eastAsia="es-ES"/>
        </w:rPr>
        <w:t xml:space="preserve">, que el término del traslado del informe de evaluación es el </w:t>
      </w:r>
      <w:r w:rsidRPr="001A6631">
        <w:rPr>
          <w:rFonts w:ascii="Verdana" w:hAnsi="Verdana" w:eastAsia="Times New Roman" w:cs="Arial"/>
          <w:i/>
          <w:lang w:val="es-ES" w:eastAsia="es-ES"/>
        </w:rPr>
        <w:t>límite</w:t>
      </w:r>
      <w:r w:rsidRPr="001A6631">
        <w:rPr>
          <w:rFonts w:ascii="Verdana" w:hAnsi="Verdana" w:eastAsia="Times New Roman" w:cs="Arial"/>
          <w:lang w:val="es-ES" w:eastAsia="es-ES"/>
        </w:rPr>
        <w:t xml:space="preserve"> para la subsanación de ofertas, pero no el único momento para hacerlo. </w:t>
      </w:r>
    </w:p>
    <w:p w:rsidRPr="001A6631" w:rsidR="001A6631" w:rsidP="001A6631" w:rsidRDefault="001A6631" w14:paraId="35323468" w14:textId="77777777">
      <w:pPr>
        <w:spacing w:after="120" w:line="276" w:lineRule="auto"/>
        <w:ind w:firstLine="709"/>
        <w:jc w:val="both"/>
        <w:rPr>
          <w:rFonts w:ascii="Verdana" w:hAnsi="Verdana" w:eastAsia="Times New Roman" w:cs="Arial"/>
          <w:lang w:val="es-ES_tradnl" w:eastAsia="es-ES_tradnl"/>
        </w:rPr>
      </w:pPr>
      <w:r w:rsidRPr="001A6631">
        <w:rPr>
          <w:rFonts w:ascii="Verdana" w:hAnsi="Verdana" w:eastAsia="Times New Roman" w:cs="Arial"/>
          <w:lang w:val="es-ES_tradnl" w:eastAsia="es-ES_tradnl"/>
        </w:rPr>
        <w:t xml:space="preserve">De acuerdo con la primera interpretación, el informe de evaluación se convierte en la oportunidad que adopta la Administración para decirles a los oferentes qué documentos o requisitos omitieron y deben subsanar. Consecuentemente, el término del traslado es la oportunidad del proponente para cumplir con lo solicitado.  </w:t>
      </w:r>
    </w:p>
    <w:p w:rsidRPr="001A6631" w:rsidR="001A6631" w:rsidP="001A6631" w:rsidRDefault="001A6631" w14:paraId="62114921" w14:textId="77777777">
      <w:pPr>
        <w:spacing w:after="120" w:line="276" w:lineRule="auto"/>
        <w:ind w:firstLine="709"/>
        <w:jc w:val="both"/>
        <w:rPr>
          <w:rFonts w:ascii="Verdana" w:hAnsi="Verdana" w:eastAsia="Times New Roman" w:cs="Arial"/>
          <w:lang w:val="es-ES_tradnl" w:eastAsia="es-ES_tradnl"/>
        </w:rPr>
      </w:pPr>
      <w:r w:rsidRPr="001A6631">
        <w:rPr>
          <w:rFonts w:ascii="Verdana" w:hAnsi="Verdana" w:eastAsia="Times New Roman" w:cs="Arial"/>
          <w:lang w:val="es-ES_tradnl" w:eastAsia="es-ES_tradnl"/>
        </w:rPr>
        <w:t xml:space="preserve">La segunda interpretación permitiría que la Administración requiera al oferente durante el proceso de evaluación de las propuestas, tan pronto advierta </w:t>
      </w:r>
      <w:r w:rsidRPr="001A6631">
        <w:rPr>
          <w:rFonts w:ascii="Verdana" w:hAnsi="Verdana" w:eastAsia="Times New Roman" w:cs="Arial"/>
          <w:lang w:val="es-ES_tradnl" w:eastAsia="es-ES_tradnl"/>
        </w:rPr>
        <w:lastRenderedPageBreak/>
        <w:t>que hace falta un documento o requisito que se puede subsanar. En este caso, el proceso de subsanación se podría realizar con anterioridad a la publicación del informe de evaluación, de manera que, una vez se publique el informe ya se encuentren subsanadas las propuestas, sin perjuicio del término límite que concedió la ley.</w:t>
      </w:r>
    </w:p>
    <w:p w:rsidRPr="001A6631" w:rsidR="001A6631" w:rsidP="001A6631" w:rsidRDefault="001A6631" w14:paraId="4C2F5E8A" w14:textId="77777777">
      <w:pPr>
        <w:spacing w:after="120" w:line="276" w:lineRule="auto"/>
        <w:ind w:firstLine="709"/>
        <w:jc w:val="both"/>
        <w:rPr>
          <w:rFonts w:ascii="Verdana" w:hAnsi="Verdana" w:eastAsia="Times New Roman" w:cs="Arial"/>
          <w:lang w:val="es-ES" w:eastAsia="es-ES"/>
        </w:rPr>
      </w:pPr>
      <w:r w:rsidRPr="001A6631">
        <w:rPr>
          <w:rFonts w:ascii="Verdana" w:hAnsi="Verdana" w:eastAsia="Times New Roman" w:cs="Arial"/>
          <w:lang w:val="es-ES" w:eastAsia="es-ES"/>
        </w:rPr>
        <w:t>La modificación introducida por el artículo 5 de la Ley 1882 de 2018, si bien pudo significar, en la práctica de los procesos de selección, que el informe de evaluación fuera la oportunidad de la Administración para requerir al proponente para que subsane la oferta, y el término del traslado la oportunidad para hacerlo, lo cierto es que no impide que esto se realice con anterioridad a la publicación del informe. Inclusive, es más adecuado y conveniente que la subsanación de las ofertas se intente con anterioridad, de forma que, una vez la Administración advierta el defecto, le solicite directamente al oferente que subsane. Esta interpretación es más consistente con los principios de economía, transparencia y selección objetiva. Lo anterior, se aclara, sin desconocer el límite que establece la norma para que los oferentes, sin perjuicio de que lo hagan antes, cuenten hasta el término de traslado del informe de evaluación con la posibilidad de presentar la información solicitada.</w:t>
      </w:r>
    </w:p>
    <w:p w:rsidRPr="001A6631" w:rsidR="001A6631" w:rsidP="001A6631" w:rsidRDefault="001A6631" w14:paraId="504AAF05" w14:textId="77777777">
      <w:pPr>
        <w:spacing w:after="120" w:line="276" w:lineRule="auto"/>
        <w:ind w:firstLine="709"/>
        <w:jc w:val="both"/>
        <w:rPr>
          <w:rFonts w:ascii="Verdana" w:hAnsi="Verdana" w:eastAsia="Times New Roman" w:cs="Arial"/>
          <w:lang w:val="es-ES_tradnl" w:eastAsia="es-ES_tradnl"/>
        </w:rPr>
      </w:pPr>
      <w:r w:rsidRPr="001A6631">
        <w:rPr>
          <w:rFonts w:ascii="Verdana" w:hAnsi="Verdana" w:eastAsia="Times New Roman" w:cs="Arial"/>
          <w:lang w:val="es-ES_tradnl" w:eastAsia="es-ES_tradnl"/>
        </w:rPr>
        <w:t xml:space="preserve">El </w:t>
      </w:r>
      <w:r w:rsidRPr="001A6631">
        <w:rPr>
          <w:rFonts w:ascii="Verdana" w:hAnsi="Verdana" w:eastAsia="Times New Roman" w:cs="Arial"/>
          <w:i/>
          <w:iCs/>
          <w:lang w:val="es-ES_tradnl" w:eastAsia="es-ES_tradnl"/>
        </w:rPr>
        <w:t>segundo cambio</w:t>
      </w:r>
      <w:r w:rsidRPr="001A6631">
        <w:rPr>
          <w:rFonts w:ascii="Verdana" w:hAnsi="Verdana" w:eastAsia="Times New Roman" w:cs="Arial"/>
          <w:lang w:val="es-ES_tradnl" w:eastAsia="es-ES_tradnl"/>
        </w:rPr>
        <w:t xml:space="preserve"> importante de la Ley 1882 de 2018 fue la introducción de un criterio material, directamente relacionado con los aspectos subsanables: </w:t>
      </w:r>
      <w:r w:rsidRPr="001A6631">
        <w:rPr>
          <w:rFonts w:ascii="Verdana" w:hAnsi="Verdana" w:eastAsia="Times New Roman" w:cs="Arial"/>
          <w:i/>
          <w:iCs/>
          <w:lang w:val="es-ES_tradnl" w:eastAsia="es-ES_tradnl"/>
        </w:rPr>
        <w:t>“los proponentes no podrán acreditar circunstancias ocurridas con posterioridad al cierre del proceso”.</w:t>
      </w:r>
      <w:r w:rsidRPr="001A6631">
        <w:rPr>
          <w:rFonts w:ascii="Verdana" w:hAnsi="Verdana" w:eastAsia="Times New Roman" w:cs="Arial"/>
          <w:lang w:val="es-ES_tradnl" w:eastAsia="es-ES_tradnl"/>
        </w:rPr>
        <w:t xml:space="preserve"> Lo anterior ofrece dos aspectos que merecen clarificación; primero, qué debe entenderse por circunstancias ocurridas con posterioridad, y segundo, qué es el cierre del proceso. </w:t>
      </w:r>
    </w:p>
    <w:p w:rsidRPr="001A6631" w:rsidR="001A6631" w:rsidP="001A6631" w:rsidRDefault="001A6631" w14:paraId="5C293951" w14:textId="77777777">
      <w:pPr>
        <w:spacing w:after="120" w:line="276" w:lineRule="auto"/>
        <w:ind w:firstLine="709"/>
        <w:jc w:val="both"/>
        <w:rPr>
          <w:rFonts w:ascii="Verdana" w:hAnsi="Verdana" w:eastAsia="Times New Roman" w:cs="Arial"/>
          <w:lang w:val="es-ES" w:eastAsia="es-ES"/>
        </w:rPr>
      </w:pPr>
      <w:r w:rsidRPr="001A6631">
        <w:rPr>
          <w:rFonts w:ascii="Verdana" w:hAnsi="Verdana" w:eastAsia="Times New Roman" w:cs="Arial"/>
          <w:lang w:val="es-ES" w:eastAsia="es-ES"/>
        </w:rPr>
        <w:t>La Sala de Consulta y Servicio Civil del Consejo de Estado ya había tenido la oportunidad de precisar estas expresiones, a propósito de un concepto en el que se refirió al artículo 10 del derogado Decreto 2474 de 2008, que había determinado que en ningún caso la entidad podía permitir que se acreditaran circunstancias ocurridas con posterioridad al cierre del proceso. En esa ocasión, el Consejo de Estado precisó que, por cierre del proceso debe entenderse el vencimiento del plazo para la presentación de las ofertas y que lo subsanable son las circunstancias que ocurrieron con anterioridad a esa fecha</w:t>
      </w:r>
      <w:r w:rsidRPr="001A6631">
        <w:rPr>
          <w:rFonts w:ascii="Verdana" w:hAnsi="Verdana" w:eastAsia="Times New Roman" w:cs="Arial"/>
          <w:vertAlign w:val="superscript"/>
          <w:lang w:val="es-ES" w:eastAsia="es-ES"/>
        </w:rPr>
        <w:footnoteReference w:id="5"/>
      </w:r>
      <w:r w:rsidRPr="001A6631">
        <w:rPr>
          <w:rFonts w:ascii="Verdana" w:hAnsi="Verdana" w:eastAsia="Times New Roman" w:cs="Arial"/>
          <w:lang w:val="es-ES" w:eastAsia="es-ES"/>
        </w:rPr>
        <w:t>.</w:t>
      </w:r>
    </w:p>
    <w:p w:rsidRPr="001A6631" w:rsidR="001A6631" w:rsidP="001A6631" w:rsidRDefault="001A6631" w14:paraId="3488C4D9" w14:textId="77777777">
      <w:pPr>
        <w:spacing w:after="120" w:line="276" w:lineRule="auto"/>
        <w:ind w:firstLine="709"/>
        <w:jc w:val="both"/>
        <w:rPr>
          <w:rFonts w:ascii="Verdana" w:hAnsi="Verdana" w:eastAsia="Times New Roman" w:cs="Arial"/>
          <w:lang w:val="es-ES" w:eastAsia="es-ES"/>
        </w:rPr>
      </w:pPr>
      <w:r w:rsidRPr="001A6631">
        <w:rPr>
          <w:rFonts w:ascii="Verdana" w:hAnsi="Verdana" w:eastAsia="Times New Roman" w:cs="Arial"/>
          <w:lang w:val="es-ES" w:eastAsia="es-ES"/>
        </w:rPr>
        <w:lastRenderedPageBreak/>
        <w:t xml:space="preserve">De conformidad con el artículo 5 de la Ley 1882 de 2018, lo subsanable es la prueba de todas las circunstancias ocurridas antes del vencimiento del término para presentar las ofertas, ello es lo que implica la prohibición de acreditar circunstancias ocurridas con posterioridad al “cierre del proceso”. Lo anterior evita, por ejemplo, que se presenten oferentes que no cumplían con los requisitos para participar al momento de presentar las ofertas, y pretendan cumplirlos durante el proceso de selección o, inclusive, que se puedan variar condiciones de la oferta una vez presentada. </w:t>
      </w:r>
    </w:p>
    <w:p w:rsidRPr="001A6631" w:rsidR="001A6631" w:rsidP="001A6631" w:rsidRDefault="001A6631" w14:paraId="7DF48C4C" w14:textId="77777777">
      <w:pPr>
        <w:spacing w:after="120" w:line="276" w:lineRule="auto"/>
        <w:ind w:firstLine="709"/>
        <w:jc w:val="both"/>
        <w:rPr>
          <w:rFonts w:ascii="Verdana" w:hAnsi="Verdana" w:eastAsia="Times New Roman" w:cs="Arial"/>
          <w:lang w:val="es-ES" w:eastAsia="es-ES"/>
        </w:rPr>
      </w:pPr>
      <w:r w:rsidRPr="001A6631">
        <w:rPr>
          <w:rFonts w:ascii="Verdana" w:hAnsi="Verdana" w:eastAsia="Times New Roman" w:cs="Arial"/>
          <w:lang w:val="es-ES" w:eastAsia="es-ES"/>
        </w:rPr>
        <w:t xml:space="preserve">Un mejor entendimiento del significado de la expresión </w:t>
      </w:r>
      <w:r w:rsidRPr="001A6631">
        <w:rPr>
          <w:rFonts w:ascii="Verdana" w:hAnsi="Verdana" w:eastAsia="Times New Roman" w:cs="Arial"/>
          <w:i/>
          <w:lang w:val="es-ES" w:eastAsia="es-ES"/>
        </w:rPr>
        <w:t>“circunstancias ocurridas con posterioridad al cierre del proceso”</w:t>
      </w:r>
      <w:r w:rsidRPr="001A6631">
        <w:rPr>
          <w:rFonts w:ascii="Verdana" w:hAnsi="Verdana" w:eastAsia="Times New Roman" w:cs="Arial"/>
          <w:lang w:val="es-ES" w:eastAsia="es-ES"/>
        </w:rPr>
        <w:t xml:space="preserve"> implica distinguir entre la prueba de un hecho y el hecho mismo. En el caso de la </w:t>
      </w:r>
      <w:proofErr w:type="spellStart"/>
      <w:r w:rsidRPr="001A6631">
        <w:rPr>
          <w:rFonts w:ascii="Verdana" w:hAnsi="Verdana" w:eastAsia="Times New Roman" w:cs="Arial"/>
          <w:lang w:val="es-ES" w:eastAsia="es-ES"/>
        </w:rPr>
        <w:t>subsanabilidad</w:t>
      </w:r>
      <w:proofErr w:type="spellEnd"/>
      <w:r w:rsidRPr="001A6631">
        <w:rPr>
          <w:rFonts w:ascii="Verdana" w:hAnsi="Verdana" w:eastAsia="Times New Roman" w:cs="Arial"/>
          <w:lang w:val="es-ES" w:eastAsia="es-ES"/>
        </w:rPr>
        <w:t xml:space="preserve"> de las ofertas, una cosa es el requisito habilitante o el elemento de la propuesta y otra su prueba. Lo que prohíbe la norma es que se subsanen requisitos que no estaban materialmente cumplidos al momento de presentación de la oferta, o en palabras de la ley, que se acrediten hechos que ocurrieron después del cierre del proceso</w:t>
      </w:r>
      <w:r w:rsidRPr="001A6631">
        <w:rPr>
          <w:rFonts w:ascii="Verdana" w:hAnsi="Verdana" w:eastAsia="Times New Roman" w:cs="Arial"/>
          <w:vertAlign w:val="superscript"/>
          <w:lang w:val="es-ES" w:eastAsia="es-ES"/>
        </w:rPr>
        <w:footnoteReference w:id="6"/>
      </w:r>
      <w:r w:rsidRPr="001A6631">
        <w:rPr>
          <w:rFonts w:ascii="Verdana" w:hAnsi="Verdana" w:eastAsia="Times New Roman" w:cs="Arial"/>
          <w:lang w:val="es-ES" w:eastAsia="es-ES"/>
        </w:rPr>
        <w:t xml:space="preserve">. </w:t>
      </w:r>
    </w:p>
    <w:p w:rsidRPr="001A6631" w:rsidR="001A6631" w:rsidP="001A6631" w:rsidRDefault="001A6631" w14:paraId="29B74D27" w14:textId="77777777">
      <w:pPr>
        <w:spacing w:after="120" w:line="276" w:lineRule="auto"/>
        <w:ind w:firstLine="709"/>
        <w:jc w:val="both"/>
        <w:rPr>
          <w:rFonts w:ascii="Verdana" w:hAnsi="Verdana" w:eastAsia="Times New Roman" w:cs="Arial"/>
          <w:lang w:val="es-ES" w:eastAsia="es-ES"/>
        </w:rPr>
      </w:pPr>
      <w:r w:rsidRPr="001A6631">
        <w:rPr>
          <w:rFonts w:ascii="Verdana" w:hAnsi="Verdana" w:eastAsia="Times New Roman" w:cs="Arial"/>
          <w:lang w:val="es-ES" w:eastAsia="es-ES"/>
        </w:rPr>
        <w:lastRenderedPageBreak/>
        <w:t xml:space="preserve">Por ejemplo: i) si un oferente olvidó adjuntar con su propuesta el certificado que da cuenta de su inscripción en el RUP, el requisito será subsanable siempre que la prueba allegada demuestre que el hecho, esto es, la inscripción en el registro, ocurrió con anterioridad al cierre del proceso, estando </w:t>
      </w:r>
      <w:proofErr w:type="spellStart"/>
      <w:r w:rsidRPr="001A6631">
        <w:rPr>
          <w:rFonts w:ascii="Verdana" w:hAnsi="Verdana" w:eastAsia="Times New Roman" w:cs="Arial"/>
          <w:lang w:val="es-ES" w:eastAsia="es-ES"/>
        </w:rPr>
        <w:t>esta</w:t>
      </w:r>
      <w:proofErr w:type="spellEnd"/>
      <w:r w:rsidRPr="001A6631">
        <w:rPr>
          <w:rFonts w:ascii="Verdana" w:hAnsi="Verdana" w:eastAsia="Times New Roman" w:cs="Arial"/>
          <w:lang w:val="es-ES" w:eastAsia="es-ES"/>
        </w:rPr>
        <w:t xml:space="preserve"> en firme para dicho momento; </w:t>
      </w:r>
      <w:proofErr w:type="spellStart"/>
      <w:r w:rsidRPr="001A6631">
        <w:rPr>
          <w:rFonts w:ascii="Verdana" w:hAnsi="Verdana" w:eastAsia="Times New Roman" w:cs="Arial"/>
          <w:lang w:val="es-ES" w:eastAsia="es-ES"/>
        </w:rPr>
        <w:t>ii</w:t>
      </w:r>
      <w:proofErr w:type="spellEnd"/>
      <w:r w:rsidRPr="001A6631">
        <w:rPr>
          <w:rFonts w:ascii="Verdana" w:hAnsi="Verdana" w:eastAsia="Times New Roman" w:cs="Arial"/>
          <w:lang w:val="es-ES" w:eastAsia="es-ES"/>
        </w:rPr>
        <w:t>) si un oferente presentó la propuesta sin allegar la autorización al representante legal, por parte de la junta directiva de la sociedad, el certificado, aunque sea posterior, debe dar cuenta de que el hecho que pretende acreditar –la autorización de la junta– ocurrió antes del vencimiento del término para ofertar</w:t>
      </w:r>
      <w:r w:rsidRPr="001A6631">
        <w:rPr>
          <w:rFonts w:ascii="Verdana" w:hAnsi="Verdana" w:eastAsia="Times New Roman" w:cs="Arial"/>
          <w:vertAlign w:val="superscript"/>
          <w:lang w:val="es-ES" w:eastAsia="es-ES"/>
        </w:rPr>
        <w:footnoteReference w:id="7"/>
      </w:r>
      <w:r w:rsidRPr="001A6631">
        <w:rPr>
          <w:rFonts w:ascii="Verdana" w:hAnsi="Verdana" w:eastAsia="Times New Roman" w:cs="Arial"/>
          <w:lang w:val="es-ES" w:eastAsia="es-ES"/>
        </w:rPr>
        <w:t xml:space="preserve">; </w:t>
      </w:r>
      <w:proofErr w:type="spellStart"/>
      <w:r w:rsidRPr="001A6631">
        <w:rPr>
          <w:rFonts w:ascii="Verdana" w:hAnsi="Verdana" w:eastAsia="Times New Roman" w:cs="Arial"/>
          <w:lang w:val="es-ES" w:eastAsia="es-ES"/>
        </w:rPr>
        <w:t>iii</w:t>
      </w:r>
      <w:proofErr w:type="spellEnd"/>
      <w:r w:rsidRPr="001A6631">
        <w:rPr>
          <w:rFonts w:ascii="Verdana" w:hAnsi="Verdana" w:eastAsia="Times New Roman" w:cs="Arial"/>
          <w:lang w:val="es-ES" w:eastAsia="es-ES"/>
        </w:rPr>
        <w:t>) si un oferente no anexó el certificado de existencia y representación legal, el documento aportado con posterioridad debe dar cuenta de que la sociedad existía antes del cierre del proceso</w:t>
      </w:r>
      <w:r w:rsidRPr="001A6631">
        <w:rPr>
          <w:rFonts w:ascii="Verdana" w:hAnsi="Verdana" w:eastAsia="Times New Roman" w:cs="Arial"/>
          <w:vertAlign w:val="superscript"/>
          <w:lang w:val="es-ES" w:eastAsia="es-ES"/>
        </w:rPr>
        <w:footnoteReference w:id="8"/>
      </w:r>
      <w:r w:rsidRPr="001A6631">
        <w:rPr>
          <w:rFonts w:ascii="Verdana" w:hAnsi="Verdana" w:eastAsia="Times New Roman" w:cs="Arial"/>
          <w:lang w:val="es-ES" w:eastAsia="es-ES"/>
        </w:rPr>
        <w:t xml:space="preserve">; </w:t>
      </w:r>
      <w:proofErr w:type="spellStart"/>
      <w:r w:rsidRPr="001A6631">
        <w:rPr>
          <w:rFonts w:ascii="Verdana" w:hAnsi="Verdana" w:eastAsia="Times New Roman" w:cs="Arial"/>
          <w:lang w:val="es-ES" w:eastAsia="es-ES"/>
        </w:rPr>
        <w:t>iv</w:t>
      </w:r>
      <w:proofErr w:type="spellEnd"/>
      <w:r w:rsidRPr="001A6631">
        <w:rPr>
          <w:rFonts w:ascii="Verdana" w:hAnsi="Verdana" w:eastAsia="Times New Roman" w:cs="Arial"/>
          <w:lang w:val="es-ES" w:eastAsia="es-ES"/>
        </w:rPr>
        <w:t xml:space="preserve">) si un oferente olvidó adjuntar un certificado que demuestra un título universitario, el documento, aunque tenga fecha posterior al cierre del proceso, debe acreditar que el título académico se obtuvo con anterioridad al cierre del proceso; v) si un oferente no allegó un certificado de experiencia, el documento que subsana –sin importar que tenga fecha posterior– debe demostrar que la experiencia que se pretende hacer valer se obtuvo antes de vencerse el término para presentar ofertas, y vi) si el oferente olvidó firmar la propuesta o presentar una copia de ella, puede subsanar sin que con ello se entienda que acreditó una circunstancia ocurrida con posterioridad al cierre del proceso. </w:t>
      </w:r>
    </w:p>
    <w:p w:rsidRPr="001A6631" w:rsidR="001A6631" w:rsidP="001A6631" w:rsidRDefault="001A6631" w14:paraId="78178949" w14:textId="77777777">
      <w:pPr>
        <w:spacing w:after="120" w:line="276" w:lineRule="auto"/>
        <w:ind w:firstLine="709"/>
        <w:jc w:val="both"/>
        <w:rPr>
          <w:rFonts w:ascii="Verdana" w:hAnsi="Verdana" w:eastAsia="Times New Roman" w:cs="Arial"/>
          <w:i/>
          <w:lang w:val="es-ES" w:eastAsia="es-ES"/>
        </w:rPr>
      </w:pPr>
      <w:r w:rsidRPr="001A6631">
        <w:rPr>
          <w:rFonts w:ascii="Verdana" w:hAnsi="Verdana" w:eastAsia="Times New Roman" w:cs="Arial"/>
          <w:lang w:val="es-ES" w:eastAsia="es-ES"/>
        </w:rPr>
        <w:lastRenderedPageBreak/>
        <w:t xml:space="preserve">Lo anterior quiere decir que no es la prueba –usualmente un documento– lo que debe ser anterior al cierre del proceso, sino el hecho que ella acredita. Es decir, ante la solicitud de la Administración de subsanar determinado requisito, el documento podría estar fechado con posterioridad al vencimiento del término para recibir propuestas, siempre y cuando el hecho que acredite haya ocurrido antes, esto es, que no sea una circunstancia ocurrida con posterioridad al cierre del proceso. Es por esto </w:t>
      </w:r>
      <w:proofErr w:type="gramStart"/>
      <w:r w:rsidRPr="001A6631">
        <w:rPr>
          <w:rFonts w:ascii="Verdana" w:hAnsi="Verdana" w:eastAsia="Times New Roman" w:cs="Arial"/>
          <w:lang w:val="es-ES" w:eastAsia="es-ES"/>
        </w:rPr>
        <w:t>que</w:t>
      </w:r>
      <w:proofErr w:type="gramEnd"/>
      <w:r w:rsidRPr="001A6631">
        <w:rPr>
          <w:rFonts w:ascii="Verdana" w:hAnsi="Verdana" w:eastAsia="Times New Roman" w:cs="Arial"/>
          <w:lang w:val="es-ES" w:eastAsia="es-ES"/>
        </w:rPr>
        <w:t xml:space="preserve"> el Consejo de Estado sostiene que “lo que se subsana es la prueba y no la condición habilitante o un elemento de la propuesta [...] lo que se puede remediar es la prueba y no el requisito: La posibilidad debe recaer exclusivamente sobre circunstancias acaecidas antes del cierre del respectivo proceso, esto es, del vencimiento del plazo para presentar ofertas”</w:t>
      </w:r>
      <w:r w:rsidRPr="001A6631">
        <w:rPr>
          <w:rFonts w:ascii="Verdana" w:hAnsi="Verdana" w:eastAsia="Times New Roman" w:cs="Arial"/>
          <w:vertAlign w:val="superscript"/>
          <w:lang w:val="es-ES" w:eastAsia="es-ES"/>
        </w:rPr>
        <w:footnoteReference w:id="9"/>
      </w:r>
      <w:r w:rsidRPr="001A6631">
        <w:rPr>
          <w:rFonts w:ascii="Verdana" w:hAnsi="Verdana" w:eastAsia="Times New Roman" w:cs="Arial"/>
          <w:lang w:val="es-ES" w:eastAsia="es-ES"/>
        </w:rPr>
        <w:t>.</w:t>
      </w:r>
    </w:p>
    <w:p w:rsidRPr="001A6631" w:rsidR="001A6631" w:rsidP="001A6631" w:rsidRDefault="001A6631" w14:paraId="39FAB799" w14:textId="77777777">
      <w:pPr>
        <w:spacing w:after="120" w:line="276" w:lineRule="auto"/>
        <w:ind w:firstLine="708"/>
        <w:jc w:val="both"/>
        <w:rPr>
          <w:rFonts w:ascii="Verdana" w:hAnsi="Verdana" w:eastAsia="Calibri" w:cs="Arial"/>
          <w:color w:val="000000"/>
        </w:rPr>
      </w:pPr>
      <w:r w:rsidRPr="001A6631">
        <w:rPr>
          <w:rFonts w:ascii="Verdana" w:hAnsi="Verdana" w:eastAsia="Times New Roman" w:cs="Arial"/>
          <w:iCs/>
          <w:lang w:val="es-ES" w:eastAsia="es-ES"/>
        </w:rPr>
        <w:t>Ahora bien, e</w:t>
      </w:r>
      <w:r w:rsidRPr="001A6631">
        <w:rPr>
          <w:rFonts w:ascii="Verdana" w:hAnsi="Verdana" w:eastAsia="Calibri" w:cs="Arial"/>
          <w:iCs/>
          <w:color w:val="000000"/>
          <w:lang w:val="es-ES"/>
        </w:rPr>
        <w:t>l</w:t>
      </w:r>
      <w:r w:rsidRPr="001A6631">
        <w:rPr>
          <w:rFonts w:ascii="Verdana" w:hAnsi="Verdana" w:eastAsia="Calibri" w:cs="Arial"/>
          <w:color w:val="000000"/>
          <w:lang w:val="es-ES"/>
        </w:rPr>
        <w:t xml:space="preserve"> parágrafo 3 del artículo 5 de la Ley 1882 de 2018 determinó, de manera expresa, que “la no entrega de la garantía de seriedad junto con la propuesta no será subsanable y será causal de rechazo de </w:t>
      </w:r>
      <w:proofErr w:type="gramStart"/>
      <w:r w:rsidRPr="001A6631">
        <w:rPr>
          <w:rFonts w:ascii="Verdana" w:hAnsi="Verdana" w:eastAsia="Calibri" w:cs="Arial"/>
          <w:color w:val="000000"/>
          <w:lang w:val="es-ES"/>
        </w:rPr>
        <w:t>la misma</w:t>
      </w:r>
      <w:proofErr w:type="gramEnd"/>
      <w:r w:rsidRPr="001A6631">
        <w:rPr>
          <w:rFonts w:ascii="Verdana" w:hAnsi="Verdana" w:eastAsia="Calibri" w:cs="Arial"/>
          <w:color w:val="000000"/>
          <w:lang w:val="es-ES"/>
        </w:rPr>
        <w:t>”, dejando claro que se trata de un documento de obligatoria presentación junto con la propuesta y que materializa los principios de seriedad e irrevocabilidad de la oferta.</w:t>
      </w:r>
      <w:r w:rsidRPr="001A6631">
        <w:rPr>
          <w:rFonts w:ascii="Verdana" w:hAnsi="Verdana" w:eastAsia="Calibri" w:cs="Arial"/>
          <w:color w:val="000000"/>
        </w:rPr>
        <w:t> </w:t>
      </w:r>
    </w:p>
    <w:p w:rsidRPr="001A6631" w:rsidR="001A6631" w:rsidP="001A6631" w:rsidRDefault="001A6631" w14:paraId="626228A5" w14:textId="77777777">
      <w:pPr>
        <w:spacing w:after="0" w:line="276" w:lineRule="auto"/>
        <w:ind w:firstLine="709"/>
        <w:jc w:val="both"/>
        <w:rPr>
          <w:rFonts w:ascii="Verdana" w:hAnsi="Verdana" w:eastAsia="Calibri" w:cs="Arial"/>
          <w:color w:val="000000"/>
        </w:rPr>
      </w:pPr>
      <w:r w:rsidRPr="001A6631">
        <w:rPr>
          <w:rFonts w:ascii="Verdana" w:hAnsi="Verdana" w:eastAsia="Calibri" w:cs="Arial"/>
          <w:color w:val="000000"/>
        </w:rPr>
        <w:t>Tratándose de los documentos tipo, el numeral 1.6 del documento base de infraestructura de transporte</w:t>
      </w:r>
      <w:r w:rsidRPr="001A6631">
        <w:rPr>
          <w:rFonts w:ascii="Verdana" w:hAnsi="Verdana" w:eastAsia="Calibri" w:cs="Arial"/>
          <w:color w:val="000000"/>
          <w:vertAlign w:val="superscript"/>
        </w:rPr>
        <w:footnoteReference w:id="10"/>
      </w:r>
      <w:r w:rsidRPr="001A6631">
        <w:rPr>
          <w:rFonts w:ascii="Verdana" w:hAnsi="Verdana" w:eastAsia="Calibri" w:cs="Arial"/>
          <w:color w:val="000000"/>
        </w:rPr>
        <w:t xml:space="preserve"> contempla las reglas de </w:t>
      </w:r>
      <w:proofErr w:type="spellStart"/>
      <w:r w:rsidRPr="001A6631">
        <w:rPr>
          <w:rFonts w:ascii="Verdana" w:hAnsi="Verdana" w:eastAsia="Calibri" w:cs="Arial"/>
          <w:color w:val="000000"/>
        </w:rPr>
        <w:t>subsanabilidad</w:t>
      </w:r>
      <w:proofErr w:type="spellEnd"/>
      <w:r w:rsidRPr="001A6631">
        <w:rPr>
          <w:rFonts w:ascii="Verdana" w:hAnsi="Verdana" w:eastAsia="Calibri" w:cs="Arial"/>
          <w:color w:val="000000"/>
        </w:rPr>
        <w:t xml:space="preserve"> de las ofertas, en los siguientes términos:</w:t>
      </w:r>
    </w:p>
    <w:p w:rsidRPr="001A6631" w:rsidR="001A6631" w:rsidP="001A6631" w:rsidRDefault="001A6631" w14:paraId="6ABE2764" w14:textId="77777777">
      <w:pPr>
        <w:spacing w:after="0" w:line="276" w:lineRule="auto"/>
        <w:jc w:val="both"/>
        <w:rPr>
          <w:rFonts w:ascii="Verdana" w:hAnsi="Verdana" w:eastAsia="Calibri" w:cs="Arial"/>
          <w:color w:val="000000"/>
        </w:rPr>
      </w:pPr>
    </w:p>
    <w:p w:rsidRPr="001A6631" w:rsidR="001A6631" w:rsidP="001A6631" w:rsidRDefault="001A6631" w14:paraId="1BFA2549" w14:textId="77777777">
      <w:pPr>
        <w:spacing w:after="0" w:line="240" w:lineRule="auto"/>
        <w:ind w:left="709" w:right="709"/>
        <w:jc w:val="both"/>
        <w:rPr>
          <w:rFonts w:ascii="Verdana" w:hAnsi="Verdana" w:eastAsia="Calibri" w:cs="Arial"/>
          <w:color w:val="000000"/>
          <w:sz w:val="21"/>
          <w:szCs w:val="21"/>
        </w:rPr>
      </w:pPr>
      <w:r w:rsidRPr="001A6631">
        <w:rPr>
          <w:rFonts w:ascii="Verdana" w:hAnsi="Verdana" w:eastAsia="Calibri" w:cs="Arial"/>
          <w:color w:val="000000"/>
          <w:sz w:val="21"/>
          <w:szCs w:val="21"/>
        </w:rPr>
        <w:t>“[…]</w:t>
      </w:r>
    </w:p>
    <w:p w:rsidRPr="001A6631" w:rsidR="001A6631" w:rsidP="001A6631" w:rsidRDefault="001A6631" w14:paraId="667521F5" w14:textId="77777777">
      <w:pPr>
        <w:spacing w:after="0" w:line="240" w:lineRule="auto"/>
        <w:ind w:left="709" w:right="709"/>
        <w:jc w:val="both"/>
        <w:rPr>
          <w:rFonts w:ascii="Verdana" w:hAnsi="Verdana" w:eastAsia="Calibri" w:cs="Arial"/>
          <w:color w:val="000000"/>
          <w:sz w:val="21"/>
          <w:szCs w:val="21"/>
        </w:rPr>
      </w:pPr>
      <w:r w:rsidRPr="001A6631">
        <w:rPr>
          <w:rFonts w:ascii="Verdana" w:hAnsi="Verdana" w:eastAsia="Calibri" w:cs="Arial"/>
          <w:color w:val="000000"/>
          <w:sz w:val="21"/>
          <w:szCs w:val="21"/>
        </w:rPr>
        <w:t xml:space="preserve">En caso de ser necesario, la entidad debe solicitar a los proponentes durante el proceso de evaluación, y a más tardar en el informe de evaluación, las aclaraciones, precisiones o solicitud de documentos que puedan ser subsanables. No obstante, los proponentes no podrán completar, adicionar, modificar o mejorar sus propuestas en los aspectos que otorgan puntaje, los cuales podrán ser objeto de aclaraciones y explicaciones. Los proponentes deberán allegar las aclaraciones o documentos requeridos en el momento en el que fueron solicitados y a más tardar hasta el término de traslado del informe de evaluación, es decir, dentro de los cinco (5) días hábiles siguientes, </w:t>
      </w:r>
      <w:r w:rsidRPr="001A6631">
        <w:rPr>
          <w:rFonts w:ascii="Verdana" w:hAnsi="Verdana" w:eastAsia="Calibri" w:cs="Arial"/>
          <w:color w:val="000000"/>
          <w:sz w:val="21"/>
          <w:szCs w:val="21"/>
        </w:rPr>
        <w:lastRenderedPageBreak/>
        <w:t xml:space="preserve">contados a partir del día hábil siguiente a la expedición del informe de evaluación. </w:t>
      </w:r>
    </w:p>
    <w:p w:rsidRPr="001A6631" w:rsidR="001A6631" w:rsidP="001A6631" w:rsidRDefault="001A6631" w14:paraId="36A495F0" w14:textId="77777777">
      <w:pPr>
        <w:spacing w:after="0" w:line="240" w:lineRule="auto"/>
        <w:ind w:left="709" w:right="709"/>
        <w:jc w:val="both"/>
        <w:rPr>
          <w:rFonts w:ascii="Verdana" w:hAnsi="Verdana" w:eastAsia="Calibri" w:cs="Arial"/>
          <w:color w:val="000000"/>
          <w:sz w:val="21"/>
          <w:szCs w:val="21"/>
        </w:rPr>
      </w:pPr>
    </w:p>
    <w:p w:rsidRPr="001A6631" w:rsidR="001A6631" w:rsidP="001A6631" w:rsidRDefault="001A6631" w14:paraId="6318DB2C" w14:textId="77777777">
      <w:pPr>
        <w:spacing w:after="0" w:line="240" w:lineRule="auto"/>
        <w:ind w:left="709" w:right="709"/>
        <w:jc w:val="both"/>
        <w:rPr>
          <w:rFonts w:ascii="Verdana" w:hAnsi="Verdana" w:eastAsia="Calibri" w:cs="Arial"/>
          <w:color w:val="000000"/>
          <w:sz w:val="21"/>
          <w:szCs w:val="21"/>
        </w:rPr>
      </w:pPr>
      <w:r w:rsidRPr="001A6631">
        <w:rPr>
          <w:rFonts w:ascii="Verdana" w:hAnsi="Verdana" w:eastAsia="Calibri" w:cs="Arial"/>
          <w:color w:val="000000"/>
          <w:sz w:val="21"/>
          <w:szCs w:val="21"/>
        </w:rPr>
        <w:t>En caso de que la Entidad no hubiese advertido durante el proceso de evaluación la ausencia de requisitos o la falta de documentos referentes a la futura contratación o al Proponente, ya sea en relación con los requisitos habilitantes o para aclarar aspectos que otorgan puntaje o relativos a los factores de desempate y, por ende, no los haya requerido, podrá hacerlo posteriormente, otorgándole al Proponente un término igual al establecido para el traslado del informe de evaluación, con el fin de que los allegue. En caso de que sea necesario, la Entidad ajustará el Cronograma. Lo aquí descrito también aplicará cuando la observación a la oferta provenga de otro Proponente y se hubiere realizado en el traslado del informe de evaluación.</w:t>
      </w:r>
    </w:p>
    <w:p w:rsidRPr="001A6631" w:rsidR="001A6631" w:rsidP="001A6631" w:rsidRDefault="001A6631" w14:paraId="4B9D0FA9" w14:textId="77777777">
      <w:pPr>
        <w:spacing w:after="0" w:line="240" w:lineRule="auto"/>
        <w:ind w:left="709" w:right="709"/>
        <w:jc w:val="both"/>
        <w:rPr>
          <w:rFonts w:ascii="Verdana" w:hAnsi="Verdana" w:eastAsia="Calibri" w:cs="Arial"/>
          <w:color w:val="000000"/>
          <w:sz w:val="21"/>
          <w:szCs w:val="21"/>
        </w:rPr>
      </w:pPr>
    </w:p>
    <w:p w:rsidRPr="001A6631" w:rsidR="001A6631" w:rsidP="001A6631" w:rsidRDefault="001A6631" w14:paraId="636E96B7" w14:textId="77777777">
      <w:pPr>
        <w:spacing w:after="0" w:line="240" w:lineRule="auto"/>
        <w:ind w:left="709" w:right="709"/>
        <w:jc w:val="both"/>
        <w:rPr>
          <w:rFonts w:ascii="Verdana" w:hAnsi="Verdana" w:eastAsia="Calibri" w:cs="Arial"/>
          <w:color w:val="000000"/>
          <w:sz w:val="21"/>
          <w:szCs w:val="21"/>
        </w:rPr>
      </w:pPr>
      <w:r w:rsidRPr="001A6631">
        <w:rPr>
          <w:rFonts w:ascii="Verdana" w:hAnsi="Verdana" w:eastAsia="Calibri" w:cs="Arial"/>
          <w:color w:val="000000"/>
          <w:sz w:val="21"/>
          <w:szCs w:val="21"/>
        </w:rPr>
        <w:t>En los procesos adelantados en el SECOP I, las subsanaciones, explicaciones y aclaraciones se presentarán por cualquier medio: en físico, entre las horas de atención al público; o por correo electrónico hasta las 11:59 p. m. del día establecido en el cronograma. Los adelantados en el SECOP II se subsanarán por medio de mensajes, en la forma prevista en la plataforma.</w:t>
      </w:r>
    </w:p>
    <w:p w:rsidRPr="001A6631" w:rsidR="001A6631" w:rsidP="001A6631" w:rsidRDefault="001A6631" w14:paraId="2498DFE5" w14:textId="77777777">
      <w:pPr>
        <w:spacing w:after="0" w:line="240" w:lineRule="auto"/>
        <w:ind w:left="709" w:right="709"/>
        <w:jc w:val="both"/>
        <w:rPr>
          <w:rFonts w:ascii="Verdana" w:hAnsi="Verdana" w:eastAsia="Calibri" w:cs="Arial"/>
          <w:color w:val="000000"/>
          <w:sz w:val="21"/>
          <w:szCs w:val="21"/>
        </w:rPr>
      </w:pPr>
    </w:p>
    <w:p w:rsidRPr="001A6631" w:rsidR="001A6631" w:rsidP="001A6631" w:rsidRDefault="001A6631" w14:paraId="17D21FDF" w14:textId="77777777">
      <w:pPr>
        <w:spacing w:after="0" w:line="240" w:lineRule="auto"/>
        <w:ind w:left="709" w:right="709"/>
        <w:jc w:val="both"/>
        <w:rPr>
          <w:rFonts w:ascii="Verdana" w:hAnsi="Verdana" w:eastAsia="Calibri" w:cs="Arial"/>
          <w:color w:val="000000"/>
          <w:sz w:val="21"/>
          <w:szCs w:val="21"/>
        </w:rPr>
      </w:pPr>
      <w:r w:rsidRPr="001A6631">
        <w:rPr>
          <w:rFonts w:ascii="Verdana" w:hAnsi="Verdana" w:eastAsia="Calibri" w:cs="Arial"/>
          <w:color w:val="000000"/>
          <w:sz w:val="21"/>
          <w:szCs w:val="21"/>
        </w:rPr>
        <w:t>Todos aquellos requisitos de la oferta que afecten la asignación de puntaje, incluyendo los necesarios para acreditar requisitos de desempate, no son subsanables, por lo que los mismos deben ser aportados por los proponentes desde la presentación de la oferta.</w:t>
      </w:r>
    </w:p>
    <w:p w:rsidRPr="001A6631" w:rsidR="001A6631" w:rsidP="001A6631" w:rsidRDefault="001A6631" w14:paraId="731D7305" w14:textId="77777777">
      <w:pPr>
        <w:spacing w:after="0" w:line="240" w:lineRule="auto"/>
        <w:ind w:left="709" w:right="709"/>
        <w:jc w:val="both"/>
        <w:rPr>
          <w:rFonts w:ascii="Verdana" w:hAnsi="Verdana" w:eastAsia="Calibri" w:cs="Arial"/>
          <w:color w:val="000000"/>
          <w:sz w:val="21"/>
          <w:szCs w:val="21"/>
        </w:rPr>
      </w:pPr>
      <w:r w:rsidRPr="001A6631">
        <w:rPr>
          <w:rFonts w:ascii="Verdana" w:hAnsi="Verdana" w:eastAsia="Calibri" w:cs="Arial"/>
          <w:color w:val="000000"/>
          <w:sz w:val="21"/>
          <w:szCs w:val="21"/>
        </w:rPr>
        <w:t>[…]”</w:t>
      </w:r>
    </w:p>
    <w:p w:rsidRPr="001A6631" w:rsidR="001A6631" w:rsidP="001A6631" w:rsidRDefault="001A6631" w14:paraId="4BD26BD2" w14:textId="77777777">
      <w:pPr>
        <w:spacing w:after="0" w:line="276" w:lineRule="auto"/>
        <w:ind w:left="709" w:right="709"/>
        <w:jc w:val="both"/>
        <w:rPr>
          <w:rFonts w:ascii="Verdana" w:hAnsi="Verdana" w:eastAsia="Calibri" w:cs="Arial"/>
          <w:color w:val="000000"/>
        </w:rPr>
      </w:pPr>
    </w:p>
    <w:p w:rsidRPr="001A6631" w:rsidR="001A6631" w:rsidP="001A6631" w:rsidRDefault="001A6631" w14:paraId="627F2B6F" w14:textId="77777777">
      <w:pPr>
        <w:spacing w:after="120" w:line="276" w:lineRule="auto"/>
        <w:ind w:firstLine="709"/>
        <w:jc w:val="both"/>
        <w:rPr>
          <w:rFonts w:ascii="Verdana" w:hAnsi="Verdana" w:eastAsia="Calibri" w:cs="Arial"/>
          <w:color w:val="000000"/>
        </w:rPr>
      </w:pPr>
      <w:r w:rsidRPr="001A6631">
        <w:rPr>
          <w:rFonts w:ascii="Verdana" w:hAnsi="Verdana" w:eastAsia="Calibri" w:cs="Arial"/>
          <w:color w:val="000000"/>
        </w:rPr>
        <w:t xml:space="preserve">Como puede observarse, los documentos tipo se encuentran en plena consonancia con lo expuesto en el presente concepto, de acuerdo con las normas aquí referidas. Sin embargo, este es un análisis que deberá realizar la entidad contratante en cada caso concreto, dependiendo de la situación que amerite subsanación. </w:t>
      </w:r>
    </w:p>
    <w:p w:rsidRPr="001A6631" w:rsidR="001A6631" w:rsidP="001A6631" w:rsidRDefault="001A6631" w14:paraId="43B21A7D" w14:textId="77777777">
      <w:pPr>
        <w:spacing w:after="0" w:line="276" w:lineRule="auto"/>
        <w:ind w:firstLine="709"/>
        <w:jc w:val="both"/>
        <w:rPr>
          <w:rFonts w:ascii="Verdana" w:hAnsi="Verdana" w:eastAsia="Calibri" w:cs="Arial"/>
          <w:color w:val="000000"/>
        </w:rPr>
      </w:pPr>
      <w:r w:rsidRPr="001A6631">
        <w:rPr>
          <w:rFonts w:ascii="Verdana" w:hAnsi="Verdana" w:eastAsia="Calibri" w:cs="Arial"/>
          <w:color w:val="000000"/>
        </w:rPr>
        <w:t xml:space="preserve">Ahora bien, el numeral 2.5 del documento base de los documentos tipo en comento, dispone las reglas sobre el </w:t>
      </w:r>
      <w:r w:rsidRPr="001A6631">
        <w:rPr>
          <w:rFonts w:ascii="Verdana" w:hAnsi="Verdana" w:eastAsia="Calibri" w:cs="Arial"/>
          <w:i/>
          <w:iCs/>
          <w:color w:val="000000"/>
        </w:rPr>
        <w:t>informe de evaluación de aspectos distintos a la oferta económica,</w:t>
      </w:r>
      <w:r w:rsidRPr="001A6631">
        <w:rPr>
          <w:rFonts w:ascii="Verdana" w:hAnsi="Verdana" w:eastAsia="Calibri" w:cs="Arial"/>
          <w:color w:val="000000"/>
        </w:rPr>
        <w:t xml:space="preserve"> en los siguientes términos:</w:t>
      </w:r>
    </w:p>
    <w:p w:rsidRPr="001A6631" w:rsidR="001A6631" w:rsidP="001A6631" w:rsidRDefault="001A6631" w14:paraId="22AF0D18" w14:textId="77777777">
      <w:pPr>
        <w:spacing w:after="0" w:line="276" w:lineRule="auto"/>
        <w:ind w:firstLine="709"/>
        <w:jc w:val="both"/>
        <w:rPr>
          <w:rFonts w:ascii="Verdana" w:hAnsi="Verdana" w:eastAsia="Calibri" w:cs="Arial"/>
          <w:color w:val="000000"/>
        </w:rPr>
      </w:pPr>
    </w:p>
    <w:p w:rsidRPr="001A6631" w:rsidR="001A6631" w:rsidP="001A6631" w:rsidRDefault="001A6631" w14:paraId="309629D6" w14:textId="77777777">
      <w:pPr>
        <w:spacing w:after="0" w:line="240" w:lineRule="auto"/>
        <w:ind w:left="709" w:right="709"/>
        <w:jc w:val="both"/>
        <w:rPr>
          <w:rFonts w:ascii="Verdana" w:hAnsi="Verdana" w:eastAsia="Aptos" w:cs="Times New Roman"/>
          <w:kern w:val="2"/>
          <w:sz w:val="21"/>
          <w:szCs w:val="21"/>
          <w:lang w:val="es-MX"/>
          <w14:ligatures w14:val="standardContextual"/>
        </w:rPr>
      </w:pPr>
      <w:r w:rsidRPr="001A6631">
        <w:rPr>
          <w:rFonts w:ascii="Verdana" w:hAnsi="Verdana" w:eastAsia="Aptos" w:cs="Times New Roman"/>
          <w:kern w:val="2"/>
          <w:sz w:val="21"/>
          <w:szCs w:val="21"/>
          <w:lang w:val="es-MX"/>
          <w14:ligatures w14:val="standardContextual"/>
        </w:rPr>
        <w:t xml:space="preserve">“En la fecha establecida en el Anexo 2 - Cronograma, la entidad publicará el informe de evaluación de los documentos e información de los requisitos habilitantes y los documentos a los que se les asigne puntaje, diferentes a la oferta económica, contenidos en el Sobre 1. El </w:t>
      </w:r>
      <w:r w:rsidRPr="001A6631">
        <w:rPr>
          <w:rFonts w:ascii="Verdana" w:hAnsi="Verdana" w:eastAsia="Aptos" w:cs="Times New Roman"/>
          <w:kern w:val="2"/>
          <w:sz w:val="21"/>
          <w:szCs w:val="21"/>
          <w:lang w:val="es-MX"/>
          <w14:ligatures w14:val="standardContextual"/>
        </w:rPr>
        <w:lastRenderedPageBreak/>
        <w:t xml:space="preserve">informe permanecerá publicado en el SECOP y a disposición de los interesados durante cinco (5) días hábiles, término hasta el cual los proponentes podrán hacer las observaciones que consideren y entregar los documentos y la información solicitada por la entidad en los términos señalados en la sección 1.6, salvo que ya lo hubieren hecho en un momento anterior, de conformidad con el mismo numeral citado. </w:t>
      </w:r>
    </w:p>
    <w:p w:rsidRPr="001A6631" w:rsidR="001A6631" w:rsidP="001A6631" w:rsidRDefault="001A6631" w14:paraId="0BCFC199" w14:textId="77777777">
      <w:pPr>
        <w:spacing w:after="0" w:line="240" w:lineRule="auto"/>
        <w:ind w:left="709" w:right="709"/>
        <w:jc w:val="both"/>
        <w:rPr>
          <w:rFonts w:ascii="Verdana" w:hAnsi="Verdana" w:eastAsia="Aptos" w:cs="Times New Roman"/>
          <w:kern w:val="2"/>
          <w:sz w:val="21"/>
          <w:szCs w:val="21"/>
          <w:lang w:val="es-MX"/>
          <w14:ligatures w14:val="standardContextual"/>
        </w:rPr>
      </w:pPr>
      <w:r w:rsidRPr="001A6631">
        <w:rPr>
          <w:rFonts w:ascii="Verdana" w:hAnsi="Verdana" w:eastAsia="Aptos" w:cs="Times New Roman"/>
          <w:kern w:val="2"/>
          <w:sz w:val="21"/>
          <w:szCs w:val="21"/>
          <w:lang w:val="es-MX"/>
          <w14:ligatures w14:val="standardContextual"/>
        </w:rPr>
        <w:t>[…]</w:t>
      </w:r>
    </w:p>
    <w:p w:rsidRPr="001A6631" w:rsidR="001A6631" w:rsidP="001A6631" w:rsidRDefault="001A6631" w14:paraId="3C42CFAB" w14:textId="77777777">
      <w:pPr>
        <w:spacing w:after="0" w:line="240" w:lineRule="auto"/>
        <w:ind w:left="709" w:right="709"/>
        <w:jc w:val="both"/>
        <w:rPr>
          <w:rFonts w:ascii="Verdana" w:hAnsi="Verdana" w:eastAsia="Aptos" w:cs="Times New Roman"/>
          <w:kern w:val="2"/>
          <w:sz w:val="21"/>
          <w:szCs w:val="21"/>
          <w:lang w:val="es-MX"/>
          <w14:ligatures w14:val="standardContextual"/>
        </w:rPr>
      </w:pPr>
      <w:r w:rsidRPr="001A6631">
        <w:rPr>
          <w:rFonts w:ascii="Verdana" w:hAnsi="Verdana" w:eastAsia="Aptos" w:cs="Times New Roman"/>
          <w:kern w:val="2"/>
          <w:sz w:val="21"/>
          <w:szCs w:val="21"/>
          <w:lang w:val="es-MX"/>
          <w14:ligatures w14:val="standardContextual"/>
        </w:rPr>
        <w:t>Con posterioridad al vencimiento del plazo para presentar observaciones y a más tardar el día antes de la audiencia efectiva de adjudicación, hasta las 11:59 p.m. de acuerdo con lo señalado en el Anexo 2 – Cronograma, la entidad debe publicar el informe final de evaluación, en caso de que el inicial haya sufrido variaciones”.</w:t>
      </w:r>
    </w:p>
    <w:p w:rsidRPr="001A6631" w:rsidR="001A6631" w:rsidP="001A6631" w:rsidRDefault="001A6631" w14:paraId="6A2598BA" w14:textId="77777777">
      <w:pPr>
        <w:spacing w:after="0" w:line="276" w:lineRule="auto"/>
        <w:jc w:val="both"/>
        <w:rPr>
          <w:rFonts w:ascii="Verdana" w:hAnsi="Verdana" w:eastAsia="Calibri" w:cs="Arial"/>
          <w:color w:val="000000"/>
        </w:rPr>
      </w:pPr>
    </w:p>
    <w:p w:rsidRPr="001A6631" w:rsidR="001A6631" w:rsidP="001A6631" w:rsidRDefault="001A6631" w14:paraId="3F610DF5" w14:textId="77777777">
      <w:pPr>
        <w:spacing w:after="120" w:line="276" w:lineRule="auto"/>
        <w:ind w:firstLine="709"/>
        <w:jc w:val="both"/>
        <w:rPr>
          <w:rFonts w:ascii="Verdana" w:hAnsi="Verdana" w:eastAsia="Calibri" w:cs="Arial"/>
          <w:color w:val="000000"/>
        </w:rPr>
      </w:pPr>
      <w:r w:rsidRPr="001A6631">
        <w:rPr>
          <w:rFonts w:ascii="Verdana" w:hAnsi="Verdana" w:eastAsia="Calibri" w:cs="Arial"/>
          <w:color w:val="000000"/>
        </w:rPr>
        <w:t>De acuerdo con lo anterior, se tiene que las entidades contratantes deben publicar en SECOP, durante cinco (5) días hábiles, el informe de evaluación relacionado con los requisitos habilitantes y documentos a los que se les asigne puntaje, diferentes a la oferta económica. Durante este término, los proponentes podrán realizar las observaciones que consideren, así como entregar los documentos e información requerida conforme al numeral 1.6 “REGLAS DE SUBSANABILIDAD, EXPLICACIONES Y ACLARACIONES” del documento base, sin perjuicio de que ya lo hubieren hecho en un momento anterior.</w:t>
      </w:r>
    </w:p>
    <w:p w:rsidRPr="001A6631" w:rsidR="001A6631" w:rsidP="001A6631" w:rsidRDefault="001A6631" w14:paraId="0961498C" w14:textId="77777777">
      <w:pPr>
        <w:spacing w:after="120" w:line="276" w:lineRule="auto"/>
        <w:ind w:firstLine="709"/>
        <w:jc w:val="both"/>
        <w:rPr>
          <w:rFonts w:ascii="Verdana" w:hAnsi="Verdana" w:eastAsia="Calibri" w:cs="Arial"/>
          <w:color w:val="000000"/>
        </w:rPr>
      </w:pPr>
      <w:r w:rsidRPr="001A6631">
        <w:rPr>
          <w:rFonts w:ascii="Verdana" w:hAnsi="Verdana" w:eastAsia="Calibri" w:cs="Arial"/>
          <w:color w:val="000000"/>
        </w:rPr>
        <w:t xml:space="preserve">A su turno, con posterioridad al vencimiento del plazo para presentar observaciones y a más tardar el día antes de la audiencia efectiva de adjudicación, la entidad debe publicar el informe final de evaluación, en caso de que haya sufrido alteraciones. </w:t>
      </w:r>
    </w:p>
    <w:p w:rsidRPr="001A6631" w:rsidR="001A6631" w:rsidP="001A6631" w:rsidRDefault="001A6631" w14:paraId="744F35A8" w14:textId="77777777">
      <w:pPr>
        <w:spacing w:after="120" w:line="276" w:lineRule="auto"/>
        <w:ind w:firstLine="709"/>
        <w:jc w:val="both"/>
        <w:rPr>
          <w:rFonts w:ascii="Verdana" w:hAnsi="Verdana" w:eastAsia="Calibri" w:cs="Arial"/>
          <w:color w:val="000000"/>
        </w:rPr>
      </w:pPr>
      <w:r w:rsidRPr="001A6631">
        <w:rPr>
          <w:rFonts w:ascii="Verdana" w:hAnsi="Verdana" w:eastAsia="Calibri" w:cs="Arial"/>
          <w:color w:val="000000"/>
        </w:rPr>
        <w:t xml:space="preserve">Finalmente, conviene advertir que, en atención a lo dispuesto en el numeral 2.6 del documento base, que señala las reglas que conciernen a la </w:t>
      </w:r>
      <w:r w:rsidRPr="001A6631">
        <w:rPr>
          <w:rFonts w:ascii="Verdana" w:hAnsi="Verdana" w:eastAsia="Calibri" w:cs="Arial"/>
          <w:i/>
          <w:iCs/>
          <w:color w:val="000000"/>
        </w:rPr>
        <w:t>audiencia efectiva de adjudicación,</w:t>
      </w:r>
      <w:r w:rsidRPr="001A6631">
        <w:rPr>
          <w:rFonts w:ascii="Verdana" w:hAnsi="Verdana" w:eastAsia="Calibri" w:cs="Arial"/>
          <w:color w:val="000000"/>
        </w:rPr>
        <w:t xml:space="preserve"> al inicio de la misma, la entidad otorgará la palabra a los proponentes para presentar las observaciones al informe final de evaluación, lo cual no podrá entenderse como una oportunidad adicional para aportar documentos o elementos que no hayan sido incorporados en el plazo definido en el numeral 1.6. Esto, sin perjuicio de la potestad de la entidad de realizar las verificaciones que considere pertinentes para la adecuada selección del contratista.</w:t>
      </w:r>
    </w:p>
    <w:p w:rsidRPr="001A6631" w:rsidR="001A6631" w:rsidP="001A6631" w:rsidRDefault="001A6631" w14:paraId="1DCA57E8" w14:textId="77777777">
      <w:pPr>
        <w:spacing w:after="120" w:line="276" w:lineRule="auto"/>
        <w:ind w:firstLine="709"/>
        <w:jc w:val="both"/>
        <w:rPr>
          <w:rFonts w:ascii="Verdana" w:hAnsi="Verdana" w:eastAsia="Calibri" w:cs="Arial"/>
          <w:color w:val="000000"/>
        </w:rPr>
      </w:pPr>
      <w:r w:rsidRPr="001A6631">
        <w:rPr>
          <w:rFonts w:ascii="Verdana" w:hAnsi="Verdana" w:eastAsia="Calibri" w:cs="Arial"/>
          <w:color w:val="000000"/>
        </w:rPr>
        <w:t xml:space="preserve">Una vez resueltas las observaciones frente al informe de evaluación, en caso de que haya lugar a ello, la entidad dará apertura al Sobre No. 2 de los </w:t>
      </w:r>
      <w:r w:rsidRPr="001A6631">
        <w:rPr>
          <w:rFonts w:ascii="Verdana" w:hAnsi="Verdana" w:eastAsia="Calibri" w:cs="Arial"/>
          <w:color w:val="000000"/>
        </w:rPr>
        <w:lastRenderedPageBreak/>
        <w:t>proponentes habilitados, y evaluará la oferta económica a través del mecanismo escogido mediante el método aleatorio que resulte aplicable de conformidad con lo establecido en el numeral 4.1. del documento base. Con posterioridad, se correrá traslado a los proponentes habilitados solo para la revisión del aspecto económico y se definirá el orden de elegibilidad.</w:t>
      </w:r>
    </w:p>
    <w:p w:rsidRPr="00806DAF" w:rsidR="001A6631" w:rsidP="001A6631" w:rsidRDefault="001A6631" w14:paraId="769B2C14" w14:textId="77777777">
      <w:pPr>
        <w:spacing w:after="120" w:line="276" w:lineRule="auto"/>
        <w:ind w:firstLine="709"/>
        <w:jc w:val="both"/>
        <w:rPr>
          <w:rFonts w:ascii="Verdana" w:hAnsi="Verdana" w:eastAsia="Calibri" w:cs="Arial"/>
          <w:i/>
          <w:iCs/>
          <w:color w:val="000000"/>
        </w:rPr>
      </w:pPr>
      <w:r w:rsidRPr="00806DAF">
        <w:rPr>
          <w:rFonts w:ascii="Verdana" w:hAnsi="Verdana" w:eastAsia="Calibri" w:cs="Arial"/>
          <w:color w:val="000000"/>
        </w:rPr>
        <w:t xml:space="preserve">Al margen de lo expuesto, es importante precisar que corresponde a los proponentes subsanar los requisitos habilitantes en los términos y oportunidades previstas por las entidades estatales, aportando, en caso de que sea necesario, los documentos faltantes, en las condiciones señaladas en este concepto. Por lo demás, teniendo en cuenta que los requisitos habilitantes son objeto de verificación por parte de la entidad contratante, conforme al documento base, en caso de que la propuesta cumpla con todos los aspectos, será evaluada como </w:t>
      </w:r>
      <w:r w:rsidRPr="00806DAF">
        <w:rPr>
          <w:rFonts w:ascii="Verdana" w:hAnsi="Verdana" w:eastAsia="Calibri" w:cs="Arial"/>
          <w:i/>
          <w:iCs/>
          <w:color w:val="000000"/>
        </w:rPr>
        <w:t>“cumple”,</w:t>
      </w:r>
      <w:r w:rsidRPr="00806DAF">
        <w:rPr>
          <w:rFonts w:ascii="Verdana" w:hAnsi="Verdana" w:eastAsia="Calibri" w:cs="Arial"/>
          <w:color w:val="000000"/>
        </w:rPr>
        <w:t xml:space="preserve"> y en caso contrario, la evaluación será </w:t>
      </w:r>
      <w:r w:rsidRPr="00806DAF">
        <w:rPr>
          <w:rFonts w:ascii="Verdana" w:hAnsi="Verdana" w:eastAsia="Calibri" w:cs="Arial"/>
          <w:i/>
          <w:iCs/>
          <w:color w:val="000000"/>
        </w:rPr>
        <w:t>“no cumple”.</w:t>
      </w:r>
    </w:p>
    <w:p w:rsidRPr="00806DAF" w:rsidR="001A6631" w:rsidP="001A6631" w:rsidRDefault="001A6631" w14:paraId="39F70270" w14:textId="77777777">
      <w:pPr>
        <w:spacing w:after="120" w:line="276" w:lineRule="auto"/>
        <w:ind w:firstLine="709"/>
        <w:jc w:val="both"/>
        <w:rPr>
          <w:rFonts w:ascii="Verdana" w:hAnsi="Verdana" w:eastAsia="Calibri" w:cs="Arial"/>
          <w:color w:val="000000"/>
        </w:rPr>
      </w:pPr>
      <w:r w:rsidRPr="00806DAF">
        <w:rPr>
          <w:rFonts w:ascii="Verdana" w:hAnsi="Verdana" w:eastAsia="Calibri" w:cs="Arial"/>
          <w:color w:val="000000"/>
        </w:rPr>
        <w:t xml:space="preserve">Sin embargo, la subsanación de la oferta es un análisis que debe realizarse en cada caso concreto, de forma tal que </w:t>
      </w:r>
      <w:proofErr w:type="spellStart"/>
      <w:r w:rsidRPr="00806DAF">
        <w:rPr>
          <w:rFonts w:ascii="Verdana" w:hAnsi="Verdana" w:eastAsia="Calibri" w:cs="Arial"/>
          <w:color w:val="000000"/>
        </w:rPr>
        <w:t>si</w:t>
      </w:r>
      <w:proofErr w:type="spellEnd"/>
      <w:r w:rsidRPr="00806DAF">
        <w:rPr>
          <w:rFonts w:ascii="Verdana" w:hAnsi="Verdana" w:eastAsia="Calibri" w:cs="Arial"/>
          <w:color w:val="000000"/>
        </w:rPr>
        <w:t xml:space="preserve">, eventualmente, el documento faltante corresponde a una certificación de experiencia que debe expedir la misma entidad contratante, podría ser válido el aporte de dicha certificación por parte de la entidad contratante, siempre y cuando se realice dentro de las oportunidades previstas, y no mejore o modifique la oferta en aspectos que otorgan puntaje.  </w:t>
      </w:r>
    </w:p>
    <w:p w:rsidRPr="001A6631" w:rsidR="001A6631" w:rsidP="001A6631" w:rsidRDefault="001A6631" w14:paraId="5425503D" w14:textId="77777777">
      <w:pPr>
        <w:spacing w:after="0" w:line="276" w:lineRule="auto"/>
        <w:ind w:firstLine="709"/>
        <w:jc w:val="both"/>
        <w:rPr>
          <w:rFonts w:ascii="Verdana" w:hAnsi="Verdana" w:eastAsia="Calibri" w:cs="Arial"/>
          <w:color w:val="000000"/>
        </w:rPr>
      </w:pPr>
      <w:r w:rsidRPr="00806DAF">
        <w:rPr>
          <w:rFonts w:ascii="Verdana" w:hAnsi="Verdana" w:eastAsia="Calibri" w:cs="Arial"/>
          <w:color w:val="000000"/>
        </w:rPr>
        <w:t xml:space="preserve">No obstante, conforme a las reglas de </w:t>
      </w:r>
      <w:proofErr w:type="spellStart"/>
      <w:r w:rsidRPr="00806DAF">
        <w:rPr>
          <w:rFonts w:ascii="Verdana" w:hAnsi="Verdana" w:eastAsia="Calibri" w:cs="Arial"/>
          <w:color w:val="000000"/>
        </w:rPr>
        <w:t>subsanabilidad</w:t>
      </w:r>
      <w:proofErr w:type="spellEnd"/>
      <w:r w:rsidRPr="00806DAF">
        <w:rPr>
          <w:rFonts w:ascii="Verdana" w:hAnsi="Verdana" w:eastAsia="Calibri" w:cs="Arial"/>
          <w:color w:val="000000"/>
        </w:rPr>
        <w:t xml:space="preserve"> de las ofertas contempladas en las normas y en los documentos tipo, corresponde a los proponentes presentar sus ofertas de forma completa e íntegra, adjuntando todos los documentos soporte o prueba de las condiciones que pretendan hacer valer, por lo que, en principio, el deber de subsanar y presentar documentos faltantes recae en los oferentes y no en las entidades contratantes.</w:t>
      </w:r>
      <w:r w:rsidRPr="001A6631">
        <w:rPr>
          <w:rFonts w:ascii="Verdana" w:hAnsi="Verdana" w:eastAsia="Calibri" w:cs="Arial"/>
          <w:color w:val="000000"/>
        </w:rPr>
        <w:t xml:space="preserve"> </w:t>
      </w:r>
    </w:p>
    <w:p w:rsidRPr="001A6631" w:rsidR="001A6631" w:rsidP="001A6631" w:rsidRDefault="001A6631" w14:paraId="36840DED" w14:textId="77777777">
      <w:pPr>
        <w:spacing w:after="0" w:line="276" w:lineRule="auto"/>
        <w:jc w:val="both"/>
        <w:rPr>
          <w:rFonts w:ascii="Verdana" w:hAnsi="Verdana" w:eastAsia="Calibri" w:cs="Arial"/>
          <w:color w:val="000000"/>
        </w:rPr>
      </w:pPr>
    </w:p>
    <w:p w:rsidRPr="001A6631" w:rsidR="001A6631" w:rsidP="001A6631" w:rsidRDefault="001A6631" w14:paraId="031707CE" w14:textId="77777777">
      <w:pPr>
        <w:numPr>
          <w:ilvl w:val="0"/>
          <w:numId w:val="16"/>
        </w:numPr>
        <w:tabs>
          <w:tab w:val="left" w:pos="142"/>
          <w:tab w:val="left" w:pos="284"/>
        </w:tabs>
        <w:snapToGrid w:val="0"/>
        <w:spacing w:after="0" w:line="276" w:lineRule="auto"/>
        <w:ind w:left="357" w:hanging="357"/>
        <w:jc w:val="both"/>
        <w:rPr>
          <w:rFonts w:ascii="Verdana" w:hAnsi="Verdana" w:eastAsia="Century Gothic" w:cs="Century Gothic"/>
          <w:b/>
          <w:bCs/>
          <w:lang w:val="es-ES_tradnl"/>
        </w:rPr>
      </w:pPr>
      <w:r w:rsidRPr="001A6631">
        <w:rPr>
          <w:rFonts w:ascii="Verdana" w:hAnsi="Verdana" w:eastAsia="Century Gothic" w:cs="Century Gothic"/>
          <w:b/>
          <w:bCs/>
          <w:lang w:val="es-ES_tradnl"/>
        </w:rPr>
        <w:t>Referencias normativas, jurisprudenciales y otras fuentes:</w:t>
      </w:r>
    </w:p>
    <w:p w:rsidRPr="001A6631" w:rsidR="001A6631" w:rsidP="001A6631" w:rsidRDefault="001A6631" w14:paraId="259320FC" w14:textId="77777777">
      <w:pPr>
        <w:widowControl w:val="0"/>
        <w:autoSpaceDE w:val="0"/>
        <w:autoSpaceDN w:val="0"/>
        <w:snapToGrid w:val="0"/>
        <w:spacing w:after="0" w:line="276" w:lineRule="auto"/>
        <w:jc w:val="both"/>
        <w:rPr>
          <w:rFonts w:ascii="Verdana" w:hAnsi="Verdana" w:eastAsia="Calibri" w:cs="Arial"/>
          <w:lang w:val="es-ES_tradnl"/>
        </w:rPr>
      </w:pPr>
    </w:p>
    <w:tbl>
      <w:tblPr>
        <w:tblStyle w:val="Tablaconcuadrcula"/>
        <w:tblW w:w="8647" w:type="dxa"/>
        <w:tblInd w:w="137" w:type="dxa"/>
        <w:tblBorders>
          <w:top w:val="dotted" w:color="auto" w:sz="4" w:space="0"/>
          <w:left w:val="dotted" w:color="auto" w:sz="4" w:space="0"/>
          <w:bottom w:val="dotted" w:color="auto" w:sz="4" w:space="0"/>
          <w:right w:val="dotted" w:color="auto" w:sz="4" w:space="0"/>
          <w:insideH w:val="none" w:color="auto" w:sz="0" w:space="0"/>
          <w:insideV w:val="none" w:color="auto" w:sz="0" w:space="0"/>
        </w:tblBorders>
        <w:tblLayout w:type="fixed"/>
        <w:tblLook w:val="04A0" w:firstRow="1" w:lastRow="0" w:firstColumn="1" w:lastColumn="0" w:noHBand="0" w:noVBand="1"/>
      </w:tblPr>
      <w:tblGrid>
        <w:gridCol w:w="8647"/>
      </w:tblGrid>
      <w:tr w:rsidRPr="001A6631" w:rsidR="001A6631" w:rsidTr="00590674" w14:paraId="7DAF9A79" w14:textId="77777777">
        <w:trPr>
          <w:trHeight w:val="870"/>
        </w:trPr>
        <w:tc>
          <w:tcPr>
            <w:tcW w:w="8647" w:type="dxa"/>
          </w:tcPr>
          <w:p w:rsidRPr="001A6631" w:rsidR="001A6631" w:rsidP="001A6631" w:rsidRDefault="001A6631" w14:paraId="18653167" w14:textId="77777777">
            <w:pPr>
              <w:widowControl w:val="0"/>
              <w:numPr>
                <w:ilvl w:val="0"/>
                <w:numId w:val="17"/>
              </w:numPr>
              <w:autoSpaceDE w:val="0"/>
              <w:autoSpaceDN w:val="0"/>
              <w:snapToGrid w:val="0"/>
              <w:spacing w:after="120" w:line="276" w:lineRule="auto"/>
              <w:jc w:val="both"/>
              <w:rPr>
                <w:rFonts w:ascii="Verdana" w:hAnsi="Verdana" w:eastAsia="Calibri" w:cs="Arial"/>
                <w:lang w:val="es-ES_tradnl"/>
              </w:rPr>
            </w:pPr>
            <w:r w:rsidRPr="001A6631">
              <w:rPr>
                <w:rFonts w:ascii="Verdana" w:hAnsi="Verdana" w:eastAsia="Calibri" w:cs="Arial"/>
                <w:lang w:val="es-ES_tradnl"/>
              </w:rPr>
              <w:t>Ley 2022 de 2020, artículo 1.</w:t>
            </w:r>
          </w:p>
          <w:p w:rsidRPr="001A6631" w:rsidR="001A6631" w:rsidP="001A6631" w:rsidRDefault="001A6631" w14:paraId="7D24FC54" w14:textId="77777777">
            <w:pPr>
              <w:numPr>
                <w:ilvl w:val="0"/>
                <w:numId w:val="17"/>
              </w:numPr>
              <w:snapToGrid w:val="0"/>
              <w:spacing w:after="120" w:line="276" w:lineRule="auto"/>
              <w:jc w:val="both"/>
              <w:rPr>
                <w:rFonts w:ascii="Verdana" w:hAnsi="Verdana" w:eastAsia="Calibri" w:cs="Arial"/>
                <w:noProof/>
                <w:lang w:val="es-ES_tradnl"/>
              </w:rPr>
            </w:pPr>
            <w:r w:rsidRPr="001A6631">
              <w:rPr>
                <w:rFonts w:ascii="Verdana" w:hAnsi="Verdana" w:eastAsia="Calibri" w:cs="Arial"/>
                <w:noProof/>
                <w:lang w:val="es-ES_tradnl"/>
              </w:rPr>
              <w:t xml:space="preserve">Ley 1150 de 2007, artículo 5. Modificado por la Ley 1882 de 2018, parágrafos 1, 3 y 4. </w:t>
            </w:r>
          </w:p>
          <w:p w:rsidRPr="001A6631" w:rsidR="001A6631" w:rsidP="001A6631" w:rsidRDefault="001A6631" w14:paraId="0EF12066" w14:textId="77777777">
            <w:pPr>
              <w:numPr>
                <w:ilvl w:val="0"/>
                <w:numId w:val="17"/>
              </w:numPr>
              <w:snapToGrid w:val="0"/>
              <w:spacing w:after="120" w:line="276" w:lineRule="auto"/>
              <w:jc w:val="both"/>
              <w:rPr>
                <w:rFonts w:ascii="Verdana" w:hAnsi="Verdana" w:eastAsia="Aptos" w:cs="Arial"/>
                <w:lang w:val="es-ES"/>
              </w:rPr>
            </w:pPr>
            <w:r w:rsidRPr="001A6631">
              <w:rPr>
                <w:rFonts w:ascii="Verdana" w:hAnsi="Verdana" w:eastAsia="Calibri" w:cs="Arial"/>
                <w:noProof/>
                <w:lang w:val="es-ES_tradnl"/>
              </w:rPr>
              <w:t>Consejo de Estado. Sala de Consulta y Servicio Civil. Concepto del 20 de mayo de 2010. Exp. 1992. C.P. Enrique José Arboleda Perdomo.</w:t>
            </w:r>
          </w:p>
          <w:p w:rsidRPr="001A6631" w:rsidR="001A6631" w:rsidP="001A6631" w:rsidRDefault="001A6631" w14:paraId="5374A286" w14:textId="77777777">
            <w:pPr>
              <w:numPr>
                <w:ilvl w:val="0"/>
                <w:numId w:val="17"/>
              </w:numPr>
              <w:snapToGrid w:val="0"/>
              <w:spacing w:after="120" w:line="276" w:lineRule="auto"/>
              <w:jc w:val="both"/>
              <w:rPr>
                <w:rFonts w:ascii="Verdana" w:hAnsi="Verdana" w:eastAsia="Calibri" w:cs="Arial"/>
                <w:noProof/>
                <w:lang w:val="es-ES_tradnl"/>
              </w:rPr>
            </w:pPr>
            <w:r w:rsidRPr="001A6631">
              <w:rPr>
                <w:rFonts w:ascii="Verdana" w:hAnsi="Verdana" w:eastAsia="Calibri" w:cs="Arial"/>
                <w:noProof/>
                <w:lang w:val="es-ES_tradnl"/>
              </w:rPr>
              <w:lastRenderedPageBreak/>
              <w:t>Consejo De Estado. Sección Tercera, Subsección C. Sentencia del 26 de febrero de 2011. C.P. Jaime Orlando Santofimio. Rad. 36.408.</w:t>
            </w:r>
          </w:p>
          <w:p w:rsidRPr="001A6631" w:rsidR="001A6631" w:rsidP="001A6631" w:rsidRDefault="001A6631" w14:paraId="3C8BD4BC" w14:textId="77777777">
            <w:pPr>
              <w:numPr>
                <w:ilvl w:val="0"/>
                <w:numId w:val="17"/>
              </w:numPr>
              <w:snapToGrid w:val="0"/>
              <w:spacing w:after="120" w:line="276" w:lineRule="auto"/>
              <w:jc w:val="both"/>
              <w:rPr>
                <w:rFonts w:ascii="Verdana" w:hAnsi="Verdana" w:eastAsia="Calibri" w:cs="Arial"/>
                <w:noProof/>
                <w:lang w:val="es-ES_tradnl"/>
              </w:rPr>
            </w:pPr>
            <w:r w:rsidRPr="001A6631">
              <w:rPr>
                <w:rFonts w:ascii="Verdana" w:hAnsi="Verdana" w:eastAsia="Calibri" w:cs="Arial"/>
                <w:noProof/>
                <w:lang w:val="es-ES_tradnl"/>
              </w:rPr>
              <w:t>Consejo de Estado. Sección Tercera. Subsección C. Sentencia del 26 de febrero de 2014. C.P. Enrique Gil Botero. Rad. 25.804.</w:t>
            </w:r>
          </w:p>
          <w:p w:rsidRPr="001A6631" w:rsidR="001A6631" w:rsidP="001A6631" w:rsidRDefault="001A6631" w14:paraId="5B6CF2E8" w14:textId="77777777">
            <w:pPr>
              <w:widowControl w:val="0"/>
              <w:numPr>
                <w:ilvl w:val="0"/>
                <w:numId w:val="17"/>
              </w:numPr>
              <w:autoSpaceDE w:val="0"/>
              <w:autoSpaceDN w:val="0"/>
              <w:snapToGrid w:val="0"/>
              <w:spacing w:after="120" w:line="276" w:lineRule="auto"/>
              <w:jc w:val="both"/>
              <w:rPr>
                <w:rFonts w:ascii="Verdana" w:hAnsi="Verdana" w:eastAsia="Calibri" w:cs="Arial"/>
                <w:lang w:val="es-ES_tradnl"/>
              </w:rPr>
            </w:pPr>
            <w:r w:rsidRPr="001A6631">
              <w:rPr>
                <w:rFonts w:ascii="Verdana" w:hAnsi="Verdana" w:eastAsia="Aptos" w:cs="Arial"/>
                <w:lang w:val="es-ES_tradnl"/>
              </w:rPr>
              <w:t xml:space="preserve">Documentos tipo de infraestructura de transporte. Disponibles en: </w:t>
            </w:r>
            <w:hyperlink w:history="1" r:id="rId11">
              <w:r w:rsidRPr="001A6631">
                <w:rPr>
                  <w:rFonts w:ascii="Verdana" w:hAnsi="Verdana" w:eastAsia="Aptos" w:cs="Arial"/>
                  <w:color w:val="0000FF"/>
                  <w:u w:val="single"/>
                  <w:lang w:val="es-ES_tradnl"/>
                </w:rPr>
                <w:t>https://www.colombiacompra.gov.co/normativa-y-relatoria/documentos-tipo</w:t>
              </w:r>
            </w:hyperlink>
            <w:r w:rsidRPr="001A6631">
              <w:rPr>
                <w:rFonts w:ascii="Verdana" w:hAnsi="Verdana" w:eastAsia="Aptos" w:cs="Arial"/>
                <w:lang w:val="es-ES_tradnl"/>
              </w:rPr>
              <w:t xml:space="preserve">. </w:t>
            </w:r>
          </w:p>
        </w:tc>
      </w:tr>
    </w:tbl>
    <w:p w:rsidRPr="001A6631" w:rsidR="001A6631" w:rsidP="001A6631" w:rsidRDefault="001A6631" w14:paraId="54C61F3F" w14:textId="77777777">
      <w:pPr>
        <w:widowControl w:val="0"/>
        <w:autoSpaceDE w:val="0"/>
        <w:autoSpaceDN w:val="0"/>
        <w:snapToGrid w:val="0"/>
        <w:spacing w:after="0" w:line="276" w:lineRule="auto"/>
        <w:jc w:val="both"/>
        <w:rPr>
          <w:rFonts w:ascii="Verdana" w:hAnsi="Verdana" w:eastAsia="Calibri" w:cs="Arial"/>
          <w:lang w:val="es-ES_tradnl"/>
        </w:rPr>
      </w:pPr>
    </w:p>
    <w:p w:rsidRPr="001A6631" w:rsidR="001A6631" w:rsidP="001A6631" w:rsidRDefault="001A6631" w14:paraId="4FA9A780" w14:textId="77777777">
      <w:pPr>
        <w:numPr>
          <w:ilvl w:val="0"/>
          <w:numId w:val="16"/>
        </w:numPr>
        <w:tabs>
          <w:tab w:val="left" w:pos="142"/>
          <w:tab w:val="left" w:pos="284"/>
        </w:tabs>
        <w:snapToGrid w:val="0"/>
        <w:spacing w:after="0" w:line="276" w:lineRule="auto"/>
        <w:ind w:left="357" w:hanging="357"/>
        <w:jc w:val="both"/>
        <w:rPr>
          <w:rFonts w:ascii="Verdana" w:hAnsi="Verdana" w:eastAsia="Century Gothic" w:cs="Century Gothic"/>
          <w:b/>
          <w:bCs/>
          <w:lang w:val="es-ES_tradnl"/>
        </w:rPr>
      </w:pPr>
      <w:r w:rsidRPr="001A6631">
        <w:rPr>
          <w:rFonts w:ascii="Verdana" w:hAnsi="Verdana" w:eastAsia="Century Gothic" w:cs="Century Gothic"/>
          <w:b/>
          <w:bCs/>
          <w:lang w:val="es-ES_tradnl"/>
        </w:rPr>
        <w:t>Doctrina de la Agencia Nacional de Contratación Pública:</w:t>
      </w:r>
    </w:p>
    <w:p w:rsidRPr="001A6631" w:rsidR="001A6631" w:rsidP="001A6631" w:rsidRDefault="001A6631" w14:paraId="3A8BBDC1" w14:textId="77777777">
      <w:pPr>
        <w:widowControl w:val="0"/>
        <w:autoSpaceDE w:val="0"/>
        <w:autoSpaceDN w:val="0"/>
        <w:snapToGrid w:val="0"/>
        <w:spacing w:after="0" w:line="276" w:lineRule="auto"/>
        <w:jc w:val="both"/>
        <w:rPr>
          <w:rFonts w:ascii="Verdana" w:hAnsi="Verdana" w:eastAsia="Calibri" w:cs="Arial"/>
          <w:lang w:val="es-ES_tradnl"/>
        </w:rPr>
      </w:pPr>
    </w:p>
    <w:p w:rsidRPr="001A6631" w:rsidR="001A6631" w:rsidP="001A6631" w:rsidRDefault="001A6631" w14:paraId="1DFB704E" w14:textId="77777777">
      <w:pPr>
        <w:widowControl w:val="0"/>
        <w:autoSpaceDE w:val="0"/>
        <w:autoSpaceDN w:val="0"/>
        <w:spacing w:after="0" w:line="276" w:lineRule="auto"/>
        <w:jc w:val="both"/>
        <w:rPr>
          <w:rFonts w:ascii="Verdana" w:hAnsi="Verdana" w:eastAsia="Times New Roman" w:cs="Arial"/>
          <w:shd w:val="clear" w:color="auto" w:fill="FFFFFF"/>
          <w:lang w:val="es-ES"/>
        </w:rPr>
      </w:pPr>
      <w:r w:rsidRPr="001A6631">
        <w:rPr>
          <w:rFonts w:ascii="Verdana" w:hAnsi="Verdana" w:eastAsia="Calibri" w:cs="Arial"/>
          <w:kern w:val="2"/>
          <w:shd w:val="clear" w:color="auto" w:fill="FFFFFF"/>
          <w:lang w:val="es-ES_tradnl"/>
          <w14:ligatures w14:val="standardContextual"/>
        </w:rPr>
        <w:t xml:space="preserve">Esta Agencia ha estudiado la regla de </w:t>
      </w:r>
      <w:proofErr w:type="spellStart"/>
      <w:r w:rsidRPr="001A6631">
        <w:rPr>
          <w:rFonts w:ascii="Verdana" w:hAnsi="Verdana" w:eastAsia="Calibri" w:cs="Arial"/>
          <w:kern w:val="2"/>
          <w:shd w:val="clear" w:color="auto" w:fill="FFFFFF"/>
          <w:lang w:val="es-ES_tradnl"/>
          <w14:ligatures w14:val="standardContextual"/>
        </w:rPr>
        <w:t>subsanabilidad</w:t>
      </w:r>
      <w:proofErr w:type="spellEnd"/>
      <w:r w:rsidRPr="001A6631">
        <w:rPr>
          <w:rFonts w:ascii="Verdana" w:hAnsi="Verdana" w:eastAsia="Calibri" w:cs="Arial"/>
          <w:kern w:val="2"/>
          <w:shd w:val="clear" w:color="auto" w:fill="FFFFFF"/>
          <w:lang w:val="es-ES_tradnl"/>
          <w14:ligatures w14:val="standardContextual"/>
        </w:rPr>
        <w:t xml:space="preserve"> en los procesos de selección, en los conceptos </w:t>
      </w:r>
      <w:r w:rsidRPr="001A6631">
        <w:rPr>
          <w:rFonts w:ascii="Verdana" w:hAnsi="Verdana" w:eastAsia="Calibri" w:cs="Arial"/>
          <w:kern w:val="2"/>
          <w:lang w:val="es-ES"/>
          <w14:ligatures w14:val="standardContextual"/>
        </w:rPr>
        <w:t>4201913000007643 del 26 de diciembre de 2019, C-343 del 17 de junio de 2020, C-518 del 9 de septiembre de 2020, C-614 del 5 de octubre de 2022, C-882 del 21 de diciembre de 2022, C-172 del 6 de junio de 2023, C-120 del 7 de marzo de 2025, C-1210 del 8 de octubre de 2025, C-1610 del 4 de diciembre de 2025 y C-153 del 13 de marzo de 2026.</w:t>
      </w:r>
      <w:r w:rsidRPr="001A6631">
        <w:rPr>
          <w:rFonts w:ascii="Verdana" w:hAnsi="Verdana" w:eastAsia="Calibri" w:cs="Arial"/>
          <w:kern w:val="2"/>
          <w:shd w:val="clear" w:color="auto" w:fill="FFFFFF"/>
          <w:lang w:val="es-ES_tradnl"/>
          <w14:ligatures w14:val="standardContextual"/>
        </w:rPr>
        <w:t xml:space="preserve"> </w:t>
      </w:r>
      <w:r w:rsidRPr="001A6631">
        <w:rPr>
          <w:rFonts w:ascii="Verdana" w:hAnsi="Verdana" w:eastAsia="Calibri" w:cs="Arial"/>
          <w:color w:val="000000"/>
          <w:shd w:val="clear" w:color="auto" w:fill="FFFFFF"/>
        </w:rPr>
        <w:t xml:space="preserve">Estos y otros conceptos se encuentran disponibles para consulta en el Sistema de Relatoría de la Agencia, en el cual también podrá encontrar jurisprudencia del Consejo de Estado, laudos arbitrales y la normativa de la contratación concordada con la doctrina de la Subdirección de Gestión Contractual. Acceda a través del siguiente enlace: </w:t>
      </w:r>
      <w:hyperlink w:history="1" r:id="rId12">
        <w:r w:rsidRPr="001A6631">
          <w:rPr>
            <w:rFonts w:ascii="Verdana" w:hAnsi="Verdana" w:eastAsia="Aptos" w:cs="Arial"/>
            <w:color w:val="0000FF"/>
            <w:kern w:val="2"/>
            <w:u w:val="single"/>
            <w:shd w:val="clear" w:color="auto" w:fill="FFFFFF"/>
            <w14:ligatures w14:val="standardContextual"/>
          </w:rPr>
          <w:t>https://relatoria.colombiacompra.gov.co/busqueda/conceptos</w:t>
        </w:r>
      </w:hyperlink>
      <w:r w:rsidRPr="001A6631">
        <w:rPr>
          <w:rFonts w:ascii="Verdana" w:hAnsi="Verdana" w:eastAsia="Aptos" w:cs="Arial"/>
          <w:kern w:val="2"/>
          <w:shd w:val="clear" w:color="auto" w:fill="FFFFFF"/>
          <w14:ligatures w14:val="standardContextual"/>
        </w:rPr>
        <w:t xml:space="preserve">. </w:t>
      </w:r>
      <w:r w:rsidRPr="001A6631">
        <w:rPr>
          <w:rFonts w:ascii="Verdana" w:hAnsi="Verdana" w:eastAsia="Aptos" w:cs="Arial"/>
          <w:color w:val="FF0000"/>
          <w:kern w:val="2"/>
          <w:shd w:val="clear" w:color="auto" w:fill="FFFFFF"/>
          <w:lang w:val="es-ES"/>
          <w14:ligatures w14:val="standardContextual"/>
        </w:rPr>
        <w:t xml:space="preserve">  </w:t>
      </w:r>
    </w:p>
    <w:p w:rsidRPr="001A6631" w:rsidR="001A6631" w:rsidP="001A6631" w:rsidRDefault="001A6631" w14:paraId="521015FC" w14:textId="77777777">
      <w:pPr>
        <w:spacing w:after="0" w:line="276" w:lineRule="auto"/>
        <w:jc w:val="both"/>
        <w:rPr>
          <w:rFonts w:ascii="Verdana" w:hAnsi="Verdana" w:eastAsia="Calibri" w:cs="Arial"/>
          <w:color w:val="000000"/>
          <w:shd w:val="clear" w:color="auto" w:fill="FFFFFF"/>
        </w:rPr>
      </w:pPr>
    </w:p>
    <w:p w:rsidRPr="001A6631" w:rsidR="001A6631" w:rsidP="001A6631" w:rsidRDefault="001A6631" w14:paraId="4E28407C" w14:textId="77777777">
      <w:pPr>
        <w:spacing w:after="0" w:line="276" w:lineRule="auto"/>
        <w:jc w:val="both"/>
        <w:rPr>
          <w:rFonts w:ascii="Verdana" w:hAnsi="Verdana" w:eastAsia="Times New Roman" w:cs="Arial"/>
          <w:lang w:eastAsia="es-MX"/>
        </w:rPr>
      </w:pPr>
      <w:r w:rsidRPr="001A6631">
        <w:rPr>
          <w:rFonts w:ascii="Verdana" w:hAnsi="Verdana" w:eastAsia="Times New Roman" w:cs="Arial"/>
          <w:lang w:eastAsia="es-MX"/>
        </w:rPr>
        <w:t xml:space="preserve">La sostenibilidad no es una opción, es una obligación. Por ello, la Agencia Nacional de Contratación Pública –Colombia Compra Eficiente– le invita a realizar el </w:t>
      </w:r>
      <w:r w:rsidRPr="001A6631">
        <w:rPr>
          <w:rFonts w:ascii="Verdana" w:hAnsi="Verdana" w:eastAsia="Times New Roman" w:cs="Arial"/>
          <w:b/>
          <w:bCs/>
          <w:lang w:eastAsia="es-MX"/>
        </w:rPr>
        <w:t>Curso de Contratación Pública Sostenible y Socialmente Responsable</w:t>
      </w:r>
      <w:r w:rsidRPr="001A6631">
        <w:rPr>
          <w:rFonts w:ascii="Verdana" w:hAnsi="Verdana" w:eastAsia="Times New Roman" w:cs="Arial"/>
          <w:lang w:eastAsia="es-MX"/>
        </w:rPr>
        <w:t>, una herramienta clave para fortalecer las capacidades de todos los compradores públicos, proveedores, servidores públicos y para generar mayor valor público. Acceda al curso y aprenda como implementar criterios sociales y ambientales en las diferentes etapas del proceso de contratación:</w:t>
      </w:r>
      <w:r w:rsidRPr="001A6631">
        <w:rPr>
          <w:rFonts w:ascii="Verdana" w:hAnsi="Verdana" w:eastAsia="Times New Roman" w:cs="Arial"/>
          <w:lang w:eastAsia="es-MX"/>
        </w:rPr>
        <w:br/>
      </w:r>
      <w:hyperlink w:tgtFrame="_new" w:history="1" r:id="rId13">
        <w:r w:rsidRPr="001A6631">
          <w:rPr>
            <w:rFonts w:ascii="Verdana" w:hAnsi="Verdana" w:eastAsia="Times New Roman" w:cs="Arial"/>
            <w:color w:val="0000FF"/>
            <w:u w:val="single"/>
            <w:lang w:eastAsia="es-MX"/>
          </w:rPr>
          <w:t>https://formacionvirtual.colombiacompra.gov.co/mod/page/view.php?id=3718</w:t>
        </w:r>
      </w:hyperlink>
    </w:p>
    <w:p w:rsidRPr="001A6631" w:rsidR="001A6631" w:rsidP="001A6631" w:rsidRDefault="001A6631" w14:paraId="793EAA03" w14:textId="77777777">
      <w:pPr>
        <w:spacing w:after="0" w:line="276" w:lineRule="auto"/>
        <w:jc w:val="both"/>
        <w:rPr>
          <w:rFonts w:ascii="Verdana" w:hAnsi="Verdana" w:eastAsia="Times New Roman" w:cs="Arial"/>
          <w:lang w:eastAsia="es-MX"/>
        </w:rPr>
      </w:pPr>
    </w:p>
    <w:p w:rsidRPr="001A6631" w:rsidR="001A6631" w:rsidP="001A6631" w:rsidRDefault="001A6631" w14:paraId="740D348A" w14:textId="77777777">
      <w:pPr>
        <w:spacing w:after="0" w:line="276" w:lineRule="auto"/>
        <w:jc w:val="both"/>
        <w:rPr>
          <w:rFonts w:ascii="Verdana" w:hAnsi="Verdana" w:eastAsia="Times New Roman" w:cs="Arial"/>
          <w:lang w:eastAsia="es-MX"/>
        </w:rPr>
      </w:pPr>
      <w:r w:rsidRPr="001A6631">
        <w:rPr>
          <w:rFonts w:ascii="Verdana" w:hAnsi="Verdana" w:eastAsia="Times New Roman" w:cs="Arial"/>
          <w:lang w:eastAsia="es-MX"/>
        </w:rPr>
        <w:t xml:space="preserve">De otro lado, le contamos que esta Agencia ha da un paso decisivo en la estandarización y modernización del </w:t>
      </w:r>
      <w:r w:rsidRPr="001A6631">
        <w:rPr>
          <w:rFonts w:ascii="Verdana" w:hAnsi="Verdana" w:eastAsia="Times New Roman" w:cs="Arial"/>
          <w:b/>
          <w:bCs/>
          <w:lang w:eastAsia="es-MX"/>
        </w:rPr>
        <w:t>sector  social</w:t>
      </w:r>
      <w:r w:rsidRPr="001A6631">
        <w:rPr>
          <w:rFonts w:ascii="Verdana" w:hAnsi="Verdana" w:eastAsia="Times New Roman" w:cs="Arial"/>
          <w:lang w:eastAsia="es-MX"/>
        </w:rPr>
        <w:t xml:space="preserve"> con la expedición de las </w:t>
      </w:r>
      <w:r w:rsidRPr="001A6631">
        <w:rPr>
          <w:rFonts w:ascii="Verdana" w:hAnsi="Verdana" w:eastAsia="Times New Roman" w:cs="Arial"/>
          <w:b/>
          <w:bCs/>
          <w:lang w:eastAsia="es-MX"/>
        </w:rPr>
        <w:t>Resoluciones 539, 540, 541, 952 y 953 de 2025</w:t>
      </w:r>
      <w:r w:rsidRPr="001A6631">
        <w:rPr>
          <w:rFonts w:ascii="Verdana" w:hAnsi="Verdana" w:eastAsia="Times New Roman" w:cs="Arial"/>
          <w:lang w:eastAsia="es-MX"/>
        </w:rPr>
        <w:t xml:space="preserve">, </w:t>
      </w:r>
      <w:r w:rsidRPr="001A6631">
        <w:rPr>
          <w:rFonts w:ascii="Verdana" w:hAnsi="Verdana" w:eastAsia="Times New Roman" w:cs="Arial"/>
          <w:b/>
          <w:bCs/>
          <w:lang w:eastAsia="es-MX"/>
        </w:rPr>
        <w:t xml:space="preserve">mediante las cuales </w:t>
      </w:r>
      <w:r w:rsidRPr="001A6631">
        <w:rPr>
          <w:rFonts w:ascii="Verdana" w:hAnsi="Verdana" w:eastAsia="Times New Roman" w:cs="Arial"/>
          <w:b/>
          <w:bCs/>
          <w:lang w:eastAsia="es-MX"/>
        </w:rPr>
        <w:lastRenderedPageBreak/>
        <w:t>adoptó Documentos Tipo</w:t>
      </w:r>
      <w:r w:rsidRPr="001A6631">
        <w:rPr>
          <w:rFonts w:ascii="Verdana" w:hAnsi="Verdana" w:eastAsia="Times New Roman" w:cs="Arial"/>
          <w:lang w:eastAsia="es-MX"/>
        </w:rPr>
        <w:t xml:space="preserve"> para las modalidades de selección de</w:t>
      </w:r>
      <w:r w:rsidRPr="001A6631">
        <w:rPr>
          <w:rFonts w:ascii="Verdana" w:hAnsi="Verdana" w:eastAsia="Times New Roman" w:cs="Arial"/>
          <w:b/>
          <w:bCs/>
          <w:lang w:eastAsia="es-MX"/>
        </w:rPr>
        <w:t xml:space="preserve"> licitación pública (versión 2), selección abreviada de menor cuantía, mínima cuantía, consultoría e interventoría</w:t>
      </w:r>
      <w:r w:rsidRPr="001A6631">
        <w:rPr>
          <w:rFonts w:ascii="Verdana" w:hAnsi="Verdana" w:eastAsia="Times New Roman" w:cs="Arial"/>
          <w:lang w:eastAsia="es-MX"/>
        </w:rPr>
        <w:t xml:space="preserve">, promoviendo procesos más transparentes, eficientes  competitivos y sostenibles en sectores estratégicos como educación, salud, cultura, recreación, deporte, institucional y vivienda. Consulta y descarga los documentos aquí: </w:t>
      </w:r>
      <w:hyperlink w:tgtFrame="_new" w:history="1" r:id="rId14">
        <w:r w:rsidRPr="001A6631">
          <w:rPr>
            <w:rFonts w:ascii="Verdana" w:hAnsi="Verdana" w:eastAsia="Times New Roman" w:cs="Arial"/>
            <w:color w:val="0000FF"/>
            <w:u w:val="single"/>
            <w:lang w:eastAsia="es-MX"/>
          </w:rPr>
          <w:t>https://www.colombiacompra.gov.co/normativa-y-relatoria/documentos-tipo</w:t>
        </w:r>
      </w:hyperlink>
    </w:p>
    <w:p w:rsidRPr="001A6631" w:rsidR="001A6631" w:rsidP="001A6631" w:rsidRDefault="001A6631" w14:paraId="39A59149" w14:textId="77777777">
      <w:pPr>
        <w:spacing w:after="0" w:line="276" w:lineRule="auto"/>
        <w:jc w:val="both"/>
        <w:rPr>
          <w:rFonts w:ascii="Verdana" w:hAnsi="Verdana" w:eastAsia="Times New Roman" w:cs="Arial"/>
          <w:lang w:eastAsia="es-MX"/>
        </w:rPr>
      </w:pPr>
    </w:p>
    <w:p w:rsidRPr="001A6631" w:rsidR="001A6631" w:rsidP="001A6631" w:rsidRDefault="001A6631" w14:paraId="1FC380CD" w14:textId="77777777">
      <w:pPr>
        <w:spacing w:after="0" w:line="276" w:lineRule="auto"/>
        <w:jc w:val="both"/>
        <w:rPr>
          <w:rFonts w:ascii="Verdana" w:hAnsi="Verdana" w:eastAsia="Times New Roman" w:cs="Arial"/>
          <w:lang w:eastAsia="es-MX"/>
        </w:rPr>
      </w:pPr>
      <w:r w:rsidRPr="001A6631">
        <w:rPr>
          <w:rFonts w:ascii="Verdana" w:hAnsi="Verdana" w:eastAsia="Times New Roman" w:cs="Arial"/>
          <w:lang w:eastAsia="es-MX"/>
        </w:rPr>
        <w:t xml:space="preserve">Si quiere conocer más sobre la aplicación de Documentos Tipo puedes consultar la última versión de la </w:t>
      </w:r>
      <w:r w:rsidRPr="001A6631">
        <w:rPr>
          <w:rFonts w:ascii="Verdana" w:hAnsi="Verdana" w:eastAsia="Times New Roman" w:cs="Arial"/>
          <w:b/>
          <w:bCs/>
          <w:lang w:eastAsia="es-MX"/>
        </w:rPr>
        <w:t>Guía para la comprensión e implementación de los Documentos Tipo de obra pública de infraestructura de transporte</w:t>
      </w:r>
      <w:r w:rsidRPr="001A6631">
        <w:rPr>
          <w:rFonts w:ascii="Verdana" w:hAnsi="Verdana" w:eastAsia="Times New Roman" w:cs="Arial"/>
          <w:lang w:eastAsia="es-MX"/>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Consulte la guía aquí:</w:t>
      </w:r>
      <w:r w:rsidRPr="001A6631">
        <w:rPr>
          <w:rFonts w:ascii="Verdana" w:hAnsi="Verdana" w:eastAsia="Times New Roman" w:cs="Arial"/>
          <w:lang w:eastAsia="es-MX"/>
        </w:rPr>
        <w:br/>
      </w:r>
      <w:hyperlink w:tgtFrame="_new" w:history="1" r:id="rId15">
        <w:r w:rsidRPr="001A6631">
          <w:rPr>
            <w:rFonts w:ascii="Verdana" w:hAnsi="Verdana" w:eastAsia="Times New Roman" w:cs="Arial"/>
            <w:color w:val="0000FF"/>
            <w:u w:val="single"/>
            <w:lang w:eastAsia="es-MX"/>
          </w:rPr>
          <w:t>https://www.colombiacompra.gov.co/archivos/manual/guia-para-la-comprension-e-implementacion-de-los-documentos-tipo-de-obra-publica-de-infraestructura-de-transporte-bajo-las-diferentes-modalidades-de-contratacion-vigentes</w:t>
        </w:r>
      </w:hyperlink>
    </w:p>
    <w:p w:rsidRPr="001A6631" w:rsidR="001A6631" w:rsidP="001A6631" w:rsidRDefault="001A6631" w14:paraId="2A3105CD" w14:textId="77777777">
      <w:pPr>
        <w:spacing w:after="0" w:line="276" w:lineRule="auto"/>
        <w:jc w:val="both"/>
        <w:rPr>
          <w:rFonts w:ascii="Verdana" w:hAnsi="Verdana" w:eastAsia="Aptos" w:cs="Times New Roman"/>
          <w:color w:val="212121"/>
          <w:lang w:eastAsia="es-MX"/>
        </w:rPr>
      </w:pPr>
    </w:p>
    <w:p w:rsidRPr="001A6631" w:rsidR="001A6631" w:rsidP="001A6631" w:rsidRDefault="001A6631" w14:paraId="35B84E55" w14:textId="77777777">
      <w:pPr>
        <w:spacing w:after="0" w:line="276" w:lineRule="auto"/>
        <w:jc w:val="both"/>
        <w:rPr>
          <w:rFonts w:ascii="Verdana" w:hAnsi="Verdana" w:eastAsia="Calibri" w:cs="Times New Roman"/>
          <w:lang w:eastAsia="es-MX"/>
        </w:rPr>
      </w:pPr>
      <w:r w:rsidRPr="001A6631">
        <w:rPr>
          <w:rFonts w:ascii="Verdana" w:hAnsi="Verdana" w:eastAsia="Aptos" w:cs="Times New Roman"/>
          <w:lang w:eastAsia="es-MX"/>
        </w:rPr>
        <w:t xml:space="preserve">Por último, le invitamos a seguirnos en las redes sociales en las cuales se difunde información institucional: </w:t>
      </w:r>
    </w:p>
    <w:p w:rsidRPr="001A6631" w:rsidR="001A6631" w:rsidP="001A6631" w:rsidRDefault="001A6631" w14:paraId="7AA1E9F1" w14:textId="77777777">
      <w:pPr>
        <w:spacing w:after="0" w:line="276" w:lineRule="auto"/>
        <w:jc w:val="both"/>
        <w:rPr>
          <w:rFonts w:ascii="Verdana" w:hAnsi="Verdana" w:eastAsia="Aptos" w:cs="Times New Roman"/>
          <w:lang w:eastAsia="es-MX"/>
        </w:rPr>
      </w:pPr>
    </w:p>
    <w:p w:rsidRPr="001A6631" w:rsidR="001A6631" w:rsidP="001A6631" w:rsidRDefault="001A6631" w14:paraId="3098C54D" w14:textId="77777777">
      <w:pPr>
        <w:spacing w:after="0" w:line="276" w:lineRule="auto"/>
        <w:jc w:val="both"/>
        <w:rPr>
          <w:rFonts w:ascii="Verdana" w:hAnsi="Verdana" w:eastAsia="Aptos" w:cs="Times New Roman"/>
          <w:lang w:eastAsia="es-MX"/>
        </w:rPr>
      </w:pPr>
      <w:r w:rsidRPr="001A6631">
        <w:rPr>
          <w:rFonts w:ascii="Verdana" w:hAnsi="Verdana" w:eastAsia="Aptos" w:cs="Times New Roman"/>
          <w:lang w:eastAsia="es-MX"/>
        </w:rPr>
        <w:t xml:space="preserve">X: </w:t>
      </w:r>
      <w:r w:rsidRPr="001A6631">
        <w:rPr>
          <w:rFonts w:ascii="Verdana" w:hAnsi="Verdana" w:eastAsia="Calibri" w:cs="Times New Roman"/>
          <w:color w:val="156082"/>
          <w:u w:val="single"/>
          <w:lang w:eastAsia="es-MX"/>
        </w:rPr>
        <w:t>@colombiacompra</w:t>
      </w:r>
      <w:r w:rsidRPr="001A6631">
        <w:rPr>
          <w:rFonts w:ascii="Verdana" w:hAnsi="Verdana" w:eastAsia="Calibri" w:cs="Times New Roman"/>
          <w:color w:val="156082"/>
          <w:lang w:eastAsia="es-MX"/>
        </w:rPr>
        <w:t xml:space="preserve"> </w:t>
      </w:r>
    </w:p>
    <w:p w:rsidRPr="001A6631" w:rsidR="001A6631" w:rsidP="001A6631" w:rsidRDefault="001A6631" w14:paraId="6FD5F376" w14:textId="77777777">
      <w:pPr>
        <w:spacing w:after="0" w:line="276" w:lineRule="auto"/>
        <w:jc w:val="both"/>
        <w:rPr>
          <w:rFonts w:ascii="Verdana" w:hAnsi="Verdana" w:eastAsia="Aptos" w:cs="Times New Roman"/>
          <w:lang w:eastAsia="es-MX"/>
        </w:rPr>
      </w:pPr>
      <w:r w:rsidRPr="001A6631">
        <w:rPr>
          <w:rFonts w:ascii="Verdana" w:hAnsi="Verdana" w:eastAsia="Aptos" w:cs="Times New Roman"/>
          <w:lang w:eastAsia="es-MX"/>
        </w:rPr>
        <w:t xml:space="preserve">Facebook: </w:t>
      </w:r>
      <w:proofErr w:type="spellStart"/>
      <w:r w:rsidRPr="001A6631">
        <w:rPr>
          <w:rFonts w:ascii="Verdana" w:hAnsi="Verdana" w:eastAsia="Calibri" w:cs="Times New Roman"/>
          <w:color w:val="156082"/>
          <w:u w:val="single"/>
          <w:lang w:eastAsia="es-MX"/>
        </w:rPr>
        <w:t>ColombiaCompraEficiente</w:t>
      </w:r>
      <w:proofErr w:type="spellEnd"/>
    </w:p>
    <w:p w:rsidRPr="001A6631" w:rsidR="001A6631" w:rsidP="001A6631" w:rsidRDefault="001A6631" w14:paraId="7DE9E38F" w14:textId="77777777">
      <w:pPr>
        <w:spacing w:after="0" w:line="276" w:lineRule="auto"/>
        <w:jc w:val="both"/>
        <w:rPr>
          <w:rFonts w:ascii="Verdana" w:hAnsi="Verdana" w:eastAsia="Aptos" w:cs="Times New Roman"/>
          <w:lang w:eastAsia="es-MX"/>
        </w:rPr>
      </w:pPr>
      <w:r w:rsidRPr="001A6631">
        <w:rPr>
          <w:rFonts w:ascii="Verdana" w:hAnsi="Verdana" w:eastAsia="Aptos" w:cs="Times New Roman"/>
          <w:lang w:eastAsia="es-MX"/>
        </w:rPr>
        <w:t xml:space="preserve">LinkedIn: </w:t>
      </w:r>
      <w:r w:rsidRPr="001A6631">
        <w:rPr>
          <w:rFonts w:ascii="Verdana" w:hAnsi="Verdana" w:eastAsia="Calibri" w:cs="Times New Roman"/>
          <w:color w:val="156082"/>
          <w:u w:val="single"/>
          <w:lang w:eastAsia="es-MX"/>
        </w:rPr>
        <w:t>Agencia Nacional de Contratación Pública - Colombia Compra Eficiente</w:t>
      </w:r>
      <w:r w:rsidRPr="001A6631">
        <w:rPr>
          <w:rFonts w:ascii="Verdana" w:hAnsi="Verdana" w:eastAsia="Calibri" w:cs="Times New Roman"/>
          <w:color w:val="156082"/>
          <w:lang w:eastAsia="es-MX"/>
        </w:rPr>
        <w:t xml:space="preserve"> </w:t>
      </w:r>
      <w:r w:rsidRPr="001A6631">
        <w:rPr>
          <w:rFonts w:ascii="Verdana" w:hAnsi="Verdana" w:eastAsia="Aptos" w:cs="Times New Roman"/>
          <w:lang w:eastAsia="es-MX"/>
        </w:rPr>
        <w:t xml:space="preserve">Instagram: </w:t>
      </w:r>
      <w:r w:rsidRPr="001A6631">
        <w:rPr>
          <w:rFonts w:ascii="Verdana" w:hAnsi="Verdana" w:eastAsia="Calibri" w:cs="Times New Roman"/>
          <w:color w:val="156082"/>
          <w:u w:val="single"/>
          <w:lang w:eastAsia="es-MX"/>
        </w:rPr>
        <w:t>@colombiacompraeficiente_cce</w:t>
      </w:r>
    </w:p>
    <w:p w:rsidRPr="001A6631" w:rsidR="001A6631" w:rsidP="001A6631" w:rsidRDefault="001A6631" w14:paraId="10CBE228" w14:textId="77777777">
      <w:pPr>
        <w:widowControl w:val="0"/>
        <w:autoSpaceDE w:val="0"/>
        <w:autoSpaceDN w:val="0"/>
        <w:spacing w:after="0" w:line="276" w:lineRule="auto"/>
        <w:jc w:val="both"/>
        <w:rPr>
          <w:rFonts w:ascii="Verdana" w:hAnsi="Verdana" w:eastAsia="Calibri" w:cs="Arial"/>
          <w:kern w:val="2"/>
          <w:lang w:val="es-ES_tradnl"/>
          <w14:ligatures w14:val="standardContextual"/>
        </w:rPr>
      </w:pPr>
    </w:p>
    <w:p w:rsidRPr="001A6631" w:rsidR="001A6631" w:rsidP="001A6631" w:rsidRDefault="001A6631" w14:paraId="78AFE016" w14:textId="77777777">
      <w:pPr>
        <w:widowControl w:val="0"/>
        <w:autoSpaceDE w:val="0"/>
        <w:autoSpaceDN w:val="0"/>
        <w:spacing w:after="0" w:line="276" w:lineRule="auto"/>
        <w:jc w:val="both"/>
        <w:rPr>
          <w:rFonts w:ascii="Verdana" w:hAnsi="Verdana" w:eastAsia="Calibri" w:cs="Arial"/>
          <w:kern w:val="2"/>
          <w:lang w:val="es-ES_tradnl"/>
          <w14:ligatures w14:val="standardContextual"/>
        </w:rPr>
      </w:pPr>
      <w:r w:rsidRPr="001A6631">
        <w:rPr>
          <w:rFonts w:ascii="Verdana" w:hAnsi="Verdana" w:eastAsia="Calibri" w:cs="Arial"/>
          <w:kern w:val="2"/>
          <w:lang w:val="es-ES_tradnl"/>
          <w14:ligatures w14:val="standardContextua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rsidRPr="001A6631" w:rsidR="001A6631" w:rsidP="001A6631" w:rsidRDefault="001A6631" w14:paraId="0E3497BE" w14:textId="77777777">
      <w:pPr>
        <w:widowControl w:val="0"/>
        <w:autoSpaceDE w:val="0"/>
        <w:autoSpaceDN w:val="0"/>
        <w:spacing w:after="0" w:line="276" w:lineRule="auto"/>
        <w:jc w:val="both"/>
        <w:rPr>
          <w:rFonts w:ascii="Verdana" w:hAnsi="Verdana" w:eastAsia="Calibri" w:cs="Arial"/>
          <w:lang w:val="es-ES_tradnl"/>
        </w:rPr>
      </w:pPr>
    </w:p>
    <w:p w:rsidRPr="001A6631" w:rsidR="001A6631" w:rsidP="001A6631" w:rsidRDefault="001A6631" w14:paraId="12AE0F4B" w14:textId="77777777">
      <w:pPr>
        <w:spacing w:after="0" w:line="240" w:lineRule="auto"/>
        <w:rPr>
          <w:rFonts w:ascii="Verdana" w:hAnsi="Verdana" w:eastAsia="Calibri" w:cs="Arial"/>
          <w:lang w:val="es-ES_tradnl" w:eastAsia="es-CO"/>
        </w:rPr>
      </w:pPr>
      <w:r w:rsidRPr="001A6631">
        <w:rPr>
          <w:rFonts w:ascii="Verdana" w:hAnsi="Verdana" w:eastAsia="Times New Roman" w:cs="Arial"/>
          <w:lang w:val="es-ES_tradnl" w:eastAsia="es-CO"/>
        </w:rPr>
        <w:t>Atentamente,</w:t>
      </w:r>
      <w:r w:rsidRPr="001A6631">
        <w:rPr>
          <w:rFonts w:ascii="Verdana" w:hAnsi="Verdana" w:eastAsia="Calibri" w:cs="Arial"/>
          <w:lang w:val="es-ES_tradnl" w:eastAsia="es-CO"/>
        </w:rPr>
        <w:t xml:space="preserve"> </w:t>
      </w:r>
    </w:p>
    <w:p w:rsidRPr="001A6631" w:rsidR="001A6631" w:rsidP="001A6631" w:rsidRDefault="0014003A" w14:paraId="3A8D7DB9" w14:textId="0264D055">
      <w:pPr>
        <w:spacing w:line="276" w:lineRule="auto"/>
        <w:jc w:val="center"/>
        <w:rPr>
          <w:rFonts w:ascii="Verdana" w:hAnsi="Verdana" w:eastAsia="Calibri" w:cs="Arial"/>
          <w:lang w:val="es-ES_tradnl" w:eastAsia="es-CO"/>
        </w:rPr>
      </w:pPr>
      <w:r>
        <w:rPr>
          <w:noProof/>
        </w:rPr>
        <w:lastRenderedPageBreak/>
        <w:drawing>
          <wp:inline distT="0" distB="0" distL="0" distR="0" wp14:anchorId="70991149" wp14:editId="3B391781">
            <wp:extent cx="3016502" cy="1119763"/>
            <wp:effectExtent l="0" t="0" r="0" b="0"/>
            <wp:docPr id="864465061" name="Imagen 864465061" descr="Texto, Cart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Texto, Carta&#10;&#10;El contenido generado por IA puede ser incorrecto."/>
                    <pic:cNvPicPr/>
                  </pic:nvPicPr>
                  <pic:blipFill>
                    <a:blip r:embed="rId16"/>
                    <a:stretch>
                      <a:fillRect/>
                    </a:stretch>
                  </pic:blipFill>
                  <pic:spPr>
                    <a:xfrm>
                      <a:off x="0" y="0"/>
                      <a:ext cx="3043275" cy="1129701"/>
                    </a:xfrm>
                    <a:prstGeom prst="rect">
                      <a:avLst/>
                    </a:prstGeom>
                  </pic:spPr>
                </pic:pic>
              </a:graphicData>
            </a:graphic>
          </wp:inline>
        </w:drawing>
      </w:r>
    </w:p>
    <w:tbl>
      <w:tblPr>
        <w:tblStyle w:val="Tablaconcuadrcula"/>
        <w:tblW w:w="652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893"/>
        <w:gridCol w:w="5628"/>
      </w:tblGrid>
      <w:tr w:rsidRPr="001A6631" w:rsidR="001A6631" w:rsidTr="00590674" w14:paraId="788614C5" w14:textId="77777777">
        <w:trPr>
          <w:trHeight w:val="315"/>
        </w:trPr>
        <w:tc>
          <w:tcPr>
            <w:tcW w:w="893" w:type="dxa"/>
            <w:vAlign w:val="center"/>
            <w:hideMark/>
          </w:tcPr>
          <w:p w:rsidRPr="001A6631" w:rsidR="001A6631" w:rsidP="001A6631" w:rsidRDefault="001A6631" w14:paraId="611CF500" w14:textId="77777777">
            <w:pPr>
              <w:rPr>
                <w:rFonts w:ascii="Verdana" w:hAnsi="Verdana" w:eastAsia="Calibri" w:cs="Arial"/>
                <w:sz w:val="16"/>
                <w:szCs w:val="16"/>
                <w:lang w:val="es-ES_tradnl" w:eastAsia="es-ES"/>
              </w:rPr>
            </w:pPr>
            <w:r w:rsidRPr="001A6631">
              <w:rPr>
                <w:rFonts w:ascii="Verdana" w:hAnsi="Verdana" w:eastAsia="Calibri" w:cs="Arial"/>
                <w:sz w:val="16"/>
                <w:szCs w:val="16"/>
                <w:lang w:val="es-ES_tradnl" w:eastAsia="es-ES"/>
              </w:rPr>
              <w:t>Elaboró:</w:t>
            </w:r>
          </w:p>
        </w:tc>
        <w:tc>
          <w:tcPr>
            <w:tcW w:w="5628" w:type="dxa"/>
            <w:tcBorders>
              <w:top w:val="nil"/>
              <w:left w:val="nil"/>
              <w:bottom w:val="dotted" w:color="7F7F7F" w:sz="4" w:space="0"/>
              <w:right w:val="nil"/>
            </w:tcBorders>
            <w:vAlign w:val="center"/>
            <w:hideMark/>
          </w:tcPr>
          <w:p w:rsidRPr="001A6631" w:rsidR="001A6631" w:rsidP="001A6631" w:rsidRDefault="001A6631" w14:paraId="2EEFF630" w14:textId="77777777">
            <w:pPr>
              <w:rPr>
                <w:rFonts w:ascii="Verdana" w:hAnsi="Verdana" w:eastAsia="Arial" w:cs="Arial"/>
                <w:sz w:val="16"/>
                <w:szCs w:val="16"/>
                <w:lang w:val="es-ES"/>
              </w:rPr>
            </w:pPr>
            <w:r w:rsidRPr="001A6631">
              <w:rPr>
                <w:rFonts w:ascii="Verdana" w:hAnsi="Verdana" w:eastAsia="Arial" w:cs="Arial"/>
                <w:sz w:val="16"/>
                <w:szCs w:val="16"/>
                <w:lang w:val="es-ES"/>
              </w:rPr>
              <w:t>Kevin Arlid Herrera Santa</w:t>
            </w:r>
          </w:p>
          <w:p w:rsidRPr="001A6631" w:rsidR="001A6631" w:rsidP="001A6631" w:rsidRDefault="001A6631" w14:paraId="46C46C93" w14:textId="77777777">
            <w:pPr>
              <w:rPr>
                <w:rFonts w:ascii="Verdana" w:hAnsi="Verdana" w:eastAsia="Arial" w:cs="Arial"/>
                <w:sz w:val="16"/>
                <w:szCs w:val="16"/>
                <w:lang w:val="es-ES_tradnl"/>
              </w:rPr>
            </w:pPr>
            <w:r w:rsidRPr="001A6631">
              <w:rPr>
                <w:rFonts w:ascii="Verdana" w:hAnsi="Verdana" w:eastAsia="Arial" w:cs="Arial"/>
                <w:sz w:val="16"/>
                <w:szCs w:val="16"/>
                <w:lang w:val="es-ES_tradnl"/>
              </w:rPr>
              <w:t xml:space="preserve">Contratista de la Subdirección de Gestión Contractual </w:t>
            </w:r>
          </w:p>
        </w:tc>
      </w:tr>
      <w:tr w:rsidRPr="001A6631" w:rsidR="001A6631" w:rsidTr="00590674" w14:paraId="139D7983" w14:textId="77777777">
        <w:trPr>
          <w:trHeight w:val="330"/>
        </w:trPr>
        <w:tc>
          <w:tcPr>
            <w:tcW w:w="893" w:type="dxa"/>
            <w:vAlign w:val="center"/>
            <w:hideMark/>
          </w:tcPr>
          <w:p w:rsidRPr="001A6631" w:rsidR="001A6631" w:rsidP="001A6631" w:rsidRDefault="001A6631" w14:paraId="4AD7D3CF" w14:textId="77777777">
            <w:pPr>
              <w:rPr>
                <w:rFonts w:ascii="Verdana" w:hAnsi="Verdana" w:eastAsia="Calibri" w:cs="Arial"/>
                <w:sz w:val="16"/>
                <w:szCs w:val="16"/>
                <w:lang w:val="es-ES_tradnl" w:eastAsia="es-ES"/>
              </w:rPr>
            </w:pPr>
            <w:r w:rsidRPr="001A6631">
              <w:rPr>
                <w:rFonts w:ascii="Verdana" w:hAnsi="Verdana" w:eastAsia="Calibri" w:cs="Arial"/>
                <w:sz w:val="16"/>
                <w:szCs w:val="16"/>
                <w:lang w:val="es-ES_tradnl" w:eastAsia="es-ES"/>
              </w:rPr>
              <w:t>Revisó:</w:t>
            </w:r>
          </w:p>
        </w:tc>
        <w:tc>
          <w:tcPr>
            <w:tcW w:w="5628" w:type="dxa"/>
            <w:tcBorders>
              <w:top w:val="dotted" w:color="7F7F7F" w:sz="4" w:space="0"/>
              <w:left w:val="nil"/>
              <w:bottom w:val="dotted" w:color="7F7F7F" w:sz="4" w:space="0"/>
              <w:right w:val="nil"/>
            </w:tcBorders>
            <w:vAlign w:val="center"/>
            <w:hideMark/>
          </w:tcPr>
          <w:p w:rsidRPr="001A6631" w:rsidR="001A6631" w:rsidP="001A6631" w:rsidRDefault="001A6631" w14:paraId="54E58AFC" w14:textId="77777777">
            <w:pPr>
              <w:textAlignment w:val="baseline"/>
              <w:rPr>
                <w:rFonts w:ascii="Verdana" w:hAnsi="Verdana" w:eastAsia="Times New Roman" w:cs="Segoe UI"/>
                <w:sz w:val="16"/>
                <w:szCs w:val="16"/>
                <w:lang w:val="es-ES" w:eastAsia="es-ES"/>
              </w:rPr>
            </w:pPr>
            <w:r w:rsidRPr="001A6631">
              <w:rPr>
                <w:rFonts w:ascii="Verdana" w:hAnsi="Verdana" w:eastAsia="Times New Roman" w:cs="Segoe UI"/>
                <w:sz w:val="16"/>
                <w:szCs w:val="16"/>
                <w:lang w:val="es-ES" w:eastAsia="es-ES"/>
              </w:rPr>
              <w:t>Juan David Cárdenas Cabeza</w:t>
            </w:r>
          </w:p>
          <w:p w:rsidRPr="001A6631" w:rsidR="001A6631" w:rsidP="001A6631" w:rsidRDefault="001A6631" w14:paraId="0511B6C6" w14:textId="77777777">
            <w:pPr>
              <w:textAlignment w:val="baseline"/>
              <w:rPr>
                <w:rFonts w:ascii="Verdana" w:hAnsi="Verdana" w:eastAsia="Times New Roman" w:cs="Segoe UI"/>
                <w:sz w:val="16"/>
                <w:szCs w:val="16"/>
                <w:lang w:val="es-ES_tradnl" w:eastAsia="es-ES_tradnl"/>
              </w:rPr>
            </w:pPr>
            <w:r w:rsidRPr="001A6631">
              <w:rPr>
                <w:rFonts w:ascii="Verdana" w:hAnsi="Verdana" w:eastAsia="Times New Roman" w:cs="Arial"/>
                <w:sz w:val="16"/>
                <w:szCs w:val="16"/>
                <w:lang w:val="es-ES_tradnl" w:eastAsia="es-ES_tradnl"/>
              </w:rPr>
              <w:t>Contratista de la Subdirección de Gestión Contractual </w:t>
            </w:r>
          </w:p>
        </w:tc>
      </w:tr>
      <w:tr w:rsidRPr="001A6631" w:rsidR="001A6631" w:rsidTr="00590674" w14:paraId="49B0C96B" w14:textId="77777777">
        <w:trPr>
          <w:trHeight w:val="300"/>
        </w:trPr>
        <w:tc>
          <w:tcPr>
            <w:tcW w:w="893" w:type="dxa"/>
            <w:vAlign w:val="center"/>
          </w:tcPr>
          <w:p w:rsidRPr="001A6631" w:rsidR="001A6631" w:rsidP="001A6631" w:rsidRDefault="001A6631" w14:paraId="1B4B572E" w14:textId="77777777">
            <w:pPr>
              <w:rPr>
                <w:rFonts w:ascii="Verdana" w:hAnsi="Verdana" w:eastAsia="Calibri" w:cs="Arial"/>
                <w:sz w:val="16"/>
                <w:szCs w:val="16"/>
                <w:lang w:val="es-ES_tradnl" w:eastAsia="es-ES"/>
              </w:rPr>
            </w:pPr>
            <w:r w:rsidRPr="001A6631">
              <w:rPr>
                <w:rFonts w:ascii="Verdana" w:hAnsi="Verdana" w:eastAsia="Calibri" w:cs="Arial"/>
                <w:sz w:val="16"/>
                <w:szCs w:val="16"/>
                <w:lang w:val="es-ES_tradnl" w:eastAsia="es-ES"/>
              </w:rPr>
              <w:t>Aprobó:</w:t>
            </w:r>
          </w:p>
        </w:tc>
        <w:tc>
          <w:tcPr>
            <w:tcW w:w="5628" w:type="dxa"/>
            <w:tcBorders>
              <w:top w:val="dotted" w:color="7F7F7F" w:sz="4" w:space="0"/>
              <w:left w:val="nil"/>
              <w:bottom w:val="dotted" w:color="7F7F7F" w:sz="4" w:space="0"/>
              <w:right w:val="nil"/>
            </w:tcBorders>
            <w:vAlign w:val="center"/>
          </w:tcPr>
          <w:p w:rsidRPr="001A6631" w:rsidR="001A6631" w:rsidP="001A6631" w:rsidRDefault="001A6631" w14:paraId="345C4937" w14:textId="77777777">
            <w:pPr>
              <w:rPr>
                <w:rFonts w:ascii="Verdana" w:hAnsi="Verdana" w:eastAsia="Calibri" w:cs="Arial"/>
                <w:sz w:val="16"/>
                <w:szCs w:val="16"/>
                <w:lang w:val="es-ES" w:eastAsia="es-ES"/>
              </w:rPr>
            </w:pPr>
            <w:r w:rsidRPr="001A6631">
              <w:rPr>
                <w:rFonts w:ascii="Verdana" w:hAnsi="Verdana" w:eastAsia="Calibri" w:cs="Arial"/>
                <w:sz w:val="16"/>
                <w:szCs w:val="16"/>
                <w:lang w:val="es-ES" w:eastAsia="es-ES"/>
              </w:rPr>
              <w:t>Carolina Quintero Gacharná</w:t>
            </w:r>
          </w:p>
          <w:p w:rsidRPr="001A6631" w:rsidR="001A6631" w:rsidP="001A6631" w:rsidRDefault="001A6631" w14:paraId="5371A416" w14:textId="77777777">
            <w:pPr>
              <w:rPr>
                <w:rFonts w:ascii="Verdana" w:hAnsi="Verdana" w:eastAsia="Calibri" w:cs="Arial"/>
                <w:sz w:val="16"/>
                <w:szCs w:val="16"/>
                <w:lang w:val="es-ES_tradnl" w:eastAsia="es-ES"/>
              </w:rPr>
            </w:pPr>
            <w:r w:rsidRPr="001A6631">
              <w:rPr>
                <w:rFonts w:ascii="Verdana" w:hAnsi="Verdana" w:eastAsia="Calibri" w:cs="Arial"/>
                <w:sz w:val="16"/>
                <w:szCs w:val="16"/>
                <w:lang w:val="es-ES_tradnl" w:eastAsia="es-ES"/>
              </w:rPr>
              <w:t>Subdirectora de Gestión Contractual ANCP – CCE</w:t>
            </w:r>
          </w:p>
        </w:tc>
      </w:tr>
    </w:tbl>
    <w:p w:rsidRPr="00E02524" w:rsidR="002A0DD0" w:rsidP="30821638" w:rsidRDefault="002A0DD0" w14:paraId="7C9026E2" w14:textId="77777777">
      <w:pPr>
        <w:spacing w:after="0" w:line="240" w:lineRule="auto"/>
        <w:jc w:val="both"/>
        <w:rPr>
          <w:rFonts w:ascii="Verdana" w:hAnsi="Verdana" w:eastAsia="Verdana" w:cs="Verdana"/>
          <w:b/>
          <w:bCs/>
          <w:lang w:val="es-MX"/>
        </w:rPr>
      </w:pPr>
    </w:p>
    <w:p w:rsidRPr="000E2B93" w:rsidR="00C15139" w:rsidP="30821638" w:rsidRDefault="00C15139" w14:paraId="69BC4D14" w14:textId="57B56F02">
      <w:pPr>
        <w:spacing w:after="0" w:line="240" w:lineRule="auto"/>
        <w:textAlignment w:val="baseline"/>
        <w:rPr>
          <w:rFonts w:ascii="Verdana" w:hAnsi="Verdana" w:eastAsia="Verdana" w:cs="Verdana"/>
          <w:lang w:eastAsia="es-CO"/>
        </w:rPr>
      </w:pPr>
      <w:r w:rsidRPr="30821638">
        <w:rPr>
          <w:rFonts w:ascii="Verdana" w:hAnsi="Verdana" w:eastAsia="Verdana" w:cs="Verdana"/>
          <w:lang w:eastAsia="es-CO"/>
        </w:rPr>
        <w:t> </w:t>
      </w:r>
      <w:bookmarkEnd w:id="0"/>
    </w:p>
    <w:sectPr w:rsidRPr="000E2B93" w:rsidR="00C15139" w:rsidSect="007C0C0F">
      <w:headerReference w:type="default" r:id="rId17"/>
      <w:footerReference w:type="default" r:id="rId18"/>
      <w:pgSz w:w="12240" w:h="15840" w:orient="portrait"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3F0734" w:rsidP="004A1847" w:rsidRDefault="003F0734" w14:paraId="61DE9013" w14:textId="77777777">
      <w:pPr>
        <w:spacing w:after="0" w:line="240" w:lineRule="auto"/>
      </w:pPr>
      <w:r>
        <w:separator/>
      </w:r>
    </w:p>
  </w:endnote>
  <w:endnote w:type="continuationSeparator" w:id="0">
    <w:p w:rsidR="003F0734" w:rsidP="004A1847" w:rsidRDefault="003F0734" w14:paraId="5FA51EAC"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ptos">
    <w:panose1 w:val="020B0004020202020204"/>
    <w:charset w:val="00"/>
    <w:family w:val="swiss"/>
    <w:pitch w:val="variable"/>
    <w:sig w:usb0="20000287" w:usb1="00000003" w:usb2="00000000" w:usb3="00000000" w:csb0="0000019F"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604020202020204"/>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4A1847" w:rsidRDefault="004A1847" w14:paraId="18911A32" w14:textId="6CE791A4">
    <w:pPr>
      <w:pStyle w:val="Piedepgina"/>
    </w:pPr>
  </w:p>
  <w:p w:rsidRPr="00174B77" w:rsidR="00D520D8" w:rsidP="07C73DD1" w:rsidRDefault="07C73DD1" w14:paraId="594D6D9F" w14:textId="77777777">
    <w:pPr>
      <w:pBdr>
        <w:top w:val="single" w:color="000000" w:sz="4" w:space="1"/>
      </w:pBdr>
      <w:spacing w:after="0"/>
      <w:rPr>
        <w:rFonts w:ascii="Verdana" w:hAnsi="Verdana" w:eastAsia="Verdana" w:cs="Verdana"/>
        <w:b/>
        <w:bCs/>
        <w:sz w:val="18"/>
        <w:szCs w:val="18"/>
      </w:rPr>
    </w:pPr>
    <w:r w:rsidRPr="07C73DD1">
      <w:rPr>
        <w:rFonts w:ascii="Verdana" w:hAnsi="Verdana" w:eastAsia="Verdana" w:cs="Verdana"/>
        <w:b/>
        <w:bCs/>
        <w:sz w:val="18"/>
        <w:szCs w:val="18"/>
      </w:rPr>
      <w:t xml:space="preserve">Agencia Nacional de Contratación Pública                                              </w:t>
    </w:r>
    <w:r w:rsidRPr="07C73DD1">
      <w:rPr>
        <w:rFonts w:ascii="Verdana" w:hAnsi="Verdana" w:eastAsia="Verdana" w:cs="Verdana"/>
        <w:b/>
        <w:bCs/>
        <w:sz w:val="18"/>
        <w:szCs w:val="18"/>
        <w:lang w:val="es-ES"/>
      </w:rPr>
      <w:t xml:space="preserve">pág. </w:t>
    </w:r>
    <w:r w:rsidRPr="07C73DD1" w:rsidR="00D520D8">
      <w:rPr>
        <w:rFonts w:ascii="Verdana" w:hAnsi="Verdana" w:eastAsia="Verdana" w:cs="Verdana"/>
        <w:b/>
        <w:bCs/>
        <w:sz w:val="18"/>
        <w:szCs w:val="18"/>
      </w:rPr>
      <w:fldChar w:fldCharType="begin"/>
    </w:r>
    <w:r w:rsidRPr="07C73DD1" w:rsidR="00D520D8">
      <w:rPr>
        <w:rFonts w:ascii="Verdana" w:hAnsi="Verdana"/>
        <w:b/>
        <w:bCs/>
        <w:sz w:val="16"/>
        <w:szCs w:val="16"/>
      </w:rPr>
      <w:instrText>PAGE    \* MERGEFORMAT</w:instrText>
    </w:r>
    <w:r w:rsidRPr="07C73DD1" w:rsidR="00D520D8">
      <w:rPr>
        <w:rFonts w:ascii="Verdana" w:hAnsi="Verdana" w:eastAsiaTheme="minorEastAsia"/>
        <w:b/>
        <w:bCs/>
        <w:sz w:val="16"/>
        <w:szCs w:val="16"/>
      </w:rPr>
      <w:fldChar w:fldCharType="separate"/>
    </w:r>
    <w:r w:rsidRPr="07C73DD1">
      <w:rPr>
        <w:rFonts w:ascii="Verdana" w:hAnsi="Verdana" w:eastAsia="Verdana" w:cs="Verdana"/>
        <w:b/>
        <w:bCs/>
        <w:sz w:val="18"/>
        <w:szCs w:val="18"/>
      </w:rPr>
      <w:t>1</w:t>
    </w:r>
    <w:r w:rsidRPr="07C73DD1" w:rsidR="00D520D8">
      <w:rPr>
        <w:rFonts w:ascii="Verdana" w:hAnsi="Verdana" w:eastAsia="Verdana" w:cs="Verdana"/>
        <w:b/>
        <w:bCs/>
        <w:sz w:val="18"/>
        <w:szCs w:val="18"/>
      </w:rPr>
      <w:fldChar w:fldCharType="end"/>
    </w:r>
    <w:r w:rsidRPr="07C73DD1">
      <w:rPr>
        <w:rFonts w:ascii="Verdana" w:hAnsi="Verdana" w:eastAsia="Verdana" w:cs="Verdana"/>
        <w:b/>
        <w:bCs/>
        <w:sz w:val="18"/>
        <w:szCs w:val="18"/>
      </w:rPr>
      <w:t xml:space="preserve">              Colombia Compra Eficiente         </w:t>
    </w:r>
    <w:r w:rsidRPr="07C73DD1">
      <w:rPr>
        <w:rFonts w:ascii="Verdana" w:hAnsi="Verdana" w:eastAsia="Verdana" w:cs="Verdana"/>
        <w:b/>
        <w:bCs/>
        <w:sz w:val="18"/>
        <w:szCs w:val="18"/>
        <w:lang w:val="es-ES"/>
      </w:rPr>
      <w:t xml:space="preserve"> </w:t>
    </w:r>
    <w:r w:rsidRPr="07C73DD1">
      <w:rPr>
        <w:rFonts w:ascii="Verdana" w:hAnsi="Verdana" w:eastAsia="Verdana" w:cs="Verdana"/>
        <w:b/>
        <w:bCs/>
        <w:sz w:val="18"/>
        <w:szCs w:val="18"/>
      </w:rPr>
      <w:t xml:space="preserve">                                                  </w:t>
    </w:r>
  </w:p>
  <w:p w:rsidR="00D520D8" w:rsidP="07C73DD1" w:rsidRDefault="07C73DD1" w14:paraId="0A735DD5" w14:textId="77777777">
    <w:pPr>
      <w:spacing w:after="0"/>
      <w:jc w:val="both"/>
      <w:rPr>
        <w:rFonts w:ascii="Verdana" w:hAnsi="Verdana" w:eastAsia="Verdana" w:cs="Verdana"/>
        <w:sz w:val="18"/>
        <w:szCs w:val="18"/>
      </w:rPr>
    </w:pPr>
    <w:r w:rsidRPr="07C73DD1">
      <w:rPr>
        <w:rFonts w:ascii="Verdana" w:hAnsi="Verdana" w:eastAsia="Verdana" w:cs="Verdana"/>
        <w:sz w:val="18"/>
        <w:szCs w:val="18"/>
      </w:rPr>
      <w:t>Dirección: Carrera 7 # 26 – 20 - Bogotá, Colombia</w:t>
    </w:r>
  </w:p>
  <w:p w:rsidRPr="00E41027" w:rsidR="00D520D8" w:rsidP="07C73DD1" w:rsidRDefault="07C73DD1" w14:paraId="06E36B88" w14:textId="77777777">
    <w:pPr>
      <w:spacing w:after="0"/>
      <w:jc w:val="both"/>
      <w:rPr>
        <w:rFonts w:ascii="Verdana" w:hAnsi="Verdana" w:eastAsia="Verdana" w:cs="Verdana"/>
        <w:sz w:val="18"/>
        <w:szCs w:val="18"/>
      </w:rPr>
    </w:pPr>
    <w:r w:rsidRPr="07C73DD1">
      <w:rPr>
        <w:rFonts w:ascii="Verdana" w:hAnsi="Verdana" w:eastAsia="Verdana" w:cs="Verdana"/>
        <w:sz w:val="18"/>
        <w:szCs w:val="18"/>
      </w:rPr>
      <w:t>Mesa de servicio: (+57) 601 7456788</w:t>
    </w:r>
  </w:p>
  <w:p w:rsidR="006219F8" w:rsidP="07C73DD1" w:rsidRDefault="07C73DD1" w14:paraId="744661F5" w14:textId="22B9E88F">
    <w:pPr>
      <w:pBdr>
        <w:top w:val="nil"/>
        <w:left w:val="nil"/>
        <w:bottom w:val="nil"/>
        <w:right w:val="nil"/>
        <w:between w:val="nil"/>
      </w:pBdr>
      <w:tabs>
        <w:tab w:val="center" w:pos="4419"/>
        <w:tab w:val="right" w:pos="8838"/>
        <w:tab w:val="center" w:pos="5400"/>
      </w:tabs>
      <w:spacing w:after="0"/>
      <w:jc w:val="right"/>
      <w:rPr>
        <w:rFonts w:ascii="Verdana" w:hAnsi="Verdana" w:eastAsia="Verdana" w:cs="Verdana"/>
        <w:sz w:val="18"/>
        <w:szCs w:val="18"/>
        <w:lang w:eastAsia="es-CO"/>
      </w:rPr>
    </w:pPr>
    <w:r w:rsidRPr="07C73DD1">
      <w:rPr>
        <w:rFonts w:ascii="Verdana" w:hAnsi="Verdana" w:eastAsia="Verdana" w:cs="Verdana"/>
        <w:b/>
        <w:bCs/>
        <w:color w:val="000000" w:themeColor="text1"/>
        <w:sz w:val="18"/>
        <w:szCs w:val="18"/>
        <w:lang w:eastAsia="es-CO"/>
      </w:rPr>
      <w:t xml:space="preserve">Código: </w:t>
    </w:r>
    <w:r w:rsidRPr="07C73DD1">
      <w:rPr>
        <w:rFonts w:ascii="Verdana" w:hAnsi="Verdana" w:eastAsia="Verdana" w:cs="Verdana"/>
        <w:color w:val="000000" w:themeColor="text1"/>
        <w:sz w:val="18"/>
        <w:szCs w:val="18"/>
        <w:lang w:eastAsia="es-CO"/>
      </w:rPr>
      <w:t xml:space="preserve">CCE-REC-FM-17 </w:t>
    </w:r>
    <w:r w:rsidRPr="07C73DD1">
      <w:rPr>
        <w:rFonts w:ascii="Verdana" w:hAnsi="Verdana" w:eastAsia="Verdana" w:cs="Verdana"/>
        <w:b/>
        <w:bCs/>
        <w:color w:val="000000" w:themeColor="text1"/>
        <w:sz w:val="18"/>
        <w:szCs w:val="18"/>
        <w:lang w:eastAsia="es-CO"/>
      </w:rPr>
      <w:t xml:space="preserve">V: </w:t>
    </w:r>
    <w:r w:rsidRPr="07C73DD1">
      <w:rPr>
        <w:rFonts w:ascii="Verdana" w:hAnsi="Verdana" w:eastAsia="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3F0734" w:rsidP="004A1847" w:rsidRDefault="003F0734" w14:paraId="0E2329A5" w14:textId="77777777">
      <w:pPr>
        <w:spacing w:after="0" w:line="240" w:lineRule="auto"/>
      </w:pPr>
      <w:r>
        <w:separator/>
      </w:r>
    </w:p>
  </w:footnote>
  <w:footnote w:type="continuationSeparator" w:id="0">
    <w:p w:rsidR="003F0734" w:rsidP="004A1847" w:rsidRDefault="003F0734" w14:paraId="2A77A37B" w14:textId="77777777">
      <w:pPr>
        <w:spacing w:after="0" w:line="240" w:lineRule="auto"/>
      </w:pPr>
      <w:r>
        <w:continuationSeparator/>
      </w:r>
    </w:p>
  </w:footnote>
  <w:footnote w:id="1">
    <w:p w:rsidRPr="00234048" w:rsidR="001A6631" w:rsidP="001A6631" w:rsidRDefault="001A6631" w14:paraId="642FB557" w14:textId="77777777">
      <w:pPr>
        <w:pStyle w:val="Textonotapie"/>
        <w:ind w:firstLine="709"/>
        <w:jc w:val="both"/>
        <w:rPr>
          <w:rFonts w:ascii="Verdana" w:hAnsi="Verdana"/>
          <w:sz w:val="18"/>
          <w:szCs w:val="18"/>
          <w:lang w:val="es-ES_tradnl"/>
        </w:rPr>
      </w:pPr>
      <w:r w:rsidRPr="00234048">
        <w:rPr>
          <w:rStyle w:val="Refdenotaalpie"/>
          <w:rFonts w:ascii="Verdana" w:hAnsi="Verdana"/>
          <w:sz w:val="18"/>
          <w:szCs w:val="18"/>
        </w:rPr>
        <w:footnoteRef/>
      </w:r>
      <w:r w:rsidRPr="00234048">
        <w:rPr>
          <w:rFonts w:ascii="Verdana" w:hAnsi="Verdana"/>
          <w:sz w:val="18"/>
          <w:szCs w:val="18"/>
        </w:rPr>
        <w:t xml:space="preserve"> </w:t>
      </w:r>
      <w:r w:rsidRPr="00234048">
        <w:rPr>
          <w:rFonts w:ascii="Verdana" w:hAnsi="Verdana"/>
          <w:sz w:val="18"/>
          <w:szCs w:val="18"/>
          <w:lang w:val="es-ES_tradnl"/>
        </w:rPr>
        <w:t xml:space="preserve">Para el desarrollo del presente concepto, se tendrán en cuenta los pliegos tipo de licitación pública del sector de infraestructura de transporte. </w:t>
      </w:r>
    </w:p>
  </w:footnote>
  <w:footnote w:id="2">
    <w:p w:rsidRPr="00234048" w:rsidR="001A6631" w:rsidP="001A6631" w:rsidRDefault="001A6631" w14:paraId="154CC7BD" w14:textId="77777777">
      <w:pPr>
        <w:pStyle w:val="Textonotapie"/>
        <w:ind w:firstLine="709"/>
        <w:jc w:val="both"/>
        <w:rPr>
          <w:rFonts w:ascii="Verdana" w:hAnsi="Verdana"/>
          <w:sz w:val="18"/>
          <w:szCs w:val="18"/>
        </w:rPr>
      </w:pPr>
      <w:r w:rsidRPr="00234048">
        <w:rPr>
          <w:rStyle w:val="Refdenotaalpie"/>
          <w:rFonts w:ascii="Verdana" w:hAnsi="Verdana"/>
          <w:sz w:val="18"/>
          <w:szCs w:val="18"/>
        </w:rPr>
        <w:footnoteRef/>
      </w:r>
      <w:r w:rsidRPr="00234048">
        <w:rPr>
          <w:rFonts w:ascii="Verdana" w:hAnsi="Verdana"/>
          <w:sz w:val="18"/>
          <w:szCs w:val="18"/>
        </w:rPr>
        <w:t xml:space="preserve"> </w:t>
      </w:r>
      <w:r w:rsidRPr="00234048">
        <w:rPr>
          <w:rFonts w:ascii="Verdana" w:hAnsi="Verdana"/>
          <w:sz w:val="18"/>
          <w:szCs w:val="18"/>
        </w:rPr>
        <w:t xml:space="preserve">Agencia Nacional de Contratación Pública – Colombia Compra Eficiente. Concepto C-285 del 20 de mayo de 2022. Consultar en: </w:t>
      </w:r>
      <w:hyperlink w:history="1" r:id="rId1">
        <w:r w:rsidRPr="00234048">
          <w:rPr>
            <w:rStyle w:val="Hipervnculo"/>
            <w:rFonts w:ascii="Verdana" w:hAnsi="Verdana"/>
            <w:sz w:val="18"/>
            <w:szCs w:val="18"/>
          </w:rPr>
          <w:t>https://relatoria.colombiacompra.gov.co/conceptos/c-285-de-2022/</w:t>
        </w:r>
      </w:hyperlink>
    </w:p>
  </w:footnote>
  <w:footnote w:id="3">
    <w:p w:rsidRPr="00234048" w:rsidR="001A6631" w:rsidP="001A6631" w:rsidRDefault="001A6631" w14:paraId="3D975E2D" w14:textId="77777777">
      <w:pPr>
        <w:pStyle w:val="Textonotapie"/>
        <w:ind w:firstLine="709"/>
        <w:jc w:val="both"/>
        <w:rPr>
          <w:rFonts w:ascii="Verdana" w:hAnsi="Verdana"/>
          <w:sz w:val="18"/>
          <w:szCs w:val="18"/>
        </w:rPr>
      </w:pPr>
      <w:r w:rsidRPr="00234048">
        <w:rPr>
          <w:rStyle w:val="Refdenotaalpie"/>
          <w:rFonts w:ascii="Verdana" w:hAnsi="Verdana"/>
          <w:sz w:val="18"/>
          <w:szCs w:val="18"/>
        </w:rPr>
        <w:footnoteRef/>
      </w:r>
      <w:r w:rsidRPr="00234048">
        <w:rPr>
          <w:rFonts w:ascii="Verdana" w:hAnsi="Verdana"/>
          <w:sz w:val="18"/>
          <w:szCs w:val="18"/>
        </w:rPr>
        <w:t xml:space="preserve"> </w:t>
      </w:r>
      <w:r w:rsidRPr="00234048">
        <w:rPr>
          <w:rFonts w:ascii="Verdana" w:hAnsi="Verdana"/>
          <w:sz w:val="18"/>
          <w:szCs w:val="18"/>
        </w:rPr>
        <w:t xml:space="preserve">Agencia Nacional de Contratación Pública – Colombia Compra Eficiente. Concepto C-447 del 19 de septiembre de 2024. Consultar en: </w:t>
      </w:r>
      <w:hyperlink w:history="1" r:id="rId2">
        <w:r w:rsidRPr="00234048">
          <w:rPr>
            <w:rStyle w:val="Hipervnculo"/>
            <w:rFonts w:ascii="Verdana" w:hAnsi="Verdana"/>
            <w:sz w:val="18"/>
            <w:szCs w:val="18"/>
          </w:rPr>
          <w:t>https://relatoria.colombiacompra.gov.co/conceptos/c-447-de-2024/</w:t>
        </w:r>
      </w:hyperlink>
      <w:r w:rsidRPr="00234048">
        <w:rPr>
          <w:rFonts w:ascii="Verdana" w:hAnsi="Verdana"/>
          <w:sz w:val="18"/>
          <w:szCs w:val="18"/>
        </w:rPr>
        <w:t xml:space="preserve"> </w:t>
      </w:r>
    </w:p>
    <w:p w:rsidRPr="00234048" w:rsidR="001A6631" w:rsidP="001A6631" w:rsidRDefault="001A6631" w14:paraId="7304A6E2" w14:textId="77777777">
      <w:pPr>
        <w:pStyle w:val="Textonotapie"/>
        <w:ind w:firstLine="709"/>
        <w:jc w:val="both"/>
        <w:rPr>
          <w:rFonts w:ascii="Verdana" w:hAnsi="Verdana"/>
          <w:sz w:val="18"/>
          <w:szCs w:val="18"/>
        </w:rPr>
      </w:pPr>
    </w:p>
  </w:footnote>
  <w:footnote w:id="4">
    <w:p w:rsidRPr="00234048" w:rsidR="001A6631" w:rsidP="001A6631" w:rsidRDefault="001A6631" w14:paraId="14831155" w14:textId="77777777">
      <w:pPr>
        <w:pStyle w:val="Textonotapie"/>
        <w:ind w:firstLine="709"/>
        <w:jc w:val="both"/>
        <w:rPr>
          <w:rFonts w:ascii="Verdana" w:hAnsi="Verdana" w:cs="Arial"/>
          <w:color w:val="000000"/>
          <w:sz w:val="18"/>
          <w:szCs w:val="18"/>
        </w:rPr>
      </w:pPr>
      <w:r w:rsidRPr="00234048">
        <w:rPr>
          <w:rStyle w:val="Refdenotaalpie"/>
          <w:rFonts w:ascii="Verdana" w:hAnsi="Verdana" w:cs="Arial"/>
          <w:color w:val="000000"/>
          <w:sz w:val="18"/>
          <w:szCs w:val="18"/>
        </w:rPr>
        <w:footnoteRef/>
      </w:r>
      <w:r w:rsidRPr="00234048">
        <w:rPr>
          <w:rStyle w:val="Refdenotaalpie"/>
          <w:rFonts w:ascii="Verdana" w:hAnsi="Verdana" w:cs="Arial"/>
          <w:color w:val="000000"/>
          <w:sz w:val="18"/>
          <w:szCs w:val="18"/>
        </w:rPr>
        <w:t xml:space="preserve"> </w:t>
      </w:r>
      <w:r w:rsidRPr="00234048">
        <w:rPr>
          <w:rFonts w:ascii="Verdana" w:hAnsi="Verdana" w:cs="Arial"/>
          <w:color w:val="000000"/>
          <w:sz w:val="18"/>
          <w:szCs w:val="18"/>
        </w:rPr>
        <w:t>Ley 1150 de 2007, artículo 5, parágrafo 4°: “En aquellos procesos de selección en los que se utilice el mecanismo de subasta, los documentos referentes a la futura contratación o a proponente, no necesarios para la comparación de las propuestas, deberán ser solicitados hasta el momento previo a su realización”.</w:t>
      </w:r>
    </w:p>
    <w:p w:rsidRPr="00234048" w:rsidR="001A6631" w:rsidP="001A6631" w:rsidRDefault="001A6631" w14:paraId="033CACA5" w14:textId="77777777">
      <w:pPr>
        <w:pStyle w:val="Textonotapie"/>
        <w:ind w:firstLine="709"/>
        <w:jc w:val="both"/>
        <w:rPr>
          <w:rFonts w:ascii="Verdana" w:hAnsi="Verdana" w:cs="Arial"/>
          <w:color w:val="000000"/>
          <w:sz w:val="18"/>
          <w:szCs w:val="18"/>
        </w:rPr>
      </w:pPr>
    </w:p>
  </w:footnote>
  <w:footnote w:id="5">
    <w:p w:rsidRPr="00234048" w:rsidR="001A6631" w:rsidP="001A6631" w:rsidRDefault="001A6631" w14:paraId="49B7E359" w14:textId="77777777">
      <w:pPr>
        <w:pStyle w:val="Textonotapie"/>
        <w:ind w:firstLine="709"/>
        <w:jc w:val="both"/>
        <w:rPr>
          <w:rFonts w:ascii="Verdana" w:hAnsi="Verdana" w:cs="Arial"/>
          <w:color w:val="000000"/>
          <w:sz w:val="18"/>
          <w:szCs w:val="18"/>
        </w:rPr>
      </w:pPr>
      <w:r w:rsidRPr="00234048">
        <w:rPr>
          <w:rStyle w:val="Refdenotaalpie"/>
          <w:rFonts w:ascii="Verdana" w:hAnsi="Verdana" w:cs="Arial"/>
          <w:color w:val="000000"/>
          <w:sz w:val="18"/>
          <w:szCs w:val="18"/>
        </w:rPr>
        <w:footnoteRef/>
      </w:r>
      <w:r w:rsidRPr="00234048">
        <w:rPr>
          <w:rFonts w:ascii="Verdana" w:hAnsi="Verdana" w:cs="Arial"/>
          <w:color w:val="000000"/>
          <w:sz w:val="18"/>
          <w:szCs w:val="18"/>
        </w:rPr>
        <w:t xml:space="preserve"> </w:t>
      </w:r>
      <w:r w:rsidRPr="00234048">
        <w:rPr>
          <w:rFonts w:ascii="Verdana" w:hAnsi="Verdana" w:cs="Arial"/>
          <w:color w:val="000000"/>
          <w:sz w:val="18"/>
          <w:szCs w:val="18"/>
        </w:rPr>
        <w:t>Sin embargo, debe tenerse en cuenta que la última norma en cita -Decreto 2474 de 2008, aparte subrayado-, establece un límite a la subsanabilidad, puesto que en cualquier caso debe referirse o recaer sobre circunstancias ocurridas antes del cierre del respectivo proceso, esto es, del vencimiento del plazo para presentar ofertas.</w:t>
      </w:r>
    </w:p>
    <w:p w:rsidRPr="00234048" w:rsidR="001A6631" w:rsidP="001A6631" w:rsidRDefault="001A6631" w14:paraId="2E99AA06" w14:textId="77777777">
      <w:pPr>
        <w:pStyle w:val="Textonotapie"/>
        <w:ind w:firstLine="709"/>
        <w:jc w:val="both"/>
        <w:rPr>
          <w:rFonts w:ascii="Verdana" w:hAnsi="Verdana" w:cs="Arial"/>
          <w:color w:val="000000"/>
          <w:sz w:val="18"/>
          <w:szCs w:val="18"/>
        </w:rPr>
      </w:pPr>
      <w:r w:rsidRPr="00234048">
        <w:rPr>
          <w:rFonts w:ascii="Verdana" w:hAnsi="Verdana" w:cs="Arial"/>
          <w:color w:val="000000"/>
          <w:sz w:val="18"/>
          <w:szCs w:val="18"/>
        </w:rPr>
        <w:t>De esta manera, quien se presenta al proceso de selección debe cumplir para la fecha en que ‘se cierra el proceso’ con los requisitos que se requieren para presentar la oferta, de manera que es sobre ellos y no sobre otros que se cumplan con posterioridad, sobre los que recae la posibilidad de saneamiento. Así, por ejemplo, si se requiere una experiencia x, la misma se debe tener al presentar la oferta y la Administración puede requerir al oferente para que especifique aspectos relacionados con ella (complementar certificaciones, aclarar fechas, acreditación de la misma, etc.); pero no podría, por vía de las normas en cita, extender el tiempo para avalar experiencia que sólo se llega a cumplir después del cierre del proceso contractual. O si, igualmente a manera de ejemplo, fuera necesario ser persona jurídica pero el oferente no entrega el certificado de existencia y representación legal que lo acredita o éste es demasiado antiguo, la entidad contratante podría requerir al interesado para que haga entrega del mismo o lo actualice, pero no para que se constituya la sociedad con posterioridad al cierre del proceso, pues si ello no se había hecho, significa simplemente que el oferente no tenía la condición para participar. (Consejo de Estado. Sala de Consulta y Servicio Civil. Concepto del 6 de noviembre de 2008. Expediente: 1927. Consejero Ponente: William Zambrano Cetina).</w:t>
      </w:r>
    </w:p>
    <w:p w:rsidRPr="00234048" w:rsidR="001A6631" w:rsidP="001A6631" w:rsidRDefault="001A6631" w14:paraId="581C66BE" w14:textId="77777777">
      <w:pPr>
        <w:pStyle w:val="Textonotapie"/>
        <w:ind w:firstLine="709"/>
        <w:jc w:val="both"/>
        <w:rPr>
          <w:rFonts w:ascii="Verdana" w:hAnsi="Verdana" w:cs="Arial"/>
          <w:color w:val="000000"/>
          <w:sz w:val="18"/>
          <w:szCs w:val="18"/>
        </w:rPr>
      </w:pPr>
    </w:p>
  </w:footnote>
  <w:footnote w:id="6">
    <w:p w:rsidRPr="00234048" w:rsidR="001A6631" w:rsidP="001A6631" w:rsidRDefault="001A6631" w14:paraId="549E7A90" w14:textId="77777777">
      <w:pPr>
        <w:pStyle w:val="Textonotapie"/>
        <w:ind w:firstLine="709"/>
        <w:jc w:val="both"/>
        <w:rPr>
          <w:rFonts w:ascii="Verdana" w:hAnsi="Verdana" w:cs="Arial"/>
          <w:color w:val="000000"/>
          <w:sz w:val="18"/>
          <w:szCs w:val="18"/>
        </w:rPr>
      </w:pPr>
      <w:r w:rsidRPr="00234048">
        <w:rPr>
          <w:rStyle w:val="Refdenotaalpie"/>
          <w:rFonts w:ascii="Verdana" w:hAnsi="Verdana" w:cs="Arial"/>
          <w:sz w:val="18"/>
          <w:szCs w:val="18"/>
        </w:rPr>
        <w:footnoteRef/>
      </w:r>
      <w:r w:rsidRPr="00234048">
        <w:rPr>
          <w:rFonts w:ascii="Verdana" w:hAnsi="Verdana" w:cs="Arial"/>
          <w:sz w:val="18"/>
          <w:szCs w:val="18"/>
        </w:rPr>
        <w:t xml:space="preserve"> </w:t>
      </w:r>
      <w:r w:rsidRPr="00234048">
        <w:rPr>
          <w:rFonts w:ascii="Verdana" w:hAnsi="Verdana" w:cs="Arial"/>
          <w:color w:val="000000"/>
          <w:sz w:val="18"/>
          <w:szCs w:val="18"/>
        </w:rPr>
        <w:t xml:space="preserve">En armonía con lo anterior, actualmente la Circular Única Externa de Colombia Compra Eficiente señala lo siguiente: “De otro lado, cabe destacar que, de conformidad con el artículo 5 de la Ley 1882 de 2018, durante el término otorgado para subsanar, los proponentes no podrán acreditar circunstancias ocurridas luego del cierre del proceso. De esta manera, es subsanable la prueba de todas las circunstancias ocurridas antes del vencimiento del término para presentar las ofertas, por lo que no se podrán acreditar circunstancias ocurridas con posterioridad a dicho momento. </w:t>
      </w:r>
    </w:p>
    <w:p w:rsidR="001A6631" w:rsidP="001A6631" w:rsidRDefault="001A6631" w14:paraId="5ED0C399" w14:textId="77777777">
      <w:pPr>
        <w:pStyle w:val="Textonotapie"/>
        <w:ind w:firstLine="709"/>
        <w:jc w:val="both"/>
        <w:rPr>
          <w:rStyle w:val="Hipervnculo"/>
          <w:rFonts w:ascii="Verdana" w:hAnsi="Verdana" w:cs="Arial"/>
          <w:color w:val="000000"/>
          <w:sz w:val="18"/>
          <w:szCs w:val="18"/>
        </w:rPr>
      </w:pPr>
      <w:r w:rsidRPr="00234048">
        <w:rPr>
          <w:rFonts w:ascii="Verdana" w:hAnsi="Verdana" w:cs="Arial"/>
          <w:color w:val="000000"/>
          <w:sz w:val="18"/>
          <w:szCs w:val="18"/>
        </w:rPr>
        <w:t xml:space="preserve">Lo anterior quiere decir que no es la prueba lo que debe ser anterior al cierre del proceso, sino el hecho que esta acredita. En ese sentido, ante la solicitud de la Administración de subsanar un requisito, el documento podría estar fechado con posterioridad al vencimiento del término para recibir propuestas, con la condición de que el hecho que acredite haya ocurrido antes, esto es, que no sea una circunstancia ocurrida con posterioridad al cierre del proceso. Un mejor entendimiento del significado de la expresión “circunstancias ocurridas con posterioridad al cierre del proceso” implica distinguir entre la prueba de un hecho y el hecho mismo. En el caso de la subsanabilidad de las ofertas, una cosa es el requisito habilitante o el elemento de la propuesta que permite cumplir determinada exigencia del pliego de condiciones –o documento equivalente– y otra su prueba. Lo que prohíbe la norma es que se subsanen requisitos que no estaban materialmente cumplidos al momento del cierre del proceso”. Disponible en: </w:t>
      </w:r>
      <w:hyperlink w:history="1" r:id="rId3">
        <w:r w:rsidRPr="00234048">
          <w:rPr>
            <w:rStyle w:val="Hipervnculo"/>
            <w:rFonts w:ascii="Verdana" w:hAnsi="Verdana" w:cs="Arial"/>
            <w:sz w:val="18"/>
            <w:szCs w:val="18"/>
          </w:rPr>
          <w:t>https://www.colombiacompra.gov.co/circulares?page=2</w:t>
        </w:r>
      </w:hyperlink>
      <w:r w:rsidRPr="00234048">
        <w:rPr>
          <w:rStyle w:val="Hipervnculo"/>
          <w:rFonts w:ascii="Verdana" w:hAnsi="Verdana" w:cs="Arial"/>
          <w:color w:val="000000"/>
          <w:sz w:val="18"/>
          <w:szCs w:val="18"/>
        </w:rPr>
        <w:t xml:space="preserve"> </w:t>
      </w:r>
    </w:p>
    <w:p w:rsidRPr="00234048" w:rsidR="001A6631" w:rsidP="001A6631" w:rsidRDefault="001A6631" w14:paraId="09ECA3E5" w14:textId="77777777">
      <w:pPr>
        <w:pStyle w:val="Textonotapie"/>
        <w:ind w:firstLine="709"/>
        <w:jc w:val="both"/>
        <w:rPr>
          <w:rFonts w:ascii="Verdana" w:hAnsi="Verdana" w:cs="Arial"/>
          <w:color w:val="000000"/>
          <w:sz w:val="18"/>
          <w:szCs w:val="18"/>
        </w:rPr>
      </w:pPr>
    </w:p>
  </w:footnote>
  <w:footnote w:id="7">
    <w:p w:rsidRPr="00234048" w:rsidR="001A6631" w:rsidP="001A6631" w:rsidRDefault="001A6631" w14:paraId="56583D77" w14:textId="77777777">
      <w:pPr>
        <w:pStyle w:val="Textonotapie"/>
        <w:ind w:firstLine="709"/>
        <w:jc w:val="both"/>
        <w:rPr>
          <w:rFonts w:ascii="Verdana" w:hAnsi="Verdana" w:cs="Arial"/>
          <w:color w:val="000000"/>
          <w:sz w:val="18"/>
          <w:szCs w:val="18"/>
        </w:rPr>
      </w:pPr>
      <w:r w:rsidRPr="00234048">
        <w:rPr>
          <w:rStyle w:val="Refdenotaalpie"/>
          <w:rFonts w:ascii="Verdana" w:hAnsi="Verdana" w:cs="Arial"/>
          <w:color w:val="000000"/>
          <w:sz w:val="18"/>
          <w:szCs w:val="18"/>
        </w:rPr>
        <w:footnoteRef/>
      </w:r>
      <w:r w:rsidRPr="00234048">
        <w:rPr>
          <w:rFonts w:ascii="Verdana" w:hAnsi="Verdana" w:cs="Arial"/>
          <w:color w:val="000000"/>
          <w:sz w:val="18"/>
          <w:szCs w:val="18"/>
        </w:rPr>
        <w:t xml:space="preserve"> </w:t>
      </w:r>
      <w:r w:rsidRPr="00234048">
        <w:rPr>
          <w:rFonts w:ascii="Verdana" w:hAnsi="Verdana" w:cs="Arial"/>
          <w:color w:val="000000"/>
          <w:sz w:val="18"/>
          <w:szCs w:val="18"/>
        </w:rPr>
        <w:t xml:space="preserve">Ver CONSEJO DE ESTADO, Sección Tercera, Subsección C. Sentencia del 26 de febrero de 2011. C.P. Jaime Orlando Santofimio. Rad. 36.408. </w:t>
      </w:r>
    </w:p>
  </w:footnote>
  <w:footnote w:id="8">
    <w:p w:rsidRPr="00234048" w:rsidR="001A6631" w:rsidP="001A6631" w:rsidRDefault="001A6631" w14:paraId="123ADDB1" w14:textId="77777777">
      <w:pPr>
        <w:pStyle w:val="Textonotapie"/>
        <w:ind w:firstLine="709"/>
        <w:jc w:val="both"/>
        <w:rPr>
          <w:rFonts w:ascii="Verdana" w:hAnsi="Verdana" w:cs="Arial"/>
          <w:color w:val="000000"/>
          <w:sz w:val="18"/>
          <w:szCs w:val="18"/>
        </w:rPr>
      </w:pPr>
    </w:p>
    <w:p w:rsidRPr="00234048" w:rsidR="001A6631" w:rsidP="001A6631" w:rsidRDefault="001A6631" w14:paraId="77579282" w14:textId="77777777">
      <w:pPr>
        <w:pStyle w:val="Textonotapie"/>
        <w:ind w:firstLine="709"/>
        <w:jc w:val="both"/>
        <w:rPr>
          <w:rFonts w:ascii="Verdana" w:hAnsi="Verdana" w:cs="Arial"/>
          <w:color w:val="000000"/>
          <w:sz w:val="18"/>
          <w:szCs w:val="18"/>
        </w:rPr>
      </w:pPr>
      <w:r w:rsidRPr="00234048">
        <w:rPr>
          <w:rStyle w:val="Refdenotaalpie"/>
          <w:rFonts w:ascii="Verdana" w:hAnsi="Verdana" w:cs="Arial"/>
          <w:color w:val="000000"/>
          <w:sz w:val="18"/>
          <w:szCs w:val="18"/>
        </w:rPr>
        <w:footnoteRef/>
      </w:r>
      <w:r w:rsidRPr="00234048">
        <w:rPr>
          <w:rFonts w:ascii="Verdana" w:hAnsi="Verdana" w:cs="Arial"/>
          <w:color w:val="000000"/>
          <w:sz w:val="18"/>
          <w:szCs w:val="18"/>
        </w:rPr>
        <w:t xml:space="preserve"> </w:t>
      </w:r>
      <w:r w:rsidRPr="00234048">
        <w:rPr>
          <w:rFonts w:ascii="Verdana" w:hAnsi="Verdana" w:cs="Arial"/>
          <w:color w:val="000000"/>
          <w:sz w:val="18"/>
          <w:szCs w:val="18"/>
        </w:rPr>
        <w:t xml:space="preserve">Ver CONSEJO DE ESTADO, Sección Tercera, Subsección C. Sentencia del 26 de febrero de 2014. C.P. Enrique Gil Botero. Rad. 25.804. </w:t>
      </w:r>
    </w:p>
    <w:p w:rsidRPr="00234048" w:rsidR="001A6631" w:rsidP="001A6631" w:rsidRDefault="001A6631" w14:paraId="759C82CE" w14:textId="77777777">
      <w:pPr>
        <w:pStyle w:val="Textonotapie"/>
        <w:ind w:firstLine="709"/>
        <w:jc w:val="both"/>
        <w:rPr>
          <w:rFonts w:ascii="Verdana" w:hAnsi="Verdana" w:cs="Arial"/>
          <w:color w:val="000000"/>
          <w:sz w:val="18"/>
          <w:szCs w:val="18"/>
        </w:rPr>
      </w:pPr>
    </w:p>
  </w:footnote>
  <w:footnote w:id="9">
    <w:p w:rsidRPr="00234048" w:rsidR="001A6631" w:rsidP="001A6631" w:rsidRDefault="001A6631" w14:paraId="1053032A" w14:textId="77777777">
      <w:pPr>
        <w:pStyle w:val="Textonotapie"/>
        <w:ind w:firstLine="709"/>
        <w:jc w:val="both"/>
        <w:rPr>
          <w:rFonts w:ascii="Verdana" w:hAnsi="Verdana" w:cs="Arial"/>
          <w:color w:val="000000"/>
          <w:sz w:val="18"/>
          <w:szCs w:val="18"/>
        </w:rPr>
      </w:pPr>
      <w:r w:rsidRPr="00234048">
        <w:rPr>
          <w:rStyle w:val="Refdenotaalpie"/>
          <w:rFonts w:ascii="Verdana" w:hAnsi="Verdana" w:cs="Arial"/>
          <w:color w:val="000000"/>
          <w:sz w:val="18"/>
          <w:szCs w:val="18"/>
        </w:rPr>
        <w:footnoteRef/>
      </w:r>
      <w:r w:rsidRPr="00234048">
        <w:rPr>
          <w:rFonts w:ascii="Verdana" w:hAnsi="Verdana" w:cs="Arial"/>
          <w:color w:val="000000"/>
          <w:sz w:val="18"/>
          <w:szCs w:val="18"/>
        </w:rPr>
        <w:t xml:space="preserve"> </w:t>
      </w:r>
      <w:r w:rsidRPr="00234048">
        <w:rPr>
          <w:rFonts w:ascii="Verdana" w:hAnsi="Verdana" w:cs="Arial"/>
          <w:color w:val="000000"/>
          <w:sz w:val="18"/>
          <w:szCs w:val="18"/>
        </w:rPr>
        <w:t>CONSEJO DE ESTADO. Sala de Consulta y Servicio Civil. Concepto del 20 de mayo de 2010. Expediente: 1992. Consejero Ponente: Enrique José Arboleda Perdomo.</w:t>
      </w:r>
    </w:p>
    <w:p w:rsidRPr="00234048" w:rsidR="001A6631" w:rsidP="001A6631" w:rsidRDefault="001A6631" w14:paraId="5BAD0C24" w14:textId="77777777">
      <w:pPr>
        <w:pStyle w:val="Textonotapie"/>
        <w:ind w:firstLine="709"/>
        <w:jc w:val="both"/>
        <w:rPr>
          <w:rFonts w:ascii="Verdana" w:hAnsi="Verdana" w:cs="Arial"/>
          <w:color w:val="000000"/>
          <w:sz w:val="18"/>
          <w:szCs w:val="18"/>
        </w:rPr>
      </w:pPr>
    </w:p>
  </w:footnote>
  <w:footnote w:id="10">
    <w:p w:rsidRPr="00234048" w:rsidR="001A6631" w:rsidP="001A6631" w:rsidRDefault="001A6631" w14:paraId="18B7AF86" w14:textId="77777777">
      <w:pPr>
        <w:pStyle w:val="Textonotapie"/>
        <w:ind w:firstLine="709"/>
        <w:jc w:val="both"/>
        <w:rPr>
          <w:rFonts w:ascii="Verdana" w:hAnsi="Verdana"/>
          <w:sz w:val="18"/>
          <w:szCs w:val="18"/>
          <w:lang w:val="es-ES_tradnl"/>
        </w:rPr>
      </w:pPr>
      <w:r w:rsidRPr="00234048">
        <w:rPr>
          <w:rStyle w:val="Refdenotaalpie"/>
          <w:rFonts w:ascii="Verdana" w:hAnsi="Verdana"/>
          <w:sz w:val="18"/>
          <w:szCs w:val="18"/>
        </w:rPr>
        <w:footnoteRef/>
      </w:r>
      <w:r w:rsidRPr="00234048">
        <w:rPr>
          <w:rFonts w:ascii="Verdana" w:hAnsi="Verdana"/>
          <w:sz w:val="18"/>
          <w:szCs w:val="18"/>
        </w:rPr>
        <w:t xml:space="preserve"> </w:t>
      </w:r>
      <w:r w:rsidRPr="00234048">
        <w:rPr>
          <w:rFonts w:ascii="Verdana" w:hAnsi="Verdana"/>
          <w:sz w:val="18"/>
          <w:szCs w:val="18"/>
          <w:lang w:val="es-ES_tradnl"/>
        </w:rPr>
        <w:t xml:space="preserve">Para el desarrollo del presente concepto, se tendrán en cuenta los pliegos tipo de licitación pública del sector de infraestructura de transporte.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756841" w:rsidP="00844AE9" w:rsidRDefault="009D3058" w14:paraId="435F4D03" w14:textId="0903BF04">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rsidR="00756841" w:rsidRDefault="00756841" w14:paraId="1BE2B9AE" w14:textId="4B94DB3B">
    <w:pPr>
      <w:pStyle w:val="Encabezado"/>
    </w:pPr>
  </w:p>
  <w:p w:rsidRPr="004A305D" w:rsidR="004A305D" w:rsidP="00B01B1A" w:rsidRDefault="004A305D" w14:paraId="5E18350A" w14:textId="705F7B76">
    <w:pPr>
      <w:spacing w:after="0" w:line="120" w:lineRule="auto"/>
      <w:rPr>
        <w:rFonts w:ascii="Century Gothic" w:hAnsi="Century Gothic" w:eastAsia="Geo" w:cs="Geo"/>
        <w:sz w:val="16"/>
        <w:szCs w:val="16"/>
        <w:lang w:eastAsia="es-CO"/>
      </w:rPr>
    </w:pPr>
  </w:p>
  <w:p w:rsidR="00C925AC" w:rsidP="00844AE9" w:rsidRDefault="00C925AC" w14:paraId="211B7F5D" w14:textId="77777777">
    <w:pPr>
      <w:spacing w:after="0" w:line="240" w:lineRule="auto"/>
      <w:rPr>
        <w:rFonts w:ascii="Verdana" w:hAnsi="Verdana"/>
        <w:sz w:val="24"/>
        <w:szCs w:val="24"/>
      </w:rPr>
    </w:pPr>
  </w:p>
  <w:p w:rsidRPr="00C925AC" w:rsidR="00A14468" w:rsidP="00844AE9" w:rsidRDefault="00A14468" w14:paraId="5A0054B1" w14:textId="77777777">
    <w:pPr>
      <w:spacing w:after="0" w:line="240" w:lineRule="auto"/>
      <w:rPr>
        <w:rFonts w:ascii="Verdana" w:hAnsi="Verdana"/>
        <w:sz w:val="24"/>
        <w:szCs w:val="24"/>
      </w:rPr>
    </w:pPr>
  </w:p>
  <w:p w:rsidRPr="00C925AC" w:rsidR="008A446D" w:rsidP="000D5DA7" w:rsidRDefault="00C925AC" w14:paraId="1FD1C243" w14:textId="37C5500A">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_x0000_i1025" style="width:12.85pt;height:12.85pt" o:bullet="t" type="#_x0000_t75">
        <v:imagedata o:title="mso1B13" r:id="rId1"/>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hint="default" w:ascii="Arial" w:hAnsi="Arial" w:eastAsia="Times New Roman" w:cs="Arial"/>
        <w:b/>
      </w:rPr>
    </w:lvl>
    <w:lvl w:ilvl="1" w:tplc="0C0A0003" w:tentative="1">
      <w:start w:val="1"/>
      <w:numFmt w:val="bullet"/>
      <w:lvlText w:val="o"/>
      <w:lvlJc w:val="left"/>
      <w:pPr>
        <w:ind w:left="1800" w:hanging="360"/>
      </w:pPr>
      <w:rPr>
        <w:rFonts w:hint="default" w:ascii="Courier New" w:hAnsi="Courier New" w:cs="Courier New"/>
      </w:rPr>
    </w:lvl>
    <w:lvl w:ilvl="2" w:tplc="0C0A0005" w:tentative="1">
      <w:start w:val="1"/>
      <w:numFmt w:val="bullet"/>
      <w:lvlText w:val=""/>
      <w:lvlJc w:val="left"/>
      <w:pPr>
        <w:ind w:left="2520" w:hanging="360"/>
      </w:pPr>
      <w:rPr>
        <w:rFonts w:hint="default" w:ascii="Wingdings" w:hAnsi="Wingdings"/>
      </w:rPr>
    </w:lvl>
    <w:lvl w:ilvl="3" w:tplc="0C0A0001" w:tentative="1">
      <w:start w:val="1"/>
      <w:numFmt w:val="bullet"/>
      <w:lvlText w:val=""/>
      <w:lvlJc w:val="left"/>
      <w:pPr>
        <w:ind w:left="3240" w:hanging="360"/>
      </w:pPr>
      <w:rPr>
        <w:rFonts w:hint="default" w:ascii="Symbol" w:hAnsi="Symbol"/>
      </w:rPr>
    </w:lvl>
    <w:lvl w:ilvl="4" w:tplc="0C0A0003" w:tentative="1">
      <w:start w:val="1"/>
      <w:numFmt w:val="bullet"/>
      <w:lvlText w:val="o"/>
      <w:lvlJc w:val="left"/>
      <w:pPr>
        <w:ind w:left="3960" w:hanging="360"/>
      </w:pPr>
      <w:rPr>
        <w:rFonts w:hint="default" w:ascii="Courier New" w:hAnsi="Courier New" w:cs="Courier New"/>
      </w:rPr>
    </w:lvl>
    <w:lvl w:ilvl="5" w:tplc="0C0A0005" w:tentative="1">
      <w:start w:val="1"/>
      <w:numFmt w:val="bullet"/>
      <w:lvlText w:val=""/>
      <w:lvlJc w:val="left"/>
      <w:pPr>
        <w:ind w:left="4680" w:hanging="360"/>
      </w:pPr>
      <w:rPr>
        <w:rFonts w:hint="default" w:ascii="Wingdings" w:hAnsi="Wingdings"/>
      </w:rPr>
    </w:lvl>
    <w:lvl w:ilvl="6" w:tplc="0C0A0001" w:tentative="1">
      <w:start w:val="1"/>
      <w:numFmt w:val="bullet"/>
      <w:lvlText w:val=""/>
      <w:lvlJc w:val="left"/>
      <w:pPr>
        <w:ind w:left="5400" w:hanging="360"/>
      </w:pPr>
      <w:rPr>
        <w:rFonts w:hint="default" w:ascii="Symbol" w:hAnsi="Symbol"/>
      </w:rPr>
    </w:lvl>
    <w:lvl w:ilvl="7" w:tplc="0C0A0003" w:tentative="1">
      <w:start w:val="1"/>
      <w:numFmt w:val="bullet"/>
      <w:lvlText w:val="o"/>
      <w:lvlJc w:val="left"/>
      <w:pPr>
        <w:ind w:left="6120" w:hanging="360"/>
      </w:pPr>
      <w:rPr>
        <w:rFonts w:hint="default" w:ascii="Courier New" w:hAnsi="Courier New" w:cs="Courier New"/>
      </w:rPr>
    </w:lvl>
    <w:lvl w:ilvl="8" w:tplc="0C0A0005" w:tentative="1">
      <w:start w:val="1"/>
      <w:numFmt w:val="bullet"/>
      <w:lvlText w:val=""/>
      <w:lvlJc w:val="left"/>
      <w:pPr>
        <w:ind w:left="6840" w:hanging="360"/>
      </w:pPr>
      <w:rPr>
        <w:rFonts w:hint="default" w:ascii="Wingdings" w:hAnsi="Wingdings"/>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hint="default" w:ascii="Symbol" w:hAnsi="Symbol"/>
      </w:rPr>
    </w:lvl>
    <w:lvl w:ilvl="1" w:tplc="040A0003" w:tentative="1">
      <w:start w:val="1"/>
      <w:numFmt w:val="bullet"/>
      <w:lvlText w:val="o"/>
      <w:lvlJc w:val="left"/>
      <w:pPr>
        <w:ind w:left="1440" w:hanging="360"/>
      </w:pPr>
      <w:rPr>
        <w:rFonts w:hint="default" w:ascii="Courier New" w:hAnsi="Courier New" w:cs="Courier New"/>
      </w:rPr>
    </w:lvl>
    <w:lvl w:ilvl="2" w:tplc="040A0005" w:tentative="1">
      <w:start w:val="1"/>
      <w:numFmt w:val="bullet"/>
      <w:lvlText w:val=""/>
      <w:lvlJc w:val="left"/>
      <w:pPr>
        <w:ind w:left="2160" w:hanging="360"/>
      </w:pPr>
      <w:rPr>
        <w:rFonts w:hint="default" w:ascii="Wingdings" w:hAnsi="Wingdings"/>
      </w:rPr>
    </w:lvl>
    <w:lvl w:ilvl="3" w:tplc="040A0001" w:tentative="1">
      <w:start w:val="1"/>
      <w:numFmt w:val="bullet"/>
      <w:lvlText w:val=""/>
      <w:lvlJc w:val="left"/>
      <w:pPr>
        <w:ind w:left="2880" w:hanging="360"/>
      </w:pPr>
      <w:rPr>
        <w:rFonts w:hint="default" w:ascii="Symbol" w:hAnsi="Symbol"/>
      </w:rPr>
    </w:lvl>
    <w:lvl w:ilvl="4" w:tplc="040A0003" w:tentative="1">
      <w:start w:val="1"/>
      <w:numFmt w:val="bullet"/>
      <w:lvlText w:val="o"/>
      <w:lvlJc w:val="left"/>
      <w:pPr>
        <w:ind w:left="3600" w:hanging="360"/>
      </w:pPr>
      <w:rPr>
        <w:rFonts w:hint="default" w:ascii="Courier New" w:hAnsi="Courier New" w:cs="Courier New"/>
      </w:rPr>
    </w:lvl>
    <w:lvl w:ilvl="5" w:tplc="040A0005" w:tentative="1">
      <w:start w:val="1"/>
      <w:numFmt w:val="bullet"/>
      <w:lvlText w:val=""/>
      <w:lvlJc w:val="left"/>
      <w:pPr>
        <w:ind w:left="4320" w:hanging="360"/>
      </w:pPr>
      <w:rPr>
        <w:rFonts w:hint="default" w:ascii="Wingdings" w:hAnsi="Wingdings"/>
      </w:rPr>
    </w:lvl>
    <w:lvl w:ilvl="6" w:tplc="040A0001" w:tentative="1">
      <w:start w:val="1"/>
      <w:numFmt w:val="bullet"/>
      <w:lvlText w:val=""/>
      <w:lvlJc w:val="left"/>
      <w:pPr>
        <w:ind w:left="5040" w:hanging="360"/>
      </w:pPr>
      <w:rPr>
        <w:rFonts w:hint="default" w:ascii="Symbol" w:hAnsi="Symbol"/>
      </w:rPr>
    </w:lvl>
    <w:lvl w:ilvl="7" w:tplc="040A0003" w:tentative="1">
      <w:start w:val="1"/>
      <w:numFmt w:val="bullet"/>
      <w:lvlText w:val="o"/>
      <w:lvlJc w:val="left"/>
      <w:pPr>
        <w:ind w:left="5760" w:hanging="360"/>
      </w:pPr>
      <w:rPr>
        <w:rFonts w:hint="default" w:ascii="Courier New" w:hAnsi="Courier New" w:cs="Courier New"/>
      </w:rPr>
    </w:lvl>
    <w:lvl w:ilvl="8" w:tplc="040A0005" w:tentative="1">
      <w:start w:val="1"/>
      <w:numFmt w:val="bullet"/>
      <w:lvlText w:val=""/>
      <w:lvlJc w:val="left"/>
      <w:pPr>
        <w:ind w:left="6480" w:hanging="360"/>
      </w:pPr>
      <w:rPr>
        <w:rFonts w:hint="default" w:ascii="Wingdings" w:hAnsi="Wingdings"/>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hint="default" w:ascii="Symbol" w:hAnsi="Symbol"/>
        <w:color w:val="auto"/>
      </w:rPr>
    </w:lvl>
    <w:lvl w:ilvl="1" w:tplc="240A0003" w:tentative="1">
      <w:start w:val="1"/>
      <w:numFmt w:val="bullet"/>
      <w:lvlText w:val="o"/>
      <w:lvlJc w:val="left"/>
      <w:pPr>
        <w:ind w:left="1505" w:hanging="360"/>
      </w:pPr>
      <w:rPr>
        <w:rFonts w:hint="default" w:ascii="Courier New" w:hAnsi="Courier New" w:cs="Courier New"/>
      </w:rPr>
    </w:lvl>
    <w:lvl w:ilvl="2" w:tplc="240A0005" w:tentative="1">
      <w:start w:val="1"/>
      <w:numFmt w:val="bullet"/>
      <w:lvlText w:val=""/>
      <w:lvlJc w:val="left"/>
      <w:pPr>
        <w:ind w:left="2225" w:hanging="360"/>
      </w:pPr>
      <w:rPr>
        <w:rFonts w:hint="default" w:ascii="Wingdings" w:hAnsi="Wingdings"/>
      </w:rPr>
    </w:lvl>
    <w:lvl w:ilvl="3" w:tplc="240A0001" w:tentative="1">
      <w:start w:val="1"/>
      <w:numFmt w:val="bullet"/>
      <w:lvlText w:val=""/>
      <w:lvlJc w:val="left"/>
      <w:pPr>
        <w:ind w:left="2945" w:hanging="360"/>
      </w:pPr>
      <w:rPr>
        <w:rFonts w:hint="default" w:ascii="Symbol" w:hAnsi="Symbol"/>
      </w:rPr>
    </w:lvl>
    <w:lvl w:ilvl="4" w:tplc="240A0003" w:tentative="1">
      <w:start w:val="1"/>
      <w:numFmt w:val="bullet"/>
      <w:lvlText w:val="o"/>
      <w:lvlJc w:val="left"/>
      <w:pPr>
        <w:ind w:left="3665" w:hanging="360"/>
      </w:pPr>
      <w:rPr>
        <w:rFonts w:hint="default" w:ascii="Courier New" w:hAnsi="Courier New" w:cs="Courier New"/>
      </w:rPr>
    </w:lvl>
    <w:lvl w:ilvl="5" w:tplc="240A0005" w:tentative="1">
      <w:start w:val="1"/>
      <w:numFmt w:val="bullet"/>
      <w:lvlText w:val=""/>
      <w:lvlJc w:val="left"/>
      <w:pPr>
        <w:ind w:left="4385" w:hanging="360"/>
      </w:pPr>
      <w:rPr>
        <w:rFonts w:hint="default" w:ascii="Wingdings" w:hAnsi="Wingdings"/>
      </w:rPr>
    </w:lvl>
    <w:lvl w:ilvl="6" w:tplc="240A0001" w:tentative="1">
      <w:start w:val="1"/>
      <w:numFmt w:val="bullet"/>
      <w:lvlText w:val=""/>
      <w:lvlJc w:val="left"/>
      <w:pPr>
        <w:ind w:left="5105" w:hanging="360"/>
      </w:pPr>
      <w:rPr>
        <w:rFonts w:hint="default" w:ascii="Symbol" w:hAnsi="Symbol"/>
      </w:rPr>
    </w:lvl>
    <w:lvl w:ilvl="7" w:tplc="240A0003" w:tentative="1">
      <w:start w:val="1"/>
      <w:numFmt w:val="bullet"/>
      <w:lvlText w:val="o"/>
      <w:lvlJc w:val="left"/>
      <w:pPr>
        <w:ind w:left="5825" w:hanging="360"/>
      </w:pPr>
      <w:rPr>
        <w:rFonts w:hint="default" w:ascii="Courier New" w:hAnsi="Courier New" w:cs="Courier New"/>
      </w:rPr>
    </w:lvl>
    <w:lvl w:ilvl="8" w:tplc="240A0005" w:tentative="1">
      <w:start w:val="1"/>
      <w:numFmt w:val="bullet"/>
      <w:lvlText w:val=""/>
      <w:lvlJc w:val="left"/>
      <w:pPr>
        <w:ind w:left="6545" w:hanging="360"/>
      </w:pPr>
      <w:rPr>
        <w:rFonts w:hint="default" w:ascii="Wingdings" w:hAnsi="Wingdings"/>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dirty"/>
  <w:trackRevisions w:val="false"/>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D90"/>
    <w:rsid w:val="00016F78"/>
    <w:rsid w:val="00046945"/>
    <w:rsid w:val="00061B2A"/>
    <w:rsid w:val="00082362"/>
    <w:rsid w:val="000A683E"/>
    <w:rsid w:val="000B19B9"/>
    <w:rsid w:val="000D0334"/>
    <w:rsid w:val="000D5DA7"/>
    <w:rsid w:val="000F6486"/>
    <w:rsid w:val="0011509F"/>
    <w:rsid w:val="00116940"/>
    <w:rsid w:val="00125105"/>
    <w:rsid w:val="00127233"/>
    <w:rsid w:val="0014003A"/>
    <w:rsid w:val="0015699B"/>
    <w:rsid w:val="001A33BF"/>
    <w:rsid w:val="001A6631"/>
    <w:rsid w:val="001D7E6E"/>
    <w:rsid w:val="001E4177"/>
    <w:rsid w:val="001F0B24"/>
    <w:rsid w:val="001F7DC6"/>
    <w:rsid w:val="00216C0C"/>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95F7D"/>
    <w:rsid w:val="003A779E"/>
    <w:rsid w:val="003D0F4D"/>
    <w:rsid w:val="003D5B0D"/>
    <w:rsid w:val="003E0499"/>
    <w:rsid w:val="003E4F80"/>
    <w:rsid w:val="003E6439"/>
    <w:rsid w:val="003F0734"/>
    <w:rsid w:val="003F3941"/>
    <w:rsid w:val="00406575"/>
    <w:rsid w:val="00410737"/>
    <w:rsid w:val="00414C74"/>
    <w:rsid w:val="0042722E"/>
    <w:rsid w:val="004450C9"/>
    <w:rsid w:val="0044528D"/>
    <w:rsid w:val="00466E39"/>
    <w:rsid w:val="004A1847"/>
    <w:rsid w:val="004A305D"/>
    <w:rsid w:val="004F21C4"/>
    <w:rsid w:val="004F685F"/>
    <w:rsid w:val="00513DA7"/>
    <w:rsid w:val="00515CA8"/>
    <w:rsid w:val="005566E8"/>
    <w:rsid w:val="00574867"/>
    <w:rsid w:val="00591460"/>
    <w:rsid w:val="005A65E0"/>
    <w:rsid w:val="005C3777"/>
    <w:rsid w:val="005C5CDC"/>
    <w:rsid w:val="005D476C"/>
    <w:rsid w:val="006200BF"/>
    <w:rsid w:val="006219F8"/>
    <w:rsid w:val="006302F7"/>
    <w:rsid w:val="00646B9F"/>
    <w:rsid w:val="00651026"/>
    <w:rsid w:val="00665D70"/>
    <w:rsid w:val="006900D9"/>
    <w:rsid w:val="006D1013"/>
    <w:rsid w:val="00701A21"/>
    <w:rsid w:val="00706C16"/>
    <w:rsid w:val="007340C3"/>
    <w:rsid w:val="0075235A"/>
    <w:rsid w:val="00756841"/>
    <w:rsid w:val="007649AB"/>
    <w:rsid w:val="00771D0C"/>
    <w:rsid w:val="007833AC"/>
    <w:rsid w:val="007B268C"/>
    <w:rsid w:val="007B7171"/>
    <w:rsid w:val="007C0C0F"/>
    <w:rsid w:val="007C3DC2"/>
    <w:rsid w:val="007E5497"/>
    <w:rsid w:val="00806DAF"/>
    <w:rsid w:val="00806F5F"/>
    <w:rsid w:val="00820278"/>
    <w:rsid w:val="008258C9"/>
    <w:rsid w:val="00844AE9"/>
    <w:rsid w:val="008600B3"/>
    <w:rsid w:val="00867F95"/>
    <w:rsid w:val="008843B6"/>
    <w:rsid w:val="00891928"/>
    <w:rsid w:val="008A446D"/>
    <w:rsid w:val="008B25F1"/>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2B3"/>
    <w:rsid w:val="00A33C78"/>
    <w:rsid w:val="00AB0ADB"/>
    <w:rsid w:val="00AB2357"/>
    <w:rsid w:val="00B00C0E"/>
    <w:rsid w:val="00B01B1A"/>
    <w:rsid w:val="00B0381D"/>
    <w:rsid w:val="00B371E7"/>
    <w:rsid w:val="00B44A47"/>
    <w:rsid w:val="00B72CD3"/>
    <w:rsid w:val="00B72FFF"/>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2746"/>
    <w:rsid w:val="00F23FEA"/>
    <w:rsid w:val="00F31EDC"/>
    <w:rsid w:val="00F462B3"/>
    <w:rsid w:val="00F5664F"/>
    <w:rsid w:val="00F666C4"/>
    <w:rsid w:val="00F76AFC"/>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9D1F997"/>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E245AB"/>
  </w:style>
  <w:style w:type="character" w:styleId="Fuentedeprrafopredeter" w:default="1">
    <w:name w:val="Default Paragraph Font"/>
    <w:uiPriority w:val="1"/>
    <w:semiHidden/>
    <w:unhideWhenUsed/>
  </w:style>
  <w:style w:type="table" w:styleId="Tablanormal" w:default="1">
    <w:name w:val="Normal Table"/>
    <w:uiPriority w:val="99"/>
    <w:semiHidden/>
    <w:unhideWhenUsed/>
    <w:tblPr>
      <w:tblInd w:w="0" w:type="dxa"/>
      <w:tblCellMar>
        <w:top w:w="0" w:type="dxa"/>
        <w:left w:w="108" w:type="dxa"/>
        <w:bottom w:w="0" w:type="dxa"/>
        <w:right w:w="108" w:type="dxa"/>
      </w:tblCellMar>
    </w:tblPr>
  </w:style>
  <w:style w:type="numbering" w:styleId="Sinlista" w:default="1">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styleId="EncabezadoCar" w:customStyle="1">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styleId="PiedepginaCar" w:customStyle="1">
    <w:name w:val="Pie de página Car"/>
    <w:basedOn w:val="Fuentedeprrafopredeter"/>
    <w:link w:val="Piedepgina"/>
    <w:uiPriority w:val="99"/>
    <w:rsid w:val="004A1847"/>
  </w:style>
  <w:style w:type="paragraph" w:styleId="Default" w:customStyle="1">
    <w:name w:val="Default"/>
    <w:rsid w:val="006219F8"/>
    <w:pPr>
      <w:autoSpaceDE w:val="0"/>
      <w:autoSpaceDN w:val="0"/>
      <w:adjustRightInd w:val="0"/>
      <w:spacing w:after="0" w:line="240" w:lineRule="auto"/>
    </w:pPr>
    <w:rPr>
      <w:rFonts w:ascii="Arial" w:hAnsi="Arial" w:cs="Arial"/>
      <w:color w:val="000000"/>
      <w:sz w:val="24"/>
      <w:szCs w:val="24"/>
    </w:rPr>
  </w:style>
  <w:style w:type="character" w:styleId="TextonotapieCar" w:customStyle="1">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styleId="TextonotapieCar1" w:customStyle="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F"/>
    <w:basedOn w:val="Fuentedeprrafopredeter"/>
    <w:link w:val="Appelnotedebasde"/>
    <w:uiPriority w:val="99"/>
    <w:unhideWhenUsed/>
    <w:qFormat/>
    <w:rsid w:val="006219F8"/>
    <w:rPr>
      <w:vertAlign w:val="superscript"/>
    </w:rPr>
  </w:style>
  <w:style w:type="character" w:styleId="normaltextrun" w:customStyle="1">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hAnsi="Geomanist" w:eastAsiaTheme="majorEastAsia" w:cstheme="majorBidi"/>
      <w:spacing w:val="-10"/>
      <w:kern w:val="28"/>
      <w:szCs w:val="56"/>
      <w:lang w:val="es-ES"/>
    </w:rPr>
  </w:style>
  <w:style w:type="character" w:styleId="TtuloCar" w:customStyle="1">
    <w:name w:val="Título Car"/>
    <w:basedOn w:val="Fuentedeprrafopredeter"/>
    <w:link w:val="Ttulo"/>
    <w:uiPriority w:val="10"/>
    <w:rsid w:val="005566E8"/>
    <w:rPr>
      <w:rFonts w:ascii="Geomanist" w:hAnsi="Geomanist" w:eastAsiaTheme="majorEastAsia" w:cstheme="majorBidi"/>
      <w:spacing w:val="-10"/>
      <w:kern w:val="28"/>
      <w:szCs w:val="56"/>
      <w:lang w:val="es-ES"/>
    </w:rPr>
  </w:style>
  <w:style w:type="character" w:styleId="ui-provider" w:customStyle="1">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styleId="paragraph" w:customStyle="1">
    <w:name w:val="paragraph"/>
    <w:basedOn w:val="Normal"/>
    <w:rsid w:val="00322A85"/>
    <w:pPr>
      <w:spacing w:before="100" w:beforeAutospacing="1" w:after="100" w:afterAutospacing="1" w:line="240" w:lineRule="auto"/>
    </w:pPr>
    <w:rPr>
      <w:rFonts w:ascii="Times New Roman" w:hAnsi="Times New Roman" w:eastAsia="Times New Roman" w:cs="Times New Roman"/>
      <w:sz w:val="24"/>
      <w:szCs w:val="24"/>
      <w:lang w:eastAsia="es-CO"/>
    </w:rPr>
  </w:style>
  <w:style w:type="character" w:styleId="tabchar" w:customStyle="1">
    <w:name w:val="tabchar"/>
    <w:basedOn w:val="Fuentedeprrafopredeter"/>
    <w:rsid w:val="00322A85"/>
  </w:style>
  <w:style w:type="character" w:styleId="eop" w:customStyle="1">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hAnsi="Times New Roman" w:eastAsia="Times New Roman" w:cs="Times New Roman"/>
      <w:sz w:val="24"/>
      <w:szCs w:val="24"/>
      <w:lang w:eastAsia="es-CO"/>
    </w:rPr>
  </w:style>
  <w:style w:type="paragraph" w:styleId="blanco" w:customStyle="1">
    <w:name w:val="blanco"/>
    <w:basedOn w:val="Normal"/>
    <w:rsid w:val="00C76B1C"/>
    <w:pPr>
      <w:spacing w:before="100" w:beforeAutospacing="1" w:after="100" w:afterAutospacing="1" w:line="240" w:lineRule="auto"/>
    </w:pPr>
    <w:rPr>
      <w:rFonts w:ascii="Times New Roman" w:hAnsi="Times New Roman" w:eastAsia="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styleId="Appelnotedebasde" w:customStyle="1">
    <w:name w:val="Appel note de bas de..."/>
    <w:basedOn w:val="Normal"/>
    <w:link w:val="Refdenotaalpie"/>
    <w:uiPriority w:val="99"/>
    <w:rsid w:val="001A6631"/>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hyperlink" Target="https://formacionvirtual.colombiacompra.gov.co/mod/page/view.php?id=3718" TargetMode="External" Id="rId13" /><Relationship Type="http://schemas.openxmlformats.org/officeDocument/2006/relationships/footer" Target="footer1.xml" Id="rId18"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hyperlink" Target="https://relatoria.colombiacompra.gov.co/busqueda/conceptos" TargetMode="External" Id="rId12" /><Relationship Type="http://schemas.openxmlformats.org/officeDocument/2006/relationships/header" Target="header1.xml" Id="rId17" /><Relationship Type="http://schemas.openxmlformats.org/officeDocument/2006/relationships/customXml" Target="../customXml/item2.xml" Id="rId2" /><Relationship Type="http://schemas.openxmlformats.org/officeDocument/2006/relationships/image" Target="media/image3.png" Id="rId16" /><Relationship Type="http://schemas.openxmlformats.org/officeDocument/2006/relationships/theme" Target="theme/theme1.xml" Id="rId20"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hyperlink" Target="https://www.colombiacompra.gov.co/normativa-y-relatoria/documentos-tipo" TargetMode="External" Id="rId11" /><Relationship Type="http://schemas.openxmlformats.org/officeDocument/2006/relationships/styles" Target="styles.xml" Id="rId5" /><Relationship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 Id="rId15" /><Relationship Type="http://schemas.openxmlformats.org/officeDocument/2006/relationships/image" Target="media/image2.png" Id="rId10" /><Relationship Type="http://schemas.openxmlformats.org/officeDocument/2006/relationships/fontTable" Target="fontTable.xml" Id="rId19"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hyperlink" Target="https://www.colombiacompra.gov.co/normativa-y-relatoria/documentos-tipo" TargetMode="External" Id="rId14" /></Relationships>
</file>

<file path=word/_rels/footnotes.xml.rels><?xml version="1.0" encoding="UTF-8" standalone="yes"?>
<Relationships xmlns="http://schemas.openxmlformats.org/package/2006/relationships"><Relationship Id="rId3" Type="http://schemas.openxmlformats.org/officeDocument/2006/relationships/hyperlink" Target="https://www.colombiacompra.gov.co/circulares?page=2" TargetMode="External"/><Relationship Id="rId2" Type="http://schemas.openxmlformats.org/officeDocument/2006/relationships/hyperlink" Target="https://relatoria.colombiacompra.gov.co/conceptos/c-447-de-2024/" TargetMode="External"/><Relationship Id="rId1" Type="http://schemas.openxmlformats.org/officeDocument/2006/relationships/hyperlink" Target="https://relatoria.colombiacompra.gov.co/conceptos/c-285-de-2022/"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xmlns:thm15="http://schemas.microsoft.com/office/thememl/2012/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F644C3FF-DFBE-4DA5-AC12-23DC9C32FA05}"/>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Andrés Felipe Ospina Acosta</dc:creator>
  <keywords/>
  <dc:description/>
  <lastModifiedBy>Maria Valeska Medellín Mora</lastModifiedBy>
  <revision>6</revision>
  <lastPrinted>2023-01-10T21:18:00.0000000Z</lastPrinted>
  <dcterms:created xsi:type="dcterms:W3CDTF">2026-06-03T21:54:00.0000000Z</dcterms:created>
  <dcterms:modified xsi:type="dcterms:W3CDTF">2026-06-23T15:44:05.2300890Z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