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AD8299" w14:textId="77777777" w:rsidR="003D69C4" w:rsidRDefault="003D69C4" w:rsidP="003D69C4">
      <w:pPr>
        <w:jc w:val="both"/>
        <w:rPr>
          <w:rFonts w:ascii="Verdana" w:eastAsia="Calibri" w:hAnsi="Verdana" w:cs="Arial"/>
          <w:b/>
          <w:bCs/>
          <w:lang w:val="es-ES" w:eastAsia="es-ES"/>
        </w:rPr>
      </w:pPr>
      <w:bookmarkStart w:id="0" w:name="_Hlk143780582"/>
      <w:r w:rsidRPr="003D69C4">
        <w:rPr>
          <w:rFonts w:ascii="Verdana" w:eastAsia="Calibri" w:hAnsi="Verdana" w:cs="Arial"/>
          <w:b/>
          <w:bCs/>
          <w:lang w:val="es-ES" w:eastAsia="es-ES"/>
        </w:rPr>
        <w:t xml:space="preserve">PRECIO – Estructuración del precio </w:t>
      </w:r>
    </w:p>
    <w:p w14:paraId="222835FA" w14:textId="1F7D8FFF" w:rsidR="003D69C4" w:rsidRPr="004F3256" w:rsidRDefault="003D69C4" w:rsidP="003D69C4">
      <w:pPr>
        <w:spacing w:after="0" w:line="240" w:lineRule="auto"/>
        <w:jc w:val="both"/>
        <w:rPr>
          <w:rFonts w:ascii="Verdana" w:eastAsia="Calibri" w:hAnsi="Verdana" w:cs="Arial"/>
          <w:bCs/>
          <w:color w:val="000000" w:themeColor="text1"/>
          <w:sz w:val="20"/>
          <w:szCs w:val="20"/>
          <w:lang w:val="es-ES" w:eastAsia="es-ES_tradnl"/>
        </w:rPr>
      </w:pPr>
      <w:r>
        <w:rPr>
          <w:rFonts w:ascii="Verdana" w:eastAsia="Calibri" w:hAnsi="Verdana" w:cs="Arial"/>
          <w:bCs/>
          <w:color w:val="000000" w:themeColor="text1"/>
          <w:sz w:val="20"/>
          <w:szCs w:val="20"/>
          <w:lang w:val="es-ES" w:eastAsia="es-ES_tradnl"/>
        </w:rPr>
        <w:t>[…] u</w:t>
      </w:r>
      <w:r w:rsidRPr="004F3256">
        <w:rPr>
          <w:rFonts w:ascii="Verdana" w:eastAsia="Calibri" w:hAnsi="Verdana" w:cs="Arial"/>
          <w:bCs/>
          <w:color w:val="000000" w:themeColor="text1"/>
          <w:sz w:val="20"/>
          <w:szCs w:val="20"/>
          <w:lang w:val="es-ES" w:eastAsia="es-ES_tradnl"/>
        </w:rPr>
        <w:t>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7BAB8272" w14:textId="77777777" w:rsidR="003D69C4" w:rsidRPr="004F3256" w:rsidRDefault="003D69C4" w:rsidP="003D69C4">
      <w:pPr>
        <w:spacing w:after="0" w:line="240" w:lineRule="auto"/>
        <w:jc w:val="both"/>
        <w:rPr>
          <w:rFonts w:ascii="Verdana" w:eastAsia="Calibri" w:hAnsi="Verdana" w:cs="Arial"/>
          <w:bCs/>
          <w:color w:val="000000" w:themeColor="text1"/>
          <w:sz w:val="20"/>
          <w:szCs w:val="20"/>
          <w:lang w:val="es-ES" w:eastAsia="es-ES_tradnl"/>
        </w:rPr>
      </w:pPr>
    </w:p>
    <w:p w14:paraId="685F1C1A" w14:textId="77777777" w:rsidR="003D69C4" w:rsidRDefault="003D69C4" w:rsidP="003D69C4">
      <w:pPr>
        <w:spacing w:after="0" w:line="240" w:lineRule="auto"/>
        <w:jc w:val="both"/>
        <w:rPr>
          <w:rFonts w:ascii="Verdana" w:eastAsia="Calibri" w:hAnsi="Verdana" w:cs="Arial"/>
          <w:bCs/>
          <w:color w:val="000000" w:themeColor="text1"/>
          <w:sz w:val="20"/>
          <w:szCs w:val="20"/>
          <w:lang w:val="es-ES" w:eastAsia="es-ES_tradnl"/>
        </w:rPr>
      </w:pPr>
      <w:r w:rsidRPr="004F3256">
        <w:rPr>
          <w:rFonts w:ascii="Verdana" w:eastAsia="Calibri" w:hAnsi="Verdana" w:cs="Arial"/>
          <w:bCs/>
          <w:color w:val="000000" w:themeColor="text1"/>
          <w:sz w:val="20"/>
          <w:szCs w:val="20"/>
          <w:lang w:val="es-ES" w:eastAsia="es-ES_tradnl"/>
        </w:rPr>
        <w:t xml:space="preserve">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 </w:t>
      </w:r>
    </w:p>
    <w:p w14:paraId="0015E530" w14:textId="77777777" w:rsidR="003D69C4" w:rsidRDefault="003D69C4" w:rsidP="003D69C4">
      <w:pPr>
        <w:spacing w:after="0" w:line="240" w:lineRule="auto"/>
        <w:jc w:val="both"/>
        <w:rPr>
          <w:rFonts w:ascii="Verdana" w:eastAsia="Calibri" w:hAnsi="Verdana" w:cs="Arial"/>
          <w:bCs/>
          <w:color w:val="000000" w:themeColor="text1"/>
          <w:sz w:val="20"/>
          <w:szCs w:val="20"/>
          <w:lang w:val="es-ES" w:eastAsia="es-ES_tradnl"/>
        </w:rPr>
      </w:pPr>
    </w:p>
    <w:p w14:paraId="6990E1FB" w14:textId="23C60E0E" w:rsidR="003D69C4" w:rsidRPr="003D69C4" w:rsidRDefault="003D69C4" w:rsidP="003D69C4">
      <w:pPr>
        <w:spacing w:after="0" w:line="240" w:lineRule="auto"/>
        <w:jc w:val="both"/>
        <w:rPr>
          <w:rFonts w:ascii="Verdana" w:eastAsia="Calibri" w:hAnsi="Verdana" w:cs="Arial"/>
          <w:bCs/>
          <w:color w:val="000000" w:themeColor="text1"/>
          <w:sz w:val="20"/>
          <w:szCs w:val="20"/>
          <w:lang w:val="es-ES" w:eastAsia="es-ES_tradnl"/>
        </w:rPr>
      </w:pPr>
      <w:r w:rsidRPr="003D69C4">
        <w:rPr>
          <w:rFonts w:ascii="Verdana" w:eastAsia="Calibri" w:hAnsi="Verdana" w:cs="Arial"/>
          <w:b/>
          <w:bCs/>
          <w:lang w:val="es-ES" w:eastAsia="es-ES"/>
        </w:rPr>
        <w:t xml:space="preserve">COSTOS DIRECTOS E INDIRECTOS – Finalidad – Ejecución del contrato AIU – Componentes – Discrecionalidad – Límites </w:t>
      </w:r>
    </w:p>
    <w:p w14:paraId="7C583A1C" w14:textId="77777777" w:rsidR="003D69C4" w:rsidRDefault="003D69C4" w:rsidP="003D69C4">
      <w:pPr>
        <w:spacing w:after="0" w:line="240" w:lineRule="auto"/>
        <w:jc w:val="both"/>
        <w:rPr>
          <w:rFonts w:ascii="Verdana" w:eastAsia="Calibri" w:hAnsi="Verdana" w:cs="Arial"/>
          <w:bCs/>
          <w:color w:val="000000" w:themeColor="text1"/>
          <w:sz w:val="20"/>
          <w:szCs w:val="20"/>
          <w:lang w:val="es-ES" w:eastAsia="es-ES_tradnl"/>
        </w:rPr>
      </w:pPr>
    </w:p>
    <w:p w14:paraId="46A9E182" w14:textId="63061B75" w:rsidR="003D69C4" w:rsidRPr="004F3256" w:rsidRDefault="003D69C4" w:rsidP="003D69C4">
      <w:pPr>
        <w:spacing w:after="0" w:line="240" w:lineRule="auto"/>
        <w:jc w:val="both"/>
        <w:rPr>
          <w:rFonts w:ascii="Verdana" w:eastAsia="Calibri" w:hAnsi="Verdana" w:cs="Arial"/>
          <w:color w:val="000000" w:themeColor="text1"/>
          <w:sz w:val="20"/>
          <w:szCs w:val="20"/>
          <w:lang w:val="es-ES_tradnl"/>
        </w:rPr>
      </w:pPr>
      <w:r w:rsidRPr="004F3256">
        <w:rPr>
          <w:rFonts w:ascii="Verdana" w:eastAsia="Calibri" w:hAnsi="Verdana" w:cs="Arial"/>
          <w:bCs/>
          <w:color w:val="000000" w:themeColor="text1"/>
          <w:sz w:val="20"/>
          <w:szCs w:val="20"/>
          <w:lang w:val="es-ES" w:eastAsia="es-ES_tradnl"/>
        </w:rPr>
        <w:t xml:space="preserve">[…] en los contratos cuyo precio se estructura a partir del sistema de precios unitarios, ha hecho parte de la práctica de los negocios que el contratante le solicite al potencial contratista que separe en su propuesta los </w:t>
      </w:r>
      <w:r w:rsidRPr="004F3256">
        <w:rPr>
          <w:rFonts w:ascii="Verdana" w:eastAsia="Calibri" w:hAnsi="Verdana" w:cs="Arial"/>
          <w:bCs/>
          <w:i/>
          <w:iCs/>
          <w:color w:val="000000" w:themeColor="text1"/>
          <w:sz w:val="20"/>
          <w:szCs w:val="20"/>
          <w:lang w:val="es-ES" w:eastAsia="es-ES_tradnl"/>
        </w:rPr>
        <w:t>costos directos</w:t>
      </w:r>
      <w:r w:rsidRPr="004F3256">
        <w:rPr>
          <w:rFonts w:ascii="Verdana" w:eastAsia="Calibri" w:hAnsi="Verdana" w:cs="Arial"/>
          <w:bCs/>
          <w:color w:val="000000" w:themeColor="text1"/>
          <w:sz w:val="20"/>
          <w:szCs w:val="20"/>
          <w:lang w:val="es-ES" w:eastAsia="es-ES_tradnl"/>
        </w:rPr>
        <w:t xml:space="preserve"> –es decir, los que están directamente implicados en la ejecución del objeto–, de los </w:t>
      </w:r>
      <w:r w:rsidRPr="004F3256">
        <w:rPr>
          <w:rFonts w:ascii="Verdana" w:eastAsia="Calibri" w:hAnsi="Verdana" w:cs="Arial"/>
          <w:bCs/>
          <w:i/>
          <w:iCs/>
          <w:color w:val="000000" w:themeColor="text1"/>
          <w:sz w:val="20"/>
          <w:szCs w:val="20"/>
          <w:lang w:val="es-ES" w:eastAsia="es-ES_tradnl"/>
        </w:rPr>
        <w:t>costos indirectos</w:t>
      </w:r>
      <w:r w:rsidRPr="004F3256">
        <w:rPr>
          <w:rFonts w:ascii="Verdana" w:eastAsia="Calibri" w:hAnsi="Verdana" w:cs="Arial"/>
          <w:bCs/>
          <w:color w:val="000000" w:themeColor="text1"/>
          <w:sz w:val="20"/>
          <w:szCs w:val="20"/>
          <w:lang w:val="es-ES" w:eastAsia="es-ES_tradnl"/>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4F3256">
        <w:rPr>
          <w:rFonts w:ascii="Verdana" w:eastAsia="Calibri" w:hAnsi="Verdana" w:cs="Arial"/>
          <w:bCs/>
          <w:i/>
          <w:iCs/>
          <w:color w:val="000000" w:themeColor="text1"/>
          <w:sz w:val="20"/>
          <w:szCs w:val="20"/>
          <w:lang w:val="es-ES" w:eastAsia="es-ES_tradnl"/>
        </w:rPr>
        <w:t>costos directos</w:t>
      </w:r>
      <w:r w:rsidRPr="004F3256">
        <w:rPr>
          <w:rFonts w:ascii="Verdana" w:eastAsia="Calibri" w:hAnsi="Verdana" w:cs="Arial"/>
          <w:bCs/>
          <w:color w:val="000000" w:themeColor="text1"/>
          <w:sz w:val="20"/>
          <w:szCs w:val="20"/>
          <w:lang w:val="es-ES" w:eastAsia="es-ES_tradnl"/>
        </w:rPr>
        <w:t xml:space="preserve"> se evidencian en el análisis de precios unitarios –APU–, como la sumatoria de los valores de los </w:t>
      </w:r>
      <w:r w:rsidRPr="004F3256">
        <w:rPr>
          <w:rFonts w:ascii="Verdana" w:eastAsia="Calibri" w:hAnsi="Verdana" w:cs="Arial"/>
          <w:bCs/>
          <w:i/>
          <w:iCs/>
          <w:color w:val="000000" w:themeColor="text1"/>
          <w:sz w:val="20"/>
          <w:szCs w:val="20"/>
          <w:lang w:val="es-ES" w:eastAsia="es-ES_tradnl"/>
        </w:rPr>
        <w:t>ítems</w:t>
      </w:r>
      <w:r w:rsidRPr="004F3256">
        <w:rPr>
          <w:rFonts w:ascii="Verdana" w:eastAsia="Calibri" w:hAnsi="Verdana" w:cs="Arial"/>
          <w:bCs/>
          <w:color w:val="000000" w:themeColor="text1"/>
          <w:sz w:val="20"/>
          <w:szCs w:val="20"/>
          <w:lang w:val="es-ES" w:eastAsia="es-ES_tradnl"/>
        </w:rPr>
        <w:t xml:space="preserve"> según su unidad de medida, los </w:t>
      </w:r>
      <w:r w:rsidRPr="004F3256">
        <w:rPr>
          <w:rFonts w:ascii="Verdana" w:eastAsia="Calibri" w:hAnsi="Verdana" w:cs="Arial"/>
          <w:bCs/>
          <w:i/>
          <w:iCs/>
          <w:color w:val="000000" w:themeColor="text1"/>
          <w:sz w:val="20"/>
          <w:szCs w:val="20"/>
          <w:lang w:val="es-ES" w:eastAsia="es-ES_tradnl"/>
        </w:rPr>
        <w:t>costos indirectos</w:t>
      </w:r>
      <w:r w:rsidRPr="004F3256">
        <w:rPr>
          <w:rFonts w:ascii="Verdana" w:eastAsia="Calibri" w:hAnsi="Verdana" w:cs="Arial"/>
          <w:bCs/>
          <w:color w:val="000000" w:themeColor="text1"/>
          <w:sz w:val="20"/>
          <w:szCs w:val="20"/>
          <w:lang w:val="es-ES" w:eastAsia="es-ES_tradnl"/>
        </w:rPr>
        <w:t xml:space="preserve"> se suelen abreviar en las variables que integran el acrónimo AIU –Administración, Imprevistos y Utilidad–</w:t>
      </w:r>
      <w:r w:rsidRPr="004F3256">
        <w:rPr>
          <w:rFonts w:ascii="Verdana" w:eastAsia="Calibri" w:hAnsi="Verdana" w:cs="Arial"/>
          <w:color w:val="000000" w:themeColor="text1"/>
          <w:sz w:val="20"/>
          <w:szCs w:val="20"/>
          <w:lang w:val="es-ES_tradnl"/>
        </w:rPr>
        <w:t>.</w:t>
      </w:r>
    </w:p>
    <w:p w14:paraId="7E3D246B" w14:textId="77777777" w:rsidR="003D69C4" w:rsidRPr="004F3256" w:rsidRDefault="003D69C4" w:rsidP="003D69C4">
      <w:pPr>
        <w:spacing w:after="0" w:line="240" w:lineRule="auto"/>
        <w:jc w:val="both"/>
        <w:rPr>
          <w:rFonts w:ascii="Verdana" w:eastAsia="Calibri" w:hAnsi="Verdana" w:cs="Arial"/>
          <w:color w:val="000000" w:themeColor="text1"/>
          <w:sz w:val="20"/>
          <w:szCs w:val="20"/>
          <w:lang w:val="es-ES_tradnl"/>
        </w:rPr>
      </w:pPr>
    </w:p>
    <w:p w14:paraId="0AAB282B" w14:textId="2F09F77D" w:rsidR="003D69C4" w:rsidRDefault="003D69C4" w:rsidP="003D69C4">
      <w:pPr>
        <w:spacing w:after="0" w:line="240" w:lineRule="auto"/>
        <w:jc w:val="both"/>
        <w:rPr>
          <w:rFonts w:ascii="Verdana" w:eastAsia="Calibri" w:hAnsi="Verdana" w:cs="Arial"/>
          <w:bCs/>
          <w:color w:val="000000" w:themeColor="text1"/>
          <w:sz w:val="20"/>
          <w:szCs w:val="20"/>
          <w:lang w:val="es-ES" w:eastAsia="es-ES_tradnl"/>
        </w:rPr>
      </w:pPr>
      <w:r w:rsidRPr="004F3256">
        <w:rPr>
          <w:rFonts w:ascii="Verdana" w:eastAsia="Calibri" w:hAnsi="Verdana" w:cs="Arial"/>
          <w:bCs/>
          <w:color w:val="000000" w:themeColor="text1"/>
          <w:sz w:val="20"/>
          <w:szCs w:val="20"/>
          <w:lang w:val="es-ES" w:eastAsia="es-ES_tradnl"/>
        </w:rPr>
        <w:t xml:space="preserve">La jurisprudencia ha señalado que “[…] en la conformación de dichos precios unitarios, se tienen en cuenta todos los gastos que se requieren para realizar la unidad de medida respectiva –el metro lineal, el metro cúbico, el metro cuadrado, etc.-. Y lo que comúnmente se denomina análisis de precios unitarios, corresponde a la descomposición de </w:t>
      </w:r>
      <w:proofErr w:type="gramStart"/>
      <w:r w:rsidRPr="004F3256">
        <w:rPr>
          <w:rFonts w:ascii="Verdana" w:eastAsia="Calibri" w:hAnsi="Verdana" w:cs="Arial"/>
          <w:bCs/>
          <w:color w:val="000000" w:themeColor="text1"/>
          <w:sz w:val="20"/>
          <w:szCs w:val="20"/>
          <w:lang w:val="es-ES" w:eastAsia="es-ES_tradnl"/>
        </w:rPr>
        <w:t>los mismos</w:t>
      </w:r>
      <w:proofErr w:type="gramEnd"/>
      <w:r w:rsidRPr="004F3256">
        <w:rPr>
          <w:rFonts w:ascii="Verdana" w:eastAsia="Calibri" w:hAnsi="Verdana" w:cs="Arial"/>
          <w:bCs/>
          <w:color w:val="000000" w:themeColor="text1"/>
          <w:sz w:val="20"/>
          <w:szCs w:val="20"/>
          <w:lang w:val="es-ES" w:eastAsia="es-ES_tradnl"/>
        </w:rPr>
        <w:t xml:space="preserve"> para determinar los costos que los conforman: la maquinaria que se utilizará, calculando el valor por el tiempo que se requiera; la mano de obra, teniendo en cuenta el costo hora-hombre, y cuántas personas se requieren para la ejecución de esa unidad de medida; la cantidad de los materiales necesarios, etc.”. En concordancia, la doctrina explica que en la estructuración de los precios unitarios se tendrán en cuenta todos los costos directos necesarios para la ejecución del objeto contractual que se multiplicará por al AIU, lo que determina el valor unitario</w:t>
      </w:r>
      <w:r>
        <w:rPr>
          <w:rFonts w:ascii="Verdana" w:eastAsia="Calibri" w:hAnsi="Verdana" w:cs="Arial"/>
          <w:bCs/>
          <w:color w:val="000000" w:themeColor="text1"/>
          <w:sz w:val="20"/>
          <w:szCs w:val="20"/>
          <w:lang w:val="es-ES" w:eastAsia="es-ES_tradnl"/>
        </w:rPr>
        <w:t>.</w:t>
      </w:r>
    </w:p>
    <w:p w14:paraId="620BE300" w14:textId="77777777" w:rsidR="002F29C6" w:rsidRDefault="002F29C6" w:rsidP="003D69C4">
      <w:pPr>
        <w:spacing w:after="0" w:line="240" w:lineRule="auto"/>
        <w:jc w:val="both"/>
        <w:rPr>
          <w:rFonts w:ascii="Verdana" w:eastAsia="Calibri" w:hAnsi="Verdana" w:cs="Arial"/>
          <w:bCs/>
          <w:color w:val="000000" w:themeColor="text1"/>
          <w:sz w:val="20"/>
          <w:szCs w:val="20"/>
          <w:lang w:val="es-ES" w:eastAsia="es-ES_tradnl"/>
        </w:rPr>
      </w:pPr>
    </w:p>
    <w:p w14:paraId="265E4AEF" w14:textId="24A827CE" w:rsidR="002F29C6" w:rsidRPr="004F3256" w:rsidRDefault="002F29C6" w:rsidP="003D69C4">
      <w:pPr>
        <w:spacing w:after="0" w:line="240" w:lineRule="auto"/>
        <w:jc w:val="both"/>
        <w:rPr>
          <w:rFonts w:ascii="Verdana" w:eastAsia="Calibri" w:hAnsi="Verdana" w:cs="Arial"/>
          <w:bCs/>
          <w:color w:val="000000" w:themeColor="text1"/>
          <w:sz w:val="20"/>
          <w:szCs w:val="20"/>
          <w:lang w:val="es-ES" w:eastAsia="es-ES_tradnl"/>
        </w:rPr>
      </w:pPr>
      <w:r>
        <w:rPr>
          <w:rFonts w:ascii="Verdana" w:eastAsia="Calibri" w:hAnsi="Verdana" w:cs="Arial"/>
          <w:bCs/>
          <w:color w:val="000000" w:themeColor="text1"/>
          <w:sz w:val="20"/>
          <w:szCs w:val="20"/>
          <w:lang w:val="es-ES" w:eastAsia="es-ES_tradnl"/>
        </w:rPr>
        <w:t>[…]</w:t>
      </w:r>
    </w:p>
    <w:p w14:paraId="3A68F452" w14:textId="77777777" w:rsidR="002F29C6" w:rsidRDefault="002F29C6" w:rsidP="002F29C6">
      <w:pPr>
        <w:spacing w:after="0" w:line="240" w:lineRule="auto"/>
        <w:jc w:val="both"/>
        <w:rPr>
          <w:rFonts w:ascii="Verdana" w:eastAsia="Geomanist Light" w:hAnsi="Verdana" w:cs="Arial"/>
          <w:color w:val="000000" w:themeColor="text1"/>
          <w:sz w:val="20"/>
          <w:szCs w:val="20"/>
          <w:lang w:val="es-ES_tradnl"/>
        </w:rPr>
      </w:pPr>
      <w:r w:rsidRPr="002F29C6">
        <w:rPr>
          <w:rFonts w:ascii="Verdana" w:hAnsi="Verdana" w:cs="Arial"/>
          <w:bCs/>
          <w:sz w:val="20"/>
          <w:szCs w:val="20"/>
          <w:lang w:val="es-ES_tradnl" w:eastAsia="es-ES_tradnl"/>
        </w:rPr>
        <w:lastRenderedPageBreak/>
        <w:t xml:space="preserve">Así pues, ni el sistema de precios unitarios –como metodología de estipulación del valor contractual–, </w:t>
      </w:r>
      <w:r w:rsidRPr="002F29C6">
        <w:rPr>
          <w:rFonts w:ascii="Verdana" w:hAnsi="Verdana" w:cs="Arial"/>
          <w:sz w:val="20"/>
          <w:szCs w:val="20"/>
          <w:lang w:eastAsia="es-ES"/>
        </w:rPr>
        <w:t>ni el concepto de costos directos e indirectos</w:t>
      </w:r>
      <w:r w:rsidRPr="002F29C6">
        <w:rPr>
          <w:rFonts w:ascii="Verdana" w:hAnsi="Verdana" w:cs="Arial"/>
          <w:bCs/>
          <w:sz w:val="20"/>
          <w:szCs w:val="20"/>
          <w:lang w:val="es-ES_tradnl" w:eastAsia="es-ES_tradnl"/>
        </w:rPr>
        <w:t>, ni mucho menos la forma de calcularlo –es decir, su porcentaje–, son aspectos regulados en el conjunto de las disposiciones legales y reglamentarias que integran la normativa contractual del Estado</w:t>
      </w:r>
      <w:r>
        <w:rPr>
          <w:rFonts w:ascii="Verdana" w:hAnsi="Verdana" w:cs="Arial"/>
          <w:bCs/>
          <w:sz w:val="20"/>
          <w:szCs w:val="20"/>
          <w:lang w:val="es-ES_tradnl" w:eastAsia="es-ES_tradnl"/>
        </w:rPr>
        <w:t>.</w:t>
      </w:r>
    </w:p>
    <w:p w14:paraId="10217E66" w14:textId="77777777" w:rsidR="002F29C6" w:rsidRDefault="002F29C6" w:rsidP="002F29C6">
      <w:pPr>
        <w:spacing w:after="0" w:line="240" w:lineRule="auto"/>
        <w:jc w:val="both"/>
        <w:rPr>
          <w:rFonts w:ascii="Verdana" w:eastAsia="Geomanist Light" w:hAnsi="Verdana" w:cs="Arial"/>
          <w:color w:val="000000" w:themeColor="text1"/>
          <w:sz w:val="20"/>
          <w:szCs w:val="20"/>
          <w:lang w:val="es-ES_tradnl"/>
        </w:rPr>
      </w:pPr>
    </w:p>
    <w:p w14:paraId="10B1DA63" w14:textId="77777777" w:rsidR="002F29C6" w:rsidRDefault="003D69C4" w:rsidP="002F29C6">
      <w:pPr>
        <w:spacing w:after="0" w:line="240" w:lineRule="auto"/>
        <w:jc w:val="both"/>
        <w:rPr>
          <w:rFonts w:ascii="Verdana" w:eastAsia="Geomanist Light" w:hAnsi="Verdana" w:cs="Arial"/>
          <w:color w:val="000000" w:themeColor="text1"/>
          <w:sz w:val="20"/>
          <w:szCs w:val="20"/>
          <w:lang w:val="es-ES_tradnl"/>
        </w:rPr>
      </w:pPr>
      <w:r w:rsidRPr="003D69C4">
        <w:rPr>
          <w:rFonts w:ascii="Verdana" w:eastAsia="Times New Roman" w:hAnsi="Verdana"/>
          <w:b/>
          <w:bCs/>
          <w:lang w:val="es-ES_tradnl" w:eastAsia="es-ES_tradnl"/>
        </w:rPr>
        <w:t>CONVENIOS Y CONTRATOS INTERADMINISTRATIVOS –</w:t>
      </w:r>
      <w:r w:rsidRPr="003D69C4">
        <w:rPr>
          <w:rFonts w:ascii="Verdana" w:eastAsia="Times New Roman" w:hAnsi="Verdana"/>
          <w:b/>
          <w:bCs/>
          <w:lang w:eastAsia="es-ES_tradnl"/>
        </w:rPr>
        <w:t xml:space="preserve"> Noción y Características – Diferencias</w:t>
      </w:r>
      <w:r w:rsidRPr="003D69C4">
        <w:rPr>
          <w:rFonts w:ascii="Verdana" w:eastAsia="Calibri" w:hAnsi="Verdana" w:cs="Arial"/>
          <w:b/>
          <w:bCs/>
          <w:lang w:eastAsia="es-ES"/>
        </w:rPr>
        <w:t xml:space="preserve"> – Costos administrativos </w:t>
      </w:r>
    </w:p>
    <w:p w14:paraId="1938D92B" w14:textId="77777777" w:rsidR="002F29C6" w:rsidRDefault="002F29C6" w:rsidP="002F29C6">
      <w:pPr>
        <w:spacing w:after="0" w:line="240" w:lineRule="auto"/>
        <w:jc w:val="both"/>
        <w:rPr>
          <w:rFonts w:ascii="Verdana" w:eastAsia="Geomanist Light" w:hAnsi="Verdana" w:cs="Arial"/>
          <w:color w:val="000000" w:themeColor="text1"/>
          <w:sz w:val="20"/>
          <w:szCs w:val="20"/>
          <w:lang w:val="es-ES_tradnl"/>
        </w:rPr>
      </w:pPr>
    </w:p>
    <w:p w14:paraId="23E87BBD" w14:textId="1213B5F9" w:rsidR="003D69C4" w:rsidRPr="002F29C6" w:rsidRDefault="003D69C4" w:rsidP="002F29C6">
      <w:pPr>
        <w:spacing w:after="0" w:line="240" w:lineRule="auto"/>
        <w:jc w:val="both"/>
        <w:rPr>
          <w:rFonts w:ascii="Verdana" w:eastAsia="Geomanist Light" w:hAnsi="Verdana" w:cs="Arial"/>
          <w:color w:val="000000" w:themeColor="text1"/>
          <w:sz w:val="20"/>
          <w:szCs w:val="20"/>
          <w:lang w:val="es-ES_tradnl"/>
        </w:rPr>
      </w:pPr>
      <w:r w:rsidRPr="004F3256">
        <w:rPr>
          <w:rFonts w:ascii="Verdana" w:eastAsia="Calibri" w:hAnsi="Verdana" w:cs="Arial"/>
          <w:bCs/>
          <w:color w:val="000000" w:themeColor="text1"/>
          <w:sz w:val="20"/>
          <w:szCs w:val="20"/>
          <w:lang w:eastAsia="es-ES_tradnl" w:bidi="es-ES"/>
        </w:rPr>
        <w:t>Mientras que en el contrato interadministrativo las finalidades de las partes divergen, en el convenio convergen y cooperan en función del cumplimiento eficiente de un propósito estatal común superior. En esa línea, una interpretación sistemática de las leyes 80 de 1993, 1150 de 2007 y 1474 de 2011 invitaría a considerar el contrato interadministrativo como una relación jurídica patrimonial, onerosa y conmutativa, en la que existen unas exigencias y restricciones normativas adicionales, de manera que, en efecto, dista de la naturaleza y esencia del convenio interadministrativo.</w:t>
      </w:r>
    </w:p>
    <w:p w14:paraId="2AA4C0D6" w14:textId="77777777" w:rsidR="003D69C4" w:rsidRDefault="003D69C4" w:rsidP="003D69C4">
      <w:pPr>
        <w:snapToGrid w:val="0"/>
        <w:spacing w:after="0" w:line="240" w:lineRule="auto"/>
        <w:jc w:val="both"/>
        <w:rPr>
          <w:rFonts w:ascii="Verdana" w:eastAsia="Calibri" w:hAnsi="Verdana" w:cs="Arial"/>
          <w:bCs/>
          <w:color w:val="000000" w:themeColor="text1"/>
          <w:sz w:val="20"/>
          <w:szCs w:val="20"/>
          <w:lang w:eastAsia="es-ES_tradnl" w:bidi="es-ES"/>
        </w:rPr>
      </w:pPr>
    </w:p>
    <w:p w14:paraId="556DA338" w14:textId="5FC4A64E" w:rsidR="003D69C4" w:rsidRPr="003D69C4" w:rsidRDefault="00865A09" w:rsidP="003D69C4">
      <w:pPr>
        <w:snapToGrid w:val="0"/>
        <w:spacing w:after="0" w:line="240" w:lineRule="auto"/>
        <w:jc w:val="both"/>
        <w:rPr>
          <w:rFonts w:ascii="Verdana" w:eastAsia="Calibri" w:hAnsi="Verdana" w:cs="Arial"/>
          <w:bCs/>
          <w:color w:val="000000" w:themeColor="text1"/>
          <w:sz w:val="20"/>
          <w:szCs w:val="20"/>
          <w:lang w:eastAsia="es-ES_tradnl" w:bidi="es-ES"/>
        </w:rPr>
      </w:pPr>
      <w:r>
        <w:rPr>
          <w:rFonts w:ascii="Verdana" w:eastAsia="Calibri" w:hAnsi="Verdana" w:cs="Arial"/>
          <w:bCs/>
          <w:color w:val="000000" w:themeColor="text1"/>
          <w:sz w:val="20"/>
          <w:szCs w:val="20"/>
          <w:lang w:eastAsia="es-ES_tradnl" w:bidi="es-ES"/>
        </w:rPr>
        <w:t>[…]</w:t>
      </w:r>
      <w:r w:rsidR="003D69C4" w:rsidRPr="004F3256">
        <w:rPr>
          <w:rFonts w:ascii="Verdana" w:eastAsia="Calibri" w:hAnsi="Verdana" w:cs="Arial"/>
          <w:bCs/>
          <w:color w:val="000000" w:themeColor="text1"/>
          <w:sz w:val="20"/>
          <w:szCs w:val="20"/>
          <w:lang w:eastAsia="es-ES_tradnl" w:bidi="es-ES"/>
        </w:rPr>
        <w:t xml:space="preserve"> </w:t>
      </w:r>
      <w:r w:rsidR="003D69C4" w:rsidRPr="004F3256">
        <w:rPr>
          <w:rFonts w:ascii="Verdana" w:eastAsia="Times New Roman" w:hAnsi="Verdana" w:cs="Arial"/>
          <w:iCs/>
          <w:sz w:val="20"/>
          <w:szCs w:val="20"/>
          <w:lang w:eastAsia="es-ES_tradnl"/>
        </w:rPr>
        <w:t>tanto en los contratos como en los convenios interadministrativos es posible incluir costos y gastos administrativos. No obstante, debido a la naturaleza jurídica de cada figura, estos rubros tienen una finalidad y alcance diferente. En el marco de un convenio interadministrativo, las entidades públicas pueden incorporar los costos o gastos administrativos asociados a sus respectivos aportes técnicos, administrativos, financieros o económicos, siempre que estén orientados a contribuir, en el ámbito de sus competencias, al cumplimiento de los compromisos comunes y a garantizar la viabilidad operativa del convenio. En contraste, en los contratos interadministrativos, debido a su naturaleza onerosa y conmutativa, estos rubros hacen parte de la contraprestación pactada a favor de la entidad ejecutora, es decir, forman parte del precio o retribución económica a una de las partes por los bienes o servicios que presta.</w:t>
      </w:r>
    </w:p>
    <w:p w14:paraId="6A1B7628" w14:textId="77777777" w:rsidR="003D69C4" w:rsidRPr="004F3256" w:rsidRDefault="003D69C4" w:rsidP="003D69C4">
      <w:pPr>
        <w:spacing w:after="0" w:line="240" w:lineRule="auto"/>
        <w:jc w:val="both"/>
        <w:rPr>
          <w:rFonts w:ascii="Verdana" w:eastAsia="Times New Roman" w:hAnsi="Verdana" w:cs="Arial"/>
          <w:iCs/>
          <w:sz w:val="20"/>
          <w:szCs w:val="20"/>
          <w:lang w:eastAsia="es-ES_tradnl"/>
        </w:rPr>
      </w:pPr>
    </w:p>
    <w:p w14:paraId="5533DC91" w14:textId="2A2DB1A1" w:rsidR="00865A09" w:rsidRDefault="00865A09" w:rsidP="003D69C4">
      <w:pPr>
        <w:spacing w:after="0" w:line="240" w:lineRule="auto"/>
        <w:jc w:val="both"/>
        <w:rPr>
          <w:rFonts w:ascii="Verdana" w:eastAsia="Times New Roman" w:hAnsi="Verdana" w:cs="Arial"/>
          <w:iCs/>
          <w:sz w:val="20"/>
          <w:szCs w:val="20"/>
          <w:lang w:eastAsia="es-ES_tradnl"/>
        </w:rPr>
      </w:pPr>
      <w:r>
        <w:rPr>
          <w:rFonts w:ascii="Verdana" w:eastAsia="Times New Roman" w:hAnsi="Verdana" w:cs="Arial"/>
          <w:iCs/>
          <w:sz w:val="20"/>
          <w:szCs w:val="20"/>
          <w:lang w:eastAsia="es-ES_tradnl"/>
        </w:rPr>
        <w:t xml:space="preserve">[…] </w:t>
      </w:r>
    </w:p>
    <w:p w14:paraId="58F863D0" w14:textId="77777777" w:rsidR="00865A09" w:rsidRDefault="00865A09" w:rsidP="003D69C4">
      <w:pPr>
        <w:spacing w:after="0" w:line="240" w:lineRule="auto"/>
        <w:jc w:val="both"/>
        <w:rPr>
          <w:rFonts w:ascii="Verdana" w:eastAsia="Times New Roman" w:hAnsi="Verdana" w:cs="Arial"/>
          <w:iCs/>
          <w:sz w:val="20"/>
          <w:szCs w:val="20"/>
          <w:lang w:eastAsia="es-ES_tradnl"/>
        </w:rPr>
      </w:pPr>
    </w:p>
    <w:p w14:paraId="3A90BC11" w14:textId="162CF15B" w:rsidR="003D69C4" w:rsidRPr="004F3256" w:rsidRDefault="003D69C4" w:rsidP="003D69C4">
      <w:pPr>
        <w:spacing w:after="0" w:line="240" w:lineRule="auto"/>
        <w:jc w:val="both"/>
        <w:rPr>
          <w:rFonts w:ascii="Verdana" w:eastAsia="Geomanist Light" w:hAnsi="Verdana" w:cs="Arial"/>
          <w:color w:val="000000" w:themeColor="text1"/>
          <w:sz w:val="20"/>
          <w:szCs w:val="20"/>
          <w:lang w:val="es-MX"/>
        </w:rPr>
      </w:pPr>
      <w:r w:rsidRPr="004F3256">
        <w:rPr>
          <w:rFonts w:ascii="Verdana" w:eastAsia="Times New Roman" w:hAnsi="Verdana" w:cs="Arial"/>
          <w:iCs/>
          <w:sz w:val="20"/>
          <w:szCs w:val="20"/>
          <w:lang w:eastAsia="es-ES_tradnl"/>
        </w:rPr>
        <w:t>En conclusión, si la noción de costos indirectos –</w:t>
      </w:r>
      <w:proofErr w:type="spellStart"/>
      <w:r w:rsidRPr="004F3256">
        <w:rPr>
          <w:rFonts w:ascii="Verdana" w:eastAsia="Times New Roman" w:hAnsi="Verdana" w:cs="Arial"/>
          <w:iCs/>
          <w:sz w:val="20"/>
          <w:szCs w:val="20"/>
          <w:lang w:eastAsia="es-ES_tradnl"/>
        </w:rPr>
        <w:t>overhead</w:t>
      </w:r>
      <w:proofErr w:type="spellEnd"/>
      <w:r w:rsidRPr="004F3256">
        <w:rPr>
          <w:rFonts w:ascii="Verdana" w:eastAsia="Times New Roman" w:hAnsi="Verdana" w:cs="Arial"/>
          <w:iCs/>
          <w:sz w:val="20"/>
          <w:szCs w:val="20"/>
          <w:lang w:eastAsia="es-ES_tradnl"/>
        </w:rPr>
        <w:t>-, tal y como se explicó, es una noción asociada al cálculo del precio que se pagará al contratista por parte de la Entidad Estatal contratante, es decir una contraprestación, este concepto resulta inaplicable tratándose de convenios interadministrativos, en los cuales, los compromisos de contenido patrimonial se deben dirigir a cubrir los costos que genera la ejecución de las actividades asociadas al mismo, pero no a pagar a una de las entidades por la realización de sus respectivos compromisos o una utilidad a favor de ellas.</w:t>
      </w:r>
    </w:p>
    <w:p w14:paraId="7B0F9440" w14:textId="77777777" w:rsidR="003D69C4" w:rsidRPr="003D69C4" w:rsidRDefault="003D69C4" w:rsidP="003D69C4">
      <w:pPr>
        <w:spacing w:after="0" w:line="240" w:lineRule="auto"/>
        <w:jc w:val="both"/>
        <w:rPr>
          <w:rFonts w:ascii="Verdana" w:eastAsia="Calibri" w:hAnsi="Verdana" w:cs="Arial"/>
          <w:b/>
          <w:bCs/>
          <w:lang w:val="es-MX" w:eastAsia="es-ES"/>
        </w:rPr>
      </w:pPr>
    </w:p>
    <w:p w14:paraId="116ABF2D" w14:textId="77777777" w:rsidR="003D69C4" w:rsidRDefault="003D69C4" w:rsidP="009F5E7D">
      <w:pPr>
        <w:spacing w:after="0"/>
        <w:rPr>
          <w:rFonts w:ascii="Verdana" w:eastAsia="Verdana" w:hAnsi="Verdana" w:cs="Verdana"/>
        </w:rPr>
      </w:pPr>
    </w:p>
    <w:p w14:paraId="7E10373C" w14:textId="77777777" w:rsidR="003D69C4" w:rsidRDefault="003D69C4" w:rsidP="009F5E7D">
      <w:pPr>
        <w:spacing w:after="0"/>
        <w:rPr>
          <w:rFonts w:ascii="Verdana" w:eastAsia="Verdana" w:hAnsi="Verdana" w:cs="Verdana"/>
        </w:rPr>
      </w:pPr>
    </w:p>
    <w:p w14:paraId="3167CE82" w14:textId="77777777" w:rsidR="003D69C4" w:rsidRDefault="003D69C4" w:rsidP="009F5E7D">
      <w:pPr>
        <w:spacing w:after="0"/>
        <w:rPr>
          <w:rFonts w:ascii="Verdana" w:eastAsia="Verdana" w:hAnsi="Verdana" w:cs="Verdana"/>
        </w:rPr>
      </w:pPr>
    </w:p>
    <w:p w14:paraId="5FCCB653" w14:textId="77777777" w:rsidR="003D69C4" w:rsidRDefault="003D69C4" w:rsidP="009F5E7D">
      <w:pPr>
        <w:spacing w:after="0"/>
        <w:rPr>
          <w:rFonts w:ascii="Verdana" w:eastAsia="Verdana" w:hAnsi="Verdana" w:cs="Verdana"/>
        </w:rPr>
      </w:pPr>
    </w:p>
    <w:p w14:paraId="593182DB" w14:textId="77777777" w:rsidR="003D69C4" w:rsidRDefault="003D69C4" w:rsidP="009F5E7D">
      <w:pPr>
        <w:spacing w:after="0"/>
        <w:rPr>
          <w:rFonts w:ascii="Verdana" w:eastAsia="Verdana" w:hAnsi="Verdana" w:cs="Verdana"/>
        </w:rPr>
      </w:pPr>
    </w:p>
    <w:p w14:paraId="586F2360" w14:textId="77777777" w:rsidR="003D69C4" w:rsidRDefault="003D69C4" w:rsidP="009F5E7D">
      <w:pPr>
        <w:spacing w:after="0"/>
        <w:rPr>
          <w:rFonts w:ascii="Verdana" w:eastAsia="Verdana" w:hAnsi="Verdana" w:cs="Verdana"/>
        </w:rPr>
      </w:pPr>
    </w:p>
    <w:p w14:paraId="027BA7C1" w14:textId="2D1C1962" w:rsidR="003928D0" w:rsidRDefault="00C15139" w:rsidP="009F5E7D">
      <w:pPr>
        <w:spacing w:after="0"/>
        <w:rPr>
          <w:rFonts w:ascii="Verdana" w:eastAsia="Verdana" w:hAnsi="Verdana" w:cs="Verdana"/>
        </w:rPr>
      </w:pPr>
      <w:r w:rsidRPr="30821638">
        <w:rPr>
          <w:rFonts w:ascii="Verdana" w:eastAsia="Verdana" w:hAnsi="Verdana" w:cs="Verdana"/>
        </w:rPr>
        <w:t xml:space="preserve">Bogotá D.C., </w:t>
      </w:r>
      <w:r w:rsidR="003928D0">
        <w:rPr>
          <w:rFonts w:ascii="Verdana" w:eastAsia="Verdana" w:hAnsi="Verdana" w:cs="Verdana"/>
        </w:rPr>
        <w:t xml:space="preserve">03 </w:t>
      </w:r>
      <w:proofErr w:type="gramStart"/>
      <w:r w:rsidR="003928D0">
        <w:rPr>
          <w:rFonts w:ascii="Verdana" w:eastAsia="Verdana" w:hAnsi="Verdana" w:cs="Verdana"/>
        </w:rPr>
        <w:t>Junio</w:t>
      </w:r>
      <w:proofErr w:type="gramEnd"/>
      <w:r w:rsidR="003928D0">
        <w:rPr>
          <w:rFonts w:ascii="Verdana" w:eastAsia="Verdana" w:hAnsi="Verdana" w:cs="Verdana"/>
        </w:rPr>
        <w:t xml:space="preserve"> 2026</w:t>
      </w:r>
    </w:p>
    <w:p w14:paraId="7F4E3CBB" w14:textId="7737C87E" w:rsidR="003928D0" w:rsidRDefault="003928D0" w:rsidP="003928D0">
      <w:pPr>
        <w:spacing w:after="0"/>
        <w:jc w:val="right"/>
        <w:rPr>
          <w:rFonts w:ascii="Verdana" w:eastAsia="Verdana" w:hAnsi="Verdana" w:cs="Verdana"/>
        </w:rPr>
      </w:pPr>
      <w:r w:rsidRPr="003928D0">
        <w:drawing>
          <wp:inline distT="0" distB="0" distL="0" distR="0" wp14:anchorId="32138F12" wp14:editId="336484C6">
            <wp:extent cx="1864590" cy="421640"/>
            <wp:effectExtent l="0" t="0" r="2540" b="0"/>
            <wp:docPr id="17366108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610821" name=""/>
                    <pic:cNvPicPr/>
                  </pic:nvPicPr>
                  <pic:blipFill>
                    <a:blip r:embed="rId10"/>
                    <a:stretch>
                      <a:fillRect/>
                    </a:stretch>
                  </pic:blipFill>
                  <pic:spPr>
                    <a:xfrm>
                      <a:off x="0" y="0"/>
                      <a:ext cx="1877399" cy="424536"/>
                    </a:xfrm>
                    <a:prstGeom prst="rect">
                      <a:avLst/>
                    </a:prstGeom>
                  </pic:spPr>
                </pic:pic>
              </a:graphicData>
            </a:graphic>
          </wp:inline>
        </w:drawing>
      </w:r>
    </w:p>
    <w:p w14:paraId="6F5D53D6" w14:textId="77777777" w:rsidR="003928D0" w:rsidRDefault="003928D0" w:rsidP="003928D0">
      <w:pPr>
        <w:spacing w:after="0"/>
        <w:jc w:val="right"/>
      </w:pPr>
      <w:bookmarkStart w:id="1" w:name="_Hlk214366482"/>
      <w:bookmarkEnd w:id="0"/>
    </w:p>
    <w:p w14:paraId="7E69251B" w14:textId="50A1EF12" w:rsidR="009F5E7D" w:rsidRPr="003928D0" w:rsidRDefault="009F5E7D" w:rsidP="003928D0">
      <w:pPr>
        <w:spacing w:after="0"/>
      </w:pPr>
      <w:r>
        <w:rPr>
          <w:rFonts w:ascii="Verdana" w:eastAsia="Calibri" w:hAnsi="Verdana" w:cs="Arial"/>
          <w:b/>
          <w:bCs/>
          <w:lang w:eastAsia="es-ES"/>
        </w:rPr>
        <w:t>Señora</w:t>
      </w:r>
    </w:p>
    <w:p w14:paraId="22C176CB" w14:textId="77777777" w:rsidR="009F5E7D" w:rsidRDefault="009F5E7D" w:rsidP="009F5E7D">
      <w:pPr>
        <w:spacing w:after="0" w:line="240" w:lineRule="auto"/>
        <w:jc w:val="both"/>
        <w:rPr>
          <w:rFonts w:ascii="Verdana" w:eastAsia="Calibri" w:hAnsi="Verdana" w:cs="Arial"/>
          <w:b/>
          <w:bCs/>
          <w:lang w:eastAsia="es-ES"/>
        </w:rPr>
      </w:pPr>
      <w:r w:rsidRPr="00A966EE">
        <w:rPr>
          <w:rFonts w:ascii="Verdana" w:eastAsia="Calibri" w:hAnsi="Verdana" w:cs="Arial"/>
          <w:b/>
          <w:bCs/>
          <w:lang w:eastAsia="es-ES"/>
        </w:rPr>
        <w:t xml:space="preserve">Sandra Yurley Montoya </w:t>
      </w:r>
    </w:p>
    <w:p w14:paraId="72F7187E" w14:textId="77777777" w:rsidR="009F5E7D" w:rsidRPr="00A966EE" w:rsidRDefault="009F5E7D" w:rsidP="009F5E7D">
      <w:pPr>
        <w:spacing w:after="0" w:line="240" w:lineRule="auto"/>
        <w:jc w:val="both"/>
        <w:rPr>
          <w:rFonts w:ascii="Verdana" w:eastAsia="Calibri" w:hAnsi="Verdana" w:cs="Arial"/>
          <w:lang w:eastAsia="es-ES"/>
        </w:rPr>
      </w:pPr>
      <w:r w:rsidRPr="00A966EE">
        <w:rPr>
          <w:rFonts w:ascii="Verdana" w:eastAsia="Calibri" w:hAnsi="Verdana" w:cs="Arial"/>
          <w:lang w:eastAsia="es-ES"/>
        </w:rPr>
        <w:t>Técnica operativa</w:t>
      </w:r>
    </w:p>
    <w:p w14:paraId="0C73964F" w14:textId="77777777" w:rsidR="009F5E7D" w:rsidRDefault="009F5E7D" w:rsidP="009F5E7D">
      <w:pPr>
        <w:spacing w:after="0" w:line="240" w:lineRule="auto"/>
        <w:jc w:val="both"/>
        <w:rPr>
          <w:rFonts w:ascii="Verdana" w:eastAsia="Calibri" w:hAnsi="Verdana" w:cs="Arial"/>
          <w:b/>
          <w:bCs/>
          <w:lang w:eastAsia="es-ES"/>
        </w:rPr>
      </w:pPr>
      <w:r w:rsidRPr="00A966EE">
        <w:rPr>
          <w:rFonts w:ascii="Verdana" w:eastAsia="Calibri" w:hAnsi="Verdana" w:cs="Arial"/>
          <w:b/>
          <w:bCs/>
          <w:lang w:eastAsia="es-ES"/>
        </w:rPr>
        <w:t xml:space="preserve">Contraloría General </w:t>
      </w:r>
      <w:r>
        <w:rPr>
          <w:rFonts w:ascii="Verdana" w:eastAsia="Calibri" w:hAnsi="Verdana" w:cs="Arial"/>
          <w:b/>
          <w:bCs/>
          <w:lang w:eastAsia="es-ES"/>
        </w:rPr>
        <w:t>d</w:t>
      </w:r>
      <w:r w:rsidRPr="00A966EE">
        <w:rPr>
          <w:rFonts w:ascii="Verdana" w:eastAsia="Calibri" w:hAnsi="Verdana" w:cs="Arial"/>
          <w:b/>
          <w:bCs/>
          <w:lang w:eastAsia="es-ES"/>
        </w:rPr>
        <w:t>e Antioquia</w:t>
      </w:r>
    </w:p>
    <w:p w14:paraId="495A03FB" w14:textId="77777777" w:rsidR="009F5E7D" w:rsidRPr="00A966EE" w:rsidRDefault="009F5E7D" w:rsidP="009F5E7D">
      <w:pPr>
        <w:spacing w:after="0" w:line="240" w:lineRule="auto"/>
        <w:jc w:val="both"/>
        <w:rPr>
          <w:rFonts w:ascii="Verdana" w:hAnsi="Verdana"/>
          <w:b/>
          <w:bCs/>
        </w:rPr>
      </w:pPr>
      <w:hyperlink r:id="rId11" w:history="1">
        <w:r w:rsidRPr="00A966EE">
          <w:rPr>
            <w:rStyle w:val="Hipervnculo"/>
            <w:rFonts w:ascii="Verdana" w:hAnsi="Verdana"/>
            <w:b/>
            <w:bCs/>
          </w:rPr>
          <w:t>smontoya@cga.gov.co</w:t>
        </w:r>
      </w:hyperlink>
    </w:p>
    <w:p w14:paraId="1D577F44" w14:textId="77777777" w:rsidR="009F5E7D" w:rsidRPr="007F2AEC" w:rsidRDefault="009F5E7D" w:rsidP="009F5E7D">
      <w:pPr>
        <w:spacing w:after="0" w:line="240" w:lineRule="auto"/>
        <w:jc w:val="both"/>
        <w:rPr>
          <w:rFonts w:ascii="Verdana" w:hAnsi="Verdana"/>
        </w:rPr>
      </w:pPr>
      <w:r>
        <w:rPr>
          <w:rFonts w:ascii="Verdana" w:hAnsi="Verdana"/>
        </w:rPr>
        <w:t xml:space="preserve">Ciudad </w:t>
      </w:r>
    </w:p>
    <w:p w14:paraId="40BA0754" w14:textId="77777777" w:rsidR="009F5E7D" w:rsidRPr="007F2AEC" w:rsidRDefault="009F5E7D" w:rsidP="009F5E7D">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9F5E7D" w:rsidRPr="005644FE" w14:paraId="2B195BFE" w14:textId="77777777" w:rsidTr="00BD03F5">
        <w:trPr>
          <w:trHeight w:val="162"/>
        </w:trPr>
        <w:tc>
          <w:tcPr>
            <w:tcW w:w="3119" w:type="dxa"/>
          </w:tcPr>
          <w:p w14:paraId="3BB80120" w14:textId="77777777" w:rsidR="009F5E7D" w:rsidRPr="007F2AEC" w:rsidRDefault="009F5E7D" w:rsidP="00BD03F5">
            <w:pPr>
              <w:jc w:val="both"/>
              <w:rPr>
                <w:rFonts w:ascii="Verdana" w:eastAsia="Calibri" w:hAnsi="Verdana" w:cs="Arial"/>
                <w:b/>
                <w:bCs/>
                <w:color w:val="7030A0"/>
                <w:lang w:eastAsia="es-ES_tradnl"/>
              </w:rPr>
            </w:pPr>
          </w:p>
        </w:tc>
        <w:tc>
          <w:tcPr>
            <w:tcW w:w="5670" w:type="dxa"/>
          </w:tcPr>
          <w:p w14:paraId="1D0FF9C6" w14:textId="77777777" w:rsidR="009F5E7D" w:rsidRPr="005644FE" w:rsidRDefault="009F5E7D" w:rsidP="00BD03F5">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669 de 2026</w:t>
            </w:r>
          </w:p>
          <w:p w14:paraId="08EDEFE8" w14:textId="77777777" w:rsidR="009F5E7D" w:rsidRPr="005644FE" w:rsidRDefault="009F5E7D" w:rsidP="00BD03F5">
            <w:pPr>
              <w:jc w:val="both"/>
              <w:rPr>
                <w:rFonts w:ascii="Verdana" w:eastAsia="Calibri" w:hAnsi="Verdana" w:cs="Arial"/>
                <w:b/>
                <w:bCs/>
                <w:color w:val="7030A0"/>
                <w:lang w:eastAsia="es-ES"/>
              </w:rPr>
            </w:pPr>
          </w:p>
        </w:tc>
      </w:tr>
      <w:tr w:rsidR="009F5E7D" w:rsidRPr="005644FE" w14:paraId="5ACFE419" w14:textId="77777777" w:rsidTr="00BD03F5">
        <w:trPr>
          <w:trHeight w:val="884"/>
        </w:trPr>
        <w:tc>
          <w:tcPr>
            <w:tcW w:w="3119" w:type="dxa"/>
          </w:tcPr>
          <w:p w14:paraId="06EAE868" w14:textId="77777777" w:rsidR="009F5E7D" w:rsidRPr="005644FE" w:rsidRDefault="009F5E7D" w:rsidP="00BD03F5">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7CE29C0B" w14:textId="77777777" w:rsidR="009F5E7D" w:rsidRPr="004F3256" w:rsidRDefault="009F5E7D" w:rsidP="00BD03F5">
            <w:pPr>
              <w:spacing w:line="276" w:lineRule="auto"/>
              <w:jc w:val="both"/>
              <w:rPr>
                <w:rFonts w:ascii="Verdana" w:eastAsia="Calibri" w:hAnsi="Verdana" w:cs="Arial"/>
                <w:lang w:eastAsia="es-ES"/>
              </w:rPr>
            </w:pPr>
            <w:r w:rsidRPr="004F3256">
              <w:rPr>
                <w:rFonts w:ascii="Verdana" w:eastAsia="Calibri" w:hAnsi="Verdana" w:cs="Arial"/>
                <w:lang w:val="es-ES" w:eastAsia="es-ES"/>
              </w:rPr>
              <w:t xml:space="preserve">PRECIO – Estructuración del precio / COSTOS DIRECTOS E INDIRECTOS – Finalidad – Ejecución del contrato / AIU – Componentes – Discrecionalidad – Límites / </w:t>
            </w:r>
            <w:r w:rsidRPr="004F3256">
              <w:rPr>
                <w:rFonts w:ascii="Verdana" w:eastAsia="Times New Roman" w:hAnsi="Verdana"/>
                <w:lang w:val="es-ES_tradnl" w:eastAsia="es-ES_tradnl"/>
              </w:rPr>
              <w:t>CONVENIOS Y CONTRATOS INTERADMINISTRATIVOS –</w:t>
            </w:r>
            <w:r w:rsidRPr="004F3256">
              <w:rPr>
                <w:rFonts w:ascii="Verdana" w:eastAsia="Times New Roman" w:hAnsi="Verdana"/>
                <w:lang w:eastAsia="es-ES_tradnl"/>
              </w:rPr>
              <w:t xml:space="preserve"> Noción y Características – Diferencias</w:t>
            </w:r>
            <w:r w:rsidRPr="004F3256">
              <w:rPr>
                <w:rFonts w:ascii="Verdana" w:eastAsia="Calibri" w:hAnsi="Verdana" w:cs="Arial"/>
                <w:lang w:eastAsia="es-ES"/>
              </w:rPr>
              <w:t xml:space="preserve"> – Costos administrativos </w:t>
            </w:r>
          </w:p>
          <w:p w14:paraId="1C895007" w14:textId="77777777" w:rsidR="009F5E7D" w:rsidRPr="00D26CAF" w:rsidRDefault="009F5E7D" w:rsidP="00BD03F5">
            <w:pPr>
              <w:spacing w:line="276" w:lineRule="auto"/>
              <w:jc w:val="both"/>
              <w:rPr>
                <w:rFonts w:ascii="Verdana" w:eastAsia="Calibri" w:hAnsi="Verdana" w:cs="Arial"/>
                <w:lang w:eastAsia="es-ES"/>
              </w:rPr>
            </w:pPr>
          </w:p>
        </w:tc>
      </w:tr>
      <w:tr w:rsidR="009F5E7D" w:rsidRPr="005644FE" w14:paraId="1AC32A1E" w14:textId="77777777" w:rsidTr="00BD03F5">
        <w:tc>
          <w:tcPr>
            <w:tcW w:w="3119" w:type="dxa"/>
          </w:tcPr>
          <w:p w14:paraId="746E7ED3" w14:textId="77777777" w:rsidR="009F5E7D" w:rsidRPr="005644FE" w:rsidRDefault="009F5E7D" w:rsidP="00BD03F5">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4E046C7F" w14:textId="77777777" w:rsidR="009F5E7D" w:rsidRPr="00F04657" w:rsidRDefault="009F5E7D" w:rsidP="00BD03F5">
            <w:pPr>
              <w:jc w:val="both"/>
              <w:rPr>
                <w:rFonts w:ascii="Verdana" w:eastAsia="Calibri" w:hAnsi="Verdana" w:cs="Arial"/>
                <w:lang w:eastAsia="es-ES"/>
              </w:rPr>
            </w:pPr>
            <w:r w:rsidRPr="74C89D8F">
              <w:rPr>
                <w:rFonts w:ascii="Verdana" w:eastAsia="Calibri" w:hAnsi="Verdana" w:cs="Arial"/>
                <w:lang w:eastAsia="es-ES"/>
              </w:rPr>
              <w:t>Respuesta a consulta con radicado</w:t>
            </w:r>
            <w:r>
              <w:rPr>
                <w:rFonts w:ascii="Verdana" w:eastAsia="Calibri" w:hAnsi="Verdana" w:cs="Arial"/>
                <w:lang w:eastAsia="es-ES"/>
              </w:rPr>
              <w:t xml:space="preserve"> </w:t>
            </w:r>
            <w:r w:rsidRPr="00A966EE">
              <w:rPr>
                <w:rFonts w:ascii="Verdana" w:eastAsia="Calibri" w:hAnsi="Verdana" w:cs="Arial"/>
                <w:lang w:eastAsia="es-ES"/>
              </w:rPr>
              <w:t>1_2026_04_23_005546</w:t>
            </w:r>
          </w:p>
        </w:tc>
      </w:tr>
    </w:tbl>
    <w:p w14:paraId="4C337C8A" w14:textId="77777777" w:rsidR="009F5E7D" w:rsidRPr="005644FE" w:rsidRDefault="009F5E7D" w:rsidP="009F5E7D">
      <w:pPr>
        <w:spacing w:after="0" w:line="276" w:lineRule="auto"/>
        <w:jc w:val="both"/>
        <w:rPr>
          <w:rFonts w:ascii="Verdana" w:eastAsia="Calibri" w:hAnsi="Verdana" w:cs="Arial"/>
          <w:lang w:eastAsia="es-ES_tradnl"/>
        </w:rPr>
      </w:pPr>
      <w:r>
        <w:rPr>
          <w:rFonts w:ascii="Verdana" w:eastAsia="Calibri" w:hAnsi="Verdana" w:cs="Arial"/>
          <w:lang w:eastAsia="es-ES_tradnl"/>
        </w:rPr>
        <w:t xml:space="preserve"> </w:t>
      </w:r>
    </w:p>
    <w:p w14:paraId="6E3DAA73" w14:textId="77777777" w:rsidR="009F5E7D" w:rsidRPr="005644FE" w:rsidRDefault="009F5E7D" w:rsidP="009F5E7D">
      <w:pPr>
        <w:spacing w:after="0" w:line="276" w:lineRule="auto"/>
        <w:jc w:val="both"/>
        <w:rPr>
          <w:rFonts w:ascii="Verdana" w:eastAsia="Calibri" w:hAnsi="Verdana" w:cs="Arial"/>
          <w:lang w:eastAsia="es-ES"/>
        </w:rPr>
      </w:pPr>
      <w:r>
        <w:rPr>
          <w:rFonts w:ascii="Verdana" w:eastAsia="Calibri" w:hAnsi="Verdana" w:cs="Arial"/>
          <w:lang w:eastAsia="es-ES"/>
        </w:rPr>
        <w:t xml:space="preserve">Estimada señora Sandra Yurley: </w:t>
      </w:r>
    </w:p>
    <w:p w14:paraId="4EC0E255" w14:textId="77777777" w:rsidR="009F5E7D" w:rsidRPr="00E02524" w:rsidRDefault="009F5E7D" w:rsidP="00FE4D24">
      <w:pPr>
        <w:spacing w:after="0" w:line="276" w:lineRule="auto"/>
        <w:jc w:val="both"/>
        <w:rPr>
          <w:rFonts w:ascii="Verdana" w:hAnsi="Verdana"/>
          <w:lang w:val="es-MX"/>
        </w:rPr>
      </w:pPr>
    </w:p>
    <w:p w14:paraId="58B7A7BA" w14:textId="77777777" w:rsidR="009F5E7D" w:rsidRPr="0084712D" w:rsidRDefault="009F5E7D" w:rsidP="0084361D">
      <w:pPr>
        <w:spacing w:after="0" w:line="276" w:lineRule="auto"/>
        <w:jc w:val="both"/>
        <w:rPr>
          <w:rFonts w:ascii="Verdana" w:hAnsi="Verdana"/>
        </w:rPr>
      </w:pPr>
      <w:r w:rsidRPr="0084712D">
        <w:rPr>
          <w:rFonts w:ascii="Verdana" w:hAnsi="Verdana"/>
        </w:rPr>
        <w:t xml:space="preserve">La Agencia Nacional de Contratación Pública – Colombia Compra Eficiente –, en ejercicio de las competencias otorgadas por los artículos 3, numeral 5º, y 11, numeral 8º, del Decreto Ley 4170 de 2011 y de conformidad con las modalidades del derecho de petición contempladas en la Ley 1755 de 2015 y en la resolución </w:t>
      </w:r>
      <w:proofErr w:type="spellStart"/>
      <w:r w:rsidRPr="0084712D">
        <w:rPr>
          <w:rFonts w:ascii="Verdana" w:hAnsi="Verdana"/>
        </w:rPr>
        <w:t>N°</w:t>
      </w:r>
      <w:proofErr w:type="spellEnd"/>
      <w:r w:rsidRPr="0084712D">
        <w:rPr>
          <w:rFonts w:ascii="Verdana" w:hAnsi="Verdana"/>
        </w:rPr>
        <w:t xml:space="preserve"> 469 del 2025 expedida por esta Agencia, responde </w:t>
      </w:r>
      <w:r>
        <w:rPr>
          <w:rFonts w:ascii="Verdana" w:hAnsi="Verdana"/>
        </w:rPr>
        <w:t>su</w:t>
      </w:r>
      <w:r w:rsidRPr="0084712D">
        <w:rPr>
          <w:rFonts w:ascii="Verdana" w:hAnsi="Verdana"/>
        </w:rPr>
        <w:t xml:space="preserve"> solicitud de consulta</w:t>
      </w:r>
      <w:r>
        <w:rPr>
          <w:rFonts w:ascii="Verdana" w:hAnsi="Verdana"/>
        </w:rPr>
        <w:t>, previamente remitida por competencia por parte de la Contraloría General de Antioquia mediante radicado 2026100003390 del 21 de abril de 2026</w:t>
      </w:r>
      <w:r w:rsidRPr="0084712D">
        <w:rPr>
          <w:rFonts w:ascii="Verdana" w:hAnsi="Verdana"/>
        </w:rPr>
        <w:t>, en la cual manifiesta lo siguiente:</w:t>
      </w:r>
    </w:p>
    <w:p w14:paraId="52DCD730" w14:textId="77777777" w:rsidR="0084361D" w:rsidRPr="0084712D" w:rsidRDefault="0084361D" w:rsidP="00865A09">
      <w:pPr>
        <w:spacing w:after="0" w:line="240" w:lineRule="auto"/>
        <w:jc w:val="both"/>
        <w:rPr>
          <w:rFonts w:ascii="Verdana" w:hAnsi="Verdana"/>
        </w:rPr>
      </w:pPr>
    </w:p>
    <w:p w14:paraId="5BCC8276" w14:textId="77777777" w:rsidR="009F5E7D" w:rsidRDefault="009F5E7D" w:rsidP="0084361D">
      <w:pPr>
        <w:spacing w:after="0" w:line="276" w:lineRule="auto"/>
        <w:jc w:val="both"/>
        <w:rPr>
          <w:rFonts w:ascii="Verdana" w:hAnsi="Verdana"/>
        </w:rPr>
      </w:pPr>
      <w:r w:rsidRPr="00E02524">
        <w:rPr>
          <w:rFonts w:ascii="Verdana" w:hAnsi="Verdana"/>
        </w:rPr>
        <w:t xml:space="preserve">PETICIÓN REALIZADA </w:t>
      </w:r>
    </w:p>
    <w:p w14:paraId="42CC46FB" w14:textId="77777777" w:rsidR="0084361D" w:rsidRPr="002D339E" w:rsidRDefault="0084361D" w:rsidP="00FE4D24">
      <w:pPr>
        <w:spacing w:after="0" w:line="276" w:lineRule="auto"/>
        <w:jc w:val="both"/>
        <w:rPr>
          <w:rFonts w:ascii="Verdana" w:eastAsia="Calibri" w:hAnsi="Verdana" w:cs="Arial"/>
          <w:lang w:eastAsia="es-ES"/>
        </w:rPr>
      </w:pPr>
    </w:p>
    <w:p w14:paraId="4FB5D6DC" w14:textId="77777777" w:rsidR="009F5E7D" w:rsidRPr="00A966EE" w:rsidRDefault="009F5E7D" w:rsidP="009F5E7D">
      <w:pPr>
        <w:spacing w:after="0" w:line="240" w:lineRule="auto"/>
        <w:ind w:left="709" w:right="709"/>
        <w:jc w:val="both"/>
        <w:rPr>
          <w:rFonts w:ascii="Verdana" w:hAnsi="Verdana"/>
          <w:sz w:val="20"/>
          <w:szCs w:val="20"/>
        </w:rPr>
      </w:pPr>
      <w:r>
        <w:rPr>
          <w:rFonts w:ascii="Verdana" w:hAnsi="Verdana"/>
          <w:sz w:val="20"/>
          <w:szCs w:val="20"/>
        </w:rPr>
        <w:t xml:space="preserve">“(…) </w:t>
      </w:r>
      <w:r w:rsidRPr="00A966EE">
        <w:rPr>
          <w:rFonts w:ascii="Verdana" w:hAnsi="Verdana"/>
          <w:sz w:val="20"/>
          <w:szCs w:val="20"/>
        </w:rPr>
        <w:t xml:space="preserve">1. ¿Existe un </w:t>
      </w:r>
      <w:proofErr w:type="spellStart"/>
      <w:r w:rsidRPr="00A966EE">
        <w:rPr>
          <w:rFonts w:ascii="Verdana" w:hAnsi="Verdana"/>
          <w:sz w:val="20"/>
          <w:szCs w:val="20"/>
        </w:rPr>
        <w:t>limite</w:t>
      </w:r>
      <w:proofErr w:type="spellEnd"/>
      <w:r w:rsidRPr="00A966EE">
        <w:rPr>
          <w:rFonts w:ascii="Verdana" w:hAnsi="Verdana"/>
          <w:sz w:val="20"/>
          <w:szCs w:val="20"/>
        </w:rPr>
        <w:t xml:space="preserve"> </w:t>
      </w:r>
      <w:r>
        <w:rPr>
          <w:rFonts w:ascii="Verdana" w:hAnsi="Verdana"/>
          <w:sz w:val="20"/>
          <w:szCs w:val="20"/>
        </w:rPr>
        <w:t xml:space="preserve">(sic) </w:t>
      </w:r>
      <w:r w:rsidRPr="00A966EE">
        <w:rPr>
          <w:rFonts w:ascii="Verdana" w:hAnsi="Verdana"/>
          <w:sz w:val="20"/>
          <w:szCs w:val="20"/>
        </w:rPr>
        <w:t>normativo o un rango técnico de referencia para el componente de administración dentro de la estructura económica de los convenios o contratos interadministrativos?</w:t>
      </w:r>
    </w:p>
    <w:p w14:paraId="0E00A8A4" w14:textId="77777777" w:rsidR="009F5E7D" w:rsidRDefault="009F5E7D" w:rsidP="009F5E7D">
      <w:pPr>
        <w:spacing w:after="0" w:line="240" w:lineRule="auto"/>
        <w:ind w:left="709" w:right="709"/>
        <w:jc w:val="both"/>
        <w:rPr>
          <w:rFonts w:ascii="Verdana" w:hAnsi="Verdana"/>
          <w:sz w:val="20"/>
          <w:szCs w:val="20"/>
        </w:rPr>
      </w:pPr>
    </w:p>
    <w:p w14:paraId="4A525293" w14:textId="77777777" w:rsidR="009F5E7D" w:rsidRPr="00A966EE" w:rsidRDefault="009F5E7D" w:rsidP="009F5E7D">
      <w:pPr>
        <w:spacing w:after="0" w:line="240" w:lineRule="auto"/>
        <w:ind w:left="709" w:right="709"/>
        <w:jc w:val="both"/>
        <w:rPr>
          <w:rFonts w:ascii="Verdana" w:hAnsi="Verdana"/>
          <w:sz w:val="20"/>
          <w:szCs w:val="20"/>
        </w:rPr>
      </w:pPr>
      <w:r w:rsidRPr="00A966EE">
        <w:rPr>
          <w:rFonts w:ascii="Verdana" w:hAnsi="Verdana"/>
          <w:sz w:val="20"/>
          <w:szCs w:val="20"/>
        </w:rPr>
        <w:t>2. ¿En los convenios o contratos interadministrativos, el componente de administración debe corresponder a la</w:t>
      </w:r>
      <w:r>
        <w:rPr>
          <w:rFonts w:ascii="Verdana" w:hAnsi="Verdana"/>
          <w:sz w:val="20"/>
          <w:szCs w:val="20"/>
        </w:rPr>
        <w:t xml:space="preserve"> </w:t>
      </w:r>
      <w:r w:rsidRPr="00A966EE">
        <w:rPr>
          <w:rFonts w:ascii="Verdana" w:hAnsi="Verdana"/>
          <w:sz w:val="20"/>
          <w:szCs w:val="20"/>
        </w:rPr>
        <w:t>sumatoria efectiva y soportada de los costos indirectos de ejecución, o puede definirse con base en un porcentaje previamente adoptado por la entidad ejecutora?</w:t>
      </w:r>
    </w:p>
    <w:p w14:paraId="5336B7AE" w14:textId="77777777" w:rsidR="009F5E7D" w:rsidRDefault="009F5E7D" w:rsidP="009F5E7D">
      <w:pPr>
        <w:spacing w:after="0" w:line="240" w:lineRule="auto"/>
        <w:ind w:left="709" w:right="709"/>
        <w:jc w:val="both"/>
        <w:rPr>
          <w:rFonts w:ascii="Verdana" w:hAnsi="Verdana"/>
          <w:sz w:val="20"/>
          <w:szCs w:val="20"/>
        </w:rPr>
      </w:pPr>
    </w:p>
    <w:p w14:paraId="753165B9" w14:textId="77777777" w:rsidR="009F5E7D" w:rsidRPr="00A966EE" w:rsidRDefault="009F5E7D" w:rsidP="009F5E7D">
      <w:pPr>
        <w:spacing w:after="0" w:line="240" w:lineRule="auto"/>
        <w:ind w:left="709" w:right="709"/>
        <w:jc w:val="both"/>
        <w:rPr>
          <w:rFonts w:ascii="Verdana" w:hAnsi="Verdana"/>
          <w:sz w:val="20"/>
          <w:szCs w:val="20"/>
        </w:rPr>
      </w:pPr>
      <w:r w:rsidRPr="00A966EE">
        <w:rPr>
          <w:rFonts w:ascii="Verdana" w:hAnsi="Verdana"/>
          <w:sz w:val="20"/>
          <w:szCs w:val="20"/>
        </w:rPr>
        <w:t>3. ¿Qué conceptos pueden incorporarse técnicamente dentro del componente de administración (por ejemplo;</w:t>
      </w:r>
      <w:r>
        <w:rPr>
          <w:rFonts w:ascii="Verdana" w:hAnsi="Verdana"/>
          <w:sz w:val="20"/>
          <w:szCs w:val="20"/>
        </w:rPr>
        <w:t xml:space="preserve"> </w:t>
      </w:r>
      <w:proofErr w:type="gramStart"/>
      <w:r w:rsidRPr="00A966EE">
        <w:rPr>
          <w:rFonts w:ascii="Verdana" w:hAnsi="Verdana"/>
          <w:sz w:val="20"/>
          <w:szCs w:val="20"/>
        </w:rPr>
        <w:t>personal indirecto, pólizas, cargas tributarias, estampillas, manejo ambiental, seguridad y salud en el trabajo, entre</w:t>
      </w:r>
      <w:r>
        <w:rPr>
          <w:rFonts w:ascii="Verdana" w:hAnsi="Verdana"/>
          <w:sz w:val="20"/>
          <w:szCs w:val="20"/>
        </w:rPr>
        <w:t xml:space="preserve"> </w:t>
      </w:r>
      <w:r w:rsidRPr="00A966EE">
        <w:rPr>
          <w:rFonts w:ascii="Verdana" w:hAnsi="Verdana"/>
          <w:sz w:val="20"/>
          <w:szCs w:val="20"/>
        </w:rPr>
        <w:t>otros)?</w:t>
      </w:r>
      <w:proofErr w:type="gramEnd"/>
    </w:p>
    <w:p w14:paraId="03187068" w14:textId="77777777" w:rsidR="009F5E7D" w:rsidRPr="00A966EE" w:rsidRDefault="009F5E7D" w:rsidP="009F5E7D">
      <w:pPr>
        <w:spacing w:after="0" w:line="240" w:lineRule="auto"/>
        <w:ind w:left="709" w:right="709"/>
        <w:jc w:val="both"/>
        <w:rPr>
          <w:rFonts w:ascii="Verdana" w:hAnsi="Verdana"/>
          <w:sz w:val="20"/>
          <w:szCs w:val="20"/>
        </w:rPr>
      </w:pPr>
      <w:r w:rsidRPr="00A966EE">
        <w:rPr>
          <w:rFonts w:ascii="Verdana" w:hAnsi="Verdana"/>
          <w:sz w:val="20"/>
          <w:szCs w:val="20"/>
        </w:rPr>
        <w:t>4. ¿Es técnicamente admisible que el componente de administración alcance porcentajes elevados respecto del</w:t>
      </w:r>
      <w:r>
        <w:rPr>
          <w:rFonts w:ascii="Verdana" w:hAnsi="Verdana"/>
          <w:sz w:val="20"/>
          <w:szCs w:val="20"/>
        </w:rPr>
        <w:t xml:space="preserve"> </w:t>
      </w:r>
      <w:r w:rsidRPr="00A966EE">
        <w:rPr>
          <w:rFonts w:ascii="Verdana" w:hAnsi="Verdana"/>
          <w:sz w:val="20"/>
          <w:szCs w:val="20"/>
        </w:rPr>
        <w:t>valor total del contrato, siempre que se encuentre debidamente soportado y justificado?</w:t>
      </w:r>
    </w:p>
    <w:p w14:paraId="5B9D058B" w14:textId="77777777" w:rsidR="009F5E7D" w:rsidRDefault="009F5E7D" w:rsidP="009F5E7D">
      <w:pPr>
        <w:spacing w:after="0" w:line="240" w:lineRule="auto"/>
        <w:ind w:left="709" w:right="709"/>
        <w:jc w:val="both"/>
        <w:rPr>
          <w:rFonts w:ascii="Verdana" w:hAnsi="Verdana"/>
          <w:sz w:val="20"/>
          <w:szCs w:val="20"/>
        </w:rPr>
      </w:pPr>
    </w:p>
    <w:p w14:paraId="31EA9571" w14:textId="77777777" w:rsidR="009F5E7D" w:rsidRDefault="009F5E7D" w:rsidP="009F5E7D">
      <w:pPr>
        <w:spacing w:after="0" w:line="240" w:lineRule="auto"/>
        <w:ind w:left="709" w:right="709"/>
        <w:jc w:val="both"/>
        <w:rPr>
          <w:rFonts w:ascii="Verdana" w:hAnsi="Verdana"/>
          <w:sz w:val="20"/>
          <w:szCs w:val="20"/>
        </w:rPr>
      </w:pPr>
      <w:r w:rsidRPr="00A966EE">
        <w:rPr>
          <w:rFonts w:ascii="Verdana" w:hAnsi="Verdana"/>
          <w:sz w:val="20"/>
          <w:szCs w:val="20"/>
        </w:rPr>
        <w:t xml:space="preserve">5. Desde la perspectiva del control fiscal, ¿qué criterios objetivos se tienen en cuenta para determinar si el componente de administración o el AIU resulta desproporcionado o eventualmente lesivo al patrimonio público? </w:t>
      </w:r>
      <w:r>
        <w:rPr>
          <w:rFonts w:ascii="Verdana" w:hAnsi="Verdana"/>
          <w:sz w:val="20"/>
          <w:szCs w:val="20"/>
        </w:rPr>
        <w:t>(…)”.</w:t>
      </w:r>
    </w:p>
    <w:p w14:paraId="0F73E8C5" w14:textId="77777777" w:rsidR="009F5E7D" w:rsidRPr="00647D77" w:rsidRDefault="009F5E7D" w:rsidP="009F5E7D">
      <w:pPr>
        <w:spacing w:after="0" w:line="240" w:lineRule="auto"/>
        <w:ind w:right="709"/>
        <w:jc w:val="both"/>
        <w:rPr>
          <w:rFonts w:ascii="Verdana" w:hAnsi="Verdana"/>
        </w:rPr>
      </w:pPr>
    </w:p>
    <w:p w14:paraId="6CB58370" w14:textId="77777777" w:rsidR="009F5E7D" w:rsidRPr="00F64722" w:rsidRDefault="009F5E7D" w:rsidP="009F5E7D">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73E0DC6" w14:textId="6A6631D3" w:rsidR="0084361D" w:rsidRDefault="009F5E7D" w:rsidP="003928D0">
      <w:pPr>
        <w:spacing w:after="0" w:line="276" w:lineRule="auto"/>
        <w:ind w:firstLine="709"/>
        <w:jc w:val="both"/>
        <w:rPr>
          <w:rFonts w:ascii="Verdana" w:eastAsia="Calibri" w:hAnsi="Verdana" w:cs="Arial"/>
          <w:lang w:eastAsia="es-ES"/>
        </w:rPr>
      </w:pPr>
      <w:r w:rsidRPr="00B75E8F">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w:t>
      </w:r>
      <w:r w:rsidRPr="00C52681">
        <w:rPr>
          <w:rFonts w:ascii="Verdana" w:eastAsia="Calibri" w:hAnsi="Verdana" w:cs="Arial"/>
          <w:color w:val="000000"/>
          <w:lang w:eastAsia="es-ES"/>
        </w:rPr>
        <w:t xml:space="preserve">petición, pero </w:t>
      </w:r>
      <w:r w:rsidRPr="00BC65C7">
        <w:rPr>
          <w:rFonts w:ascii="Verdana" w:eastAsia="Calibri" w:hAnsi="Verdana" w:cs="Arial"/>
          <w:color w:val="000000"/>
          <w:lang w:eastAsia="es-ES"/>
        </w:rPr>
        <w:t xml:space="preserve">señalando algunas consideraciones sobre las normas generales </w:t>
      </w:r>
      <w:r w:rsidRPr="00807B27">
        <w:rPr>
          <w:rFonts w:ascii="Verdana" w:eastAsia="Calibri" w:hAnsi="Verdana" w:cs="Arial"/>
          <w:color w:val="000000"/>
          <w:lang w:eastAsia="es-ES"/>
        </w:rPr>
        <w:t>relacionadas a</w:t>
      </w:r>
      <w:r>
        <w:rPr>
          <w:rFonts w:ascii="Verdana" w:eastAsia="Calibri" w:hAnsi="Verdana" w:cs="Arial"/>
          <w:color w:val="000000"/>
          <w:lang w:eastAsia="es-ES"/>
        </w:rPr>
        <w:t xml:space="preserve"> </w:t>
      </w:r>
      <w:r w:rsidRPr="00807B27">
        <w:rPr>
          <w:rFonts w:ascii="Verdana" w:eastAsia="Calibri" w:hAnsi="Verdana" w:cs="Arial"/>
          <w:color w:val="000000"/>
          <w:lang w:eastAsia="es-ES"/>
        </w:rPr>
        <w:t>l</w:t>
      </w:r>
      <w:r>
        <w:rPr>
          <w:rFonts w:ascii="Verdana" w:eastAsia="Calibri" w:hAnsi="Verdana" w:cs="Arial"/>
          <w:color w:val="000000"/>
          <w:lang w:eastAsia="es-ES"/>
        </w:rPr>
        <w:t>os</w:t>
      </w:r>
      <w:r w:rsidRPr="00807B27">
        <w:rPr>
          <w:rFonts w:ascii="Verdana" w:eastAsia="Calibri" w:hAnsi="Verdana" w:cs="Arial"/>
          <w:color w:val="000000"/>
          <w:lang w:eastAsia="es-ES"/>
        </w:rPr>
        <w:t xml:space="preserve"> problema</w:t>
      </w:r>
      <w:r>
        <w:rPr>
          <w:rFonts w:ascii="Verdana" w:eastAsia="Calibri" w:hAnsi="Verdana" w:cs="Arial"/>
          <w:color w:val="000000"/>
          <w:lang w:eastAsia="es-ES"/>
        </w:rPr>
        <w:t>s</w:t>
      </w:r>
      <w:r w:rsidRPr="00807B27">
        <w:rPr>
          <w:rFonts w:ascii="Verdana" w:eastAsia="Calibri" w:hAnsi="Verdana" w:cs="Arial"/>
          <w:color w:val="000000"/>
          <w:lang w:eastAsia="es-ES"/>
        </w:rPr>
        <w:t xml:space="preserve"> jurídico</w:t>
      </w:r>
      <w:r>
        <w:rPr>
          <w:rFonts w:ascii="Verdana" w:eastAsia="Calibri" w:hAnsi="Verdana" w:cs="Arial"/>
          <w:color w:val="000000"/>
          <w:lang w:eastAsia="es-ES"/>
        </w:rPr>
        <w:t>s</w:t>
      </w:r>
      <w:r w:rsidRPr="00807B27">
        <w:rPr>
          <w:rFonts w:ascii="Verdana" w:eastAsia="Calibri" w:hAnsi="Verdana" w:cs="Arial"/>
          <w:color w:val="000000"/>
          <w:lang w:eastAsia="es-ES"/>
        </w:rPr>
        <w:t xml:space="preserve"> de su consulta.</w:t>
      </w:r>
      <w:r w:rsidRPr="00807B27">
        <w:rPr>
          <w:rFonts w:ascii="Verdana" w:eastAsia="Calibri" w:hAnsi="Verdana" w:cs="Arial"/>
          <w:lang w:eastAsia="es-ES"/>
        </w:rPr>
        <w:t xml:space="preserve">  </w:t>
      </w:r>
    </w:p>
    <w:p w14:paraId="46F5D56B" w14:textId="77777777" w:rsidR="009F5E7D" w:rsidRPr="00807B27" w:rsidRDefault="009F5E7D" w:rsidP="009F5E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07B27">
        <w:rPr>
          <w:rFonts w:ascii="Verdana" w:eastAsia="Century Gothic" w:hAnsi="Verdana" w:cs="Century Gothic"/>
          <w:b/>
          <w:bCs/>
        </w:rPr>
        <w:t>Problema planteado:</w:t>
      </w:r>
    </w:p>
    <w:p w14:paraId="60093D57" w14:textId="77777777" w:rsidR="009F5E7D" w:rsidRPr="00DB6A18" w:rsidRDefault="009F5E7D" w:rsidP="00FE4D24">
      <w:pPr>
        <w:spacing w:after="0" w:line="276" w:lineRule="auto"/>
        <w:jc w:val="both"/>
        <w:rPr>
          <w:rFonts w:ascii="Verdana" w:eastAsia="Calibri" w:hAnsi="Verdana" w:cs="Arial"/>
          <w:color w:val="000000"/>
          <w:lang w:eastAsia="es-ES"/>
        </w:rPr>
      </w:pPr>
    </w:p>
    <w:p w14:paraId="5D8319C8" w14:textId="77777777" w:rsidR="009F5E7D" w:rsidRPr="004F3256" w:rsidRDefault="009F5E7D" w:rsidP="009F5E7D">
      <w:pPr>
        <w:spacing w:after="0" w:line="276" w:lineRule="auto"/>
        <w:jc w:val="both"/>
        <w:rPr>
          <w:rFonts w:ascii="Verdana" w:eastAsia="Century Gothic" w:hAnsi="Verdana" w:cs="Century Gothic"/>
        </w:rPr>
      </w:pPr>
      <w:r w:rsidRPr="00BC65C7">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los</w:t>
      </w:r>
      <w:r w:rsidRPr="00BC65C7">
        <w:rPr>
          <w:rFonts w:ascii="Verdana" w:eastAsia="Calibri" w:hAnsi="Verdana" w:cs="Arial"/>
          <w:color w:val="000000"/>
          <w:lang w:eastAsia="es-ES"/>
        </w:rPr>
        <w:t xml:space="preserve"> siguiente</w:t>
      </w:r>
      <w:r>
        <w:rPr>
          <w:rFonts w:ascii="Verdana" w:eastAsia="Calibri" w:hAnsi="Verdana" w:cs="Arial"/>
          <w:color w:val="000000"/>
          <w:lang w:eastAsia="es-ES"/>
        </w:rPr>
        <w:t>s</w:t>
      </w:r>
      <w:r w:rsidRPr="00BC65C7">
        <w:rPr>
          <w:rFonts w:ascii="Verdana" w:eastAsia="Calibri" w:hAnsi="Verdana" w:cs="Arial"/>
          <w:color w:val="000000"/>
          <w:lang w:eastAsia="es-ES"/>
        </w:rPr>
        <w:t xml:space="preserve"> problema</w:t>
      </w:r>
      <w:r>
        <w:rPr>
          <w:rFonts w:ascii="Verdana" w:eastAsia="Calibri" w:hAnsi="Verdana" w:cs="Arial"/>
          <w:color w:val="000000"/>
          <w:lang w:eastAsia="es-ES"/>
        </w:rPr>
        <w:t>s</w:t>
      </w:r>
      <w:r w:rsidRPr="00BC65C7">
        <w:rPr>
          <w:rFonts w:ascii="Verdana" w:eastAsia="Calibri" w:hAnsi="Verdana" w:cs="Arial"/>
          <w:color w:val="000000"/>
          <w:lang w:eastAsia="es-ES"/>
        </w:rPr>
        <w:t xml:space="preserve"> jurídico</w:t>
      </w:r>
      <w:r>
        <w:rPr>
          <w:rFonts w:ascii="Verdana" w:eastAsia="Calibri" w:hAnsi="Verdana" w:cs="Arial"/>
          <w:color w:val="000000"/>
          <w:lang w:eastAsia="es-ES"/>
        </w:rPr>
        <w:t>s</w:t>
      </w:r>
      <w:r w:rsidRPr="00BC65C7">
        <w:rPr>
          <w:rFonts w:ascii="Verdana" w:eastAsia="Calibri" w:hAnsi="Verdana" w:cs="Arial"/>
          <w:color w:val="000000"/>
          <w:lang w:eastAsia="es-ES"/>
        </w:rPr>
        <w:t xml:space="preserve">: </w:t>
      </w:r>
      <w:r>
        <w:rPr>
          <w:rFonts w:ascii="Verdana" w:eastAsia="Calibri" w:hAnsi="Verdana" w:cs="Arial"/>
          <w:color w:val="000000"/>
          <w:lang w:eastAsia="es-ES"/>
        </w:rPr>
        <w:t>i) ¿Qué se entiende por costos de administración y existe un marco normativo q</w:t>
      </w:r>
      <w:r>
        <w:rPr>
          <w:rFonts w:ascii="Verdana" w:eastAsia="Century Gothic" w:hAnsi="Verdana" w:cs="Century Gothic"/>
        </w:rPr>
        <w:t xml:space="preserve">ue defina el componente de administración? </w:t>
      </w:r>
      <w:proofErr w:type="spellStart"/>
      <w:r>
        <w:rPr>
          <w:rFonts w:ascii="Verdana" w:eastAsia="Century Gothic" w:hAnsi="Verdana" w:cs="Century Gothic"/>
        </w:rPr>
        <w:t>ii</w:t>
      </w:r>
      <w:proofErr w:type="spellEnd"/>
      <w:r>
        <w:rPr>
          <w:rFonts w:ascii="Verdana" w:eastAsia="Century Gothic" w:hAnsi="Verdana" w:cs="Century Gothic"/>
        </w:rPr>
        <w:t>) ¿C</w:t>
      </w:r>
      <w:r>
        <w:rPr>
          <w:rFonts w:ascii="Verdana" w:eastAsia="Calibri" w:hAnsi="Verdana" w:cs="Arial"/>
          <w:color w:val="000000"/>
          <w:lang w:eastAsia="es-ES"/>
        </w:rPr>
        <w:t xml:space="preserve">uáles pueden ser los conceptos que se pueden incorporar? </w:t>
      </w:r>
      <w:proofErr w:type="spellStart"/>
      <w:r>
        <w:rPr>
          <w:rFonts w:ascii="Verdana" w:eastAsia="Calibri" w:hAnsi="Verdana" w:cs="Arial"/>
          <w:color w:val="000000"/>
          <w:lang w:eastAsia="es-ES"/>
        </w:rPr>
        <w:t>iii</w:t>
      </w:r>
      <w:proofErr w:type="spellEnd"/>
      <w:r>
        <w:rPr>
          <w:rFonts w:ascii="Verdana" w:eastAsia="Calibri" w:hAnsi="Verdana" w:cs="Arial"/>
          <w:color w:val="000000"/>
          <w:lang w:eastAsia="es-ES"/>
        </w:rPr>
        <w:t xml:space="preserve">) </w:t>
      </w:r>
      <w:r w:rsidRPr="004F3256">
        <w:rPr>
          <w:rFonts w:ascii="Verdana" w:eastAsia="Century Gothic" w:hAnsi="Verdana" w:cs="Century Gothic"/>
        </w:rPr>
        <w:t xml:space="preserve">¿Es viable establecer </w:t>
      </w:r>
      <w:r>
        <w:rPr>
          <w:rFonts w:ascii="Verdana" w:eastAsia="Century Gothic" w:hAnsi="Verdana" w:cs="Century Gothic"/>
        </w:rPr>
        <w:t>c</w:t>
      </w:r>
      <w:r w:rsidRPr="004F3256">
        <w:rPr>
          <w:rFonts w:ascii="Verdana" w:eastAsia="Century Gothic" w:hAnsi="Verdana" w:cs="Century Gothic"/>
        </w:rPr>
        <w:t>ostos administrativos en los convenios y contratos interadministrativos celebrado entre entidades públicas</w:t>
      </w:r>
      <w:r>
        <w:rPr>
          <w:rFonts w:ascii="Verdana" w:eastAsia="Century Gothic" w:hAnsi="Verdana" w:cs="Century Gothic"/>
        </w:rPr>
        <w:t xml:space="preserve"> y cómo deben establecerse? </w:t>
      </w:r>
    </w:p>
    <w:p w14:paraId="0980EC12" w14:textId="77777777" w:rsidR="009F5E7D" w:rsidRDefault="009F5E7D" w:rsidP="009F5E7D">
      <w:pPr>
        <w:spacing w:after="0" w:line="276" w:lineRule="auto"/>
        <w:jc w:val="both"/>
        <w:rPr>
          <w:rFonts w:ascii="Verdana" w:eastAsia="Century Gothic" w:hAnsi="Verdana" w:cs="Century Gothic"/>
          <w:b/>
          <w:bCs/>
        </w:rPr>
      </w:pPr>
    </w:p>
    <w:p w14:paraId="31ED1CEC" w14:textId="77777777" w:rsidR="009F5E7D" w:rsidRPr="00C97CA6" w:rsidRDefault="009F5E7D" w:rsidP="009F5E7D">
      <w:pPr>
        <w:spacing w:after="0" w:line="276" w:lineRule="auto"/>
        <w:jc w:val="both"/>
        <w:rPr>
          <w:rFonts w:ascii="Verdana" w:eastAsia="Century Gothic" w:hAnsi="Verdana" w:cs="Century Gothic"/>
        </w:rPr>
      </w:pPr>
      <w:r w:rsidRPr="00B33011">
        <w:rPr>
          <w:rFonts w:ascii="Verdana" w:eastAsia="Century Gothic" w:hAnsi="Verdana" w:cs="Century Gothic"/>
          <w:b/>
          <w:bCs/>
        </w:rPr>
        <w:t>2. Respuesta:</w:t>
      </w:r>
    </w:p>
    <w:p w14:paraId="707B4DEB" w14:textId="77777777" w:rsidR="009F5E7D" w:rsidRPr="005644FE" w:rsidRDefault="009F5E7D" w:rsidP="009F5E7D">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9F5E7D" w:rsidRPr="005644FE" w14:paraId="6337812B" w14:textId="77777777" w:rsidTr="00BD03F5">
        <w:tc>
          <w:tcPr>
            <w:tcW w:w="8828" w:type="dxa"/>
          </w:tcPr>
          <w:p w14:paraId="45691573" w14:textId="77777777" w:rsidR="009F5E7D" w:rsidRPr="004F3256" w:rsidRDefault="009F5E7D" w:rsidP="00BD03F5">
            <w:pPr>
              <w:spacing w:after="120" w:line="276" w:lineRule="auto"/>
              <w:jc w:val="both"/>
              <w:rPr>
                <w:rFonts w:ascii="Verdana" w:hAnsi="Verdana" w:cs="Arial"/>
                <w:bCs/>
                <w:szCs w:val="24"/>
                <w:lang w:val="es-ES_tradnl" w:eastAsia="es-ES_tradnl"/>
              </w:rPr>
            </w:pPr>
            <w:r w:rsidRPr="004F3256">
              <w:rPr>
                <w:rFonts w:ascii="Verdana" w:eastAsia="Times New Roman" w:hAnsi="Verdana" w:cs="Arial"/>
                <w:color w:val="000000" w:themeColor="text1"/>
                <w:lang w:val="es-ES" w:eastAsia="es-ES"/>
              </w:rPr>
              <w:t>i</w:t>
            </w:r>
            <w:r>
              <w:rPr>
                <w:rFonts w:ascii="Verdana" w:eastAsia="Times New Roman" w:hAnsi="Verdana" w:cs="Arial"/>
                <w:color w:val="000000" w:themeColor="text1"/>
                <w:lang w:val="es-ES" w:eastAsia="es-ES"/>
              </w:rPr>
              <w:t>)</w:t>
            </w:r>
            <w:r w:rsidRPr="004F3256">
              <w:rPr>
                <w:rFonts w:ascii="Verdana" w:hAnsi="Verdana" w:cs="Arial"/>
                <w:bCs/>
                <w:szCs w:val="24"/>
                <w:lang w:val="es-ES_tradnl" w:eastAsia="es-ES_tradnl"/>
              </w:rPr>
              <w:t xml:space="preserve"> Uno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6B68B7F6" w14:textId="77777777" w:rsidR="009F5E7D" w:rsidRPr="004F3256" w:rsidRDefault="009F5E7D" w:rsidP="00BD03F5">
            <w:pPr>
              <w:spacing w:after="120" w:line="276" w:lineRule="auto"/>
              <w:ind w:firstLine="709"/>
              <w:jc w:val="both"/>
              <w:rPr>
                <w:rFonts w:ascii="Verdana" w:hAnsi="Verdana" w:cs="Arial"/>
                <w:lang w:val="es-ES" w:eastAsia="es-ES"/>
              </w:rPr>
            </w:pPr>
            <w:r w:rsidRPr="004F3256">
              <w:rPr>
                <w:rFonts w:ascii="Verdana" w:hAnsi="Verdana" w:cs="Arial"/>
                <w:lang w:val="es-ES" w:eastAsia="es-ES"/>
              </w:rPr>
              <w:t xml:space="preserve">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 </w:t>
            </w:r>
          </w:p>
          <w:p w14:paraId="2B665ABE" w14:textId="77777777" w:rsidR="009F5E7D" w:rsidRPr="004F3256" w:rsidRDefault="009F5E7D" w:rsidP="00BD03F5">
            <w:pPr>
              <w:spacing w:after="120" w:line="276" w:lineRule="auto"/>
              <w:ind w:firstLine="709"/>
              <w:jc w:val="both"/>
              <w:rPr>
                <w:rFonts w:ascii="Verdana" w:hAnsi="Verdana" w:cs="Arial"/>
                <w:lang w:val="es-ES" w:eastAsia="es-ES"/>
              </w:rPr>
            </w:pPr>
            <w:r w:rsidRPr="004F3256">
              <w:rPr>
                <w:rFonts w:ascii="Verdana" w:hAnsi="Verdana" w:cs="Arial"/>
                <w:lang w:val="es-ES" w:eastAsia="es-ES"/>
              </w:rPr>
              <w:t xml:space="preserve">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4F3256">
              <w:rPr>
                <w:rFonts w:ascii="Verdana" w:hAnsi="Verdana" w:cs="Arial"/>
                <w:lang w:val="es-ES" w:eastAsia="es-ES"/>
              </w:rPr>
              <w:t>ii</w:t>
            </w:r>
            <w:proofErr w:type="spellEnd"/>
            <w:r w:rsidRPr="004F3256">
              <w:rPr>
                <w:rFonts w:ascii="Verdana" w:hAnsi="Verdana" w:cs="Arial"/>
                <w:lang w:val="es-ES" w:eastAsia="es-ES"/>
              </w:rPr>
              <w:t xml:space="preserve">) el precio global –que equivale al monto total, sin discriminar unidades–, y </w:t>
            </w:r>
            <w:proofErr w:type="spellStart"/>
            <w:r w:rsidRPr="004F3256">
              <w:rPr>
                <w:rFonts w:ascii="Verdana" w:hAnsi="Verdana" w:cs="Arial"/>
                <w:lang w:val="es-ES" w:eastAsia="es-ES"/>
              </w:rPr>
              <w:t>iii</w:t>
            </w:r>
            <w:proofErr w:type="spellEnd"/>
            <w:r w:rsidRPr="004F3256">
              <w:rPr>
                <w:rFonts w:ascii="Verdana" w:hAnsi="Verdana" w:cs="Arial"/>
                <w:lang w:val="es-ES" w:eastAsia="es-ES"/>
              </w:rPr>
              <w:t>) la administración delegada de recursos –en la que se distinguen los costos de inversión de los honorarios del administrador–.</w:t>
            </w:r>
          </w:p>
          <w:p w14:paraId="10B406F7" w14:textId="77777777" w:rsidR="009F5E7D" w:rsidRPr="004F3256" w:rsidRDefault="009F5E7D" w:rsidP="00BD03F5">
            <w:pPr>
              <w:spacing w:after="120" w:line="276" w:lineRule="auto"/>
              <w:ind w:firstLine="709"/>
              <w:jc w:val="both"/>
              <w:rPr>
                <w:rFonts w:ascii="Verdana" w:hAnsi="Verdana" w:cs="Arial"/>
                <w:lang w:val="es-ES" w:eastAsia="es-ES"/>
              </w:rPr>
            </w:pPr>
            <w:r w:rsidRPr="004F3256">
              <w:rPr>
                <w:rFonts w:ascii="Verdana" w:eastAsia="Times New Roman" w:hAnsi="Verdana" w:cs="Arial"/>
                <w:color w:val="000000" w:themeColor="text1"/>
                <w:lang w:val="es-ES" w:eastAsia="es-ES"/>
              </w:rPr>
              <w:t>E</w:t>
            </w:r>
            <w:r w:rsidRPr="004F3256">
              <w:rPr>
                <w:rFonts w:ascii="Verdana" w:hAnsi="Verdana" w:cs="Arial"/>
                <w:lang w:val="es-ES" w:eastAsia="es-ES"/>
              </w:rPr>
              <w:t xml:space="preserve">n los contratos cuyo precio se estructura a partir del sistema de precios unitarios, ha hecho parte de la práctica de los negocios que el contratante le solicite al potencial contratista que separe en su propuesta los </w:t>
            </w:r>
            <w:r w:rsidRPr="004F3256">
              <w:rPr>
                <w:rFonts w:ascii="Verdana" w:hAnsi="Verdana" w:cs="Arial"/>
                <w:i/>
                <w:iCs/>
                <w:lang w:val="es-ES" w:eastAsia="es-ES"/>
              </w:rPr>
              <w:t>costos directos</w:t>
            </w:r>
            <w:r w:rsidRPr="004F3256">
              <w:rPr>
                <w:rFonts w:ascii="Verdana" w:hAnsi="Verdana" w:cs="Arial"/>
                <w:lang w:val="es-ES" w:eastAsia="es-ES"/>
              </w:rPr>
              <w:t xml:space="preserve"> –es decir, los que están directamente implicados en la ejecución del objeto–, de los </w:t>
            </w:r>
            <w:r w:rsidRPr="004F3256">
              <w:rPr>
                <w:rFonts w:ascii="Verdana" w:hAnsi="Verdana" w:cs="Arial"/>
                <w:i/>
                <w:iCs/>
                <w:lang w:val="es-ES" w:eastAsia="es-ES"/>
              </w:rPr>
              <w:t>costos indirectos</w:t>
            </w:r>
            <w:r w:rsidRPr="004F3256">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4F3256">
              <w:rPr>
                <w:rFonts w:ascii="Verdana" w:hAnsi="Verdana" w:cs="Arial"/>
                <w:i/>
                <w:iCs/>
                <w:lang w:val="es-ES" w:eastAsia="es-ES"/>
              </w:rPr>
              <w:t>costos directos</w:t>
            </w:r>
            <w:r w:rsidRPr="004F3256">
              <w:rPr>
                <w:rFonts w:ascii="Verdana" w:hAnsi="Verdana" w:cs="Arial"/>
                <w:lang w:val="es-ES" w:eastAsia="es-ES"/>
              </w:rPr>
              <w:t xml:space="preserve"> se evidencian en el análisis de precios unitarios –APU–, como la sumatoria de los valores de los </w:t>
            </w:r>
            <w:r w:rsidRPr="004F3256">
              <w:rPr>
                <w:rFonts w:ascii="Verdana" w:hAnsi="Verdana" w:cs="Arial"/>
                <w:i/>
                <w:iCs/>
                <w:lang w:val="es-ES" w:eastAsia="es-ES"/>
              </w:rPr>
              <w:t>ítems</w:t>
            </w:r>
            <w:r w:rsidRPr="004F3256">
              <w:rPr>
                <w:rFonts w:ascii="Verdana" w:hAnsi="Verdana" w:cs="Arial"/>
                <w:lang w:val="es-ES" w:eastAsia="es-ES"/>
              </w:rPr>
              <w:t xml:space="preserve"> según su unidad de medida, los </w:t>
            </w:r>
            <w:r w:rsidRPr="004F3256">
              <w:rPr>
                <w:rFonts w:ascii="Verdana" w:hAnsi="Verdana" w:cs="Arial"/>
                <w:i/>
                <w:iCs/>
                <w:lang w:val="es-ES" w:eastAsia="es-ES"/>
              </w:rPr>
              <w:t>costos indirectos</w:t>
            </w:r>
            <w:r w:rsidRPr="004F3256">
              <w:rPr>
                <w:rFonts w:ascii="Verdana" w:hAnsi="Verdana" w:cs="Arial"/>
                <w:lang w:val="es-ES" w:eastAsia="es-ES"/>
              </w:rPr>
              <w:t xml:space="preserve"> se suelen abreviar en las variables que integran el acrónimo AIU –Administración, Imprevistos y Utilidad. </w:t>
            </w:r>
          </w:p>
          <w:p w14:paraId="657BE055" w14:textId="77777777" w:rsidR="009F5E7D" w:rsidRDefault="009F5E7D" w:rsidP="00BD03F5">
            <w:pPr>
              <w:spacing w:after="120" w:line="276" w:lineRule="auto"/>
              <w:ind w:firstLine="743"/>
              <w:jc w:val="both"/>
              <w:rPr>
                <w:rFonts w:ascii="Verdana" w:hAnsi="Verdana" w:cs="Arial"/>
                <w:lang w:eastAsia="es-ES"/>
              </w:rPr>
            </w:pPr>
            <w:r w:rsidRPr="004F3256">
              <w:rPr>
                <w:rFonts w:ascii="Verdana" w:hAnsi="Verdana" w:cs="Arial"/>
                <w:lang w:eastAsia="es-ES"/>
              </w:rPr>
              <w:t>Así pues, ni el sistema de precios unitarios –como metodología de estipulación del valor contractual–, ni el concepto de costos directos e indirectos, ni mucho menos la forma de calcularlo –es decir, su porcentaje–, son aspectos regulados en el conjunto de las disposiciones legales y reglamentarias que integran la normativa contractual del Estado</w:t>
            </w:r>
            <w:r>
              <w:rPr>
                <w:rFonts w:ascii="Verdana" w:hAnsi="Verdana" w:cs="Arial"/>
                <w:lang w:eastAsia="es-ES"/>
              </w:rPr>
              <w:t>.</w:t>
            </w:r>
          </w:p>
          <w:p w14:paraId="5C5A1C55" w14:textId="77777777" w:rsidR="009F5E7D" w:rsidRPr="004F3256" w:rsidRDefault="009F5E7D" w:rsidP="00BD03F5">
            <w:pPr>
              <w:spacing w:after="120" w:line="276" w:lineRule="auto"/>
              <w:ind w:firstLine="743"/>
              <w:jc w:val="both"/>
              <w:rPr>
                <w:rFonts w:ascii="Verdana" w:hAnsi="Verdana" w:cs="Arial"/>
                <w:lang w:eastAsia="es-ES"/>
              </w:rPr>
            </w:pPr>
            <w:proofErr w:type="spellStart"/>
            <w:r>
              <w:rPr>
                <w:rFonts w:ascii="Verdana" w:hAnsi="Verdana" w:cs="Arial"/>
                <w:lang w:val="es-ES" w:eastAsia="es-ES"/>
              </w:rPr>
              <w:t>ii</w:t>
            </w:r>
            <w:proofErr w:type="spellEnd"/>
            <w:r>
              <w:rPr>
                <w:rFonts w:ascii="Verdana" w:hAnsi="Verdana" w:cs="Arial"/>
                <w:lang w:val="es-ES" w:eastAsia="es-ES"/>
              </w:rPr>
              <w:t xml:space="preserve">) </w:t>
            </w:r>
            <w:r w:rsidRPr="004F3256">
              <w:rPr>
                <w:rFonts w:ascii="Verdana" w:hAnsi="Verdana" w:cs="Arial"/>
                <w:lang w:val="es-ES" w:eastAsia="es-ES"/>
              </w:rPr>
              <w:t>Frente a los costos que suelen incluirse en la Administración –A–, la jurisprudencia, a partir de la práctica de las entidades estatales, ha señalado que: “Los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 En términos similares, pero más precisos, la doctrina, recogiendo la casuística de los contratos estatales, señala de forma más pormenorizada los gastos que se asocian a la –A–</w:t>
            </w:r>
            <w:r>
              <w:rPr>
                <w:rFonts w:ascii="Verdana" w:hAnsi="Verdana" w:cs="Arial"/>
                <w:lang w:val="es-ES" w:eastAsia="es-ES"/>
              </w:rPr>
              <w:t>.</w:t>
            </w:r>
          </w:p>
          <w:p w14:paraId="07FDC199" w14:textId="77777777" w:rsidR="009F5E7D" w:rsidRPr="004F3256" w:rsidRDefault="009F5E7D" w:rsidP="00BD03F5">
            <w:pPr>
              <w:spacing w:after="120" w:line="276" w:lineRule="auto"/>
              <w:ind w:firstLine="743"/>
              <w:jc w:val="both"/>
              <w:rPr>
                <w:rFonts w:ascii="Verdana" w:eastAsia="Calibri" w:hAnsi="Verdana" w:cs="Arial"/>
                <w:iCs/>
                <w:lang w:eastAsia="es-ES"/>
              </w:rPr>
            </w:pPr>
            <w:r w:rsidRPr="004F3256">
              <w:rPr>
                <w:rFonts w:ascii="Verdana" w:eastAsia="Calibri" w:hAnsi="Verdana" w:cs="Arial"/>
                <w:iCs/>
                <w:lang w:eastAsia="es-ES"/>
              </w:rPr>
              <w:t>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que más se ajuste el objeto a contratar.</w:t>
            </w:r>
          </w:p>
          <w:p w14:paraId="2CF8C075" w14:textId="77777777" w:rsidR="009F5E7D" w:rsidRPr="004F3256" w:rsidRDefault="009F5E7D" w:rsidP="00BD03F5">
            <w:pPr>
              <w:spacing w:after="120" w:line="276" w:lineRule="auto"/>
              <w:ind w:firstLine="743"/>
              <w:jc w:val="both"/>
              <w:rPr>
                <w:rFonts w:ascii="Verdana" w:hAnsi="Verdana" w:cs="Arial"/>
                <w:lang w:eastAsia="es-ES"/>
              </w:rPr>
            </w:pPr>
            <w:r w:rsidRPr="004F3256">
              <w:rPr>
                <w:rFonts w:ascii="Verdana" w:eastAsia="Calibri" w:hAnsi="Verdana" w:cs="Arial"/>
                <w:iCs/>
              </w:rPr>
              <w:t xml:space="preserve">Conforme a lo expuesto, las entidades estatales pueden incluir en el valor de sus contratos los costos directos e indirectos- </w:t>
            </w:r>
            <w:proofErr w:type="spellStart"/>
            <w:r w:rsidRPr="004F3256">
              <w:rPr>
                <w:rFonts w:ascii="Verdana" w:eastAsia="Calibri" w:hAnsi="Verdana" w:cs="Arial"/>
                <w:i/>
                <w:iCs/>
              </w:rPr>
              <w:t>overhead</w:t>
            </w:r>
            <w:proofErr w:type="spellEnd"/>
            <w:r w:rsidRPr="004F3256">
              <w:rPr>
                <w:rFonts w:ascii="Verdana" w:eastAsia="Calibri" w:hAnsi="Verdana" w:cs="Arial"/>
                <w:i/>
                <w:iCs/>
              </w:rPr>
              <w:t>-,</w:t>
            </w:r>
            <w:r w:rsidRPr="004F3256">
              <w:rPr>
                <w:rFonts w:ascii="Verdana" w:eastAsia="Calibri" w:hAnsi="Verdana" w:cs="Arial"/>
                <w:iCs/>
              </w:rPr>
              <w:t xml:space="preserve"> asociados al precio de la ejecución del contrato, lo que indica que se trata de un elemento vinculado al cálculo de la remuneración o pago en favor de los contratistas del estado, que se incluye, como ya se expresó, con la finalidad de generar estabilidad en dicho precio, tanto favor del contratista, como de la entidad contratante. Cuando los costos indirectos -</w:t>
            </w:r>
            <w:proofErr w:type="spellStart"/>
            <w:r w:rsidRPr="004F3256">
              <w:rPr>
                <w:rFonts w:ascii="Verdana" w:eastAsia="Calibri" w:hAnsi="Verdana" w:cs="Arial"/>
                <w:i/>
              </w:rPr>
              <w:t>overhead</w:t>
            </w:r>
            <w:proofErr w:type="spellEnd"/>
            <w:r w:rsidRPr="004F3256">
              <w:rPr>
                <w:rFonts w:ascii="Verdana" w:eastAsia="Calibri" w:hAnsi="Verdana" w:cs="Arial"/>
                <w:i/>
              </w:rPr>
              <w:t xml:space="preserve">- </w:t>
            </w:r>
            <w:r w:rsidRPr="004F3256">
              <w:rPr>
                <w:rFonts w:ascii="Verdana" w:eastAsia="Calibri" w:hAnsi="Verdana" w:cs="Arial"/>
                <w:iCs/>
              </w:rPr>
              <w:t>han sido expresamente contemplados dentro de la estructura económica del contrato, ya sea en los estudios previos, en la propuesta del contratista o en las cláusulas contractuales, estos resultan obligatorios y su reconocimiento y pago debe efectuarse en los términos y condiciones pactados. En tal medida, la entidad contratante no puede desconocer o excluir unilateralmente dichos costos una vez incorporados al precio, salvo que exista una modificación válida del contrato o una causa legal que justifique su ajuste.</w:t>
            </w:r>
          </w:p>
          <w:p w14:paraId="5DFC12FB" w14:textId="77777777" w:rsidR="009F5E7D" w:rsidRPr="004F3256" w:rsidRDefault="009F5E7D" w:rsidP="00BD03F5">
            <w:pPr>
              <w:snapToGrid w:val="0"/>
              <w:spacing w:after="120" w:line="276" w:lineRule="auto"/>
              <w:jc w:val="both"/>
              <w:rPr>
                <w:rFonts w:ascii="Verdana" w:hAnsi="Verdana" w:cs="Arial"/>
                <w:bCs/>
                <w:color w:val="000000" w:themeColor="text1"/>
                <w:szCs w:val="24"/>
                <w:lang w:eastAsia="es-ES_tradnl" w:bidi="es-ES"/>
              </w:rPr>
            </w:pPr>
            <w:proofErr w:type="spellStart"/>
            <w:r>
              <w:rPr>
                <w:rFonts w:ascii="Verdana" w:hAnsi="Verdana" w:cs="Arial"/>
                <w:lang w:eastAsia="es-ES"/>
              </w:rPr>
              <w:t>i</w:t>
            </w:r>
            <w:r w:rsidRPr="004F3256">
              <w:rPr>
                <w:rFonts w:ascii="Verdana" w:hAnsi="Verdana" w:cs="Arial"/>
                <w:lang w:eastAsia="es-ES"/>
              </w:rPr>
              <w:t>ii</w:t>
            </w:r>
            <w:proofErr w:type="spellEnd"/>
            <w:r>
              <w:rPr>
                <w:rFonts w:ascii="Verdana" w:hAnsi="Verdana" w:cs="Arial"/>
                <w:lang w:eastAsia="es-ES"/>
              </w:rPr>
              <w:t>)</w:t>
            </w:r>
            <w:r w:rsidRPr="004F3256">
              <w:rPr>
                <w:rFonts w:ascii="Verdana" w:hAnsi="Verdana" w:cs="Arial"/>
                <w:lang w:eastAsia="es-ES"/>
              </w:rPr>
              <w:t xml:space="preserve"> </w:t>
            </w:r>
            <w:r w:rsidRPr="004F3256">
              <w:rPr>
                <w:rFonts w:ascii="Verdana" w:eastAsia="Calibri" w:hAnsi="Verdana" w:cs="Arial"/>
                <w:bCs/>
                <w:color w:val="000000" w:themeColor="text1"/>
                <w:lang w:eastAsia="es-ES_tradnl" w:bidi="es-ES"/>
              </w:rPr>
              <w:t>Si bien el Estatuto General de Contratación de la Administración Pública hace referencia de manera expresa al contrato interadministrativo o, en términos generales, a los interadministrativos y no al convenio,</w:t>
            </w:r>
            <w:r w:rsidRPr="004F3256">
              <w:rPr>
                <w:rFonts w:ascii="Verdana" w:eastAsia="Calibri" w:hAnsi="Verdana" w:cs="Arial"/>
                <w:color w:val="000000" w:themeColor="text1"/>
                <w:lang w:val="es-ES_tradnl"/>
              </w:rPr>
              <w:t xml:space="preserve"> tanto jurisprudencial como doctrinariamente, se han hecho diferenciaciones conceptuales entre </w:t>
            </w:r>
            <w:r w:rsidRPr="004F3256">
              <w:rPr>
                <w:rFonts w:ascii="Verdana" w:hAnsi="Verdana" w:cs="Arial"/>
                <w:bCs/>
                <w:color w:val="000000" w:themeColor="text1"/>
                <w:szCs w:val="24"/>
                <w:lang w:eastAsia="es-ES_tradnl" w:bidi="es-ES"/>
              </w:rPr>
              <w:t xml:space="preserve">los </w:t>
            </w:r>
            <w:proofErr w:type="gramStart"/>
            <w:r w:rsidRPr="004F3256">
              <w:rPr>
                <w:rFonts w:ascii="Verdana" w:hAnsi="Verdana" w:cs="Arial"/>
                <w:bCs/>
                <w:color w:val="000000" w:themeColor="text1"/>
                <w:szCs w:val="24"/>
                <w:lang w:eastAsia="es-ES_tradnl" w:bidi="es-ES"/>
              </w:rPr>
              <w:t>contratos interadministrativos y los convenios interadministrativos</w:t>
            </w:r>
            <w:proofErr w:type="gramEnd"/>
            <w:r w:rsidRPr="004F3256">
              <w:rPr>
                <w:rFonts w:ascii="Verdana" w:hAnsi="Verdana" w:cs="Arial"/>
                <w:bCs/>
                <w:color w:val="000000" w:themeColor="text1"/>
                <w:szCs w:val="24"/>
                <w:lang w:eastAsia="es-ES_tradnl" w:bidi="es-ES"/>
              </w:rPr>
              <w:t xml:space="preserve"> de que trata el artículo 95 de la Ley 489 de 1998, que para efectos de la consulta planteada resultan determinantes. </w:t>
            </w:r>
          </w:p>
          <w:p w14:paraId="2A711627" w14:textId="77777777" w:rsidR="009F5E7D" w:rsidRPr="004F3256" w:rsidRDefault="009F5E7D" w:rsidP="00BD03F5">
            <w:pPr>
              <w:snapToGrid w:val="0"/>
              <w:spacing w:after="120" w:line="276" w:lineRule="auto"/>
              <w:ind w:firstLine="601"/>
              <w:jc w:val="both"/>
              <w:rPr>
                <w:rFonts w:ascii="Verdana" w:eastAsia="Calibri" w:hAnsi="Verdana" w:cs="Arial"/>
                <w:bCs/>
                <w:color w:val="000000" w:themeColor="text1"/>
                <w:lang w:eastAsia="es-ES_tradnl" w:bidi="es-ES"/>
              </w:rPr>
            </w:pPr>
            <w:r w:rsidRPr="004F3256">
              <w:rPr>
                <w:rFonts w:ascii="Verdana" w:hAnsi="Verdana" w:cs="Arial"/>
                <w:bCs/>
                <w:color w:val="000000" w:themeColor="text1"/>
                <w:szCs w:val="24"/>
                <w:lang w:eastAsia="es-ES_tradnl" w:bidi="es-ES"/>
              </w:rPr>
              <w:t xml:space="preserve">En este sentido, la jurisprudencia del Consejo de Estado ha resaltado que aunque </w:t>
            </w:r>
            <w:r w:rsidRPr="004F3256">
              <w:rPr>
                <w:rFonts w:ascii="Verdana" w:eastAsia="Calibri" w:hAnsi="Verdana" w:cs="Arial"/>
                <w:bCs/>
                <w:color w:val="000000" w:themeColor="text1"/>
                <w:lang w:eastAsia="es-ES_tradnl" w:bidi="es-ES"/>
              </w:rPr>
              <w:t xml:space="preserve">estas tienen un tronco común, se diferencian en su naturaleza y finalidad en la medida en que los contratos estatales –en general– comportan obligaciones de contenido patrimonial que se traducen en intereses contrapuestos entre las partes pues implican un gravamen a cambio de un beneficio en una relación de carácter conmutativo, mientras que los convenios interadministrativos involucran la ejecución de actividades en función de un interés común para las partes; en esencia se pretende el cumplimiento de fines coincidentes entre quienes lo ejecutan. </w:t>
            </w:r>
          </w:p>
          <w:p w14:paraId="4F6BB062" w14:textId="77777777" w:rsidR="009F5E7D" w:rsidRPr="004F3256" w:rsidRDefault="009F5E7D" w:rsidP="00BD03F5">
            <w:pPr>
              <w:snapToGrid w:val="0"/>
              <w:spacing w:after="120" w:line="276" w:lineRule="auto"/>
              <w:ind w:firstLine="709"/>
              <w:jc w:val="both"/>
              <w:rPr>
                <w:rFonts w:ascii="Verdana" w:eastAsia="Calibri" w:hAnsi="Verdana" w:cs="Arial"/>
                <w:bCs/>
                <w:color w:val="000000" w:themeColor="text1"/>
                <w:lang w:eastAsia="es-ES_tradnl" w:bidi="es-ES"/>
              </w:rPr>
            </w:pPr>
            <w:r w:rsidRPr="004F3256">
              <w:rPr>
                <w:rFonts w:ascii="Verdana" w:eastAsia="Calibri" w:hAnsi="Verdana" w:cs="Arial"/>
                <w:bCs/>
                <w:color w:val="000000" w:themeColor="text1"/>
                <w:lang w:eastAsia="es-ES_tradnl" w:bidi="es-ES"/>
              </w:rPr>
              <w:t>Mientras que en el contrato interadministrativo las finalidades de las partes divergen, en el convenio convergen y cooperan en función del cumplimiento eficiente de un propósito estatal común superior. En esa línea, una interpretación sistemática de las leyes 80 de 1993, 1150 de 2007 y 1474 de 2011 invitaría a considerar el contrato interadministrativo como una relación jurídica patrimonial, onerosa y conmutativa, en la que existen unas exigencias y restricciones normativas adicionales, de manera que, en efecto, dista de la naturaleza y esencia del convenio interadministrativo.</w:t>
            </w:r>
          </w:p>
          <w:p w14:paraId="715A6DC0" w14:textId="77777777" w:rsidR="009F5E7D" w:rsidRPr="004F3256" w:rsidRDefault="009F5E7D" w:rsidP="00BD03F5">
            <w:pPr>
              <w:snapToGrid w:val="0"/>
              <w:spacing w:after="120" w:line="276" w:lineRule="auto"/>
              <w:ind w:firstLine="709"/>
              <w:jc w:val="both"/>
              <w:rPr>
                <w:rFonts w:ascii="Verdana" w:eastAsia="Times New Roman" w:hAnsi="Verdana" w:cs="Arial"/>
                <w:lang w:eastAsia="es-ES_tradnl"/>
              </w:rPr>
            </w:pPr>
            <w:r w:rsidRPr="004F3256">
              <w:rPr>
                <w:rFonts w:ascii="Verdana" w:eastAsia="Times New Roman" w:hAnsi="Verdana" w:cs="Arial"/>
                <w:szCs w:val="24"/>
                <w:lang w:eastAsia="es-ES_tradnl"/>
              </w:rPr>
              <w:t xml:space="preserve">En la práctica, en los convenios interadministrativos que las entidades celebran no suele pactarse un precio o remuneración, lo que no significa que, para la ejecución de sus compromisos, no puedan </w:t>
            </w:r>
            <w:r w:rsidRPr="004F3256">
              <w:rPr>
                <w:rFonts w:ascii="Verdana" w:eastAsia="Times New Roman" w:hAnsi="Verdana" w:cs="Arial"/>
                <w:lang w:eastAsia="es-ES_tradnl"/>
              </w:rPr>
              <w:t>afectar sus respectivos presupuestos y ejecutar recursos públicos.</w:t>
            </w:r>
          </w:p>
          <w:p w14:paraId="353149E6" w14:textId="77777777" w:rsidR="009F5E7D" w:rsidRPr="004F3256" w:rsidRDefault="009F5E7D" w:rsidP="00BD03F5">
            <w:pPr>
              <w:snapToGrid w:val="0"/>
              <w:spacing w:after="120" w:line="276" w:lineRule="auto"/>
              <w:ind w:firstLine="709"/>
              <w:jc w:val="both"/>
              <w:rPr>
                <w:rFonts w:ascii="Verdana" w:eastAsia="Times New Roman" w:hAnsi="Verdana" w:cs="Arial"/>
                <w:b/>
                <w:bCs/>
                <w:iCs/>
                <w:lang w:eastAsia="es-ES_tradnl"/>
              </w:rPr>
            </w:pPr>
            <w:r w:rsidRPr="004F3256">
              <w:rPr>
                <w:rFonts w:ascii="Verdana" w:eastAsia="Calibri" w:hAnsi="Verdana" w:cs="Arial"/>
                <w:bCs/>
                <w:color w:val="000000" w:themeColor="text1"/>
                <w:lang w:eastAsia="es-ES_tradnl" w:bidi="es-ES"/>
              </w:rPr>
              <w:t xml:space="preserve">En este contexto, </w:t>
            </w:r>
            <w:r w:rsidRPr="004F3256">
              <w:rPr>
                <w:rFonts w:ascii="Verdana" w:eastAsia="Times New Roman" w:hAnsi="Verdana" w:cs="Arial"/>
                <w:iCs/>
                <w:lang w:eastAsia="es-ES_tradnl"/>
              </w:rPr>
              <w:t xml:space="preserve">tanto en los contratos como en los convenios interadministrativos es posible incluir costos y gastos administrativos. No obstante, debido a la naturaleza jurídica de cada figura, estos rubros tienen una finalidad y alcance diferente. En el marco de un convenio interadministrativo, las entidades públicas pueden incorporar los costos o gastos administrativos asociados a sus respectivos aportes técnicos, administrativos, financieros o económicos, siempre que estén orientados a contribuir, en el ámbito de sus competencias, al cumplimiento de los compromisos comunes y a garantizar la viabilidad operativa del convenio. En contraste, en los contratos interadministrativos, debido a su naturaleza onerosa y conmutativa, estos rubros hacen parte de la contraprestación pactada a favor de la entidad ejecutora, es decir, forman parte del precio o retribución económica a una de las partes por los bienes o servicios que presta. </w:t>
            </w:r>
          </w:p>
          <w:p w14:paraId="3EECCCCE" w14:textId="77777777" w:rsidR="009F5E7D" w:rsidRDefault="009F5E7D" w:rsidP="00BD03F5">
            <w:pPr>
              <w:spacing w:after="120" w:line="276" w:lineRule="auto"/>
              <w:ind w:firstLine="743"/>
              <w:jc w:val="both"/>
              <w:rPr>
                <w:rFonts w:ascii="Verdana" w:eastAsia="Times New Roman" w:hAnsi="Verdana" w:cs="Arial"/>
                <w:lang w:eastAsia="es-ES_tradnl"/>
              </w:rPr>
            </w:pPr>
            <w:r w:rsidRPr="004F3256">
              <w:rPr>
                <w:rFonts w:ascii="Verdana" w:eastAsia="Times New Roman" w:hAnsi="Verdana" w:cs="Arial"/>
                <w:lang w:eastAsia="es-ES_tradnl"/>
              </w:rPr>
              <w:t>Se aclara que la determinación de estos costos o gastos administrativos en los convenios no pueden ocultar una remuneración verdadera o una utilidad en favor de alguna de las entidades que concurre a su suscripción, así como tampoco pueden emplearse para aspectos distintos del cumplimiento de los compromisos asumidos, pues en tal evento no se trataría de un convenio, sino que su connotación transmutaría a un contrato interadministrativo.</w:t>
            </w:r>
          </w:p>
          <w:p w14:paraId="1D79C2EB" w14:textId="77777777" w:rsidR="009F5E7D" w:rsidRPr="002A5358" w:rsidRDefault="009F5E7D" w:rsidP="00BD03F5">
            <w:pPr>
              <w:spacing w:after="120" w:line="276" w:lineRule="auto"/>
              <w:ind w:firstLine="743"/>
              <w:jc w:val="both"/>
              <w:rPr>
                <w:rFonts w:ascii="Verdana" w:eastAsia="Times New Roman" w:hAnsi="Verdana" w:cs="Arial"/>
                <w:lang w:eastAsia="es-ES_tradnl"/>
              </w:rPr>
            </w:pPr>
            <w:r w:rsidRPr="004F3256">
              <w:rPr>
                <w:rFonts w:ascii="Verdana" w:eastAsia="Times New Roman" w:hAnsi="Verdana" w:cs="Arial"/>
                <w:iCs/>
                <w:lang w:eastAsia="es-ES_tradnl"/>
              </w:rPr>
              <w:t>En conclusión, si la noción de costos indirectos –</w:t>
            </w:r>
            <w:proofErr w:type="spellStart"/>
            <w:r w:rsidRPr="004F3256">
              <w:rPr>
                <w:rFonts w:ascii="Verdana" w:eastAsia="Times New Roman" w:hAnsi="Verdana" w:cs="Arial"/>
                <w:iCs/>
                <w:lang w:eastAsia="es-ES_tradnl"/>
              </w:rPr>
              <w:t>overhead</w:t>
            </w:r>
            <w:proofErr w:type="spellEnd"/>
            <w:r w:rsidRPr="004F3256">
              <w:rPr>
                <w:rFonts w:ascii="Verdana" w:eastAsia="Times New Roman" w:hAnsi="Verdana" w:cs="Arial"/>
                <w:iCs/>
                <w:lang w:eastAsia="es-ES_tradnl"/>
              </w:rPr>
              <w:t>-, tal y como se explicó, es una noción asociada al cálculo del precio que se pagará al contratista por parte de la Entidad Estatal contratante, es decir una contraprestación, este concepto resulta inaplicable tratándose de convenios interadministrativos, en los cuales, los compromisos de contenido patrimonial se deben dirigir a cubrir los costos que genera la ejecución de las actividades asociadas al mismo, pero no a pagar a una de las entidades por la realización de sus respectivos compromisos o una utilidad a favor de ellas.</w:t>
            </w:r>
          </w:p>
        </w:tc>
      </w:tr>
    </w:tbl>
    <w:p w14:paraId="6363399E" w14:textId="77777777" w:rsidR="009F5E7D" w:rsidRDefault="009F5E7D" w:rsidP="009F5E7D">
      <w:pPr>
        <w:tabs>
          <w:tab w:val="left" w:pos="142"/>
          <w:tab w:val="left" w:pos="284"/>
        </w:tabs>
        <w:spacing w:after="0" w:line="276" w:lineRule="auto"/>
        <w:jc w:val="both"/>
        <w:rPr>
          <w:rFonts w:ascii="Verdana" w:eastAsia="Century Gothic" w:hAnsi="Verdana" w:cs="Century Gothic"/>
          <w:b/>
          <w:bCs/>
        </w:rPr>
      </w:pPr>
    </w:p>
    <w:p w14:paraId="70A64AEC" w14:textId="77777777" w:rsidR="009F5E7D" w:rsidRPr="005644FE" w:rsidRDefault="009F5E7D" w:rsidP="009F5E7D">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3695287C" w14:textId="77777777" w:rsidR="009F5E7D" w:rsidRPr="005644FE" w:rsidRDefault="009F5E7D" w:rsidP="009F5E7D">
      <w:pPr>
        <w:pStyle w:val="Prrafodelista"/>
        <w:tabs>
          <w:tab w:val="left" w:pos="142"/>
          <w:tab w:val="left" w:pos="284"/>
        </w:tabs>
        <w:spacing w:after="0" w:line="240" w:lineRule="auto"/>
        <w:ind w:left="0"/>
        <w:contextualSpacing w:val="0"/>
        <w:jc w:val="both"/>
        <w:rPr>
          <w:rFonts w:ascii="Verdana" w:eastAsia="Calibri" w:hAnsi="Verdana" w:cs="Arial"/>
        </w:rPr>
      </w:pPr>
    </w:p>
    <w:p w14:paraId="133EF47E" w14:textId="77777777" w:rsidR="009F5E7D" w:rsidRDefault="009F5E7D" w:rsidP="009F5E7D">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71363846" w14:textId="77777777" w:rsidR="009F5E7D" w:rsidRDefault="009F5E7D" w:rsidP="009F5E7D">
      <w:pPr>
        <w:spacing w:after="0" w:line="240" w:lineRule="auto"/>
        <w:jc w:val="both"/>
        <w:rPr>
          <w:rFonts w:ascii="Verdana" w:eastAsia="Calibri" w:hAnsi="Verdana" w:cs="Arial"/>
        </w:rPr>
      </w:pPr>
    </w:p>
    <w:p w14:paraId="4819BF9A" w14:textId="77777777" w:rsidR="009F5E7D" w:rsidRPr="004F3256" w:rsidRDefault="009F5E7D" w:rsidP="009F5E7D">
      <w:pPr>
        <w:spacing w:after="0" w:line="276" w:lineRule="auto"/>
        <w:jc w:val="both"/>
        <w:rPr>
          <w:rFonts w:ascii="Verdana" w:hAnsi="Verdana" w:cs="Arial"/>
          <w:bCs/>
          <w:szCs w:val="24"/>
          <w:lang w:val="es-ES_tradnl" w:eastAsia="es-ES_tradnl"/>
        </w:rPr>
      </w:pPr>
      <w:r>
        <w:rPr>
          <w:rFonts w:ascii="Verdana" w:hAnsi="Verdana" w:cs="Arial"/>
          <w:bCs/>
          <w:szCs w:val="24"/>
          <w:lang w:val="es-ES_tradnl" w:eastAsia="es-ES_tradnl"/>
        </w:rPr>
        <w:t>i)</w:t>
      </w:r>
      <w:r w:rsidRPr="004F3256">
        <w:rPr>
          <w:rFonts w:ascii="Verdana" w:hAnsi="Verdana" w:cs="Arial"/>
          <w:bCs/>
          <w:szCs w:val="24"/>
          <w:lang w:val="es-ES_tradnl" w:eastAsia="es-ES_tradnl"/>
        </w:rPr>
        <w:t xml:space="preserve"> </w:t>
      </w:r>
      <w:r>
        <w:rPr>
          <w:rFonts w:ascii="Verdana" w:hAnsi="Verdana" w:cs="Arial"/>
          <w:bCs/>
          <w:szCs w:val="24"/>
          <w:lang w:val="es-ES_tradnl" w:eastAsia="es-ES_tradnl"/>
        </w:rPr>
        <w:t>Para resolver el primer problema jurídico resulta necesario precisar que u</w:t>
      </w:r>
      <w:r w:rsidRPr="004F3256">
        <w:rPr>
          <w:rFonts w:ascii="Verdana" w:hAnsi="Verdana" w:cs="Arial"/>
          <w:bCs/>
          <w:szCs w:val="24"/>
          <w:lang w:val="es-ES_tradnl" w:eastAsia="es-ES_tradnl"/>
        </w:rPr>
        <w:t>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1ED85F9F" w14:textId="77777777" w:rsidR="009F5E7D" w:rsidRPr="004F3256" w:rsidRDefault="009F5E7D" w:rsidP="009F5E7D">
      <w:pPr>
        <w:spacing w:before="120" w:after="0" w:line="276" w:lineRule="auto"/>
        <w:ind w:firstLine="709"/>
        <w:jc w:val="both"/>
        <w:rPr>
          <w:rFonts w:ascii="Verdana" w:hAnsi="Verdana" w:cs="Arial"/>
          <w:lang w:val="es-ES" w:eastAsia="es-ES"/>
        </w:rPr>
      </w:pPr>
      <w:r w:rsidRPr="004F3256">
        <w:rPr>
          <w:rFonts w:ascii="Verdana" w:hAnsi="Verdana" w:cs="Arial"/>
          <w:lang w:val="es-ES" w:eastAsia="es-ES"/>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4F3256">
        <w:rPr>
          <w:rFonts w:ascii="Verdana" w:hAnsi="Verdana" w:cs="Arial"/>
          <w:vertAlign w:val="superscript"/>
          <w:lang w:val="es-ES" w:eastAsia="es-ES"/>
        </w:rPr>
        <w:footnoteReference w:id="1"/>
      </w:r>
      <w:r w:rsidRPr="004F3256">
        <w:rPr>
          <w:rFonts w:ascii="Verdana" w:hAnsi="Verdana" w:cs="Arial"/>
          <w:lang w:val="es-ES" w:eastAsia="es-ES"/>
        </w:rPr>
        <w:t xml:space="preserve">.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4F3256">
        <w:rPr>
          <w:rFonts w:ascii="Verdana" w:hAnsi="Verdana" w:cs="Arial"/>
          <w:lang w:val="es-ES" w:eastAsia="es-ES"/>
        </w:rPr>
        <w:t>ii</w:t>
      </w:r>
      <w:proofErr w:type="spellEnd"/>
      <w:r w:rsidRPr="004F3256">
        <w:rPr>
          <w:rFonts w:ascii="Verdana" w:hAnsi="Verdana" w:cs="Arial"/>
          <w:lang w:val="es-ES" w:eastAsia="es-ES"/>
        </w:rPr>
        <w:t xml:space="preserve">) el precio global –que equivale al monto total, sin discriminar unidades–, y </w:t>
      </w:r>
      <w:proofErr w:type="spellStart"/>
      <w:r w:rsidRPr="004F3256">
        <w:rPr>
          <w:rFonts w:ascii="Verdana" w:hAnsi="Verdana" w:cs="Arial"/>
          <w:lang w:val="es-ES" w:eastAsia="es-ES"/>
        </w:rPr>
        <w:t>iii</w:t>
      </w:r>
      <w:proofErr w:type="spellEnd"/>
      <w:r w:rsidRPr="004F3256">
        <w:rPr>
          <w:rFonts w:ascii="Verdana" w:hAnsi="Verdana" w:cs="Arial"/>
          <w:lang w:val="es-ES" w:eastAsia="es-ES"/>
        </w:rPr>
        <w:t>) la administración delegada de recursos –en la que se distinguen los costos de inversión de los honorarios del administrador–.</w:t>
      </w:r>
    </w:p>
    <w:p w14:paraId="6DD92715" w14:textId="77777777" w:rsidR="009F5E7D" w:rsidRPr="004F3256" w:rsidRDefault="009F5E7D" w:rsidP="009F5E7D">
      <w:pPr>
        <w:spacing w:before="120" w:after="0" w:line="276" w:lineRule="auto"/>
        <w:ind w:firstLine="709"/>
        <w:jc w:val="both"/>
        <w:rPr>
          <w:rFonts w:ascii="Verdana" w:hAnsi="Verdana" w:cs="Arial"/>
          <w:lang w:val="es-ES" w:eastAsia="es-ES"/>
        </w:rPr>
      </w:pPr>
      <w:r w:rsidRPr="004F3256">
        <w:rPr>
          <w:rFonts w:ascii="Verdana" w:hAnsi="Verdana" w:cs="Arial"/>
          <w:lang w:val="es-ES" w:eastAsia="es-ES"/>
        </w:rPr>
        <w:t xml:space="preserve">Pues bien, en los contratos cuyo precio se estructura a partir del sistema de precios unitarios, ha hecho parte de la práctica de los negocios que el contratante le solicite al potencial contratista que separe en su propuesta los </w:t>
      </w:r>
      <w:r w:rsidRPr="004F3256">
        <w:rPr>
          <w:rFonts w:ascii="Verdana" w:hAnsi="Verdana" w:cs="Arial"/>
          <w:i/>
          <w:iCs/>
          <w:lang w:val="es-ES" w:eastAsia="es-ES"/>
        </w:rPr>
        <w:t>costos directos</w:t>
      </w:r>
      <w:r w:rsidRPr="004F3256">
        <w:rPr>
          <w:rFonts w:ascii="Verdana" w:hAnsi="Verdana" w:cs="Arial"/>
          <w:lang w:val="es-ES" w:eastAsia="es-ES"/>
        </w:rPr>
        <w:t xml:space="preserve"> –es decir, los que están directamente implicados en la ejecución del objeto–, de los </w:t>
      </w:r>
      <w:r w:rsidRPr="004F3256">
        <w:rPr>
          <w:rFonts w:ascii="Verdana" w:hAnsi="Verdana" w:cs="Arial"/>
          <w:i/>
          <w:iCs/>
          <w:lang w:val="es-ES" w:eastAsia="es-ES"/>
        </w:rPr>
        <w:t>costos indirectos</w:t>
      </w:r>
      <w:r w:rsidRPr="004F3256">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4F3256">
        <w:rPr>
          <w:rFonts w:ascii="Verdana" w:hAnsi="Verdana" w:cs="Arial"/>
          <w:i/>
          <w:iCs/>
          <w:lang w:val="es-ES" w:eastAsia="es-ES"/>
        </w:rPr>
        <w:t>costos directos</w:t>
      </w:r>
      <w:r w:rsidRPr="004F3256">
        <w:rPr>
          <w:rFonts w:ascii="Verdana" w:hAnsi="Verdana" w:cs="Arial"/>
          <w:lang w:val="es-ES" w:eastAsia="es-ES"/>
        </w:rPr>
        <w:t xml:space="preserve"> se evidencian en el análisis de precios unitarios –APU–, como la sumatoria de los valores de los </w:t>
      </w:r>
      <w:r w:rsidRPr="004F3256">
        <w:rPr>
          <w:rFonts w:ascii="Verdana" w:hAnsi="Verdana" w:cs="Arial"/>
          <w:i/>
          <w:iCs/>
          <w:lang w:val="es-ES" w:eastAsia="es-ES"/>
        </w:rPr>
        <w:t>ítems</w:t>
      </w:r>
      <w:r w:rsidRPr="004F3256">
        <w:rPr>
          <w:rFonts w:ascii="Verdana" w:hAnsi="Verdana" w:cs="Arial"/>
          <w:lang w:val="es-ES" w:eastAsia="es-ES"/>
        </w:rPr>
        <w:t xml:space="preserve"> según su unidad de medida, los </w:t>
      </w:r>
      <w:r w:rsidRPr="004F3256">
        <w:rPr>
          <w:rFonts w:ascii="Verdana" w:hAnsi="Verdana" w:cs="Arial"/>
          <w:i/>
          <w:iCs/>
          <w:lang w:val="es-ES" w:eastAsia="es-ES"/>
        </w:rPr>
        <w:t>costos indirectos</w:t>
      </w:r>
      <w:r w:rsidRPr="004F3256">
        <w:rPr>
          <w:rFonts w:ascii="Verdana" w:hAnsi="Verdana" w:cs="Arial"/>
          <w:lang w:val="es-ES" w:eastAsia="es-ES"/>
        </w:rPr>
        <w:t xml:space="preserve"> se suelen abreviar en las variables que integran el acrónimo AIU –Administración, Imprevistos y Utilidad–. </w:t>
      </w:r>
    </w:p>
    <w:p w14:paraId="3EBD460B" w14:textId="77777777" w:rsidR="009F5E7D" w:rsidRPr="008C2C41" w:rsidRDefault="009F5E7D" w:rsidP="009F5E7D">
      <w:pPr>
        <w:spacing w:before="120" w:after="0" w:line="276" w:lineRule="auto"/>
        <w:ind w:firstLine="709"/>
        <w:jc w:val="both"/>
        <w:rPr>
          <w:rFonts w:ascii="Verdana" w:hAnsi="Verdana" w:cs="Arial"/>
          <w:bCs/>
          <w:szCs w:val="24"/>
          <w:lang w:eastAsia="es-ES_tradnl"/>
        </w:rPr>
      </w:pPr>
      <w:r w:rsidRPr="004F3256">
        <w:rPr>
          <w:rFonts w:ascii="Verdana" w:hAnsi="Verdana" w:cs="Arial"/>
          <w:bCs/>
          <w:szCs w:val="24"/>
          <w:lang w:val="es-ES" w:eastAsia="es-ES_tradnl"/>
        </w:rPr>
        <w:t>L</w:t>
      </w:r>
      <w:r w:rsidRPr="004F3256">
        <w:rPr>
          <w:rFonts w:ascii="Verdana" w:hAnsi="Verdana" w:cs="Arial"/>
          <w:bCs/>
          <w:szCs w:val="24"/>
          <w:lang w:val="es-ES_tradnl" w:eastAsia="es-ES_tradnl"/>
        </w:rPr>
        <w:t>a jurisprudencia ha señalado que “</w:t>
      </w:r>
      <w:r>
        <w:rPr>
          <w:rFonts w:ascii="Verdana" w:hAnsi="Verdana" w:cs="Arial"/>
          <w:bCs/>
          <w:szCs w:val="24"/>
          <w:lang w:val="es-ES_tradnl" w:eastAsia="es-ES_tradnl"/>
        </w:rPr>
        <w:t>(…)</w:t>
      </w:r>
      <w:r w:rsidRPr="004F3256">
        <w:rPr>
          <w:rFonts w:ascii="Verdana" w:hAnsi="Verdana" w:cs="Arial"/>
          <w:bCs/>
          <w:szCs w:val="24"/>
          <w:lang w:val="es-ES_tradnl" w:eastAsia="es-ES_tradnl"/>
        </w:rPr>
        <w:t xml:space="preserve"> </w:t>
      </w:r>
      <w:r w:rsidRPr="004F3256">
        <w:rPr>
          <w:rFonts w:ascii="Verdana" w:hAnsi="Verdana" w:cs="Arial"/>
          <w:bCs/>
          <w:szCs w:val="24"/>
          <w:lang w:eastAsia="es-ES_tradnl"/>
        </w:rPr>
        <w:t xml:space="preserve">en la conformación de dichos precios unitarios, se tienen en cuenta todos los gastos que se requieren para realizar la unidad de medida respectiva –el metro lineal, el metro cúbico, el metro cuadrado, etc.-. Y lo que comúnmente se denomina análisis de precios unitarios, corresponde a la descomposición de </w:t>
      </w:r>
      <w:proofErr w:type="gramStart"/>
      <w:r w:rsidRPr="004F3256">
        <w:rPr>
          <w:rFonts w:ascii="Verdana" w:hAnsi="Verdana" w:cs="Arial"/>
          <w:bCs/>
          <w:szCs w:val="24"/>
          <w:lang w:eastAsia="es-ES_tradnl"/>
        </w:rPr>
        <w:t>los mismos</w:t>
      </w:r>
      <w:proofErr w:type="gramEnd"/>
      <w:r w:rsidRPr="004F3256">
        <w:rPr>
          <w:rFonts w:ascii="Verdana" w:hAnsi="Verdana" w:cs="Arial"/>
          <w:bCs/>
          <w:szCs w:val="24"/>
          <w:lang w:eastAsia="es-ES_tradnl"/>
        </w:rPr>
        <w:t xml:space="preserve"> para determinar los costos que los conforman: la maquinaria que se utilizará, calculando el valor por el tiempo que se requiera; la mano de obra, teniendo en cuenta el costo hora-hombre, y cuántas personas se requieren para la ejecución de esa unidad de medida; la cantidad de los materiales necesarios, etc.</w:t>
      </w:r>
      <w:r w:rsidRPr="004F3256">
        <w:rPr>
          <w:rFonts w:ascii="Verdana" w:hAnsi="Verdana" w:cs="Arial"/>
          <w:bCs/>
          <w:szCs w:val="24"/>
          <w:lang w:val="es-ES_tradnl" w:eastAsia="es-ES_tradnl"/>
        </w:rPr>
        <w:t>”</w:t>
      </w:r>
      <w:r w:rsidRPr="004F3256">
        <w:rPr>
          <w:rFonts w:ascii="Verdana" w:hAnsi="Verdana" w:cs="Arial"/>
          <w:bCs/>
          <w:szCs w:val="24"/>
          <w:vertAlign w:val="superscript"/>
          <w:lang w:val="es-ES_tradnl" w:eastAsia="es-ES_tradnl"/>
        </w:rPr>
        <w:footnoteReference w:id="2"/>
      </w:r>
      <w:r w:rsidRPr="004F3256">
        <w:rPr>
          <w:rFonts w:ascii="Verdana" w:hAnsi="Verdana" w:cs="Arial"/>
          <w:bCs/>
          <w:szCs w:val="24"/>
          <w:lang w:eastAsia="es-ES_tradnl"/>
        </w:rPr>
        <w:t>. En concordancia, la doctrina explica que en la estructuración de los precios unitarios se tendrán en cuenta todos los costos directos necesarios para la ejecución del objeto contractual que se multiplicará por al AIU, lo que determina el valor unitario:</w:t>
      </w:r>
    </w:p>
    <w:p w14:paraId="7E34DFBF" w14:textId="77777777" w:rsidR="009F5E7D" w:rsidRDefault="009F5E7D" w:rsidP="009F5E7D">
      <w:pPr>
        <w:tabs>
          <w:tab w:val="left" w:pos="709"/>
        </w:tabs>
        <w:spacing w:after="0" w:line="240" w:lineRule="auto"/>
        <w:ind w:left="709" w:right="709"/>
        <w:jc w:val="both"/>
        <w:rPr>
          <w:rFonts w:ascii="Verdana" w:hAnsi="Verdana" w:cs="Arial"/>
          <w:sz w:val="20"/>
          <w:szCs w:val="20"/>
          <w:lang w:val="es-ES" w:eastAsia="es-ES"/>
        </w:rPr>
      </w:pPr>
    </w:p>
    <w:p w14:paraId="4D7894BA" w14:textId="77777777" w:rsidR="009F5E7D" w:rsidRPr="004F3256" w:rsidRDefault="009F5E7D" w:rsidP="009F5E7D">
      <w:pPr>
        <w:tabs>
          <w:tab w:val="left" w:pos="709"/>
        </w:tabs>
        <w:spacing w:after="120" w:line="240" w:lineRule="auto"/>
        <w:ind w:left="709" w:right="709"/>
        <w:jc w:val="both"/>
        <w:rPr>
          <w:rFonts w:ascii="Verdana" w:hAnsi="Verdana" w:cs="Arial"/>
          <w:sz w:val="20"/>
          <w:szCs w:val="20"/>
          <w:lang w:val="es-ES" w:eastAsia="es-ES"/>
        </w:rPr>
      </w:pPr>
      <w:r w:rsidRPr="004F3256">
        <w:rPr>
          <w:rFonts w:ascii="Verdana" w:hAnsi="Verdana" w:cs="Arial"/>
          <w:sz w:val="20"/>
          <w:szCs w:val="20"/>
          <w:lang w:val="es-ES" w:eastAsia="es-ES"/>
        </w:rPr>
        <w:t>“Cada uno de los valores unitarios resultan de un análisis de los componentes requeridos para su elaboración, estudio que se denomina comúnmente ‘análisis de precios unitarios’. Así, se examinará, por ejemplo, que para la construcción de un metro cuadrado de muro se requieren 50 ladrillos, que tienen un valor de $50.000; 15 kilos de cemento, que tienen un valor de $5.000; 30 kilos de arena, que tienen un valor de $500; 5 litros de agua, que tienen un valor de 100, y la mano de obra que tiene un valor de $5.000. La sumatoria de cada uno de estos insumos básicos arroja el costo directo que debe cancelar el contratista para la construcción de un metro de muro.</w:t>
      </w:r>
    </w:p>
    <w:p w14:paraId="25EE849B" w14:textId="77777777" w:rsidR="009F5E7D" w:rsidRPr="004F3256" w:rsidRDefault="009F5E7D" w:rsidP="009F5E7D">
      <w:pPr>
        <w:tabs>
          <w:tab w:val="left" w:pos="709"/>
        </w:tabs>
        <w:spacing w:after="0" w:line="240" w:lineRule="auto"/>
        <w:ind w:left="709" w:right="709"/>
        <w:jc w:val="both"/>
        <w:rPr>
          <w:rFonts w:ascii="Verdana" w:hAnsi="Verdana" w:cs="Arial"/>
          <w:sz w:val="20"/>
          <w:szCs w:val="20"/>
          <w:lang w:val="es-ES_tradnl" w:eastAsia="es-ES_tradnl"/>
        </w:rPr>
      </w:pPr>
      <w:r w:rsidRPr="004F3256">
        <w:rPr>
          <w:rFonts w:ascii="Verdana" w:hAnsi="Verdana" w:cs="Arial"/>
          <w:sz w:val="20"/>
          <w:szCs w:val="20"/>
          <w:lang w:val="es-ES_tradnl" w:eastAsia="es-ES_tradnl"/>
        </w:rPr>
        <w:t>El costo directo se multiplica por el AIU, es decir, por los gastos de administración, que incluye los gastos de personal que dirige la obra; los gastos de imprevistos, que pretende cubrir imprevistos y la utilidad. El resultado de la multiplicación anterior determina el valor unitario que deberá cancelar la entidad estatal. Dentro del valor unitario, entonces, están incorporados la totalidad de los gastos en los que incurre el contratista y la utilidad que espera recibir”</w:t>
      </w:r>
      <w:r w:rsidRPr="004F3256">
        <w:rPr>
          <w:rFonts w:ascii="Verdana" w:hAnsi="Verdana" w:cs="Arial"/>
          <w:sz w:val="20"/>
          <w:szCs w:val="20"/>
          <w:vertAlign w:val="superscript"/>
          <w:lang w:val="es-ES_tradnl" w:eastAsia="es-ES_tradnl"/>
        </w:rPr>
        <w:footnoteReference w:id="3"/>
      </w:r>
      <w:r w:rsidRPr="004F3256">
        <w:rPr>
          <w:rFonts w:ascii="Verdana" w:hAnsi="Verdana" w:cs="Arial"/>
          <w:sz w:val="20"/>
          <w:szCs w:val="20"/>
          <w:lang w:val="es-ES_tradnl" w:eastAsia="es-ES_tradnl"/>
        </w:rPr>
        <w:t xml:space="preserve">. </w:t>
      </w:r>
    </w:p>
    <w:p w14:paraId="4A61EA67" w14:textId="77777777" w:rsidR="009F5E7D" w:rsidRPr="004F3256" w:rsidRDefault="009F5E7D" w:rsidP="009F5E7D">
      <w:pPr>
        <w:tabs>
          <w:tab w:val="left" w:pos="709"/>
        </w:tabs>
        <w:spacing w:after="0" w:line="276" w:lineRule="auto"/>
        <w:ind w:left="709" w:right="760"/>
        <w:jc w:val="both"/>
        <w:rPr>
          <w:rFonts w:ascii="Verdana" w:hAnsi="Verdana" w:cs="Arial"/>
          <w:szCs w:val="24"/>
          <w:lang w:val="es-ES_tradnl" w:eastAsia="es-ES_tradnl"/>
        </w:rPr>
      </w:pPr>
    </w:p>
    <w:p w14:paraId="296A3ED2" w14:textId="77777777" w:rsidR="009F5E7D" w:rsidRPr="004F3256" w:rsidRDefault="009F5E7D" w:rsidP="009F5E7D">
      <w:pPr>
        <w:spacing w:after="0" w:line="276" w:lineRule="auto"/>
        <w:ind w:firstLine="709"/>
        <w:jc w:val="both"/>
        <w:rPr>
          <w:rFonts w:ascii="Verdana" w:hAnsi="Verdana" w:cs="Arial"/>
          <w:szCs w:val="24"/>
          <w:lang w:val="es-ES_tradnl" w:eastAsia="es-ES_tradnl"/>
        </w:rPr>
      </w:pPr>
      <w:r w:rsidRPr="004F3256">
        <w:rPr>
          <w:rFonts w:ascii="Verdana" w:hAnsi="Verdana" w:cs="Arial"/>
          <w:szCs w:val="24"/>
          <w:lang w:val="es-ES_tradnl" w:eastAsia="es-ES_tradnl"/>
        </w:rPr>
        <w:t xml:space="preserve">Por su parte, de acuerdo con la Sección Tercera del Consejo de Estado, el AIU, concepto de común utilización en los contratos de tracto sucesivo –entre ellos, los contratos de obra– no cuenta con una definición normativa, pero hay elementos que permiten precisar su alcance, así: </w:t>
      </w:r>
    </w:p>
    <w:p w14:paraId="6BF8CA1D" w14:textId="77777777" w:rsidR="009F5E7D" w:rsidRPr="004F3256" w:rsidRDefault="009F5E7D" w:rsidP="009F5E7D">
      <w:pPr>
        <w:spacing w:after="0" w:line="276" w:lineRule="auto"/>
        <w:ind w:firstLine="709"/>
        <w:jc w:val="both"/>
        <w:rPr>
          <w:rFonts w:ascii="Verdana" w:hAnsi="Verdana" w:cs="Arial"/>
          <w:szCs w:val="24"/>
          <w:lang w:val="es-ES_tradnl" w:eastAsia="es-ES_tradnl"/>
        </w:rPr>
      </w:pPr>
    </w:p>
    <w:p w14:paraId="426EB3D8" w14:textId="77777777" w:rsidR="009F5E7D" w:rsidRPr="004F3256" w:rsidRDefault="009F5E7D" w:rsidP="009F5E7D">
      <w:pPr>
        <w:tabs>
          <w:tab w:val="left" w:pos="709"/>
        </w:tabs>
        <w:spacing w:after="120" w:line="240" w:lineRule="auto"/>
        <w:ind w:left="709" w:right="709"/>
        <w:jc w:val="both"/>
        <w:rPr>
          <w:rFonts w:ascii="Verdana" w:hAnsi="Verdana" w:cs="Arial"/>
          <w:sz w:val="20"/>
          <w:szCs w:val="20"/>
          <w:lang w:val="es-ES_tradnl" w:eastAsia="es-ES_tradnl"/>
        </w:rPr>
      </w:pPr>
      <w:r w:rsidRPr="004F3256">
        <w:rPr>
          <w:rFonts w:ascii="Verdana" w:hAnsi="Verdana" w:cs="Arial"/>
          <w:sz w:val="20"/>
          <w:szCs w:val="20"/>
          <w:lang w:val="es-ES_tradnl" w:eastAsia="es-ES_tradnl"/>
        </w:rPr>
        <w:t xml:space="preserve">“[…] el AIU propuesto para el contrato, corresponde a: </w:t>
      </w:r>
    </w:p>
    <w:p w14:paraId="2BF6424E" w14:textId="77777777" w:rsidR="009F5E7D" w:rsidRPr="004F3256" w:rsidRDefault="009F5E7D" w:rsidP="009F5E7D">
      <w:pPr>
        <w:tabs>
          <w:tab w:val="left" w:pos="709"/>
        </w:tabs>
        <w:spacing w:after="120" w:line="240" w:lineRule="auto"/>
        <w:ind w:left="709" w:right="709"/>
        <w:jc w:val="both"/>
        <w:rPr>
          <w:rFonts w:ascii="Verdana" w:hAnsi="Verdana" w:cs="Arial"/>
          <w:sz w:val="20"/>
          <w:szCs w:val="20"/>
          <w:lang w:val="es-ES_tradnl" w:eastAsia="es-ES_tradnl"/>
        </w:rPr>
      </w:pPr>
      <w:r w:rsidRPr="004F3256">
        <w:rPr>
          <w:rFonts w:ascii="Verdana" w:hAnsi="Verdana" w:cs="Arial"/>
          <w:sz w:val="20"/>
          <w:szCs w:val="20"/>
          <w:lang w:val="es-ES_tradnl" w:eastAsia="es-ES_tradnl"/>
        </w:rPr>
        <w:t xml:space="preserve">i) los costos de administración o costos indirectos para la operación del contrato, tales como los gastos de disponibilidad de la organización del contratista, esto es: A; </w:t>
      </w:r>
    </w:p>
    <w:p w14:paraId="215A8633" w14:textId="77777777" w:rsidR="009F5E7D" w:rsidRPr="004F3256" w:rsidRDefault="009F5E7D" w:rsidP="009F5E7D">
      <w:pPr>
        <w:tabs>
          <w:tab w:val="left" w:pos="709"/>
        </w:tabs>
        <w:spacing w:after="120" w:line="240" w:lineRule="auto"/>
        <w:ind w:left="709" w:right="709"/>
        <w:jc w:val="both"/>
        <w:rPr>
          <w:rFonts w:ascii="Verdana" w:hAnsi="Verdana" w:cs="Arial"/>
          <w:sz w:val="20"/>
          <w:szCs w:val="20"/>
          <w:lang w:val="es-ES" w:eastAsia="es-ES"/>
        </w:rPr>
      </w:pPr>
      <w:proofErr w:type="spellStart"/>
      <w:r w:rsidRPr="004F3256">
        <w:rPr>
          <w:rFonts w:ascii="Verdana" w:hAnsi="Verdana" w:cs="Arial"/>
          <w:sz w:val="20"/>
          <w:szCs w:val="20"/>
          <w:lang w:val="es-ES" w:eastAsia="es-ES"/>
        </w:rPr>
        <w:t>ii</w:t>
      </w:r>
      <w:proofErr w:type="spellEnd"/>
      <w:r w:rsidRPr="004F3256">
        <w:rPr>
          <w:rFonts w:ascii="Verdana" w:hAnsi="Verdana" w:cs="Arial"/>
          <w:sz w:val="20"/>
          <w:szCs w:val="20"/>
          <w:lang w:val="es-ES" w:eastAsia="es-ES"/>
        </w:rPr>
        <w:t xml:space="preserve">) los imprevistos, que es el porcentaje destinado a cubrir los gastos con los que no se contaba y que se presenten durante la ejecución del contrato, esto es, el </w:t>
      </w:r>
      <w:proofErr w:type="spellStart"/>
      <w:r w:rsidRPr="004F3256">
        <w:rPr>
          <w:rFonts w:ascii="Verdana" w:hAnsi="Verdana" w:cs="Arial"/>
          <w:sz w:val="20"/>
          <w:szCs w:val="20"/>
          <w:lang w:val="es-ES" w:eastAsia="es-ES"/>
        </w:rPr>
        <w:t>álea</w:t>
      </w:r>
      <w:proofErr w:type="spellEnd"/>
      <w:r w:rsidRPr="004F3256">
        <w:rPr>
          <w:rFonts w:ascii="Verdana" w:hAnsi="Verdana" w:cs="Arial"/>
          <w:sz w:val="20"/>
          <w:szCs w:val="20"/>
          <w:lang w:val="es-ES" w:eastAsia="es-ES"/>
        </w:rPr>
        <w:t xml:space="preserve"> normal del contrato: I; </w:t>
      </w:r>
    </w:p>
    <w:p w14:paraId="28DB2088" w14:textId="77777777" w:rsidR="009F5E7D" w:rsidRPr="004F3256" w:rsidRDefault="009F5E7D" w:rsidP="009F5E7D">
      <w:pPr>
        <w:tabs>
          <w:tab w:val="left" w:pos="709"/>
        </w:tabs>
        <w:spacing w:after="120" w:line="240" w:lineRule="auto"/>
        <w:ind w:left="709" w:right="709"/>
        <w:jc w:val="both"/>
        <w:rPr>
          <w:rFonts w:ascii="Verdana" w:hAnsi="Verdana" w:cs="Arial"/>
          <w:sz w:val="20"/>
          <w:szCs w:val="20"/>
          <w:lang w:val="es-ES" w:eastAsia="es-ES"/>
        </w:rPr>
      </w:pPr>
      <w:proofErr w:type="spellStart"/>
      <w:r w:rsidRPr="004F3256">
        <w:rPr>
          <w:rFonts w:ascii="Verdana" w:hAnsi="Verdana" w:cs="Arial"/>
          <w:sz w:val="20"/>
          <w:szCs w:val="20"/>
          <w:lang w:val="es-ES" w:eastAsia="es-ES"/>
        </w:rPr>
        <w:t>iii</w:t>
      </w:r>
      <w:proofErr w:type="spellEnd"/>
      <w:r w:rsidRPr="004F3256">
        <w:rPr>
          <w:rFonts w:ascii="Verdana" w:hAnsi="Verdana" w:cs="Arial"/>
          <w:sz w:val="20"/>
          <w:szCs w:val="20"/>
          <w:lang w:val="es-ES" w:eastAsia="es-ES"/>
        </w:rPr>
        <w:t xml:space="preserve">) la utilidad o el beneficio económico que pretende percibir el contratista por la ejecución del contrato, esto es: U. </w:t>
      </w:r>
    </w:p>
    <w:p w14:paraId="797BB840" w14:textId="77777777" w:rsidR="009F5E7D" w:rsidRPr="004F3256" w:rsidRDefault="009F5E7D" w:rsidP="009F5E7D">
      <w:pPr>
        <w:tabs>
          <w:tab w:val="left" w:pos="709"/>
        </w:tabs>
        <w:spacing w:after="0" w:line="240" w:lineRule="auto"/>
        <w:ind w:left="709" w:right="709"/>
        <w:jc w:val="both"/>
        <w:rPr>
          <w:rFonts w:ascii="Verdana" w:hAnsi="Verdana" w:cs="Arial"/>
          <w:sz w:val="20"/>
          <w:szCs w:val="20"/>
          <w:lang w:val="es-ES_tradnl" w:eastAsia="es-ES_tradnl"/>
        </w:rPr>
      </w:pPr>
      <w:r w:rsidRPr="004F3256">
        <w:rPr>
          <w:rFonts w:ascii="Verdana" w:hAnsi="Verdana" w:cs="Arial"/>
          <w:sz w:val="20"/>
          <w:szCs w:val="20"/>
          <w:lang w:val="es-ES_tradnl" w:eastAsia="es-ES_tradnl"/>
        </w:rPr>
        <w:t>Ahora, teniendo en cuenta que no existe ninguna reglamentación que establezca porcentajes mínimos o máximos para determinar el A.I.U., 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sidRPr="004F3256">
        <w:rPr>
          <w:rFonts w:ascii="Verdana" w:hAnsi="Verdana" w:cs="Arial"/>
          <w:sz w:val="20"/>
          <w:szCs w:val="20"/>
          <w:vertAlign w:val="superscript"/>
          <w:lang w:val="es-ES_tradnl" w:eastAsia="es-ES_tradnl"/>
        </w:rPr>
        <w:footnoteReference w:id="4"/>
      </w:r>
      <w:r w:rsidRPr="004F3256">
        <w:rPr>
          <w:rFonts w:ascii="Verdana" w:hAnsi="Verdana" w:cs="Arial"/>
          <w:sz w:val="20"/>
          <w:szCs w:val="20"/>
          <w:lang w:val="es-ES_tradnl" w:eastAsia="es-ES_tradnl"/>
        </w:rPr>
        <w:t>.</w:t>
      </w:r>
    </w:p>
    <w:p w14:paraId="1A586DF5" w14:textId="77777777" w:rsidR="009F5E7D" w:rsidRPr="004F3256" w:rsidRDefault="009F5E7D" w:rsidP="009F5E7D">
      <w:pPr>
        <w:tabs>
          <w:tab w:val="left" w:pos="709"/>
        </w:tabs>
        <w:spacing w:after="0" w:line="276" w:lineRule="auto"/>
        <w:ind w:left="709" w:right="760"/>
        <w:jc w:val="both"/>
        <w:rPr>
          <w:rFonts w:ascii="Verdana" w:hAnsi="Verdana" w:cs="Arial"/>
          <w:szCs w:val="24"/>
          <w:lang w:val="es-ES_tradnl" w:eastAsia="es-ES_tradnl"/>
        </w:rPr>
      </w:pPr>
    </w:p>
    <w:p w14:paraId="4D7F0979" w14:textId="77777777" w:rsidR="009F5E7D" w:rsidRPr="004F3256" w:rsidRDefault="009F5E7D" w:rsidP="009F5E7D">
      <w:pPr>
        <w:spacing w:after="120" w:line="276" w:lineRule="auto"/>
        <w:ind w:firstLine="709"/>
        <w:jc w:val="both"/>
        <w:rPr>
          <w:rFonts w:ascii="Verdana" w:hAnsi="Verdana" w:cs="Arial"/>
          <w:lang w:val="es-ES" w:eastAsia="es-ES"/>
        </w:rPr>
      </w:pPr>
      <w:r w:rsidRPr="004F3256">
        <w:rPr>
          <w:rFonts w:ascii="Verdana" w:hAnsi="Verdana" w:cs="Arial"/>
          <w:lang w:val="es-ES" w:eastAsia="es-ES"/>
        </w:rPr>
        <w:t>A su turno, la Sala de Consulta y Servicio Civil del Consejo de Estado sostuvo en concepto del 5 de septiembre de 2018</w:t>
      </w:r>
      <w:r w:rsidRPr="004F3256">
        <w:rPr>
          <w:rFonts w:ascii="Verdana" w:hAnsi="Verdana" w:cs="Arial"/>
          <w:vertAlign w:val="superscript"/>
          <w:lang w:val="es-ES" w:eastAsia="es-ES"/>
        </w:rPr>
        <w:footnoteReference w:id="5"/>
      </w:r>
      <w:r w:rsidRPr="004F3256">
        <w:rPr>
          <w:rFonts w:ascii="Verdana" w:hAnsi="Verdana" w:cs="Arial"/>
          <w:lang w:val="es-ES" w:eastAsia="es-ES"/>
        </w:rPr>
        <w:t xml:space="preserve"> que “el concepto del A.I.U. comprende la Administración (costos indirectos), imprevistos y utilidades, y en algunos contratos este valor aparece cuantificado en forma independiente al valor de la obra y como un porcentaje de </w:t>
      </w:r>
      <w:proofErr w:type="gramStart"/>
      <w:r w:rsidRPr="004F3256">
        <w:rPr>
          <w:rFonts w:ascii="Verdana" w:hAnsi="Verdana" w:cs="Arial"/>
          <w:lang w:val="es-ES" w:eastAsia="es-ES"/>
        </w:rPr>
        <w:t>la misma</w:t>
      </w:r>
      <w:proofErr w:type="gramEnd"/>
      <w:r w:rsidRPr="004F3256">
        <w:rPr>
          <w:rFonts w:ascii="Verdana" w:hAnsi="Verdana" w:cs="Arial"/>
          <w:lang w:val="es-ES" w:eastAsia="es-ES"/>
        </w:rPr>
        <w:t>, sin perjuicio que en otros contratos este valor no aparezca discriminado y se incorpore en el valor de los precios unitarios”</w:t>
      </w:r>
      <w:r w:rsidRPr="004F3256">
        <w:rPr>
          <w:rFonts w:ascii="Verdana" w:hAnsi="Verdana" w:cs="Arial"/>
          <w:vertAlign w:val="superscript"/>
          <w:lang w:val="es-ES" w:eastAsia="es-ES"/>
        </w:rPr>
        <w:footnoteReference w:id="6"/>
      </w:r>
      <w:r w:rsidRPr="004F3256">
        <w:rPr>
          <w:rFonts w:ascii="Verdana" w:hAnsi="Verdana" w:cs="Arial"/>
          <w:lang w:val="es-ES" w:eastAsia="es-ES"/>
        </w:rPr>
        <w:t xml:space="preserve">. </w:t>
      </w:r>
    </w:p>
    <w:p w14:paraId="1D9B4D03" w14:textId="77777777" w:rsidR="009F5E7D" w:rsidRPr="004F3256" w:rsidRDefault="009F5E7D" w:rsidP="009F5E7D">
      <w:pPr>
        <w:spacing w:after="120" w:line="276" w:lineRule="auto"/>
        <w:ind w:firstLine="709"/>
        <w:jc w:val="both"/>
        <w:rPr>
          <w:rFonts w:ascii="Verdana" w:hAnsi="Verdana" w:cs="Arial"/>
          <w:bCs/>
          <w:szCs w:val="24"/>
          <w:lang w:val="es-ES_tradnl" w:eastAsia="es-ES_tradnl"/>
        </w:rPr>
      </w:pPr>
      <w:r w:rsidRPr="004F3256">
        <w:rPr>
          <w:rFonts w:ascii="Verdana" w:hAnsi="Verdana" w:cs="Arial"/>
          <w:bCs/>
          <w:szCs w:val="24"/>
          <w:lang w:val="es-ES_tradnl" w:eastAsia="es-ES_tradnl"/>
        </w:rPr>
        <w:t xml:space="preserve">Así pues, ni el sistema de precios unitarios –como metodología de estipulación del valor contractual–, </w:t>
      </w:r>
      <w:r w:rsidRPr="004F3256">
        <w:rPr>
          <w:rFonts w:ascii="Verdana" w:hAnsi="Verdana" w:cs="Arial"/>
          <w:lang w:eastAsia="es-ES"/>
        </w:rPr>
        <w:t>ni el concepto de costos directos e indirectos</w:t>
      </w:r>
      <w:r w:rsidRPr="004F3256">
        <w:rPr>
          <w:rFonts w:ascii="Verdana" w:hAnsi="Verdana" w:cs="Arial"/>
          <w:bCs/>
          <w:szCs w:val="24"/>
          <w:lang w:val="es-ES_tradnl" w:eastAsia="es-ES_tradnl"/>
        </w:rPr>
        <w:t>, ni mucho menos 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sidRPr="004F3256">
        <w:rPr>
          <w:rFonts w:ascii="Verdana" w:hAnsi="Verdana" w:cs="Arial"/>
          <w:bCs/>
          <w:szCs w:val="24"/>
          <w:vertAlign w:val="superscript"/>
          <w:lang w:val="es-ES_tradnl" w:eastAsia="es-ES_tradnl"/>
        </w:rPr>
        <w:footnoteReference w:id="7"/>
      </w:r>
      <w:r w:rsidRPr="004F3256">
        <w:rPr>
          <w:rFonts w:ascii="Verdana" w:hAnsi="Verdana" w:cs="Arial"/>
          <w:bCs/>
          <w:szCs w:val="24"/>
          <w:lang w:val="es-ES_tradnl" w:eastAsia="es-ES_tradnl"/>
        </w:rPr>
        <w:t xml:space="preserve">. De otro lado, quien define el valor de cada </w:t>
      </w:r>
      <w:r w:rsidRPr="004F3256">
        <w:rPr>
          <w:rFonts w:ascii="Verdana" w:hAnsi="Verdana" w:cs="Arial"/>
          <w:bCs/>
          <w:i/>
          <w:iCs/>
          <w:szCs w:val="24"/>
          <w:lang w:val="es-ES_tradnl" w:eastAsia="es-ES_tradnl"/>
        </w:rPr>
        <w:t>letra</w:t>
      </w:r>
      <w:r w:rsidRPr="004F3256">
        <w:rPr>
          <w:rFonts w:ascii="Verdana" w:hAnsi="Verdana" w:cs="Arial"/>
          <w:bCs/>
          <w:szCs w:val="24"/>
          <w:lang w:val="es-ES_tradnl" w:eastAsia="es-ES_tradnl"/>
        </w:rPr>
        <w:t xml:space="preserve"> –AIU– es el proponente, pues goza de libertad empresarial para hacerlo en la elaboración de su oferta</w:t>
      </w:r>
      <w:r w:rsidRPr="004F3256">
        <w:rPr>
          <w:rFonts w:ascii="Verdana" w:hAnsi="Verdana" w:cs="Arial"/>
          <w:bCs/>
          <w:szCs w:val="24"/>
          <w:vertAlign w:val="superscript"/>
          <w:lang w:val="es-ES_tradnl" w:eastAsia="es-ES_tradnl"/>
        </w:rPr>
        <w:footnoteReference w:id="8"/>
      </w:r>
      <w:r w:rsidRPr="004F3256">
        <w:rPr>
          <w:rFonts w:ascii="Verdana" w:hAnsi="Verdana" w:cs="Arial"/>
          <w:bCs/>
          <w:szCs w:val="24"/>
          <w:lang w:val="es-ES_tradnl" w:eastAsia="es-ES_tradnl"/>
        </w:rPr>
        <w:t>.</w:t>
      </w:r>
    </w:p>
    <w:p w14:paraId="69E62EB3" w14:textId="77777777" w:rsidR="009F5E7D" w:rsidRPr="004F3256" w:rsidRDefault="009F5E7D" w:rsidP="009F5E7D">
      <w:pPr>
        <w:snapToGrid w:val="0"/>
        <w:spacing w:after="120" w:line="276" w:lineRule="auto"/>
        <w:ind w:firstLine="743"/>
        <w:jc w:val="both"/>
        <w:rPr>
          <w:rFonts w:ascii="Verdana" w:hAnsi="Verdana" w:cs="Arial"/>
          <w:bCs/>
          <w:szCs w:val="24"/>
          <w:lang w:val="es-ES_tradnl" w:eastAsia="es-ES_tradnl"/>
        </w:rPr>
      </w:pPr>
      <w:r w:rsidRPr="004F3256">
        <w:rPr>
          <w:rFonts w:ascii="Verdana" w:hAnsi="Verdana" w:cs="Arial"/>
          <w:lang w:val="es-ES" w:eastAsia="es-ES"/>
        </w:rPr>
        <w:t xml:space="preserve">De esta manera, usualmente en los contratos cuyo valor se estructura bajo el sistema de precios unitarios y con el desglose del AIU, el precio se paga con base en el valor de los costos directos incrementados por el porcentaje del AIU, forma de pago que pueden incluir las entidades estatales en virtud de la autonomía de la voluntad a que remiten los artículos 13, 32 y 40 del EGCAP. Ahora bien, nada </w:t>
      </w:r>
      <w:r w:rsidRPr="004F3256">
        <w:rPr>
          <w:rFonts w:ascii="Verdana" w:hAnsi="Verdana" w:cs="Arial"/>
          <w:bCs/>
          <w:szCs w:val="24"/>
          <w:lang w:val="es-ES_tradnl" w:eastAsia="es-ES_tradnl"/>
        </w:rPr>
        <w:t xml:space="preserve">obstaría para que las partes le dieran otros efectos particulares a la forma en que pagan el precio estructurado con AIU. Por ejemplo, podrían incluir cláusulas o reglas bajo las cuales se estableciera que el valor de alguno o de todos los componentes de la </w:t>
      </w:r>
      <w:r w:rsidRPr="004F3256">
        <w:rPr>
          <w:rFonts w:ascii="Verdana" w:hAnsi="Verdana" w:cs="Arial"/>
          <w:bCs/>
          <w:i/>
          <w:iCs/>
          <w:szCs w:val="24"/>
          <w:lang w:val="es-ES_tradnl" w:eastAsia="es-ES_tradnl"/>
        </w:rPr>
        <w:t>Administración</w:t>
      </w:r>
      <w:r w:rsidRPr="004F3256">
        <w:rPr>
          <w:rFonts w:ascii="Verdana" w:hAnsi="Verdana" w:cs="Arial"/>
          <w:bCs/>
          <w:szCs w:val="24"/>
          <w:lang w:val="es-ES_tradnl" w:eastAsia="es-ES_tradnl"/>
        </w:rPr>
        <w:t xml:space="preserve"> o los </w:t>
      </w:r>
      <w:r w:rsidRPr="004F3256">
        <w:rPr>
          <w:rFonts w:ascii="Verdana" w:hAnsi="Verdana" w:cs="Arial"/>
          <w:bCs/>
          <w:i/>
          <w:iCs/>
          <w:szCs w:val="24"/>
          <w:lang w:val="es-ES_tradnl" w:eastAsia="es-ES_tradnl"/>
        </w:rPr>
        <w:t>Imprevistos</w:t>
      </w:r>
      <w:r w:rsidRPr="004F3256">
        <w:rPr>
          <w:rFonts w:ascii="Verdana" w:hAnsi="Verdana" w:cs="Arial"/>
          <w:bCs/>
          <w:szCs w:val="24"/>
          <w:lang w:val="es-ES_tradnl" w:eastAsia="es-ES_tradnl"/>
        </w:rPr>
        <w:t xml:space="preserve"> sólo se pagan si el contratista demuestra que incurrió en algunas situaciones específicas y bajo el monto que este logre demostrar.</w:t>
      </w:r>
    </w:p>
    <w:p w14:paraId="3E9A7539" w14:textId="77777777" w:rsidR="009F5E7D" w:rsidRPr="004F3256" w:rsidRDefault="009F5E7D" w:rsidP="009F5E7D">
      <w:pPr>
        <w:snapToGrid w:val="0"/>
        <w:spacing w:after="120" w:line="276" w:lineRule="auto"/>
        <w:ind w:firstLine="601"/>
        <w:jc w:val="both"/>
        <w:rPr>
          <w:rFonts w:ascii="Verdana" w:hAnsi="Verdana" w:cs="Arial"/>
          <w:lang w:val="es-ES" w:eastAsia="es-ES"/>
        </w:rPr>
      </w:pPr>
      <w:r w:rsidRPr="004F3256">
        <w:rPr>
          <w:rFonts w:ascii="Verdana" w:hAnsi="Verdana" w:cs="Arial"/>
          <w:lang w:eastAsia="es-ES"/>
        </w:rPr>
        <w:t xml:space="preserve">Sin embargo, </w:t>
      </w:r>
      <w:r w:rsidRPr="004F3256">
        <w:rPr>
          <w:rFonts w:ascii="Verdana" w:hAnsi="Verdana" w:cs="Arial"/>
          <w:lang w:val="es-ES" w:eastAsia="es-ES"/>
        </w:rPr>
        <w:t xml:space="preserve">una regulación como la anterior no es la que suele emplearse en los contratos estatales. Lo usual, que se advierte en la práctica de las Entidades Estatales, es que acuden al AIU con la finalidad de establecer un precio más estable, de manera que el valor del contrato consistirá en lo que resulte de afectar los costos directos por el porcentaje, en principio, invariable del AIU, de manera que al valor de los costos directos se le sume el AIU. </w:t>
      </w:r>
    </w:p>
    <w:p w14:paraId="468FF0A3" w14:textId="77777777" w:rsidR="009F5E7D" w:rsidRPr="004F3256" w:rsidRDefault="009F5E7D" w:rsidP="009F5E7D">
      <w:pPr>
        <w:snapToGrid w:val="0"/>
        <w:spacing w:after="120" w:line="276" w:lineRule="auto"/>
        <w:ind w:firstLine="601"/>
        <w:jc w:val="both"/>
        <w:rPr>
          <w:rFonts w:ascii="Verdana" w:eastAsia="Calibri" w:hAnsi="Verdana" w:cs="Arial"/>
          <w:bCs/>
          <w:szCs w:val="24"/>
          <w:lang w:val="es-ES_tradnl" w:eastAsia="es-ES_tradnl"/>
        </w:rPr>
      </w:pPr>
      <w:r w:rsidRPr="004F3256">
        <w:rPr>
          <w:rFonts w:ascii="Verdana" w:eastAsia="Calibri" w:hAnsi="Verdana" w:cs="Arial"/>
          <w:bCs/>
          <w:szCs w:val="24"/>
          <w:lang w:val="es-ES_tradnl" w:eastAsia="es-ES_tradnl"/>
        </w:rPr>
        <w:t xml:space="preserve">En este sentido, cuando las Entidades Estatales incluyen esta forma de desglosar el precio, en los últimos términos indicados, al realizar el estudio de mercado elaboran un presupuesto estimado del valor de la ejecución del contrato. Dicho presupuesto estimado incluye los costos genéricos </w:t>
      </w:r>
      <w:r w:rsidRPr="004F3256">
        <w:rPr>
          <w:rFonts w:ascii="Verdana" w:eastAsia="Calibri" w:hAnsi="Verdana" w:cs="Arial"/>
          <w:bCs/>
          <w:i/>
          <w:iCs/>
          <w:szCs w:val="24"/>
          <w:lang w:val="es-ES_tradnl" w:eastAsia="es-ES_tradnl"/>
        </w:rPr>
        <w:t xml:space="preserve">indirectos </w:t>
      </w:r>
      <w:r w:rsidRPr="004F3256">
        <w:rPr>
          <w:rFonts w:ascii="Verdana" w:eastAsia="Calibri" w:hAnsi="Verdana" w:cs="Arial"/>
          <w:bCs/>
          <w:szCs w:val="24"/>
          <w:lang w:val="es-ES_tradnl" w:eastAsia="es-ES_tradnl"/>
        </w:rPr>
        <w:t xml:space="preserve">en que incurren los contratistas, entre ellos, los de la </w:t>
      </w:r>
      <w:r w:rsidRPr="004F3256">
        <w:rPr>
          <w:rFonts w:ascii="Verdana" w:eastAsia="Calibri" w:hAnsi="Verdana" w:cs="Arial"/>
          <w:bCs/>
          <w:i/>
          <w:iCs/>
          <w:szCs w:val="24"/>
          <w:lang w:val="es-ES_tradnl" w:eastAsia="es-ES_tradnl"/>
        </w:rPr>
        <w:t xml:space="preserve">Administración </w:t>
      </w:r>
      <w:r w:rsidRPr="004F3256">
        <w:rPr>
          <w:rFonts w:ascii="Verdana" w:eastAsia="Calibri" w:hAnsi="Verdana" w:cs="Arial"/>
          <w:lang w:val="es-ES_tradnl" w:eastAsia="es-ES"/>
        </w:rPr>
        <w:t>y</w:t>
      </w:r>
      <w:r w:rsidRPr="004F3256">
        <w:rPr>
          <w:rFonts w:ascii="Verdana" w:eastAsia="Calibri" w:hAnsi="Verdana" w:cs="Arial"/>
          <w:lang w:val="es-ES" w:eastAsia="es-ES"/>
        </w:rPr>
        <w:t xml:space="preserve"> lo</w:t>
      </w:r>
      <w:r w:rsidRPr="004F3256">
        <w:rPr>
          <w:rFonts w:ascii="Verdana" w:eastAsia="Calibri" w:hAnsi="Verdana" w:cs="Arial"/>
          <w:i/>
          <w:iCs/>
          <w:lang w:val="es-ES" w:eastAsia="es-ES"/>
        </w:rPr>
        <w:t>s Imprevistos</w:t>
      </w:r>
      <w:r w:rsidRPr="004F3256">
        <w:rPr>
          <w:rFonts w:ascii="Verdana" w:eastAsia="Calibri" w:hAnsi="Verdana" w:cs="Arial"/>
          <w:bCs/>
          <w:szCs w:val="24"/>
          <w:lang w:val="es-ES_tradnl" w:eastAsia="es-ES_tradnl"/>
        </w:rPr>
        <w:t>, para efectos de definir el porcentaje con el que calculan el presupuesto, pese a que el monto de estos componentes varía ostensiblemente de un proponente a otro, pues su valor real depende de circunstancias particulares de los oferentes</w:t>
      </w:r>
      <w:r w:rsidRPr="004F3256">
        <w:rPr>
          <w:rFonts w:ascii="Verdana" w:eastAsia="Calibri" w:hAnsi="Verdana" w:cs="Times New Roman"/>
          <w:vertAlign w:val="superscript"/>
          <w:lang w:val="es-ES" w:eastAsia="es-ES_tradnl"/>
        </w:rPr>
        <w:footnoteReference w:id="9"/>
      </w:r>
      <w:r w:rsidRPr="004F3256">
        <w:rPr>
          <w:rFonts w:ascii="Verdana" w:eastAsia="Calibri" w:hAnsi="Verdana" w:cs="Arial"/>
          <w:bCs/>
          <w:szCs w:val="24"/>
          <w:lang w:val="es-ES_tradnl" w:eastAsia="es-ES_tradnl"/>
        </w:rPr>
        <w:t xml:space="preserve">. </w:t>
      </w:r>
    </w:p>
    <w:p w14:paraId="1B0F6A65" w14:textId="77777777" w:rsidR="009F5E7D" w:rsidRPr="004F3256" w:rsidRDefault="009F5E7D" w:rsidP="009F5E7D">
      <w:pPr>
        <w:snapToGrid w:val="0"/>
        <w:spacing w:after="120" w:line="276" w:lineRule="auto"/>
        <w:ind w:firstLine="601"/>
        <w:jc w:val="both"/>
        <w:rPr>
          <w:rFonts w:ascii="Verdana" w:eastAsia="Calibri" w:hAnsi="Verdana" w:cs="Arial"/>
          <w:bCs/>
          <w:szCs w:val="24"/>
          <w:lang w:val="es-ES_tradnl" w:eastAsia="es-ES_tradnl"/>
        </w:rPr>
      </w:pPr>
      <w:r w:rsidRPr="004F3256">
        <w:rPr>
          <w:rFonts w:ascii="Verdana" w:eastAsia="Calibri" w:hAnsi="Verdana" w:cs="Arial"/>
          <w:lang w:eastAsia="es-ES"/>
        </w:rPr>
        <w:t xml:space="preserve">Así las cosas, las partes asumen los riesgos inherentes a esta forma de pactar el precio, entendiendo aceptados los aleas normales que se presenten en la ejecución del contrato, de manera que, aunque el contratista incurra en mayores costos de los ítems incluidos en la </w:t>
      </w:r>
      <w:r w:rsidRPr="004F3256">
        <w:rPr>
          <w:rFonts w:ascii="Verdana" w:eastAsia="Calibri" w:hAnsi="Verdana" w:cs="Arial"/>
          <w:i/>
          <w:iCs/>
          <w:lang w:eastAsia="es-ES"/>
        </w:rPr>
        <w:t>Administración</w:t>
      </w:r>
      <w:r w:rsidRPr="004F3256">
        <w:rPr>
          <w:rFonts w:ascii="Verdana" w:eastAsia="Calibri" w:hAnsi="Verdana" w:cs="Arial"/>
          <w:lang w:eastAsia="es-ES"/>
        </w:rPr>
        <w:t xml:space="preserve"> o en más gastos de </w:t>
      </w:r>
      <w:r w:rsidRPr="004F3256">
        <w:rPr>
          <w:rFonts w:ascii="Verdana" w:eastAsia="Calibri" w:hAnsi="Verdana" w:cs="Arial"/>
          <w:i/>
          <w:iCs/>
          <w:lang w:eastAsia="es-ES"/>
        </w:rPr>
        <w:t>Imprevistos</w:t>
      </w:r>
      <w:r w:rsidRPr="004F3256">
        <w:rPr>
          <w:rFonts w:ascii="Verdana" w:eastAsia="Calibri" w:hAnsi="Verdana" w:cs="Arial"/>
          <w:lang w:eastAsia="es-ES"/>
        </w:rPr>
        <w:t xml:space="preserve"> al presentar su oferta, o que estos disminuyan, aparezcan algunos nuevos o desaparezcan algunos de ellos, el valor se mantenga invariable.</w:t>
      </w:r>
    </w:p>
    <w:p w14:paraId="39715B9D" w14:textId="77777777" w:rsidR="009F5E7D" w:rsidRPr="004F3256" w:rsidRDefault="009F5E7D" w:rsidP="009F5E7D">
      <w:pPr>
        <w:snapToGrid w:val="0"/>
        <w:spacing w:after="120" w:line="276" w:lineRule="auto"/>
        <w:ind w:firstLine="601"/>
        <w:jc w:val="both"/>
        <w:rPr>
          <w:rFonts w:ascii="Verdana" w:eastAsia="Calibri" w:hAnsi="Verdana" w:cs="Arial"/>
          <w:lang w:val="es-ES" w:eastAsia="es-ES"/>
        </w:rPr>
      </w:pPr>
      <w:r w:rsidRPr="004F3256">
        <w:rPr>
          <w:rFonts w:ascii="Verdana" w:eastAsia="Calibri" w:hAnsi="Verdana" w:cs="Arial"/>
          <w:lang w:val="es-ES" w:eastAsia="es-ES"/>
        </w:rPr>
        <w:t xml:space="preserve">De manera que las entidades calculan un valor estimado que, a su vez, sirve de guía para que los proponentes formulen sus ofertas, pero bajo la premisa de que pagarán un porcentaje fijo incluido por los interesados en sus propuestas, dado lo variable que resulta este valor, y lo complejo y gravoso de realizar un seguimiento minucioso a los costos en que incurren los contratistas por este componente en particular. Además, que estos podrían ser mayores a los inicialmente pactados con el contratista, de manera que la fijación de un porcentaje fijo y estable también puede resultar favorable a la entidad estatal, pues su contraparte no le podrá exigir un monto superior, bajo el argumento de que incurrió en costos o gastos adicionales asociados al componente </w:t>
      </w:r>
      <w:r w:rsidRPr="004F3256">
        <w:rPr>
          <w:rFonts w:ascii="Verdana" w:eastAsia="Calibri" w:hAnsi="Verdana" w:cs="Arial"/>
          <w:i/>
          <w:iCs/>
          <w:lang w:val="es-ES" w:eastAsia="es-ES"/>
        </w:rPr>
        <w:t>Administración</w:t>
      </w:r>
      <w:r w:rsidRPr="004F3256">
        <w:rPr>
          <w:rFonts w:ascii="Verdana" w:eastAsia="Calibri" w:hAnsi="Verdana" w:cs="Arial"/>
          <w:lang w:val="es-ES" w:eastAsia="es-ES"/>
        </w:rPr>
        <w:t xml:space="preserve"> o de </w:t>
      </w:r>
      <w:r w:rsidRPr="004F3256">
        <w:rPr>
          <w:rFonts w:ascii="Verdana" w:eastAsia="Calibri" w:hAnsi="Verdana" w:cs="Arial"/>
          <w:i/>
          <w:iCs/>
          <w:lang w:val="es-ES" w:eastAsia="es-ES"/>
        </w:rPr>
        <w:t>Imprevistos</w:t>
      </w:r>
      <w:r w:rsidRPr="004F3256">
        <w:rPr>
          <w:rFonts w:ascii="Verdana" w:eastAsia="Calibri" w:hAnsi="Verdana" w:cs="Times New Roman"/>
          <w:vertAlign w:val="superscript"/>
          <w:lang w:val="es-ES" w:eastAsia="es-ES"/>
        </w:rPr>
        <w:footnoteReference w:id="10"/>
      </w:r>
      <w:r w:rsidRPr="004F3256">
        <w:rPr>
          <w:rFonts w:ascii="Verdana" w:eastAsia="Calibri" w:hAnsi="Verdana" w:cs="Arial"/>
          <w:lang w:val="es-ES" w:eastAsia="es-ES"/>
        </w:rPr>
        <w:t>.</w:t>
      </w:r>
    </w:p>
    <w:p w14:paraId="4CD47558" w14:textId="77777777" w:rsidR="009F5E7D" w:rsidRPr="004F3256" w:rsidRDefault="009F5E7D" w:rsidP="009F5E7D">
      <w:pPr>
        <w:spacing w:before="120" w:after="0" w:line="276" w:lineRule="auto"/>
        <w:ind w:firstLine="709"/>
        <w:jc w:val="both"/>
        <w:rPr>
          <w:rFonts w:ascii="Verdana" w:hAnsi="Verdana" w:cs="Arial"/>
          <w:lang w:val="es-ES" w:eastAsia="es-ES"/>
        </w:rPr>
      </w:pPr>
      <w:proofErr w:type="spellStart"/>
      <w:r>
        <w:rPr>
          <w:rFonts w:ascii="Verdana" w:hAnsi="Verdana" w:cs="Arial"/>
          <w:lang w:val="es-ES" w:eastAsia="es-ES"/>
        </w:rPr>
        <w:t>ii</w:t>
      </w:r>
      <w:proofErr w:type="spellEnd"/>
      <w:r>
        <w:rPr>
          <w:rFonts w:ascii="Verdana" w:hAnsi="Verdana" w:cs="Arial"/>
          <w:lang w:val="es-ES" w:eastAsia="es-ES"/>
        </w:rPr>
        <w:t xml:space="preserve">) </w:t>
      </w:r>
      <w:r w:rsidRPr="004F3256">
        <w:rPr>
          <w:rFonts w:ascii="Verdana" w:hAnsi="Verdana" w:cs="Arial"/>
          <w:lang w:val="es-ES" w:eastAsia="es-ES"/>
        </w:rPr>
        <w:t>Frente a los costos que suelen incluirse en la Administración –A–, la jurisprudencia, a partir de la práctica de las entidades estatales, ha señalado que: “Los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r w:rsidRPr="004F3256">
        <w:rPr>
          <w:rFonts w:ascii="Verdana" w:hAnsi="Verdana" w:cs="Arial"/>
          <w:vertAlign w:val="superscript"/>
          <w:lang w:val="es-ES" w:eastAsia="es-ES"/>
        </w:rPr>
        <w:footnoteReference w:id="11"/>
      </w:r>
      <w:r w:rsidRPr="004F3256">
        <w:rPr>
          <w:rFonts w:ascii="Verdana" w:hAnsi="Verdana" w:cs="Arial"/>
          <w:lang w:val="es-ES" w:eastAsia="es-ES"/>
        </w:rPr>
        <w:t xml:space="preserve">”. En términos similares, pero más precisos, la doctrina, recogiendo la casuística de los contratos estatales, señala de forma más pormenorizada los gastos que se asocian a la –A–, donde se incluyen importantes costos indirectos en que se incurre en la ejecución: </w:t>
      </w:r>
    </w:p>
    <w:p w14:paraId="0DA68C9C" w14:textId="77777777" w:rsidR="009F5E7D" w:rsidRPr="004F3256" w:rsidRDefault="009F5E7D" w:rsidP="009F5E7D">
      <w:pPr>
        <w:spacing w:after="0" w:line="276" w:lineRule="auto"/>
        <w:jc w:val="both"/>
        <w:rPr>
          <w:rFonts w:ascii="Verdana" w:hAnsi="Verdana" w:cs="Arial"/>
          <w:bCs/>
          <w:szCs w:val="24"/>
          <w:lang w:val="es-ES_tradnl" w:eastAsia="es-ES_tradnl"/>
        </w:rPr>
      </w:pPr>
    </w:p>
    <w:p w14:paraId="496CF5C4" w14:textId="77777777" w:rsidR="009F5E7D" w:rsidRPr="004F3256" w:rsidRDefault="009F5E7D" w:rsidP="009F5E7D">
      <w:pPr>
        <w:spacing w:after="0" w:line="240" w:lineRule="auto"/>
        <w:ind w:left="709" w:right="709"/>
        <w:jc w:val="both"/>
        <w:rPr>
          <w:rFonts w:ascii="Verdana" w:hAnsi="Verdana" w:cs="Arial"/>
          <w:sz w:val="20"/>
          <w:szCs w:val="20"/>
          <w:lang w:val="es-ES" w:eastAsia="es-ES"/>
        </w:rPr>
      </w:pPr>
      <w:r w:rsidRPr="004F3256">
        <w:rPr>
          <w:rFonts w:ascii="Verdana" w:hAnsi="Verdana" w:cs="Arial"/>
          <w:sz w:val="20"/>
          <w:szCs w:val="20"/>
          <w:lang w:val="es-ES" w:eastAsia="es-ES"/>
        </w:rPr>
        <w:t xml:space="preserve">Para entender mejor el tema conviene especificar que si los gastos que hacen parte de la A se encuentran: i) el pago de salarios y prestaciones sociales del personal profesional y especializado necesario para ejecutar la obra –es el caso del Director de obra, los arquitectos, ingenieros y contadores, eventualmente abogados u otros; pero no se incluyen los obreros–, </w:t>
      </w:r>
      <w:proofErr w:type="spellStart"/>
      <w:r w:rsidRPr="004F3256">
        <w:rPr>
          <w:rFonts w:ascii="Verdana" w:hAnsi="Verdana" w:cs="Arial"/>
          <w:sz w:val="20"/>
          <w:szCs w:val="20"/>
          <w:lang w:val="es-ES" w:eastAsia="es-ES"/>
        </w:rPr>
        <w:t>ii</w:t>
      </w:r>
      <w:proofErr w:type="spellEnd"/>
      <w:r w:rsidRPr="004F3256">
        <w:rPr>
          <w:rFonts w:ascii="Verdana" w:hAnsi="Verdana" w:cs="Arial"/>
          <w:sz w:val="20"/>
          <w:szCs w:val="20"/>
          <w:lang w:val="es-ES" w:eastAsia="es-ES"/>
        </w:rPr>
        <w:t xml:space="preserve">) pago de salarios y prestaciones sociales del personal logístico y de apoyo no dedicado directamente con la ejecución del contrato –por ejemplo: las secretarias de la empresa, el servicio de cafetería en mensajero, la vigilancia, los seguros, etc.– sin los que la empresa no puede funcionar; </w:t>
      </w:r>
      <w:proofErr w:type="spellStart"/>
      <w:r w:rsidRPr="004F3256">
        <w:rPr>
          <w:rFonts w:ascii="Verdana" w:hAnsi="Verdana" w:cs="Arial"/>
          <w:sz w:val="20"/>
          <w:szCs w:val="20"/>
          <w:lang w:val="es-ES" w:eastAsia="es-ES"/>
        </w:rPr>
        <w:t>iii</w:t>
      </w:r>
      <w:proofErr w:type="spellEnd"/>
      <w:r w:rsidRPr="004F3256">
        <w:rPr>
          <w:rFonts w:ascii="Verdana" w:hAnsi="Verdana" w:cs="Arial"/>
          <w:sz w:val="20"/>
          <w:szCs w:val="20"/>
          <w:lang w:val="es-ES" w:eastAsia="es-ES"/>
        </w:rPr>
        <w:t xml:space="preserve">) pago de arrendamiento de las instalaciones necesarias para el funcionamiento de la empresa –oficinas </w:t>
      </w:r>
      <w:r w:rsidRPr="004F3256">
        <w:rPr>
          <w:rFonts w:ascii="Verdana" w:hAnsi="Verdana" w:cs="Arial"/>
          <w:i/>
          <w:sz w:val="20"/>
          <w:szCs w:val="20"/>
          <w:lang w:val="es-ES" w:eastAsia="es-ES"/>
        </w:rPr>
        <w:t xml:space="preserve">y campamento de la obra–; </w:t>
      </w:r>
      <w:proofErr w:type="spellStart"/>
      <w:r w:rsidRPr="004F3256">
        <w:rPr>
          <w:rFonts w:ascii="Verdana" w:hAnsi="Verdana" w:cs="Arial"/>
          <w:sz w:val="20"/>
          <w:szCs w:val="20"/>
          <w:lang w:val="es-ES" w:eastAsia="es-ES"/>
        </w:rPr>
        <w:t>iv</w:t>
      </w:r>
      <w:proofErr w:type="spellEnd"/>
      <w:r w:rsidRPr="004F3256">
        <w:rPr>
          <w:rFonts w:ascii="Verdana" w:hAnsi="Verdana" w:cs="Arial"/>
          <w:sz w:val="20"/>
          <w:szCs w:val="20"/>
          <w:lang w:val="es-ES" w:eastAsia="es-ES"/>
        </w:rPr>
        <w:t xml:space="preserve">) </w:t>
      </w:r>
      <w:r w:rsidRPr="004F3256">
        <w:rPr>
          <w:rFonts w:ascii="Verdana" w:hAnsi="Verdana" w:cs="Arial"/>
          <w:i/>
          <w:sz w:val="20"/>
          <w:szCs w:val="20"/>
          <w:lang w:val="es-ES" w:eastAsia="es-ES"/>
        </w:rPr>
        <w:t>pago de impuestos y gravámenes en general que afectan la actividad o el contrato</w:t>
      </w:r>
      <w:r w:rsidRPr="004F3256">
        <w:rPr>
          <w:rFonts w:ascii="Verdana" w:hAnsi="Verdana" w:cs="Arial"/>
          <w:sz w:val="20"/>
          <w:szCs w:val="20"/>
          <w:lang w:val="es-ES" w:eastAsia="es-ES"/>
        </w:rPr>
        <w:t xml:space="preserve">; v) valor de las fotocopias, papelería en general y equipos de oficina, vi) transporte terrestre, tiquetes aéreos y arrendamiento de vehículos –distintos de la maquinaria que se emplea en la obra–, </w:t>
      </w:r>
      <w:proofErr w:type="spellStart"/>
      <w:r w:rsidRPr="004F3256">
        <w:rPr>
          <w:rFonts w:ascii="Verdana" w:hAnsi="Verdana" w:cs="Arial"/>
          <w:sz w:val="20"/>
          <w:szCs w:val="20"/>
          <w:lang w:val="es-ES" w:eastAsia="es-ES"/>
        </w:rPr>
        <w:t>vii</w:t>
      </w:r>
      <w:proofErr w:type="spellEnd"/>
      <w:r w:rsidRPr="004F3256">
        <w:rPr>
          <w:rFonts w:ascii="Verdana" w:hAnsi="Verdana" w:cs="Arial"/>
          <w:sz w:val="20"/>
          <w:szCs w:val="20"/>
          <w:lang w:val="es-ES" w:eastAsia="es-ES"/>
        </w:rPr>
        <w:t xml:space="preserve">) pólizas del contrato, </w:t>
      </w:r>
      <w:proofErr w:type="spellStart"/>
      <w:r w:rsidRPr="004F3256">
        <w:rPr>
          <w:rFonts w:ascii="Verdana" w:hAnsi="Verdana" w:cs="Arial"/>
          <w:sz w:val="20"/>
          <w:szCs w:val="20"/>
          <w:lang w:val="es-ES" w:eastAsia="es-ES"/>
        </w:rPr>
        <w:t>viii</w:t>
      </w:r>
      <w:proofErr w:type="spellEnd"/>
      <w:r w:rsidRPr="004F3256">
        <w:rPr>
          <w:rFonts w:ascii="Verdana" w:hAnsi="Verdana" w:cs="Arial"/>
          <w:sz w:val="20"/>
          <w:szCs w:val="20"/>
          <w:lang w:val="es-ES" w:eastAsia="es-ES"/>
        </w:rPr>
        <w:t xml:space="preserve">) pago de servicios públicos y otras comunicaciones –como el servicio celular– y </w:t>
      </w:r>
      <w:proofErr w:type="spellStart"/>
      <w:r w:rsidRPr="004F3256">
        <w:rPr>
          <w:rFonts w:ascii="Verdana" w:hAnsi="Verdana" w:cs="Arial"/>
          <w:sz w:val="20"/>
          <w:szCs w:val="20"/>
          <w:lang w:val="es-ES" w:eastAsia="es-ES"/>
        </w:rPr>
        <w:t>ix</w:t>
      </w:r>
      <w:proofErr w:type="spellEnd"/>
      <w:r w:rsidRPr="004F3256">
        <w:rPr>
          <w:rFonts w:ascii="Verdana" w:hAnsi="Verdana" w:cs="Arial"/>
          <w:sz w:val="20"/>
          <w:szCs w:val="20"/>
          <w:lang w:val="es-ES" w:eastAsia="es-ES"/>
        </w:rPr>
        <w:t>) gastos en que se incurra para realizar ensayos de laboratorio</w:t>
      </w:r>
      <w:r w:rsidRPr="004F3256">
        <w:rPr>
          <w:rFonts w:ascii="Verdana" w:hAnsi="Verdana" w:cs="Arial"/>
          <w:sz w:val="20"/>
          <w:szCs w:val="20"/>
          <w:vertAlign w:val="superscript"/>
          <w:lang w:val="es-ES" w:eastAsia="es-ES"/>
        </w:rPr>
        <w:footnoteReference w:id="12"/>
      </w:r>
      <w:r w:rsidRPr="004F3256">
        <w:rPr>
          <w:rFonts w:ascii="Verdana" w:hAnsi="Verdana" w:cs="Arial"/>
          <w:sz w:val="20"/>
          <w:szCs w:val="20"/>
          <w:lang w:val="es-ES" w:eastAsia="es-ES"/>
        </w:rPr>
        <w:t xml:space="preserve"> (Énfasis por fuera de texto)</w:t>
      </w:r>
    </w:p>
    <w:p w14:paraId="741D49C6" w14:textId="77777777" w:rsidR="009F5E7D" w:rsidRPr="004F3256" w:rsidRDefault="009F5E7D" w:rsidP="009F5E7D">
      <w:pPr>
        <w:spacing w:after="0" w:line="240" w:lineRule="auto"/>
        <w:ind w:left="709" w:right="709"/>
        <w:jc w:val="both"/>
        <w:rPr>
          <w:rFonts w:ascii="Verdana" w:hAnsi="Verdana" w:cs="Arial"/>
          <w:bCs/>
          <w:lang w:val="es-ES_tradnl" w:eastAsia="es-ES_tradnl"/>
        </w:rPr>
      </w:pPr>
    </w:p>
    <w:p w14:paraId="22A42E83" w14:textId="77777777" w:rsidR="009F5E7D" w:rsidRPr="004F3256" w:rsidRDefault="009F5E7D" w:rsidP="009F5E7D">
      <w:pPr>
        <w:spacing w:line="276" w:lineRule="auto"/>
        <w:jc w:val="both"/>
        <w:rPr>
          <w:rFonts w:ascii="Verdana" w:hAnsi="Verdana" w:cs="Arial"/>
          <w:lang w:val="es-ES_tradnl"/>
        </w:rPr>
      </w:pPr>
      <w:r w:rsidRPr="004F3256">
        <w:rPr>
          <w:rFonts w:ascii="Verdana" w:hAnsi="Verdana" w:cs="Arial"/>
          <w:lang w:val="es-ES_tradnl"/>
        </w:rPr>
        <w:tab/>
      </w:r>
      <w:r w:rsidRPr="004F3256">
        <w:rPr>
          <w:rFonts w:ascii="Verdana" w:hAnsi="Verdana" w:cs="Arial"/>
          <w:bCs/>
          <w:lang w:val="es-ES_tradnl"/>
        </w:rPr>
        <w:t xml:space="preserve">Asimismo, frente al porcentaje que se determina en el componente A, la doctrina expresa: </w:t>
      </w:r>
      <w:r w:rsidRPr="004F3256">
        <w:rPr>
          <w:rFonts w:ascii="Verdana" w:hAnsi="Verdana" w:cs="Arial"/>
          <w:lang w:val="es-ES_tradnl"/>
        </w:rPr>
        <w:t xml:space="preserve"> </w:t>
      </w:r>
    </w:p>
    <w:p w14:paraId="0F991B8E" w14:textId="77777777" w:rsidR="009F5E7D" w:rsidRPr="004F3256" w:rsidRDefault="009F5E7D" w:rsidP="009F5E7D">
      <w:pPr>
        <w:spacing w:after="0" w:line="240" w:lineRule="auto"/>
        <w:ind w:left="709" w:right="709"/>
        <w:jc w:val="both"/>
        <w:rPr>
          <w:rFonts w:ascii="Verdana" w:hAnsi="Verdana" w:cs="Arial"/>
          <w:sz w:val="20"/>
          <w:szCs w:val="20"/>
          <w:lang w:val="es-ES"/>
        </w:rPr>
      </w:pPr>
      <w:r w:rsidRPr="004F3256">
        <w:rPr>
          <w:rFonts w:ascii="Verdana" w:hAnsi="Verdana" w:cs="Arial"/>
          <w:sz w:val="20"/>
          <w:szCs w:val="20"/>
          <w:lang w:val="es-ES"/>
        </w:rPr>
        <w:t xml:space="preserve">Este porcentaje del valor del contrato también lo determina cada oferente–contratista con libertad, pues a él incumbe establecer cuánto ascienden sus gastos de administración, y si al final resultan superiores no puede exigir de la entidad, por esa sola circunstancia, un reembolso, porque para ella se trataba de un dato indicativo sobre la manera como se halla el valor total de la obra, de ninguna manera determinante de la forma como se paga cada actividad. A la inversa sucede lo mismo, si el gasto es inferior al presupuestado la entidad no puede pagar menos de lo pactado, sino los precios unitarios acordados por la </w:t>
      </w:r>
      <w:r w:rsidRPr="004F3256">
        <w:rPr>
          <w:rFonts w:ascii="Verdana" w:hAnsi="Verdana" w:cs="Arial"/>
          <w:i/>
          <w:sz w:val="20"/>
          <w:szCs w:val="20"/>
          <w:lang w:val="es-ES"/>
        </w:rPr>
        <w:t>A</w:t>
      </w:r>
      <w:r w:rsidRPr="004F3256">
        <w:rPr>
          <w:rFonts w:ascii="Verdana" w:hAnsi="Verdana" w:cs="Arial"/>
          <w:sz w:val="20"/>
          <w:szCs w:val="20"/>
          <w:lang w:val="es-ES"/>
        </w:rPr>
        <w:t xml:space="preserve"> –</w:t>
      </w:r>
      <w:proofErr w:type="gramStart"/>
      <w:r w:rsidRPr="004F3256">
        <w:rPr>
          <w:rFonts w:ascii="Verdana" w:hAnsi="Verdana" w:cs="Arial"/>
          <w:sz w:val="20"/>
          <w:szCs w:val="20"/>
          <w:lang w:val="es-ES"/>
        </w:rPr>
        <w:t>y</w:t>
      </w:r>
      <w:proofErr w:type="gramEnd"/>
      <w:r w:rsidRPr="004F3256">
        <w:rPr>
          <w:rFonts w:ascii="Verdana" w:hAnsi="Verdana" w:cs="Arial"/>
          <w:sz w:val="20"/>
          <w:szCs w:val="20"/>
          <w:lang w:val="es-ES"/>
        </w:rPr>
        <w:t xml:space="preserve"> dicho sea de paso, también por la </w:t>
      </w:r>
      <w:r w:rsidRPr="004F3256">
        <w:rPr>
          <w:rFonts w:ascii="Verdana" w:hAnsi="Verdana" w:cs="Arial"/>
          <w:i/>
          <w:sz w:val="20"/>
          <w:szCs w:val="20"/>
          <w:lang w:val="es-ES"/>
        </w:rPr>
        <w:t>I</w:t>
      </w:r>
      <w:r w:rsidRPr="004F3256">
        <w:rPr>
          <w:rFonts w:ascii="Verdana" w:hAnsi="Verdana" w:cs="Arial"/>
          <w:sz w:val="20"/>
          <w:szCs w:val="20"/>
          <w:lang w:val="es-ES"/>
        </w:rPr>
        <w:t xml:space="preserve"> y la </w:t>
      </w:r>
      <w:r w:rsidRPr="004F3256">
        <w:rPr>
          <w:rFonts w:ascii="Verdana" w:hAnsi="Verdana" w:cs="Arial"/>
          <w:i/>
          <w:sz w:val="20"/>
          <w:szCs w:val="20"/>
          <w:lang w:val="es-ES"/>
        </w:rPr>
        <w:t>U</w:t>
      </w:r>
      <w:r w:rsidRPr="004F3256">
        <w:rPr>
          <w:rFonts w:ascii="Verdana" w:hAnsi="Verdana" w:cs="Arial"/>
          <w:sz w:val="20"/>
          <w:szCs w:val="20"/>
          <w:lang w:val="es-ES"/>
        </w:rPr>
        <w:t>–</w:t>
      </w:r>
      <w:r w:rsidRPr="004F3256">
        <w:rPr>
          <w:rFonts w:ascii="Verdana" w:hAnsi="Verdana" w:cs="Arial"/>
          <w:sz w:val="20"/>
          <w:szCs w:val="20"/>
          <w:vertAlign w:val="superscript"/>
          <w:lang w:val="es-ES"/>
        </w:rPr>
        <w:footnoteReference w:id="13"/>
      </w:r>
      <w:r w:rsidRPr="004F3256">
        <w:rPr>
          <w:rFonts w:ascii="Verdana" w:hAnsi="Verdana" w:cs="Arial"/>
          <w:sz w:val="20"/>
          <w:szCs w:val="20"/>
          <w:lang w:val="es-ES"/>
        </w:rPr>
        <w:t xml:space="preserve">. </w:t>
      </w:r>
    </w:p>
    <w:p w14:paraId="7FC2C064" w14:textId="77777777" w:rsidR="009F5E7D" w:rsidRPr="004F3256" w:rsidRDefault="009F5E7D" w:rsidP="009F5E7D">
      <w:pPr>
        <w:spacing w:after="0" w:line="276" w:lineRule="auto"/>
        <w:ind w:left="709" w:right="709"/>
        <w:jc w:val="both"/>
        <w:rPr>
          <w:rFonts w:ascii="Verdana" w:hAnsi="Verdana" w:cs="Arial"/>
          <w:sz w:val="20"/>
          <w:szCs w:val="20"/>
          <w:lang w:val="es-ES_tradnl"/>
        </w:rPr>
      </w:pPr>
    </w:p>
    <w:p w14:paraId="6D5BCA2A" w14:textId="77777777" w:rsidR="009F5E7D" w:rsidRPr="004F3256" w:rsidRDefault="009F5E7D" w:rsidP="009F5E7D">
      <w:pPr>
        <w:spacing w:after="120" w:line="276" w:lineRule="auto"/>
        <w:ind w:firstLine="709"/>
        <w:jc w:val="both"/>
        <w:rPr>
          <w:rFonts w:ascii="Verdana" w:hAnsi="Verdana" w:cs="Arial"/>
          <w:lang w:val="es-ES"/>
        </w:rPr>
      </w:pPr>
      <w:r w:rsidRPr="004F3256">
        <w:rPr>
          <w:rFonts w:ascii="Verdana" w:hAnsi="Verdana" w:cs="Arial"/>
          <w:lang w:val="es-ES"/>
        </w:rPr>
        <w:t>Tal es la forma usual como se pacta el precio en los contratos estatales cuyo valor se define con base en la metodología del AIU. Lo anterior, sin perjuicio de que las partes en el contrato establezcan las cláusulas que a bien tengan, pues se trata de un aspecto en que la autonomía de la voluntad de que gozan las entidades estatales –y sus contratistas– despliega importantes efectos, por tratarse de un aspecto que no regula de forma específica el EGCAP.</w:t>
      </w:r>
    </w:p>
    <w:p w14:paraId="7567A79D" w14:textId="77777777" w:rsidR="009F5E7D" w:rsidRPr="004F3256" w:rsidRDefault="009F5E7D" w:rsidP="009F5E7D">
      <w:pPr>
        <w:spacing w:after="120" w:line="276" w:lineRule="auto"/>
        <w:ind w:firstLine="743"/>
        <w:jc w:val="both"/>
        <w:rPr>
          <w:rFonts w:ascii="Verdana" w:eastAsia="Calibri" w:hAnsi="Verdana" w:cs="Arial"/>
          <w:iCs/>
          <w:lang w:eastAsia="es-ES"/>
        </w:rPr>
      </w:pPr>
      <w:r w:rsidRPr="004F3256">
        <w:rPr>
          <w:rFonts w:ascii="Verdana" w:eastAsia="Calibri" w:hAnsi="Verdana" w:cs="Arial"/>
          <w:iCs/>
          <w:lang w:eastAsia="es-ES"/>
        </w:rPr>
        <w:t xml:space="preserve">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que más se ajuste el objeto a contratar </w:t>
      </w:r>
    </w:p>
    <w:p w14:paraId="249623B4" w14:textId="77777777" w:rsidR="009F5E7D" w:rsidRPr="004F3256" w:rsidRDefault="009F5E7D" w:rsidP="009F5E7D">
      <w:pPr>
        <w:spacing w:after="120" w:line="276" w:lineRule="auto"/>
        <w:ind w:firstLine="743"/>
        <w:jc w:val="both"/>
        <w:rPr>
          <w:rFonts w:ascii="Verdana" w:hAnsi="Verdana" w:cs="Arial"/>
          <w:lang w:eastAsia="es-ES"/>
        </w:rPr>
      </w:pPr>
      <w:r w:rsidRPr="004F3256">
        <w:rPr>
          <w:rFonts w:ascii="Verdana" w:eastAsia="Calibri" w:hAnsi="Verdana" w:cs="Arial"/>
          <w:iCs/>
        </w:rPr>
        <w:t xml:space="preserve">Conforme a lo expuesto, las entidades estatales pueden incluir en el valor de sus contratos los costos directos e indirectos- </w:t>
      </w:r>
      <w:proofErr w:type="spellStart"/>
      <w:r w:rsidRPr="004F3256">
        <w:rPr>
          <w:rFonts w:ascii="Verdana" w:eastAsia="Calibri" w:hAnsi="Verdana" w:cs="Arial"/>
          <w:i/>
          <w:iCs/>
        </w:rPr>
        <w:t>overhead</w:t>
      </w:r>
      <w:proofErr w:type="spellEnd"/>
      <w:r w:rsidRPr="004F3256">
        <w:rPr>
          <w:rFonts w:ascii="Verdana" w:eastAsia="Calibri" w:hAnsi="Verdana" w:cs="Arial"/>
          <w:i/>
          <w:iCs/>
        </w:rPr>
        <w:t>-,</w:t>
      </w:r>
      <w:r w:rsidRPr="004F3256">
        <w:rPr>
          <w:rFonts w:ascii="Verdana" w:eastAsia="Calibri" w:hAnsi="Verdana" w:cs="Arial"/>
          <w:iCs/>
        </w:rPr>
        <w:t xml:space="preserve"> asociados al precio de la ejecución del contrato, lo que indica que se trata de un elemento vinculado al cálculo de la remuneración o pago en favor de los contratistas del estado, que se incluye, como ya se expresó, con la finalidad de generar estabilidad en dicho precio, tanto favor del contratista, como de la entidad contratante. Cuando los costos indirectos -</w:t>
      </w:r>
      <w:proofErr w:type="spellStart"/>
      <w:r w:rsidRPr="004F3256">
        <w:rPr>
          <w:rFonts w:ascii="Verdana" w:eastAsia="Calibri" w:hAnsi="Verdana" w:cs="Arial"/>
          <w:i/>
        </w:rPr>
        <w:t>overhead</w:t>
      </w:r>
      <w:proofErr w:type="spellEnd"/>
      <w:r w:rsidRPr="004F3256">
        <w:rPr>
          <w:rFonts w:ascii="Verdana" w:eastAsia="Calibri" w:hAnsi="Verdana" w:cs="Arial"/>
          <w:i/>
        </w:rPr>
        <w:t>-</w:t>
      </w:r>
      <w:r w:rsidRPr="004F3256">
        <w:rPr>
          <w:rFonts w:ascii="Verdana" w:eastAsia="Calibri" w:hAnsi="Verdana" w:cs="Arial"/>
          <w:iCs/>
        </w:rPr>
        <w:t xml:space="preserve"> han sido expresamente contemplados dentro de la estructura económica del contrato, ya sea en los estudios previos, en la propuesta del contratista o en las cláusulas contractuales, estos resultan obligatorios y su reconocimiento y pago debe efectuarse en los términos y condiciones pactados. En tal medida, la entidad contratante no puede desconocer o excluir unilateralmente dichos costos una vez incorporados al precio, salvo que exista una modificación válida del contrato o una causa legal que justifique su ajuste.</w:t>
      </w:r>
    </w:p>
    <w:p w14:paraId="2EE478FF" w14:textId="77777777" w:rsidR="009F5E7D" w:rsidRPr="004F3256" w:rsidRDefault="009F5E7D" w:rsidP="009F5E7D">
      <w:pPr>
        <w:spacing w:after="120" w:line="276" w:lineRule="auto"/>
        <w:jc w:val="both"/>
        <w:rPr>
          <w:rFonts w:ascii="Verdana" w:eastAsia="Calibri" w:hAnsi="Verdana" w:cs="Arial"/>
          <w:color w:val="000000" w:themeColor="text1"/>
          <w:lang w:val="es-ES"/>
        </w:rPr>
      </w:pPr>
      <w:proofErr w:type="spellStart"/>
      <w:r>
        <w:rPr>
          <w:rFonts w:ascii="Verdana" w:hAnsi="Verdana" w:cs="Arial"/>
          <w:bCs/>
          <w:szCs w:val="24"/>
          <w:lang w:val="es-ES_tradnl" w:eastAsia="es-ES_tradnl"/>
        </w:rPr>
        <w:t>i</w:t>
      </w:r>
      <w:r w:rsidRPr="004F3256">
        <w:rPr>
          <w:rFonts w:ascii="Verdana" w:hAnsi="Verdana" w:cs="Arial"/>
          <w:bCs/>
          <w:szCs w:val="24"/>
          <w:lang w:val="es-ES_tradnl" w:eastAsia="es-ES_tradnl"/>
        </w:rPr>
        <w:t>ii</w:t>
      </w:r>
      <w:proofErr w:type="spellEnd"/>
      <w:r>
        <w:rPr>
          <w:rFonts w:ascii="Verdana" w:hAnsi="Verdana" w:cs="Arial"/>
          <w:bCs/>
          <w:szCs w:val="24"/>
          <w:lang w:val="es-ES_tradnl" w:eastAsia="es-ES_tradnl"/>
        </w:rPr>
        <w:t>)</w:t>
      </w:r>
      <w:r w:rsidRPr="004F3256">
        <w:rPr>
          <w:rFonts w:ascii="Verdana" w:hAnsi="Verdana" w:cs="Arial"/>
          <w:bCs/>
          <w:szCs w:val="24"/>
          <w:lang w:val="es-ES_tradnl" w:eastAsia="es-ES_tradnl"/>
        </w:rPr>
        <w:t xml:space="preserve"> Ahora bien, para efectos de dar respuesta al </w:t>
      </w:r>
      <w:r>
        <w:rPr>
          <w:rFonts w:ascii="Verdana" w:hAnsi="Verdana" w:cs="Arial"/>
          <w:bCs/>
          <w:szCs w:val="24"/>
          <w:lang w:val="es-ES_tradnl" w:eastAsia="es-ES_tradnl"/>
        </w:rPr>
        <w:t xml:space="preserve">tercer </w:t>
      </w:r>
      <w:r w:rsidRPr="004F3256">
        <w:rPr>
          <w:rFonts w:ascii="Verdana" w:hAnsi="Verdana" w:cs="Arial"/>
          <w:bCs/>
          <w:szCs w:val="24"/>
          <w:lang w:val="es-ES_tradnl" w:eastAsia="es-ES_tradnl"/>
        </w:rPr>
        <w:t>problema jurídico</w:t>
      </w:r>
      <w:r>
        <w:rPr>
          <w:rFonts w:ascii="Verdana" w:hAnsi="Verdana" w:cs="Arial"/>
          <w:bCs/>
          <w:szCs w:val="24"/>
          <w:lang w:val="es-ES_tradnl" w:eastAsia="es-ES_tradnl"/>
        </w:rPr>
        <w:t>,</w:t>
      </w:r>
      <w:r w:rsidRPr="004F3256">
        <w:rPr>
          <w:rFonts w:ascii="Verdana" w:hAnsi="Verdana" w:cs="Arial"/>
          <w:bCs/>
          <w:szCs w:val="24"/>
          <w:lang w:val="es-ES_tradnl" w:eastAsia="es-ES_tradnl"/>
        </w:rPr>
        <w:t xml:space="preserve"> es fundamental distinguir entre los convenios y los contratos interadministrativos, puesto que su naturaleza tiene unas implicaciones distintas frente a la viabilidad de asumir costos y gastos administrativos. E</w:t>
      </w:r>
      <w:r w:rsidRPr="004F3256">
        <w:rPr>
          <w:rFonts w:ascii="Verdana" w:eastAsia="Calibri" w:hAnsi="Verdana" w:cs="Arial"/>
          <w:lang w:val="es-ES" w:eastAsia="es-ES"/>
        </w:rPr>
        <w:t xml:space="preserve">n efecto, </w:t>
      </w:r>
      <w:r w:rsidRPr="004F3256">
        <w:rPr>
          <w:rFonts w:ascii="Verdana" w:eastAsia="Calibri" w:hAnsi="Verdana" w:cs="Arial"/>
          <w:color w:val="000000" w:themeColor="text1"/>
          <w:lang w:val="es-ES"/>
        </w:rPr>
        <w:t xml:space="preserve">existen algunos supuestos bajo las cuales las diferencias entre las características propias de los contratos y convenios interadministrativos resultan definitorias de la aplicación o inaplicación de ciertas normas, ante lo cual, entonces, no podrán ser </w:t>
      </w:r>
      <w:proofErr w:type="gramStart"/>
      <w:r w:rsidRPr="004F3256">
        <w:rPr>
          <w:rFonts w:ascii="Verdana" w:eastAsia="Calibri" w:hAnsi="Verdana" w:cs="Arial"/>
          <w:color w:val="000000" w:themeColor="text1"/>
          <w:lang w:val="es-ES"/>
        </w:rPr>
        <w:t>equiparables</w:t>
      </w:r>
      <w:proofErr w:type="gramEnd"/>
      <w:r w:rsidRPr="004F3256">
        <w:rPr>
          <w:rFonts w:ascii="Verdana" w:eastAsia="Calibri" w:hAnsi="Verdana" w:cs="Arial"/>
          <w:color w:val="000000" w:themeColor="text1"/>
          <w:lang w:val="es-ES"/>
        </w:rPr>
        <w:t xml:space="preserve"> sino que deben ser vistos como instituciones negociales </w:t>
      </w:r>
      <w:proofErr w:type="gramStart"/>
      <w:r w:rsidRPr="004F3256">
        <w:rPr>
          <w:rFonts w:ascii="Verdana" w:eastAsia="Calibri" w:hAnsi="Verdana" w:cs="Arial"/>
          <w:color w:val="000000" w:themeColor="text1"/>
          <w:lang w:val="es-ES"/>
        </w:rPr>
        <w:t>disímiles</w:t>
      </w:r>
      <w:proofErr w:type="gramEnd"/>
      <w:r w:rsidRPr="004F3256">
        <w:rPr>
          <w:rFonts w:ascii="Verdana" w:eastAsia="Calibri" w:hAnsi="Verdana" w:cs="Arial"/>
          <w:color w:val="000000" w:themeColor="text1"/>
          <w:lang w:val="es-ES"/>
        </w:rPr>
        <w:t xml:space="preserve"> aunque, indudablemente, con algunos atributos comunes. En otras palabras, diferenciar entre los conceptos de convenio y contrato interadministrativos, así como establecer con precisión las características y elementos esenciales de cada uno, resulta necesario de cara a definir la aplicación de ciertas figuras contractuales y normativas a cada uno de ellos, como las que se plantean en esta consulta. </w:t>
      </w:r>
    </w:p>
    <w:p w14:paraId="0E02A8DB" w14:textId="77777777" w:rsidR="009F5E7D" w:rsidRPr="004F3256" w:rsidRDefault="009F5E7D" w:rsidP="009F5E7D">
      <w:pPr>
        <w:spacing w:after="120" w:line="276" w:lineRule="auto"/>
        <w:ind w:firstLine="708"/>
        <w:jc w:val="both"/>
        <w:rPr>
          <w:rFonts w:ascii="Verdana" w:eastAsia="Calibri" w:hAnsi="Verdana" w:cs="Arial"/>
        </w:rPr>
      </w:pPr>
      <w:r w:rsidRPr="004F3256">
        <w:rPr>
          <w:rFonts w:ascii="Verdana" w:eastAsia="Times New Roman" w:hAnsi="Verdana" w:cs="Arial"/>
          <w:lang w:val="es-ES" w:eastAsia="es-ES_tradnl"/>
        </w:rPr>
        <w:t>P</w:t>
      </w:r>
      <w:r w:rsidRPr="004F3256">
        <w:rPr>
          <w:rFonts w:ascii="Verdana" w:eastAsia="Times New Roman" w:hAnsi="Verdana" w:cs="Arial"/>
          <w:lang w:val="es-ES_tradnl" w:eastAsia="es-ES_tradnl"/>
        </w:rPr>
        <w:t xml:space="preserve">ara precisar </w:t>
      </w:r>
      <w:r w:rsidRPr="004F3256">
        <w:rPr>
          <w:rFonts w:ascii="Verdana" w:eastAsia="Times New Roman" w:hAnsi="Verdana" w:cs="Arial"/>
          <w:lang w:val="es-ES" w:eastAsia="es-ES_tradnl"/>
        </w:rPr>
        <w:t>el alcance que tiene cada una de estas figuras, resulta pertinente resaltar que, en consonancia con el artículo 209 de la Constitución Política</w:t>
      </w:r>
      <w:r w:rsidRPr="004F3256">
        <w:rPr>
          <w:rFonts w:ascii="Verdana" w:eastAsia="Times New Roman" w:hAnsi="Verdana" w:cs="Arial"/>
          <w:vertAlign w:val="superscript"/>
          <w:lang w:val="es-ES" w:eastAsia="es-ES_tradnl"/>
        </w:rPr>
        <w:footnoteReference w:id="14"/>
      </w:r>
      <w:r w:rsidRPr="004F3256">
        <w:rPr>
          <w:rFonts w:ascii="Verdana" w:eastAsia="Times New Roman" w:hAnsi="Verdana" w:cs="Arial"/>
          <w:lang w:val="es-ES" w:eastAsia="es-ES_tradnl"/>
        </w:rPr>
        <w:t>, del que se desprenden los deberes de coordinación y colaboración a cargo de todas las autoridades administrativas,</w:t>
      </w:r>
      <w:r w:rsidRPr="004F3256">
        <w:rPr>
          <w:rFonts w:ascii="Verdana" w:eastAsia="Calibri" w:hAnsi="Verdana" w:cs="Arial"/>
        </w:rPr>
        <w:t xml:space="preserve"> el artículo 95 de la Ley 489 de 1998</w:t>
      </w:r>
      <w:r w:rsidRPr="004F3256">
        <w:rPr>
          <w:rFonts w:ascii="Verdana" w:eastAsia="Calibri" w:hAnsi="Verdana" w:cs="Arial"/>
          <w:vertAlign w:val="superscript"/>
        </w:rPr>
        <w:footnoteReference w:id="15"/>
      </w:r>
      <w:r w:rsidRPr="004F3256">
        <w:rPr>
          <w:rFonts w:ascii="Verdana" w:eastAsia="Calibri" w:hAnsi="Verdana" w:cs="Arial"/>
        </w:rPr>
        <w:t xml:space="preserve"> dispone que “las entidades públicas podrán asociarse con el fin de cooperar en el cumplimiento de funciones administrativas o de prestar conjuntamente servicios que se hallen a su cargo mediante la celebración de convenios interadministrativos (…)”</w:t>
      </w:r>
      <w:r w:rsidRPr="004F3256">
        <w:rPr>
          <w:rFonts w:ascii="Verdana" w:eastAsia="Calibri" w:hAnsi="Verdana" w:cs="Arial"/>
          <w:vertAlign w:val="superscript"/>
        </w:rPr>
        <w:footnoteReference w:id="16"/>
      </w:r>
      <w:r w:rsidRPr="004F3256">
        <w:rPr>
          <w:rFonts w:ascii="Verdana" w:eastAsia="Calibri" w:hAnsi="Verdana" w:cs="Arial"/>
        </w:rPr>
        <w:t>. De tal suerte que, si bien la Ley 80 de 1993 faculta a las entidades estatales para celebrar cualquier acto jurídico generador de obligaciones, la norma en cita regula en forma particular la figura del convenio interadministrativo y define los elementos que caracterizan a este tipo de negocio jurídico.</w:t>
      </w:r>
    </w:p>
    <w:p w14:paraId="17148159" w14:textId="77777777" w:rsidR="009F5E7D" w:rsidRPr="004F3256" w:rsidRDefault="009F5E7D" w:rsidP="009F5E7D">
      <w:pPr>
        <w:spacing w:after="120" w:line="276" w:lineRule="auto"/>
        <w:ind w:firstLine="708"/>
        <w:jc w:val="both"/>
        <w:rPr>
          <w:rFonts w:ascii="Verdana" w:eastAsia="Calibri" w:hAnsi="Verdana" w:cs="Arial"/>
        </w:rPr>
      </w:pPr>
      <w:r w:rsidRPr="004F3256">
        <w:rPr>
          <w:rFonts w:ascii="Verdana" w:eastAsia="Calibri" w:hAnsi="Verdana" w:cs="Arial"/>
        </w:rPr>
        <w:t>Sobre el alcance de los convenios interadministrativos, el Consejo de Estado ha dejado en claro lo siguiente:</w:t>
      </w:r>
    </w:p>
    <w:p w14:paraId="54E566FF" w14:textId="7FD5042F" w:rsidR="009F5E7D" w:rsidRDefault="009F5E7D" w:rsidP="00FE4D24">
      <w:pPr>
        <w:spacing w:after="0" w:line="240" w:lineRule="auto"/>
        <w:ind w:left="709" w:right="714"/>
        <w:jc w:val="both"/>
        <w:rPr>
          <w:rFonts w:ascii="Verdana" w:eastAsia="Calibri" w:hAnsi="Verdana" w:cs="Arial"/>
          <w:bCs/>
          <w:sz w:val="20"/>
          <w:szCs w:val="20"/>
          <w:lang w:val="es-ES_tradnl"/>
        </w:rPr>
      </w:pPr>
      <w:r w:rsidRPr="004F3256">
        <w:rPr>
          <w:rFonts w:ascii="Verdana" w:eastAsia="Calibri" w:hAnsi="Verdana" w:cs="Arial"/>
          <w:bCs/>
          <w:sz w:val="20"/>
          <w:szCs w:val="20"/>
          <w:lang w:eastAsia="es-ES_tradnl"/>
        </w:rPr>
        <w:t xml:space="preserve">“(…) </w:t>
      </w:r>
      <w:r w:rsidRPr="004F3256">
        <w:rPr>
          <w:rFonts w:ascii="Verdana" w:eastAsia="Calibri" w:hAnsi="Verdana" w:cs="Arial"/>
          <w:bCs/>
          <w:sz w:val="20"/>
          <w:szCs w:val="20"/>
          <w:lang w:val="es-ES_tradnl"/>
        </w:rPr>
        <w:t xml:space="preserve">i) Constituyen verdaderos contratos en los términos del Código de Comercio cuando su objeto lo constituyen obligaciones patrimoniales. </w:t>
      </w:r>
      <w:proofErr w:type="spellStart"/>
      <w:r w:rsidRPr="004F3256">
        <w:rPr>
          <w:rFonts w:ascii="Verdana" w:eastAsia="Calibri" w:hAnsi="Verdana" w:cs="Arial"/>
          <w:bCs/>
          <w:sz w:val="20"/>
          <w:szCs w:val="20"/>
          <w:lang w:val="es-ES_tradnl"/>
        </w:rPr>
        <w:t>ii</w:t>
      </w:r>
      <w:proofErr w:type="spellEnd"/>
      <w:r w:rsidRPr="004F3256">
        <w:rPr>
          <w:rFonts w:ascii="Verdana" w:eastAsia="Calibri" w:hAnsi="Verdana" w:cs="Arial"/>
          <w:bCs/>
          <w:sz w:val="20"/>
          <w:szCs w:val="20"/>
          <w:lang w:val="es-ES_tradnl"/>
        </w:rPr>
        <w:t xml:space="preserve">) Tienen como fuente la autonomía contractual. </w:t>
      </w:r>
      <w:proofErr w:type="spellStart"/>
      <w:r w:rsidRPr="004F3256">
        <w:rPr>
          <w:rFonts w:ascii="Verdana" w:eastAsia="Calibri" w:hAnsi="Verdana" w:cs="Arial"/>
          <w:bCs/>
          <w:sz w:val="20"/>
          <w:szCs w:val="20"/>
          <w:lang w:val="es-ES_tradnl"/>
        </w:rPr>
        <w:t>iii</w:t>
      </w:r>
      <w:proofErr w:type="spellEnd"/>
      <w:r w:rsidRPr="004F3256">
        <w:rPr>
          <w:rFonts w:ascii="Verdana" w:eastAsia="Calibri" w:hAnsi="Verdana" w:cs="Arial"/>
          <w:bCs/>
          <w:sz w:val="20"/>
          <w:szCs w:val="20"/>
          <w:lang w:val="es-ES_tradnl"/>
        </w:rPr>
        <w:t xml:space="preserve">) Son contratos nominados, puesto que están mencionados por la ley. </w:t>
      </w:r>
      <w:proofErr w:type="spellStart"/>
      <w:r w:rsidRPr="004F3256">
        <w:rPr>
          <w:rFonts w:ascii="Verdana" w:eastAsia="Calibri" w:hAnsi="Verdana" w:cs="Arial"/>
          <w:bCs/>
          <w:sz w:val="20"/>
          <w:szCs w:val="20"/>
          <w:lang w:val="es-ES_tradnl"/>
        </w:rPr>
        <w:t>iv</w:t>
      </w:r>
      <w:proofErr w:type="spellEnd"/>
      <w:r w:rsidRPr="004F3256">
        <w:rPr>
          <w:rFonts w:ascii="Verdana" w:eastAsia="Calibri" w:hAnsi="Verdana" w:cs="Arial"/>
          <w:bCs/>
          <w:sz w:val="20"/>
          <w:szCs w:val="20"/>
          <w:lang w:val="es-ES_tradnl"/>
        </w:rPr>
        <w:t xml:space="preserve">) Son contratos atípicos desde la perspectiva legal, dado que se advierte la ausencia de unas normas que de manera detallada los disciplinen, expliquen y desarrollen, como sí las tienen los contratos típicos, por ejemplo, compraventa, arrendamiento, mandato, etc. v) La normativa a la cual se encuentran sujetos en principio es la del Estatuto General de Contratación, en atención a que las partes que los celebran son entidades estatales y, por consiguiente, también se obligan a las disposiciones que resulten pertinentes del Código Civil y el Código de Comercio. vi) Dan lugar a la creación de obligaciones jurídicamente exigibles. </w:t>
      </w:r>
      <w:proofErr w:type="spellStart"/>
      <w:r w:rsidRPr="004F3256">
        <w:rPr>
          <w:rFonts w:ascii="Verdana" w:eastAsia="Calibri" w:hAnsi="Verdana" w:cs="Arial"/>
          <w:bCs/>
          <w:sz w:val="20"/>
          <w:szCs w:val="20"/>
          <w:lang w:val="es-ES_tradnl"/>
        </w:rPr>
        <w:t>vii</w:t>
      </w:r>
      <w:proofErr w:type="spellEnd"/>
      <w:r w:rsidRPr="004F3256">
        <w:rPr>
          <w:rFonts w:ascii="Verdana" w:eastAsia="Calibri" w:hAnsi="Verdana" w:cs="Arial"/>
          <w:bCs/>
          <w:sz w:val="20"/>
          <w:szCs w:val="20"/>
          <w:lang w:val="es-ES_tradnl"/>
        </w:rPr>
        <w:t xml:space="preserve">) Persiguen una finalidad común a través de la realización de intereses compartidos entre las entidades vinculadas. </w:t>
      </w:r>
      <w:proofErr w:type="spellStart"/>
      <w:r w:rsidRPr="004F3256">
        <w:rPr>
          <w:rFonts w:ascii="Verdana" w:eastAsia="Calibri" w:hAnsi="Verdana" w:cs="Arial"/>
          <w:bCs/>
          <w:sz w:val="20"/>
          <w:szCs w:val="20"/>
          <w:lang w:val="es-ES_tradnl"/>
        </w:rPr>
        <w:t>viii</w:t>
      </w:r>
      <w:proofErr w:type="spellEnd"/>
      <w:r w:rsidRPr="004F3256">
        <w:rPr>
          <w:rFonts w:ascii="Verdana" w:eastAsia="Calibri" w:hAnsi="Verdana" w:cs="Arial"/>
          <w:bCs/>
          <w:sz w:val="20"/>
          <w:szCs w:val="20"/>
          <w:lang w:val="es-ES_tradnl"/>
        </w:rPr>
        <w:t>) La acción mediante la cual se deben ventilar las diferencias que sobre el particular surjan es la de controversias contractuales”</w:t>
      </w:r>
      <w:r w:rsidRPr="004F3256">
        <w:rPr>
          <w:rFonts w:ascii="Verdana" w:eastAsia="Times New Roman" w:hAnsi="Verdana" w:cs="Arial"/>
          <w:sz w:val="20"/>
          <w:szCs w:val="20"/>
          <w:vertAlign w:val="superscript"/>
          <w:lang w:val="es-ES" w:eastAsia="es-ES_tradnl"/>
        </w:rPr>
        <w:footnoteReference w:id="17"/>
      </w:r>
      <w:r w:rsidRPr="004F3256">
        <w:rPr>
          <w:rFonts w:ascii="Verdana" w:eastAsia="Calibri" w:hAnsi="Verdana" w:cs="Arial"/>
          <w:bCs/>
          <w:sz w:val="20"/>
          <w:szCs w:val="20"/>
          <w:lang w:val="es-ES_tradnl"/>
        </w:rPr>
        <w:t>.</w:t>
      </w:r>
    </w:p>
    <w:p w14:paraId="228EA145" w14:textId="77777777" w:rsidR="003928D0" w:rsidRPr="00FE4D24" w:rsidRDefault="003928D0" w:rsidP="00FE4D24">
      <w:pPr>
        <w:spacing w:after="0" w:line="240" w:lineRule="auto"/>
        <w:ind w:left="709" w:right="714"/>
        <w:jc w:val="both"/>
        <w:rPr>
          <w:rFonts w:ascii="Verdana" w:eastAsia="Calibri" w:hAnsi="Verdana" w:cs="Arial"/>
          <w:bCs/>
          <w:sz w:val="20"/>
          <w:szCs w:val="20"/>
          <w:lang w:val="es-ES_tradnl"/>
        </w:rPr>
      </w:pPr>
    </w:p>
    <w:p w14:paraId="7FAD2524" w14:textId="77777777" w:rsidR="009F5E7D" w:rsidRPr="004F3256" w:rsidRDefault="009F5E7D" w:rsidP="009F5E7D">
      <w:pPr>
        <w:spacing w:after="120" w:line="276" w:lineRule="auto"/>
        <w:ind w:firstLine="708"/>
        <w:jc w:val="both"/>
        <w:rPr>
          <w:rFonts w:ascii="Verdana" w:eastAsia="Times New Roman" w:hAnsi="Verdana" w:cs="Arial"/>
          <w:lang w:val="es-ES" w:eastAsia="es-ES_tradnl"/>
        </w:rPr>
      </w:pPr>
      <w:r w:rsidRPr="004F3256">
        <w:rPr>
          <w:rFonts w:ascii="Verdana" w:eastAsia="Times New Roman" w:hAnsi="Verdana" w:cs="Arial"/>
          <w:lang w:val="es-ES" w:eastAsia="es-ES_tradnl"/>
        </w:rPr>
        <w:t>A su turno, la doctrina especializada en la materia, a partir de la aplicación de un criterio material que envuelve la causa tenida en cuenta para contratar, ha dejado entrever que los convenios interadministrativos son una figura autónoma e independiente de la de los contratos interadministrativos</w:t>
      </w:r>
      <w:r w:rsidRPr="004F3256">
        <w:rPr>
          <w:rFonts w:ascii="Verdana" w:eastAsia="Times New Roman" w:hAnsi="Verdana" w:cs="Arial"/>
          <w:vertAlign w:val="superscript"/>
          <w:lang w:val="es-ES" w:eastAsia="es-ES_tradnl"/>
        </w:rPr>
        <w:footnoteReference w:id="18"/>
      </w:r>
      <w:r w:rsidRPr="004F3256">
        <w:rPr>
          <w:rFonts w:ascii="Verdana" w:eastAsia="Times New Roman" w:hAnsi="Verdana" w:cs="Arial"/>
          <w:lang w:val="es-ES" w:eastAsia="es-ES_tradnl"/>
        </w:rPr>
        <w:t>. Así “(…) es posible afirmar que el contrato es en efecto un acuerdo de voluntades que modifica las situaciones jurídicas subjetivas de las partes intervinientes, pero no se trata de cualquier clase de voluntades, sino únicamente de aquellas manifestadas por sujetos de derecho que tienen pretensiones o interés disímiles que se pueden ver como opuestos. En otras palabras, el contrato es un acuerdo de voluntades, en el cual cada uno de los participantes tiene finalidades opuestas”</w:t>
      </w:r>
      <w:r w:rsidRPr="004F3256">
        <w:rPr>
          <w:rFonts w:ascii="Verdana" w:eastAsia="Times New Roman" w:hAnsi="Verdana" w:cs="Arial"/>
          <w:vertAlign w:val="superscript"/>
          <w:lang w:val="es-ES" w:eastAsia="es-ES_tradnl"/>
        </w:rPr>
        <w:footnoteReference w:id="19"/>
      </w:r>
      <w:r w:rsidRPr="004F3256">
        <w:rPr>
          <w:rFonts w:ascii="Verdana" w:eastAsia="Times New Roman" w:hAnsi="Verdana" w:cs="Arial"/>
          <w:lang w:val="es-ES" w:eastAsia="es-ES_tradnl"/>
        </w:rPr>
        <w:t xml:space="preserve">. </w:t>
      </w:r>
    </w:p>
    <w:p w14:paraId="3076D47C" w14:textId="77777777" w:rsidR="009F5E7D" w:rsidRPr="004F3256" w:rsidRDefault="009F5E7D" w:rsidP="009F5E7D">
      <w:pPr>
        <w:spacing w:after="120" w:line="276" w:lineRule="auto"/>
        <w:ind w:firstLine="708"/>
        <w:jc w:val="both"/>
        <w:rPr>
          <w:rFonts w:ascii="Verdana" w:eastAsia="Times New Roman" w:hAnsi="Verdana" w:cs="Arial"/>
          <w:lang w:val="es-ES" w:eastAsia="es-ES_tradnl"/>
        </w:rPr>
      </w:pPr>
      <w:r w:rsidRPr="004F3256">
        <w:rPr>
          <w:rFonts w:ascii="Verdana" w:eastAsia="Times New Roman" w:hAnsi="Verdana" w:cs="Arial"/>
          <w:lang w:val="es-ES" w:eastAsia="es-ES_tradnl"/>
        </w:rPr>
        <w:t>Con todo, según se advierte, “(…) basta agregar un ingrediente subjetivo para poder deducir la existencia del contrato de la administración, cual es la necesaria e imprescindible presencia de un sujeto especial de derecho llamado administración pública, lo cual implica que el contrato de la administración es un acuerdo de voluntades en el cual cada uno de los participantes pretende satisfacer necesidades o finalidades opuestas, donde necesariamente una de las partes tiene que ser una administración pública”</w:t>
      </w:r>
      <w:r w:rsidRPr="004F3256">
        <w:rPr>
          <w:rFonts w:ascii="Verdana" w:eastAsia="Times New Roman" w:hAnsi="Verdana" w:cs="Arial"/>
          <w:vertAlign w:val="superscript"/>
          <w:lang w:val="es-ES" w:eastAsia="es-ES_tradnl"/>
        </w:rPr>
        <w:footnoteReference w:id="20"/>
      </w:r>
      <w:r w:rsidRPr="004F3256">
        <w:rPr>
          <w:rFonts w:ascii="Verdana" w:eastAsia="Times New Roman" w:hAnsi="Verdana" w:cs="Arial"/>
          <w:lang w:val="es-ES" w:eastAsia="es-ES_tradnl"/>
        </w:rPr>
        <w:t>.</w:t>
      </w:r>
    </w:p>
    <w:p w14:paraId="59C25D01" w14:textId="77777777" w:rsidR="009F5E7D" w:rsidRPr="004F3256" w:rsidRDefault="009F5E7D" w:rsidP="009F5E7D">
      <w:pPr>
        <w:spacing w:before="120" w:after="0" w:line="276" w:lineRule="auto"/>
        <w:ind w:firstLine="709"/>
        <w:jc w:val="both"/>
        <w:rPr>
          <w:rFonts w:ascii="Verdana" w:eastAsia="Calibri" w:hAnsi="Verdana" w:cs="Arial"/>
          <w:color w:val="000000" w:themeColor="text1"/>
          <w:lang w:val="es-ES_tradnl"/>
        </w:rPr>
      </w:pPr>
      <w:r w:rsidRPr="004F3256">
        <w:rPr>
          <w:rFonts w:ascii="Verdana" w:eastAsia="Calibri" w:hAnsi="Verdana" w:cs="Arial"/>
          <w:bCs/>
          <w:color w:val="000000" w:themeColor="text1"/>
          <w:lang w:eastAsia="es-ES_tradnl" w:bidi="es-ES"/>
        </w:rPr>
        <w:t xml:space="preserve">En relación con las diferencias entre los contratos y los convenios interadministrativos de que trata el artículo 95 de la Ley 489 de 1998, la Sala de Consulta y Servicio Civil del Consejo de Estado expresó lo siguiente: </w:t>
      </w:r>
    </w:p>
    <w:p w14:paraId="1076E5E7" w14:textId="77777777" w:rsidR="009F5E7D" w:rsidRPr="004F3256" w:rsidRDefault="009F5E7D" w:rsidP="009F5E7D">
      <w:pPr>
        <w:spacing w:beforeLines="120" w:before="288" w:afterLines="120" w:after="288" w:line="276" w:lineRule="auto"/>
        <w:ind w:firstLine="709"/>
        <w:contextualSpacing/>
        <w:jc w:val="both"/>
        <w:rPr>
          <w:rFonts w:ascii="Verdana" w:eastAsia="Calibri" w:hAnsi="Verdana" w:cs="Arial"/>
          <w:bCs/>
          <w:color w:val="000000" w:themeColor="text1"/>
          <w:sz w:val="20"/>
          <w:szCs w:val="20"/>
          <w:lang w:eastAsia="es-ES_tradnl" w:bidi="es-ES"/>
        </w:rPr>
      </w:pPr>
    </w:p>
    <w:p w14:paraId="3C5E9008" w14:textId="77777777" w:rsidR="009F5E7D" w:rsidRPr="004F3256" w:rsidRDefault="009F5E7D" w:rsidP="009F5E7D">
      <w:pPr>
        <w:spacing w:after="0" w:line="240" w:lineRule="auto"/>
        <w:ind w:left="709" w:right="709"/>
        <w:contextualSpacing/>
        <w:jc w:val="both"/>
        <w:rPr>
          <w:rFonts w:ascii="Verdana" w:eastAsia="Calibri" w:hAnsi="Verdana" w:cs="Arial"/>
          <w:bCs/>
          <w:color w:val="000000" w:themeColor="text1"/>
          <w:sz w:val="20"/>
          <w:szCs w:val="20"/>
          <w:lang w:eastAsia="es-ES_tradnl" w:bidi="es-ES"/>
        </w:rPr>
      </w:pPr>
      <w:r w:rsidRPr="004F3256">
        <w:rPr>
          <w:rFonts w:ascii="Verdana" w:eastAsia="Calibri" w:hAnsi="Verdana" w:cs="Arial"/>
          <w:bCs/>
          <w:color w:val="000000" w:themeColor="text1"/>
          <w:sz w:val="20"/>
          <w:szCs w:val="20"/>
          <w:lang w:eastAsia="es-ES_tradnl" w:bidi="es-ES"/>
        </w:rPr>
        <w:t>“La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comunes para lograr una finalidad estatal impuesta por la Constitución o la ley a las mismas, sin que tengan un interés puramente económico (es decir, destinados a obtener una ganancia)”</w:t>
      </w:r>
      <w:r w:rsidRPr="004F3256">
        <w:rPr>
          <w:rFonts w:ascii="Verdana" w:eastAsia="Calibri" w:hAnsi="Verdana" w:cs="Arial"/>
          <w:bCs/>
          <w:color w:val="000000" w:themeColor="text1"/>
          <w:sz w:val="20"/>
          <w:szCs w:val="20"/>
          <w:vertAlign w:val="superscript"/>
          <w:lang w:val="es-ES_tradnl" w:eastAsia="es-ES_tradnl" w:bidi="es-ES"/>
        </w:rPr>
        <w:footnoteReference w:id="21"/>
      </w:r>
      <w:r>
        <w:rPr>
          <w:rFonts w:ascii="Verdana" w:eastAsia="Calibri" w:hAnsi="Verdana" w:cs="Arial"/>
          <w:bCs/>
          <w:color w:val="000000" w:themeColor="text1"/>
          <w:sz w:val="20"/>
          <w:szCs w:val="20"/>
          <w:lang w:eastAsia="es-ES_tradnl" w:bidi="es-ES"/>
        </w:rPr>
        <w:t>.</w:t>
      </w:r>
    </w:p>
    <w:p w14:paraId="12C856D4" w14:textId="77777777" w:rsidR="009F5E7D" w:rsidRPr="004F3256" w:rsidRDefault="009F5E7D" w:rsidP="009F5E7D">
      <w:pPr>
        <w:spacing w:beforeLines="120" w:before="288" w:afterLines="120" w:after="288" w:line="276" w:lineRule="auto"/>
        <w:ind w:firstLine="708"/>
        <w:contextualSpacing/>
        <w:jc w:val="both"/>
        <w:rPr>
          <w:rFonts w:ascii="Verdana" w:eastAsia="Calibri" w:hAnsi="Verdana" w:cs="Arial"/>
          <w:bCs/>
          <w:color w:val="000000" w:themeColor="text1"/>
          <w:sz w:val="20"/>
          <w:szCs w:val="20"/>
          <w:lang w:eastAsia="es-ES_tradnl" w:bidi="es-ES"/>
        </w:rPr>
      </w:pPr>
    </w:p>
    <w:p w14:paraId="2AB7C747" w14:textId="77777777" w:rsidR="009F5E7D" w:rsidRPr="00B57A1B" w:rsidRDefault="009F5E7D" w:rsidP="009F5E7D">
      <w:pPr>
        <w:spacing w:after="0" w:line="276" w:lineRule="auto"/>
        <w:ind w:firstLine="709"/>
        <w:jc w:val="both"/>
        <w:rPr>
          <w:rFonts w:ascii="Verdana" w:eastAsiaTheme="minorEastAsia" w:hAnsi="Verdana" w:cs="Arial"/>
          <w:lang w:eastAsia="es-CO"/>
        </w:rPr>
      </w:pPr>
      <w:r w:rsidRPr="004F3256">
        <w:rPr>
          <w:rFonts w:ascii="Verdana" w:eastAsia="Calibri" w:hAnsi="Verdana" w:cs="Arial"/>
          <w:bCs/>
          <w:color w:val="000000" w:themeColor="text1"/>
          <w:lang w:eastAsia="es-ES_tradnl" w:bidi="es-ES"/>
        </w:rPr>
        <w:t xml:space="preserve">En línea con lo anterior, </w:t>
      </w:r>
      <w:r w:rsidRPr="00B57A1B">
        <w:rPr>
          <w:rFonts w:ascii="Verdana" w:eastAsiaTheme="minorEastAsia" w:hAnsi="Verdana" w:cs="Arial"/>
          <w:lang w:eastAsia="es-CO"/>
        </w:rPr>
        <w:t xml:space="preserve">el Consejo de Estado distingue las dos instituciones, de la siguiente forma: </w:t>
      </w:r>
    </w:p>
    <w:p w14:paraId="6764B479" w14:textId="77777777" w:rsidR="009F5E7D" w:rsidRPr="00B57A1B" w:rsidRDefault="009F5E7D" w:rsidP="009F5E7D">
      <w:pPr>
        <w:spacing w:after="0" w:line="276" w:lineRule="auto"/>
        <w:ind w:firstLine="709"/>
        <w:jc w:val="both"/>
        <w:rPr>
          <w:rFonts w:ascii="Verdana" w:eastAsiaTheme="minorEastAsia" w:hAnsi="Verdana" w:cs="Arial"/>
          <w:lang w:eastAsia="es-CO"/>
        </w:rPr>
      </w:pPr>
    </w:p>
    <w:p w14:paraId="1D6C8351" w14:textId="77777777" w:rsidR="009F5E7D" w:rsidRDefault="009F5E7D" w:rsidP="009F5E7D">
      <w:pPr>
        <w:spacing w:after="0" w:line="240" w:lineRule="auto"/>
        <w:ind w:left="709" w:right="709"/>
        <w:jc w:val="both"/>
        <w:rPr>
          <w:rFonts w:ascii="Verdana" w:eastAsiaTheme="minorEastAsia" w:hAnsi="Verdana" w:cs="Arial"/>
          <w:sz w:val="20"/>
          <w:szCs w:val="20"/>
          <w:lang w:eastAsia="es-CO"/>
        </w:rPr>
      </w:pPr>
      <w:r w:rsidRPr="00B06E13">
        <w:rPr>
          <w:rFonts w:ascii="Verdana" w:eastAsiaTheme="minorEastAsia" w:hAnsi="Verdana" w:cs="Arial"/>
          <w:sz w:val="20"/>
          <w:szCs w:val="20"/>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66F6697B" w14:textId="77777777" w:rsidR="009F5E7D" w:rsidRPr="00B06E13" w:rsidRDefault="009F5E7D" w:rsidP="009F5E7D">
      <w:pPr>
        <w:spacing w:after="0" w:line="240" w:lineRule="auto"/>
        <w:ind w:left="709" w:right="709"/>
        <w:jc w:val="both"/>
        <w:rPr>
          <w:rFonts w:ascii="Verdana" w:eastAsiaTheme="minorEastAsia" w:hAnsi="Verdana" w:cs="Arial"/>
          <w:sz w:val="20"/>
          <w:szCs w:val="20"/>
          <w:lang w:eastAsia="es-CO"/>
        </w:rPr>
      </w:pPr>
    </w:p>
    <w:p w14:paraId="16397039" w14:textId="77777777" w:rsidR="009F5E7D" w:rsidRPr="00100C1F" w:rsidRDefault="009F5E7D" w:rsidP="009F5E7D">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B06E13">
        <w:rPr>
          <w:rFonts w:ascii="Verdana" w:eastAsiaTheme="minorEastAsia" w:hAnsi="Verdana" w:cs="Arial"/>
          <w:sz w:val="20"/>
          <w:szCs w:val="20"/>
          <w:lang w:val="es-ES" w:eastAsia="es-CO"/>
        </w:rPr>
        <w:t xml:space="preserve">El objeto de los contratos lo constituyen obligaciones de contenido patrimonial y, por </w:t>
      </w:r>
      <w:r w:rsidRPr="00B06E13">
        <w:rPr>
          <w:rFonts w:ascii="Verdana" w:eastAsiaTheme="minorEastAsia" w:hAnsi="Verdana" w:cs="Arial"/>
          <w:sz w:val="20"/>
          <w:szCs w:val="20"/>
          <w:lang w:eastAsia="es-CO"/>
        </w:rPr>
        <w:t>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3492FAB2" w14:textId="77777777" w:rsidR="009F5E7D" w:rsidRPr="00B06E13" w:rsidRDefault="009F5E7D" w:rsidP="009F5E7D">
      <w:pPr>
        <w:spacing w:after="0" w:line="240" w:lineRule="auto"/>
        <w:ind w:left="709" w:right="709"/>
        <w:contextualSpacing/>
        <w:jc w:val="both"/>
        <w:rPr>
          <w:rFonts w:ascii="Verdana" w:eastAsiaTheme="minorEastAsia" w:hAnsi="Verdana" w:cs="Arial"/>
          <w:sz w:val="20"/>
          <w:szCs w:val="20"/>
          <w:lang w:val="es-ES" w:eastAsia="es-CO"/>
        </w:rPr>
      </w:pPr>
    </w:p>
    <w:p w14:paraId="05A85D27" w14:textId="77777777" w:rsidR="009F5E7D" w:rsidRPr="00100C1F" w:rsidRDefault="009F5E7D" w:rsidP="009F5E7D">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B06E13">
        <w:rPr>
          <w:rFonts w:ascii="Verdana" w:eastAsiaTheme="minorEastAsia" w:hAnsi="Verdana" w:cs="Arial"/>
          <w:sz w:val="20"/>
          <w:szCs w:val="20"/>
          <w:lang w:eastAsia="es-CO"/>
        </w:rPr>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270A5685" w14:textId="77777777" w:rsidR="009F5E7D" w:rsidRPr="00B06E13" w:rsidRDefault="009F5E7D" w:rsidP="009F5E7D">
      <w:pPr>
        <w:spacing w:after="0" w:line="240" w:lineRule="auto"/>
        <w:ind w:right="709"/>
        <w:contextualSpacing/>
        <w:jc w:val="both"/>
        <w:rPr>
          <w:rFonts w:ascii="Verdana" w:eastAsiaTheme="minorEastAsia" w:hAnsi="Verdana" w:cs="Arial"/>
          <w:sz w:val="20"/>
          <w:szCs w:val="20"/>
          <w:lang w:val="es-ES" w:eastAsia="es-CO"/>
        </w:rPr>
      </w:pPr>
    </w:p>
    <w:p w14:paraId="52A5EC61" w14:textId="77777777" w:rsidR="009F5E7D" w:rsidRPr="00100C1F" w:rsidRDefault="009F5E7D" w:rsidP="009F5E7D">
      <w:pPr>
        <w:numPr>
          <w:ilvl w:val="0"/>
          <w:numId w:val="18"/>
        </w:numPr>
        <w:spacing w:after="0" w:line="240" w:lineRule="auto"/>
        <w:ind w:left="709" w:right="709"/>
        <w:contextualSpacing/>
        <w:jc w:val="both"/>
        <w:rPr>
          <w:rFonts w:ascii="Verdana" w:eastAsiaTheme="minorEastAsia" w:hAnsi="Verdana" w:cs="Arial"/>
          <w:sz w:val="20"/>
          <w:szCs w:val="20"/>
          <w:lang w:val="es-ES" w:eastAsia="es-CO"/>
        </w:rPr>
      </w:pPr>
      <w:r w:rsidRPr="00B06E13">
        <w:rPr>
          <w:rFonts w:ascii="Verdana" w:eastAsiaTheme="minorEastAsia" w:hAnsi="Verdana" w:cs="Arial"/>
          <w:sz w:val="20"/>
          <w:szCs w:val="20"/>
          <w:lang w:eastAsia="es-CO"/>
        </w:rPr>
        <w:t>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sidRPr="00B06E13">
        <w:rPr>
          <w:rFonts w:ascii="Verdana" w:eastAsiaTheme="minorEastAsia" w:hAnsi="Verdana" w:cs="Arial"/>
          <w:sz w:val="20"/>
          <w:szCs w:val="20"/>
          <w:vertAlign w:val="superscript"/>
          <w:lang w:eastAsia="es-CO"/>
        </w:rPr>
        <w:footnoteReference w:id="22"/>
      </w:r>
      <w:r w:rsidRPr="00B06E13">
        <w:rPr>
          <w:rFonts w:ascii="Verdana" w:eastAsiaTheme="minorEastAsia" w:hAnsi="Verdana" w:cs="Arial"/>
          <w:sz w:val="20"/>
          <w:szCs w:val="20"/>
          <w:lang w:eastAsia="es-CO"/>
        </w:rPr>
        <w:t>.</w:t>
      </w:r>
    </w:p>
    <w:p w14:paraId="426A2AB1" w14:textId="77777777" w:rsidR="009F5E7D" w:rsidRPr="00B06E13" w:rsidRDefault="009F5E7D" w:rsidP="009F5E7D">
      <w:pPr>
        <w:spacing w:after="0" w:line="240" w:lineRule="auto"/>
        <w:ind w:right="709"/>
        <w:contextualSpacing/>
        <w:jc w:val="both"/>
        <w:rPr>
          <w:rFonts w:ascii="Verdana" w:eastAsiaTheme="minorEastAsia" w:hAnsi="Verdana" w:cs="Arial"/>
          <w:sz w:val="20"/>
          <w:szCs w:val="20"/>
          <w:lang w:val="es-ES" w:eastAsia="es-CO"/>
        </w:rPr>
      </w:pPr>
    </w:p>
    <w:p w14:paraId="7DF49FE3" w14:textId="77777777" w:rsidR="009F5E7D" w:rsidRDefault="009F5E7D" w:rsidP="009F5E7D">
      <w:pPr>
        <w:spacing w:after="0" w:line="276" w:lineRule="auto"/>
        <w:ind w:firstLine="709"/>
        <w:jc w:val="both"/>
        <w:rPr>
          <w:rFonts w:ascii="Verdana" w:eastAsiaTheme="minorEastAsia" w:hAnsi="Verdana" w:cs="Arial"/>
          <w:lang w:eastAsia="es-CO"/>
        </w:rPr>
      </w:pPr>
      <w:r w:rsidRPr="009127BE">
        <w:rPr>
          <w:rFonts w:ascii="Verdana" w:eastAsiaTheme="minorEastAsia" w:hAnsi="Verdana" w:cs="Arial"/>
          <w:lang w:eastAsia="es-CO"/>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2CA6D4A2" w14:textId="77777777" w:rsidR="009F5E7D" w:rsidRPr="009127BE" w:rsidRDefault="009F5E7D" w:rsidP="009F5E7D">
      <w:pPr>
        <w:spacing w:after="0" w:line="276" w:lineRule="auto"/>
        <w:ind w:firstLine="709"/>
        <w:jc w:val="both"/>
        <w:rPr>
          <w:rFonts w:ascii="Verdana" w:eastAsiaTheme="minorEastAsia" w:hAnsi="Verdana" w:cs="Arial"/>
          <w:lang w:eastAsia="es-CO"/>
        </w:rPr>
      </w:pPr>
    </w:p>
    <w:p w14:paraId="1738066C" w14:textId="77777777" w:rsidR="009F5E7D" w:rsidRPr="009127BE" w:rsidRDefault="009F5E7D" w:rsidP="009F5E7D">
      <w:pPr>
        <w:spacing w:after="0" w:line="240" w:lineRule="auto"/>
        <w:ind w:left="709" w:right="709"/>
        <w:jc w:val="both"/>
        <w:rPr>
          <w:rFonts w:ascii="Verdana" w:eastAsiaTheme="minorEastAsia" w:hAnsi="Verdana" w:cs="Arial"/>
          <w:sz w:val="20"/>
          <w:szCs w:val="20"/>
          <w:lang w:eastAsia="es-CO"/>
        </w:rPr>
      </w:pPr>
      <w:r w:rsidRPr="009127BE">
        <w:rPr>
          <w:rFonts w:ascii="Verdana" w:eastAsiaTheme="minorEastAsia" w:hAnsi="Verdana" w:cs="Arial"/>
          <w:sz w:val="20"/>
          <w:szCs w:val="20"/>
          <w:lang w:eastAsia="es-CO"/>
        </w:rPr>
        <w:t>“De acuerdo con todo lo anteriormente expuesto, podemos manifestar que el convenio interadministrativo es el negocio jurídico en el cual están presentes dos entidades públicas en desarrollo de relaciones interadministrativas cuyo objeto es coordinar, cooperar, colaborar o distribuir competencias en la realización de funciones administrativas de interés común a los sujetos negociales.</w:t>
      </w:r>
    </w:p>
    <w:p w14:paraId="5B5B2038" w14:textId="77777777" w:rsidR="009F5E7D" w:rsidRDefault="009F5E7D" w:rsidP="009F5E7D">
      <w:pPr>
        <w:spacing w:after="0" w:line="240" w:lineRule="auto"/>
        <w:ind w:left="709" w:right="709"/>
        <w:jc w:val="both"/>
        <w:rPr>
          <w:rFonts w:ascii="Verdana" w:eastAsiaTheme="minorEastAsia" w:hAnsi="Verdana" w:cs="Arial"/>
          <w:sz w:val="20"/>
          <w:szCs w:val="20"/>
          <w:lang w:eastAsia="es-CO"/>
        </w:rPr>
      </w:pPr>
    </w:p>
    <w:p w14:paraId="51EFED05" w14:textId="77777777" w:rsidR="009F5E7D" w:rsidRPr="009127BE" w:rsidRDefault="009F5E7D" w:rsidP="009F5E7D">
      <w:pPr>
        <w:spacing w:after="0" w:line="240" w:lineRule="auto"/>
        <w:ind w:left="709" w:right="709"/>
        <w:jc w:val="both"/>
        <w:rPr>
          <w:rFonts w:ascii="Verdana" w:eastAsiaTheme="minorEastAsia" w:hAnsi="Verdana" w:cs="Arial"/>
          <w:sz w:val="20"/>
          <w:szCs w:val="20"/>
          <w:lang w:eastAsia="es-CO"/>
        </w:rPr>
      </w:pPr>
      <w:r w:rsidRPr="009127BE">
        <w:rPr>
          <w:rFonts w:ascii="Verdana" w:eastAsiaTheme="minorEastAsia" w:hAnsi="Verdana" w:cs="Arial"/>
          <w:sz w:val="20"/>
          <w:szCs w:val="20"/>
          <w:lang w:eastAsia="es-CO"/>
        </w:rPr>
        <w:t>[…]</w:t>
      </w:r>
    </w:p>
    <w:p w14:paraId="7C64A923" w14:textId="77777777" w:rsidR="009F5E7D" w:rsidRDefault="009F5E7D" w:rsidP="009F5E7D">
      <w:pPr>
        <w:autoSpaceDE w:val="0"/>
        <w:autoSpaceDN w:val="0"/>
        <w:adjustRightInd w:val="0"/>
        <w:spacing w:after="0" w:line="240" w:lineRule="auto"/>
        <w:ind w:left="709" w:right="709"/>
        <w:jc w:val="both"/>
        <w:rPr>
          <w:rFonts w:ascii="Verdana" w:eastAsiaTheme="minorEastAsia" w:hAnsi="Verdana" w:cs="Arial"/>
          <w:sz w:val="20"/>
          <w:szCs w:val="20"/>
          <w:lang w:eastAsia="es-CO"/>
        </w:rPr>
      </w:pPr>
    </w:p>
    <w:p w14:paraId="3CB99921" w14:textId="77777777" w:rsidR="009F5E7D" w:rsidRPr="00FF63C3" w:rsidRDefault="009F5E7D" w:rsidP="009F5E7D">
      <w:pPr>
        <w:autoSpaceDE w:val="0"/>
        <w:autoSpaceDN w:val="0"/>
        <w:adjustRightInd w:val="0"/>
        <w:spacing w:after="0" w:line="240" w:lineRule="auto"/>
        <w:ind w:left="709" w:right="709"/>
        <w:jc w:val="both"/>
        <w:rPr>
          <w:rFonts w:ascii="Verdana" w:hAnsi="Verdana" w:cs="Weiss"/>
          <w:sz w:val="20"/>
          <w:szCs w:val="20"/>
        </w:rPr>
      </w:pPr>
      <w:r w:rsidRPr="009127BE">
        <w:rPr>
          <w:rFonts w:ascii="Verdana" w:eastAsiaTheme="minorEastAsia" w:hAnsi="Verdana" w:cs="Arial"/>
          <w:sz w:val="20"/>
          <w:szCs w:val="20"/>
          <w:lang w:eastAsia="es-CO"/>
        </w:rPr>
        <w:t>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9127BE">
        <w:rPr>
          <w:rFonts w:ascii="Verdana" w:hAnsi="Verdana" w:cs="Weiss"/>
          <w:sz w:val="20"/>
          <w:szCs w:val="20"/>
        </w:rPr>
        <w:t>”</w:t>
      </w:r>
      <w:r w:rsidRPr="00B06E13">
        <w:rPr>
          <w:vertAlign w:val="superscript"/>
        </w:rPr>
        <w:footnoteReference w:id="23"/>
      </w:r>
      <w:r w:rsidRPr="009127BE">
        <w:rPr>
          <w:rFonts w:ascii="Verdana" w:hAnsi="Verdana" w:cs="Weiss"/>
          <w:sz w:val="20"/>
          <w:szCs w:val="20"/>
        </w:rPr>
        <w:t>.</w:t>
      </w:r>
    </w:p>
    <w:p w14:paraId="373452BE" w14:textId="77777777" w:rsidR="009F5E7D" w:rsidRPr="004F3256" w:rsidRDefault="009F5E7D" w:rsidP="009F5E7D">
      <w:pPr>
        <w:snapToGrid w:val="0"/>
        <w:spacing w:after="120" w:line="276" w:lineRule="auto"/>
        <w:ind w:firstLine="709"/>
        <w:jc w:val="both"/>
        <w:rPr>
          <w:rFonts w:ascii="Verdana" w:eastAsia="Calibri" w:hAnsi="Verdana" w:cs="Arial"/>
          <w:bCs/>
          <w:color w:val="000000" w:themeColor="text1"/>
          <w:lang w:eastAsia="es-ES_tradnl" w:bidi="es-ES"/>
        </w:rPr>
      </w:pPr>
      <w:r w:rsidRPr="004F3256">
        <w:rPr>
          <w:rFonts w:ascii="Verdana" w:eastAsia="Calibri" w:hAnsi="Verdana" w:cs="Arial"/>
          <w:bCs/>
          <w:color w:val="000000" w:themeColor="text1"/>
          <w:lang w:eastAsia="es-ES_tradnl" w:bidi="es-ES"/>
        </w:rPr>
        <w:t>Mientras que en el contrato interadministrativo las finalidades de las partes divergen, en el convenio convergen y cooperan en función del cumplimiento eficiente de un propósito estatal común superior. En esa línea, una interpretación sistemática de las leyes 80 de 1993, 1150 de 2007 y 1474 de 2011 invitaría a considerar el contrato interadministrativo como una relación jurídica patrimonial, onerosa y conmutativa, en la que existen unas exigencias y restricciones normativas adicionales, de manera que, en efecto, dista de la naturaleza y esencia del convenio interadministrativo.</w:t>
      </w:r>
    </w:p>
    <w:p w14:paraId="6D570F00" w14:textId="77777777" w:rsidR="009F5E7D" w:rsidRPr="004F3256" w:rsidRDefault="009F5E7D" w:rsidP="009F5E7D">
      <w:pPr>
        <w:snapToGrid w:val="0"/>
        <w:spacing w:after="120" w:line="276" w:lineRule="auto"/>
        <w:ind w:firstLine="709"/>
        <w:jc w:val="both"/>
        <w:rPr>
          <w:rFonts w:ascii="Verdana" w:eastAsia="Calibri" w:hAnsi="Verdana" w:cs="Arial"/>
          <w:bCs/>
          <w:color w:val="000000" w:themeColor="text1"/>
          <w:lang w:eastAsia="es-ES_tradnl" w:bidi="es-ES"/>
        </w:rPr>
      </w:pPr>
      <w:r w:rsidRPr="004F3256">
        <w:rPr>
          <w:rFonts w:ascii="Verdana" w:eastAsia="Times New Roman" w:hAnsi="Verdana" w:cs="Arial"/>
          <w:lang w:val="es-ES" w:eastAsia="es-ES_tradnl"/>
        </w:rPr>
        <w:t xml:space="preserve">Visto lo anterior, de conformidad con lo previsto en el artículo 95 de la Ley 489 de 1998 y el alcance que la jurisprudencia y conceptos del Consejo de Estado  y la doctrina le han conferido al tema de la regulación de los contratos y convenios interadministrativos, esta última tipología presenta las siguientes características: </w:t>
      </w:r>
      <w:r w:rsidRPr="004F3256">
        <w:rPr>
          <w:rFonts w:ascii="Verdana" w:eastAsia="Times New Roman" w:hAnsi="Verdana" w:cs="Arial"/>
          <w:i/>
          <w:iCs/>
          <w:lang w:val="es-ES" w:eastAsia="es-ES_tradnl"/>
        </w:rPr>
        <w:t>(i)</w:t>
      </w:r>
      <w:r w:rsidRPr="004F3256">
        <w:rPr>
          <w:rFonts w:ascii="Verdana" w:eastAsia="Times New Roman" w:hAnsi="Verdana" w:cs="Arial"/>
          <w:lang w:val="es-ES" w:eastAsia="es-ES_tradnl"/>
        </w:rPr>
        <w:t xml:space="preserve"> se celebra entre dos entidades públicas que se encuentran en pie de igualdad con el objeto de cumplir competencias de ambas entidades dirigidas a un propósito común; </w:t>
      </w:r>
      <w:r w:rsidRPr="004F3256">
        <w:rPr>
          <w:rFonts w:ascii="Verdana" w:eastAsia="Times New Roman" w:hAnsi="Verdana" w:cs="Arial"/>
          <w:i/>
          <w:iCs/>
          <w:lang w:val="es-ES" w:eastAsia="es-ES_tradnl"/>
        </w:rPr>
        <w:t>(</w:t>
      </w:r>
      <w:proofErr w:type="spellStart"/>
      <w:r w:rsidRPr="004F3256">
        <w:rPr>
          <w:rFonts w:ascii="Verdana" w:eastAsia="Times New Roman" w:hAnsi="Verdana" w:cs="Arial"/>
          <w:i/>
          <w:iCs/>
          <w:lang w:val="es-ES" w:eastAsia="es-ES_tradnl"/>
        </w:rPr>
        <w:t>ii</w:t>
      </w:r>
      <w:proofErr w:type="spellEnd"/>
      <w:r w:rsidRPr="004F3256">
        <w:rPr>
          <w:rFonts w:ascii="Verdana" w:eastAsia="Times New Roman" w:hAnsi="Verdana" w:cs="Arial"/>
          <w:i/>
          <w:iCs/>
          <w:lang w:val="es-ES" w:eastAsia="es-ES_tradnl"/>
        </w:rPr>
        <w:t>)</w:t>
      </w:r>
      <w:r w:rsidRPr="004F3256">
        <w:rPr>
          <w:rFonts w:ascii="Verdana" w:eastAsia="Times New Roman" w:hAnsi="Verdana" w:cs="Arial"/>
          <w:lang w:val="es-ES" w:eastAsia="es-ES_tradnl"/>
        </w:rPr>
        <w:t xml:space="preserve"> la modalidad para su celebración es la contratación directa; </w:t>
      </w:r>
      <w:r w:rsidRPr="004F3256">
        <w:rPr>
          <w:rFonts w:ascii="Verdana" w:eastAsia="Times New Roman" w:hAnsi="Verdana" w:cs="Arial"/>
          <w:i/>
          <w:iCs/>
          <w:lang w:val="es-ES" w:eastAsia="es-ES_tradnl"/>
        </w:rPr>
        <w:t>(</w:t>
      </w:r>
      <w:proofErr w:type="spellStart"/>
      <w:r w:rsidRPr="004F3256">
        <w:rPr>
          <w:rFonts w:ascii="Verdana" w:eastAsia="Times New Roman" w:hAnsi="Verdana" w:cs="Arial"/>
          <w:i/>
          <w:iCs/>
          <w:lang w:val="es-ES" w:eastAsia="es-ES_tradnl"/>
        </w:rPr>
        <w:t>iii</w:t>
      </w:r>
      <w:proofErr w:type="spellEnd"/>
      <w:r w:rsidRPr="004F3256">
        <w:rPr>
          <w:rFonts w:ascii="Verdana" w:eastAsia="Times New Roman" w:hAnsi="Verdana" w:cs="Arial"/>
          <w:i/>
          <w:iCs/>
          <w:lang w:val="es-ES" w:eastAsia="es-ES_tradnl"/>
        </w:rPr>
        <w:t>)</w:t>
      </w:r>
      <w:r w:rsidRPr="004F3256">
        <w:rPr>
          <w:rFonts w:ascii="Verdana" w:eastAsia="Times New Roman" w:hAnsi="Verdana" w:cs="Arial"/>
          <w:lang w:val="es-ES" w:eastAsia="es-ES_tradnl"/>
        </w:rPr>
        <w:t xml:space="preserve"> los convenios interadministrativos pueden suponer el compromiso de recursos públicos y, por consiguiente, la realización de aportes financieros. Ello, sin embargo, no supone la posibilidad de que en este tipo de relaciones jurídicas exista una remuneración en favor de uno de los co</w:t>
      </w:r>
      <w:r>
        <w:rPr>
          <w:rFonts w:ascii="Verdana" w:eastAsia="Times New Roman" w:hAnsi="Verdana" w:cs="Arial"/>
          <w:lang w:val="es-ES" w:eastAsia="es-ES_tradnl"/>
        </w:rPr>
        <w:t xml:space="preserve">operantes </w:t>
      </w:r>
      <w:r w:rsidRPr="004F3256">
        <w:rPr>
          <w:rFonts w:ascii="Verdana" w:eastAsia="Times New Roman" w:hAnsi="Verdana" w:cs="Arial"/>
          <w:lang w:val="es-ES" w:eastAsia="es-ES_tradnl"/>
        </w:rPr>
        <w:t>y a cargo de otro u otros.</w:t>
      </w:r>
    </w:p>
    <w:p w14:paraId="3FE753E2" w14:textId="77777777" w:rsidR="009F5E7D" w:rsidRPr="004F3256" w:rsidRDefault="009F5E7D" w:rsidP="009F5E7D">
      <w:pPr>
        <w:snapToGrid w:val="0"/>
        <w:spacing w:after="120" w:line="276" w:lineRule="auto"/>
        <w:ind w:firstLine="709"/>
        <w:jc w:val="both"/>
        <w:rPr>
          <w:rFonts w:ascii="Verdana" w:eastAsia="Calibri" w:hAnsi="Verdana" w:cs="Arial"/>
          <w:bCs/>
          <w:color w:val="000000" w:themeColor="text1"/>
          <w:lang w:eastAsia="es-ES_tradnl" w:bidi="es-ES"/>
        </w:rPr>
      </w:pPr>
      <w:r w:rsidRPr="004F3256">
        <w:rPr>
          <w:rFonts w:ascii="Verdana" w:eastAsia="Calibri" w:hAnsi="Verdana" w:cs="Arial"/>
          <w:bCs/>
          <w:color w:val="000000" w:themeColor="text1"/>
          <w:lang w:eastAsia="es-ES_tradnl" w:bidi="es-ES"/>
        </w:rPr>
        <w:t xml:space="preserve">En suma, el convenio interadministrativo es un negocio jurídico en el cual están presentes dos entidades públicas y cuyo objeto es coordinar, cooperar, colaborar o distribuir competencias en la realización de funciones administrativas de interés común y, por tanto, tienen intereses convergentes o coincidentes, sin que se reciba por alguna de ellas el pago de un precio o contraprestación; en tanto que el contrato interadministrativo, aunque es celebrado también entre dos  entidades públicas, es un negocio jurídico generador de obligaciones al cual acuden estas con diversidad de intereses y en ellos existe una contraprestación directa a favor de la entidad contratista que ha entregado el bien o prestado el servicio o realizado la obra a favor de la entidad contratante. </w:t>
      </w:r>
    </w:p>
    <w:p w14:paraId="2889D9B3" w14:textId="77777777" w:rsidR="009F5E7D" w:rsidRPr="004F3256" w:rsidRDefault="009F5E7D" w:rsidP="009F5E7D">
      <w:pPr>
        <w:snapToGrid w:val="0"/>
        <w:spacing w:after="120" w:line="276" w:lineRule="auto"/>
        <w:ind w:firstLine="709"/>
        <w:jc w:val="both"/>
        <w:rPr>
          <w:rFonts w:ascii="Verdana" w:eastAsia="Calibri" w:hAnsi="Verdana" w:cs="Arial"/>
          <w:bCs/>
          <w:color w:val="000000" w:themeColor="text1"/>
          <w:lang w:eastAsia="es-ES_tradnl" w:bidi="es-ES"/>
        </w:rPr>
      </w:pPr>
      <w:r w:rsidRPr="004F3256">
        <w:rPr>
          <w:rFonts w:ascii="Verdana" w:eastAsia="Calibri" w:hAnsi="Verdana" w:cs="Arial"/>
          <w:bCs/>
          <w:color w:val="000000" w:themeColor="text1"/>
          <w:lang w:eastAsia="es-ES_tradnl" w:bidi="es-ES"/>
        </w:rPr>
        <w:t xml:space="preserve">Bajo estas consideraciones, </w:t>
      </w:r>
      <w:r w:rsidRPr="004F3256">
        <w:rPr>
          <w:rFonts w:ascii="Verdana" w:eastAsia="Calibri" w:hAnsi="Verdana" w:cs="Arial"/>
          <w:color w:val="000000" w:themeColor="text1"/>
          <w:lang w:val="es-ES"/>
        </w:rPr>
        <w:t>puede afirmarse</w:t>
      </w:r>
      <w:r w:rsidRPr="004F3256">
        <w:rPr>
          <w:rFonts w:ascii="Verdana" w:eastAsia="Calibri" w:hAnsi="Verdana" w:cs="Arial"/>
          <w:bCs/>
          <w:color w:val="000000" w:themeColor="text1"/>
          <w:lang w:eastAsia="es-ES_tradnl" w:bidi="es-ES"/>
        </w:rPr>
        <w:t xml:space="preserve"> </w:t>
      </w:r>
      <w:r w:rsidRPr="004F3256">
        <w:rPr>
          <w:rFonts w:ascii="Verdana" w:eastAsia="Times New Roman" w:hAnsi="Verdana" w:cs="Arial"/>
          <w:lang w:val="es-ES" w:eastAsia="es-ES_tradnl"/>
        </w:rPr>
        <w:t xml:space="preserve">que los convenios interadministrativos no pueden ser sinalagmáticos, debido a que en ellos no se involucran intereses contrapuestos, sino un interés común. Esto implica que, en los eventos en que su celebración comporte el compromiso y la ejecución de recursos públicos, el valor de estos no puede destinarse al pago o remuneración de ninguna de las partes, sino que debe corresponder necesariamente a la asunción de costos y gastos para cumplir las funciones de la respectiva entidad, así como para atender los compromisos adquiridos para con la otra, pues las entidades cooperan entre sí, no se prestan servicios ni se ofrecen bienes a cambio de una remuneración y, por esa razón, los recursos comprometidos a través de los convenios interadministrativos no constituyen un pago, sino un aporte para lograr el cometido común. </w:t>
      </w:r>
    </w:p>
    <w:p w14:paraId="4B715E46" w14:textId="77777777" w:rsidR="009F5E7D" w:rsidRPr="004F3256" w:rsidRDefault="009F5E7D" w:rsidP="009F5E7D">
      <w:pPr>
        <w:spacing w:after="120" w:line="276" w:lineRule="auto"/>
        <w:ind w:firstLine="709"/>
        <w:jc w:val="both"/>
        <w:rPr>
          <w:rFonts w:ascii="Verdana" w:eastAsia="Times New Roman" w:hAnsi="Verdana" w:cs="Arial"/>
          <w:szCs w:val="24"/>
          <w:lang w:eastAsia="es-ES_tradnl"/>
        </w:rPr>
      </w:pPr>
      <w:r w:rsidRPr="004F3256">
        <w:rPr>
          <w:rFonts w:ascii="Verdana" w:eastAsia="Times New Roman" w:hAnsi="Verdana" w:cs="Arial"/>
          <w:szCs w:val="24"/>
          <w:lang w:eastAsia="es-ES_tradnl"/>
        </w:rPr>
        <w:t>Así, tal y como se ha expuesto en líneas anteriores, en atención a su naturaleza particular, a los convenios interadministrativos no les subyace un interés puramente económico, en tanto no se celebran para obtener una ganancia, sino con el propósito de ejecutar actividades que contribuyen directamente al fin común de los sujetos vinculados al convenio. De hecho, las partes presentan intereses convergentes, coincidentes o comunes y cooperan en procura de alcanzar en forma eficaz el cometido estatal previsto en la Constitución o en la ley, sin que por esto se reciba por ninguna de ellas el pago de un precio o contraprestación.</w:t>
      </w:r>
      <w:r w:rsidRPr="004F3256">
        <w:rPr>
          <w:rFonts w:ascii="Verdana" w:eastAsia="Times New Roman" w:hAnsi="Verdana" w:cs="Arial"/>
          <w:lang w:val="es-ES" w:eastAsia="es-ES_tradnl"/>
        </w:rPr>
        <w:t xml:space="preserve"> </w:t>
      </w:r>
    </w:p>
    <w:p w14:paraId="573A90C0" w14:textId="77777777" w:rsidR="009F5E7D" w:rsidRPr="004F3256" w:rsidRDefault="009F5E7D" w:rsidP="009F5E7D">
      <w:pPr>
        <w:spacing w:after="120" w:line="276" w:lineRule="auto"/>
        <w:ind w:firstLine="709"/>
        <w:jc w:val="both"/>
        <w:rPr>
          <w:rFonts w:ascii="Verdana" w:eastAsia="Times New Roman" w:hAnsi="Verdana" w:cs="Arial"/>
          <w:lang w:eastAsia="es-ES_tradnl"/>
        </w:rPr>
      </w:pPr>
      <w:r w:rsidRPr="004F3256">
        <w:rPr>
          <w:rFonts w:ascii="Verdana" w:eastAsia="Times New Roman" w:hAnsi="Verdana" w:cs="Arial"/>
          <w:szCs w:val="24"/>
          <w:lang w:eastAsia="es-ES_tradnl"/>
        </w:rPr>
        <w:t xml:space="preserve">En la práctica, en los convenios interadministrativos que las entidades celebran no suele pactarse un precio o remuneración, lo que no significa que, para la ejecución de sus compromisos, no puedan </w:t>
      </w:r>
      <w:r w:rsidRPr="004F3256">
        <w:rPr>
          <w:rFonts w:ascii="Verdana" w:eastAsia="Times New Roman" w:hAnsi="Verdana" w:cs="Arial"/>
          <w:lang w:eastAsia="es-ES_tradnl"/>
        </w:rPr>
        <w:t>afectar sus respectivos presupuestos y ejecutar recursos públicos. Recuérdese que ese contenido económico, incluso, puede estar presente de forma implícita en el caso de las obligaciones de hacer</w:t>
      </w:r>
      <w:r w:rsidRPr="004F3256">
        <w:rPr>
          <w:rFonts w:ascii="Verdana" w:eastAsia="Calibri" w:hAnsi="Verdana" w:cs="Arial"/>
          <w:vertAlign w:val="superscript"/>
          <w:lang w:val="es-ES_tradnl"/>
        </w:rPr>
        <w:footnoteReference w:id="24"/>
      </w:r>
      <w:r w:rsidRPr="004F3256">
        <w:rPr>
          <w:rFonts w:ascii="Verdana" w:eastAsia="Times New Roman" w:hAnsi="Verdana" w:cs="Arial"/>
          <w:lang w:eastAsia="es-ES_tradnl"/>
        </w:rPr>
        <w:t xml:space="preserve">. </w:t>
      </w:r>
    </w:p>
    <w:p w14:paraId="7CCFF01C" w14:textId="77777777" w:rsidR="009F5E7D" w:rsidRPr="004F3256" w:rsidRDefault="009F5E7D" w:rsidP="009F5E7D">
      <w:pPr>
        <w:spacing w:after="120" w:line="276" w:lineRule="auto"/>
        <w:ind w:firstLine="709"/>
        <w:jc w:val="both"/>
        <w:rPr>
          <w:rFonts w:ascii="Verdana" w:eastAsia="Times New Roman" w:hAnsi="Verdana" w:cs="Arial"/>
          <w:lang w:eastAsia="es-ES_tradnl"/>
        </w:rPr>
      </w:pPr>
      <w:r w:rsidRPr="004F3256">
        <w:rPr>
          <w:rFonts w:ascii="Verdana" w:eastAsia="Times New Roman" w:hAnsi="Verdana" w:cs="Arial"/>
          <w:lang w:eastAsia="es-ES_tradnl"/>
        </w:rPr>
        <w:t xml:space="preserve">Sobre este aspecto, la Sala de Consulta y Servicio Civil del Consejo de Estado, resaltó la posibilidad de asunción de aportes económicos en el marco de un convenio interadministrativo, en el cual se pueden determinar costos y gastos para el cumplimiento de sus objetivos: </w:t>
      </w:r>
    </w:p>
    <w:p w14:paraId="503B649F" w14:textId="77777777" w:rsidR="009F5E7D" w:rsidRPr="001D0C1E" w:rsidRDefault="009F5E7D" w:rsidP="009F5E7D">
      <w:pPr>
        <w:spacing w:after="0" w:line="240" w:lineRule="auto"/>
        <w:ind w:left="709" w:right="714"/>
        <w:jc w:val="both"/>
        <w:rPr>
          <w:rFonts w:ascii="Verdana" w:eastAsia="Calibri" w:hAnsi="Verdana" w:cs="Arial"/>
          <w:bCs/>
          <w:iCs/>
          <w:sz w:val="20"/>
          <w:szCs w:val="20"/>
        </w:rPr>
      </w:pPr>
      <w:r w:rsidRPr="004F3256">
        <w:rPr>
          <w:rFonts w:ascii="Verdana" w:eastAsia="Calibri" w:hAnsi="Verdana" w:cs="Arial"/>
          <w:iCs/>
          <w:sz w:val="20"/>
          <w:szCs w:val="20"/>
        </w:rPr>
        <w:t>“</w:t>
      </w:r>
      <w:r w:rsidRPr="004F3256">
        <w:rPr>
          <w:rFonts w:ascii="Verdana" w:eastAsia="Calibri" w:hAnsi="Verdana" w:cs="Arial"/>
          <w:i/>
          <w:sz w:val="20"/>
          <w:szCs w:val="20"/>
        </w:rPr>
        <w:t>Lógicamente,</w:t>
      </w:r>
      <w:r w:rsidRPr="004F3256">
        <w:rPr>
          <w:rFonts w:ascii="Verdana" w:eastAsia="Calibri" w:hAnsi="Verdana" w:cs="Arial"/>
          <w:b/>
          <w:i/>
          <w:sz w:val="20"/>
          <w:szCs w:val="20"/>
        </w:rPr>
        <w:t xml:space="preserve"> </w:t>
      </w:r>
      <w:r w:rsidRPr="004F3256">
        <w:rPr>
          <w:rFonts w:ascii="Verdana" w:eastAsia="Calibri" w:hAnsi="Verdana" w:cs="Arial"/>
          <w:bCs/>
          <w:i/>
          <w:sz w:val="20"/>
          <w:szCs w:val="20"/>
        </w:rPr>
        <w:t>en los convenios interadministrativos propiamente dichos, es posible,</w:t>
      </w:r>
      <w:r w:rsidRPr="004F3256">
        <w:rPr>
          <w:rFonts w:ascii="Verdana" w:eastAsia="Calibri" w:hAnsi="Verdana" w:cs="Arial"/>
          <w:bCs/>
          <w:iCs/>
          <w:sz w:val="20"/>
          <w:szCs w:val="20"/>
        </w:rPr>
        <w:t xml:space="preserve"> </w:t>
      </w:r>
      <w:r w:rsidRPr="004F3256">
        <w:rPr>
          <w:rFonts w:ascii="Verdana" w:eastAsia="Calibri" w:hAnsi="Verdana" w:cs="Arial"/>
          <w:bCs/>
          <w:i/>
          <w:sz w:val="20"/>
          <w:szCs w:val="20"/>
        </w:rPr>
        <w:t>que cada entidad incurra en costos y gastos y en ejecución de su propio presupuesto para cumplir sus funciones y los compromisos adquiridos para con la otra</w:t>
      </w:r>
      <w:r w:rsidRPr="004F3256">
        <w:rPr>
          <w:rFonts w:ascii="Verdana" w:eastAsia="Calibri" w:hAnsi="Verdana" w:cs="Arial"/>
          <w:bCs/>
          <w:iCs/>
          <w:sz w:val="20"/>
          <w:szCs w:val="20"/>
        </w:rPr>
        <w:t>, razón por la cual bien pueden comprender la asunción de aportes económicos o financieros, pero sin que su objeto esencial lo constituyan prestaciones propias de los contratos interadministrativos, o el pago de un precio o una remuneración por un servicio prestado o por un bien adquirido o por una obra realizada por una a favor de la otra, pues en tales eventos se estará en presencia de verdaderos contratos”</w:t>
      </w:r>
      <w:r w:rsidRPr="004F3256">
        <w:rPr>
          <w:rFonts w:ascii="Verdana" w:eastAsia="Calibri" w:hAnsi="Verdana" w:cs="Arial"/>
          <w:bCs/>
          <w:iCs/>
          <w:sz w:val="20"/>
          <w:szCs w:val="20"/>
          <w:vertAlign w:val="superscript"/>
        </w:rPr>
        <w:footnoteReference w:id="25"/>
      </w:r>
      <w:r w:rsidRPr="004F3256">
        <w:rPr>
          <w:rFonts w:ascii="Verdana" w:eastAsia="Calibri" w:hAnsi="Verdana" w:cs="Arial"/>
          <w:bCs/>
          <w:iCs/>
          <w:sz w:val="20"/>
          <w:szCs w:val="20"/>
        </w:rPr>
        <w:t>. [Énfasis por fuera de texto]</w:t>
      </w:r>
    </w:p>
    <w:p w14:paraId="11900ABF" w14:textId="77777777" w:rsidR="009F5E7D" w:rsidRDefault="009F5E7D" w:rsidP="009F5E7D">
      <w:pPr>
        <w:spacing w:after="0" w:line="240" w:lineRule="auto"/>
        <w:ind w:firstLine="709"/>
        <w:jc w:val="both"/>
        <w:rPr>
          <w:rFonts w:ascii="Verdana" w:eastAsia="Times New Roman" w:hAnsi="Verdana" w:cs="Arial"/>
          <w:lang w:eastAsia="es-ES_tradnl"/>
        </w:rPr>
      </w:pPr>
    </w:p>
    <w:p w14:paraId="5DF8F2D7" w14:textId="77777777" w:rsidR="009F5E7D" w:rsidRPr="004F3256" w:rsidRDefault="009F5E7D" w:rsidP="009F5E7D">
      <w:pPr>
        <w:spacing w:after="120" w:line="276" w:lineRule="auto"/>
        <w:ind w:firstLine="709"/>
        <w:jc w:val="both"/>
        <w:rPr>
          <w:rFonts w:ascii="Verdana" w:eastAsia="Times New Roman" w:hAnsi="Verdana" w:cs="Arial"/>
          <w:lang w:eastAsia="es-ES_tradnl"/>
        </w:rPr>
      </w:pPr>
      <w:r w:rsidRPr="004F3256">
        <w:rPr>
          <w:rFonts w:ascii="Verdana" w:eastAsia="Times New Roman" w:hAnsi="Verdana" w:cs="Arial"/>
          <w:lang w:eastAsia="es-ES_tradnl"/>
        </w:rPr>
        <w:t>En reciente pronunciamiento, la Sala de lo Contencioso Administrativo, Sección Tercera del Consejo de Estado reiteró que</w:t>
      </w:r>
      <w:r>
        <w:rPr>
          <w:rFonts w:ascii="Verdana" w:eastAsia="Times New Roman" w:hAnsi="Verdana" w:cs="Arial"/>
          <w:lang w:eastAsia="es-ES_tradnl"/>
        </w:rPr>
        <w:t>,</w:t>
      </w:r>
      <w:r w:rsidRPr="004F3256">
        <w:rPr>
          <w:rFonts w:ascii="Verdana" w:eastAsia="Times New Roman" w:hAnsi="Verdana" w:cs="Arial"/>
          <w:lang w:eastAsia="es-ES_tradnl"/>
        </w:rPr>
        <w:t xml:space="preserve"> si bien en el marco de los convenios interadministrativos no se generar relaciones conmutativas sinalagmáticas en la medida que no se obligan a dar o a hacer algo a cambio de una prestación equivalente o remuneración, no significa que no se pueden realizar aportes de naturaleza técnica, administrativa, financiera o económica para ejecutar el objetivo común: </w:t>
      </w:r>
    </w:p>
    <w:p w14:paraId="3288F773" w14:textId="77777777" w:rsidR="009F5E7D" w:rsidRPr="004F3256" w:rsidRDefault="009F5E7D" w:rsidP="009F5E7D">
      <w:pPr>
        <w:spacing w:after="0" w:line="240" w:lineRule="auto"/>
        <w:ind w:left="709" w:right="714"/>
        <w:jc w:val="both"/>
        <w:rPr>
          <w:rFonts w:ascii="Verdana" w:eastAsia="Calibri" w:hAnsi="Verdana" w:cs="Arial"/>
          <w:bCs/>
          <w:iCs/>
          <w:sz w:val="20"/>
          <w:szCs w:val="20"/>
        </w:rPr>
      </w:pPr>
      <w:r w:rsidRPr="004F3256">
        <w:rPr>
          <w:rFonts w:ascii="Verdana" w:eastAsia="Calibri" w:hAnsi="Verdana" w:cs="Arial"/>
          <w:iCs/>
          <w:sz w:val="20"/>
          <w:szCs w:val="20"/>
        </w:rPr>
        <w:t xml:space="preserve">“Lo anterior no significa que en el marco de los convenios </w:t>
      </w:r>
      <w:r w:rsidRPr="004F3256">
        <w:rPr>
          <w:rFonts w:ascii="Verdana" w:eastAsia="Calibri" w:hAnsi="Verdana" w:cs="Arial"/>
          <w:i/>
          <w:sz w:val="20"/>
          <w:szCs w:val="20"/>
        </w:rPr>
        <w:t>interadministrativos las partes no puedan asumir obligaciones de tipo económico, en tanto, desde el ámbito que corresponde a sus competencias, pueden contribuir a la realización del objetivo común a través de aportes de naturaleza técnica, administrativa, financiera o económica</w:t>
      </w:r>
      <w:r w:rsidRPr="004F3256">
        <w:rPr>
          <w:rFonts w:ascii="Verdana" w:eastAsia="Calibri" w:hAnsi="Verdana" w:cs="Arial"/>
          <w:iCs/>
          <w:sz w:val="20"/>
          <w:szCs w:val="20"/>
        </w:rPr>
        <w:t>. Es por esto que un aporte económico no puede entenderse ni aplicarse a la relación negocial como una retribución por contraprestación de la otra parte, o por el desempeño de las funciones administrativas o técnicas que otro contrayente, en el ámbito de sus competencias, se obliga a ejecutar, pues de ser ello así, se desnaturalizaría la principal y más esencial característica de este tipo de negocios, la cual está dada por la conjunción de esfuerzos para el logro de una finalidad común a todos los intervinientes”</w:t>
      </w:r>
      <w:r w:rsidRPr="004F3256">
        <w:rPr>
          <w:rFonts w:ascii="Verdana" w:eastAsia="Calibri" w:hAnsi="Verdana" w:cs="Arial"/>
          <w:iCs/>
          <w:sz w:val="20"/>
          <w:szCs w:val="20"/>
          <w:vertAlign w:val="superscript"/>
        </w:rPr>
        <w:footnoteReference w:id="26"/>
      </w:r>
      <w:r w:rsidRPr="004F3256">
        <w:rPr>
          <w:rFonts w:ascii="Verdana" w:eastAsia="Calibri" w:hAnsi="Verdana" w:cs="Arial"/>
          <w:iCs/>
          <w:sz w:val="20"/>
          <w:szCs w:val="20"/>
        </w:rPr>
        <w:t>.</w:t>
      </w:r>
      <w:r w:rsidRPr="004F3256">
        <w:rPr>
          <w:rFonts w:ascii="Verdana" w:eastAsia="Geomanist Light" w:hAnsi="Verdana" w:cs="Arial"/>
          <w:color w:val="201F1E"/>
        </w:rPr>
        <w:t xml:space="preserve"> </w:t>
      </w:r>
      <w:r w:rsidRPr="004F3256">
        <w:rPr>
          <w:rFonts w:ascii="Verdana" w:eastAsia="Calibri" w:hAnsi="Verdana" w:cs="Arial"/>
          <w:bCs/>
          <w:iCs/>
          <w:sz w:val="20"/>
          <w:szCs w:val="20"/>
        </w:rPr>
        <w:t>[Énfasis por fuera de texto]</w:t>
      </w:r>
    </w:p>
    <w:p w14:paraId="4B89CC58" w14:textId="77777777" w:rsidR="009F5E7D" w:rsidRPr="004F3256" w:rsidRDefault="009F5E7D" w:rsidP="009F5E7D">
      <w:pPr>
        <w:spacing w:after="0" w:line="276" w:lineRule="auto"/>
        <w:ind w:right="714"/>
        <w:jc w:val="both"/>
        <w:rPr>
          <w:rFonts w:ascii="Verdana" w:eastAsia="Calibri" w:hAnsi="Verdana" w:cs="Arial"/>
          <w:iCs/>
          <w:sz w:val="20"/>
          <w:szCs w:val="20"/>
        </w:rPr>
      </w:pPr>
    </w:p>
    <w:p w14:paraId="00713672" w14:textId="77777777" w:rsidR="009F5E7D" w:rsidRPr="004F3256" w:rsidRDefault="009F5E7D" w:rsidP="009F5E7D">
      <w:pPr>
        <w:spacing w:after="120" w:line="276" w:lineRule="auto"/>
        <w:ind w:firstLine="709"/>
        <w:jc w:val="both"/>
        <w:rPr>
          <w:rFonts w:ascii="Verdana" w:eastAsia="Times New Roman" w:hAnsi="Verdana" w:cs="Arial"/>
          <w:lang w:eastAsia="es-ES_tradnl"/>
        </w:rPr>
      </w:pPr>
      <w:r w:rsidRPr="004F3256">
        <w:rPr>
          <w:rFonts w:ascii="Verdana" w:eastAsia="Times New Roman" w:hAnsi="Verdana" w:cs="Arial"/>
          <w:lang w:eastAsia="es-ES_tradnl"/>
        </w:rPr>
        <w:t xml:space="preserve">De esta manera, </w:t>
      </w:r>
      <w:r w:rsidRPr="004F3256">
        <w:rPr>
          <w:rFonts w:ascii="Verdana" w:eastAsia="Calibri" w:hAnsi="Verdana" w:cs="Arial"/>
          <w:bCs/>
          <w:iCs/>
        </w:rPr>
        <w:t xml:space="preserve">es posible y lógico que para efectos de la ejecución del convenio interadministrativo las entidades públicas incurran en costos y gastos administrativos lo que se puede reflejar en los respectivos </w:t>
      </w:r>
      <w:r w:rsidRPr="004F3256">
        <w:rPr>
          <w:rFonts w:ascii="Verdana" w:eastAsia="Times New Roman" w:hAnsi="Verdana" w:cs="Arial"/>
          <w:lang w:eastAsia="es-ES_tradnl"/>
        </w:rPr>
        <w:t>aportes de naturaleza técnica, administrativa, financiera o económica, sin que ello signifique el pago de un precio o una remuneración por servicio prestado o bien adquirido. Estos costos o gastos de administración pueden incluirse válidamente</w:t>
      </w:r>
      <w:r w:rsidRPr="004F3256">
        <w:rPr>
          <w:rFonts w:ascii="Verdana" w:eastAsia="Times New Roman" w:hAnsi="Verdana" w:cs="Arial"/>
          <w:b/>
          <w:bCs/>
          <w:lang w:eastAsia="es-ES_tradnl"/>
        </w:rPr>
        <w:t xml:space="preserve"> </w:t>
      </w:r>
      <w:r w:rsidRPr="004F3256">
        <w:rPr>
          <w:rFonts w:ascii="Verdana" w:eastAsia="Times New Roman" w:hAnsi="Verdana" w:cs="Arial"/>
          <w:lang w:eastAsia="es-ES_tradnl"/>
        </w:rPr>
        <w:t xml:space="preserve">siempre que se justifique técnica y financieramente que son necesarios y razonables para el desarrollo del objeto convenido y que se trate de aspectos operativos, logísticos o de administración </w:t>
      </w:r>
      <w:r w:rsidRPr="004F3256">
        <w:rPr>
          <w:rFonts w:ascii="Verdana" w:eastAsia="Calibri" w:hAnsi="Verdana" w:cs="Arial"/>
          <w:bCs/>
          <w:iCs/>
        </w:rPr>
        <w:t>que permitan cumplir los compromisos adquiridos en el marco del convenio</w:t>
      </w:r>
      <w:r w:rsidRPr="004F3256">
        <w:rPr>
          <w:rFonts w:ascii="Verdana" w:eastAsia="Times New Roman" w:hAnsi="Verdana" w:cs="Arial"/>
          <w:lang w:eastAsia="es-ES_tradnl"/>
        </w:rPr>
        <w:t xml:space="preserve"> y que, por tanto, no representan una utilidad o una contraprestación en favor de una de las partes. </w:t>
      </w:r>
    </w:p>
    <w:p w14:paraId="12426B2A" w14:textId="77777777" w:rsidR="009F5E7D" w:rsidRPr="004F3256" w:rsidRDefault="009F5E7D" w:rsidP="009F5E7D">
      <w:pPr>
        <w:spacing w:after="120" w:line="276" w:lineRule="auto"/>
        <w:ind w:firstLine="708"/>
        <w:jc w:val="both"/>
        <w:rPr>
          <w:rFonts w:ascii="Verdana" w:eastAsia="Times New Roman" w:hAnsi="Verdana" w:cs="Arial"/>
          <w:lang w:eastAsia="es-ES_tradnl"/>
        </w:rPr>
      </w:pPr>
      <w:r w:rsidRPr="004F3256">
        <w:rPr>
          <w:rFonts w:ascii="Verdana" w:eastAsia="Times New Roman" w:hAnsi="Verdana" w:cs="Arial"/>
          <w:lang w:eastAsia="es-ES_tradnl"/>
        </w:rPr>
        <w:t xml:space="preserve">En este sentido, se precisa que la posibilidad de que un convenio interadministrativo incluya compromisos con contenido económico no puede ir en contravía de su naturaleza y finalidad, ni mucho menos desconocer los elementos esenciales de este tipo negocial que se desprenden del artículo 95 de la Ley 489 de 1998. Por ende, la determinación de estos costos o gastos administrativos no pueden ocultar una remuneración verdadera o una utilidad en favor de alguna de las entidades que concurre a su suscripción, así como tampoco pueden emplearse para aspectos distintos del cumplimiento de los compromisos asumidos, pues no se trataría de un convenio, sino que su connotación transmutaría a un contrato interadministrativo. </w:t>
      </w:r>
    </w:p>
    <w:p w14:paraId="1915E322" w14:textId="77777777" w:rsidR="009F5E7D" w:rsidRPr="004F3256" w:rsidRDefault="009F5E7D" w:rsidP="009F5E7D">
      <w:pPr>
        <w:spacing w:after="120" w:line="276" w:lineRule="auto"/>
        <w:ind w:firstLine="708"/>
        <w:jc w:val="both"/>
        <w:rPr>
          <w:rFonts w:ascii="Verdana" w:eastAsia="Times New Roman" w:hAnsi="Verdana" w:cs="Arial"/>
          <w:iCs/>
          <w:lang w:eastAsia="es-ES_tradnl"/>
        </w:rPr>
      </w:pPr>
      <w:r w:rsidRPr="004F3256">
        <w:rPr>
          <w:rFonts w:ascii="Verdana" w:eastAsia="Times New Roman" w:hAnsi="Verdana" w:cs="Arial"/>
          <w:iCs/>
          <w:lang w:eastAsia="es-ES_tradnl"/>
        </w:rPr>
        <w:t>Esta claridad resulta importante para efectos de la consulta planteada ya que, tanto en los contratos como en los convenios interadministrativos es posible incluir costos y gastos administrativos. No obstante, debido a la naturaleza jurídica de cada figura, estos rubros tienen una finalidad y alcance diferente. En el marco de un convenio interadministrativo, las entidades públicas pueden incorporar los costos o gastos administrativos asociados a sus respectivos aportes técnicos, administrativos, financieros o económicos, siempre que estén orientados a contribuir, en el ámbito de sus competencias, al cumplimiento de los compromisos comunes y a garantizar la viabilidad operativa del convenio. En contraste, en los contratos interadministrativos, debido a su naturaleza onerosa y conmutativa, estos rubros hacen parte de la contraprestación pactada a favor de la entidad ejecutora, es decir, forman parte del precio o retribución económica a una de las partes por los bienes o servicios que presta.</w:t>
      </w:r>
    </w:p>
    <w:p w14:paraId="77B74928" w14:textId="77777777" w:rsidR="009F5E7D" w:rsidRPr="004F3256" w:rsidRDefault="009F5E7D" w:rsidP="009F5E7D">
      <w:pPr>
        <w:spacing w:after="120" w:line="276" w:lineRule="auto"/>
        <w:ind w:firstLine="708"/>
        <w:jc w:val="both"/>
        <w:rPr>
          <w:rFonts w:ascii="Verdana" w:eastAsia="Times New Roman" w:hAnsi="Verdana" w:cs="Arial"/>
          <w:iCs/>
          <w:lang w:eastAsia="es-ES_tradnl"/>
        </w:rPr>
      </w:pPr>
      <w:r w:rsidRPr="004F3256">
        <w:rPr>
          <w:rFonts w:ascii="Verdana" w:eastAsia="Times New Roman" w:hAnsi="Verdana" w:cs="Arial"/>
          <w:iCs/>
          <w:lang w:eastAsia="es-ES_tradnl"/>
        </w:rPr>
        <w:t>Lo anterior reviste especial importancia, ya que, como se explicó, la naturaleza del negocio jurídico determina el régimen jurídico aplicable, así como la procedencia y el alcance de determinadas figuras contractuales. En este sentido, la determinación de los costos o gastos administrativos en uno u otro negocio jurídico debe corresponden con la naturaleza, finalidad y alcance de cada uno de ellos. En todo caso, debe recordarse que la aplicación o el alcance de estas y otras instituciones debe evaluarse con base en el contenido específico de cada convenio interadministrativo celebrado, por lo que no es posible establecer conclusiones de manera automática o anticipada con la simple denominación que las partes le asignen.</w:t>
      </w:r>
    </w:p>
    <w:p w14:paraId="4D7E75C2" w14:textId="77777777" w:rsidR="009F5E7D" w:rsidRDefault="009F5E7D" w:rsidP="009F5E7D">
      <w:pPr>
        <w:spacing w:after="120" w:line="276" w:lineRule="auto"/>
        <w:ind w:firstLine="708"/>
        <w:jc w:val="both"/>
        <w:rPr>
          <w:rFonts w:ascii="Verdana" w:eastAsia="Times New Roman" w:hAnsi="Verdana" w:cs="Arial"/>
          <w:iCs/>
          <w:lang w:eastAsia="es-ES_tradnl"/>
        </w:rPr>
      </w:pPr>
      <w:r w:rsidRPr="004F3256">
        <w:rPr>
          <w:rFonts w:ascii="Verdana" w:eastAsia="Times New Roman" w:hAnsi="Verdana" w:cs="Arial"/>
          <w:iCs/>
          <w:lang w:eastAsia="es-ES_tradnl"/>
        </w:rPr>
        <w:t>En conclusión, si la noción de costos indirectos –</w:t>
      </w:r>
      <w:proofErr w:type="spellStart"/>
      <w:r w:rsidRPr="004F3256">
        <w:rPr>
          <w:rFonts w:ascii="Verdana" w:eastAsia="Times New Roman" w:hAnsi="Verdana" w:cs="Arial"/>
          <w:iCs/>
          <w:lang w:eastAsia="es-ES_tradnl"/>
        </w:rPr>
        <w:t>overhead</w:t>
      </w:r>
      <w:proofErr w:type="spellEnd"/>
      <w:r w:rsidRPr="004F3256">
        <w:rPr>
          <w:rFonts w:ascii="Verdana" w:eastAsia="Times New Roman" w:hAnsi="Verdana" w:cs="Arial"/>
          <w:iCs/>
          <w:lang w:eastAsia="es-ES_tradnl"/>
        </w:rPr>
        <w:t>-, tal y como se explicó, es una noción asociada al cálculo del precio que se pagará al contratista por parte de la Entidad Estatal contratante, es decir una contraprestación, este concepto resulta inaplicable tratándose de convenios interadministrativos, en los cuales, los compromisos de contenido patrimonial se deben dirigir a cubrir los costos que genera la ejecución de las actividades asociadas al mismo, pero no a pagar a una de las entidades por la realización de sus respectivos compromisos o una utilidad a favor de ellas.</w:t>
      </w:r>
    </w:p>
    <w:p w14:paraId="07787D34" w14:textId="77777777" w:rsidR="009F5E7D" w:rsidRDefault="009F5E7D" w:rsidP="009F5E7D">
      <w:pPr>
        <w:spacing w:after="120" w:line="276" w:lineRule="auto"/>
        <w:ind w:firstLine="709"/>
        <w:jc w:val="both"/>
        <w:rPr>
          <w:rFonts w:ascii="Verdana" w:eastAsia="Times New Roman" w:hAnsi="Verdana" w:cs="Arial"/>
          <w:iCs/>
          <w:lang w:eastAsia="es-ES_tradnl"/>
        </w:rPr>
      </w:pPr>
      <w:r>
        <w:rPr>
          <w:rFonts w:ascii="Verdana" w:eastAsia="Times New Roman" w:hAnsi="Verdana" w:cs="Arial"/>
          <w:iCs/>
          <w:lang w:eastAsia="es-ES_tradnl"/>
        </w:rPr>
        <w:t xml:space="preserve">Por último, la Subdirección pone de presente que, respecto del </w:t>
      </w:r>
      <w:r w:rsidRPr="00EE28A3">
        <w:rPr>
          <w:rFonts w:ascii="Verdana" w:eastAsia="Times New Roman" w:hAnsi="Verdana" w:cs="Arial"/>
          <w:iCs/>
          <w:lang w:eastAsia="es-ES_tradnl"/>
        </w:rPr>
        <w:t>concepto de estampillas en los contratos y convenios interadministrativos debe precisarse que su inclusión dependerá de las condiciones establecidas por la Ley para estos tributos. En efecto, la incorporación en nuestro ordenamiento jurídico de las denominadas “estampillas” tan sólo puede darse por disposición legal o por disposición expresa de ordenanzas departamentales o acuerdos distritales o municipales, en las que se debe indicar a detalle las condiciones de su emisión</w:t>
      </w:r>
      <w:r>
        <w:rPr>
          <w:rFonts w:ascii="Verdana" w:eastAsia="Times New Roman" w:hAnsi="Verdana" w:cs="Arial"/>
          <w:iCs/>
          <w:lang w:eastAsia="es-ES_tradnl"/>
        </w:rPr>
        <w:t xml:space="preserve"> </w:t>
      </w:r>
      <w:r w:rsidRPr="00EE28A3">
        <w:rPr>
          <w:rFonts w:ascii="Verdana" w:eastAsia="Times New Roman" w:hAnsi="Verdana" w:cs="Arial"/>
          <w:iCs/>
          <w:lang w:eastAsia="es-ES_tradnl"/>
        </w:rPr>
        <w:t>o pago o adherencia, y si dicha estampilla, se concibe como una tasa parafiscal21, o como impuesto con destinación específica</w:t>
      </w:r>
      <w:r>
        <w:rPr>
          <w:rStyle w:val="Refdenotaalpie"/>
          <w:rFonts w:ascii="Verdana" w:eastAsia="Times New Roman" w:hAnsi="Verdana" w:cs="Arial"/>
          <w:iCs/>
          <w:lang w:eastAsia="es-ES_tradnl"/>
        </w:rPr>
        <w:footnoteReference w:id="27"/>
      </w:r>
      <w:r w:rsidRPr="00EE28A3">
        <w:rPr>
          <w:rFonts w:ascii="Verdana" w:eastAsia="Times New Roman" w:hAnsi="Verdana" w:cs="Arial"/>
          <w:iCs/>
          <w:lang w:eastAsia="es-ES_tradnl"/>
        </w:rPr>
        <w:t>.</w:t>
      </w:r>
    </w:p>
    <w:p w14:paraId="3467F2AE" w14:textId="77777777" w:rsidR="009F5E7D" w:rsidRDefault="009F5E7D" w:rsidP="009F5E7D">
      <w:pPr>
        <w:spacing w:after="120" w:line="276" w:lineRule="auto"/>
        <w:ind w:firstLine="709"/>
        <w:jc w:val="both"/>
        <w:rPr>
          <w:rFonts w:ascii="Verdana" w:eastAsia="Times New Roman" w:hAnsi="Verdana" w:cs="Arial"/>
          <w:iCs/>
          <w:lang w:eastAsia="es-ES_tradnl"/>
        </w:rPr>
      </w:pPr>
      <w:r w:rsidRPr="00EE28A3">
        <w:rPr>
          <w:rFonts w:ascii="Verdana" w:eastAsia="Times New Roman" w:hAnsi="Verdana" w:cs="Arial"/>
          <w:iCs/>
          <w:lang w:eastAsia="es-ES_tradnl"/>
        </w:rPr>
        <w:t>Al respecto, es importante indicar que tanto la naturaleza de cada estampilla, como las condiciones que se deben tener en cuenta para su recaudo, así como su causación y objetivos pueden diferir en función de las decisiones que en su configuración adoptó el Legislador y, de manera complementaria, de aquellas que aprueben los órganos colegiados de las autoridades territoriales en ejercicio de sus competencias en la estructuración de cuerpos normativos que contienen política fiscal. De esta manera, la procedencia y aplicación de determinada estampilla estará sujeta al hecho generador establecido en la Ley, ordenanza o acuerdo, de tal suerte que</w:t>
      </w:r>
      <w:r>
        <w:rPr>
          <w:rFonts w:ascii="Verdana" w:eastAsia="Times New Roman" w:hAnsi="Verdana" w:cs="Arial"/>
          <w:iCs/>
          <w:lang w:eastAsia="es-ES_tradnl"/>
        </w:rPr>
        <w:t>,</w:t>
      </w:r>
      <w:r w:rsidRPr="00EE28A3">
        <w:rPr>
          <w:rFonts w:ascii="Verdana" w:eastAsia="Times New Roman" w:hAnsi="Verdana" w:cs="Arial"/>
          <w:iCs/>
          <w:lang w:eastAsia="es-ES_tradnl"/>
        </w:rPr>
        <w:t xml:space="preserve"> si estos incluyen a los contratos y convenios interadministrativos, deberá tenerse en cuenta para efectos de la suscripción de estos negocios jurídicos. </w:t>
      </w:r>
    </w:p>
    <w:p w14:paraId="12D5DF4C" w14:textId="77777777" w:rsidR="009F5E7D" w:rsidRDefault="009F5E7D" w:rsidP="009F5E7D">
      <w:pPr>
        <w:spacing w:after="120" w:line="276" w:lineRule="auto"/>
        <w:ind w:firstLine="709"/>
        <w:jc w:val="both"/>
        <w:rPr>
          <w:rFonts w:ascii="Verdana" w:eastAsia="Times New Roman" w:hAnsi="Verdana" w:cs="Arial"/>
          <w:iCs/>
          <w:lang w:eastAsia="es-ES_tradnl"/>
        </w:rPr>
      </w:pPr>
      <w:r w:rsidRPr="00EE28A3">
        <w:rPr>
          <w:rFonts w:ascii="Verdana" w:eastAsia="Times New Roman" w:hAnsi="Verdana" w:cs="Arial"/>
          <w:iCs/>
          <w:lang w:eastAsia="es-ES_tradnl"/>
        </w:rPr>
        <w:t>En suma, será cada entidad la obligada a analizar en cada contrato o convenio interadministrativo, si por su sola celebración se constituye el hecho generador de determinada estampilla, pues de lo contrario no habrá lugar a su aplicación. Para tales efectos, es necesario realizar durante la etapa de planeación el análisis necesario para conocer el sector relativo al objeto del Proceso de Contratación, y con fundamento en dicho estudio deberá tenerse en cuenta los impuestos, tasas o contribuciones que haya lugar.</w:t>
      </w:r>
    </w:p>
    <w:p w14:paraId="31E4112B" w14:textId="77777777" w:rsidR="009F5E7D" w:rsidRPr="00C64E2A" w:rsidRDefault="009F5E7D" w:rsidP="009F5E7D">
      <w:pPr>
        <w:spacing w:after="120" w:line="276" w:lineRule="auto"/>
        <w:ind w:firstLine="708"/>
        <w:jc w:val="both"/>
        <w:rPr>
          <w:rFonts w:ascii="Verdana" w:eastAsia="Times New Roman" w:hAnsi="Verdana" w:cs="Arial"/>
          <w:iCs/>
          <w:lang w:eastAsia="es-ES_tradnl"/>
        </w:rPr>
      </w:pPr>
      <w:r w:rsidRPr="00380CA4">
        <w:rPr>
          <w:rFonts w:ascii="Verdana" w:hAnsi="Verdana" w:cs="Arial"/>
          <w:lang w:eastAsia="es-ES"/>
        </w:rPr>
        <w:t>Al margen de la explicación precedente debe advertirse que el análisis requerido para resolver problemas específicos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5737F0F" w14:textId="77777777" w:rsidR="009F5E7D" w:rsidRPr="00380CA4" w:rsidRDefault="009F5E7D" w:rsidP="009F5E7D">
      <w:pPr>
        <w:spacing w:after="0" w:line="276" w:lineRule="auto"/>
        <w:ind w:firstLine="709"/>
        <w:jc w:val="both"/>
        <w:rPr>
          <w:rFonts w:ascii="Verdana" w:eastAsia="Calibri" w:hAnsi="Verdana" w:cs="Arial"/>
        </w:rPr>
      </w:pPr>
      <w:r w:rsidRPr="00380CA4">
        <w:rPr>
          <w:rFonts w:ascii="Verdana" w:eastAsia="Times New Roman" w:hAnsi="Verdana" w:cs="Arial"/>
          <w:color w:val="000000"/>
          <w:lang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0ADE0D29" w14:textId="77777777" w:rsidR="009F5E7D" w:rsidRDefault="009F5E7D" w:rsidP="009F5E7D">
      <w:pPr>
        <w:tabs>
          <w:tab w:val="left" w:pos="142"/>
          <w:tab w:val="left" w:pos="284"/>
          <w:tab w:val="left" w:pos="6975"/>
        </w:tabs>
        <w:spacing w:after="0" w:line="240" w:lineRule="auto"/>
        <w:jc w:val="both"/>
        <w:rPr>
          <w:rFonts w:ascii="Verdana" w:eastAsia="Calibri" w:hAnsi="Verdana" w:cs="Arial"/>
        </w:rPr>
      </w:pPr>
    </w:p>
    <w:p w14:paraId="03ABA5E8" w14:textId="77777777" w:rsidR="009F5E7D" w:rsidRDefault="009F5E7D" w:rsidP="009F5E7D">
      <w:pPr>
        <w:spacing w:after="0" w:line="276" w:lineRule="auto"/>
        <w:jc w:val="both"/>
        <w:rPr>
          <w:rFonts w:ascii="Verdana" w:eastAsia="Century Gothic" w:hAnsi="Verdana" w:cs="Century Gothic"/>
          <w:b/>
          <w:bCs/>
        </w:rPr>
      </w:pPr>
      <w:bookmarkStart w:id="2" w:name="_Hlk204854194"/>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2"/>
    </w:p>
    <w:p w14:paraId="6B0857BF" w14:textId="77777777" w:rsidR="009F5E7D" w:rsidRPr="00E5656D" w:rsidRDefault="009F5E7D" w:rsidP="009F5E7D">
      <w:pPr>
        <w:spacing w:after="0" w:line="276" w:lineRule="auto"/>
        <w:jc w:val="both"/>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F5E7D" w:rsidRPr="002D2C18" w14:paraId="5F7E642C" w14:textId="77777777" w:rsidTr="00BD03F5">
        <w:trPr>
          <w:trHeight w:val="56"/>
          <w:jc w:val="center"/>
        </w:trPr>
        <w:tc>
          <w:tcPr>
            <w:tcW w:w="8647" w:type="dxa"/>
          </w:tcPr>
          <w:p w14:paraId="3A1B2982" w14:textId="77777777" w:rsidR="009F5E7D" w:rsidRDefault="009F5E7D" w:rsidP="00BD03F5">
            <w:pPr>
              <w:pStyle w:val="Textonotapie"/>
              <w:numPr>
                <w:ilvl w:val="0"/>
                <w:numId w:val="17"/>
              </w:numPr>
              <w:spacing w:line="276" w:lineRule="auto"/>
              <w:ind w:left="714" w:hanging="357"/>
              <w:jc w:val="both"/>
              <w:rPr>
                <w:rFonts w:ascii="Verdana" w:hAnsi="Verdana" w:cs="Arial"/>
                <w:sz w:val="22"/>
                <w:szCs w:val="22"/>
                <w:lang w:eastAsia="es-ES"/>
              </w:rPr>
            </w:pPr>
            <w:r>
              <w:rPr>
                <w:rFonts w:ascii="Verdana" w:hAnsi="Verdana" w:cs="Arial"/>
                <w:sz w:val="22"/>
                <w:szCs w:val="22"/>
                <w:lang w:eastAsia="es-ES"/>
              </w:rPr>
              <w:t xml:space="preserve">Constitución Política. Artículo 209. </w:t>
            </w:r>
          </w:p>
          <w:p w14:paraId="3F142217" w14:textId="77777777" w:rsidR="009F5E7D" w:rsidRDefault="009F5E7D" w:rsidP="00BD03F5">
            <w:pPr>
              <w:pStyle w:val="Textonotapie"/>
              <w:numPr>
                <w:ilvl w:val="0"/>
                <w:numId w:val="17"/>
              </w:numPr>
              <w:spacing w:line="276" w:lineRule="auto"/>
              <w:ind w:left="714" w:hanging="357"/>
              <w:jc w:val="both"/>
              <w:rPr>
                <w:rFonts w:ascii="Verdana" w:hAnsi="Verdana" w:cs="Arial"/>
                <w:sz w:val="22"/>
                <w:szCs w:val="22"/>
                <w:lang w:eastAsia="es-ES"/>
              </w:rPr>
            </w:pPr>
            <w:r>
              <w:rPr>
                <w:rFonts w:ascii="Verdana" w:hAnsi="Verdana" w:cs="Arial"/>
                <w:sz w:val="22"/>
                <w:szCs w:val="22"/>
                <w:lang w:eastAsia="es-ES"/>
              </w:rPr>
              <w:t xml:space="preserve">Ley 80 de 1993. Artículos 13, 32 y 40. </w:t>
            </w:r>
          </w:p>
          <w:p w14:paraId="026C993C" w14:textId="77777777" w:rsidR="009F5E7D" w:rsidRDefault="009F5E7D" w:rsidP="00BD03F5">
            <w:pPr>
              <w:pStyle w:val="Textonotapie"/>
              <w:numPr>
                <w:ilvl w:val="0"/>
                <w:numId w:val="17"/>
              </w:numPr>
              <w:spacing w:line="276" w:lineRule="auto"/>
              <w:ind w:left="714" w:hanging="357"/>
              <w:jc w:val="both"/>
              <w:rPr>
                <w:rFonts w:ascii="Verdana" w:hAnsi="Verdana" w:cs="Arial"/>
                <w:sz w:val="22"/>
                <w:szCs w:val="22"/>
                <w:lang w:eastAsia="es-ES"/>
              </w:rPr>
            </w:pPr>
            <w:r>
              <w:rPr>
                <w:rFonts w:ascii="Verdana" w:hAnsi="Verdana" w:cs="Arial"/>
                <w:sz w:val="22"/>
                <w:szCs w:val="22"/>
                <w:lang w:eastAsia="es-ES"/>
              </w:rPr>
              <w:t xml:space="preserve">Ley 489 de 1998. Artículo 95.  </w:t>
            </w:r>
          </w:p>
          <w:p w14:paraId="1B3F5436" w14:textId="77777777" w:rsidR="009F5E7D" w:rsidRDefault="009F5E7D" w:rsidP="00BD03F5">
            <w:pPr>
              <w:pStyle w:val="Textonotapie"/>
              <w:numPr>
                <w:ilvl w:val="0"/>
                <w:numId w:val="17"/>
              </w:numPr>
              <w:spacing w:line="276" w:lineRule="auto"/>
              <w:ind w:left="714" w:hanging="357"/>
              <w:jc w:val="both"/>
              <w:rPr>
                <w:rFonts w:ascii="Verdana" w:hAnsi="Verdana" w:cs="Arial"/>
                <w:sz w:val="22"/>
                <w:szCs w:val="22"/>
                <w:lang w:eastAsia="es-ES"/>
              </w:rPr>
            </w:pPr>
            <w:r w:rsidRPr="002A5358">
              <w:rPr>
                <w:rFonts w:ascii="Verdana" w:hAnsi="Verdana" w:cs="Arial"/>
                <w:sz w:val="22"/>
                <w:szCs w:val="22"/>
                <w:lang w:eastAsia="es-ES"/>
              </w:rPr>
              <w:t xml:space="preserve">Consejo de Estado. Sala de lo Contencioso Administrativo. Sección Tercera. Subsección B. Sentencia del 29 de febrero de 2012. </w:t>
            </w:r>
            <w:proofErr w:type="spellStart"/>
            <w:r w:rsidRPr="002A5358">
              <w:rPr>
                <w:rFonts w:ascii="Verdana" w:hAnsi="Verdana" w:cs="Arial"/>
                <w:sz w:val="22"/>
                <w:szCs w:val="22"/>
                <w:lang w:eastAsia="es-ES"/>
              </w:rPr>
              <w:t>Exp</w:t>
            </w:r>
            <w:proofErr w:type="spellEnd"/>
            <w:r w:rsidRPr="002A5358">
              <w:rPr>
                <w:rFonts w:ascii="Verdana" w:hAnsi="Verdana" w:cs="Arial"/>
                <w:sz w:val="22"/>
                <w:szCs w:val="22"/>
                <w:lang w:eastAsia="es-ES"/>
              </w:rPr>
              <w:t>. 16371, C.P: Danilo Rojas Betancourth.</w:t>
            </w:r>
          </w:p>
          <w:p w14:paraId="678E650C" w14:textId="77777777" w:rsidR="009F5E7D" w:rsidRDefault="009F5E7D" w:rsidP="00BD03F5">
            <w:pPr>
              <w:pStyle w:val="Textonotapie"/>
              <w:numPr>
                <w:ilvl w:val="0"/>
                <w:numId w:val="17"/>
              </w:numPr>
              <w:spacing w:line="276" w:lineRule="auto"/>
              <w:ind w:left="714" w:hanging="357"/>
              <w:jc w:val="both"/>
              <w:rPr>
                <w:rFonts w:ascii="Verdana" w:hAnsi="Verdana" w:cs="Arial"/>
                <w:sz w:val="22"/>
                <w:szCs w:val="22"/>
                <w:lang w:eastAsia="es-ES"/>
              </w:rPr>
            </w:pPr>
            <w:r w:rsidRPr="002A5358">
              <w:rPr>
                <w:rFonts w:ascii="Verdana" w:hAnsi="Verdana" w:cs="Arial"/>
                <w:sz w:val="22"/>
                <w:szCs w:val="22"/>
                <w:lang w:eastAsia="es-ES"/>
              </w:rPr>
              <w:t xml:space="preserve">Consejo de Estado. Sala de lo Contencioso Administrativo. Sección Tercera. Subsección B. Sentencia del 14 de octubre de 2011. </w:t>
            </w:r>
            <w:proofErr w:type="spellStart"/>
            <w:r w:rsidRPr="002A5358">
              <w:rPr>
                <w:rFonts w:ascii="Verdana" w:hAnsi="Verdana" w:cs="Arial"/>
                <w:sz w:val="22"/>
                <w:szCs w:val="22"/>
                <w:lang w:eastAsia="es-ES"/>
              </w:rPr>
              <w:t>Exp</w:t>
            </w:r>
            <w:proofErr w:type="spellEnd"/>
            <w:r w:rsidRPr="002A5358">
              <w:rPr>
                <w:rFonts w:ascii="Verdana" w:hAnsi="Verdana" w:cs="Arial"/>
                <w:sz w:val="22"/>
                <w:szCs w:val="22"/>
                <w:lang w:eastAsia="es-ES"/>
              </w:rPr>
              <w:t>. 20811, C.P. Ruth Stella Correa Palacio.</w:t>
            </w:r>
          </w:p>
          <w:p w14:paraId="5CC76E80" w14:textId="77777777" w:rsidR="009F5E7D" w:rsidRDefault="009F5E7D" w:rsidP="00BD03F5">
            <w:pPr>
              <w:pStyle w:val="Textonotapie"/>
              <w:numPr>
                <w:ilvl w:val="0"/>
                <w:numId w:val="17"/>
              </w:numPr>
              <w:spacing w:line="276" w:lineRule="auto"/>
              <w:ind w:left="714" w:hanging="357"/>
              <w:jc w:val="both"/>
              <w:rPr>
                <w:rFonts w:ascii="Verdana" w:hAnsi="Verdana" w:cs="Arial"/>
                <w:sz w:val="22"/>
                <w:szCs w:val="22"/>
                <w:lang w:eastAsia="es-ES"/>
              </w:rPr>
            </w:pPr>
            <w:r w:rsidRPr="002A5358">
              <w:rPr>
                <w:rFonts w:ascii="Verdana" w:hAnsi="Verdana" w:cs="Arial"/>
                <w:sz w:val="22"/>
                <w:szCs w:val="22"/>
                <w:lang w:eastAsia="es-ES"/>
              </w:rPr>
              <w:t>Consejo de Estado. Sala de Consulta y Servicio Civil. Concepto del 5 de septiembre de 2018, radicado No. 11001-03-06-000-2018-00124-00 C.P. Édgar González López.</w:t>
            </w:r>
          </w:p>
          <w:p w14:paraId="69E708FA" w14:textId="77777777" w:rsidR="009F5E7D" w:rsidRDefault="009F5E7D" w:rsidP="00BD03F5">
            <w:pPr>
              <w:pStyle w:val="Textonotapie"/>
              <w:numPr>
                <w:ilvl w:val="0"/>
                <w:numId w:val="17"/>
              </w:numPr>
              <w:spacing w:line="276" w:lineRule="auto"/>
              <w:ind w:left="714" w:hanging="357"/>
              <w:jc w:val="both"/>
              <w:rPr>
                <w:rFonts w:ascii="Verdana" w:hAnsi="Verdana" w:cs="Arial"/>
                <w:sz w:val="22"/>
                <w:szCs w:val="22"/>
                <w:lang w:eastAsia="es-ES"/>
              </w:rPr>
            </w:pPr>
            <w:r w:rsidRPr="00FF63C3">
              <w:rPr>
                <w:rFonts w:ascii="Verdana" w:hAnsi="Verdana" w:cs="Arial"/>
                <w:sz w:val="22"/>
                <w:szCs w:val="22"/>
                <w:lang w:eastAsia="es-ES"/>
              </w:rPr>
              <w:t>Consejo de Estado</w:t>
            </w:r>
            <w:r>
              <w:rPr>
                <w:rFonts w:ascii="Verdana" w:hAnsi="Verdana" w:cs="Arial"/>
                <w:sz w:val="22"/>
                <w:szCs w:val="22"/>
                <w:lang w:eastAsia="es-ES"/>
              </w:rPr>
              <w:t>.</w:t>
            </w:r>
            <w:r w:rsidRPr="00FF63C3">
              <w:rPr>
                <w:rFonts w:ascii="Verdana" w:hAnsi="Verdana" w:cs="Arial"/>
                <w:sz w:val="22"/>
                <w:szCs w:val="22"/>
                <w:lang w:eastAsia="es-ES"/>
              </w:rPr>
              <w:t xml:space="preserve"> Sala de lo Contencioso Administrativo</w:t>
            </w:r>
            <w:r>
              <w:rPr>
                <w:rFonts w:ascii="Verdana" w:hAnsi="Verdana" w:cs="Arial"/>
                <w:sz w:val="22"/>
                <w:szCs w:val="22"/>
                <w:lang w:eastAsia="es-ES"/>
              </w:rPr>
              <w:t>.</w:t>
            </w:r>
            <w:r w:rsidRPr="00FF63C3">
              <w:rPr>
                <w:rFonts w:ascii="Verdana" w:hAnsi="Verdana" w:cs="Arial"/>
                <w:sz w:val="22"/>
                <w:szCs w:val="22"/>
                <w:lang w:eastAsia="es-ES"/>
              </w:rPr>
              <w:t xml:space="preserve"> Sección Tercera</w:t>
            </w:r>
            <w:r>
              <w:rPr>
                <w:rFonts w:ascii="Verdana" w:hAnsi="Verdana" w:cs="Arial"/>
                <w:sz w:val="22"/>
                <w:szCs w:val="22"/>
                <w:lang w:eastAsia="es-ES"/>
              </w:rPr>
              <w:t>. S</w:t>
            </w:r>
            <w:r w:rsidRPr="00FF63C3">
              <w:rPr>
                <w:rFonts w:ascii="Verdana" w:hAnsi="Verdana" w:cs="Arial"/>
                <w:sz w:val="22"/>
                <w:szCs w:val="22"/>
                <w:lang w:eastAsia="es-ES"/>
              </w:rPr>
              <w:t xml:space="preserve">entencia de 23 de junio de 2010, </w:t>
            </w:r>
            <w:proofErr w:type="spellStart"/>
            <w:r w:rsidRPr="00FF63C3">
              <w:rPr>
                <w:rFonts w:ascii="Verdana" w:hAnsi="Verdana" w:cs="Arial"/>
                <w:sz w:val="22"/>
                <w:szCs w:val="22"/>
                <w:lang w:eastAsia="es-ES"/>
              </w:rPr>
              <w:t>exp</w:t>
            </w:r>
            <w:proofErr w:type="spellEnd"/>
            <w:r w:rsidRPr="00FF63C3">
              <w:rPr>
                <w:rFonts w:ascii="Verdana" w:hAnsi="Verdana" w:cs="Arial"/>
                <w:sz w:val="22"/>
                <w:szCs w:val="22"/>
                <w:lang w:eastAsia="es-ES"/>
              </w:rPr>
              <w:t>.</w:t>
            </w:r>
            <w:r>
              <w:rPr>
                <w:rFonts w:ascii="Verdana" w:hAnsi="Verdana" w:cs="Arial"/>
                <w:sz w:val="22"/>
                <w:szCs w:val="22"/>
                <w:lang w:eastAsia="es-ES"/>
              </w:rPr>
              <w:t xml:space="preserve"> </w:t>
            </w:r>
            <w:r w:rsidRPr="00FF63C3">
              <w:rPr>
                <w:rFonts w:ascii="Verdana" w:hAnsi="Verdana" w:cs="Arial"/>
                <w:sz w:val="22"/>
                <w:szCs w:val="22"/>
                <w:lang w:eastAsia="es-ES"/>
              </w:rPr>
              <w:t>17860.</w:t>
            </w:r>
            <w:r>
              <w:rPr>
                <w:rFonts w:ascii="Verdana" w:hAnsi="Verdana" w:cs="Arial"/>
                <w:sz w:val="22"/>
                <w:szCs w:val="22"/>
                <w:lang w:eastAsia="es-ES"/>
              </w:rPr>
              <w:t xml:space="preserve"> </w:t>
            </w:r>
            <w:r w:rsidRPr="00FF63C3">
              <w:rPr>
                <w:rFonts w:ascii="Verdana" w:hAnsi="Verdana" w:cs="Arial"/>
                <w:sz w:val="22"/>
                <w:szCs w:val="22"/>
                <w:lang w:eastAsia="es-ES"/>
              </w:rPr>
              <w:t>C.P: Mauricio Fajardo Gómez.</w:t>
            </w:r>
          </w:p>
          <w:p w14:paraId="5F504EE9" w14:textId="77777777" w:rsidR="009F5E7D" w:rsidRDefault="009F5E7D" w:rsidP="00BD03F5">
            <w:pPr>
              <w:pStyle w:val="Textonotapie"/>
              <w:numPr>
                <w:ilvl w:val="0"/>
                <w:numId w:val="17"/>
              </w:numPr>
              <w:spacing w:line="276" w:lineRule="auto"/>
              <w:ind w:left="714" w:hanging="357"/>
              <w:jc w:val="both"/>
              <w:rPr>
                <w:rFonts w:ascii="Verdana" w:hAnsi="Verdana" w:cs="Arial"/>
                <w:sz w:val="22"/>
                <w:szCs w:val="22"/>
                <w:lang w:eastAsia="es-ES"/>
              </w:rPr>
            </w:pPr>
            <w:r w:rsidRPr="00FF63C3">
              <w:rPr>
                <w:rFonts w:ascii="Verdana" w:hAnsi="Verdana" w:cs="Arial"/>
                <w:sz w:val="22"/>
                <w:szCs w:val="22"/>
                <w:lang w:eastAsia="es-ES"/>
              </w:rPr>
              <w:t xml:space="preserve">Consejo de Estado. Sala de Consulta y Servicio Civil. Concepto 26 de julio de 2016. </w:t>
            </w:r>
            <w:proofErr w:type="spellStart"/>
            <w:r w:rsidRPr="00FF63C3">
              <w:rPr>
                <w:rFonts w:ascii="Verdana" w:hAnsi="Verdana" w:cs="Arial"/>
                <w:sz w:val="22"/>
                <w:szCs w:val="22"/>
                <w:lang w:eastAsia="es-ES"/>
              </w:rPr>
              <w:t>Exp</w:t>
            </w:r>
            <w:proofErr w:type="spellEnd"/>
            <w:r w:rsidRPr="00FF63C3">
              <w:rPr>
                <w:rFonts w:ascii="Verdana" w:hAnsi="Verdana" w:cs="Arial"/>
                <w:sz w:val="22"/>
                <w:szCs w:val="22"/>
                <w:lang w:eastAsia="es-ES"/>
              </w:rPr>
              <w:t>. 2.257. C.P. Álvaro Namén Vargas.</w:t>
            </w:r>
          </w:p>
          <w:p w14:paraId="26F036A9" w14:textId="77777777" w:rsidR="009F5E7D" w:rsidRPr="00FF63C3" w:rsidRDefault="009F5E7D" w:rsidP="00BD03F5">
            <w:pPr>
              <w:pStyle w:val="Textonotapie"/>
              <w:numPr>
                <w:ilvl w:val="0"/>
                <w:numId w:val="17"/>
              </w:numPr>
              <w:spacing w:line="276" w:lineRule="auto"/>
              <w:ind w:left="714" w:hanging="357"/>
              <w:jc w:val="both"/>
              <w:rPr>
                <w:rFonts w:ascii="Verdana" w:hAnsi="Verdana" w:cs="Arial"/>
                <w:sz w:val="22"/>
                <w:szCs w:val="22"/>
                <w:lang w:eastAsia="es-ES"/>
              </w:rPr>
            </w:pPr>
            <w:r w:rsidRPr="00FF63C3">
              <w:rPr>
                <w:rFonts w:ascii="Verdana" w:hAnsi="Verdana" w:cs="Arial"/>
                <w:sz w:val="22"/>
                <w:szCs w:val="22"/>
                <w:lang w:eastAsia="es-ES"/>
              </w:rPr>
              <w:t xml:space="preserve">Consejo de Estado. Sala de lo Contencioso Administrativo. Sección Tercera. Auto del 4 de octubre de 2024. </w:t>
            </w:r>
            <w:proofErr w:type="spellStart"/>
            <w:r w:rsidRPr="00FF63C3">
              <w:rPr>
                <w:rFonts w:ascii="Verdana" w:hAnsi="Verdana" w:cs="Arial"/>
                <w:sz w:val="22"/>
                <w:szCs w:val="22"/>
                <w:lang w:eastAsia="es-ES"/>
              </w:rPr>
              <w:t>Exp</w:t>
            </w:r>
            <w:proofErr w:type="spellEnd"/>
            <w:r w:rsidRPr="00FF63C3">
              <w:rPr>
                <w:rFonts w:ascii="Verdana" w:hAnsi="Verdana" w:cs="Arial"/>
                <w:sz w:val="22"/>
                <w:szCs w:val="22"/>
                <w:lang w:eastAsia="es-ES"/>
              </w:rPr>
              <w:t xml:space="preserve"> 70313. C.P: Fredy Ibarra Martínez.</w:t>
            </w:r>
          </w:p>
          <w:p w14:paraId="686DA817" w14:textId="77777777" w:rsidR="009F5E7D" w:rsidRPr="00FF63C3" w:rsidRDefault="009F5E7D" w:rsidP="00BD03F5">
            <w:pPr>
              <w:pStyle w:val="Textonotapie"/>
              <w:numPr>
                <w:ilvl w:val="0"/>
                <w:numId w:val="17"/>
              </w:numPr>
              <w:spacing w:line="276" w:lineRule="auto"/>
              <w:ind w:left="714" w:hanging="357"/>
              <w:jc w:val="both"/>
              <w:rPr>
                <w:rFonts w:ascii="Verdana" w:hAnsi="Verdana" w:cs="Arial"/>
                <w:sz w:val="22"/>
                <w:szCs w:val="22"/>
                <w:lang w:eastAsia="es-ES"/>
              </w:rPr>
            </w:pPr>
            <w:r w:rsidRPr="00FF63C3">
              <w:rPr>
                <w:rFonts w:ascii="Verdana" w:eastAsia="Times New Roman" w:hAnsi="Verdana" w:cs="Arial"/>
                <w:color w:val="000000"/>
                <w:sz w:val="22"/>
                <w:szCs w:val="22"/>
                <w:lang w:val="es-CO" w:eastAsia="es-ES"/>
              </w:rPr>
              <w:t>Consejo de Estado. Sala de lo Contencioso Administrativo. Sección Tercera. Sentencia del 14 de junio del 2019, Radicación Número: 25000-23-37-000-2010-02552-01(AP).</w:t>
            </w:r>
          </w:p>
          <w:p w14:paraId="51D66B1F" w14:textId="77777777" w:rsidR="009F5E7D" w:rsidRDefault="009F5E7D" w:rsidP="00BD03F5">
            <w:pPr>
              <w:pStyle w:val="Textonotapie"/>
              <w:numPr>
                <w:ilvl w:val="0"/>
                <w:numId w:val="17"/>
              </w:numPr>
              <w:spacing w:line="276" w:lineRule="auto"/>
              <w:ind w:left="714" w:hanging="357"/>
              <w:jc w:val="both"/>
              <w:rPr>
                <w:rFonts w:ascii="Verdana" w:hAnsi="Verdana" w:cs="Arial"/>
                <w:sz w:val="22"/>
                <w:szCs w:val="22"/>
                <w:lang w:eastAsia="es-ES"/>
              </w:rPr>
            </w:pPr>
            <w:r w:rsidRPr="00FF63C3">
              <w:rPr>
                <w:rFonts w:ascii="Verdana" w:hAnsi="Verdana" w:cs="Arial"/>
                <w:sz w:val="22"/>
                <w:szCs w:val="22"/>
                <w:lang w:eastAsia="es-ES"/>
              </w:rPr>
              <w:t>Consejo de Estado. Sala de lo Contencioso Administrativo. Sección Tercera. Sentencia del 21 de febrero de 2025. Radicación Número: 68.280. C.P: José Roberto Sáchica Méndez.</w:t>
            </w:r>
          </w:p>
          <w:p w14:paraId="29D86C44" w14:textId="77777777" w:rsidR="009F5E7D" w:rsidRPr="00FF63C3" w:rsidRDefault="009F5E7D" w:rsidP="00BD03F5">
            <w:pPr>
              <w:pStyle w:val="Textonotapie"/>
              <w:numPr>
                <w:ilvl w:val="0"/>
                <w:numId w:val="17"/>
              </w:numPr>
              <w:spacing w:line="276" w:lineRule="auto"/>
              <w:ind w:left="714" w:hanging="357"/>
              <w:jc w:val="both"/>
              <w:rPr>
                <w:rFonts w:ascii="Verdana" w:hAnsi="Verdana" w:cs="Arial"/>
                <w:sz w:val="22"/>
                <w:szCs w:val="22"/>
                <w:lang w:eastAsia="es-ES"/>
              </w:rPr>
            </w:pPr>
            <w:r w:rsidRPr="00FF63C3">
              <w:rPr>
                <w:rFonts w:ascii="Verdana" w:hAnsi="Verdana" w:cs="Arial"/>
                <w:sz w:val="22"/>
                <w:szCs w:val="22"/>
                <w:lang w:eastAsia="es-ES"/>
              </w:rPr>
              <w:t>Corte Constitucional, Sentencia C-221 de 22 de mayo de 2019. M.P. Carlos Bernal Pulido</w:t>
            </w:r>
            <w:r>
              <w:rPr>
                <w:rFonts w:ascii="Verdana" w:hAnsi="Verdana" w:cs="Arial"/>
                <w:sz w:val="22"/>
                <w:szCs w:val="22"/>
                <w:lang w:eastAsia="es-ES"/>
              </w:rPr>
              <w:t>.</w:t>
            </w:r>
          </w:p>
          <w:p w14:paraId="6EBE24AC" w14:textId="77777777" w:rsidR="009F5E7D" w:rsidRPr="00FF63C3" w:rsidRDefault="009F5E7D" w:rsidP="00BD03F5">
            <w:pPr>
              <w:pStyle w:val="Textonotapie"/>
              <w:numPr>
                <w:ilvl w:val="0"/>
                <w:numId w:val="17"/>
              </w:numPr>
              <w:spacing w:line="276" w:lineRule="auto"/>
              <w:ind w:left="714" w:hanging="357"/>
              <w:jc w:val="both"/>
              <w:rPr>
                <w:rFonts w:ascii="Verdana" w:hAnsi="Verdana" w:cs="Arial"/>
                <w:sz w:val="22"/>
                <w:szCs w:val="22"/>
                <w:lang w:eastAsia="es-ES"/>
              </w:rPr>
            </w:pPr>
            <w:r w:rsidRPr="00FF63C3">
              <w:rPr>
                <w:rFonts w:ascii="Verdana" w:eastAsia="Times New Roman" w:hAnsi="Verdana" w:cs="Arial"/>
                <w:color w:val="000000"/>
                <w:sz w:val="22"/>
                <w:szCs w:val="22"/>
                <w:lang w:val="es-CO" w:eastAsia="es-ES"/>
              </w:rPr>
              <w:t>MARÍN CORTÉS, Fabián. El precio. Serie: Las cláusulas del contrato estatal. Medellín: Librería Jurídica Sánchez y Centro de Estudios de Derecho Administrativo –CEDA–, 2012.</w:t>
            </w:r>
            <w:r>
              <w:t xml:space="preserve"> </w:t>
            </w:r>
          </w:p>
          <w:p w14:paraId="0F91CEA0" w14:textId="77777777" w:rsidR="009F5E7D" w:rsidRPr="00FF63C3" w:rsidRDefault="009F5E7D" w:rsidP="00BD03F5">
            <w:pPr>
              <w:pStyle w:val="Textonotapie"/>
              <w:numPr>
                <w:ilvl w:val="0"/>
                <w:numId w:val="17"/>
              </w:numPr>
              <w:spacing w:line="276" w:lineRule="auto"/>
              <w:ind w:left="714" w:hanging="357"/>
              <w:jc w:val="both"/>
              <w:rPr>
                <w:rFonts w:ascii="Verdana" w:hAnsi="Verdana" w:cs="Arial"/>
                <w:sz w:val="22"/>
                <w:szCs w:val="22"/>
                <w:lang w:eastAsia="es-ES"/>
              </w:rPr>
            </w:pPr>
            <w:r w:rsidRPr="002A5358">
              <w:rPr>
                <w:rFonts w:ascii="Verdana" w:eastAsia="Times New Roman" w:hAnsi="Verdana" w:cs="Arial"/>
                <w:color w:val="000000"/>
                <w:sz w:val="22"/>
                <w:szCs w:val="22"/>
                <w:lang w:val="es-CO" w:eastAsia="es-ES"/>
              </w:rPr>
              <w:t>PINO RICCI, Jorge. El régimen jurídico de los contratos estatales. Universidad Externado de Colombia. Bogotá, 2005</w:t>
            </w:r>
            <w:r>
              <w:rPr>
                <w:rFonts w:ascii="Verdana" w:eastAsia="Times New Roman" w:hAnsi="Verdana" w:cs="Arial"/>
                <w:color w:val="000000"/>
                <w:sz w:val="22"/>
                <w:szCs w:val="22"/>
                <w:lang w:val="es-CO" w:eastAsia="es-ES"/>
              </w:rPr>
              <w:t>.</w:t>
            </w:r>
          </w:p>
          <w:p w14:paraId="67B09894" w14:textId="77777777" w:rsidR="009F5E7D" w:rsidRDefault="009F5E7D" w:rsidP="00BD03F5">
            <w:pPr>
              <w:pStyle w:val="Textonotapie"/>
              <w:numPr>
                <w:ilvl w:val="0"/>
                <w:numId w:val="17"/>
              </w:numPr>
              <w:spacing w:line="276" w:lineRule="auto"/>
              <w:ind w:left="714" w:hanging="357"/>
              <w:jc w:val="both"/>
              <w:rPr>
                <w:rFonts w:ascii="Verdana" w:hAnsi="Verdana" w:cs="Arial"/>
                <w:sz w:val="22"/>
                <w:szCs w:val="22"/>
                <w:lang w:eastAsia="es-ES"/>
              </w:rPr>
            </w:pPr>
            <w:r w:rsidRPr="00FF63C3">
              <w:rPr>
                <w:rFonts w:ascii="Verdana" w:hAnsi="Verdana" w:cs="Arial"/>
                <w:sz w:val="22"/>
                <w:szCs w:val="22"/>
                <w:lang w:eastAsia="es-ES"/>
              </w:rPr>
              <w:t>Expósito Vélez, Juan Carlos. “La configuración del contrato de la administración pública en derecho colombiano y español”. Bogotá, universidad Externado de Colombia, 2003</w:t>
            </w:r>
            <w:r>
              <w:rPr>
                <w:rFonts w:ascii="Verdana" w:hAnsi="Verdana" w:cs="Arial"/>
                <w:sz w:val="22"/>
                <w:szCs w:val="22"/>
                <w:lang w:eastAsia="es-ES"/>
              </w:rPr>
              <w:t>.</w:t>
            </w:r>
          </w:p>
          <w:p w14:paraId="7CDA5867" w14:textId="77777777" w:rsidR="009F5E7D" w:rsidRPr="00A374FD" w:rsidRDefault="009F5E7D" w:rsidP="00BD03F5">
            <w:pPr>
              <w:pStyle w:val="Textonotapie"/>
              <w:numPr>
                <w:ilvl w:val="0"/>
                <w:numId w:val="17"/>
              </w:numPr>
              <w:spacing w:line="276" w:lineRule="auto"/>
              <w:ind w:left="714" w:hanging="357"/>
              <w:jc w:val="both"/>
              <w:rPr>
                <w:rFonts w:ascii="Verdana" w:hAnsi="Verdana" w:cs="Arial"/>
                <w:sz w:val="22"/>
                <w:szCs w:val="22"/>
                <w:lang w:eastAsia="es-ES"/>
              </w:rPr>
            </w:pPr>
            <w:r w:rsidRPr="00FF63C3">
              <w:rPr>
                <w:rFonts w:ascii="Verdana" w:hAnsi="Verdana" w:cs="Arial"/>
                <w:sz w:val="22"/>
                <w:szCs w:val="22"/>
                <w:lang w:eastAsia="es-ES"/>
              </w:rPr>
              <w:t>SANTOS RODRÍGUEZ, Jorge Enrique. Consideraciones sobre los contratos y convenios interadministrativos. En: Revista Digital de Derecho Administrativo, 2008.</w:t>
            </w:r>
          </w:p>
        </w:tc>
      </w:tr>
    </w:tbl>
    <w:p w14:paraId="4623E740" w14:textId="77777777" w:rsidR="009F5E7D" w:rsidRDefault="009F5E7D" w:rsidP="009F5E7D">
      <w:pPr>
        <w:tabs>
          <w:tab w:val="left" w:pos="142"/>
          <w:tab w:val="left" w:pos="284"/>
          <w:tab w:val="left" w:pos="3828"/>
        </w:tabs>
        <w:spacing w:after="0" w:line="276" w:lineRule="auto"/>
        <w:jc w:val="both"/>
        <w:rPr>
          <w:rFonts w:ascii="Verdana" w:eastAsia="Century Gothic" w:hAnsi="Verdana" w:cs="Century Gothic"/>
          <w:b/>
          <w:bCs/>
        </w:rPr>
      </w:pPr>
    </w:p>
    <w:p w14:paraId="3C91249D" w14:textId="77777777" w:rsidR="009F5E7D" w:rsidRPr="0091091D" w:rsidRDefault="009F5E7D" w:rsidP="009F5E7D">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27367A45" w14:textId="77777777" w:rsidR="009F5E7D" w:rsidRPr="007A3DD4" w:rsidRDefault="009F5E7D" w:rsidP="009F5E7D">
      <w:pPr>
        <w:widowControl w:val="0"/>
        <w:autoSpaceDE w:val="0"/>
        <w:autoSpaceDN w:val="0"/>
        <w:spacing w:after="0" w:line="240" w:lineRule="auto"/>
        <w:jc w:val="both"/>
        <w:rPr>
          <w:rStyle w:val="normaltextrun"/>
          <w:rFonts w:ascii="Verdana" w:hAnsi="Verdana" w:cs="Arial"/>
          <w:shd w:val="clear" w:color="auto" w:fill="FFFFFF"/>
        </w:rPr>
      </w:pPr>
    </w:p>
    <w:p w14:paraId="6FFD7DBC" w14:textId="77777777" w:rsidR="009F5E7D" w:rsidRDefault="009F5E7D" w:rsidP="009F5E7D">
      <w:pPr>
        <w:widowControl w:val="0"/>
        <w:autoSpaceDE w:val="0"/>
        <w:autoSpaceDN w:val="0"/>
        <w:spacing w:after="120" w:line="276" w:lineRule="auto"/>
        <w:jc w:val="both"/>
        <w:rPr>
          <w:rFonts w:ascii="Verdana" w:eastAsia="Calibri" w:hAnsi="Verdana" w:cs="Arial"/>
          <w:lang w:eastAsia="es-ES"/>
        </w:rPr>
      </w:pPr>
      <w:r w:rsidRPr="00E37903">
        <w:rPr>
          <w:rFonts w:ascii="Verdana" w:eastAsia="Calibri" w:hAnsi="Verdana" w:cs="Arial"/>
          <w:lang w:eastAsia="es-ES"/>
        </w:rPr>
        <w:t xml:space="preserve">La Agencia Nacional de Contratación Pública – Colombia Compra Eficiente se ha pronunciado sobre </w:t>
      </w:r>
      <w:r w:rsidRPr="00D26CAF">
        <w:rPr>
          <w:rFonts w:ascii="Verdana" w:eastAsia="Calibri" w:hAnsi="Verdana" w:cs="Arial"/>
          <w:lang w:eastAsia="es-ES"/>
        </w:rPr>
        <w:t xml:space="preserve">pronunciado </w:t>
      </w:r>
      <w:r>
        <w:rPr>
          <w:rFonts w:ascii="Verdana" w:eastAsia="Calibri" w:hAnsi="Verdana" w:cs="Arial"/>
          <w:lang w:eastAsia="es-ES"/>
        </w:rPr>
        <w:t>s</w:t>
      </w:r>
      <w:r w:rsidRPr="00D26CAF">
        <w:rPr>
          <w:rFonts w:ascii="Verdana" w:eastAsia="Calibri" w:hAnsi="Verdana" w:cs="Arial"/>
          <w:lang w:eastAsia="es-ES"/>
        </w:rPr>
        <w:t xml:space="preserve">obre el AIU en los </w:t>
      </w:r>
      <w:r>
        <w:rPr>
          <w:rFonts w:ascii="Verdana" w:eastAsia="Calibri" w:hAnsi="Verdana" w:cs="Arial"/>
          <w:lang w:eastAsia="es-ES"/>
        </w:rPr>
        <w:t>c</w:t>
      </w:r>
      <w:r w:rsidRPr="00D26CAF">
        <w:rPr>
          <w:rFonts w:ascii="Verdana" w:eastAsia="Calibri" w:hAnsi="Verdana" w:cs="Arial"/>
          <w:lang w:eastAsia="es-ES"/>
        </w:rPr>
        <w:t>onceptos C–037 del 28 de enero de 2020, 4202012000000664 del 30 de enero de 2020, C-191 del 16 de marzo de 2020, C-211 del 8 de abril de 2020, C-714 del 9 de diciembre de 2020, C-059 del 10 de marzo de 2021, C-613 del 6 de octubre de 2022, C-716 de 15 de noviembre de 2022, C-802 de 23 de noviembre de 2022, C-854 del 9 de diciembre de 2022, C-914 del 27 de diciembre de 2022, C-361 de septiembre de 2023</w:t>
      </w:r>
      <w:r>
        <w:rPr>
          <w:rFonts w:ascii="Verdana" w:eastAsia="Calibri" w:hAnsi="Verdana" w:cs="Arial"/>
          <w:lang w:eastAsia="es-ES"/>
        </w:rPr>
        <w:t xml:space="preserve">, </w:t>
      </w:r>
      <w:r w:rsidRPr="00D26CAF">
        <w:rPr>
          <w:rFonts w:ascii="Verdana" w:eastAsia="Calibri" w:hAnsi="Verdana" w:cs="Arial"/>
          <w:lang w:eastAsia="es-ES"/>
        </w:rPr>
        <w:t>C-401 del 27 de septiembre de 2023</w:t>
      </w:r>
      <w:r>
        <w:rPr>
          <w:rFonts w:ascii="Verdana" w:eastAsia="Calibri" w:hAnsi="Verdana" w:cs="Arial"/>
          <w:lang w:eastAsia="es-ES"/>
        </w:rPr>
        <w:t xml:space="preserve">, C-455 del 18 de septiembre de 2024, </w:t>
      </w:r>
      <w:r w:rsidRPr="00D26CAF">
        <w:rPr>
          <w:rFonts w:ascii="Verdana" w:eastAsia="Calibri" w:hAnsi="Verdana" w:cs="Arial"/>
          <w:lang w:val="es-ES" w:eastAsia="es-ES"/>
        </w:rPr>
        <w:t>C-624 del 2 de julio de 2025, entre otros</w:t>
      </w:r>
      <w:r w:rsidRPr="00D26CAF">
        <w:rPr>
          <w:rFonts w:ascii="Verdana" w:eastAsia="Calibri" w:hAnsi="Verdana" w:cs="Arial"/>
          <w:lang w:eastAsia="es-ES"/>
        </w:rPr>
        <w:t xml:space="preserve">. </w:t>
      </w:r>
    </w:p>
    <w:p w14:paraId="6ACD78E0" w14:textId="77777777" w:rsidR="009F5E7D" w:rsidRDefault="009F5E7D" w:rsidP="009F5E7D">
      <w:pPr>
        <w:widowControl w:val="0"/>
        <w:autoSpaceDE w:val="0"/>
        <w:autoSpaceDN w:val="0"/>
        <w:spacing w:after="0" w:line="240" w:lineRule="auto"/>
        <w:jc w:val="both"/>
        <w:rPr>
          <w:rFonts w:ascii="Verdana" w:eastAsia="Calibri" w:hAnsi="Verdana" w:cs="Arial"/>
          <w:lang w:eastAsia="es-ES"/>
        </w:rPr>
      </w:pPr>
    </w:p>
    <w:p w14:paraId="67A312A6" w14:textId="77777777" w:rsidR="009F5E7D" w:rsidRDefault="009F5E7D" w:rsidP="009F5E7D">
      <w:pPr>
        <w:widowControl w:val="0"/>
        <w:autoSpaceDE w:val="0"/>
        <w:autoSpaceDN w:val="0"/>
        <w:spacing w:after="120" w:line="276" w:lineRule="auto"/>
        <w:jc w:val="both"/>
        <w:rPr>
          <w:rFonts w:ascii="Verdana" w:hAnsi="Verdana" w:cs="Arial"/>
          <w:color w:val="000000" w:themeColor="text1"/>
          <w:shd w:val="clear" w:color="auto" w:fill="FFFFFF"/>
        </w:rPr>
      </w:pPr>
      <w:r>
        <w:rPr>
          <w:rFonts w:ascii="Verdana" w:eastAsia="Calibri" w:hAnsi="Verdana" w:cs="Arial"/>
          <w:lang w:eastAsia="es-ES"/>
        </w:rPr>
        <w:t xml:space="preserve">Por otro lado, sobre </w:t>
      </w:r>
      <w:r w:rsidRPr="00E37903">
        <w:rPr>
          <w:rFonts w:ascii="Verdana" w:eastAsia="Calibri" w:hAnsi="Verdana" w:cs="Arial"/>
          <w:lang w:eastAsia="es-ES"/>
        </w:rPr>
        <w:t xml:space="preserve">la diferencia de los contratos y convenios interadministrativos </w:t>
      </w:r>
      <w:r>
        <w:rPr>
          <w:rFonts w:ascii="Verdana" w:eastAsia="Calibri" w:hAnsi="Verdana" w:cs="Arial"/>
          <w:lang w:eastAsia="es-ES"/>
        </w:rPr>
        <w:t xml:space="preserve">la Subdirección se ha pronunciado en </w:t>
      </w:r>
      <w:r w:rsidRPr="00E37903">
        <w:rPr>
          <w:rFonts w:ascii="Verdana" w:eastAsia="Calibri" w:hAnsi="Verdana" w:cs="Arial"/>
          <w:lang w:eastAsia="es-ES"/>
        </w:rPr>
        <w:t xml:space="preserve">los conceptos </w:t>
      </w:r>
      <w:r>
        <w:rPr>
          <w:rFonts w:ascii="Verdana" w:eastAsia="Calibri" w:hAnsi="Verdana" w:cs="Arial"/>
          <w:lang w:eastAsia="es-ES"/>
        </w:rPr>
        <w:t xml:space="preserve">C-490 del 23 de mayo de 2025, </w:t>
      </w:r>
      <w:r w:rsidRPr="00E37903">
        <w:rPr>
          <w:rFonts w:ascii="Verdana" w:eastAsia="Calibri" w:hAnsi="Verdana" w:cs="Arial"/>
          <w:lang w:eastAsia="es-ES"/>
        </w:rPr>
        <w:t xml:space="preserve">C-422 del 28 de abril de 2026, C-479 del 6 de mayo de 2026, </w:t>
      </w:r>
      <w:r w:rsidRPr="00E37903">
        <w:rPr>
          <w:rFonts w:ascii="Verdana" w:hAnsi="Verdana" w:cs="Arial"/>
          <w:shd w:val="clear" w:color="auto" w:fill="FFFFFF"/>
          <w:lang w:val="es-ES"/>
        </w:rPr>
        <w:t xml:space="preserve">entre otros. </w:t>
      </w:r>
      <w:r w:rsidRPr="00E37903">
        <w:rPr>
          <w:rFonts w:ascii="Verdana" w:hAnsi="Verdana" w:cs="Arial"/>
        </w:rPr>
        <w:t xml:space="preserve">Estos y otros </w:t>
      </w:r>
      <w:r w:rsidRPr="00E37903">
        <w:rPr>
          <w:rFonts w:ascii="Verdana" w:hAnsi="Verdana"/>
        </w:rPr>
        <w:t>conceptos se encuentran disponibles para consulta en el Sistema de</w:t>
      </w:r>
      <w:r w:rsidRPr="00622C01">
        <w:rPr>
          <w:rFonts w:ascii="Verdana" w:hAnsi="Verdana"/>
        </w:rPr>
        <w:t xml:space="preserve"> relatoría de la Agencia, al cual se puede acceder a través del siguiente enlace:</w:t>
      </w:r>
      <w:r w:rsidRPr="00622C01">
        <w:rPr>
          <w:rFonts w:ascii="Verdana" w:hAnsi="Verdana" w:cs="Arial"/>
          <w:shd w:val="clear" w:color="auto" w:fill="FFFFFF"/>
        </w:rPr>
        <w:t xml:space="preserve"> </w:t>
      </w:r>
      <w:hyperlink r:id="rId12" w:history="1">
        <w:r w:rsidRPr="00622C01">
          <w:rPr>
            <w:rFonts w:ascii="Verdana" w:hAnsi="Verdana" w:cs="Arial"/>
            <w:color w:val="0563C1" w:themeColor="hyperlink"/>
            <w:u w:val="single"/>
            <w:shd w:val="clear" w:color="auto" w:fill="FFFFFF"/>
          </w:rPr>
          <w:t>https://relatoria.colombiacompra.gov.co/busqueda/conceptos</w:t>
        </w:r>
      </w:hyperlink>
      <w:r w:rsidRPr="00622C01">
        <w:rPr>
          <w:rFonts w:ascii="Verdana" w:hAnsi="Verdana" w:cs="Arial"/>
          <w:shd w:val="clear" w:color="auto" w:fill="FFFFFF"/>
        </w:rPr>
        <w:t>.</w:t>
      </w:r>
      <w:r w:rsidRPr="00147D6A">
        <w:rPr>
          <w:rFonts w:ascii="Verdana" w:hAnsi="Verdana" w:cs="Arial"/>
          <w:color w:val="FF0000"/>
          <w:shd w:val="clear" w:color="auto" w:fill="FFFFFF"/>
        </w:rPr>
        <w:t xml:space="preserve"> </w:t>
      </w:r>
    </w:p>
    <w:p w14:paraId="760F4C15" w14:textId="77777777" w:rsidR="009F5E7D" w:rsidRPr="00AB4B99" w:rsidRDefault="009F5E7D" w:rsidP="009F5E7D">
      <w:pPr>
        <w:widowControl w:val="0"/>
        <w:autoSpaceDE w:val="0"/>
        <w:autoSpaceDN w:val="0"/>
        <w:spacing w:after="120" w:line="276" w:lineRule="auto"/>
        <w:jc w:val="both"/>
        <w:rPr>
          <w:rFonts w:ascii="Verdana" w:hAnsi="Verdana" w:cs="Arial"/>
          <w:shd w:val="clear" w:color="auto" w:fill="FFFFFF"/>
        </w:rPr>
      </w:pPr>
      <w:r w:rsidRPr="00147D6A">
        <w:rPr>
          <w:rFonts w:ascii="Verdana" w:hAnsi="Verdana"/>
        </w:rPr>
        <w:t>La sostenibilidad no es una opción, es una obligación. Por ello</w:t>
      </w:r>
      <w:r w:rsidRPr="009A385A">
        <w:rPr>
          <w:rFonts w:ascii="Verdana" w:hAnsi="Verdana"/>
        </w:rPr>
        <w:t xml:space="preserve">,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8746BD">
          <w:rPr>
            <w:rStyle w:val="Hipervnculo"/>
            <w:rFonts w:ascii="Verdana" w:hAnsi="Verdana"/>
          </w:rPr>
          <w:t>https://formacionvirtual.colombiacompra.gov.co/mod/page/view.php?id=3718</w:t>
        </w:r>
      </w:hyperlink>
    </w:p>
    <w:p w14:paraId="43E6C368" w14:textId="77777777" w:rsidR="009F5E7D" w:rsidRDefault="009F5E7D" w:rsidP="009F5E7D">
      <w:pPr>
        <w:widowControl w:val="0"/>
        <w:autoSpaceDE w:val="0"/>
        <w:autoSpaceDN w:val="0"/>
        <w:spacing w:after="0" w:line="240" w:lineRule="auto"/>
        <w:jc w:val="both"/>
        <w:rPr>
          <w:rFonts w:ascii="Verdana" w:hAnsi="Verdana"/>
        </w:rPr>
      </w:pPr>
    </w:p>
    <w:p w14:paraId="06E33757" w14:textId="77777777" w:rsidR="009F5E7D" w:rsidRPr="000E1EA7" w:rsidRDefault="009F5E7D" w:rsidP="009F5E7D">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0E1EA7">
        <w:rPr>
          <w:rFonts w:ascii="Verdana" w:hAnsi="Verdana"/>
          <w:b/>
          <w:bCs/>
        </w:rPr>
        <w:t>Resoluciones 539, 540, 541, 952 y 953 de 2025</w:t>
      </w:r>
      <w:r w:rsidRPr="000E1EA7">
        <w:rPr>
          <w:rFonts w:ascii="Verdana" w:hAnsi="Verdana"/>
        </w:rPr>
        <w:t xml:space="preserve">, </w:t>
      </w:r>
      <w:r w:rsidRPr="000E1EA7">
        <w:rPr>
          <w:rFonts w:ascii="Verdana" w:hAnsi="Verdana"/>
          <w:b/>
          <w:bCs/>
        </w:rPr>
        <w:t>mediante las cuales adoptó Documentos Tipo</w:t>
      </w:r>
      <w:r w:rsidRPr="000E1EA7">
        <w:rPr>
          <w:rFonts w:ascii="Verdana" w:hAnsi="Verdana"/>
        </w:rPr>
        <w:t xml:space="preserve"> para las modalidades de selección de</w:t>
      </w:r>
      <w:r w:rsidRPr="000E1EA7">
        <w:rPr>
          <w:rFonts w:ascii="Verdana" w:hAnsi="Verdana"/>
          <w:b/>
          <w:bCs/>
        </w:rPr>
        <w:t xml:space="preserve"> licitación pública (versión 2), selección abreviada de menor cuantía, mínima cuantía, consultoría e interventoría</w:t>
      </w:r>
      <w:r w:rsidRPr="000E1EA7">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0E1EA7">
          <w:rPr>
            <w:rStyle w:val="Hipervnculo"/>
            <w:rFonts w:ascii="Verdana" w:hAnsi="Verdana"/>
          </w:rPr>
          <w:t>https://www.colombiacompra.gov.co/normativa-y-relatoria/documentos-tipo</w:t>
        </w:r>
      </w:hyperlink>
    </w:p>
    <w:p w14:paraId="74EF0104" w14:textId="77777777" w:rsidR="009F5E7D" w:rsidRDefault="009F5E7D" w:rsidP="009F5E7D">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8746BD">
        <w:rPr>
          <w:rFonts w:ascii="Verdana" w:hAnsi="Verdana"/>
        </w:rPr>
        <w:t>Además se incluyeron lineamientos que orientan la implementación de los criterios ambientales y sociales incluidos en los documentos tipo: Consulta la guía aquí:</w:t>
      </w:r>
      <w:r w:rsidRPr="008746BD">
        <w:rPr>
          <w:rFonts w:ascii="Verdana" w:hAnsi="Verdana"/>
        </w:rPr>
        <w:br/>
      </w:r>
      <w:hyperlink r:id="rId15" w:tgtFrame="_new" w:history="1">
        <w:r w:rsidRPr="008746BD">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006EB58" w14:textId="77777777" w:rsidR="009F5E7D" w:rsidRPr="007A3DD4" w:rsidRDefault="009F5E7D" w:rsidP="009F5E7D">
      <w:pPr>
        <w:widowControl w:val="0"/>
        <w:autoSpaceDE w:val="0"/>
        <w:autoSpaceDN w:val="0"/>
        <w:spacing w:after="120" w:line="276" w:lineRule="auto"/>
        <w:jc w:val="both"/>
        <w:rPr>
          <w:rFonts w:ascii="Verdana" w:hAnsi="Verdana" w:cs="Arial"/>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747F503A" w14:textId="77777777" w:rsidR="009F5E7D" w:rsidRPr="00116940" w:rsidRDefault="009F5E7D" w:rsidP="009F5E7D">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5335C94A" w14:textId="77777777" w:rsidR="009F5E7D" w:rsidRPr="00116940" w:rsidRDefault="009F5E7D" w:rsidP="009F5E7D">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5177FE6A" w14:textId="77777777" w:rsidR="009F5E7D" w:rsidRPr="00116940" w:rsidRDefault="009F5E7D" w:rsidP="009F5E7D">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0367FCE2" w14:textId="77777777" w:rsidR="009F5E7D" w:rsidRPr="00116940" w:rsidRDefault="009F5E7D" w:rsidP="009F5E7D">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475D0B72" w14:textId="77777777" w:rsidR="009F5E7D" w:rsidRDefault="009F5E7D" w:rsidP="009F5E7D">
      <w:pPr>
        <w:spacing w:after="0" w:line="240" w:lineRule="auto"/>
        <w:jc w:val="both"/>
        <w:rPr>
          <w:rFonts w:ascii="Verdana" w:hAnsi="Verdana"/>
        </w:rPr>
      </w:pPr>
    </w:p>
    <w:p w14:paraId="578CE7BC" w14:textId="77777777" w:rsidR="009F5E7D" w:rsidRDefault="009F5E7D" w:rsidP="009F5E7D">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8" w:history="1">
        <w:r w:rsidRPr="008746BD">
          <w:rPr>
            <w:rStyle w:val="Hipervnculo"/>
            <w:rFonts w:ascii="Verdana" w:eastAsia="Verdana" w:hAnsi="Verdana" w:cs="Verdana"/>
            <w:lang w:val="es-MX"/>
          </w:rPr>
          <w:t>https://forms.office.com/r/pPHyWVs2SZ</w:t>
        </w:r>
      </w:hyperlink>
      <w:r w:rsidRPr="008746BD">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53A2F089" w14:textId="77777777" w:rsidR="009F5E7D" w:rsidRDefault="009F5E7D" w:rsidP="009F5E7D">
      <w:pPr>
        <w:spacing w:after="0" w:line="240" w:lineRule="auto"/>
        <w:jc w:val="both"/>
        <w:rPr>
          <w:rFonts w:ascii="Verdana" w:hAnsi="Verdana"/>
        </w:rPr>
      </w:pPr>
    </w:p>
    <w:p w14:paraId="2CF29E6C" w14:textId="77777777" w:rsidR="009F5E7D" w:rsidRPr="00116940" w:rsidRDefault="009F5E7D" w:rsidP="009F5E7D">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2B4693A" w14:textId="77777777" w:rsidR="009F5E7D" w:rsidRPr="008746BD" w:rsidRDefault="009F5E7D" w:rsidP="009F5E7D">
      <w:pPr>
        <w:spacing w:after="0" w:line="240" w:lineRule="auto"/>
        <w:jc w:val="both"/>
        <w:rPr>
          <w:rFonts w:ascii="Verdana" w:hAnsi="Verdana"/>
        </w:rPr>
      </w:pPr>
    </w:p>
    <w:p w14:paraId="0E35C7AA" w14:textId="77777777" w:rsidR="009F5E7D" w:rsidRPr="00116940" w:rsidRDefault="009F5E7D" w:rsidP="009F5E7D">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40398652" w14:textId="77777777" w:rsidR="009F5E7D" w:rsidRPr="00116940" w:rsidRDefault="009F5E7D" w:rsidP="009F5E7D">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79E2CF27" w14:textId="77777777" w:rsidR="009F5E7D" w:rsidRPr="00116940" w:rsidRDefault="009F5E7D" w:rsidP="009F5E7D">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D32036E" w14:textId="77777777" w:rsidR="009F5E7D" w:rsidRDefault="009F5E7D" w:rsidP="009F5E7D">
      <w:pPr>
        <w:spacing w:after="0" w:line="276" w:lineRule="auto"/>
        <w:jc w:val="both"/>
        <w:rPr>
          <w:rFonts w:ascii="Century Gothic" w:eastAsia="Century Gothic" w:hAnsi="Century Gothic" w:cs="Century Gothic"/>
          <w:lang w:val="es-ES" w:eastAsia="es-ES_tradnl"/>
        </w:rPr>
      </w:pPr>
    </w:p>
    <w:p w14:paraId="52BA5AF7" w14:textId="77777777" w:rsidR="009F5E7D" w:rsidRPr="00842775" w:rsidRDefault="009F5E7D" w:rsidP="009F5E7D">
      <w:pPr>
        <w:spacing w:after="120" w:line="276" w:lineRule="auto"/>
        <w:jc w:val="both"/>
        <w:rPr>
          <w:rFonts w:ascii="Verdana" w:hAnsi="Verdana"/>
          <w:lang w:val="es-MX"/>
        </w:rPr>
      </w:pPr>
      <w:r w:rsidRPr="00842775">
        <w:rPr>
          <w:rFonts w:ascii="Verdana" w:eastAsia="Century Gothic" w:hAnsi="Verdana" w:cs="Century Gothic"/>
          <w:lang w:val="es-ES" w:eastAsia="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r>
        <w:rPr>
          <w:rFonts w:ascii="Verdana" w:eastAsia="Century Gothic" w:hAnsi="Verdana" w:cs="Century Gothic"/>
          <w:lang w:val="es-ES" w:eastAsia="es-ES_tradnl"/>
        </w:rPr>
        <w:t>.</w:t>
      </w:r>
    </w:p>
    <w:p w14:paraId="5240A4EC" w14:textId="77777777" w:rsidR="009F5E7D" w:rsidRDefault="009F5E7D" w:rsidP="009F5E7D">
      <w:pPr>
        <w:spacing w:after="0" w:line="276" w:lineRule="auto"/>
        <w:jc w:val="both"/>
        <w:rPr>
          <w:rFonts w:ascii="Verdana" w:hAnsi="Verdana"/>
          <w:lang w:val="es-MX"/>
        </w:rPr>
      </w:pPr>
    </w:p>
    <w:p w14:paraId="1503E0DB" w14:textId="77777777" w:rsidR="009F5E7D" w:rsidRPr="00330029" w:rsidRDefault="009F5E7D" w:rsidP="009F5E7D">
      <w:pPr>
        <w:spacing w:after="0" w:line="276" w:lineRule="auto"/>
        <w:jc w:val="both"/>
        <w:rPr>
          <w:rFonts w:ascii="Verdana" w:hAnsi="Verdana"/>
          <w:lang w:val="es-MX"/>
        </w:rPr>
      </w:pPr>
      <w:r w:rsidRPr="00E02524">
        <w:rPr>
          <w:rFonts w:ascii="Verdana" w:hAnsi="Verdana"/>
          <w:lang w:val="es-MX"/>
        </w:rPr>
        <w:t>Cordialmente,</w:t>
      </w:r>
    </w:p>
    <w:p w14:paraId="50D5F358" w14:textId="5194740C" w:rsidR="009F5E7D" w:rsidRDefault="003928D0" w:rsidP="009F5E7D">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4734CA20" wp14:editId="5E77EBAA">
            <wp:extent cx="3174797" cy="1495818"/>
            <wp:effectExtent l="0" t="0" r="6985" b="9525"/>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9"/>
                    <a:stretch>
                      <a:fillRect/>
                    </a:stretch>
                  </pic:blipFill>
                  <pic:spPr>
                    <a:xfrm>
                      <a:off x="0" y="0"/>
                      <a:ext cx="3192885" cy="1504340"/>
                    </a:xfrm>
                    <a:prstGeom prst="rect">
                      <a:avLst/>
                    </a:prstGeom>
                  </pic:spPr>
                </pic:pic>
              </a:graphicData>
            </a:graphic>
          </wp:inline>
        </w:drawing>
      </w:r>
    </w:p>
    <w:p w14:paraId="3AE5633E" w14:textId="0C1DAC0B" w:rsidR="009F5E7D" w:rsidRDefault="009F5E7D" w:rsidP="009F5E7D">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9F5E7D" w:rsidRPr="005644FE" w14:paraId="40FD8578" w14:textId="77777777" w:rsidTr="00BD03F5">
        <w:trPr>
          <w:trHeight w:val="288"/>
        </w:trPr>
        <w:tc>
          <w:tcPr>
            <w:tcW w:w="893" w:type="dxa"/>
            <w:vAlign w:val="center"/>
            <w:hideMark/>
          </w:tcPr>
          <w:p w14:paraId="0D1D070F" w14:textId="77777777" w:rsidR="009F5E7D" w:rsidRPr="00FF63C3" w:rsidRDefault="009F5E7D" w:rsidP="00BD03F5">
            <w:pPr>
              <w:contextualSpacing/>
              <w:rPr>
                <w:rFonts w:ascii="Verdana" w:hAnsi="Verdana" w:cs="Arial"/>
                <w:sz w:val="14"/>
                <w:szCs w:val="14"/>
                <w:lang w:eastAsia="es-ES"/>
              </w:rPr>
            </w:pPr>
            <w:r w:rsidRPr="00FF63C3">
              <w:rPr>
                <w:rFonts w:ascii="Verdana" w:hAnsi="Verdana" w:cs="Arial"/>
                <w:sz w:val="14"/>
                <w:szCs w:val="14"/>
                <w:lang w:eastAsia="es-ES"/>
              </w:rPr>
              <w:t>Elaboró:</w:t>
            </w:r>
          </w:p>
        </w:tc>
        <w:tc>
          <w:tcPr>
            <w:tcW w:w="5061" w:type="dxa"/>
            <w:tcBorders>
              <w:top w:val="nil"/>
              <w:left w:val="nil"/>
              <w:bottom w:val="dotted" w:sz="4" w:space="0" w:color="7F7F7F" w:themeColor="text1" w:themeTint="80"/>
              <w:right w:val="nil"/>
            </w:tcBorders>
            <w:vAlign w:val="center"/>
            <w:hideMark/>
          </w:tcPr>
          <w:p w14:paraId="2DA49381" w14:textId="77777777" w:rsidR="009F5E7D" w:rsidRPr="00FF63C3" w:rsidRDefault="009F5E7D" w:rsidP="00BD03F5">
            <w:pPr>
              <w:contextualSpacing/>
              <w:rPr>
                <w:rStyle w:val="normaltextrun"/>
                <w:rFonts w:ascii="Verdana" w:hAnsi="Verdana"/>
                <w:sz w:val="14"/>
                <w:szCs w:val="14"/>
              </w:rPr>
            </w:pPr>
            <w:r w:rsidRPr="00FF63C3">
              <w:rPr>
                <w:rStyle w:val="normaltextrun"/>
                <w:rFonts w:ascii="Verdana" w:hAnsi="Verdana"/>
                <w:sz w:val="14"/>
                <w:szCs w:val="14"/>
              </w:rPr>
              <w:t xml:space="preserve">Esperanza Contreras P </w:t>
            </w:r>
          </w:p>
          <w:p w14:paraId="1DBB9987" w14:textId="77777777" w:rsidR="009F5E7D" w:rsidRPr="00FF63C3" w:rsidRDefault="009F5E7D" w:rsidP="00BD03F5">
            <w:pPr>
              <w:contextualSpacing/>
              <w:rPr>
                <w:rFonts w:ascii="Verdana" w:eastAsia="Arial" w:hAnsi="Verdana" w:cs="Arial"/>
                <w:sz w:val="14"/>
                <w:szCs w:val="14"/>
              </w:rPr>
            </w:pPr>
            <w:r w:rsidRPr="00FF63C3">
              <w:rPr>
                <w:rStyle w:val="normaltextrun"/>
                <w:rFonts w:ascii="Verdana" w:hAnsi="Verdana" w:cs="Arial"/>
                <w:sz w:val="14"/>
                <w:szCs w:val="14"/>
              </w:rPr>
              <w:t>Contratista de la Subdirección de Gestión Contractual</w:t>
            </w:r>
            <w:r w:rsidRPr="00FF63C3">
              <w:rPr>
                <w:rStyle w:val="eop"/>
                <w:rFonts w:ascii="Verdana" w:hAnsi="Verdana" w:cs="Arial"/>
                <w:sz w:val="14"/>
                <w:szCs w:val="14"/>
              </w:rPr>
              <w:t> </w:t>
            </w:r>
          </w:p>
        </w:tc>
      </w:tr>
      <w:tr w:rsidR="009F5E7D" w:rsidRPr="005644FE" w14:paraId="06AD1107" w14:textId="77777777" w:rsidTr="00BD03F5">
        <w:trPr>
          <w:trHeight w:val="330"/>
        </w:trPr>
        <w:tc>
          <w:tcPr>
            <w:tcW w:w="893" w:type="dxa"/>
            <w:vAlign w:val="center"/>
            <w:hideMark/>
          </w:tcPr>
          <w:p w14:paraId="58F613A0" w14:textId="77777777" w:rsidR="009F5E7D" w:rsidRPr="00FF63C3" w:rsidRDefault="009F5E7D" w:rsidP="00BD03F5">
            <w:pPr>
              <w:contextualSpacing/>
              <w:rPr>
                <w:rFonts w:ascii="Verdana" w:hAnsi="Verdana" w:cs="Arial"/>
                <w:sz w:val="14"/>
                <w:szCs w:val="14"/>
                <w:lang w:eastAsia="es-ES"/>
              </w:rPr>
            </w:pPr>
            <w:r w:rsidRPr="00FF63C3">
              <w:rPr>
                <w:rFonts w:ascii="Verdana" w:hAnsi="Verdana" w:cs="Arial"/>
                <w:sz w:val="14"/>
                <w:szCs w:val="14"/>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735BC274" w14:textId="77777777" w:rsidR="009F5E7D" w:rsidRPr="00FF63C3" w:rsidRDefault="009F5E7D" w:rsidP="00BD03F5">
            <w:pPr>
              <w:pStyle w:val="paragraph"/>
              <w:spacing w:before="0" w:beforeAutospacing="0" w:after="0" w:afterAutospacing="0"/>
              <w:contextualSpacing/>
              <w:textAlignment w:val="baseline"/>
              <w:rPr>
                <w:rStyle w:val="normaltextrun"/>
                <w:rFonts w:ascii="Verdana" w:hAnsi="Verdana"/>
                <w:sz w:val="14"/>
                <w:szCs w:val="14"/>
              </w:rPr>
            </w:pPr>
            <w:r w:rsidRPr="00FF63C3">
              <w:rPr>
                <w:rStyle w:val="normaltextrun"/>
                <w:rFonts w:ascii="Verdana" w:hAnsi="Verdana"/>
                <w:sz w:val="14"/>
                <w:szCs w:val="14"/>
              </w:rPr>
              <w:t xml:space="preserve">Diana Lucía Saavedra Castañeda. </w:t>
            </w:r>
          </w:p>
          <w:p w14:paraId="223FDA79" w14:textId="77777777" w:rsidR="009F5E7D" w:rsidRPr="00FF63C3" w:rsidRDefault="009F5E7D" w:rsidP="00BD03F5">
            <w:pPr>
              <w:pStyle w:val="paragraph"/>
              <w:spacing w:before="0" w:beforeAutospacing="0" w:after="0" w:afterAutospacing="0"/>
              <w:contextualSpacing/>
              <w:textAlignment w:val="baseline"/>
              <w:rPr>
                <w:rFonts w:ascii="Verdana" w:hAnsi="Verdana" w:cs="Segoe UI"/>
                <w:sz w:val="14"/>
                <w:szCs w:val="14"/>
              </w:rPr>
            </w:pPr>
            <w:r w:rsidRPr="00FF63C3">
              <w:rPr>
                <w:rStyle w:val="normaltextrun"/>
                <w:rFonts w:ascii="Verdana" w:hAnsi="Verdana"/>
                <w:sz w:val="14"/>
                <w:szCs w:val="14"/>
              </w:rPr>
              <w:t xml:space="preserve">Contratista Subdirección Gestión Contractual  </w:t>
            </w:r>
          </w:p>
        </w:tc>
      </w:tr>
      <w:tr w:rsidR="009F5E7D" w:rsidRPr="005644FE" w14:paraId="0F60B88E" w14:textId="77777777" w:rsidTr="00BD03F5">
        <w:trPr>
          <w:trHeight w:val="300"/>
        </w:trPr>
        <w:tc>
          <w:tcPr>
            <w:tcW w:w="893" w:type="dxa"/>
            <w:vAlign w:val="center"/>
          </w:tcPr>
          <w:p w14:paraId="3872EE71" w14:textId="77777777" w:rsidR="009F5E7D" w:rsidRPr="00FF63C3" w:rsidRDefault="009F5E7D" w:rsidP="00BD03F5">
            <w:pPr>
              <w:contextualSpacing/>
              <w:rPr>
                <w:rFonts w:ascii="Verdana" w:hAnsi="Verdana" w:cs="Arial"/>
                <w:sz w:val="14"/>
                <w:szCs w:val="14"/>
                <w:lang w:eastAsia="es-ES"/>
              </w:rPr>
            </w:pPr>
            <w:r w:rsidRPr="00FF63C3">
              <w:rPr>
                <w:rFonts w:ascii="Verdana" w:hAnsi="Verdana" w:cs="Arial"/>
                <w:sz w:val="14"/>
                <w:szCs w:val="14"/>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2C324808" w14:textId="77777777" w:rsidR="009F5E7D" w:rsidRPr="00FF63C3" w:rsidRDefault="009F5E7D" w:rsidP="00BD03F5">
            <w:pPr>
              <w:contextualSpacing/>
              <w:rPr>
                <w:rFonts w:ascii="Verdana" w:eastAsia="Calibri" w:hAnsi="Verdana" w:cs="Arial"/>
                <w:sz w:val="14"/>
                <w:szCs w:val="14"/>
                <w:lang w:eastAsia="es-ES"/>
              </w:rPr>
            </w:pPr>
            <w:r w:rsidRPr="00FF63C3">
              <w:rPr>
                <w:rFonts w:ascii="Verdana" w:eastAsia="Calibri" w:hAnsi="Verdana" w:cs="Arial"/>
                <w:sz w:val="14"/>
                <w:szCs w:val="14"/>
                <w:lang w:eastAsia="es-ES"/>
              </w:rPr>
              <w:t>Carolina Quintero Gacharná</w:t>
            </w:r>
          </w:p>
          <w:p w14:paraId="200232B9" w14:textId="77777777" w:rsidR="009F5E7D" w:rsidRPr="00FF63C3" w:rsidRDefault="009F5E7D" w:rsidP="00BD03F5">
            <w:pPr>
              <w:contextualSpacing/>
              <w:rPr>
                <w:rFonts w:ascii="Verdana" w:eastAsia="Calibri" w:hAnsi="Verdana" w:cs="Arial"/>
                <w:sz w:val="14"/>
                <w:szCs w:val="14"/>
                <w:lang w:eastAsia="es-ES"/>
              </w:rPr>
            </w:pPr>
            <w:r w:rsidRPr="00FF63C3">
              <w:rPr>
                <w:rFonts w:ascii="Verdana" w:eastAsia="Calibri" w:hAnsi="Verdana" w:cs="Arial"/>
                <w:sz w:val="14"/>
                <w:szCs w:val="14"/>
                <w:lang w:eastAsia="es-ES"/>
              </w:rPr>
              <w:t>Subdirectora de Gestión Contractual ANCP – CCE</w:t>
            </w:r>
          </w:p>
        </w:tc>
      </w:tr>
      <w:bookmarkEnd w:id="1"/>
    </w:tbl>
    <w:p w14:paraId="0C94CECB" w14:textId="77777777" w:rsidR="009F5E7D" w:rsidRPr="0024624F" w:rsidRDefault="009F5E7D" w:rsidP="009F5E7D">
      <w:pPr>
        <w:spacing w:after="0"/>
        <w:rPr>
          <w:rFonts w:ascii="Verdana" w:eastAsia="Verdana" w:hAnsi="Verdana" w:cs="Verdana"/>
        </w:rPr>
      </w:pPr>
    </w:p>
    <w:p w14:paraId="270B7480" w14:textId="77777777" w:rsidR="009F5E7D" w:rsidRPr="0015699B" w:rsidRDefault="009F5E7D" w:rsidP="009F5E7D">
      <w:pPr>
        <w:spacing w:after="0"/>
        <w:rPr>
          <w:rFonts w:ascii="Verdana" w:eastAsia="Verdana" w:hAnsi="Verdana" w:cs="Verdana"/>
        </w:rPr>
      </w:pPr>
    </w:p>
    <w:sectPr w:rsidR="009F5E7D" w:rsidRPr="0015699B"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5FF6BD" w14:textId="77777777" w:rsidR="00417A7E" w:rsidRDefault="00417A7E" w:rsidP="004A1847">
      <w:pPr>
        <w:spacing w:after="0" w:line="240" w:lineRule="auto"/>
      </w:pPr>
      <w:r>
        <w:separator/>
      </w:r>
    </w:p>
  </w:endnote>
  <w:endnote w:type="continuationSeparator" w:id="0">
    <w:p w14:paraId="391CF074" w14:textId="77777777" w:rsidR="00417A7E" w:rsidRDefault="00417A7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Weiss">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FD790A" w14:textId="77777777" w:rsidR="00417A7E" w:rsidRDefault="00417A7E" w:rsidP="004A1847">
      <w:pPr>
        <w:spacing w:after="0" w:line="240" w:lineRule="auto"/>
      </w:pPr>
      <w:r>
        <w:separator/>
      </w:r>
    </w:p>
  </w:footnote>
  <w:footnote w:type="continuationSeparator" w:id="0">
    <w:p w14:paraId="327C2052" w14:textId="77777777" w:rsidR="00417A7E" w:rsidRDefault="00417A7E" w:rsidP="004A1847">
      <w:pPr>
        <w:spacing w:after="0" w:line="240" w:lineRule="auto"/>
      </w:pPr>
      <w:r>
        <w:continuationSeparator/>
      </w:r>
    </w:p>
  </w:footnote>
  <w:footnote w:id="1">
    <w:p w14:paraId="343E3527" w14:textId="77777777" w:rsidR="009F5E7D" w:rsidRPr="00045A51" w:rsidRDefault="009F5E7D" w:rsidP="009F5E7D">
      <w:pPr>
        <w:pStyle w:val="Textonotapie"/>
        <w:ind w:firstLine="709"/>
        <w:jc w:val="both"/>
        <w:rPr>
          <w:rFonts w:ascii="Verdana" w:eastAsia="Calibri" w:hAnsi="Verdana" w:cs="Arial"/>
          <w:sz w:val="16"/>
          <w:szCs w:val="16"/>
          <w:lang w:val="es-ES_tradnl" w:eastAsia="es-ES_tradnl"/>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5189DC01" w14:textId="77777777" w:rsidR="009F5E7D" w:rsidRDefault="009F5E7D" w:rsidP="009F5E7D">
      <w:pPr>
        <w:pStyle w:val="Textonotapie"/>
        <w:ind w:firstLine="709"/>
        <w:jc w:val="both"/>
        <w:rPr>
          <w:rFonts w:ascii="Verdana" w:eastAsia="Calibri" w:hAnsi="Verdana" w:cs="Arial"/>
          <w:sz w:val="16"/>
          <w:szCs w:val="16"/>
          <w:lang w:val="es-ES_tradnl" w:eastAsia="es-ES_tradnl"/>
        </w:rPr>
      </w:pPr>
      <w:r w:rsidRPr="00045A51">
        <w:rPr>
          <w:rFonts w:ascii="Verdana" w:eastAsia="Calibri" w:hAnsi="Verdana" w:cs="Arial"/>
          <w:sz w:val="16"/>
          <w:szCs w:val="16"/>
          <w:lang w:val="es-ES_tradnl" w:eastAsia="es-ES_tradnl"/>
        </w:rPr>
        <w:t>Sin embargo, en otros negocios, como la obra pública, la concesión y la consultoría,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p w14:paraId="30C9ED1A" w14:textId="77777777" w:rsidR="009F5E7D" w:rsidRPr="00045A51" w:rsidRDefault="009F5E7D" w:rsidP="009F5E7D">
      <w:pPr>
        <w:pStyle w:val="Textonotapie"/>
        <w:ind w:firstLine="709"/>
        <w:jc w:val="both"/>
        <w:rPr>
          <w:rFonts w:ascii="Verdana" w:hAnsi="Verdana" w:cs="Arial"/>
          <w:sz w:val="16"/>
          <w:szCs w:val="16"/>
          <w:lang w:val="es-ES"/>
        </w:rPr>
      </w:pPr>
    </w:p>
  </w:footnote>
  <w:footnote w:id="2">
    <w:p w14:paraId="4D99D703" w14:textId="77777777" w:rsidR="009F5E7D" w:rsidRDefault="009F5E7D" w:rsidP="009F5E7D">
      <w:pPr>
        <w:pStyle w:val="Textonotapie"/>
        <w:ind w:firstLine="708"/>
        <w:jc w:val="both"/>
        <w:rPr>
          <w:rFonts w:ascii="Verdana" w:eastAsia="Calibri" w:hAnsi="Verdana" w:cs="Arial"/>
          <w:sz w:val="16"/>
          <w:szCs w:val="16"/>
          <w:lang w:val="es-ES_tradnl" w:eastAsia="es-ES_tradnl"/>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 xml:space="preserve">Consejo </w:t>
      </w:r>
      <w:r>
        <w:rPr>
          <w:rFonts w:ascii="Verdana" w:eastAsia="Calibri" w:hAnsi="Verdana" w:cs="Arial"/>
          <w:sz w:val="16"/>
          <w:szCs w:val="16"/>
          <w:lang w:val="es-ES_tradnl" w:eastAsia="es-ES_tradnl"/>
        </w:rPr>
        <w:t>d</w:t>
      </w:r>
      <w:r w:rsidRPr="00045A51">
        <w:rPr>
          <w:rFonts w:ascii="Verdana" w:eastAsia="Calibri" w:hAnsi="Verdana" w:cs="Arial"/>
          <w:sz w:val="16"/>
          <w:szCs w:val="16"/>
          <w:lang w:val="es-ES_tradnl" w:eastAsia="es-ES_tradnl"/>
        </w:rPr>
        <w:t xml:space="preserve">e Estado. </w:t>
      </w:r>
      <w:r>
        <w:rPr>
          <w:rFonts w:ascii="Verdana" w:eastAsia="Calibri" w:hAnsi="Verdana" w:cs="Arial"/>
          <w:sz w:val="16"/>
          <w:szCs w:val="16"/>
          <w:lang w:val="es-ES_tradnl" w:eastAsia="es-ES_tradnl"/>
        </w:rPr>
        <w:t xml:space="preserve">Sala de lo Contencioso Administrativo. </w:t>
      </w:r>
      <w:r w:rsidRPr="00045A51">
        <w:rPr>
          <w:rFonts w:ascii="Verdana" w:eastAsia="Calibri" w:hAnsi="Verdana" w:cs="Arial"/>
          <w:sz w:val="16"/>
          <w:szCs w:val="16"/>
          <w:lang w:val="es-ES_tradnl" w:eastAsia="es-ES_tradnl"/>
        </w:rPr>
        <w:t xml:space="preserve">Sección Tercera. Subsección B. Sentencia del 29 de febrero de 2012. </w:t>
      </w:r>
      <w:proofErr w:type="spellStart"/>
      <w:r w:rsidRPr="00045A51">
        <w:rPr>
          <w:rFonts w:ascii="Verdana" w:eastAsia="Calibri" w:hAnsi="Verdana" w:cs="Arial"/>
          <w:sz w:val="16"/>
          <w:szCs w:val="16"/>
          <w:lang w:val="es-ES_tradnl" w:eastAsia="es-ES_tradnl"/>
        </w:rPr>
        <w:t>Exp</w:t>
      </w:r>
      <w:proofErr w:type="spellEnd"/>
      <w:r w:rsidRPr="00045A51">
        <w:rPr>
          <w:rFonts w:ascii="Verdana" w:eastAsia="Calibri" w:hAnsi="Verdana" w:cs="Arial"/>
          <w:sz w:val="16"/>
          <w:szCs w:val="16"/>
          <w:lang w:val="es-ES_tradnl" w:eastAsia="es-ES_tradnl"/>
        </w:rPr>
        <w:t>. 16371, C.P</w:t>
      </w:r>
      <w:r>
        <w:rPr>
          <w:rFonts w:ascii="Verdana" w:eastAsia="Calibri" w:hAnsi="Verdana" w:cs="Arial"/>
          <w:sz w:val="16"/>
          <w:szCs w:val="16"/>
          <w:lang w:val="es-ES_tradnl" w:eastAsia="es-ES_tradnl"/>
        </w:rPr>
        <w:t>:</w:t>
      </w:r>
      <w:r w:rsidRPr="00045A51">
        <w:rPr>
          <w:rFonts w:ascii="Verdana" w:eastAsia="Calibri" w:hAnsi="Verdana" w:cs="Arial"/>
          <w:sz w:val="16"/>
          <w:szCs w:val="16"/>
          <w:lang w:val="es-ES_tradnl" w:eastAsia="es-ES_tradnl"/>
        </w:rPr>
        <w:t xml:space="preserve"> Danilo Rojas Betancourth.</w:t>
      </w:r>
    </w:p>
    <w:p w14:paraId="60F69774" w14:textId="77777777" w:rsidR="009F5E7D" w:rsidRPr="00045A51" w:rsidRDefault="009F5E7D" w:rsidP="009F5E7D">
      <w:pPr>
        <w:pStyle w:val="Textonotapie"/>
        <w:ind w:firstLine="708"/>
        <w:jc w:val="both"/>
        <w:rPr>
          <w:rFonts w:ascii="Verdana" w:hAnsi="Verdana" w:cs="Arial"/>
          <w:sz w:val="16"/>
          <w:szCs w:val="16"/>
        </w:rPr>
      </w:pPr>
    </w:p>
  </w:footnote>
  <w:footnote w:id="3">
    <w:p w14:paraId="21DA5C64" w14:textId="77777777" w:rsidR="009F5E7D" w:rsidRDefault="009F5E7D" w:rsidP="009F5E7D">
      <w:pPr>
        <w:pStyle w:val="Textonotapie"/>
        <w:ind w:firstLine="709"/>
        <w:jc w:val="both"/>
        <w:rPr>
          <w:rFonts w:ascii="Verdana" w:eastAsia="Calibri" w:hAnsi="Verdana" w:cs="Arial"/>
          <w:sz w:val="16"/>
          <w:szCs w:val="16"/>
          <w:lang w:val="es-ES_tradnl" w:eastAsia="es-ES_tradnl"/>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PINO RICCI, Jorge. El régimen jurídico de los contratos estatales. Universidad Externado de Colombia. Bogotá, 2005. pp. 416.</w:t>
      </w:r>
    </w:p>
    <w:p w14:paraId="51173B0C" w14:textId="77777777" w:rsidR="009F5E7D" w:rsidRPr="00045A51" w:rsidRDefault="009F5E7D" w:rsidP="009F5E7D">
      <w:pPr>
        <w:pStyle w:val="Textonotapie"/>
        <w:ind w:firstLine="709"/>
        <w:jc w:val="both"/>
        <w:rPr>
          <w:rFonts w:ascii="Verdana" w:hAnsi="Verdana" w:cs="Arial"/>
          <w:sz w:val="16"/>
          <w:szCs w:val="16"/>
          <w:lang w:val="es-CO"/>
        </w:rPr>
      </w:pPr>
    </w:p>
  </w:footnote>
  <w:footnote w:id="4">
    <w:p w14:paraId="03412995" w14:textId="77777777" w:rsidR="009F5E7D" w:rsidRDefault="009F5E7D" w:rsidP="009F5E7D">
      <w:pPr>
        <w:pStyle w:val="Textonotapie"/>
        <w:ind w:firstLine="708"/>
        <w:jc w:val="both"/>
        <w:rPr>
          <w:rFonts w:ascii="Verdana" w:eastAsia="Calibri" w:hAnsi="Verdana" w:cs="Arial"/>
          <w:sz w:val="16"/>
          <w:szCs w:val="16"/>
          <w:lang w:val="es-ES_tradnl" w:eastAsia="es-ES_tradnl"/>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 xml:space="preserve">Consejo </w:t>
      </w:r>
      <w:r>
        <w:rPr>
          <w:rFonts w:ascii="Verdana" w:eastAsia="Calibri" w:hAnsi="Verdana" w:cs="Arial"/>
          <w:sz w:val="16"/>
          <w:szCs w:val="16"/>
          <w:lang w:val="es-ES_tradnl" w:eastAsia="es-ES_tradnl"/>
        </w:rPr>
        <w:t>d</w:t>
      </w:r>
      <w:r w:rsidRPr="00045A51">
        <w:rPr>
          <w:rFonts w:ascii="Verdana" w:eastAsia="Calibri" w:hAnsi="Verdana" w:cs="Arial"/>
          <w:sz w:val="16"/>
          <w:szCs w:val="16"/>
          <w:lang w:val="es-ES_tradnl" w:eastAsia="es-ES_tradnl"/>
        </w:rPr>
        <w:t xml:space="preserve">e Estado. </w:t>
      </w:r>
      <w:r>
        <w:rPr>
          <w:rFonts w:ascii="Verdana" w:eastAsia="Calibri" w:hAnsi="Verdana" w:cs="Arial"/>
          <w:sz w:val="16"/>
          <w:szCs w:val="16"/>
          <w:lang w:val="es-ES_tradnl" w:eastAsia="es-ES_tradnl"/>
        </w:rPr>
        <w:t xml:space="preserve">Sala de lo Contencioso Administrativo. </w:t>
      </w:r>
      <w:r w:rsidRPr="00045A51">
        <w:rPr>
          <w:rFonts w:ascii="Verdana" w:eastAsia="Calibri" w:hAnsi="Verdana" w:cs="Arial"/>
          <w:sz w:val="16"/>
          <w:szCs w:val="16"/>
          <w:lang w:val="es-ES_tradnl" w:eastAsia="es-ES_tradnl"/>
        </w:rPr>
        <w:t xml:space="preserve">Sección Tercera. Subsección B. Sentencia del 14 de octubre de 2011. </w:t>
      </w:r>
      <w:proofErr w:type="spellStart"/>
      <w:r w:rsidRPr="00045A51">
        <w:rPr>
          <w:rFonts w:ascii="Verdana" w:eastAsia="Calibri" w:hAnsi="Verdana" w:cs="Arial"/>
          <w:sz w:val="16"/>
          <w:szCs w:val="16"/>
          <w:lang w:val="es-ES_tradnl" w:eastAsia="es-ES_tradnl"/>
        </w:rPr>
        <w:t>Exp</w:t>
      </w:r>
      <w:proofErr w:type="spellEnd"/>
      <w:r w:rsidRPr="00045A51">
        <w:rPr>
          <w:rFonts w:ascii="Verdana" w:eastAsia="Calibri" w:hAnsi="Verdana" w:cs="Arial"/>
          <w:sz w:val="16"/>
          <w:szCs w:val="16"/>
          <w:lang w:val="es-ES_tradnl" w:eastAsia="es-ES_tradnl"/>
        </w:rPr>
        <w:t>. 20811, C.P. Ruth Stella Correa Palacio.</w:t>
      </w:r>
    </w:p>
    <w:p w14:paraId="75E4F405" w14:textId="77777777" w:rsidR="009F5E7D" w:rsidRPr="00045A51" w:rsidRDefault="009F5E7D" w:rsidP="009F5E7D">
      <w:pPr>
        <w:pStyle w:val="Textonotapie"/>
        <w:ind w:firstLine="708"/>
        <w:jc w:val="both"/>
        <w:rPr>
          <w:rFonts w:ascii="Verdana" w:hAnsi="Verdana" w:cs="Arial"/>
          <w:sz w:val="16"/>
          <w:szCs w:val="16"/>
        </w:rPr>
      </w:pPr>
    </w:p>
  </w:footnote>
  <w:footnote w:id="5">
    <w:p w14:paraId="6B725B2D" w14:textId="77777777" w:rsidR="009F5E7D" w:rsidRDefault="009F5E7D" w:rsidP="009F5E7D">
      <w:pPr>
        <w:pStyle w:val="Textonotapie"/>
        <w:ind w:firstLine="708"/>
        <w:jc w:val="both"/>
        <w:rPr>
          <w:rFonts w:ascii="Verdana" w:eastAsia="Calibri" w:hAnsi="Verdana" w:cs="Arial"/>
          <w:sz w:val="16"/>
          <w:szCs w:val="16"/>
          <w:lang w:val="es-ES_tradnl" w:eastAsia="es-ES_tradnl"/>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Pr>
          <w:rFonts w:ascii="Verdana" w:eastAsia="Calibri" w:hAnsi="Verdana" w:cs="Arial"/>
          <w:sz w:val="16"/>
          <w:szCs w:val="16"/>
          <w:lang w:val="es-ES_tradnl" w:eastAsia="es-ES_tradnl"/>
        </w:rPr>
        <w:t>Consejo de Estado</w:t>
      </w:r>
      <w:r w:rsidRPr="00045A51">
        <w:rPr>
          <w:rFonts w:ascii="Verdana" w:eastAsia="Calibri" w:hAnsi="Verdana" w:cs="Arial"/>
          <w:sz w:val="16"/>
          <w:szCs w:val="16"/>
          <w:lang w:val="es-ES_tradnl" w:eastAsia="es-ES_tradnl"/>
        </w:rPr>
        <w:t>. Sala de Consulta y Servicio Civil. Concepto del 5 de septiembre de 2018, radicado No. 11001-03-06-000-2018-00124-00 C.P. Édgar González López.</w:t>
      </w:r>
    </w:p>
    <w:p w14:paraId="1D20CBC1" w14:textId="77777777" w:rsidR="009F5E7D" w:rsidRPr="00045A51" w:rsidRDefault="009F5E7D" w:rsidP="009F5E7D">
      <w:pPr>
        <w:pStyle w:val="Textonotapie"/>
        <w:ind w:firstLine="708"/>
        <w:jc w:val="both"/>
        <w:rPr>
          <w:rFonts w:ascii="Verdana" w:hAnsi="Verdana" w:cs="Arial"/>
          <w:sz w:val="16"/>
          <w:szCs w:val="16"/>
        </w:rPr>
      </w:pPr>
    </w:p>
  </w:footnote>
  <w:footnote w:id="6">
    <w:p w14:paraId="0E356F14" w14:textId="77777777" w:rsidR="009F5E7D" w:rsidRDefault="009F5E7D" w:rsidP="009F5E7D">
      <w:pPr>
        <w:pStyle w:val="Textonotapie"/>
        <w:ind w:firstLine="708"/>
        <w:jc w:val="both"/>
        <w:rPr>
          <w:rFonts w:ascii="Verdana" w:hAnsi="Verdana" w:cs="Arial"/>
          <w:sz w:val="16"/>
          <w:szCs w:val="16"/>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 la utilidad es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imprevistos, como su nombre lo indica, está destinado a cubrir los gastos con los que no se contaba y que se presenten durante la ejecución del contrato” (Consejo de Estado. Sección Tercera. Consejero Ponente: Ramiro Saavedra Becerra. Sentencia del 28 de agosto de 2003. Radicado: 17.554).</w:t>
      </w:r>
      <w:r w:rsidRPr="00045A51">
        <w:rPr>
          <w:rFonts w:ascii="Verdana" w:hAnsi="Verdana" w:cs="Arial"/>
          <w:sz w:val="16"/>
          <w:szCs w:val="16"/>
        </w:rPr>
        <w:t xml:space="preserve"> </w:t>
      </w:r>
    </w:p>
    <w:p w14:paraId="32F2FC14" w14:textId="77777777" w:rsidR="009F5E7D" w:rsidRPr="00045A51" w:rsidRDefault="009F5E7D" w:rsidP="009F5E7D">
      <w:pPr>
        <w:pStyle w:val="Textonotapie"/>
        <w:ind w:firstLine="708"/>
        <w:jc w:val="both"/>
        <w:rPr>
          <w:rFonts w:ascii="Verdana" w:hAnsi="Verdana" w:cs="Arial"/>
          <w:sz w:val="16"/>
          <w:szCs w:val="16"/>
        </w:rPr>
      </w:pPr>
    </w:p>
  </w:footnote>
  <w:footnote w:id="7">
    <w:p w14:paraId="2EBD4C61" w14:textId="77777777" w:rsidR="009F5E7D" w:rsidRDefault="009F5E7D" w:rsidP="009F5E7D">
      <w:pPr>
        <w:pStyle w:val="Textonotapie"/>
        <w:ind w:firstLine="709"/>
        <w:jc w:val="both"/>
        <w:rPr>
          <w:rFonts w:ascii="Verdana" w:eastAsia="Calibri" w:hAnsi="Verdana" w:cs="Arial"/>
          <w:sz w:val="16"/>
          <w:szCs w:val="16"/>
          <w:lang w:val="es-ES_tradnl" w:eastAsia="es-ES_tradnl"/>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 xml:space="preserve">MARÍN, </w:t>
      </w:r>
      <w:proofErr w:type="spellStart"/>
      <w:r w:rsidRPr="00045A51">
        <w:rPr>
          <w:rFonts w:ascii="Verdana" w:eastAsia="Calibri" w:hAnsi="Verdana" w:cs="Arial"/>
          <w:sz w:val="16"/>
          <w:szCs w:val="16"/>
          <w:lang w:val="es-ES_tradnl" w:eastAsia="es-ES_tradnl"/>
        </w:rPr>
        <w:t>Op</w:t>
      </w:r>
      <w:proofErr w:type="spellEnd"/>
      <w:r w:rsidRPr="00045A51">
        <w:rPr>
          <w:rFonts w:ascii="Verdana" w:eastAsia="Calibri" w:hAnsi="Verdana" w:cs="Arial"/>
          <w:sz w:val="16"/>
          <w:szCs w:val="16"/>
          <w:lang w:val="es-ES_tradnl" w:eastAsia="es-ES_tradnl"/>
        </w:rPr>
        <w:t>. Cit., pp. 64-65.</w:t>
      </w:r>
    </w:p>
    <w:p w14:paraId="2F27F929" w14:textId="77777777" w:rsidR="009F5E7D" w:rsidRPr="00045A51" w:rsidRDefault="009F5E7D" w:rsidP="009F5E7D">
      <w:pPr>
        <w:pStyle w:val="Textonotapie"/>
        <w:ind w:firstLine="709"/>
        <w:jc w:val="both"/>
        <w:rPr>
          <w:rFonts w:ascii="Verdana" w:eastAsia="Calibri" w:hAnsi="Verdana" w:cs="Arial"/>
          <w:sz w:val="16"/>
          <w:szCs w:val="16"/>
          <w:lang w:val="es-ES_tradnl" w:eastAsia="es-ES_tradnl"/>
        </w:rPr>
      </w:pPr>
    </w:p>
  </w:footnote>
  <w:footnote w:id="8">
    <w:p w14:paraId="2B8E5E28" w14:textId="77777777" w:rsidR="009F5E7D" w:rsidRDefault="009F5E7D" w:rsidP="009F5E7D">
      <w:pPr>
        <w:pStyle w:val="Textonotapie"/>
        <w:ind w:firstLine="709"/>
        <w:jc w:val="both"/>
        <w:rPr>
          <w:rFonts w:ascii="Verdana" w:eastAsia="Calibri" w:hAnsi="Verdana" w:cs="Arial"/>
          <w:sz w:val="16"/>
          <w:szCs w:val="16"/>
          <w:lang w:val="es-ES_tradnl" w:eastAsia="es-ES_tradnl"/>
        </w:rPr>
      </w:pPr>
      <w:r w:rsidRPr="00045A51">
        <w:rPr>
          <w:rStyle w:val="Refdenotaalpie"/>
          <w:rFonts w:ascii="Verdana" w:hAnsi="Verdana" w:cs="Arial"/>
          <w:sz w:val="16"/>
          <w:szCs w:val="16"/>
        </w:rPr>
        <w:footnoteRef/>
      </w:r>
      <w:r w:rsidRPr="00045A51">
        <w:rPr>
          <w:rFonts w:ascii="Verdana" w:hAnsi="Verdana" w:cs="Arial"/>
          <w:sz w:val="16"/>
          <w:szCs w:val="16"/>
        </w:rPr>
        <w:t xml:space="preserve"> </w:t>
      </w:r>
      <w:proofErr w:type="spellStart"/>
      <w:r w:rsidRPr="00045A51">
        <w:rPr>
          <w:rFonts w:ascii="Verdana" w:eastAsia="Calibri" w:hAnsi="Verdana" w:cs="Arial"/>
          <w:sz w:val="16"/>
          <w:szCs w:val="16"/>
          <w:lang w:val="es-ES_tradnl" w:eastAsia="es-ES_tradnl"/>
        </w:rPr>
        <w:t>Ibíd</w:t>
      </w:r>
      <w:proofErr w:type="spellEnd"/>
      <w:r w:rsidRPr="00045A51">
        <w:rPr>
          <w:rFonts w:ascii="Verdana" w:eastAsia="Calibri" w:hAnsi="Verdana" w:cs="Arial"/>
          <w:sz w:val="16"/>
          <w:szCs w:val="16"/>
          <w:lang w:val="es-ES_tradnl" w:eastAsia="es-ES_tradnl"/>
        </w:rPr>
        <w:t>., p. 66.</w:t>
      </w:r>
    </w:p>
    <w:p w14:paraId="1E24B2B2" w14:textId="77777777" w:rsidR="009F5E7D" w:rsidRPr="00045A51" w:rsidRDefault="009F5E7D" w:rsidP="009F5E7D">
      <w:pPr>
        <w:pStyle w:val="Textonotapie"/>
        <w:ind w:firstLine="709"/>
        <w:jc w:val="both"/>
        <w:rPr>
          <w:rFonts w:ascii="Verdana" w:hAnsi="Verdana" w:cs="Arial"/>
          <w:sz w:val="16"/>
          <w:szCs w:val="16"/>
          <w:lang w:val="es-ES"/>
        </w:rPr>
      </w:pPr>
    </w:p>
  </w:footnote>
  <w:footnote w:id="9">
    <w:p w14:paraId="0FBEEA38" w14:textId="77777777" w:rsidR="009F5E7D" w:rsidRPr="00045A51" w:rsidRDefault="009F5E7D" w:rsidP="009F5E7D">
      <w:pPr>
        <w:pStyle w:val="Textonotapie"/>
        <w:ind w:firstLine="708"/>
        <w:jc w:val="both"/>
        <w:rPr>
          <w:rFonts w:ascii="Verdana" w:eastAsia="Calibri" w:hAnsi="Verdana" w:cs="Arial"/>
          <w:sz w:val="16"/>
          <w:szCs w:val="16"/>
          <w:lang w:val="es-ES_tradnl" w:eastAsia="es-ES_tradnl"/>
        </w:rPr>
      </w:pPr>
      <w:r w:rsidRPr="00045A51">
        <w:rPr>
          <w:rStyle w:val="Refdenotaalpie"/>
          <w:rFonts w:ascii="Verdana" w:hAnsi="Verdana" w:cs="Arial"/>
          <w:sz w:val="16"/>
          <w:szCs w:val="16"/>
        </w:rPr>
        <w:footnoteRef/>
      </w:r>
      <w:r w:rsidRPr="00045A51">
        <w:rPr>
          <w:rFonts w:ascii="Verdana" w:hAnsi="Verdana" w:cs="Arial"/>
          <w:sz w:val="16"/>
          <w:szCs w:val="16"/>
        </w:rPr>
        <w:t xml:space="preserve"> </w:t>
      </w:r>
      <w:r w:rsidRPr="00045A51">
        <w:rPr>
          <w:rFonts w:ascii="Verdana" w:eastAsia="Calibri" w:hAnsi="Verdana" w:cs="Arial"/>
          <w:sz w:val="16"/>
          <w:szCs w:val="16"/>
          <w:lang w:val="es-ES_tradnl" w:eastAsia="es-ES_tradnl"/>
        </w:rPr>
        <w:t>“Que el porcentaje sea superior o inferior, o que para una empresa sea mayor o menor que para otra, depende de muchas razones, por ejemplo: del personal que se requiera en la obra –unas empresas emplean más o menos que otras–; de la magnitud del trabajo; de las cargas administrativas que cada empresa tienen –pensionados, convenciones colectivas y otros; del tamaño de la misma –mientras más grande es la A tiende a ser mayor; del costo de los campamentos; del transporte del personal; del sitio de las obras –si la empresa tiene un domicilio en el lugar del trabajo su A tiende a ser menor, y si se encuentra en otra ciudad tiende a subir, por ejemplo porque el salario de los ingenieros se incrementa por los viáticos–”. (</w:t>
      </w:r>
      <w:proofErr w:type="spellStart"/>
      <w:r w:rsidRPr="00045A51">
        <w:rPr>
          <w:rFonts w:ascii="Verdana" w:eastAsia="Calibri" w:hAnsi="Verdana" w:cs="Arial"/>
          <w:sz w:val="16"/>
          <w:szCs w:val="16"/>
          <w:lang w:val="es-ES_tradnl" w:eastAsia="es-ES_tradnl"/>
        </w:rPr>
        <w:t>Ibíd</w:t>
      </w:r>
      <w:proofErr w:type="spellEnd"/>
      <w:r w:rsidRPr="00045A51">
        <w:rPr>
          <w:rFonts w:ascii="Verdana" w:eastAsia="Calibri" w:hAnsi="Verdana" w:cs="Arial"/>
          <w:sz w:val="16"/>
          <w:szCs w:val="16"/>
          <w:lang w:val="es-ES_tradnl" w:eastAsia="es-ES_tradnl"/>
        </w:rPr>
        <w:t>, p. 76)</w:t>
      </w:r>
    </w:p>
  </w:footnote>
  <w:footnote w:id="10">
    <w:p w14:paraId="2A2C16F9" w14:textId="77777777" w:rsidR="009F5E7D" w:rsidRPr="00FF63C3" w:rsidRDefault="009F5E7D" w:rsidP="009F5E7D">
      <w:pPr>
        <w:pStyle w:val="Textonotapie"/>
        <w:ind w:firstLine="708"/>
        <w:jc w:val="both"/>
        <w:rPr>
          <w:rFonts w:ascii="Verdana" w:eastAsia="Calibri" w:hAnsi="Verdana" w:cs="Arial"/>
          <w:sz w:val="16"/>
          <w:szCs w:val="16"/>
          <w:lang w:val="es-ES_tradnl" w:eastAsia="es-ES_tradnl"/>
        </w:rPr>
      </w:pPr>
      <w:r w:rsidRPr="00FF63C3">
        <w:rPr>
          <w:rStyle w:val="Refdenotaalpie"/>
          <w:rFonts w:ascii="Verdana" w:hAnsi="Verdana" w:cs="Arial"/>
          <w:sz w:val="16"/>
          <w:szCs w:val="16"/>
        </w:rPr>
        <w:footnoteRef/>
      </w:r>
      <w:r w:rsidRPr="00FF63C3">
        <w:rPr>
          <w:rFonts w:ascii="Verdana" w:hAnsi="Verdana" w:cs="Arial"/>
          <w:sz w:val="16"/>
          <w:szCs w:val="16"/>
        </w:rPr>
        <w:t xml:space="preserve"> </w:t>
      </w:r>
      <w:r w:rsidRPr="00FF63C3">
        <w:rPr>
          <w:rFonts w:ascii="Verdana" w:eastAsia="Calibri" w:hAnsi="Verdana" w:cs="Arial"/>
          <w:sz w:val="16"/>
          <w:szCs w:val="16"/>
          <w:lang w:val="es-ES_tradnl" w:eastAsia="es-ES_tradnl"/>
        </w:rPr>
        <w:t>Lo anterior, sin perjuicio de las fórmulas de reajuste que se establezcan en el contrato y lo establecido en el artículo 27 de la Ley 80 de 1993. En tal sentido, en los casos de desequilibrio económico, porque los costos indirectos en los que incurre el contratista exceden el alea normal, es decir, le causan una afectación grave de su economía, podría exigirle a la entidad que le pague más de lo que se estipuló en la A o en la I, siendo esta una circunstancia extraordinaria.</w:t>
      </w:r>
    </w:p>
    <w:p w14:paraId="787A23DF" w14:textId="77777777" w:rsidR="009F5E7D" w:rsidRPr="00FF63C3" w:rsidRDefault="009F5E7D" w:rsidP="009F5E7D">
      <w:pPr>
        <w:pStyle w:val="Textonotapie"/>
        <w:ind w:firstLine="708"/>
        <w:jc w:val="both"/>
        <w:rPr>
          <w:rFonts w:ascii="Verdana" w:hAnsi="Verdana" w:cs="Arial"/>
          <w:sz w:val="16"/>
          <w:szCs w:val="16"/>
        </w:rPr>
      </w:pPr>
    </w:p>
  </w:footnote>
  <w:footnote w:id="11">
    <w:p w14:paraId="00BF24EA" w14:textId="77777777" w:rsidR="009F5E7D" w:rsidRPr="00FF63C3" w:rsidRDefault="009F5E7D" w:rsidP="009F5E7D">
      <w:pPr>
        <w:pStyle w:val="Textonotapie"/>
        <w:ind w:firstLine="709"/>
        <w:jc w:val="both"/>
        <w:rPr>
          <w:rFonts w:ascii="Verdana" w:hAnsi="Verdana"/>
          <w:sz w:val="16"/>
          <w:szCs w:val="16"/>
          <w:lang w:val="es-CO"/>
        </w:rPr>
      </w:pPr>
      <w:r w:rsidRPr="00FF63C3">
        <w:rPr>
          <w:rStyle w:val="Refdenotaalpie"/>
          <w:rFonts w:ascii="Verdana" w:hAnsi="Verdana"/>
          <w:sz w:val="16"/>
          <w:szCs w:val="16"/>
        </w:rPr>
        <w:footnoteRef/>
      </w:r>
      <w:r w:rsidRPr="00FF63C3">
        <w:rPr>
          <w:rFonts w:ascii="Verdana" w:hAnsi="Verdana"/>
          <w:sz w:val="16"/>
          <w:szCs w:val="16"/>
        </w:rPr>
        <w:t xml:space="preserve"> </w:t>
      </w:r>
      <w:r w:rsidRPr="00FF63C3">
        <w:rPr>
          <w:rFonts w:ascii="Verdana" w:hAnsi="Verdana" w:cs="Arial"/>
          <w:sz w:val="16"/>
          <w:szCs w:val="16"/>
          <w:lang w:val="es-ES_tradnl"/>
        </w:rPr>
        <w:t>Consejo de Estado. Sala de Consulta y Servicio Civil. Concepto del 5 de septiembre de 2018, radicado No. 11001-03-06-000-2018-00124-00, C.P. Édgar González López.</w:t>
      </w:r>
    </w:p>
  </w:footnote>
  <w:footnote w:id="12">
    <w:p w14:paraId="3FF7E512" w14:textId="77777777" w:rsidR="009F5E7D" w:rsidRPr="00045A51" w:rsidRDefault="009F5E7D" w:rsidP="009F5E7D">
      <w:pPr>
        <w:pStyle w:val="Textonotapie"/>
        <w:ind w:firstLine="708"/>
        <w:jc w:val="both"/>
        <w:rPr>
          <w:rFonts w:ascii="Verdana" w:hAnsi="Verdana" w:cs="Arial"/>
          <w:sz w:val="16"/>
          <w:szCs w:val="16"/>
        </w:rPr>
      </w:pPr>
      <w:r w:rsidRPr="00045A51">
        <w:rPr>
          <w:rStyle w:val="Refdenotaalpie"/>
          <w:rFonts w:ascii="Verdana" w:hAnsi="Verdana" w:cs="Arial"/>
          <w:sz w:val="16"/>
          <w:szCs w:val="16"/>
        </w:rPr>
        <w:footnoteRef/>
      </w:r>
      <w:r w:rsidRPr="00045A51">
        <w:rPr>
          <w:rFonts w:ascii="Verdana" w:hAnsi="Verdana" w:cs="Arial"/>
          <w:sz w:val="16"/>
          <w:szCs w:val="16"/>
        </w:rPr>
        <w:t xml:space="preserve"> </w:t>
      </w:r>
      <w:proofErr w:type="spellStart"/>
      <w:r w:rsidRPr="00045A51">
        <w:rPr>
          <w:rFonts w:ascii="Verdana" w:eastAsia="Calibri" w:hAnsi="Verdana" w:cs="Arial"/>
          <w:sz w:val="16"/>
          <w:szCs w:val="16"/>
          <w:lang w:val="es-ES_tradnl" w:eastAsia="es-ES_tradnl"/>
        </w:rPr>
        <w:t>Ibíd</w:t>
      </w:r>
      <w:proofErr w:type="spellEnd"/>
      <w:r w:rsidRPr="00045A51">
        <w:rPr>
          <w:rFonts w:ascii="Verdana" w:eastAsia="Calibri" w:hAnsi="Verdana" w:cs="Arial"/>
          <w:sz w:val="16"/>
          <w:szCs w:val="16"/>
          <w:lang w:val="es-ES_tradnl" w:eastAsia="es-ES_tradnl"/>
        </w:rPr>
        <w:t>, p. 77.</w:t>
      </w:r>
      <w:r w:rsidRPr="00045A51">
        <w:rPr>
          <w:rFonts w:ascii="Verdana" w:hAnsi="Verdana" w:cs="Arial"/>
          <w:sz w:val="16"/>
          <w:szCs w:val="16"/>
        </w:rPr>
        <w:t xml:space="preserve"> </w:t>
      </w:r>
    </w:p>
    <w:p w14:paraId="241BC8FF" w14:textId="77777777" w:rsidR="009F5E7D" w:rsidRPr="00045A51" w:rsidRDefault="009F5E7D" w:rsidP="009F5E7D">
      <w:pPr>
        <w:pStyle w:val="Textonotapie"/>
        <w:ind w:firstLine="708"/>
        <w:jc w:val="both"/>
        <w:rPr>
          <w:rFonts w:ascii="Verdana" w:hAnsi="Verdana" w:cs="Arial"/>
          <w:sz w:val="16"/>
          <w:szCs w:val="16"/>
          <w:lang w:val="es-CO"/>
        </w:rPr>
      </w:pPr>
    </w:p>
  </w:footnote>
  <w:footnote w:id="13">
    <w:p w14:paraId="58FA9B54" w14:textId="77777777" w:rsidR="009F5E7D" w:rsidRPr="00143AF3" w:rsidRDefault="009F5E7D" w:rsidP="009F5E7D">
      <w:pPr>
        <w:pStyle w:val="Textonotapie"/>
        <w:ind w:firstLine="709"/>
        <w:rPr>
          <w:lang w:val="es-CO"/>
        </w:rPr>
      </w:pPr>
      <w:r>
        <w:rPr>
          <w:rStyle w:val="Refdenotaalpie"/>
        </w:rPr>
        <w:footnoteRef/>
      </w:r>
      <w:r>
        <w:t xml:space="preserve"> </w:t>
      </w:r>
      <w:proofErr w:type="spellStart"/>
      <w:r w:rsidRPr="00045A51">
        <w:rPr>
          <w:rFonts w:ascii="Verdana" w:eastAsia="Calibri" w:hAnsi="Verdana" w:cs="Arial"/>
          <w:sz w:val="16"/>
          <w:szCs w:val="16"/>
          <w:lang w:val="es-ES_tradnl" w:eastAsia="es-ES_tradnl"/>
        </w:rPr>
        <w:t>Ibíd</w:t>
      </w:r>
      <w:proofErr w:type="spellEnd"/>
      <w:r w:rsidRPr="00045A51">
        <w:rPr>
          <w:rFonts w:ascii="Verdana" w:eastAsia="Calibri" w:hAnsi="Verdana" w:cs="Arial"/>
          <w:sz w:val="16"/>
          <w:szCs w:val="16"/>
          <w:lang w:val="es-ES_tradnl" w:eastAsia="es-ES_tradnl"/>
        </w:rPr>
        <w:t>, p. 77.</w:t>
      </w:r>
    </w:p>
  </w:footnote>
  <w:footnote w:id="14">
    <w:p w14:paraId="2125C44D" w14:textId="77777777" w:rsidR="009F5E7D" w:rsidRDefault="009F5E7D" w:rsidP="009F5E7D">
      <w:pPr>
        <w:pStyle w:val="Textonotapie"/>
        <w:ind w:firstLine="709"/>
        <w:jc w:val="both"/>
        <w:rPr>
          <w:rFonts w:ascii="Verdana" w:hAnsi="Verdana" w:cs="Arial"/>
          <w:bCs/>
          <w:i/>
          <w:iCs/>
          <w:sz w:val="16"/>
          <w:szCs w:val="16"/>
          <w:lang w:val="es-ES_tradnl"/>
        </w:rPr>
      </w:pPr>
      <w:r w:rsidRPr="00B95CFD">
        <w:rPr>
          <w:rStyle w:val="Refdenotaalpie"/>
          <w:rFonts w:ascii="Verdana" w:hAnsi="Verdana" w:cs="Arial"/>
          <w:sz w:val="16"/>
          <w:szCs w:val="16"/>
        </w:rPr>
        <w:footnoteRef/>
      </w:r>
      <w:r w:rsidRPr="00B95CFD">
        <w:rPr>
          <w:rFonts w:ascii="Verdana" w:hAnsi="Verdana" w:cs="Arial"/>
          <w:sz w:val="16"/>
          <w:szCs w:val="16"/>
        </w:rPr>
        <w:t xml:space="preserve"> </w:t>
      </w:r>
      <w:r w:rsidRPr="00B95CFD">
        <w:rPr>
          <w:rFonts w:ascii="Verdana" w:hAnsi="Verdana" w:cs="Arial"/>
          <w:i/>
          <w:iCs/>
          <w:sz w:val="16"/>
          <w:szCs w:val="16"/>
          <w:lang w:val="es-ES"/>
        </w:rPr>
        <w:t>“</w:t>
      </w:r>
      <w:r w:rsidRPr="00B95CFD">
        <w:rPr>
          <w:rFonts w:ascii="Verdana" w:hAnsi="Verdana" w:cs="Arial"/>
          <w:bCs/>
          <w:i/>
          <w:iCs/>
          <w:sz w:val="16"/>
          <w:szCs w:val="16"/>
          <w:lang w:val="es-ES_tradnl"/>
        </w:rPr>
        <w:t>La función administrativa está al servicio de los intereses generales y se desarrolla con fundamento en los principios de igualdad, moralidad, eficacia, economía, celeridad, imparcialidad y publicidad, mediante la descentralización, la delegación y la desconcentración de funciones. Las autoridades administrativas deben coordinar sus actuaciones para el adecuado cumplimiento de los fines del estado. La administración pública, en todos sus órdenes, tendrá un control interno que se ejercerá en los términos que señale la Ley”.</w:t>
      </w:r>
    </w:p>
    <w:p w14:paraId="40E88F32" w14:textId="77777777" w:rsidR="009F5E7D" w:rsidRPr="00B95CFD" w:rsidRDefault="009F5E7D" w:rsidP="009F5E7D">
      <w:pPr>
        <w:pStyle w:val="Textonotapie"/>
        <w:ind w:firstLine="709"/>
        <w:jc w:val="both"/>
        <w:rPr>
          <w:rFonts w:ascii="Verdana" w:hAnsi="Verdana" w:cs="Arial"/>
          <w:sz w:val="16"/>
          <w:szCs w:val="16"/>
        </w:rPr>
      </w:pPr>
    </w:p>
  </w:footnote>
  <w:footnote w:id="15">
    <w:p w14:paraId="34CA471C" w14:textId="77777777" w:rsidR="009F5E7D" w:rsidRDefault="009F5E7D" w:rsidP="009F5E7D">
      <w:pPr>
        <w:pStyle w:val="Textonotapie"/>
        <w:ind w:firstLine="709"/>
        <w:jc w:val="both"/>
        <w:rPr>
          <w:rStyle w:val="nfasis"/>
          <w:rFonts w:ascii="Verdana" w:hAnsi="Verdana" w:cs="Arial"/>
          <w:color w:val="000000" w:themeColor="text1"/>
          <w:sz w:val="16"/>
          <w:szCs w:val="16"/>
          <w:shd w:val="clear" w:color="auto" w:fill="FFFFFF"/>
        </w:rPr>
      </w:pPr>
      <w:r w:rsidRPr="00B95CFD">
        <w:rPr>
          <w:rStyle w:val="Refdenotaalpie"/>
          <w:rFonts w:ascii="Verdana" w:hAnsi="Verdana" w:cs="Arial"/>
          <w:sz w:val="16"/>
          <w:szCs w:val="16"/>
        </w:rPr>
        <w:footnoteRef/>
      </w:r>
      <w:r w:rsidRPr="00B95CFD">
        <w:rPr>
          <w:rFonts w:ascii="Verdana" w:hAnsi="Verdana" w:cs="Arial"/>
          <w:sz w:val="16"/>
          <w:szCs w:val="16"/>
        </w:rPr>
        <w:t xml:space="preserve"> </w:t>
      </w:r>
      <w:r w:rsidRPr="00B95CFD">
        <w:rPr>
          <w:rFonts w:ascii="Verdana" w:hAnsi="Verdana" w:cs="Arial"/>
          <w:color w:val="000000" w:themeColor="text1"/>
          <w:sz w:val="16"/>
          <w:szCs w:val="16"/>
        </w:rPr>
        <w:t>“</w:t>
      </w:r>
      <w:r w:rsidRPr="00B95CFD">
        <w:rPr>
          <w:rStyle w:val="nfasis"/>
          <w:rFonts w:ascii="Verdana" w:hAnsi="Verdana" w:cs="Arial"/>
          <w:color w:val="000000" w:themeColor="text1"/>
          <w:sz w:val="16"/>
          <w:szCs w:val="16"/>
          <w:shd w:val="clear" w:color="auto" w:fill="FFFFFF"/>
        </w:rPr>
        <w:t>Por la cual se dictan normas sobre la organización y funcionamiento de las entidades del orden nacional, se expiden las disposiciones, principios y reglas generales para el ejercicio de las atribuciones previstas en los numerales 15 y 16 del artículo 189 de la Constitución Política y se dictan otras disposiciones”.</w:t>
      </w:r>
    </w:p>
    <w:p w14:paraId="4F16BDC2" w14:textId="77777777" w:rsidR="009F5E7D" w:rsidRPr="00B95CFD" w:rsidRDefault="009F5E7D" w:rsidP="009F5E7D">
      <w:pPr>
        <w:pStyle w:val="Textonotapie"/>
        <w:ind w:firstLine="709"/>
        <w:jc w:val="both"/>
        <w:rPr>
          <w:rFonts w:ascii="Verdana" w:hAnsi="Verdana" w:cs="Arial"/>
          <w:sz w:val="16"/>
          <w:szCs w:val="16"/>
        </w:rPr>
      </w:pPr>
    </w:p>
  </w:footnote>
  <w:footnote w:id="16">
    <w:p w14:paraId="367AAB58" w14:textId="77777777" w:rsidR="009F5E7D" w:rsidRDefault="009F5E7D" w:rsidP="009F5E7D">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Este artículo fue declarado exequible por la Corte Constitucional mediante la Sentencia C-671 de 1999, M.P. Alfredo Beltrán Sierra.</w:t>
      </w:r>
    </w:p>
    <w:p w14:paraId="1B0C3014" w14:textId="77777777" w:rsidR="009F5E7D" w:rsidRPr="00B95CFD" w:rsidRDefault="009F5E7D" w:rsidP="009F5E7D">
      <w:pPr>
        <w:pStyle w:val="Textonotapie"/>
        <w:ind w:firstLine="709"/>
        <w:jc w:val="both"/>
        <w:rPr>
          <w:rFonts w:ascii="Verdana" w:hAnsi="Verdana"/>
          <w:sz w:val="16"/>
          <w:szCs w:val="16"/>
        </w:rPr>
      </w:pPr>
    </w:p>
  </w:footnote>
  <w:footnote w:id="17">
    <w:p w14:paraId="3D9D3254" w14:textId="77777777" w:rsidR="009F5E7D" w:rsidRDefault="009F5E7D" w:rsidP="009F5E7D">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w:t>
      </w:r>
      <w:r>
        <w:rPr>
          <w:rFonts w:ascii="Verdana" w:hAnsi="Verdana" w:cs="Arial"/>
          <w:sz w:val="16"/>
          <w:szCs w:val="16"/>
        </w:rPr>
        <w:t>Consejo de Estado</w:t>
      </w:r>
      <w:r w:rsidRPr="00B95CFD">
        <w:rPr>
          <w:rFonts w:ascii="Verdana" w:hAnsi="Verdana" w:cs="Arial"/>
          <w:sz w:val="16"/>
          <w:szCs w:val="16"/>
        </w:rPr>
        <w:t>, Sala de lo Contencioso Administrativo, Sección Tercera, sentencia de 23 de junio de 2010, exp.17860.</w:t>
      </w:r>
    </w:p>
    <w:p w14:paraId="52A089CB" w14:textId="77777777" w:rsidR="009F5E7D" w:rsidRPr="00B95CFD" w:rsidRDefault="009F5E7D" w:rsidP="009F5E7D">
      <w:pPr>
        <w:pStyle w:val="Textonotapie"/>
        <w:ind w:firstLine="709"/>
        <w:jc w:val="both"/>
        <w:rPr>
          <w:rFonts w:ascii="Verdana" w:hAnsi="Verdana" w:cs="Arial"/>
          <w:sz w:val="16"/>
          <w:szCs w:val="16"/>
        </w:rPr>
      </w:pPr>
    </w:p>
  </w:footnote>
  <w:footnote w:id="18">
    <w:p w14:paraId="73D3234F" w14:textId="77777777" w:rsidR="009F5E7D" w:rsidRPr="00B95CFD" w:rsidRDefault="009F5E7D" w:rsidP="009F5E7D">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Santos Rodríguez, Jorge Enrique. </w:t>
      </w:r>
      <w:r w:rsidRPr="00B95CFD">
        <w:rPr>
          <w:rFonts w:ascii="Verdana" w:hAnsi="Verdana" w:cs="Arial"/>
          <w:i/>
          <w:iCs/>
          <w:sz w:val="16"/>
          <w:szCs w:val="16"/>
        </w:rPr>
        <w:t>“Consideraciones sobre los convenios y contratos interadministrativos”</w:t>
      </w:r>
      <w:r w:rsidRPr="00B95CFD">
        <w:rPr>
          <w:rFonts w:ascii="Verdana" w:hAnsi="Verdana" w:cs="Arial"/>
          <w:sz w:val="16"/>
          <w:szCs w:val="16"/>
        </w:rPr>
        <w:t>. Universidad Externado de Colombia, Revista Digital de Derecho Administrativo, Bogotá 2009.</w:t>
      </w:r>
    </w:p>
  </w:footnote>
  <w:footnote w:id="19">
    <w:p w14:paraId="05FE837E" w14:textId="77777777" w:rsidR="009F5E7D" w:rsidRDefault="009F5E7D" w:rsidP="009F5E7D">
      <w:pPr>
        <w:pStyle w:val="Textonotapie"/>
        <w:jc w:val="both"/>
        <w:rPr>
          <w:rFonts w:ascii="Verdana" w:hAnsi="Verdana" w:cs="Arial"/>
          <w:sz w:val="16"/>
          <w:szCs w:val="16"/>
        </w:rPr>
      </w:pPr>
    </w:p>
    <w:p w14:paraId="10071A92" w14:textId="77777777" w:rsidR="009F5E7D" w:rsidRDefault="009F5E7D" w:rsidP="009F5E7D">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Sobre el concepto causalista de contrato y sus efectos respecto de la actividad negocial de la administración, cfr. Augusto Ramón Chávez Marín Los convenios de la administración: entre la gestión pública y la actividad negocial, Bogotá, Universidad del Rosario, 2008, pp. 41 y ss.</w:t>
      </w:r>
    </w:p>
    <w:p w14:paraId="7B930370" w14:textId="77777777" w:rsidR="009F5E7D" w:rsidRPr="00B95CFD" w:rsidRDefault="009F5E7D" w:rsidP="009F5E7D">
      <w:pPr>
        <w:pStyle w:val="Textonotapie"/>
        <w:ind w:firstLine="709"/>
        <w:jc w:val="both"/>
        <w:rPr>
          <w:rFonts w:ascii="Verdana" w:hAnsi="Verdana" w:cs="Arial"/>
          <w:sz w:val="16"/>
          <w:szCs w:val="16"/>
        </w:rPr>
      </w:pPr>
    </w:p>
  </w:footnote>
  <w:footnote w:id="20">
    <w:p w14:paraId="51F7ECED" w14:textId="77777777" w:rsidR="009F5E7D" w:rsidRPr="00B95CFD" w:rsidRDefault="009F5E7D" w:rsidP="009F5E7D">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Expósito Vélez, Juan Carlos. </w:t>
      </w:r>
      <w:r w:rsidRPr="00B95CFD">
        <w:rPr>
          <w:rFonts w:ascii="Verdana" w:hAnsi="Verdana" w:cs="Arial"/>
          <w:i/>
          <w:iCs/>
          <w:sz w:val="16"/>
          <w:szCs w:val="16"/>
        </w:rPr>
        <w:t>“La configuración del contrato de la administración pública en derecho colombiano y español”</w:t>
      </w:r>
      <w:r w:rsidRPr="00B95CFD">
        <w:rPr>
          <w:rFonts w:ascii="Verdana" w:hAnsi="Verdana" w:cs="Arial"/>
          <w:sz w:val="16"/>
          <w:szCs w:val="16"/>
        </w:rPr>
        <w:t>. Bogotá, universidad Externado de Colombia, 2003, p. 25.</w:t>
      </w:r>
    </w:p>
  </w:footnote>
  <w:footnote w:id="21">
    <w:p w14:paraId="2F492913" w14:textId="77777777" w:rsidR="009F5E7D" w:rsidRPr="00B95CFD" w:rsidRDefault="009F5E7D" w:rsidP="009F5E7D">
      <w:pPr>
        <w:ind w:firstLine="708"/>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w:t>
      </w:r>
      <w:r>
        <w:rPr>
          <w:rFonts w:ascii="Verdana" w:hAnsi="Verdana" w:cs="Arial"/>
          <w:sz w:val="16"/>
          <w:szCs w:val="16"/>
        </w:rPr>
        <w:t>Consejo de Estado</w:t>
      </w:r>
      <w:r w:rsidRPr="00B95CFD">
        <w:rPr>
          <w:rFonts w:ascii="Verdana" w:hAnsi="Verdana" w:cs="Arial"/>
          <w:sz w:val="16"/>
          <w:szCs w:val="16"/>
        </w:rPr>
        <w:t xml:space="preserve">. Sala de Consulta y Servicio Civil. Concepto 26 de julio de 2016. </w:t>
      </w:r>
      <w:proofErr w:type="spellStart"/>
      <w:r w:rsidRPr="00B95CFD">
        <w:rPr>
          <w:rFonts w:ascii="Verdana" w:hAnsi="Verdana" w:cs="Arial"/>
          <w:sz w:val="16"/>
          <w:szCs w:val="16"/>
        </w:rPr>
        <w:t>Exp</w:t>
      </w:r>
      <w:proofErr w:type="spellEnd"/>
      <w:r w:rsidRPr="00B95CFD">
        <w:rPr>
          <w:rFonts w:ascii="Verdana" w:hAnsi="Verdana" w:cs="Arial"/>
          <w:sz w:val="16"/>
          <w:szCs w:val="16"/>
        </w:rPr>
        <w:t>. 2.257. C.P. Álvaro Namén Vargas.</w:t>
      </w:r>
    </w:p>
  </w:footnote>
  <w:footnote w:id="22">
    <w:p w14:paraId="24B983BD" w14:textId="77777777" w:rsidR="009F5E7D" w:rsidRDefault="009F5E7D" w:rsidP="009F5E7D">
      <w:pPr>
        <w:pStyle w:val="Textonotapie"/>
        <w:ind w:firstLine="708"/>
        <w:jc w:val="both"/>
        <w:rPr>
          <w:rFonts w:ascii="Verdana" w:hAnsi="Verdana"/>
          <w:bCs/>
          <w:sz w:val="16"/>
          <w:szCs w:val="16"/>
        </w:rPr>
      </w:pPr>
      <w:r w:rsidRPr="004D343D">
        <w:rPr>
          <w:rStyle w:val="Refdenotaalpie"/>
          <w:rFonts w:ascii="Verdana" w:hAnsi="Verdana"/>
          <w:sz w:val="16"/>
          <w:szCs w:val="16"/>
        </w:rPr>
        <w:footnoteRef/>
      </w:r>
      <w:r w:rsidRPr="004D343D">
        <w:rPr>
          <w:rFonts w:ascii="Verdana" w:hAnsi="Verdana"/>
          <w:sz w:val="16"/>
          <w:szCs w:val="16"/>
        </w:rPr>
        <w:t xml:space="preserve"> </w:t>
      </w:r>
      <w:r w:rsidRPr="004D343D">
        <w:rPr>
          <w:rFonts w:ascii="Verdana" w:hAnsi="Verdana"/>
          <w:sz w:val="16"/>
          <w:szCs w:val="16"/>
          <w:lang w:val="es-CO"/>
        </w:rPr>
        <w:t>Consejo de Estado. Sala de Consulta y Servicio Civil. Concepto no. 2257 del 26 de julio de 2016, C.P</w:t>
      </w:r>
      <w:r>
        <w:rPr>
          <w:rFonts w:ascii="Verdana" w:hAnsi="Verdana"/>
          <w:sz w:val="16"/>
          <w:szCs w:val="16"/>
          <w:lang w:val="es-CO"/>
        </w:rPr>
        <w:t>:</w:t>
      </w:r>
      <w:r w:rsidRPr="004D343D">
        <w:rPr>
          <w:rFonts w:ascii="Verdana" w:hAnsi="Verdana"/>
          <w:sz w:val="16"/>
          <w:szCs w:val="16"/>
          <w:lang w:val="es-CO"/>
        </w:rPr>
        <w:t xml:space="preserve"> Álvaro Namén Vargas</w:t>
      </w:r>
      <w:r>
        <w:rPr>
          <w:rFonts w:ascii="Verdana" w:hAnsi="Verdana"/>
          <w:sz w:val="16"/>
          <w:szCs w:val="16"/>
          <w:lang w:val="es-CO"/>
        </w:rPr>
        <w:t>.</w:t>
      </w:r>
      <w:r w:rsidRPr="004D343D">
        <w:rPr>
          <w:rFonts w:ascii="Verdana" w:hAnsi="Verdana"/>
          <w:sz w:val="16"/>
          <w:szCs w:val="16"/>
          <w:lang w:val="es-CO"/>
        </w:rPr>
        <w:t xml:space="preserve"> Consejo de Estado</w:t>
      </w:r>
      <w:r>
        <w:rPr>
          <w:rFonts w:ascii="Verdana" w:hAnsi="Verdana"/>
          <w:sz w:val="16"/>
          <w:szCs w:val="16"/>
          <w:lang w:val="es-CO"/>
        </w:rPr>
        <w:t>. Sala de lo Contencioso Administrativo.</w:t>
      </w:r>
      <w:r w:rsidRPr="004D343D">
        <w:rPr>
          <w:rFonts w:ascii="Verdana" w:hAnsi="Verdana"/>
          <w:sz w:val="16"/>
          <w:szCs w:val="16"/>
          <w:lang w:val="es-CO"/>
        </w:rPr>
        <w:t xml:space="preserve"> Sección Tercera, Subsección A. Sentencia del 23 de junio de 2010. </w:t>
      </w:r>
      <w:proofErr w:type="spellStart"/>
      <w:r w:rsidRPr="004D343D">
        <w:rPr>
          <w:rFonts w:ascii="Verdana" w:hAnsi="Verdana"/>
          <w:sz w:val="16"/>
          <w:szCs w:val="16"/>
          <w:lang w:val="es-CO"/>
        </w:rPr>
        <w:t>Exp</w:t>
      </w:r>
      <w:proofErr w:type="spellEnd"/>
      <w:r w:rsidRPr="004D343D">
        <w:rPr>
          <w:rFonts w:ascii="Verdana" w:hAnsi="Verdana"/>
          <w:sz w:val="16"/>
          <w:szCs w:val="16"/>
          <w:lang w:val="es-CO"/>
        </w:rPr>
        <w:t xml:space="preserve"> 17860</w:t>
      </w:r>
      <w:r>
        <w:rPr>
          <w:rFonts w:ascii="Verdana" w:hAnsi="Verdana"/>
          <w:sz w:val="16"/>
          <w:szCs w:val="16"/>
          <w:lang w:val="es-CO"/>
        </w:rPr>
        <w:t xml:space="preserve">. </w:t>
      </w:r>
      <w:r w:rsidRPr="004D343D">
        <w:rPr>
          <w:rFonts w:ascii="Verdana" w:hAnsi="Verdana"/>
          <w:sz w:val="16"/>
          <w:szCs w:val="16"/>
          <w:lang w:val="es-CO"/>
        </w:rPr>
        <w:t>C.P</w:t>
      </w:r>
      <w:r>
        <w:rPr>
          <w:rFonts w:ascii="Verdana" w:hAnsi="Verdana"/>
          <w:sz w:val="16"/>
          <w:szCs w:val="16"/>
          <w:lang w:val="es-CO"/>
        </w:rPr>
        <w:t>:</w:t>
      </w:r>
      <w:r w:rsidRPr="004D343D">
        <w:rPr>
          <w:rFonts w:ascii="Verdana" w:hAnsi="Verdana"/>
          <w:sz w:val="16"/>
          <w:szCs w:val="16"/>
          <w:lang w:val="es-CO"/>
        </w:rPr>
        <w:t xml:space="preserve"> Mauricio Fajardo Gómez.</w:t>
      </w:r>
      <w:r>
        <w:rPr>
          <w:rFonts w:ascii="Verdana" w:hAnsi="Verdana"/>
          <w:sz w:val="16"/>
          <w:szCs w:val="16"/>
          <w:lang w:val="es-CO"/>
        </w:rPr>
        <w:t xml:space="preserve"> </w:t>
      </w:r>
      <w:r w:rsidRPr="004D343D">
        <w:rPr>
          <w:rFonts w:ascii="Verdana" w:hAnsi="Verdana"/>
          <w:sz w:val="16"/>
          <w:szCs w:val="16"/>
          <w:lang w:val="es-CO"/>
        </w:rPr>
        <w:t>Consejo de Estado</w:t>
      </w:r>
      <w:r>
        <w:rPr>
          <w:rFonts w:ascii="Verdana" w:hAnsi="Verdana"/>
          <w:sz w:val="16"/>
          <w:szCs w:val="16"/>
          <w:lang w:val="es-CO"/>
        </w:rPr>
        <w:t>. Sala de lo Contencioso Administrativo.</w:t>
      </w:r>
      <w:r w:rsidRPr="004D343D">
        <w:rPr>
          <w:rFonts w:ascii="Verdana" w:hAnsi="Verdana"/>
          <w:sz w:val="16"/>
          <w:szCs w:val="16"/>
          <w:lang w:val="es-CO"/>
        </w:rPr>
        <w:t xml:space="preserve"> </w:t>
      </w:r>
      <w:r>
        <w:rPr>
          <w:rFonts w:ascii="Verdana" w:hAnsi="Verdana"/>
          <w:sz w:val="16"/>
          <w:szCs w:val="16"/>
          <w:lang w:val="es-CO"/>
        </w:rPr>
        <w:t>S</w:t>
      </w:r>
      <w:r w:rsidRPr="004D343D">
        <w:rPr>
          <w:rFonts w:ascii="Verdana" w:hAnsi="Verdana"/>
          <w:sz w:val="16"/>
          <w:szCs w:val="16"/>
          <w:lang w:val="es-CO"/>
        </w:rPr>
        <w:t xml:space="preserve">ección Tercera. Auto del 4 de octubre de 2024. </w:t>
      </w:r>
      <w:proofErr w:type="spellStart"/>
      <w:r w:rsidRPr="004D343D">
        <w:rPr>
          <w:rFonts w:ascii="Verdana" w:hAnsi="Verdana"/>
          <w:sz w:val="16"/>
          <w:szCs w:val="16"/>
          <w:lang w:val="es-CO"/>
        </w:rPr>
        <w:t>Exp</w:t>
      </w:r>
      <w:proofErr w:type="spellEnd"/>
      <w:r w:rsidRPr="004D343D">
        <w:rPr>
          <w:rFonts w:ascii="Verdana" w:hAnsi="Verdana"/>
          <w:sz w:val="16"/>
          <w:szCs w:val="16"/>
          <w:lang w:val="es-CO"/>
        </w:rPr>
        <w:t xml:space="preserve"> </w:t>
      </w:r>
      <w:r w:rsidRPr="004D343D">
        <w:rPr>
          <w:rFonts w:ascii="Verdana" w:hAnsi="Verdana"/>
          <w:bCs/>
          <w:sz w:val="16"/>
          <w:szCs w:val="16"/>
        </w:rPr>
        <w:t>70313.</w:t>
      </w:r>
      <w:r>
        <w:rPr>
          <w:rFonts w:ascii="Verdana" w:hAnsi="Verdana"/>
          <w:bCs/>
          <w:sz w:val="16"/>
          <w:szCs w:val="16"/>
        </w:rPr>
        <w:t xml:space="preserve"> </w:t>
      </w:r>
      <w:r w:rsidRPr="004D343D">
        <w:rPr>
          <w:rFonts w:ascii="Verdana" w:hAnsi="Verdana"/>
          <w:sz w:val="16"/>
          <w:szCs w:val="16"/>
          <w:lang w:val="es-CO"/>
        </w:rPr>
        <w:t>Consejo de Estado</w:t>
      </w:r>
      <w:r>
        <w:rPr>
          <w:rFonts w:ascii="Verdana" w:hAnsi="Verdana"/>
          <w:sz w:val="16"/>
          <w:szCs w:val="16"/>
          <w:lang w:val="es-CO"/>
        </w:rPr>
        <w:t>. Sala de lo Contencioso Administrativo.</w:t>
      </w:r>
      <w:r w:rsidRPr="004D343D">
        <w:rPr>
          <w:rFonts w:ascii="Verdana" w:hAnsi="Verdana"/>
          <w:sz w:val="16"/>
          <w:szCs w:val="16"/>
          <w:lang w:val="es-CO"/>
        </w:rPr>
        <w:t xml:space="preserve"> C.P</w:t>
      </w:r>
      <w:r>
        <w:rPr>
          <w:rFonts w:ascii="Verdana" w:hAnsi="Verdana"/>
          <w:sz w:val="16"/>
          <w:szCs w:val="16"/>
          <w:lang w:val="es-CO"/>
        </w:rPr>
        <w:t>:</w:t>
      </w:r>
      <w:r w:rsidRPr="004D343D">
        <w:rPr>
          <w:rFonts w:ascii="Verdana" w:hAnsi="Verdana"/>
          <w:sz w:val="16"/>
          <w:szCs w:val="16"/>
          <w:lang w:val="es-CO"/>
        </w:rPr>
        <w:t xml:space="preserve"> Fredy Ibarra Martínez. </w:t>
      </w:r>
    </w:p>
    <w:p w14:paraId="7BFFA839" w14:textId="77777777" w:rsidR="009F5E7D" w:rsidRPr="004D343D" w:rsidRDefault="009F5E7D" w:rsidP="009F5E7D">
      <w:pPr>
        <w:pStyle w:val="Textonotapie"/>
        <w:ind w:firstLine="708"/>
        <w:jc w:val="both"/>
        <w:rPr>
          <w:rFonts w:ascii="Verdana" w:hAnsi="Verdana"/>
          <w:bCs/>
          <w:sz w:val="16"/>
          <w:szCs w:val="16"/>
        </w:rPr>
      </w:pPr>
    </w:p>
  </w:footnote>
  <w:footnote w:id="23">
    <w:p w14:paraId="19E58640" w14:textId="77777777" w:rsidR="009F5E7D" w:rsidRPr="004D343D" w:rsidRDefault="009F5E7D" w:rsidP="009F5E7D">
      <w:pPr>
        <w:pStyle w:val="Textonotapie"/>
        <w:ind w:firstLine="708"/>
        <w:jc w:val="both"/>
        <w:rPr>
          <w:rFonts w:ascii="Verdana" w:hAnsi="Verdana"/>
          <w:sz w:val="16"/>
          <w:szCs w:val="16"/>
          <w:lang w:val="es-CO"/>
        </w:rPr>
      </w:pPr>
      <w:r w:rsidRPr="004D343D">
        <w:rPr>
          <w:rStyle w:val="Refdenotaalpie"/>
          <w:rFonts w:ascii="Verdana" w:hAnsi="Verdana"/>
          <w:sz w:val="16"/>
          <w:szCs w:val="16"/>
        </w:rPr>
        <w:footnoteRef/>
      </w:r>
      <w:r w:rsidRPr="004D343D">
        <w:rPr>
          <w:rFonts w:ascii="Verdana" w:hAnsi="Verdana"/>
          <w:sz w:val="16"/>
          <w:szCs w:val="16"/>
        </w:rPr>
        <w:t xml:space="preserve"> SANTOS RODRÍGUEZ, Jorge Enrique. Consideraciones sobre los contratos y convenios interadministrativos. En: Revista Digital de Derecho Administrativo, 2008. p.p. 10-11. De igual forma, Augusto Ramón Chavéz Marín expresa: “</w:t>
      </w:r>
      <w:r w:rsidRPr="004D343D">
        <w:rPr>
          <w:rFonts w:ascii="Verdana" w:hAnsi="Verdana"/>
          <w:sz w:val="16"/>
          <w:szCs w:val="16"/>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footnote>
  <w:footnote w:id="24">
    <w:p w14:paraId="155BFC53" w14:textId="77777777" w:rsidR="009F5E7D" w:rsidRDefault="009F5E7D" w:rsidP="009F5E7D">
      <w:pPr>
        <w:pStyle w:val="Textonotapie"/>
        <w:ind w:firstLine="709"/>
        <w:jc w:val="both"/>
        <w:rPr>
          <w:rFonts w:ascii="Verdana" w:hAnsi="Verdana" w:cs="Arial"/>
          <w:bCs/>
          <w:iCs/>
          <w:sz w:val="16"/>
          <w:szCs w:val="16"/>
        </w:rPr>
      </w:pPr>
      <w:r w:rsidRPr="00B95CFD">
        <w:rPr>
          <w:rStyle w:val="Refdenotaalpie"/>
          <w:rFonts w:ascii="Verdana" w:hAnsi="Verdana" w:cs="Arial"/>
          <w:sz w:val="16"/>
          <w:szCs w:val="16"/>
        </w:rPr>
        <w:footnoteRef/>
      </w:r>
      <w:r>
        <w:rPr>
          <w:rFonts w:ascii="Verdana" w:hAnsi="Verdana" w:cs="Arial"/>
          <w:sz w:val="16"/>
          <w:szCs w:val="16"/>
        </w:rPr>
        <w:t xml:space="preserve"> </w:t>
      </w:r>
      <w:r w:rsidRPr="00B95CFD">
        <w:rPr>
          <w:rFonts w:ascii="Verdana" w:hAnsi="Verdana" w:cs="Arial"/>
          <w:sz w:val="16"/>
          <w:szCs w:val="16"/>
        </w:rPr>
        <w:t>Consejo de Estado</w:t>
      </w:r>
      <w:r>
        <w:rPr>
          <w:rFonts w:ascii="Verdana" w:hAnsi="Verdana" w:cs="Arial"/>
          <w:sz w:val="16"/>
          <w:szCs w:val="16"/>
        </w:rPr>
        <w:t>. Sala de lo Contencioso Administrativo.</w:t>
      </w:r>
      <w:r w:rsidRPr="00B95CFD">
        <w:rPr>
          <w:rFonts w:ascii="Verdana" w:hAnsi="Verdana" w:cs="Arial"/>
          <w:sz w:val="16"/>
          <w:szCs w:val="16"/>
        </w:rPr>
        <w:t xml:space="preserve"> Sección Tercera. Sentencia del </w:t>
      </w:r>
      <w:r w:rsidRPr="00B95CFD">
        <w:rPr>
          <w:rFonts w:ascii="Verdana" w:hAnsi="Verdana" w:cs="Arial"/>
          <w:bCs/>
          <w:iCs/>
          <w:sz w:val="16"/>
          <w:szCs w:val="16"/>
        </w:rPr>
        <w:t>14 de junio del 2019, Radicación Número: 25000-23-37-000-2010-02552-01(AP).</w:t>
      </w:r>
    </w:p>
    <w:p w14:paraId="04EBC30A" w14:textId="77777777" w:rsidR="009F5E7D" w:rsidRPr="00B95CFD" w:rsidRDefault="009F5E7D" w:rsidP="009F5E7D">
      <w:pPr>
        <w:pStyle w:val="Textonotapie"/>
        <w:ind w:firstLine="709"/>
        <w:jc w:val="both"/>
        <w:rPr>
          <w:rFonts w:ascii="Verdana" w:hAnsi="Verdana" w:cs="Arial"/>
          <w:sz w:val="16"/>
          <w:szCs w:val="16"/>
        </w:rPr>
      </w:pPr>
    </w:p>
  </w:footnote>
  <w:footnote w:id="25">
    <w:p w14:paraId="63A603AA" w14:textId="77777777" w:rsidR="009F5E7D" w:rsidRDefault="009F5E7D" w:rsidP="009F5E7D">
      <w:pPr>
        <w:pStyle w:val="Textonotapie"/>
        <w:ind w:firstLine="709"/>
        <w:jc w:val="both"/>
        <w:rPr>
          <w:rFonts w:ascii="Verdana" w:hAnsi="Verdana" w:cs="Arial"/>
          <w:sz w:val="16"/>
          <w:szCs w:val="16"/>
        </w:rPr>
      </w:pPr>
      <w:r w:rsidRPr="00B95CFD">
        <w:rPr>
          <w:rStyle w:val="Refdenotaalpie"/>
          <w:rFonts w:ascii="Verdana" w:hAnsi="Verdana"/>
          <w:sz w:val="16"/>
          <w:szCs w:val="16"/>
        </w:rPr>
        <w:footnoteRef/>
      </w:r>
      <w:r w:rsidRPr="00B95CFD">
        <w:rPr>
          <w:rFonts w:ascii="Verdana" w:hAnsi="Verdana"/>
          <w:sz w:val="16"/>
          <w:szCs w:val="16"/>
        </w:rPr>
        <w:t xml:space="preserve"> </w:t>
      </w:r>
      <w:r w:rsidRPr="00B95CFD">
        <w:rPr>
          <w:rFonts w:ascii="Verdana" w:hAnsi="Verdana" w:cs="Arial"/>
          <w:sz w:val="16"/>
          <w:szCs w:val="16"/>
        </w:rPr>
        <w:t>C</w:t>
      </w:r>
      <w:r>
        <w:rPr>
          <w:rFonts w:ascii="Verdana" w:hAnsi="Verdana" w:cs="Arial"/>
          <w:sz w:val="16"/>
          <w:szCs w:val="16"/>
        </w:rPr>
        <w:t>onsejo de Estado</w:t>
      </w:r>
      <w:r w:rsidRPr="00B95CFD">
        <w:rPr>
          <w:rFonts w:ascii="Verdana" w:hAnsi="Verdana" w:cs="Arial"/>
          <w:sz w:val="16"/>
          <w:szCs w:val="16"/>
        </w:rPr>
        <w:t xml:space="preserve">. Sala de Consulta y Servicio Civil. Concepto 26 de julio de 2016. </w:t>
      </w:r>
      <w:proofErr w:type="spellStart"/>
      <w:r w:rsidRPr="00B95CFD">
        <w:rPr>
          <w:rFonts w:ascii="Verdana" w:hAnsi="Verdana" w:cs="Arial"/>
          <w:sz w:val="16"/>
          <w:szCs w:val="16"/>
        </w:rPr>
        <w:t>Exp</w:t>
      </w:r>
      <w:proofErr w:type="spellEnd"/>
      <w:r w:rsidRPr="00B95CFD">
        <w:rPr>
          <w:rFonts w:ascii="Verdana" w:hAnsi="Verdana" w:cs="Arial"/>
          <w:sz w:val="16"/>
          <w:szCs w:val="16"/>
        </w:rPr>
        <w:t>. 2.257. C.P. Álvaro Namén Vargas.</w:t>
      </w:r>
    </w:p>
    <w:p w14:paraId="4F48BBCB" w14:textId="77777777" w:rsidR="009F5E7D" w:rsidRPr="00B95CFD" w:rsidRDefault="009F5E7D" w:rsidP="009F5E7D">
      <w:pPr>
        <w:pStyle w:val="Textonotapie"/>
        <w:ind w:firstLine="709"/>
        <w:jc w:val="both"/>
        <w:rPr>
          <w:rFonts w:ascii="Verdana" w:hAnsi="Verdana"/>
          <w:sz w:val="16"/>
          <w:szCs w:val="16"/>
          <w:lang w:val="es-CO"/>
        </w:rPr>
      </w:pPr>
    </w:p>
  </w:footnote>
  <w:footnote w:id="26">
    <w:p w14:paraId="72E770F7" w14:textId="77777777" w:rsidR="009F5E7D" w:rsidRPr="00B95CFD" w:rsidRDefault="009F5E7D" w:rsidP="009F5E7D">
      <w:pPr>
        <w:pStyle w:val="Textonotapie"/>
        <w:ind w:firstLine="709"/>
        <w:jc w:val="both"/>
        <w:rPr>
          <w:rFonts w:ascii="Verdana" w:hAnsi="Verdana"/>
          <w:sz w:val="16"/>
          <w:szCs w:val="16"/>
          <w:lang w:val="es-CO"/>
        </w:rPr>
      </w:pPr>
      <w:r w:rsidRPr="00B95CFD">
        <w:rPr>
          <w:rStyle w:val="Refdenotaalpie"/>
          <w:rFonts w:ascii="Verdana" w:hAnsi="Verdana"/>
          <w:sz w:val="16"/>
          <w:szCs w:val="16"/>
        </w:rPr>
        <w:footnoteRef/>
      </w:r>
      <w:r w:rsidRPr="00B95CFD">
        <w:rPr>
          <w:rFonts w:ascii="Verdana" w:hAnsi="Verdana"/>
          <w:sz w:val="16"/>
          <w:szCs w:val="16"/>
        </w:rPr>
        <w:t xml:space="preserve"> </w:t>
      </w:r>
      <w:r w:rsidRPr="00B95CFD">
        <w:rPr>
          <w:rFonts w:ascii="Verdana" w:hAnsi="Verdana" w:cs="Arial"/>
          <w:sz w:val="16"/>
          <w:szCs w:val="16"/>
        </w:rPr>
        <w:t>Consejo de Estado</w:t>
      </w:r>
      <w:r>
        <w:rPr>
          <w:rFonts w:ascii="Verdana" w:hAnsi="Verdana" w:cs="Arial"/>
          <w:sz w:val="16"/>
          <w:szCs w:val="16"/>
        </w:rPr>
        <w:t>. Sala de lo Contencioso Administrativo. S</w:t>
      </w:r>
      <w:r w:rsidRPr="00B95CFD">
        <w:rPr>
          <w:rFonts w:ascii="Verdana" w:hAnsi="Verdana" w:cs="Arial"/>
          <w:sz w:val="16"/>
          <w:szCs w:val="16"/>
        </w:rPr>
        <w:t xml:space="preserve">ección Tercera. Sentencia del </w:t>
      </w:r>
      <w:r w:rsidRPr="00B95CFD">
        <w:rPr>
          <w:rFonts w:ascii="Verdana" w:hAnsi="Verdana" w:cs="Arial"/>
          <w:bCs/>
          <w:iCs/>
          <w:sz w:val="16"/>
          <w:szCs w:val="16"/>
        </w:rPr>
        <w:t>21 de febrero de 2025. Radicación Número: 68.280. C</w:t>
      </w:r>
      <w:r>
        <w:rPr>
          <w:rFonts w:ascii="Verdana" w:hAnsi="Verdana" w:cs="Arial"/>
          <w:bCs/>
          <w:iCs/>
          <w:sz w:val="16"/>
          <w:szCs w:val="16"/>
        </w:rPr>
        <w:t>.</w:t>
      </w:r>
      <w:r w:rsidRPr="00B95CFD">
        <w:rPr>
          <w:rFonts w:ascii="Verdana" w:hAnsi="Verdana" w:cs="Arial"/>
          <w:bCs/>
          <w:iCs/>
          <w:sz w:val="16"/>
          <w:szCs w:val="16"/>
        </w:rPr>
        <w:t xml:space="preserve">P: José Roberto Sáchica Méndez. </w:t>
      </w:r>
    </w:p>
  </w:footnote>
  <w:footnote w:id="27">
    <w:p w14:paraId="33E59643" w14:textId="77777777" w:rsidR="009F5E7D" w:rsidRPr="00EE28A3" w:rsidRDefault="009F5E7D" w:rsidP="009F5E7D">
      <w:pPr>
        <w:pStyle w:val="Textonotapie"/>
        <w:ind w:firstLine="709"/>
        <w:jc w:val="both"/>
        <w:rPr>
          <w:rFonts w:ascii="Verdana" w:hAnsi="Verdana"/>
          <w:sz w:val="16"/>
          <w:szCs w:val="16"/>
          <w:lang w:val="es-ES"/>
        </w:rPr>
      </w:pPr>
      <w:r w:rsidRPr="00EE28A3">
        <w:rPr>
          <w:rStyle w:val="Refdenotaalpie"/>
          <w:rFonts w:ascii="Verdana" w:hAnsi="Verdana"/>
          <w:sz w:val="16"/>
          <w:szCs w:val="16"/>
        </w:rPr>
        <w:footnoteRef/>
      </w:r>
      <w:r w:rsidRPr="00EE28A3">
        <w:rPr>
          <w:rFonts w:ascii="Verdana" w:hAnsi="Verdana"/>
          <w:sz w:val="16"/>
          <w:szCs w:val="16"/>
        </w:rPr>
        <w:t xml:space="preserve"> </w:t>
      </w:r>
      <w:r w:rsidRPr="00EE28A3">
        <w:rPr>
          <w:rFonts w:ascii="Verdana" w:hAnsi="Verdana"/>
          <w:sz w:val="16"/>
          <w:szCs w:val="16"/>
          <w:lang w:val="es-CO"/>
        </w:rPr>
        <w:t>Corte Constitucional, Sentencia C-221 de 22 de mayo de 2019. M.P. Carlos Bernal Pulido. En la sentencia se indicó que la estampilla ‘Pro-Universidad Nacional de Colombia y demás universidades estatales de Colombia’ se trataba de un impuesto con destinación específica “pues se trata de una “imposición obligatoria y definitiva que no guarda relación directa e inmediata con la prestación de un bien o un servicio por parte del Estado al ciudadano” (…)”</w:t>
      </w:r>
      <w:r>
        <w:rPr>
          <w:rFonts w:ascii="Verdana" w:hAnsi="Verdana"/>
          <w:sz w:val="16"/>
          <w:szCs w:val="16"/>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AD122E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1358431546">
    <w:abstractNumId w:val="3"/>
  </w:num>
  <w:num w:numId="18" w16cid:durableId="11443521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44D99"/>
    <w:rsid w:val="0015699B"/>
    <w:rsid w:val="001A33BF"/>
    <w:rsid w:val="001E4177"/>
    <w:rsid w:val="001F0B24"/>
    <w:rsid w:val="001F7DC6"/>
    <w:rsid w:val="0022400B"/>
    <w:rsid w:val="002421BB"/>
    <w:rsid w:val="0025796E"/>
    <w:rsid w:val="002707A2"/>
    <w:rsid w:val="002951A0"/>
    <w:rsid w:val="00295DF3"/>
    <w:rsid w:val="002962BC"/>
    <w:rsid w:val="002A093D"/>
    <w:rsid w:val="002A0DD0"/>
    <w:rsid w:val="002A49AC"/>
    <w:rsid w:val="002A64FD"/>
    <w:rsid w:val="002C7A84"/>
    <w:rsid w:val="002E2BF8"/>
    <w:rsid w:val="002E4FD9"/>
    <w:rsid w:val="002F29C6"/>
    <w:rsid w:val="0030657A"/>
    <w:rsid w:val="00322A85"/>
    <w:rsid w:val="00324168"/>
    <w:rsid w:val="00330834"/>
    <w:rsid w:val="003448F4"/>
    <w:rsid w:val="00374F5E"/>
    <w:rsid w:val="00377E3E"/>
    <w:rsid w:val="003928D0"/>
    <w:rsid w:val="003A779E"/>
    <w:rsid w:val="003D0F4D"/>
    <w:rsid w:val="003D5B0D"/>
    <w:rsid w:val="003D69C4"/>
    <w:rsid w:val="003E0499"/>
    <w:rsid w:val="003E4F80"/>
    <w:rsid w:val="003E6439"/>
    <w:rsid w:val="003F3941"/>
    <w:rsid w:val="00406575"/>
    <w:rsid w:val="00414C74"/>
    <w:rsid w:val="00417A7E"/>
    <w:rsid w:val="0042722E"/>
    <w:rsid w:val="0044528D"/>
    <w:rsid w:val="00466E39"/>
    <w:rsid w:val="004A1847"/>
    <w:rsid w:val="004A305D"/>
    <w:rsid w:val="004F21C4"/>
    <w:rsid w:val="004F685F"/>
    <w:rsid w:val="005520DD"/>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361D"/>
    <w:rsid w:val="00844AE9"/>
    <w:rsid w:val="00865A09"/>
    <w:rsid w:val="00867F95"/>
    <w:rsid w:val="008843B6"/>
    <w:rsid w:val="00891928"/>
    <w:rsid w:val="008A162E"/>
    <w:rsid w:val="008A446D"/>
    <w:rsid w:val="008B25F1"/>
    <w:rsid w:val="008D180B"/>
    <w:rsid w:val="008F0EA7"/>
    <w:rsid w:val="00923EEF"/>
    <w:rsid w:val="009343FA"/>
    <w:rsid w:val="009419F9"/>
    <w:rsid w:val="0095685E"/>
    <w:rsid w:val="00961B09"/>
    <w:rsid w:val="00965334"/>
    <w:rsid w:val="0097093E"/>
    <w:rsid w:val="009A0DFA"/>
    <w:rsid w:val="009A1C6F"/>
    <w:rsid w:val="009B2D26"/>
    <w:rsid w:val="009C71FA"/>
    <w:rsid w:val="009C72E7"/>
    <w:rsid w:val="009C7F7E"/>
    <w:rsid w:val="009D3058"/>
    <w:rsid w:val="009F3A13"/>
    <w:rsid w:val="009F5E7D"/>
    <w:rsid w:val="00A122D3"/>
    <w:rsid w:val="00A14468"/>
    <w:rsid w:val="00A17F13"/>
    <w:rsid w:val="00A20739"/>
    <w:rsid w:val="00A23AF9"/>
    <w:rsid w:val="00A33C78"/>
    <w:rsid w:val="00A5295C"/>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16ED3"/>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402B"/>
    <w:rsid w:val="00F76AFC"/>
    <w:rsid w:val="00FA23B9"/>
    <w:rsid w:val="00FA47C0"/>
    <w:rsid w:val="00FB5DD1"/>
    <w:rsid w:val="00FC2B5D"/>
    <w:rsid w:val="00FC6B02"/>
    <w:rsid w:val="00FE4D24"/>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F5E7D"/>
    <w:rPr>
      <w:rFonts w:ascii="Geomanist Light" w:hAnsi="Geomanist Light"/>
      <w:lang w:val="es-ES"/>
    </w:rPr>
  </w:style>
  <w:style w:type="paragraph" w:customStyle="1" w:styleId="Appelnotedebasde">
    <w:name w:val="Appel note de bas de..."/>
    <w:basedOn w:val="Normal"/>
    <w:link w:val="Refdenotaalpie"/>
    <w:uiPriority w:val="99"/>
    <w:rsid w:val="009F5E7D"/>
    <w:pPr>
      <w:spacing w:line="240" w:lineRule="exact"/>
    </w:pPr>
    <w:rPr>
      <w:vertAlign w:val="superscript"/>
    </w:rPr>
  </w:style>
  <w:style w:type="character" w:styleId="nfasis">
    <w:name w:val="Emphasis"/>
    <w:basedOn w:val="Fuentedeprrafopredeter"/>
    <w:uiPriority w:val="20"/>
    <w:qFormat/>
    <w:rsid w:val="009F5E7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montoya@cga.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6307227-14B9-4AB3-BE67-807C54D45CF0}"/>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30</Pages>
  <Words>10166</Words>
  <Characters>55915</Characters>
  <Application>Microsoft Office Word</Application>
  <DocSecurity>0</DocSecurity>
  <Lines>465</Lines>
  <Paragraphs>131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4</cp:revision>
  <cp:lastPrinted>2023-01-10T21:18:00Z</cp:lastPrinted>
  <dcterms:created xsi:type="dcterms:W3CDTF">2026-06-03T20:25:00Z</dcterms:created>
  <dcterms:modified xsi:type="dcterms:W3CDTF">2026-06-04T12:20:00Z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