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876D3"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167361F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381BDA8" w14:textId="77777777" w:rsidR="004C63A3" w:rsidRDefault="004C63A3" w:rsidP="004C63A3">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0355C514" w14:textId="77777777" w:rsidR="004C63A3" w:rsidRPr="007B5AD4" w:rsidRDefault="004C63A3" w:rsidP="004C63A3">
      <w:pPr>
        <w:spacing w:after="0" w:line="240" w:lineRule="auto"/>
        <w:contextualSpacing/>
        <w:jc w:val="both"/>
        <w:rPr>
          <w:rFonts w:ascii="Verdana" w:eastAsia="Calibri" w:hAnsi="Verdana" w:cs="Arial"/>
          <w:sz w:val="20"/>
          <w:szCs w:val="20"/>
          <w:lang w:eastAsia="es-ES"/>
        </w:rPr>
      </w:pPr>
    </w:p>
    <w:p w14:paraId="0C764B16"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312B5506"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66698C56"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A39B22E"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127580FB"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40E1D0CF"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321474CF"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sidRPr="00FA1AEB">
        <w:rPr>
          <w:rFonts w:ascii="Verdana" w:eastAsia="Calibri" w:hAnsi="Verdana" w:cs="Arial"/>
          <w:sz w:val="20"/>
          <w:szCs w:val="20"/>
          <w:lang w:eastAsia="es-ES"/>
        </w:rPr>
        <w:t>Estos sujetos no tienen en cuenta el género, es decir si son PcD hombres o mujeres, por lo que la definición es aplicable independientemente del género de la PcD y no afecta las medidas afirmativas a aplicar. Por otra parte,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5D1FA58"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37DF74E" w14:textId="554818B1" w:rsidR="004C63A3" w:rsidRPr="00751F42" w:rsidRDefault="004C63A3" w:rsidP="004C63A3">
      <w:pPr>
        <w:spacing w:after="0" w:line="240" w:lineRule="auto"/>
        <w:contextualSpacing/>
        <w:jc w:val="both"/>
        <w:rPr>
          <w:rFonts w:ascii="Verdana" w:eastAsia="Calibri" w:hAnsi="Verdana" w:cs="Arial"/>
          <w:b/>
          <w:bCs/>
          <w:lang w:eastAsia="es-ES"/>
        </w:rPr>
      </w:pPr>
      <w:r w:rsidRPr="00751F42">
        <w:rPr>
          <w:rFonts w:ascii="Verdana" w:eastAsia="Calibri" w:hAnsi="Verdana" w:cs="Arial"/>
          <w:b/>
          <w:bCs/>
          <w:lang w:eastAsia="es-ES"/>
        </w:rPr>
        <w:t xml:space="preserve">DECRETO 0287 DE 2026 ‒ Puntaje adicional del 2% ‒ Vinculación de personas con discapacidad ‒ </w:t>
      </w:r>
      <w:r w:rsidR="00442687" w:rsidRPr="00751F42">
        <w:rPr>
          <w:rFonts w:ascii="Verdana" w:eastAsia="Calibri" w:hAnsi="Verdana" w:cs="Arial"/>
          <w:b/>
          <w:bCs/>
          <w:lang w:eastAsia="es-ES"/>
        </w:rPr>
        <w:t>Certificaciones</w:t>
      </w:r>
    </w:p>
    <w:p w14:paraId="42855669" w14:textId="77777777" w:rsidR="004C63A3" w:rsidRPr="00751F42" w:rsidRDefault="004C63A3" w:rsidP="004C63A3">
      <w:pPr>
        <w:spacing w:after="0" w:line="240" w:lineRule="auto"/>
        <w:contextualSpacing/>
        <w:jc w:val="both"/>
        <w:rPr>
          <w:rFonts w:ascii="Verdana" w:eastAsia="Calibri" w:hAnsi="Verdana" w:cs="Arial"/>
          <w:sz w:val="20"/>
          <w:szCs w:val="20"/>
          <w:lang w:eastAsia="es-ES"/>
        </w:rPr>
      </w:pPr>
    </w:p>
    <w:p w14:paraId="503F7849"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r w:rsidRPr="00751F42">
        <w:rPr>
          <w:rFonts w:ascii="Verdana" w:eastAsia="Calibri" w:hAnsi="Verdana" w:cs="Arial"/>
          <w:sz w:val="20"/>
          <w:szCs w:val="20"/>
          <w:lang w:eastAsia="es-ES"/>
        </w:rPr>
        <w:t>Respecto de las medidas del sistema, una de estas es el puntaje adicional del dos por ciento (2%), el cual es único, total y no acumulable. 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p>
    <w:p w14:paraId="64B5AD1A"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p>
    <w:p w14:paraId="2DF65BFE"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r w:rsidRPr="00751F42">
        <w:rPr>
          <w:rFonts w:ascii="Verdana" w:eastAsia="Calibri" w:hAnsi="Verdana" w:cs="Arial"/>
          <w:sz w:val="20"/>
          <w:szCs w:val="20"/>
          <w:lang w:eastAsia="es-ES"/>
        </w:rPr>
        <w:t>Ahora bien, la documentación para la acreditación de las condiciones bajo las cuales se otorga el puntaje depende del sujeto de que se trate, y teniendo en cuenta su consulta, en la condición de empleador de PcD, los documentos están dispuestos en el artículo 2.2.1.2.4.2.7.4 el cual exige:</w:t>
      </w:r>
    </w:p>
    <w:p w14:paraId="3690EFE7"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p>
    <w:p w14:paraId="5F33E016"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r w:rsidRPr="00751F42">
        <w:rPr>
          <w:rFonts w:ascii="Verdana" w:eastAsia="Calibri" w:hAnsi="Verdana" w:cs="Arial"/>
          <w:sz w:val="20"/>
          <w:szCs w:val="20"/>
          <w:lang w:eastAsia="es-ES"/>
        </w:rPr>
        <w:t xml:space="preserve">- Certificación expedida con una antelación no mayor a treinta (30) días calendario respecto a la fecha de presentación de la oferta, suscrita por el representante legal del proponente y el revisor fiscal, cuando exista de acuerdo con los requerimientos de ley, o el contador, en la que conste el número de personas con discapacidad que conforman su planta de personal. La certificación deberá relacionar el nombre completo y el número de documento de identidad de cada una de las personas con discapacidad. Como soporte, se anexará copia de los respectivos documentos de identidad, copia de los contratos de trabajo o certificación laboral con las funciones, sin que se puedan relacionar contratos de prestación de servicios, así como el certificado de aportes a seguridad social de los últimas tres (3) meses en el que se demuestren los pagos </w:t>
      </w:r>
      <w:r w:rsidRPr="00751F42">
        <w:rPr>
          <w:rFonts w:ascii="Verdana" w:eastAsia="Calibri" w:hAnsi="Verdana" w:cs="Arial"/>
          <w:sz w:val="20"/>
          <w:szCs w:val="20"/>
          <w:lang w:eastAsia="es-ES"/>
        </w:rPr>
        <w:lastRenderedPageBreak/>
        <w:t>realizados por el empleador, y el certificado de discapacidad expedido conforme a la normativa vigente del Ministerio de Salud y Protección Social.</w:t>
      </w:r>
    </w:p>
    <w:p w14:paraId="64288A66"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r w:rsidRPr="00751F42">
        <w:rPr>
          <w:rFonts w:ascii="Verdana" w:eastAsia="Calibri" w:hAnsi="Verdana" w:cs="Arial"/>
          <w:sz w:val="20"/>
          <w:szCs w:val="20"/>
          <w:lang w:eastAsia="es-ES"/>
        </w:rPr>
        <w:t>- También, esta verificación se hará con el certificado que para el efecto expide el Ministerio de Trabajo y la entidad estatal contratante verificará la vigencia de dicha certificación, de conformidad con la normativa aplicable.</w:t>
      </w:r>
    </w:p>
    <w:p w14:paraId="2F84AF55" w14:textId="5A1C5431" w:rsidR="00CB0DB3" w:rsidRPr="00751F42" w:rsidRDefault="00751F42" w:rsidP="00CB0DB3">
      <w:pPr>
        <w:spacing w:after="0" w:line="240" w:lineRule="auto"/>
        <w:contextualSpacing/>
        <w:jc w:val="both"/>
        <w:rPr>
          <w:rFonts w:ascii="Verdana" w:eastAsia="Calibri" w:hAnsi="Verdana" w:cs="Arial"/>
          <w:sz w:val="20"/>
          <w:szCs w:val="20"/>
          <w:lang w:eastAsia="es-ES"/>
        </w:rPr>
      </w:pPr>
      <w:r w:rsidRPr="00751F42">
        <w:rPr>
          <w:rFonts w:ascii="Verdana" w:eastAsia="Calibri" w:hAnsi="Verdana" w:cs="Arial"/>
          <w:sz w:val="20"/>
          <w:szCs w:val="20"/>
          <w:lang w:eastAsia="es-ES"/>
        </w:rPr>
        <w:t xml:space="preserve">En la condición de empleador de personas con discapacidad, el artículo 2.2.1.2.4.2.7.4 exige, entre otros documentos, los certificados de aportes a seguridad social de los tres (3) meses anteriores a la presentación de la oferta respecto de cada PcD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PcD cuyas planillas no alcancen ese período, pudiendo el proponente acreditar el puntaje con base en las PcD que sí cumplen el requisito temporal y participar en el proceso sin el puntaje en caso de no alcanzar ninguna. El término de tres (3) </w:t>
      </w:r>
      <w:proofErr w:type="gramStart"/>
      <w:r w:rsidRPr="00751F42">
        <w:rPr>
          <w:rFonts w:ascii="Verdana" w:eastAsia="Calibri" w:hAnsi="Verdana" w:cs="Arial"/>
          <w:sz w:val="20"/>
          <w:szCs w:val="20"/>
          <w:lang w:eastAsia="es-ES"/>
        </w:rPr>
        <w:t>meses aquí mencionado</w:t>
      </w:r>
      <w:proofErr w:type="gramEnd"/>
      <w:r w:rsidRPr="00751F42">
        <w:rPr>
          <w:rFonts w:ascii="Verdana" w:eastAsia="Calibri" w:hAnsi="Verdana" w:cs="Arial"/>
          <w:sz w:val="20"/>
          <w:szCs w:val="20"/>
          <w:lang w:eastAsia="es-ES"/>
        </w:rPr>
        <w:t xml:space="preserve"> es diferente al término de un (1) año mencionado en el artículo 2.2.1.2.4.2.6 respecto de los emprendimientos y empresas de PcD.</w:t>
      </w:r>
    </w:p>
    <w:p w14:paraId="59576E06" w14:textId="77777777" w:rsidR="00D83BD2" w:rsidRDefault="00D83BD2" w:rsidP="004C63A3">
      <w:pPr>
        <w:spacing w:after="0" w:line="240" w:lineRule="auto"/>
        <w:contextualSpacing/>
        <w:jc w:val="both"/>
        <w:rPr>
          <w:rFonts w:ascii="Verdana" w:eastAsia="Calibri" w:hAnsi="Verdana" w:cs="Arial"/>
          <w:sz w:val="20"/>
          <w:szCs w:val="20"/>
          <w:lang w:eastAsia="es-ES"/>
        </w:rPr>
      </w:pPr>
    </w:p>
    <w:p w14:paraId="2E0D9C31"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08DEF6CA"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77BA026B"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14B715D4"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2CED6D3B"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0CEB9390"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4AD16B1D"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2F5D2897"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058C099D"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4C01FBD3"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7AB29870"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76B80F61"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55366AEE"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5D8CF8A1"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05003FF5"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6D9A63D4"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041F5687"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6355928C"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3C7ED9F7" w14:textId="77777777" w:rsidR="00D83BD2" w:rsidRDefault="00D83BD2" w:rsidP="004C63A3">
      <w:pPr>
        <w:spacing w:after="0" w:line="240" w:lineRule="auto"/>
        <w:contextualSpacing/>
        <w:jc w:val="both"/>
        <w:rPr>
          <w:rFonts w:ascii="Verdana" w:eastAsia="Calibri" w:hAnsi="Verdana" w:cs="Arial"/>
          <w:sz w:val="20"/>
          <w:szCs w:val="20"/>
          <w:lang w:eastAsia="es-ES"/>
        </w:rPr>
      </w:pPr>
    </w:p>
    <w:p w14:paraId="26EDDFB5"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730C92AB"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3EA102DD"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584252BC"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7FF28676"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7FBEEAE6"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5E82E4BC"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0485D06A"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6E125145" w14:textId="77777777" w:rsidR="00D83BD2" w:rsidRDefault="00D83BD2" w:rsidP="004C63A3">
      <w:pPr>
        <w:spacing w:after="0" w:line="240" w:lineRule="auto"/>
        <w:contextualSpacing/>
        <w:jc w:val="both"/>
        <w:rPr>
          <w:rFonts w:ascii="Verdana" w:eastAsia="Calibri" w:hAnsi="Verdana" w:cs="Arial"/>
          <w:sz w:val="20"/>
          <w:szCs w:val="20"/>
          <w:lang w:eastAsia="es-ES"/>
        </w:rPr>
      </w:pPr>
    </w:p>
    <w:p w14:paraId="521B95BD" w14:textId="1485C6CD" w:rsidR="00B418FD" w:rsidRDefault="00701BF5" w:rsidP="00701BF5">
      <w:pPr>
        <w:spacing w:after="0"/>
        <w:rPr>
          <w:rFonts w:ascii="Verdana" w:hAnsi="Verdana"/>
          <w:lang w:val="es-ES"/>
        </w:rPr>
      </w:pPr>
      <w:r w:rsidRPr="00701BF5">
        <w:rPr>
          <w:rFonts w:ascii="Verdana" w:hAnsi="Verdana"/>
          <w:lang w:val="es-ES"/>
        </w:rPr>
        <w:lastRenderedPageBreak/>
        <w:t xml:space="preserve">Bogotá D.C., </w:t>
      </w:r>
      <w:r w:rsidR="00BB67D1">
        <w:rPr>
          <w:rFonts w:ascii="Verdana" w:hAnsi="Verdana"/>
          <w:lang w:val="es-ES"/>
        </w:rPr>
        <w:t>3 de junio de 2026</w:t>
      </w:r>
    </w:p>
    <w:p w14:paraId="06770C4C" w14:textId="77777777" w:rsidR="00BB67D1" w:rsidRDefault="00BB67D1" w:rsidP="00701BF5">
      <w:pPr>
        <w:spacing w:after="0"/>
        <w:rPr>
          <w:rFonts w:ascii="Verdana" w:hAnsi="Verdana"/>
          <w:lang w:val="es-ES"/>
        </w:rPr>
      </w:pPr>
    </w:p>
    <w:p w14:paraId="7246DC62" w14:textId="37326B4E" w:rsidR="00BB67D1" w:rsidRPr="00777292" w:rsidRDefault="00BB67D1" w:rsidP="00BB67D1">
      <w:pPr>
        <w:spacing w:after="0"/>
        <w:jc w:val="right"/>
        <w:rPr>
          <w:rFonts w:ascii="Verdana" w:hAnsi="Verdana"/>
          <w:lang w:val="es-ES"/>
        </w:rPr>
      </w:pPr>
      <w:r w:rsidRPr="00BB67D1">
        <w:rPr>
          <w:rFonts w:ascii="Verdana" w:hAnsi="Verdana"/>
          <w:lang w:val="es-ES"/>
        </w:rPr>
        <w:drawing>
          <wp:inline distT="0" distB="0" distL="0" distR="0" wp14:anchorId="244B54DF" wp14:editId="7903B810">
            <wp:extent cx="3705742" cy="1019317"/>
            <wp:effectExtent l="0" t="0" r="9525" b="9525"/>
            <wp:docPr id="10888454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845405" name=""/>
                    <pic:cNvPicPr/>
                  </pic:nvPicPr>
                  <pic:blipFill>
                    <a:blip r:embed="rId10"/>
                    <a:stretch>
                      <a:fillRect/>
                    </a:stretch>
                  </pic:blipFill>
                  <pic:spPr>
                    <a:xfrm>
                      <a:off x="0" y="0"/>
                      <a:ext cx="3705742" cy="1019317"/>
                    </a:xfrm>
                    <a:prstGeom prst="rect">
                      <a:avLst/>
                    </a:prstGeom>
                  </pic:spPr>
                </pic:pic>
              </a:graphicData>
            </a:graphic>
          </wp:inline>
        </w:drawing>
      </w:r>
    </w:p>
    <w:p w14:paraId="14261663" w14:textId="77777777" w:rsidR="004C63A3" w:rsidRPr="00777292" w:rsidRDefault="004C63A3" w:rsidP="004C63A3">
      <w:pPr>
        <w:spacing w:after="0"/>
        <w:rPr>
          <w:rFonts w:ascii="Verdana" w:hAnsi="Verdana"/>
          <w:lang w:val="es-ES_tradnl"/>
        </w:rPr>
      </w:pPr>
    </w:p>
    <w:p w14:paraId="143585DF" w14:textId="0436E3E2" w:rsidR="004C63A3" w:rsidRPr="006A7B59" w:rsidRDefault="004C63A3" w:rsidP="004C63A3">
      <w:pPr>
        <w:spacing w:after="0" w:line="240" w:lineRule="auto"/>
        <w:rPr>
          <w:rFonts w:ascii="Verdana" w:hAnsi="Verdana"/>
          <w:lang w:val="es-ES"/>
        </w:rPr>
      </w:pPr>
      <w:bookmarkStart w:id="0" w:name="_Hlk143780582"/>
      <w:r w:rsidRPr="006A7B59">
        <w:rPr>
          <w:rFonts w:ascii="Verdana" w:eastAsia="Calibri" w:hAnsi="Verdana" w:cs="Arial"/>
          <w:lang w:val="es-ES" w:eastAsia="es-ES"/>
        </w:rPr>
        <w:t>Señor</w:t>
      </w:r>
    </w:p>
    <w:p w14:paraId="5CF997C2" w14:textId="39E1D8AA" w:rsidR="00AC6F99" w:rsidRDefault="005D3DA5" w:rsidP="004C63A3">
      <w:pPr>
        <w:spacing w:after="0"/>
        <w:rPr>
          <w:rFonts w:ascii="Verdana" w:eastAsia="Calibri" w:hAnsi="Verdana" w:cs="Arial"/>
          <w:b/>
          <w:bCs/>
          <w:lang w:val="es-ES" w:eastAsia="es-ES"/>
        </w:rPr>
      </w:pPr>
      <w:r>
        <w:rPr>
          <w:rFonts w:ascii="Verdana" w:eastAsia="Calibri" w:hAnsi="Verdana" w:cs="Arial"/>
          <w:b/>
          <w:bCs/>
          <w:lang w:val="es-ES" w:eastAsia="es-ES"/>
        </w:rPr>
        <w:t>Guillermo Andrés Rivera Mercado</w:t>
      </w:r>
    </w:p>
    <w:p w14:paraId="2ECCA26B" w14:textId="73F175B9" w:rsidR="00035302" w:rsidRPr="00035302" w:rsidRDefault="00035302" w:rsidP="004C63A3">
      <w:pPr>
        <w:spacing w:after="0"/>
        <w:rPr>
          <w:rFonts w:ascii="Verdana" w:eastAsia="Calibri" w:hAnsi="Verdana" w:cs="Arial"/>
          <w:lang w:val="es-ES" w:eastAsia="es-ES"/>
        </w:rPr>
      </w:pPr>
      <w:hyperlink r:id="rId11" w:history="1">
        <w:r w:rsidRPr="00035302">
          <w:rPr>
            <w:rStyle w:val="Hipervnculo"/>
            <w:rFonts w:ascii="Verdana" w:eastAsia="Calibri" w:hAnsi="Verdana" w:cs="Arial"/>
            <w:lang w:val="es-ES" w:eastAsia="es-ES"/>
          </w:rPr>
          <w:t>guillermo.rivera02@gmail.com</w:t>
        </w:r>
      </w:hyperlink>
      <w:r w:rsidRPr="00035302">
        <w:rPr>
          <w:rFonts w:ascii="Verdana" w:eastAsia="Calibri" w:hAnsi="Verdana" w:cs="Arial"/>
          <w:lang w:val="es-ES" w:eastAsia="es-ES"/>
        </w:rPr>
        <w:t xml:space="preserve"> </w:t>
      </w:r>
    </w:p>
    <w:p w14:paraId="35E9948D" w14:textId="77777777" w:rsidR="004C63A3" w:rsidRPr="00777292" w:rsidRDefault="004C63A3" w:rsidP="004C63A3">
      <w:pPr>
        <w:spacing w:after="0"/>
        <w:rPr>
          <w:rFonts w:ascii="Verdana" w:eastAsia="Calibri" w:hAnsi="Verdana" w:cs="Arial"/>
          <w:lang w:eastAsia="es-ES"/>
        </w:rPr>
      </w:pPr>
      <w:r w:rsidRPr="006A7B59">
        <w:rPr>
          <w:rFonts w:ascii="Verdana" w:eastAsia="Calibri" w:hAnsi="Verdana" w:cs="Arial"/>
          <w:lang w:eastAsia="es-ES"/>
        </w:rPr>
        <w:t>Ciudad</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63A3" w:rsidRPr="00777292" w14:paraId="33A3497E" w14:textId="77777777" w:rsidTr="000A6384">
        <w:trPr>
          <w:trHeight w:val="190"/>
        </w:trPr>
        <w:tc>
          <w:tcPr>
            <w:tcW w:w="2689" w:type="dxa"/>
          </w:tcPr>
          <w:p w14:paraId="5CF4AE47" w14:textId="77777777" w:rsidR="004C63A3" w:rsidRPr="00777292" w:rsidRDefault="004C63A3" w:rsidP="000A6384">
            <w:pPr>
              <w:jc w:val="both"/>
              <w:rPr>
                <w:rFonts w:ascii="Verdana" w:eastAsia="Calibri" w:hAnsi="Verdana" w:cs="Arial"/>
                <w:b/>
                <w:bCs/>
                <w:lang w:eastAsia="es-ES_tradnl"/>
              </w:rPr>
            </w:pPr>
          </w:p>
        </w:tc>
        <w:tc>
          <w:tcPr>
            <w:tcW w:w="6100" w:type="dxa"/>
          </w:tcPr>
          <w:p w14:paraId="31CEB774" w14:textId="5620DCFC" w:rsidR="004C63A3" w:rsidRPr="00777292" w:rsidRDefault="004C63A3" w:rsidP="000A6384">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sidR="00EC08F2">
              <w:rPr>
                <w:rFonts w:ascii="Verdana" w:eastAsia="Calibri" w:hAnsi="Verdana" w:cs="Arial"/>
                <w:b/>
                <w:bCs/>
                <w:lang w:eastAsia="es-ES"/>
              </w:rPr>
              <w:t>6</w:t>
            </w:r>
            <w:r w:rsidR="00F16F59">
              <w:rPr>
                <w:rFonts w:ascii="Verdana" w:eastAsia="Calibri" w:hAnsi="Verdana" w:cs="Arial"/>
                <w:b/>
                <w:bCs/>
                <w:lang w:eastAsia="es-ES"/>
              </w:rPr>
              <w:t>72</w:t>
            </w:r>
            <w:r w:rsidRPr="00777292">
              <w:rPr>
                <w:rFonts w:ascii="Verdana" w:eastAsia="Calibri" w:hAnsi="Verdana" w:cs="Arial"/>
                <w:b/>
                <w:bCs/>
                <w:lang w:eastAsia="es-ES"/>
              </w:rPr>
              <w:t xml:space="preserve"> de 2026</w:t>
            </w:r>
          </w:p>
          <w:p w14:paraId="6260B8ED" w14:textId="77777777" w:rsidR="004C63A3" w:rsidRPr="00777292" w:rsidRDefault="004C63A3" w:rsidP="000A6384">
            <w:pPr>
              <w:jc w:val="both"/>
              <w:rPr>
                <w:rFonts w:ascii="Verdana" w:eastAsia="Calibri" w:hAnsi="Verdana" w:cs="Arial"/>
                <w:b/>
                <w:bCs/>
                <w:lang w:eastAsia="es-ES"/>
              </w:rPr>
            </w:pPr>
          </w:p>
        </w:tc>
      </w:tr>
      <w:tr w:rsidR="004C63A3" w:rsidRPr="00777292" w14:paraId="6C1E8E35" w14:textId="77777777" w:rsidTr="000A6384">
        <w:trPr>
          <w:trHeight w:val="884"/>
        </w:trPr>
        <w:tc>
          <w:tcPr>
            <w:tcW w:w="2689" w:type="dxa"/>
          </w:tcPr>
          <w:p w14:paraId="1A47481C" w14:textId="77777777" w:rsidR="004C63A3" w:rsidRPr="00777292" w:rsidRDefault="004C63A3" w:rsidP="000A6384">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3BA60BC6" w14:textId="4C558EED" w:rsidR="004C63A3" w:rsidRPr="00777292" w:rsidRDefault="004C63A3" w:rsidP="000A6384">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2902D0">
              <w:rPr>
                <w:rFonts w:ascii="Verdana" w:eastAsia="Calibri" w:hAnsi="Verdana" w:cs="Arial"/>
                <w:lang w:eastAsia="es-ES"/>
              </w:rPr>
              <w:t xml:space="preserve">DECRETO 0287 DE 2026 ‒ Puntaje adicional del 2% ‒ Vinculación de personas con discapacidad ‒ </w:t>
            </w:r>
            <w:r w:rsidR="00442687">
              <w:rPr>
                <w:rFonts w:ascii="Verdana" w:eastAsia="Calibri" w:hAnsi="Verdana" w:cs="Arial"/>
                <w:lang w:eastAsia="es-ES"/>
              </w:rPr>
              <w:t>Certificaciones</w:t>
            </w:r>
          </w:p>
        </w:tc>
      </w:tr>
      <w:tr w:rsidR="004C63A3" w:rsidRPr="00777292" w14:paraId="146E3513" w14:textId="77777777" w:rsidTr="000A6384">
        <w:tc>
          <w:tcPr>
            <w:tcW w:w="2689" w:type="dxa"/>
          </w:tcPr>
          <w:p w14:paraId="6B427AF1" w14:textId="77777777" w:rsidR="004C63A3" w:rsidRPr="00777292" w:rsidRDefault="004C63A3" w:rsidP="000A6384">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70735AC5" w14:textId="35033511" w:rsidR="004C63A3" w:rsidRPr="00777292" w:rsidRDefault="004C63A3" w:rsidP="000A6384">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F16F59" w:rsidRPr="00F16F59">
              <w:rPr>
                <w:rFonts w:ascii="Verdana" w:hAnsi="Verdana" w:cs="Segoe UI"/>
                <w:color w:val="2B2B2B"/>
                <w:shd w:val="clear" w:color="auto" w:fill="FFFFFF"/>
              </w:rPr>
              <w:t>1_2026_04_24_005601</w:t>
            </w:r>
          </w:p>
        </w:tc>
      </w:tr>
    </w:tbl>
    <w:p w14:paraId="62F6D6F8" w14:textId="77777777" w:rsidR="004C63A3" w:rsidRPr="00206556" w:rsidRDefault="004C63A3" w:rsidP="004C63A3">
      <w:pPr>
        <w:tabs>
          <w:tab w:val="left" w:pos="1520"/>
        </w:tabs>
        <w:spacing w:after="0" w:line="276" w:lineRule="auto"/>
        <w:jc w:val="both"/>
        <w:rPr>
          <w:rFonts w:ascii="Verdana" w:eastAsia="Calibri" w:hAnsi="Verdana" w:cs="Arial"/>
          <w:color w:val="ED7D31" w:themeColor="accent2"/>
          <w:sz w:val="20"/>
          <w:szCs w:val="20"/>
          <w:lang w:val="es-ES" w:eastAsia="es-ES"/>
        </w:rPr>
      </w:pPr>
    </w:p>
    <w:p w14:paraId="32A1C35C" w14:textId="77777777" w:rsidR="004C63A3" w:rsidRPr="00206556" w:rsidRDefault="004C63A3" w:rsidP="004C63A3">
      <w:pPr>
        <w:spacing w:after="0" w:line="276" w:lineRule="auto"/>
        <w:jc w:val="both"/>
        <w:rPr>
          <w:rFonts w:ascii="Verdana" w:eastAsia="Calibri" w:hAnsi="Verdana" w:cs="Arial"/>
          <w:color w:val="ED7D31" w:themeColor="accent2"/>
          <w:lang w:val="es-ES" w:eastAsia="es-ES"/>
        </w:rPr>
      </w:pPr>
    </w:p>
    <w:p w14:paraId="02D05D0B" w14:textId="7A3B0B0F" w:rsidR="004C63A3" w:rsidRPr="00206556" w:rsidRDefault="004C63A3" w:rsidP="004C63A3">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w:t>
      </w:r>
      <w:r w:rsidR="00637A69">
        <w:rPr>
          <w:rFonts w:ascii="Verdana" w:eastAsia="Calibri" w:hAnsi="Verdana" w:cs="Arial"/>
          <w:lang w:val="es-ES" w:eastAsia="es-ES"/>
        </w:rPr>
        <w:t>o</w:t>
      </w:r>
      <w:r w:rsidRPr="006A7B59">
        <w:rPr>
          <w:rFonts w:ascii="Verdana" w:eastAsia="Calibri" w:hAnsi="Verdana" w:cs="Arial"/>
          <w:lang w:val="es-ES" w:eastAsia="es-ES"/>
        </w:rPr>
        <w:t xml:space="preserve"> Señor</w:t>
      </w:r>
      <w:r w:rsidR="00637A69">
        <w:rPr>
          <w:rFonts w:ascii="Verdana" w:eastAsia="Calibri" w:hAnsi="Verdana" w:cs="Arial"/>
          <w:lang w:val="es-ES" w:eastAsia="es-ES"/>
        </w:rPr>
        <w:t xml:space="preserve"> </w:t>
      </w:r>
      <w:r w:rsidR="000F22CC">
        <w:rPr>
          <w:rFonts w:ascii="Verdana" w:eastAsia="Calibri" w:hAnsi="Verdana" w:cs="Arial"/>
          <w:lang w:val="es-ES" w:eastAsia="es-ES"/>
        </w:rPr>
        <w:t>Rivera</w:t>
      </w:r>
      <w:r w:rsidRPr="006A7B59">
        <w:rPr>
          <w:rFonts w:ascii="Verdana" w:eastAsia="Calibri" w:hAnsi="Verdana" w:cs="Arial"/>
          <w:lang w:val="es-ES" w:eastAsia="es-ES"/>
        </w:rPr>
        <w:t>,</w:t>
      </w:r>
    </w:p>
    <w:p w14:paraId="0E8E2074" w14:textId="77777777" w:rsidR="004C63A3" w:rsidRPr="00206556" w:rsidRDefault="004C63A3" w:rsidP="004C63A3">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7D7FB11F" w14:textId="59EF8790" w:rsidR="004C63A3" w:rsidRPr="00206556" w:rsidRDefault="004C63A3" w:rsidP="004C63A3">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 xml:space="preserve">consulta de fecha </w:t>
      </w:r>
      <w:r w:rsidR="00797896">
        <w:rPr>
          <w:rFonts w:ascii="Verdana" w:eastAsia="Calibri" w:hAnsi="Verdana" w:cs="Arial"/>
          <w:lang w:val="es-ES" w:eastAsia="es-ES"/>
        </w:rPr>
        <w:t>2</w:t>
      </w:r>
      <w:r w:rsidR="0028441C">
        <w:rPr>
          <w:rFonts w:ascii="Verdana" w:eastAsia="Calibri" w:hAnsi="Verdana" w:cs="Arial"/>
          <w:lang w:val="es-ES" w:eastAsia="es-ES"/>
        </w:rPr>
        <w:t>4</w:t>
      </w:r>
      <w:r w:rsidRPr="00FB46F9">
        <w:rPr>
          <w:rFonts w:ascii="Verdana" w:eastAsia="Calibri" w:hAnsi="Verdana" w:cs="Arial"/>
          <w:lang w:val="es-ES" w:eastAsia="es-ES"/>
        </w:rPr>
        <w:t xml:space="preserve"> de </w:t>
      </w:r>
      <w:r w:rsidR="00CB08B2">
        <w:rPr>
          <w:rFonts w:ascii="Verdana" w:eastAsia="Calibri" w:hAnsi="Verdana" w:cs="Arial"/>
          <w:lang w:val="es-ES" w:eastAsia="es-ES"/>
        </w:rPr>
        <w:t>abril</w:t>
      </w:r>
      <w:r w:rsidRPr="00FB46F9">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26BADED6" w14:textId="77777777" w:rsidR="004C63A3" w:rsidRDefault="004C63A3" w:rsidP="004C63A3">
      <w:pPr>
        <w:spacing w:before="120" w:after="120" w:line="240" w:lineRule="auto"/>
        <w:ind w:right="709"/>
        <w:contextualSpacing/>
        <w:jc w:val="both"/>
        <w:rPr>
          <w:rFonts w:ascii="Verdana" w:eastAsia="Century Gothic" w:hAnsi="Verdana" w:cs="Century Gothic"/>
          <w:i/>
          <w:iCs/>
          <w:sz w:val="20"/>
          <w:szCs w:val="20"/>
          <w:lang w:val="es-ES"/>
        </w:rPr>
      </w:pPr>
    </w:p>
    <w:p w14:paraId="02815DB9" w14:textId="4C014CB5" w:rsidR="00B57FB8" w:rsidRDefault="00B57FB8" w:rsidP="00B57FB8">
      <w:pPr>
        <w:spacing w:before="120" w:after="120" w:line="240" w:lineRule="auto"/>
        <w:ind w:left="709" w:right="709"/>
        <w:contextualSpacing/>
        <w:jc w:val="both"/>
        <w:rPr>
          <w:rFonts w:ascii="Verdana" w:eastAsia="Century Gothic" w:hAnsi="Verdana" w:cs="Century Gothic"/>
          <w:i/>
          <w:sz w:val="20"/>
          <w:szCs w:val="20"/>
          <w:lang w:val="es-ES"/>
        </w:rPr>
      </w:pPr>
      <w:r w:rsidRPr="00B57FB8">
        <w:rPr>
          <w:rFonts w:ascii="Verdana" w:eastAsia="Century Gothic" w:hAnsi="Verdana" w:cs="Century Gothic"/>
          <w:i/>
          <w:sz w:val="20"/>
          <w:szCs w:val="20"/>
          <w:lang w:val="es-ES"/>
        </w:rPr>
        <w:t xml:space="preserve">Primera. ¿Para acceder al puntaje adicional previsto en el numeral 2 del artículo 2.2.1.2.4.2.7.4. del Decreto 1082 de 2015, modificado por el </w:t>
      </w:r>
      <w:r w:rsidRPr="00B57FB8">
        <w:rPr>
          <w:rFonts w:ascii="Verdana" w:eastAsia="Century Gothic" w:hAnsi="Verdana" w:cs="Century Gothic"/>
          <w:i/>
          <w:sz w:val="20"/>
          <w:szCs w:val="20"/>
          <w:lang w:val="es-ES"/>
        </w:rPr>
        <w:lastRenderedPageBreak/>
        <w:t>Decreto 0287 de 2026, se exige que los trabajadores con discapacidad vinculados a la planta de personal del proponente hayan estado contratados durante un término mínimo anterior a la fecha de cierre del proceso de selección?</w:t>
      </w:r>
    </w:p>
    <w:p w14:paraId="3C3BAB5A" w14:textId="77777777" w:rsidR="00BA1B9E" w:rsidRPr="00B57FB8" w:rsidRDefault="00BA1B9E" w:rsidP="00B57FB8">
      <w:pPr>
        <w:spacing w:before="120" w:after="120" w:line="240" w:lineRule="auto"/>
        <w:ind w:left="709" w:right="709"/>
        <w:contextualSpacing/>
        <w:jc w:val="both"/>
        <w:rPr>
          <w:rFonts w:ascii="Verdana" w:eastAsia="Century Gothic" w:hAnsi="Verdana" w:cs="Century Gothic"/>
          <w:i/>
          <w:sz w:val="20"/>
          <w:szCs w:val="20"/>
          <w:lang w:val="es-ES"/>
        </w:rPr>
      </w:pPr>
    </w:p>
    <w:p w14:paraId="3A2E7E86" w14:textId="49EA2A41" w:rsidR="00B57FB8" w:rsidRDefault="00B57FB8" w:rsidP="00B57FB8">
      <w:pPr>
        <w:spacing w:before="120" w:after="120" w:line="240" w:lineRule="auto"/>
        <w:ind w:left="709" w:right="709"/>
        <w:contextualSpacing/>
        <w:jc w:val="both"/>
        <w:rPr>
          <w:rFonts w:ascii="Verdana" w:eastAsia="Century Gothic" w:hAnsi="Verdana" w:cs="Century Gothic"/>
          <w:i/>
          <w:sz w:val="20"/>
          <w:szCs w:val="20"/>
          <w:lang w:val="es-ES"/>
        </w:rPr>
      </w:pPr>
      <w:r w:rsidRPr="00B57FB8">
        <w:rPr>
          <w:rFonts w:ascii="Verdana" w:eastAsia="Century Gothic" w:hAnsi="Verdana" w:cs="Century Gothic"/>
          <w:i/>
          <w:sz w:val="20"/>
          <w:szCs w:val="20"/>
          <w:lang w:val="es-ES"/>
        </w:rPr>
        <w:t>Segunda. En caso afirmativo, ¿cuál es el término mínimo de vinculación exigible y cuál es el fundamento normativo específico que permite aplicar dicho término a la hipótesis prevista en el numeral 2 del artículo 2.2.1.2.4.2.7.4.?</w:t>
      </w:r>
    </w:p>
    <w:p w14:paraId="678E530C" w14:textId="77777777" w:rsidR="00F4669A" w:rsidRPr="00B57FB8" w:rsidRDefault="00F4669A" w:rsidP="00B57FB8">
      <w:pPr>
        <w:spacing w:before="120" w:after="120" w:line="240" w:lineRule="auto"/>
        <w:ind w:left="709" w:right="709"/>
        <w:contextualSpacing/>
        <w:jc w:val="both"/>
        <w:rPr>
          <w:rFonts w:ascii="Verdana" w:eastAsia="Century Gothic" w:hAnsi="Verdana" w:cs="Century Gothic"/>
          <w:i/>
          <w:sz w:val="20"/>
          <w:szCs w:val="20"/>
          <w:lang w:val="es-ES"/>
        </w:rPr>
      </w:pPr>
    </w:p>
    <w:p w14:paraId="6D2BEBC3" w14:textId="1CF90EA5" w:rsidR="00B57FB8" w:rsidRDefault="00B57FB8" w:rsidP="00B57FB8">
      <w:pPr>
        <w:spacing w:before="120" w:after="120" w:line="240" w:lineRule="auto"/>
        <w:ind w:left="709" w:right="709"/>
        <w:contextualSpacing/>
        <w:jc w:val="both"/>
        <w:rPr>
          <w:rFonts w:ascii="Verdana" w:eastAsia="Century Gothic" w:hAnsi="Verdana" w:cs="Century Gothic"/>
          <w:i/>
          <w:sz w:val="20"/>
          <w:szCs w:val="20"/>
          <w:lang w:val="es-ES"/>
        </w:rPr>
      </w:pPr>
      <w:r w:rsidRPr="00B57FB8">
        <w:rPr>
          <w:rFonts w:ascii="Verdana" w:eastAsia="Century Gothic" w:hAnsi="Verdana" w:cs="Century Gothic"/>
          <w:i/>
          <w:sz w:val="20"/>
          <w:szCs w:val="20"/>
          <w:lang w:val="es-ES"/>
        </w:rPr>
        <w:t>Tercera. En caso negativo, ¿debe entenderse que para la hipótesis del numeral 2 del artículo 2.2.1.2.4.2.7.4. basta con que el proponente acredite, al momento de presentación de la oferta, el número mínimo de trabajadores con discapacidad exigido por la tabla, mediante los documentos previstos expresamente en la misma disposición?</w:t>
      </w:r>
    </w:p>
    <w:p w14:paraId="1EA11CBB" w14:textId="77777777" w:rsidR="00F4669A" w:rsidRPr="00B57FB8" w:rsidRDefault="00F4669A" w:rsidP="00B57FB8">
      <w:pPr>
        <w:spacing w:before="120" w:after="120" w:line="240" w:lineRule="auto"/>
        <w:ind w:left="709" w:right="709"/>
        <w:contextualSpacing/>
        <w:jc w:val="both"/>
        <w:rPr>
          <w:rFonts w:ascii="Verdana" w:eastAsia="Century Gothic" w:hAnsi="Verdana" w:cs="Century Gothic"/>
          <w:i/>
          <w:sz w:val="20"/>
          <w:szCs w:val="20"/>
          <w:lang w:val="es-ES"/>
        </w:rPr>
      </w:pPr>
    </w:p>
    <w:p w14:paraId="774094C5" w14:textId="3E2EF3D6" w:rsidR="00B57FB8" w:rsidRDefault="00B57FB8" w:rsidP="00B57FB8">
      <w:pPr>
        <w:spacing w:before="120" w:after="120" w:line="240" w:lineRule="auto"/>
        <w:ind w:left="709" w:right="709"/>
        <w:contextualSpacing/>
        <w:jc w:val="both"/>
        <w:rPr>
          <w:rFonts w:ascii="Verdana" w:eastAsia="Century Gothic" w:hAnsi="Verdana" w:cs="Century Gothic"/>
          <w:i/>
          <w:sz w:val="20"/>
          <w:szCs w:val="20"/>
          <w:lang w:val="es-ES"/>
        </w:rPr>
      </w:pPr>
      <w:r w:rsidRPr="00B57FB8">
        <w:rPr>
          <w:rFonts w:ascii="Verdana" w:eastAsia="Century Gothic" w:hAnsi="Verdana" w:cs="Century Gothic"/>
          <w:i/>
          <w:sz w:val="20"/>
          <w:szCs w:val="20"/>
          <w:lang w:val="es-ES"/>
        </w:rPr>
        <w:t>Cuarta. ¿El certificado de aportes a seguridad social de los últimos tres (3) meses, exigido como soporte por el artículo 2.2.1.2.4.2.7.4., debe entenderse como una exigencia de permanencia mínima de tres meses de los trabajadores con discapacidad, o únicamente como un medio documental de verificación de los pagos efectuados por el empleador respecto de quienes conforman su planta de personal?</w:t>
      </w:r>
    </w:p>
    <w:p w14:paraId="7F1AE5A7" w14:textId="77777777" w:rsidR="00F4669A" w:rsidRPr="00B57FB8" w:rsidRDefault="00F4669A" w:rsidP="00B57FB8">
      <w:pPr>
        <w:spacing w:before="120" w:after="120" w:line="240" w:lineRule="auto"/>
        <w:ind w:left="709" w:right="709"/>
        <w:contextualSpacing/>
        <w:jc w:val="both"/>
        <w:rPr>
          <w:rFonts w:ascii="Verdana" w:eastAsia="Century Gothic" w:hAnsi="Verdana" w:cs="Century Gothic"/>
          <w:i/>
          <w:sz w:val="20"/>
          <w:szCs w:val="20"/>
          <w:lang w:val="es-ES"/>
        </w:rPr>
      </w:pPr>
    </w:p>
    <w:p w14:paraId="40692C00" w14:textId="6584701B" w:rsidR="001A002B" w:rsidRDefault="00B57FB8" w:rsidP="00B57FB8">
      <w:pPr>
        <w:spacing w:before="120" w:after="120" w:line="240" w:lineRule="auto"/>
        <w:ind w:left="709" w:right="709"/>
        <w:contextualSpacing/>
        <w:jc w:val="both"/>
        <w:rPr>
          <w:rFonts w:ascii="Verdana" w:eastAsia="Century Gothic" w:hAnsi="Verdana" w:cs="Century Gothic"/>
          <w:i/>
          <w:sz w:val="20"/>
          <w:szCs w:val="20"/>
          <w:lang w:val="es-ES"/>
        </w:rPr>
      </w:pPr>
      <w:r w:rsidRPr="00B57FB8">
        <w:rPr>
          <w:rFonts w:ascii="Verdana" w:eastAsia="Century Gothic" w:hAnsi="Verdana" w:cs="Century Gothic"/>
          <w:i/>
          <w:sz w:val="20"/>
          <w:szCs w:val="20"/>
          <w:lang w:val="es-ES"/>
        </w:rPr>
        <w:t>Quinta. ¿Las entidades estatales pueden incluir en los pliegos de condiciones una exigencia de permanencia mínima no prevista expresamente en el numeral 2 del artículo 2.2.1.2.4.2.7.4., o ello podría constituir un requisito adicional no contemplado en la reglamentación vigente?</w:t>
      </w:r>
    </w:p>
    <w:p w14:paraId="044F1054" w14:textId="77777777" w:rsidR="00F4669A" w:rsidRDefault="00F4669A" w:rsidP="00B57FB8">
      <w:pPr>
        <w:spacing w:before="120" w:after="120" w:line="240" w:lineRule="auto"/>
        <w:ind w:left="709" w:right="709"/>
        <w:contextualSpacing/>
        <w:jc w:val="both"/>
        <w:rPr>
          <w:rFonts w:ascii="Verdana" w:eastAsia="Century Gothic" w:hAnsi="Verdana" w:cs="Century Gothic"/>
          <w:i/>
          <w:sz w:val="20"/>
          <w:szCs w:val="20"/>
          <w:lang w:val="es-ES"/>
        </w:rPr>
      </w:pPr>
    </w:p>
    <w:p w14:paraId="2E478F8E" w14:textId="792F5304" w:rsidR="00B57FB8" w:rsidRDefault="00B57FB8" w:rsidP="00F4669A">
      <w:pPr>
        <w:spacing w:before="120" w:after="120" w:line="240" w:lineRule="auto"/>
        <w:ind w:left="709" w:right="709"/>
        <w:contextualSpacing/>
        <w:jc w:val="both"/>
        <w:rPr>
          <w:rFonts w:ascii="Verdana" w:eastAsia="Century Gothic" w:hAnsi="Verdana" w:cs="Century Gothic"/>
          <w:i/>
          <w:sz w:val="20"/>
          <w:szCs w:val="20"/>
          <w:lang w:val="es-ES"/>
        </w:rPr>
      </w:pPr>
      <w:r w:rsidRPr="00B57FB8">
        <w:rPr>
          <w:rFonts w:ascii="Verdana" w:eastAsia="Century Gothic" w:hAnsi="Verdana" w:cs="Century Gothic"/>
          <w:i/>
          <w:sz w:val="20"/>
          <w:szCs w:val="20"/>
          <w:lang w:val="es-ES"/>
        </w:rPr>
        <w:t>Sexta. ¿Colombia Compra Eficiente tiene previsto expedir lineamientos, guías, conceptos, documentos tipo, circulares o instrumentos de orientación para la aplicación uniforme de este puntaje</w:t>
      </w:r>
      <w:r w:rsidR="00F4669A" w:rsidRPr="00F4669A">
        <w:t xml:space="preserve"> </w:t>
      </w:r>
      <w:r w:rsidR="00F4669A" w:rsidRPr="00F4669A">
        <w:rPr>
          <w:rFonts w:ascii="Verdana" w:eastAsia="Century Gothic" w:hAnsi="Verdana" w:cs="Century Gothic"/>
          <w:i/>
          <w:sz w:val="20"/>
          <w:szCs w:val="20"/>
          <w:lang w:val="es-ES"/>
        </w:rPr>
        <w:t>adicional, en particular sobre la forma de acreditar la vinculación de trabajadores con discapacidad bajo la hipótesis del numeral 2 del artículo 2.2.1.2.4.2.7.4.?</w:t>
      </w:r>
    </w:p>
    <w:p w14:paraId="0887D9AA" w14:textId="77777777" w:rsidR="006125FC" w:rsidRPr="00206556" w:rsidRDefault="006125FC" w:rsidP="006125FC">
      <w:pPr>
        <w:spacing w:before="120" w:after="120" w:line="240" w:lineRule="auto"/>
        <w:ind w:left="709" w:right="709"/>
        <w:contextualSpacing/>
        <w:jc w:val="both"/>
        <w:rPr>
          <w:rFonts w:ascii="Verdana" w:eastAsia="Century Gothic" w:hAnsi="Verdana" w:cs="Century Gothic"/>
          <w:i/>
          <w:iCs/>
          <w:sz w:val="20"/>
          <w:szCs w:val="20"/>
          <w:lang w:val="es-ES"/>
        </w:rPr>
      </w:pPr>
    </w:p>
    <w:p w14:paraId="168D273C" w14:textId="6BA2920E" w:rsidR="004C63A3" w:rsidRPr="00206556" w:rsidRDefault="004C63A3" w:rsidP="004C63A3">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CD661D">
        <w:rPr>
          <w:rFonts w:ascii="Verdana" w:eastAsia="Calibri" w:hAnsi="Verdana" w:cs="Arial"/>
          <w:lang w:val="es-ES" w:eastAsia="es-ES"/>
        </w:rPr>
        <w:t xml:space="preserve">la Agencia Nacional de Contratación Pública - </w:t>
      </w:r>
      <w:r w:rsidRPr="00206556">
        <w:rPr>
          <w:rFonts w:ascii="Verdana" w:eastAsia="Calibri" w:hAnsi="Verdana"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sidRPr="00206556">
        <w:rPr>
          <w:rFonts w:ascii="Verdana" w:eastAsia="Calibri" w:hAnsi="Verdana" w:cs="Arial"/>
          <w:lang w:val="es-ES" w:eastAsia="es-ES"/>
        </w:rPr>
        <w:lastRenderedPageBreak/>
        <w:t>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4026E1E4" w14:textId="556A40B7" w:rsidR="004C63A3" w:rsidRPr="00206556" w:rsidRDefault="004C63A3" w:rsidP="004C63A3">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5E126F">
        <w:rPr>
          <w:rFonts w:ascii="Verdana" w:eastAsia="Calibri" w:hAnsi="Verdana" w:cs="Arial"/>
          <w:lang w:val="es-ES" w:eastAsia="es-ES"/>
        </w:rPr>
        <w:t>el</w:t>
      </w:r>
      <w:r>
        <w:rPr>
          <w:rFonts w:ascii="Verdana" w:eastAsia="Calibri" w:hAnsi="Verdana" w:cs="Arial"/>
          <w:lang w:val="es-ES" w:eastAsia="es-ES"/>
        </w:rPr>
        <w:t xml:space="preserve"> </w:t>
      </w:r>
      <w:r w:rsidRPr="00206556">
        <w:rPr>
          <w:rFonts w:ascii="Verdana" w:eastAsia="Calibri" w:hAnsi="Verdana" w:cs="Arial"/>
          <w:lang w:val="es-ES" w:eastAsia="es-ES"/>
        </w:rPr>
        <w:t xml:space="preserve">problema jurídico de su consulta. </w:t>
      </w:r>
    </w:p>
    <w:p w14:paraId="2EB4D167" w14:textId="77777777" w:rsidR="004C63A3" w:rsidRPr="00206556" w:rsidRDefault="004C63A3" w:rsidP="004C63A3">
      <w:pPr>
        <w:spacing w:after="0" w:line="276" w:lineRule="auto"/>
        <w:ind w:firstLine="709"/>
        <w:jc w:val="both"/>
        <w:rPr>
          <w:rFonts w:ascii="Verdana" w:eastAsia="Calibri" w:hAnsi="Verdana" w:cs="Arial"/>
          <w:lang w:val="es-ES" w:eastAsia="es-ES"/>
        </w:rPr>
      </w:pPr>
    </w:p>
    <w:p w14:paraId="69D233A2" w14:textId="33621410" w:rsidR="004C63A3" w:rsidRPr="00206556" w:rsidRDefault="004C63A3" w:rsidP="004C63A3">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4013B82D" w14:textId="77777777" w:rsidR="004C63A3" w:rsidRPr="00206556" w:rsidRDefault="004C63A3" w:rsidP="004C63A3">
      <w:pPr>
        <w:tabs>
          <w:tab w:val="left" w:pos="426"/>
        </w:tabs>
        <w:spacing w:after="0" w:line="276" w:lineRule="auto"/>
        <w:jc w:val="both"/>
        <w:rPr>
          <w:rFonts w:ascii="Verdana" w:eastAsia="Century Gothic" w:hAnsi="Verdana" w:cs="Century Gothic"/>
          <w:color w:val="ED7D31" w:themeColor="accent2"/>
          <w:lang w:val="es-ES"/>
        </w:rPr>
      </w:pPr>
    </w:p>
    <w:p w14:paraId="4F8D6685" w14:textId="321264C5" w:rsidR="004C63A3" w:rsidRDefault="004C63A3" w:rsidP="004C63A3">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w:t>
      </w:r>
      <w:r w:rsidR="000C0BF1">
        <w:rPr>
          <w:rFonts w:ascii="Verdana" w:eastAsia="Century Gothic" w:hAnsi="Verdana" w:cs="Century Gothic"/>
          <w:lang w:val="es-ES"/>
        </w:rPr>
        <w:t>el</w:t>
      </w:r>
      <w:r w:rsidRPr="00206556">
        <w:rPr>
          <w:rFonts w:ascii="Verdana" w:eastAsia="Century Gothic" w:hAnsi="Verdana" w:cs="Century Gothic"/>
          <w:lang w:val="es-ES"/>
        </w:rPr>
        <w:t xml:space="preserve"> siguiente problema jurídico: </w:t>
      </w:r>
      <w:r w:rsidRPr="00206556">
        <w:rPr>
          <w:rFonts w:ascii="Verdana" w:eastAsia="Century Gothic" w:hAnsi="Verdana" w:cs="Century Gothic"/>
        </w:rPr>
        <w:t>¿</w:t>
      </w:r>
      <w:r w:rsidR="00DA5B3B">
        <w:rPr>
          <w:rFonts w:ascii="Verdana" w:eastAsia="Century Gothic" w:hAnsi="Verdana" w:cs="Century Gothic"/>
        </w:rPr>
        <w:t>Qué</w:t>
      </w:r>
      <w:r w:rsidR="004A4215">
        <w:rPr>
          <w:rFonts w:ascii="Verdana" w:eastAsia="Century Gothic" w:hAnsi="Verdana" w:cs="Century Gothic"/>
        </w:rPr>
        <w:t xml:space="preserve"> certificados </w:t>
      </w:r>
      <w:r w:rsidR="00DA5B3B">
        <w:rPr>
          <w:rFonts w:ascii="Verdana" w:eastAsia="Century Gothic" w:hAnsi="Verdana" w:cs="Century Gothic"/>
        </w:rPr>
        <w:t xml:space="preserve">se requieren </w:t>
      </w:r>
      <w:r w:rsidR="004A4215">
        <w:rPr>
          <w:rFonts w:ascii="Verdana" w:eastAsia="Century Gothic" w:hAnsi="Verdana" w:cs="Century Gothic"/>
        </w:rPr>
        <w:t>para la aplicación</w:t>
      </w:r>
      <w:r>
        <w:rPr>
          <w:rFonts w:ascii="Verdana" w:eastAsia="Century Gothic" w:hAnsi="Verdana" w:cs="Century Gothic"/>
        </w:rPr>
        <w:t xml:space="preserve"> </w:t>
      </w:r>
      <w:r w:rsidR="004A4215">
        <w:rPr>
          <w:rFonts w:ascii="Verdana" w:eastAsia="Century Gothic" w:hAnsi="Verdana" w:cs="Century Gothic"/>
        </w:rPr>
        <w:t>d</w:t>
      </w:r>
      <w:r>
        <w:rPr>
          <w:rFonts w:ascii="Verdana" w:eastAsia="Century Gothic" w:hAnsi="Verdana" w:cs="Century Gothic"/>
        </w:rPr>
        <w:t>el puntaje para empleadores de personas con discapacidad</w:t>
      </w:r>
      <w:r w:rsidRPr="00206556">
        <w:rPr>
          <w:rFonts w:ascii="Verdana" w:eastAsia="Century Gothic" w:hAnsi="Verdana" w:cs="Century Gothic"/>
        </w:rPr>
        <w:t>?</w:t>
      </w:r>
    </w:p>
    <w:p w14:paraId="7EA2E3CA" w14:textId="77777777" w:rsidR="004C63A3" w:rsidRPr="00206556" w:rsidRDefault="004C63A3" w:rsidP="004C63A3">
      <w:pPr>
        <w:spacing w:after="0" w:line="276" w:lineRule="auto"/>
        <w:jc w:val="both"/>
        <w:rPr>
          <w:rFonts w:ascii="Verdana" w:eastAsia="Century Gothic" w:hAnsi="Verdana" w:cs="Century Gothic"/>
          <w:color w:val="ED7D31" w:themeColor="accent2"/>
        </w:rPr>
      </w:pPr>
    </w:p>
    <w:p w14:paraId="4A09B6AA" w14:textId="684182DF" w:rsidR="004C63A3" w:rsidRPr="00206556"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71B18261"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63A3" w:rsidRPr="00206556" w14:paraId="466A1F71" w14:textId="77777777" w:rsidTr="000A6384">
        <w:tc>
          <w:tcPr>
            <w:tcW w:w="8828" w:type="dxa"/>
          </w:tcPr>
          <w:p w14:paraId="321BAB19" w14:textId="064481E1" w:rsidR="00E16E74" w:rsidRDefault="004C63A3" w:rsidP="00E16E74">
            <w:pPr>
              <w:spacing w:after="120" w:line="276" w:lineRule="auto"/>
              <w:jc w:val="both"/>
              <w:rPr>
                <w:rFonts w:ascii="Verdana" w:eastAsia="Calibri" w:hAnsi="Verdana" w:cs="Arial"/>
              </w:rPr>
            </w:pPr>
            <w:r>
              <w:rPr>
                <w:rFonts w:ascii="Verdana" w:eastAsia="Calibri" w:hAnsi="Verdana" w:cs="Arial"/>
              </w:rPr>
              <w:t>En atención al problema jurídico planteado</w:t>
            </w:r>
            <w:r w:rsidR="00221F73">
              <w:rPr>
                <w:rFonts w:ascii="Verdana" w:eastAsia="Calibri" w:hAnsi="Verdana" w:cs="Arial"/>
              </w:rPr>
              <w:t xml:space="preserve">, </w:t>
            </w:r>
            <w:r>
              <w:rPr>
                <w:rFonts w:ascii="Verdana" w:eastAsia="Calibri" w:hAnsi="Verdana" w:cs="Arial"/>
              </w:rPr>
              <w:t>es necesario indicar que e</w:t>
            </w:r>
            <w:r w:rsidR="00221F73">
              <w:rPr>
                <w:rFonts w:ascii="Verdana" w:eastAsia="Calibri" w:hAnsi="Verdana" w:cs="Arial"/>
              </w:rPr>
              <w:t>l Decreto 287 de 2026</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w:t>
            </w:r>
          </w:p>
          <w:p w14:paraId="41E3AF49" w14:textId="48E00D56" w:rsidR="004C63A3" w:rsidRDefault="004C63A3" w:rsidP="005A72BA">
            <w:pPr>
              <w:spacing w:after="120" w:line="276" w:lineRule="auto"/>
              <w:ind w:firstLine="709"/>
              <w:jc w:val="both"/>
              <w:rPr>
                <w:rFonts w:ascii="Verdana" w:eastAsia="Calibri" w:hAnsi="Verdana" w:cs="Arial"/>
              </w:rPr>
            </w:pPr>
            <w:r w:rsidRPr="00073658">
              <w:rPr>
                <w:rFonts w:ascii="Verdana" w:eastAsia="Calibri" w:hAnsi="Verdana" w:cs="Arial"/>
              </w:rPr>
              <w:t xml:space="preserve">Este sistema está compuesto por cinco medidas: herramientas de planeación para procesos inclusivos, criterios habilitantes diferenciales, puntaje adicional del </w:t>
            </w:r>
            <w:r w:rsidR="002B5A42">
              <w:rPr>
                <w:rFonts w:ascii="Verdana" w:eastAsia="Calibri" w:hAnsi="Verdana" w:cs="Arial"/>
              </w:rPr>
              <w:t>dos por ciento (</w:t>
            </w:r>
            <w:r w:rsidRPr="00073658">
              <w:rPr>
                <w:rFonts w:ascii="Verdana" w:eastAsia="Calibri" w:hAnsi="Verdana" w:cs="Arial"/>
              </w:rPr>
              <w:t>2%</w:t>
            </w:r>
            <w:r w:rsidR="002B5A42">
              <w:rPr>
                <w:rFonts w:ascii="Verdana" w:eastAsia="Calibri" w:hAnsi="Verdana" w:cs="Arial"/>
              </w:rPr>
              <w:t>)</w:t>
            </w:r>
            <w:r w:rsidRPr="00073658">
              <w:rPr>
                <w:rFonts w:ascii="Verdana" w:eastAsia="Calibri" w:hAnsi="Verdana" w:cs="Arial"/>
              </w:rPr>
              <w:t xml:space="preserve">, condiciones especiales de ejecución e inclusión de personas con discapacidad (en adelante, PcD) en contratos de prestación de servicios. A estas medidas se suma, de manera transversal e independiente de las anteriores, la obligación de compras públicas accesibles, </w:t>
            </w:r>
            <w:r w:rsidRPr="00073658">
              <w:rPr>
                <w:rFonts w:ascii="Verdana" w:eastAsia="Calibri" w:hAnsi="Verdana" w:cs="Arial"/>
              </w:rPr>
              <w:lastRenderedPageBreak/>
              <w:t>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56C85AA9" w14:textId="77777777" w:rsidR="004C63A3" w:rsidRDefault="004C63A3" w:rsidP="000A6384">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Pr>
                <w:rFonts w:ascii="Verdana" w:eastAsia="Calibri" w:hAnsi="Verdana" w:cs="Arial"/>
              </w:rPr>
              <w:t>Estos sujetos no tienen en cuenta el género, es decir si son PcD hombres o mujeres, por lo que la definición es aplicable independientemente del género de la PcD y no afecta las medidas afirmativas a aplicar. Por otra parte, c</w:t>
            </w:r>
            <w:r w:rsidRPr="00073658">
              <w:rPr>
                <w:rFonts w:ascii="Verdana" w:eastAsia="Calibri" w:hAnsi="Verdana" w:cs="Arial"/>
              </w:rPr>
              <w:t>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7B908A8B" w14:textId="1332B0D7" w:rsidR="004C63A3" w:rsidRDefault="004C63A3" w:rsidP="008020FA">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w:t>
            </w:r>
            <w:r>
              <w:rPr>
                <w:rFonts w:ascii="Verdana" w:eastAsia="Calibri" w:hAnsi="Verdana" w:cs="Arial"/>
              </w:rPr>
              <w:t>, y tampoco es posible disminuir ese porcentaje de puntos ya que 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xml:space="preserve">, en las modalidades de licitación pública y concurso de méritos; no </w:t>
            </w:r>
            <w:r w:rsidRPr="00073658">
              <w:rPr>
                <w:rFonts w:ascii="Verdana" w:eastAsia="Calibri" w:hAnsi="Verdana" w:cs="Arial"/>
              </w:rPr>
              <w:lastRenderedPageBreak/>
              <w:t>aplica en régimen especial, ni en selección abreviada, mínima cuantía ni contratación directa</w:t>
            </w:r>
            <w:r>
              <w:rPr>
                <w:rFonts w:ascii="Verdana" w:eastAsia="Calibri" w:hAnsi="Verdana" w:cs="Arial"/>
              </w:rPr>
              <w:t>.</w:t>
            </w:r>
          </w:p>
          <w:p w14:paraId="65C72557" w14:textId="787A355D" w:rsidR="00B36E66" w:rsidRDefault="004C63A3" w:rsidP="000A6384">
            <w:pPr>
              <w:spacing w:before="120" w:after="120" w:line="276" w:lineRule="auto"/>
              <w:ind w:firstLine="709"/>
              <w:jc w:val="both"/>
              <w:rPr>
                <w:rFonts w:ascii="Verdana" w:eastAsia="Calibri" w:hAnsi="Verdana" w:cs="Arial"/>
              </w:rPr>
            </w:pPr>
            <w:r>
              <w:rPr>
                <w:rFonts w:ascii="Verdana" w:eastAsia="Calibri" w:hAnsi="Verdana" w:cs="Arial"/>
              </w:rPr>
              <w:t xml:space="preserve">Ahora bien, la documentación para la acreditación de las condiciones bajo las cuales se otorga </w:t>
            </w:r>
            <w:r w:rsidRPr="00073658">
              <w:rPr>
                <w:rFonts w:ascii="Verdana" w:eastAsia="Calibri" w:hAnsi="Verdana" w:cs="Arial"/>
              </w:rPr>
              <w:t>el puntaje</w:t>
            </w:r>
            <w:r>
              <w:rPr>
                <w:rFonts w:ascii="Verdana" w:eastAsia="Calibri" w:hAnsi="Verdana" w:cs="Arial"/>
              </w:rPr>
              <w:t xml:space="preserve"> depende del sujeto de que se trate,</w:t>
            </w:r>
            <w:r w:rsidR="00C85047">
              <w:rPr>
                <w:rFonts w:ascii="Verdana" w:eastAsia="Calibri" w:hAnsi="Verdana" w:cs="Arial"/>
              </w:rPr>
              <w:t xml:space="preserve"> y</w:t>
            </w:r>
            <w:r w:rsidR="007327C3">
              <w:rPr>
                <w:rFonts w:ascii="Verdana" w:eastAsia="Calibri" w:hAnsi="Verdana" w:cs="Arial"/>
              </w:rPr>
              <w:t xml:space="preserve"> teniendo en cuenta su consulta,</w:t>
            </w:r>
            <w:r w:rsidRPr="00073658">
              <w:rPr>
                <w:rFonts w:ascii="Verdana" w:eastAsia="Calibri" w:hAnsi="Verdana" w:cs="Arial"/>
              </w:rPr>
              <w:t xml:space="preserve"> en la condición de empleador de PcD</w:t>
            </w:r>
            <w:r>
              <w:rPr>
                <w:rFonts w:ascii="Verdana" w:eastAsia="Calibri" w:hAnsi="Verdana" w:cs="Arial"/>
              </w:rPr>
              <w:t>, los documentos están dispuestos en el artículo 2.2.1.2.4.2.7.4 el cual</w:t>
            </w:r>
            <w:r w:rsidRPr="00073658">
              <w:rPr>
                <w:rFonts w:ascii="Verdana" w:eastAsia="Calibri" w:hAnsi="Verdana" w:cs="Arial"/>
              </w:rPr>
              <w:t xml:space="preserve"> exige</w:t>
            </w:r>
            <w:r w:rsidR="00B36E66">
              <w:rPr>
                <w:rFonts w:ascii="Verdana" w:eastAsia="Calibri" w:hAnsi="Verdana" w:cs="Arial"/>
              </w:rPr>
              <w:t>:</w:t>
            </w:r>
          </w:p>
          <w:p w14:paraId="788CA8F4" w14:textId="77777777" w:rsidR="00415D53" w:rsidRPr="00AB7BF7" w:rsidRDefault="00415D53" w:rsidP="008B41F3">
            <w:pPr>
              <w:spacing w:before="100" w:after="180"/>
              <w:ind w:left="709" w:right="709"/>
              <w:jc w:val="both"/>
              <w:rPr>
                <w:rFonts w:ascii="Verdana" w:eastAsia="Times New Roman" w:hAnsi="Verdana" w:cs="Times New Roman"/>
                <w:i/>
                <w:iCs/>
                <w:sz w:val="21"/>
                <w:szCs w:val="21"/>
              </w:rPr>
            </w:pPr>
            <w:r w:rsidRPr="00AB7BF7">
              <w:rPr>
                <w:rFonts w:ascii="Verdana" w:eastAsia="Times New Roman" w:hAnsi="Verdana" w:cs="Times New Roman"/>
                <w:i/>
                <w:iCs/>
                <w:sz w:val="21"/>
                <w:szCs w:val="21"/>
              </w:rPr>
              <w:t>- Certificación expedida con una antelación no mayor a treinta (30) días calendario respecto a la fecha de presentación de la oferta, suscrita por el representante legal del proponente y el revisor fiscal, cuando exista de acuerdo con los requerimientos de ley, o el contador, en la que conste el número de personas con discapacidad que conforman su planta de personal. La certificación deberá relacionar el nombre completo y el número de documento de identidad de cada una de las personas con discapacidad. Como soporte, se anexará copia de los respectivos documentos de identidad, copia de los contratos de trabajo o certificación laboral con las funciones, sin que se puedan relacionar contratos de prestación de servicios, así como el certificado de aportes a seguridad social de los últimas tres (3) meses en el que se demuestren los pagos realizados por el empleador, y el certificado de discapacidad expedido conforme a la normativa vigente del Ministerio de Salud y Protección Social.</w:t>
            </w:r>
          </w:p>
          <w:p w14:paraId="2C5CFB5B" w14:textId="2CEBF9FD" w:rsidR="00415D53" w:rsidRPr="00AB7BF7" w:rsidRDefault="00415D53" w:rsidP="008B41F3">
            <w:pPr>
              <w:spacing w:before="100" w:after="180"/>
              <w:ind w:left="709" w:right="709"/>
              <w:jc w:val="both"/>
              <w:rPr>
                <w:rFonts w:ascii="Verdana" w:eastAsia="Times New Roman" w:hAnsi="Verdana" w:cs="Times New Roman"/>
                <w:i/>
                <w:iCs/>
                <w:sz w:val="21"/>
                <w:szCs w:val="21"/>
              </w:rPr>
            </w:pPr>
            <w:r w:rsidRPr="00AB7BF7">
              <w:rPr>
                <w:rFonts w:ascii="Verdana" w:eastAsia="Times New Roman" w:hAnsi="Verdana" w:cs="Times New Roman"/>
                <w:i/>
                <w:iCs/>
                <w:sz w:val="21"/>
                <w:szCs w:val="21"/>
              </w:rPr>
              <w:t>- También, esta verificación se hará con el certificado que para el efecto expide el Ministerio de Trabajo y la entidad estatal contratante verificará la vigencia de dicha certificación, de conformidad con la normativa aplicable.</w:t>
            </w:r>
          </w:p>
          <w:p w14:paraId="25613DF7" w14:textId="77777777" w:rsidR="007A0135" w:rsidRDefault="000D7A78" w:rsidP="005E126F">
            <w:pPr>
              <w:spacing w:before="120" w:after="120" w:line="276" w:lineRule="auto"/>
              <w:ind w:firstLine="709"/>
              <w:jc w:val="both"/>
              <w:rPr>
                <w:rFonts w:ascii="Verdana" w:eastAsia="Calibri" w:hAnsi="Verdana" w:cs="Arial"/>
              </w:rPr>
            </w:pPr>
            <w:r>
              <w:rPr>
                <w:rFonts w:ascii="Verdana" w:eastAsia="Calibri" w:hAnsi="Verdana" w:cs="Arial"/>
              </w:rPr>
              <w:t>E</w:t>
            </w:r>
            <w:r w:rsidR="003A4AA0" w:rsidRPr="00073658">
              <w:rPr>
                <w:rFonts w:ascii="Verdana" w:eastAsia="Calibri" w:hAnsi="Verdana" w:cs="Arial"/>
              </w:rPr>
              <w:t xml:space="preserve">n la condición de empleador de </w:t>
            </w:r>
            <w:r>
              <w:rPr>
                <w:rFonts w:ascii="Verdana" w:eastAsia="Calibri" w:hAnsi="Verdana" w:cs="Arial"/>
              </w:rPr>
              <w:t>personas con discapacidad</w:t>
            </w:r>
            <w:r w:rsidR="003A4AA0">
              <w:rPr>
                <w:rFonts w:ascii="Verdana" w:eastAsia="Calibri" w:hAnsi="Verdana" w:cs="Arial"/>
              </w:rPr>
              <w:t>, el artículo 2.2.1.2.4.2.7.4</w:t>
            </w:r>
            <w:r>
              <w:rPr>
                <w:rFonts w:ascii="Verdana" w:eastAsia="Calibri" w:hAnsi="Verdana" w:cs="Arial"/>
              </w:rPr>
              <w:t xml:space="preserve"> </w:t>
            </w:r>
            <w:r w:rsidR="003A4AA0" w:rsidRPr="00073658">
              <w:rPr>
                <w:rFonts w:ascii="Verdana" w:eastAsia="Calibri" w:hAnsi="Verdana" w:cs="Arial"/>
              </w:rPr>
              <w:t>exige, entre otros documentos, los certificados de aportes a seguridad social de los tres (3) meses anteriores a la presentación de la oferta respecto de cada PcD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PcD cuyas planillas no alcancen ese período, pudiendo el proponente acreditar el puntaje con base en las PcD que sí cumplen el requisito temporal y participar en el proceso sin el puntaje en caso de no alcanzar ninguna.</w:t>
            </w:r>
            <w:r w:rsidR="003A4AA0">
              <w:rPr>
                <w:rFonts w:ascii="Verdana" w:eastAsia="Calibri" w:hAnsi="Verdana" w:cs="Arial"/>
              </w:rPr>
              <w:t xml:space="preserve"> El término de tres (3) </w:t>
            </w:r>
            <w:proofErr w:type="gramStart"/>
            <w:r w:rsidR="003A4AA0">
              <w:rPr>
                <w:rFonts w:ascii="Verdana" w:eastAsia="Calibri" w:hAnsi="Verdana" w:cs="Arial"/>
              </w:rPr>
              <w:t>meses aquí mencionado</w:t>
            </w:r>
            <w:proofErr w:type="gramEnd"/>
            <w:r w:rsidR="00821910">
              <w:rPr>
                <w:rFonts w:ascii="Verdana" w:eastAsia="Calibri" w:hAnsi="Verdana" w:cs="Arial"/>
              </w:rPr>
              <w:t xml:space="preserve">, durante el cual deben estar previamente vinculadas las personas </w:t>
            </w:r>
            <w:r w:rsidR="00821910">
              <w:rPr>
                <w:rFonts w:ascii="Verdana" w:eastAsia="Calibri" w:hAnsi="Verdana" w:cs="Arial"/>
              </w:rPr>
              <w:lastRenderedPageBreak/>
              <w:t>con discapacidad,</w:t>
            </w:r>
            <w:r w:rsidR="003A4AA0">
              <w:rPr>
                <w:rFonts w:ascii="Verdana" w:eastAsia="Calibri" w:hAnsi="Verdana" w:cs="Arial"/>
              </w:rPr>
              <w:t xml:space="preserve"> es diferente al término de un (1) año mencionado en el artículo 2.2.1.2.4.2.6 respecto de los emprendimientos y empresas de PcD.</w:t>
            </w:r>
          </w:p>
          <w:p w14:paraId="5535624D" w14:textId="40E94474" w:rsidR="00775D32" w:rsidRDefault="00CD3B80" w:rsidP="005E126F">
            <w:pPr>
              <w:spacing w:before="120" w:after="120" w:line="276" w:lineRule="auto"/>
              <w:ind w:firstLine="709"/>
              <w:jc w:val="both"/>
              <w:rPr>
                <w:rFonts w:ascii="Verdana" w:eastAsia="Calibri" w:hAnsi="Verdana" w:cs="Arial"/>
              </w:rPr>
            </w:pPr>
            <w:r>
              <w:rPr>
                <w:rFonts w:ascii="Verdana" w:eastAsia="Calibri" w:hAnsi="Verdana" w:cs="Arial"/>
              </w:rPr>
              <w:t>En todo caso, se aclara que el término de tres (3) meses</w:t>
            </w:r>
            <w:r w:rsidR="00BB7DFD">
              <w:rPr>
                <w:rFonts w:ascii="Verdana" w:eastAsia="Calibri" w:hAnsi="Verdana" w:cs="Arial"/>
              </w:rPr>
              <w:t xml:space="preserve"> establecido en el artículo 2.2.1</w:t>
            </w:r>
            <w:r w:rsidR="007F1D1A">
              <w:rPr>
                <w:rFonts w:ascii="Verdana" w:eastAsia="Calibri" w:hAnsi="Verdana" w:cs="Arial"/>
              </w:rPr>
              <w:t>.2.4.2.7.4</w:t>
            </w:r>
            <w:r w:rsidR="007A0135">
              <w:rPr>
                <w:rFonts w:ascii="Verdana" w:eastAsia="Calibri" w:hAnsi="Verdana" w:cs="Arial"/>
              </w:rPr>
              <w:t xml:space="preserve"> no se puede modificar por las entidades contratantes </w:t>
            </w:r>
            <w:r w:rsidR="004813E1">
              <w:rPr>
                <w:rFonts w:ascii="Verdana" w:eastAsia="Calibri" w:hAnsi="Verdana" w:cs="Arial"/>
              </w:rPr>
              <w:t>en sus pliegos de condiciones, ya que los certificados para acreditar</w:t>
            </w:r>
            <w:r w:rsidR="00D337F8">
              <w:rPr>
                <w:rFonts w:ascii="Verdana" w:eastAsia="Calibri" w:hAnsi="Verdana" w:cs="Arial"/>
              </w:rPr>
              <w:t xml:space="preserve"> las condiciones relacionadas con</w:t>
            </w:r>
            <w:r w:rsidR="004813E1">
              <w:rPr>
                <w:rFonts w:ascii="Verdana" w:eastAsia="Calibri" w:hAnsi="Verdana" w:cs="Arial"/>
              </w:rPr>
              <w:t xml:space="preserve"> el puntaje deben ser los enunciados en el decreto sin que se puedan establecer nuevos requisitos para mantener la seguridad jurídica de los proponentes respecto del acceso al incentivo previsto por el nuevo decreto</w:t>
            </w:r>
            <w:r w:rsidR="00C3209F">
              <w:rPr>
                <w:rFonts w:ascii="Verdana" w:eastAsia="Calibri" w:hAnsi="Verdana" w:cs="Arial"/>
              </w:rPr>
              <w:t>, siempre que se cumpla lo establecido en esta regulación</w:t>
            </w:r>
            <w:r w:rsidR="004813E1">
              <w:rPr>
                <w:rFonts w:ascii="Verdana" w:eastAsia="Calibri" w:hAnsi="Verdana" w:cs="Arial"/>
              </w:rPr>
              <w:t>.</w:t>
            </w:r>
          </w:p>
          <w:p w14:paraId="3365D6D3" w14:textId="0385AF01" w:rsidR="00093AA8" w:rsidRDefault="00775D32" w:rsidP="005E126F">
            <w:pPr>
              <w:spacing w:before="120" w:after="120" w:line="276" w:lineRule="auto"/>
              <w:ind w:firstLine="709"/>
              <w:jc w:val="both"/>
              <w:rPr>
                <w:rFonts w:ascii="Verdana" w:eastAsia="Calibri" w:hAnsi="Verdana" w:cs="Arial"/>
                <w:lang w:val="es-ES"/>
              </w:rPr>
            </w:pPr>
            <w:r w:rsidRPr="00775D32">
              <w:rPr>
                <w:rFonts w:ascii="Verdana" w:eastAsia="Calibri" w:hAnsi="Verdana" w:cs="Arial"/>
              </w:rPr>
              <w:t xml:space="preserve">Finalmente, </w:t>
            </w:r>
            <w:r w:rsidRPr="00775D32">
              <w:rPr>
                <w:rFonts w:ascii="Verdana" w:eastAsia="Calibri" w:hAnsi="Verdana" w:cs="Arial"/>
                <w:lang w:val="es-ES"/>
              </w:rPr>
              <w:t xml:space="preserve">la Agencia Nacional de Contratación Pública – Colombia Compra Eficiente– como ente rector y en su función de brindar lineamientos para los partícipes del sistema de compras y contratación pública, ha expedido el ABC del Decreto 287 de 2026 disponible en: </w:t>
            </w:r>
            <w:hyperlink r:id="rId12" w:history="1">
              <w:r w:rsidRPr="00775D32">
                <w:rPr>
                  <w:rStyle w:val="Hipervnculo"/>
                  <w:rFonts w:ascii="Verdana" w:eastAsia="Calibri" w:hAnsi="Verdana" w:cs="Arial"/>
                  <w:lang w:val="es-ES"/>
                </w:rPr>
                <w:t>https://www.colombiacompra.gov.co/archivos/infografia/abc-del-decreto-0287-de-2026-contratacion-publica-inclusiva-para-personas-con-discapacidad</w:t>
              </w:r>
            </w:hyperlink>
            <w:r w:rsidRPr="00775D32">
              <w:rPr>
                <w:rFonts w:ascii="Verdana" w:eastAsia="Calibri" w:hAnsi="Verdana" w:cs="Arial"/>
                <w:lang w:val="es-ES"/>
              </w:rPr>
              <w:t xml:space="preserve"> con el fin de apoyar su implementación, y de la misma manera se exp</w:t>
            </w:r>
            <w:r w:rsidR="00C167E7">
              <w:rPr>
                <w:rFonts w:ascii="Verdana" w:eastAsia="Calibri" w:hAnsi="Verdana" w:cs="Arial"/>
                <w:lang w:val="es-ES"/>
              </w:rPr>
              <w:t>i</w:t>
            </w:r>
            <w:r w:rsidRPr="00775D32">
              <w:rPr>
                <w:rFonts w:ascii="Verdana" w:eastAsia="Calibri" w:hAnsi="Verdana" w:cs="Arial"/>
                <w:lang w:val="es-ES"/>
              </w:rPr>
              <w:t>di</w:t>
            </w:r>
            <w:r w:rsidR="00C167E7">
              <w:rPr>
                <w:rFonts w:ascii="Verdana" w:eastAsia="Calibri" w:hAnsi="Verdana" w:cs="Arial"/>
                <w:lang w:val="es-ES"/>
              </w:rPr>
              <w:t>ó</w:t>
            </w:r>
            <w:r w:rsidRPr="00775D32">
              <w:rPr>
                <w:rFonts w:ascii="Verdana" w:eastAsia="Calibri" w:hAnsi="Verdana" w:cs="Arial"/>
                <w:lang w:val="es-ES"/>
              </w:rPr>
              <w:t xml:space="preserve"> </w:t>
            </w:r>
            <w:r w:rsidR="00C167E7">
              <w:rPr>
                <w:rFonts w:ascii="Verdana" w:eastAsia="Calibri" w:hAnsi="Verdana" w:cs="Arial"/>
                <w:lang w:val="es-ES"/>
              </w:rPr>
              <w:t>el</w:t>
            </w:r>
            <w:r w:rsidRPr="00775D32">
              <w:rPr>
                <w:rFonts w:ascii="Verdana" w:eastAsia="Calibri" w:hAnsi="Verdana" w:cs="Arial"/>
                <w:lang w:val="es-ES"/>
              </w:rPr>
              <w:t xml:space="preserve"> </w:t>
            </w:r>
            <w:r w:rsidR="00F1669F">
              <w:rPr>
                <w:rFonts w:ascii="Verdana" w:eastAsia="Calibri" w:hAnsi="Verdana" w:cs="Arial"/>
                <w:lang w:val="es-ES"/>
              </w:rPr>
              <w:t>B</w:t>
            </w:r>
            <w:r w:rsidRPr="00775D32">
              <w:rPr>
                <w:rFonts w:ascii="Verdana" w:eastAsia="Calibri" w:hAnsi="Verdana" w:cs="Arial"/>
                <w:lang w:val="es-ES"/>
              </w:rPr>
              <w:t>oletín</w:t>
            </w:r>
            <w:r w:rsidR="00C167E7">
              <w:rPr>
                <w:rFonts w:ascii="Verdana" w:eastAsia="Calibri" w:hAnsi="Verdana" w:cs="Arial"/>
                <w:lang w:val="es-ES"/>
              </w:rPr>
              <w:t xml:space="preserve"> No. 002 de mayo de 2026 disponible en: </w:t>
            </w:r>
            <w:r w:rsidR="00C167E7" w:rsidRPr="00C167E7">
              <w:rPr>
                <w:rFonts w:ascii="Verdana" w:eastAsia="Calibri" w:hAnsi="Verdana" w:cs="Arial"/>
                <w:lang w:val="es-ES"/>
              </w:rPr>
              <w:t>chrome-extension://efaidnbmnnnibpcajpcglclefindmkaj/https://www.colombiacompra.gov.co/wp-content/uploads/2026/05/Boletin-RCP-02-CCE.pdf</w:t>
            </w:r>
            <w:r w:rsidRPr="00775D32">
              <w:rPr>
                <w:rFonts w:ascii="Verdana" w:eastAsia="Calibri" w:hAnsi="Verdana" w:cs="Arial"/>
                <w:lang w:val="es-ES"/>
              </w:rPr>
              <w:t>,</w:t>
            </w:r>
            <w:r w:rsidR="00093AA8">
              <w:rPr>
                <w:rFonts w:ascii="Verdana" w:eastAsia="Calibri" w:hAnsi="Verdana" w:cs="Arial"/>
                <w:lang w:val="es-ES"/>
              </w:rPr>
              <w:t xml:space="preserve"> donde se analiza la expedición del nuevo decreto.</w:t>
            </w:r>
          </w:p>
          <w:p w14:paraId="49C3680F" w14:textId="77777777" w:rsidR="00775D32" w:rsidRDefault="00775D32" w:rsidP="005E126F">
            <w:pPr>
              <w:spacing w:before="120" w:after="120" w:line="276" w:lineRule="auto"/>
              <w:ind w:firstLine="709"/>
              <w:jc w:val="both"/>
              <w:rPr>
                <w:rFonts w:ascii="Verdana" w:eastAsia="Calibri" w:hAnsi="Verdana" w:cs="Arial"/>
              </w:rPr>
            </w:pPr>
            <w:r w:rsidRPr="00775D32">
              <w:rPr>
                <w:rFonts w:ascii="Verdana" w:eastAsia="Calibri" w:hAnsi="Verdana" w:cs="Arial"/>
                <w:lang w:val="es-ES"/>
              </w:rPr>
              <w:t xml:space="preserve">También, el día 30 de abril de 2026 se desarrolló el 2° foro virtual de compra pública inclusiva para personas con discapacidad “hacia un mercado público sin barreras” con el fin de explicar las medidas adoptadas por la nueva regulación, disponible en: </w:t>
            </w:r>
            <w:hyperlink r:id="rId13" w:history="1">
              <w:r w:rsidRPr="00775D32">
                <w:rPr>
                  <w:rStyle w:val="Hipervnculo"/>
                  <w:rFonts w:ascii="Verdana" w:eastAsia="Calibri" w:hAnsi="Verdana" w:cs="Arial"/>
                  <w:lang w:val="es-ES"/>
                </w:rPr>
                <w:t>https://www.youtube.com/live/vpxD3PlXqPI?si=49f8ghb7Iiit6Ja9</w:t>
              </w:r>
            </w:hyperlink>
          </w:p>
          <w:p w14:paraId="6CB7133E" w14:textId="3BDFF198" w:rsidR="00F1669F" w:rsidRPr="00670CFB" w:rsidRDefault="00F1669F" w:rsidP="005E126F">
            <w:pPr>
              <w:spacing w:before="120" w:after="120" w:line="276" w:lineRule="auto"/>
              <w:ind w:firstLine="709"/>
              <w:jc w:val="both"/>
              <w:rPr>
                <w:rFonts w:ascii="Verdana" w:eastAsia="Calibri" w:hAnsi="Verdana" w:cs="Arial"/>
              </w:rPr>
            </w:pPr>
            <w:r>
              <w:rPr>
                <w:rFonts w:ascii="Verdana" w:eastAsia="Calibri" w:hAnsi="Verdana" w:cs="Arial"/>
                <w:lang w:val="es-ES"/>
              </w:rPr>
              <w:t>Y por último se expidió</w:t>
            </w:r>
            <w:r w:rsidRPr="00775D32">
              <w:rPr>
                <w:rFonts w:ascii="Verdana" w:eastAsia="Calibri" w:hAnsi="Verdana" w:cs="Arial"/>
                <w:lang w:val="es-ES"/>
              </w:rPr>
              <w:t xml:space="preserve"> </w:t>
            </w:r>
            <w:r>
              <w:rPr>
                <w:rFonts w:ascii="Verdana" w:eastAsia="Calibri" w:hAnsi="Verdana" w:cs="Arial"/>
                <w:lang w:val="es-ES"/>
              </w:rPr>
              <w:t>la</w:t>
            </w:r>
            <w:r w:rsidRPr="00775D32">
              <w:rPr>
                <w:rFonts w:ascii="Verdana" w:eastAsia="Calibri" w:hAnsi="Verdana" w:cs="Arial"/>
                <w:lang w:val="es-ES"/>
              </w:rPr>
              <w:t xml:space="preserve"> </w:t>
            </w:r>
            <w:r>
              <w:rPr>
                <w:rFonts w:ascii="Verdana" w:eastAsia="Calibri" w:hAnsi="Verdana" w:cs="Arial"/>
                <w:lang w:val="es-ES"/>
              </w:rPr>
              <w:t>C</w:t>
            </w:r>
            <w:r w:rsidRPr="00775D32">
              <w:rPr>
                <w:rFonts w:ascii="Verdana" w:eastAsia="Calibri" w:hAnsi="Verdana" w:cs="Arial"/>
                <w:lang w:val="es-ES"/>
              </w:rPr>
              <w:t xml:space="preserve">ircular </w:t>
            </w:r>
            <w:r>
              <w:rPr>
                <w:rFonts w:ascii="Verdana" w:eastAsia="Calibri" w:hAnsi="Verdana" w:cs="Arial"/>
                <w:lang w:val="es-ES"/>
              </w:rPr>
              <w:t>E</w:t>
            </w:r>
            <w:r w:rsidRPr="00775D32">
              <w:rPr>
                <w:rFonts w:ascii="Verdana" w:eastAsia="Calibri" w:hAnsi="Verdana" w:cs="Arial"/>
                <w:lang w:val="es-ES"/>
              </w:rPr>
              <w:t xml:space="preserve">xterna </w:t>
            </w:r>
            <w:r>
              <w:rPr>
                <w:rFonts w:ascii="Verdana" w:eastAsia="Calibri" w:hAnsi="Verdana" w:cs="Arial"/>
                <w:lang w:val="es-ES"/>
              </w:rPr>
              <w:t>No. 003 del 12 de mayo de 2026</w:t>
            </w:r>
            <w:r w:rsidR="00CB4658">
              <w:rPr>
                <w:rFonts w:ascii="Verdana" w:eastAsia="Calibri" w:hAnsi="Verdana" w:cs="Arial"/>
                <w:lang w:val="es-ES"/>
              </w:rPr>
              <w:t xml:space="preserve"> señalando </w:t>
            </w:r>
            <w:r w:rsidRPr="00775D32">
              <w:rPr>
                <w:rFonts w:ascii="Verdana" w:eastAsia="Calibri" w:hAnsi="Verdana" w:cs="Arial"/>
                <w:lang w:val="es-ES"/>
              </w:rPr>
              <w:t xml:space="preserve">las directrices para </w:t>
            </w:r>
            <w:r w:rsidR="00CB4658">
              <w:rPr>
                <w:rFonts w:ascii="Verdana" w:eastAsia="Calibri" w:hAnsi="Verdana" w:cs="Arial"/>
                <w:lang w:val="es-ES"/>
              </w:rPr>
              <w:t>la aplicación de las medidas afirmativas del sistema de preferencias implementado por el Decreto 287 de 2026</w:t>
            </w:r>
            <w:r w:rsidR="003A5ED0">
              <w:rPr>
                <w:rFonts w:ascii="Verdana" w:eastAsia="Calibri" w:hAnsi="Verdana" w:cs="Arial"/>
                <w:lang w:val="es-ES"/>
              </w:rPr>
              <w:t xml:space="preserve"> en los procesos de contratación estatal</w:t>
            </w:r>
            <w:r w:rsidR="00CB4658">
              <w:rPr>
                <w:rFonts w:ascii="Verdana" w:eastAsia="Calibri" w:hAnsi="Verdana" w:cs="Arial"/>
                <w:lang w:val="es-ES"/>
              </w:rPr>
              <w:t xml:space="preserve">, disponible en: </w:t>
            </w:r>
            <w:r w:rsidR="00ED2786" w:rsidRPr="00ED2786">
              <w:rPr>
                <w:rFonts w:ascii="Verdana" w:eastAsia="Calibri" w:hAnsi="Verdana" w:cs="Arial"/>
                <w:lang w:val="es-ES"/>
              </w:rPr>
              <w:t>chrome-extension://efaidnbmnnnibpcajpcglclefindmkaj/https://www.colombiacompra.gov.co/wp-content/uploads/2026/05/CIRCULAR-EXTERNA-003-DE-2026-DISCAPACIDAD.pdf</w:t>
            </w:r>
            <w:r w:rsidR="00ED2786">
              <w:rPr>
                <w:rFonts w:ascii="Verdana" w:eastAsia="Calibri" w:hAnsi="Verdana" w:cs="Arial"/>
                <w:lang w:val="es-ES"/>
              </w:rPr>
              <w:t xml:space="preserve"> </w:t>
            </w:r>
          </w:p>
        </w:tc>
      </w:tr>
    </w:tbl>
    <w:p w14:paraId="70451DDF"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2697DC77" w14:textId="2A0DE91A" w:rsidR="004C63A3" w:rsidRPr="00206556"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lastRenderedPageBreak/>
        <w:t>3. Razones de la respuesta:</w:t>
      </w:r>
    </w:p>
    <w:p w14:paraId="2AF17CCD"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color w:val="ED7D31" w:themeColor="accent2"/>
          <w:lang w:val="es-ES"/>
        </w:rPr>
      </w:pPr>
    </w:p>
    <w:p w14:paraId="0D4D8776" w14:textId="77777777" w:rsidR="004C63A3" w:rsidRPr="00206556" w:rsidRDefault="004C63A3" w:rsidP="004C63A3">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72527C2D" w14:textId="77777777" w:rsidR="004C63A3" w:rsidRPr="00206556" w:rsidRDefault="004C63A3" w:rsidP="004C63A3">
      <w:pPr>
        <w:spacing w:after="0" w:line="276" w:lineRule="auto"/>
        <w:jc w:val="both"/>
        <w:rPr>
          <w:rFonts w:ascii="Verdana" w:eastAsia="Calibri" w:hAnsi="Verdana" w:cs="Arial"/>
          <w:lang w:val="es-ES"/>
        </w:rPr>
      </w:pPr>
    </w:p>
    <w:p w14:paraId="6172C108" w14:textId="77777777" w:rsidR="004C63A3" w:rsidRPr="00206556" w:rsidRDefault="004C63A3" w:rsidP="004C63A3">
      <w:pPr>
        <w:spacing w:after="120" w:line="276" w:lineRule="auto"/>
        <w:jc w:val="both"/>
        <w:rPr>
          <w:rFonts w:ascii="Verdana" w:hAnsi="Verdana"/>
        </w:rPr>
      </w:pPr>
      <w:r w:rsidRPr="00206556">
        <w:rPr>
          <w:rFonts w:ascii="Verdana" w:eastAsia="Calibri" w:hAnsi="Verdana" w:cs="Arial"/>
          <w:lang w:val="es-ES"/>
        </w:rPr>
        <w:t xml:space="preserve">(i) </w:t>
      </w:r>
      <w:r w:rsidRPr="00206556">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El fundamento del Sistema de Preferencias para PcD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PcD</w:t>
      </w:r>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0A644553" w14:textId="77777777" w:rsidR="004C63A3" w:rsidRPr="00206556" w:rsidRDefault="004C63A3" w:rsidP="004C63A3">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PcD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w:t>
      </w:r>
      <w:r w:rsidRPr="00206556">
        <w:rPr>
          <w:rFonts w:ascii="Verdana" w:eastAsia="Times New Roman" w:hAnsi="Verdana" w:cs="Times New Roman"/>
        </w:rPr>
        <w:lastRenderedPageBreak/>
        <w:t>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PcD en materia de empleo.</w:t>
      </w:r>
    </w:p>
    <w:p w14:paraId="43C42677" w14:textId="77777777" w:rsidR="004C63A3" w:rsidRPr="00206556" w:rsidRDefault="004C63A3" w:rsidP="004C63A3">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para los empleadores que tuvieran al menos el 10% de su nómina compuesta por PcD</w:t>
      </w:r>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PcD, pero su alcance era limitado: una preferencia residual aplicable solo en caso de empate, que beneficiaba únicamente a los empleadores de PcD sin considerar a las propias PcD como proponentes directos.</w:t>
      </w:r>
    </w:p>
    <w:p w14:paraId="57048E9A" w14:textId="77777777" w:rsidR="004C63A3" w:rsidRPr="00206556" w:rsidRDefault="004C63A3" w:rsidP="004C63A3">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PcD, al definir a estas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PcD y para empresas de PcD; un sistema de preferencias para empleadores de PcD en la adjudicación; y un sistema de preferencias en favor de las propias PcD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64DF8EF2" w14:textId="77777777" w:rsidR="004C63A3" w:rsidRPr="00E727F0" w:rsidRDefault="004C63A3" w:rsidP="004C63A3">
      <w:pPr>
        <w:spacing w:after="120" w:line="276" w:lineRule="auto"/>
        <w:ind w:firstLine="709"/>
        <w:jc w:val="both"/>
        <w:rPr>
          <w:rFonts w:ascii="Verdana" w:hAnsi="Verdana"/>
        </w:rPr>
      </w:pPr>
      <w:r w:rsidRPr="00E727F0">
        <w:rPr>
          <w:rFonts w:ascii="Verdana" w:hAnsi="Verdana"/>
        </w:rPr>
        <w:lastRenderedPageBreak/>
        <w:t>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6F7BD46B" w14:textId="77777777" w:rsidR="004C63A3" w:rsidRPr="00A420A9" w:rsidRDefault="004C63A3" w:rsidP="004C63A3">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C910C65" w14:textId="77777777" w:rsidR="004C63A3" w:rsidRDefault="004C63A3" w:rsidP="004C63A3">
      <w:pPr>
        <w:spacing w:after="120" w:line="276" w:lineRule="auto"/>
        <w:ind w:firstLine="709"/>
        <w:jc w:val="both"/>
        <w:rPr>
          <w:rFonts w:ascii="Verdana" w:hAnsi="Verdana"/>
        </w:rPr>
      </w:pPr>
      <w:r w:rsidRPr="00E727F0">
        <w:rPr>
          <w:rFonts w:ascii="Verdana" w:hAnsi="Verdana"/>
        </w:rPr>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PcD y los empleadores de PcD. A continuación, se desarrolla el alcance de cada aspecto del sistema planteado en los problemas jurídicos. </w:t>
      </w:r>
    </w:p>
    <w:p w14:paraId="639584E3" w14:textId="77777777" w:rsidR="004C63A3" w:rsidRPr="00E727F0" w:rsidRDefault="004C63A3" w:rsidP="004C63A3">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w:t>
      </w:r>
      <w:r w:rsidRPr="00E727F0">
        <w:rPr>
          <w:rFonts w:ascii="Verdana" w:eastAsia="Times New Roman" w:hAnsi="Verdana" w:cs="Times New Roman"/>
        </w:rPr>
        <w:lastRenderedPageBreak/>
        <w:t>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7A17DE97" w14:textId="77777777" w:rsidR="004C63A3" w:rsidRPr="00E727F0" w:rsidRDefault="004C63A3" w:rsidP="004C63A3">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00C336CD" w14:textId="77777777" w:rsidR="004C63A3" w:rsidRPr="00206556" w:rsidRDefault="004C63A3" w:rsidP="004C63A3">
      <w:pPr>
        <w:spacing w:after="120" w:line="276" w:lineRule="auto"/>
        <w:ind w:firstLine="709"/>
        <w:jc w:val="both"/>
        <w:rPr>
          <w:rFonts w:ascii="Verdana" w:hAnsi="Verdana"/>
        </w:rPr>
      </w:pPr>
      <w:r w:rsidRPr="00E727F0">
        <w:rPr>
          <w:rFonts w:ascii="Verdana" w:eastAsia="Times New Roman" w:hAnsi="Verdana" w:cs="Times New Roman"/>
        </w:rPr>
        <w:t>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5C1A1855" w14:textId="77777777" w:rsidR="004C63A3" w:rsidRPr="00D22B7C" w:rsidRDefault="004C63A3" w:rsidP="004C63A3">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En cuanto a la exigencia del número mínimo de PcD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PcD,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p w14:paraId="7024681E" w14:textId="77777777" w:rsidR="004C63A3" w:rsidRPr="00D22B7C" w:rsidRDefault="004C63A3" w:rsidP="004C63A3">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4C63A3" w:rsidRPr="00D22B7C" w14:paraId="2C33C2F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FBB3A23" w14:textId="77777777" w:rsidR="004C63A3" w:rsidRPr="00D22B7C" w:rsidRDefault="004C63A3" w:rsidP="000A6384">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CB238A5" w14:textId="77777777" w:rsidR="004C63A3" w:rsidRPr="00D22B7C" w:rsidRDefault="004C63A3" w:rsidP="000A6384">
            <w:pPr>
              <w:jc w:val="center"/>
              <w:rPr>
                <w:rFonts w:ascii="Verdana" w:hAnsi="Verdana"/>
              </w:rPr>
            </w:pPr>
            <w:r w:rsidRPr="00D22B7C">
              <w:rPr>
                <w:rFonts w:ascii="Verdana" w:eastAsia="Times New Roman" w:hAnsi="Verdana" w:cs="Times New Roman"/>
                <w:b/>
                <w:bCs/>
              </w:rPr>
              <w:t>Número mínimo de trabajadores con discapacidad requerido</w:t>
            </w:r>
          </w:p>
        </w:tc>
      </w:tr>
      <w:tr w:rsidR="004C63A3" w:rsidRPr="00D22B7C" w14:paraId="73C657FF"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8CA8FCF" w14:textId="77777777" w:rsidR="004C63A3" w:rsidRPr="00D22B7C" w:rsidRDefault="004C63A3" w:rsidP="000A6384">
            <w:pPr>
              <w:jc w:val="center"/>
              <w:rPr>
                <w:rFonts w:ascii="Verdana" w:hAnsi="Verdana"/>
              </w:rPr>
            </w:pPr>
            <w:r w:rsidRPr="00D22B7C">
              <w:rPr>
                <w:rFonts w:ascii="Verdana" w:eastAsia="Times New Roman" w:hAnsi="Verdana" w:cs="Times New Roman"/>
              </w:rPr>
              <w:lastRenderedPageBreak/>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DFBE67E" w14:textId="77777777" w:rsidR="004C63A3" w:rsidRPr="00D22B7C" w:rsidRDefault="004C63A3" w:rsidP="000A6384">
            <w:pPr>
              <w:jc w:val="center"/>
              <w:rPr>
                <w:rFonts w:ascii="Verdana" w:hAnsi="Verdana"/>
              </w:rPr>
            </w:pPr>
            <w:r w:rsidRPr="00D22B7C">
              <w:rPr>
                <w:rFonts w:ascii="Verdana" w:eastAsia="Times New Roman" w:hAnsi="Verdana" w:cs="Times New Roman"/>
              </w:rPr>
              <w:t>2</w:t>
            </w:r>
          </w:p>
        </w:tc>
      </w:tr>
      <w:tr w:rsidR="004C63A3" w:rsidRPr="00D22B7C" w14:paraId="727BC45B"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2AC4F4" w14:textId="77777777" w:rsidR="004C63A3" w:rsidRPr="00D22B7C" w:rsidRDefault="004C63A3" w:rsidP="000A6384">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D28D18" w14:textId="77777777" w:rsidR="004C63A3" w:rsidRPr="00D22B7C" w:rsidRDefault="004C63A3" w:rsidP="000A6384">
            <w:pPr>
              <w:jc w:val="center"/>
              <w:rPr>
                <w:rFonts w:ascii="Verdana" w:hAnsi="Verdana"/>
              </w:rPr>
            </w:pPr>
            <w:r w:rsidRPr="00D22B7C">
              <w:rPr>
                <w:rFonts w:ascii="Verdana" w:eastAsia="Times New Roman" w:hAnsi="Verdana" w:cs="Times New Roman"/>
              </w:rPr>
              <w:t>3</w:t>
            </w:r>
          </w:p>
        </w:tc>
      </w:tr>
      <w:tr w:rsidR="004C63A3" w:rsidRPr="00D22B7C" w14:paraId="0F2AE06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128D3D1" w14:textId="77777777" w:rsidR="004C63A3" w:rsidRPr="00D22B7C" w:rsidRDefault="004C63A3" w:rsidP="000A6384">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652BD09" w14:textId="77777777" w:rsidR="004C63A3" w:rsidRPr="00D22B7C" w:rsidRDefault="004C63A3" w:rsidP="000A6384">
            <w:pPr>
              <w:jc w:val="center"/>
              <w:rPr>
                <w:rFonts w:ascii="Verdana" w:hAnsi="Verdana"/>
              </w:rPr>
            </w:pPr>
            <w:r w:rsidRPr="00D22B7C">
              <w:rPr>
                <w:rFonts w:ascii="Verdana" w:eastAsia="Times New Roman" w:hAnsi="Verdana" w:cs="Times New Roman"/>
              </w:rPr>
              <w:t>4</w:t>
            </w:r>
          </w:p>
        </w:tc>
      </w:tr>
      <w:tr w:rsidR="004C63A3" w:rsidRPr="00D22B7C" w14:paraId="150B43DC"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AEEC878" w14:textId="77777777" w:rsidR="004C63A3" w:rsidRPr="00D22B7C" w:rsidRDefault="004C63A3" w:rsidP="000A6384">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58D9EA1" w14:textId="77777777" w:rsidR="004C63A3" w:rsidRPr="00D22B7C" w:rsidRDefault="004C63A3" w:rsidP="000A6384">
            <w:pPr>
              <w:jc w:val="center"/>
              <w:rPr>
                <w:rFonts w:ascii="Verdana" w:hAnsi="Verdana"/>
              </w:rPr>
            </w:pPr>
            <w:r w:rsidRPr="00D22B7C">
              <w:rPr>
                <w:rFonts w:ascii="Verdana" w:eastAsia="Times New Roman" w:hAnsi="Verdana" w:cs="Times New Roman"/>
              </w:rPr>
              <w:t>5</w:t>
            </w:r>
          </w:p>
        </w:tc>
      </w:tr>
      <w:tr w:rsidR="004C63A3" w:rsidRPr="00D22B7C" w14:paraId="129CB04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C36F954" w14:textId="77777777" w:rsidR="004C63A3" w:rsidRPr="00D22B7C" w:rsidRDefault="004C63A3" w:rsidP="000A6384">
            <w:pPr>
              <w:jc w:val="center"/>
              <w:rPr>
                <w:rFonts w:ascii="Verdana" w:hAnsi="Verdana"/>
              </w:rPr>
            </w:pPr>
            <w:r w:rsidRPr="00D22B7C">
              <w:rPr>
                <w:rFonts w:ascii="Verdana" w:eastAsia="Times New Roman" w:hAnsi="Verdana" w:cs="Times New Roman"/>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4080461" w14:textId="77777777" w:rsidR="004C63A3" w:rsidRPr="00D22B7C" w:rsidRDefault="004C63A3" w:rsidP="000A6384">
            <w:pPr>
              <w:jc w:val="center"/>
              <w:rPr>
                <w:rFonts w:ascii="Verdana" w:hAnsi="Verdana"/>
              </w:rPr>
            </w:pPr>
            <w:r w:rsidRPr="00D22B7C">
              <w:rPr>
                <w:rFonts w:ascii="Verdana" w:eastAsia="Times New Roman" w:hAnsi="Verdana" w:cs="Times New Roman"/>
              </w:rPr>
              <w:t>7</w:t>
            </w:r>
          </w:p>
        </w:tc>
      </w:tr>
      <w:tr w:rsidR="004C63A3" w:rsidRPr="00D22B7C" w14:paraId="4456C5F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022EEEE" w14:textId="77777777" w:rsidR="004C63A3" w:rsidRPr="00D22B7C" w:rsidRDefault="004C63A3" w:rsidP="000A6384">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734EC36" w14:textId="77777777" w:rsidR="004C63A3" w:rsidRPr="00D22B7C" w:rsidRDefault="004C63A3" w:rsidP="000A6384">
            <w:pPr>
              <w:jc w:val="center"/>
              <w:rPr>
                <w:rFonts w:ascii="Verdana" w:hAnsi="Verdana"/>
              </w:rPr>
            </w:pPr>
            <w:r w:rsidRPr="00D22B7C">
              <w:rPr>
                <w:rFonts w:ascii="Verdana" w:eastAsia="Times New Roman" w:hAnsi="Verdana" w:cs="Times New Roman"/>
              </w:rPr>
              <w:t>10</w:t>
            </w:r>
          </w:p>
        </w:tc>
      </w:tr>
      <w:tr w:rsidR="004C63A3" w:rsidRPr="00D22B7C" w14:paraId="69D84CF8"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FF52909" w14:textId="77777777" w:rsidR="004C63A3" w:rsidRPr="00D22B7C" w:rsidRDefault="004C63A3" w:rsidP="000A6384">
            <w:pPr>
              <w:jc w:val="center"/>
              <w:rPr>
                <w:rFonts w:ascii="Verdana" w:hAnsi="Verdana"/>
              </w:rPr>
            </w:pPr>
            <w:r w:rsidRPr="00D22B7C">
              <w:rPr>
                <w:rFonts w:ascii="Verdana" w:eastAsia="Times New Roman" w:hAnsi="Verdana" w:cs="Times New Roman"/>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B3420BB" w14:textId="77777777" w:rsidR="004C63A3" w:rsidRPr="00D22B7C" w:rsidRDefault="004C63A3" w:rsidP="000A6384">
            <w:pPr>
              <w:jc w:val="center"/>
              <w:rPr>
                <w:rFonts w:ascii="Verdana" w:hAnsi="Verdana"/>
              </w:rPr>
            </w:pPr>
            <w:r w:rsidRPr="00D22B7C">
              <w:rPr>
                <w:rFonts w:ascii="Verdana" w:eastAsia="Times New Roman" w:hAnsi="Verdana" w:cs="Times New Roman"/>
              </w:rPr>
              <w:t>12</w:t>
            </w:r>
          </w:p>
        </w:tc>
      </w:tr>
      <w:tr w:rsidR="004C63A3" w:rsidRPr="00D22B7C" w14:paraId="675000FD"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A0DB849" w14:textId="77777777" w:rsidR="004C63A3" w:rsidRPr="00D22B7C" w:rsidRDefault="004C63A3" w:rsidP="000A6384">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B639B76" w14:textId="77777777" w:rsidR="004C63A3" w:rsidRPr="00D22B7C" w:rsidRDefault="004C63A3" w:rsidP="000A6384">
            <w:pPr>
              <w:jc w:val="center"/>
              <w:rPr>
                <w:rFonts w:ascii="Verdana" w:hAnsi="Verdana"/>
              </w:rPr>
            </w:pPr>
            <w:r w:rsidRPr="00D22B7C">
              <w:rPr>
                <w:rFonts w:ascii="Verdana" w:eastAsia="Times New Roman" w:hAnsi="Verdana" w:cs="Times New Roman"/>
              </w:rPr>
              <w:t>14</w:t>
            </w:r>
          </w:p>
        </w:tc>
      </w:tr>
      <w:tr w:rsidR="004C63A3" w:rsidRPr="00D22B7C" w14:paraId="773E4DA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342E552" w14:textId="77777777" w:rsidR="004C63A3" w:rsidRPr="00D22B7C" w:rsidRDefault="004C63A3" w:rsidP="000A6384">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64347C" w14:textId="77777777" w:rsidR="004C63A3" w:rsidRPr="00D22B7C" w:rsidRDefault="004C63A3" w:rsidP="000A6384">
            <w:pPr>
              <w:jc w:val="center"/>
              <w:rPr>
                <w:rFonts w:ascii="Verdana" w:hAnsi="Verdana"/>
              </w:rPr>
            </w:pPr>
            <w:r w:rsidRPr="00D22B7C">
              <w:rPr>
                <w:rFonts w:ascii="Verdana" w:eastAsia="Times New Roman" w:hAnsi="Verdana" w:cs="Times New Roman"/>
              </w:rPr>
              <w:t>16</w:t>
            </w:r>
          </w:p>
        </w:tc>
      </w:tr>
      <w:tr w:rsidR="004C63A3" w:rsidRPr="00D22B7C" w14:paraId="27D5202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C358032" w14:textId="77777777" w:rsidR="004C63A3" w:rsidRPr="00D22B7C" w:rsidRDefault="004C63A3" w:rsidP="000A6384">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83BC22" w14:textId="77777777" w:rsidR="004C63A3" w:rsidRPr="00D22B7C" w:rsidRDefault="004C63A3" w:rsidP="000A6384">
            <w:pPr>
              <w:jc w:val="center"/>
              <w:rPr>
                <w:rFonts w:ascii="Verdana" w:hAnsi="Verdana"/>
              </w:rPr>
            </w:pPr>
            <w:r w:rsidRPr="00D22B7C">
              <w:rPr>
                <w:rFonts w:ascii="Verdana" w:eastAsia="Times New Roman" w:hAnsi="Verdana" w:cs="Times New Roman"/>
              </w:rPr>
              <w:t>Por cada 100 trabajadores adicionales, se suman 2 trabajadores con discapacidad</w:t>
            </w:r>
          </w:p>
        </w:tc>
      </w:tr>
    </w:tbl>
    <w:p w14:paraId="363F0355" w14:textId="77777777" w:rsidR="004C63A3" w:rsidRPr="00D22B7C" w:rsidRDefault="004C63A3" w:rsidP="004C63A3">
      <w:pPr>
        <w:spacing w:after="0" w:line="276" w:lineRule="auto"/>
        <w:rPr>
          <w:rFonts w:ascii="Verdana" w:hAnsi="Verdana"/>
        </w:rPr>
      </w:pPr>
    </w:p>
    <w:p w14:paraId="2A6FB031" w14:textId="77777777" w:rsidR="004C63A3" w:rsidRPr="00D22B7C" w:rsidRDefault="004C63A3" w:rsidP="004C63A3">
      <w:pPr>
        <w:spacing w:after="120" w:line="276" w:lineRule="auto"/>
        <w:ind w:firstLine="709"/>
        <w:jc w:val="both"/>
        <w:rPr>
          <w:rFonts w:ascii="Verdana" w:hAnsi="Verdana"/>
        </w:rPr>
      </w:pPr>
      <w:r w:rsidRPr="00D22B7C">
        <w:rPr>
          <w:rFonts w:ascii="Verdana" w:eastAsia="Times New Roman" w:hAnsi="Verdana" w:cs="Times New Roman"/>
        </w:rPr>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19C71940" w14:textId="77777777" w:rsidR="004C63A3" w:rsidRPr="00D22B7C" w:rsidRDefault="004C63A3" w:rsidP="004C63A3">
      <w:pPr>
        <w:spacing w:after="120" w:line="276" w:lineRule="auto"/>
        <w:ind w:firstLine="709"/>
        <w:jc w:val="both"/>
        <w:rPr>
          <w:rFonts w:ascii="Verdana" w:hAnsi="Verdana"/>
        </w:rPr>
      </w:pPr>
      <w:r w:rsidRPr="00D22B7C">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PcD incluida en el cómputo, sin distinción entre vinculaciones iniciales e incrementos posteriores, junto con el </w:t>
      </w:r>
      <w:r w:rsidRPr="00D22B7C">
        <w:rPr>
          <w:rFonts w:ascii="Verdana" w:eastAsia="Times New Roman" w:hAnsi="Verdana" w:cs="Times New Roman"/>
        </w:rPr>
        <w:lastRenderedPageBreak/>
        <w:t>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062070BD" w14:textId="77777777" w:rsidR="004C63A3" w:rsidRPr="003C3B8B" w:rsidRDefault="004C63A3" w:rsidP="004C63A3">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"no se exige vinculación de las PcD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2591B6E3" w14:textId="77777777" w:rsidR="004C63A3" w:rsidRDefault="004C63A3" w:rsidP="004C63A3">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El período de tres meses es el umbral mínimo de estabilidad laboral que diferencia un compromiso genuino con la inclusión de una vinculación oportunista. La norma aplica este requisito para cada PcD incluida en la acreditación, independientemente de si es una vinculación original o una nueva incorporación. Si una empresa ha incrementado recientemente su planta de PcD y alguna de estas vinculaciones no alcanza el período requerido, el proponente puede participar en el proceso utilizando únicamente las PcD que sí cumplan el requisito temporal. La consecuencia de no alcanzar el período no es la exclusión del proceso sino la imposibilidad de obtener el puntaje adicional respecto de esas PcD específicas, lo que es coherente con los principios de participación y pluralidad de oferentes.</w:t>
      </w:r>
    </w:p>
    <w:p w14:paraId="6221ED17" w14:textId="04895058" w:rsidR="004C63A3" w:rsidRDefault="004C63A3" w:rsidP="004C63A3">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PcD a las plantas de personal debe realizarse mediante contrato laboral con dedicación exclusiva, </w:t>
      </w:r>
      <w:r w:rsidR="000E3E5A">
        <w:rPr>
          <w:rFonts w:ascii="Verdana" w:eastAsia="Times New Roman" w:hAnsi="Verdana" w:cs="Times New Roman"/>
        </w:rPr>
        <w:t xml:space="preserve">lo cual corresponde a </w:t>
      </w:r>
      <w:r w:rsidR="00AE7741">
        <w:rPr>
          <w:rFonts w:ascii="Verdana" w:eastAsia="Times New Roman" w:hAnsi="Verdana" w:cs="Times New Roman"/>
        </w:rPr>
        <w:t xml:space="preserve">una </w:t>
      </w:r>
      <w:r w:rsidR="00AE7741" w:rsidRPr="00AE7741">
        <w:rPr>
          <w:rFonts w:ascii="Verdana" w:eastAsia="Times New Roman" w:hAnsi="Verdana" w:cs="Times New Roman"/>
        </w:rPr>
        <w:t>relación laboral con un único empleador, lo cual se acreditará en el contrato o la certificación laboral correspondiente</w:t>
      </w:r>
      <w:r w:rsidRPr="007B01BA">
        <w:rPr>
          <w:rFonts w:ascii="Verdana" w:eastAsia="Times New Roman" w:hAnsi="Verdana" w:cs="Times New Roman"/>
        </w:rPr>
        <w:t>. Adicionalmente, debe destacarse la diferencia entre los documentos exigidos según el sujeto que acredita el puntaje: cuando se trata de un empleador de PcD,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PcD, los documentos requeridos son los establecidos en el artículo 2.2.1.2.4.2.6., que varían según la categoría que se acredite. En ningún caso los documentos del artículo 2.2.1.2.4.2.7.4. son exigibles a los emprendimientos y empresas de PcD,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PcD, por lo que no deben confundirse.</w:t>
      </w:r>
    </w:p>
    <w:p w14:paraId="4A918843" w14:textId="77777777" w:rsidR="004C63A3" w:rsidRPr="00D22B7C" w:rsidRDefault="004C63A3" w:rsidP="004C63A3">
      <w:pPr>
        <w:spacing w:after="120" w:line="276" w:lineRule="auto"/>
        <w:ind w:firstLine="709"/>
        <w:jc w:val="both"/>
        <w:rPr>
          <w:rFonts w:ascii="Verdana" w:hAnsi="Verdana"/>
        </w:rPr>
      </w:pPr>
      <w:r w:rsidRPr="00206556">
        <w:rPr>
          <w:rFonts w:ascii="Verdana" w:hAnsi="Verdana"/>
        </w:rPr>
        <w:lastRenderedPageBreak/>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y la contratación directa tiene su propia medida afirmativa a través de los contratos de prestación de servicios con PcD.</w:t>
      </w:r>
    </w:p>
    <w:p w14:paraId="0E08C336" w14:textId="2F50B9AB" w:rsidR="004C63A3" w:rsidRPr="00670CFB" w:rsidRDefault="004C63A3" w:rsidP="00FF213B">
      <w:pPr>
        <w:spacing w:after="120" w:line="276" w:lineRule="auto"/>
        <w:ind w:firstLine="708"/>
        <w:jc w:val="both"/>
        <w:rPr>
          <w:rFonts w:ascii="Verdana" w:hAnsi="Verdana"/>
        </w:rPr>
      </w:pPr>
      <w:r w:rsidRPr="00206556">
        <w:rPr>
          <w:rFonts w:ascii="Verdana" w:hAnsi="Verdana"/>
        </w:rPr>
        <w:t>(</w:t>
      </w:r>
      <w:r>
        <w:rPr>
          <w:rFonts w:ascii="Verdana" w:hAnsi="Verdana"/>
        </w:rPr>
        <w:t>v</w:t>
      </w:r>
      <w:r w:rsidRPr="00206556">
        <w:rPr>
          <w:rFonts w:ascii="Verdana" w:hAnsi="Verdana"/>
        </w:rPr>
        <w:t xml:space="preserve">) </w:t>
      </w:r>
      <w:r w:rsidRPr="00670CFB">
        <w:rPr>
          <w:rFonts w:ascii="Verdana" w:hAnsi="Verdana"/>
        </w:rPr>
        <w:t>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0135AC83"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w:t>
      </w:r>
      <w:r w:rsidRPr="00670CFB">
        <w:rPr>
          <w:rFonts w:ascii="Verdana" w:hAnsi="Verdana"/>
        </w:rPr>
        <w:lastRenderedPageBreak/>
        <w:t xml:space="preserve">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0327D26B" w14:textId="3886C232"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w:t>
      </w:r>
      <w:r w:rsidR="00121FA5">
        <w:rPr>
          <w:rFonts w:ascii="Verdana" w:hAnsi="Verdana"/>
        </w:rPr>
        <w:t>uno</w:t>
      </w:r>
      <w:r w:rsidRPr="00670CFB">
        <w:rPr>
          <w:rFonts w:ascii="Verdana" w:hAnsi="Verdana"/>
        </w:rPr>
        <w:t xml:space="preserve"> de estos requisitos de acuerdo con lo que resulte justificado en sus estudios previos, garantizando en todo caso que </w:t>
      </w:r>
      <w:r w:rsidR="00C4675B">
        <w:rPr>
          <w:rFonts w:ascii="Verdana" w:hAnsi="Verdana"/>
        </w:rPr>
        <w:t>el</w:t>
      </w:r>
      <w:r w:rsidRPr="00670CFB">
        <w:rPr>
          <w:rFonts w:ascii="Verdana" w:hAnsi="Verdana"/>
        </w:rPr>
        <w:t xml:space="preserve"> requisito ajustado sea suficiente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29C00886"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w:t>
      </w:r>
      <w:r w:rsidRPr="00670CFB">
        <w:rPr>
          <w:rFonts w:ascii="Verdana" w:hAnsi="Verdana"/>
        </w:rPr>
        <w:lastRenderedPageBreak/>
        <w:t xml:space="preserve">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4713BDC1"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5B6361BA"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lastRenderedPageBreak/>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0EA8FF2E"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04523CB0"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De esta manera, el Sistema Integral de Preferencias establecido por el Decreto 0287 de 2026 constituye un cambio estructural en la forma en que el </w:t>
      </w:r>
      <w:r w:rsidRPr="00670CFB">
        <w:rPr>
          <w:rFonts w:ascii="Verdana" w:hAnsi="Verdana"/>
        </w:rPr>
        <w:lastRenderedPageBreak/>
        <w:t>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61EEEF85" w14:textId="77777777" w:rsidR="004C63A3" w:rsidRPr="00206556" w:rsidRDefault="004C63A3" w:rsidP="004C63A3">
      <w:pPr>
        <w:spacing w:after="0" w:line="276" w:lineRule="auto"/>
        <w:jc w:val="both"/>
        <w:rPr>
          <w:rFonts w:ascii="Verdana" w:eastAsia="Calibri" w:hAnsi="Verdana" w:cs="Arial"/>
          <w:lang w:val="es-ES"/>
        </w:rPr>
      </w:pPr>
    </w:p>
    <w:p w14:paraId="2667BB60" w14:textId="77777777" w:rsidR="004C63A3" w:rsidRPr="00206556" w:rsidRDefault="004C63A3" w:rsidP="004C63A3">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63A3" w:rsidRPr="00206556" w14:paraId="6DD4B878" w14:textId="77777777" w:rsidTr="000A6384">
        <w:trPr>
          <w:trHeight w:val="297"/>
        </w:trPr>
        <w:tc>
          <w:tcPr>
            <w:tcW w:w="8647" w:type="dxa"/>
          </w:tcPr>
          <w:p w14:paraId="748C2797" w14:textId="77777777" w:rsidR="004C63A3" w:rsidRPr="00670CFB"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3FD7C444"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53913AA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0583B2E6"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2872C4B3"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5F0C1C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10468BFE"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7D75588D"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19D30BCA"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507813E2"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299F943A"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6A0647B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0DFA1EB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4F79D150"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0F5FBAB0"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6689B67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4C2B07B1"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Corte Constitucional. Sentencia SU-049 de 2017. M.P. María Victoria Calle Correa.</w:t>
            </w:r>
          </w:p>
          <w:p w14:paraId="29D2FE2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1E6DB4E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1C1D05D"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336386C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0C3772F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4642374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7550B9C6"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34F3C63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7425EBD1" w14:textId="79D4A51C" w:rsidR="004C63A3" w:rsidRPr="00206556" w:rsidRDefault="004C63A3" w:rsidP="005032DA">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tc>
      </w:tr>
    </w:tbl>
    <w:p w14:paraId="14B5C410" w14:textId="77777777" w:rsidR="004C63A3" w:rsidRPr="00206556" w:rsidRDefault="004C63A3" w:rsidP="004C63A3">
      <w:pPr>
        <w:widowControl w:val="0"/>
        <w:autoSpaceDE w:val="0"/>
        <w:autoSpaceDN w:val="0"/>
        <w:spacing w:after="0" w:line="276" w:lineRule="auto"/>
        <w:jc w:val="both"/>
        <w:rPr>
          <w:rFonts w:ascii="Verdana" w:hAnsi="Verdana" w:cs="Arial"/>
          <w:color w:val="ED7D31" w:themeColor="accent2"/>
          <w:lang w:val="es-ES"/>
        </w:rPr>
      </w:pPr>
    </w:p>
    <w:p w14:paraId="1C2F6604" w14:textId="77777777" w:rsidR="004C63A3"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616976E0" w14:textId="77777777" w:rsidR="004C63A3" w:rsidRPr="00670CFB" w:rsidRDefault="004C63A3" w:rsidP="004C63A3">
      <w:pPr>
        <w:tabs>
          <w:tab w:val="left" w:pos="142"/>
          <w:tab w:val="left" w:pos="284"/>
        </w:tabs>
        <w:spacing w:after="0" w:line="276" w:lineRule="auto"/>
        <w:jc w:val="both"/>
        <w:rPr>
          <w:rFonts w:ascii="Verdana" w:eastAsia="Century Gothic" w:hAnsi="Verdana" w:cs="Century Gothic"/>
          <w:b/>
          <w:lang w:val="es-ES"/>
        </w:rPr>
      </w:pPr>
    </w:p>
    <w:p w14:paraId="26025DE5" w14:textId="3D9E6D1D" w:rsidR="004C63A3" w:rsidRPr="00206556" w:rsidRDefault="004C63A3" w:rsidP="004C63A3">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 xml:space="preserve">sobre el alcance del Decreto 0287 de 2026 en </w:t>
      </w:r>
      <w:r w:rsidR="001445D7">
        <w:rPr>
          <w:rFonts w:ascii="Verdana" w:hAnsi="Verdana" w:cs="Arial"/>
          <w:shd w:val="clear" w:color="auto" w:fill="FFFFFF"/>
          <w:lang w:val="es-ES"/>
        </w:rPr>
        <w:t>los conceptos C-</w:t>
      </w:r>
      <w:r w:rsidR="00701C3C">
        <w:rPr>
          <w:rFonts w:ascii="Verdana" w:hAnsi="Verdana" w:cs="Arial"/>
          <w:shd w:val="clear" w:color="auto" w:fill="FFFFFF"/>
          <w:lang w:val="es-ES"/>
        </w:rPr>
        <w:t>473 del 7 de mayo de 2026</w:t>
      </w:r>
      <w:r w:rsidR="00B86811">
        <w:rPr>
          <w:rFonts w:ascii="Verdana" w:hAnsi="Verdana" w:cs="Arial"/>
          <w:shd w:val="clear" w:color="auto" w:fill="FFFFFF"/>
          <w:lang w:val="es-ES"/>
        </w:rPr>
        <w:t>,</w:t>
      </w:r>
      <w:r w:rsidR="001445D7">
        <w:rPr>
          <w:rFonts w:ascii="Verdana" w:hAnsi="Verdana" w:cs="Arial"/>
          <w:shd w:val="clear" w:color="auto" w:fill="FFFFFF"/>
          <w:lang w:val="es-ES"/>
        </w:rPr>
        <w:t xml:space="preserve"> C-</w:t>
      </w:r>
      <w:r w:rsidR="001445D7" w:rsidRPr="001445D7">
        <w:rPr>
          <w:rFonts w:ascii="Verdana" w:hAnsi="Verdana" w:cs="Arial"/>
          <w:shd w:val="clear" w:color="auto" w:fill="FFFFFF"/>
          <w:lang w:val="es-ES"/>
        </w:rPr>
        <w:t>498 de</w:t>
      </w:r>
      <w:r w:rsidR="001445D7">
        <w:rPr>
          <w:rFonts w:ascii="Verdana" w:hAnsi="Verdana" w:cs="Arial"/>
          <w:shd w:val="clear" w:color="auto" w:fill="FFFFFF"/>
          <w:lang w:val="es-ES"/>
        </w:rPr>
        <w:t>l 8 de mayo de</w:t>
      </w:r>
      <w:r w:rsidR="001445D7" w:rsidRPr="001445D7">
        <w:rPr>
          <w:rFonts w:ascii="Verdana" w:hAnsi="Verdana" w:cs="Arial"/>
          <w:shd w:val="clear" w:color="auto" w:fill="FFFFFF"/>
          <w:lang w:val="es-ES"/>
        </w:rPr>
        <w:t xml:space="preserve"> 2026</w:t>
      </w:r>
      <w:r w:rsidR="00B86811">
        <w:rPr>
          <w:rFonts w:ascii="Verdana" w:hAnsi="Verdana" w:cs="Arial"/>
          <w:shd w:val="clear" w:color="auto" w:fill="FFFFFF"/>
          <w:lang w:val="es-ES"/>
        </w:rPr>
        <w:t xml:space="preserve"> y C-576 del 19 de mayo de 2026</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sidR="001445D7">
        <w:rPr>
          <w:rFonts w:ascii="Verdana" w:hAnsi="Verdana" w:cs="Arial"/>
          <w:shd w:val="clear" w:color="auto" w:fill="FFFFFF"/>
          <w:lang w:val="es-ES"/>
        </w:rPr>
        <w:t>os</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4" w:history="1">
        <w:r w:rsidRPr="00206556">
          <w:rPr>
            <w:rStyle w:val="Hipervnculo"/>
            <w:rFonts w:ascii="Verdana" w:hAnsi="Verdana" w:cs="Arial"/>
            <w:shd w:val="clear" w:color="auto" w:fill="FFFFFF"/>
            <w:lang w:val="es-ES"/>
          </w:rPr>
          <w:t>https://relatoria.colombiacompra.gov.co/busqueda/conceptos</w:t>
        </w:r>
      </w:hyperlink>
    </w:p>
    <w:p w14:paraId="43D8F0F5" w14:textId="77777777" w:rsidR="004C63A3" w:rsidRPr="00206556" w:rsidRDefault="004C63A3" w:rsidP="004C63A3">
      <w:pPr>
        <w:spacing w:after="0" w:line="276" w:lineRule="auto"/>
        <w:jc w:val="both"/>
        <w:rPr>
          <w:rFonts w:ascii="Verdana" w:hAnsi="Verdana" w:cs="Arial"/>
          <w:color w:val="ED7D31" w:themeColor="accent2"/>
          <w:shd w:val="clear" w:color="auto" w:fill="FFFFFF"/>
          <w:lang w:val="es-ES"/>
        </w:rPr>
      </w:pPr>
    </w:p>
    <w:p w14:paraId="74A0CDE1"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lastRenderedPageBreak/>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5"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580719A3" w14:textId="77777777" w:rsidR="004C63A3" w:rsidRPr="00206556" w:rsidRDefault="004C63A3" w:rsidP="004C63A3">
      <w:pPr>
        <w:spacing w:after="0" w:line="276" w:lineRule="auto"/>
        <w:jc w:val="both"/>
        <w:rPr>
          <w:rFonts w:ascii="Verdana" w:hAnsi="Verdana" w:cs="Arial"/>
          <w:shd w:val="clear" w:color="auto" w:fill="FFFFFF"/>
        </w:rPr>
      </w:pPr>
    </w:p>
    <w:p w14:paraId="236F6772"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6" w:history="1">
        <w:r w:rsidRPr="00206556">
          <w:rPr>
            <w:rStyle w:val="Hipervnculo"/>
            <w:rFonts w:ascii="Verdana" w:hAnsi="Verdana" w:cs="Arial"/>
            <w:shd w:val="clear" w:color="auto" w:fill="FFFFFF"/>
          </w:rPr>
          <w:t>https://www.colombiacompra.gov.co/normativa-y-relatoria/documentos-tipo</w:t>
        </w:r>
      </w:hyperlink>
    </w:p>
    <w:p w14:paraId="03E0431B" w14:textId="77777777" w:rsidR="004C63A3" w:rsidRPr="00206556" w:rsidRDefault="004C63A3" w:rsidP="004C63A3">
      <w:pPr>
        <w:spacing w:after="0" w:line="276" w:lineRule="auto"/>
        <w:jc w:val="both"/>
        <w:rPr>
          <w:rFonts w:ascii="Verdana" w:hAnsi="Verdana" w:cs="Arial"/>
          <w:shd w:val="clear" w:color="auto" w:fill="FFFFFF"/>
        </w:rPr>
      </w:pPr>
    </w:p>
    <w:p w14:paraId="4D7B093F"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041E96B3" w14:textId="77777777" w:rsidR="004C63A3" w:rsidRPr="00206556" w:rsidRDefault="004C63A3" w:rsidP="004C63A3">
      <w:pPr>
        <w:spacing w:after="0" w:line="276" w:lineRule="auto"/>
        <w:jc w:val="both"/>
        <w:rPr>
          <w:rFonts w:ascii="Verdana" w:hAnsi="Verdana" w:cs="Arial"/>
          <w:color w:val="ED7D31" w:themeColor="accent2"/>
          <w:shd w:val="clear" w:color="auto" w:fill="FFFFFF"/>
        </w:rPr>
      </w:pPr>
    </w:p>
    <w:p w14:paraId="2487F838"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0F4A2FBF" w14:textId="77777777" w:rsidR="004C63A3" w:rsidRPr="00206556" w:rsidRDefault="004C63A3" w:rsidP="004C63A3">
      <w:pPr>
        <w:spacing w:after="0"/>
        <w:jc w:val="both"/>
        <w:rPr>
          <w:rFonts w:ascii="Verdana" w:hAnsi="Verdana" w:cs="Arial"/>
          <w:shd w:val="clear" w:color="auto" w:fill="FFFFFF"/>
        </w:rPr>
      </w:pPr>
    </w:p>
    <w:p w14:paraId="2C167D17"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75C9B8DD"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56C5EA7F"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01C1FFDA"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A810F63" w14:textId="77777777" w:rsidR="004C63A3" w:rsidRPr="00206556" w:rsidRDefault="004C63A3" w:rsidP="004C63A3">
      <w:pPr>
        <w:widowControl w:val="0"/>
        <w:autoSpaceDE w:val="0"/>
        <w:autoSpaceDN w:val="0"/>
        <w:spacing w:after="0" w:line="276" w:lineRule="auto"/>
        <w:jc w:val="both"/>
        <w:rPr>
          <w:rFonts w:ascii="Verdana" w:hAnsi="Verdana" w:cs="Arial"/>
          <w:color w:val="ED7D31" w:themeColor="accent2"/>
          <w:lang w:val="es-ES"/>
        </w:rPr>
      </w:pPr>
    </w:p>
    <w:p w14:paraId="1437FD7F" w14:textId="77777777" w:rsidR="004C63A3" w:rsidRPr="00206556" w:rsidRDefault="004C63A3" w:rsidP="004C63A3">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304A1E8" w14:textId="77777777" w:rsidR="004C63A3" w:rsidRPr="00206556" w:rsidRDefault="004C63A3" w:rsidP="004C63A3">
      <w:pPr>
        <w:widowControl w:val="0"/>
        <w:autoSpaceDE w:val="0"/>
        <w:autoSpaceDN w:val="0"/>
        <w:spacing w:after="0" w:line="276" w:lineRule="auto"/>
        <w:jc w:val="both"/>
        <w:rPr>
          <w:rFonts w:ascii="Verdana" w:hAnsi="Verdana" w:cs="Arial"/>
          <w:lang w:val="es-ES"/>
        </w:rPr>
      </w:pPr>
    </w:p>
    <w:p w14:paraId="23C41564" w14:textId="77777777" w:rsidR="004C63A3" w:rsidRPr="00206556" w:rsidRDefault="004C63A3" w:rsidP="004C63A3">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34755FDE" w14:textId="77777777" w:rsidR="004C63A3" w:rsidRPr="00206556" w:rsidRDefault="004C63A3" w:rsidP="004C63A3">
      <w:pPr>
        <w:autoSpaceDE w:val="0"/>
        <w:autoSpaceDN w:val="0"/>
        <w:adjustRightInd w:val="0"/>
        <w:spacing w:after="0" w:line="276" w:lineRule="auto"/>
        <w:rPr>
          <w:rFonts w:ascii="Verdana" w:eastAsia="Calibri" w:hAnsi="Verdana" w:cs="Arial"/>
          <w:noProof/>
          <w:sz w:val="20"/>
          <w:szCs w:val="20"/>
        </w:rPr>
      </w:pPr>
    </w:p>
    <w:p w14:paraId="15EB8684" w14:textId="16BBD65D" w:rsidR="004C63A3" w:rsidRPr="00206556" w:rsidRDefault="00ED75E7" w:rsidP="004C63A3">
      <w:pPr>
        <w:spacing w:after="0" w:line="256" w:lineRule="auto"/>
        <w:jc w:val="center"/>
        <w:rPr>
          <w:rFonts w:ascii="Verdana" w:eastAsia="Times New Roman" w:hAnsi="Verdana" w:cs="Arial"/>
          <w:lang w:eastAsia="es-ES"/>
        </w:rPr>
      </w:pPr>
      <w:r w:rsidRPr="002C3AD6">
        <w:rPr>
          <w:rFonts w:ascii="Century Gothic" w:hAnsi="Century Gothic"/>
          <w:noProof/>
        </w:rPr>
        <w:drawing>
          <wp:inline distT="0" distB="0" distL="0" distR="0" wp14:anchorId="3F1B5F2A" wp14:editId="181E9CA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079438A5" w14:textId="77777777" w:rsidR="004C63A3" w:rsidRPr="00206556" w:rsidRDefault="004C63A3" w:rsidP="004C63A3">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4C63A3" w:rsidRPr="00206556" w14:paraId="63402B68" w14:textId="77777777" w:rsidTr="000A6384">
        <w:trPr>
          <w:trHeight w:val="322"/>
        </w:trPr>
        <w:tc>
          <w:tcPr>
            <w:tcW w:w="733" w:type="dxa"/>
            <w:tcBorders>
              <w:top w:val="nil"/>
              <w:left w:val="nil"/>
              <w:bottom w:val="nil"/>
              <w:right w:val="nil"/>
            </w:tcBorders>
            <w:vAlign w:val="center"/>
            <w:hideMark/>
          </w:tcPr>
          <w:p w14:paraId="5C4DB861"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CA7420C" w14:textId="77777777" w:rsidR="004C63A3" w:rsidRPr="00206556" w:rsidRDefault="004C63A3" w:rsidP="000A6384">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279D93E9" w14:textId="77777777" w:rsidR="004C63A3" w:rsidRPr="00A5703A" w:rsidRDefault="004C63A3" w:rsidP="000A6384">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tc>
      </w:tr>
      <w:tr w:rsidR="004C63A3" w:rsidRPr="00206556" w14:paraId="4015DB90" w14:textId="77777777" w:rsidTr="000A6384">
        <w:trPr>
          <w:trHeight w:val="322"/>
        </w:trPr>
        <w:tc>
          <w:tcPr>
            <w:tcW w:w="733" w:type="dxa"/>
            <w:tcBorders>
              <w:top w:val="nil"/>
              <w:left w:val="nil"/>
              <w:bottom w:val="nil"/>
              <w:right w:val="nil"/>
            </w:tcBorders>
            <w:vAlign w:val="center"/>
            <w:hideMark/>
          </w:tcPr>
          <w:p w14:paraId="2FCE25D9"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128ED358" w14:textId="77777777" w:rsidR="004C63A3" w:rsidRPr="00206556" w:rsidRDefault="004C63A3" w:rsidP="000A6384">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Saavedra</w:t>
            </w:r>
          </w:p>
          <w:p w14:paraId="0C4EA4D3" w14:textId="77777777" w:rsidR="004C63A3" w:rsidRPr="00A5703A" w:rsidRDefault="004C63A3" w:rsidP="000A6384">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Pr="00206556">
              <w:rPr>
                <w:rFonts w:ascii="Verdana" w:eastAsia="Times New Roman" w:hAnsi="Verdana" w:cs="Arial"/>
                <w:sz w:val="16"/>
                <w:szCs w:val="16"/>
                <w:lang w:eastAsia="es-ES"/>
              </w:rPr>
              <w:t xml:space="preserve"> de la Subdirección de Gestión Contractual</w:t>
            </w:r>
          </w:p>
        </w:tc>
      </w:tr>
      <w:tr w:rsidR="004C63A3" w:rsidRPr="00206556" w14:paraId="07D5D7B1" w14:textId="77777777" w:rsidTr="000A6384">
        <w:trPr>
          <w:trHeight w:val="307"/>
        </w:trPr>
        <w:tc>
          <w:tcPr>
            <w:tcW w:w="733" w:type="dxa"/>
            <w:tcBorders>
              <w:top w:val="nil"/>
              <w:left w:val="nil"/>
              <w:bottom w:val="nil"/>
              <w:right w:val="nil"/>
            </w:tcBorders>
            <w:vAlign w:val="center"/>
            <w:hideMark/>
          </w:tcPr>
          <w:p w14:paraId="219503E6"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6CC34733" w14:textId="77777777" w:rsidR="004C63A3" w:rsidRPr="00206556" w:rsidRDefault="004C63A3" w:rsidP="000A6384">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1A8F55A8" w14:textId="77777777" w:rsidR="004C63A3" w:rsidRPr="00206556" w:rsidRDefault="004C63A3" w:rsidP="000A6384">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31C0439E" w14:textId="77777777" w:rsidR="004C63A3" w:rsidRDefault="004C63A3" w:rsidP="004C63A3">
      <w:pPr>
        <w:autoSpaceDE w:val="0"/>
        <w:autoSpaceDN w:val="0"/>
        <w:adjustRightInd w:val="0"/>
        <w:spacing w:after="0" w:line="276" w:lineRule="auto"/>
        <w:jc w:val="center"/>
        <w:rPr>
          <w:rFonts w:ascii="Verdana" w:eastAsia="Calibri" w:hAnsi="Verdana" w:cs="Arial"/>
        </w:rPr>
      </w:pPr>
    </w:p>
    <w:p w14:paraId="0F293BF4" w14:textId="1EB941D7" w:rsidR="00127233" w:rsidRPr="004C63A3" w:rsidRDefault="00127233" w:rsidP="004C63A3"/>
    <w:sectPr w:rsidR="00127233" w:rsidRPr="004C63A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FB7F7" w14:textId="77777777" w:rsidR="003A6820" w:rsidRDefault="003A6820" w:rsidP="004A1847">
      <w:pPr>
        <w:spacing w:after="0" w:line="240" w:lineRule="auto"/>
      </w:pPr>
      <w:r>
        <w:separator/>
      </w:r>
    </w:p>
  </w:endnote>
  <w:endnote w:type="continuationSeparator" w:id="0">
    <w:p w14:paraId="39610F4B" w14:textId="77777777" w:rsidR="003A6820" w:rsidRDefault="003A682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23AD0" w14:textId="77777777" w:rsidR="003A6820" w:rsidRDefault="003A6820" w:rsidP="004A1847">
      <w:pPr>
        <w:spacing w:after="0" w:line="240" w:lineRule="auto"/>
      </w:pPr>
      <w:r>
        <w:separator/>
      </w:r>
    </w:p>
  </w:footnote>
  <w:footnote w:type="continuationSeparator" w:id="0">
    <w:p w14:paraId="1DDAD0EA" w14:textId="77777777" w:rsidR="003A6820" w:rsidRDefault="003A6820" w:rsidP="004A1847">
      <w:pPr>
        <w:spacing w:after="0" w:line="240" w:lineRule="auto"/>
      </w:pPr>
      <w:r>
        <w:continuationSeparator/>
      </w:r>
    </w:p>
  </w:footnote>
  <w:footnote w:id="1">
    <w:p w14:paraId="51EB9D0D" w14:textId="77777777" w:rsidR="004C63A3" w:rsidRPr="00206556" w:rsidRDefault="004C63A3" w:rsidP="004C63A3">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56F4EEA9" w14:textId="77777777" w:rsidR="004C63A3" w:rsidRPr="00206556" w:rsidRDefault="004C63A3" w:rsidP="004C63A3">
      <w:pPr>
        <w:spacing w:after="80" w:line="240" w:lineRule="auto"/>
        <w:ind w:firstLine="708"/>
        <w:jc w:val="both"/>
        <w:rPr>
          <w:rFonts w:ascii="Verdana" w:hAnsi="Verdana"/>
          <w:sz w:val="16"/>
          <w:szCs w:val="16"/>
        </w:rPr>
      </w:pPr>
    </w:p>
  </w:footnote>
  <w:footnote w:id="2">
    <w:p w14:paraId="0D74BBAA" w14:textId="77777777" w:rsidR="004C63A3" w:rsidRPr="00206556" w:rsidRDefault="004C63A3" w:rsidP="004C63A3">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52501C4F" w14:textId="77777777" w:rsidR="004C63A3" w:rsidRPr="00206556" w:rsidRDefault="004C63A3" w:rsidP="004C63A3">
      <w:pPr>
        <w:pStyle w:val="Textonotapie"/>
        <w:ind w:firstLine="708"/>
        <w:jc w:val="both"/>
        <w:rPr>
          <w:rFonts w:ascii="Verdana" w:hAnsi="Verdana"/>
          <w:sz w:val="16"/>
          <w:szCs w:val="16"/>
          <w:lang w:val="es-ES"/>
        </w:rPr>
      </w:pPr>
    </w:p>
  </w:footnote>
  <w:footnote w:id="3">
    <w:p w14:paraId="665ADB56" w14:textId="77777777" w:rsidR="004C63A3" w:rsidRPr="00206556" w:rsidRDefault="004C63A3" w:rsidP="004C63A3">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69D6DE0" w14:textId="77777777" w:rsidR="004C63A3" w:rsidRPr="00206556" w:rsidRDefault="004C63A3" w:rsidP="004C63A3">
      <w:pPr>
        <w:spacing w:after="80" w:line="240" w:lineRule="auto"/>
        <w:ind w:firstLine="708"/>
        <w:jc w:val="both"/>
        <w:rPr>
          <w:rFonts w:ascii="Verdana" w:hAnsi="Verdana"/>
          <w:sz w:val="16"/>
          <w:szCs w:val="16"/>
        </w:rPr>
      </w:pPr>
    </w:p>
  </w:footnote>
  <w:footnote w:id="4">
    <w:p w14:paraId="208CF8FA" w14:textId="77777777" w:rsidR="004C63A3" w:rsidRPr="00206556" w:rsidRDefault="004C63A3" w:rsidP="004C63A3">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5B38570D" w14:textId="77777777" w:rsidR="004C63A3" w:rsidRPr="00206556" w:rsidRDefault="004C63A3" w:rsidP="004C63A3">
      <w:pPr>
        <w:pStyle w:val="Textonotapie"/>
        <w:ind w:firstLine="708"/>
        <w:jc w:val="both"/>
        <w:rPr>
          <w:rFonts w:ascii="Verdana" w:hAnsi="Verdana"/>
          <w:sz w:val="16"/>
          <w:szCs w:val="16"/>
          <w:lang w:val="es-ES"/>
        </w:rPr>
      </w:pPr>
    </w:p>
  </w:footnote>
  <w:footnote w:id="5">
    <w:p w14:paraId="1B706B76" w14:textId="77777777" w:rsidR="004C63A3" w:rsidRPr="00206556" w:rsidRDefault="004C63A3" w:rsidP="004C63A3">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42D74A42" w14:textId="77777777" w:rsidR="004C63A3" w:rsidRPr="00206556" w:rsidRDefault="004C63A3" w:rsidP="004C63A3">
      <w:pPr>
        <w:pStyle w:val="Textonotapie"/>
        <w:ind w:firstLine="708"/>
        <w:jc w:val="both"/>
        <w:rPr>
          <w:rFonts w:ascii="Verdana" w:hAnsi="Verdana"/>
          <w:sz w:val="16"/>
          <w:szCs w:val="16"/>
          <w:lang w:val="es-ES"/>
        </w:rPr>
      </w:pPr>
    </w:p>
  </w:footnote>
  <w:footnote w:id="6">
    <w:p w14:paraId="5848AF40"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77780BF4" w14:textId="77777777" w:rsidR="004C63A3" w:rsidRPr="00206556" w:rsidRDefault="004C63A3" w:rsidP="004C63A3">
      <w:pPr>
        <w:pStyle w:val="Textonotapie"/>
        <w:ind w:firstLine="708"/>
        <w:rPr>
          <w:rFonts w:ascii="Verdana" w:hAnsi="Verdana"/>
          <w:sz w:val="16"/>
          <w:szCs w:val="16"/>
          <w:lang w:val="es-ES"/>
        </w:rPr>
      </w:pPr>
    </w:p>
  </w:footnote>
  <w:footnote w:id="7">
    <w:p w14:paraId="536F8A72"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91F2C86" w14:textId="77777777" w:rsidR="004C63A3" w:rsidRPr="00206556" w:rsidRDefault="004C63A3" w:rsidP="004C63A3">
      <w:pPr>
        <w:pStyle w:val="Textonotapie"/>
        <w:ind w:firstLine="708"/>
        <w:rPr>
          <w:rFonts w:ascii="Verdana" w:hAnsi="Verdana"/>
          <w:sz w:val="16"/>
          <w:szCs w:val="16"/>
          <w:lang w:val="es-ES"/>
        </w:rPr>
      </w:pPr>
    </w:p>
  </w:footnote>
  <w:footnote w:id="8">
    <w:p w14:paraId="3BFC0D36" w14:textId="77777777" w:rsidR="004C63A3" w:rsidRPr="00206556" w:rsidRDefault="004C63A3" w:rsidP="004C63A3">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0.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54F"/>
    <w:rsid w:val="000042B7"/>
    <w:rsid w:val="0001101B"/>
    <w:rsid w:val="00016F78"/>
    <w:rsid w:val="00035302"/>
    <w:rsid w:val="00046945"/>
    <w:rsid w:val="00056E19"/>
    <w:rsid w:val="00061B2A"/>
    <w:rsid w:val="000632F6"/>
    <w:rsid w:val="00065997"/>
    <w:rsid w:val="00077905"/>
    <w:rsid w:val="00082362"/>
    <w:rsid w:val="00090870"/>
    <w:rsid w:val="000918AD"/>
    <w:rsid w:val="00093AA8"/>
    <w:rsid w:val="000A683E"/>
    <w:rsid w:val="000B19B9"/>
    <w:rsid w:val="000C0BF1"/>
    <w:rsid w:val="000D0334"/>
    <w:rsid w:val="000D566D"/>
    <w:rsid w:val="000D5DA7"/>
    <w:rsid w:val="000D6851"/>
    <w:rsid w:val="000D7A78"/>
    <w:rsid w:val="000E3E5A"/>
    <w:rsid w:val="000F22CC"/>
    <w:rsid w:val="000F6486"/>
    <w:rsid w:val="00116940"/>
    <w:rsid w:val="00121FA5"/>
    <w:rsid w:val="00125105"/>
    <w:rsid w:val="00127233"/>
    <w:rsid w:val="0013150D"/>
    <w:rsid w:val="00140425"/>
    <w:rsid w:val="001445D7"/>
    <w:rsid w:val="0015037E"/>
    <w:rsid w:val="0015699B"/>
    <w:rsid w:val="00162B86"/>
    <w:rsid w:val="001A002B"/>
    <w:rsid w:val="001A33BF"/>
    <w:rsid w:val="001E4177"/>
    <w:rsid w:val="001E7DB6"/>
    <w:rsid w:val="001E7F1A"/>
    <w:rsid w:val="001F0B24"/>
    <w:rsid w:val="001F22AB"/>
    <w:rsid w:val="001F7DC6"/>
    <w:rsid w:val="00221F73"/>
    <w:rsid w:val="0022400B"/>
    <w:rsid w:val="002421BB"/>
    <w:rsid w:val="0025796E"/>
    <w:rsid w:val="002707A2"/>
    <w:rsid w:val="00272199"/>
    <w:rsid w:val="0028441C"/>
    <w:rsid w:val="002951A0"/>
    <w:rsid w:val="002962BC"/>
    <w:rsid w:val="002A093D"/>
    <w:rsid w:val="002A0DD0"/>
    <w:rsid w:val="002A49AC"/>
    <w:rsid w:val="002A64FD"/>
    <w:rsid w:val="002B118B"/>
    <w:rsid w:val="002B5A42"/>
    <w:rsid w:val="002B5D3A"/>
    <w:rsid w:val="002C7A84"/>
    <w:rsid w:val="002D34FB"/>
    <w:rsid w:val="002E208D"/>
    <w:rsid w:val="002E2BF8"/>
    <w:rsid w:val="002E4FD9"/>
    <w:rsid w:val="0030657A"/>
    <w:rsid w:val="00312A08"/>
    <w:rsid w:val="00322A85"/>
    <w:rsid w:val="00324168"/>
    <w:rsid w:val="00325DB4"/>
    <w:rsid w:val="00330834"/>
    <w:rsid w:val="00330DC0"/>
    <w:rsid w:val="00343662"/>
    <w:rsid w:val="003448F4"/>
    <w:rsid w:val="003514DA"/>
    <w:rsid w:val="00353D6F"/>
    <w:rsid w:val="00355933"/>
    <w:rsid w:val="00374F5E"/>
    <w:rsid w:val="00377E3E"/>
    <w:rsid w:val="00384A8F"/>
    <w:rsid w:val="00394428"/>
    <w:rsid w:val="003A3FC7"/>
    <w:rsid w:val="003A49F6"/>
    <w:rsid w:val="003A4AA0"/>
    <w:rsid w:val="003A5ED0"/>
    <w:rsid w:val="003A6820"/>
    <w:rsid w:val="003A779E"/>
    <w:rsid w:val="003D0F4D"/>
    <w:rsid w:val="003D12E9"/>
    <w:rsid w:val="003D5B0D"/>
    <w:rsid w:val="003E0499"/>
    <w:rsid w:val="003E4224"/>
    <w:rsid w:val="003E4F80"/>
    <w:rsid w:val="003E6439"/>
    <w:rsid w:val="003F3941"/>
    <w:rsid w:val="003F67F8"/>
    <w:rsid w:val="0040408D"/>
    <w:rsid w:val="00406575"/>
    <w:rsid w:val="00414C74"/>
    <w:rsid w:val="00415D53"/>
    <w:rsid w:val="0042186B"/>
    <w:rsid w:val="004250D7"/>
    <w:rsid w:val="0042722E"/>
    <w:rsid w:val="00442687"/>
    <w:rsid w:val="0044528D"/>
    <w:rsid w:val="00466E39"/>
    <w:rsid w:val="004813E1"/>
    <w:rsid w:val="004933DA"/>
    <w:rsid w:val="00496DFE"/>
    <w:rsid w:val="004A1847"/>
    <w:rsid w:val="004A305D"/>
    <w:rsid w:val="004A4215"/>
    <w:rsid w:val="004B0785"/>
    <w:rsid w:val="004B7084"/>
    <w:rsid w:val="004B72AB"/>
    <w:rsid w:val="004C63A3"/>
    <w:rsid w:val="004D0174"/>
    <w:rsid w:val="004D3F6D"/>
    <w:rsid w:val="004D73B1"/>
    <w:rsid w:val="004F056A"/>
    <w:rsid w:val="004F21C4"/>
    <w:rsid w:val="004F50AB"/>
    <w:rsid w:val="004F52EC"/>
    <w:rsid w:val="004F685F"/>
    <w:rsid w:val="004F7B00"/>
    <w:rsid w:val="005032DA"/>
    <w:rsid w:val="00505EB3"/>
    <w:rsid w:val="00522D9E"/>
    <w:rsid w:val="00522E94"/>
    <w:rsid w:val="005321F3"/>
    <w:rsid w:val="00532662"/>
    <w:rsid w:val="00542856"/>
    <w:rsid w:val="00543658"/>
    <w:rsid w:val="005458C3"/>
    <w:rsid w:val="00551A3D"/>
    <w:rsid w:val="00553936"/>
    <w:rsid w:val="00555454"/>
    <w:rsid w:val="005566E8"/>
    <w:rsid w:val="005640D7"/>
    <w:rsid w:val="00574867"/>
    <w:rsid w:val="00585D2C"/>
    <w:rsid w:val="00590106"/>
    <w:rsid w:val="00591460"/>
    <w:rsid w:val="005A0A1D"/>
    <w:rsid w:val="005A65E0"/>
    <w:rsid w:val="005A72BA"/>
    <w:rsid w:val="005C3777"/>
    <w:rsid w:val="005C5CDC"/>
    <w:rsid w:val="005D3DA5"/>
    <w:rsid w:val="005D476C"/>
    <w:rsid w:val="005E126F"/>
    <w:rsid w:val="005E3211"/>
    <w:rsid w:val="005E4217"/>
    <w:rsid w:val="006125FC"/>
    <w:rsid w:val="006200BF"/>
    <w:rsid w:val="006219F8"/>
    <w:rsid w:val="006302F7"/>
    <w:rsid w:val="00637A69"/>
    <w:rsid w:val="00643B1D"/>
    <w:rsid w:val="00646B9F"/>
    <w:rsid w:val="00651584"/>
    <w:rsid w:val="00665D70"/>
    <w:rsid w:val="00673FDE"/>
    <w:rsid w:val="006900D9"/>
    <w:rsid w:val="0069615C"/>
    <w:rsid w:val="00696F75"/>
    <w:rsid w:val="00697C55"/>
    <w:rsid w:val="006A2ABF"/>
    <w:rsid w:val="006A3522"/>
    <w:rsid w:val="006C4CCF"/>
    <w:rsid w:val="006D090E"/>
    <w:rsid w:val="00701BF5"/>
    <w:rsid w:val="00701C3C"/>
    <w:rsid w:val="00706C16"/>
    <w:rsid w:val="007327C3"/>
    <w:rsid w:val="007340C3"/>
    <w:rsid w:val="00742180"/>
    <w:rsid w:val="007449A0"/>
    <w:rsid w:val="00751F42"/>
    <w:rsid w:val="0075235A"/>
    <w:rsid w:val="00756841"/>
    <w:rsid w:val="007649AB"/>
    <w:rsid w:val="007661E2"/>
    <w:rsid w:val="00771D0C"/>
    <w:rsid w:val="00775D32"/>
    <w:rsid w:val="007833AC"/>
    <w:rsid w:val="007937F6"/>
    <w:rsid w:val="00797896"/>
    <w:rsid w:val="007A0135"/>
    <w:rsid w:val="007B268C"/>
    <w:rsid w:val="007B7171"/>
    <w:rsid w:val="007C0C0F"/>
    <w:rsid w:val="007C3DC2"/>
    <w:rsid w:val="007C40AC"/>
    <w:rsid w:val="007E5497"/>
    <w:rsid w:val="007F1D1A"/>
    <w:rsid w:val="007F5048"/>
    <w:rsid w:val="007F53CB"/>
    <w:rsid w:val="008020FA"/>
    <w:rsid w:val="00806F5F"/>
    <w:rsid w:val="00811DAF"/>
    <w:rsid w:val="00820278"/>
    <w:rsid w:val="00821910"/>
    <w:rsid w:val="00821DB9"/>
    <w:rsid w:val="00821FED"/>
    <w:rsid w:val="008258C9"/>
    <w:rsid w:val="00840FE2"/>
    <w:rsid w:val="00842801"/>
    <w:rsid w:val="00844AE9"/>
    <w:rsid w:val="00851BE0"/>
    <w:rsid w:val="00867F95"/>
    <w:rsid w:val="008714D6"/>
    <w:rsid w:val="008843B6"/>
    <w:rsid w:val="00891928"/>
    <w:rsid w:val="008A446D"/>
    <w:rsid w:val="008B1FF1"/>
    <w:rsid w:val="008B25F1"/>
    <w:rsid w:val="008B41F3"/>
    <w:rsid w:val="008D180B"/>
    <w:rsid w:val="008D4076"/>
    <w:rsid w:val="008E4FD7"/>
    <w:rsid w:val="008F0EA7"/>
    <w:rsid w:val="00901C09"/>
    <w:rsid w:val="00923EEF"/>
    <w:rsid w:val="009419F9"/>
    <w:rsid w:val="00955679"/>
    <w:rsid w:val="0095685E"/>
    <w:rsid w:val="00961B09"/>
    <w:rsid w:val="009635C0"/>
    <w:rsid w:val="00965334"/>
    <w:rsid w:val="0097093E"/>
    <w:rsid w:val="009A0DFA"/>
    <w:rsid w:val="009A1AAD"/>
    <w:rsid w:val="009A1C6F"/>
    <w:rsid w:val="009A56AC"/>
    <w:rsid w:val="009B2D26"/>
    <w:rsid w:val="009B5C83"/>
    <w:rsid w:val="009B66E5"/>
    <w:rsid w:val="009C71FA"/>
    <w:rsid w:val="009C72E7"/>
    <w:rsid w:val="009C7F7E"/>
    <w:rsid w:val="009D3058"/>
    <w:rsid w:val="009E00D1"/>
    <w:rsid w:val="009F3A13"/>
    <w:rsid w:val="00A122D3"/>
    <w:rsid w:val="00A13D80"/>
    <w:rsid w:val="00A14468"/>
    <w:rsid w:val="00A16D82"/>
    <w:rsid w:val="00A17F13"/>
    <w:rsid w:val="00A20739"/>
    <w:rsid w:val="00A23AF9"/>
    <w:rsid w:val="00A33BFF"/>
    <w:rsid w:val="00A33C78"/>
    <w:rsid w:val="00A41525"/>
    <w:rsid w:val="00A47F55"/>
    <w:rsid w:val="00A67F0C"/>
    <w:rsid w:val="00A804C5"/>
    <w:rsid w:val="00A9204B"/>
    <w:rsid w:val="00A9551C"/>
    <w:rsid w:val="00AB0ADB"/>
    <w:rsid w:val="00AB7BF7"/>
    <w:rsid w:val="00AC6F99"/>
    <w:rsid w:val="00AD3850"/>
    <w:rsid w:val="00AD5671"/>
    <w:rsid w:val="00AD5923"/>
    <w:rsid w:val="00AD6E7A"/>
    <w:rsid w:val="00AD700F"/>
    <w:rsid w:val="00AE5B64"/>
    <w:rsid w:val="00AE7741"/>
    <w:rsid w:val="00AF7009"/>
    <w:rsid w:val="00B00C0E"/>
    <w:rsid w:val="00B01B1A"/>
    <w:rsid w:val="00B0381D"/>
    <w:rsid w:val="00B10088"/>
    <w:rsid w:val="00B36E66"/>
    <w:rsid w:val="00B418FD"/>
    <w:rsid w:val="00B44A47"/>
    <w:rsid w:val="00B54ACA"/>
    <w:rsid w:val="00B57FB8"/>
    <w:rsid w:val="00B70A56"/>
    <w:rsid w:val="00B72CD3"/>
    <w:rsid w:val="00B72FFF"/>
    <w:rsid w:val="00B746E9"/>
    <w:rsid w:val="00B74F0F"/>
    <w:rsid w:val="00B764A4"/>
    <w:rsid w:val="00B86811"/>
    <w:rsid w:val="00BA1B9E"/>
    <w:rsid w:val="00BB1DC5"/>
    <w:rsid w:val="00BB67D1"/>
    <w:rsid w:val="00BB7DFD"/>
    <w:rsid w:val="00BC3D36"/>
    <w:rsid w:val="00BD33DE"/>
    <w:rsid w:val="00BD54A6"/>
    <w:rsid w:val="00BD7F72"/>
    <w:rsid w:val="00BE77BD"/>
    <w:rsid w:val="00BF3A22"/>
    <w:rsid w:val="00BF7425"/>
    <w:rsid w:val="00C04FB3"/>
    <w:rsid w:val="00C05733"/>
    <w:rsid w:val="00C11D8B"/>
    <w:rsid w:val="00C137DA"/>
    <w:rsid w:val="00C15139"/>
    <w:rsid w:val="00C167E7"/>
    <w:rsid w:val="00C267E7"/>
    <w:rsid w:val="00C3209F"/>
    <w:rsid w:val="00C330EB"/>
    <w:rsid w:val="00C378CB"/>
    <w:rsid w:val="00C4675B"/>
    <w:rsid w:val="00C50D69"/>
    <w:rsid w:val="00C5365C"/>
    <w:rsid w:val="00C64A64"/>
    <w:rsid w:val="00C7259A"/>
    <w:rsid w:val="00C754BE"/>
    <w:rsid w:val="00C76B1C"/>
    <w:rsid w:val="00C826E3"/>
    <w:rsid w:val="00C85047"/>
    <w:rsid w:val="00C925AC"/>
    <w:rsid w:val="00C966E0"/>
    <w:rsid w:val="00CA1CD2"/>
    <w:rsid w:val="00CB08B2"/>
    <w:rsid w:val="00CB0DB3"/>
    <w:rsid w:val="00CB4658"/>
    <w:rsid w:val="00CB6357"/>
    <w:rsid w:val="00CC1B26"/>
    <w:rsid w:val="00CC26C0"/>
    <w:rsid w:val="00CC297F"/>
    <w:rsid w:val="00CD3B80"/>
    <w:rsid w:val="00CD661D"/>
    <w:rsid w:val="00CE57BF"/>
    <w:rsid w:val="00D127BF"/>
    <w:rsid w:val="00D337F8"/>
    <w:rsid w:val="00D361FD"/>
    <w:rsid w:val="00D423A2"/>
    <w:rsid w:val="00D44E26"/>
    <w:rsid w:val="00D45069"/>
    <w:rsid w:val="00D4753E"/>
    <w:rsid w:val="00D520D8"/>
    <w:rsid w:val="00D63AC2"/>
    <w:rsid w:val="00D7383B"/>
    <w:rsid w:val="00D7788A"/>
    <w:rsid w:val="00D83BD2"/>
    <w:rsid w:val="00D84901"/>
    <w:rsid w:val="00DA231B"/>
    <w:rsid w:val="00DA5B3B"/>
    <w:rsid w:val="00DB1A42"/>
    <w:rsid w:val="00DC0222"/>
    <w:rsid w:val="00DC39FC"/>
    <w:rsid w:val="00DC7E78"/>
    <w:rsid w:val="00DD728B"/>
    <w:rsid w:val="00DF5254"/>
    <w:rsid w:val="00DF709C"/>
    <w:rsid w:val="00E02524"/>
    <w:rsid w:val="00E16408"/>
    <w:rsid w:val="00E16E74"/>
    <w:rsid w:val="00E20894"/>
    <w:rsid w:val="00E22EFB"/>
    <w:rsid w:val="00E245AB"/>
    <w:rsid w:val="00E26377"/>
    <w:rsid w:val="00E2764C"/>
    <w:rsid w:val="00E27F2E"/>
    <w:rsid w:val="00E34816"/>
    <w:rsid w:val="00E45FF1"/>
    <w:rsid w:val="00E47DFF"/>
    <w:rsid w:val="00E50AFE"/>
    <w:rsid w:val="00E75C92"/>
    <w:rsid w:val="00E771DC"/>
    <w:rsid w:val="00E774E5"/>
    <w:rsid w:val="00E82856"/>
    <w:rsid w:val="00E8772A"/>
    <w:rsid w:val="00E90F6B"/>
    <w:rsid w:val="00E92002"/>
    <w:rsid w:val="00E92C27"/>
    <w:rsid w:val="00E97A59"/>
    <w:rsid w:val="00EA0E3D"/>
    <w:rsid w:val="00EA596B"/>
    <w:rsid w:val="00EC08F2"/>
    <w:rsid w:val="00EC38A7"/>
    <w:rsid w:val="00ED2786"/>
    <w:rsid w:val="00ED75E7"/>
    <w:rsid w:val="00ED7B6B"/>
    <w:rsid w:val="00EE1AA8"/>
    <w:rsid w:val="00EF1EC3"/>
    <w:rsid w:val="00EF7B51"/>
    <w:rsid w:val="00F13A0A"/>
    <w:rsid w:val="00F1669F"/>
    <w:rsid w:val="00F16F59"/>
    <w:rsid w:val="00F23FEA"/>
    <w:rsid w:val="00F251A8"/>
    <w:rsid w:val="00F26334"/>
    <w:rsid w:val="00F31EDC"/>
    <w:rsid w:val="00F45E32"/>
    <w:rsid w:val="00F462B3"/>
    <w:rsid w:val="00F4669A"/>
    <w:rsid w:val="00F5664F"/>
    <w:rsid w:val="00F666C4"/>
    <w:rsid w:val="00F67064"/>
    <w:rsid w:val="00F76AFC"/>
    <w:rsid w:val="00F80676"/>
    <w:rsid w:val="00FA3D48"/>
    <w:rsid w:val="00FA47C0"/>
    <w:rsid w:val="00FB5DD1"/>
    <w:rsid w:val="00FC2B5D"/>
    <w:rsid w:val="00FC349E"/>
    <w:rsid w:val="00FC6937"/>
    <w:rsid w:val="00FE5955"/>
    <w:rsid w:val="00FF1449"/>
    <w:rsid w:val="00FF213B"/>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1EE397B"/>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C63A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youtube.com/live/vpxD3PlXqPI?si=49f8ghb7Iiit6Ja9"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infografia/abc-del-decreto-0287-de-2026-contratacion-publica-inclusiva-para-personas-con-discapacidad"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uillermo.rivera02@gmail.com"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ED9EE81-A611-4573-A3DF-69157DA4EFD8}"/>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31</TotalTime>
  <Pages>23</Pages>
  <Words>7854</Words>
  <Characters>43200</Characters>
  <Application>Microsoft Office Word</Application>
  <DocSecurity>0</DocSecurity>
  <Lines>360</Lines>
  <Paragraphs>101</Paragraphs>
  <ScaleCrop>false</ScaleCrop>
  <Company/>
  <LinksUpToDate>false</LinksUpToDate>
  <CharactersWithSpaces>50953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45</cp:revision>
  <cp:lastPrinted>2023-01-10T21:18:00Z</cp:lastPrinted>
  <dcterms:created xsi:type="dcterms:W3CDTF">2026-05-21T23:22:00Z</dcterms:created>
  <dcterms:modified xsi:type="dcterms:W3CDTF">2026-06-03T21:15:00Z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