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862A6" w14:textId="5990B628" w:rsidR="004878C6" w:rsidRPr="00CA09D8" w:rsidRDefault="00C15139" w:rsidP="00CA09D8">
      <w:pPr>
        <w:spacing w:after="0"/>
        <w:rPr>
          <w:rFonts w:ascii="Verdana" w:eastAsia="Verdana" w:hAnsi="Verdana" w:cs="Verdana"/>
        </w:rPr>
      </w:pPr>
      <w:bookmarkStart w:id="0" w:name="_Hlk143780582"/>
      <w:r>
        <w:br/>
      </w:r>
      <w:r>
        <w:tab/>
      </w:r>
    </w:p>
    <w:p w14:paraId="052CEFDF" w14:textId="51A7283B" w:rsidR="00CA09D8" w:rsidRPr="00CA09D8" w:rsidRDefault="00CA09D8" w:rsidP="00CA09D8">
      <w:pPr>
        <w:spacing w:after="0" w:line="240" w:lineRule="auto"/>
        <w:jc w:val="both"/>
        <w:rPr>
          <w:rFonts w:ascii="Verdana" w:eastAsia="Calibri" w:hAnsi="Verdana" w:cs="Arial"/>
          <w:b/>
          <w:bCs/>
          <w:lang w:val="es-ES_tradnl" w:eastAsia="es-ES"/>
        </w:rPr>
      </w:pPr>
      <w:r w:rsidRPr="00CA09D8">
        <w:rPr>
          <w:rFonts w:ascii="Verdana" w:eastAsia="Calibri" w:hAnsi="Verdana" w:cs="Arial"/>
          <w:b/>
          <w:bCs/>
          <w:lang w:val="es-ES_tradnl" w:eastAsia="es-ES"/>
        </w:rPr>
        <w:t xml:space="preserve">CONVENIOS INTERADMINISTRATIVOS – Esquemas </w:t>
      </w:r>
      <w:r w:rsidR="00A43EF4">
        <w:rPr>
          <w:rFonts w:ascii="Verdana" w:eastAsia="Calibri" w:hAnsi="Verdana" w:cs="Arial"/>
          <w:b/>
          <w:bCs/>
          <w:lang w:val="es-ES_tradnl" w:eastAsia="es-ES"/>
        </w:rPr>
        <w:t>A</w:t>
      </w:r>
      <w:r w:rsidRPr="00CA09D8">
        <w:rPr>
          <w:rFonts w:ascii="Verdana" w:eastAsia="Calibri" w:hAnsi="Verdana" w:cs="Arial"/>
          <w:b/>
          <w:bCs/>
          <w:lang w:val="es-ES_tradnl" w:eastAsia="es-ES"/>
        </w:rPr>
        <w:t>sociativos territoriales – Limitaciones</w:t>
      </w:r>
    </w:p>
    <w:p w14:paraId="27FB026C" w14:textId="77777777" w:rsidR="00CA09D8" w:rsidRPr="00CA09D8" w:rsidRDefault="00CA09D8" w:rsidP="00CA09D8">
      <w:pPr>
        <w:spacing w:after="0" w:line="240" w:lineRule="auto"/>
        <w:jc w:val="both"/>
        <w:rPr>
          <w:rFonts w:ascii="Verdana" w:eastAsia="Calibri" w:hAnsi="Verdana" w:cs="Arial"/>
          <w:sz w:val="20"/>
          <w:szCs w:val="20"/>
          <w:lang w:val="es-ES_tradnl" w:eastAsia="es-ES"/>
        </w:rPr>
      </w:pPr>
    </w:p>
    <w:p w14:paraId="6398BCDA" w14:textId="77777777" w:rsidR="00CA09D8" w:rsidRPr="00CA09D8" w:rsidRDefault="00CA09D8" w:rsidP="00CA09D8">
      <w:pPr>
        <w:spacing w:after="0" w:line="240" w:lineRule="auto"/>
        <w:jc w:val="both"/>
        <w:rPr>
          <w:rFonts w:ascii="Verdana" w:eastAsia="Calibri" w:hAnsi="Verdana" w:cs="Arial"/>
          <w:sz w:val="20"/>
          <w:szCs w:val="20"/>
          <w:lang w:val="es-ES_tradnl" w:eastAsia="es-ES"/>
        </w:rPr>
      </w:pPr>
      <w:r w:rsidRPr="00CA09D8">
        <w:rPr>
          <w:rFonts w:ascii="Verdana" w:eastAsia="Calibri" w:hAnsi="Verdana" w:cs="Arial"/>
          <w:sz w:val="20"/>
          <w:szCs w:val="20"/>
          <w:lang w:val="es-ES_tradnl" w:eastAsia="es-ES"/>
        </w:rPr>
        <w:t>Con fundamento en el parágrafo del artículo 17 de la Ley 1454 de 2011, es posible que los esquemas asociativos de entidades territoriales señalados en la disposición celebren convenios interadministrativos con otras entidades estatales del artículo 2 de la Ley 80 de 1993, bajo estricta observancia de los requisitos establecidos en el artículo 95 de la Ley 489 de 1998. En todo caso, deben acatarse las prohibiciones establecidas en el artículo 10 de la Ley 1150 de 2007 y en el artículo 92 de la Ley 1474 de 2011, los cuales limitan la modalidad de contratación directa. En caso de que la modalidad sea competitiva, los documentos tipo serán aplicables para las entidades sometidas al EGCAP en función del sector, la tipología contractual y la modalidad de selección, siempre que las actividades se encuentren en las matrices de experiencia.</w:t>
      </w:r>
    </w:p>
    <w:p w14:paraId="7591EC4E" w14:textId="77777777" w:rsidR="00CA09D8" w:rsidRPr="00CA09D8" w:rsidRDefault="00CA09D8" w:rsidP="00CA09D8">
      <w:pPr>
        <w:spacing w:after="0" w:line="240" w:lineRule="auto"/>
        <w:jc w:val="both"/>
        <w:rPr>
          <w:rFonts w:ascii="Verdana" w:eastAsia="Calibri" w:hAnsi="Verdana" w:cs="Arial"/>
          <w:sz w:val="20"/>
          <w:szCs w:val="20"/>
          <w:lang w:val="es-ES_tradnl" w:eastAsia="es-ES"/>
        </w:rPr>
      </w:pPr>
    </w:p>
    <w:p w14:paraId="7A2368DD" w14:textId="77777777" w:rsidR="00CA09D8" w:rsidRPr="00CA09D8" w:rsidRDefault="00CA09D8" w:rsidP="00CA09D8">
      <w:pPr>
        <w:spacing w:after="0" w:line="240" w:lineRule="auto"/>
        <w:jc w:val="both"/>
        <w:rPr>
          <w:rFonts w:ascii="Verdana" w:eastAsia="Calibri" w:hAnsi="Verdana" w:cs="Arial"/>
          <w:sz w:val="20"/>
          <w:szCs w:val="20"/>
          <w:lang w:val="es-ES_tradnl" w:eastAsia="es-ES"/>
        </w:rPr>
      </w:pPr>
      <w:r w:rsidRPr="00CA09D8">
        <w:rPr>
          <w:rFonts w:ascii="Verdana" w:eastAsia="Calibri" w:hAnsi="Verdana" w:cs="Arial"/>
          <w:sz w:val="20"/>
          <w:szCs w:val="20"/>
          <w:lang w:val="es-ES_tradnl" w:eastAsia="es-ES"/>
        </w:rPr>
        <w:t>Asimismo, como entidades sometidas al Estatuto General de Contratación conforme al artículo 10 de la Ley 1150 de 2007, los esquemas asociativos de entidades territoriales también son destinatarios directos del parágrafo del artículo 2 de la Ley 1150 de 2007, modificado por el artículo 1 de la Ley 2022 de 2020. Luego sin perjuicio de lo establecido en el artículo 56 de la Ley 2195 de 2022, deben ejecutar los contratos de obra conforme a los documentos tipo expedidos por la Agencia, siempre que las actividades estén comprendidas en las matrices de experiencia correspondientes.</w:t>
      </w:r>
    </w:p>
    <w:p w14:paraId="3B7AE24B" w14:textId="77777777" w:rsidR="00CA09D8" w:rsidRPr="00CA09D8" w:rsidRDefault="00CA09D8" w:rsidP="00CA09D8">
      <w:pPr>
        <w:spacing w:after="0" w:line="240" w:lineRule="auto"/>
        <w:jc w:val="both"/>
        <w:rPr>
          <w:rFonts w:ascii="Verdana" w:eastAsia="Calibri" w:hAnsi="Verdana" w:cs="Arial"/>
          <w:sz w:val="20"/>
          <w:szCs w:val="20"/>
          <w:lang w:val="es-ES_tradnl" w:eastAsia="es-ES"/>
        </w:rPr>
      </w:pPr>
    </w:p>
    <w:p w14:paraId="74482265" w14:textId="77777777" w:rsidR="00CA09D8" w:rsidRPr="00CA09D8" w:rsidRDefault="00CA09D8" w:rsidP="00CA09D8">
      <w:pPr>
        <w:spacing w:after="0" w:line="240" w:lineRule="auto"/>
        <w:jc w:val="both"/>
        <w:rPr>
          <w:rFonts w:ascii="Verdana" w:hAnsi="Verdana" w:cs="Arial"/>
          <w:b/>
          <w:lang w:val="es-ES"/>
        </w:rPr>
      </w:pPr>
      <w:r w:rsidRPr="00CA09D8">
        <w:rPr>
          <w:rFonts w:ascii="Verdana" w:hAnsi="Verdana" w:cs="Arial"/>
          <w:b/>
          <w:lang w:val="es-ES"/>
        </w:rPr>
        <w:t>LEY DE GARANTÍAS – Restricciones – Convenios interadministrativos – Ejecución de recursos públicos – Alcance</w:t>
      </w:r>
    </w:p>
    <w:p w14:paraId="0E5C8404" w14:textId="77777777" w:rsidR="00CA09D8" w:rsidRPr="00CA09D8" w:rsidRDefault="00CA09D8" w:rsidP="00CA09D8">
      <w:pPr>
        <w:spacing w:after="0" w:line="240" w:lineRule="auto"/>
        <w:jc w:val="both"/>
        <w:rPr>
          <w:rFonts w:ascii="Verdana" w:hAnsi="Verdana" w:cs="Arial"/>
          <w:b/>
          <w:sz w:val="20"/>
          <w:szCs w:val="20"/>
          <w:lang w:val="es-ES"/>
        </w:rPr>
      </w:pPr>
    </w:p>
    <w:p w14:paraId="0E4142BB" w14:textId="77777777" w:rsidR="00CA09D8" w:rsidRPr="00CA09D8" w:rsidRDefault="00CA09D8" w:rsidP="00CA09D8">
      <w:pPr>
        <w:spacing w:after="0" w:line="240" w:lineRule="auto"/>
        <w:jc w:val="both"/>
        <w:textAlignment w:val="baseline"/>
        <w:rPr>
          <w:rFonts w:ascii="Verdana" w:hAnsi="Verdana" w:cs="Arial"/>
          <w:bCs/>
          <w:sz w:val="20"/>
          <w:szCs w:val="20"/>
          <w:lang w:val="es-MX" w:eastAsia="es-CO"/>
        </w:rPr>
      </w:pPr>
      <w:r w:rsidRPr="00CA09D8">
        <w:rPr>
          <w:rFonts w:ascii="Verdana" w:hAnsi="Verdana" w:cs="Arial"/>
          <w:bCs/>
          <w:sz w:val="20"/>
          <w:szCs w:val="20"/>
          <w:lang w:val="es-MX" w:eastAsia="es-CO"/>
        </w:rPr>
        <w:t xml:space="preserve">El parágrafo del artículo 38 de la Ley 996 de 2005 prohíbe a los </w:t>
      </w:r>
      <w:proofErr w:type="gramStart"/>
      <w:r w:rsidRPr="00CA09D8">
        <w:rPr>
          <w:rFonts w:ascii="Verdana" w:hAnsi="Verdana" w:cs="Arial"/>
          <w:bCs/>
          <w:sz w:val="20"/>
          <w:szCs w:val="20"/>
          <w:lang w:val="es-MX" w:eastAsia="es-CO"/>
        </w:rPr>
        <w:t>Alcaldes</w:t>
      </w:r>
      <w:proofErr w:type="gramEnd"/>
      <w:r w:rsidRPr="00CA09D8">
        <w:rPr>
          <w:rFonts w:ascii="Verdana" w:hAnsi="Verdana" w:cs="Arial"/>
          <w:bCs/>
          <w:sz w:val="20"/>
          <w:szCs w:val="20"/>
          <w:lang w:val="es-MX" w:eastAsia="es-CO"/>
        </w:rPr>
        <w:t xml:space="preserve">, Gobernadores, </w:t>
      </w:r>
      <w:proofErr w:type="gramStart"/>
      <w:r w:rsidRPr="00CA09D8">
        <w:rPr>
          <w:rFonts w:ascii="Verdana" w:hAnsi="Verdana" w:cs="Arial"/>
          <w:bCs/>
          <w:sz w:val="20"/>
          <w:szCs w:val="20"/>
          <w:lang w:val="es-MX" w:eastAsia="es-CO"/>
        </w:rPr>
        <w:t>Secretarios</w:t>
      </w:r>
      <w:proofErr w:type="gramEnd"/>
      <w:r w:rsidRPr="00CA09D8">
        <w:rPr>
          <w:rFonts w:ascii="Verdana" w:hAnsi="Verdana" w:cs="Arial"/>
          <w:bCs/>
          <w:sz w:val="20"/>
          <w:szCs w:val="20"/>
          <w:lang w:val="es-MX" w:eastAsia="es-CO"/>
        </w:rPr>
        <w:t xml:space="preserve">, Gerentes y </w:t>
      </w:r>
      <w:proofErr w:type="gramStart"/>
      <w:r w:rsidRPr="00CA09D8">
        <w:rPr>
          <w:rFonts w:ascii="Verdana" w:hAnsi="Verdana" w:cs="Arial"/>
          <w:bCs/>
          <w:sz w:val="20"/>
          <w:szCs w:val="20"/>
          <w:lang w:val="es-MX" w:eastAsia="es-CO"/>
        </w:rPr>
        <w:t>Directores</w:t>
      </w:r>
      <w:proofErr w:type="gramEnd"/>
      <w:r w:rsidRPr="00CA09D8">
        <w:rPr>
          <w:rFonts w:ascii="Verdana" w:hAnsi="Verdana" w:cs="Arial"/>
          <w:bCs/>
          <w:sz w:val="20"/>
          <w:szCs w:val="20"/>
          <w:lang w:val="es-MX" w:eastAsia="es-CO"/>
        </w:rPr>
        <w:t xml:space="preserve"> de las entidades del orden municipal, departamental o distrital celebrar </w:t>
      </w:r>
      <w:r w:rsidRPr="00CA09D8">
        <w:rPr>
          <w:rFonts w:ascii="Verdana" w:hAnsi="Verdana" w:cs="Arial"/>
          <w:bCs/>
          <w:i/>
          <w:iCs/>
          <w:sz w:val="20"/>
          <w:szCs w:val="20"/>
          <w:lang w:val="es-MX" w:eastAsia="es-CO"/>
        </w:rPr>
        <w:t>convenios interadministrativos</w:t>
      </w:r>
      <w:r w:rsidRPr="00CA09D8">
        <w:rPr>
          <w:rFonts w:ascii="Verdana" w:hAnsi="Verdana" w:cs="Arial"/>
          <w:bCs/>
          <w:sz w:val="20"/>
          <w:szCs w:val="20"/>
          <w:lang w:val="es-MX" w:eastAsia="es-CO"/>
        </w:rPr>
        <w:t xml:space="preserve"> para la ejecución de recursos públicos. En este sentido, si una o ambas partes de la relación contractual es una entidad de aquellas descritas en el parágrafo </w:t>
      </w:r>
      <w:r w:rsidRPr="00CA09D8">
        <w:rPr>
          <w:rFonts w:ascii="Verdana" w:hAnsi="Verdana" w:cs="Arial"/>
          <w:bCs/>
          <w:i/>
          <w:sz w:val="20"/>
          <w:szCs w:val="20"/>
          <w:lang w:val="es-MX" w:eastAsia="es-CO"/>
        </w:rPr>
        <w:t>ibidem</w:t>
      </w:r>
      <w:r w:rsidRPr="00CA09D8">
        <w:rPr>
          <w:rFonts w:ascii="Verdana" w:hAnsi="Verdana" w:cs="Arial"/>
          <w:bCs/>
          <w:sz w:val="20"/>
          <w:szCs w:val="20"/>
          <w:lang w:val="es-MX" w:eastAsia="es-CO"/>
        </w:rPr>
        <w:t xml:space="preserve">, no podrá celebrar tales </w:t>
      </w:r>
      <w:r w:rsidRPr="00CA09D8">
        <w:rPr>
          <w:rFonts w:ascii="Verdana" w:hAnsi="Verdana" w:cs="Arial"/>
          <w:bCs/>
          <w:i/>
          <w:iCs/>
          <w:sz w:val="20"/>
          <w:szCs w:val="20"/>
          <w:lang w:val="es-MX" w:eastAsia="es-CO"/>
        </w:rPr>
        <w:t>convenios</w:t>
      </w:r>
      <w:r w:rsidRPr="00CA09D8">
        <w:rPr>
          <w:rFonts w:ascii="Verdana" w:hAnsi="Verdana" w:cs="Arial"/>
          <w:bCs/>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8A9B907" w14:textId="77777777" w:rsidR="00CA09D8" w:rsidRPr="00CA09D8" w:rsidRDefault="00CA09D8" w:rsidP="00CA09D8">
      <w:pPr>
        <w:spacing w:after="0" w:line="240" w:lineRule="auto"/>
        <w:jc w:val="both"/>
        <w:textAlignment w:val="baseline"/>
        <w:rPr>
          <w:rFonts w:ascii="Verdana" w:hAnsi="Verdana" w:cs="Arial"/>
          <w:bCs/>
          <w:sz w:val="20"/>
          <w:szCs w:val="20"/>
          <w:lang w:val="es-MX" w:eastAsia="es-CO"/>
        </w:rPr>
      </w:pPr>
    </w:p>
    <w:p w14:paraId="222C2B1E" w14:textId="77777777" w:rsidR="00CA09D8" w:rsidRPr="00CA09D8" w:rsidRDefault="00CA09D8" w:rsidP="00CA09D8">
      <w:pPr>
        <w:spacing w:after="0" w:line="240" w:lineRule="auto"/>
        <w:jc w:val="both"/>
        <w:textAlignment w:val="baseline"/>
        <w:rPr>
          <w:rFonts w:ascii="Verdana" w:hAnsi="Verdana" w:cs="Arial"/>
          <w:bCs/>
          <w:sz w:val="20"/>
          <w:szCs w:val="20"/>
          <w:lang w:eastAsia="es-CO"/>
        </w:rPr>
      </w:pPr>
      <w:r w:rsidRPr="00CA09D8">
        <w:rPr>
          <w:rFonts w:ascii="Verdana" w:hAnsi="Verdana" w:cs="Arial"/>
          <w:bCs/>
          <w:sz w:val="20"/>
          <w:szCs w:val="20"/>
          <w:lang w:val="es-MX" w:eastAsia="es-CO"/>
        </w:rPr>
        <w:t xml:space="preserve">Respecto del alcance de esta prohibición la Circular Externa No. 006 de 2025 expedida por la ANCP-CCE, en los literales </w:t>
      </w:r>
      <w:proofErr w:type="spellStart"/>
      <w:r w:rsidRPr="00CA09D8">
        <w:rPr>
          <w:rFonts w:ascii="Verdana" w:hAnsi="Verdana" w:cs="Arial"/>
          <w:bCs/>
          <w:sz w:val="20"/>
          <w:szCs w:val="20"/>
          <w:lang w:val="es-MX" w:eastAsia="es-CO"/>
        </w:rPr>
        <w:t>ii</w:t>
      </w:r>
      <w:proofErr w:type="spellEnd"/>
      <w:r w:rsidRPr="00CA09D8">
        <w:rPr>
          <w:rFonts w:ascii="Verdana" w:hAnsi="Verdana" w:cs="Arial"/>
          <w:bCs/>
          <w:sz w:val="20"/>
          <w:szCs w:val="20"/>
          <w:lang w:val="es-MX" w:eastAsia="es-CO"/>
        </w:rPr>
        <w:t xml:space="preserve">) y </w:t>
      </w:r>
      <w:proofErr w:type="spellStart"/>
      <w:r w:rsidRPr="00CA09D8">
        <w:rPr>
          <w:rFonts w:ascii="Verdana" w:hAnsi="Verdana" w:cs="Arial"/>
          <w:bCs/>
          <w:sz w:val="20"/>
          <w:szCs w:val="20"/>
          <w:lang w:val="es-MX" w:eastAsia="es-CO"/>
        </w:rPr>
        <w:t>iv</w:t>
      </w:r>
      <w:proofErr w:type="spellEnd"/>
      <w:r w:rsidRPr="00CA09D8">
        <w:rPr>
          <w:rFonts w:ascii="Verdana" w:hAnsi="Verdana" w:cs="Arial"/>
          <w:bCs/>
          <w:sz w:val="20"/>
          <w:szCs w:val="20"/>
          <w:lang w:val="es-MX" w:eastAsia="es-CO"/>
        </w:rPr>
        <w:t>) del numeral 2</w:t>
      </w:r>
      <w:r w:rsidRPr="00CA09D8">
        <w:rPr>
          <w:rFonts w:ascii="Verdana" w:hAnsi="Verdana" w:cs="Arial"/>
          <w:bCs/>
          <w:sz w:val="20"/>
          <w:szCs w:val="20"/>
          <w:lang w:eastAsia="es-CO"/>
        </w:rPr>
        <w:t>,</w:t>
      </w:r>
      <w:r w:rsidRPr="00CA09D8">
        <w:rPr>
          <w:rFonts w:ascii="Verdana" w:hAnsi="Verdana" w:cs="Arial"/>
          <w:bCs/>
          <w:sz w:val="20"/>
          <w:szCs w:val="20"/>
          <w:lang w:val="es-MX" w:eastAsia="es-CO"/>
        </w:rPr>
        <w:t xml:space="preserve"> indica que el </w:t>
      </w:r>
      <w:r w:rsidRPr="00CA09D8">
        <w:rPr>
          <w:rFonts w:ascii="Verdana" w:hAnsi="Verdana" w:cs="Arial"/>
          <w:bCs/>
          <w:sz w:val="20"/>
          <w:szCs w:val="20"/>
          <w:lang w:eastAsia="es-CO"/>
        </w:rPr>
        <w:t xml:space="preserve">parágrafo del artículo 38 de la Ley 996 de 2005 cobija expresamente a los </w:t>
      </w:r>
      <w:r w:rsidRPr="00CA09D8">
        <w:rPr>
          <w:rFonts w:ascii="Verdana" w:hAnsi="Verdana" w:cs="Arial"/>
          <w:bCs/>
          <w:i/>
          <w:iCs/>
          <w:sz w:val="20"/>
          <w:szCs w:val="20"/>
          <w:lang w:eastAsia="es-CO"/>
        </w:rPr>
        <w:t>convenios interadministrativos</w:t>
      </w:r>
      <w:r w:rsidRPr="00CA09D8">
        <w:rPr>
          <w:rFonts w:ascii="Verdana" w:hAnsi="Verdana" w:cs="Arial"/>
          <w:bCs/>
          <w:sz w:val="20"/>
          <w:szCs w:val="20"/>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A09D8">
        <w:rPr>
          <w:rFonts w:ascii="Verdana" w:hAnsi="Verdana" w:cs="Arial"/>
          <w:bCs/>
          <w:i/>
          <w:iCs/>
          <w:sz w:val="20"/>
          <w:szCs w:val="20"/>
          <w:lang w:eastAsia="es-CO"/>
        </w:rPr>
        <w:t>“aunque se configure alguno de los supuestos de excepción que señaló el inciso final del artículo 33”</w:t>
      </w:r>
      <w:r w:rsidRPr="00CA09D8">
        <w:rPr>
          <w:rFonts w:ascii="Verdana" w:hAnsi="Verdana" w:cs="Arial"/>
          <w:bCs/>
          <w:sz w:val="20"/>
          <w:szCs w:val="20"/>
          <w:lang w:eastAsia="es-CO"/>
        </w:rPr>
        <w:t xml:space="preserve">. Por lo demás, la norma tampoco contempla excepciones respecto a la contratación con esquemas asociativos territoriales, además de que la restricción rige al margen del </w:t>
      </w:r>
      <w:r w:rsidRPr="00CA09D8">
        <w:rPr>
          <w:rFonts w:ascii="Verdana" w:hAnsi="Verdana" w:cs="Arial"/>
          <w:bCs/>
          <w:sz w:val="20"/>
          <w:szCs w:val="20"/>
          <w:lang w:eastAsia="es-CO"/>
        </w:rPr>
        <w:lastRenderedPageBreak/>
        <w:t>contenido de los proyectos que se pretendan ejecutar. Como las excepciones son de reserva legal, tampoco son disponibles por las partes al suscribir el negocio jurídico, por lo que no existe justificación alguna para desconocer la prohibición.</w:t>
      </w:r>
    </w:p>
    <w:p w14:paraId="137EF531" w14:textId="77777777" w:rsidR="00CA09D8" w:rsidRPr="00CA09D8" w:rsidRDefault="00CA09D8" w:rsidP="00CA09D8">
      <w:pPr>
        <w:spacing w:after="0" w:line="240" w:lineRule="auto"/>
        <w:jc w:val="both"/>
        <w:textAlignment w:val="baseline"/>
        <w:rPr>
          <w:rFonts w:ascii="Verdana" w:hAnsi="Verdana" w:cs="Arial"/>
          <w:bCs/>
          <w:sz w:val="20"/>
          <w:szCs w:val="20"/>
          <w:lang w:eastAsia="es-CO"/>
        </w:rPr>
      </w:pPr>
    </w:p>
    <w:p w14:paraId="089123BC" w14:textId="77777777" w:rsidR="00CA09D8" w:rsidRPr="00CA09D8" w:rsidRDefault="00CA09D8" w:rsidP="00CA09D8">
      <w:pPr>
        <w:spacing w:after="0" w:line="240" w:lineRule="auto"/>
        <w:jc w:val="both"/>
        <w:textAlignment w:val="baseline"/>
        <w:rPr>
          <w:rFonts w:ascii="Verdana" w:hAnsi="Verdana" w:cs="Arial"/>
          <w:bCs/>
          <w:sz w:val="20"/>
          <w:szCs w:val="20"/>
          <w:lang w:eastAsia="es-CO"/>
        </w:rPr>
      </w:pPr>
      <w:r w:rsidRPr="00CA09D8">
        <w:rPr>
          <w:rFonts w:ascii="Verdana" w:hAnsi="Verdana" w:cs="Arial"/>
          <w:bCs/>
          <w:sz w:val="20"/>
          <w:szCs w:val="20"/>
          <w:lang w:eastAsia="es-CO"/>
        </w:rPr>
        <w:t xml:space="preserve">El ámbito de aplicación de la restricción prevista en el parágrafo del artículo 38 de la Ley 996 de 2005 comprende a los </w:t>
      </w:r>
      <w:r w:rsidRPr="00CA09D8">
        <w:rPr>
          <w:rFonts w:ascii="Verdana" w:hAnsi="Verdana" w:cs="Arial"/>
          <w:bCs/>
          <w:i/>
          <w:iCs/>
          <w:sz w:val="20"/>
          <w:szCs w:val="20"/>
          <w:lang w:eastAsia="es-CO"/>
        </w:rPr>
        <w:t>convenios interadministrativos</w:t>
      </w:r>
      <w:r w:rsidRPr="00CA09D8">
        <w:rPr>
          <w:rFonts w:ascii="Verdana" w:hAnsi="Verdana" w:cs="Arial"/>
          <w:bCs/>
          <w:sz w:val="20"/>
          <w:szCs w:val="20"/>
          <w:lang w:eastAsia="es-CO"/>
        </w:rPr>
        <w:t xml:space="preserve"> en los que exista </w:t>
      </w:r>
      <w:r w:rsidRPr="00CA09D8">
        <w:rPr>
          <w:rFonts w:ascii="Verdana" w:hAnsi="Verdana" w:cs="Arial"/>
          <w:bCs/>
          <w:i/>
          <w:iCs/>
          <w:sz w:val="20"/>
          <w:szCs w:val="20"/>
          <w:lang w:eastAsia="es-CO"/>
        </w:rPr>
        <w:t>ejecución de recursos públicos</w:t>
      </w:r>
      <w:r w:rsidRPr="00CA09D8">
        <w:rPr>
          <w:rFonts w:ascii="Verdana" w:hAnsi="Verdana" w:cs="Arial"/>
          <w:bCs/>
          <w:sz w:val="20"/>
          <w:szCs w:val="20"/>
          <w:lang w:eastAsia="es-CO"/>
        </w:rPr>
        <w:t xml:space="preserve">, sin importar de que estos sean en dinero o en especie, ya que la norma no distingue. </w:t>
      </w:r>
      <w:r w:rsidRPr="00CA09D8">
        <w:rPr>
          <w:rFonts w:ascii="Verdana" w:hAnsi="Verdana" w:cs="Arial"/>
          <w:bCs/>
          <w:sz w:val="20"/>
          <w:szCs w:val="20"/>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CA09D8">
        <w:rPr>
          <w:rFonts w:ascii="Verdana" w:hAnsi="Verdana" w:cs="Arial"/>
          <w:bCs/>
          <w:sz w:val="20"/>
          <w:szCs w:val="20"/>
          <w:lang w:eastAsia="es-CO"/>
        </w:rPr>
        <w:t xml:space="preserve">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431488FC" w14:textId="77777777" w:rsidR="00CA09D8" w:rsidRPr="00CA09D8" w:rsidRDefault="00CA09D8" w:rsidP="00CA09D8">
      <w:pPr>
        <w:spacing w:after="0" w:line="240" w:lineRule="auto"/>
        <w:jc w:val="both"/>
        <w:textAlignment w:val="baseline"/>
        <w:rPr>
          <w:rFonts w:ascii="Verdana" w:hAnsi="Verdana" w:cs="Arial"/>
          <w:bCs/>
          <w:sz w:val="20"/>
          <w:szCs w:val="20"/>
          <w:lang w:val="es-ES_tradnl" w:eastAsia="es-CO"/>
        </w:rPr>
      </w:pPr>
      <w:r w:rsidRPr="00CA09D8">
        <w:rPr>
          <w:rFonts w:ascii="Verdana" w:hAnsi="Verdana" w:cs="Arial"/>
          <w:bCs/>
          <w:sz w:val="20"/>
          <w:szCs w:val="20"/>
          <w:lang w:val="es-ES_tradnl" w:eastAsia="es-CO"/>
        </w:rPr>
        <w:t xml:space="preserve">  </w:t>
      </w:r>
    </w:p>
    <w:p w14:paraId="05D81367" w14:textId="77777777" w:rsidR="00CA09D8" w:rsidRPr="00CA09D8" w:rsidRDefault="00CA09D8" w:rsidP="00CA09D8">
      <w:pPr>
        <w:spacing w:after="0" w:line="240" w:lineRule="auto"/>
        <w:rPr>
          <w:rFonts w:ascii="Verdana" w:eastAsia="Calibri" w:hAnsi="Verdana" w:cs="Arial"/>
          <w:b/>
          <w:color w:val="000000" w:themeColor="text1"/>
          <w:lang w:val="es-ES"/>
        </w:rPr>
      </w:pPr>
    </w:p>
    <w:p w14:paraId="4D6D0074" w14:textId="77777777" w:rsidR="00CA09D8" w:rsidRPr="00CA09D8" w:rsidRDefault="00CA09D8" w:rsidP="00CA09D8">
      <w:pPr>
        <w:spacing w:after="0" w:line="240" w:lineRule="auto"/>
        <w:rPr>
          <w:rFonts w:ascii="Verdana" w:eastAsia="Calibri" w:hAnsi="Verdana" w:cs="Arial"/>
          <w:b/>
          <w:color w:val="000000" w:themeColor="text1"/>
          <w:lang w:val="es-ES"/>
        </w:rPr>
      </w:pPr>
    </w:p>
    <w:p w14:paraId="69B73828" w14:textId="77777777" w:rsidR="00CA09D8" w:rsidRPr="00CA09D8" w:rsidRDefault="00CA09D8" w:rsidP="00CA09D8">
      <w:pPr>
        <w:spacing w:after="0" w:line="240" w:lineRule="auto"/>
        <w:rPr>
          <w:rFonts w:ascii="Verdana" w:eastAsia="Calibri" w:hAnsi="Verdana" w:cs="Arial"/>
          <w:b/>
          <w:color w:val="000000" w:themeColor="text1"/>
          <w:lang w:val="es-ES"/>
        </w:rPr>
      </w:pPr>
    </w:p>
    <w:p w14:paraId="34F24474" w14:textId="77777777" w:rsidR="00CA09D8" w:rsidRPr="00CA09D8" w:rsidRDefault="00CA09D8" w:rsidP="00CA09D8">
      <w:pPr>
        <w:spacing w:after="0" w:line="240" w:lineRule="auto"/>
        <w:rPr>
          <w:rFonts w:ascii="Verdana" w:eastAsia="Calibri" w:hAnsi="Verdana" w:cs="Arial"/>
          <w:b/>
          <w:color w:val="000000" w:themeColor="text1"/>
          <w:lang w:val="es-ES"/>
        </w:rPr>
      </w:pPr>
    </w:p>
    <w:p w14:paraId="4D38DB86" w14:textId="77777777" w:rsidR="00CA09D8" w:rsidRPr="00CA09D8" w:rsidRDefault="00CA09D8" w:rsidP="00CA09D8">
      <w:pPr>
        <w:spacing w:after="0" w:line="240" w:lineRule="auto"/>
        <w:rPr>
          <w:rFonts w:ascii="Verdana" w:eastAsia="Calibri" w:hAnsi="Verdana" w:cs="Arial"/>
          <w:b/>
          <w:color w:val="000000" w:themeColor="text1"/>
          <w:lang w:val="es-ES"/>
        </w:rPr>
      </w:pPr>
    </w:p>
    <w:p w14:paraId="194A852A" w14:textId="77777777" w:rsidR="00CA09D8" w:rsidRPr="00CA09D8" w:rsidRDefault="00CA09D8" w:rsidP="00CA09D8">
      <w:pPr>
        <w:spacing w:after="0" w:line="240" w:lineRule="auto"/>
        <w:rPr>
          <w:rFonts w:ascii="Verdana" w:eastAsia="Calibri" w:hAnsi="Verdana" w:cs="Arial"/>
          <w:b/>
          <w:color w:val="000000" w:themeColor="text1"/>
          <w:lang w:val="es-ES"/>
        </w:rPr>
      </w:pPr>
    </w:p>
    <w:p w14:paraId="5AE35BCC" w14:textId="77777777" w:rsidR="00CA09D8" w:rsidRPr="00CA09D8" w:rsidRDefault="00CA09D8" w:rsidP="00CA09D8">
      <w:pPr>
        <w:spacing w:after="0" w:line="240" w:lineRule="auto"/>
        <w:rPr>
          <w:rFonts w:ascii="Verdana" w:eastAsia="Calibri" w:hAnsi="Verdana" w:cs="Arial"/>
          <w:b/>
          <w:color w:val="000000" w:themeColor="text1"/>
          <w:lang w:val="es-ES"/>
        </w:rPr>
      </w:pPr>
    </w:p>
    <w:p w14:paraId="5F457C25" w14:textId="77777777" w:rsidR="00CA09D8" w:rsidRPr="00CA09D8" w:rsidRDefault="00CA09D8" w:rsidP="00CA09D8">
      <w:pPr>
        <w:spacing w:after="0" w:line="240" w:lineRule="auto"/>
        <w:rPr>
          <w:rFonts w:ascii="Verdana" w:eastAsia="Calibri" w:hAnsi="Verdana" w:cs="Arial"/>
          <w:b/>
          <w:color w:val="000000" w:themeColor="text1"/>
          <w:lang w:val="es-ES"/>
        </w:rPr>
      </w:pPr>
    </w:p>
    <w:p w14:paraId="07B88BE2" w14:textId="77777777" w:rsidR="00CA09D8" w:rsidRPr="00CA09D8" w:rsidRDefault="00CA09D8" w:rsidP="00CA09D8">
      <w:pPr>
        <w:spacing w:after="0" w:line="240" w:lineRule="auto"/>
        <w:rPr>
          <w:rFonts w:ascii="Verdana" w:eastAsia="Calibri" w:hAnsi="Verdana" w:cs="Arial"/>
          <w:b/>
          <w:color w:val="000000" w:themeColor="text1"/>
          <w:lang w:val="es-ES"/>
        </w:rPr>
      </w:pPr>
    </w:p>
    <w:p w14:paraId="4DDB1AEB" w14:textId="77777777" w:rsidR="00CA09D8" w:rsidRPr="00CA09D8" w:rsidRDefault="00CA09D8" w:rsidP="00CA09D8">
      <w:pPr>
        <w:spacing w:after="0" w:line="240" w:lineRule="auto"/>
        <w:rPr>
          <w:rFonts w:ascii="Verdana" w:eastAsia="Calibri" w:hAnsi="Verdana" w:cs="Arial"/>
          <w:b/>
          <w:color w:val="000000" w:themeColor="text1"/>
          <w:lang w:val="es-ES"/>
        </w:rPr>
      </w:pPr>
    </w:p>
    <w:p w14:paraId="69A47D97" w14:textId="77777777" w:rsidR="00CA09D8" w:rsidRPr="00CA09D8" w:rsidRDefault="00CA09D8" w:rsidP="00CA09D8">
      <w:pPr>
        <w:spacing w:after="0" w:line="240" w:lineRule="auto"/>
        <w:rPr>
          <w:rFonts w:ascii="Verdana" w:eastAsia="Calibri" w:hAnsi="Verdana" w:cs="Arial"/>
          <w:b/>
          <w:color w:val="000000" w:themeColor="text1"/>
          <w:lang w:val="es-ES"/>
        </w:rPr>
      </w:pPr>
    </w:p>
    <w:p w14:paraId="6672E9FD" w14:textId="77777777" w:rsidR="00CA09D8" w:rsidRPr="00CA09D8" w:rsidRDefault="00CA09D8" w:rsidP="00CA09D8">
      <w:pPr>
        <w:spacing w:after="0" w:line="240" w:lineRule="auto"/>
        <w:rPr>
          <w:rFonts w:ascii="Verdana" w:eastAsia="Calibri" w:hAnsi="Verdana" w:cs="Arial"/>
          <w:b/>
          <w:color w:val="000000" w:themeColor="text1"/>
          <w:lang w:val="es-ES"/>
        </w:rPr>
      </w:pPr>
    </w:p>
    <w:p w14:paraId="61876A79" w14:textId="77777777" w:rsidR="00CA09D8" w:rsidRPr="00CA09D8" w:rsidRDefault="00CA09D8" w:rsidP="00CA09D8">
      <w:pPr>
        <w:spacing w:after="0" w:line="240" w:lineRule="auto"/>
        <w:rPr>
          <w:rFonts w:ascii="Verdana" w:eastAsia="Calibri" w:hAnsi="Verdana" w:cs="Arial"/>
          <w:b/>
          <w:color w:val="000000" w:themeColor="text1"/>
          <w:lang w:val="es-ES"/>
        </w:rPr>
      </w:pPr>
    </w:p>
    <w:p w14:paraId="230C7C73" w14:textId="77777777" w:rsidR="00CA09D8" w:rsidRPr="00CA09D8" w:rsidRDefault="00CA09D8" w:rsidP="00CA09D8">
      <w:pPr>
        <w:spacing w:after="0" w:line="240" w:lineRule="auto"/>
        <w:rPr>
          <w:rFonts w:ascii="Verdana" w:eastAsia="Calibri" w:hAnsi="Verdana" w:cs="Arial"/>
          <w:b/>
          <w:color w:val="000000" w:themeColor="text1"/>
          <w:lang w:val="es-ES"/>
        </w:rPr>
      </w:pPr>
    </w:p>
    <w:p w14:paraId="310F0F1C" w14:textId="77777777" w:rsidR="00CA09D8" w:rsidRPr="00CA09D8" w:rsidRDefault="00CA09D8" w:rsidP="00CA09D8">
      <w:pPr>
        <w:spacing w:after="0" w:line="240" w:lineRule="auto"/>
        <w:rPr>
          <w:rFonts w:ascii="Verdana" w:eastAsia="Calibri" w:hAnsi="Verdana" w:cs="Arial"/>
          <w:b/>
          <w:color w:val="000000" w:themeColor="text1"/>
          <w:lang w:val="es-ES"/>
        </w:rPr>
      </w:pPr>
    </w:p>
    <w:p w14:paraId="29C37C04" w14:textId="77777777" w:rsidR="00CA09D8" w:rsidRPr="00CA09D8" w:rsidRDefault="00CA09D8" w:rsidP="00CA09D8">
      <w:pPr>
        <w:spacing w:after="0" w:line="240" w:lineRule="auto"/>
        <w:rPr>
          <w:rFonts w:ascii="Verdana" w:eastAsia="Calibri" w:hAnsi="Verdana" w:cs="Arial"/>
          <w:b/>
          <w:color w:val="000000" w:themeColor="text1"/>
          <w:lang w:val="es-ES"/>
        </w:rPr>
      </w:pPr>
    </w:p>
    <w:p w14:paraId="4B796CEF" w14:textId="77777777" w:rsidR="00CA09D8" w:rsidRPr="00CA09D8" w:rsidRDefault="00CA09D8" w:rsidP="00CA09D8">
      <w:pPr>
        <w:spacing w:after="0" w:line="240" w:lineRule="auto"/>
        <w:rPr>
          <w:rFonts w:ascii="Verdana" w:eastAsia="Calibri" w:hAnsi="Verdana" w:cs="Arial"/>
          <w:b/>
          <w:color w:val="000000" w:themeColor="text1"/>
          <w:lang w:val="es-ES"/>
        </w:rPr>
      </w:pPr>
    </w:p>
    <w:p w14:paraId="0C54F19B" w14:textId="77777777" w:rsidR="00CA09D8" w:rsidRPr="00CA09D8" w:rsidRDefault="00CA09D8" w:rsidP="00CA09D8">
      <w:pPr>
        <w:spacing w:after="0" w:line="240" w:lineRule="auto"/>
        <w:rPr>
          <w:rFonts w:ascii="Verdana" w:eastAsia="Calibri" w:hAnsi="Verdana" w:cs="Arial"/>
          <w:b/>
          <w:color w:val="000000" w:themeColor="text1"/>
          <w:lang w:val="es-ES"/>
        </w:rPr>
      </w:pPr>
    </w:p>
    <w:p w14:paraId="31C5868D" w14:textId="77777777" w:rsidR="00CA09D8" w:rsidRPr="00CA09D8" w:rsidRDefault="00CA09D8" w:rsidP="00CA09D8">
      <w:pPr>
        <w:spacing w:after="0" w:line="240" w:lineRule="auto"/>
        <w:rPr>
          <w:rFonts w:ascii="Verdana" w:eastAsia="Calibri" w:hAnsi="Verdana" w:cs="Arial"/>
          <w:b/>
          <w:color w:val="000000" w:themeColor="text1"/>
          <w:lang w:val="es-ES"/>
        </w:rPr>
      </w:pPr>
    </w:p>
    <w:p w14:paraId="01C78E64" w14:textId="77777777" w:rsidR="00CA09D8" w:rsidRPr="00CA09D8" w:rsidRDefault="00CA09D8" w:rsidP="00CA09D8">
      <w:pPr>
        <w:spacing w:after="0" w:line="240" w:lineRule="auto"/>
        <w:rPr>
          <w:rFonts w:ascii="Verdana" w:eastAsia="Calibri" w:hAnsi="Verdana" w:cs="Arial"/>
          <w:b/>
          <w:color w:val="000000" w:themeColor="text1"/>
          <w:lang w:val="es-ES"/>
        </w:rPr>
      </w:pPr>
    </w:p>
    <w:p w14:paraId="5FAE4A86" w14:textId="77777777" w:rsidR="00CA09D8" w:rsidRPr="00CA09D8" w:rsidRDefault="00CA09D8" w:rsidP="00CA09D8">
      <w:pPr>
        <w:spacing w:after="0" w:line="240" w:lineRule="auto"/>
        <w:rPr>
          <w:rFonts w:ascii="Verdana" w:eastAsia="Calibri" w:hAnsi="Verdana" w:cs="Arial"/>
          <w:b/>
          <w:color w:val="000000" w:themeColor="text1"/>
          <w:lang w:val="es-ES"/>
        </w:rPr>
      </w:pPr>
    </w:p>
    <w:p w14:paraId="3C6DD95D" w14:textId="77777777" w:rsidR="00CA09D8" w:rsidRPr="00CA09D8" w:rsidRDefault="00CA09D8" w:rsidP="00CA09D8">
      <w:pPr>
        <w:spacing w:after="0" w:line="240" w:lineRule="auto"/>
        <w:rPr>
          <w:rFonts w:ascii="Verdana" w:eastAsia="Calibri" w:hAnsi="Verdana" w:cs="Arial"/>
          <w:b/>
          <w:color w:val="000000" w:themeColor="text1"/>
          <w:lang w:val="es-ES"/>
        </w:rPr>
      </w:pPr>
    </w:p>
    <w:p w14:paraId="5D3897BB" w14:textId="77777777" w:rsidR="00CA09D8" w:rsidRDefault="00CA09D8" w:rsidP="00CA09D8">
      <w:pPr>
        <w:spacing w:after="0" w:line="240" w:lineRule="auto"/>
        <w:rPr>
          <w:rFonts w:ascii="Verdana" w:eastAsia="Calibri" w:hAnsi="Verdana" w:cs="Arial"/>
          <w:b/>
          <w:color w:val="000000" w:themeColor="text1"/>
          <w:lang w:val="es-ES"/>
        </w:rPr>
      </w:pPr>
    </w:p>
    <w:p w14:paraId="24B33098" w14:textId="77777777" w:rsidR="001C028F" w:rsidRDefault="001C028F" w:rsidP="00CA09D8">
      <w:pPr>
        <w:spacing w:after="0" w:line="240" w:lineRule="auto"/>
        <w:rPr>
          <w:rFonts w:ascii="Verdana" w:eastAsia="Calibri" w:hAnsi="Verdana" w:cs="Arial"/>
          <w:b/>
          <w:color w:val="000000" w:themeColor="text1"/>
          <w:lang w:val="es-ES"/>
        </w:rPr>
      </w:pPr>
    </w:p>
    <w:p w14:paraId="28E54234" w14:textId="77777777" w:rsidR="001C028F" w:rsidRDefault="001C028F" w:rsidP="00CA09D8">
      <w:pPr>
        <w:spacing w:after="0" w:line="240" w:lineRule="auto"/>
        <w:rPr>
          <w:rFonts w:ascii="Verdana" w:eastAsia="Calibri" w:hAnsi="Verdana" w:cs="Arial"/>
          <w:b/>
          <w:color w:val="000000" w:themeColor="text1"/>
          <w:lang w:val="es-ES"/>
        </w:rPr>
      </w:pPr>
    </w:p>
    <w:p w14:paraId="1D7EE053" w14:textId="77777777" w:rsidR="001C028F" w:rsidRDefault="001C028F" w:rsidP="00CA09D8">
      <w:pPr>
        <w:spacing w:after="0" w:line="240" w:lineRule="auto"/>
        <w:rPr>
          <w:rFonts w:ascii="Verdana" w:eastAsia="Calibri" w:hAnsi="Verdana" w:cs="Arial"/>
          <w:b/>
          <w:color w:val="000000" w:themeColor="text1"/>
          <w:lang w:val="es-ES"/>
        </w:rPr>
      </w:pPr>
    </w:p>
    <w:p w14:paraId="23E0B8DE" w14:textId="77777777" w:rsidR="001C028F" w:rsidRPr="00CA09D8" w:rsidRDefault="001C028F" w:rsidP="00CA09D8">
      <w:pPr>
        <w:spacing w:after="0" w:line="240" w:lineRule="auto"/>
        <w:rPr>
          <w:rFonts w:ascii="Verdana" w:eastAsia="Calibri" w:hAnsi="Verdana" w:cs="Arial"/>
          <w:b/>
          <w:color w:val="000000" w:themeColor="text1"/>
          <w:lang w:val="es-ES"/>
        </w:rPr>
      </w:pPr>
    </w:p>
    <w:p w14:paraId="1D22C5E6" w14:textId="77777777" w:rsidR="001C028F" w:rsidRPr="00CA09D8" w:rsidRDefault="001C028F" w:rsidP="00CA09D8">
      <w:pPr>
        <w:spacing w:after="0" w:line="240" w:lineRule="auto"/>
        <w:rPr>
          <w:rFonts w:ascii="Verdana" w:eastAsia="Geomanist Light" w:hAnsi="Verdana" w:cs="Arial"/>
          <w:color w:val="000000" w:themeColor="text1"/>
          <w:lang w:val="es-MX"/>
        </w:rPr>
      </w:pPr>
    </w:p>
    <w:p w14:paraId="40635A5B" w14:textId="44E29342" w:rsidR="00CA09D8" w:rsidRDefault="005F26B8" w:rsidP="00CA09D8">
      <w:pPr>
        <w:spacing w:after="0" w:line="240" w:lineRule="auto"/>
        <w:jc w:val="both"/>
        <w:rPr>
          <w:rFonts w:ascii="Verdana" w:eastAsia="Verdana" w:hAnsi="Verdana" w:cs="Verdana"/>
        </w:rPr>
      </w:pPr>
      <w:r>
        <w:rPr>
          <w:rFonts w:ascii="Verdana" w:eastAsia="Verdana" w:hAnsi="Verdana" w:cs="Verdana"/>
        </w:rPr>
        <w:lastRenderedPageBreak/>
        <w:t xml:space="preserve">                                                           </w:t>
      </w:r>
      <w:r w:rsidRPr="005F26B8">
        <w:rPr>
          <w:rFonts w:ascii="Verdana" w:eastAsia="Verdana" w:hAnsi="Verdana" w:cs="Verdana"/>
          <w:noProof/>
        </w:rPr>
        <w:drawing>
          <wp:inline distT="0" distB="0" distL="0" distR="0" wp14:anchorId="537E2E03" wp14:editId="5437D562">
            <wp:extent cx="2371060" cy="658359"/>
            <wp:effectExtent l="0" t="0" r="0" b="8890"/>
            <wp:docPr id="2547754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23995" cy="673057"/>
                    </a:xfrm>
                    <a:prstGeom prst="rect">
                      <a:avLst/>
                    </a:prstGeom>
                    <a:noFill/>
                    <a:ln>
                      <a:noFill/>
                    </a:ln>
                  </pic:spPr>
                </pic:pic>
              </a:graphicData>
            </a:graphic>
          </wp:inline>
        </w:drawing>
      </w:r>
    </w:p>
    <w:p w14:paraId="75833FD6" w14:textId="50E5C66E" w:rsidR="00603409" w:rsidRDefault="00603409" w:rsidP="00603409">
      <w:pPr>
        <w:spacing w:after="0" w:line="240" w:lineRule="auto"/>
        <w:rPr>
          <w:rFonts w:ascii="Verdana" w:eastAsia="Calibri" w:hAnsi="Verdana" w:cs="Arial"/>
          <w:lang w:val="es-ES" w:eastAsia="es-ES"/>
        </w:rPr>
      </w:pPr>
      <w:r w:rsidRPr="0083693D">
        <w:rPr>
          <w:rFonts w:ascii="Verdana" w:eastAsia="Verdana" w:hAnsi="Verdana" w:cs="Verdana"/>
        </w:rPr>
        <w:t xml:space="preserve">Bogotá D.C., </w:t>
      </w:r>
      <w:r>
        <w:rPr>
          <w:rFonts w:ascii="Verdana" w:eastAsia="Verdana" w:hAnsi="Verdana" w:cs="Verdana"/>
        </w:rPr>
        <w:t xml:space="preserve">10 </w:t>
      </w:r>
      <w:r w:rsidR="000D1603">
        <w:rPr>
          <w:rFonts w:ascii="Verdana" w:eastAsia="Verdana" w:hAnsi="Verdana" w:cs="Verdana"/>
        </w:rPr>
        <w:t>junio</w:t>
      </w:r>
      <w:r w:rsidRPr="0083693D">
        <w:rPr>
          <w:rFonts w:ascii="Verdana" w:eastAsia="Verdana" w:hAnsi="Verdana" w:cs="Verdana"/>
        </w:rPr>
        <w:t xml:space="preserve"> 2026</w:t>
      </w:r>
      <w:r>
        <w:rPr>
          <w:rFonts w:ascii="Verdana" w:eastAsia="Verdana" w:hAnsi="Verdana" w:cs="Verdana"/>
        </w:rPr>
        <w:t xml:space="preserve">                                                                   </w:t>
      </w:r>
      <w:r w:rsidRPr="003F1883">
        <w:rPr>
          <w:rFonts w:ascii="Verdana" w:eastAsia="Calibri" w:hAnsi="Verdana" w:cs="Arial"/>
          <w:noProof/>
          <w:lang w:val="es-ES" w:eastAsia="es-ES"/>
        </w:rPr>
        <w:t xml:space="preserve"> </w:t>
      </w:r>
      <w:r>
        <w:rPr>
          <w:rFonts w:ascii="Verdana" w:eastAsia="Calibri" w:hAnsi="Verdana" w:cs="Arial"/>
          <w:noProof/>
          <w:lang w:val="es-ES" w:eastAsia="es-ES"/>
        </w:rPr>
        <w:t xml:space="preserve">           </w:t>
      </w:r>
    </w:p>
    <w:p w14:paraId="6056C397" w14:textId="77777777" w:rsidR="00247379" w:rsidRPr="00CA09D8" w:rsidRDefault="00247379" w:rsidP="00CA09D8">
      <w:pPr>
        <w:spacing w:after="0" w:line="240" w:lineRule="auto"/>
        <w:jc w:val="both"/>
        <w:rPr>
          <w:rFonts w:ascii="Verdana" w:eastAsia="Calibri" w:hAnsi="Verdana" w:cs="Arial"/>
          <w:color w:val="000000"/>
          <w:lang w:val="es-ES"/>
        </w:rPr>
      </w:pPr>
    </w:p>
    <w:p w14:paraId="5D2CD57F" w14:textId="77777777" w:rsidR="00CA09D8" w:rsidRPr="00CA09D8" w:rsidRDefault="00CA09D8" w:rsidP="00CA09D8">
      <w:pPr>
        <w:spacing w:after="0" w:line="240" w:lineRule="auto"/>
        <w:jc w:val="both"/>
        <w:rPr>
          <w:rFonts w:ascii="Verdana" w:eastAsia="Calibri" w:hAnsi="Verdana" w:cs="Arial"/>
          <w:lang w:val="es-ES" w:eastAsia="es-ES"/>
        </w:rPr>
      </w:pPr>
      <w:r w:rsidRPr="00CA09D8">
        <w:rPr>
          <w:rFonts w:ascii="Verdana" w:eastAsia="Calibri" w:hAnsi="Verdana" w:cs="Arial"/>
          <w:lang w:val="es-ES" w:eastAsia="es-ES"/>
        </w:rPr>
        <w:t>Señor</w:t>
      </w:r>
    </w:p>
    <w:p w14:paraId="1C0741EE" w14:textId="77777777" w:rsidR="00CA09D8" w:rsidRPr="00CA09D8" w:rsidRDefault="00CA09D8" w:rsidP="00CA09D8">
      <w:pPr>
        <w:spacing w:after="0" w:line="240" w:lineRule="auto"/>
        <w:rPr>
          <w:rFonts w:ascii="Verdana" w:eastAsia="Calibri" w:hAnsi="Verdana" w:cs="Arial"/>
          <w:b/>
          <w:lang w:eastAsia="es-ES"/>
        </w:rPr>
      </w:pPr>
      <w:r w:rsidRPr="00CA09D8">
        <w:rPr>
          <w:rFonts w:ascii="Verdana" w:eastAsia="Calibri" w:hAnsi="Verdana" w:cs="Arial"/>
          <w:b/>
          <w:lang w:eastAsia="es-ES"/>
        </w:rPr>
        <w:t>Jaime Alonso Camaño Arroyo</w:t>
      </w:r>
    </w:p>
    <w:p w14:paraId="5D79044D" w14:textId="77777777" w:rsidR="00CA09D8" w:rsidRPr="00CA09D8" w:rsidRDefault="00CA09D8" w:rsidP="00CA09D8">
      <w:pPr>
        <w:spacing w:after="0" w:line="240" w:lineRule="auto"/>
        <w:rPr>
          <w:rFonts w:ascii="Verdana" w:eastAsia="Calibri" w:hAnsi="Verdana" w:cs="Arial"/>
          <w:bCs/>
          <w:lang w:eastAsia="es-ES"/>
        </w:rPr>
      </w:pPr>
      <w:hyperlink r:id="rId11" w:history="1">
        <w:r w:rsidRPr="00CA09D8">
          <w:rPr>
            <w:rFonts w:ascii="Verdana" w:eastAsia="Calibri" w:hAnsi="Verdana" w:cs="Arial"/>
            <w:bCs/>
            <w:color w:val="0000FF"/>
            <w:u w:val="single"/>
            <w:lang w:eastAsia="es-ES"/>
          </w:rPr>
          <w:t>jaimecamano@hotmail.com</w:t>
        </w:r>
      </w:hyperlink>
    </w:p>
    <w:p w14:paraId="06A6EAB3" w14:textId="77777777" w:rsidR="00CA09D8" w:rsidRPr="00CA09D8" w:rsidRDefault="00CA09D8" w:rsidP="00CA09D8">
      <w:pPr>
        <w:spacing w:after="0" w:line="240" w:lineRule="auto"/>
        <w:rPr>
          <w:rFonts w:ascii="Verdana" w:eastAsia="Calibri" w:hAnsi="Verdana" w:cs="Arial"/>
          <w:bCs/>
          <w:lang w:eastAsia="es-ES"/>
        </w:rPr>
      </w:pPr>
      <w:r w:rsidRPr="00CA09D8">
        <w:rPr>
          <w:rFonts w:ascii="Verdana" w:eastAsia="Calibri" w:hAnsi="Verdana" w:cs="Arial"/>
          <w:bCs/>
          <w:lang w:eastAsia="es-ES"/>
        </w:rPr>
        <w:t>Caucasia-Antioquia</w:t>
      </w:r>
    </w:p>
    <w:p w14:paraId="4C8677A5" w14:textId="77777777" w:rsidR="00CA09D8" w:rsidRPr="00CA09D8" w:rsidRDefault="00CA09D8" w:rsidP="00CA09D8">
      <w:pPr>
        <w:spacing w:after="0" w:line="240" w:lineRule="auto"/>
        <w:rPr>
          <w:rFonts w:ascii="Verdana" w:eastAsia="Calibri" w:hAnsi="Verdana" w:cs="Arial"/>
          <w:bCs/>
          <w:color w:val="000000"/>
          <w:lang w:val="es-ES_tradnl" w:eastAsia="es-ES_tradnl"/>
        </w:rPr>
      </w:pPr>
    </w:p>
    <w:p w14:paraId="5DA8CBA2" w14:textId="77777777" w:rsidR="00CA09D8" w:rsidRPr="00CA09D8" w:rsidRDefault="00CA09D8" w:rsidP="00CA09D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A09D8" w:rsidRPr="00CA09D8" w14:paraId="50585CFD" w14:textId="77777777" w:rsidTr="00055B5B">
        <w:trPr>
          <w:trHeight w:val="884"/>
        </w:trPr>
        <w:tc>
          <w:tcPr>
            <w:tcW w:w="2689" w:type="dxa"/>
          </w:tcPr>
          <w:p w14:paraId="2F98E5C3" w14:textId="77777777" w:rsidR="00CA09D8" w:rsidRPr="00CA09D8" w:rsidRDefault="00CA09D8" w:rsidP="00CA09D8">
            <w:pPr>
              <w:spacing w:after="160" w:line="259" w:lineRule="auto"/>
              <w:ind w:left="720"/>
              <w:contextualSpacing/>
              <w:jc w:val="both"/>
              <w:rPr>
                <w:rFonts w:ascii="Verdana" w:eastAsia="Calibri" w:hAnsi="Verdana" w:cs="Arial"/>
                <w:b/>
                <w:bCs/>
                <w:color w:val="7030A0"/>
                <w:lang w:val="es-ES_tradnl" w:eastAsia="es-ES_tradnl"/>
              </w:rPr>
            </w:pPr>
          </w:p>
        </w:tc>
        <w:tc>
          <w:tcPr>
            <w:tcW w:w="6100" w:type="dxa"/>
          </w:tcPr>
          <w:p w14:paraId="17B33080" w14:textId="77777777" w:rsidR="00CA09D8" w:rsidRPr="00CA09D8" w:rsidRDefault="00CA09D8" w:rsidP="00CA09D8">
            <w:pPr>
              <w:spacing w:after="160" w:line="259" w:lineRule="auto"/>
              <w:ind w:left="720"/>
              <w:contextualSpacing/>
              <w:jc w:val="both"/>
              <w:rPr>
                <w:rFonts w:ascii="Verdana" w:eastAsia="Calibri" w:hAnsi="Verdana" w:cs="Arial"/>
                <w:b/>
                <w:bCs/>
                <w:color w:val="7030A0"/>
                <w:lang w:val="es-ES" w:eastAsia="es-ES"/>
              </w:rPr>
            </w:pPr>
            <w:r w:rsidRPr="00CA09D8">
              <w:rPr>
                <w:rFonts w:ascii="Verdana" w:eastAsia="Calibri" w:hAnsi="Verdana" w:cs="Arial"/>
                <w:b/>
                <w:bCs/>
                <w:lang w:val="es-ES" w:eastAsia="es-ES"/>
              </w:rPr>
              <w:t>Concepto C – 674 de 2026</w:t>
            </w:r>
          </w:p>
        </w:tc>
      </w:tr>
      <w:tr w:rsidR="00CA09D8" w:rsidRPr="00CA09D8" w14:paraId="3C067D1E" w14:textId="77777777" w:rsidTr="00055B5B">
        <w:trPr>
          <w:trHeight w:val="884"/>
        </w:trPr>
        <w:tc>
          <w:tcPr>
            <w:tcW w:w="2689" w:type="dxa"/>
          </w:tcPr>
          <w:p w14:paraId="68F4427B" w14:textId="77777777" w:rsidR="00CA09D8" w:rsidRPr="00CA09D8" w:rsidRDefault="00CA09D8" w:rsidP="00CA09D8">
            <w:pPr>
              <w:spacing w:after="160" w:line="259" w:lineRule="auto"/>
              <w:ind w:left="720"/>
              <w:contextualSpacing/>
              <w:jc w:val="both"/>
              <w:rPr>
                <w:rFonts w:ascii="Verdana" w:eastAsia="Calibri" w:hAnsi="Verdana" w:cs="Arial"/>
                <w:color w:val="000000"/>
                <w:lang w:val="es-ES_tradnl" w:eastAsia="es-ES_tradnl"/>
              </w:rPr>
            </w:pPr>
            <w:r w:rsidRPr="00CA09D8">
              <w:rPr>
                <w:rFonts w:ascii="Verdana" w:eastAsia="Calibri" w:hAnsi="Verdana" w:cs="Arial"/>
                <w:b/>
                <w:color w:val="000000"/>
                <w:lang w:val="es-ES_tradnl" w:eastAsia="es-ES_tradnl"/>
              </w:rPr>
              <w:t>Temas:</w:t>
            </w:r>
            <w:r w:rsidRPr="00CA09D8">
              <w:rPr>
                <w:rFonts w:ascii="Verdana" w:eastAsia="Calibri" w:hAnsi="Verdana" w:cs="Arial"/>
                <w:color w:val="000000"/>
                <w:lang w:val="es-ES_tradnl" w:eastAsia="es-ES_tradnl"/>
              </w:rPr>
              <w:t xml:space="preserve">                   </w:t>
            </w:r>
          </w:p>
        </w:tc>
        <w:tc>
          <w:tcPr>
            <w:tcW w:w="6100" w:type="dxa"/>
          </w:tcPr>
          <w:p w14:paraId="2031E975" w14:textId="77777777" w:rsidR="00E53C64" w:rsidRPr="00CA09D8" w:rsidRDefault="00E53C64" w:rsidP="00E53C64">
            <w:pPr>
              <w:spacing w:after="160" w:line="276" w:lineRule="auto"/>
              <w:ind w:left="720"/>
              <w:contextualSpacing/>
              <w:jc w:val="both"/>
              <w:rPr>
                <w:rFonts w:ascii="Verdana" w:eastAsia="Calibri" w:hAnsi="Verdana" w:cs="Arial"/>
                <w:lang w:val="es-ES" w:eastAsia="es-ES"/>
              </w:rPr>
            </w:pPr>
            <w:r w:rsidRPr="00CA09D8">
              <w:rPr>
                <w:rFonts w:ascii="Verdana" w:eastAsia="Calibri" w:hAnsi="Verdana" w:cs="Arial"/>
                <w:lang w:val="es-ES" w:eastAsia="es-ES"/>
              </w:rPr>
              <w:t>CONVENIOS</w:t>
            </w:r>
            <w:r>
              <w:rPr>
                <w:rFonts w:ascii="Verdana" w:eastAsia="Calibri" w:hAnsi="Verdana" w:cs="Arial"/>
                <w:lang w:val="es-ES" w:eastAsia="es-ES"/>
              </w:rPr>
              <w:t xml:space="preserve"> </w:t>
            </w:r>
            <w:r w:rsidRPr="00CA09D8">
              <w:rPr>
                <w:rFonts w:ascii="Verdana" w:eastAsia="Calibri" w:hAnsi="Verdana" w:cs="Arial"/>
                <w:lang w:val="es-ES" w:eastAsia="es-ES"/>
              </w:rPr>
              <w:t>INTERADMINISTRATIVOS</w:t>
            </w:r>
            <w:r w:rsidRPr="00C50D8F">
              <w:rPr>
                <w:rFonts w:ascii="Verdana" w:eastAsia="Calibri" w:hAnsi="Verdana" w:cs="Arial"/>
                <w:lang w:val="es-ES" w:eastAsia="es-ES"/>
              </w:rPr>
              <w:t xml:space="preserve"> Entidades territoriales – Personas jurídicas – Capacidad contractual / ESQUEMAS ASOCIATIVOS TERRITORIALES – EGCAP</w:t>
            </w:r>
            <w:r w:rsidRPr="00CA09D8">
              <w:rPr>
                <w:rFonts w:ascii="Verdana" w:eastAsia="Calibri" w:hAnsi="Verdana" w:cs="Arial"/>
                <w:lang w:val="es-ES" w:eastAsia="es-ES"/>
              </w:rPr>
              <w:t xml:space="preserve"> – Esquemas asociativos territoriales – Limitaciones / LEY DE GARANTÍAS – Restricciones – Convenios interadministrativos – Ejecución de recursos públicos – Alcance                  </w:t>
            </w:r>
          </w:p>
          <w:p w14:paraId="15D2334B" w14:textId="16E422AE" w:rsidR="00CA09D8" w:rsidRPr="00CA09D8" w:rsidRDefault="00CA09D8" w:rsidP="00E3340B">
            <w:pPr>
              <w:spacing w:after="160" w:line="276" w:lineRule="auto"/>
              <w:ind w:left="720"/>
              <w:contextualSpacing/>
              <w:jc w:val="both"/>
              <w:rPr>
                <w:rFonts w:ascii="Verdana" w:eastAsia="Calibri" w:hAnsi="Verdana" w:cs="Arial"/>
                <w:lang w:val="es-ES" w:eastAsia="es-ES"/>
              </w:rPr>
            </w:pPr>
            <w:r w:rsidRPr="00CA09D8">
              <w:rPr>
                <w:rFonts w:ascii="Verdana" w:eastAsia="Calibri" w:hAnsi="Verdana" w:cs="Arial"/>
                <w:lang w:val="es-ES" w:eastAsia="es-ES"/>
              </w:rPr>
              <w:t xml:space="preserve">  </w:t>
            </w:r>
          </w:p>
        </w:tc>
      </w:tr>
      <w:tr w:rsidR="00CA09D8" w:rsidRPr="00CA09D8" w14:paraId="44A40E4D" w14:textId="77777777" w:rsidTr="00055B5B">
        <w:tc>
          <w:tcPr>
            <w:tcW w:w="2689" w:type="dxa"/>
          </w:tcPr>
          <w:p w14:paraId="5FFABC91" w14:textId="77777777" w:rsidR="00CA09D8" w:rsidRPr="00CA09D8" w:rsidRDefault="00CA09D8" w:rsidP="00CA09D8">
            <w:pPr>
              <w:spacing w:after="160" w:line="259" w:lineRule="auto"/>
              <w:ind w:left="720"/>
              <w:contextualSpacing/>
              <w:jc w:val="both"/>
              <w:rPr>
                <w:rFonts w:ascii="Verdana" w:eastAsia="Calibri" w:hAnsi="Verdana" w:cs="Arial"/>
                <w:b/>
                <w:lang w:val="es-ES_tradnl" w:eastAsia="es-ES_tradnl"/>
              </w:rPr>
            </w:pPr>
            <w:r w:rsidRPr="00CA09D8">
              <w:rPr>
                <w:rFonts w:ascii="Verdana" w:eastAsia="Calibri" w:hAnsi="Verdana" w:cs="Arial"/>
                <w:b/>
                <w:lang w:val="es-ES_tradnl" w:eastAsia="es-ES_tradnl"/>
              </w:rPr>
              <w:t>Radicación:</w:t>
            </w:r>
            <w:r w:rsidRPr="00CA09D8">
              <w:rPr>
                <w:rFonts w:ascii="Verdana" w:eastAsia="Calibri" w:hAnsi="Verdana" w:cs="Arial"/>
                <w:lang w:val="es-ES_tradnl" w:eastAsia="es-ES_tradnl"/>
              </w:rPr>
              <w:t xml:space="preserve">               </w:t>
            </w:r>
          </w:p>
        </w:tc>
        <w:tc>
          <w:tcPr>
            <w:tcW w:w="6100" w:type="dxa"/>
          </w:tcPr>
          <w:p w14:paraId="3120EA42" w14:textId="77777777" w:rsidR="00CA09D8" w:rsidRPr="00CA09D8" w:rsidRDefault="00CA09D8" w:rsidP="00CA09D8">
            <w:pPr>
              <w:spacing w:after="160" w:line="276" w:lineRule="auto"/>
              <w:ind w:left="720"/>
              <w:contextualSpacing/>
              <w:jc w:val="both"/>
              <w:rPr>
                <w:rFonts w:ascii="Verdana" w:eastAsia="Calibri" w:hAnsi="Verdana" w:cs="Arial"/>
                <w:lang w:val="es-ES_tradnl" w:eastAsia="es-ES_tradnl"/>
              </w:rPr>
            </w:pPr>
            <w:r w:rsidRPr="00CA09D8">
              <w:rPr>
                <w:rFonts w:ascii="Verdana" w:eastAsia="Calibri" w:hAnsi="Verdana" w:cs="Arial"/>
                <w:lang w:val="es-ES_tradnl" w:eastAsia="es-ES_tradnl"/>
              </w:rPr>
              <w:t xml:space="preserve">Respuesta a la consulta con radicado No. </w:t>
            </w:r>
            <w:r w:rsidRPr="00CA09D8">
              <w:rPr>
                <w:rFonts w:ascii="Verdana" w:hAnsi="Verdana" w:cs="Calibri"/>
                <w:color w:val="000000"/>
                <w:lang w:val="es-ES"/>
              </w:rPr>
              <w:t>1_2026_04_24_005611</w:t>
            </w:r>
          </w:p>
          <w:p w14:paraId="56C7A8D0" w14:textId="77777777" w:rsidR="00CA09D8" w:rsidRPr="00CA09D8" w:rsidRDefault="00CA09D8" w:rsidP="00CA09D8">
            <w:pPr>
              <w:spacing w:after="160" w:line="276" w:lineRule="auto"/>
              <w:ind w:left="720"/>
              <w:contextualSpacing/>
              <w:jc w:val="both"/>
              <w:rPr>
                <w:rFonts w:ascii="Verdana" w:eastAsia="Calibri" w:hAnsi="Verdana" w:cs="Arial"/>
                <w:lang w:val="es-ES_tradnl" w:eastAsia="es-ES_tradnl"/>
              </w:rPr>
            </w:pPr>
          </w:p>
        </w:tc>
      </w:tr>
    </w:tbl>
    <w:p w14:paraId="64C57889" w14:textId="77777777" w:rsidR="00CA09D8" w:rsidRPr="00CA09D8" w:rsidRDefault="00CA09D8" w:rsidP="00CA09D8">
      <w:pPr>
        <w:spacing w:after="0" w:line="240" w:lineRule="auto"/>
        <w:jc w:val="both"/>
        <w:rPr>
          <w:rFonts w:ascii="Verdana" w:eastAsia="Calibri" w:hAnsi="Verdana" w:cs="Arial"/>
          <w:color w:val="000000"/>
          <w:lang w:val="es-ES_tradnl" w:eastAsia="es-ES_tradnl"/>
        </w:rPr>
      </w:pPr>
    </w:p>
    <w:p w14:paraId="06AE1470" w14:textId="77777777" w:rsidR="00CA09D8" w:rsidRPr="00CA09D8" w:rsidRDefault="00CA09D8" w:rsidP="00CA09D8">
      <w:pPr>
        <w:spacing w:after="0" w:line="276" w:lineRule="auto"/>
        <w:jc w:val="both"/>
        <w:rPr>
          <w:rFonts w:ascii="Verdana" w:eastAsia="Calibri" w:hAnsi="Verdana" w:cs="Arial"/>
          <w:lang w:val="es-ES" w:eastAsia="es-ES"/>
        </w:rPr>
      </w:pPr>
      <w:r w:rsidRPr="00CA09D8">
        <w:rPr>
          <w:rFonts w:ascii="Verdana" w:eastAsia="Calibri" w:hAnsi="Verdana" w:cs="Arial"/>
          <w:lang w:val="es-ES" w:eastAsia="es-ES"/>
        </w:rPr>
        <w:t xml:space="preserve">Estimado señor Camaño: </w:t>
      </w:r>
    </w:p>
    <w:p w14:paraId="5F52B90B" w14:textId="77777777" w:rsidR="00CA09D8" w:rsidRPr="00CA09D8" w:rsidRDefault="00CA09D8" w:rsidP="00CA09D8">
      <w:pPr>
        <w:tabs>
          <w:tab w:val="left" w:pos="3768"/>
        </w:tabs>
        <w:spacing w:after="0" w:line="276" w:lineRule="auto"/>
        <w:jc w:val="both"/>
        <w:rPr>
          <w:rFonts w:ascii="Verdana" w:eastAsia="Calibri" w:hAnsi="Verdana" w:cs="Arial"/>
          <w:color w:val="000000" w:themeColor="text1"/>
          <w:lang w:val="es-ES" w:eastAsia="es-ES"/>
        </w:rPr>
      </w:pPr>
      <w:r w:rsidRPr="00CA09D8">
        <w:rPr>
          <w:rFonts w:ascii="Verdana" w:eastAsia="Calibri" w:hAnsi="Verdana" w:cs="Arial"/>
          <w:color w:val="000000" w:themeColor="text1"/>
          <w:lang w:val="es-ES" w:eastAsia="es-ES"/>
        </w:rPr>
        <w:tab/>
      </w:r>
    </w:p>
    <w:p w14:paraId="0391C938" w14:textId="77777777" w:rsidR="00CA09D8" w:rsidRPr="00CA09D8" w:rsidRDefault="00CA09D8" w:rsidP="00CA09D8">
      <w:pPr>
        <w:spacing w:after="0" w:line="276" w:lineRule="auto"/>
        <w:jc w:val="both"/>
        <w:rPr>
          <w:rFonts w:ascii="Verdana" w:eastAsia="Calibri" w:hAnsi="Verdana" w:cs="Arial"/>
          <w:color w:val="7030A0"/>
          <w:lang w:val="es-ES" w:eastAsia="es-ES"/>
        </w:rPr>
      </w:pPr>
      <w:r w:rsidRPr="00CA09D8">
        <w:rPr>
          <w:rFonts w:ascii="Verdana" w:eastAsia="Calibri" w:hAnsi="Verdana" w:cs="Arial"/>
          <w:color w:val="000000" w:themeColor="text1"/>
          <w:lang w:val="es-ES" w:eastAsia="es-ES"/>
        </w:rPr>
        <w:t>En ejercicio de la competencia otorgada por los artículos 3, numeral 5º, y 11, numeral 8º, del Decreto Ley 4170 de 2011,</w:t>
      </w:r>
      <w:r w:rsidRPr="00CA09D8">
        <w:rPr>
          <w:rFonts w:ascii="Verdana" w:eastAsia="Arial MT" w:hAnsi="Verdana" w:cs="Arial MT"/>
          <w:lang w:val="es-ES" w:eastAsia="es-ES"/>
        </w:rPr>
        <w:t xml:space="preserve"> </w:t>
      </w:r>
      <w:r w:rsidRPr="00CA09D8">
        <w:rPr>
          <w:rFonts w:ascii="Verdana" w:hAnsi="Verdana" w:cs="Arial"/>
        </w:rPr>
        <w:t xml:space="preserve">así como lo establecido en el artículo 4 de la Resolución 469 de 2025 expedida por esta Entidad, </w:t>
      </w:r>
      <w:r w:rsidRPr="00CA09D8">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CA09D8">
        <w:rPr>
          <w:rFonts w:ascii="Verdana" w:eastAsia="Calibri" w:hAnsi="Verdana" w:cs="Arial"/>
          <w:lang w:val="es-ES" w:eastAsia="es-ES"/>
        </w:rPr>
        <w:t xml:space="preserve">fecha 24 de abril de 2026, donde solicita conceptuar sobre el siguiente aspecto: </w:t>
      </w:r>
    </w:p>
    <w:p w14:paraId="7A380928" w14:textId="77777777" w:rsidR="00CA09D8" w:rsidRDefault="00CA09D8" w:rsidP="00CA09D8">
      <w:pPr>
        <w:spacing w:after="0" w:line="240" w:lineRule="auto"/>
        <w:ind w:left="709" w:right="709"/>
        <w:jc w:val="both"/>
        <w:rPr>
          <w:rFonts w:ascii="Verdana" w:eastAsia="Century Gothic" w:hAnsi="Verdana" w:cs="Century Gothic"/>
          <w:sz w:val="20"/>
          <w:szCs w:val="20"/>
          <w:lang w:val="es-ES"/>
        </w:rPr>
      </w:pPr>
    </w:p>
    <w:p w14:paraId="3194CBB3" w14:textId="77777777" w:rsidR="00E3340B" w:rsidRPr="00CA09D8" w:rsidRDefault="00E3340B" w:rsidP="00CA09D8">
      <w:pPr>
        <w:spacing w:after="0" w:line="240" w:lineRule="auto"/>
        <w:ind w:left="709" w:right="709"/>
        <w:jc w:val="both"/>
        <w:rPr>
          <w:rFonts w:ascii="Verdana" w:eastAsia="Century Gothic" w:hAnsi="Verdana" w:cs="Century Gothic"/>
          <w:sz w:val="20"/>
          <w:szCs w:val="20"/>
          <w:lang w:val="es-ES"/>
        </w:rPr>
      </w:pPr>
    </w:p>
    <w:p w14:paraId="52C42AEE" w14:textId="07D2AAC8" w:rsidR="00CA09D8" w:rsidRDefault="00CA09D8" w:rsidP="00CD2E16">
      <w:pPr>
        <w:spacing w:after="0" w:line="240" w:lineRule="auto"/>
        <w:ind w:left="737" w:right="737"/>
        <w:jc w:val="both"/>
        <w:rPr>
          <w:rFonts w:ascii="Verdana" w:eastAsia="Century Gothic" w:hAnsi="Verdana" w:cs="Century Gothic"/>
          <w:sz w:val="20"/>
          <w:szCs w:val="20"/>
          <w:lang w:val="es-ES"/>
        </w:rPr>
      </w:pPr>
      <w:r w:rsidRPr="00CA09D8">
        <w:rPr>
          <w:rFonts w:ascii="Verdana" w:eastAsia="Century Gothic" w:hAnsi="Verdana" w:cs="Century Gothic"/>
          <w:sz w:val="20"/>
          <w:szCs w:val="20"/>
          <w:lang w:val="es-ES"/>
        </w:rPr>
        <w:t xml:space="preserve">En Colombia se ha dinamizado la creación y funcionamiento de Esquemas Asociativos Territoriales (EAT), con procesos misionales </w:t>
      </w:r>
      <w:r w:rsidRPr="00CA09D8">
        <w:rPr>
          <w:rFonts w:ascii="Verdana" w:eastAsia="Century Gothic" w:hAnsi="Verdana" w:cs="Century Gothic"/>
          <w:sz w:val="20"/>
          <w:szCs w:val="20"/>
          <w:lang w:val="es-ES"/>
        </w:rPr>
        <w:lastRenderedPageBreak/>
        <w:t xml:space="preserve">interjurisdiccionales, </w:t>
      </w:r>
      <w:proofErr w:type="gramStart"/>
      <w:r w:rsidRPr="00CA09D8">
        <w:rPr>
          <w:rFonts w:ascii="Verdana" w:eastAsia="Century Gothic" w:hAnsi="Verdana" w:cs="Century Gothic"/>
          <w:sz w:val="20"/>
          <w:szCs w:val="20"/>
          <w:lang w:val="es-ES"/>
        </w:rPr>
        <w:t>que</w:t>
      </w:r>
      <w:proofErr w:type="gramEnd"/>
      <w:r w:rsidRPr="00CA09D8">
        <w:rPr>
          <w:rFonts w:ascii="Verdana" w:eastAsia="Century Gothic" w:hAnsi="Verdana" w:cs="Century Gothic"/>
          <w:sz w:val="20"/>
          <w:szCs w:val="20"/>
          <w:lang w:val="es-ES"/>
        </w:rPr>
        <w:t xml:space="preserve"> por mandato legal, su régimen de contratación es el EGCP. ¿Qué naturaleza jurídica y alcance, para efectos de restricciones de ley de garantías electorales, </w:t>
      </w:r>
      <w:proofErr w:type="gramStart"/>
      <w:r w:rsidRPr="00CA09D8">
        <w:rPr>
          <w:rFonts w:ascii="Verdana" w:eastAsia="Century Gothic" w:hAnsi="Verdana" w:cs="Century Gothic"/>
          <w:sz w:val="20"/>
          <w:szCs w:val="20"/>
          <w:lang w:val="es-ES"/>
        </w:rPr>
        <w:t>darle</w:t>
      </w:r>
      <w:proofErr w:type="gramEnd"/>
      <w:r w:rsidRPr="00CA09D8">
        <w:rPr>
          <w:rFonts w:ascii="Verdana" w:eastAsia="Century Gothic" w:hAnsi="Verdana" w:cs="Century Gothic"/>
          <w:sz w:val="20"/>
          <w:szCs w:val="20"/>
          <w:lang w:val="es-ES"/>
        </w:rPr>
        <w:t xml:space="preserve"> a acuerdos de cooperación institucional entre un EAT y una Caja de Compensación Familiar?</w:t>
      </w:r>
    </w:p>
    <w:p w14:paraId="4EF2F7D2" w14:textId="77777777" w:rsidR="00E3340B" w:rsidRPr="00CA09D8" w:rsidRDefault="00E3340B" w:rsidP="00E3340B">
      <w:pPr>
        <w:spacing w:after="0" w:line="240" w:lineRule="auto"/>
        <w:ind w:left="737" w:right="737"/>
        <w:jc w:val="both"/>
        <w:rPr>
          <w:rFonts w:ascii="Verdana" w:eastAsia="Century Gothic" w:hAnsi="Verdana" w:cs="Century Gothic"/>
          <w:sz w:val="20"/>
          <w:szCs w:val="20"/>
          <w:lang w:val="es-ES"/>
        </w:rPr>
      </w:pPr>
    </w:p>
    <w:p w14:paraId="4AAFDFC6" w14:textId="77777777" w:rsidR="00CA09D8" w:rsidRPr="00CA09D8" w:rsidRDefault="00CA09D8" w:rsidP="00CA09D8">
      <w:pPr>
        <w:spacing w:after="120" w:line="276" w:lineRule="auto"/>
        <w:ind w:firstLine="709"/>
        <w:jc w:val="both"/>
        <w:rPr>
          <w:rFonts w:ascii="Verdana" w:eastAsia="Calibri" w:hAnsi="Verdana" w:cs="Arial"/>
          <w:color w:val="000000"/>
          <w:lang w:val="es-ES" w:eastAsia="es-ES"/>
        </w:rPr>
      </w:pPr>
      <w:r w:rsidRPr="00CA09D8">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A09D8">
        <w:rPr>
          <w:rFonts w:ascii="Verdana" w:eastAsia="Calibri" w:hAnsi="Verdana" w:cs="Arial"/>
          <w:color w:val="000000"/>
          <w:szCs w:val="24"/>
          <w:lang w:val="es-ES_tradnl" w:eastAsia="es-ES_tradnl"/>
        </w:rPr>
        <w:tab/>
      </w:r>
    </w:p>
    <w:p w14:paraId="58289DAC" w14:textId="77777777" w:rsidR="00CA09D8" w:rsidRPr="00CA09D8" w:rsidRDefault="00CA09D8" w:rsidP="00CA09D8">
      <w:pPr>
        <w:spacing w:after="0" w:line="276" w:lineRule="auto"/>
        <w:ind w:firstLine="709"/>
        <w:jc w:val="both"/>
        <w:rPr>
          <w:rFonts w:ascii="Verdana" w:eastAsia="Calibri" w:hAnsi="Verdana" w:cs="Arial"/>
          <w:color w:val="000000"/>
          <w:lang w:val="es-ES" w:eastAsia="es-ES"/>
        </w:rPr>
      </w:pPr>
      <w:r w:rsidRPr="00CA09D8">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CA09D8">
        <w:rPr>
          <w:rFonts w:ascii="Verdana" w:eastAsia="Calibri" w:hAnsi="Verdana" w:cs="Arial"/>
          <w:color w:val="7030A0"/>
          <w:lang w:val="es-ES" w:eastAsia="es-ES"/>
        </w:rPr>
        <w:t xml:space="preserve"> </w:t>
      </w:r>
      <w:r w:rsidRPr="00CA09D8">
        <w:rPr>
          <w:rFonts w:ascii="Verdana" w:eastAsia="Calibri" w:hAnsi="Verdana" w:cs="Arial"/>
          <w:color w:val="000000"/>
          <w:lang w:val="es-ES" w:eastAsia="es-ES"/>
        </w:rPr>
        <w:t>problema</w:t>
      </w:r>
      <w:r w:rsidRPr="00CA09D8">
        <w:rPr>
          <w:rFonts w:ascii="Verdana" w:eastAsia="Calibri" w:hAnsi="Verdana" w:cs="Arial"/>
          <w:color w:val="7030A0"/>
          <w:lang w:val="es-ES" w:eastAsia="es-ES"/>
        </w:rPr>
        <w:t xml:space="preserve"> </w:t>
      </w:r>
      <w:r w:rsidRPr="00CA09D8">
        <w:rPr>
          <w:rFonts w:ascii="Verdana" w:eastAsia="Calibri" w:hAnsi="Verdana" w:cs="Arial"/>
          <w:color w:val="000000"/>
          <w:lang w:val="es-ES" w:eastAsia="es-ES"/>
        </w:rPr>
        <w:t>jurídico</w:t>
      </w:r>
      <w:r w:rsidRPr="00CA09D8">
        <w:rPr>
          <w:rFonts w:ascii="Verdana" w:eastAsia="Calibri" w:hAnsi="Verdana" w:cs="Arial"/>
          <w:color w:val="7030A0"/>
          <w:lang w:val="es-ES" w:eastAsia="es-ES"/>
        </w:rPr>
        <w:t xml:space="preserve"> </w:t>
      </w:r>
      <w:r w:rsidRPr="00CA09D8">
        <w:rPr>
          <w:rFonts w:ascii="Verdana" w:eastAsia="Calibri" w:hAnsi="Verdana" w:cs="Arial"/>
          <w:color w:val="000000"/>
          <w:lang w:val="es-ES" w:eastAsia="es-ES"/>
        </w:rPr>
        <w:t xml:space="preserve">de su consulta.  </w:t>
      </w:r>
    </w:p>
    <w:p w14:paraId="2935BB28" w14:textId="77777777" w:rsidR="00CA09D8" w:rsidRPr="00CA09D8" w:rsidRDefault="00CA09D8" w:rsidP="00CA09D8">
      <w:pPr>
        <w:spacing w:after="0" w:line="276" w:lineRule="auto"/>
        <w:ind w:firstLine="709"/>
        <w:jc w:val="both"/>
        <w:rPr>
          <w:rFonts w:ascii="Verdana" w:eastAsia="Calibri" w:hAnsi="Verdana" w:cs="Arial"/>
          <w:color w:val="000000"/>
          <w:lang w:val="es-ES" w:eastAsia="es-ES"/>
        </w:rPr>
      </w:pPr>
    </w:p>
    <w:p w14:paraId="0D59C80C" w14:textId="77777777" w:rsidR="00CA09D8" w:rsidRPr="00CA09D8" w:rsidRDefault="00CA09D8" w:rsidP="00CA09D8">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CA09D8">
        <w:rPr>
          <w:rFonts w:ascii="Verdana" w:eastAsia="Century Gothic" w:hAnsi="Verdana" w:cs="Century Gothic"/>
          <w:b/>
          <w:bCs/>
          <w:lang w:val="es-ES"/>
        </w:rPr>
        <w:t>Problema planteado:</w:t>
      </w:r>
    </w:p>
    <w:p w14:paraId="485C3805" w14:textId="77777777" w:rsidR="00CA09D8" w:rsidRPr="00CA09D8" w:rsidRDefault="00CA09D8" w:rsidP="00CA09D8">
      <w:pPr>
        <w:tabs>
          <w:tab w:val="left" w:pos="426"/>
        </w:tabs>
        <w:spacing w:after="0" w:line="276" w:lineRule="auto"/>
        <w:jc w:val="both"/>
        <w:rPr>
          <w:rFonts w:ascii="Verdana" w:eastAsia="Century Gothic" w:hAnsi="Verdana" w:cs="Century Gothic"/>
          <w:lang w:val="es-ES"/>
        </w:rPr>
      </w:pPr>
    </w:p>
    <w:p w14:paraId="083B6F92" w14:textId="55C6A024" w:rsidR="00AA2517" w:rsidRPr="00593A5F" w:rsidRDefault="00CA09D8" w:rsidP="00AA2517">
      <w:pPr>
        <w:spacing w:after="0" w:line="276" w:lineRule="auto"/>
        <w:jc w:val="both"/>
        <w:rPr>
          <w:rFonts w:ascii="Verdana" w:eastAsia="Century Gothic" w:hAnsi="Verdana" w:cs="Century Gothic"/>
        </w:rPr>
      </w:pPr>
      <w:r w:rsidRPr="4C65DEC6">
        <w:rPr>
          <w:rFonts w:ascii="Verdana" w:eastAsia="Century Gothic" w:hAnsi="Verdana" w:cs="Century Gothic"/>
        </w:rPr>
        <w:t xml:space="preserve">De acuerdo con el contenido de su solicitud, esta Agencia resolverá el siguiente problema jurídico </w:t>
      </w:r>
      <w:r w:rsidR="00AA2517" w:rsidRPr="4C65DEC6">
        <w:rPr>
          <w:rFonts w:ascii="Verdana" w:eastAsia="Century Gothic" w:hAnsi="Verdana" w:cs="Century Gothic"/>
        </w:rPr>
        <w:t xml:space="preserve">¿cuáles son las restricciones para los negocios jurídicos suscritos </w:t>
      </w:r>
      <w:r w:rsidR="38A223CB" w:rsidRPr="4C65DEC6">
        <w:rPr>
          <w:rFonts w:ascii="Verdana" w:eastAsia="Century Gothic" w:hAnsi="Verdana" w:cs="Century Gothic"/>
        </w:rPr>
        <w:t>por</w:t>
      </w:r>
      <w:r w:rsidR="00AA2517" w:rsidRPr="4C65DEC6">
        <w:rPr>
          <w:rFonts w:ascii="Verdana" w:eastAsia="Century Gothic" w:hAnsi="Verdana" w:cs="Century Gothic"/>
        </w:rPr>
        <w:t xml:space="preserve"> esquemas asociativos de entidades territoriales? </w:t>
      </w:r>
    </w:p>
    <w:p w14:paraId="21297D53" w14:textId="77777777" w:rsidR="00BE5A09" w:rsidRPr="00BE5A09" w:rsidRDefault="00BE5A09" w:rsidP="00CA09D8">
      <w:pPr>
        <w:spacing w:after="0" w:line="276" w:lineRule="auto"/>
        <w:jc w:val="both"/>
        <w:rPr>
          <w:rFonts w:ascii="Verdana" w:eastAsia="Century Gothic" w:hAnsi="Verdana" w:cs="Century Gothic"/>
        </w:rPr>
      </w:pPr>
    </w:p>
    <w:p w14:paraId="64DEDE93" w14:textId="77777777" w:rsidR="00CA09D8" w:rsidRPr="00CA09D8" w:rsidRDefault="00CA09D8" w:rsidP="00CA09D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A09D8">
        <w:rPr>
          <w:rFonts w:ascii="Verdana" w:eastAsia="Century Gothic" w:hAnsi="Verdana" w:cs="Century Gothic"/>
          <w:b/>
          <w:bCs/>
          <w:lang w:val="es-ES"/>
        </w:rPr>
        <w:t>Respuesta:</w:t>
      </w:r>
    </w:p>
    <w:p w14:paraId="550DA61C" w14:textId="77777777" w:rsidR="00CA09D8" w:rsidRPr="00CA09D8" w:rsidRDefault="00CA09D8" w:rsidP="00CA09D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A09D8" w:rsidRPr="00CA09D8" w14:paraId="7FED41D1" w14:textId="77777777" w:rsidTr="76966FD4">
        <w:trPr>
          <w:jc w:val="center"/>
        </w:trPr>
        <w:tc>
          <w:tcPr>
            <w:tcW w:w="8828" w:type="dxa"/>
          </w:tcPr>
          <w:p w14:paraId="7B25D754" w14:textId="77777777" w:rsidR="001C61B4" w:rsidRPr="00D41B5C"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bookmarkStart w:id="1" w:name="_Hlk171694685"/>
            <w:r w:rsidRPr="00D41B5C">
              <w:rPr>
                <w:rFonts w:ascii="Verdana" w:hAnsi="Verdana" w:cs="Arial"/>
                <w:color w:val="000000" w:themeColor="text1"/>
                <w:bdr w:val="none" w:sz="0" w:space="0" w:color="auto" w:frame="1"/>
                <w:lang w:val="es-ES"/>
              </w:rPr>
              <w:t xml:space="preserve">Los esquemas asociativos territoriales se definen en el numeral 1 del artículo 2 de la Ley 80 de 1993 como entidades estatales, para efectos de la aplicación del Estatuto General de Contratación de la Administración Pública –en adelante EGCAP-, por lo que este constituye su régimen contractual. Este argumento se refuerza con el artículo 10 de la Ley 1150 de 2007, que establece: “[…] Las cooperativas, las asociaciones conformadas por entidades </w:t>
            </w:r>
            <w:r w:rsidRPr="00D41B5C">
              <w:rPr>
                <w:rFonts w:ascii="Verdana" w:hAnsi="Verdana" w:cs="Arial"/>
                <w:color w:val="000000" w:themeColor="text1"/>
                <w:bdr w:val="none" w:sz="0" w:space="0" w:color="auto" w:frame="1"/>
                <w:lang w:val="es-ES"/>
              </w:rPr>
              <w:lastRenderedPageBreak/>
              <w:t xml:space="preserve">territoriales y en general los entes solidarios de carácter público estarán sometidos a las disposiciones del Estatuto General de Contratación de la Administración Pública”. </w:t>
            </w:r>
          </w:p>
          <w:p w14:paraId="75C2BBE8" w14:textId="77777777" w:rsidR="001C61B4" w:rsidRPr="00C50D8F"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r w:rsidRPr="0369E0E4">
              <w:rPr>
                <w:rFonts w:ascii="Verdana" w:hAnsi="Verdana" w:cs="Arial"/>
                <w:color w:val="000000" w:themeColor="text1"/>
                <w:bdr w:val="none" w:sz="0" w:space="0" w:color="auto" w:frame="1"/>
                <w:lang w:val="es-ES"/>
              </w:rPr>
              <w:t xml:space="preserve">Lo anterior implica que los procedimientos que los esquemas asociativos territoriales deben llevar a cabo para seleccionar a sus contratistas son los establecidos en el </w:t>
            </w:r>
            <w:r w:rsidRPr="00D41B5C">
              <w:rPr>
                <w:rFonts w:ascii="Verdana" w:hAnsi="Verdana" w:cs="Arial"/>
                <w:color w:val="000000" w:themeColor="text1"/>
                <w:bdr w:val="none" w:sz="0" w:space="0" w:color="auto" w:frame="1"/>
                <w:lang w:val="es-ES"/>
              </w:rPr>
              <w:t>EGCAP</w:t>
            </w:r>
            <w:r w:rsidRPr="0369E0E4">
              <w:rPr>
                <w:rFonts w:ascii="Verdana" w:hAnsi="Verdana" w:cs="Arial"/>
                <w:color w:val="000000" w:themeColor="text1"/>
                <w:bdr w:val="none" w:sz="0" w:space="0" w:color="auto" w:frame="1"/>
                <w:lang w:val="es-ES"/>
              </w:rPr>
              <w:t>, los cuales se encuentran regulados actualmente en el artículo 2 de la Ley 1150 de 2007. Así las cosas, para cumplir la finalidad atribuida a los esquemas asociativos territoriales, estos pueden emplear cualquiera de los procedimientos de selección de contratistas establecidos en dicho artículo, de acuerdo con las causales y criterios de procedencia de cada una de dichas modalidades de selección.</w:t>
            </w:r>
          </w:p>
          <w:p w14:paraId="4AAFA000" w14:textId="77777777" w:rsidR="001C61B4" w:rsidRPr="00D41B5C"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r w:rsidRPr="0369E0E4">
              <w:rPr>
                <w:rFonts w:ascii="Verdana" w:hAnsi="Verdana" w:cs="Arial"/>
                <w:color w:val="000000" w:themeColor="text1"/>
                <w:bdr w:val="none" w:sz="0" w:space="0" w:color="auto" w:frame="1"/>
                <w:lang w:val="es-ES"/>
              </w:rPr>
              <w:t xml:space="preserve">En otras palabras, </w:t>
            </w:r>
            <w:r w:rsidRPr="00D41B5C">
              <w:rPr>
                <w:rFonts w:ascii="Verdana" w:hAnsi="Verdana" w:cs="Arial"/>
                <w:color w:val="000000" w:themeColor="text1"/>
                <w:bdr w:val="none" w:sz="0" w:space="0" w:color="auto" w:frame="1"/>
                <w:lang w:val="es-ES"/>
              </w:rPr>
              <w:t>teniendo en cuenta cada necesidad, y de acuerdo con el objeto a contratar, los esquemas asociativos territoriales, como contratantes y destinatarios del EGCAP, deberán adelantar los diferentes procesos de selección, ya sea de licitación pública, selección abreviada, concurso de méritos, mínima cuantía o contratación directa, sin perjuicio de atender las mismas restricciones previstas por la Ley para la procedencia de algunas de estas modalidades. Esto simplemente reitera la idea orientadora, en el sentido de que, al tratarse de entidades estatales sometidas al EGCAP, cuando fungen como contratantes, para seleccionar a sus contratistas deberán aplicar los procedimientos de selección establecidos para las entidades sometidas a dicho estatuto contractual.</w:t>
            </w:r>
          </w:p>
          <w:p w14:paraId="115AAF59" w14:textId="77777777" w:rsidR="001C61B4" w:rsidRPr="00D41B5C"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r w:rsidRPr="00D41B5C">
              <w:rPr>
                <w:rFonts w:ascii="Verdana" w:hAnsi="Verdana" w:cs="Arial"/>
                <w:color w:val="000000" w:themeColor="text1"/>
                <w:bdr w:val="none" w:sz="0" w:space="0" w:color="auto" w:frame="1"/>
                <w:lang w:val="es-ES"/>
              </w:rPr>
              <w:t xml:space="preserve">En todo caso, el parágrafo del artículo 38 de la Ley 996 de 2005 prohíbe a los </w:t>
            </w:r>
            <w:proofErr w:type="gramStart"/>
            <w:r w:rsidRPr="00D41B5C">
              <w:rPr>
                <w:rFonts w:ascii="Verdana" w:hAnsi="Verdana" w:cs="Arial"/>
                <w:color w:val="000000" w:themeColor="text1"/>
                <w:bdr w:val="none" w:sz="0" w:space="0" w:color="auto" w:frame="1"/>
                <w:lang w:val="es-ES"/>
              </w:rPr>
              <w:t>Alcaldes</w:t>
            </w:r>
            <w:proofErr w:type="gramEnd"/>
            <w:r w:rsidRPr="00D41B5C">
              <w:rPr>
                <w:rFonts w:ascii="Verdana" w:hAnsi="Verdana" w:cs="Arial"/>
                <w:color w:val="000000" w:themeColor="text1"/>
                <w:bdr w:val="none" w:sz="0" w:space="0" w:color="auto" w:frame="1"/>
                <w:lang w:val="es-ES"/>
              </w:rPr>
              <w:t xml:space="preserve">, </w:t>
            </w:r>
            <w:proofErr w:type="spellStart"/>
            <w:r w:rsidRPr="00D41B5C">
              <w:rPr>
                <w:rFonts w:ascii="Verdana" w:hAnsi="Verdana" w:cs="Arial"/>
                <w:color w:val="000000" w:themeColor="text1"/>
                <w:bdr w:val="none" w:sz="0" w:space="0" w:color="auto" w:frame="1"/>
                <w:lang w:val="es-ES"/>
              </w:rPr>
              <w:t>Gobernadres</w:t>
            </w:r>
            <w:proofErr w:type="spellEnd"/>
            <w:r w:rsidRPr="00D41B5C">
              <w:rPr>
                <w:rFonts w:ascii="Verdana" w:hAnsi="Verdana" w:cs="Arial"/>
                <w:color w:val="000000" w:themeColor="text1"/>
                <w:bdr w:val="none" w:sz="0" w:space="0" w:color="auto" w:frame="1"/>
                <w:lang w:val="es-ES"/>
              </w:rPr>
              <w:t xml:space="preserve">, </w:t>
            </w:r>
            <w:proofErr w:type="gramStart"/>
            <w:r w:rsidRPr="00D41B5C">
              <w:rPr>
                <w:rFonts w:ascii="Verdana" w:hAnsi="Verdana" w:cs="Arial"/>
                <w:color w:val="000000" w:themeColor="text1"/>
                <w:bdr w:val="none" w:sz="0" w:space="0" w:color="auto" w:frame="1"/>
                <w:lang w:val="es-ES"/>
              </w:rPr>
              <w:t>Secretarios</w:t>
            </w:r>
            <w:proofErr w:type="gramEnd"/>
            <w:r w:rsidRPr="00D41B5C">
              <w:rPr>
                <w:rFonts w:ascii="Verdana" w:hAnsi="Verdana" w:cs="Arial"/>
                <w:color w:val="000000" w:themeColor="text1"/>
                <w:bdr w:val="none" w:sz="0" w:space="0" w:color="auto" w:frame="1"/>
                <w:lang w:val="es-ES"/>
              </w:rPr>
              <w:t xml:space="preserve">, Gerentes y </w:t>
            </w:r>
            <w:proofErr w:type="gramStart"/>
            <w:r w:rsidRPr="00D41B5C">
              <w:rPr>
                <w:rFonts w:ascii="Verdana" w:hAnsi="Verdana" w:cs="Arial"/>
                <w:color w:val="000000" w:themeColor="text1"/>
                <w:bdr w:val="none" w:sz="0" w:space="0" w:color="auto" w:frame="1"/>
                <w:lang w:val="es-ES"/>
              </w:rPr>
              <w:t>Directores</w:t>
            </w:r>
            <w:proofErr w:type="gramEnd"/>
            <w:r w:rsidRPr="00D41B5C">
              <w:rPr>
                <w:rFonts w:ascii="Verdana" w:hAnsi="Verdana" w:cs="Arial"/>
                <w:color w:val="000000" w:themeColor="text1"/>
                <w:bdr w:val="none" w:sz="0" w:space="0" w:color="auto" w:frame="1"/>
                <w:lang w:val="es-ES"/>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w:t>
            </w:r>
          </w:p>
          <w:p w14:paraId="03644658" w14:textId="77777777" w:rsidR="001C61B4"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r w:rsidRPr="00D41B5C">
              <w:rPr>
                <w:rFonts w:ascii="Verdana" w:hAnsi="Verdana" w:cs="Arial"/>
                <w:color w:val="000000" w:themeColor="text1"/>
                <w:bdr w:val="none" w:sz="0" w:space="0" w:color="auto" w:frame="1"/>
                <w:lang w:val="es-ES"/>
              </w:rPr>
              <w:t xml:space="preserve">Respecto del alcance de esta prohibición la Circular Externa No. 006 de 2025 expedida por la ANCP-CCE, en los literales </w:t>
            </w:r>
            <w:proofErr w:type="spellStart"/>
            <w:r w:rsidRPr="00D41B5C">
              <w:rPr>
                <w:rFonts w:ascii="Verdana" w:hAnsi="Verdana" w:cs="Arial"/>
                <w:color w:val="000000" w:themeColor="text1"/>
                <w:bdr w:val="none" w:sz="0" w:space="0" w:color="auto" w:frame="1"/>
                <w:lang w:val="es-ES"/>
              </w:rPr>
              <w:t>ii</w:t>
            </w:r>
            <w:proofErr w:type="spellEnd"/>
            <w:r w:rsidRPr="00D41B5C">
              <w:rPr>
                <w:rFonts w:ascii="Verdana" w:hAnsi="Verdana" w:cs="Arial"/>
                <w:color w:val="000000" w:themeColor="text1"/>
                <w:bdr w:val="none" w:sz="0" w:space="0" w:color="auto" w:frame="1"/>
                <w:lang w:val="es-ES"/>
              </w:rPr>
              <w:t xml:space="preserve">) y </w:t>
            </w:r>
            <w:proofErr w:type="spellStart"/>
            <w:r w:rsidRPr="00D41B5C">
              <w:rPr>
                <w:rFonts w:ascii="Verdana" w:hAnsi="Verdana" w:cs="Arial"/>
                <w:color w:val="000000" w:themeColor="text1"/>
                <w:bdr w:val="none" w:sz="0" w:space="0" w:color="auto" w:frame="1"/>
                <w:lang w:val="es-ES"/>
              </w:rPr>
              <w:t>iv</w:t>
            </w:r>
            <w:proofErr w:type="spellEnd"/>
            <w:r w:rsidRPr="00D41B5C">
              <w:rPr>
                <w:rFonts w:ascii="Verdana" w:hAnsi="Verdana" w:cs="Arial"/>
                <w:color w:val="000000" w:themeColor="text1"/>
                <w:bdr w:val="none" w:sz="0" w:space="0" w:color="auto" w:frame="1"/>
                <w:lang w:val="es-ES"/>
              </w:rPr>
              <w:t xml:space="preserve">) del numeral 2, indica que el parágrafo del artículo 38 de la Ley 996 de 2005 cobija expresamente a los convenios interadministrativos en los que se contemple la ejecución de </w:t>
            </w:r>
            <w:r w:rsidRPr="00D41B5C">
              <w:rPr>
                <w:rFonts w:ascii="Verdana" w:hAnsi="Verdana" w:cs="Arial"/>
                <w:color w:val="000000" w:themeColor="text1"/>
                <w:bdr w:val="none" w:sz="0" w:space="0" w:color="auto" w:frame="1"/>
                <w:lang w:val="es-ES"/>
              </w:rPr>
              <w:lastRenderedPageBreak/>
              <w:t>recursos públicos. Además, precisa que 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 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0B916998" w14:textId="77777777" w:rsidR="001C61B4" w:rsidRPr="00D41B5C" w:rsidRDefault="001C61B4" w:rsidP="001C61B4">
            <w:pPr>
              <w:shd w:val="clear" w:color="auto" w:fill="FFFFFF" w:themeFill="background1"/>
              <w:spacing w:before="100" w:beforeAutospacing="1" w:after="100" w:afterAutospacing="1" w:line="276" w:lineRule="auto"/>
              <w:ind w:left="737" w:right="737"/>
              <w:contextualSpacing/>
              <w:jc w:val="both"/>
              <w:rPr>
                <w:rFonts w:ascii="Verdana" w:hAnsi="Verdana" w:cs="Arial"/>
                <w:color w:val="000000" w:themeColor="text1"/>
                <w:bdr w:val="none" w:sz="0" w:space="0" w:color="auto" w:frame="1"/>
                <w:lang w:val="es-ES"/>
              </w:rPr>
            </w:pPr>
          </w:p>
          <w:p w14:paraId="38EB5EDB" w14:textId="77777777" w:rsidR="001C61B4" w:rsidRPr="00D41B5C"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r w:rsidRPr="00D41B5C">
              <w:rPr>
                <w:rFonts w:ascii="Verdana" w:hAnsi="Verdana" w:cs="Arial"/>
                <w:color w:val="000000" w:themeColor="text1"/>
                <w:bdr w:val="none" w:sz="0" w:space="0" w:color="auto" w:frame="1"/>
                <w:lang w:val="es-ES"/>
              </w:rPr>
              <w:t>El ámbito de aplicación de la restricción prevista en el parágrafo del artículo 38 de la Ley 996 de 2005 comprende a los convenios interadministrativos en los que exista ejecución de recursos públicos, sin importar de que estos sean en dinero o en especie, ya que la norma no distingue. 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38A2DCF0" w14:textId="25E30D23" w:rsidR="001C61B4"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r w:rsidRPr="00D41B5C">
              <w:rPr>
                <w:rFonts w:ascii="Verdana" w:hAnsi="Verdana" w:cs="Arial"/>
                <w:color w:val="000000" w:themeColor="text1"/>
                <w:bdr w:val="none" w:sz="0" w:space="0" w:color="auto" w:frame="1"/>
                <w:lang w:val="es-ES"/>
              </w:rPr>
              <w:t>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w:t>
            </w:r>
          </w:p>
          <w:p w14:paraId="5B02B3CF" w14:textId="77777777" w:rsidR="001C61B4" w:rsidRPr="00D41B5C" w:rsidRDefault="001C61B4" w:rsidP="001C61B4">
            <w:pPr>
              <w:shd w:val="clear" w:color="auto" w:fill="FFFFFF" w:themeFill="background1"/>
              <w:spacing w:before="120" w:line="276" w:lineRule="auto"/>
              <w:ind w:firstLine="709"/>
              <w:jc w:val="both"/>
              <w:textAlignment w:val="baseline"/>
              <w:rPr>
                <w:rFonts w:ascii="Verdana" w:hAnsi="Verdana" w:cs="Arial"/>
                <w:color w:val="000000" w:themeColor="text1"/>
                <w:bdr w:val="none" w:sz="0" w:space="0" w:color="auto" w:frame="1"/>
                <w:lang w:val="es-ES"/>
              </w:rPr>
            </w:pPr>
            <w:r w:rsidRPr="00D41B5C">
              <w:rPr>
                <w:rFonts w:ascii="Verdana" w:hAnsi="Verdana" w:cs="Arial"/>
                <w:color w:val="000000" w:themeColor="text1"/>
                <w:bdr w:val="none" w:sz="0" w:space="0" w:color="auto" w:frame="1"/>
                <w:lang w:val="es-ES"/>
              </w:rPr>
              <w:t xml:space="preserve">Finalmente, aunque la Directiva Presidencial 06 del 14 de noviembre de 2023 instaba a los ministros, directores de los departamentos administrativos y representantes legales de las entidades descentralizadas de la rama ejecutiva del orden nacional a “[…] ejecutar directamente sus recursos y </w:t>
            </w:r>
            <w:r w:rsidRPr="00D41B5C">
              <w:rPr>
                <w:rFonts w:ascii="Verdana" w:hAnsi="Verdana" w:cs="Arial"/>
                <w:color w:val="000000" w:themeColor="text1"/>
                <w:bdr w:val="none" w:sz="0" w:space="0" w:color="auto" w:frame="1"/>
                <w:lang w:val="es-ES"/>
              </w:rPr>
              <w:lastRenderedPageBreak/>
              <w:t xml:space="preserve">evitarán acudir a otras entidades para que actúen como intermediarios en la ejecución de sus políticas y recursos públicos […]”, dicha instrucción no tenía por objeto a las entidades territoriales y, además, fue suspendida provisionalmente por el Consejo de Estado. Luego, no existe ningún lineamiento específico para “[…] evitar la intermediación o delegación indebida de funciones propias de la entidad ejecutora”. </w:t>
            </w:r>
          </w:p>
          <w:p w14:paraId="11B8F720" w14:textId="00903275" w:rsidR="00CA09D8" w:rsidRPr="00A0620B" w:rsidRDefault="001C61B4" w:rsidP="001C61B4">
            <w:pPr>
              <w:shd w:val="clear" w:color="auto" w:fill="FFFFFF" w:themeFill="background1"/>
              <w:spacing w:before="120" w:line="276" w:lineRule="auto"/>
              <w:ind w:firstLine="709"/>
              <w:jc w:val="both"/>
              <w:textAlignment w:val="baseline"/>
              <w:rPr>
                <w:rFonts w:ascii="Verdana" w:eastAsia="Arial" w:hAnsi="Verdana" w:cs="Arial"/>
                <w:lang w:val="es-MX" w:eastAsia="es-ES" w:bidi="es-ES"/>
              </w:rPr>
            </w:pPr>
            <w:r w:rsidRPr="00D41B5C">
              <w:rPr>
                <w:rFonts w:ascii="Verdana" w:hAnsi="Verdana" w:cs="Arial"/>
                <w:color w:val="000000" w:themeColor="text1"/>
                <w:bdr w:val="none" w:sz="0" w:space="0" w:color="auto" w:frame="1"/>
                <w:lang w:val="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C02DBCC" w14:textId="77777777" w:rsidR="00CA09D8" w:rsidRPr="00CA09D8" w:rsidRDefault="00CA09D8" w:rsidP="00CA09D8">
      <w:pPr>
        <w:tabs>
          <w:tab w:val="left" w:pos="142"/>
          <w:tab w:val="left" w:pos="284"/>
        </w:tabs>
        <w:spacing w:after="0" w:line="276" w:lineRule="auto"/>
        <w:jc w:val="both"/>
        <w:rPr>
          <w:rFonts w:ascii="Verdana" w:eastAsia="Century Gothic" w:hAnsi="Verdana" w:cs="Century Gothic"/>
          <w:b/>
          <w:bCs/>
          <w:lang w:val="es-ES"/>
        </w:rPr>
      </w:pPr>
    </w:p>
    <w:bookmarkEnd w:id="1"/>
    <w:p w14:paraId="24B6F81A" w14:textId="77777777" w:rsidR="00CA09D8" w:rsidRPr="00CA09D8" w:rsidRDefault="00CA09D8" w:rsidP="00CA09D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A09D8">
        <w:rPr>
          <w:rFonts w:ascii="Verdana" w:eastAsia="Century Gothic" w:hAnsi="Verdana" w:cs="Century Gothic"/>
          <w:b/>
          <w:bCs/>
          <w:lang w:val="es-ES"/>
        </w:rPr>
        <w:t>Razones de la respuesta:</w:t>
      </w:r>
    </w:p>
    <w:p w14:paraId="1A58D2DE" w14:textId="77777777" w:rsidR="00CA09D8" w:rsidRPr="00CA09D8" w:rsidRDefault="00CA09D8" w:rsidP="00CA09D8">
      <w:pPr>
        <w:tabs>
          <w:tab w:val="left" w:pos="1470"/>
          <w:tab w:val="left" w:pos="3630"/>
        </w:tabs>
        <w:spacing w:after="0" w:line="276" w:lineRule="auto"/>
        <w:jc w:val="both"/>
        <w:rPr>
          <w:rFonts w:ascii="Verdana" w:eastAsia="Calibri" w:hAnsi="Verdana" w:cs="Arial"/>
          <w:color w:val="7030A0"/>
          <w:lang w:val="es-ES"/>
        </w:rPr>
      </w:pPr>
      <w:r w:rsidRPr="00CA09D8">
        <w:rPr>
          <w:rFonts w:ascii="Verdana" w:eastAsia="Calibri" w:hAnsi="Verdana" w:cs="Arial"/>
          <w:color w:val="7030A0"/>
          <w:lang w:val="es-ES"/>
        </w:rPr>
        <w:tab/>
      </w:r>
      <w:r w:rsidRPr="00CA09D8">
        <w:rPr>
          <w:rFonts w:ascii="Verdana" w:eastAsia="Calibri" w:hAnsi="Verdana" w:cs="Arial"/>
          <w:color w:val="7030A0"/>
          <w:lang w:val="es-ES"/>
        </w:rPr>
        <w:tab/>
      </w:r>
    </w:p>
    <w:p w14:paraId="5C9E44D2" w14:textId="77777777" w:rsidR="00CA09D8" w:rsidRPr="00CA09D8" w:rsidRDefault="00CA09D8" w:rsidP="00CA09D8">
      <w:pPr>
        <w:spacing w:after="0" w:line="276" w:lineRule="auto"/>
        <w:jc w:val="both"/>
        <w:rPr>
          <w:rFonts w:ascii="Verdana" w:eastAsia="Calibri" w:hAnsi="Verdana" w:cs="Arial"/>
          <w:lang w:val="es-ES"/>
        </w:rPr>
      </w:pPr>
      <w:r w:rsidRPr="00CA09D8">
        <w:rPr>
          <w:rFonts w:ascii="Verdana" w:eastAsia="Calibri" w:hAnsi="Verdana" w:cs="Arial"/>
          <w:lang w:val="es-ES"/>
        </w:rPr>
        <w:t>Lo anterior se sustenta en las siguientes consideraciones:</w:t>
      </w:r>
    </w:p>
    <w:p w14:paraId="3EC312A4" w14:textId="77777777" w:rsidR="00CA09D8" w:rsidRPr="00CA09D8" w:rsidRDefault="00CA09D8" w:rsidP="00CA09D8">
      <w:pPr>
        <w:spacing w:after="0" w:line="276" w:lineRule="auto"/>
        <w:jc w:val="both"/>
        <w:rPr>
          <w:rFonts w:ascii="Verdana" w:eastAsia="Calibri" w:hAnsi="Verdana" w:cs="Arial"/>
          <w:lang w:val="es-ES"/>
        </w:rPr>
      </w:pPr>
    </w:p>
    <w:p w14:paraId="7F5A5BC4" w14:textId="0DD0DCBF" w:rsidR="00354E11" w:rsidRDefault="00943E1B" w:rsidP="00943E1B">
      <w:pPr>
        <w:spacing w:after="0" w:line="276" w:lineRule="auto"/>
        <w:jc w:val="both"/>
        <w:rPr>
          <w:rFonts w:ascii="Verdana" w:hAnsi="Verdana" w:cs="Arial"/>
          <w:color w:val="000000" w:themeColor="text1"/>
          <w:bdr w:val="none" w:sz="0" w:space="0" w:color="auto" w:frame="1"/>
          <w:lang w:val="es-ES_tradnl" w:eastAsia="es-MX"/>
        </w:rPr>
      </w:pPr>
      <w:r>
        <w:rPr>
          <w:rFonts w:ascii="Verdana" w:hAnsi="Verdana" w:cs="Arial"/>
          <w:color w:val="000000" w:themeColor="text1"/>
          <w:bdr w:val="none" w:sz="0" w:space="0" w:color="auto" w:frame="1"/>
          <w:lang w:val="es-ES_tradnl" w:eastAsia="es-MX"/>
        </w:rPr>
        <w:t>i.</w:t>
      </w:r>
      <w:r w:rsidR="00FC2B23">
        <w:rPr>
          <w:rFonts w:ascii="Verdana" w:hAnsi="Verdana" w:cs="Arial"/>
          <w:color w:val="000000" w:themeColor="text1"/>
          <w:bdr w:val="none" w:sz="0" w:space="0" w:color="auto" w:frame="1"/>
          <w:lang w:val="es-ES_tradnl" w:eastAsia="es-MX"/>
        </w:rPr>
        <w:t xml:space="preserve"> </w:t>
      </w:r>
      <w:r w:rsidR="00354E11" w:rsidRPr="00943E1B">
        <w:rPr>
          <w:rFonts w:ascii="Verdana" w:hAnsi="Verdana" w:cs="Arial"/>
          <w:color w:val="000000" w:themeColor="text1"/>
          <w:bdr w:val="none" w:sz="0" w:space="0" w:color="auto" w:frame="1"/>
          <w:lang w:val="es-ES_tradnl" w:eastAsia="es-MX"/>
        </w:rPr>
        <w:t xml:space="preserve">El artículo 286 de la Constitución Política establece que “Son entidades territoriales los departamentos, los distritos, los municipios y los territorios indígenas”. Además, dispone que “La ley podrá darles el carácter de entidades territoriales a las regiones y provincias que se constituyan en los términos de la Constitución y de la ley”. </w:t>
      </w:r>
    </w:p>
    <w:p w14:paraId="0732A732" w14:textId="77777777" w:rsidR="001C61B4" w:rsidRPr="00943E1B" w:rsidRDefault="001C61B4" w:rsidP="00943E1B">
      <w:pPr>
        <w:spacing w:after="0" w:line="276" w:lineRule="auto"/>
        <w:jc w:val="both"/>
        <w:rPr>
          <w:rFonts w:ascii="Verdana" w:eastAsia="Calibri" w:hAnsi="Verdana" w:cs="Arial"/>
        </w:rPr>
      </w:pPr>
    </w:p>
    <w:p w14:paraId="487F7167" w14:textId="77777777" w:rsidR="00354E11" w:rsidRPr="00C50D8F" w:rsidRDefault="00354E11" w:rsidP="00354E11">
      <w:pPr>
        <w:spacing w:after="120" w:line="276" w:lineRule="auto"/>
        <w:ind w:firstLine="708"/>
        <w:jc w:val="both"/>
        <w:rPr>
          <w:rFonts w:ascii="Verdana" w:hAnsi="Verdana" w:cs="Arial"/>
          <w:color w:val="000000" w:themeColor="text1"/>
          <w:bdr w:val="none" w:sz="0" w:space="0" w:color="auto" w:frame="1"/>
          <w:lang w:val="es-ES_tradnl" w:eastAsia="es-MX"/>
        </w:rPr>
      </w:pPr>
      <w:r w:rsidRPr="00C50D8F">
        <w:rPr>
          <w:rFonts w:ascii="Verdana" w:hAnsi="Verdana" w:cs="Arial"/>
          <w:color w:val="000000" w:themeColor="text1"/>
          <w:bdr w:val="none" w:sz="0" w:space="0" w:color="auto" w:frame="1"/>
          <w:lang w:val="es-ES_tradnl" w:eastAsia="es-MX"/>
        </w:rPr>
        <w:t xml:space="preserve">En desarrollo de este precepto </w:t>
      </w:r>
      <w:r>
        <w:rPr>
          <w:rFonts w:ascii="Verdana" w:hAnsi="Verdana" w:cs="Arial"/>
          <w:color w:val="000000" w:themeColor="text1"/>
          <w:bdr w:val="none" w:sz="0" w:space="0" w:color="auto" w:frame="1"/>
          <w:lang w:val="es-ES_tradnl" w:eastAsia="es-MX"/>
        </w:rPr>
        <w:t>constitucional</w:t>
      </w:r>
      <w:r w:rsidRPr="00C50D8F">
        <w:rPr>
          <w:rFonts w:ascii="Verdana" w:hAnsi="Verdana" w:cs="Arial"/>
          <w:color w:val="000000" w:themeColor="text1"/>
          <w:bdr w:val="none" w:sz="0" w:space="0" w:color="auto" w:frame="1"/>
          <w:lang w:val="es-ES_tradnl" w:eastAsia="es-MX"/>
        </w:rPr>
        <w:t xml:space="preserve">, la Ley 1454 de 2011, “por la cual se dictan normas orgánicas sobre ordenamiento territorial y se modifican otras disposiciones”, regula los denominados </w:t>
      </w:r>
      <w:r w:rsidRPr="00C50D8F">
        <w:rPr>
          <w:rFonts w:ascii="Verdana" w:hAnsi="Verdana" w:cs="Arial"/>
          <w:i/>
          <w:iCs/>
          <w:color w:val="000000" w:themeColor="text1"/>
          <w:bdr w:val="none" w:sz="0" w:space="0" w:color="auto" w:frame="1"/>
          <w:lang w:val="es-ES_tradnl" w:eastAsia="es-MX"/>
        </w:rPr>
        <w:t>esquemas asociativos territoriales</w:t>
      </w:r>
      <w:r w:rsidRPr="00C50D8F">
        <w:rPr>
          <w:rFonts w:ascii="Verdana" w:hAnsi="Verdana" w:cs="Arial"/>
          <w:color w:val="000000" w:themeColor="text1"/>
          <w:bdr w:val="none" w:sz="0" w:space="0" w:color="auto" w:frame="1"/>
          <w:lang w:val="es-ES_tradnl" w:eastAsia="es-MX"/>
        </w:rPr>
        <w:t>, como mecanismos de cooperación entre aquellas entidades. En tal sentido, el artículo 10 de dicha Ley señala que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p w14:paraId="5C2E585B" w14:textId="77777777" w:rsidR="00354E11" w:rsidRDefault="00354E11" w:rsidP="00354E11">
      <w:pPr>
        <w:spacing w:after="120" w:line="276" w:lineRule="auto"/>
        <w:ind w:firstLine="709"/>
        <w:jc w:val="both"/>
        <w:rPr>
          <w:rFonts w:ascii="Verdana" w:hAnsi="Verdana" w:cs="Arial"/>
          <w:color w:val="000000" w:themeColor="text1"/>
          <w:bdr w:val="none" w:sz="0" w:space="0" w:color="auto" w:frame="1"/>
          <w:lang w:eastAsia="es-MX"/>
        </w:rPr>
      </w:pPr>
      <w:r w:rsidRPr="00C50D8F">
        <w:rPr>
          <w:rFonts w:ascii="Verdana" w:hAnsi="Verdana" w:cs="Arial"/>
          <w:color w:val="000000" w:themeColor="text1"/>
          <w:bdr w:val="none" w:sz="0" w:space="0" w:color="auto" w:frame="1"/>
          <w:lang w:val="es-ES_tradnl" w:eastAsia="es-MX"/>
        </w:rPr>
        <w:lastRenderedPageBreak/>
        <w:t>En cuanto a la constitución de los esquemas asociativos territoriales, el artículo 11 de la Ley en comento establece que “</w:t>
      </w:r>
      <w:r w:rsidRPr="00C50D8F">
        <w:rPr>
          <w:rFonts w:ascii="Verdana" w:hAnsi="Verdana" w:cs="Arial"/>
          <w:color w:val="000000" w:themeColor="text1"/>
          <w:bdr w:val="none" w:sz="0" w:space="0" w:color="auto" w:frame="1"/>
          <w:lang w:eastAsia="es-MX"/>
        </w:rPr>
        <w:t xml:space="preserve">Las asociaciones de entidades territoriales se conformarán libremente por dos o más entes territoriales para prestar conjuntamente servicios públicos, funciones administrativas propias o asignadas al ente territorial por el nivel nacional, ejecutar obras de interés común o cumplir funciones de planificación, así como para procurar el desarrollo integral de sus territorios”. </w:t>
      </w:r>
    </w:p>
    <w:p w14:paraId="79007006" w14:textId="77777777" w:rsidR="00354E11" w:rsidRPr="00C50D8F" w:rsidRDefault="00354E11" w:rsidP="00354E11">
      <w:pPr>
        <w:spacing w:after="120" w:line="276" w:lineRule="auto"/>
        <w:ind w:firstLine="709"/>
        <w:jc w:val="both"/>
        <w:rPr>
          <w:rFonts w:ascii="Verdana" w:hAnsi="Verdana" w:cs="Arial"/>
          <w:color w:val="000000" w:themeColor="text1"/>
          <w:bdr w:val="none" w:sz="0" w:space="0" w:color="auto" w:frame="1"/>
          <w:lang w:eastAsia="es-MX"/>
        </w:rPr>
      </w:pPr>
      <w:r w:rsidRPr="00C50D8F">
        <w:rPr>
          <w:rFonts w:ascii="Verdana" w:hAnsi="Verdana" w:cs="Arial"/>
          <w:color w:val="000000" w:themeColor="text1"/>
          <w:bdr w:val="none" w:sz="0" w:space="0" w:color="auto" w:frame="1"/>
          <w:lang w:eastAsia="es-MX"/>
        </w:rPr>
        <w:t>En armonía con lo anterior, el artículo 17 del mismo cuerpo normativo señala, frente a la naturaleza de estos esquemas, que “Las asociaciones de departamentos, las provincias y las asociaciones de distritos y de municipios son entidades administrativas de derecho público, con personería jurídica y patrimonio propio e independiente de los entes que la conforman”. Por tal razón, el artículo 18</w:t>
      </w:r>
      <w:r>
        <w:rPr>
          <w:rFonts w:ascii="Verdana" w:hAnsi="Verdana" w:cs="Arial"/>
          <w:color w:val="000000" w:themeColor="text1"/>
          <w:bdr w:val="none" w:sz="0" w:space="0" w:color="auto" w:frame="1"/>
          <w:lang w:eastAsia="es-MX"/>
        </w:rPr>
        <w:t xml:space="preserve"> </w:t>
      </w:r>
      <w:r w:rsidRPr="002742E8">
        <w:rPr>
          <w:rFonts w:ascii="Verdana" w:hAnsi="Verdana" w:cs="Arial"/>
          <w:i/>
          <w:iCs/>
          <w:color w:val="000000" w:themeColor="text1"/>
          <w:bdr w:val="none" w:sz="0" w:space="0" w:color="auto" w:frame="1"/>
          <w:lang w:eastAsia="es-MX"/>
        </w:rPr>
        <w:t>ibidem</w:t>
      </w:r>
      <w:r w:rsidRPr="00C50D8F">
        <w:rPr>
          <w:rFonts w:ascii="Verdana" w:hAnsi="Verdana" w:cs="Arial"/>
          <w:color w:val="000000" w:themeColor="text1"/>
          <w:bdr w:val="none" w:sz="0" w:space="0" w:color="auto" w:frame="1"/>
          <w:lang w:eastAsia="es-MX"/>
        </w:rPr>
        <w:t xml:space="preserve"> les reconoce capacidad contractual. </w:t>
      </w:r>
    </w:p>
    <w:p w14:paraId="20D695A3" w14:textId="77777777" w:rsidR="00354E11" w:rsidRPr="00C50D8F" w:rsidRDefault="00354E11" w:rsidP="00354E11">
      <w:pPr>
        <w:spacing w:after="120" w:line="276" w:lineRule="auto"/>
        <w:ind w:firstLine="709"/>
        <w:jc w:val="both"/>
        <w:rPr>
          <w:rFonts w:ascii="Verdana" w:hAnsi="Verdana" w:cs="Arial"/>
          <w:color w:val="000000" w:themeColor="text1"/>
          <w:bdr w:val="none" w:sz="0" w:space="0" w:color="auto" w:frame="1"/>
          <w:lang w:eastAsia="es-MX"/>
        </w:rPr>
      </w:pPr>
      <w:r w:rsidRPr="00C50D8F">
        <w:rPr>
          <w:rFonts w:ascii="Verdana" w:hAnsi="Verdana" w:cs="Arial"/>
          <w:color w:val="000000" w:themeColor="text1"/>
          <w:bdr w:val="none" w:sz="0" w:space="0" w:color="auto" w:frame="1"/>
          <w:lang w:eastAsia="es-MX"/>
        </w:rPr>
        <w:t>Por su parte, la Ley el artículo 249 de la Ley 1955 de 2019 define el procedimiento y requisitos para la constitución de los esquemas asociativos territoriales y la inscripción del convenio de conformación y de los estatutos en el Registro de Esquemas Asociativos Territoriales, que para el efecto ponga en funcionamiento el Gobierno nacional</w:t>
      </w:r>
      <w:r>
        <w:rPr>
          <w:rFonts w:ascii="Verdana" w:hAnsi="Verdana" w:cs="Arial"/>
          <w:color w:val="000000" w:themeColor="text1"/>
          <w:bdr w:val="none" w:sz="0" w:space="0" w:color="auto" w:frame="1"/>
          <w:lang w:eastAsia="es-MX"/>
        </w:rPr>
        <w:t>.</w:t>
      </w:r>
    </w:p>
    <w:p w14:paraId="633740A4" w14:textId="77777777" w:rsidR="00354E11" w:rsidRDefault="00354E11" w:rsidP="00354E11">
      <w:pPr>
        <w:spacing w:after="0" w:line="276" w:lineRule="auto"/>
        <w:ind w:firstLine="709"/>
        <w:jc w:val="both"/>
        <w:rPr>
          <w:rFonts w:ascii="Verdana" w:hAnsi="Verdana" w:cs="Arial"/>
          <w:color w:val="000000" w:themeColor="text1"/>
          <w:bdr w:val="none" w:sz="0" w:space="0" w:color="auto" w:frame="1"/>
          <w:lang w:val="es-ES_tradnl" w:eastAsia="es-MX"/>
        </w:rPr>
      </w:pPr>
      <w:r w:rsidRPr="00C50D8F">
        <w:rPr>
          <w:rFonts w:ascii="Verdana" w:hAnsi="Verdana" w:cs="Arial"/>
          <w:color w:val="000000" w:themeColor="text1"/>
          <w:bdr w:val="none" w:sz="0" w:space="0" w:color="auto" w:frame="1"/>
          <w:lang w:val="es-ES_tradnl" w:eastAsia="es-MX"/>
        </w:rPr>
        <w:t xml:space="preserve">Dicho lo anterior, cabe señalar que el régimen contractual de los esquemas asociativos territoriales es el EGCAP– Lo anterior se fundamenta en lo previsto en el numeral 1 del artículo 2 de la Ley 80 de 1993, que define como entidades estatales, sujetas a dicho Estatuto a: </w:t>
      </w:r>
    </w:p>
    <w:p w14:paraId="59B7B6C8" w14:textId="77777777" w:rsidR="00354E11" w:rsidRDefault="00354E11" w:rsidP="00354E11">
      <w:pPr>
        <w:spacing w:after="0" w:line="276" w:lineRule="auto"/>
        <w:ind w:firstLine="709"/>
        <w:jc w:val="both"/>
        <w:rPr>
          <w:rFonts w:ascii="Verdana" w:hAnsi="Verdana" w:cs="Arial"/>
          <w:color w:val="000000" w:themeColor="text1"/>
          <w:bdr w:val="none" w:sz="0" w:space="0" w:color="auto" w:frame="1"/>
          <w:lang w:val="es-ES_tradnl" w:eastAsia="es-MX"/>
        </w:rPr>
      </w:pPr>
    </w:p>
    <w:p w14:paraId="77EC0360" w14:textId="77777777" w:rsidR="00354E11" w:rsidRPr="002742E8" w:rsidRDefault="00354E11" w:rsidP="00354E11">
      <w:pPr>
        <w:spacing w:after="0" w:line="240" w:lineRule="auto"/>
        <w:ind w:left="709" w:right="709"/>
        <w:jc w:val="both"/>
        <w:rPr>
          <w:rFonts w:ascii="Verdana" w:hAnsi="Verdana" w:cs="Arial"/>
          <w:color w:val="000000" w:themeColor="text1"/>
          <w:sz w:val="20"/>
          <w:szCs w:val="20"/>
          <w:bdr w:val="none" w:sz="0" w:space="0" w:color="auto" w:frame="1"/>
          <w:lang w:val="es-ES_tradnl" w:eastAsia="es-MX"/>
        </w:rPr>
      </w:pPr>
      <w:r w:rsidRPr="002742E8">
        <w:rPr>
          <w:rFonts w:ascii="Verdana" w:hAnsi="Verdana" w:cs="Arial"/>
          <w:color w:val="000000" w:themeColor="text1"/>
          <w:sz w:val="20"/>
          <w:szCs w:val="20"/>
          <w:bdr w:val="none" w:sz="0" w:space="0" w:color="auto" w:frame="1"/>
          <w:lang w:val="es-ES_tradnl" w:eastAsia="es-MX"/>
        </w:rPr>
        <w:t xml:space="preserve">“La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w:t>
      </w:r>
      <w:r w:rsidRPr="002742E8">
        <w:rPr>
          <w:rFonts w:ascii="Verdana" w:hAnsi="Verdana" w:cs="Arial"/>
          <w:i/>
          <w:color w:val="000000" w:themeColor="text1"/>
          <w:sz w:val="20"/>
          <w:szCs w:val="20"/>
          <w:bdr w:val="none" w:sz="0" w:space="0" w:color="auto" w:frame="1"/>
          <w:lang w:val="es-ES_tradnl" w:eastAsia="es-MX"/>
        </w:rPr>
        <w:t>las demás personas jurídicas en las que exista dicha participación pública mayoritaria</w:t>
      </w:r>
      <w:r w:rsidRPr="002742E8">
        <w:rPr>
          <w:rFonts w:ascii="Verdana" w:hAnsi="Verdana" w:cs="Arial"/>
          <w:color w:val="000000" w:themeColor="text1"/>
          <w:sz w:val="20"/>
          <w:szCs w:val="20"/>
          <w:bdr w:val="none" w:sz="0" w:space="0" w:color="auto" w:frame="1"/>
          <w:lang w:val="es-ES_tradnl" w:eastAsia="es-MX"/>
        </w:rPr>
        <w:t xml:space="preserve">, cualquiera sea la denominación que ellas adopten, en todos los órdenes y niveles” [énfasis fuera del texto original]. </w:t>
      </w:r>
    </w:p>
    <w:p w14:paraId="344A6938" w14:textId="77777777" w:rsidR="00354E11" w:rsidRDefault="00354E11" w:rsidP="00354E11">
      <w:pPr>
        <w:spacing w:after="0" w:line="276" w:lineRule="auto"/>
        <w:ind w:firstLine="709"/>
        <w:jc w:val="both"/>
        <w:rPr>
          <w:rFonts w:ascii="Verdana" w:hAnsi="Verdana" w:cs="Arial"/>
          <w:color w:val="000000" w:themeColor="text1"/>
          <w:bdr w:val="none" w:sz="0" w:space="0" w:color="auto" w:frame="1"/>
          <w:lang w:val="es-ES_tradnl" w:eastAsia="es-MX"/>
        </w:rPr>
      </w:pPr>
    </w:p>
    <w:p w14:paraId="25B36030" w14:textId="77777777" w:rsidR="00354E11" w:rsidRPr="00C50D8F" w:rsidRDefault="00354E11" w:rsidP="00354E11">
      <w:pPr>
        <w:spacing w:after="120" w:line="276" w:lineRule="auto"/>
        <w:ind w:firstLine="709"/>
        <w:jc w:val="both"/>
        <w:rPr>
          <w:rFonts w:ascii="Verdana" w:hAnsi="Verdana" w:cs="Arial"/>
          <w:color w:val="000000" w:themeColor="text1"/>
          <w:bdr w:val="none" w:sz="0" w:space="0" w:color="auto" w:frame="1"/>
          <w:lang w:eastAsia="es-MX"/>
        </w:rPr>
      </w:pPr>
      <w:r w:rsidRPr="00C50D8F">
        <w:rPr>
          <w:rFonts w:ascii="Verdana" w:hAnsi="Verdana" w:cs="Arial"/>
          <w:color w:val="000000" w:themeColor="text1"/>
          <w:bdr w:val="none" w:sz="0" w:space="0" w:color="auto" w:frame="1"/>
          <w:lang w:val="es-ES_tradnl" w:eastAsia="es-MX"/>
        </w:rPr>
        <w:t>Así las cosas, el EGCAP establece que las personas jurídicas en las que el Estado tenga participación mayoritaria –como sucede, precisamente, en los esquemas asociativos territoriales– son entidades estatales, para efectos contractuales, razón por la cual se someten a dicho Estatuto.  </w:t>
      </w:r>
    </w:p>
    <w:p w14:paraId="6D7DD8EB" w14:textId="77777777" w:rsidR="00354E11" w:rsidRPr="00C50D8F" w:rsidRDefault="00354E11" w:rsidP="00354E11">
      <w:pPr>
        <w:spacing w:after="120" w:line="276" w:lineRule="auto"/>
        <w:ind w:firstLine="709"/>
        <w:jc w:val="both"/>
        <w:rPr>
          <w:rFonts w:ascii="Verdana" w:hAnsi="Verdana" w:cs="Arial"/>
          <w:color w:val="000000" w:themeColor="text1"/>
          <w:bdr w:val="none" w:sz="0" w:space="0" w:color="auto" w:frame="1"/>
          <w:lang w:val="es-ES_tradnl" w:eastAsia="es-MX"/>
        </w:rPr>
      </w:pPr>
      <w:r w:rsidRPr="00C50D8F">
        <w:rPr>
          <w:rFonts w:ascii="Verdana" w:hAnsi="Verdana" w:cs="Arial"/>
          <w:color w:val="000000" w:themeColor="text1"/>
          <w:bdr w:val="none" w:sz="0" w:space="0" w:color="auto" w:frame="1"/>
          <w:lang w:val="es-ES_tradnl" w:eastAsia="es-MX"/>
        </w:rPr>
        <w:lastRenderedPageBreak/>
        <w:t xml:space="preserve">De otro lado, incluso de forma más precisa, el fundamento normativo respecto del régimen contractual de los esquemas asociativos territoriales se encuentra en el artículo 10 de la Ley 1150 de 2007, que, de forma clara, señala que se regirán por el EGCAP. En efecto, dicha disposición prescribe: “Las cooperativas, </w:t>
      </w:r>
      <w:r w:rsidRPr="00C50D8F">
        <w:rPr>
          <w:rFonts w:ascii="Verdana" w:hAnsi="Verdana" w:cs="Arial"/>
          <w:i/>
          <w:iCs/>
          <w:color w:val="000000" w:themeColor="text1"/>
          <w:bdr w:val="none" w:sz="0" w:space="0" w:color="auto" w:frame="1"/>
          <w:lang w:val="es-ES_tradnl" w:eastAsia="es-MX"/>
        </w:rPr>
        <w:t>las asociaciones conformadas por entidades territoriales</w:t>
      </w:r>
      <w:r w:rsidRPr="00C50D8F">
        <w:rPr>
          <w:rFonts w:ascii="Verdana" w:hAnsi="Verdana" w:cs="Arial"/>
          <w:color w:val="000000" w:themeColor="text1"/>
          <w:bdr w:val="none" w:sz="0" w:space="0" w:color="auto" w:frame="1"/>
          <w:lang w:val="es-ES_tradnl" w:eastAsia="es-MX"/>
        </w:rPr>
        <w:t xml:space="preserve"> y en general los entes solidarios de carácter público estarán sometidos a las disposiciones del Estatuto General de Contratación de la Administración Pública”</w:t>
      </w:r>
      <w:r>
        <w:rPr>
          <w:rFonts w:ascii="Verdana" w:hAnsi="Verdana" w:cs="Arial"/>
          <w:color w:val="000000" w:themeColor="text1"/>
          <w:bdr w:val="none" w:sz="0" w:space="0" w:color="auto" w:frame="1"/>
          <w:lang w:val="es-ES_tradnl" w:eastAsia="es-MX"/>
        </w:rPr>
        <w:t xml:space="preserve"> </w:t>
      </w:r>
      <w:r w:rsidRPr="002742E8">
        <w:rPr>
          <w:rFonts w:ascii="Verdana" w:hAnsi="Verdana" w:cs="Arial"/>
          <w:color w:val="000000" w:themeColor="text1"/>
          <w:bdr w:val="none" w:sz="0" w:space="0" w:color="auto" w:frame="1"/>
          <w:lang w:val="es-ES_tradnl" w:eastAsia="es-MX"/>
        </w:rPr>
        <w:t>[énfasis fuera del texto original]</w:t>
      </w:r>
      <w:r w:rsidRPr="00357167">
        <w:rPr>
          <w:rFonts w:ascii="Verdana" w:hAnsi="Verdana" w:cs="Arial"/>
          <w:color w:val="000000" w:themeColor="text1"/>
          <w:bdr w:val="none" w:sz="0" w:space="0" w:color="auto" w:frame="1"/>
          <w:lang w:val="es-ES_tradnl" w:eastAsia="es-MX"/>
        </w:rPr>
        <w:t>.</w:t>
      </w:r>
    </w:p>
    <w:p w14:paraId="0FF79427" w14:textId="77777777" w:rsidR="00354E11" w:rsidRDefault="00354E11" w:rsidP="00354E11">
      <w:pPr>
        <w:spacing w:after="120" w:line="276" w:lineRule="auto"/>
        <w:ind w:firstLine="709"/>
        <w:jc w:val="both"/>
        <w:rPr>
          <w:rFonts w:ascii="Verdana" w:eastAsia="Century Gothic" w:hAnsi="Verdana" w:cs="Century Gothic"/>
          <w:lang w:val="es-ES" w:eastAsia="es-ES_tradnl"/>
        </w:rPr>
      </w:pPr>
      <w:r w:rsidRPr="00C50D8F">
        <w:rPr>
          <w:rFonts w:ascii="Verdana" w:eastAsia="Century Gothic" w:hAnsi="Verdana" w:cs="Century Gothic"/>
          <w:lang w:val="es-ES"/>
        </w:rPr>
        <w:t>En el mismo sentido, el Decreto 1033 de 2021, en el artículo 2.2.5.6.1.</w:t>
      </w:r>
      <w:r>
        <w:rPr>
          <w:rFonts w:ascii="Verdana" w:eastAsia="Century Gothic" w:hAnsi="Verdana" w:cs="Century Gothic"/>
          <w:lang w:val="es-ES"/>
        </w:rPr>
        <w:t>,</w:t>
      </w:r>
      <w:r w:rsidRPr="00C50D8F">
        <w:rPr>
          <w:rFonts w:ascii="Verdana" w:eastAsia="Century Gothic" w:hAnsi="Verdana" w:cs="Century Gothic"/>
          <w:lang w:val="es-ES"/>
        </w:rPr>
        <w:t xml:space="preserve"> contempla el régimen contractual de los esquemas de asociación territorial al señalar que</w:t>
      </w:r>
      <w:r w:rsidRPr="00C50D8F">
        <w:rPr>
          <w:rFonts w:ascii="Verdana" w:eastAsia="Century Gothic" w:hAnsi="Verdana" w:cs="Century Gothic"/>
          <w:sz w:val="24"/>
          <w:szCs w:val="24"/>
          <w:lang w:val="es-ES" w:eastAsia="es-ES_tradnl"/>
        </w:rPr>
        <w:t xml:space="preserve"> </w:t>
      </w:r>
      <w:r w:rsidRPr="00C50D8F">
        <w:rPr>
          <w:rFonts w:ascii="Verdana" w:eastAsia="Century Gothic" w:hAnsi="Verdana" w:cs="Century Gothic"/>
          <w:lang w:val="es-ES" w:eastAsia="es-ES_tradnl"/>
        </w:rPr>
        <w:t xml:space="preserve">“De conformidad con lo establecido en el artículo 2 de la Ley 80 de 1993 y el artículo 10 de la Ley 1150 del 2007, la celebración de contratos por parte de los EAT </w:t>
      </w:r>
      <w:r w:rsidRPr="00C50D8F">
        <w:rPr>
          <w:rFonts w:ascii="Verdana" w:eastAsia="Century Gothic" w:hAnsi="Verdana" w:cs="Century Gothic"/>
          <w:i/>
          <w:iCs/>
          <w:lang w:val="es-ES" w:eastAsia="es-ES_tradnl"/>
        </w:rPr>
        <w:t>se regirá por lo dispuesto en el Estatuto General de Contratación de la Administración Pública</w:t>
      </w:r>
      <w:r w:rsidRPr="00C50D8F">
        <w:rPr>
          <w:rFonts w:ascii="Verdana" w:eastAsia="Century Gothic" w:hAnsi="Verdana" w:cs="Century Gothic"/>
          <w:lang w:val="es-ES" w:eastAsia="es-ES_tradnl"/>
        </w:rPr>
        <w:t xml:space="preserve"> y en la normativa complementaria, y se somete a las acciones de seguimiento y control por parte de las autoridades competentes” </w:t>
      </w:r>
      <w:r w:rsidRPr="008A0C7A">
        <w:rPr>
          <w:rFonts w:ascii="Verdana" w:hAnsi="Verdana" w:cs="Arial"/>
          <w:color w:val="000000" w:themeColor="text1"/>
          <w:bdr w:val="none" w:sz="0" w:space="0" w:color="auto" w:frame="1"/>
          <w:lang w:val="es-ES_tradnl" w:eastAsia="es-MX"/>
        </w:rPr>
        <w:t>[énfasis fuera del texto original]</w:t>
      </w:r>
      <w:r w:rsidRPr="00357167">
        <w:rPr>
          <w:rFonts w:ascii="Verdana" w:hAnsi="Verdana" w:cs="Arial"/>
          <w:color w:val="000000" w:themeColor="text1"/>
          <w:bdr w:val="none" w:sz="0" w:space="0" w:color="auto" w:frame="1"/>
          <w:lang w:val="es-ES_tradnl" w:eastAsia="es-MX"/>
        </w:rPr>
        <w:t>.</w:t>
      </w:r>
      <w:r w:rsidRPr="00C50D8F">
        <w:rPr>
          <w:rFonts w:ascii="Verdana" w:eastAsia="Century Gothic" w:hAnsi="Verdana" w:cs="Century Gothic"/>
          <w:lang w:val="es-ES" w:eastAsia="es-ES_tradnl"/>
        </w:rPr>
        <w:t xml:space="preserve"> </w:t>
      </w:r>
    </w:p>
    <w:p w14:paraId="27FB5B7C" w14:textId="77777777" w:rsidR="00354E11" w:rsidRPr="00C50D8F" w:rsidRDefault="00354E11" w:rsidP="00354E11">
      <w:pPr>
        <w:spacing w:after="120" w:line="276" w:lineRule="auto"/>
        <w:ind w:firstLine="709"/>
        <w:jc w:val="both"/>
        <w:rPr>
          <w:rFonts w:ascii="Verdana" w:eastAsia="Century Gothic" w:hAnsi="Verdana" w:cs="Century Gothic"/>
          <w:sz w:val="20"/>
          <w:szCs w:val="20"/>
          <w:lang w:val="es-ES" w:eastAsia="es-ES_tradnl"/>
        </w:rPr>
      </w:pPr>
      <w:r w:rsidRPr="00C50D8F">
        <w:rPr>
          <w:rFonts w:ascii="Verdana" w:eastAsia="Century Gothic" w:hAnsi="Verdana" w:cs="Century Gothic"/>
          <w:lang w:val="es-ES" w:eastAsia="es-ES_tradnl"/>
        </w:rPr>
        <w:t>Así mismo, los considerandos de dicho decreto señalan “</w:t>
      </w:r>
      <w:r w:rsidRPr="00C50D8F">
        <w:rPr>
          <w:rFonts w:ascii="Verdana" w:hAnsi="Verdana" w:cs="Arial"/>
          <w:color w:val="000000" w:themeColor="text1"/>
          <w:bdr w:val="none" w:sz="0" w:space="0" w:color="auto" w:frame="1"/>
          <w:lang w:eastAsia="es-MX"/>
        </w:rPr>
        <w:t xml:space="preserve">Que en aplicación de lo establecido en el artículo 2 de la Ley 80 de 1993, </w:t>
      </w:r>
      <w:r w:rsidRPr="00C50D8F">
        <w:rPr>
          <w:rFonts w:ascii="Verdana" w:hAnsi="Verdana" w:cs="Arial"/>
          <w:i/>
          <w:iCs/>
          <w:color w:val="000000" w:themeColor="text1"/>
          <w:bdr w:val="none" w:sz="0" w:space="0" w:color="auto" w:frame="1"/>
          <w:lang w:eastAsia="es-MX"/>
        </w:rPr>
        <w:t xml:space="preserve">los esquemas asociativos son entidades descentralizadas funcionales indirectas </w:t>
      </w:r>
      <w:proofErr w:type="gramStart"/>
      <w:r w:rsidRPr="00C50D8F">
        <w:rPr>
          <w:rFonts w:ascii="Verdana" w:hAnsi="Verdana" w:cs="Arial"/>
          <w:i/>
          <w:iCs/>
          <w:color w:val="000000" w:themeColor="text1"/>
          <w:bdr w:val="none" w:sz="0" w:space="0" w:color="auto" w:frame="1"/>
          <w:lang w:eastAsia="es-MX"/>
        </w:rPr>
        <w:t>y</w:t>
      </w:r>
      <w:proofErr w:type="gramEnd"/>
      <w:r w:rsidRPr="00C50D8F">
        <w:rPr>
          <w:rFonts w:ascii="Verdana" w:hAnsi="Verdana" w:cs="Arial"/>
          <w:i/>
          <w:iCs/>
          <w:color w:val="000000" w:themeColor="text1"/>
          <w:bdr w:val="none" w:sz="0" w:space="0" w:color="auto" w:frame="1"/>
          <w:lang w:eastAsia="es-MX"/>
        </w:rPr>
        <w:t xml:space="preserve"> por tanto, se denominan entidades estatales para efectos de la aplicación del Estatuto General de Contratación de la Administración Pública</w:t>
      </w:r>
      <w:r w:rsidRPr="00C50D8F">
        <w:rPr>
          <w:rFonts w:ascii="Verdana" w:hAnsi="Verdana" w:cs="Arial"/>
          <w:color w:val="000000" w:themeColor="text1"/>
          <w:bdr w:val="none" w:sz="0" w:space="0" w:color="auto" w:frame="1"/>
          <w:lang w:eastAsia="es-MX"/>
        </w:rPr>
        <w:t>. Así mismo, de conformidad con lo establecido en el artículo 10 de la Ley 1150 de 2007, los EAT estarán sometidos al mencionado Estatuto”.</w:t>
      </w:r>
    </w:p>
    <w:p w14:paraId="70F16A2D" w14:textId="77777777" w:rsidR="00354E11" w:rsidRDefault="00354E11" w:rsidP="00354E11">
      <w:pPr>
        <w:shd w:val="clear" w:color="auto" w:fill="FFFFFF" w:themeFill="background1"/>
        <w:spacing w:after="120" w:line="276" w:lineRule="auto"/>
        <w:ind w:firstLine="709"/>
        <w:jc w:val="both"/>
        <w:textAlignment w:val="baseline"/>
        <w:rPr>
          <w:rFonts w:ascii="Verdana" w:hAnsi="Verdana" w:cs="Arial"/>
          <w:color w:val="000000" w:themeColor="text1"/>
          <w:bdr w:val="none" w:sz="0" w:space="0" w:color="auto" w:frame="1"/>
          <w:lang w:val="es-ES"/>
        </w:rPr>
      </w:pPr>
      <w:r w:rsidRPr="1D128A19">
        <w:rPr>
          <w:rFonts w:ascii="Verdana" w:hAnsi="Verdana" w:cs="Arial"/>
          <w:color w:val="000000" w:themeColor="text1"/>
          <w:bdr w:val="none" w:sz="0" w:space="0" w:color="auto" w:frame="1"/>
          <w:lang w:val="es-ES"/>
        </w:rPr>
        <w:t xml:space="preserve">De esta manera, tal y como se expuso en los conceptos C- 126 del 16 de agosto de 2024, C-138 del 5 de junio de 2023, C-901 del 22 de diciembre de 2022, entre otros, </w:t>
      </w:r>
      <w:r w:rsidRPr="1D128A19">
        <w:rPr>
          <w:rFonts w:ascii="Verdana" w:hAnsi="Verdana" w:cs="Arial"/>
          <w:color w:val="000000" w:themeColor="text1"/>
          <w:bdr w:val="none" w:sz="0" w:space="0" w:color="auto" w:frame="1"/>
          <w:lang w:val="es-ES" w:eastAsia="es-MX"/>
        </w:rPr>
        <w:t xml:space="preserve">se concluye que el régimen contractual de estas entidades no es especial, puesto que, por mandato legal, se someten al EGCAP. </w:t>
      </w:r>
      <w:r w:rsidRPr="1D128A19">
        <w:rPr>
          <w:rFonts w:ascii="Verdana" w:hAnsi="Verdana" w:cs="Arial"/>
          <w:color w:val="000000" w:themeColor="text1"/>
          <w:bdr w:val="none" w:sz="0" w:space="0" w:color="auto" w:frame="1"/>
          <w:lang w:val="es-ES"/>
        </w:rPr>
        <w:t xml:space="preserve">Lo anterior implica que los procedimientos que los esquemas asociativos territoriales deben llevar a cabo para seleccionar a sus contratistas son los establecidos en el EGCAP, los cuales se encuentran regulados actualmente en el artículo 2 de la Ley 1150 de 2007. </w:t>
      </w:r>
    </w:p>
    <w:p w14:paraId="78834125" w14:textId="77777777" w:rsidR="00354E11" w:rsidRPr="00C50D8F" w:rsidRDefault="00354E11" w:rsidP="00354E11">
      <w:pPr>
        <w:shd w:val="clear" w:color="auto" w:fill="FFFFFF" w:themeFill="background1"/>
        <w:spacing w:after="120" w:line="276" w:lineRule="auto"/>
        <w:ind w:firstLine="709"/>
        <w:jc w:val="both"/>
        <w:textAlignment w:val="baseline"/>
        <w:rPr>
          <w:rFonts w:ascii="Verdana" w:hAnsi="Verdana" w:cs="Arial"/>
          <w:color w:val="000000" w:themeColor="text1"/>
          <w:bdr w:val="none" w:sz="0" w:space="0" w:color="auto" w:frame="1"/>
          <w:lang w:val="es-ES"/>
        </w:rPr>
      </w:pPr>
      <w:r w:rsidRPr="0369E0E4">
        <w:rPr>
          <w:rFonts w:ascii="Verdana" w:hAnsi="Verdana" w:cs="Arial"/>
          <w:color w:val="000000" w:themeColor="text1"/>
          <w:bdr w:val="none" w:sz="0" w:space="0" w:color="auto" w:frame="1"/>
          <w:lang w:val="es-ES"/>
        </w:rPr>
        <w:t>Así las cosas, para cumplir la finalidad atribuida a los esquemas asociativos territoriales, estos pueden emplear cualquiera de los procedimientos de selección de contratistas establecidos en dicho artículo, de acuerdo con las causales y criterios de procedencia de cada una de dichas modalidades de selección.</w:t>
      </w:r>
    </w:p>
    <w:p w14:paraId="5E6731EF" w14:textId="77777777" w:rsidR="00354E11" w:rsidRPr="00C50D8F" w:rsidRDefault="00354E11" w:rsidP="00354E11">
      <w:pPr>
        <w:shd w:val="clear" w:color="auto" w:fill="FFFFFF" w:themeFill="background1"/>
        <w:spacing w:after="0" w:line="276" w:lineRule="auto"/>
        <w:ind w:firstLine="709"/>
        <w:jc w:val="both"/>
        <w:textAlignment w:val="baseline"/>
        <w:rPr>
          <w:rFonts w:ascii="Verdana" w:hAnsi="Verdana" w:cs="Arial"/>
          <w:color w:val="000000" w:themeColor="text1"/>
          <w:lang w:val="es-ES"/>
        </w:rPr>
      </w:pPr>
      <w:r w:rsidRPr="0369E0E4">
        <w:rPr>
          <w:rFonts w:ascii="Verdana" w:hAnsi="Verdana" w:cs="Arial"/>
          <w:color w:val="000000" w:themeColor="text1"/>
          <w:bdr w:val="none" w:sz="0" w:space="0" w:color="auto" w:frame="1"/>
          <w:lang w:val="es-ES"/>
        </w:rPr>
        <w:lastRenderedPageBreak/>
        <w:t xml:space="preserve">En otras palabras, </w:t>
      </w:r>
      <w:r w:rsidRPr="0369E0E4">
        <w:rPr>
          <w:rFonts w:ascii="Verdana" w:hAnsi="Verdana" w:cs="Arial"/>
          <w:color w:val="000000" w:themeColor="text1"/>
          <w:lang w:val="es-ES"/>
        </w:rPr>
        <w:t xml:space="preserve">teniendo en cuenta cada necesidad, y de acuerdo con el objeto a contratar, los esquemas asociativos territoriales, como contratantes y destinatarios del EGCAP, deberán adelantar los diferentes procesos de selección, ya sea de licitación pública, selección abreviada, concurso de méritos, mínima cuantía o contratación directa, sin perjuicio de atender las mismas restricciones previstas por la Ley para la procedencia de algunas de estas modalidades. Esto simplemente reitera la idea orientadora, en el sentido de que, al tratarse de entidades estatales sometidas al EGCAP, cuando fungen como contratantes, para seleccionar a sus contratistas deberán aplicar los procedimientos de selección establecidos para las entidades sometidas a dicho estatuto contractual. </w:t>
      </w:r>
    </w:p>
    <w:p w14:paraId="10FA1B65" w14:textId="37F383A7" w:rsidR="0000428F" w:rsidRPr="00CA09D8" w:rsidRDefault="0000428F" w:rsidP="00354E11">
      <w:pPr>
        <w:shd w:val="clear" w:color="auto" w:fill="FFFFFF"/>
        <w:spacing w:line="276" w:lineRule="auto"/>
        <w:jc w:val="both"/>
        <w:textAlignment w:val="baseline"/>
        <w:rPr>
          <w:rFonts w:ascii="Verdana" w:hAnsi="Verdana"/>
          <w:color w:val="000000" w:themeColor="text1"/>
        </w:rPr>
      </w:pPr>
    </w:p>
    <w:p w14:paraId="10D1548F" w14:textId="65804C7E" w:rsidR="0000428F" w:rsidRPr="0000428F" w:rsidRDefault="0000428F" w:rsidP="0000428F">
      <w:pPr>
        <w:spacing w:after="120" w:line="276" w:lineRule="auto"/>
        <w:jc w:val="both"/>
        <w:rPr>
          <w:rFonts w:ascii="Verdana" w:eastAsia="Times New Roman" w:hAnsi="Verdana" w:cs="Arial"/>
          <w:lang w:val="es-MX" w:eastAsia="x-none"/>
        </w:rPr>
      </w:pPr>
      <w:proofErr w:type="spellStart"/>
      <w:r w:rsidRPr="00CA09D8">
        <w:rPr>
          <w:rFonts w:ascii="Verdana" w:hAnsi="Verdana"/>
          <w:color w:val="000000" w:themeColor="text1"/>
        </w:rPr>
        <w:t>ii</w:t>
      </w:r>
      <w:proofErr w:type="spellEnd"/>
      <w:r w:rsidRPr="00CA09D8">
        <w:rPr>
          <w:rFonts w:ascii="Verdana" w:hAnsi="Verdana"/>
          <w:color w:val="000000" w:themeColor="text1"/>
        </w:rPr>
        <w:t xml:space="preserve">. Por lo demás, </w:t>
      </w:r>
      <w:r w:rsidRPr="00CA09D8">
        <w:rPr>
          <w:rFonts w:ascii="Verdana" w:hAnsi="Verdana" w:cs="Arial"/>
        </w:rPr>
        <w:t xml:space="preserve">el artículo 38 de la Ley 996 de 2005 dispone que “Los Gobernadores, </w:t>
      </w:r>
      <w:proofErr w:type="gramStart"/>
      <w:r w:rsidRPr="00CA09D8">
        <w:rPr>
          <w:rFonts w:ascii="Verdana" w:hAnsi="Verdana" w:cs="Arial"/>
        </w:rPr>
        <w:t>Alcaldes</w:t>
      </w:r>
      <w:proofErr w:type="gramEnd"/>
      <w:r w:rsidRPr="00CA09D8">
        <w:rPr>
          <w:rFonts w:ascii="Verdana" w:hAnsi="Verdana" w:cs="Arial"/>
        </w:rPr>
        <w:t xml:space="preserve"> Municipales y/o Distritales, </w:t>
      </w:r>
      <w:proofErr w:type="gramStart"/>
      <w:r w:rsidRPr="00CA09D8">
        <w:rPr>
          <w:rFonts w:ascii="Verdana" w:hAnsi="Verdana" w:cs="Arial"/>
        </w:rPr>
        <w:t>Secretarios</w:t>
      </w:r>
      <w:proofErr w:type="gramEnd"/>
      <w:r w:rsidRPr="00CA09D8">
        <w:rPr>
          <w:rFonts w:ascii="Verdana" w:hAnsi="Verdana" w:cs="Arial"/>
        </w:rPr>
        <w:t>, Gerentes y directores de Entidades Descentralizadas del orden Municipal, Departamental o Distrital, dentro de los cuatro (4) meses anteriores a las elecciones, no podrán celebrar convenios interadministrativos para la ejecución de recursos públicos”.</w:t>
      </w:r>
      <w:r w:rsidRPr="00CA09D8">
        <w:rPr>
          <w:rFonts w:ascii="Verdana" w:eastAsia="Times New Roman" w:hAnsi="Verdana" w:cs="Arial"/>
          <w:lang w:val="es-MX" w:eastAsia="x-none"/>
        </w:rPr>
        <w:t xml:space="preserve"> </w:t>
      </w:r>
    </w:p>
    <w:p w14:paraId="3630C98F" w14:textId="77777777" w:rsidR="0000428F" w:rsidRPr="00CA09D8" w:rsidRDefault="0000428F" w:rsidP="0000428F">
      <w:pPr>
        <w:spacing w:after="120" w:line="276" w:lineRule="auto"/>
        <w:ind w:firstLine="709"/>
        <w:jc w:val="both"/>
        <w:rPr>
          <w:rFonts w:ascii="Verdana" w:hAnsi="Verdana" w:cs="Arial"/>
          <w:lang w:eastAsia="es-ES"/>
        </w:rPr>
      </w:pPr>
      <w:r w:rsidRPr="00CA09D8">
        <w:rPr>
          <w:rFonts w:ascii="Verdana" w:eastAsia="Times New Roman" w:hAnsi="Verdana" w:cs="Arial"/>
          <w:lang w:val="es-ES" w:eastAsia="es-ES"/>
        </w:rPr>
        <w:t xml:space="preserve">Para tales efectos, debe precisarse que </w:t>
      </w:r>
      <w:r w:rsidRPr="00CA09D8">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A09D8">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A09D8">
        <w:rPr>
          <w:rFonts w:ascii="Verdana" w:hAnsi="Verdana" w:cs="Arial"/>
          <w:vertAlign w:val="superscript"/>
          <w:lang w:eastAsia="es-ES"/>
        </w:rPr>
        <w:footnoteReference w:id="1"/>
      </w:r>
      <w:r w:rsidRPr="00CA09D8">
        <w:rPr>
          <w:rFonts w:ascii="Verdana" w:hAnsi="Verdana" w:cs="Arial"/>
          <w:lang w:eastAsia="es-ES"/>
        </w:rPr>
        <w:t>.</w:t>
      </w:r>
    </w:p>
    <w:p w14:paraId="08B14F90" w14:textId="77777777" w:rsidR="0000428F" w:rsidRPr="00CA09D8" w:rsidRDefault="0000428F" w:rsidP="0000428F">
      <w:pPr>
        <w:spacing w:after="120" w:line="276" w:lineRule="auto"/>
        <w:ind w:firstLine="709"/>
        <w:jc w:val="both"/>
        <w:rPr>
          <w:rFonts w:ascii="Verdana" w:hAnsi="Verdana" w:cs="Arial"/>
          <w:color w:val="000000" w:themeColor="text1"/>
          <w:lang w:val="es-ES_tradnl"/>
        </w:rPr>
      </w:pPr>
      <w:r w:rsidRPr="00CA09D8">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5460E46" w14:textId="77777777" w:rsidR="0000428F" w:rsidRPr="00CA09D8" w:rsidRDefault="0000428F" w:rsidP="0000428F">
      <w:pPr>
        <w:spacing w:before="120" w:after="0" w:line="276" w:lineRule="auto"/>
        <w:ind w:firstLine="708"/>
        <w:jc w:val="both"/>
        <w:rPr>
          <w:rFonts w:ascii="Verdana" w:hAnsi="Verdana" w:cs="Arial"/>
          <w:lang w:val="es-ES_tradnl"/>
        </w:rPr>
      </w:pPr>
      <w:r w:rsidRPr="00CA09D8">
        <w:rPr>
          <w:rFonts w:ascii="Verdana" w:hAnsi="Verdana" w:cs="Arial"/>
          <w:lang w:val="es-ES"/>
        </w:rPr>
        <w:t xml:space="preserve">Un contrato o convenio interadministrativo no está determinado por la modalidad de selección utilizada para celebrarlo. La Ley 1150 de 2007 establece </w:t>
      </w:r>
      <w:r w:rsidRPr="00CA09D8">
        <w:rPr>
          <w:rFonts w:ascii="Verdana" w:hAnsi="Verdana" w:cs="Arial"/>
          <w:lang w:val="es-ES"/>
        </w:rPr>
        <w:lastRenderedPageBreak/>
        <w:t>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A09D8">
        <w:rPr>
          <w:rFonts w:ascii="Verdana" w:hAnsi="Verdana" w:cs="Arial"/>
          <w:vertAlign w:val="superscript"/>
          <w:lang w:val="es-ES"/>
        </w:rPr>
        <w:footnoteReference w:id="2"/>
      </w:r>
      <w:r w:rsidRPr="00CA09D8">
        <w:rPr>
          <w:rFonts w:ascii="Verdana" w:hAnsi="Verdana" w:cs="Arial"/>
          <w:lang w:val="es-ES"/>
        </w:rPr>
        <w:t>. Nótese que, en este caso, lo que cambia es la modalidad de selección y no la naturaleza de contrato interadministrativo.</w:t>
      </w:r>
    </w:p>
    <w:p w14:paraId="72A0C2FC" w14:textId="18541584" w:rsidR="00CA09D8" w:rsidRPr="00CA09D8" w:rsidRDefault="0000428F" w:rsidP="00DB1B91">
      <w:pPr>
        <w:spacing w:before="120" w:after="0" w:line="276" w:lineRule="auto"/>
        <w:ind w:firstLine="708"/>
        <w:jc w:val="both"/>
        <w:rPr>
          <w:rFonts w:ascii="Verdana" w:hAnsi="Verdana" w:cs="Arial"/>
          <w:lang w:val="es-ES_tradnl"/>
        </w:rPr>
      </w:pPr>
      <w:r w:rsidRPr="00CA09D8">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A09D8">
        <w:rPr>
          <w:rFonts w:ascii="Verdana" w:hAnsi="Verdana" w:cs="Arial"/>
          <w:vertAlign w:val="superscript"/>
          <w:lang w:val="es-ES"/>
        </w:rPr>
        <w:footnoteReference w:id="3"/>
      </w:r>
      <w:r w:rsidRPr="00CA09D8">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C6537AF" w14:textId="77777777" w:rsidR="00CA09D8" w:rsidRPr="00CA09D8" w:rsidRDefault="00CA09D8" w:rsidP="00CA09D8">
      <w:pPr>
        <w:spacing w:before="120" w:after="0" w:line="276" w:lineRule="auto"/>
        <w:ind w:firstLine="708"/>
        <w:jc w:val="both"/>
        <w:rPr>
          <w:rFonts w:ascii="Verdana" w:hAnsi="Verdana"/>
          <w:sz w:val="24"/>
          <w:szCs w:val="24"/>
          <w:lang w:eastAsia="es-CO"/>
        </w:rPr>
      </w:pPr>
      <w:r w:rsidRPr="00CA09D8">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A09D8">
        <w:rPr>
          <w:rFonts w:ascii="Verdana" w:hAnsi="Verdana" w:cs="Arial"/>
          <w:vertAlign w:val="superscript"/>
          <w:lang w:val="es-ES"/>
        </w:rPr>
        <w:footnoteReference w:id="4"/>
      </w:r>
      <w:r w:rsidRPr="00CA09D8">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A09D8">
        <w:rPr>
          <w:rFonts w:ascii="Verdana" w:hAnsi="Verdana"/>
          <w:sz w:val="24"/>
          <w:szCs w:val="24"/>
          <w:lang w:eastAsia="es-CO"/>
        </w:rPr>
        <w:t>.</w:t>
      </w:r>
    </w:p>
    <w:p w14:paraId="7215EB0B" w14:textId="77777777" w:rsidR="00CA09D8" w:rsidRPr="00CA09D8" w:rsidRDefault="00CA09D8" w:rsidP="00CA09D8">
      <w:pPr>
        <w:spacing w:before="120" w:after="0" w:line="276" w:lineRule="auto"/>
        <w:ind w:firstLine="708"/>
        <w:jc w:val="both"/>
        <w:rPr>
          <w:rFonts w:ascii="Verdana" w:eastAsia="Times New Roman" w:hAnsi="Verdana" w:cs="Arial"/>
          <w:lang w:val="es-MX" w:eastAsia="es-CO"/>
        </w:rPr>
      </w:pPr>
      <w:r w:rsidRPr="00CA09D8">
        <w:rPr>
          <w:rFonts w:ascii="Verdana" w:eastAsia="Arial" w:hAnsi="Verdana" w:cs="Arial"/>
          <w:lang w:val="es-MX" w:eastAsia="es-ES" w:bidi="es-ES"/>
        </w:rPr>
        <w:t>De esta manera, se</w:t>
      </w:r>
      <w:r w:rsidRPr="00CA09D8">
        <w:rPr>
          <w:rFonts w:ascii="Verdana" w:eastAsia="Times New Roman" w:hAnsi="Verdana" w:cs="Arial"/>
          <w:lang w:eastAsia="es-CO"/>
        </w:rPr>
        <w:t xml:space="preserve"> observa entonces que </w:t>
      </w:r>
      <w:r w:rsidRPr="00CA09D8">
        <w:rPr>
          <w:rFonts w:ascii="Verdana" w:eastAsia="Times New Roman" w:hAnsi="Verdana" w:cs="Arial"/>
          <w:lang w:val="es-MX" w:eastAsia="es-CO"/>
        </w:rPr>
        <w:t xml:space="preserve">el parágrafo del artículo 38 de la Ley 996 de 2005 prohíbe a los </w:t>
      </w:r>
      <w:proofErr w:type="gramStart"/>
      <w:r w:rsidRPr="00CA09D8">
        <w:rPr>
          <w:rFonts w:ascii="Verdana" w:eastAsia="Times New Roman" w:hAnsi="Verdana" w:cs="Arial"/>
          <w:lang w:val="es-MX" w:eastAsia="es-CO"/>
        </w:rPr>
        <w:t>Alcaldes</w:t>
      </w:r>
      <w:proofErr w:type="gramEnd"/>
      <w:r w:rsidRPr="00CA09D8">
        <w:rPr>
          <w:rFonts w:ascii="Verdana" w:eastAsia="Times New Roman" w:hAnsi="Verdana" w:cs="Arial"/>
          <w:lang w:val="es-MX" w:eastAsia="es-CO"/>
        </w:rPr>
        <w:t xml:space="preserve">, Gobernadores, </w:t>
      </w:r>
      <w:proofErr w:type="gramStart"/>
      <w:r w:rsidRPr="00CA09D8">
        <w:rPr>
          <w:rFonts w:ascii="Verdana" w:eastAsia="Times New Roman" w:hAnsi="Verdana" w:cs="Arial"/>
          <w:lang w:val="es-MX" w:eastAsia="es-CO"/>
        </w:rPr>
        <w:t>Secretarios</w:t>
      </w:r>
      <w:proofErr w:type="gramEnd"/>
      <w:r w:rsidRPr="00CA09D8">
        <w:rPr>
          <w:rFonts w:ascii="Verdana" w:eastAsia="Times New Roman" w:hAnsi="Verdana" w:cs="Arial"/>
          <w:lang w:val="es-MX" w:eastAsia="es-CO"/>
        </w:rPr>
        <w:t xml:space="preserve">, Gerentes y </w:t>
      </w:r>
      <w:proofErr w:type="gramStart"/>
      <w:r w:rsidRPr="00CA09D8">
        <w:rPr>
          <w:rFonts w:ascii="Verdana" w:eastAsia="Times New Roman" w:hAnsi="Verdana" w:cs="Arial"/>
          <w:lang w:val="es-MX" w:eastAsia="es-CO"/>
        </w:rPr>
        <w:t>Directores</w:t>
      </w:r>
      <w:proofErr w:type="gramEnd"/>
      <w:r w:rsidRPr="00CA09D8">
        <w:rPr>
          <w:rFonts w:ascii="Verdana" w:eastAsia="Times New Roman" w:hAnsi="Verdana" w:cs="Arial"/>
          <w:lang w:val="es-MX" w:eastAsia="es-CO"/>
        </w:rPr>
        <w:t xml:space="preserve"> de las entidades del orden municipal, departamental o distrital celebrar </w:t>
      </w:r>
      <w:r w:rsidRPr="00CA09D8">
        <w:rPr>
          <w:rFonts w:ascii="Verdana" w:eastAsia="Times New Roman" w:hAnsi="Verdana" w:cs="Arial"/>
          <w:i/>
          <w:iCs/>
          <w:lang w:val="es-MX" w:eastAsia="es-CO"/>
        </w:rPr>
        <w:t>convenios interadministrativos</w:t>
      </w:r>
      <w:r w:rsidRPr="00CA09D8">
        <w:rPr>
          <w:rFonts w:ascii="Verdana" w:eastAsia="Times New Roman" w:hAnsi="Verdana" w:cs="Arial"/>
          <w:lang w:val="es-MX" w:eastAsia="es-CO"/>
        </w:rPr>
        <w:t xml:space="preserve"> para la ejecución de recursos públicos. </w:t>
      </w:r>
      <w:r w:rsidRPr="00CA09D8">
        <w:rPr>
          <w:rFonts w:ascii="Verdana" w:eastAsia="Times New Roman" w:hAnsi="Verdana" w:cs="Arial"/>
          <w:lang w:val="es-MX" w:eastAsia="es-CO"/>
        </w:rPr>
        <w:lastRenderedPageBreak/>
        <w:t xml:space="preserve">En este sentido, si una o ambas partes de la relación contractual es una entidad de aquellas descritas en el parágrafo </w:t>
      </w:r>
      <w:r w:rsidRPr="00CA09D8">
        <w:rPr>
          <w:rFonts w:ascii="Verdana" w:eastAsia="Times New Roman" w:hAnsi="Verdana" w:cs="Arial"/>
          <w:i/>
          <w:lang w:val="es-MX" w:eastAsia="es-CO"/>
        </w:rPr>
        <w:t>ibidem</w:t>
      </w:r>
      <w:r w:rsidRPr="00CA09D8">
        <w:rPr>
          <w:rFonts w:ascii="Verdana" w:eastAsia="Times New Roman" w:hAnsi="Verdana" w:cs="Arial"/>
          <w:lang w:val="es-MX" w:eastAsia="es-CO"/>
        </w:rPr>
        <w:t xml:space="preserve">, no podrá celebrar tales </w:t>
      </w:r>
      <w:r w:rsidRPr="00CA09D8">
        <w:rPr>
          <w:rFonts w:ascii="Verdana" w:eastAsia="Times New Roman" w:hAnsi="Verdana" w:cs="Arial"/>
          <w:i/>
          <w:iCs/>
          <w:lang w:val="es-MX" w:eastAsia="es-CO"/>
        </w:rPr>
        <w:t>convenios</w:t>
      </w:r>
      <w:r w:rsidRPr="00CA09D8">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4DE70739" w14:textId="77777777" w:rsidR="00CA09D8" w:rsidRPr="00CA09D8" w:rsidRDefault="00CA09D8" w:rsidP="00CA09D8">
      <w:pPr>
        <w:spacing w:after="0" w:line="276" w:lineRule="auto"/>
        <w:ind w:firstLine="708"/>
        <w:jc w:val="both"/>
        <w:rPr>
          <w:rFonts w:ascii="Verdana" w:eastAsia="Times New Roman" w:hAnsi="Verdana" w:cs="Arial"/>
          <w:lang w:val="es-MX" w:eastAsia="es-CO"/>
        </w:rPr>
      </w:pPr>
    </w:p>
    <w:p w14:paraId="330CE3DC" w14:textId="77777777" w:rsidR="00CA09D8" w:rsidRPr="00CA09D8" w:rsidRDefault="00CA09D8" w:rsidP="00CA09D8">
      <w:pPr>
        <w:spacing w:after="0" w:line="276" w:lineRule="auto"/>
        <w:jc w:val="both"/>
        <w:rPr>
          <w:rFonts w:ascii="Verdana" w:eastAsia="Times New Roman" w:hAnsi="Verdana" w:cs="Arial"/>
          <w:lang w:eastAsia="es-CO"/>
        </w:rPr>
      </w:pPr>
      <w:proofErr w:type="spellStart"/>
      <w:r w:rsidRPr="00CA09D8">
        <w:rPr>
          <w:rFonts w:ascii="Verdana" w:eastAsia="Times New Roman" w:hAnsi="Verdana" w:cs="Arial"/>
          <w:lang w:val="es-MX" w:eastAsia="es-CO"/>
        </w:rPr>
        <w:t>iii</w:t>
      </w:r>
      <w:proofErr w:type="spellEnd"/>
      <w:r w:rsidRPr="00CA09D8">
        <w:rPr>
          <w:rFonts w:ascii="Verdana" w:eastAsia="Times New Roman" w:hAnsi="Verdana" w:cs="Arial"/>
          <w:lang w:val="es-MX" w:eastAsia="es-CO"/>
        </w:rPr>
        <w:t xml:space="preserve">. Respecto del alcance de esta prohibición la Circular Externa No. 006 de 2025 expedida por la ANCP-CCE, en los literales </w:t>
      </w:r>
      <w:proofErr w:type="spellStart"/>
      <w:r w:rsidRPr="00CA09D8">
        <w:rPr>
          <w:rFonts w:ascii="Verdana" w:eastAsia="Times New Roman" w:hAnsi="Verdana" w:cs="Arial"/>
          <w:lang w:val="es-MX" w:eastAsia="es-CO"/>
        </w:rPr>
        <w:t>ii</w:t>
      </w:r>
      <w:proofErr w:type="spellEnd"/>
      <w:r w:rsidRPr="00CA09D8">
        <w:rPr>
          <w:rFonts w:ascii="Verdana" w:eastAsia="Times New Roman" w:hAnsi="Verdana" w:cs="Arial"/>
          <w:lang w:val="es-MX" w:eastAsia="es-CO"/>
        </w:rPr>
        <w:t xml:space="preserve">) y </w:t>
      </w:r>
      <w:proofErr w:type="spellStart"/>
      <w:r w:rsidRPr="00CA09D8">
        <w:rPr>
          <w:rFonts w:ascii="Verdana" w:eastAsia="Times New Roman" w:hAnsi="Verdana" w:cs="Arial"/>
          <w:lang w:val="es-MX" w:eastAsia="es-CO"/>
        </w:rPr>
        <w:t>iv</w:t>
      </w:r>
      <w:proofErr w:type="spellEnd"/>
      <w:r w:rsidRPr="00CA09D8">
        <w:rPr>
          <w:rFonts w:ascii="Verdana" w:eastAsia="Times New Roman" w:hAnsi="Verdana" w:cs="Arial"/>
          <w:lang w:val="es-MX" w:eastAsia="es-CO"/>
        </w:rPr>
        <w:t>) del numeral 2</w:t>
      </w:r>
      <w:r w:rsidRPr="00CA09D8">
        <w:rPr>
          <w:rFonts w:ascii="Verdana" w:eastAsia="Times New Roman" w:hAnsi="Verdana" w:cs="Arial"/>
          <w:lang w:eastAsia="es-CO"/>
        </w:rPr>
        <w:t>,</w:t>
      </w:r>
      <w:r w:rsidRPr="00CA09D8">
        <w:rPr>
          <w:rFonts w:ascii="Verdana" w:eastAsia="Times New Roman" w:hAnsi="Verdana" w:cs="Arial"/>
          <w:lang w:val="es-MX" w:eastAsia="es-CO"/>
        </w:rPr>
        <w:t xml:space="preserve"> indica que el </w:t>
      </w:r>
      <w:r w:rsidRPr="00CA09D8">
        <w:rPr>
          <w:rFonts w:ascii="Verdana" w:eastAsia="Times New Roman" w:hAnsi="Verdana" w:cs="Arial"/>
          <w:lang w:eastAsia="es-CO"/>
        </w:rPr>
        <w:t xml:space="preserve">parágrafo del artículo 38 de la Ley 996 de 2005 cobija expresamente a los </w:t>
      </w:r>
      <w:r w:rsidRPr="00CA09D8">
        <w:rPr>
          <w:rFonts w:ascii="Verdana" w:eastAsia="Times New Roman" w:hAnsi="Verdana" w:cs="Arial"/>
          <w:i/>
          <w:iCs/>
          <w:lang w:eastAsia="es-CO"/>
        </w:rPr>
        <w:t>convenios interadministrativos</w:t>
      </w:r>
      <w:r w:rsidRPr="00CA09D8">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A09D8">
        <w:rPr>
          <w:rFonts w:ascii="Verdana" w:eastAsia="Times New Roman" w:hAnsi="Verdana" w:cs="Arial"/>
          <w:i/>
          <w:iCs/>
          <w:lang w:eastAsia="es-CO"/>
        </w:rPr>
        <w:t>“aunque se configure alguno de los supuestos de excepción que señaló el inciso final del artículo 33</w:t>
      </w:r>
      <w:r w:rsidRPr="00CA09D8">
        <w:rPr>
          <w:rFonts w:ascii="Verdana" w:eastAsia="Times New Roman" w:hAnsi="Verdana" w:cs="Arial"/>
          <w:lang w:eastAsia="es-CO"/>
        </w:rPr>
        <w:t>”. Por lo demás, la norma tampoco contempla excepciones respecto a la contratación con esquemas asociativos territoriales, además de que la restricción rige al margen del contenido de los proyectos que se pretendan ejecutar. Como las excepciones son de reserva legal, tampoco son disponibles por las partes al suscribir el negocio jurídico, por lo que no existe justificación alguna para desconocer la prohibición.</w:t>
      </w:r>
    </w:p>
    <w:p w14:paraId="108E33B6" w14:textId="77777777" w:rsidR="00CA09D8" w:rsidRPr="00CA09D8" w:rsidRDefault="00CA09D8" w:rsidP="00CA09D8">
      <w:pPr>
        <w:spacing w:before="120" w:after="0" w:line="276" w:lineRule="auto"/>
        <w:ind w:firstLine="708"/>
        <w:jc w:val="both"/>
        <w:rPr>
          <w:rFonts w:ascii="Verdana" w:eastAsia="Times New Roman" w:hAnsi="Verdana" w:cs="Arial"/>
          <w:lang w:eastAsia="es-CO"/>
        </w:rPr>
      </w:pPr>
      <w:r w:rsidRPr="00CA09D8">
        <w:rPr>
          <w:rFonts w:ascii="Verdana" w:eastAsia="Times New Roman" w:hAnsi="Verdana" w:cs="Arial"/>
          <w:lang w:eastAsia="es-CO"/>
        </w:rPr>
        <w:t xml:space="preserve">Sin embargo, el ámbito de aplicación de la restricción prevista en el parágrafo del artículo 38 de la Ley 996 de 2005 comprende a los </w:t>
      </w:r>
      <w:r w:rsidRPr="00CA09D8">
        <w:rPr>
          <w:rFonts w:ascii="Verdana" w:eastAsia="Times New Roman" w:hAnsi="Verdana" w:cs="Arial"/>
          <w:i/>
          <w:iCs/>
          <w:lang w:eastAsia="es-CO"/>
        </w:rPr>
        <w:t>convenios interadministrativos</w:t>
      </w:r>
      <w:r w:rsidRPr="00CA09D8">
        <w:rPr>
          <w:rFonts w:ascii="Verdana" w:eastAsia="Times New Roman" w:hAnsi="Verdana" w:cs="Arial"/>
          <w:lang w:eastAsia="es-CO"/>
        </w:rPr>
        <w:t xml:space="preserve"> en los que exista </w:t>
      </w:r>
      <w:r w:rsidRPr="00CA09D8">
        <w:rPr>
          <w:rFonts w:ascii="Verdana" w:eastAsia="Times New Roman" w:hAnsi="Verdana" w:cs="Arial"/>
          <w:i/>
          <w:iCs/>
          <w:lang w:eastAsia="es-CO"/>
        </w:rPr>
        <w:t>ejecución de recursos públicos</w:t>
      </w:r>
      <w:r w:rsidRPr="00CA09D8">
        <w:rPr>
          <w:rFonts w:ascii="Verdana" w:eastAsia="Times New Roman" w:hAnsi="Verdana" w:cs="Arial"/>
          <w:lang w:eastAsia="es-CO"/>
        </w:rPr>
        <w:t xml:space="preserve">, sin importar de que estos sean en dinero o en especie, ya que la norma no distingue. </w:t>
      </w:r>
      <w:r w:rsidRPr="00CA09D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sidRPr="00CA09D8">
        <w:rPr>
          <w:rFonts w:ascii="Verdana" w:hAnsi="Verdana" w:cs="Arial"/>
          <w:vertAlign w:val="superscript"/>
          <w:lang w:val="es-ES"/>
        </w:rPr>
        <w:footnoteReference w:id="5"/>
      </w:r>
      <w:r w:rsidRPr="00CA09D8">
        <w:rPr>
          <w:rFonts w:ascii="Verdana" w:eastAsia="Times New Roman" w:hAnsi="Verdana" w:cs="Arial"/>
          <w:lang w:val="es-ES" w:eastAsia="es-CO"/>
        </w:rPr>
        <w:t>.</w:t>
      </w:r>
      <w:r w:rsidRPr="00CA09D8">
        <w:rPr>
          <w:rFonts w:ascii="Verdana" w:eastAsia="Times New Roman" w:hAnsi="Verdana" w:cs="Arial"/>
          <w:lang w:eastAsia="es-CO"/>
        </w:rPr>
        <w:t xml:space="preserve"> Por ello, en el Concepto 2201913000006634 del 6 de septiembre </w:t>
      </w:r>
      <w:r w:rsidRPr="00CA09D8">
        <w:rPr>
          <w:rFonts w:ascii="Verdana" w:eastAsia="Times New Roman" w:hAnsi="Verdana" w:cs="Arial"/>
          <w:lang w:eastAsia="es-CO"/>
        </w:rPr>
        <w:lastRenderedPageBreak/>
        <w:t>de 2019, la Agencia sostuvo que la ejecución de recursos no se agota en el “[…] el dinero que integra el ciclo presupuestal de la entidad […]”, pues “[…] también los bienes muebles, inmuebles y personal hacen parte del concepto de ‘recursos públicos’”.</w:t>
      </w:r>
    </w:p>
    <w:p w14:paraId="3A6276DA" w14:textId="77777777" w:rsidR="00CA09D8" w:rsidRPr="00CA09D8" w:rsidRDefault="00CA09D8" w:rsidP="00CA09D8">
      <w:pPr>
        <w:spacing w:before="120" w:after="0" w:line="276" w:lineRule="auto"/>
        <w:ind w:firstLine="708"/>
        <w:jc w:val="both"/>
        <w:rPr>
          <w:rFonts w:ascii="Verdana" w:eastAsia="Times New Roman" w:hAnsi="Verdana" w:cs="Arial"/>
          <w:lang w:eastAsia="es-CO"/>
        </w:rPr>
      </w:pPr>
      <w:r w:rsidRPr="00CA09D8">
        <w:rPr>
          <w:rFonts w:ascii="Verdana" w:eastAsia="Times New Roman" w:hAnsi="Verdana" w:cs="Arial"/>
          <w:lang w:eastAsia="es-CO"/>
        </w:rPr>
        <w:t xml:space="preserve">De esta manera, conforme a lo dispuesto en la Circular referida, si se suscriben </w:t>
      </w:r>
      <w:r w:rsidRPr="00CA09D8">
        <w:rPr>
          <w:rFonts w:ascii="Verdana" w:eastAsia="Times New Roman" w:hAnsi="Verdana" w:cs="Arial"/>
          <w:i/>
          <w:iCs/>
          <w:lang w:eastAsia="es-CO"/>
        </w:rPr>
        <w:t>convenios interadministrativos para la ejecución de recursos públicos</w:t>
      </w:r>
      <w:r w:rsidRPr="00CA09D8">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A09D8">
        <w:rPr>
          <w:rFonts w:ascii="Verdana" w:eastAsia="Times New Roman" w:hAnsi="Verdana" w:cs="Arial"/>
          <w:i/>
          <w:iCs/>
          <w:lang w:eastAsia="es-CO"/>
        </w:rPr>
        <w:t>ibidem</w:t>
      </w:r>
      <w:r w:rsidRPr="00CA09D8">
        <w:rPr>
          <w:rFonts w:ascii="Verdana" w:eastAsia="Times New Roman" w:hAnsi="Verdana" w:cs="Arial"/>
          <w:lang w:eastAsia="es-CO"/>
        </w:rPr>
        <w:t>, independientemente de que se configure alguno de los supuestos de excepción que señaló el inciso final del artículo 33, es decir, que se trate de:</w:t>
      </w:r>
      <w:r w:rsidRPr="00CA09D8">
        <w:rPr>
          <w:rFonts w:ascii="Verdana" w:hAnsi="Verdana" w:cs="Arial"/>
          <w:bCs/>
          <w:lang w:val="es-MX" w:eastAsia="x-none"/>
        </w:rPr>
        <w:t xml:space="preserve"> i) la defensa y seguridad del Estado; </w:t>
      </w:r>
      <w:proofErr w:type="spellStart"/>
      <w:r w:rsidRPr="00CA09D8">
        <w:rPr>
          <w:rFonts w:ascii="Verdana" w:hAnsi="Verdana" w:cs="Arial"/>
          <w:bCs/>
          <w:lang w:val="es-MX" w:eastAsia="x-none"/>
        </w:rPr>
        <w:t>ii</w:t>
      </w:r>
      <w:proofErr w:type="spellEnd"/>
      <w:r w:rsidRPr="00CA09D8">
        <w:rPr>
          <w:rFonts w:ascii="Verdana" w:hAnsi="Verdana" w:cs="Arial"/>
          <w:bCs/>
          <w:lang w:val="es-MX" w:eastAsia="x-none"/>
        </w:rPr>
        <w:t xml:space="preserve">) los contratos de crédito público; </w:t>
      </w:r>
      <w:proofErr w:type="spellStart"/>
      <w:r w:rsidRPr="00CA09D8">
        <w:rPr>
          <w:rFonts w:ascii="Verdana" w:hAnsi="Verdana" w:cs="Arial"/>
          <w:bCs/>
          <w:lang w:val="es-MX" w:eastAsia="x-none"/>
        </w:rPr>
        <w:t>iii</w:t>
      </w:r>
      <w:proofErr w:type="spellEnd"/>
      <w:r w:rsidRPr="00CA09D8">
        <w:rPr>
          <w:rFonts w:ascii="Verdana" w:hAnsi="Verdana" w:cs="Arial"/>
          <w:bCs/>
          <w:lang w:val="es-MX" w:eastAsia="x-none"/>
        </w:rPr>
        <w:t xml:space="preserve">) los requeridos para cubrir las emergencias educativas, sanitarias y desastres; </w:t>
      </w:r>
      <w:proofErr w:type="spellStart"/>
      <w:r w:rsidRPr="00CA09D8">
        <w:rPr>
          <w:rFonts w:ascii="Verdana" w:hAnsi="Verdana" w:cs="Arial"/>
          <w:bCs/>
          <w:lang w:val="es-MX" w:eastAsia="x-none"/>
        </w:rPr>
        <w:t>iv</w:t>
      </w:r>
      <w:proofErr w:type="spellEnd"/>
      <w:r w:rsidRPr="00CA09D8">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A09D8">
        <w:rPr>
          <w:rFonts w:ascii="Verdana" w:hAnsi="Verdana" w:cs="Arial"/>
          <w:bCs/>
          <w:lang w:val="es-MX" w:eastAsia="es-CO"/>
        </w:rPr>
        <w:t xml:space="preserve"> </w:t>
      </w:r>
      <w:r w:rsidRPr="00CA09D8">
        <w:rPr>
          <w:rFonts w:ascii="Verdana" w:eastAsia="Times New Roman" w:hAnsi="Verdana" w:cs="Arial"/>
          <w:lang w:eastAsia="es-CO"/>
        </w:rPr>
        <w:t xml:space="preserve">  </w:t>
      </w:r>
    </w:p>
    <w:p w14:paraId="6E7669B3" w14:textId="77777777" w:rsidR="00CA09D8" w:rsidRPr="00CA09D8" w:rsidRDefault="00CA09D8" w:rsidP="00CA09D8">
      <w:pPr>
        <w:spacing w:after="0" w:line="276" w:lineRule="auto"/>
        <w:ind w:firstLine="708"/>
        <w:jc w:val="both"/>
        <w:rPr>
          <w:rFonts w:ascii="Verdana" w:eastAsia="Times New Roman" w:hAnsi="Verdana" w:cs="Arial"/>
          <w:lang w:eastAsia="es-CO"/>
        </w:rPr>
      </w:pPr>
    </w:p>
    <w:p w14:paraId="4FC1F66E" w14:textId="77777777" w:rsidR="00CA09D8" w:rsidRPr="00CA09D8" w:rsidRDefault="00CA09D8" w:rsidP="00CA09D8">
      <w:pPr>
        <w:spacing w:after="0" w:line="276" w:lineRule="auto"/>
        <w:jc w:val="both"/>
        <w:rPr>
          <w:rFonts w:ascii="Verdana" w:eastAsia="Times New Roman" w:hAnsi="Verdana" w:cs="Arial"/>
          <w:lang w:eastAsia="es-CO"/>
        </w:rPr>
      </w:pPr>
      <w:proofErr w:type="spellStart"/>
      <w:r w:rsidRPr="00CA09D8">
        <w:rPr>
          <w:rFonts w:ascii="Verdana" w:eastAsia="Times New Roman" w:hAnsi="Verdana" w:cs="Arial"/>
          <w:lang w:eastAsia="es-CO"/>
        </w:rPr>
        <w:t>iv</w:t>
      </w:r>
      <w:proofErr w:type="spellEnd"/>
      <w:r w:rsidRPr="00CA09D8">
        <w:rPr>
          <w:rFonts w:ascii="Verdana" w:eastAsia="Times New Roman" w:hAnsi="Verdana" w:cs="Arial"/>
          <w:lang w:eastAsia="es-CO"/>
        </w:rPr>
        <w:t xml:space="preserve">. En este punto, vale la pena destacar </w:t>
      </w:r>
      <w:proofErr w:type="gramStart"/>
      <w:r w:rsidRPr="00CA09D8">
        <w:rPr>
          <w:rFonts w:ascii="Verdana" w:eastAsia="Times New Roman" w:hAnsi="Verdana" w:cs="Arial"/>
          <w:lang w:eastAsia="es-CO"/>
        </w:rPr>
        <w:t>que</w:t>
      </w:r>
      <w:proofErr w:type="gramEnd"/>
      <w:r w:rsidRPr="00CA09D8">
        <w:rPr>
          <w:rFonts w:ascii="Verdana" w:eastAsia="Times New Roman" w:hAnsi="Verdana" w:cs="Arial"/>
          <w:lang w:eastAsia="es-CO"/>
        </w:rPr>
        <w:t xml:space="preserve"> </w:t>
      </w:r>
      <w:r w:rsidRPr="00CA09D8">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A09D8">
        <w:rPr>
          <w:rFonts w:ascii="Verdana" w:hAnsi="Verdana" w:cs="Arial"/>
        </w:rPr>
        <w:t>numeral 16.2 de la Circular Externa Única de 2022 expedida por la Agencia Nacional de Contratación Pública – Colombia Compra Eficiente, concretamente, respecto de los siguientes apartes normativos</w:t>
      </w:r>
      <w:r w:rsidRPr="00CA09D8">
        <w:rPr>
          <w:rFonts w:ascii="Verdana" w:hAnsi="Verdana" w:cs="Arial"/>
          <w:vertAlign w:val="superscript"/>
        </w:rPr>
        <w:footnoteReference w:id="6"/>
      </w:r>
      <w:r w:rsidRPr="00CA09D8">
        <w:rPr>
          <w:rFonts w:ascii="Verdana" w:hAnsi="Verdana" w:cs="Arial"/>
        </w:rPr>
        <w:t xml:space="preserve">: </w:t>
      </w:r>
    </w:p>
    <w:p w14:paraId="5F17C448" w14:textId="77777777" w:rsidR="00CA09D8" w:rsidRPr="00CA09D8" w:rsidRDefault="00CA09D8" w:rsidP="00CA09D8">
      <w:pPr>
        <w:spacing w:after="0" w:line="276" w:lineRule="auto"/>
        <w:ind w:firstLine="709"/>
        <w:jc w:val="both"/>
        <w:rPr>
          <w:rFonts w:ascii="Verdana" w:hAnsi="Verdana" w:cs="Arial"/>
        </w:rPr>
      </w:pPr>
    </w:p>
    <w:p w14:paraId="2DD1F4B2" w14:textId="77777777" w:rsidR="00CA09D8" w:rsidRPr="00CA09D8" w:rsidRDefault="00CA09D8" w:rsidP="00CA09D8">
      <w:pPr>
        <w:spacing w:after="120" w:line="240" w:lineRule="auto"/>
        <w:ind w:left="709" w:right="709"/>
        <w:jc w:val="both"/>
        <w:rPr>
          <w:rFonts w:ascii="Verdana" w:hAnsi="Verdana" w:cs="Arial"/>
          <w:sz w:val="20"/>
          <w:szCs w:val="20"/>
        </w:rPr>
      </w:pPr>
      <w:r w:rsidRPr="00CA09D8">
        <w:rPr>
          <w:rFonts w:ascii="Verdana" w:hAnsi="Verdana" w:cs="Arial"/>
          <w:sz w:val="20"/>
          <w:szCs w:val="20"/>
          <w:lang w:val="es-MX"/>
        </w:rPr>
        <w:t>“i)</w:t>
      </w:r>
      <w:r w:rsidRPr="00CA09D8">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AA511C6" w14:textId="77777777" w:rsidR="00CA09D8" w:rsidRPr="00CA09D8" w:rsidRDefault="00CA09D8" w:rsidP="00CA09D8">
      <w:pPr>
        <w:spacing w:after="0" w:line="240" w:lineRule="auto"/>
        <w:ind w:left="709" w:right="709"/>
        <w:jc w:val="both"/>
        <w:rPr>
          <w:rFonts w:ascii="Verdana" w:hAnsi="Verdana" w:cs="Arial"/>
          <w:sz w:val="20"/>
          <w:szCs w:val="20"/>
        </w:rPr>
      </w:pPr>
      <w:proofErr w:type="spellStart"/>
      <w:r w:rsidRPr="00CA09D8">
        <w:rPr>
          <w:rFonts w:ascii="Verdana" w:hAnsi="Verdana" w:cs="Arial"/>
          <w:sz w:val="20"/>
          <w:szCs w:val="20"/>
        </w:rPr>
        <w:lastRenderedPageBreak/>
        <w:t>ii</w:t>
      </w:r>
      <w:proofErr w:type="spellEnd"/>
      <w:r w:rsidRPr="00CA09D8">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9A7D336" w14:textId="77777777" w:rsidR="00CA09D8" w:rsidRPr="00CA09D8" w:rsidRDefault="00CA09D8" w:rsidP="00CA09D8">
      <w:pPr>
        <w:spacing w:after="0" w:line="276" w:lineRule="auto"/>
        <w:ind w:left="709" w:right="709"/>
        <w:jc w:val="both"/>
        <w:rPr>
          <w:rFonts w:ascii="Verdana" w:hAnsi="Verdana" w:cs="Arial"/>
        </w:rPr>
      </w:pPr>
    </w:p>
    <w:p w14:paraId="165EA93E" w14:textId="77777777" w:rsidR="00CA09D8" w:rsidRPr="00CA09D8" w:rsidRDefault="00CA09D8" w:rsidP="00CA09D8">
      <w:pPr>
        <w:spacing w:after="120" w:line="276" w:lineRule="auto"/>
        <w:ind w:firstLine="709"/>
        <w:jc w:val="both"/>
        <w:rPr>
          <w:rFonts w:ascii="Verdana" w:eastAsia="Arial" w:hAnsi="Verdana" w:cs="Arial"/>
          <w:i/>
          <w:iCs/>
          <w:lang w:eastAsia="es-ES" w:bidi="es-ES"/>
        </w:rPr>
      </w:pPr>
      <w:r w:rsidRPr="00CA09D8">
        <w:rPr>
          <w:rFonts w:ascii="Verdana" w:eastAsia="Arial" w:hAnsi="Verdana" w:cs="Arial"/>
          <w:lang w:val="es-MX" w:eastAsia="es-ES" w:bidi="es-ES"/>
        </w:rPr>
        <w:t xml:space="preserve">De conformidad con los argumentos de dicha providencia, se parte de la distinción entre los conceptos </w:t>
      </w:r>
      <w:r w:rsidRPr="00CA09D8">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A09D8">
        <w:rPr>
          <w:rFonts w:ascii="Verdana" w:hAnsi="Verdana"/>
          <w:sz w:val="24"/>
          <w:szCs w:val="24"/>
          <w:lang w:eastAsia="es-CO"/>
        </w:rPr>
        <w:t xml:space="preserve"> </w:t>
      </w:r>
      <w:r w:rsidRPr="00CA09D8">
        <w:rPr>
          <w:rFonts w:ascii="Verdana" w:eastAsia="Arial" w:hAnsi="Verdana" w:cs="Arial"/>
          <w:lang w:eastAsia="es-ES" w:bidi="es-ES"/>
        </w:rPr>
        <w:t xml:space="preserve">En este sentido, en relación con el parágrafo del artículo 38 de la Ley 996 de 2005 concluyó que </w:t>
      </w:r>
      <w:r w:rsidRPr="00CA09D8">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A09D8">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A09D8">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CA09D8">
        <w:rPr>
          <w:rFonts w:ascii="Verdana" w:eastAsia="Arial" w:hAnsi="Verdana" w:cs="Arial"/>
          <w:lang w:eastAsia="es-ES" w:bidi="es-ES"/>
        </w:rPr>
        <w:t>”</w:t>
      </w:r>
      <w:r w:rsidRPr="00CA09D8">
        <w:rPr>
          <w:rFonts w:ascii="Verdana" w:eastAsia="Arial" w:hAnsi="Verdana" w:cs="Arial"/>
          <w:i/>
          <w:iCs/>
          <w:lang w:eastAsia="es-ES" w:bidi="es-ES"/>
        </w:rPr>
        <w:t xml:space="preserve">. </w:t>
      </w:r>
    </w:p>
    <w:p w14:paraId="488F7535" w14:textId="77777777" w:rsidR="00CA09D8" w:rsidRPr="00CA09D8" w:rsidRDefault="00CA09D8" w:rsidP="00CA09D8">
      <w:pPr>
        <w:spacing w:after="120" w:line="276" w:lineRule="auto"/>
        <w:ind w:firstLine="709"/>
        <w:jc w:val="both"/>
        <w:rPr>
          <w:rFonts w:ascii="Verdana" w:eastAsia="Arial" w:hAnsi="Verdana" w:cs="Arial"/>
          <w:lang w:eastAsia="es-ES" w:bidi="es-ES"/>
        </w:rPr>
      </w:pPr>
      <w:r w:rsidRPr="00CA09D8">
        <w:rPr>
          <w:rFonts w:ascii="Verdana" w:eastAsia="Arial" w:hAnsi="Verdana" w:cs="Arial"/>
          <w:lang w:eastAsia="es-ES" w:bidi="es-ES"/>
        </w:rPr>
        <w:t>De igual manera, mediante auto del 6 de noviembre de 2025, el Consejo de Estado, Subsección A de la Sección Tercera, decretó</w:t>
      </w:r>
      <w:r w:rsidRPr="00CA09D8">
        <w:rPr>
          <w:rFonts w:ascii="Verdana" w:eastAsia="Arial" w:hAnsi="Verdana" w:cs="Arial"/>
          <w:b/>
          <w:bCs/>
          <w:lang w:eastAsia="es-ES" w:bidi="es-ES"/>
        </w:rPr>
        <w:t xml:space="preserve"> </w:t>
      </w:r>
      <w:r w:rsidRPr="00CA09D8">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A09D8">
        <w:rPr>
          <w:rFonts w:ascii="Verdana" w:eastAsia="Arial" w:hAnsi="Verdana" w:cs="Arial"/>
          <w:vertAlign w:val="superscript"/>
          <w:lang w:eastAsia="es-ES" w:bidi="es-ES"/>
        </w:rPr>
        <w:footnoteReference w:id="7"/>
      </w:r>
      <w:r w:rsidRPr="00CA09D8">
        <w:rPr>
          <w:rFonts w:ascii="Verdana" w:eastAsia="Arial" w:hAnsi="Verdana" w:cs="Arial"/>
          <w:lang w:eastAsia="es-ES" w:bidi="es-ES"/>
        </w:rPr>
        <w:t xml:space="preserve">. Para tales efectos, </w:t>
      </w:r>
      <w:r w:rsidRPr="00CA09D8">
        <w:rPr>
          <w:rFonts w:ascii="Verdana" w:eastAsia="Arial" w:hAnsi="Verdana" w:cs="Arial"/>
          <w:lang w:eastAsia="es-ES" w:bidi="es-ES"/>
        </w:rPr>
        <w:lastRenderedPageBreak/>
        <w:t xml:space="preserve">el alto tribunal resaltó la interpretación restrictiva de las normas que contienen prohibiciones, como la del parágrafo del artículo 38 de la Ley 996 de 2005, por manera que se excluye la analogía </w:t>
      </w:r>
      <w:proofErr w:type="spellStart"/>
      <w:r w:rsidRPr="00CA09D8">
        <w:rPr>
          <w:rFonts w:ascii="Verdana" w:eastAsia="Arial" w:hAnsi="Verdana" w:cs="Arial"/>
          <w:lang w:eastAsia="es-ES" w:bidi="es-ES"/>
        </w:rPr>
        <w:t>legis</w:t>
      </w:r>
      <w:proofErr w:type="spellEnd"/>
      <w:r w:rsidRPr="00CA09D8">
        <w:rPr>
          <w:rFonts w:ascii="Verdana" w:eastAsia="Arial" w:hAnsi="Verdana" w:cs="Arial"/>
          <w:lang w:eastAsia="es-ES" w:bidi="es-ES"/>
        </w:rPr>
        <w:t xml:space="preserve"> o iuris y la interpretación extensiva y reiteró los argumentos sobre la diferencia entre contratos y convenios interadministrativos. </w:t>
      </w:r>
    </w:p>
    <w:p w14:paraId="4290493F" w14:textId="77777777" w:rsidR="00CA09D8" w:rsidRPr="00CA09D8" w:rsidRDefault="00CA09D8" w:rsidP="00CA09D8">
      <w:pPr>
        <w:spacing w:after="120" w:line="276" w:lineRule="auto"/>
        <w:ind w:firstLine="709"/>
        <w:jc w:val="both"/>
        <w:rPr>
          <w:rFonts w:ascii="Verdana" w:eastAsia="Times New Roman" w:hAnsi="Verdana" w:cs="Times New Roman"/>
          <w:lang w:eastAsia="es-ES"/>
        </w:rPr>
      </w:pPr>
      <w:r w:rsidRPr="00CA09D8">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A09D8">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3456CB4E" w14:textId="77777777" w:rsidR="00CA09D8" w:rsidRPr="00CA09D8" w:rsidRDefault="00CA09D8" w:rsidP="00CA09D8">
      <w:pPr>
        <w:spacing w:after="120" w:line="276" w:lineRule="auto"/>
        <w:ind w:firstLine="709"/>
        <w:jc w:val="both"/>
        <w:rPr>
          <w:rFonts w:ascii="Verdana" w:eastAsia="Times New Roman" w:hAnsi="Verdana" w:cs="Times New Roman"/>
          <w:lang w:eastAsia="es-ES"/>
        </w:rPr>
      </w:pPr>
      <w:r w:rsidRPr="00CA09D8">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A09D8">
        <w:rPr>
          <w:rFonts w:ascii="Verdana" w:eastAsia="Times New Roman" w:hAnsi="Verdana" w:cs="Times New Roman"/>
          <w:vertAlign w:val="superscript"/>
          <w:lang w:eastAsia="es-ES"/>
        </w:rPr>
        <w:footnoteReference w:id="8"/>
      </w:r>
      <w:r w:rsidRPr="00CA09D8">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00C24BE0" w14:textId="77777777" w:rsidR="00CA09D8" w:rsidRPr="00CA09D8" w:rsidRDefault="00CA09D8" w:rsidP="00CA09D8">
      <w:pPr>
        <w:spacing w:after="0" w:line="276" w:lineRule="auto"/>
        <w:ind w:firstLine="709"/>
        <w:jc w:val="both"/>
        <w:rPr>
          <w:rFonts w:ascii="Verdana" w:eastAsia="Times New Roman" w:hAnsi="Verdana" w:cs="Arial"/>
          <w:lang w:eastAsia="es-CO"/>
        </w:rPr>
      </w:pPr>
      <w:r w:rsidRPr="00CA09D8">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w:t>
      </w:r>
      <w:r w:rsidRPr="00CA09D8">
        <w:rPr>
          <w:rFonts w:ascii="Verdana" w:eastAsia="Times New Roman" w:hAnsi="Verdana" w:cs="Times New Roman"/>
          <w:lang w:eastAsia="es-ES"/>
        </w:rPr>
        <w:lastRenderedPageBreak/>
        <w:t xml:space="preserve">de la potestad reglamentaria, lo que configuró un vicio de contenido. </w:t>
      </w:r>
      <w:r w:rsidRPr="00CA09D8">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A09D8">
        <w:rPr>
          <w:rFonts w:ascii="Verdana" w:eastAsia="Times New Roman" w:hAnsi="Verdana" w:cs="Arial"/>
          <w:i/>
          <w:iCs/>
          <w:lang w:eastAsia="es-CO"/>
        </w:rPr>
        <w:t>contratos interadministrativos</w:t>
      </w:r>
      <w:r w:rsidRPr="00CA09D8">
        <w:rPr>
          <w:rFonts w:ascii="Verdana" w:eastAsia="Times New Roman" w:hAnsi="Verdana" w:cs="Arial"/>
          <w:lang w:eastAsia="es-CO"/>
        </w:rPr>
        <w:t>, esta prohibición solo aplicaría a los convenios interadministrativos que impliquen la ejecución de recursos públicos</w:t>
      </w:r>
      <w:r w:rsidRPr="00CA09D8">
        <w:rPr>
          <w:rFonts w:ascii="Verdana" w:eastAsia="Times New Roman" w:hAnsi="Verdana" w:cs="Arial"/>
          <w:vertAlign w:val="superscript"/>
          <w:lang w:eastAsia="es-CO"/>
        </w:rPr>
        <w:footnoteReference w:id="9"/>
      </w:r>
      <w:r w:rsidRPr="00CA09D8">
        <w:rPr>
          <w:rFonts w:ascii="Verdana" w:eastAsia="Times New Roman" w:hAnsi="Verdana" w:cs="Arial"/>
          <w:lang w:eastAsia="es-CO"/>
        </w:rPr>
        <w:t>.</w:t>
      </w:r>
    </w:p>
    <w:p w14:paraId="38E5905D" w14:textId="77777777" w:rsidR="00CA09D8" w:rsidRPr="00CA09D8" w:rsidRDefault="00CA09D8" w:rsidP="00CA09D8">
      <w:pPr>
        <w:tabs>
          <w:tab w:val="left" w:pos="0"/>
        </w:tabs>
        <w:spacing w:after="0" w:line="276" w:lineRule="auto"/>
        <w:jc w:val="both"/>
        <w:rPr>
          <w:rFonts w:ascii="Verdana" w:eastAsia="Calibri" w:hAnsi="Verdana" w:cs="Arial"/>
          <w:bCs/>
          <w:color w:val="000000" w:themeColor="text1"/>
          <w:lang w:val="es-ES_tradnl"/>
        </w:rPr>
      </w:pPr>
    </w:p>
    <w:p w14:paraId="59E01E45" w14:textId="77777777" w:rsidR="00CA09D8" w:rsidRPr="00CA09D8" w:rsidRDefault="00CA09D8" w:rsidP="00CA09D8">
      <w:pPr>
        <w:tabs>
          <w:tab w:val="left" w:pos="0"/>
        </w:tabs>
        <w:spacing w:after="120" w:line="276" w:lineRule="auto"/>
        <w:jc w:val="both"/>
        <w:rPr>
          <w:rFonts w:ascii="Verdana" w:eastAsia="Calibri" w:hAnsi="Verdana" w:cs="Arial"/>
          <w:bCs/>
          <w:lang w:val="es-ES_tradnl" w:eastAsia="es-ES_tradnl"/>
        </w:rPr>
      </w:pPr>
      <w:r w:rsidRPr="00CA09D8">
        <w:rPr>
          <w:rFonts w:ascii="Verdana" w:eastAsia="Calibri" w:hAnsi="Verdana" w:cs="Arial"/>
          <w:bCs/>
          <w:color w:val="000000" w:themeColor="text1"/>
        </w:rPr>
        <w:t xml:space="preserve">v. Si bien la </w:t>
      </w:r>
      <w:r w:rsidRPr="00CA09D8">
        <w:rPr>
          <w:rFonts w:ascii="Verdana" w:eastAsia="Calibri" w:hAnsi="Verdana" w:cs="Arial"/>
          <w:lang w:val="es-ES_tradnl"/>
        </w:rPr>
        <w:t xml:space="preserve">Directiva Presidencial </w:t>
      </w:r>
      <w:r w:rsidRPr="00CA09D8">
        <w:rPr>
          <w:rFonts w:ascii="Verdana" w:eastAsia="Calibri" w:hAnsi="Verdana" w:cs="Arial"/>
          <w:bCs/>
          <w:lang w:val="es-ES_tradnl" w:eastAsia="es-ES_tradnl"/>
        </w:rPr>
        <w:t>06 del 14 de noviembre de 2023 instaba a los ministros, directores de los departamentos administrativos y representantes legales de las entidades descentralizadas de la rama ejecutiva del orden nacional a “[…] ejecutar directamente sus recursos y evitarán acudir a otras entidades para que actúen como intermediarios en la ejecución de sus políticas y recursos públicos […]”, dicha instrucción no tenía por objeto a las entidades territoriales y, además, fue suspendida provisionalmente por el Consejo de Estado</w:t>
      </w:r>
      <w:r w:rsidRPr="00CA09D8">
        <w:rPr>
          <w:rFonts w:ascii="Verdana" w:eastAsia="Calibri" w:hAnsi="Verdana" w:cs="Arial"/>
          <w:bCs/>
          <w:vertAlign w:val="superscript"/>
          <w:lang w:val="es-ES_tradnl" w:eastAsia="es-ES_tradnl"/>
        </w:rPr>
        <w:footnoteReference w:id="10"/>
      </w:r>
      <w:r w:rsidRPr="00CA09D8">
        <w:rPr>
          <w:rFonts w:ascii="Verdana" w:eastAsia="Calibri" w:hAnsi="Verdana" w:cs="Arial"/>
          <w:bCs/>
          <w:lang w:val="es-ES_tradnl" w:eastAsia="es-ES_tradnl"/>
        </w:rPr>
        <w:t>. Luego, no existe ningún lineamiento específico para “[…] evitar la intermediación o delegación indebida de funciones propias de la entidad ejecutora”.</w:t>
      </w:r>
    </w:p>
    <w:p w14:paraId="05F6243F" w14:textId="77777777" w:rsidR="00CA09D8" w:rsidRPr="00CA09D8" w:rsidRDefault="00CA09D8" w:rsidP="00CA09D8">
      <w:pPr>
        <w:tabs>
          <w:tab w:val="left" w:pos="0"/>
        </w:tabs>
        <w:spacing w:after="120" w:line="276" w:lineRule="auto"/>
        <w:jc w:val="both"/>
        <w:rPr>
          <w:rFonts w:ascii="Verdana" w:eastAsia="Calibri" w:hAnsi="Verdana" w:cs="Arial"/>
          <w:bCs/>
          <w:color w:val="000000" w:themeColor="text1"/>
        </w:rPr>
      </w:pPr>
      <w:r w:rsidRPr="00CA09D8">
        <w:rPr>
          <w:rFonts w:ascii="Verdana" w:eastAsia="Calibri" w:hAnsi="Verdana" w:cs="Arial"/>
          <w:bCs/>
          <w:lang w:val="es-ES_tradnl" w:eastAsia="es-ES_tradnl"/>
        </w:rPr>
        <w:tab/>
      </w:r>
      <w:r w:rsidRPr="00CA09D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D93CEF" w14:textId="77777777" w:rsidR="00CA09D8" w:rsidRPr="00CA09D8" w:rsidRDefault="00CA09D8" w:rsidP="00CA09D8">
      <w:pPr>
        <w:tabs>
          <w:tab w:val="left" w:pos="709"/>
        </w:tabs>
        <w:spacing w:after="0" w:line="276" w:lineRule="auto"/>
        <w:jc w:val="both"/>
        <w:rPr>
          <w:rFonts w:ascii="Verdana" w:eastAsia="Calibri" w:hAnsi="Verdana" w:cs="Arial"/>
          <w:bCs/>
          <w:color w:val="000000" w:themeColor="text1"/>
        </w:rPr>
      </w:pPr>
      <w:r w:rsidRPr="00CA09D8">
        <w:rPr>
          <w:rFonts w:ascii="Verdana" w:eastAsia="Calibri" w:hAnsi="Verdana" w:cs="Arial"/>
          <w:bCs/>
          <w:color w:val="000000" w:themeColor="text1"/>
        </w:rPr>
        <w:tab/>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CA09D8">
        <w:rPr>
          <w:rFonts w:ascii="Verdana" w:eastAsia="Calibri" w:hAnsi="Verdana" w:cs="Arial"/>
          <w:bCs/>
          <w:color w:val="000000" w:themeColor="text1"/>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F037191" w14:textId="77777777" w:rsidR="00CA09D8" w:rsidRPr="00CA09D8" w:rsidRDefault="00CA09D8" w:rsidP="00CA09D8">
      <w:pPr>
        <w:tabs>
          <w:tab w:val="left" w:pos="709"/>
        </w:tabs>
        <w:spacing w:after="0" w:line="276" w:lineRule="auto"/>
        <w:jc w:val="both"/>
        <w:rPr>
          <w:rFonts w:ascii="Verdana" w:eastAsia="Calibri" w:hAnsi="Verdana" w:cs="Arial"/>
          <w:color w:val="000000" w:themeColor="text1"/>
        </w:rPr>
      </w:pPr>
    </w:p>
    <w:p w14:paraId="4228B239" w14:textId="77777777" w:rsidR="00CA09D8" w:rsidRPr="00CA09D8" w:rsidRDefault="00CA09D8" w:rsidP="00CA09D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A09D8">
        <w:rPr>
          <w:rFonts w:ascii="Verdana" w:eastAsia="Century Gothic" w:hAnsi="Verdana" w:cs="Century Gothic"/>
          <w:b/>
          <w:bCs/>
          <w:lang w:val="es-ES"/>
        </w:rPr>
        <w:t>Referencias normativas:</w:t>
      </w:r>
    </w:p>
    <w:p w14:paraId="2E4A19F0" w14:textId="77777777" w:rsidR="00CA09D8" w:rsidRPr="00CA09D8" w:rsidRDefault="00CA09D8" w:rsidP="00CA09D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A09D8" w:rsidRPr="00CA09D8" w14:paraId="6D9788AF" w14:textId="77777777" w:rsidTr="00055B5B">
        <w:trPr>
          <w:trHeight w:val="56"/>
          <w:jc w:val="center"/>
        </w:trPr>
        <w:tc>
          <w:tcPr>
            <w:tcW w:w="8647" w:type="dxa"/>
          </w:tcPr>
          <w:p w14:paraId="6BD1CEDF"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80 de 1993, artículo 2.</w:t>
            </w:r>
          </w:p>
          <w:p w14:paraId="6AFA342D"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489 de 1998, artículo 95.</w:t>
            </w:r>
          </w:p>
          <w:p w14:paraId="1BB0833C"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1150 de 2007, artículos 2, 10 y 32.</w:t>
            </w:r>
          </w:p>
          <w:p w14:paraId="5DA74307"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996 de 2005, artículos 33 y 38.</w:t>
            </w:r>
          </w:p>
          <w:p w14:paraId="74C34027"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1454 de 2011, artículo 17.</w:t>
            </w:r>
          </w:p>
          <w:p w14:paraId="0181057E"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1474 de 2011, artículo 92.</w:t>
            </w:r>
          </w:p>
          <w:p w14:paraId="4DBC66D9"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2022 de 2020, artículo 1.</w:t>
            </w:r>
          </w:p>
          <w:p w14:paraId="4FC275E3" w14:textId="77777777" w:rsidR="00CA09D8" w:rsidRPr="00CA09D8" w:rsidRDefault="00CA09D8" w:rsidP="00CA09D8">
            <w:pPr>
              <w:widowControl w:val="0"/>
              <w:numPr>
                <w:ilvl w:val="0"/>
                <w:numId w:val="17"/>
              </w:numPr>
              <w:autoSpaceDE w:val="0"/>
              <w:autoSpaceDN w:val="0"/>
              <w:spacing w:after="120" w:line="276" w:lineRule="auto"/>
              <w:ind w:left="714" w:hanging="357"/>
              <w:contextualSpacing/>
              <w:jc w:val="both"/>
              <w:rPr>
                <w:rFonts w:ascii="Verdana" w:hAnsi="Verdana" w:cs="Arial"/>
                <w:lang w:val="es-ES"/>
              </w:rPr>
            </w:pPr>
            <w:r w:rsidRPr="00CA09D8">
              <w:rPr>
                <w:rFonts w:ascii="Verdana" w:hAnsi="Verdana" w:cs="Arial"/>
                <w:lang w:val="es-ES"/>
              </w:rPr>
              <w:t>Ley 2195 de 2022, artículo 56.</w:t>
            </w:r>
          </w:p>
          <w:p w14:paraId="72316FB6" w14:textId="77777777" w:rsidR="00CA09D8" w:rsidRPr="00CA09D8" w:rsidRDefault="00CA09D8" w:rsidP="00CA09D8">
            <w:pPr>
              <w:widowControl w:val="0"/>
              <w:numPr>
                <w:ilvl w:val="0"/>
                <w:numId w:val="17"/>
              </w:numPr>
              <w:autoSpaceDE w:val="0"/>
              <w:autoSpaceDN w:val="0"/>
              <w:spacing w:after="160" w:line="276" w:lineRule="auto"/>
              <w:ind w:left="714" w:hanging="357"/>
              <w:contextualSpacing/>
              <w:jc w:val="both"/>
              <w:rPr>
                <w:rFonts w:ascii="Verdana" w:hAnsi="Verdana" w:cs="Arial"/>
                <w:lang w:val="es-ES"/>
              </w:rPr>
            </w:pPr>
            <w:r w:rsidRPr="00CA09D8">
              <w:rPr>
                <w:rFonts w:ascii="Verdana" w:hAnsi="Verdana" w:cs="Arial"/>
                <w:lang w:val="es-ES"/>
              </w:rPr>
              <w:t xml:space="preserve">Código Civil, artículo 31. </w:t>
            </w:r>
          </w:p>
        </w:tc>
      </w:tr>
    </w:tbl>
    <w:p w14:paraId="69638D3E" w14:textId="77777777" w:rsidR="00CA09D8" w:rsidRPr="00CA09D8" w:rsidRDefault="00CA09D8" w:rsidP="00CA09D8">
      <w:pPr>
        <w:widowControl w:val="0"/>
        <w:autoSpaceDE w:val="0"/>
        <w:autoSpaceDN w:val="0"/>
        <w:spacing w:after="0" w:line="276" w:lineRule="auto"/>
        <w:jc w:val="both"/>
        <w:rPr>
          <w:rFonts w:ascii="Verdana" w:hAnsi="Verdana" w:cs="Arial"/>
        </w:rPr>
      </w:pPr>
    </w:p>
    <w:p w14:paraId="2B2E847A" w14:textId="77777777" w:rsidR="00CA09D8" w:rsidRPr="00CA09D8" w:rsidRDefault="00CA09D8" w:rsidP="00CA09D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A09D8">
        <w:rPr>
          <w:rFonts w:ascii="Verdana" w:eastAsia="Century Gothic" w:hAnsi="Verdana" w:cs="Century Gothic"/>
          <w:b/>
          <w:bCs/>
          <w:lang w:val="es-ES"/>
        </w:rPr>
        <w:t>Doctrina de la Agencia Nacional de Contratación Pública:</w:t>
      </w:r>
    </w:p>
    <w:p w14:paraId="329D06F3" w14:textId="77777777" w:rsidR="00CA09D8" w:rsidRPr="00CA09D8" w:rsidRDefault="00CA09D8" w:rsidP="00CA09D8">
      <w:pPr>
        <w:widowControl w:val="0"/>
        <w:autoSpaceDE w:val="0"/>
        <w:autoSpaceDN w:val="0"/>
        <w:spacing w:after="0" w:line="276" w:lineRule="auto"/>
        <w:jc w:val="both"/>
        <w:rPr>
          <w:rFonts w:ascii="Verdana" w:hAnsi="Verdana" w:cs="Arial"/>
        </w:rPr>
      </w:pPr>
    </w:p>
    <w:p w14:paraId="4D206ED2" w14:textId="77777777" w:rsidR="00CA09D8" w:rsidRPr="00CA09D8" w:rsidRDefault="00CA09D8" w:rsidP="00CA09D8">
      <w:pPr>
        <w:widowControl w:val="0"/>
        <w:autoSpaceDE w:val="0"/>
        <w:autoSpaceDN w:val="0"/>
        <w:spacing w:after="0" w:line="276" w:lineRule="auto"/>
        <w:jc w:val="both"/>
        <w:rPr>
          <w:rFonts w:ascii="Verdana" w:hAnsi="Verdana" w:cs="Arial"/>
          <w:shd w:val="clear" w:color="auto" w:fill="FFFFFF"/>
        </w:rPr>
      </w:pPr>
      <w:r w:rsidRPr="00CA09D8">
        <w:rPr>
          <w:rFonts w:ascii="Verdana" w:hAnsi="Verdana" w:cs="Arial"/>
          <w:shd w:val="clear" w:color="auto" w:fill="FFFFFF"/>
        </w:rPr>
        <w:t>Esta Subdirección se ha pronunciado sobre los esquemas asociativos de entidades territoriales y la celebración de convenios y contratos interadministrativos en los Conceptos 2201913000005444 del 30 de julio de 2019, 2201913000005649 del 8 de agosto de 2019, 4201912000007676 del 20 de diciembre de 2019, C-059 del 25 de febrero de 2020, C-659 del 10 de noviembre de 2020, C-788 del 21 de enero de 2021, C-054 del 10 de marzo de 2021, C-116 del 30 de marzo de 2021, C-149 de 8 de abril de 2021, C-173 del 16 de abril de 2021, C-214 del 13 de mayo de 2021, C-284 del 18 de junio de 2021, C-347 del 23 de julio de 2021, C-664 del 30 de agosto de 2021, C-554 del 6 de octubre de 2021, C-249 del 16 de junio de 2022, C-033 del 27 de febrero de 2023, C-285 del 4 de julio de 2023, C-379 del 29 de octubre de 2023, C-1044 del 11 de febrero de 2025, C-442 del 9 de mayo de 2025 y C-723 del 25 de junio de 2025</w:t>
      </w:r>
      <w:r w:rsidRPr="00CA09D8">
        <w:rPr>
          <w:rFonts w:ascii="Verdana" w:eastAsia="Calibri" w:hAnsi="Verdana" w:cs="Arial"/>
          <w:shd w:val="clear" w:color="auto" w:fill="FFFFFF"/>
        </w:rPr>
        <w:t>. Asimismo, también se ha referido a la Ley de Garantías en los</w:t>
      </w:r>
      <w:r w:rsidRPr="00CA09D8">
        <w:rPr>
          <w:rFonts w:ascii="Verdana" w:hAnsi="Verdana"/>
          <w:color w:val="000000"/>
          <w:sz w:val="18"/>
          <w:szCs w:val="18"/>
          <w:shd w:val="clear" w:color="auto" w:fill="FFFFFF"/>
        </w:rPr>
        <w:t xml:space="preserve"> </w:t>
      </w:r>
      <w:r w:rsidRPr="00CA09D8">
        <w:rPr>
          <w:rFonts w:ascii="Verdana" w:eastAsia="Calibri" w:hAnsi="Verdana" w:cs="Arial"/>
        </w:rPr>
        <w:t xml:space="preserve">Conceptos 4201913000004536 de 17 de julio de 2019, 4201912000005556 del 12 de septiembre de 2019, 4201913000005175 del 13 de septiembre de 2019, 4201913000006452 del 07 de octubre de 2019, 4201913000005082 del 17 de octubre de 2019, 4201913000006306 del 21 de octubre de 2019, </w:t>
      </w:r>
      <w:r w:rsidRPr="00CA09D8">
        <w:rPr>
          <w:rFonts w:ascii="Verdana" w:eastAsia="Calibri" w:hAnsi="Verdana" w:cs="Arial"/>
        </w:rPr>
        <w:lastRenderedPageBreak/>
        <w:t>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CA09D8">
        <w:rPr>
          <w:rFonts w:ascii="Verdana" w:eastAsia="Calibri" w:hAnsi="Verdana" w:cs="Arial"/>
          <w:shd w:val="clear" w:color="auto" w:fill="FFFFFF"/>
        </w:rPr>
        <w:t>. Asimismo, </w:t>
      </w:r>
      <w:r w:rsidRPr="00CA09D8">
        <w:rPr>
          <w:rFonts w:ascii="Verdana" w:eastAsia="Calibri" w:hAnsi="Verdana" w:cs="Arial"/>
        </w:rPr>
        <w:t>se ha pronunciado sobre el régimen jurídico de los contratos de arrendamiento en los Conceptos C-646 del 22 de noviembre de 2021, C-214 del 22 de abril de 2022, C-830 del 16 de diciembre de 2024, C-159 del 20 de marzo de 2025, C-1648 del 14 de noviembre de 2025 y C-001 del 21 de enero de 2026.</w:t>
      </w:r>
      <w:r w:rsidRPr="00CA09D8">
        <w:rPr>
          <w:rFonts w:ascii="Verdana" w:hAnsi="Verdana" w:cs="Arial"/>
          <w:shd w:val="clear" w:color="auto" w:fill="FFFFFF"/>
        </w:rPr>
        <w:t xml:space="preserve"> Estos y otros conceptos se encuentran disponibles para consulta en el Sistema de relatoría de la Agencia</w:t>
      </w:r>
      <w:r w:rsidRPr="00CA09D8">
        <w:rPr>
          <w:rFonts w:ascii="Verdana" w:hAnsi="Verdana"/>
        </w:rPr>
        <w:t>, al cual puede accederse a través del siguiente enlace:</w:t>
      </w:r>
      <w:r w:rsidRPr="00CA09D8">
        <w:rPr>
          <w:rFonts w:ascii="Verdana" w:hAnsi="Verdana" w:cs="Arial"/>
          <w:shd w:val="clear" w:color="auto" w:fill="FFFFFF"/>
        </w:rPr>
        <w:t xml:space="preserve"> </w:t>
      </w:r>
      <w:hyperlink r:id="rId12" w:history="1">
        <w:r w:rsidRPr="00CA09D8">
          <w:rPr>
            <w:rFonts w:ascii="Verdana" w:hAnsi="Verdana" w:cs="Arial"/>
            <w:color w:val="0000FF"/>
            <w:u w:val="single"/>
            <w:shd w:val="clear" w:color="auto" w:fill="FFFFFF"/>
          </w:rPr>
          <w:t>https://relatoria.colombiacompra.gov.co/busqueda/conceptos</w:t>
        </w:r>
      </w:hyperlink>
      <w:r w:rsidRPr="00CA09D8">
        <w:rPr>
          <w:rFonts w:ascii="Verdana" w:hAnsi="Verdana" w:cs="Arial"/>
          <w:shd w:val="clear" w:color="auto" w:fill="FFFFFF"/>
        </w:rPr>
        <w:t xml:space="preserve">. </w:t>
      </w:r>
      <w:r w:rsidRPr="00CA09D8">
        <w:rPr>
          <w:rFonts w:ascii="Verdana" w:hAnsi="Verdana" w:cs="Arial"/>
          <w:color w:val="FF0000"/>
          <w:shd w:val="clear" w:color="auto" w:fill="FFFFFF"/>
          <w:lang w:val="es-ES"/>
        </w:rPr>
        <w:t xml:space="preserve"> </w:t>
      </w:r>
    </w:p>
    <w:p w14:paraId="70484042" w14:textId="77777777" w:rsidR="00CA09D8" w:rsidRPr="00CA09D8" w:rsidRDefault="00CA09D8" w:rsidP="00CA09D8">
      <w:pPr>
        <w:widowControl w:val="0"/>
        <w:autoSpaceDE w:val="0"/>
        <w:autoSpaceDN w:val="0"/>
        <w:spacing w:after="0" w:line="276" w:lineRule="auto"/>
        <w:jc w:val="both"/>
        <w:rPr>
          <w:rFonts w:ascii="Verdana" w:hAnsi="Verdana" w:cs="Arial"/>
          <w:color w:val="000000" w:themeColor="text1"/>
          <w:shd w:val="clear" w:color="auto" w:fill="FFFFFF"/>
        </w:rPr>
      </w:pPr>
    </w:p>
    <w:p w14:paraId="1ED6193E" w14:textId="77777777" w:rsidR="00CA09D8" w:rsidRPr="00CA09D8" w:rsidRDefault="00CA09D8" w:rsidP="00CA09D8">
      <w:pPr>
        <w:spacing w:after="0"/>
        <w:jc w:val="both"/>
      </w:pPr>
      <w:r w:rsidRPr="00CA09D8">
        <w:rPr>
          <w:rFonts w:ascii="Verdana" w:hAnsi="Verdana"/>
        </w:rPr>
        <w:t xml:space="preserve">La sostenibilidad no es una opción, es una obligación. Por ello, la Agencia Nacional de Contratación Pública –Colombia Compra Eficiente– te invita a realizar el </w:t>
      </w:r>
      <w:r w:rsidRPr="00CA09D8">
        <w:rPr>
          <w:rFonts w:ascii="Verdana" w:hAnsi="Verdana"/>
          <w:b/>
          <w:bCs/>
        </w:rPr>
        <w:t>Curso de Contratación Pública Sostenible y Socialmente Responsable</w:t>
      </w:r>
      <w:r w:rsidRPr="00CA09D8">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A09D8">
        <w:rPr>
          <w:rFonts w:ascii="Verdana" w:hAnsi="Verdana"/>
        </w:rPr>
        <w:br/>
      </w:r>
      <w:hyperlink r:id="rId13" w:tgtFrame="_new" w:history="1">
        <w:r w:rsidRPr="00CA09D8">
          <w:rPr>
            <w:rFonts w:ascii="Verdana" w:hAnsi="Verdana"/>
            <w:color w:val="0000FF"/>
            <w:u w:val="single"/>
          </w:rPr>
          <w:t>https://formacionvirtual.colombiacompra.gov.co/mod/page/view.php?id=3718</w:t>
        </w:r>
      </w:hyperlink>
    </w:p>
    <w:p w14:paraId="16931D58" w14:textId="77777777" w:rsidR="00CA09D8" w:rsidRPr="00CA09D8" w:rsidRDefault="00CA09D8" w:rsidP="00CA09D8">
      <w:pPr>
        <w:spacing w:after="0"/>
        <w:jc w:val="both"/>
        <w:rPr>
          <w:rFonts w:ascii="Verdana" w:hAnsi="Verdana"/>
        </w:rPr>
      </w:pPr>
    </w:p>
    <w:p w14:paraId="24D966D4" w14:textId="77777777" w:rsidR="00CA09D8" w:rsidRPr="00CA09D8" w:rsidRDefault="00CA09D8" w:rsidP="00CA09D8">
      <w:pPr>
        <w:spacing w:after="0"/>
        <w:jc w:val="both"/>
      </w:pPr>
      <w:r w:rsidRPr="00CA09D8">
        <w:rPr>
          <w:rFonts w:ascii="Verdana" w:hAnsi="Verdana"/>
        </w:rPr>
        <w:t xml:space="preserve">De otro lado, te contamos que esta Agencia ha da un paso decisivo en la estandarización y modernización del </w:t>
      </w:r>
      <w:r w:rsidRPr="00CA09D8">
        <w:rPr>
          <w:rFonts w:ascii="Verdana" w:hAnsi="Verdana"/>
          <w:b/>
          <w:bCs/>
        </w:rPr>
        <w:t>sector  social</w:t>
      </w:r>
      <w:r w:rsidRPr="00CA09D8">
        <w:rPr>
          <w:rFonts w:ascii="Verdana" w:hAnsi="Verdana"/>
        </w:rPr>
        <w:t xml:space="preserve"> con la expedición de las </w:t>
      </w:r>
      <w:r w:rsidRPr="00CA09D8">
        <w:rPr>
          <w:rFonts w:ascii="Verdana" w:hAnsi="Verdana"/>
          <w:b/>
          <w:bCs/>
        </w:rPr>
        <w:t>Resoluciones 539, 540, 541, 952 y 953 de 2025</w:t>
      </w:r>
      <w:r w:rsidRPr="00CA09D8">
        <w:rPr>
          <w:rFonts w:ascii="Verdana" w:hAnsi="Verdana"/>
        </w:rPr>
        <w:t xml:space="preserve">, </w:t>
      </w:r>
      <w:r w:rsidRPr="00CA09D8">
        <w:rPr>
          <w:rFonts w:ascii="Verdana" w:hAnsi="Verdana"/>
          <w:b/>
          <w:bCs/>
        </w:rPr>
        <w:t>mediante las cuales adoptó Documentos Tipo</w:t>
      </w:r>
      <w:r w:rsidRPr="00CA09D8">
        <w:rPr>
          <w:rFonts w:ascii="Verdana" w:hAnsi="Verdana"/>
        </w:rPr>
        <w:t xml:space="preserve"> para las modalidades de selección de</w:t>
      </w:r>
      <w:r w:rsidRPr="00CA09D8">
        <w:rPr>
          <w:rFonts w:ascii="Verdana" w:hAnsi="Verdana"/>
          <w:b/>
          <w:bCs/>
        </w:rPr>
        <w:t xml:space="preserve"> licitación pública (versión 2), selección abreviada de menor cuantía, mínima cuantía, consultoría e interventoría</w:t>
      </w:r>
      <w:r w:rsidRPr="00CA09D8">
        <w:rPr>
          <w:rFonts w:ascii="Verdana" w:hAnsi="Verdana"/>
        </w:rPr>
        <w:t xml:space="preserve">, promoviendo procesos más </w:t>
      </w:r>
      <w:r w:rsidRPr="00CA09D8">
        <w:rPr>
          <w:rFonts w:ascii="Verdana" w:hAnsi="Verdana"/>
        </w:rPr>
        <w:lastRenderedPageBreak/>
        <w:t xml:space="preserve">transparentes, eficientes  competitivos y sostenibles en sectores estratégicos como educación, salud, cultura, recreación, deporte, institucional y vivienda. Consulta y descarga los documentos aquí: </w:t>
      </w:r>
      <w:hyperlink r:id="rId14" w:tgtFrame="_new" w:history="1">
        <w:r w:rsidRPr="00CA09D8">
          <w:rPr>
            <w:rFonts w:ascii="Verdana" w:hAnsi="Verdana"/>
            <w:color w:val="0000FF"/>
            <w:u w:val="single"/>
          </w:rPr>
          <w:t>https://www.colombiacompra.gov.co/normativa-y-relatoria/documentos-tipo</w:t>
        </w:r>
      </w:hyperlink>
    </w:p>
    <w:p w14:paraId="434A8CC9" w14:textId="77777777" w:rsidR="00CA09D8" w:rsidRPr="00CA09D8" w:rsidRDefault="00CA09D8" w:rsidP="00CA09D8">
      <w:pPr>
        <w:spacing w:after="0"/>
        <w:jc w:val="both"/>
        <w:rPr>
          <w:rFonts w:ascii="Verdana" w:hAnsi="Verdana"/>
        </w:rPr>
      </w:pPr>
    </w:p>
    <w:p w14:paraId="1E07D696" w14:textId="77777777" w:rsidR="00CA09D8" w:rsidRPr="00CA09D8" w:rsidRDefault="00CA09D8" w:rsidP="00CA09D8">
      <w:pPr>
        <w:spacing w:after="0"/>
        <w:jc w:val="both"/>
        <w:rPr>
          <w:rFonts w:ascii="Verdana" w:hAnsi="Verdana"/>
        </w:rPr>
      </w:pPr>
      <w:r w:rsidRPr="00CA09D8">
        <w:rPr>
          <w:rFonts w:ascii="Verdana" w:hAnsi="Verdana"/>
        </w:rPr>
        <w:t xml:space="preserve">Si quieres conocer más sobre la aplicación de Documentos Tipo puedes consultar la última versión de la </w:t>
      </w:r>
      <w:r w:rsidRPr="00CA09D8">
        <w:rPr>
          <w:rFonts w:ascii="Verdana" w:hAnsi="Verdana"/>
          <w:b/>
          <w:bCs/>
        </w:rPr>
        <w:t>Guía para la comprensión e implementación de los Documentos Tipo de obra pública de infraestructura de transporte</w:t>
      </w:r>
      <w:r w:rsidRPr="00CA09D8">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A09D8">
        <w:rPr>
          <w:rFonts w:ascii="Verdana" w:hAnsi="Verdana"/>
        </w:rPr>
        <w:br/>
      </w:r>
      <w:hyperlink r:id="rId15" w:tgtFrame="_new" w:history="1">
        <w:r w:rsidRPr="00CA09D8">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DBFEA9F" w14:textId="77777777" w:rsidR="00CA09D8" w:rsidRPr="00CA09D8" w:rsidRDefault="00CA09D8" w:rsidP="00CA09D8">
      <w:pPr>
        <w:shd w:val="clear" w:color="auto" w:fill="FFFFFF"/>
        <w:spacing w:after="0" w:line="276" w:lineRule="auto"/>
        <w:jc w:val="both"/>
        <w:rPr>
          <w:rFonts w:ascii="Verdana" w:hAnsi="Verdana"/>
          <w:color w:val="000000"/>
          <w:u w:val="single"/>
        </w:rPr>
      </w:pPr>
    </w:p>
    <w:p w14:paraId="36989D18" w14:textId="77777777" w:rsidR="00CA09D8" w:rsidRPr="00CA09D8" w:rsidRDefault="00CA09D8" w:rsidP="00CA09D8">
      <w:pPr>
        <w:spacing w:after="0"/>
        <w:jc w:val="both"/>
        <w:rPr>
          <w:rFonts w:ascii="Verdana" w:hAnsi="Verdana"/>
        </w:rPr>
      </w:pPr>
      <w:r w:rsidRPr="00CA09D8">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7CF7890" w14:textId="77777777" w:rsidR="00CA09D8" w:rsidRPr="00CA09D8" w:rsidRDefault="00CA09D8" w:rsidP="00CA09D8">
      <w:pPr>
        <w:spacing w:after="0"/>
        <w:jc w:val="both"/>
        <w:rPr>
          <w:rFonts w:ascii="Verdana" w:hAnsi="Verdana"/>
        </w:rPr>
      </w:pPr>
    </w:p>
    <w:p w14:paraId="0D50F3CC" w14:textId="77777777" w:rsidR="00CA09D8" w:rsidRPr="00CA09D8" w:rsidRDefault="00CA09D8" w:rsidP="00CA09D8">
      <w:pPr>
        <w:numPr>
          <w:ilvl w:val="0"/>
          <w:numId w:val="15"/>
        </w:numPr>
        <w:spacing w:after="0" w:line="240" w:lineRule="auto"/>
        <w:contextualSpacing/>
        <w:jc w:val="both"/>
        <w:rPr>
          <w:rFonts w:ascii="Verdana" w:eastAsia="Verdana" w:hAnsi="Verdana" w:cs="Verdana"/>
          <w:color w:val="4472C4" w:themeColor="accent1"/>
          <w:u w:val="single"/>
          <w:lang w:val="es-MX"/>
        </w:rPr>
      </w:pPr>
      <w:r w:rsidRPr="00CA09D8">
        <w:rPr>
          <w:rFonts w:ascii="Verdana" w:eastAsia="Verdana" w:hAnsi="Verdana" w:cs="Verdana"/>
          <w:lang w:val="es-MX"/>
        </w:rPr>
        <w:t xml:space="preserve">Línea nacional gratuita o servicio a la ciudadanía (Mesa de servicio): </w:t>
      </w:r>
      <w:r w:rsidRPr="00CA09D8">
        <w:rPr>
          <w:rFonts w:ascii="Verdana" w:hAnsi="Verdana"/>
          <w:color w:val="0000FF"/>
          <w:u w:val="single"/>
          <w:lang w:val="es-ES"/>
        </w:rPr>
        <w:t>01800 0520808</w:t>
      </w:r>
    </w:p>
    <w:p w14:paraId="75A59786" w14:textId="77777777" w:rsidR="00CA09D8" w:rsidRPr="00CA09D8" w:rsidRDefault="00CA09D8" w:rsidP="00CA09D8">
      <w:pPr>
        <w:numPr>
          <w:ilvl w:val="0"/>
          <w:numId w:val="15"/>
        </w:numPr>
        <w:spacing w:after="0"/>
        <w:contextualSpacing/>
        <w:rPr>
          <w:rFonts w:ascii="Verdana" w:eastAsia="Verdana" w:hAnsi="Verdana" w:cs="Verdana"/>
          <w:color w:val="4472C4" w:themeColor="accent1"/>
          <w:u w:val="single"/>
          <w:lang w:val="es-MX"/>
        </w:rPr>
      </w:pPr>
      <w:r w:rsidRPr="00CA09D8">
        <w:rPr>
          <w:rFonts w:ascii="Verdana" w:eastAsia="Verdana" w:hAnsi="Verdana" w:cs="Verdana"/>
          <w:lang w:val="es-MX"/>
        </w:rPr>
        <w:t>Línea en Bogotá (Mesa de servicio</w:t>
      </w:r>
      <w:proofErr w:type="gramStart"/>
      <w:r w:rsidRPr="00CA09D8">
        <w:rPr>
          <w:rFonts w:ascii="Verdana" w:eastAsia="Verdana" w:hAnsi="Verdana" w:cs="Verdana"/>
          <w:lang w:val="es-MX"/>
        </w:rPr>
        <w:t>):</w:t>
      </w:r>
      <w:r w:rsidRPr="00CA09D8">
        <w:rPr>
          <w:rFonts w:ascii="Verdana" w:hAnsi="Verdana"/>
          <w:color w:val="0000FF"/>
          <w:u w:val="single"/>
          <w:lang w:val="es-ES"/>
        </w:rPr>
        <w:t>+</w:t>
      </w:r>
      <w:proofErr w:type="gramEnd"/>
      <w:r w:rsidRPr="00CA09D8">
        <w:rPr>
          <w:rFonts w:ascii="Verdana" w:hAnsi="Verdana"/>
          <w:color w:val="0000FF"/>
          <w:u w:val="single"/>
          <w:lang w:val="es-ES"/>
        </w:rPr>
        <w:t>57 601 7456788</w:t>
      </w:r>
    </w:p>
    <w:p w14:paraId="6CB2D548" w14:textId="77777777" w:rsidR="00CA09D8" w:rsidRPr="00CA09D8" w:rsidRDefault="00CA09D8" w:rsidP="00CA09D8">
      <w:pPr>
        <w:numPr>
          <w:ilvl w:val="0"/>
          <w:numId w:val="15"/>
        </w:numPr>
        <w:spacing w:after="0"/>
        <w:contextualSpacing/>
        <w:rPr>
          <w:rFonts w:ascii="Verdana" w:eastAsia="Verdana" w:hAnsi="Verdana" w:cs="Verdana"/>
          <w:color w:val="0000FF"/>
          <w:u w:val="single"/>
          <w:lang w:val="es-MX"/>
        </w:rPr>
      </w:pPr>
      <w:r w:rsidRPr="00CA09D8">
        <w:rPr>
          <w:rFonts w:ascii="Verdana" w:eastAsia="Verdana" w:hAnsi="Verdana" w:cs="Verdana"/>
          <w:lang w:val="es-MX"/>
        </w:rPr>
        <w:t xml:space="preserve">Correo de radicación de correspondencia: </w:t>
      </w:r>
      <w:hyperlink r:id="rId16">
        <w:r w:rsidRPr="00CA09D8">
          <w:rPr>
            <w:rFonts w:ascii="Verdana" w:eastAsia="Verdana" w:hAnsi="Verdana" w:cs="Verdana"/>
            <w:color w:val="0000FF"/>
            <w:u w:val="single"/>
            <w:lang w:val="es-MX"/>
          </w:rPr>
          <w:t>ventanilladeradicacion@colombiacompra.gov.co</w:t>
        </w:r>
      </w:hyperlink>
    </w:p>
    <w:p w14:paraId="23AD10B0" w14:textId="77777777" w:rsidR="00CA09D8" w:rsidRPr="00CA09D8" w:rsidRDefault="00CA09D8" w:rsidP="00CA09D8">
      <w:pPr>
        <w:numPr>
          <w:ilvl w:val="0"/>
          <w:numId w:val="15"/>
        </w:numPr>
        <w:spacing w:after="0"/>
        <w:contextualSpacing/>
        <w:rPr>
          <w:rFonts w:ascii="Verdana" w:eastAsia="Verdana" w:hAnsi="Verdana" w:cs="Verdana"/>
          <w:color w:val="0000FF"/>
          <w:u w:val="single"/>
          <w:lang w:val="es-MX"/>
        </w:rPr>
      </w:pPr>
      <w:r w:rsidRPr="00CA09D8">
        <w:rPr>
          <w:rFonts w:ascii="Verdana" w:eastAsia="Verdana" w:hAnsi="Verdana" w:cs="Verdana"/>
          <w:lang w:val="es-ES"/>
        </w:rPr>
        <w:t>Formulario web para</w:t>
      </w:r>
      <w:r w:rsidRPr="00CA09D8">
        <w:rPr>
          <w:rFonts w:ascii="Verdana" w:eastAsia="Verdana" w:hAnsi="Verdana" w:cs="Verdana"/>
          <w:lang w:val="es"/>
        </w:rPr>
        <w:t xml:space="preserve"> PQRSD: </w:t>
      </w:r>
      <w:hyperlink r:id="rId17">
        <w:r w:rsidRPr="00CA09D8">
          <w:rPr>
            <w:rFonts w:ascii="Verdana" w:eastAsia="Verdana" w:hAnsi="Verdana" w:cs="Verdana"/>
            <w:color w:val="0000FF"/>
            <w:u w:val="single"/>
            <w:lang w:val="es-MX"/>
          </w:rPr>
          <w:t>https://www.colombiacompra.gov.co/pqrsd/informacion-importante-antes-de-formular-una-pqrsd</w:t>
        </w:r>
      </w:hyperlink>
    </w:p>
    <w:p w14:paraId="4165E835" w14:textId="77777777" w:rsidR="00CA09D8" w:rsidRPr="00CA09D8" w:rsidRDefault="00CA09D8" w:rsidP="00CA09D8">
      <w:pPr>
        <w:spacing w:after="0" w:line="240" w:lineRule="auto"/>
        <w:ind w:left="720"/>
        <w:jc w:val="both"/>
        <w:rPr>
          <w:rFonts w:ascii="Verdana" w:hAnsi="Verdana"/>
        </w:rPr>
      </w:pPr>
    </w:p>
    <w:p w14:paraId="7D8A22E6" w14:textId="77777777" w:rsidR="00CA09D8" w:rsidRPr="00CA09D8" w:rsidRDefault="00CA09D8" w:rsidP="00CA09D8">
      <w:pPr>
        <w:spacing w:after="0" w:line="240" w:lineRule="auto"/>
        <w:rPr>
          <w:rFonts w:ascii="Verdana" w:hAnsi="Verdana"/>
        </w:rPr>
      </w:pPr>
      <w:r w:rsidRPr="00CA09D8">
        <w:rPr>
          <w:rFonts w:ascii="Verdana" w:hAnsi="Verdana"/>
        </w:rPr>
        <w:t xml:space="preserve">Evalúa el servicio que ofrece la Agencia por el canal de atención de PQRSD en el siguiente </w:t>
      </w:r>
      <w:proofErr w:type="gramStart"/>
      <w:r w:rsidRPr="00CA09D8">
        <w:rPr>
          <w:rFonts w:ascii="Verdana" w:hAnsi="Verdana"/>
        </w:rPr>
        <w:t>enlace :</w:t>
      </w:r>
      <w:proofErr w:type="gramEnd"/>
      <w:hyperlink r:id="rId18" w:tgtFrame="_blank" w:tooltip="https://forms.office.com/r/pphywvs2sz" w:history="1">
        <w:r w:rsidRPr="00CA09D8">
          <w:rPr>
            <w:rFonts w:ascii="Verdana" w:hAnsi="Verdana"/>
            <w:color w:val="0000FF"/>
            <w:u w:val="single"/>
          </w:rPr>
          <w:t>https://forms.office.com/r/pPHyWVs2SZ</w:t>
        </w:r>
      </w:hyperlink>
      <w:r w:rsidRPr="00CA09D8">
        <w:rPr>
          <w:rFonts w:ascii="Verdana" w:hAnsi="Verdana"/>
        </w:rPr>
        <w:t xml:space="preserve"> .¡Ayúdanos a mejorar porque el compromiso es de todos!</w:t>
      </w:r>
    </w:p>
    <w:p w14:paraId="3769D61B" w14:textId="77777777" w:rsidR="00CA09D8" w:rsidRPr="00CA09D8" w:rsidRDefault="00CA09D8" w:rsidP="00CA09D8">
      <w:pPr>
        <w:spacing w:after="0" w:line="240" w:lineRule="auto"/>
        <w:rPr>
          <w:rFonts w:ascii="Verdana" w:hAnsi="Verdana"/>
        </w:rPr>
      </w:pPr>
    </w:p>
    <w:p w14:paraId="724789B8" w14:textId="77777777" w:rsidR="00CA09D8" w:rsidRPr="00CA09D8" w:rsidRDefault="00CA09D8" w:rsidP="00CA09D8">
      <w:pPr>
        <w:spacing w:after="0" w:line="240" w:lineRule="auto"/>
        <w:jc w:val="both"/>
        <w:rPr>
          <w:rFonts w:ascii="Verdana" w:hAnsi="Verdana"/>
        </w:rPr>
      </w:pPr>
      <w:r w:rsidRPr="00CA09D8">
        <w:rPr>
          <w:rFonts w:ascii="Verdana" w:hAnsi="Verdana"/>
        </w:rPr>
        <w:t xml:space="preserve">Por último, lo invitamos a seguirnos en las redes sociales en las cuales se difunde información institucional: </w:t>
      </w:r>
    </w:p>
    <w:p w14:paraId="3D7B55B9" w14:textId="77777777" w:rsidR="00CA09D8" w:rsidRPr="00CA09D8" w:rsidRDefault="00CA09D8" w:rsidP="00CA09D8">
      <w:pPr>
        <w:spacing w:after="0" w:line="240" w:lineRule="auto"/>
        <w:jc w:val="both"/>
        <w:rPr>
          <w:rFonts w:ascii="Verdana" w:hAnsi="Verdana"/>
        </w:rPr>
      </w:pPr>
    </w:p>
    <w:p w14:paraId="3F947A0A" w14:textId="77777777" w:rsidR="00CA09D8" w:rsidRPr="00CA09D8" w:rsidRDefault="00CA09D8" w:rsidP="00CA09D8">
      <w:pPr>
        <w:spacing w:after="0" w:line="240" w:lineRule="auto"/>
        <w:jc w:val="both"/>
        <w:rPr>
          <w:rFonts w:ascii="Verdana" w:hAnsi="Verdana"/>
        </w:rPr>
      </w:pPr>
      <w:r w:rsidRPr="00CA09D8">
        <w:rPr>
          <w:rFonts w:ascii="Verdana" w:hAnsi="Verdana"/>
        </w:rPr>
        <w:t xml:space="preserve">Twitter: </w:t>
      </w:r>
      <w:r w:rsidRPr="00CA09D8">
        <w:rPr>
          <w:rFonts w:ascii="Verdana" w:hAnsi="Verdana"/>
          <w:color w:val="0000FF"/>
          <w:u w:val="single"/>
        </w:rPr>
        <w:t>@colombiacompra</w:t>
      </w:r>
      <w:r w:rsidRPr="00CA09D8">
        <w:rPr>
          <w:rFonts w:ascii="Verdana" w:hAnsi="Verdana"/>
        </w:rPr>
        <w:t xml:space="preserve"> </w:t>
      </w:r>
    </w:p>
    <w:p w14:paraId="3E1AB7B0" w14:textId="77777777" w:rsidR="00CA09D8" w:rsidRPr="00CA09D8" w:rsidRDefault="00CA09D8" w:rsidP="00CA09D8">
      <w:pPr>
        <w:spacing w:after="0" w:line="240" w:lineRule="auto"/>
        <w:jc w:val="both"/>
        <w:rPr>
          <w:rFonts w:ascii="Verdana" w:hAnsi="Verdana"/>
        </w:rPr>
      </w:pPr>
      <w:r w:rsidRPr="00CA09D8">
        <w:rPr>
          <w:rFonts w:ascii="Verdana" w:hAnsi="Verdana"/>
        </w:rPr>
        <w:t xml:space="preserve">Facebook: </w:t>
      </w:r>
      <w:proofErr w:type="spellStart"/>
      <w:r w:rsidRPr="00CA09D8">
        <w:rPr>
          <w:rFonts w:ascii="Verdana" w:hAnsi="Verdana"/>
          <w:color w:val="0000FF"/>
          <w:u w:val="single"/>
        </w:rPr>
        <w:t>ColombiaCompraEficiente</w:t>
      </w:r>
      <w:proofErr w:type="spellEnd"/>
    </w:p>
    <w:p w14:paraId="22059D8D" w14:textId="77777777" w:rsidR="00CA09D8" w:rsidRPr="00CA09D8" w:rsidRDefault="00CA09D8" w:rsidP="00CA09D8">
      <w:pPr>
        <w:spacing w:after="0" w:line="240" w:lineRule="auto"/>
        <w:jc w:val="both"/>
        <w:rPr>
          <w:rFonts w:ascii="Verdana" w:hAnsi="Verdana"/>
        </w:rPr>
      </w:pPr>
      <w:r w:rsidRPr="00CA09D8">
        <w:rPr>
          <w:rFonts w:ascii="Verdana" w:hAnsi="Verdana"/>
        </w:rPr>
        <w:t xml:space="preserve">LinkedIn: </w:t>
      </w:r>
      <w:r w:rsidRPr="00CA09D8">
        <w:rPr>
          <w:rFonts w:ascii="Verdana" w:hAnsi="Verdana"/>
          <w:color w:val="0000FF"/>
          <w:u w:val="single"/>
        </w:rPr>
        <w:t>Agencia Nacional de Contratación Pública - Colombia Compra Eficiente</w:t>
      </w:r>
      <w:r w:rsidRPr="00CA09D8">
        <w:rPr>
          <w:rFonts w:ascii="Verdana" w:hAnsi="Verdana"/>
        </w:rPr>
        <w:t xml:space="preserve"> Instagram: </w:t>
      </w:r>
      <w:r w:rsidRPr="00CA09D8">
        <w:rPr>
          <w:rFonts w:ascii="Verdana" w:hAnsi="Verdana"/>
          <w:color w:val="0000FF"/>
          <w:u w:val="single"/>
        </w:rPr>
        <w:t>@colombiacompraeficiente_cce</w:t>
      </w:r>
    </w:p>
    <w:p w14:paraId="4C79F00E" w14:textId="77777777" w:rsidR="00CA09D8" w:rsidRPr="00CA09D8" w:rsidRDefault="00CA09D8" w:rsidP="00CA09D8">
      <w:pPr>
        <w:widowControl w:val="0"/>
        <w:autoSpaceDE w:val="0"/>
        <w:autoSpaceDN w:val="0"/>
        <w:spacing w:after="120" w:line="276" w:lineRule="auto"/>
        <w:jc w:val="both"/>
        <w:rPr>
          <w:rFonts w:ascii="Verdana" w:hAnsi="Verdana" w:cs="Arial"/>
          <w:color w:val="FF0000"/>
          <w:shd w:val="clear" w:color="auto" w:fill="FFFFFF"/>
          <w:lang w:val="es-ES_tradnl"/>
        </w:rPr>
      </w:pPr>
      <w:r w:rsidRPr="00CA09D8">
        <w:rPr>
          <w:rFonts w:ascii="Verdana" w:hAnsi="Verdana" w:cs="Arial"/>
          <w:color w:val="FF0000"/>
          <w:shd w:val="clear" w:color="auto" w:fill="FFFFFF"/>
          <w:lang w:val="es-ES_tradnl"/>
        </w:rPr>
        <w:t xml:space="preserve">        </w:t>
      </w:r>
    </w:p>
    <w:p w14:paraId="7CFB2E03" w14:textId="77777777" w:rsidR="00CA09D8" w:rsidRDefault="00CA09D8" w:rsidP="00CA09D8">
      <w:pPr>
        <w:widowControl w:val="0"/>
        <w:autoSpaceDE w:val="0"/>
        <w:autoSpaceDN w:val="0"/>
        <w:spacing w:after="0" w:line="276" w:lineRule="auto"/>
        <w:jc w:val="both"/>
        <w:rPr>
          <w:rFonts w:ascii="Verdana" w:hAnsi="Verdana" w:cs="Arial"/>
          <w:lang w:val="es-ES_tradnl"/>
        </w:rPr>
      </w:pPr>
      <w:r w:rsidRPr="00CA09D8">
        <w:rPr>
          <w:rFonts w:ascii="Verdana" w:hAnsi="Verdana" w:cs="Arial"/>
        </w:rPr>
        <w:t xml:space="preserve">Este concepto tiene el alcance previsto en el artículo 28 del Código de Procedimiento Administrativo y de lo Contencioso Administrativo </w:t>
      </w:r>
      <w:r w:rsidRPr="00CA09D8">
        <w:rPr>
          <w:rFonts w:ascii="Verdana" w:hAnsi="Verdana" w:cs="Arial"/>
          <w:lang w:val="es-ES_tradnl"/>
        </w:rPr>
        <w:t>y las expresiones aquí utilizadas con mayúscula inicial deben ser entendidas con el significado que les otorga el artículo 2.2.1.1.1.3.1. del Decreto 1082 de 2015.</w:t>
      </w:r>
    </w:p>
    <w:p w14:paraId="505C54FC" w14:textId="77777777" w:rsidR="00D32245" w:rsidRDefault="00D32245" w:rsidP="00CA09D8">
      <w:pPr>
        <w:widowControl w:val="0"/>
        <w:autoSpaceDE w:val="0"/>
        <w:autoSpaceDN w:val="0"/>
        <w:spacing w:after="0" w:line="276" w:lineRule="auto"/>
        <w:jc w:val="both"/>
        <w:rPr>
          <w:rFonts w:ascii="Verdana" w:hAnsi="Verdana" w:cs="Arial"/>
          <w:lang w:val="es-ES_tradnl"/>
        </w:rPr>
      </w:pPr>
    </w:p>
    <w:p w14:paraId="6D576FC2" w14:textId="77777777" w:rsidR="00D32245" w:rsidRPr="00CA09D8" w:rsidRDefault="00D32245" w:rsidP="00CA09D8">
      <w:pPr>
        <w:widowControl w:val="0"/>
        <w:autoSpaceDE w:val="0"/>
        <w:autoSpaceDN w:val="0"/>
        <w:spacing w:after="0" w:line="276" w:lineRule="auto"/>
        <w:jc w:val="both"/>
        <w:rPr>
          <w:rFonts w:ascii="Verdana" w:hAnsi="Verdana" w:cs="Arial"/>
          <w:lang w:val="es-ES_tradnl"/>
        </w:rPr>
      </w:pPr>
    </w:p>
    <w:p w14:paraId="4B211CA1" w14:textId="77777777" w:rsidR="00CA09D8" w:rsidRPr="00CA09D8" w:rsidRDefault="00CA09D8" w:rsidP="00CA09D8">
      <w:pPr>
        <w:widowControl w:val="0"/>
        <w:autoSpaceDE w:val="0"/>
        <w:autoSpaceDN w:val="0"/>
        <w:spacing w:after="0" w:line="276" w:lineRule="auto"/>
        <w:jc w:val="both"/>
        <w:rPr>
          <w:rFonts w:ascii="Verdana" w:hAnsi="Verdana" w:cs="Arial"/>
        </w:rPr>
      </w:pPr>
    </w:p>
    <w:p w14:paraId="505429EC" w14:textId="77777777" w:rsidR="00CA09D8" w:rsidRPr="00CA09D8" w:rsidRDefault="00CA09D8" w:rsidP="00CA09D8">
      <w:pPr>
        <w:spacing w:after="0" w:line="240" w:lineRule="auto"/>
        <w:rPr>
          <w:rFonts w:ascii="Verdana" w:hAnsi="Verdana" w:cs="Arial"/>
          <w:lang w:eastAsia="es-CO"/>
        </w:rPr>
      </w:pPr>
      <w:r w:rsidRPr="00CA09D8">
        <w:rPr>
          <w:rFonts w:ascii="Verdana" w:eastAsia="Times New Roman" w:hAnsi="Verdana" w:cs="Arial"/>
          <w:lang w:eastAsia="es-CO"/>
        </w:rPr>
        <w:t>Atentamente,</w:t>
      </w:r>
      <w:r w:rsidRPr="00CA09D8">
        <w:rPr>
          <w:rFonts w:ascii="Verdana" w:hAnsi="Verdana" w:cs="Arial"/>
          <w:lang w:eastAsia="es-CO"/>
        </w:rPr>
        <w:t xml:space="preserve"> </w:t>
      </w:r>
    </w:p>
    <w:p w14:paraId="47D92FFB" w14:textId="77777777" w:rsidR="00CA09D8" w:rsidRPr="00CA09D8" w:rsidRDefault="00CA09D8" w:rsidP="00CA09D8">
      <w:pPr>
        <w:spacing w:line="276" w:lineRule="auto"/>
        <w:rPr>
          <w:noProof/>
          <w:lang w:eastAsia="es-CO"/>
        </w:rPr>
      </w:pPr>
    </w:p>
    <w:p w14:paraId="72128393" w14:textId="77777777" w:rsidR="00CA09D8" w:rsidRPr="00CA09D8" w:rsidRDefault="00CA09D8" w:rsidP="00CA09D8">
      <w:pPr>
        <w:spacing w:line="276" w:lineRule="auto"/>
        <w:jc w:val="center"/>
        <w:rPr>
          <w:noProof/>
          <w:lang w:eastAsia="es-CO"/>
        </w:rPr>
      </w:pPr>
    </w:p>
    <w:p w14:paraId="4B4EA4F9" w14:textId="31E07874" w:rsidR="00CA09D8" w:rsidRPr="00CA09D8" w:rsidRDefault="00CA4DC7" w:rsidP="00CA09D8">
      <w:pPr>
        <w:spacing w:line="276" w:lineRule="auto"/>
        <w:jc w:val="center"/>
        <w:rPr>
          <w:noProof/>
          <w:lang w:eastAsia="es-CO"/>
        </w:rPr>
      </w:pPr>
      <w:r w:rsidRPr="002C3AD6">
        <w:rPr>
          <w:rFonts w:ascii="Century Gothic" w:hAnsi="Century Gothic"/>
          <w:noProof/>
        </w:rPr>
        <w:drawing>
          <wp:inline distT="0" distB="0" distL="0" distR="0" wp14:anchorId="0B79CE24" wp14:editId="5AE5DFF1">
            <wp:extent cx="3062377" cy="1136791"/>
            <wp:effectExtent l="0" t="0" r="508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107198" cy="1153429"/>
                    </a:xfrm>
                    <a:prstGeom prst="rect">
                      <a:avLst/>
                    </a:prstGeom>
                  </pic:spPr>
                </pic:pic>
              </a:graphicData>
            </a:graphic>
          </wp:inline>
        </w:drawing>
      </w:r>
    </w:p>
    <w:p w14:paraId="231BC6FD" w14:textId="77777777" w:rsidR="00CA09D8" w:rsidRPr="00CA09D8" w:rsidRDefault="00CA09D8" w:rsidP="00CA09D8">
      <w:pPr>
        <w:spacing w:after="0" w:line="240" w:lineRule="auto"/>
        <w:rPr>
          <w:rFonts w:ascii="Verdana" w:eastAsia="Times New Roman" w:hAnsi="Verdana" w:cs="Times New Roman"/>
          <w:sz w:val="24"/>
          <w:szCs w:val="24"/>
          <w:lang w:eastAsia="es-CO"/>
        </w:rPr>
      </w:pPr>
    </w:p>
    <w:tbl>
      <w:tblPr>
        <w:tblStyle w:val="Tablaconcuadrcula1"/>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A09D8" w:rsidRPr="00CA09D8" w14:paraId="03EFB56C" w14:textId="77777777" w:rsidTr="00055B5B">
        <w:trPr>
          <w:trHeight w:val="315"/>
        </w:trPr>
        <w:tc>
          <w:tcPr>
            <w:tcW w:w="893" w:type="dxa"/>
            <w:vAlign w:val="center"/>
            <w:hideMark/>
          </w:tcPr>
          <w:p w14:paraId="7BADAC47" w14:textId="77777777" w:rsidR="00CA09D8" w:rsidRPr="00CA09D8" w:rsidRDefault="00CA09D8" w:rsidP="00CA09D8">
            <w:pPr>
              <w:spacing w:after="255"/>
              <w:contextualSpacing/>
              <w:rPr>
                <w:rFonts w:ascii="Verdana" w:hAnsi="Verdana" w:cs="Arial"/>
                <w:sz w:val="16"/>
                <w:szCs w:val="16"/>
                <w:lang w:val="es-ES" w:eastAsia="es-ES"/>
              </w:rPr>
            </w:pPr>
            <w:r w:rsidRPr="00CA09D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0B70DDD" w14:textId="77777777" w:rsidR="00CA09D8" w:rsidRPr="00CA09D8" w:rsidRDefault="00CA09D8" w:rsidP="00CA09D8">
            <w:pPr>
              <w:rPr>
                <w:rFonts w:ascii="Verdana" w:eastAsia="Times New Roman" w:hAnsi="Verdana" w:cs="Arial"/>
                <w:sz w:val="16"/>
                <w:szCs w:val="16"/>
                <w:lang w:eastAsia="es-ES"/>
              </w:rPr>
            </w:pPr>
            <w:r w:rsidRPr="00CA09D8">
              <w:rPr>
                <w:rFonts w:ascii="Verdana" w:eastAsia="Times New Roman" w:hAnsi="Verdana" w:cs="Arial"/>
                <w:sz w:val="16"/>
                <w:szCs w:val="16"/>
                <w:lang w:eastAsia="es-ES"/>
              </w:rPr>
              <w:t>Oscar David Morelo Pedrozo</w:t>
            </w:r>
          </w:p>
          <w:p w14:paraId="199BAAAF" w14:textId="77777777" w:rsidR="00CA09D8" w:rsidRPr="00CA09D8" w:rsidRDefault="00CA09D8" w:rsidP="00CA09D8">
            <w:pPr>
              <w:rPr>
                <w:rFonts w:ascii="Verdana" w:eastAsia="Times New Roman" w:hAnsi="Verdana" w:cs="Arial"/>
                <w:sz w:val="16"/>
                <w:szCs w:val="16"/>
                <w:lang w:eastAsia="es-ES"/>
              </w:rPr>
            </w:pPr>
            <w:r w:rsidRPr="00CA09D8">
              <w:rPr>
                <w:rFonts w:ascii="Verdana" w:eastAsia="Times New Roman" w:hAnsi="Verdana" w:cs="Arial"/>
                <w:sz w:val="16"/>
                <w:szCs w:val="16"/>
                <w:lang w:eastAsia="es-ES"/>
              </w:rPr>
              <w:t>Analista T2 –02 de la Subdirección de Gestión Contractual</w:t>
            </w:r>
          </w:p>
        </w:tc>
      </w:tr>
      <w:tr w:rsidR="00CA09D8" w:rsidRPr="00CA09D8" w14:paraId="19F7F5AE" w14:textId="77777777" w:rsidTr="00055B5B">
        <w:trPr>
          <w:trHeight w:val="330"/>
        </w:trPr>
        <w:tc>
          <w:tcPr>
            <w:tcW w:w="893" w:type="dxa"/>
            <w:vAlign w:val="center"/>
            <w:hideMark/>
          </w:tcPr>
          <w:p w14:paraId="1E0FAC67" w14:textId="77777777" w:rsidR="00CA09D8" w:rsidRPr="00CA09D8" w:rsidRDefault="00CA09D8" w:rsidP="00CA09D8">
            <w:pPr>
              <w:spacing w:after="255"/>
              <w:contextualSpacing/>
              <w:rPr>
                <w:rFonts w:ascii="Verdana" w:hAnsi="Verdana" w:cs="Arial"/>
                <w:color w:val="000000" w:themeColor="text1"/>
                <w:sz w:val="16"/>
                <w:szCs w:val="16"/>
                <w:lang w:val="es-ES" w:eastAsia="es-ES"/>
              </w:rPr>
            </w:pPr>
            <w:r w:rsidRPr="00CA09D8">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55BFC9" w14:textId="77777777" w:rsidR="00CA09D8" w:rsidRPr="00CA09D8" w:rsidRDefault="00CA09D8" w:rsidP="00CA09D8">
            <w:pPr>
              <w:rPr>
                <w:rFonts w:ascii="Verdana" w:eastAsia="Times New Roman" w:hAnsi="Verdana" w:cs="Arial"/>
                <w:color w:val="000000" w:themeColor="text1"/>
                <w:sz w:val="16"/>
                <w:szCs w:val="16"/>
                <w:lang w:eastAsia="es-ES"/>
              </w:rPr>
            </w:pPr>
            <w:r w:rsidRPr="00CA09D8">
              <w:rPr>
                <w:rFonts w:ascii="Verdana" w:eastAsia="Times New Roman" w:hAnsi="Verdana" w:cs="Arial"/>
                <w:color w:val="000000" w:themeColor="text1"/>
                <w:sz w:val="16"/>
                <w:szCs w:val="16"/>
                <w:lang w:eastAsia="es-ES"/>
              </w:rPr>
              <w:t>Juan David Cardenas Cabeza</w:t>
            </w:r>
          </w:p>
          <w:p w14:paraId="26AB7017" w14:textId="77777777" w:rsidR="00CA09D8" w:rsidRPr="00CA09D8" w:rsidRDefault="00CA09D8" w:rsidP="00CA09D8">
            <w:pPr>
              <w:contextualSpacing/>
              <w:textAlignment w:val="baseline"/>
              <w:rPr>
                <w:rFonts w:ascii="Verdana" w:eastAsia="Times New Roman" w:hAnsi="Verdana" w:cs="Segoe UI"/>
                <w:color w:val="000000" w:themeColor="text1"/>
                <w:sz w:val="16"/>
                <w:szCs w:val="16"/>
                <w:lang w:val="es-ES"/>
              </w:rPr>
            </w:pPr>
            <w:r w:rsidRPr="00CA09D8">
              <w:rPr>
                <w:rFonts w:ascii="Verdana" w:eastAsia="Times New Roman" w:hAnsi="Verdana" w:cs="Arial"/>
                <w:color w:val="000000" w:themeColor="text1"/>
                <w:sz w:val="16"/>
                <w:szCs w:val="16"/>
                <w:lang w:eastAsia="es-ES"/>
              </w:rPr>
              <w:t>Contratista de la Subdirección de Gestión Contractual</w:t>
            </w:r>
          </w:p>
        </w:tc>
      </w:tr>
      <w:tr w:rsidR="00CA09D8" w:rsidRPr="00CA09D8" w14:paraId="28D8207E" w14:textId="77777777" w:rsidTr="00055B5B">
        <w:trPr>
          <w:trHeight w:val="300"/>
        </w:trPr>
        <w:tc>
          <w:tcPr>
            <w:tcW w:w="893" w:type="dxa"/>
            <w:vAlign w:val="center"/>
            <w:hideMark/>
          </w:tcPr>
          <w:p w14:paraId="5898C716" w14:textId="77777777" w:rsidR="00CA09D8" w:rsidRPr="00CA09D8" w:rsidRDefault="00CA09D8" w:rsidP="00CA09D8">
            <w:pPr>
              <w:spacing w:after="255"/>
              <w:contextualSpacing/>
              <w:rPr>
                <w:rFonts w:ascii="Verdana" w:hAnsi="Verdana" w:cs="Arial"/>
                <w:sz w:val="16"/>
                <w:szCs w:val="16"/>
                <w:lang w:val="es-ES" w:eastAsia="es-ES"/>
              </w:rPr>
            </w:pPr>
            <w:r w:rsidRPr="00CA09D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1A7DA4" w14:textId="77777777" w:rsidR="00CA09D8" w:rsidRPr="00CA09D8" w:rsidRDefault="00CA09D8" w:rsidP="00CA09D8">
            <w:pPr>
              <w:spacing w:after="255"/>
              <w:contextualSpacing/>
              <w:rPr>
                <w:rFonts w:ascii="Verdana" w:hAnsi="Verdana" w:cs="Arial"/>
                <w:sz w:val="16"/>
                <w:szCs w:val="16"/>
                <w:lang w:val="es-ES" w:eastAsia="es-ES"/>
              </w:rPr>
            </w:pPr>
            <w:r w:rsidRPr="00CA09D8">
              <w:rPr>
                <w:rFonts w:ascii="Verdana" w:hAnsi="Verdana" w:cs="Arial"/>
                <w:sz w:val="16"/>
                <w:szCs w:val="16"/>
                <w:lang w:val="es-ES" w:eastAsia="es-ES"/>
              </w:rPr>
              <w:t>Carolina Quintero Gacharná</w:t>
            </w:r>
          </w:p>
          <w:p w14:paraId="2B52F6F0" w14:textId="77777777" w:rsidR="00CA09D8" w:rsidRPr="00CA09D8" w:rsidRDefault="00CA09D8" w:rsidP="00CA09D8">
            <w:pPr>
              <w:spacing w:after="255"/>
              <w:contextualSpacing/>
              <w:rPr>
                <w:rFonts w:ascii="Verdana" w:hAnsi="Verdana" w:cs="Arial"/>
                <w:sz w:val="16"/>
                <w:szCs w:val="16"/>
                <w:lang w:val="es-ES" w:eastAsia="es-ES"/>
              </w:rPr>
            </w:pPr>
            <w:r w:rsidRPr="00CA09D8">
              <w:rPr>
                <w:rFonts w:ascii="Verdana" w:hAnsi="Verdana" w:cs="Arial"/>
                <w:sz w:val="16"/>
                <w:szCs w:val="16"/>
                <w:lang w:val="es-ES" w:eastAsia="es-ES"/>
              </w:rPr>
              <w:t>Subdirectora de Gestión Contractual ANCP – CCE</w:t>
            </w:r>
          </w:p>
        </w:tc>
      </w:tr>
    </w:tbl>
    <w:p w14:paraId="69BC4D14" w14:textId="7E0487C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46F5E249" w:rsidR="00127233" w:rsidRPr="0015699B" w:rsidRDefault="00127233" w:rsidP="004878C6">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D2FC9" w14:textId="77777777" w:rsidR="00EC07F5" w:rsidRDefault="00EC07F5" w:rsidP="004A1847">
      <w:pPr>
        <w:spacing w:after="0" w:line="240" w:lineRule="auto"/>
      </w:pPr>
      <w:r>
        <w:separator/>
      </w:r>
    </w:p>
  </w:endnote>
  <w:endnote w:type="continuationSeparator" w:id="0">
    <w:p w14:paraId="051DEED2" w14:textId="77777777" w:rsidR="00EC07F5" w:rsidRDefault="00EC07F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9988E" w14:textId="77777777" w:rsidR="00EC07F5" w:rsidRDefault="00EC07F5" w:rsidP="004A1847">
      <w:pPr>
        <w:spacing w:after="0" w:line="240" w:lineRule="auto"/>
      </w:pPr>
      <w:r>
        <w:separator/>
      </w:r>
    </w:p>
  </w:footnote>
  <w:footnote w:type="continuationSeparator" w:id="0">
    <w:p w14:paraId="702173FD" w14:textId="77777777" w:rsidR="00EC07F5" w:rsidRDefault="00EC07F5" w:rsidP="004A1847">
      <w:pPr>
        <w:spacing w:after="0" w:line="240" w:lineRule="auto"/>
      </w:pPr>
      <w:r>
        <w:continuationSeparator/>
      </w:r>
    </w:p>
  </w:footnote>
  <w:footnote w:id="1">
    <w:p w14:paraId="0FF80F8E" w14:textId="77777777" w:rsidR="0000428F" w:rsidRPr="00C9050C" w:rsidRDefault="0000428F" w:rsidP="0000428F">
      <w:pPr>
        <w:pStyle w:val="Textonotapie"/>
        <w:ind w:firstLine="709"/>
        <w:contextualSpacing/>
        <w:jc w:val="both"/>
        <w:rPr>
          <w:rFonts w:ascii="Verdana" w:hAnsi="Verdana" w:cs="Arial"/>
          <w:sz w:val="16"/>
          <w:szCs w:val="16"/>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hAnsi="Verdana" w:cs="Arial"/>
          <w:sz w:val="16"/>
          <w:szCs w:val="16"/>
        </w:rPr>
        <w:t>Consejo de Estado -Sección Tercera-. Sentencia del 21 de febrero de 2025. Radicación Número: 68.280. CP: José Roberto Sáchica Méndez.</w:t>
      </w:r>
    </w:p>
  </w:footnote>
  <w:footnote w:id="2">
    <w:p w14:paraId="3A796DC3" w14:textId="77777777" w:rsidR="0000428F" w:rsidRPr="00C9050C" w:rsidRDefault="0000428F" w:rsidP="0000428F">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sz w:val="16"/>
          <w:szCs w:val="16"/>
          <w:vertAlign w:val="superscript"/>
        </w:rPr>
        <w:t xml:space="preserve"> </w:t>
      </w:r>
      <w:r w:rsidRPr="00C9050C">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3">
    <w:p w14:paraId="5F74AE00" w14:textId="77777777" w:rsidR="0000428F" w:rsidRPr="00C9050C" w:rsidRDefault="0000428F" w:rsidP="0000428F">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1A441FE0" w14:textId="77777777" w:rsidR="0000428F" w:rsidRPr="00C9050C" w:rsidRDefault="0000428F" w:rsidP="0000428F">
      <w:pPr>
        <w:pStyle w:val="Textonotapie"/>
        <w:ind w:firstLine="709"/>
        <w:contextualSpacing/>
        <w:jc w:val="both"/>
        <w:rPr>
          <w:rFonts w:ascii="Verdana" w:hAnsi="Verdana" w:cs="Arial"/>
          <w:sz w:val="16"/>
          <w:szCs w:val="16"/>
        </w:rPr>
      </w:pPr>
      <w:r w:rsidRPr="00C9050C">
        <w:rPr>
          <w:rFonts w:ascii="Verdana" w:hAnsi="Verdana" w:cs="Arial"/>
          <w:sz w:val="16"/>
          <w:szCs w:val="16"/>
        </w:rPr>
        <w:t>[…]”.</w:t>
      </w:r>
    </w:p>
  </w:footnote>
  <w:footnote w:id="4">
    <w:p w14:paraId="2C579F8C" w14:textId="77777777" w:rsidR="00CA09D8" w:rsidRPr="00C9050C" w:rsidRDefault="00CA09D8" w:rsidP="00CA09D8">
      <w:pPr>
        <w:pStyle w:val="Textonotapie"/>
        <w:ind w:firstLine="709"/>
        <w:contextualSpacing/>
        <w:jc w:val="both"/>
        <w:rPr>
          <w:rFonts w:ascii="Verdana" w:hAnsi="Verdana" w:cs="Arial"/>
          <w:sz w:val="16"/>
          <w:szCs w:val="16"/>
        </w:rPr>
      </w:pPr>
      <w:r w:rsidRPr="00C9050C">
        <w:rPr>
          <w:rFonts w:ascii="Verdana" w:hAnsi="Verdana"/>
          <w:sz w:val="16"/>
          <w:szCs w:val="16"/>
          <w:vertAlign w:val="superscript"/>
        </w:rPr>
        <w:footnoteRef/>
      </w:r>
      <w:r w:rsidRPr="00C9050C">
        <w:rPr>
          <w:rFonts w:ascii="Verdana" w:hAnsi="Verdana" w:cs="Arial"/>
          <w:sz w:val="16"/>
          <w:szCs w:val="16"/>
          <w:vertAlign w:val="superscript"/>
        </w:rPr>
        <w:t xml:space="preserve"> </w:t>
      </w:r>
      <w:r w:rsidRPr="00C9050C">
        <w:rPr>
          <w:rFonts w:ascii="Verdana" w:hAnsi="Verdana" w:cs="Arial"/>
          <w:sz w:val="16"/>
          <w:szCs w:val="16"/>
        </w:rPr>
        <w:t>Código Civil: “Artículo 27. Cuando el sentido de la ley sea claro, no se desatenderá su tenor a pretexto de consultar su espíritu”.</w:t>
      </w:r>
    </w:p>
  </w:footnote>
  <w:footnote w:id="5">
    <w:p w14:paraId="389096A6" w14:textId="77777777" w:rsidR="00CA09D8" w:rsidRPr="00C9667E" w:rsidRDefault="00CA09D8" w:rsidP="00CA09D8">
      <w:pPr>
        <w:pStyle w:val="Textonotapie"/>
        <w:ind w:firstLine="708"/>
        <w:jc w:val="both"/>
        <w:rPr>
          <w:rFonts w:ascii="Verdana" w:hAnsi="Verdana"/>
          <w:sz w:val="16"/>
          <w:szCs w:val="16"/>
          <w:lang w:val="es-ES"/>
        </w:rPr>
      </w:pPr>
      <w:r w:rsidRPr="00C9667E">
        <w:rPr>
          <w:rStyle w:val="Refdenotaalpie"/>
          <w:rFonts w:ascii="Verdana" w:hAnsi="Verdana"/>
          <w:sz w:val="16"/>
          <w:szCs w:val="16"/>
        </w:rPr>
        <w:footnoteRef/>
      </w:r>
      <w:r w:rsidRPr="00C9667E">
        <w:rPr>
          <w:rFonts w:ascii="Verdana" w:hAnsi="Verdana"/>
          <w:sz w:val="16"/>
          <w:szCs w:val="16"/>
        </w:rPr>
        <w:t xml:space="preserve"> </w:t>
      </w:r>
      <w:r w:rsidRPr="00C9667E">
        <w:rPr>
          <w:rFonts w:ascii="Verdana" w:hAnsi="Verdana"/>
          <w:sz w:val="16"/>
          <w:szCs w:val="16"/>
          <w:lang w:val="es-ES"/>
        </w:rPr>
        <w:t>La doctrina chilena ilustra su aplicación en los siguientes términos:</w:t>
      </w:r>
      <w:r>
        <w:rPr>
          <w:rFonts w:ascii="Verdana" w:hAnsi="Verdana"/>
          <w:sz w:val="16"/>
          <w:szCs w:val="16"/>
          <w:lang w:val="es-ES"/>
        </w:rPr>
        <w:t xml:space="preserve"> </w:t>
      </w:r>
      <w:r w:rsidRPr="00C9667E">
        <w:rPr>
          <w:rFonts w:ascii="Verdana" w:hAnsi="Verdana"/>
          <w:sz w:val="16"/>
          <w:szCs w:val="16"/>
          <w:lang w:val="es-ES"/>
        </w:rPr>
        <w:t xml:space="preserve">“La ley se ha de entender general e indistintamente. Cuando la ley no hace excepción alguna, pudiendo haberla hecho, no podemos separarnos de su disposición general por medio de una distinción que ella no ha formulado. </w:t>
      </w:r>
      <w:r w:rsidRPr="00C9667E">
        <w:rPr>
          <w:rFonts w:ascii="Verdana" w:hAnsi="Verdana"/>
          <w:i/>
          <w:iCs/>
          <w:sz w:val="16"/>
          <w:szCs w:val="16"/>
          <w:lang w:val="es-ES"/>
        </w:rPr>
        <w:t>Ubi lex non distinguit nec nos distinguere debemus</w:t>
      </w:r>
      <w:r w:rsidRPr="00C9667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1DF04183" w14:textId="77777777" w:rsidR="00CA09D8" w:rsidRPr="00C9667E" w:rsidRDefault="00CA09D8" w:rsidP="00CA09D8">
      <w:pPr>
        <w:pStyle w:val="Textonotapie"/>
        <w:ind w:firstLine="708"/>
        <w:jc w:val="both"/>
        <w:rPr>
          <w:rFonts w:ascii="Verdana" w:hAnsi="Verdana"/>
          <w:sz w:val="16"/>
          <w:szCs w:val="16"/>
          <w:lang w:val="es-CO"/>
        </w:rPr>
      </w:pPr>
      <w:r w:rsidRPr="00C9667E">
        <w:rPr>
          <w:rFonts w:ascii="Verdana" w:hAnsi="Verdana"/>
          <w:sz w:val="16"/>
          <w:szCs w:val="16"/>
          <w:lang w:val="es-ES"/>
        </w:rPr>
        <w:t xml:space="preserve">En el derecho antiguo y en el derecho canónico se distinguían las leyes en favorables y odiosas, para ampliar o restringir su interpretación. </w:t>
      </w:r>
      <w:r w:rsidRPr="00C9667E">
        <w:rPr>
          <w:rFonts w:ascii="Verdana" w:hAnsi="Verdana"/>
          <w:i/>
          <w:iCs/>
          <w:sz w:val="16"/>
          <w:szCs w:val="16"/>
          <w:lang w:val="es-ES"/>
        </w:rPr>
        <w:t>Odia restringí et favores convenit ampliari</w:t>
      </w:r>
      <w:r w:rsidRPr="00C9667E">
        <w:rPr>
          <w:rFonts w:ascii="Verdana" w:hAnsi="Verdana"/>
          <w:sz w:val="16"/>
          <w:szCs w:val="16"/>
          <w:lang w:val="es-ES"/>
        </w:rPr>
        <w:t>.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w:t>
      </w:r>
      <w:r>
        <w:rPr>
          <w:rFonts w:ascii="Verdana" w:hAnsi="Verdana"/>
          <w:sz w:val="16"/>
          <w:szCs w:val="16"/>
          <w:lang w:val="es-ES"/>
        </w:rPr>
        <w:t xml:space="preserve"> (Cfr. </w:t>
      </w:r>
      <w:r w:rsidRPr="008A44AC">
        <w:rPr>
          <w:rFonts w:ascii="Verdana" w:hAnsi="Verdana"/>
          <w:sz w:val="16"/>
          <w:szCs w:val="16"/>
        </w:rPr>
        <w:t>CLARO SOLAR, Luis. Explicaciones de derecho civil chileno y comparado. Volumen I. Tomo I. Santiago: Editorial Jurídica de Chile, 2013. p. 11</w:t>
      </w:r>
      <w:r>
        <w:rPr>
          <w:rFonts w:ascii="Verdana" w:hAnsi="Verdana"/>
          <w:sz w:val="16"/>
          <w:szCs w:val="16"/>
        </w:rPr>
        <w:t>9</w:t>
      </w:r>
      <w:r w:rsidRPr="008A44AC">
        <w:rPr>
          <w:rFonts w:ascii="Verdana" w:hAnsi="Verdana"/>
          <w:sz w:val="16"/>
          <w:szCs w:val="16"/>
        </w:rPr>
        <w:t>. Énfasis dentro del texto</w:t>
      </w:r>
      <w:r>
        <w:rPr>
          <w:rFonts w:ascii="Verdana" w:hAnsi="Verdana"/>
          <w:sz w:val="16"/>
          <w:szCs w:val="16"/>
        </w:rPr>
        <w:t>).</w:t>
      </w:r>
    </w:p>
  </w:footnote>
  <w:footnote w:id="6">
    <w:p w14:paraId="250E04F3" w14:textId="77777777" w:rsidR="00CA09D8" w:rsidRPr="00C9050C" w:rsidRDefault="00CA09D8" w:rsidP="00CA09D8">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lang w:val="es-CO"/>
        </w:rPr>
        <w:t xml:space="preserve"> Consejo de Estado, Sección Tercera. Auto del 4 de octubre de 2024. Exp. 70.313. C.P: Fredy Ibarra Martínez.</w:t>
      </w:r>
    </w:p>
  </w:footnote>
  <w:footnote w:id="7">
    <w:p w14:paraId="25E0A742" w14:textId="77777777" w:rsidR="00CA09D8" w:rsidRPr="00C9050C" w:rsidRDefault="00CA09D8" w:rsidP="00CA09D8">
      <w:pPr>
        <w:pStyle w:val="Textonotapie"/>
        <w:ind w:firstLine="709"/>
        <w:contextualSpacing/>
        <w:jc w:val="both"/>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La parte resolutiva del auto dispone lo siguiente; “</w:t>
      </w:r>
      <w:r w:rsidRPr="00C9050C">
        <w:rPr>
          <w:rFonts w:ascii="Verdana" w:hAnsi="Verdana"/>
          <w:b/>
          <w:sz w:val="16"/>
          <w:szCs w:val="16"/>
          <w:lang w:val="es-CO"/>
        </w:rPr>
        <w:t xml:space="preserve">PRIMERO: DECRETAR </w:t>
      </w:r>
      <w:r w:rsidRPr="00C9050C">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9050C">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9050C">
        <w:rPr>
          <w:rFonts w:ascii="Verdana" w:hAnsi="Verdana"/>
          <w:sz w:val="16"/>
          <w:szCs w:val="16"/>
          <w:lang w:val="es-CO"/>
        </w:rPr>
        <w:t xml:space="preserve">, por las razones expuestas en precedencia. </w:t>
      </w:r>
    </w:p>
    <w:p w14:paraId="367D65AB" w14:textId="77777777" w:rsidR="00CA09D8" w:rsidRPr="00C9050C" w:rsidRDefault="00CA09D8" w:rsidP="00CA09D8">
      <w:pPr>
        <w:pStyle w:val="Textonotapie"/>
        <w:ind w:firstLine="709"/>
        <w:contextualSpacing/>
        <w:jc w:val="both"/>
        <w:rPr>
          <w:rFonts w:ascii="Verdana" w:hAnsi="Verdana"/>
          <w:sz w:val="16"/>
          <w:szCs w:val="16"/>
          <w:lang w:val="es-CO"/>
        </w:rPr>
      </w:pPr>
      <w:r w:rsidRPr="00C9050C">
        <w:rPr>
          <w:rFonts w:ascii="Verdana" w:hAnsi="Verdana"/>
          <w:b/>
          <w:sz w:val="16"/>
          <w:szCs w:val="16"/>
          <w:lang w:val="es-CO"/>
        </w:rPr>
        <w:t xml:space="preserve">SEGUNDO: DECRETAR </w:t>
      </w:r>
      <w:r w:rsidRPr="00C9050C">
        <w:rPr>
          <w:rFonts w:ascii="Verdana" w:hAnsi="Verdana"/>
          <w:sz w:val="16"/>
          <w:szCs w:val="16"/>
          <w:lang w:val="es-CO"/>
        </w:rPr>
        <w:t>la suspensión provisional de la expresión “</w:t>
      </w:r>
      <w:r w:rsidRPr="00C9050C">
        <w:rPr>
          <w:rFonts w:ascii="Verdana" w:hAnsi="Verdana"/>
          <w:i/>
          <w:sz w:val="16"/>
          <w:szCs w:val="16"/>
          <w:lang w:val="es-CO"/>
        </w:rPr>
        <w:t>contratos</w:t>
      </w:r>
      <w:r w:rsidRPr="00C9050C">
        <w:rPr>
          <w:rFonts w:ascii="Verdana" w:hAnsi="Verdana"/>
          <w:sz w:val="16"/>
          <w:szCs w:val="16"/>
          <w:lang w:val="es-CO"/>
        </w:rPr>
        <w:t xml:space="preserve">” y del párrafo </w:t>
      </w:r>
      <w:r w:rsidRPr="00C9050C">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9050C">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8">
    <w:p w14:paraId="03B23109" w14:textId="77777777" w:rsidR="00CA09D8" w:rsidRPr="00C9050C" w:rsidRDefault="00CA09D8" w:rsidP="00CA09D8">
      <w:pPr>
        <w:spacing w:after="0" w:line="240" w:lineRule="auto"/>
        <w:ind w:firstLine="709"/>
        <w:contextualSpacing/>
        <w:jc w:val="both"/>
        <w:rPr>
          <w:rFonts w:ascii="Verdana" w:eastAsia="Times New Roman" w:hAnsi="Verdana" w:cs="Times New Roman"/>
          <w:sz w:val="16"/>
          <w:szCs w:val="16"/>
          <w:lang w:eastAsia="es-ES"/>
        </w:rPr>
      </w:pPr>
      <w:r w:rsidRPr="00C9050C">
        <w:rPr>
          <w:rStyle w:val="Refdenotaalpie"/>
          <w:rFonts w:ascii="Verdana" w:hAnsi="Verdana"/>
          <w:sz w:val="16"/>
          <w:szCs w:val="16"/>
        </w:rPr>
        <w:footnoteRef/>
      </w:r>
      <w:r w:rsidRPr="00C9050C">
        <w:rPr>
          <w:rFonts w:ascii="Verdana" w:hAnsi="Verdana"/>
          <w:sz w:val="16"/>
          <w:szCs w:val="16"/>
        </w:rPr>
        <w:t xml:space="preserve"> </w:t>
      </w:r>
      <w:r w:rsidRPr="00C9050C">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9050C">
        <w:rPr>
          <w:rFonts w:ascii="Verdana" w:hAnsi="Verdana"/>
          <w:sz w:val="16"/>
          <w:szCs w:val="16"/>
        </w:rPr>
        <w:t xml:space="preserve">La parte de la providencia señala: </w:t>
      </w:r>
      <w:r w:rsidRPr="00C9050C">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9">
    <w:p w14:paraId="660FC690" w14:textId="77777777" w:rsidR="00CA09D8" w:rsidRPr="00C9050C" w:rsidRDefault="00CA09D8" w:rsidP="00CA09D8">
      <w:pPr>
        <w:pStyle w:val="Textonotapie"/>
        <w:ind w:firstLine="709"/>
        <w:rPr>
          <w:rFonts w:ascii="Verdana" w:hAnsi="Verdana"/>
          <w:sz w:val="16"/>
          <w:szCs w:val="16"/>
          <w:lang w:val="es-CO"/>
        </w:rPr>
      </w:pPr>
      <w:r w:rsidRPr="00C9050C">
        <w:rPr>
          <w:rStyle w:val="Refdenotaalpie"/>
          <w:rFonts w:ascii="Verdana" w:hAnsi="Verdana"/>
          <w:sz w:val="16"/>
          <w:szCs w:val="16"/>
        </w:rPr>
        <w:footnoteRef/>
      </w:r>
      <w:r w:rsidRPr="00C9050C">
        <w:rPr>
          <w:rFonts w:ascii="Verdana" w:hAnsi="Verdana"/>
          <w:sz w:val="16"/>
          <w:szCs w:val="16"/>
        </w:rPr>
        <w:t xml:space="preserve"> No </w:t>
      </w:r>
      <w:proofErr w:type="gramStart"/>
      <w:r w:rsidRPr="00C9050C">
        <w:rPr>
          <w:rFonts w:ascii="Verdana" w:hAnsi="Verdana"/>
          <w:sz w:val="16"/>
          <w:szCs w:val="16"/>
        </w:rPr>
        <w:t>obstante</w:t>
      </w:r>
      <w:proofErr w:type="gramEnd"/>
      <w:r w:rsidRPr="00C9050C">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10">
    <w:p w14:paraId="0641672B" w14:textId="77777777" w:rsidR="00CA09D8" w:rsidRPr="002B3A87" w:rsidRDefault="00CA09D8" w:rsidP="00CA09D8">
      <w:pPr>
        <w:pStyle w:val="Textonotapie"/>
        <w:ind w:firstLine="708"/>
        <w:jc w:val="both"/>
        <w:rPr>
          <w:rFonts w:ascii="Verdana" w:hAnsi="Verdana"/>
          <w:sz w:val="16"/>
          <w:szCs w:val="16"/>
        </w:rPr>
      </w:pPr>
      <w:r w:rsidRPr="002B3A87">
        <w:rPr>
          <w:rStyle w:val="Refdenotaalpie"/>
          <w:rFonts w:ascii="Verdana" w:hAnsi="Verdana"/>
          <w:sz w:val="16"/>
          <w:szCs w:val="16"/>
        </w:rPr>
        <w:footnoteRef/>
      </w:r>
      <w:r w:rsidRPr="002B3A87">
        <w:rPr>
          <w:rFonts w:ascii="Verdana" w:hAnsi="Verdana"/>
          <w:sz w:val="16"/>
          <w:szCs w:val="16"/>
        </w:rPr>
        <w:t xml:space="preserve"> </w:t>
      </w:r>
      <w:r>
        <w:rPr>
          <w:rFonts w:ascii="Verdana" w:hAnsi="Verdana"/>
          <w:sz w:val="16"/>
          <w:szCs w:val="16"/>
        </w:rPr>
        <w:t xml:space="preserve">CONSEJO DE ESTADO. Sección Tercera. Subsección C. Auto del 30 de enero de 2025. Rad. 71000. C.P. </w:t>
      </w:r>
      <w:r w:rsidRPr="00E743EE">
        <w:rPr>
          <w:rFonts w:ascii="Verdana" w:hAnsi="Verdana"/>
          <w:sz w:val="16"/>
          <w:szCs w:val="16"/>
        </w:rPr>
        <w:t>Nicolás Yepes Corrales</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5EA07CB2"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35E10E8"/>
    <w:multiLevelType w:val="hybridMultilevel"/>
    <w:tmpl w:val="2968DC78"/>
    <w:lvl w:ilvl="0" w:tplc="F2984994">
      <w:start w:val="1"/>
      <w:numFmt w:val="lowerRoman"/>
      <w:lvlText w:val="%1."/>
      <w:lvlJc w:val="left"/>
      <w:pPr>
        <w:ind w:left="1080" w:hanging="720"/>
      </w:pPr>
      <w:rPr>
        <w:rFonts w:eastAsiaTheme="minorEastAsia"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8C1D2E"/>
    <w:multiLevelType w:val="hybridMultilevel"/>
    <w:tmpl w:val="30AC911A"/>
    <w:lvl w:ilvl="0" w:tplc="F0488A68">
      <w:start w:val="1"/>
      <w:numFmt w:val="lowerRoman"/>
      <w:lvlText w:val="%1."/>
      <w:lvlJc w:val="left"/>
      <w:pPr>
        <w:ind w:left="1080" w:hanging="720"/>
      </w:pPr>
      <w:rPr>
        <w:rFonts w:eastAsiaTheme="minorHAnsi"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330140246">
    <w:abstractNumId w:val="0"/>
  </w:num>
  <w:num w:numId="17" w16cid:durableId="679089576">
    <w:abstractNumId w:val="11"/>
  </w:num>
  <w:num w:numId="18" w16cid:durableId="912852738">
    <w:abstractNumId w:val="3"/>
  </w:num>
  <w:num w:numId="19" w16cid:durableId="18219924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28F"/>
    <w:rsid w:val="00016F78"/>
    <w:rsid w:val="000273E2"/>
    <w:rsid w:val="00046945"/>
    <w:rsid w:val="00055B5B"/>
    <w:rsid w:val="00061B2A"/>
    <w:rsid w:val="00082362"/>
    <w:rsid w:val="000A683E"/>
    <w:rsid w:val="000B19B9"/>
    <w:rsid w:val="000B5245"/>
    <w:rsid w:val="000D0334"/>
    <w:rsid w:val="000D1603"/>
    <w:rsid w:val="000D5DA7"/>
    <w:rsid w:val="000F0D31"/>
    <w:rsid w:val="000F6486"/>
    <w:rsid w:val="00116940"/>
    <w:rsid w:val="00125105"/>
    <w:rsid w:val="00127233"/>
    <w:rsid w:val="0015699B"/>
    <w:rsid w:val="0018526D"/>
    <w:rsid w:val="001A33BF"/>
    <w:rsid w:val="001C028F"/>
    <w:rsid w:val="001C61B4"/>
    <w:rsid w:val="001E4177"/>
    <w:rsid w:val="001F0B24"/>
    <w:rsid w:val="001F7DC6"/>
    <w:rsid w:val="0022400B"/>
    <w:rsid w:val="002421BB"/>
    <w:rsid w:val="00247379"/>
    <w:rsid w:val="0025796E"/>
    <w:rsid w:val="002674DF"/>
    <w:rsid w:val="002707A2"/>
    <w:rsid w:val="00280CCA"/>
    <w:rsid w:val="002951A0"/>
    <w:rsid w:val="002962BC"/>
    <w:rsid w:val="002A093D"/>
    <w:rsid w:val="002A0DD0"/>
    <w:rsid w:val="002A49AC"/>
    <w:rsid w:val="002A64FD"/>
    <w:rsid w:val="002C363D"/>
    <w:rsid w:val="002C7A84"/>
    <w:rsid w:val="002D7101"/>
    <w:rsid w:val="002E2BF8"/>
    <w:rsid w:val="002E4FD9"/>
    <w:rsid w:val="002F5BFB"/>
    <w:rsid w:val="0030657A"/>
    <w:rsid w:val="00312C12"/>
    <w:rsid w:val="00322A85"/>
    <w:rsid w:val="00324168"/>
    <w:rsid w:val="00330834"/>
    <w:rsid w:val="003448F4"/>
    <w:rsid w:val="00354E11"/>
    <w:rsid w:val="00374F5E"/>
    <w:rsid w:val="00377E3E"/>
    <w:rsid w:val="003A779E"/>
    <w:rsid w:val="003B6815"/>
    <w:rsid w:val="003D0F4D"/>
    <w:rsid w:val="003D5B0D"/>
    <w:rsid w:val="003E0499"/>
    <w:rsid w:val="003E4F80"/>
    <w:rsid w:val="003E6439"/>
    <w:rsid w:val="003F3941"/>
    <w:rsid w:val="00406575"/>
    <w:rsid w:val="004140C1"/>
    <w:rsid w:val="00414C74"/>
    <w:rsid w:val="0042722E"/>
    <w:rsid w:val="0044528D"/>
    <w:rsid w:val="00466E39"/>
    <w:rsid w:val="00481BDA"/>
    <w:rsid w:val="0048655C"/>
    <w:rsid w:val="004878C6"/>
    <w:rsid w:val="004A1847"/>
    <w:rsid w:val="004A305D"/>
    <w:rsid w:val="004B74D1"/>
    <w:rsid w:val="004C2DB7"/>
    <w:rsid w:val="004C40B3"/>
    <w:rsid w:val="004F21C4"/>
    <w:rsid w:val="004F685F"/>
    <w:rsid w:val="00506A1D"/>
    <w:rsid w:val="005566E8"/>
    <w:rsid w:val="005724A4"/>
    <w:rsid w:val="00574867"/>
    <w:rsid w:val="00591460"/>
    <w:rsid w:val="005A65E0"/>
    <w:rsid w:val="005B42C1"/>
    <w:rsid w:val="005C3777"/>
    <w:rsid w:val="005C5225"/>
    <w:rsid w:val="005C5CDC"/>
    <w:rsid w:val="005D476C"/>
    <w:rsid w:val="005F26B8"/>
    <w:rsid w:val="005F2838"/>
    <w:rsid w:val="00603409"/>
    <w:rsid w:val="00616A59"/>
    <w:rsid w:val="006200BF"/>
    <w:rsid w:val="006219F8"/>
    <w:rsid w:val="00625A56"/>
    <w:rsid w:val="006302F7"/>
    <w:rsid w:val="00646B9F"/>
    <w:rsid w:val="006547D3"/>
    <w:rsid w:val="00665D70"/>
    <w:rsid w:val="00666E49"/>
    <w:rsid w:val="00667136"/>
    <w:rsid w:val="006900D9"/>
    <w:rsid w:val="006A793F"/>
    <w:rsid w:val="006C1430"/>
    <w:rsid w:val="006E265E"/>
    <w:rsid w:val="00706C16"/>
    <w:rsid w:val="007340C3"/>
    <w:rsid w:val="0075235A"/>
    <w:rsid w:val="00756841"/>
    <w:rsid w:val="007649AB"/>
    <w:rsid w:val="00771D0C"/>
    <w:rsid w:val="00777A67"/>
    <w:rsid w:val="007833AC"/>
    <w:rsid w:val="007B268C"/>
    <w:rsid w:val="007B7171"/>
    <w:rsid w:val="007C0C0F"/>
    <w:rsid w:val="007C3DC2"/>
    <w:rsid w:val="007C4379"/>
    <w:rsid w:val="007C72FA"/>
    <w:rsid w:val="007D699B"/>
    <w:rsid w:val="007E5497"/>
    <w:rsid w:val="00806F5F"/>
    <w:rsid w:val="00820278"/>
    <w:rsid w:val="00820D6F"/>
    <w:rsid w:val="008258C9"/>
    <w:rsid w:val="008448AE"/>
    <w:rsid w:val="00844AE9"/>
    <w:rsid w:val="00867F95"/>
    <w:rsid w:val="008843B6"/>
    <w:rsid w:val="00891928"/>
    <w:rsid w:val="008A446D"/>
    <w:rsid w:val="008B24B2"/>
    <w:rsid w:val="008B25F1"/>
    <w:rsid w:val="008D180B"/>
    <w:rsid w:val="008E38A5"/>
    <w:rsid w:val="008F0EA7"/>
    <w:rsid w:val="00904A80"/>
    <w:rsid w:val="00923EEF"/>
    <w:rsid w:val="009417C0"/>
    <w:rsid w:val="009419F9"/>
    <w:rsid w:val="00943E1B"/>
    <w:rsid w:val="0095685E"/>
    <w:rsid w:val="00961B09"/>
    <w:rsid w:val="00963D8F"/>
    <w:rsid w:val="00965334"/>
    <w:rsid w:val="0097093E"/>
    <w:rsid w:val="00996AD2"/>
    <w:rsid w:val="009A0DFA"/>
    <w:rsid w:val="009A1C6F"/>
    <w:rsid w:val="009B2D26"/>
    <w:rsid w:val="009C71FA"/>
    <w:rsid w:val="009C72E7"/>
    <w:rsid w:val="009C7F7E"/>
    <w:rsid w:val="009D3058"/>
    <w:rsid w:val="009F3A13"/>
    <w:rsid w:val="00A0620B"/>
    <w:rsid w:val="00A122D3"/>
    <w:rsid w:val="00A14468"/>
    <w:rsid w:val="00A17F13"/>
    <w:rsid w:val="00A20739"/>
    <w:rsid w:val="00A23AF9"/>
    <w:rsid w:val="00A33C78"/>
    <w:rsid w:val="00A42DC9"/>
    <w:rsid w:val="00A43EF4"/>
    <w:rsid w:val="00AA2517"/>
    <w:rsid w:val="00AB0ADB"/>
    <w:rsid w:val="00AB71EC"/>
    <w:rsid w:val="00B00C0E"/>
    <w:rsid w:val="00B01B1A"/>
    <w:rsid w:val="00B0381D"/>
    <w:rsid w:val="00B13F3D"/>
    <w:rsid w:val="00B336AC"/>
    <w:rsid w:val="00B40EF2"/>
    <w:rsid w:val="00B44A47"/>
    <w:rsid w:val="00B53887"/>
    <w:rsid w:val="00B72CD3"/>
    <w:rsid w:val="00B72FFF"/>
    <w:rsid w:val="00BA68A4"/>
    <w:rsid w:val="00BC3D36"/>
    <w:rsid w:val="00BD54A6"/>
    <w:rsid w:val="00BD7F72"/>
    <w:rsid w:val="00BE5A09"/>
    <w:rsid w:val="00BF7425"/>
    <w:rsid w:val="00C04FB3"/>
    <w:rsid w:val="00C11D8B"/>
    <w:rsid w:val="00C12B02"/>
    <w:rsid w:val="00C15139"/>
    <w:rsid w:val="00C330EB"/>
    <w:rsid w:val="00C50D69"/>
    <w:rsid w:val="00C5365C"/>
    <w:rsid w:val="00C754BE"/>
    <w:rsid w:val="00C76B1C"/>
    <w:rsid w:val="00C83899"/>
    <w:rsid w:val="00C925AC"/>
    <w:rsid w:val="00C96512"/>
    <w:rsid w:val="00CA09D8"/>
    <w:rsid w:val="00CA4DC7"/>
    <w:rsid w:val="00CA79EC"/>
    <w:rsid w:val="00CB6357"/>
    <w:rsid w:val="00CC1B26"/>
    <w:rsid w:val="00CD2E16"/>
    <w:rsid w:val="00D32245"/>
    <w:rsid w:val="00D361FD"/>
    <w:rsid w:val="00D423A2"/>
    <w:rsid w:val="00D44E26"/>
    <w:rsid w:val="00D4642D"/>
    <w:rsid w:val="00D520D8"/>
    <w:rsid w:val="00D55B93"/>
    <w:rsid w:val="00D63AC2"/>
    <w:rsid w:val="00D7383B"/>
    <w:rsid w:val="00D7788A"/>
    <w:rsid w:val="00D82905"/>
    <w:rsid w:val="00DA231B"/>
    <w:rsid w:val="00DB0467"/>
    <w:rsid w:val="00DB0E3F"/>
    <w:rsid w:val="00DB1B91"/>
    <w:rsid w:val="00DC39FC"/>
    <w:rsid w:val="00DE3AEE"/>
    <w:rsid w:val="00DF5254"/>
    <w:rsid w:val="00E02524"/>
    <w:rsid w:val="00E16408"/>
    <w:rsid w:val="00E20894"/>
    <w:rsid w:val="00E245AB"/>
    <w:rsid w:val="00E2764C"/>
    <w:rsid w:val="00E27F2E"/>
    <w:rsid w:val="00E3340B"/>
    <w:rsid w:val="00E50AFE"/>
    <w:rsid w:val="00E53C64"/>
    <w:rsid w:val="00E65804"/>
    <w:rsid w:val="00E75C92"/>
    <w:rsid w:val="00E771DC"/>
    <w:rsid w:val="00E8772A"/>
    <w:rsid w:val="00E90F6B"/>
    <w:rsid w:val="00E92802"/>
    <w:rsid w:val="00E92C27"/>
    <w:rsid w:val="00EA0E3D"/>
    <w:rsid w:val="00EC07F5"/>
    <w:rsid w:val="00EC38A7"/>
    <w:rsid w:val="00EC6AA5"/>
    <w:rsid w:val="00ED01EA"/>
    <w:rsid w:val="00ED491F"/>
    <w:rsid w:val="00EE1AA8"/>
    <w:rsid w:val="00EF46FC"/>
    <w:rsid w:val="00F23FEA"/>
    <w:rsid w:val="00F31EDC"/>
    <w:rsid w:val="00F462B3"/>
    <w:rsid w:val="00F5664F"/>
    <w:rsid w:val="00F666C4"/>
    <w:rsid w:val="00F76AFC"/>
    <w:rsid w:val="00F95146"/>
    <w:rsid w:val="00F95607"/>
    <w:rsid w:val="00F96F9D"/>
    <w:rsid w:val="00FA47C0"/>
    <w:rsid w:val="00FB5DD1"/>
    <w:rsid w:val="00FC23C7"/>
    <w:rsid w:val="00FC2B23"/>
    <w:rsid w:val="00FC2B5D"/>
    <w:rsid w:val="00FE7078"/>
    <w:rsid w:val="00FF1449"/>
    <w:rsid w:val="00FF7963"/>
    <w:rsid w:val="01A4262D"/>
    <w:rsid w:val="071B8F93"/>
    <w:rsid w:val="07C73DD1"/>
    <w:rsid w:val="09908A09"/>
    <w:rsid w:val="0C597AA6"/>
    <w:rsid w:val="0EFE6349"/>
    <w:rsid w:val="0FF4CCA8"/>
    <w:rsid w:val="12ECE67A"/>
    <w:rsid w:val="13CFC91B"/>
    <w:rsid w:val="19A2EC2C"/>
    <w:rsid w:val="21779BE6"/>
    <w:rsid w:val="2859CA1B"/>
    <w:rsid w:val="2C4D2425"/>
    <w:rsid w:val="2EE1E026"/>
    <w:rsid w:val="2F44F38F"/>
    <w:rsid w:val="2FAB11F9"/>
    <w:rsid w:val="30821638"/>
    <w:rsid w:val="32A4F9CF"/>
    <w:rsid w:val="33A1FF93"/>
    <w:rsid w:val="356CEDFD"/>
    <w:rsid w:val="36AF0183"/>
    <w:rsid w:val="38A223CB"/>
    <w:rsid w:val="3C591AFD"/>
    <w:rsid w:val="3DE8F821"/>
    <w:rsid w:val="42183F0A"/>
    <w:rsid w:val="4C65DEC6"/>
    <w:rsid w:val="4F848E94"/>
    <w:rsid w:val="545B112A"/>
    <w:rsid w:val="5BEB1497"/>
    <w:rsid w:val="5C97C692"/>
    <w:rsid w:val="69614A15"/>
    <w:rsid w:val="6D7856BB"/>
    <w:rsid w:val="74BA017B"/>
    <w:rsid w:val="7677286E"/>
    <w:rsid w:val="76966FD4"/>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BA299F4-A984-4FF0-ABFC-5E84802A8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A09D8"/>
    <w:pPr>
      <w:spacing w:line="240" w:lineRule="exact"/>
    </w:pPr>
    <w:rPr>
      <w:vertAlign w:val="superscript"/>
    </w:rPr>
  </w:style>
  <w:style w:type="table" w:customStyle="1" w:styleId="Tablaconcuadrcula1">
    <w:name w:val="Tabla con cuadrícula1"/>
    <w:basedOn w:val="Tablanormal"/>
    <w:next w:val="Tablaconcuadrcula"/>
    <w:uiPriority w:val="39"/>
    <w:qFormat/>
    <w:rsid w:val="00CA09D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mentText">
    <w:name w:val="Comment Text"/>
    <w:basedOn w:val="Normal"/>
    <w:link w:val="CommentTextChar"/>
    <w:uiPriority w:val="99"/>
    <w:semiHidden/>
    <w:unhideWhenUsed/>
    <w:rsid w:val="00820D6F"/>
    <w:pPr>
      <w:spacing w:line="240" w:lineRule="auto"/>
    </w:pPr>
    <w:rPr>
      <w:sz w:val="20"/>
      <w:szCs w:val="20"/>
    </w:rPr>
  </w:style>
  <w:style w:type="character" w:customStyle="1" w:styleId="CommentTextChar">
    <w:name w:val="Comment Text Char"/>
    <w:basedOn w:val="Fuentedeprrafopredeter"/>
    <w:link w:val="CommentText"/>
    <w:uiPriority w:val="99"/>
    <w:semiHidden/>
    <w:rsid w:val="00820D6F"/>
    <w:rPr>
      <w:sz w:val="20"/>
      <w:szCs w:val="20"/>
    </w:rPr>
  </w:style>
  <w:style w:type="character" w:customStyle="1" w:styleId="CommentReference">
    <w:name w:val="Comment Reference"/>
    <w:basedOn w:val="Fuentedeprrafopredeter"/>
    <w:uiPriority w:val="99"/>
    <w:semiHidden/>
    <w:unhideWhenUsed/>
    <w:rsid w:val="00820D6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imecamano@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53200B7-432E-43EF-802D-03FE0532C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20</Pages>
  <Words>6648</Words>
  <Characters>36565</Characters>
  <Application>Microsoft Office Word</Application>
  <DocSecurity>0</DocSecurity>
  <Lines>304</Lines>
  <Paragraphs>86</Paragraphs>
  <ScaleCrop>false</ScaleCrop>
  <Company/>
  <LinksUpToDate>false</LinksUpToDate>
  <CharactersWithSpaces>43127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14</cp:revision>
  <cp:lastPrinted>2023-01-10T18:18:00Z</cp:lastPrinted>
  <dcterms:created xsi:type="dcterms:W3CDTF">2026-06-11T14:36:00Z</dcterms:created>
  <dcterms:modified xsi:type="dcterms:W3CDTF">2026-06-12T15:44:00Z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