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4E7270" w14:textId="77777777" w:rsidR="00EC0FFE" w:rsidRPr="00EC0FFE" w:rsidRDefault="00EC0FFE" w:rsidP="00EC0FFE">
      <w:pPr>
        <w:spacing w:after="0" w:line="278" w:lineRule="auto"/>
        <w:jc w:val="both"/>
        <w:rPr>
          <w:rFonts w:ascii="Verdana" w:eastAsia="Calibri" w:hAnsi="Verdana" w:cs="Arial"/>
          <w:b/>
          <w:bCs/>
          <w:kern w:val="2"/>
          <w14:ligatures w14:val="standardContextual"/>
        </w:rPr>
      </w:pPr>
      <w:bookmarkStart w:id="0" w:name="_Hlk143780582"/>
      <w:r w:rsidRPr="00EC0FFE">
        <w:rPr>
          <w:rFonts w:ascii="Verdana" w:eastAsia="Calibri" w:hAnsi="Verdana" w:cs="Arial"/>
          <w:b/>
          <w:bCs/>
          <w:kern w:val="2"/>
          <w14:ligatures w14:val="standardContextual"/>
        </w:rPr>
        <w:t>REGISTRO ÚNICO DE PROPONENTES – Firmeza – Acto administrativo – Inscripción</w:t>
      </w:r>
    </w:p>
    <w:p w14:paraId="31892016" w14:textId="77777777" w:rsidR="00EC0FFE" w:rsidRPr="00EC0FFE" w:rsidRDefault="00EC0FFE" w:rsidP="00EC0FFE">
      <w:pPr>
        <w:spacing w:after="0" w:line="278" w:lineRule="auto"/>
        <w:jc w:val="both"/>
        <w:rPr>
          <w:rFonts w:ascii="Verdana" w:eastAsia="Aptos" w:hAnsi="Verdana" w:cs="Arial"/>
          <w:kern w:val="2"/>
          <w14:ligatures w14:val="standardContextual"/>
        </w:rPr>
      </w:pPr>
    </w:p>
    <w:p w14:paraId="74A0A6F5" w14:textId="77777777" w:rsidR="00EC0FFE" w:rsidRPr="00EC0FFE" w:rsidRDefault="00EC0FFE" w:rsidP="00EC0FFE">
      <w:pPr>
        <w:spacing w:after="0" w:line="278" w:lineRule="auto"/>
        <w:jc w:val="both"/>
        <w:rPr>
          <w:rFonts w:ascii="Verdana" w:eastAsia="Calibri" w:hAnsi="Verdana" w:cs="Arial"/>
          <w:kern w:val="2"/>
          <w:sz w:val="20"/>
          <w:szCs w:val="20"/>
          <w14:ligatures w14:val="standardContextual"/>
        </w:rPr>
      </w:pPr>
      <w:r w:rsidRPr="00EC0FFE">
        <w:rPr>
          <w:rFonts w:ascii="Verdana" w:eastAsia="Calibri" w:hAnsi="Verdana" w:cs="Arial"/>
          <w:kern w:val="2"/>
          <w:sz w:val="20"/>
          <w:szCs w:val="20"/>
          <w14:ligatures w14:val="standardContextual"/>
        </w:rPr>
        <w:t xml:space="preserve">[…] la firmeza del acto de inscripción, renovación y actualización del RUP debe armonizarse con las prescripciones establecidas para la generalidad de los actos administrativos, esto es, de acuerdo con el artículo 87 de la Ley 1437 de 2011. Conforme a lo anterior, la persona natural o jurídica podrá presentarse a los procedimientos de selección cuando el acto administrativo que realiza la inscripción del RUP se encuentra en firme, porque es un requisito para las personas naturales o jurídicas nacionales o extranjeras domiciliadas o con sucursal en Colombia, que aspiran celebrar contratos con las entidades estatales, estar inscritas en él, salvo las excepciones establecidas en la ley. </w:t>
      </w:r>
    </w:p>
    <w:p w14:paraId="52320355" w14:textId="77777777" w:rsidR="00EC0FFE" w:rsidRPr="00EC0FFE" w:rsidRDefault="00EC0FFE" w:rsidP="00EC0FFE">
      <w:pPr>
        <w:spacing w:after="0" w:line="278" w:lineRule="auto"/>
        <w:jc w:val="both"/>
        <w:rPr>
          <w:rFonts w:ascii="Verdana" w:eastAsia="Calibri" w:hAnsi="Verdana" w:cs="Arial"/>
          <w:kern w:val="2"/>
          <w:sz w:val="20"/>
          <w:szCs w:val="20"/>
          <w14:ligatures w14:val="standardContextual"/>
        </w:rPr>
      </w:pPr>
    </w:p>
    <w:p w14:paraId="63B6B728" w14:textId="77777777" w:rsidR="00EC0FFE" w:rsidRPr="00EC0FFE" w:rsidRDefault="00EC0FFE" w:rsidP="00EC0FFE">
      <w:pPr>
        <w:spacing w:after="0" w:line="278" w:lineRule="auto"/>
        <w:jc w:val="both"/>
        <w:rPr>
          <w:rFonts w:ascii="Verdana" w:eastAsia="Calibri" w:hAnsi="Verdana" w:cs="Arial"/>
          <w:kern w:val="2"/>
          <w:sz w:val="20"/>
          <w:szCs w:val="20"/>
          <w14:ligatures w14:val="standardContextual"/>
        </w:rPr>
      </w:pPr>
      <w:r w:rsidRPr="00EC0FFE">
        <w:rPr>
          <w:rFonts w:ascii="Verdana" w:eastAsia="Calibri" w:hAnsi="Verdana" w:cs="Arial"/>
          <w:kern w:val="2"/>
          <w:sz w:val="20"/>
          <w:szCs w:val="20"/>
          <w14:ligatures w14:val="standardContextual"/>
        </w:rPr>
        <w:t>La inscripción en el RUP, cuando es obligatoria, constituye un requisito que habilita la capacidad legal de las personas para celebrar contratos estatales, por ende, cuando éste no se cumple por no existir o por no producir efectos –mientras no está en firme–, impide que las personas puedan suscribir contratos con el estado válidamente. Así las cosas, la firmeza del RUP es una condición de ejecutoriedad para consolidar los efectos del acto administrativo de inscripción. […]</w:t>
      </w:r>
    </w:p>
    <w:p w14:paraId="739D6D38" w14:textId="77777777" w:rsidR="00EC0FFE" w:rsidRPr="00EC0FFE" w:rsidRDefault="00EC0FFE" w:rsidP="00EC0FFE">
      <w:pPr>
        <w:spacing w:after="0" w:line="278" w:lineRule="auto"/>
        <w:contextualSpacing/>
        <w:jc w:val="both"/>
        <w:rPr>
          <w:rFonts w:ascii="Verdana" w:eastAsia="Calibri" w:hAnsi="Verdana" w:cs="Arial"/>
          <w:kern w:val="2"/>
          <w14:ligatures w14:val="standardContextual"/>
        </w:rPr>
      </w:pPr>
    </w:p>
    <w:p w14:paraId="7973E890" w14:textId="77777777" w:rsidR="00EC0FFE" w:rsidRPr="00EC0FFE" w:rsidRDefault="00EC0FFE" w:rsidP="00EC0FFE">
      <w:pPr>
        <w:spacing w:after="0" w:line="278" w:lineRule="auto"/>
        <w:jc w:val="both"/>
        <w:rPr>
          <w:rFonts w:ascii="Verdana" w:eastAsia="Calibri" w:hAnsi="Verdana" w:cs="Arial"/>
          <w:b/>
          <w:bCs/>
          <w:color w:val="000000"/>
          <w:kern w:val="2"/>
          <w14:ligatures w14:val="standardContextual"/>
        </w:rPr>
      </w:pPr>
      <w:r w:rsidRPr="00EC0FFE">
        <w:rPr>
          <w:rFonts w:ascii="Verdana" w:eastAsia="Calibri" w:hAnsi="Verdana" w:cs="Arial"/>
          <w:b/>
          <w:bCs/>
          <w:kern w:val="2"/>
          <w14:ligatures w14:val="standardContextual"/>
        </w:rPr>
        <w:t xml:space="preserve">REGISTRO ÚNICO DE PROPONENTES – Renovación – Firmeza – Información </w:t>
      </w:r>
      <w:r w:rsidRPr="00EC0FFE">
        <w:rPr>
          <w:rFonts w:ascii="Verdana" w:eastAsia="Calibri" w:hAnsi="Verdana" w:cs="Arial"/>
          <w:b/>
          <w:bCs/>
          <w:color w:val="000000"/>
          <w:kern w:val="2"/>
          <w14:ligatures w14:val="standardContextual"/>
        </w:rPr>
        <w:t>– Evaluación</w:t>
      </w:r>
    </w:p>
    <w:p w14:paraId="6EADD9D1" w14:textId="77777777" w:rsidR="00EC0FFE" w:rsidRPr="00EC0FFE" w:rsidRDefault="00EC0FFE" w:rsidP="00EC0FFE">
      <w:pPr>
        <w:spacing w:after="0" w:line="278" w:lineRule="auto"/>
        <w:jc w:val="both"/>
        <w:rPr>
          <w:rFonts w:ascii="Verdana" w:eastAsia="Aptos" w:hAnsi="Verdana" w:cs="Arial"/>
          <w:kern w:val="2"/>
          <w14:ligatures w14:val="standardContextual"/>
        </w:rPr>
      </w:pPr>
    </w:p>
    <w:p w14:paraId="1E8A0A5C" w14:textId="77777777" w:rsidR="00EC0FFE" w:rsidRPr="00EC0FFE" w:rsidRDefault="00EC0FFE" w:rsidP="00EC0FFE">
      <w:pPr>
        <w:spacing w:after="0" w:line="278" w:lineRule="auto"/>
        <w:jc w:val="both"/>
        <w:rPr>
          <w:rFonts w:ascii="Verdana" w:eastAsia="Calibri" w:hAnsi="Verdana" w:cs="Arial"/>
          <w:kern w:val="2"/>
          <w:sz w:val="20"/>
          <w:szCs w:val="20"/>
          <w14:ligatures w14:val="standardContextual"/>
        </w:rPr>
      </w:pPr>
      <w:r w:rsidRPr="00EC0FFE">
        <w:rPr>
          <w:rFonts w:ascii="Verdana" w:eastAsia="Calibri" w:hAnsi="Verdana" w:cs="Arial"/>
          <w:kern w:val="2"/>
          <w:sz w:val="20"/>
          <w:szCs w:val="20"/>
          <w14:ligatures w14:val="standardContextual"/>
        </w:rPr>
        <w:t>Tratándose del trámite de renovación, la persona que haya presentado la información para renovar su registro a más tardar al quinto día hábil del mes de abril, cumpliendo con el requisito establecido en el artículo 2.2.1.1.1.5.1, puede participar en los procedimientos de selección, debiéndose tener en cuenta la información “antigua”. De esta manera, en el período comprendido entre el momento de la solicitud de renovación y el momento de la firmeza de la nueva información, se permite que haga valer la información del RUP que está en firme antes de iniciar el trámite de renovación, cuyos efectos no han cesado por encontrarse vigente.</w:t>
      </w:r>
    </w:p>
    <w:p w14:paraId="30BC2066" w14:textId="77777777" w:rsidR="00EC0FFE" w:rsidRPr="00EC0FFE" w:rsidRDefault="00EC0FFE" w:rsidP="00EC0FFE">
      <w:pPr>
        <w:spacing w:after="0" w:line="278" w:lineRule="auto"/>
        <w:jc w:val="both"/>
        <w:rPr>
          <w:rFonts w:ascii="Verdana" w:eastAsia="Calibri" w:hAnsi="Verdana" w:cs="Arial"/>
          <w:kern w:val="2"/>
          <w:sz w:val="20"/>
          <w:szCs w:val="20"/>
          <w14:ligatures w14:val="standardContextual"/>
        </w:rPr>
      </w:pPr>
    </w:p>
    <w:p w14:paraId="3C33ACA4" w14:textId="77777777" w:rsidR="00EC0FFE" w:rsidRPr="00EC0FFE" w:rsidRDefault="00EC0FFE" w:rsidP="00EC0FFE">
      <w:pPr>
        <w:spacing w:after="0" w:line="278" w:lineRule="auto"/>
        <w:jc w:val="both"/>
        <w:rPr>
          <w:rFonts w:ascii="Verdana" w:eastAsia="Calibri" w:hAnsi="Verdana" w:cs="Arial"/>
          <w:kern w:val="2"/>
          <w:sz w:val="20"/>
          <w:szCs w:val="20"/>
          <w14:ligatures w14:val="standardContextual"/>
        </w:rPr>
      </w:pPr>
      <w:r w:rsidRPr="00EC0FFE">
        <w:rPr>
          <w:rFonts w:ascii="Verdana" w:eastAsia="Calibri" w:hAnsi="Verdana" w:cs="Arial"/>
          <w:kern w:val="2"/>
          <w:sz w:val="20"/>
          <w:szCs w:val="20"/>
          <w14:ligatures w14:val="standardContextual"/>
        </w:rPr>
        <w:t>[…]</w:t>
      </w:r>
    </w:p>
    <w:p w14:paraId="2572E346" w14:textId="77777777" w:rsidR="00EC0FFE" w:rsidRPr="00EC0FFE" w:rsidRDefault="00EC0FFE" w:rsidP="00EC0FFE">
      <w:pPr>
        <w:spacing w:after="0" w:line="278" w:lineRule="auto"/>
        <w:jc w:val="both"/>
        <w:rPr>
          <w:rFonts w:ascii="Verdana" w:eastAsia="Calibri" w:hAnsi="Verdana" w:cs="Arial"/>
          <w:kern w:val="2"/>
          <w:sz w:val="20"/>
          <w:szCs w:val="20"/>
          <w14:ligatures w14:val="standardContextual"/>
        </w:rPr>
      </w:pPr>
    </w:p>
    <w:p w14:paraId="4385CA26" w14:textId="77777777" w:rsidR="00EC0FFE" w:rsidRPr="00EC0FFE" w:rsidRDefault="00EC0FFE" w:rsidP="00EC0FFE">
      <w:pPr>
        <w:spacing w:after="0" w:line="278" w:lineRule="auto"/>
        <w:jc w:val="both"/>
        <w:rPr>
          <w:rFonts w:ascii="Verdana" w:eastAsia="Calibri" w:hAnsi="Verdana" w:cs="Arial"/>
          <w:kern w:val="2"/>
          <w:sz w:val="20"/>
          <w:szCs w:val="20"/>
          <w14:ligatures w14:val="standardContextual"/>
        </w:rPr>
      </w:pPr>
      <w:r w:rsidRPr="00EC0FFE">
        <w:rPr>
          <w:rFonts w:ascii="Verdana" w:eastAsia="Calibri" w:hAnsi="Verdana" w:cs="Arial"/>
          <w:kern w:val="2"/>
          <w:sz w:val="20"/>
          <w:szCs w:val="20"/>
          <w14:ligatures w14:val="standardContextual"/>
        </w:rPr>
        <w:t xml:space="preserve">Tratándose del trámite de renovación, se reitera lo expresado en el sentido de que la persona que presentó la información para renovar su registro antes del quinto día hábil de abril de cada año, cumpliendo el requisito del artículo 2.2.1.1.1.5.1. y pese a que la renovación no esté en firme, es decir, mientras esté en trámite el proceso de renovación, puede participar en los procedimientos de selección, debiéndose tener en cuenta la información “antigua”. De esta manera, en el período comprendido entre el momento de </w:t>
      </w:r>
      <w:r w:rsidRPr="00EC0FFE">
        <w:rPr>
          <w:rFonts w:ascii="Verdana" w:eastAsia="Calibri" w:hAnsi="Verdana" w:cs="Arial"/>
          <w:kern w:val="2"/>
          <w:sz w:val="20"/>
          <w:szCs w:val="20"/>
          <w14:ligatures w14:val="standardContextual"/>
        </w:rPr>
        <w:lastRenderedPageBreak/>
        <w:t>la solicitud de renovación y el de su firmeza, se debe emplear la información del RUP que está en firme antes de iniciar el trámite de renovación, cuyos efectos no habrían cesado y se encontraría vigente. Incluso, en caso de que el RUP con la información “antigua” se haya presentado válidamente antes del cierre del proceso y con posterioridad a este quede en firme el nuevo RUP, para la evaluación de las propuestas se deberá utilizar la información del registro presentado inicialmente. En efecto, ninguno de los proponentes, durante el término otorgado para subsanar ofertas, podrá “acreditar circunstancias ocurridas con posterioridad al cierre del proceso”, por lo que la evaluación se realizará con la información del RUP en firme antes del cierre, independientemente de que la nueva información favorezca o perjudique al proponente.</w:t>
      </w:r>
    </w:p>
    <w:p w14:paraId="7EA8E5D9" w14:textId="77777777" w:rsidR="00EC0FFE" w:rsidRPr="00EC0FFE" w:rsidRDefault="00EC0FFE" w:rsidP="00EC0FFE">
      <w:pPr>
        <w:spacing w:after="0" w:line="278" w:lineRule="auto"/>
        <w:jc w:val="both"/>
        <w:rPr>
          <w:rFonts w:ascii="Verdana" w:eastAsia="Calibri" w:hAnsi="Verdana" w:cs="Arial"/>
          <w:kern w:val="2"/>
          <w:sz w:val="20"/>
          <w:szCs w:val="20"/>
          <w14:ligatures w14:val="standardContextual"/>
        </w:rPr>
      </w:pPr>
    </w:p>
    <w:p w14:paraId="3086B210" w14:textId="77777777" w:rsidR="00EC0FFE" w:rsidRPr="00EC0FFE" w:rsidRDefault="00EC0FFE" w:rsidP="00EC0FFE">
      <w:pPr>
        <w:spacing w:after="0" w:line="276" w:lineRule="auto"/>
        <w:jc w:val="both"/>
        <w:rPr>
          <w:rFonts w:ascii="Verdana" w:eastAsia="Calibri" w:hAnsi="Verdana" w:cs="Arial"/>
          <w:b/>
          <w:bCs/>
          <w:lang w:val="es-ES_tradnl" w:eastAsia="es-MX"/>
        </w:rPr>
      </w:pPr>
      <w:r w:rsidRPr="00EC0FFE">
        <w:rPr>
          <w:rFonts w:ascii="Verdana" w:eastAsia="Calibri" w:hAnsi="Verdana" w:cs="Arial"/>
          <w:b/>
          <w:bCs/>
          <w:lang w:val="es-ES_tradnl" w:eastAsia="es-MX"/>
        </w:rPr>
        <w:t xml:space="preserve">DOCUMENTOS TIPO – Fundamento normativo – Obligatoriedad </w:t>
      </w:r>
    </w:p>
    <w:p w14:paraId="3A69EFCC" w14:textId="77777777" w:rsidR="00EC0FFE" w:rsidRPr="00EC0FFE" w:rsidRDefault="00EC0FFE" w:rsidP="00EC0FFE">
      <w:pPr>
        <w:spacing w:after="0" w:line="276" w:lineRule="auto"/>
        <w:jc w:val="both"/>
        <w:rPr>
          <w:rFonts w:ascii="Verdana" w:eastAsia="Calibri" w:hAnsi="Verdana" w:cs="Arial"/>
          <w:b/>
          <w:bCs/>
          <w:highlight w:val="yellow"/>
          <w:lang w:val="es-ES_tradnl" w:eastAsia="es-MX"/>
        </w:rPr>
      </w:pPr>
    </w:p>
    <w:p w14:paraId="0D2132BD" w14:textId="77777777" w:rsidR="00EC0FFE" w:rsidRPr="00EC0FFE" w:rsidRDefault="00EC0FFE" w:rsidP="00EC0FFE">
      <w:pPr>
        <w:tabs>
          <w:tab w:val="left" w:pos="709"/>
        </w:tabs>
        <w:spacing w:after="0" w:line="240" w:lineRule="auto"/>
        <w:jc w:val="both"/>
        <w:rPr>
          <w:rFonts w:ascii="Verdana" w:eastAsia="Calibri" w:hAnsi="Verdana" w:cs="Arial"/>
          <w:sz w:val="20"/>
          <w:szCs w:val="20"/>
          <w:lang w:val="es-ES" w:eastAsia="es-MX"/>
        </w:rPr>
      </w:pPr>
      <w:r w:rsidRPr="00EC0FFE">
        <w:rPr>
          <w:rFonts w:ascii="Verdana" w:eastAsia="Calibri" w:hAnsi="Verdana" w:cs="Arial"/>
          <w:sz w:val="20"/>
          <w:szCs w:val="20"/>
          <w:lang w:val="es-ES" w:eastAsia="es-MX"/>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4DA43707" w14:textId="77777777" w:rsidR="00EC0FFE" w:rsidRPr="00EC0FFE" w:rsidRDefault="00EC0FFE" w:rsidP="00EC0FFE">
      <w:pPr>
        <w:spacing w:after="0" w:line="278" w:lineRule="auto"/>
        <w:jc w:val="both"/>
        <w:rPr>
          <w:rFonts w:ascii="Verdana" w:eastAsia="Calibri" w:hAnsi="Verdana" w:cs="Arial"/>
          <w:kern w:val="2"/>
          <w14:ligatures w14:val="standardContextual"/>
        </w:rPr>
      </w:pPr>
    </w:p>
    <w:p w14:paraId="2FDFF47D" w14:textId="77777777" w:rsidR="00EC0FFE" w:rsidRPr="00EC0FFE" w:rsidRDefault="00EC0FFE" w:rsidP="00EC0FFE">
      <w:pPr>
        <w:spacing w:after="0" w:line="278" w:lineRule="auto"/>
        <w:jc w:val="both"/>
        <w:rPr>
          <w:rFonts w:ascii="Verdana" w:eastAsia="Calibri" w:hAnsi="Verdana" w:cs="Arial"/>
          <w:b/>
          <w:bCs/>
          <w:kern w:val="2"/>
          <w14:ligatures w14:val="standardContextual"/>
        </w:rPr>
      </w:pPr>
      <w:r w:rsidRPr="00EC0FFE">
        <w:rPr>
          <w:rFonts w:ascii="Verdana" w:eastAsia="Calibri" w:hAnsi="Verdana" w:cs="Arial"/>
          <w:b/>
          <w:bCs/>
          <w:kern w:val="2"/>
          <w14:ligatures w14:val="standardContextual"/>
        </w:rPr>
        <w:t>DOCUMENTOS TIPO – Interventoría – Causal de rechazo – Literal F del numeral 1.15</w:t>
      </w:r>
    </w:p>
    <w:p w14:paraId="3DB33D4C" w14:textId="77777777" w:rsidR="00EC0FFE" w:rsidRPr="00EC0FFE" w:rsidRDefault="00EC0FFE" w:rsidP="00EC0FFE">
      <w:pPr>
        <w:tabs>
          <w:tab w:val="left" w:pos="0"/>
        </w:tabs>
        <w:spacing w:after="0" w:line="276" w:lineRule="auto"/>
        <w:jc w:val="both"/>
        <w:rPr>
          <w:rFonts w:ascii="Verdana" w:eastAsia="Calibri" w:hAnsi="Verdana" w:cs="Arial"/>
          <w:kern w:val="2"/>
          <w:sz w:val="20"/>
          <w:szCs w:val="20"/>
          <w14:ligatures w14:val="standardContextual"/>
        </w:rPr>
      </w:pPr>
    </w:p>
    <w:p w14:paraId="204356F1" w14:textId="77777777" w:rsidR="00EC0FFE" w:rsidRPr="00EC0FFE" w:rsidRDefault="00EC0FFE" w:rsidP="00EC0FFE">
      <w:pPr>
        <w:tabs>
          <w:tab w:val="left" w:pos="0"/>
        </w:tabs>
        <w:spacing w:after="0" w:line="276" w:lineRule="auto"/>
        <w:jc w:val="both"/>
        <w:rPr>
          <w:rFonts w:ascii="Verdana" w:eastAsia="Calibri" w:hAnsi="Verdana" w:cs="Arial"/>
          <w:kern w:val="2"/>
          <w:sz w:val="20"/>
          <w:szCs w:val="20"/>
          <w14:ligatures w14:val="standardContextual"/>
        </w:rPr>
      </w:pPr>
      <w:r w:rsidRPr="00EC0FFE">
        <w:rPr>
          <w:rFonts w:ascii="Verdana" w:eastAsia="Calibri" w:hAnsi="Verdana" w:cs="Arial"/>
          <w:kern w:val="2"/>
          <w:sz w:val="20"/>
          <w:szCs w:val="20"/>
          <w14:ligatures w14:val="standardContextual"/>
        </w:rPr>
        <w:t>[…] los documentos tipo están conformados por diferentes formatos, formularios, anexos y matrices que rigen el proceso de contratación específico para el cual sean aplicables. En la mayoría de ellos, se encuentra el documento base, que como su nombre lo indica, es entendido como “[…] el documento medular del documento tipo, pues contiene las reglas esenciales o condiciones que orientarán la actividad contractual referida. De modo que, contiene las estipulaciones orientadoras de dicha actividad. Esta característica hace que los demás documentos que conforman el documento tipo y las actuaciones que se adelantan en desarrollo del proceso de contratación deban ceñirse a lo establecido en aquel”.</w:t>
      </w:r>
    </w:p>
    <w:p w14:paraId="526B1638" w14:textId="77777777" w:rsidR="00EC0FFE" w:rsidRPr="00EC0FFE" w:rsidRDefault="00EC0FFE" w:rsidP="00EC0FFE">
      <w:pPr>
        <w:tabs>
          <w:tab w:val="left" w:pos="0"/>
        </w:tabs>
        <w:spacing w:after="0" w:line="276" w:lineRule="auto"/>
        <w:jc w:val="both"/>
        <w:rPr>
          <w:rFonts w:ascii="Verdana" w:eastAsia="Calibri" w:hAnsi="Verdana" w:cs="Arial"/>
          <w:kern w:val="2"/>
          <w:sz w:val="20"/>
          <w:szCs w:val="20"/>
          <w14:ligatures w14:val="standardContextual"/>
        </w:rPr>
      </w:pPr>
    </w:p>
    <w:p w14:paraId="714044CC" w14:textId="77777777" w:rsidR="00EC0FFE" w:rsidRPr="00EC0FFE" w:rsidRDefault="00EC0FFE" w:rsidP="00EC0FFE">
      <w:pPr>
        <w:tabs>
          <w:tab w:val="left" w:pos="0"/>
        </w:tabs>
        <w:spacing w:after="0" w:line="276" w:lineRule="auto"/>
        <w:jc w:val="both"/>
        <w:rPr>
          <w:rFonts w:ascii="Verdana" w:eastAsia="Calibri" w:hAnsi="Verdana" w:cs="Arial"/>
          <w:kern w:val="2"/>
          <w:sz w:val="20"/>
          <w:szCs w:val="20"/>
          <w14:ligatures w14:val="standardContextual"/>
        </w:rPr>
      </w:pPr>
      <w:r w:rsidRPr="00EC0FFE">
        <w:rPr>
          <w:rFonts w:ascii="Verdana" w:eastAsia="Calibri" w:hAnsi="Verdana" w:cs="Arial"/>
          <w:kern w:val="2"/>
          <w:sz w:val="20"/>
          <w:szCs w:val="20"/>
          <w14:ligatures w14:val="standardContextual"/>
        </w:rPr>
        <w:t>Dentro de este documento, es posible identificar, entre otros, las causales de rechazo de las ofertas, siendo pertinente abordar la causal de rechazo del literal F del numeral 1.15 del pliego de condiciones. Esta causal aplica en caso de que “(…) el proponente no acredite la presentación de la información para renovar el Registro Único de Proponentes (RUP) dentro del término previsto en la normativa vigente”.</w:t>
      </w:r>
    </w:p>
    <w:p w14:paraId="499C39E0" w14:textId="77777777" w:rsidR="00EC0FFE" w:rsidRPr="00EC0FFE" w:rsidRDefault="00EC0FFE" w:rsidP="00EC0FFE">
      <w:pPr>
        <w:spacing w:after="0" w:line="278" w:lineRule="auto"/>
        <w:jc w:val="both"/>
        <w:rPr>
          <w:rFonts w:ascii="Arial" w:eastAsia="Calibri" w:hAnsi="Arial" w:cs="Arial"/>
          <w:b/>
          <w:bCs/>
          <w:kern w:val="2"/>
          <w14:ligatures w14:val="standardContextual"/>
        </w:rPr>
      </w:pPr>
    </w:p>
    <w:p w14:paraId="09651248" w14:textId="77777777" w:rsidR="00EC0FFE" w:rsidRPr="00BE7A13" w:rsidRDefault="00EC0FFE" w:rsidP="00EC0FFE">
      <w:pPr>
        <w:spacing w:after="0" w:line="240" w:lineRule="auto"/>
        <w:rPr>
          <w:rFonts w:ascii="Verdana" w:eastAsia="Calibri" w:hAnsi="Verdana" w:cs="Arial"/>
          <w:b/>
          <w:kern w:val="2"/>
          <w:szCs w:val="24"/>
          <w14:ligatures w14:val="standardContextual"/>
        </w:rPr>
      </w:pPr>
      <w:r w:rsidRPr="00BE7A13">
        <w:rPr>
          <w:rFonts w:ascii="Verdana" w:eastAsia="Calibri" w:hAnsi="Verdana" w:cs="Arial"/>
          <w:b/>
          <w:kern w:val="2"/>
          <w:szCs w:val="24"/>
          <w14:ligatures w14:val="standardContextual"/>
        </w:rPr>
        <w:t>DOCUMENTOS TIPO – Interventoría – Infraestructura de transporte – Causales de rechazo – Literal F</w:t>
      </w:r>
    </w:p>
    <w:p w14:paraId="057B07B6" w14:textId="77777777" w:rsidR="00EC0FFE" w:rsidRPr="00EC0FFE" w:rsidRDefault="00EC0FFE" w:rsidP="00EC0FFE">
      <w:pPr>
        <w:spacing w:after="0" w:line="240" w:lineRule="auto"/>
        <w:rPr>
          <w:rFonts w:ascii="Arial" w:eastAsia="Calibri" w:hAnsi="Arial" w:cs="Arial"/>
          <w:bCs/>
          <w:kern w:val="2"/>
          <w:szCs w:val="24"/>
          <w14:ligatures w14:val="standardContextual"/>
        </w:rPr>
      </w:pPr>
    </w:p>
    <w:p w14:paraId="5BE38365" w14:textId="77777777" w:rsidR="00EC0FFE" w:rsidRPr="00EC0FFE" w:rsidRDefault="00EC0FFE" w:rsidP="00EC0FFE">
      <w:pPr>
        <w:tabs>
          <w:tab w:val="left" w:pos="0"/>
        </w:tabs>
        <w:spacing w:after="120" w:line="276" w:lineRule="auto"/>
        <w:jc w:val="both"/>
        <w:rPr>
          <w:rFonts w:ascii="Verdana" w:eastAsia="Calibri" w:hAnsi="Verdana" w:cs="Arial"/>
          <w:kern w:val="2"/>
          <w:sz w:val="20"/>
          <w:szCs w:val="20"/>
          <w14:ligatures w14:val="standardContextual"/>
        </w:rPr>
      </w:pPr>
      <w:r w:rsidRPr="00EC0FFE">
        <w:rPr>
          <w:rFonts w:ascii="Verdana" w:eastAsia="Calibri" w:hAnsi="Verdana" w:cs="Arial"/>
          <w:kern w:val="2"/>
          <w:sz w:val="20"/>
          <w:szCs w:val="20"/>
          <w14:ligatures w14:val="standardContextual"/>
        </w:rPr>
        <w:t>En este sentido, la causal de rechazo del literal F del numeral 1.15 del pliego de condiciones aplica en los supuestos en que el proponente al momento del cierre del proceso no tenga un RUP vigente y en firme, de ahí que conforme a las disposiciones estudiadas con anterioridad deba rechazarse al proponente que no cumpla con el deber establecido en el artículo 2.2.1.1.1.5.1 del decreto 1082 de 2015, esto es, que no haya presentado la información para renovar el RUP a más tardar el quinto día hábil del mes de abril de cada año.</w:t>
      </w:r>
    </w:p>
    <w:p w14:paraId="42348EF6" w14:textId="77777777" w:rsidR="00EC0FFE" w:rsidRPr="00EC0FFE" w:rsidRDefault="00EC0FFE" w:rsidP="00EC0FFE">
      <w:pPr>
        <w:spacing w:line="278" w:lineRule="auto"/>
        <w:jc w:val="both"/>
        <w:rPr>
          <w:rFonts w:ascii="Arial" w:eastAsia="Calibri" w:hAnsi="Arial" w:cs="Arial"/>
          <w:b/>
          <w:bCs/>
          <w:kern w:val="2"/>
          <w14:ligatures w14:val="standardContextual"/>
        </w:rPr>
      </w:pPr>
    </w:p>
    <w:p w14:paraId="755D41F7" w14:textId="77777777" w:rsidR="00EC0FFE" w:rsidRPr="00EC0FFE" w:rsidRDefault="00EC0FFE" w:rsidP="00EC0FFE">
      <w:pPr>
        <w:spacing w:line="278" w:lineRule="auto"/>
        <w:jc w:val="both"/>
        <w:rPr>
          <w:rFonts w:ascii="Arial" w:eastAsia="Aptos" w:hAnsi="Arial" w:cs="Arial"/>
          <w:noProof/>
          <w:color w:val="000000"/>
          <w:kern w:val="2"/>
          <w:szCs w:val="24"/>
          <w14:ligatures w14:val="standardContextual"/>
        </w:rPr>
      </w:pPr>
    </w:p>
    <w:p w14:paraId="15B88F54" w14:textId="77777777" w:rsidR="00EC0FFE" w:rsidRPr="00EC0FFE" w:rsidRDefault="00EC0FFE" w:rsidP="00EC0FFE">
      <w:pPr>
        <w:spacing w:line="278" w:lineRule="auto"/>
        <w:jc w:val="both"/>
        <w:rPr>
          <w:rFonts w:ascii="Arial" w:eastAsia="Aptos" w:hAnsi="Arial" w:cs="Arial"/>
          <w:noProof/>
          <w:color w:val="000000"/>
          <w:kern w:val="2"/>
          <w:szCs w:val="24"/>
          <w14:ligatures w14:val="standardContextual"/>
        </w:rPr>
      </w:pPr>
    </w:p>
    <w:p w14:paraId="645F40E3" w14:textId="77777777" w:rsidR="00EC0FFE" w:rsidRPr="00EC0FFE" w:rsidRDefault="00EC0FFE" w:rsidP="00EC0FFE">
      <w:pPr>
        <w:spacing w:line="278" w:lineRule="auto"/>
        <w:jc w:val="both"/>
        <w:rPr>
          <w:rFonts w:ascii="Arial" w:eastAsia="Aptos" w:hAnsi="Arial" w:cs="Arial"/>
          <w:noProof/>
          <w:color w:val="000000"/>
          <w:kern w:val="2"/>
          <w:szCs w:val="24"/>
          <w14:ligatures w14:val="standardContextual"/>
        </w:rPr>
      </w:pPr>
    </w:p>
    <w:p w14:paraId="35492739" w14:textId="77777777" w:rsidR="00EC0FFE" w:rsidRPr="00EC0FFE" w:rsidRDefault="00EC0FFE" w:rsidP="00EC0FFE">
      <w:pPr>
        <w:spacing w:line="278" w:lineRule="auto"/>
        <w:jc w:val="both"/>
        <w:rPr>
          <w:rFonts w:ascii="Arial" w:eastAsia="Aptos" w:hAnsi="Arial" w:cs="Arial"/>
          <w:noProof/>
          <w:color w:val="000000"/>
          <w:kern w:val="2"/>
          <w:szCs w:val="24"/>
          <w14:ligatures w14:val="standardContextual"/>
        </w:rPr>
      </w:pPr>
    </w:p>
    <w:p w14:paraId="5272789E" w14:textId="77777777" w:rsidR="00EC0FFE" w:rsidRPr="00EC0FFE" w:rsidRDefault="00EC0FFE" w:rsidP="00EC0FFE">
      <w:pPr>
        <w:spacing w:line="278" w:lineRule="auto"/>
        <w:jc w:val="both"/>
        <w:rPr>
          <w:rFonts w:ascii="Arial" w:eastAsia="Aptos" w:hAnsi="Arial" w:cs="Arial"/>
          <w:noProof/>
          <w:color w:val="000000"/>
          <w:kern w:val="2"/>
          <w:szCs w:val="24"/>
          <w14:ligatures w14:val="standardContextual"/>
        </w:rPr>
      </w:pPr>
    </w:p>
    <w:p w14:paraId="0C8A271C" w14:textId="77777777" w:rsidR="00EC0FFE" w:rsidRPr="00EC0FFE" w:rsidRDefault="00EC0FFE" w:rsidP="00EC0FFE">
      <w:pPr>
        <w:spacing w:line="278" w:lineRule="auto"/>
        <w:jc w:val="both"/>
        <w:rPr>
          <w:rFonts w:ascii="Arial" w:eastAsia="Aptos" w:hAnsi="Arial" w:cs="Arial"/>
          <w:noProof/>
          <w:color w:val="000000"/>
          <w:kern w:val="2"/>
          <w:szCs w:val="24"/>
          <w14:ligatures w14:val="standardContextual"/>
        </w:rPr>
      </w:pPr>
    </w:p>
    <w:p w14:paraId="2B0B0B41" w14:textId="77777777" w:rsidR="00EC0FFE" w:rsidRPr="00EC0FFE" w:rsidRDefault="00EC0FFE" w:rsidP="00EC0FFE">
      <w:pPr>
        <w:spacing w:line="278" w:lineRule="auto"/>
        <w:jc w:val="both"/>
        <w:rPr>
          <w:rFonts w:ascii="Arial" w:eastAsia="Aptos" w:hAnsi="Arial" w:cs="Arial"/>
          <w:noProof/>
          <w:color w:val="000000"/>
          <w:kern w:val="2"/>
          <w:szCs w:val="24"/>
          <w14:ligatures w14:val="standardContextual"/>
        </w:rPr>
      </w:pPr>
    </w:p>
    <w:p w14:paraId="61BB8B49" w14:textId="77777777" w:rsidR="00EC0FFE" w:rsidRPr="00EC0FFE" w:rsidRDefault="00EC0FFE" w:rsidP="00EC0FFE">
      <w:pPr>
        <w:spacing w:line="278" w:lineRule="auto"/>
        <w:jc w:val="both"/>
        <w:rPr>
          <w:rFonts w:ascii="Arial" w:eastAsia="Aptos" w:hAnsi="Arial" w:cs="Arial"/>
          <w:noProof/>
          <w:color w:val="000000"/>
          <w:kern w:val="2"/>
          <w:szCs w:val="24"/>
          <w14:ligatures w14:val="standardContextual"/>
        </w:rPr>
      </w:pPr>
    </w:p>
    <w:p w14:paraId="72DB6514" w14:textId="77777777" w:rsidR="00EC0FFE" w:rsidRPr="00EC0FFE" w:rsidRDefault="00EC0FFE" w:rsidP="00EC0FFE">
      <w:pPr>
        <w:spacing w:line="278" w:lineRule="auto"/>
        <w:jc w:val="both"/>
        <w:rPr>
          <w:rFonts w:ascii="Arial" w:eastAsia="Aptos" w:hAnsi="Arial" w:cs="Arial"/>
          <w:noProof/>
          <w:color w:val="000000"/>
          <w:kern w:val="2"/>
          <w:szCs w:val="24"/>
          <w14:ligatures w14:val="standardContextual"/>
        </w:rPr>
      </w:pPr>
    </w:p>
    <w:p w14:paraId="65C1B03E" w14:textId="77777777" w:rsidR="00EC0FFE" w:rsidRPr="00EC0FFE" w:rsidRDefault="00EC0FFE" w:rsidP="00EC0FFE">
      <w:pPr>
        <w:spacing w:after="0" w:line="240" w:lineRule="auto"/>
        <w:jc w:val="both"/>
        <w:rPr>
          <w:rFonts w:ascii="Verdana" w:eastAsia="Calibri" w:hAnsi="Verdana" w:cs="Arial"/>
          <w:b/>
          <w:bCs/>
          <w:color w:val="000000"/>
          <w:sz w:val="24"/>
          <w:szCs w:val="24"/>
          <w:highlight w:val="yellow"/>
          <w:lang w:eastAsia="es-MX"/>
        </w:rPr>
      </w:pPr>
    </w:p>
    <w:p w14:paraId="52931DA7" w14:textId="77777777" w:rsidR="00EC0FFE" w:rsidRPr="00EC0FFE" w:rsidRDefault="00EC0FFE" w:rsidP="00EC0FFE">
      <w:pPr>
        <w:spacing w:after="0" w:line="240" w:lineRule="auto"/>
        <w:jc w:val="both"/>
        <w:rPr>
          <w:rFonts w:ascii="Verdana" w:eastAsia="Calibri" w:hAnsi="Verdana" w:cs="Arial"/>
          <w:b/>
          <w:bCs/>
          <w:color w:val="000000"/>
          <w:sz w:val="24"/>
          <w:szCs w:val="24"/>
          <w:highlight w:val="yellow"/>
          <w:lang w:eastAsia="es-MX"/>
        </w:rPr>
      </w:pPr>
    </w:p>
    <w:p w14:paraId="70E5756B" w14:textId="77777777" w:rsidR="00EC0FFE" w:rsidRPr="00EC0FFE" w:rsidRDefault="00EC0FFE" w:rsidP="00EC0FFE">
      <w:pPr>
        <w:spacing w:after="0" w:line="240" w:lineRule="auto"/>
        <w:jc w:val="both"/>
        <w:rPr>
          <w:rFonts w:ascii="Verdana" w:eastAsia="Calibri" w:hAnsi="Verdana" w:cs="Arial"/>
          <w:b/>
          <w:bCs/>
          <w:color w:val="000000"/>
          <w:sz w:val="24"/>
          <w:szCs w:val="24"/>
          <w:highlight w:val="yellow"/>
          <w:lang w:eastAsia="es-MX"/>
        </w:rPr>
      </w:pPr>
    </w:p>
    <w:p w14:paraId="2DD67D56" w14:textId="77777777" w:rsidR="00EC0FFE" w:rsidRPr="00EC0FFE" w:rsidRDefault="00EC0FFE" w:rsidP="00EC0FFE">
      <w:pPr>
        <w:spacing w:after="0" w:line="240" w:lineRule="auto"/>
        <w:jc w:val="both"/>
        <w:rPr>
          <w:rFonts w:ascii="Verdana" w:eastAsia="Calibri" w:hAnsi="Verdana" w:cs="Arial"/>
          <w:b/>
          <w:bCs/>
          <w:color w:val="000000"/>
          <w:sz w:val="24"/>
          <w:szCs w:val="24"/>
          <w:highlight w:val="yellow"/>
          <w:lang w:eastAsia="es-MX"/>
        </w:rPr>
      </w:pPr>
    </w:p>
    <w:p w14:paraId="189322A3" w14:textId="77777777" w:rsidR="00EC0FFE" w:rsidRPr="00EC0FFE" w:rsidRDefault="00EC0FFE" w:rsidP="00EC0FFE">
      <w:pPr>
        <w:spacing w:after="0" w:line="240" w:lineRule="auto"/>
        <w:jc w:val="both"/>
        <w:rPr>
          <w:rFonts w:ascii="Verdana" w:eastAsia="Calibri" w:hAnsi="Verdana" w:cs="Arial"/>
          <w:b/>
          <w:bCs/>
          <w:color w:val="000000"/>
          <w:sz w:val="24"/>
          <w:szCs w:val="24"/>
          <w:highlight w:val="yellow"/>
          <w:lang w:eastAsia="es-MX"/>
        </w:rPr>
      </w:pPr>
    </w:p>
    <w:p w14:paraId="5FA48B40" w14:textId="77777777" w:rsidR="00EC0FFE" w:rsidRPr="00EC0FFE" w:rsidRDefault="00EC0FFE" w:rsidP="00EC0FFE">
      <w:pPr>
        <w:spacing w:after="0" w:line="240" w:lineRule="auto"/>
        <w:jc w:val="both"/>
        <w:rPr>
          <w:rFonts w:ascii="Verdana" w:eastAsia="Calibri" w:hAnsi="Verdana" w:cs="Arial"/>
          <w:b/>
          <w:bCs/>
          <w:color w:val="000000"/>
          <w:sz w:val="24"/>
          <w:szCs w:val="24"/>
          <w:highlight w:val="yellow"/>
          <w:lang w:eastAsia="es-MX"/>
        </w:rPr>
      </w:pPr>
    </w:p>
    <w:p w14:paraId="467EED64" w14:textId="77777777" w:rsidR="00EC0FFE" w:rsidRPr="00EC0FFE" w:rsidRDefault="00EC0FFE" w:rsidP="00EC0FFE">
      <w:pPr>
        <w:spacing w:after="0" w:line="240" w:lineRule="auto"/>
        <w:jc w:val="both"/>
        <w:rPr>
          <w:rFonts w:ascii="Verdana" w:eastAsia="Calibri" w:hAnsi="Verdana" w:cs="Arial"/>
          <w:b/>
          <w:bCs/>
          <w:color w:val="000000"/>
          <w:sz w:val="24"/>
          <w:szCs w:val="24"/>
          <w:highlight w:val="yellow"/>
          <w:lang w:eastAsia="es-MX"/>
        </w:rPr>
      </w:pPr>
    </w:p>
    <w:p w14:paraId="0E65F8B0" w14:textId="77777777" w:rsidR="00EC0FFE" w:rsidRPr="00EC0FFE" w:rsidRDefault="00EC0FFE" w:rsidP="00EC0FFE">
      <w:pPr>
        <w:spacing w:after="0" w:line="240" w:lineRule="auto"/>
        <w:jc w:val="both"/>
        <w:rPr>
          <w:rFonts w:ascii="Verdana" w:eastAsia="Calibri" w:hAnsi="Verdana" w:cs="Arial"/>
          <w:b/>
          <w:bCs/>
          <w:color w:val="000000"/>
          <w:sz w:val="24"/>
          <w:szCs w:val="24"/>
          <w:highlight w:val="yellow"/>
          <w:lang w:eastAsia="es-MX"/>
        </w:rPr>
      </w:pPr>
    </w:p>
    <w:p w14:paraId="790225DE" w14:textId="77777777" w:rsidR="00EC0FFE" w:rsidRPr="00EC0FFE" w:rsidRDefault="00EC0FFE" w:rsidP="00EC0FFE">
      <w:pPr>
        <w:spacing w:after="0" w:line="240" w:lineRule="auto"/>
        <w:jc w:val="both"/>
        <w:rPr>
          <w:rFonts w:ascii="Verdana" w:eastAsia="Calibri" w:hAnsi="Verdana" w:cs="Arial"/>
          <w:b/>
          <w:bCs/>
          <w:color w:val="000000"/>
          <w:sz w:val="24"/>
          <w:szCs w:val="24"/>
          <w:highlight w:val="yellow"/>
          <w:lang w:eastAsia="es-MX"/>
        </w:rPr>
      </w:pPr>
    </w:p>
    <w:p w14:paraId="62739CBF" w14:textId="77777777" w:rsidR="00EC0FFE" w:rsidRDefault="00EC0FFE" w:rsidP="00EC0FFE">
      <w:pPr>
        <w:spacing w:after="0" w:line="240" w:lineRule="auto"/>
        <w:jc w:val="both"/>
        <w:rPr>
          <w:rFonts w:ascii="Verdana" w:eastAsia="Calibri" w:hAnsi="Verdana" w:cs="Arial"/>
          <w:b/>
          <w:bCs/>
          <w:color w:val="000000"/>
          <w:sz w:val="24"/>
          <w:szCs w:val="24"/>
          <w:highlight w:val="yellow"/>
          <w:lang w:eastAsia="es-MX"/>
        </w:rPr>
      </w:pPr>
    </w:p>
    <w:p w14:paraId="4504AD78" w14:textId="77777777" w:rsidR="00634DF6" w:rsidRDefault="00634DF6" w:rsidP="00EC0FFE">
      <w:pPr>
        <w:spacing w:after="0" w:line="240" w:lineRule="auto"/>
        <w:jc w:val="both"/>
        <w:rPr>
          <w:rFonts w:ascii="Verdana" w:eastAsia="Calibri" w:hAnsi="Verdana" w:cs="Arial"/>
          <w:b/>
          <w:bCs/>
          <w:color w:val="000000"/>
          <w:sz w:val="24"/>
          <w:szCs w:val="24"/>
          <w:highlight w:val="yellow"/>
          <w:lang w:eastAsia="es-MX"/>
        </w:rPr>
      </w:pPr>
    </w:p>
    <w:p w14:paraId="4E54EDF5" w14:textId="77777777" w:rsidR="00634DF6" w:rsidRPr="00EC0FFE" w:rsidRDefault="00634DF6" w:rsidP="00EC0FFE">
      <w:pPr>
        <w:spacing w:after="0" w:line="240" w:lineRule="auto"/>
        <w:jc w:val="both"/>
        <w:rPr>
          <w:rFonts w:ascii="Verdana" w:eastAsia="Calibri" w:hAnsi="Verdana" w:cs="Arial"/>
          <w:b/>
          <w:bCs/>
          <w:color w:val="000000"/>
          <w:sz w:val="24"/>
          <w:szCs w:val="24"/>
          <w:highlight w:val="yellow"/>
          <w:lang w:eastAsia="es-MX"/>
        </w:rPr>
      </w:pPr>
    </w:p>
    <w:p w14:paraId="08514932" w14:textId="77777777" w:rsidR="00EC0FFE" w:rsidRPr="00EC0FFE" w:rsidRDefault="00EC0FFE" w:rsidP="00EC0FFE">
      <w:pPr>
        <w:spacing w:after="0" w:line="240" w:lineRule="auto"/>
        <w:jc w:val="both"/>
        <w:rPr>
          <w:rFonts w:ascii="Verdana" w:eastAsia="Calibri" w:hAnsi="Verdana" w:cs="Arial"/>
          <w:b/>
          <w:bCs/>
          <w:color w:val="000000"/>
          <w:sz w:val="24"/>
          <w:szCs w:val="24"/>
          <w:highlight w:val="yellow"/>
          <w:lang w:eastAsia="es-MX"/>
        </w:rPr>
      </w:pPr>
    </w:p>
    <w:p w14:paraId="3818BB76" w14:textId="77777777" w:rsidR="00BE7A13" w:rsidRDefault="00BE7A13" w:rsidP="00EC0FFE">
      <w:pPr>
        <w:spacing w:after="0" w:line="240" w:lineRule="auto"/>
        <w:rPr>
          <w:rFonts w:ascii="Verdana" w:eastAsia="Verdana" w:hAnsi="Verdana" w:cs="Verdana"/>
          <w:kern w:val="2"/>
          <w14:ligatures w14:val="standardContextual"/>
        </w:rPr>
      </w:pPr>
    </w:p>
    <w:p w14:paraId="4FC98DD9" w14:textId="77777777" w:rsidR="00BE7A13" w:rsidRDefault="00BE7A13" w:rsidP="00EC0FFE">
      <w:pPr>
        <w:spacing w:after="0" w:line="240" w:lineRule="auto"/>
        <w:rPr>
          <w:rFonts w:ascii="Verdana" w:eastAsia="Verdana" w:hAnsi="Verdana" w:cs="Verdana"/>
          <w:kern w:val="2"/>
          <w14:ligatures w14:val="standardContextual"/>
        </w:rPr>
      </w:pPr>
    </w:p>
    <w:p w14:paraId="1818EE43" w14:textId="27DC76E2" w:rsidR="00634DF6" w:rsidRDefault="00EC0FFE" w:rsidP="00EC0FFE">
      <w:pPr>
        <w:spacing w:after="0" w:line="240" w:lineRule="auto"/>
        <w:rPr>
          <w:rFonts w:ascii="Verdana" w:eastAsia="Verdana" w:hAnsi="Verdana" w:cs="Verdana"/>
          <w:kern w:val="2"/>
          <w14:ligatures w14:val="standardContextual"/>
        </w:rPr>
      </w:pPr>
      <w:r w:rsidRPr="00EC0FFE">
        <w:rPr>
          <w:rFonts w:ascii="Verdana" w:eastAsia="Verdana" w:hAnsi="Verdana" w:cs="Verdana"/>
          <w:kern w:val="2"/>
          <w14:ligatures w14:val="standardContextual"/>
        </w:rPr>
        <w:lastRenderedPageBreak/>
        <w:t xml:space="preserve">Bogotá D.C., </w:t>
      </w:r>
      <w:r w:rsidR="00634DF6">
        <w:rPr>
          <w:rFonts w:ascii="Verdana" w:eastAsia="Verdana" w:hAnsi="Verdana" w:cs="Verdana"/>
          <w:kern w:val="2"/>
          <w14:ligatures w14:val="standardContextual"/>
        </w:rPr>
        <w:t>4 de mayo de 2026</w:t>
      </w:r>
    </w:p>
    <w:p w14:paraId="3B85BF67" w14:textId="30764891" w:rsidR="00634DF6" w:rsidRDefault="00BE7A13" w:rsidP="00EC0FFE">
      <w:pPr>
        <w:spacing w:after="0" w:line="240" w:lineRule="auto"/>
        <w:rPr>
          <w:rFonts w:ascii="Verdana" w:eastAsia="Verdana" w:hAnsi="Verdana" w:cs="Verdana"/>
          <w:kern w:val="2"/>
          <w14:ligatures w14:val="standardContextual"/>
        </w:rPr>
      </w:pPr>
      <w:r w:rsidRPr="00634DF6">
        <w:rPr>
          <w:rFonts w:ascii="Aptos" w:eastAsia="Aptos" w:hAnsi="Aptos" w:cs="Times New Roman"/>
          <w:noProof/>
          <w:kern w:val="2"/>
          <w:sz w:val="24"/>
          <w:szCs w:val="24"/>
          <w14:ligatures w14:val="standardContextual"/>
        </w:rPr>
        <w:drawing>
          <wp:anchor distT="0" distB="0" distL="114300" distR="114300" simplePos="0" relativeHeight="251658240" behindDoc="0" locked="0" layoutInCell="1" allowOverlap="1" wp14:anchorId="09D6EA68" wp14:editId="4E88E890">
            <wp:simplePos x="0" y="0"/>
            <wp:positionH relativeFrom="column">
              <wp:posOffset>2974975</wp:posOffset>
            </wp:positionH>
            <wp:positionV relativeFrom="paragraph">
              <wp:posOffset>173355</wp:posOffset>
            </wp:positionV>
            <wp:extent cx="2428240" cy="755015"/>
            <wp:effectExtent l="0" t="0" r="0" b="6985"/>
            <wp:wrapSquare wrapText="bothSides"/>
            <wp:docPr id="7105932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59322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28240" cy="755015"/>
                    </a:xfrm>
                    <a:prstGeom prst="rect">
                      <a:avLst/>
                    </a:prstGeom>
                  </pic:spPr>
                </pic:pic>
              </a:graphicData>
            </a:graphic>
            <wp14:sizeRelH relativeFrom="margin">
              <wp14:pctWidth>0</wp14:pctWidth>
            </wp14:sizeRelH>
            <wp14:sizeRelV relativeFrom="margin">
              <wp14:pctHeight>0</wp14:pctHeight>
            </wp14:sizeRelV>
          </wp:anchor>
        </w:drawing>
      </w:r>
    </w:p>
    <w:p w14:paraId="725324EE" w14:textId="24AD893A" w:rsidR="00EC0FFE" w:rsidRPr="007A0D69" w:rsidRDefault="00EC0FFE" w:rsidP="007A0D69">
      <w:pPr>
        <w:spacing w:after="0" w:line="240" w:lineRule="auto"/>
        <w:jc w:val="right"/>
        <w:rPr>
          <w:rFonts w:ascii="Aptos" w:eastAsia="Aptos" w:hAnsi="Aptos" w:cs="Times New Roman"/>
          <w:kern w:val="2"/>
          <w:sz w:val="24"/>
          <w:szCs w:val="24"/>
          <w14:ligatures w14:val="standardContextual"/>
        </w:rPr>
      </w:pPr>
      <w:r w:rsidRPr="00EC0FFE">
        <w:rPr>
          <w:rFonts w:ascii="Aptos" w:eastAsia="Aptos" w:hAnsi="Aptos" w:cs="Times New Roman"/>
          <w:kern w:val="2"/>
          <w:sz w:val="24"/>
          <w:szCs w:val="24"/>
          <w14:ligatures w14:val="standardContextual"/>
        </w:rPr>
        <w:tab/>
      </w:r>
    </w:p>
    <w:p w14:paraId="7ABCA70F" w14:textId="77777777" w:rsidR="00EC0FFE" w:rsidRPr="00EC0FFE" w:rsidRDefault="00EC0FFE" w:rsidP="00EC0FFE">
      <w:pPr>
        <w:spacing w:after="0" w:line="276" w:lineRule="auto"/>
        <w:rPr>
          <w:rFonts w:ascii="Verdana" w:eastAsia="Calibri" w:hAnsi="Verdana" w:cs="Arial"/>
          <w:lang w:val="es-ES" w:eastAsia="es-ES"/>
        </w:rPr>
      </w:pPr>
      <w:r w:rsidRPr="00EC0FFE">
        <w:rPr>
          <w:rFonts w:ascii="Verdana" w:eastAsia="Calibri" w:hAnsi="Verdana" w:cs="Arial"/>
          <w:lang w:val="es-ES" w:eastAsia="es-ES"/>
        </w:rPr>
        <w:t>Señor</w:t>
      </w:r>
    </w:p>
    <w:p w14:paraId="3261DA2B" w14:textId="77777777" w:rsidR="00EC0FFE" w:rsidRPr="00EC0FFE" w:rsidRDefault="00EC0FFE" w:rsidP="00EC0FFE">
      <w:pPr>
        <w:spacing w:after="0" w:line="276" w:lineRule="auto"/>
        <w:rPr>
          <w:rFonts w:ascii="Verdana" w:eastAsia="Aptos" w:hAnsi="Verdana" w:cs="Times New Roman"/>
          <w:b/>
          <w:bCs/>
          <w:kern w:val="2"/>
          <w14:ligatures w14:val="standardContextual"/>
        </w:rPr>
      </w:pPr>
      <w:r w:rsidRPr="00EC0FFE">
        <w:rPr>
          <w:rFonts w:ascii="Verdana" w:eastAsia="Aptos" w:hAnsi="Verdana" w:cs="Times New Roman"/>
          <w:b/>
          <w:bCs/>
          <w:kern w:val="2"/>
          <w14:ligatures w14:val="standardContextual"/>
        </w:rPr>
        <w:t xml:space="preserve">Edwin </w:t>
      </w:r>
      <w:proofErr w:type="spellStart"/>
      <w:r w:rsidRPr="00EC0FFE">
        <w:rPr>
          <w:rFonts w:ascii="Verdana" w:eastAsia="Aptos" w:hAnsi="Verdana" w:cs="Times New Roman"/>
          <w:b/>
          <w:bCs/>
          <w:kern w:val="2"/>
          <w14:ligatures w14:val="standardContextual"/>
        </w:rPr>
        <w:t>Edwin</w:t>
      </w:r>
      <w:proofErr w:type="spellEnd"/>
      <w:r w:rsidRPr="00EC0FFE">
        <w:rPr>
          <w:rFonts w:ascii="Verdana" w:eastAsia="Aptos" w:hAnsi="Verdana" w:cs="Times New Roman"/>
          <w:b/>
          <w:bCs/>
          <w:kern w:val="2"/>
          <w14:ligatures w14:val="standardContextual"/>
        </w:rPr>
        <w:t xml:space="preserve"> Villamil Hernández</w:t>
      </w:r>
    </w:p>
    <w:p w14:paraId="6EFB76DD" w14:textId="77777777" w:rsidR="00EC0FFE" w:rsidRPr="00EC0FFE" w:rsidRDefault="00EC0FFE" w:rsidP="00EC0FFE">
      <w:pPr>
        <w:spacing w:after="0" w:line="276" w:lineRule="auto"/>
        <w:rPr>
          <w:rFonts w:ascii="Verdana" w:eastAsia="Times New Roman" w:hAnsi="Verdana" w:cs="Times New Roman"/>
          <w:color w:val="242424"/>
          <w:shd w:val="clear" w:color="auto" w:fill="FFFFFF"/>
          <w:lang w:eastAsia="es-MX"/>
        </w:rPr>
      </w:pPr>
      <w:r w:rsidRPr="00EC0FFE">
        <w:rPr>
          <w:rFonts w:ascii="Verdana" w:eastAsia="Times New Roman" w:hAnsi="Verdana" w:cs="Times New Roman"/>
          <w:color w:val="242424"/>
          <w:shd w:val="clear" w:color="auto" w:fill="FFFFFF"/>
          <w:lang w:eastAsia="es-MX"/>
        </w:rPr>
        <w:t>Villavicencio, Meta</w:t>
      </w:r>
    </w:p>
    <w:p w14:paraId="400BF4EC" w14:textId="77777777" w:rsidR="00EC0FFE" w:rsidRPr="00EC0FFE" w:rsidRDefault="00EC0FFE" w:rsidP="00EC0FFE">
      <w:pPr>
        <w:spacing w:after="0" w:line="240"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EC0FFE" w:rsidRPr="00EC0FFE" w14:paraId="255EC37B" w14:textId="77777777">
        <w:trPr>
          <w:trHeight w:val="229"/>
        </w:trPr>
        <w:tc>
          <w:tcPr>
            <w:tcW w:w="2268" w:type="dxa"/>
          </w:tcPr>
          <w:p w14:paraId="25BFC625" w14:textId="77777777" w:rsidR="00EC0FFE" w:rsidRPr="00EC0FFE" w:rsidRDefault="00EC0FFE" w:rsidP="00EC0FFE">
            <w:pPr>
              <w:jc w:val="both"/>
              <w:rPr>
                <w:rFonts w:ascii="Verdana" w:eastAsia="Calibri" w:hAnsi="Verdana" w:cs="Arial"/>
                <w:b/>
                <w:bCs/>
                <w:lang w:val="es-ES_tradnl" w:eastAsia="es-ES_tradnl"/>
              </w:rPr>
            </w:pPr>
          </w:p>
        </w:tc>
        <w:tc>
          <w:tcPr>
            <w:tcW w:w="6100" w:type="dxa"/>
          </w:tcPr>
          <w:p w14:paraId="49214D10" w14:textId="77777777" w:rsidR="00EC0FFE" w:rsidRPr="00EC0FFE" w:rsidRDefault="00EC0FFE" w:rsidP="00EC0FFE">
            <w:pPr>
              <w:jc w:val="both"/>
              <w:rPr>
                <w:rFonts w:ascii="Verdana" w:eastAsia="Calibri" w:hAnsi="Verdana" w:cs="Arial"/>
                <w:b/>
                <w:bCs/>
                <w:lang w:val="es-ES" w:eastAsia="es-ES"/>
              </w:rPr>
            </w:pPr>
            <w:r w:rsidRPr="00EC0FFE">
              <w:rPr>
                <w:rFonts w:ascii="Verdana" w:eastAsia="Calibri" w:hAnsi="Verdana" w:cs="Arial"/>
                <w:b/>
                <w:bCs/>
                <w:lang w:val="es-ES" w:eastAsia="es-ES"/>
              </w:rPr>
              <w:t xml:space="preserve">Concepto </w:t>
            </w:r>
            <w:bookmarkStart w:id="1" w:name="OLE_LINK1"/>
            <w:r w:rsidRPr="00EC0FFE">
              <w:rPr>
                <w:rFonts w:ascii="Verdana" w:eastAsia="Calibri" w:hAnsi="Verdana" w:cs="Arial"/>
                <w:b/>
                <w:bCs/>
                <w:lang w:val="es-ES" w:eastAsia="es-ES"/>
              </w:rPr>
              <w:t>C-675 de 2026</w:t>
            </w:r>
            <w:bookmarkEnd w:id="1"/>
          </w:p>
          <w:p w14:paraId="1D962D91" w14:textId="77777777" w:rsidR="00EC0FFE" w:rsidRPr="00EC0FFE" w:rsidRDefault="00EC0FFE" w:rsidP="00EC0FFE">
            <w:pPr>
              <w:jc w:val="both"/>
              <w:rPr>
                <w:rFonts w:ascii="Verdana" w:eastAsia="Calibri" w:hAnsi="Verdana" w:cs="Arial"/>
                <w:b/>
                <w:bCs/>
                <w:lang w:val="es-ES" w:eastAsia="es-ES"/>
              </w:rPr>
            </w:pPr>
          </w:p>
        </w:tc>
      </w:tr>
      <w:tr w:rsidR="00EC0FFE" w:rsidRPr="00EC0FFE" w14:paraId="206C5D76" w14:textId="77777777">
        <w:trPr>
          <w:trHeight w:val="884"/>
        </w:trPr>
        <w:tc>
          <w:tcPr>
            <w:tcW w:w="2268" w:type="dxa"/>
          </w:tcPr>
          <w:p w14:paraId="3F7E1B2D" w14:textId="77777777" w:rsidR="00EC0FFE" w:rsidRPr="00EC0FFE" w:rsidRDefault="00EC0FFE" w:rsidP="00EC0FFE">
            <w:pPr>
              <w:jc w:val="both"/>
              <w:rPr>
                <w:rFonts w:ascii="Verdana" w:eastAsia="Calibri" w:hAnsi="Verdana" w:cs="Arial"/>
                <w:lang w:val="es-ES_tradnl" w:eastAsia="es-ES_tradnl"/>
              </w:rPr>
            </w:pPr>
            <w:r w:rsidRPr="00EC0FFE">
              <w:rPr>
                <w:rFonts w:ascii="Verdana" w:eastAsia="Calibri" w:hAnsi="Verdana" w:cs="Arial"/>
                <w:b/>
                <w:lang w:val="es-ES_tradnl" w:eastAsia="es-ES_tradnl"/>
              </w:rPr>
              <w:t>Temas:</w:t>
            </w:r>
            <w:r w:rsidRPr="00EC0FFE">
              <w:rPr>
                <w:rFonts w:ascii="Verdana" w:eastAsia="Calibri" w:hAnsi="Verdana" w:cs="Arial"/>
                <w:lang w:val="es-ES_tradnl" w:eastAsia="es-ES_tradnl"/>
              </w:rPr>
              <w:t xml:space="preserve">                   </w:t>
            </w:r>
          </w:p>
        </w:tc>
        <w:tc>
          <w:tcPr>
            <w:tcW w:w="6100" w:type="dxa"/>
          </w:tcPr>
          <w:p w14:paraId="63E570DA" w14:textId="77777777" w:rsidR="00EC0FFE" w:rsidRPr="00EC0FFE" w:rsidRDefault="00EC0FFE" w:rsidP="00EC0FFE">
            <w:pPr>
              <w:jc w:val="both"/>
              <w:rPr>
                <w:rFonts w:ascii="Verdana" w:eastAsia="Calibri" w:hAnsi="Verdana" w:cs="Arial"/>
              </w:rPr>
            </w:pPr>
            <w:r w:rsidRPr="00EC0FFE">
              <w:rPr>
                <w:rFonts w:ascii="Verdana" w:eastAsia="Calibri" w:hAnsi="Verdana" w:cs="Arial"/>
              </w:rPr>
              <w:t xml:space="preserve">REGISTRO ÚNICO DE PROPONENTES – Firmeza – Acto administrativo – Inscripción / REGISTRO ÚNICO DE PROPONENTES – Renovación – Firmeza – Información </w:t>
            </w:r>
            <w:r w:rsidRPr="00EC0FFE">
              <w:rPr>
                <w:rFonts w:ascii="Verdana" w:eastAsia="Calibri" w:hAnsi="Verdana" w:cs="Arial"/>
                <w:color w:val="000000"/>
              </w:rPr>
              <w:t xml:space="preserve">– Evaluación / </w:t>
            </w:r>
            <w:r w:rsidRPr="00EC0FFE">
              <w:rPr>
                <w:rFonts w:ascii="Verdana" w:eastAsia="Calibri" w:hAnsi="Verdana" w:cs="Arial"/>
                <w:lang w:val="es-ES_tradnl" w:eastAsia="es-MX"/>
              </w:rPr>
              <w:t xml:space="preserve">DOCUMENTOS TIPO – Fundamento normativo – Obligatoriedad  / </w:t>
            </w:r>
            <w:r w:rsidRPr="00EC0FFE">
              <w:rPr>
                <w:rFonts w:ascii="Verdana" w:eastAsia="Calibri" w:hAnsi="Verdana" w:cs="Arial"/>
              </w:rPr>
              <w:t>DOCUMENTOS TIPO – Interventoría – Causal de rechazo – Literal G del numeral 1.15 / DOCUMENTOS TIPO – Interventoría – Infraestructura de transporte – Causales de rechazo – Literal F</w:t>
            </w:r>
          </w:p>
          <w:p w14:paraId="74273D6C" w14:textId="77777777" w:rsidR="00EC0FFE" w:rsidRPr="00EC0FFE" w:rsidRDefault="00EC0FFE" w:rsidP="00EC0FFE">
            <w:pPr>
              <w:jc w:val="both"/>
              <w:rPr>
                <w:rFonts w:ascii="Verdana" w:eastAsia="Calibri" w:hAnsi="Verdana" w:cs="Arial"/>
                <w:bCs/>
                <w:lang w:val="es-ES" w:eastAsia="es-ES"/>
              </w:rPr>
            </w:pPr>
          </w:p>
        </w:tc>
      </w:tr>
      <w:tr w:rsidR="00EC0FFE" w:rsidRPr="00EC0FFE" w14:paraId="1EAB7360" w14:textId="77777777">
        <w:tc>
          <w:tcPr>
            <w:tcW w:w="2268" w:type="dxa"/>
          </w:tcPr>
          <w:p w14:paraId="784A29B1" w14:textId="77777777" w:rsidR="00EC0FFE" w:rsidRPr="00EC0FFE" w:rsidRDefault="00EC0FFE" w:rsidP="00EC0FFE">
            <w:pPr>
              <w:jc w:val="both"/>
              <w:rPr>
                <w:rFonts w:ascii="Verdana" w:eastAsia="Calibri" w:hAnsi="Verdana" w:cs="Arial"/>
                <w:b/>
                <w:lang w:val="es-ES_tradnl" w:eastAsia="es-ES_tradnl"/>
              </w:rPr>
            </w:pPr>
            <w:r w:rsidRPr="00EC0FFE">
              <w:rPr>
                <w:rFonts w:ascii="Verdana" w:eastAsia="Calibri" w:hAnsi="Verdana" w:cs="Arial"/>
                <w:b/>
                <w:lang w:val="es-ES_tradnl" w:eastAsia="es-ES_tradnl"/>
              </w:rPr>
              <w:t>Radicación:</w:t>
            </w:r>
            <w:r w:rsidRPr="00EC0FFE">
              <w:rPr>
                <w:rFonts w:ascii="Verdana" w:eastAsia="Calibri" w:hAnsi="Verdana" w:cs="Arial"/>
                <w:lang w:val="es-ES_tradnl" w:eastAsia="es-ES_tradnl"/>
              </w:rPr>
              <w:t xml:space="preserve">               </w:t>
            </w:r>
          </w:p>
        </w:tc>
        <w:tc>
          <w:tcPr>
            <w:tcW w:w="6100" w:type="dxa"/>
          </w:tcPr>
          <w:p w14:paraId="502E637C" w14:textId="77777777" w:rsidR="00EC0FFE" w:rsidRPr="00EC0FFE" w:rsidRDefault="00EC0FFE" w:rsidP="00EC0FFE">
            <w:pPr>
              <w:ind w:left="3" w:hanging="3"/>
              <w:jc w:val="both"/>
              <w:rPr>
                <w:rFonts w:ascii="Verdana" w:eastAsia="Calibri" w:hAnsi="Verdana" w:cs="Arial"/>
                <w:lang w:val="es-ES_tradnl" w:eastAsia="es-ES_tradnl"/>
              </w:rPr>
            </w:pPr>
            <w:r w:rsidRPr="00EC0FFE">
              <w:rPr>
                <w:rFonts w:ascii="Verdana" w:eastAsia="Calibri" w:hAnsi="Verdana" w:cs="Arial"/>
                <w:lang w:val="es-ES_tradnl" w:eastAsia="es-ES_tradnl"/>
              </w:rPr>
              <w:t>Respuesta a consulta con radicado No. 1_2026_04_24_005613</w:t>
            </w:r>
          </w:p>
        </w:tc>
      </w:tr>
    </w:tbl>
    <w:p w14:paraId="3275EFDC" w14:textId="77777777" w:rsidR="00EC0FFE" w:rsidRPr="00EC0FFE" w:rsidRDefault="00EC0FFE" w:rsidP="00EC0FFE">
      <w:pPr>
        <w:spacing w:after="0" w:line="240" w:lineRule="auto"/>
        <w:jc w:val="both"/>
        <w:rPr>
          <w:rFonts w:ascii="Verdana" w:eastAsia="Calibri" w:hAnsi="Verdana" w:cs="Arial"/>
          <w:lang w:eastAsia="es-ES_tradnl"/>
        </w:rPr>
      </w:pPr>
    </w:p>
    <w:p w14:paraId="717F976C" w14:textId="77777777" w:rsidR="00EC0FFE" w:rsidRPr="00EC0FFE" w:rsidRDefault="00EC0FFE" w:rsidP="00EC0FFE">
      <w:pPr>
        <w:spacing w:after="0" w:line="276" w:lineRule="auto"/>
        <w:jc w:val="both"/>
        <w:rPr>
          <w:rFonts w:ascii="Verdana" w:eastAsia="Calibri" w:hAnsi="Verdana" w:cs="Arial"/>
          <w:lang w:val="es-ES" w:eastAsia="es-ES"/>
        </w:rPr>
      </w:pPr>
      <w:r w:rsidRPr="00EC0FFE">
        <w:rPr>
          <w:rFonts w:ascii="Verdana" w:eastAsia="Calibri" w:hAnsi="Verdana" w:cs="Arial"/>
          <w:lang w:val="es-ES" w:eastAsia="es-ES"/>
        </w:rPr>
        <w:t xml:space="preserve">Estimada señor </w:t>
      </w:r>
      <w:r w:rsidRPr="00EC0FFE">
        <w:rPr>
          <w:rFonts w:ascii="Verdana" w:eastAsia="Aptos" w:hAnsi="Verdana" w:cs="Times New Roman"/>
          <w:kern w:val="2"/>
          <w14:ligatures w14:val="standardContextual"/>
        </w:rPr>
        <w:t>Villamil Hernández</w:t>
      </w:r>
      <w:r w:rsidRPr="00EC0FFE">
        <w:rPr>
          <w:rFonts w:ascii="Verdana" w:eastAsia="Calibri" w:hAnsi="Verdana" w:cs="Arial"/>
          <w:lang w:val="es-ES" w:eastAsia="es-ES"/>
        </w:rPr>
        <w:t xml:space="preserve">: </w:t>
      </w:r>
    </w:p>
    <w:p w14:paraId="46E0F588" w14:textId="77777777" w:rsidR="00EC0FFE" w:rsidRPr="00EC0FFE" w:rsidRDefault="00EC0FFE" w:rsidP="00EC0FFE">
      <w:pPr>
        <w:tabs>
          <w:tab w:val="left" w:pos="3768"/>
        </w:tabs>
        <w:spacing w:after="0" w:line="276" w:lineRule="auto"/>
        <w:jc w:val="both"/>
        <w:rPr>
          <w:rFonts w:ascii="Verdana" w:eastAsia="Calibri" w:hAnsi="Verdana" w:cs="Arial"/>
          <w:lang w:val="es-ES" w:eastAsia="es-ES"/>
        </w:rPr>
      </w:pPr>
      <w:r w:rsidRPr="00EC0FFE">
        <w:rPr>
          <w:rFonts w:ascii="Verdana" w:eastAsia="Calibri" w:hAnsi="Verdana" w:cs="Arial"/>
          <w:lang w:val="es-ES" w:eastAsia="es-ES"/>
        </w:rPr>
        <w:tab/>
      </w:r>
    </w:p>
    <w:p w14:paraId="3F384071" w14:textId="77777777" w:rsidR="00EC0FFE" w:rsidRPr="00EC0FFE" w:rsidRDefault="00EC0FFE" w:rsidP="00EC0FFE">
      <w:pPr>
        <w:spacing w:after="0" w:line="276" w:lineRule="auto"/>
        <w:jc w:val="both"/>
        <w:rPr>
          <w:rFonts w:ascii="Verdana" w:eastAsia="Calibri" w:hAnsi="Verdana" w:cs="Arial"/>
          <w:lang w:val="es-ES" w:eastAsia="es-ES"/>
        </w:rPr>
      </w:pPr>
      <w:r w:rsidRPr="00EC0FFE">
        <w:rPr>
          <w:rFonts w:ascii="Verdana" w:eastAsia="Calibri" w:hAnsi="Verdana" w:cs="Arial"/>
          <w:lang w:val="es-ES" w:eastAsia="es-ES"/>
        </w:rPr>
        <w:t>En ejercicio de la competencia otorgada por los artículos 3, numeral 5º, y 11, numeral 8º, del Decreto Ley 4170 de 2011,</w:t>
      </w:r>
      <w:r w:rsidRPr="00EC0FFE">
        <w:rPr>
          <w:rFonts w:ascii="Verdana" w:eastAsia="Arial MT" w:hAnsi="Verdana" w:cs="Arial MT"/>
          <w:lang w:val="es-ES" w:eastAsia="es-ES"/>
        </w:rPr>
        <w:t xml:space="preserve"> </w:t>
      </w:r>
      <w:r w:rsidRPr="00EC0FFE">
        <w:rPr>
          <w:rFonts w:ascii="Verdana" w:eastAsia="Calibri" w:hAnsi="Verdana" w:cs="Arial"/>
          <w:lang w:eastAsia="es-MX"/>
        </w:rPr>
        <w:t xml:space="preserve">así como lo establecido por la </w:t>
      </w:r>
      <w:r w:rsidRPr="00EC0FFE">
        <w:rPr>
          <w:rFonts w:ascii="Verdana" w:eastAsia="Aptos" w:hAnsi="Verdana" w:cs="Arial"/>
          <w:bCs/>
          <w:lang w:eastAsia="es-ES" w:bidi="es-ES"/>
        </w:rPr>
        <w:t>Resolución 469 de 2025 expedida por esta Entidad</w:t>
      </w:r>
      <w:r w:rsidRPr="00EC0FFE">
        <w:rPr>
          <w:rFonts w:ascii="Verdana" w:eastAsia="Calibri" w:hAnsi="Verdana" w:cs="Arial"/>
          <w:lang w:eastAsia="es-MX"/>
        </w:rPr>
        <w:t xml:space="preserve">, </w:t>
      </w:r>
      <w:r w:rsidRPr="00EC0FFE">
        <w:rPr>
          <w:rFonts w:ascii="Verdana" w:eastAsia="Calibri" w:hAnsi="Verdana" w:cs="Arial"/>
          <w:lang w:val="es-ES" w:eastAsia="es-ES"/>
        </w:rPr>
        <w:t xml:space="preserve">la Agencia Nacional de Contratación Pública – Colombia Compra Eficiente– responde su solicitud de consulta del 24 de abril de 2026, en la cual manifiesta lo siguiente: </w:t>
      </w:r>
    </w:p>
    <w:p w14:paraId="6C0D0750" w14:textId="77777777" w:rsidR="00EC0FFE" w:rsidRPr="00EC0FFE" w:rsidRDefault="00EC0FFE" w:rsidP="00EC0FFE">
      <w:pPr>
        <w:tabs>
          <w:tab w:val="left" w:pos="142"/>
          <w:tab w:val="left" w:pos="284"/>
        </w:tabs>
        <w:spacing w:after="0" w:line="276" w:lineRule="auto"/>
        <w:ind w:left="709" w:right="709"/>
        <w:jc w:val="both"/>
        <w:rPr>
          <w:rFonts w:ascii="Verdana" w:eastAsia="Century Gothic" w:hAnsi="Verdana" w:cs="Century Gothic"/>
          <w:b/>
          <w:bCs/>
          <w:lang w:eastAsia="es-MX"/>
        </w:rPr>
      </w:pPr>
    </w:p>
    <w:p w14:paraId="4ADE8737" w14:textId="77777777" w:rsidR="00EC0FFE" w:rsidRPr="00EC0FFE" w:rsidRDefault="00EC0FFE" w:rsidP="00EC0FFE">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EC0FFE">
        <w:rPr>
          <w:rFonts w:ascii="Verdana" w:eastAsia="Times New Roman" w:hAnsi="Verdana" w:cs="Times New Roman"/>
          <w:color w:val="242424"/>
          <w:sz w:val="20"/>
          <w:szCs w:val="20"/>
          <w:lang w:eastAsia="es-MX"/>
        </w:rPr>
        <w:t>“</w:t>
      </w:r>
      <w:r w:rsidRPr="00EC0FFE">
        <w:rPr>
          <w:rFonts w:ascii="Verdana" w:eastAsia="Aptos" w:hAnsi="Verdana" w:cs="Times New Roman"/>
          <w:kern w:val="2"/>
          <w:sz w:val="20"/>
          <w:szCs w:val="20"/>
          <w14:ligatures w14:val="standardContextual"/>
        </w:rPr>
        <w:t xml:space="preserve">En la causal de rechazo del pliego de condiciones de interventoría manifiesta: </w:t>
      </w:r>
    </w:p>
    <w:p w14:paraId="55F62C42" w14:textId="77777777" w:rsidR="00EC0FFE" w:rsidRPr="00EC0FFE" w:rsidRDefault="00EC0FFE" w:rsidP="00EC0FFE">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EC0FFE">
        <w:rPr>
          <w:rFonts w:ascii="Verdana" w:eastAsia="Aptos" w:hAnsi="Verdana" w:cs="Times New Roman"/>
          <w:kern w:val="2"/>
          <w:sz w:val="20"/>
          <w:szCs w:val="20"/>
          <w14:ligatures w14:val="standardContextual"/>
        </w:rPr>
        <w:t xml:space="preserve">“Que el proponente no acredite la presentación de la información para renovar el registro único de proponentes (RUP) dentro del término previsto en la normativa vigente.” </w:t>
      </w:r>
    </w:p>
    <w:p w14:paraId="600CD3AA" w14:textId="77777777" w:rsidR="00EC0FFE" w:rsidRPr="00EC0FFE" w:rsidRDefault="00EC0FFE" w:rsidP="00EC0FFE">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EC0FFE">
        <w:rPr>
          <w:rFonts w:ascii="Verdana" w:eastAsia="Aptos" w:hAnsi="Verdana" w:cs="Times New Roman"/>
          <w:kern w:val="2"/>
          <w:sz w:val="20"/>
          <w:szCs w:val="20"/>
          <w14:ligatures w14:val="standardContextual"/>
        </w:rPr>
        <w:t xml:space="preserve">Me permito realizar las siguientes consultas: </w:t>
      </w:r>
    </w:p>
    <w:p w14:paraId="67210BFA" w14:textId="77777777" w:rsidR="00EC0FFE" w:rsidRPr="00EC0FFE" w:rsidRDefault="00EC0FFE" w:rsidP="00EC0FFE">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EC0FFE">
        <w:rPr>
          <w:rFonts w:ascii="Verdana" w:eastAsia="Aptos" w:hAnsi="Verdana" w:cs="Times New Roman"/>
          <w:kern w:val="2"/>
          <w:sz w:val="20"/>
          <w:szCs w:val="20"/>
          <w14:ligatures w14:val="standardContextual"/>
        </w:rPr>
        <w:t xml:space="preserve">1. ¿Es permitido la subsanación de la causal de rechazo citada? </w:t>
      </w:r>
    </w:p>
    <w:p w14:paraId="79D5733F" w14:textId="77777777" w:rsidR="00EC0FFE" w:rsidRPr="00EC0FFE" w:rsidRDefault="00EC0FFE" w:rsidP="00EC0FFE">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EC0FFE">
        <w:rPr>
          <w:rFonts w:ascii="Verdana" w:eastAsia="Aptos" w:hAnsi="Verdana" w:cs="Times New Roman"/>
          <w:kern w:val="2"/>
          <w:sz w:val="20"/>
          <w:szCs w:val="20"/>
          <w14:ligatures w14:val="standardContextual"/>
        </w:rPr>
        <w:t xml:space="preserve">2. Si la respuesta es afirmativa, y teniendo en cuenta que para que a los proponentes se les otorgue puntaje por su experiencia aportarán, entre </w:t>
      </w:r>
      <w:r w:rsidRPr="00EC0FFE">
        <w:rPr>
          <w:rFonts w:ascii="Verdana" w:eastAsia="Aptos" w:hAnsi="Verdana" w:cs="Times New Roman"/>
          <w:kern w:val="2"/>
          <w:sz w:val="20"/>
          <w:szCs w:val="20"/>
          <w14:ligatures w14:val="standardContextual"/>
        </w:rPr>
        <w:lastRenderedPageBreak/>
        <w:t xml:space="preserve">otros: el RUP, para aquellos que estén obligados a tenerlo, en consecuencia, se considera: </w:t>
      </w:r>
    </w:p>
    <w:p w14:paraId="0CB33AA4" w14:textId="77777777" w:rsidR="00EC0FFE" w:rsidRPr="00EC0FFE" w:rsidRDefault="00EC0FFE" w:rsidP="00EC0FFE">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EC0FFE">
        <w:rPr>
          <w:rFonts w:ascii="Verdana" w:eastAsia="Aptos" w:hAnsi="Verdana" w:cs="Times New Roman"/>
          <w:kern w:val="2"/>
          <w:sz w:val="20"/>
          <w:szCs w:val="20"/>
          <w14:ligatures w14:val="standardContextual"/>
        </w:rPr>
        <w:t xml:space="preserve">a. ¿Que el proponente debió subsanar el cumplimiento de la experiencia mínima? </w:t>
      </w:r>
    </w:p>
    <w:p w14:paraId="52DD57B4" w14:textId="77777777" w:rsidR="00EC0FFE" w:rsidRPr="00EC0FFE" w:rsidRDefault="00EC0FFE" w:rsidP="00EC0FFE">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EC0FFE">
        <w:rPr>
          <w:rFonts w:ascii="Verdana" w:eastAsia="Aptos" w:hAnsi="Verdana" w:cs="Times New Roman"/>
          <w:kern w:val="2"/>
          <w:sz w:val="20"/>
          <w:szCs w:val="20"/>
          <w14:ligatures w14:val="standardContextual"/>
        </w:rPr>
        <w:t xml:space="preserve">b. ¿Que el proponente subsanó la totalidad de los Contratos aportados? </w:t>
      </w:r>
    </w:p>
    <w:p w14:paraId="107A8217" w14:textId="77777777" w:rsidR="00EC0FFE" w:rsidRPr="00EC0FFE" w:rsidRDefault="00EC0FFE" w:rsidP="00EC0FFE">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EC0FFE">
        <w:rPr>
          <w:rFonts w:ascii="Verdana" w:eastAsia="Aptos" w:hAnsi="Verdana" w:cs="Times New Roman"/>
          <w:kern w:val="2"/>
          <w:sz w:val="20"/>
          <w:szCs w:val="20"/>
          <w14:ligatures w14:val="standardContextual"/>
        </w:rPr>
        <w:t xml:space="preserve">c. ¿Que su oferta no será tenida en cuenta para aplicar las fórmulas para la ponderación de la Experiencia del Proponente? </w:t>
      </w:r>
    </w:p>
    <w:p w14:paraId="46DD5CD6" w14:textId="77777777" w:rsidR="00EC0FFE" w:rsidRPr="00EC0FFE" w:rsidRDefault="00EC0FFE" w:rsidP="00EC0FFE">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EC0FFE">
        <w:rPr>
          <w:rFonts w:ascii="Verdana" w:eastAsia="Aptos" w:hAnsi="Verdana" w:cs="Times New Roman"/>
          <w:kern w:val="2"/>
          <w:sz w:val="20"/>
          <w:szCs w:val="20"/>
          <w14:ligatures w14:val="standardContextual"/>
        </w:rPr>
        <w:t>d. ¿Por este criterio de asignación de puntaje obtendrá cero (0) puntos?”.</w:t>
      </w:r>
    </w:p>
    <w:p w14:paraId="353F453A" w14:textId="77777777" w:rsidR="00EC0FFE" w:rsidRPr="00EC0FFE" w:rsidRDefault="00EC0FFE" w:rsidP="00EC0FFE">
      <w:pPr>
        <w:spacing w:after="0" w:line="240" w:lineRule="auto"/>
        <w:ind w:left="700" w:right="709"/>
        <w:jc w:val="both"/>
        <w:rPr>
          <w:rFonts w:ascii="Verdana" w:eastAsia="Aptos" w:hAnsi="Verdana" w:cs="Arial"/>
          <w:sz w:val="21"/>
          <w:szCs w:val="21"/>
          <w:lang w:eastAsia="es-MX"/>
        </w:rPr>
      </w:pPr>
    </w:p>
    <w:p w14:paraId="574F807C" w14:textId="77777777" w:rsidR="00EC0FFE" w:rsidRPr="00EC0FFE" w:rsidRDefault="00EC0FFE" w:rsidP="00EC0FFE">
      <w:pPr>
        <w:spacing w:after="120" w:line="276" w:lineRule="auto"/>
        <w:ind w:firstLine="709"/>
        <w:jc w:val="both"/>
        <w:rPr>
          <w:rFonts w:ascii="Verdana" w:eastAsia="Calibri" w:hAnsi="Verdana" w:cs="Arial"/>
          <w:color w:val="000000"/>
          <w:lang w:val="es-ES" w:eastAsia="es-ES"/>
        </w:rPr>
      </w:pPr>
      <w:r w:rsidRPr="00EC0FFE">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C0FFE">
        <w:rPr>
          <w:rFonts w:ascii="Verdana" w:eastAsia="Calibri" w:hAnsi="Verdana" w:cs="Arial"/>
          <w:color w:val="000000"/>
          <w:lang w:val="es-ES_tradnl" w:eastAsia="es-ES_tradnl"/>
        </w:rPr>
        <w:tab/>
      </w:r>
    </w:p>
    <w:p w14:paraId="2000FAA7" w14:textId="77777777" w:rsidR="00EC0FFE" w:rsidRPr="00EC0FFE" w:rsidRDefault="00EC0FFE" w:rsidP="00EC0FFE">
      <w:pPr>
        <w:spacing w:after="0" w:line="276" w:lineRule="auto"/>
        <w:ind w:firstLine="709"/>
        <w:jc w:val="both"/>
        <w:rPr>
          <w:rFonts w:ascii="Verdana" w:eastAsia="Calibri" w:hAnsi="Verdana" w:cs="Arial"/>
          <w:color w:val="000000"/>
          <w:lang w:val="es-ES" w:eastAsia="es-ES"/>
        </w:rPr>
      </w:pPr>
      <w:r w:rsidRPr="00EC0FFE">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EC0FFE">
        <w:rPr>
          <w:rFonts w:ascii="Verdana" w:eastAsia="Calibri" w:hAnsi="Verdana" w:cs="Arial"/>
          <w:color w:val="7030A0"/>
          <w:lang w:val="es-ES" w:eastAsia="es-ES"/>
        </w:rPr>
        <w:t xml:space="preserve"> </w:t>
      </w:r>
      <w:r w:rsidRPr="00EC0FFE">
        <w:rPr>
          <w:rFonts w:ascii="Verdana" w:eastAsia="Calibri" w:hAnsi="Verdana" w:cs="Arial"/>
          <w:color w:val="000000"/>
          <w:lang w:val="es-ES" w:eastAsia="es-ES"/>
        </w:rPr>
        <w:t>problema</w:t>
      </w:r>
      <w:r w:rsidRPr="00EC0FFE">
        <w:rPr>
          <w:rFonts w:ascii="Verdana" w:eastAsia="Calibri" w:hAnsi="Verdana" w:cs="Arial"/>
          <w:color w:val="7030A0"/>
          <w:lang w:val="es-ES" w:eastAsia="es-ES"/>
        </w:rPr>
        <w:t xml:space="preserve"> </w:t>
      </w:r>
      <w:r w:rsidRPr="00EC0FFE">
        <w:rPr>
          <w:rFonts w:ascii="Verdana" w:eastAsia="Calibri" w:hAnsi="Verdana" w:cs="Arial"/>
          <w:color w:val="000000"/>
          <w:lang w:val="es-ES" w:eastAsia="es-ES"/>
        </w:rPr>
        <w:t>jurídico</w:t>
      </w:r>
      <w:r w:rsidRPr="00EC0FFE">
        <w:rPr>
          <w:rFonts w:ascii="Verdana" w:eastAsia="Calibri" w:hAnsi="Verdana" w:cs="Arial"/>
          <w:color w:val="7030A0"/>
          <w:lang w:val="es-ES" w:eastAsia="es-ES"/>
        </w:rPr>
        <w:t xml:space="preserve"> </w:t>
      </w:r>
      <w:r w:rsidRPr="00EC0FFE">
        <w:rPr>
          <w:rFonts w:ascii="Verdana" w:eastAsia="Calibri" w:hAnsi="Verdana" w:cs="Arial"/>
          <w:color w:val="000000"/>
          <w:lang w:val="es-ES" w:eastAsia="es-ES"/>
        </w:rPr>
        <w:t xml:space="preserve">de su consulta. </w:t>
      </w:r>
    </w:p>
    <w:p w14:paraId="609C97D5" w14:textId="77777777" w:rsidR="00EC0FFE" w:rsidRPr="00EC0FFE" w:rsidRDefault="00EC0FFE" w:rsidP="00EC0FFE">
      <w:pPr>
        <w:spacing w:after="0" w:line="276" w:lineRule="auto"/>
        <w:jc w:val="both"/>
        <w:rPr>
          <w:rFonts w:ascii="Verdana" w:eastAsia="Calibri" w:hAnsi="Verdana" w:cs="Arial"/>
          <w:lang w:val="es-ES" w:eastAsia="es-ES"/>
        </w:rPr>
      </w:pPr>
    </w:p>
    <w:p w14:paraId="7279A4F0" w14:textId="77777777" w:rsidR="00EC0FFE" w:rsidRPr="00EC0FFE" w:rsidRDefault="00EC0FFE" w:rsidP="00EC0FFE">
      <w:pPr>
        <w:numPr>
          <w:ilvl w:val="0"/>
          <w:numId w:val="16"/>
        </w:numPr>
        <w:tabs>
          <w:tab w:val="left" w:pos="142"/>
          <w:tab w:val="left" w:pos="284"/>
        </w:tabs>
        <w:spacing w:after="0" w:line="276" w:lineRule="auto"/>
        <w:ind w:left="360"/>
        <w:jc w:val="both"/>
        <w:rPr>
          <w:rFonts w:ascii="Verdana" w:eastAsia="Century Gothic" w:hAnsi="Verdana" w:cs="Century Gothic"/>
          <w:b/>
          <w:bCs/>
          <w:lang w:eastAsia="es-MX"/>
        </w:rPr>
      </w:pPr>
      <w:r w:rsidRPr="00EC0FFE">
        <w:rPr>
          <w:rFonts w:ascii="Verdana" w:eastAsia="Century Gothic" w:hAnsi="Verdana" w:cs="Century Gothic"/>
          <w:b/>
          <w:bCs/>
          <w:lang w:eastAsia="es-MX"/>
        </w:rPr>
        <w:t>Problema planteado:</w:t>
      </w:r>
    </w:p>
    <w:p w14:paraId="3FB96DDE" w14:textId="77777777" w:rsidR="00EC0FFE" w:rsidRPr="00EC0FFE" w:rsidRDefault="00EC0FFE" w:rsidP="00EC0FFE">
      <w:pPr>
        <w:tabs>
          <w:tab w:val="left" w:pos="426"/>
        </w:tabs>
        <w:spacing w:after="0" w:line="276" w:lineRule="auto"/>
        <w:jc w:val="both"/>
        <w:rPr>
          <w:rFonts w:ascii="Verdana" w:eastAsia="Century Gothic" w:hAnsi="Verdana" w:cs="Century Gothic"/>
          <w:lang w:val="es-ES" w:eastAsia="es-MX"/>
        </w:rPr>
      </w:pPr>
    </w:p>
    <w:p w14:paraId="47B8C007" w14:textId="1D339B31" w:rsidR="00EC0FFE" w:rsidRPr="00EC0FFE" w:rsidRDefault="00EC0FFE" w:rsidP="00E943C3">
      <w:pPr>
        <w:spacing w:after="0" w:line="276" w:lineRule="auto"/>
        <w:jc w:val="both"/>
        <w:rPr>
          <w:rFonts w:ascii="Verdana" w:eastAsia="Aptos" w:hAnsi="Verdana" w:cs="Times New Roman"/>
          <w:kern w:val="2"/>
          <w14:ligatures w14:val="standardContextual"/>
        </w:rPr>
      </w:pPr>
      <w:r w:rsidRPr="00EC0FFE">
        <w:rPr>
          <w:rFonts w:ascii="Verdana" w:eastAsia="Century Gothic" w:hAnsi="Verdana" w:cs="Century Gothic"/>
          <w:kern w:val="2"/>
          <w14:ligatures w14:val="standardContextual"/>
        </w:rPr>
        <w:t xml:space="preserve">De acuerdo con el contenido de su solicitud, en relación con </w:t>
      </w:r>
      <w:r w:rsidRPr="00EC0FFE">
        <w:rPr>
          <w:rFonts w:ascii="Verdana" w:eastAsia="Aptos" w:hAnsi="Verdana" w:cs="Arial"/>
          <w:color w:val="000000"/>
          <w:kern w:val="2"/>
          <w:lang w:val="es-ES_tradnl"/>
          <w14:ligatures w14:val="standardContextual"/>
        </w:rPr>
        <w:t xml:space="preserve">los documentos tipo para procesos de selección de concurso de méritos, para contratar la interventoría de obras públicas de infraestructura de transporte – versión 3, </w:t>
      </w:r>
      <w:r w:rsidRPr="00EC0FFE">
        <w:rPr>
          <w:rFonts w:ascii="Verdana" w:eastAsia="Century Gothic" w:hAnsi="Verdana" w:cs="Century Gothic"/>
          <w:kern w:val="2"/>
          <w14:ligatures w14:val="standardContextual"/>
        </w:rPr>
        <w:t xml:space="preserve">esta Agencia resolverá </w:t>
      </w:r>
      <w:r w:rsidR="00E943C3">
        <w:rPr>
          <w:rFonts w:ascii="Verdana" w:eastAsia="Century Gothic" w:hAnsi="Verdana" w:cs="Century Gothic"/>
          <w:kern w:val="2"/>
          <w14:ligatures w14:val="standardContextual"/>
        </w:rPr>
        <w:t>el</w:t>
      </w:r>
      <w:r w:rsidRPr="00EC0FFE">
        <w:rPr>
          <w:rFonts w:ascii="Verdana" w:eastAsia="Century Gothic" w:hAnsi="Verdana" w:cs="Century Gothic"/>
          <w:kern w:val="2"/>
          <w14:ligatures w14:val="standardContextual"/>
        </w:rPr>
        <w:t xml:space="preserve"> siguiente problema jurídico:</w:t>
      </w:r>
      <w:r w:rsidRPr="00EC0FFE">
        <w:rPr>
          <w:rFonts w:ascii="Verdana" w:eastAsia="Aptos" w:hAnsi="Verdana" w:cs="Times New Roman"/>
          <w:kern w:val="2"/>
          <w14:ligatures w14:val="standardContextual"/>
        </w:rPr>
        <w:t xml:space="preserve"> ¿Cuál es el alcance de la causal de rechazo del literal F </w:t>
      </w:r>
      <w:r w:rsidR="00E943C3">
        <w:rPr>
          <w:rFonts w:ascii="Verdana" w:eastAsia="Aptos" w:hAnsi="Verdana" w:cs="Times New Roman"/>
          <w:kern w:val="2"/>
          <w14:ligatures w14:val="standardContextual"/>
        </w:rPr>
        <w:t>del numeral 1.15 del documento base</w:t>
      </w:r>
      <w:r w:rsidR="00E943C3">
        <w:rPr>
          <w:rFonts w:ascii="Verdana" w:eastAsia="Aptos" w:hAnsi="Verdana" w:cs="Arial"/>
          <w:color w:val="000000"/>
          <w:kern w:val="2"/>
          <w:lang w:val="es-ES_tradnl"/>
          <w14:ligatures w14:val="standardContextual"/>
        </w:rPr>
        <w:t>?</w:t>
      </w:r>
    </w:p>
    <w:p w14:paraId="15ABB957" w14:textId="77777777" w:rsidR="00EC0FFE" w:rsidRPr="00EC0FFE" w:rsidRDefault="00EC0FFE" w:rsidP="00EC0FFE">
      <w:pPr>
        <w:spacing w:after="0" w:line="276" w:lineRule="auto"/>
        <w:jc w:val="both"/>
        <w:rPr>
          <w:rFonts w:ascii="Verdana" w:eastAsia="Century Gothic" w:hAnsi="Verdana" w:cs="Century Gothic"/>
          <w:lang w:val="es-ES_tradnl" w:eastAsia="es-MX"/>
        </w:rPr>
      </w:pPr>
    </w:p>
    <w:p w14:paraId="77F20E8D" w14:textId="77777777" w:rsidR="00EC0FFE" w:rsidRPr="00EC0FFE" w:rsidRDefault="00EC0FFE" w:rsidP="00EC0FFE">
      <w:pPr>
        <w:tabs>
          <w:tab w:val="left" w:pos="142"/>
          <w:tab w:val="left" w:pos="284"/>
        </w:tabs>
        <w:spacing w:after="0" w:line="276" w:lineRule="auto"/>
        <w:contextualSpacing/>
        <w:jc w:val="both"/>
        <w:rPr>
          <w:rFonts w:ascii="Verdana" w:eastAsia="Century Gothic" w:hAnsi="Verdana" w:cs="Century Gothic"/>
          <w:b/>
          <w:bCs/>
          <w:lang w:val="es-ES" w:eastAsia="es-MX"/>
        </w:rPr>
      </w:pPr>
      <w:r w:rsidRPr="00EC0FFE">
        <w:rPr>
          <w:rFonts w:ascii="Verdana" w:eastAsia="Century Gothic" w:hAnsi="Verdana" w:cs="Century Gothic"/>
          <w:b/>
          <w:bCs/>
          <w:lang w:val="es-ES" w:eastAsia="es-MX"/>
        </w:rPr>
        <w:lastRenderedPageBreak/>
        <w:t>2. Respuestas:</w:t>
      </w:r>
    </w:p>
    <w:p w14:paraId="1C253029" w14:textId="77777777" w:rsidR="00EC0FFE" w:rsidRPr="00EC0FFE" w:rsidRDefault="00EC0FFE" w:rsidP="00EC0FFE">
      <w:pPr>
        <w:tabs>
          <w:tab w:val="left" w:pos="142"/>
          <w:tab w:val="left" w:pos="284"/>
        </w:tabs>
        <w:spacing w:after="0" w:line="276" w:lineRule="auto"/>
        <w:contextualSpacing/>
        <w:jc w:val="both"/>
        <w:rPr>
          <w:rFonts w:ascii="Verdana" w:eastAsia="Century Gothic" w:hAnsi="Verdana" w:cs="Century Gothic"/>
          <w:b/>
          <w:bCs/>
          <w:lang w:val="es-ES" w:eastAsia="es-MX"/>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C0FFE" w:rsidRPr="00EC0FFE" w14:paraId="1FF591CF" w14:textId="77777777">
        <w:trPr>
          <w:trHeight w:val="40"/>
        </w:trPr>
        <w:tc>
          <w:tcPr>
            <w:tcW w:w="8828" w:type="dxa"/>
            <w:tcBorders>
              <w:top w:val="dotted" w:sz="4" w:space="0" w:color="auto"/>
              <w:left w:val="dotted" w:sz="4" w:space="0" w:color="auto"/>
              <w:bottom w:val="dotted" w:sz="4" w:space="0" w:color="auto"/>
              <w:right w:val="dotted" w:sz="4" w:space="0" w:color="auto"/>
            </w:tcBorders>
          </w:tcPr>
          <w:p w14:paraId="59B54ED0" w14:textId="70B76F9E" w:rsidR="00EC0FFE" w:rsidRPr="00EC0FFE" w:rsidRDefault="00EC0FFE" w:rsidP="00EC0FFE">
            <w:pPr>
              <w:spacing w:after="120" w:line="276" w:lineRule="auto"/>
              <w:jc w:val="both"/>
              <w:rPr>
                <w:rFonts w:ascii="Verdana" w:eastAsia="Times New Roman" w:hAnsi="Verdana" w:cs="Arial"/>
                <w:bdr w:val="none" w:sz="0" w:space="0" w:color="auto" w:frame="1"/>
                <w:shd w:val="clear" w:color="auto" w:fill="FFFFFF"/>
                <w:lang w:val="es-ES_tradnl" w:eastAsia="es-ES_tradnl"/>
              </w:rPr>
            </w:pPr>
            <w:r w:rsidRPr="00EC0FFE">
              <w:rPr>
                <w:rFonts w:ascii="Verdana" w:eastAsia="Times New Roman" w:hAnsi="Verdana" w:cs="Arial"/>
                <w:bdr w:val="none" w:sz="0" w:space="0" w:color="auto" w:frame="1"/>
                <w:shd w:val="clear" w:color="auto" w:fill="FFFFFF"/>
                <w:lang w:val="es-ES_tradnl" w:eastAsia="es-ES_tradnl"/>
              </w:rPr>
              <w:t xml:space="preserve">La causal de rechazo del literal F del numeral 1.15 del pliego de condiciones de los documentos tipo de interventoría de obra pública de infraestructura de transporte – versión, aplica en caso de que </w:t>
            </w:r>
            <w:r w:rsidRPr="00EC0FFE">
              <w:rPr>
                <w:rFonts w:ascii="Verdana" w:eastAsia="Times New Roman" w:hAnsi="Verdana" w:cs="Arial"/>
                <w:i/>
                <w:iCs/>
                <w:bdr w:val="none" w:sz="0" w:space="0" w:color="auto" w:frame="1"/>
                <w:shd w:val="clear" w:color="auto" w:fill="FFFFFF"/>
                <w:lang w:val="es-ES_tradnl" w:eastAsia="es-ES_tradnl"/>
              </w:rPr>
              <w:t>“(…) el proponente no acredite la presentación de la información para renovar el Registro Único de Proponentes (RUP) dentro del término previsto en la normativa vigente”.</w:t>
            </w:r>
            <w:r w:rsidRPr="00EC0FFE">
              <w:rPr>
                <w:rFonts w:ascii="Verdana" w:eastAsia="Times New Roman" w:hAnsi="Verdana" w:cs="Arial"/>
                <w:bdr w:val="none" w:sz="0" w:space="0" w:color="auto" w:frame="1"/>
                <w:shd w:val="clear" w:color="auto" w:fill="FFFFFF"/>
                <w:lang w:val="es-ES_tradnl" w:eastAsia="es-ES_tradnl"/>
              </w:rPr>
              <w:t xml:space="preserve"> </w:t>
            </w:r>
          </w:p>
          <w:p w14:paraId="1B9D6B10" w14:textId="77777777" w:rsidR="00EC0FFE" w:rsidRPr="00EC0FFE" w:rsidRDefault="00EC0FFE" w:rsidP="00EC0FFE">
            <w:pPr>
              <w:spacing w:after="120" w:line="276" w:lineRule="auto"/>
              <w:ind w:firstLine="708"/>
              <w:jc w:val="both"/>
              <w:rPr>
                <w:rFonts w:ascii="Verdana" w:eastAsia="Times New Roman" w:hAnsi="Verdana" w:cs="Arial"/>
                <w:bdr w:val="none" w:sz="0" w:space="0" w:color="auto" w:frame="1"/>
                <w:shd w:val="clear" w:color="auto" w:fill="FFFFFF"/>
                <w:lang w:val="es-ES_tradnl" w:eastAsia="es-ES_tradnl"/>
              </w:rPr>
            </w:pPr>
            <w:r w:rsidRPr="00EC0FFE">
              <w:rPr>
                <w:rFonts w:ascii="Verdana" w:eastAsia="Times New Roman" w:hAnsi="Verdana" w:cs="Arial"/>
                <w:bdr w:val="none" w:sz="0" w:space="0" w:color="auto" w:frame="1"/>
                <w:shd w:val="clear" w:color="auto" w:fill="FFFFFF"/>
                <w:lang w:val="es-ES_tradnl" w:eastAsia="es-ES_tradnl"/>
              </w:rPr>
              <w:t xml:space="preserve">Esta causal de rechazo debe interpretarse razonablemente de conformidad con el marco jurídico analizado respecto al trámite de renovación, cuyo régimen quedó expuesto en detalle en las consideraciones de este concepto. </w:t>
            </w:r>
          </w:p>
          <w:p w14:paraId="01211511" w14:textId="77777777" w:rsidR="00EC0FFE" w:rsidRPr="00EC0FFE" w:rsidRDefault="00EC0FFE" w:rsidP="00EC0FFE">
            <w:pPr>
              <w:spacing w:after="120" w:line="278" w:lineRule="auto"/>
              <w:ind w:firstLine="708"/>
              <w:jc w:val="both"/>
              <w:rPr>
                <w:rFonts w:ascii="Verdana" w:eastAsia="Times New Roman" w:hAnsi="Verdana" w:cs="Arial"/>
                <w:bdr w:val="none" w:sz="0" w:space="0" w:color="auto" w:frame="1"/>
                <w:shd w:val="clear" w:color="auto" w:fill="FFFFFF"/>
                <w:lang w:val="es-ES_tradnl" w:eastAsia="es-ES_tradnl"/>
              </w:rPr>
            </w:pPr>
            <w:r w:rsidRPr="00EC0FFE">
              <w:rPr>
                <w:rFonts w:ascii="Verdana" w:eastAsia="Times New Roman" w:hAnsi="Verdana" w:cs="Arial"/>
                <w:bdr w:val="none" w:sz="0" w:space="0" w:color="auto" w:frame="1"/>
                <w:shd w:val="clear" w:color="auto" w:fill="FFFFFF"/>
                <w:lang w:val="es-ES_tradnl" w:eastAsia="es-ES_tradnl"/>
              </w:rPr>
              <w:t>En este sentido, la causal de rechazo del literal F del numeral 1.15 del pliego de condiciones aplica en los supuestos en que el proponente al momento del cierre del proceso no tenga un RUP vigente y en firme, de ahí que conforme a las disposiciones estudiadas con anterioridad deba rechazarse al proponente que no cumpla con el deber establecido en el artículo 2.2.1.1.1.5.1 del decreto 1082 de 2015, esto es, que no haya presentado la información para renovar el RUP a más tardar el quinto día hábil del mes de abril de cada año.</w:t>
            </w:r>
          </w:p>
          <w:p w14:paraId="6D31CEE4" w14:textId="77777777" w:rsidR="00EC0FFE" w:rsidRPr="00EC0FFE" w:rsidRDefault="00EC0FFE" w:rsidP="00EC0FFE">
            <w:pPr>
              <w:tabs>
                <w:tab w:val="left" w:pos="0"/>
              </w:tabs>
              <w:spacing w:before="120" w:line="276" w:lineRule="auto"/>
              <w:jc w:val="both"/>
              <w:rPr>
                <w:rFonts w:ascii="Arial" w:eastAsia="Aptos" w:hAnsi="Arial" w:cs="Arial"/>
                <w:color w:val="000000"/>
              </w:rPr>
            </w:pPr>
            <w:r w:rsidRPr="00EC0FFE">
              <w:rPr>
                <w:rFonts w:ascii="Verdana" w:eastAsia="Times New Roman" w:hAnsi="Verdana" w:cs="Arial"/>
                <w:bdr w:val="none" w:sz="0" w:space="0" w:color="auto" w:frame="1"/>
                <w:shd w:val="clear" w:color="auto" w:fill="FFFFFF"/>
                <w:lang w:val="es-ES_tradnl" w:eastAsia="es-ES_tradnl"/>
              </w:rPr>
              <w:tab/>
              <w:t xml:space="preserve">No obstante, ello no quiere decir que la causal se extienda a los supuestos en los que el proponente realiza una nueva inscripción, debido a que un RUP que tenía con anterioridad dejó de producir efectos, toda vez que el proponente incumplió el deber de renovar el registro a tiempo. En efecto, como se indicó con anterioridad, en dichos casos el proponente debe inscribirse nuevamente en el registro, de manera que una vez esté en firme la nueva inscripción puede participar en los procedimientos de selección, incluidos los regidos por los documentos tipo. </w:t>
            </w:r>
          </w:p>
          <w:p w14:paraId="2ADAF6FE" w14:textId="77777777" w:rsidR="00EC0FFE" w:rsidRPr="00EC0FFE" w:rsidRDefault="00EC0FFE" w:rsidP="00EC0FFE">
            <w:pPr>
              <w:tabs>
                <w:tab w:val="left" w:pos="0"/>
              </w:tabs>
              <w:spacing w:before="120" w:after="120" w:line="276" w:lineRule="auto"/>
              <w:ind w:firstLine="709"/>
              <w:jc w:val="both"/>
              <w:rPr>
                <w:rFonts w:ascii="Verdana" w:eastAsia="Times New Roman" w:hAnsi="Verdana" w:cs="Arial"/>
                <w:bdr w:val="none" w:sz="0" w:space="0" w:color="auto" w:frame="1"/>
                <w:shd w:val="clear" w:color="auto" w:fill="FFFFFF"/>
                <w:lang w:val="es-ES_tradnl" w:eastAsia="es-ES_tradnl"/>
              </w:rPr>
            </w:pPr>
            <w:r w:rsidRPr="00EC0FFE">
              <w:rPr>
                <w:rFonts w:ascii="Verdana" w:eastAsia="Times New Roman" w:hAnsi="Verdana" w:cs="Arial"/>
                <w:bdr w:val="none" w:sz="0" w:space="0" w:color="auto" w:frame="1"/>
                <w:shd w:val="clear" w:color="auto" w:fill="FFFFFF"/>
                <w:lang w:val="es-ES_tradnl" w:eastAsia="es-ES_tradnl"/>
              </w:rPr>
              <w:t xml:space="preserve">En este sentido, cuando el proponente incumple su deber de renovar su registro en el RUP y los efectos han cesado, debe volver a inscribirse, supuesto en el cual podrá participar siempre que su registro esté en firme para antes del cierre del proceso de contratación. De esta manera, el rechazo solo será procedente cuando el proponente debe volver a inscribirse y para antes de la fecha del cierre del proceso su inscripción no esté en firme, toda vez que en dicho supuesto no tiene una inscripción vigente y en firme y, como se analizó con anterioridad, “Durante el término otorgado para subsanar las ofertas, los </w:t>
            </w:r>
            <w:r w:rsidRPr="00EC0FFE">
              <w:rPr>
                <w:rFonts w:ascii="Verdana" w:eastAsia="Times New Roman" w:hAnsi="Verdana" w:cs="Arial"/>
                <w:bdr w:val="none" w:sz="0" w:space="0" w:color="auto" w:frame="1"/>
                <w:shd w:val="clear" w:color="auto" w:fill="FFFFFF"/>
                <w:lang w:val="es-ES_tradnl" w:eastAsia="es-ES_tradnl"/>
              </w:rPr>
              <w:lastRenderedPageBreak/>
              <w:t>proponentes no podrán acreditar circunstancias ocurridas con posterioridad al cierre del proceso”.</w:t>
            </w:r>
          </w:p>
          <w:p w14:paraId="2D423E60" w14:textId="77777777" w:rsidR="00EC0FFE" w:rsidRPr="00EC0FFE" w:rsidRDefault="00EC0FFE" w:rsidP="00EC0FFE">
            <w:pPr>
              <w:tabs>
                <w:tab w:val="left" w:pos="0"/>
              </w:tabs>
              <w:spacing w:before="120" w:after="120" w:line="276" w:lineRule="auto"/>
              <w:ind w:firstLine="709"/>
              <w:jc w:val="both"/>
              <w:rPr>
                <w:rFonts w:ascii="Verdana" w:eastAsia="Times New Roman" w:hAnsi="Verdana" w:cs="Arial"/>
                <w:bdr w:val="none" w:sz="0" w:space="0" w:color="auto" w:frame="1"/>
                <w:shd w:val="clear" w:color="auto" w:fill="FFFFFF"/>
                <w:lang w:val="es-ES_tradnl" w:eastAsia="es-ES_tradnl"/>
              </w:rPr>
            </w:pPr>
            <w:r w:rsidRPr="00EC0FFE">
              <w:rPr>
                <w:rFonts w:ascii="Verdana" w:eastAsia="Times New Roman" w:hAnsi="Verdana" w:cs="Arial"/>
                <w:bdr w:val="none" w:sz="0" w:space="0" w:color="auto" w:frame="1"/>
                <w:shd w:val="clear" w:color="auto" w:fill="FFFFFF"/>
                <w:lang w:val="es-ES_tradnl" w:eastAsia="es-ES_tradnl"/>
              </w:rPr>
              <w:t>Así las cosas, cuando el proponente no presenta la información para el trámite de renovación en la cámara de comercio respectiva incumpliendo su deber de renovar el RUP a más tardar el quinto día hábil del mes de abril de cada año, o en la fecha que establezca la ley o el reglamento, no podrá participar en el proceso de contratación porque el RUP no se encuentra vigente y sus efectos han cesado, por lo que procede su rechazo con fundamento en el literal F del numeral 1.15 del documento base.</w:t>
            </w:r>
          </w:p>
          <w:p w14:paraId="615FA305" w14:textId="77777777" w:rsidR="00EC0FFE" w:rsidRPr="00EC0FFE" w:rsidRDefault="00EC0FFE" w:rsidP="00EC0FFE">
            <w:pPr>
              <w:tabs>
                <w:tab w:val="left" w:pos="0"/>
              </w:tabs>
              <w:spacing w:before="120" w:after="120" w:line="276" w:lineRule="auto"/>
              <w:ind w:firstLine="709"/>
              <w:jc w:val="both"/>
              <w:rPr>
                <w:rFonts w:ascii="Verdana" w:eastAsia="Times New Roman" w:hAnsi="Verdana" w:cs="Arial"/>
                <w:bdr w:val="none" w:sz="0" w:space="0" w:color="auto" w:frame="1"/>
                <w:shd w:val="clear" w:color="auto" w:fill="FFFFFF"/>
                <w:lang w:val="es-ES_tradnl" w:eastAsia="es-ES_tradnl"/>
              </w:rPr>
            </w:pPr>
            <w:r w:rsidRPr="00EC0FFE">
              <w:rPr>
                <w:rFonts w:ascii="Verdana" w:eastAsia="Times New Roman" w:hAnsi="Verdana" w:cs="Arial"/>
                <w:bdr w:val="none" w:sz="0" w:space="0" w:color="auto" w:frame="1"/>
                <w:shd w:val="clear" w:color="auto" w:fill="FFFFFF"/>
                <w:lang w:val="es-ES_tradnl" w:eastAsia="es-ES_tradnl"/>
              </w:rPr>
              <w:t xml:space="preserve">Además, cabe aclarar que conforme con las explicaciones anteriores, esta causal tampoco aplicaría, con sobradas razones, en los supuestos en que el interesado haya cumplido con el deber de presentar la información para renovar su registro antes del quinto día del mes de abril y la renovación solo quede en firme en una fecha posterior. En tal sentido, en el numeral anterior se señaló el tratamiento procedente en estos supuestos, aclarando que una vez la renovación quede en firme el proponente participará con su RUP renovado en los procesos futuros. </w:t>
            </w:r>
          </w:p>
          <w:p w14:paraId="2CFDCEDC" w14:textId="77777777" w:rsidR="00EC0FFE" w:rsidRPr="00EC0FFE" w:rsidRDefault="00EC0FFE" w:rsidP="00EC0FFE">
            <w:pPr>
              <w:tabs>
                <w:tab w:val="left" w:pos="426"/>
              </w:tabs>
              <w:spacing w:line="276" w:lineRule="auto"/>
              <w:ind w:firstLine="709"/>
              <w:jc w:val="both"/>
              <w:rPr>
                <w:rFonts w:ascii="Verdana" w:eastAsia="Times New Roman" w:hAnsi="Verdana" w:cs="Arial"/>
                <w:bdr w:val="none" w:sz="0" w:space="0" w:color="auto" w:frame="1"/>
                <w:shd w:val="clear" w:color="auto" w:fill="FFFFFF"/>
                <w:lang w:val="es-ES_tradnl" w:eastAsia="es-ES_tradnl"/>
              </w:rPr>
            </w:pPr>
            <w:r w:rsidRPr="00EC0FFE">
              <w:rPr>
                <w:rFonts w:ascii="Verdana" w:eastAsia="Times New Roman" w:hAnsi="Verdana" w:cs="Arial"/>
                <w:bdr w:val="none" w:sz="0" w:space="0" w:color="auto" w:frame="1"/>
                <w:shd w:val="clear" w:color="auto" w:fill="FFFFFF"/>
                <w:lang w:val="es-ES_tradnl" w:eastAsia="es-ES_tradnl"/>
              </w:rPr>
              <w:t xml:space="preserve">En resumen, el origen de la causal de rechazo del literal F del numeral 1.15 del pliego de condiciones deriva de las consecuencias del incumplimiento del deber de renovación del RUP consagrado en el artículo 2.2.1.1.1.5.1 del Decreto 1082 de 2015, específicamente en lo relacionado con el límite temporal de la presentación de la información para renovar el registro a más tardar el quinto día hábil del mes de abril de cada año. En tal medida, la entidad estatal que adelante un proceso de selección con sustento en los documentos tipo rechazará la propuesta del oferente que no acredite haber presentado la información de renovación del RUP antes del quinto día hábil de abril de cada año, incumpliendo con la obligación de la norma anteriormente citada. Para tal efecto se reitera que no es necesario que la renovación esté en firme, sino que mientras esté en trámite podrá participar en el proceso de selección siempre que haya presentado la información dentro del término previsto. </w:t>
            </w:r>
          </w:p>
        </w:tc>
      </w:tr>
    </w:tbl>
    <w:p w14:paraId="2AE77B68" w14:textId="77777777" w:rsidR="00EC0FFE" w:rsidRPr="00EC0FFE" w:rsidRDefault="00EC0FFE" w:rsidP="00EC0FFE">
      <w:pPr>
        <w:tabs>
          <w:tab w:val="left" w:pos="142"/>
          <w:tab w:val="left" w:pos="284"/>
        </w:tabs>
        <w:spacing w:after="0" w:line="276" w:lineRule="auto"/>
        <w:jc w:val="both"/>
        <w:rPr>
          <w:rFonts w:ascii="Verdana" w:eastAsia="Century Gothic" w:hAnsi="Verdana" w:cs="Century Gothic"/>
          <w:b/>
          <w:bCs/>
          <w:lang w:val="es-ES" w:eastAsia="es-MX"/>
        </w:rPr>
      </w:pPr>
    </w:p>
    <w:p w14:paraId="0D760A05" w14:textId="77777777" w:rsidR="00EC0FFE" w:rsidRPr="00EC0FFE" w:rsidRDefault="00EC0FFE" w:rsidP="00EC0FFE">
      <w:pPr>
        <w:tabs>
          <w:tab w:val="left" w:pos="142"/>
          <w:tab w:val="left" w:pos="284"/>
        </w:tabs>
        <w:spacing w:after="0" w:line="276" w:lineRule="auto"/>
        <w:jc w:val="both"/>
        <w:rPr>
          <w:rFonts w:ascii="Verdana" w:eastAsia="Century Gothic" w:hAnsi="Verdana" w:cs="Century Gothic"/>
          <w:b/>
          <w:bCs/>
          <w:lang w:val="es-ES" w:eastAsia="es-MX"/>
        </w:rPr>
      </w:pPr>
      <w:r w:rsidRPr="00EC0FFE">
        <w:rPr>
          <w:rFonts w:ascii="Verdana" w:eastAsia="Century Gothic" w:hAnsi="Verdana" w:cs="Century Gothic"/>
          <w:b/>
          <w:bCs/>
          <w:lang w:val="es-ES" w:eastAsia="es-MX"/>
        </w:rPr>
        <w:t>3. Razones de la respuesta:</w:t>
      </w:r>
    </w:p>
    <w:p w14:paraId="046B0F01" w14:textId="77777777" w:rsidR="00EC0FFE" w:rsidRPr="00EC0FFE" w:rsidRDefault="00EC0FFE" w:rsidP="00EC0FFE">
      <w:pPr>
        <w:spacing w:after="0" w:line="276" w:lineRule="auto"/>
        <w:jc w:val="both"/>
        <w:rPr>
          <w:rFonts w:ascii="Verdana" w:eastAsia="Calibri" w:hAnsi="Verdana" w:cs="Arial"/>
          <w:lang w:val="es-ES" w:eastAsia="es-MX"/>
        </w:rPr>
      </w:pPr>
    </w:p>
    <w:p w14:paraId="1A2B3AC9" w14:textId="77777777" w:rsidR="00EC0FFE" w:rsidRPr="00EC0FFE" w:rsidRDefault="00EC0FFE" w:rsidP="00EC0FFE">
      <w:pPr>
        <w:spacing w:after="0" w:line="276" w:lineRule="auto"/>
        <w:jc w:val="both"/>
        <w:rPr>
          <w:rFonts w:ascii="Verdana" w:eastAsia="Calibri" w:hAnsi="Verdana" w:cs="Arial"/>
          <w:lang w:val="es-ES" w:eastAsia="es-MX"/>
        </w:rPr>
      </w:pPr>
      <w:r w:rsidRPr="00EC0FFE">
        <w:rPr>
          <w:rFonts w:ascii="Verdana" w:eastAsia="Calibri" w:hAnsi="Verdana" w:cs="Arial"/>
          <w:lang w:val="es-ES" w:eastAsia="es-MX"/>
        </w:rPr>
        <w:t xml:space="preserve">Lo anterior se sustenta en las siguientes consideraciones: </w:t>
      </w:r>
    </w:p>
    <w:p w14:paraId="077AE4F3" w14:textId="77777777" w:rsidR="00EC0FFE" w:rsidRPr="00EC0FFE" w:rsidRDefault="00EC0FFE" w:rsidP="00EC0FFE">
      <w:pPr>
        <w:tabs>
          <w:tab w:val="left" w:pos="426"/>
        </w:tabs>
        <w:spacing w:after="0" w:line="276" w:lineRule="auto"/>
        <w:jc w:val="both"/>
        <w:rPr>
          <w:rFonts w:ascii="Verdana" w:eastAsia="Calibri" w:hAnsi="Verdana" w:cs="Arial"/>
          <w:szCs w:val="24"/>
          <w:lang w:eastAsia="es-MX"/>
        </w:rPr>
      </w:pPr>
    </w:p>
    <w:p w14:paraId="10ADED09" w14:textId="77777777" w:rsidR="00EC0FFE" w:rsidRPr="00EC0FFE" w:rsidRDefault="00EC0FFE" w:rsidP="00EC0FFE">
      <w:pPr>
        <w:tabs>
          <w:tab w:val="left" w:pos="426"/>
        </w:tabs>
        <w:spacing w:after="120" w:line="276" w:lineRule="auto"/>
        <w:jc w:val="both"/>
        <w:rPr>
          <w:rFonts w:ascii="Verdana" w:eastAsia="Calibri" w:hAnsi="Verdana" w:cs="Arial"/>
          <w:i/>
          <w:iCs/>
          <w:szCs w:val="24"/>
          <w:lang w:eastAsia="es-MX"/>
        </w:rPr>
      </w:pPr>
      <w:r w:rsidRPr="00EC0FFE">
        <w:rPr>
          <w:rFonts w:ascii="Verdana" w:eastAsia="Calibri" w:hAnsi="Verdana" w:cs="Arial"/>
          <w:szCs w:val="24"/>
          <w:lang w:eastAsia="es-MX"/>
        </w:rPr>
        <w:t>i. El Registro Único de Proponente – RUP es el registro público donde deberán inscribirse las personas naturales y jurídicas que aspiren a celebrar contratos con las entidades estatales, según dispone el artículo 6 de la Ley 1150 de 2007. El RUP</w:t>
      </w:r>
      <w:r w:rsidRPr="00EC0FFE">
        <w:rPr>
          <w:rFonts w:ascii="Verdana" w:eastAsia="Calibri" w:hAnsi="Verdana" w:cs="Arial"/>
          <w:sz w:val="21"/>
          <w:szCs w:val="21"/>
          <w:lang w:val="es-ES" w:eastAsia="es-MX"/>
        </w:rPr>
        <w:t xml:space="preserve"> </w:t>
      </w:r>
      <w:r w:rsidRPr="00EC0FFE">
        <w:rPr>
          <w:rFonts w:ascii="Verdana" w:eastAsia="Calibri" w:hAnsi="Verdana" w:cs="Arial"/>
          <w:szCs w:val="24"/>
          <w:lang w:eastAsia="es-MX"/>
        </w:rPr>
        <w:t>tiene por objeto consolidar la información relacionada con la capacidad jurídica, técnica, financiera y organizacional de los posibles proponentes, con el fin que participen en los procedimientos de selección realizados por las entidades estatales, facilitando la revisión de los datos contenidos en el registro.</w:t>
      </w:r>
    </w:p>
    <w:p w14:paraId="7B6B32EE" w14:textId="77777777" w:rsidR="00EC0FFE" w:rsidRPr="00EC0FFE" w:rsidRDefault="00EC0FFE" w:rsidP="00EC0FFE">
      <w:pPr>
        <w:spacing w:before="120" w:after="120" w:line="276" w:lineRule="auto"/>
        <w:ind w:firstLine="708"/>
        <w:jc w:val="both"/>
        <w:rPr>
          <w:rFonts w:ascii="Verdana" w:eastAsia="Calibri" w:hAnsi="Verdana" w:cs="Arial"/>
          <w:szCs w:val="24"/>
          <w:lang w:eastAsia="es-MX"/>
        </w:rPr>
      </w:pPr>
      <w:r w:rsidRPr="00EC0FFE">
        <w:rPr>
          <w:rFonts w:ascii="Verdana" w:eastAsia="Calibri" w:hAnsi="Verdana" w:cs="Arial"/>
          <w:szCs w:val="24"/>
          <w:lang w:eastAsia="es-MX"/>
        </w:rPr>
        <w:t>La capacidad jurídica, las condiciones de experiencia, la capacidad financiera y de organización de los proponentes deberán verificarse exclusivamente con el registro, toda vez que constituye plena prueba de lo que contiene según el numeral 6.1 del artículo 6 de la Ley 1150 de 2007</w:t>
      </w:r>
      <w:r w:rsidRPr="00EC0FFE">
        <w:rPr>
          <w:rFonts w:ascii="Verdana" w:eastAsia="Calibri" w:hAnsi="Verdana" w:cs="Arial"/>
          <w:szCs w:val="24"/>
          <w:vertAlign w:val="superscript"/>
          <w:lang w:eastAsia="es-MX"/>
        </w:rPr>
        <w:footnoteReference w:id="2"/>
      </w:r>
      <w:r w:rsidRPr="00EC0FFE">
        <w:rPr>
          <w:rFonts w:ascii="Verdana" w:eastAsia="Calibri" w:hAnsi="Verdana" w:cs="Arial"/>
          <w:szCs w:val="24"/>
          <w:lang w:eastAsia="es-MX"/>
        </w:rPr>
        <w:t xml:space="preserve">. El legislador otorgó a las cámaras de comercio la administración del RUP y dispuso que estas realizarán la verificación de la información suministrada por las personas naturales o jurídicas para su posterior utilización en los procesos de selección. </w:t>
      </w:r>
    </w:p>
    <w:p w14:paraId="5A8DCB4C" w14:textId="77777777" w:rsidR="00EC0FFE" w:rsidRPr="00EC0FFE" w:rsidRDefault="00EC0FFE" w:rsidP="00EC0FFE">
      <w:pPr>
        <w:spacing w:before="120" w:after="120" w:line="276" w:lineRule="auto"/>
        <w:ind w:firstLine="708"/>
        <w:jc w:val="both"/>
        <w:rPr>
          <w:rFonts w:ascii="Verdana" w:eastAsia="Calibri" w:hAnsi="Verdana" w:cs="Arial"/>
          <w:szCs w:val="24"/>
          <w:lang w:eastAsia="es-MX"/>
        </w:rPr>
      </w:pPr>
      <w:r w:rsidRPr="00EC0FFE">
        <w:rPr>
          <w:rFonts w:ascii="Verdana" w:eastAsia="Calibri" w:hAnsi="Verdana" w:cs="Arial"/>
          <w:szCs w:val="24"/>
          <w:lang w:eastAsia="es-MX"/>
        </w:rPr>
        <w:t>Sin perjuicio de lo anterior, el RUP no es exigible en algunos procedimientos de selección, como en la contratación directa, los procesos de mínima cuantía, la prestación de servicios de salud, la enajenación de bienes del Estado, la adquisición de productos de origen o destinación agropecuaria ofrecidos en bolsas de productos y los contratos de concesión. Igualmente, no es exigible en los contratos que celebren las empresas industriales y comerciales del Estado y las sociedades de economía mixta que tengan por objeto el desarrollo de sus actividades industriales y comerciales. En estos casos, de no requerirse el RUP, las entidades estatales deben verificar directamente el cumplimiento de los requisitos habilitantes</w:t>
      </w:r>
      <w:r w:rsidRPr="00EC0FFE">
        <w:rPr>
          <w:rFonts w:ascii="Verdana" w:eastAsia="Calibri" w:hAnsi="Verdana" w:cs="Arial"/>
          <w:szCs w:val="24"/>
          <w:vertAlign w:val="superscript"/>
          <w:lang w:eastAsia="es-MX"/>
        </w:rPr>
        <w:footnoteReference w:id="3"/>
      </w:r>
      <w:r w:rsidRPr="00EC0FFE">
        <w:rPr>
          <w:rFonts w:ascii="Verdana" w:eastAsia="Calibri" w:hAnsi="Verdana" w:cs="Arial"/>
          <w:szCs w:val="24"/>
          <w:lang w:eastAsia="es-MX"/>
        </w:rPr>
        <w:t>.</w:t>
      </w:r>
    </w:p>
    <w:p w14:paraId="0CBCFF99" w14:textId="77777777" w:rsidR="00EC0FFE" w:rsidRPr="00EC0FFE" w:rsidRDefault="00EC0FFE" w:rsidP="00EC0FFE">
      <w:pPr>
        <w:spacing w:before="120" w:after="0" w:line="276" w:lineRule="auto"/>
        <w:ind w:firstLine="708"/>
        <w:jc w:val="both"/>
        <w:rPr>
          <w:rFonts w:ascii="Verdana" w:eastAsia="Calibri" w:hAnsi="Verdana" w:cs="Arial"/>
          <w:szCs w:val="24"/>
          <w:lang w:eastAsia="es-MX"/>
        </w:rPr>
      </w:pPr>
      <w:r w:rsidRPr="00EC0FFE">
        <w:rPr>
          <w:rFonts w:ascii="Verdana" w:eastAsia="Calibri" w:hAnsi="Verdana" w:cs="Arial"/>
          <w:szCs w:val="24"/>
          <w:lang w:eastAsia="es-MX"/>
        </w:rPr>
        <w:lastRenderedPageBreak/>
        <w:t xml:space="preserve">El Consejo de Estado reafirmó lo señalado en el párrafo precedente, al enlistar las excepciones al deber de inscripción en el RUP, incluyendo el supuesto en que se puede verificar información adicional a la contenida en él, tal como se relaciona a continuación: i) no se requerirá el RUP, ni la calificación y clasificación correspondiente, respecto de los proponentes que pretendan celebrar los contratos enunciados en el inciso segundo del artículo 6 de la ley 1150, así como en los eventos de contratación directa, </w:t>
      </w:r>
      <w:proofErr w:type="spellStart"/>
      <w:r w:rsidRPr="00EC0FFE">
        <w:rPr>
          <w:rFonts w:ascii="Verdana" w:eastAsia="Calibri" w:hAnsi="Verdana" w:cs="Arial"/>
          <w:szCs w:val="24"/>
          <w:lang w:eastAsia="es-MX"/>
        </w:rPr>
        <w:t>ii</w:t>
      </w:r>
      <w:proofErr w:type="spellEnd"/>
      <w:r w:rsidRPr="00EC0FFE">
        <w:rPr>
          <w:rFonts w:ascii="Verdana" w:eastAsia="Calibri" w:hAnsi="Verdana" w:cs="Arial"/>
          <w:szCs w:val="24"/>
          <w:lang w:eastAsia="es-MX"/>
        </w:rPr>
        <w:t xml:space="preserve">) a las personas naturales extranjeras sin domicilio en el país o de personas jurídicas extranjeras que no tengan establecida sucursal en Colombia, o en aquellos casos en que el proceso de selección haya utilizado sistemas de precalificación y </w:t>
      </w:r>
      <w:proofErr w:type="spellStart"/>
      <w:r w:rsidRPr="00EC0FFE">
        <w:rPr>
          <w:rFonts w:ascii="Verdana" w:eastAsia="Calibri" w:hAnsi="Verdana" w:cs="Arial"/>
          <w:szCs w:val="24"/>
          <w:lang w:eastAsia="es-MX"/>
        </w:rPr>
        <w:t>iii</w:t>
      </w:r>
      <w:proofErr w:type="spellEnd"/>
      <w:r w:rsidRPr="00EC0FFE">
        <w:rPr>
          <w:rFonts w:ascii="Verdana" w:eastAsia="Calibri" w:hAnsi="Verdana" w:cs="Arial"/>
          <w:szCs w:val="24"/>
          <w:lang w:eastAsia="es-MX"/>
        </w:rPr>
        <w:t>) cuando por las características del objeto a contratar se requiera la verificación de requisitos del proponente adicionales a los contenidos en el RUP</w:t>
      </w:r>
      <w:r w:rsidRPr="00EC0FFE">
        <w:rPr>
          <w:rFonts w:ascii="Verdana" w:eastAsia="Calibri" w:hAnsi="Verdana" w:cs="Arial"/>
          <w:szCs w:val="24"/>
          <w:vertAlign w:val="superscript"/>
          <w:lang w:eastAsia="es-MX"/>
        </w:rPr>
        <w:footnoteReference w:id="4"/>
      </w:r>
      <w:r w:rsidRPr="00EC0FFE">
        <w:rPr>
          <w:rFonts w:ascii="Verdana" w:eastAsia="Calibri" w:hAnsi="Verdana" w:cs="Arial"/>
          <w:szCs w:val="24"/>
          <w:lang w:eastAsia="es-MX"/>
        </w:rPr>
        <w:t>. Por lo demás, tampoco es obligatoria la inscripción en el RUP para celebrar contratos con entidades privadas sin ánimo de lucro en el régimen establecido en el Decreto 092 de 2017</w:t>
      </w:r>
      <w:r w:rsidRPr="00EC0FFE">
        <w:rPr>
          <w:rFonts w:ascii="Verdana" w:eastAsia="Calibri" w:hAnsi="Verdana" w:cs="Arial"/>
          <w:szCs w:val="24"/>
          <w:vertAlign w:val="superscript"/>
          <w:lang w:eastAsia="es-MX"/>
        </w:rPr>
        <w:footnoteReference w:id="5"/>
      </w:r>
      <w:r w:rsidRPr="00EC0FFE">
        <w:rPr>
          <w:rFonts w:ascii="Verdana" w:eastAsia="Calibri" w:hAnsi="Verdana" w:cs="Arial"/>
          <w:szCs w:val="24"/>
          <w:lang w:eastAsia="es-MX"/>
        </w:rPr>
        <w:t>, ni para participar en procedimientos de selección de entidades exceptuadas del Estatuto General de Contratación de la Administración Pública.</w:t>
      </w:r>
    </w:p>
    <w:p w14:paraId="49A65404" w14:textId="77777777" w:rsidR="00EC0FFE" w:rsidRPr="00EC0FFE" w:rsidRDefault="00EC0FFE" w:rsidP="00EC0FFE">
      <w:pPr>
        <w:spacing w:after="0" w:line="276" w:lineRule="auto"/>
        <w:jc w:val="both"/>
        <w:rPr>
          <w:rFonts w:ascii="Verdana" w:eastAsia="Calibri" w:hAnsi="Verdana" w:cs="Arial"/>
          <w:b/>
          <w:bCs/>
          <w:color w:val="000000"/>
        </w:rPr>
      </w:pPr>
    </w:p>
    <w:p w14:paraId="0CF20994" w14:textId="77777777" w:rsidR="00EC0FFE" w:rsidRPr="00EC0FFE" w:rsidRDefault="00EC0FFE" w:rsidP="00EC0FFE">
      <w:pPr>
        <w:spacing w:after="0" w:line="276" w:lineRule="auto"/>
        <w:jc w:val="both"/>
        <w:rPr>
          <w:rFonts w:ascii="Verdana" w:eastAsia="Calibri" w:hAnsi="Verdana" w:cs="Arial"/>
        </w:rPr>
      </w:pPr>
      <w:proofErr w:type="spellStart"/>
      <w:r w:rsidRPr="00EC0FFE">
        <w:rPr>
          <w:rFonts w:ascii="Verdana" w:eastAsia="Calibri" w:hAnsi="Verdana" w:cs="Arial"/>
        </w:rPr>
        <w:t>ii</w:t>
      </w:r>
      <w:proofErr w:type="spellEnd"/>
      <w:r w:rsidRPr="00EC0FFE">
        <w:rPr>
          <w:rFonts w:ascii="Verdana" w:eastAsia="Calibri" w:hAnsi="Verdana" w:cs="Arial"/>
        </w:rPr>
        <w:t xml:space="preserve">. Las cámaras de comercio, de acuerdo con el artículo 6.1 de la Ley 1150 de 2007 y con el artículo 2.2.1.1.1.5.3 del Decreto 1082 de 2015, verifican y certifican los requisitos habilitantes de experiencia, capacidad jurídica, capacidad financiera y de organización. Conforme al numeral 6.3 de la Ley 1150 de 2007, la cámara de comercio verifica la información aportada por el proponente, publica el acto de inscripción del Registro Único de Proponentes, contra el que </w:t>
      </w:r>
      <w:r w:rsidRPr="00EC0FFE">
        <w:rPr>
          <w:rFonts w:ascii="Verdana" w:eastAsia="Calibri" w:hAnsi="Verdana" w:cs="Arial"/>
        </w:rPr>
        <w:lastRenderedPageBreak/>
        <w:t xml:space="preserve">cualquier persona puede interponer recurso de reposición dentro de los diez –10– días hábiles siguientes contados a partir de su publicación –posibilidad aplicable frente a la </w:t>
      </w:r>
      <w:r w:rsidRPr="00EC0FFE">
        <w:rPr>
          <w:rFonts w:ascii="Verdana" w:eastAsia="Calibri" w:hAnsi="Verdana" w:cs="Arial"/>
          <w:i/>
          <w:iCs/>
        </w:rPr>
        <w:t>inscripción, renovación o actualización–</w:t>
      </w:r>
      <w:r w:rsidRPr="00EC0FFE">
        <w:rPr>
          <w:rFonts w:ascii="Verdana" w:eastAsia="Calibri" w:hAnsi="Verdana" w:cs="Arial"/>
          <w:vertAlign w:val="superscript"/>
        </w:rPr>
        <w:footnoteReference w:id="6"/>
      </w:r>
      <w:r w:rsidRPr="00EC0FFE">
        <w:rPr>
          <w:rFonts w:ascii="Verdana" w:eastAsia="Calibri" w:hAnsi="Verdana" w:cs="Arial"/>
        </w:rPr>
        <w:t xml:space="preserve">. En firme el acto </w:t>
      </w:r>
      <w:r w:rsidRPr="00EC0FFE">
        <w:rPr>
          <w:rFonts w:ascii="Verdana" w:eastAsia="Calibri" w:hAnsi="Verdana" w:cs="Arial"/>
        </w:rPr>
        <w:lastRenderedPageBreak/>
        <w:t>administrativo que realiza la inscripción en el Registro Único de Proponentes se podrá demandar su nulidad sin que la presentación de la demanda suspenda la inscripción del RUP.</w:t>
      </w:r>
    </w:p>
    <w:p w14:paraId="3C662A5D" w14:textId="77777777" w:rsidR="00EC0FFE" w:rsidRPr="00EC0FFE" w:rsidRDefault="00EC0FFE" w:rsidP="00EC0FFE">
      <w:pPr>
        <w:spacing w:before="120" w:after="0" w:line="276" w:lineRule="auto"/>
        <w:ind w:firstLine="708"/>
        <w:jc w:val="both"/>
        <w:rPr>
          <w:rFonts w:ascii="Verdana" w:eastAsia="Calibri" w:hAnsi="Verdana" w:cs="Arial"/>
        </w:rPr>
      </w:pPr>
      <w:r w:rsidRPr="00EC0FFE">
        <w:rPr>
          <w:rFonts w:ascii="Verdana" w:eastAsia="Calibri" w:hAnsi="Verdana" w:cs="Arial"/>
        </w:rPr>
        <w:t>De otro lado, el artículo 2.2.1.1.1.5.1 del Decreto 1082 de 2015 dispone que las personas inscritas en el RUP deben presentar la información para renovar su registro a más tardar el quinto día hábil del mes de abril de cada año, pues de lo contrario cesan los efectos del RUP</w:t>
      </w:r>
      <w:r w:rsidRPr="00EC0FFE">
        <w:rPr>
          <w:rFonts w:ascii="Verdana" w:eastAsia="Calibri" w:hAnsi="Verdana" w:cs="Arial"/>
          <w:vertAlign w:val="superscript"/>
        </w:rPr>
        <w:footnoteReference w:id="7"/>
      </w:r>
      <w:r w:rsidRPr="00EC0FFE">
        <w:rPr>
          <w:rFonts w:ascii="Verdana" w:eastAsia="Calibri" w:hAnsi="Verdana" w:cs="Arial"/>
        </w:rPr>
        <w:t>. Además, el Consejo de Estado en sentencia del 19 de septiembre de 2019 señaló la finalidad de la renovación del RUP y las consecuencias de no hacerlo en el término previsto:</w:t>
      </w:r>
    </w:p>
    <w:p w14:paraId="36740315" w14:textId="77777777" w:rsidR="00EC0FFE" w:rsidRPr="00EC0FFE" w:rsidRDefault="00EC0FFE" w:rsidP="00EC0FFE">
      <w:pPr>
        <w:spacing w:after="0" w:line="276" w:lineRule="auto"/>
        <w:jc w:val="both"/>
        <w:rPr>
          <w:rFonts w:ascii="Verdana" w:eastAsia="Calibri" w:hAnsi="Verdana" w:cs="Arial"/>
        </w:rPr>
      </w:pPr>
    </w:p>
    <w:p w14:paraId="1BA7198B" w14:textId="77777777" w:rsidR="00EC0FFE" w:rsidRPr="00EC0FFE" w:rsidRDefault="00EC0FFE" w:rsidP="00EC0FFE">
      <w:pPr>
        <w:tabs>
          <w:tab w:val="left" w:pos="567"/>
        </w:tabs>
        <w:spacing w:after="0" w:line="240" w:lineRule="auto"/>
        <w:ind w:left="709" w:right="709"/>
        <w:jc w:val="both"/>
        <w:rPr>
          <w:rFonts w:ascii="Verdana" w:eastAsia="Calibri" w:hAnsi="Verdana" w:cs="Arial"/>
          <w:sz w:val="21"/>
          <w:szCs w:val="21"/>
        </w:rPr>
      </w:pPr>
      <w:r w:rsidRPr="00EC0FFE">
        <w:rPr>
          <w:rFonts w:ascii="Verdana" w:eastAsia="Calibri" w:hAnsi="Verdana" w:cs="Arial"/>
          <w:sz w:val="21"/>
          <w:szCs w:val="21"/>
        </w:rPr>
        <w:t xml:space="preserve">“Al respecto, no puede perderse de vista que la finalidad principal de la renovación del RUP, al margen de que con ese acto se nutra del registro de nueva información, es conservar su vigencia, propósito que, de acuerdo con el artículo 8 del Decreto 1510 de 2013, solo ha de cumplirse si el mismo se realiza dentro del plazo allí establecido, comprendido entre el 1 de enero hasta el quinto día hábil del mes de abril. En defecto, la disposición reglamentaria establece como consecuencia la cesación de los efectos del RUP. </w:t>
      </w:r>
    </w:p>
    <w:p w14:paraId="748BA5F6" w14:textId="77777777" w:rsidR="00EC0FFE" w:rsidRPr="00EC0FFE" w:rsidRDefault="00EC0FFE" w:rsidP="00EC0FFE">
      <w:pPr>
        <w:tabs>
          <w:tab w:val="left" w:pos="567"/>
        </w:tabs>
        <w:spacing w:after="0" w:line="240" w:lineRule="auto"/>
        <w:ind w:left="709" w:right="709"/>
        <w:jc w:val="both"/>
        <w:rPr>
          <w:rFonts w:ascii="Verdana" w:eastAsia="Calibri" w:hAnsi="Verdana" w:cs="Arial"/>
          <w:sz w:val="16"/>
          <w:szCs w:val="16"/>
        </w:rPr>
      </w:pPr>
    </w:p>
    <w:p w14:paraId="2C6ABE9C" w14:textId="77777777" w:rsidR="00EC0FFE" w:rsidRPr="00EC0FFE" w:rsidRDefault="00EC0FFE" w:rsidP="00EC0FFE">
      <w:pPr>
        <w:tabs>
          <w:tab w:val="left" w:pos="567"/>
        </w:tabs>
        <w:spacing w:after="0" w:line="240" w:lineRule="auto"/>
        <w:ind w:left="709" w:right="709"/>
        <w:jc w:val="both"/>
        <w:rPr>
          <w:rFonts w:ascii="Verdana" w:eastAsia="Calibri" w:hAnsi="Verdana" w:cs="Arial"/>
          <w:sz w:val="21"/>
          <w:szCs w:val="21"/>
        </w:rPr>
      </w:pPr>
      <w:r w:rsidRPr="00EC0FFE">
        <w:rPr>
          <w:rFonts w:ascii="Verdana" w:eastAsia="Calibri" w:hAnsi="Verdana" w:cs="Arial"/>
          <w:sz w:val="21"/>
          <w:szCs w:val="21"/>
        </w:rPr>
        <w:t xml:space="preserve">Ante ese panorama, el incumplimiento del deber de renovar el RUP en el período trae como consecuencia la cesación de efectos respecto de la información certificada en ese documento y, por contera, la falta de </w:t>
      </w:r>
      <w:r w:rsidRPr="00EC0FFE">
        <w:rPr>
          <w:rFonts w:ascii="Verdana" w:eastAsia="Calibri" w:hAnsi="Verdana" w:cs="Arial"/>
          <w:sz w:val="21"/>
          <w:szCs w:val="21"/>
        </w:rPr>
        <w:lastRenderedPageBreak/>
        <w:t>vocación como plena prueba para acreditar el cumplimiento de los requisitos habilitantes del proponente, anomalía que en manera alguna se sanea o convalida por el hecho de realizar una renovación por fuera del plazo reglamentado, en tanto no resulta jurídicamente admisible extender una vigencia que por ministerio de la ley se encuentra vencida y cuyos efectos cesaron, precisamente por no haberse renovado en el término señalado”</w:t>
      </w:r>
      <w:r w:rsidRPr="00EC0FFE">
        <w:rPr>
          <w:rFonts w:ascii="Verdana" w:eastAsia="Calibri" w:hAnsi="Verdana" w:cs="Arial"/>
          <w:sz w:val="21"/>
          <w:szCs w:val="21"/>
          <w:vertAlign w:val="superscript"/>
        </w:rPr>
        <w:footnoteReference w:id="8"/>
      </w:r>
      <w:r w:rsidRPr="00EC0FFE">
        <w:rPr>
          <w:rFonts w:ascii="Verdana" w:eastAsia="Calibri" w:hAnsi="Verdana" w:cs="Arial"/>
          <w:sz w:val="21"/>
          <w:szCs w:val="21"/>
        </w:rPr>
        <w:t xml:space="preserve">.  </w:t>
      </w:r>
    </w:p>
    <w:p w14:paraId="161F4443" w14:textId="77777777" w:rsidR="00EC0FFE" w:rsidRPr="00EC0FFE" w:rsidRDefault="00EC0FFE" w:rsidP="00EC0FFE">
      <w:pPr>
        <w:spacing w:after="0" w:line="240" w:lineRule="auto"/>
        <w:jc w:val="both"/>
        <w:rPr>
          <w:rFonts w:ascii="Verdana" w:eastAsia="Calibri" w:hAnsi="Verdana" w:cs="Arial"/>
        </w:rPr>
      </w:pPr>
      <w:r w:rsidRPr="00EC0FFE">
        <w:rPr>
          <w:rFonts w:ascii="Verdana" w:eastAsia="Calibri" w:hAnsi="Verdana" w:cs="Arial"/>
        </w:rPr>
        <w:t xml:space="preserve"> </w:t>
      </w:r>
    </w:p>
    <w:p w14:paraId="488A6CCC" w14:textId="77777777" w:rsidR="00EC0FFE" w:rsidRPr="00EC0FFE" w:rsidRDefault="00EC0FFE" w:rsidP="00EC0FFE">
      <w:pPr>
        <w:spacing w:after="0" w:line="276" w:lineRule="auto"/>
        <w:ind w:firstLine="708"/>
        <w:jc w:val="both"/>
        <w:rPr>
          <w:rFonts w:ascii="Verdana" w:eastAsia="Calibri" w:hAnsi="Verdana" w:cs="Arial"/>
        </w:rPr>
      </w:pPr>
      <w:r w:rsidRPr="00EC0FFE">
        <w:rPr>
          <w:rFonts w:ascii="Verdana" w:eastAsia="Calibri" w:hAnsi="Verdana" w:cs="Arial"/>
        </w:rPr>
        <w:t xml:space="preserve">Conforme con lo anterior, en armonía con el artículo 2.2.1.1.1.5.1 del Decreto 1082 de 2015, </w:t>
      </w:r>
      <w:r w:rsidRPr="00EC0FFE">
        <w:rPr>
          <w:rFonts w:ascii="Verdana" w:eastAsia="Calibri" w:hAnsi="Verdana" w:cs="Arial"/>
          <w:i/>
        </w:rPr>
        <w:t>si el proponente</w:t>
      </w:r>
      <w:r w:rsidRPr="00EC0FFE">
        <w:rPr>
          <w:rFonts w:ascii="Verdana" w:eastAsia="Calibri" w:hAnsi="Verdana" w:cs="Arial"/>
        </w:rPr>
        <w:t xml:space="preserve"> </w:t>
      </w:r>
      <w:r w:rsidRPr="00EC0FFE">
        <w:rPr>
          <w:rFonts w:ascii="Verdana" w:eastAsia="Calibri" w:hAnsi="Verdana" w:cs="Arial"/>
          <w:i/>
        </w:rPr>
        <w:t>no presenta la información para renovar su registro</w:t>
      </w:r>
      <w:r w:rsidRPr="00EC0FFE">
        <w:rPr>
          <w:rFonts w:ascii="Verdana" w:eastAsia="Calibri" w:hAnsi="Verdana" w:cs="Arial"/>
        </w:rPr>
        <w:t xml:space="preserve"> antes del quinto día hábil del mes de abril de cada año, cesan los efectos del RUP. Lo anterior implica que el proponente que no cumpla con la carga indicada no se puede presentar a los procedimientos de selección, en los casos que es necesario estar inscrito en el RUP, porque no tendría capacidad para hacerlo. Por tanto, tendría que inscribirse nuevamente, caso en el que solo se podrá presentar cuando la inscripción esté en firme. </w:t>
      </w:r>
    </w:p>
    <w:p w14:paraId="017C9944" w14:textId="77777777" w:rsidR="00EC0FFE" w:rsidRPr="00EC0FFE" w:rsidRDefault="00EC0FFE" w:rsidP="00EC0FFE">
      <w:pPr>
        <w:spacing w:before="120" w:after="0" w:line="276" w:lineRule="auto"/>
        <w:ind w:firstLine="708"/>
        <w:jc w:val="both"/>
        <w:rPr>
          <w:rFonts w:ascii="Verdana" w:eastAsia="Calibri" w:hAnsi="Verdana" w:cs="Arial"/>
        </w:rPr>
      </w:pPr>
      <w:r w:rsidRPr="00EC0FFE">
        <w:rPr>
          <w:rFonts w:ascii="Verdana" w:eastAsia="Calibri" w:hAnsi="Verdana" w:cs="Arial"/>
        </w:rPr>
        <w:t xml:space="preserve">Tratándose del trámite de </w:t>
      </w:r>
      <w:r w:rsidRPr="00EC0FFE">
        <w:rPr>
          <w:rFonts w:ascii="Verdana" w:eastAsia="Calibri" w:hAnsi="Verdana" w:cs="Arial"/>
          <w:i/>
        </w:rPr>
        <w:t>renovación,</w:t>
      </w:r>
      <w:r w:rsidRPr="00EC0FFE">
        <w:rPr>
          <w:rFonts w:ascii="Verdana" w:eastAsia="Calibri" w:hAnsi="Verdana" w:cs="Arial"/>
        </w:rPr>
        <w:t xml:space="preserve"> la persona que </w:t>
      </w:r>
      <w:r w:rsidRPr="00EC0FFE">
        <w:rPr>
          <w:rFonts w:ascii="Verdana" w:eastAsia="Calibri" w:hAnsi="Verdana" w:cs="Arial"/>
          <w:i/>
          <w:iCs/>
        </w:rPr>
        <w:t>haya presentado la información</w:t>
      </w:r>
      <w:r w:rsidRPr="00EC0FFE">
        <w:rPr>
          <w:rFonts w:ascii="Verdana" w:eastAsia="Calibri" w:hAnsi="Verdana" w:cs="Arial"/>
        </w:rPr>
        <w:t xml:space="preserve"> para renovar su registro a más tardar al quinto día hábil del mes de abril, cumpliendo con el requisito establecido en el artículo 2.2.1.1.1.5.1, puede participar en los procedimientos de selección, debiéndose tener en cuenta la información “antigua”. De esta manera, en el período comprendido entre el momento de la solicitud de renovación y el momento de la firmeza de la nueva información, se permite que haga valer la información del RUP que está en firme antes de iniciar el trámite de renovación, cuyos efectos no han cesado por encontrarse vigente.</w:t>
      </w:r>
    </w:p>
    <w:p w14:paraId="2410804D" w14:textId="77777777" w:rsidR="00EC0FFE" w:rsidRPr="00EC0FFE" w:rsidRDefault="00EC0FFE" w:rsidP="00EC0FFE">
      <w:pPr>
        <w:spacing w:before="120" w:after="0" w:line="276" w:lineRule="auto"/>
        <w:ind w:firstLine="708"/>
        <w:jc w:val="both"/>
        <w:rPr>
          <w:rFonts w:ascii="Verdana" w:eastAsia="Calibri" w:hAnsi="Verdana" w:cs="Arial"/>
        </w:rPr>
      </w:pPr>
      <w:r w:rsidRPr="00EC0FFE">
        <w:rPr>
          <w:rFonts w:ascii="Verdana" w:eastAsia="Calibri" w:hAnsi="Verdana" w:cs="Arial"/>
        </w:rPr>
        <w:t>Así las cosas, para verificar que los efectos del RUP no han cesado, es necesario que el certificado contenga la anotación de que el inscrito, a más tardar el quinto día hábil de abril de cada año,</w:t>
      </w:r>
      <w:r w:rsidRPr="00EC0FFE" w:rsidDel="00B14FC4">
        <w:rPr>
          <w:rFonts w:ascii="Verdana" w:eastAsia="Calibri" w:hAnsi="Verdana" w:cs="Arial"/>
        </w:rPr>
        <w:t xml:space="preserve"> </w:t>
      </w:r>
      <w:r w:rsidRPr="00EC0FFE">
        <w:rPr>
          <w:rFonts w:ascii="Verdana" w:eastAsia="Calibri" w:hAnsi="Verdana" w:cs="Arial"/>
          <w:i/>
          <w:iCs/>
        </w:rPr>
        <w:t>radicó ante la cámara de comercio los documentos para la renovación</w:t>
      </w:r>
      <w:r w:rsidRPr="00EC0FFE">
        <w:rPr>
          <w:rFonts w:ascii="Verdana" w:eastAsia="Calibri" w:hAnsi="Verdana" w:cs="Arial"/>
        </w:rPr>
        <w:t xml:space="preserve">. En todo caso, si tal circunstancia no estuviere inscrita en el certificado, se podrá acreditar a través del medio documental expedido por la cámara de comercio correspondiente. Así, por no existir tarifa legal que permita establecer la forma de acreditar el trámite de renovación, la entidad estatal debe verificar que el documento aportado por el proponente ofrezca certeza sobre el estado del trámite. </w:t>
      </w:r>
    </w:p>
    <w:p w14:paraId="2816BF1A" w14:textId="77777777" w:rsidR="00EC0FFE" w:rsidRPr="00EC0FFE" w:rsidRDefault="00EC0FFE" w:rsidP="00EC0FFE">
      <w:pPr>
        <w:spacing w:before="120" w:after="0" w:line="276" w:lineRule="auto"/>
        <w:ind w:firstLine="709"/>
        <w:jc w:val="both"/>
        <w:rPr>
          <w:rFonts w:ascii="Verdana" w:eastAsia="Calibri" w:hAnsi="Verdana" w:cs="Arial"/>
        </w:rPr>
      </w:pPr>
      <w:r w:rsidRPr="00EC0FFE">
        <w:rPr>
          <w:rFonts w:ascii="Verdana" w:eastAsia="Calibri" w:hAnsi="Verdana" w:cs="Arial"/>
        </w:rPr>
        <w:lastRenderedPageBreak/>
        <w:t>Dicho esto, la firmeza del acto de inscripción, renovación y actualización del RUP debe armonizarse con las prescripciones establecidas para la generalidad de los actos administrativos, esto es, de acuerdo con el artículo 87 de la Ley 1437 de 2011</w:t>
      </w:r>
      <w:r w:rsidRPr="00EC0FFE">
        <w:rPr>
          <w:rFonts w:ascii="Verdana" w:eastAsia="Calibri" w:hAnsi="Verdana" w:cs="Arial"/>
          <w:vertAlign w:val="superscript"/>
        </w:rPr>
        <w:footnoteReference w:id="9"/>
      </w:r>
      <w:r w:rsidRPr="00EC0FFE">
        <w:rPr>
          <w:rFonts w:ascii="Verdana" w:eastAsia="Calibri" w:hAnsi="Verdana" w:cs="Arial"/>
        </w:rPr>
        <w:t xml:space="preserve">. Conforme a lo anterior, la persona natural o jurídica podrá presentarse a los procedimientos de selección cuando el acto administrativo que realiza la inscripción del RUP se encuentra en firme, porque es un requisito para las personas naturales o jurídicas nacionales o extranjeras domiciliadas o con sucursal en Colombia, que aspiran celebrar contratos con las entidades estatales, estar inscritas en él, salvo las excepciones establecidas en la ley. </w:t>
      </w:r>
    </w:p>
    <w:p w14:paraId="0BADFF1C" w14:textId="77777777" w:rsidR="00EC0FFE" w:rsidRPr="00EC0FFE" w:rsidRDefault="00EC0FFE" w:rsidP="00EC0FFE">
      <w:pPr>
        <w:spacing w:before="120" w:after="0" w:line="276" w:lineRule="auto"/>
        <w:ind w:firstLine="709"/>
        <w:jc w:val="both"/>
        <w:rPr>
          <w:rFonts w:ascii="Verdana" w:eastAsia="Calibri" w:hAnsi="Verdana" w:cs="Arial"/>
        </w:rPr>
      </w:pPr>
      <w:r w:rsidRPr="00EC0FFE">
        <w:rPr>
          <w:rFonts w:ascii="Verdana" w:eastAsia="Calibri" w:hAnsi="Verdana" w:cs="Arial"/>
        </w:rPr>
        <w:t>La inscripción en el RUP, cuando es obligatoria, constituye un requisito que habilita la capacidad legal de las personas para celebrar contratos estatales, por ende, cuando no se cumple por no existir o por no producir efectos –mientras no está en firme–, impide que las personas puedan suscribir contratos con el estado válidamente. Así las cosas, la firmeza del RUP es una condición de ejecutoriedad para consolidar los efectos del acto administrativo de inscripción. En palabras del Consejo de Estado “El fenómeno procesal de la firmeza implica en principio, que la decisión se torna incuestionable en sede administrativa, lo que a su vez conlleva su ejecutoriedad”</w:t>
      </w:r>
      <w:r w:rsidRPr="00EC0FFE">
        <w:rPr>
          <w:rFonts w:ascii="Verdana" w:eastAsia="Calibri" w:hAnsi="Verdana" w:cs="Arial"/>
          <w:vertAlign w:val="superscript"/>
        </w:rPr>
        <w:footnoteReference w:id="10"/>
      </w:r>
      <w:r w:rsidRPr="00EC0FFE">
        <w:rPr>
          <w:rFonts w:ascii="Verdana" w:eastAsia="Calibri" w:hAnsi="Verdana" w:cs="Arial"/>
        </w:rPr>
        <w:t xml:space="preserve">. </w:t>
      </w:r>
    </w:p>
    <w:p w14:paraId="2D2088E9" w14:textId="77777777" w:rsidR="00EC0FFE" w:rsidRPr="00EC0FFE" w:rsidRDefault="00EC0FFE" w:rsidP="00EC0FFE">
      <w:pPr>
        <w:spacing w:before="120" w:after="0" w:line="276" w:lineRule="auto"/>
        <w:ind w:firstLine="709"/>
        <w:jc w:val="both"/>
        <w:rPr>
          <w:rFonts w:ascii="Verdana" w:eastAsia="Calibri" w:hAnsi="Verdana" w:cs="Arial"/>
        </w:rPr>
      </w:pPr>
      <w:r w:rsidRPr="00EC0FFE">
        <w:rPr>
          <w:rFonts w:ascii="Verdana" w:eastAsia="Calibri" w:hAnsi="Verdana" w:cs="Arial"/>
        </w:rPr>
        <w:lastRenderedPageBreak/>
        <w:t xml:space="preserve">Es importante resaltar que los distintos eventos de firmeza señalados en el artículo 87 del CPACA involucran la exigencia de la publicidad, comunicación o notificación del acto, además de incluir la necesidad de resolver los recursos administrativos interpuestos contra la decisión, como expresión del debido proceso y del derecho de defensa en sede administrativa. </w:t>
      </w:r>
    </w:p>
    <w:p w14:paraId="54312986" w14:textId="77777777" w:rsidR="00EC0FFE" w:rsidRPr="00EC0FFE" w:rsidRDefault="00EC0FFE" w:rsidP="00EC0FFE">
      <w:pPr>
        <w:spacing w:before="120" w:after="0" w:line="276" w:lineRule="auto"/>
        <w:ind w:firstLine="709"/>
        <w:jc w:val="both"/>
        <w:rPr>
          <w:rFonts w:ascii="Verdana" w:eastAsia="Calibri" w:hAnsi="Verdana" w:cs="Arial"/>
        </w:rPr>
      </w:pPr>
      <w:r w:rsidRPr="00EC0FFE">
        <w:rPr>
          <w:rFonts w:ascii="Verdana" w:eastAsia="Calibri" w:hAnsi="Verdana" w:cs="Arial"/>
        </w:rPr>
        <w:t>El artículo 6.3 de la Ley 1150 de 2007 regula la impugnación del acto de inscripción de información en el RUP, para que cualquier persona presente recurso de reposición durante los diez (10) días hábiles siguientes a su publicación, tiempo después del cual el acto administrativo adquiere firmeza y será oponible a terceros, adquiriendo su presunción de legalidad, siempre que durante el término indicado no se presenten recursos. Si ocurre lo último, para que el acto de inscripción o renovación quede en firme, o que la actualización de la nueva información adquiera firmeza, será necesario que se resuelvan dichos recursos. En efecto, las normas que regulan las anteriores actuaciones deben complementarse en lo no regulado en el artículo 6 de la Ley 1150 de 2007, con las disposiciones del Código de procedimiento Administrativo y de lo Contencioso Administrativo –CPACA–, entre las que se encuentran los artículos 87 a 89, en virtud de lo establecido en el artículo 2 del mismo Código</w:t>
      </w:r>
      <w:r w:rsidRPr="00EC0FFE">
        <w:rPr>
          <w:rFonts w:ascii="Verdana" w:eastAsia="Calibri" w:hAnsi="Verdana" w:cs="Arial"/>
          <w:vertAlign w:val="superscript"/>
        </w:rPr>
        <w:footnoteReference w:id="11"/>
      </w:r>
      <w:r w:rsidRPr="00EC0FFE">
        <w:rPr>
          <w:rFonts w:ascii="Verdana" w:eastAsia="Calibri" w:hAnsi="Verdana" w:cs="Arial"/>
        </w:rPr>
        <w:t xml:space="preserve">. </w:t>
      </w:r>
    </w:p>
    <w:p w14:paraId="7D12D7D3" w14:textId="77777777" w:rsidR="00EC0FFE" w:rsidRPr="00EC0FFE" w:rsidRDefault="00EC0FFE" w:rsidP="00EC0FFE">
      <w:pPr>
        <w:spacing w:before="120" w:after="0" w:line="276" w:lineRule="auto"/>
        <w:ind w:firstLine="709"/>
        <w:jc w:val="both"/>
        <w:rPr>
          <w:rFonts w:ascii="Verdana" w:eastAsia="Calibri" w:hAnsi="Verdana" w:cs="Arial"/>
        </w:rPr>
      </w:pPr>
      <w:r w:rsidRPr="00EC0FFE">
        <w:rPr>
          <w:rFonts w:ascii="Verdana" w:eastAsia="Calibri" w:hAnsi="Verdana" w:cs="Arial"/>
        </w:rPr>
        <w:t xml:space="preserve">Expuestas las reglas generales en torno a la necesidad de la firmeza de los actos de inscripción, renovación y actualización, se señalarán las consecuencias en cada supuesto de que la información incluida en el RUP esté pendiente de quedar en firme, pues en cada uno se generan efectos distintos; análisis donde debe aludirse a la posibilidad de subsanar las ofertas en los procedimientos de selección, teniendo en cuenta lo establecido en el artículo 5 de Ley 1882 de 2018. </w:t>
      </w:r>
    </w:p>
    <w:p w14:paraId="56EEAF97" w14:textId="77777777" w:rsidR="00EC0FFE" w:rsidRPr="00EC0FFE" w:rsidRDefault="00EC0FFE" w:rsidP="00EC0FFE">
      <w:pPr>
        <w:spacing w:before="120" w:after="0" w:line="276" w:lineRule="auto"/>
        <w:ind w:firstLine="709"/>
        <w:jc w:val="both"/>
        <w:rPr>
          <w:rFonts w:ascii="Verdana" w:eastAsia="Calibri" w:hAnsi="Verdana" w:cs="Arial"/>
        </w:rPr>
      </w:pPr>
      <w:r w:rsidRPr="00EC0FFE">
        <w:rPr>
          <w:rFonts w:ascii="Verdana" w:eastAsia="Calibri" w:hAnsi="Verdana" w:cs="Arial"/>
        </w:rPr>
        <w:t xml:space="preserve">En relación con la </w:t>
      </w:r>
      <w:r w:rsidRPr="00EC0FFE">
        <w:rPr>
          <w:rFonts w:ascii="Verdana" w:eastAsia="Calibri" w:hAnsi="Verdana" w:cs="Arial"/>
          <w:b/>
          <w:bCs/>
          <w:i/>
          <w:iCs/>
        </w:rPr>
        <w:t>inscripción</w:t>
      </w:r>
      <w:r w:rsidRPr="00EC0FFE">
        <w:rPr>
          <w:rFonts w:ascii="Verdana" w:eastAsia="Calibri" w:hAnsi="Verdana" w:cs="Arial"/>
        </w:rPr>
        <w:t xml:space="preserve"> –ya sea por primera vez o porque no se renueva a tiempo y se debe realizar el trámite como una inscripción inicial–, </w:t>
      </w:r>
      <w:r w:rsidRPr="00EC0FFE">
        <w:rPr>
          <w:rFonts w:ascii="Verdana" w:eastAsia="Calibri" w:hAnsi="Verdana" w:cs="Arial"/>
        </w:rPr>
        <w:lastRenderedPageBreak/>
        <w:t>debe considerarse lo prescrito en el parágrafo 1 del artículo 5 de la Ley 1150 de 2007, modificado por el artículo 5 de la Ley 1882 de 2018</w:t>
      </w:r>
      <w:r w:rsidRPr="00EC0FFE">
        <w:rPr>
          <w:rFonts w:ascii="Verdana" w:eastAsia="Calibri" w:hAnsi="Verdana" w:cs="Arial"/>
          <w:vertAlign w:val="superscript"/>
        </w:rPr>
        <w:footnoteReference w:id="12"/>
      </w:r>
      <w:r w:rsidRPr="00EC0FFE">
        <w:rPr>
          <w:rFonts w:ascii="Verdana" w:eastAsia="Calibri" w:hAnsi="Verdana" w:cs="Arial"/>
        </w:rPr>
        <w:t>, que establece que los proponentes no pueden acreditar circunstancias ocurridas con posterioridad al cierre del proceso. En armonía con lo anterior, como se expuso en el acápite previo, la Sala de Consulta y Servicio Civil del Consejo de Estado interpretó una norma de igual contenido a la anterior</w:t>
      </w:r>
      <w:r w:rsidRPr="00EC0FFE">
        <w:rPr>
          <w:rFonts w:ascii="Verdana" w:eastAsia="Calibri" w:hAnsi="Verdana" w:cs="Arial"/>
          <w:vertAlign w:val="superscript"/>
        </w:rPr>
        <w:footnoteReference w:id="13"/>
      </w:r>
      <w:r w:rsidRPr="00EC0FFE">
        <w:rPr>
          <w:rFonts w:ascii="Verdana" w:eastAsia="Calibri" w:hAnsi="Verdana" w:cs="Arial"/>
        </w:rPr>
        <w:t xml:space="preserve">, señalando que el proponente debe cumplir materialmente para la fecha del cierre del proceso con los requisitos que se requieren para presentar la oferta. En este sentido, en ese momento la persona natural o jurídica debe estar inscrita en el Registro Único de Proponentes, para lo cual no basta con la solicitud o radicación de los documentos para el trámite, sino que, además, el acto administrativo de </w:t>
      </w:r>
      <w:r w:rsidRPr="00EC0FFE">
        <w:rPr>
          <w:rFonts w:ascii="Verdana" w:eastAsia="Calibri" w:hAnsi="Verdana" w:cs="Arial"/>
          <w:i/>
          <w:iCs/>
        </w:rPr>
        <w:lastRenderedPageBreak/>
        <w:t>inscripción</w:t>
      </w:r>
      <w:r w:rsidRPr="00EC0FFE">
        <w:rPr>
          <w:rFonts w:ascii="Verdana" w:eastAsia="Calibri" w:hAnsi="Verdana" w:cs="Arial"/>
        </w:rPr>
        <w:t xml:space="preserve"> debe estar en firme, pues solo así se materializa y produce efectos la inscripción</w:t>
      </w:r>
      <w:r w:rsidRPr="00EC0FFE">
        <w:rPr>
          <w:rFonts w:ascii="Verdana" w:eastAsia="Calibri" w:hAnsi="Verdana" w:cs="Arial"/>
          <w:vertAlign w:val="superscript"/>
        </w:rPr>
        <w:footnoteReference w:id="14"/>
      </w:r>
      <w:r w:rsidRPr="00EC0FFE">
        <w:rPr>
          <w:rFonts w:ascii="Verdana" w:eastAsia="Calibri" w:hAnsi="Verdana" w:cs="Arial"/>
        </w:rPr>
        <w:t xml:space="preserve">. </w:t>
      </w:r>
    </w:p>
    <w:p w14:paraId="1DD309F3" w14:textId="77777777" w:rsidR="00EC0FFE" w:rsidRPr="00EC0FFE" w:rsidRDefault="00EC0FFE" w:rsidP="00EC0FFE">
      <w:pPr>
        <w:spacing w:before="120" w:after="0" w:line="276" w:lineRule="auto"/>
        <w:ind w:firstLine="709"/>
        <w:jc w:val="both"/>
        <w:rPr>
          <w:rFonts w:ascii="Verdana" w:eastAsia="Calibri" w:hAnsi="Verdana" w:cs="Arial"/>
        </w:rPr>
      </w:pPr>
      <w:r w:rsidRPr="00EC0FFE">
        <w:rPr>
          <w:rFonts w:ascii="Verdana" w:eastAsia="Calibri" w:hAnsi="Verdana" w:cs="Arial"/>
        </w:rPr>
        <w:t xml:space="preserve">Por lo tanto, si la cámara de comercio expide el acto administrativo de </w:t>
      </w:r>
      <w:r w:rsidRPr="00EC0FFE">
        <w:rPr>
          <w:rFonts w:ascii="Verdana" w:eastAsia="Calibri" w:hAnsi="Verdana" w:cs="Arial"/>
          <w:i/>
          <w:iCs/>
        </w:rPr>
        <w:t>inscripción</w:t>
      </w:r>
      <w:r w:rsidRPr="00EC0FFE">
        <w:rPr>
          <w:rFonts w:ascii="Verdana" w:eastAsia="Calibri" w:hAnsi="Verdana" w:cs="Arial"/>
        </w:rPr>
        <w:t xml:space="preserve"> en el RUP después del cierre del procedimiento de selección, por la falta de renovación a tiempo de la información contenida en él o por ser la primera inscripción, el proponente no puede aportarlo al proceso, porque al momento de presentar la oferta no tenía capacidad para contratar, y no puede acreditar circunstancias ocurridas con posterioridad al cierre del proceso, reiterando que la inscripción debe estar en firme antes del cierre. Lo anterior teniendo en cuenta que la inscripción solo se materializa y es oponible a terceros cuando el acto administrativo está en firme.</w:t>
      </w:r>
    </w:p>
    <w:p w14:paraId="44317DCD" w14:textId="77777777" w:rsidR="00EC0FFE" w:rsidRPr="00EC0FFE" w:rsidRDefault="00EC0FFE" w:rsidP="00EC0FFE">
      <w:pPr>
        <w:spacing w:before="120" w:after="0" w:line="276" w:lineRule="auto"/>
        <w:ind w:firstLine="708"/>
        <w:jc w:val="both"/>
        <w:rPr>
          <w:rFonts w:ascii="Verdana" w:eastAsia="Calibri" w:hAnsi="Verdana" w:cs="Arial"/>
          <w:color w:val="000000"/>
        </w:rPr>
      </w:pPr>
      <w:r w:rsidRPr="00EC0FFE">
        <w:rPr>
          <w:rFonts w:ascii="Verdana" w:eastAsia="Calibri" w:hAnsi="Verdana" w:cs="Arial"/>
          <w:color w:val="000000"/>
        </w:rPr>
        <w:t xml:space="preserve">Tratándose del trámite de </w:t>
      </w:r>
      <w:r w:rsidRPr="00EC0FFE">
        <w:rPr>
          <w:rFonts w:ascii="Verdana" w:eastAsia="Calibri" w:hAnsi="Verdana" w:cs="Arial"/>
          <w:b/>
          <w:bCs/>
          <w:i/>
          <w:iCs/>
          <w:color w:val="000000"/>
        </w:rPr>
        <w:t>renovación</w:t>
      </w:r>
      <w:r w:rsidRPr="00EC0FFE">
        <w:rPr>
          <w:rFonts w:ascii="Verdana" w:eastAsia="Calibri" w:hAnsi="Verdana" w:cs="Arial"/>
          <w:i/>
          <w:iCs/>
          <w:color w:val="000000"/>
        </w:rPr>
        <w:t>,</w:t>
      </w:r>
      <w:r w:rsidRPr="00EC0FFE">
        <w:rPr>
          <w:rFonts w:ascii="Verdana" w:eastAsia="Calibri" w:hAnsi="Verdana" w:cs="Arial"/>
          <w:color w:val="000000"/>
        </w:rPr>
        <w:t xml:space="preserve"> se reitera lo expresado en el sentido de que la persona que </w:t>
      </w:r>
      <w:r w:rsidRPr="00EC0FFE">
        <w:rPr>
          <w:rFonts w:ascii="Verdana" w:eastAsia="Calibri" w:hAnsi="Verdana" w:cs="Arial"/>
          <w:i/>
          <w:iCs/>
          <w:color w:val="000000"/>
        </w:rPr>
        <w:t>presentó la información</w:t>
      </w:r>
      <w:r w:rsidRPr="00EC0FFE">
        <w:rPr>
          <w:rFonts w:ascii="Verdana" w:eastAsia="Calibri" w:hAnsi="Verdana" w:cs="Arial"/>
          <w:color w:val="000000"/>
        </w:rPr>
        <w:t xml:space="preserve"> para renovar su registro antes del quinto día hábil de abril de cada año, cumpliendo el requisito del artículo 2.2.1.1.1.5.1. y pese a que la renovación no esté en firme, es decir, mientras esté en trámite el proceso de renovación, puede participar en los procedimientos de selección, debiéndose tener en cuenta la información “antigua”. De esta manera, en el período comprendido entre el momento de la solicitud de renovación y el de su firmeza, se debe emplear la información del RUP que está en firme antes de iniciar el trámite de renovación, cuyos efectos no habrían cesado y se encontraría vigente. Incluso, en caso de que el RUP con la información “antigua” se haya presentado válidamente antes del cierre del proceso y con posterioridad a este quede en firme el nuevo RUP, para la evaluación de las propuestas se deberá utilizar la información del registro presentado inicialmente. En efecto, ninguno de los proponentes, durante el término otorgado para subsanar ofertas, podrá “acreditar circunstancias ocurridas con posterioridad al cierre del proceso”, por lo que la evaluación se realizará con la información del RUP en firme antes del cierre, independientemente de que la nueva información favorezca o perjudique al proponente.</w:t>
      </w:r>
    </w:p>
    <w:p w14:paraId="39B40919" w14:textId="77777777" w:rsidR="00EC0FFE" w:rsidRPr="00EC0FFE" w:rsidRDefault="00EC0FFE" w:rsidP="00EC0FFE">
      <w:pPr>
        <w:spacing w:before="120" w:after="120" w:line="276" w:lineRule="auto"/>
        <w:ind w:firstLine="709"/>
        <w:jc w:val="both"/>
        <w:rPr>
          <w:rFonts w:ascii="Verdana" w:eastAsia="Calibri" w:hAnsi="Verdana" w:cs="Arial"/>
          <w:color w:val="000000"/>
        </w:rPr>
      </w:pPr>
      <w:r w:rsidRPr="00EC0FFE">
        <w:rPr>
          <w:rFonts w:ascii="Verdana" w:eastAsia="Calibri" w:hAnsi="Verdana" w:cs="Arial"/>
          <w:color w:val="000000"/>
        </w:rPr>
        <w:lastRenderedPageBreak/>
        <w:t xml:space="preserve">Debe tenerse en cuenta, en relación con este aspecto, que el parágrafo 1, inciso segundo, del artículo 5 de la Ley 1150 de 2007, modificado por el artículo 5 de la Ley 1882 de 2018, dispone que: “Durante el término otorgado para subsanar las ofertas, los proponentes no podrán acreditar circunstancias ocurridas con posterioridad al cierre del proceso”. Esta regla tiene un alcance muy amplio, pues no expresa, como pudo haberlo hecho, que durante dicho término no se pueden </w:t>
      </w:r>
      <w:r w:rsidRPr="00EC0FFE">
        <w:rPr>
          <w:rFonts w:ascii="Verdana" w:eastAsia="Calibri" w:hAnsi="Verdana" w:cs="Arial"/>
          <w:i/>
          <w:iCs/>
          <w:color w:val="000000"/>
        </w:rPr>
        <w:t>subsanar</w:t>
      </w:r>
      <w:r w:rsidRPr="00EC0FFE">
        <w:rPr>
          <w:rFonts w:ascii="Verdana" w:eastAsia="Calibri" w:hAnsi="Verdana" w:cs="Arial"/>
          <w:color w:val="000000"/>
        </w:rPr>
        <w:t xml:space="preserve"> circunstancias ocurridas con posterioridad al cierre. Por el contrario, estableció una regla más amplia, consistente en que durante dicho término los proponentes no pueden acreditar ningún tipo de “circunstancias ocurridas con posterioridad al cierre del proceso”, lo que se configuraría si se presentara o acreditara un RUP diferente </w:t>
      </w:r>
      <w:r w:rsidRPr="00EC0FFE">
        <w:rPr>
          <w:rFonts w:ascii="Verdana" w:eastAsia="Calibri" w:hAnsi="Verdana" w:cs="Arial"/>
          <w:i/>
          <w:iCs/>
          <w:color w:val="000000"/>
        </w:rPr>
        <w:t xml:space="preserve">renovado, </w:t>
      </w:r>
      <w:r w:rsidRPr="00EC0FFE">
        <w:rPr>
          <w:rFonts w:ascii="Verdana" w:eastAsia="Calibri" w:hAnsi="Verdana" w:cs="Arial"/>
          <w:color w:val="000000"/>
        </w:rPr>
        <w:t>que no estaba en firme para el cierre del proceso, independientemente de que este nuevo RUP favorezca o perjudique al interesado. Lo anterior, teniendo cuenta que de la norma comentada se sigue que la evaluación se debe realizar conforme a las circunstancias ocurridas con anterioridad al cierre del proceso. En este sentido, como se expresó, la firmeza del RUP es una condición de ejecutoriedad, para consolidar los efectos del acto administrativo de inscripción, renovación o actualización, por lo que en los procedimientos de selección solo se puede utilizar el registro que esté en firme antes del cierre del proceso, so pena de desconocer lo establecido en el artículo 5 de la Ley 1150 de 2007, modificado por el artículo 5 de la Ley 1882 de 2018.</w:t>
      </w:r>
    </w:p>
    <w:p w14:paraId="4ACDE5F0" w14:textId="77777777" w:rsidR="00EC0FFE" w:rsidRPr="00EC0FFE" w:rsidRDefault="00EC0FFE" w:rsidP="00EC0FFE">
      <w:pPr>
        <w:spacing w:after="120" w:line="276" w:lineRule="auto"/>
        <w:ind w:firstLine="708"/>
        <w:jc w:val="both"/>
        <w:rPr>
          <w:rFonts w:ascii="Verdana" w:eastAsia="Times New Roman" w:hAnsi="Verdana" w:cs="Arial"/>
          <w:color w:val="000000"/>
          <w:shd w:val="clear" w:color="auto" w:fill="FFFFFF"/>
          <w:lang w:eastAsia="es-MX"/>
        </w:rPr>
      </w:pPr>
      <w:r w:rsidRPr="00EC0FFE">
        <w:rPr>
          <w:rFonts w:ascii="Verdana" w:eastAsia="Times New Roman" w:hAnsi="Verdana" w:cs="Arial"/>
          <w:color w:val="000000"/>
          <w:shd w:val="clear" w:color="auto" w:fill="FFFFFF"/>
          <w:lang w:eastAsia="es-MX"/>
        </w:rPr>
        <w:t>Ahora bien, el deber de renovación, para impedir que el RUP deje de producir efectos consiste en “presentar la información para renovar su registro antes del quinto día hábil del mes de abril de cada año”</w:t>
      </w:r>
      <w:r w:rsidRPr="00EC0FFE">
        <w:rPr>
          <w:rFonts w:ascii="Verdana" w:eastAsia="Times New Roman" w:hAnsi="Verdana" w:cs="Arial"/>
          <w:color w:val="000000"/>
          <w:shd w:val="clear" w:color="auto" w:fill="FFFFFF"/>
          <w:vertAlign w:val="superscript"/>
          <w:lang w:eastAsia="es-MX"/>
        </w:rPr>
        <w:footnoteReference w:id="15"/>
      </w:r>
      <w:r w:rsidRPr="00EC0FFE">
        <w:rPr>
          <w:rFonts w:ascii="Verdana" w:eastAsia="Times New Roman" w:hAnsi="Verdana" w:cs="Arial"/>
          <w:color w:val="000000"/>
          <w:shd w:val="clear" w:color="auto" w:fill="FFFFFF"/>
          <w:lang w:eastAsia="es-MX"/>
        </w:rPr>
        <w:t xml:space="preserve">. De manera que basta con la presentación de dicha información, mediante la cual se solicita a la cámara de comercio respectiva que adelante el trámite de renovación, para que se impida que el registro cese en sus efectos. Lo anterior, independientemente del término que tarde la cámara de comercio para revisar la información o de la solicitud que ésta le haga al interesado para que aporte algún documento adicional, o el término que transcurra mientras se interponen y resuelven los recursos frente al acto de inscripción –en caso de que se presenten– y del momento en que finalmente adquiera firmeza el acto de renovación. En este sentido, siempre que se cumpla con la primera actuación tendiente a la renovación del RUP este sigue produciendo efectos, por lo que, se reitera, en el </w:t>
      </w:r>
      <w:r w:rsidRPr="00EC0FFE">
        <w:rPr>
          <w:rFonts w:ascii="Verdana" w:eastAsia="Times New Roman" w:hAnsi="Verdana" w:cs="Arial"/>
          <w:color w:val="000000"/>
          <w:shd w:val="clear" w:color="auto" w:fill="FFFFFF"/>
          <w:lang w:eastAsia="es-MX"/>
        </w:rPr>
        <w:lastRenderedPageBreak/>
        <w:t>período comprendido entre el momento de la solicitud de renovación y el de la firmeza de la renovación, se puede utilizar la información del RUP que está en firme antes de iniciar el trámite de renovación, cuyos efectos no han cesado y se encuentra vigente, pudiendo utilizar dicho registro para participar en los procedimientos de selección de contratistas.</w:t>
      </w:r>
    </w:p>
    <w:p w14:paraId="57FB0A91" w14:textId="77777777" w:rsidR="00EC0FFE" w:rsidRPr="00EC0FFE" w:rsidRDefault="00EC0FFE" w:rsidP="00EC0FFE">
      <w:pPr>
        <w:spacing w:line="276" w:lineRule="auto"/>
        <w:ind w:firstLine="709"/>
        <w:contextualSpacing/>
        <w:jc w:val="both"/>
        <w:rPr>
          <w:rFonts w:ascii="Verdana" w:eastAsia="Aptos" w:hAnsi="Verdana" w:cs="Arial"/>
          <w:kern w:val="2"/>
          <w14:ligatures w14:val="standardContextual"/>
        </w:rPr>
      </w:pPr>
      <w:r w:rsidRPr="00EC0FFE">
        <w:rPr>
          <w:rFonts w:ascii="Verdana" w:eastAsia="Aptos" w:hAnsi="Verdana" w:cs="Arial"/>
          <w:kern w:val="2"/>
          <w14:ligatures w14:val="standardContextual"/>
        </w:rPr>
        <w:t>En concordancia con lo anterior, la Circular Externa Única de Colombia Compra Eficiente</w:t>
      </w:r>
      <w:r w:rsidRPr="00EC0FFE">
        <w:rPr>
          <w:rFonts w:ascii="Verdana" w:eastAsia="Aptos" w:hAnsi="Verdana" w:cs="Arial"/>
          <w:kern w:val="2"/>
          <w:vertAlign w:val="superscript"/>
          <w14:ligatures w14:val="standardContextual"/>
        </w:rPr>
        <w:footnoteReference w:id="16"/>
      </w:r>
      <w:r w:rsidRPr="00EC0FFE">
        <w:rPr>
          <w:rFonts w:ascii="Verdana" w:eastAsia="Aptos" w:hAnsi="Verdana" w:cs="Arial"/>
          <w:kern w:val="2"/>
          <w14:ligatures w14:val="standardContextual"/>
        </w:rPr>
        <w:t xml:space="preserve"> en su numeral 12.3. recoge la tesis antes planteada respecto de la renovación del RUP al indicar: </w:t>
      </w:r>
    </w:p>
    <w:p w14:paraId="54D14979" w14:textId="77777777" w:rsidR="00EC0FFE" w:rsidRPr="00EC0FFE" w:rsidRDefault="00EC0FFE" w:rsidP="00EC0FFE">
      <w:pPr>
        <w:spacing w:after="0" w:line="240" w:lineRule="auto"/>
        <w:ind w:firstLine="709"/>
        <w:contextualSpacing/>
        <w:jc w:val="both"/>
        <w:rPr>
          <w:rFonts w:ascii="Verdana" w:eastAsia="Aptos" w:hAnsi="Verdana" w:cs="Arial"/>
          <w:kern w:val="2"/>
          <w:sz w:val="24"/>
          <w:szCs w:val="24"/>
          <w14:ligatures w14:val="standardContextual"/>
        </w:rPr>
      </w:pPr>
    </w:p>
    <w:p w14:paraId="7BFC76E7" w14:textId="77777777" w:rsidR="00EC0FFE" w:rsidRPr="00EC0FFE" w:rsidRDefault="00EC0FFE" w:rsidP="00EC0FFE">
      <w:pPr>
        <w:snapToGrid w:val="0"/>
        <w:spacing w:after="120" w:line="240" w:lineRule="auto"/>
        <w:ind w:left="709" w:right="709"/>
        <w:jc w:val="both"/>
        <w:rPr>
          <w:rFonts w:ascii="Verdana" w:eastAsia="Aptos" w:hAnsi="Verdana" w:cs="Arial"/>
          <w:kern w:val="2"/>
          <w:sz w:val="20"/>
          <w:szCs w:val="20"/>
          <w14:ligatures w14:val="standardContextual"/>
        </w:rPr>
      </w:pPr>
      <w:r w:rsidRPr="00EC0FFE">
        <w:rPr>
          <w:rFonts w:ascii="Verdana" w:eastAsia="Aptos" w:hAnsi="Verdana" w:cs="Arial"/>
          <w:kern w:val="2"/>
          <w:sz w:val="20"/>
          <w:szCs w:val="20"/>
          <w14:ligatures w14:val="standardContextual"/>
        </w:rPr>
        <w:t>“El artículo 2.2.1.1.1.5.1. del Decreto 1082 de 2015 establece que las personas inscritas en el RUP deben presentar la información para renovar su registro a más tardar el quinto día hábil del mes de abril de cada año, pues de lo contrario cesan los efectos del RUP.</w:t>
      </w:r>
    </w:p>
    <w:p w14:paraId="1F6A74DB" w14:textId="77777777" w:rsidR="00EC0FFE" w:rsidRPr="00EC0FFE" w:rsidRDefault="00EC0FFE" w:rsidP="00EC0FFE">
      <w:pPr>
        <w:snapToGrid w:val="0"/>
        <w:spacing w:after="120" w:line="240" w:lineRule="auto"/>
        <w:ind w:left="709" w:right="709"/>
        <w:jc w:val="both"/>
        <w:rPr>
          <w:rFonts w:ascii="Verdana" w:eastAsia="Aptos" w:hAnsi="Verdana" w:cs="Arial"/>
          <w:kern w:val="2"/>
          <w:sz w:val="20"/>
          <w:szCs w:val="20"/>
          <w14:ligatures w14:val="standardContextual"/>
        </w:rPr>
      </w:pPr>
      <w:r w:rsidRPr="00EC0FFE">
        <w:rPr>
          <w:rFonts w:ascii="Verdana" w:eastAsia="Aptos" w:hAnsi="Verdana" w:cs="Arial"/>
          <w:kern w:val="2"/>
          <w:sz w:val="20"/>
          <w:szCs w:val="20"/>
          <w14:ligatures w14:val="standardContextual"/>
        </w:rPr>
        <w:t>Al cierre del procedimiento de selección, es decir, hasta el plazo para presentar ofertas, el RUP debe encontrarse vigente, esto es, que el proponente haya presentado la información para renovar el registro en el término anteriormente establecido.</w:t>
      </w:r>
    </w:p>
    <w:p w14:paraId="5211AF7A" w14:textId="77777777" w:rsidR="00EC0FFE" w:rsidRPr="00EC0FFE" w:rsidRDefault="00EC0FFE" w:rsidP="00EC0FFE">
      <w:pPr>
        <w:snapToGrid w:val="0"/>
        <w:spacing w:after="120" w:line="240" w:lineRule="auto"/>
        <w:ind w:left="709" w:right="709"/>
        <w:jc w:val="both"/>
        <w:rPr>
          <w:rFonts w:ascii="Verdana" w:eastAsia="Aptos" w:hAnsi="Verdana" w:cs="Arial"/>
          <w:kern w:val="2"/>
          <w:sz w:val="20"/>
          <w:szCs w:val="20"/>
          <w14:ligatures w14:val="standardContextual"/>
        </w:rPr>
      </w:pPr>
      <w:r w:rsidRPr="00EC0FFE">
        <w:rPr>
          <w:rFonts w:ascii="Verdana" w:eastAsia="Aptos" w:hAnsi="Verdana" w:cs="Arial"/>
          <w:i/>
          <w:iCs/>
          <w:kern w:val="2"/>
          <w:sz w:val="20"/>
          <w:szCs w:val="20"/>
          <w14:ligatures w14:val="standardContextual"/>
        </w:rPr>
        <w:t>Tratándose del trámite de renovación, la persona que haya presentado la información para renovar su registro a más tardar el quinto día hábil del mes de abril, cumpliendo con el requisito exigido en el artículo 2.2.1.1.1.5.1. del Decreto 1082 de 2015, puede participar en los procedimientos de selección, debiéndose tener en cuenta la información antigua, esto es, la que estuviera en firme antes del cierre del proceso</w:t>
      </w:r>
      <w:r w:rsidRPr="00EC0FFE">
        <w:rPr>
          <w:rFonts w:ascii="Verdana" w:eastAsia="Aptos" w:hAnsi="Verdana" w:cs="Arial"/>
          <w:kern w:val="2"/>
          <w:sz w:val="20"/>
          <w:szCs w:val="20"/>
          <w14:ligatures w14:val="standardContextual"/>
        </w:rPr>
        <w:t xml:space="preserve">. Así, en el periodo comprendido entre el momento de la solicitud de renovación y el momento en que adquiera firmeza la información renovada, debe emplearse la información del RUP que está en firme antes de iniciar el trámite de renovación, cuyos efectos no habrían cesado y se encontraría vigente. </w:t>
      </w:r>
      <w:r w:rsidRPr="00EC0FFE">
        <w:rPr>
          <w:rFonts w:ascii="Verdana" w:eastAsia="Aptos" w:hAnsi="Verdana" w:cs="Arial"/>
          <w:i/>
          <w:iCs/>
          <w:kern w:val="2"/>
          <w:sz w:val="20"/>
          <w:szCs w:val="20"/>
          <w14:ligatures w14:val="standardContextual"/>
        </w:rPr>
        <w:t>En todo caso, la evaluación de las ofertas se realizará con la información del RUP en firme antes del cierre del proceso</w:t>
      </w:r>
      <w:r w:rsidRPr="00EC0FFE">
        <w:rPr>
          <w:rFonts w:ascii="Verdana" w:eastAsia="Aptos" w:hAnsi="Verdana" w:cs="Arial"/>
          <w:kern w:val="2"/>
          <w:sz w:val="20"/>
          <w:szCs w:val="20"/>
          <w14:ligatures w14:val="standardContextual"/>
        </w:rPr>
        <w:t>.</w:t>
      </w:r>
    </w:p>
    <w:p w14:paraId="0B85C4D3" w14:textId="77777777" w:rsidR="00EC0FFE" w:rsidRPr="00EC0FFE" w:rsidRDefault="00EC0FFE" w:rsidP="00EC0FFE">
      <w:pPr>
        <w:snapToGrid w:val="0"/>
        <w:spacing w:after="120" w:line="240" w:lineRule="auto"/>
        <w:ind w:left="709" w:right="709"/>
        <w:jc w:val="both"/>
        <w:rPr>
          <w:rFonts w:ascii="Verdana" w:eastAsia="Aptos" w:hAnsi="Verdana" w:cs="Arial"/>
          <w:kern w:val="2"/>
          <w:sz w:val="20"/>
          <w:szCs w:val="20"/>
          <w14:ligatures w14:val="standardContextual"/>
        </w:rPr>
      </w:pPr>
      <w:bookmarkStart w:id="2" w:name="_Hlk136445517"/>
      <w:r w:rsidRPr="00EC0FFE">
        <w:rPr>
          <w:rFonts w:ascii="Verdana" w:eastAsia="Aptos" w:hAnsi="Verdana" w:cs="Arial"/>
          <w:kern w:val="2"/>
          <w:sz w:val="20"/>
          <w:szCs w:val="20"/>
          <w14:ligatures w14:val="standardContextual"/>
        </w:rPr>
        <w:t xml:space="preserve">Para verificar que los efectos del RUP no han cesado, en los eventos que el proponente presentó la información para renovar su registro, es necesario que el certificado contenga la anotación de que el inscrito, a más tardar el quinto día hábil de abril de cada año, radicó ante la cámara de comercio los documentos para su renovación. En todo caso, si tal circunstancia no estuviese inscrita en el certificado, podrá acreditarse mediante el medio documental expedido por la cámara de comercio correspondiente. De este modo, al no existir tarifa legal que permita establecer la forma de acreditar el trámite de renovación, la entidad </w:t>
      </w:r>
      <w:r w:rsidRPr="00EC0FFE">
        <w:rPr>
          <w:rFonts w:ascii="Verdana" w:eastAsia="Aptos" w:hAnsi="Verdana" w:cs="Arial"/>
          <w:kern w:val="2"/>
          <w:sz w:val="20"/>
          <w:szCs w:val="20"/>
          <w14:ligatures w14:val="standardContextual"/>
        </w:rPr>
        <w:lastRenderedPageBreak/>
        <w:t xml:space="preserve">estatal debe verificar que el documento aportado por el proponente ofrezca certeza sobre el estado del trámite. </w:t>
      </w:r>
      <w:bookmarkEnd w:id="2"/>
    </w:p>
    <w:p w14:paraId="25DC7C8A" w14:textId="77777777" w:rsidR="00EC0FFE" w:rsidRPr="00EC0FFE" w:rsidRDefault="00EC0FFE" w:rsidP="00EC0FFE">
      <w:pPr>
        <w:snapToGrid w:val="0"/>
        <w:spacing w:after="120" w:line="240" w:lineRule="auto"/>
        <w:ind w:left="709" w:right="709"/>
        <w:jc w:val="both"/>
        <w:rPr>
          <w:rFonts w:ascii="Verdana" w:eastAsia="Aptos" w:hAnsi="Verdana" w:cs="Arial"/>
          <w:kern w:val="2"/>
          <w:sz w:val="20"/>
          <w:szCs w:val="20"/>
          <w14:ligatures w14:val="standardContextual"/>
        </w:rPr>
      </w:pPr>
      <w:r w:rsidRPr="00EC0FFE">
        <w:rPr>
          <w:rFonts w:ascii="Verdana" w:eastAsia="Aptos" w:hAnsi="Verdana" w:cs="Arial"/>
          <w:kern w:val="2"/>
          <w:sz w:val="20"/>
          <w:szCs w:val="20"/>
          <w14:ligatures w14:val="standardContextual"/>
        </w:rPr>
        <w:t xml:space="preserve">La firmeza del acto de inscripción, renovación y actualización del RUP debe armonizarse con las prescripciones establecidas para la generalidad de los actos administrativos, esto es, de acuerdo con el artículo 87 de la Ley 1437 de 2011. Conforme con lo anterior, la persona natural o jurídica podrá presentarse a los procedimientos de selección cuanto el acto administrativo que realiza la inscripción del RUP se encuentra en firme, porque es un requisito para las personas naturales o jurídicas nacionales o extranjeras domiciliadas o con sucursal en Colombia, que aspiran celebrar contratos con las entidades estatales, estar inscritas en él, salvo las excepciones establecidas en la ley” (Cursiva fuera del texto). </w:t>
      </w:r>
    </w:p>
    <w:p w14:paraId="16A28237" w14:textId="77777777" w:rsidR="00EC0FFE" w:rsidRPr="00EC0FFE" w:rsidRDefault="00EC0FFE" w:rsidP="00EC0FFE">
      <w:pPr>
        <w:spacing w:line="276" w:lineRule="auto"/>
        <w:ind w:left="709" w:right="709"/>
        <w:contextualSpacing/>
        <w:jc w:val="both"/>
        <w:rPr>
          <w:rFonts w:ascii="Verdana" w:eastAsia="Aptos" w:hAnsi="Verdana" w:cs="Arial"/>
          <w:kern w:val="2"/>
          <w:sz w:val="20"/>
          <w:szCs w:val="20"/>
          <w14:ligatures w14:val="standardContextual"/>
        </w:rPr>
      </w:pPr>
    </w:p>
    <w:p w14:paraId="736A47C7" w14:textId="77777777" w:rsidR="00EC0FFE" w:rsidRPr="00EC0FFE" w:rsidRDefault="00EC0FFE" w:rsidP="00EC0FFE">
      <w:pPr>
        <w:spacing w:after="120" w:line="276" w:lineRule="auto"/>
        <w:ind w:firstLine="709"/>
        <w:jc w:val="both"/>
        <w:rPr>
          <w:rFonts w:ascii="Verdana" w:eastAsia="Aptos" w:hAnsi="Verdana" w:cs="Arial"/>
          <w:kern w:val="2"/>
          <w14:ligatures w14:val="standardContextual"/>
        </w:rPr>
      </w:pPr>
      <w:bookmarkStart w:id="3" w:name="_Hlk104368249"/>
      <w:r w:rsidRPr="00EC0FFE">
        <w:rPr>
          <w:rFonts w:ascii="Verdana" w:eastAsia="Aptos" w:hAnsi="Verdana" w:cs="Arial"/>
          <w:kern w:val="2"/>
          <w14:ligatures w14:val="standardContextual"/>
        </w:rPr>
        <w:t>En efecto, la Circular Externa Única establece que, con el fin de que el RUP se mantenga vigente y continúe produciendo efectos, se debe realizar la renovación del mismo, consistente en que el proponente presente, antes del quinto día hábil del mes de abril de cada año, la información requerida ante la Cámara de Comercio respectiva. En ese sentido, cumplir con el deber de renovación de manera oportuna garantiza que el RUP no pierda vigencia y el proponente pueda presentarse en un proceso de contratación, aun cuando la información nueva no hubiera adquirido firmeza de acuerdo con lo previsto en el artículo 87 de la Ley 1437 de 2011, caso en el cual la información “antigua”.</w:t>
      </w:r>
    </w:p>
    <w:p w14:paraId="4F50884A" w14:textId="77777777" w:rsidR="00EC0FFE" w:rsidRPr="00EC0FFE" w:rsidRDefault="00EC0FFE" w:rsidP="00EC0FFE">
      <w:pPr>
        <w:spacing w:after="0" w:line="276" w:lineRule="auto"/>
        <w:ind w:firstLine="709"/>
        <w:jc w:val="both"/>
        <w:rPr>
          <w:rFonts w:ascii="Verdana" w:eastAsia="Aptos" w:hAnsi="Verdana" w:cs="Arial"/>
          <w:kern w:val="2"/>
          <w14:ligatures w14:val="standardContextual"/>
        </w:rPr>
      </w:pPr>
      <w:r w:rsidRPr="00EC0FFE">
        <w:rPr>
          <w:rFonts w:ascii="Verdana" w:eastAsia="Aptos" w:hAnsi="Verdana" w:cs="Arial"/>
          <w:kern w:val="2"/>
          <w14:ligatures w14:val="standardContextual"/>
        </w:rPr>
        <w:t xml:space="preserve">Finalmente, tratándose del trámite administrativo de la </w:t>
      </w:r>
      <w:r w:rsidRPr="00EC0FFE">
        <w:rPr>
          <w:rFonts w:ascii="Verdana" w:eastAsia="Aptos" w:hAnsi="Verdana" w:cs="Arial"/>
          <w:i/>
          <w:iCs/>
          <w:kern w:val="2"/>
          <w14:ligatures w14:val="standardContextual"/>
        </w:rPr>
        <w:t>actualización</w:t>
      </w:r>
      <w:r w:rsidRPr="00EC0FFE">
        <w:rPr>
          <w:rFonts w:ascii="Verdana" w:eastAsia="Aptos" w:hAnsi="Verdana" w:cs="Arial"/>
          <w:kern w:val="2"/>
          <w14:ligatures w14:val="standardContextual"/>
        </w:rPr>
        <w:t xml:space="preserve">, sucede algo similar con la renovación, en el sentido de que, si la actualización no estaba en firme para el momento del cierre del proceso, en la evaluación se tendrá en cuenta únicamente la información que estaba en firme para dicho momento. Lo que no deben hacer las entidades es rechazar la oferta bajo el argumento de que la actualización no está en firme –como si no hubiera una inscripción vigente en el RUP–, ya que simplemente se debe evaluar la oferta prescindiendo de la nueva información incluida –que no adquirió firmeza–, pues, aunque la nueva información –actualización– esté pendiente de adquirir firmeza, para el momento del cierre del proceso el oferente tenía su inscripción vigente y en firme. </w:t>
      </w:r>
    </w:p>
    <w:bookmarkEnd w:id="3"/>
    <w:p w14:paraId="5F896768" w14:textId="77777777" w:rsidR="00EC0FFE" w:rsidRPr="00EC0FFE" w:rsidRDefault="00EC0FFE" w:rsidP="00EC0FFE">
      <w:pPr>
        <w:spacing w:after="0" w:line="276" w:lineRule="auto"/>
        <w:jc w:val="both"/>
        <w:rPr>
          <w:rFonts w:ascii="Verdana" w:eastAsia="Calibri" w:hAnsi="Verdana" w:cs="Arial"/>
          <w:color w:val="000000"/>
          <w:kern w:val="2"/>
          <w14:ligatures w14:val="standardContextual"/>
        </w:rPr>
      </w:pPr>
    </w:p>
    <w:p w14:paraId="3550E988" w14:textId="77777777" w:rsidR="00EC0FFE" w:rsidRPr="00EC0FFE" w:rsidRDefault="00EC0FFE" w:rsidP="00EC0FFE">
      <w:pPr>
        <w:spacing w:after="120" w:line="278" w:lineRule="auto"/>
        <w:jc w:val="both"/>
        <w:rPr>
          <w:rFonts w:ascii="Verdana" w:eastAsia="Aptos" w:hAnsi="Verdana" w:cs="ArialMT"/>
        </w:rPr>
      </w:pPr>
      <w:proofErr w:type="spellStart"/>
      <w:r w:rsidRPr="00EC0FFE">
        <w:rPr>
          <w:rFonts w:ascii="Verdana" w:eastAsia="Times New Roman" w:hAnsi="Verdana" w:cs="Arial"/>
          <w:szCs w:val="24"/>
          <w:bdr w:val="none" w:sz="0" w:space="0" w:color="auto" w:frame="1"/>
          <w:shd w:val="clear" w:color="auto" w:fill="FFFFFF"/>
          <w:lang w:val="es-ES_tradnl" w:eastAsia="es-ES_tradnl"/>
        </w:rPr>
        <w:t>iii</w:t>
      </w:r>
      <w:proofErr w:type="spellEnd"/>
      <w:r w:rsidRPr="00EC0FFE">
        <w:rPr>
          <w:rFonts w:ascii="Verdana" w:eastAsia="Times New Roman" w:hAnsi="Verdana" w:cs="Arial"/>
          <w:szCs w:val="24"/>
          <w:bdr w:val="none" w:sz="0" w:space="0" w:color="auto" w:frame="1"/>
          <w:shd w:val="clear" w:color="auto" w:fill="FFFFFF"/>
          <w:lang w:val="es-ES_tradnl" w:eastAsia="es-ES_tradnl"/>
        </w:rPr>
        <w:t xml:space="preserve">. </w:t>
      </w:r>
      <w:r w:rsidRPr="00EC0FFE">
        <w:rPr>
          <w:rFonts w:ascii="Verdana" w:eastAsia="Aptos" w:hAnsi="Verdana" w:cs="Arial"/>
        </w:rPr>
        <w:t xml:space="preserve">Los documentos tipo expedidos por la Agencia Nacional de Contratación Pública </w:t>
      </w:r>
      <w:r w:rsidRPr="00EC0FFE">
        <w:rPr>
          <w:rFonts w:ascii="Verdana" w:eastAsia="Aptos" w:hAnsi="Verdana" w:cs="ArialMT"/>
        </w:rPr>
        <w:t xml:space="preserve">– Colombia Compra Eficiente </w:t>
      </w:r>
      <w:r w:rsidRPr="00EC0FFE">
        <w:rPr>
          <w:rFonts w:ascii="Verdana" w:eastAsia="Aptos" w:hAnsi="Verdana" w:cs="Arial"/>
        </w:rPr>
        <w:t>en ejercicio de la potestad otorgada</w:t>
      </w:r>
      <w:r w:rsidRPr="00EC0FFE">
        <w:rPr>
          <w:rFonts w:ascii="Verdana" w:eastAsia="Aptos" w:hAnsi="Verdana" w:cs="ArialMT"/>
        </w:rPr>
        <w:t xml:space="preserve"> por la Ley 2022 de 2020 son de obligatoria observancia por parte de las Entidades Estatales sometidas al Estatuto General de Contratación de la Administración </w:t>
      </w:r>
      <w:r w:rsidRPr="00EC0FFE">
        <w:rPr>
          <w:rFonts w:ascii="Verdana" w:eastAsia="Aptos" w:hAnsi="Verdana" w:cs="ArialMT"/>
        </w:rPr>
        <w:lastRenderedPageBreak/>
        <w:t>Pública –EGCAP–. Debido a esto, tales entidades deben aplicar de manera forzosa los documentos tipo para desarrollar los Procesos de Contratación en los objetos y modalidades cobijadas por los documentos tipo. Así mismo, los sujetos obligados a su aplicación, no podrán variar los requisitos que en ellos sean fijados, ni establecer reglas o requisitos adicionales a los establecidos en estos para la presentación de las ofertas y la acreditación de los requisitos habilitantes.</w:t>
      </w:r>
    </w:p>
    <w:p w14:paraId="7C1BDDB2" w14:textId="77777777" w:rsidR="00EC0FFE" w:rsidRPr="00EC0FFE" w:rsidRDefault="00EC0FFE" w:rsidP="00EC0FFE">
      <w:pPr>
        <w:spacing w:after="120"/>
        <w:ind w:firstLine="708"/>
        <w:jc w:val="both"/>
        <w:rPr>
          <w:rFonts w:ascii="Verdana" w:eastAsia="Aptos" w:hAnsi="Verdana" w:cs="ArialMT"/>
        </w:rPr>
      </w:pPr>
      <w:r w:rsidRPr="00EC0FFE">
        <w:rPr>
          <w:rFonts w:ascii="Verdana" w:eastAsia="Aptos" w:hAnsi="Verdana" w:cs="ArialMT"/>
        </w:rPr>
        <w:t>La Agencia Nacional de Contratación Pública – Colombia Compra Eficiente expidió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EC0FFE">
        <w:rPr>
          <w:rFonts w:ascii="Verdana" w:eastAsia="Calibri" w:hAnsi="Verdana" w:cs="Times New Roman"/>
          <w:vertAlign w:val="superscript"/>
        </w:rPr>
        <w:footnoteReference w:id="17"/>
      </w:r>
      <w:r w:rsidRPr="00EC0FFE">
        <w:rPr>
          <w:rFonts w:ascii="Verdana" w:eastAsia="Aptos" w:hAnsi="Verdana" w:cs="ArialMT"/>
        </w:rPr>
        <w:t xml:space="preserve">. </w:t>
      </w:r>
      <w:r w:rsidRPr="00EC0FFE">
        <w:rPr>
          <w:rFonts w:ascii="Verdana" w:eastAsia="Times New Roman" w:hAnsi="Verdana" w:cs="Arial"/>
          <w:bCs/>
          <w:color w:val="000000"/>
          <w:szCs w:val="24"/>
          <w:lang w:val="es-ES" w:eastAsia="es-ES_tradnl"/>
        </w:rPr>
        <w:t xml:space="preserve"> </w:t>
      </w:r>
    </w:p>
    <w:p w14:paraId="5414E6F4" w14:textId="77777777" w:rsidR="00EC0FFE" w:rsidRPr="00EC0FFE" w:rsidRDefault="00EC0FFE" w:rsidP="00EC0FFE">
      <w:pPr>
        <w:spacing w:before="120" w:after="120" w:line="276" w:lineRule="auto"/>
        <w:ind w:firstLine="708"/>
        <w:jc w:val="both"/>
        <w:rPr>
          <w:rFonts w:ascii="Verdana" w:eastAsia="Aptos" w:hAnsi="Verdana" w:cs="ArialMT"/>
        </w:rPr>
      </w:pPr>
      <w:r w:rsidRPr="00EC0FFE">
        <w:rPr>
          <w:rFonts w:ascii="Verdana" w:eastAsia="Aptos" w:hAnsi="Verdana" w:cs="ArialMT"/>
        </w:rPr>
        <w:t>Considerando que en su solicitud se indaga por los “pliegos de condiciones de interventoría”, le informamos que la Agencia Nacional de Contratación Pública – Colombia Compra Eficiente adoptó documentos tipo para los procesos de concurso de méritos destinados a contratar la interventoría de obras públicas en los sectores de infraestructura de transporte e infraestructura social, mediante las Resoluciones 725</w:t>
      </w:r>
      <w:r w:rsidRPr="00EC0FFE">
        <w:rPr>
          <w:rFonts w:ascii="Verdana" w:eastAsia="Times New Roman" w:hAnsi="Verdana" w:cs="Arial"/>
          <w:bCs/>
          <w:color w:val="000000"/>
          <w:vertAlign w:val="superscript"/>
          <w:lang w:val="es-ES" w:eastAsia="es-ES_tradnl"/>
        </w:rPr>
        <w:footnoteReference w:id="18"/>
      </w:r>
      <w:r w:rsidRPr="00EC0FFE">
        <w:rPr>
          <w:rFonts w:ascii="Verdana" w:eastAsia="Times New Roman" w:hAnsi="Verdana" w:cs="Arial"/>
          <w:bCs/>
          <w:color w:val="000000"/>
          <w:lang w:val="es-ES" w:eastAsia="es-ES_tradnl"/>
        </w:rPr>
        <w:t xml:space="preserve"> </w:t>
      </w:r>
      <w:r w:rsidRPr="00EC0FFE">
        <w:rPr>
          <w:rFonts w:ascii="Verdana" w:eastAsia="Aptos" w:hAnsi="Verdana" w:cs="ArialMT"/>
        </w:rPr>
        <w:t>del 19 de diciembre de 2024 y 953</w:t>
      </w:r>
      <w:r w:rsidRPr="00EC0FFE">
        <w:rPr>
          <w:rFonts w:ascii="Verdana" w:eastAsia="Times New Roman" w:hAnsi="Verdana" w:cs="Arial"/>
          <w:kern w:val="2"/>
          <w:shd w:val="clear" w:color="auto" w:fill="FFFFFF"/>
          <w:vertAlign w:val="superscript"/>
          <w:lang w:eastAsia="es-ES"/>
          <w14:ligatures w14:val="standardContextual"/>
        </w:rPr>
        <w:footnoteReference w:id="19"/>
      </w:r>
      <w:r w:rsidRPr="00EC0FFE">
        <w:rPr>
          <w:rFonts w:ascii="Verdana" w:eastAsia="Aptos" w:hAnsi="Verdana" w:cs="ArialMT"/>
        </w:rPr>
        <w:t xml:space="preserve"> del 15 de diciembre de 2025, respectivamente.</w:t>
      </w:r>
    </w:p>
    <w:p w14:paraId="40ED110E" w14:textId="77777777" w:rsidR="00EC0FFE" w:rsidRPr="00EC0FFE" w:rsidRDefault="00EC0FFE" w:rsidP="00EC0FFE">
      <w:pPr>
        <w:spacing w:before="120" w:after="120" w:line="276" w:lineRule="auto"/>
        <w:ind w:firstLine="708"/>
        <w:jc w:val="both"/>
        <w:rPr>
          <w:rFonts w:ascii="Verdana" w:eastAsia="Aptos" w:hAnsi="Verdana" w:cs="ArialMT"/>
        </w:rPr>
      </w:pPr>
      <w:r w:rsidRPr="00EC0FFE">
        <w:rPr>
          <w:rFonts w:ascii="Verdana" w:eastAsia="Aptos" w:hAnsi="Verdana" w:cs="ArialMT"/>
        </w:rPr>
        <w:t xml:space="preserve">Teniendo en cuenta que en la solicitud no se hace referencia a un sector en particular, esta será atendida con fundamento en los documentos tipo de interventoría de obras públicas del sector de infraestructura de transporte. No </w:t>
      </w:r>
      <w:r w:rsidRPr="00EC0FFE">
        <w:rPr>
          <w:rFonts w:ascii="Verdana" w:eastAsia="Aptos" w:hAnsi="Verdana" w:cs="ArialMT"/>
        </w:rPr>
        <w:lastRenderedPageBreak/>
        <w:t>obstante, las consideraciones aquí expuestas también resultan aplicables a los documentos tipo del sector de infraestructura social.</w:t>
      </w:r>
    </w:p>
    <w:p w14:paraId="61B42DEF" w14:textId="77777777" w:rsidR="00EC0FFE" w:rsidRPr="00EC0FFE" w:rsidRDefault="00EC0FFE" w:rsidP="00EC0FFE">
      <w:pPr>
        <w:snapToGrid w:val="0"/>
        <w:spacing w:before="120" w:after="120" w:line="276" w:lineRule="auto"/>
        <w:jc w:val="both"/>
        <w:rPr>
          <w:rFonts w:ascii="Verdana" w:eastAsia="Times New Roman" w:hAnsi="Verdana" w:cs="Arial"/>
          <w:szCs w:val="24"/>
          <w:bdr w:val="none" w:sz="0" w:space="0" w:color="auto" w:frame="1"/>
          <w:shd w:val="clear" w:color="auto" w:fill="FFFFFF"/>
          <w:lang w:val="es-ES_tradnl" w:eastAsia="es-ES_tradnl"/>
        </w:rPr>
      </w:pPr>
      <w:r w:rsidRPr="00EC0FFE">
        <w:rPr>
          <w:rFonts w:ascii="Verdana" w:eastAsia="Times New Roman" w:hAnsi="Verdana" w:cs="Arial"/>
          <w:szCs w:val="24"/>
          <w:bdr w:val="none" w:sz="0" w:space="0" w:color="auto" w:frame="1"/>
          <w:shd w:val="clear" w:color="auto" w:fill="FFFFFF"/>
          <w:lang w:val="es-ES_tradnl" w:eastAsia="es-ES_tradnl"/>
        </w:rPr>
        <w:tab/>
      </w:r>
      <w:r w:rsidRPr="00EC0FFE">
        <w:rPr>
          <w:rFonts w:ascii="Verdana" w:eastAsia="Times New Roman" w:hAnsi="Verdana" w:cs="Arial"/>
          <w:bCs/>
          <w:color w:val="000000"/>
          <w:szCs w:val="24"/>
          <w:lang w:val="es-ES" w:eastAsia="es-ES_tradnl"/>
        </w:rPr>
        <w:t>Ahora bien, los documentos tipo están conformados por diferentes formatos, formularios, anexos y matrices que rigen el proceso de contratación específico para el cual sean aplicables. En la mayoría de ellos, se encuentra el documento base, que como su nombre lo indica, es entendido como “(…) el documento medular del documento tipo, pues contiene las reglas esenciales o condiciones que orientarán la actividad contractual referida. De modo que, contiene las estipulaciones orientadoras de dicha actividad.  Esta característica hace que los demás documentos que conforman el documento tipo y las actuaciones que se adelantan en desarrollo del proceso de contratación deban ceñirse a lo establecido en aquel”</w:t>
      </w:r>
      <w:r w:rsidRPr="00EC0FFE">
        <w:rPr>
          <w:rFonts w:ascii="Verdana" w:eastAsia="Times New Roman" w:hAnsi="Verdana" w:cs="Arial"/>
          <w:color w:val="000000"/>
          <w:szCs w:val="24"/>
          <w:vertAlign w:val="superscript"/>
          <w:lang w:eastAsia="es-ES_tradnl"/>
        </w:rPr>
        <w:footnoteReference w:id="20"/>
      </w:r>
      <w:r w:rsidRPr="00EC0FFE">
        <w:rPr>
          <w:rFonts w:ascii="Verdana" w:eastAsia="Times New Roman" w:hAnsi="Verdana" w:cs="Arial"/>
          <w:color w:val="000000"/>
          <w:szCs w:val="24"/>
          <w:lang w:eastAsia="es-ES_tradnl"/>
        </w:rPr>
        <w:t>.</w:t>
      </w:r>
    </w:p>
    <w:p w14:paraId="58532096" w14:textId="77777777" w:rsidR="00EC0FFE" w:rsidRPr="00EC0FFE" w:rsidRDefault="00EC0FFE" w:rsidP="00EC0FFE">
      <w:pPr>
        <w:tabs>
          <w:tab w:val="left" w:pos="709"/>
        </w:tabs>
        <w:spacing w:after="0" w:line="276" w:lineRule="auto"/>
        <w:jc w:val="both"/>
        <w:rPr>
          <w:rFonts w:ascii="Verdana" w:eastAsia="Times New Roman" w:hAnsi="Verdana" w:cs="Arial"/>
          <w:szCs w:val="24"/>
          <w:bdr w:val="none" w:sz="0" w:space="0" w:color="auto" w:frame="1"/>
          <w:shd w:val="clear" w:color="auto" w:fill="FFFFFF"/>
          <w:lang w:val="es-ES_tradnl" w:eastAsia="es-ES_tradnl"/>
        </w:rPr>
      </w:pPr>
      <w:r w:rsidRPr="00EC0FFE">
        <w:rPr>
          <w:rFonts w:ascii="Verdana" w:eastAsia="Times New Roman" w:hAnsi="Verdana" w:cs="Arial"/>
          <w:szCs w:val="24"/>
          <w:bdr w:val="none" w:sz="0" w:space="0" w:color="auto" w:frame="1"/>
          <w:shd w:val="clear" w:color="auto" w:fill="FFFFFF"/>
          <w:lang w:val="es-ES_tradnl" w:eastAsia="es-ES_tradnl"/>
        </w:rPr>
        <w:tab/>
        <w:t xml:space="preserve">Dentro de este documento, es posible identificar, entre otros, las causales de rechazo de las ofertas, siendo pertinente abordar la causal de rechazo del literal F del numeral 1.15 del pliego de condiciones. Esta causal aplica en caso de que </w:t>
      </w:r>
      <w:r w:rsidRPr="00EC0FFE">
        <w:rPr>
          <w:rFonts w:ascii="Verdana" w:eastAsia="Times New Roman" w:hAnsi="Verdana" w:cs="Arial"/>
          <w:i/>
          <w:iCs/>
          <w:szCs w:val="24"/>
          <w:bdr w:val="none" w:sz="0" w:space="0" w:color="auto" w:frame="1"/>
          <w:shd w:val="clear" w:color="auto" w:fill="FFFFFF"/>
          <w:lang w:val="es-ES_tradnl" w:eastAsia="es-ES_tradnl"/>
        </w:rPr>
        <w:t>“(…) el proponente no acredite la presentación de la información para renovar el Registro Único de Proponentes (RUP) dentro del término previsto en la normativa vigente”.</w:t>
      </w:r>
      <w:r w:rsidRPr="00EC0FFE">
        <w:rPr>
          <w:rFonts w:ascii="Verdana" w:eastAsia="Times New Roman" w:hAnsi="Verdana" w:cs="Arial"/>
          <w:szCs w:val="24"/>
          <w:bdr w:val="none" w:sz="0" w:space="0" w:color="auto" w:frame="1"/>
          <w:shd w:val="clear" w:color="auto" w:fill="FFFFFF"/>
          <w:lang w:val="es-ES_tradnl" w:eastAsia="es-ES_tradnl"/>
        </w:rPr>
        <w:t xml:space="preserve"> Respecto de las causales de rechazo la Agencia considera que: </w:t>
      </w:r>
    </w:p>
    <w:p w14:paraId="0815F083" w14:textId="77777777" w:rsidR="00EC0FFE" w:rsidRPr="00EC0FFE" w:rsidRDefault="00EC0FFE" w:rsidP="00EC0FFE">
      <w:pPr>
        <w:tabs>
          <w:tab w:val="left" w:pos="567"/>
        </w:tabs>
        <w:spacing w:after="0" w:line="276" w:lineRule="auto"/>
        <w:ind w:left="709" w:right="709"/>
        <w:jc w:val="both"/>
        <w:rPr>
          <w:rFonts w:ascii="Verdana" w:eastAsia="Calibri" w:hAnsi="Verdana" w:cs="Arial"/>
          <w:szCs w:val="24"/>
          <w:lang w:val="es-ES" w:eastAsia="es-MX"/>
        </w:rPr>
      </w:pPr>
    </w:p>
    <w:p w14:paraId="4CB89925" w14:textId="77777777" w:rsidR="00EC0FFE" w:rsidRPr="00EC0FFE" w:rsidRDefault="00EC0FFE" w:rsidP="00EC0FFE">
      <w:pPr>
        <w:tabs>
          <w:tab w:val="left" w:pos="567"/>
        </w:tabs>
        <w:spacing w:after="0" w:line="240" w:lineRule="auto"/>
        <w:ind w:left="709" w:right="709"/>
        <w:jc w:val="both"/>
        <w:rPr>
          <w:rFonts w:ascii="Verdana" w:eastAsia="Calibri" w:hAnsi="Verdana" w:cs="Arial"/>
          <w:sz w:val="21"/>
          <w:szCs w:val="21"/>
          <w:lang w:val="es-ES" w:eastAsia="es-MX"/>
        </w:rPr>
      </w:pPr>
      <w:r w:rsidRPr="00EC0FFE">
        <w:rPr>
          <w:rFonts w:ascii="Verdana" w:eastAsia="Calibri" w:hAnsi="Verdana" w:cs="Arial"/>
          <w:sz w:val="21"/>
          <w:szCs w:val="21"/>
          <w:lang w:val="es-ES" w:eastAsia="es-MX"/>
        </w:rPr>
        <w:t xml:space="preserve">“(…) i) las entidades estatales no pueden incluir nuevas casuales de rechazo en sus pliegos de condiciones distintas a las establecidas en los documentos tipo, ya que al inicio de la regulación se establece que «las Entidades no podrán modificar o incluir causales de rechazo distintas a las señaladas en la presente sección»; </w:t>
      </w:r>
      <w:proofErr w:type="spellStart"/>
      <w:r w:rsidRPr="00EC0FFE">
        <w:rPr>
          <w:rFonts w:ascii="Verdana" w:eastAsia="Calibri" w:hAnsi="Verdana" w:cs="Arial"/>
          <w:sz w:val="21"/>
          <w:szCs w:val="21"/>
          <w:lang w:val="es-ES" w:eastAsia="es-MX"/>
        </w:rPr>
        <w:t>ii</w:t>
      </w:r>
      <w:proofErr w:type="spellEnd"/>
      <w:r w:rsidRPr="00EC0FFE">
        <w:rPr>
          <w:rFonts w:ascii="Verdana" w:eastAsia="Calibri" w:hAnsi="Verdana" w:cs="Arial"/>
          <w:sz w:val="21"/>
          <w:szCs w:val="21"/>
          <w:lang w:val="es-ES" w:eastAsia="es-MX"/>
        </w:rPr>
        <w:t xml:space="preserve">) las entidades solo pueden modificar los aspectos puntuales de las causales, respecto los apartes entre corchetes y resaltados en gris, atendiendo a las instrucciones establecidas en esos lugares; </w:t>
      </w:r>
      <w:proofErr w:type="spellStart"/>
      <w:r w:rsidRPr="00EC0FFE">
        <w:rPr>
          <w:rFonts w:ascii="Verdana" w:eastAsia="Calibri" w:hAnsi="Verdana" w:cs="Arial"/>
          <w:sz w:val="21"/>
          <w:szCs w:val="21"/>
          <w:lang w:val="es-ES" w:eastAsia="es-MX"/>
        </w:rPr>
        <w:t>iii</w:t>
      </w:r>
      <w:proofErr w:type="spellEnd"/>
      <w:r w:rsidRPr="00EC0FFE">
        <w:rPr>
          <w:rFonts w:ascii="Verdana" w:eastAsia="Calibri" w:hAnsi="Verdana" w:cs="Arial"/>
          <w:sz w:val="21"/>
          <w:szCs w:val="21"/>
          <w:lang w:val="es-ES" w:eastAsia="es-MX"/>
        </w:rPr>
        <w:t>) teniendo en cuenta el contenido prohibitivo de las causales de rechazo, estas se deben interpretar de forma estricta, evitando realizarse interpretaciones extensivas”</w:t>
      </w:r>
      <w:r w:rsidRPr="00EC0FFE">
        <w:rPr>
          <w:rFonts w:ascii="Verdana" w:eastAsia="Calibri" w:hAnsi="Verdana" w:cs="Arial"/>
          <w:sz w:val="21"/>
          <w:szCs w:val="21"/>
          <w:vertAlign w:val="superscript"/>
          <w:lang w:val="es-ES" w:eastAsia="es-MX"/>
        </w:rPr>
        <w:footnoteReference w:id="21"/>
      </w:r>
      <w:r w:rsidRPr="00EC0FFE">
        <w:rPr>
          <w:rFonts w:ascii="Verdana" w:eastAsia="Calibri" w:hAnsi="Verdana" w:cs="Arial"/>
          <w:sz w:val="21"/>
          <w:szCs w:val="21"/>
          <w:lang w:val="es-ES" w:eastAsia="es-MX"/>
        </w:rPr>
        <w:t>.</w:t>
      </w:r>
    </w:p>
    <w:p w14:paraId="60D80C30" w14:textId="77777777" w:rsidR="00EC0FFE" w:rsidRPr="00EC0FFE" w:rsidRDefault="00EC0FFE" w:rsidP="00EC0FFE">
      <w:pPr>
        <w:tabs>
          <w:tab w:val="left" w:pos="567"/>
        </w:tabs>
        <w:spacing w:after="0" w:line="276" w:lineRule="auto"/>
        <w:ind w:left="709" w:right="709"/>
        <w:jc w:val="both"/>
        <w:rPr>
          <w:rFonts w:ascii="Verdana" w:eastAsia="Calibri" w:hAnsi="Verdana" w:cs="Arial"/>
          <w:szCs w:val="24"/>
          <w:lang w:val="es-ES" w:eastAsia="es-MX"/>
        </w:rPr>
      </w:pPr>
    </w:p>
    <w:p w14:paraId="5B586EEB" w14:textId="77777777" w:rsidR="00EC0FFE" w:rsidRPr="00EC0FFE" w:rsidRDefault="00EC0FFE" w:rsidP="00EC0FFE">
      <w:pPr>
        <w:tabs>
          <w:tab w:val="left" w:pos="0"/>
        </w:tabs>
        <w:spacing w:after="120" w:line="276" w:lineRule="auto"/>
        <w:jc w:val="both"/>
        <w:rPr>
          <w:rFonts w:ascii="Verdana" w:eastAsia="Times New Roman" w:hAnsi="Verdana" w:cs="Arial"/>
          <w:szCs w:val="24"/>
          <w:bdr w:val="none" w:sz="0" w:space="0" w:color="auto" w:frame="1"/>
          <w:shd w:val="clear" w:color="auto" w:fill="FFFFFF"/>
          <w:lang w:val="es-ES_tradnl" w:eastAsia="es-ES_tradnl"/>
        </w:rPr>
      </w:pPr>
      <w:r w:rsidRPr="00EC0FFE">
        <w:rPr>
          <w:rFonts w:ascii="Verdana" w:eastAsia="Times New Roman" w:hAnsi="Verdana" w:cs="Arial"/>
          <w:szCs w:val="24"/>
          <w:bdr w:val="none" w:sz="0" w:space="0" w:color="auto" w:frame="1"/>
          <w:shd w:val="clear" w:color="auto" w:fill="FFFFFF"/>
          <w:lang w:val="es-ES_tradnl" w:eastAsia="es-ES_tradnl"/>
        </w:rPr>
        <w:lastRenderedPageBreak/>
        <w:tab/>
        <w:t>Una vez analizado el marco jurídico respecto a la firmeza del RUP y los trámites de inscripción, renovación y actualización del registro, es posible estudiar de manera contextualizada la causal de rechazo objeto de la petición. En efecto, esta debe interpretarse razonablemente de conformidad con el marco jurídico analizado respecto al trámite de renovación, cuyo régimen quedó expuesto en detalle. En este sentido, la causal de rechazo del literal F del numeral 1.15 del pliego de condiciones aplica en los supuestos en que el proponente al momento del cierre del proceso no tenga un RUP vigente y en firme, de ahí que conforme a las disposiciones estudiadas con anterioridad deba rechazarse al proponente que no cumpla con el deber establecido en el artículo 2.2.1.1.1.5.1 del decreto 1082 de 2015, esto es, que no haya presentado la información para renovar el RUP a más tardar el quinto día hábil del mes de abril de cada año.</w:t>
      </w:r>
    </w:p>
    <w:p w14:paraId="6AA41345" w14:textId="77777777" w:rsidR="00EC0FFE" w:rsidRPr="00EC0FFE" w:rsidRDefault="00EC0FFE" w:rsidP="00EC0FFE">
      <w:pPr>
        <w:tabs>
          <w:tab w:val="left" w:pos="0"/>
        </w:tabs>
        <w:spacing w:before="120" w:line="276" w:lineRule="auto"/>
        <w:jc w:val="both"/>
        <w:rPr>
          <w:rFonts w:ascii="Arial" w:eastAsia="Aptos" w:hAnsi="Arial" w:cs="Arial"/>
          <w:color w:val="000000"/>
          <w:kern w:val="2"/>
          <w:szCs w:val="24"/>
          <w14:ligatures w14:val="standardContextual"/>
        </w:rPr>
      </w:pPr>
      <w:r w:rsidRPr="00EC0FFE">
        <w:rPr>
          <w:rFonts w:ascii="Verdana" w:eastAsia="Times New Roman" w:hAnsi="Verdana" w:cs="Arial"/>
          <w:szCs w:val="24"/>
          <w:bdr w:val="none" w:sz="0" w:space="0" w:color="auto" w:frame="1"/>
          <w:shd w:val="clear" w:color="auto" w:fill="FFFFFF"/>
          <w:lang w:val="es-ES_tradnl" w:eastAsia="es-ES_tradnl"/>
        </w:rPr>
        <w:tab/>
        <w:t>No obstante, ello no quiere decir que la causal se extienda a los supuestos en los que el proponente realiza una nueva inscripción, debido a que un RUP que tenía con anterioridad dejó de producir efectos, toda vez que el proponente incumplió el deber de renovar el registro a tiempo. En efecto, como se indicó con anterioridad, en dichos casos el proponente debe inscribirse nuevamente en el registro, de manera que una vez esté en firme la nueva inscripción puede participar en los procedimientos de selección, incluidos los regidos por los documentos tipo. Lo anterior resulta coherente y más preciso con lo regulado en la causal de rechazo del literal “E” de los mismos documentos tipo, que establece: “</w:t>
      </w:r>
      <w:r w:rsidRPr="00EC0FFE">
        <w:rPr>
          <w:rFonts w:ascii="Verdana" w:eastAsia="Times New Roman" w:hAnsi="Verdana" w:cs="Arial"/>
          <w:i/>
          <w:iCs/>
          <w:szCs w:val="24"/>
          <w:bdr w:val="none" w:sz="0" w:space="0" w:color="auto" w:frame="1"/>
          <w:shd w:val="clear" w:color="auto" w:fill="FFFFFF"/>
          <w:lang w:val="es-ES_tradnl" w:eastAsia="es-ES_tradnl"/>
        </w:rPr>
        <w:t>Que la inscripción en el Registro Único de Proponentes (RUP) que realice el Proponente por primera vez o cuando han cesado los efectos y debe volver a inscribirse, no esté en firme en la fecha prevista para el cierre del Proceso de Contratación</w:t>
      </w:r>
      <w:r w:rsidRPr="00EC0FFE">
        <w:rPr>
          <w:rFonts w:ascii="Verdana" w:eastAsia="Times New Roman" w:hAnsi="Verdana" w:cs="Arial"/>
          <w:szCs w:val="24"/>
          <w:bdr w:val="none" w:sz="0" w:space="0" w:color="auto" w:frame="1"/>
          <w:shd w:val="clear" w:color="auto" w:fill="FFFFFF"/>
          <w:lang w:val="es-ES_tradnl" w:eastAsia="es-ES_tradnl"/>
        </w:rPr>
        <w:t>”.</w:t>
      </w:r>
      <w:r w:rsidRPr="00EC0FFE">
        <w:rPr>
          <w:rFonts w:ascii="Arial" w:eastAsia="Arial" w:hAnsi="Arial" w:cs="Arial"/>
          <w:color w:val="000000"/>
          <w:kern w:val="2"/>
          <w:szCs w:val="24"/>
          <w:lang w:eastAsia="es-CO"/>
          <w14:ligatures w14:val="standardContextual"/>
        </w:rPr>
        <w:t xml:space="preserve"> </w:t>
      </w:r>
    </w:p>
    <w:p w14:paraId="33843F78" w14:textId="77777777" w:rsidR="00EC0FFE" w:rsidRPr="00EC0FFE" w:rsidRDefault="00EC0FFE" w:rsidP="00EC0FFE">
      <w:pPr>
        <w:tabs>
          <w:tab w:val="left" w:pos="0"/>
        </w:tabs>
        <w:spacing w:before="120" w:after="120" w:line="276" w:lineRule="auto"/>
        <w:ind w:firstLine="709"/>
        <w:jc w:val="both"/>
        <w:rPr>
          <w:rFonts w:ascii="Verdana" w:eastAsia="Times New Roman" w:hAnsi="Verdana" w:cs="Arial"/>
          <w:szCs w:val="24"/>
          <w:bdr w:val="none" w:sz="0" w:space="0" w:color="auto" w:frame="1"/>
          <w:shd w:val="clear" w:color="auto" w:fill="FFFFFF"/>
          <w:lang w:val="es-ES_tradnl" w:eastAsia="es-ES_tradnl"/>
        </w:rPr>
      </w:pPr>
      <w:r w:rsidRPr="00EC0FFE">
        <w:rPr>
          <w:rFonts w:ascii="Verdana" w:eastAsia="Times New Roman" w:hAnsi="Verdana" w:cs="Arial"/>
          <w:szCs w:val="24"/>
          <w:bdr w:val="none" w:sz="0" w:space="0" w:color="auto" w:frame="1"/>
          <w:shd w:val="clear" w:color="auto" w:fill="FFFFFF"/>
          <w:lang w:val="es-ES_tradnl" w:eastAsia="es-ES_tradnl"/>
        </w:rPr>
        <w:t xml:space="preserve">En este sentido, cuando el proponente incumple su deber de renovar su registro en el RUP y los efectos han cesado, debe volver a inscribirse, supuesto en el cual podrá participar siempre que su registro esté en firme para antes del cierre del proceso de contratación. De esta manera, el rechazo solo será procedente cuando el proponente debe volver a inscribirse y para antes de la fecha del cierre del proceso su inscripción no esté en firme, toda vez que en dicho supuesto no tiene una inscripción vigente y en firme y, como se analizó con anterioridad, “Durante el término otorgado para subsanar las ofertas, los </w:t>
      </w:r>
      <w:r w:rsidRPr="00EC0FFE">
        <w:rPr>
          <w:rFonts w:ascii="Verdana" w:eastAsia="Times New Roman" w:hAnsi="Verdana" w:cs="Arial"/>
          <w:szCs w:val="24"/>
          <w:bdr w:val="none" w:sz="0" w:space="0" w:color="auto" w:frame="1"/>
          <w:shd w:val="clear" w:color="auto" w:fill="FFFFFF"/>
          <w:lang w:val="es-ES_tradnl" w:eastAsia="es-ES_tradnl"/>
        </w:rPr>
        <w:lastRenderedPageBreak/>
        <w:t>proponentes no podrán acreditar circunstancias ocurridas con posterioridad al cierre del proceso”.</w:t>
      </w:r>
    </w:p>
    <w:p w14:paraId="7383ACAB" w14:textId="77777777" w:rsidR="00EC0FFE" w:rsidRPr="00EC0FFE" w:rsidRDefault="00EC0FFE" w:rsidP="00EC0FFE">
      <w:pPr>
        <w:tabs>
          <w:tab w:val="left" w:pos="0"/>
        </w:tabs>
        <w:spacing w:before="120" w:after="120" w:line="276" w:lineRule="auto"/>
        <w:ind w:firstLine="709"/>
        <w:jc w:val="both"/>
        <w:rPr>
          <w:rFonts w:ascii="Verdana" w:eastAsia="Times New Roman" w:hAnsi="Verdana" w:cs="Arial"/>
          <w:szCs w:val="24"/>
          <w:bdr w:val="none" w:sz="0" w:space="0" w:color="auto" w:frame="1"/>
          <w:shd w:val="clear" w:color="auto" w:fill="FFFFFF"/>
          <w:lang w:val="es-ES_tradnl" w:eastAsia="es-ES_tradnl"/>
        </w:rPr>
      </w:pPr>
      <w:r w:rsidRPr="00EC0FFE">
        <w:rPr>
          <w:rFonts w:ascii="Verdana" w:eastAsia="Times New Roman" w:hAnsi="Verdana" w:cs="Arial"/>
          <w:szCs w:val="24"/>
          <w:bdr w:val="none" w:sz="0" w:space="0" w:color="auto" w:frame="1"/>
          <w:shd w:val="clear" w:color="auto" w:fill="FFFFFF"/>
          <w:lang w:val="es-ES_tradnl" w:eastAsia="es-ES_tradnl"/>
        </w:rPr>
        <w:t>Así las cosas, cuando el proponente no presenta la información para el trámite de renovación en la cámara de comercio respectiva incumpliendo su deber de renovar el RUP a más tardar el quinto día hábil del mes de abril de cada año, o en la fecha que establezca la ley o el reglamento, no podrá participar en el proceso de contratación porque el RUP no se encuentra vigente y sus efectos han cesado, por lo que procede su rechazo con fundamento en el literal F del numeral 1.15 del documento base.</w:t>
      </w:r>
    </w:p>
    <w:p w14:paraId="1D84004D" w14:textId="77777777" w:rsidR="00EC0FFE" w:rsidRPr="00EC0FFE" w:rsidRDefault="00EC0FFE" w:rsidP="00EC0FFE">
      <w:pPr>
        <w:tabs>
          <w:tab w:val="left" w:pos="0"/>
        </w:tabs>
        <w:spacing w:before="120" w:after="120" w:line="276" w:lineRule="auto"/>
        <w:ind w:firstLine="709"/>
        <w:jc w:val="both"/>
        <w:rPr>
          <w:rFonts w:ascii="Verdana" w:eastAsia="Times New Roman" w:hAnsi="Verdana" w:cs="Arial"/>
          <w:szCs w:val="24"/>
          <w:bdr w:val="none" w:sz="0" w:space="0" w:color="auto" w:frame="1"/>
          <w:shd w:val="clear" w:color="auto" w:fill="FFFFFF"/>
          <w:lang w:val="es-ES_tradnl" w:eastAsia="es-ES_tradnl"/>
        </w:rPr>
      </w:pPr>
      <w:r w:rsidRPr="00EC0FFE">
        <w:rPr>
          <w:rFonts w:ascii="Verdana" w:eastAsia="Times New Roman" w:hAnsi="Verdana" w:cs="Arial"/>
          <w:szCs w:val="24"/>
          <w:bdr w:val="none" w:sz="0" w:space="0" w:color="auto" w:frame="1"/>
          <w:shd w:val="clear" w:color="auto" w:fill="FFFFFF"/>
          <w:lang w:val="es-ES_tradnl" w:eastAsia="es-ES_tradnl"/>
        </w:rPr>
        <w:t xml:space="preserve">Además, cabe aclarar que conforme con las explicaciones anteriores, esta causal tampoco aplicaría, con sobradas razones, en los supuestos en que el interesado haya cumplido con el deber de presentar la información para renovar su registro antes del quinto día del mes de abril y la renovación solo quede en firme en una fecha posterior. En tal sentido, en el numeral anterior se señaló el tratamiento procedente en estos supuestos, aclarando que una vez la renovación quede en firme el proponente participará con su RUP renovado en los procesos futuros. </w:t>
      </w:r>
    </w:p>
    <w:p w14:paraId="6C0C5E44" w14:textId="77777777" w:rsidR="00EC0FFE" w:rsidRPr="00EC0FFE" w:rsidRDefault="00EC0FFE" w:rsidP="00EC0FFE">
      <w:pPr>
        <w:tabs>
          <w:tab w:val="left" w:pos="426"/>
        </w:tabs>
        <w:spacing w:after="0" w:line="276" w:lineRule="auto"/>
        <w:ind w:firstLine="709"/>
        <w:jc w:val="both"/>
        <w:rPr>
          <w:rFonts w:ascii="Verdana" w:eastAsia="Times New Roman" w:hAnsi="Verdana" w:cs="Arial"/>
          <w:szCs w:val="24"/>
          <w:bdr w:val="none" w:sz="0" w:space="0" w:color="auto" w:frame="1"/>
          <w:shd w:val="clear" w:color="auto" w:fill="FFFFFF"/>
          <w:lang w:val="es-ES_tradnl" w:eastAsia="es-ES_tradnl"/>
        </w:rPr>
      </w:pPr>
      <w:r w:rsidRPr="00EC0FFE">
        <w:rPr>
          <w:rFonts w:ascii="Verdana" w:eastAsia="Times New Roman" w:hAnsi="Verdana" w:cs="Arial"/>
          <w:szCs w:val="24"/>
          <w:bdr w:val="none" w:sz="0" w:space="0" w:color="auto" w:frame="1"/>
          <w:shd w:val="clear" w:color="auto" w:fill="FFFFFF"/>
          <w:lang w:val="es-ES_tradnl" w:eastAsia="es-ES_tradnl"/>
        </w:rPr>
        <w:t xml:space="preserve">En resumen, el origen de la causal de rechazo del literal F del numeral 1.15 del pliego de condiciones deriva de las consecuencias del incumplimiento del deber de renovación del RUP consagrado en el artículo 2.2.1.1.1.5.1 del Decreto 1082 de 2015, específicamente en lo relacionado con el límite temporal de la presentación de la información para renovar el registro a más tardar el quinto día hábil del mes de abril de cada año. En tal medida, la entidad estatal que adelante un proceso de selección con sustento en los documentos tipo rechazará la propuesta del oferente que no acredite haber presentado la información de renovación del RUP antes del quinto día hábil de abril de cada año, incumpliendo con la obligación de la norma anteriormente citada. Para tal efecto se reitera que no es necesario que la renovación esté en firme, sino que mientras esté en trámite podrá participar en el proceso de selección siempre que haya presentado la información dentro del término previsto. </w:t>
      </w:r>
    </w:p>
    <w:p w14:paraId="31893DCE" w14:textId="77777777" w:rsidR="00EC0FFE" w:rsidRPr="00EC0FFE" w:rsidRDefault="00EC0FFE" w:rsidP="00EC0FFE">
      <w:pPr>
        <w:spacing w:after="0" w:line="278" w:lineRule="auto"/>
        <w:jc w:val="both"/>
        <w:rPr>
          <w:rFonts w:ascii="Verdana" w:eastAsia="Calibri" w:hAnsi="Verdana" w:cs="Arial"/>
          <w:bCs/>
          <w:color w:val="000000"/>
          <w:kern w:val="2"/>
          <w:lang w:val="es-ES_tradnl"/>
          <w14:ligatures w14:val="standardContextual"/>
        </w:rPr>
      </w:pPr>
    </w:p>
    <w:p w14:paraId="7914DF46" w14:textId="77777777" w:rsidR="00EC0FFE" w:rsidRPr="00EC0FFE" w:rsidRDefault="00EC0FFE" w:rsidP="00EC0FFE">
      <w:pPr>
        <w:spacing w:after="120" w:line="276" w:lineRule="auto"/>
        <w:jc w:val="both"/>
        <w:rPr>
          <w:rFonts w:ascii="Verdana" w:eastAsia="Times New Roman" w:hAnsi="Verdana" w:cs="Times New Roman"/>
          <w:lang w:eastAsia="es-MX"/>
        </w:rPr>
      </w:pPr>
      <w:proofErr w:type="spellStart"/>
      <w:r w:rsidRPr="00EC0FFE">
        <w:rPr>
          <w:rFonts w:ascii="Verdana" w:eastAsia="Calibri" w:hAnsi="Verdana" w:cs="Arial"/>
          <w:lang w:eastAsia="es-MX"/>
        </w:rPr>
        <w:t>iv</w:t>
      </w:r>
      <w:proofErr w:type="spellEnd"/>
      <w:r w:rsidRPr="00EC0FFE">
        <w:rPr>
          <w:rFonts w:ascii="Verdana" w:eastAsia="Calibri" w:hAnsi="Verdana" w:cs="Arial"/>
          <w:lang w:eastAsia="es-MX"/>
        </w:rPr>
        <w:t xml:space="preserve">. </w:t>
      </w:r>
      <w:r w:rsidRPr="00EC0FFE">
        <w:rPr>
          <w:rFonts w:ascii="Verdana" w:eastAsia="Calibri" w:hAnsi="Verdana" w:cs="Arial"/>
          <w:bCs/>
          <w:color w:val="000000"/>
          <w:lang w:eastAsia="es-MX"/>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w:t>
      </w:r>
      <w:r w:rsidRPr="00EC0FFE">
        <w:rPr>
          <w:rFonts w:ascii="Verdana" w:eastAsia="Calibri" w:hAnsi="Verdana" w:cs="Arial"/>
          <w:bCs/>
          <w:color w:val="000000"/>
          <w:lang w:eastAsia="es-MX"/>
        </w:rPr>
        <w:lastRenderedPageBreak/>
        <w:t>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0C67FA9" w14:textId="77777777" w:rsidR="00EC0FFE" w:rsidRPr="00EC0FFE" w:rsidRDefault="00EC0FFE" w:rsidP="007A0D69">
      <w:pPr>
        <w:spacing w:after="0" w:line="276" w:lineRule="auto"/>
        <w:ind w:firstLine="708"/>
        <w:jc w:val="both"/>
        <w:rPr>
          <w:rFonts w:ascii="Verdana" w:eastAsia="Calibri" w:hAnsi="Verdana" w:cs="Arial"/>
          <w:bCs/>
          <w:color w:val="000000"/>
          <w:lang w:eastAsia="es-MX"/>
        </w:rPr>
      </w:pPr>
      <w:r w:rsidRPr="00EC0FFE">
        <w:rPr>
          <w:rFonts w:ascii="Verdana" w:eastAsia="Calibri" w:hAnsi="Verdana" w:cs="Arial"/>
          <w:bCs/>
          <w:color w:val="000000"/>
          <w:lang w:eastAsia="es-MX"/>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4A1C3A34" w14:textId="77777777" w:rsidR="00EC0FFE" w:rsidRPr="00EC0FFE" w:rsidRDefault="00EC0FFE" w:rsidP="007A0D69">
      <w:pPr>
        <w:spacing w:after="0" w:line="276" w:lineRule="auto"/>
        <w:jc w:val="both"/>
        <w:rPr>
          <w:rFonts w:ascii="Verdana" w:eastAsia="Calibri" w:hAnsi="Verdana" w:cs="Times New Roman"/>
          <w:lang w:eastAsia="es-MX"/>
        </w:rPr>
      </w:pPr>
    </w:p>
    <w:p w14:paraId="37F1C57E" w14:textId="77777777" w:rsidR="00EC0FFE" w:rsidRPr="00EC0FFE" w:rsidRDefault="00EC0FFE" w:rsidP="007A0D69">
      <w:pPr>
        <w:tabs>
          <w:tab w:val="left" w:pos="142"/>
          <w:tab w:val="left" w:pos="284"/>
        </w:tabs>
        <w:spacing w:after="0" w:line="276" w:lineRule="auto"/>
        <w:jc w:val="both"/>
        <w:rPr>
          <w:rFonts w:ascii="Verdana" w:eastAsia="Century Gothic" w:hAnsi="Verdana" w:cs="Century Gothic"/>
          <w:b/>
          <w:bCs/>
          <w:lang w:val="es-ES_tradnl" w:eastAsia="es-MX"/>
        </w:rPr>
      </w:pPr>
      <w:r w:rsidRPr="00EC0FFE">
        <w:rPr>
          <w:rFonts w:ascii="Verdana" w:eastAsia="Century Gothic" w:hAnsi="Verdana" w:cs="Century Gothic"/>
          <w:b/>
          <w:bCs/>
          <w:lang w:val="es-ES_tradnl" w:eastAsia="es-MX"/>
        </w:rPr>
        <w:t>4. Referencias normativas, jurisprudenciales y otras fuentes:</w:t>
      </w:r>
    </w:p>
    <w:p w14:paraId="51323C21" w14:textId="77777777" w:rsidR="00EC0FFE" w:rsidRPr="00EC0FFE" w:rsidRDefault="00EC0FFE" w:rsidP="007A0D69">
      <w:pPr>
        <w:spacing w:after="0"/>
        <w:ind w:left="-15840"/>
        <w:jc w:val="both"/>
        <w:rPr>
          <w:rFonts w:ascii="Verdana" w:eastAsia="Calibri" w:hAnsi="Verdana" w:cs="Arial"/>
          <w:b/>
          <w:bCs/>
          <w:lang w:eastAsia="es-MX"/>
        </w:rPr>
      </w:pPr>
      <w:r w:rsidRPr="00EC0FFE">
        <w:rPr>
          <w:rFonts w:ascii="Verdana" w:eastAsia="Calibri" w:hAnsi="Verdana" w:cs="Arial"/>
          <w:b/>
          <w:bCs/>
          <w:lang w:eastAsia="es-MX"/>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EC0FFE" w:rsidRPr="00EC0FFE" w14:paraId="3104AEF0" w14:textId="77777777">
        <w:trPr>
          <w:trHeight w:val="870"/>
        </w:trPr>
        <w:tc>
          <w:tcPr>
            <w:tcW w:w="8647" w:type="dxa"/>
            <w:tcBorders>
              <w:top w:val="dotted" w:sz="4" w:space="0" w:color="auto"/>
              <w:left w:val="dotted" w:sz="4" w:space="0" w:color="auto"/>
              <w:bottom w:val="dotted" w:sz="4" w:space="0" w:color="auto"/>
              <w:right w:val="dotted" w:sz="4" w:space="0" w:color="auto"/>
            </w:tcBorders>
          </w:tcPr>
          <w:p w14:paraId="0F399129" w14:textId="77777777" w:rsidR="00EC0FFE" w:rsidRPr="00EC0FFE" w:rsidRDefault="00EC0FFE" w:rsidP="007A0D69">
            <w:pPr>
              <w:contextualSpacing/>
              <w:jc w:val="both"/>
              <w:rPr>
                <w:rFonts w:ascii="Verdana" w:eastAsia="Calibri" w:hAnsi="Verdana" w:cs="Arial"/>
                <w:bCs/>
                <w:lang w:eastAsia="es-MX"/>
              </w:rPr>
            </w:pPr>
          </w:p>
          <w:p w14:paraId="2E829D33" w14:textId="77777777" w:rsidR="00EC0FFE" w:rsidRPr="00EC0FFE" w:rsidRDefault="00EC0FFE" w:rsidP="007A0D69">
            <w:pPr>
              <w:widowControl w:val="0"/>
              <w:numPr>
                <w:ilvl w:val="0"/>
                <w:numId w:val="17"/>
              </w:numPr>
              <w:autoSpaceDE w:val="0"/>
              <w:autoSpaceDN w:val="0"/>
              <w:spacing w:line="276" w:lineRule="auto"/>
              <w:ind w:left="714" w:hanging="357"/>
              <w:jc w:val="both"/>
              <w:rPr>
                <w:rFonts w:ascii="Verdana" w:eastAsia="Calibri" w:hAnsi="Verdana" w:cs="Arial"/>
                <w:lang w:val="es-ES_tradnl" w:eastAsia="es-MX"/>
              </w:rPr>
            </w:pPr>
            <w:r w:rsidRPr="00EC0FFE">
              <w:rPr>
                <w:rFonts w:ascii="Verdana" w:eastAsia="Calibri" w:hAnsi="Verdana" w:cs="Arial"/>
                <w:lang w:val="es-ES_tradnl" w:eastAsia="es-MX"/>
              </w:rPr>
              <w:t xml:space="preserve">Ley 2022 de 2020, artículo 1. </w:t>
            </w:r>
          </w:p>
          <w:p w14:paraId="63D5760E" w14:textId="77777777" w:rsidR="00EC0FFE" w:rsidRPr="00EC0FFE" w:rsidRDefault="00EC0FFE" w:rsidP="007A0D69">
            <w:pPr>
              <w:widowControl w:val="0"/>
              <w:numPr>
                <w:ilvl w:val="0"/>
                <w:numId w:val="17"/>
              </w:numPr>
              <w:autoSpaceDE w:val="0"/>
              <w:autoSpaceDN w:val="0"/>
              <w:spacing w:line="276" w:lineRule="auto"/>
              <w:jc w:val="both"/>
              <w:rPr>
                <w:rFonts w:ascii="Verdana" w:eastAsia="Calibri" w:hAnsi="Verdana" w:cs="Arial"/>
                <w:lang w:eastAsia="es-MX"/>
              </w:rPr>
            </w:pPr>
            <w:r w:rsidRPr="00EC0FFE">
              <w:rPr>
                <w:rFonts w:ascii="Verdana" w:eastAsia="Calibri" w:hAnsi="Verdana" w:cs="Arial"/>
                <w:lang w:eastAsia="es-MX"/>
              </w:rPr>
              <w:t>Ley 1150 de 2007, artículo 2.</w:t>
            </w:r>
          </w:p>
          <w:p w14:paraId="0F1EF0B3" w14:textId="77777777" w:rsidR="00EC0FFE" w:rsidRPr="00EC0FFE" w:rsidRDefault="00EC0FFE" w:rsidP="007A0D69">
            <w:pPr>
              <w:widowControl w:val="0"/>
              <w:numPr>
                <w:ilvl w:val="0"/>
                <w:numId w:val="17"/>
              </w:numPr>
              <w:autoSpaceDE w:val="0"/>
              <w:autoSpaceDN w:val="0"/>
              <w:spacing w:line="276" w:lineRule="auto"/>
              <w:contextualSpacing/>
              <w:jc w:val="both"/>
              <w:rPr>
                <w:rFonts w:ascii="Verdana" w:eastAsia="Calibri" w:hAnsi="Verdana" w:cs="Arial"/>
                <w:lang w:eastAsia="es-MX"/>
              </w:rPr>
            </w:pPr>
            <w:r w:rsidRPr="00EC0FFE">
              <w:rPr>
                <w:rFonts w:ascii="Verdana" w:eastAsia="Calibri" w:hAnsi="Verdana" w:cs="Arial"/>
                <w:lang w:val="es-ES_tradnl" w:eastAsia="es-MX"/>
              </w:rPr>
              <w:t xml:space="preserve">Documentos Tipo. Disponibles en: </w:t>
            </w:r>
            <w:hyperlink r:id="rId11" w:history="1">
              <w:r w:rsidRPr="00EC0FFE">
                <w:rPr>
                  <w:rFonts w:ascii="Verdana" w:eastAsia="Calibri" w:hAnsi="Verdana" w:cs="Arial"/>
                  <w:color w:val="0000FF"/>
                  <w:u w:val="single"/>
                  <w:lang w:val="es-ES_tradnl" w:eastAsia="es-MX"/>
                </w:rPr>
                <w:t>https://www.colombiacompra.gov.co/documentos-tipo/documentos-tipo</w:t>
              </w:r>
            </w:hyperlink>
            <w:r w:rsidRPr="00EC0FFE">
              <w:rPr>
                <w:rFonts w:ascii="Verdana" w:eastAsia="Calibri" w:hAnsi="Verdana" w:cs="Arial"/>
                <w:lang w:val="es-ES_tradnl" w:eastAsia="es-MX"/>
              </w:rPr>
              <w:t>.</w:t>
            </w:r>
            <w:r w:rsidRPr="00EC0FFE">
              <w:rPr>
                <w:rFonts w:ascii="Verdana" w:eastAsia="Aptos" w:hAnsi="Verdana" w:cs="Arial"/>
              </w:rPr>
              <w:t xml:space="preserve"> </w:t>
            </w:r>
          </w:p>
        </w:tc>
      </w:tr>
    </w:tbl>
    <w:p w14:paraId="1BB7F199" w14:textId="77777777" w:rsidR="00EC0FFE" w:rsidRPr="00EC0FFE" w:rsidRDefault="00EC0FFE" w:rsidP="007A0D69">
      <w:pPr>
        <w:tabs>
          <w:tab w:val="left" w:pos="142"/>
          <w:tab w:val="left" w:pos="284"/>
        </w:tabs>
        <w:spacing w:after="0" w:line="276" w:lineRule="auto"/>
        <w:jc w:val="both"/>
        <w:rPr>
          <w:rFonts w:ascii="Verdana" w:eastAsia="Calibri" w:hAnsi="Verdana" w:cs="Arial"/>
          <w:lang w:eastAsia="es-MX"/>
        </w:rPr>
      </w:pPr>
    </w:p>
    <w:p w14:paraId="7ABC4E33" w14:textId="77777777" w:rsidR="00EC0FFE" w:rsidRPr="00EC0FFE" w:rsidRDefault="00EC0FFE" w:rsidP="007A0D69">
      <w:pPr>
        <w:tabs>
          <w:tab w:val="left" w:pos="142"/>
          <w:tab w:val="left" w:pos="284"/>
        </w:tabs>
        <w:spacing w:after="0" w:line="276" w:lineRule="auto"/>
        <w:jc w:val="both"/>
        <w:rPr>
          <w:rFonts w:ascii="Verdana" w:eastAsia="Century Gothic" w:hAnsi="Verdana" w:cs="Century Gothic"/>
          <w:b/>
          <w:bCs/>
          <w:lang w:val="es-ES" w:eastAsia="es-MX"/>
        </w:rPr>
      </w:pPr>
      <w:r w:rsidRPr="00EC0FFE">
        <w:rPr>
          <w:rFonts w:ascii="Verdana" w:eastAsia="Calibri" w:hAnsi="Verdana" w:cs="Arial"/>
          <w:b/>
          <w:bCs/>
          <w:lang w:eastAsia="es-MX"/>
        </w:rPr>
        <w:t>5</w:t>
      </w:r>
      <w:r w:rsidRPr="00EC0FFE">
        <w:rPr>
          <w:rFonts w:ascii="Verdana" w:eastAsia="Calibri" w:hAnsi="Verdana" w:cs="Arial"/>
          <w:lang w:eastAsia="es-MX"/>
        </w:rPr>
        <w:t>.</w:t>
      </w:r>
      <w:r w:rsidRPr="00EC0FFE">
        <w:rPr>
          <w:rFonts w:ascii="Verdana" w:eastAsia="Century Gothic" w:hAnsi="Verdana" w:cs="Century Gothic"/>
          <w:b/>
          <w:bCs/>
          <w:lang w:val="es-ES" w:eastAsia="es-MX"/>
        </w:rPr>
        <w:t>Doctrina de la Agencia Nacional de Contratación Pública:</w:t>
      </w:r>
    </w:p>
    <w:p w14:paraId="2510EFA4" w14:textId="77777777" w:rsidR="00EC0FFE" w:rsidRPr="00EC0FFE" w:rsidRDefault="00EC0FFE" w:rsidP="00EC0FFE">
      <w:pPr>
        <w:widowControl w:val="0"/>
        <w:autoSpaceDE w:val="0"/>
        <w:autoSpaceDN w:val="0"/>
        <w:spacing w:after="0" w:line="276" w:lineRule="auto"/>
        <w:jc w:val="both"/>
        <w:rPr>
          <w:rFonts w:ascii="Verdana" w:eastAsia="Calibri" w:hAnsi="Verdana" w:cs="Arial"/>
          <w:lang w:eastAsia="es-MX"/>
        </w:rPr>
      </w:pPr>
    </w:p>
    <w:p w14:paraId="15C63CD3" w14:textId="77777777" w:rsidR="00EC0FFE" w:rsidRPr="00EC0FFE" w:rsidRDefault="00EC0FFE" w:rsidP="00EC0FFE">
      <w:pPr>
        <w:widowControl w:val="0"/>
        <w:autoSpaceDE w:val="0"/>
        <w:autoSpaceDN w:val="0"/>
        <w:spacing w:after="0" w:line="276" w:lineRule="auto"/>
        <w:jc w:val="both"/>
        <w:rPr>
          <w:rFonts w:ascii="Verdana" w:eastAsia="Calibri" w:hAnsi="Verdana" w:cs="Arial"/>
          <w:kern w:val="2"/>
          <w:lang w:val="es-ES_tradnl" w:eastAsia="en-GB"/>
          <w14:ligatures w14:val="standardContextual"/>
        </w:rPr>
      </w:pPr>
      <w:r w:rsidRPr="00EC0FFE">
        <w:rPr>
          <w:rFonts w:ascii="Verdana" w:eastAsia="Calibri" w:hAnsi="Verdana" w:cs="Arial"/>
          <w:kern w:val="2"/>
          <w:lang w:val="es-ES_tradnl" w:eastAsia="es-ES_tradnl"/>
          <w14:ligatures w14:val="standardContextual"/>
        </w:rPr>
        <w:t>Sobre las problemáticas asociadas al RUP, relacionadas con la firmeza de la inscripción, renovación y actualización, se pronunció esta Subdirección en los conceptos C–005  del 14 de febrero de 2020, C–148 del 22 de abril de 2020, C–330 del 27 de mayo de 2020, C–303 del 3 de junio de 2020, C–328 de 30 de junio de 2020, C–454 del 6 de julio de 2020, C–374 del 23 de julio de 2020, C–466 del 24 de julio de 2020, C–420 del 28 de julio de 2020, C–534 del 12 de agosto de 2020, C-703 del 12 de enero de 2022, C-360 del 25 de mayo de 2022, C-426 del 5 de julio de 2022</w:t>
      </w:r>
      <w:r w:rsidRPr="00EC0FFE">
        <w:rPr>
          <w:rFonts w:ascii="Verdana" w:eastAsia="Aptos" w:hAnsi="Verdana" w:cs="Arial"/>
          <w:kern w:val="2"/>
          <w:shd w:val="clear" w:color="auto" w:fill="FFFFFF"/>
          <w14:ligatures w14:val="standardContextual"/>
        </w:rPr>
        <w:t xml:space="preserve">, C-353 del 30 de agosto de 2024 y C-287 de 2025 </w:t>
      </w:r>
      <w:r w:rsidRPr="00EC0FFE">
        <w:rPr>
          <w:rFonts w:ascii="Verdana" w:eastAsia="Calibri" w:hAnsi="Verdana" w:cs="Times New Roman"/>
          <w:kern w:val="2"/>
          <w14:ligatures w14:val="standardContextual"/>
        </w:rPr>
        <w:t>entre otros.</w:t>
      </w:r>
    </w:p>
    <w:p w14:paraId="711820BF" w14:textId="77777777" w:rsidR="00EC0FFE" w:rsidRPr="00EC0FFE" w:rsidRDefault="00EC0FFE" w:rsidP="00EC0FFE">
      <w:pPr>
        <w:spacing w:after="0" w:line="240" w:lineRule="auto"/>
        <w:jc w:val="both"/>
        <w:rPr>
          <w:rFonts w:ascii="Verdana" w:eastAsia="Calibri" w:hAnsi="Verdana" w:cs="Arial"/>
          <w:color w:val="000000"/>
          <w:shd w:val="clear" w:color="auto" w:fill="FFFFFF"/>
          <w:lang w:val="es-ES_tradnl" w:eastAsia="es-MX"/>
        </w:rPr>
      </w:pPr>
    </w:p>
    <w:p w14:paraId="45AD4522" w14:textId="77777777" w:rsidR="00EC0FFE" w:rsidRPr="00EC0FFE" w:rsidRDefault="00EC0FFE" w:rsidP="00EC0FFE">
      <w:pPr>
        <w:spacing w:after="0" w:line="240" w:lineRule="auto"/>
        <w:jc w:val="both"/>
        <w:rPr>
          <w:rFonts w:ascii="Verdana" w:eastAsia="Calibri" w:hAnsi="Verdana" w:cs="Arial"/>
          <w:color w:val="000000"/>
          <w:shd w:val="clear" w:color="auto" w:fill="FFFFFF"/>
          <w:lang w:val="es-ES_tradnl" w:eastAsia="es-MX"/>
        </w:rPr>
      </w:pPr>
      <w:r w:rsidRPr="00EC0FFE">
        <w:rPr>
          <w:rFonts w:ascii="Verdana" w:eastAsia="Calibri" w:hAnsi="Verdana" w:cs="Arial"/>
          <w:color w:val="000000"/>
          <w:shd w:val="clear" w:color="auto" w:fill="FFFFFF"/>
          <w:lang w:val="es-ES_tradnl" w:eastAsia="es-MX"/>
        </w:rPr>
        <w:t xml:space="preserve">Sobre la causal de rechazo contenida en los documentos tipo expedidos por esta Agencia relacionada con la acreditación de la renovación del Registro Único de Proponentes – RUP esta Agencia se pronunció en los conceptos C-269 del 3 de junio de 2022, C-283 del 4 de mayo de 2022, C-287 del 11 de mayo de 2022, C-252 del 9 de julio de 2023, entre otros. </w:t>
      </w:r>
    </w:p>
    <w:p w14:paraId="23420C09" w14:textId="77777777" w:rsidR="00EC0FFE" w:rsidRPr="00EC0FFE" w:rsidRDefault="00EC0FFE" w:rsidP="00EC0FFE">
      <w:pPr>
        <w:spacing w:after="0" w:line="240" w:lineRule="auto"/>
        <w:jc w:val="both"/>
        <w:rPr>
          <w:rFonts w:ascii="Verdana" w:eastAsia="Calibri" w:hAnsi="Verdana" w:cs="Arial"/>
          <w:color w:val="000000"/>
          <w:shd w:val="clear" w:color="auto" w:fill="FFFFFF"/>
          <w:lang w:val="es-ES_tradnl" w:eastAsia="es-MX"/>
        </w:rPr>
      </w:pPr>
    </w:p>
    <w:p w14:paraId="37D47137" w14:textId="77777777" w:rsidR="00EC0FFE" w:rsidRPr="00EC0FFE" w:rsidRDefault="00EC0FFE" w:rsidP="00EC0FFE">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r w:rsidRPr="00EC0FFE">
        <w:rPr>
          <w:rFonts w:ascii="Verdana" w:eastAsia="Calibri" w:hAnsi="Verdana" w:cs="Arial"/>
          <w:color w:val="000000"/>
          <w:shd w:val="clear" w:color="auto" w:fill="FFFFFF"/>
          <w:lang w:eastAsia="es-MX"/>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EC0FFE">
          <w:rPr>
            <w:rFonts w:ascii="Verdana" w:eastAsia="Calibri" w:hAnsi="Verdana" w:cs="Arial"/>
            <w:color w:val="0000FF"/>
            <w:u w:val="single"/>
            <w:shd w:val="clear" w:color="auto" w:fill="FFFFFF"/>
            <w:lang w:eastAsia="es-MX"/>
          </w:rPr>
          <w:t>https://relatoria.colombiacompra.gov.co/</w:t>
        </w:r>
      </w:hyperlink>
      <w:r w:rsidRPr="00EC0FFE">
        <w:rPr>
          <w:rFonts w:ascii="Verdana" w:eastAsia="Calibri" w:hAnsi="Verdana" w:cs="Arial"/>
          <w:color w:val="0000FF"/>
          <w:u w:val="single"/>
          <w:shd w:val="clear" w:color="auto" w:fill="FFFFFF"/>
          <w:lang w:eastAsia="es-MX"/>
        </w:rPr>
        <w:t> .</w:t>
      </w:r>
    </w:p>
    <w:p w14:paraId="6C080A71" w14:textId="77777777" w:rsidR="00EC0FFE" w:rsidRPr="00EC0FFE" w:rsidRDefault="00EC0FFE" w:rsidP="00EC0FFE">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p>
    <w:p w14:paraId="0B858B7D" w14:textId="77777777" w:rsidR="00EC0FFE" w:rsidRPr="00EC0FFE" w:rsidRDefault="00EC0FFE" w:rsidP="00EC0FFE">
      <w:pPr>
        <w:spacing w:after="0" w:line="276" w:lineRule="auto"/>
        <w:jc w:val="both"/>
        <w:rPr>
          <w:rFonts w:ascii="Verdana" w:eastAsia="Times New Roman" w:hAnsi="Verdana" w:cs="Arial"/>
          <w:lang w:eastAsia="es-MX"/>
        </w:rPr>
      </w:pPr>
      <w:r w:rsidRPr="00EC0FFE">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EC0FFE">
        <w:rPr>
          <w:rFonts w:ascii="Verdana" w:eastAsia="Times New Roman" w:hAnsi="Verdana" w:cs="Arial"/>
          <w:b/>
          <w:bCs/>
          <w:lang w:eastAsia="es-MX"/>
        </w:rPr>
        <w:t>Curso de Contratación Pública Sostenible y Socialmente Responsable</w:t>
      </w:r>
      <w:r w:rsidRPr="00EC0FFE">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EC0FFE">
        <w:rPr>
          <w:rFonts w:ascii="Verdana" w:eastAsia="Times New Roman" w:hAnsi="Verdana" w:cs="Arial"/>
          <w:lang w:eastAsia="es-MX"/>
        </w:rPr>
        <w:br/>
      </w:r>
      <w:hyperlink r:id="rId13" w:tgtFrame="_new" w:history="1">
        <w:r w:rsidRPr="00EC0FFE">
          <w:rPr>
            <w:rFonts w:ascii="Verdana" w:eastAsia="Times New Roman" w:hAnsi="Verdana" w:cs="Arial"/>
            <w:color w:val="0000FF"/>
            <w:u w:val="single"/>
            <w:lang w:eastAsia="es-MX"/>
          </w:rPr>
          <w:t>https://formacionvirtual.colombiacompra.gov.co/mod/page/view.php?id=3718</w:t>
        </w:r>
      </w:hyperlink>
    </w:p>
    <w:p w14:paraId="1D44E63F" w14:textId="77777777" w:rsidR="00EC0FFE" w:rsidRPr="00EC0FFE" w:rsidRDefault="00EC0FFE" w:rsidP="00EC0FFE">
      <w:pPr>
        <w:spacing w:after="0" w:line="276" w:lineRule="auto"/>
        <w:jc w:val="both"/>
        <w:rPr>
          <w:rFonts w:ascii="Verdana" w:eastAsia="Times New Roman" w:hAnsi="Verdana" w:cs="Arial"/>
          <w:lang w:eastAsia="es-MX"/>
        </w:rPr>
      </w:pPr>
      <w:r w:rsidRPr="00EC0FFE">
        <w:rPr>
          <w:rFonts w:ascii="Verdana" w:eastAsia="Times New Roman" w:hAnsi="Verdana" w:cs="Arial"/>
          <w:lang w:eastAsia="es-MX"/>
        </w:rPr>
        <w:t xml:space="preserve">De otro lado, te contamos que esta Agencia ha da un paso decisivo en la estandarización y modernización del </w:t>
      </w:r>
      <w:r w:rsidRPr="00EC0FFE">
        <w:rPr>
          <w:rFonts w:ascii="Verdana" w:eastAsia="Times New Roman" w:hAnsi="Verdana" w:cs="Arial"/>
          <w:b/>
          <w:bCs/>
          <w:lang w:eastAsia="es-MX"/>
        </w:rPr>
        <w:t>sector  social</w:t>
      </w:r>
      <w:r w:rsidRPr="00EC0FFE">
        <w:rPr>
          <w:rFonts w:ascii="Verdana" w:eastAsia="Times New Roman" w:hAnsi="Verdana" w:cs="Arial"/>
          <w:lang w:eastAsia="es-MX"/>
        </w:rPr>
        <w:t xml:space="preserve"> con la expedición de las </w:t>
      </w:r>
      <w:r w:rsidRPr="00EC0FFE">
        <w:rPr>
          <w:rFonts w:ascii="Verdana" w:eastAsia="Times New Roman" w:hAnsi="Verdana" w:cs="Arial"/>
          <w:b/>
          <w:bCs/>
          <w:lang w:eastAsia="es-MX"/>
        </w:rPr>
        <w:t>Resoluciones 539, 540, 541, 952 y 953 de 2025</w:t>
      </w:r>
      <w:r w:rsidRPr="00EC0FFE">
        <w:rPr>
          <w:rFonts w:ascii="Verdana" w:eastAsia="Times New Roman" w:hAnsi="Verdana" w:cs="Arial"/>
          <w:lang w:eastAsia="es-MX"/>
        </w:rPr>
        <w:t xml:space="preserve">, </w:t>
      </w:r>
      <w:r w:rsidRPr="00EC0FFE">
        <w:rPr>
          <w:rFonts w:ascii="Verdana" w:eastAsia="Times New Roman" w:hAnsi="Verdana" w:cs="Arial"/>
          <w:b/>
          <w:bCs/>
          <w:lang w:eastAsia="es-MX"/>
        </w:rPr>
        <w:t>mediante las cuales adoptó Documentos Tipo</w:t>
      </w:r>
      <w:r w:rsidRPr="00EC0FFE">
        <w:rPr>
          <w:rFonts w:ascii="Verdana" w:eastAsia="Times New Roman" w:hAnsi="Verdana" w:cs="Arial"/>
          <w:lang w:eastAsia="es-MX"/>
        </w:rPr>
        <w:t xml:space="preserve"> para las modalidades de selección de</w:t>
      </w:r>
      <w:r w:rsidRPr="00EC0FFE">
        <w:rPr>
          <w:rFonts w:ascii="Verdana" w:eastAsia="Times New Roman" w:hAnsi="Verdana" w:cs="Arial"/>
          <w:b/>
          <w:bCs/>
          <w:lang w:eastAsia="es-MX"/>
        </w:rPr>
        <w:t xml:space="preserve"> licitación pública (versión 2), selección abreviada de menor cuantía, mínima cuantía, consultoría e interventoría</w:t>
      </w:r>
      <w:r w:rsidRPr="00EC0FFE">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EC0FFE">
          <w:rPr>
            <w:rFonts w:ascii="Verdana" w:eastAsia="Times New Roman" w:hAnsi="Verdana" w:cs="Arial"/>
            <w:color w:val="0000FF"/>
            <w:u w:val="single"/>
            <w:lang w:eastAsia="es-MX"/>
          </w:rPr>
          <w:t>https://www.colombiacompra.gov.co/normativa-y-relatoria/documentos-tipo</w:t>
        </w:r>
      </w:hyperlink>
    </w:p>
    <w:p w14:paraId="7741BC53" w14:textId="77777777" w:rsidR="00EC0FFE" w:rsidRPr="00EC0FFE" w:rsidRDefault="00EC0FFE" w:rsidP="00EC0FFE">
      <w:pPr>
        <w:spacing w:after="0" w:line="276" w:lineRule="auto"/>
        <w:jc w:val="both"/>
        <w:rPr>
          <w:rFonts w:ascii="Verdana" w:eastAsia="Times New Roman" w:hAnsi="Verdana" w:cs="Arial"/>
          <w:lang w:eastAsia="es-MX"/>
        </w:rPr>
      </w:pPr>
    </w:p>
    <w:p w14:paraId="2FE2BA42" w14:textId="77777777" w:rsidR="00EC0FFE" w:rsidRPr="00EC0FFE" w:rsidRDefault="00EC0FFE" w:rsidP="00EC0FFE">
      <w:pPr>
        <w:spacing w:after="0" w:line="276" w:lineRule="auto"/>
        <w:jc w:val="both"/>
        <w:rPr>
          <w:rFonts w:ascii="Verdana" w:eastAsia="Times New Roman" w:hAnsi="Verdana" w:cs="Arial"/>
          <w:lang w:eastAsia="es-MX"/>
        </w:rPr>
      </w:pPr>
      <w:r w:rsidRPr="00EC0FFE">
        <w:rPr>
          <w:rFonts w:ascii="Verdana" w:eastAsia="Times New Roman" w:hAnsi="Verdana" w:cs="Arial"/>
          <w:lang w:eastAsia="es-MX"/>
        </w:rPr>
        <w:t xml:space="preserve">Si quieres conocer más sobre la aplicación de Documentos Tipo puedes consultar la última versión de la </w:t>
      </w:r>
      <w:r w:rsidRPr="00EC0FFE">
        <w:rPr>
          <w:rFonts w:ascii="Verdana" w:eastAsia="Times New Roman" w:hAnsi="Verdana" w:cs="Arial"/>
          <w:b/>
          <w:bCs/>
          <w:lang w:eastAsia="es-MX"/>
        </w:rPr>
        <w:t>Guía para la comprensión e implementación de los Documentos Tipo de obra pública de infraestructura de transporte</w:t>
      </w:r>
      <w:r w:rsidRPr="00EC0FFE">
        <w:rPr>
          <w:rFonts w:ascii="Verdana" w:eastAsia="Times New Roman" w:hAnsi="Verdana" w:cs="Arial"/>
          <w:lang w:eastAsia="es-MX"/>
        </w:rPr>
        <w:t xml:space="preserve">. En esta actualización se incorporaron orientaciones prácticas dirigidas a entidades públicas, proveedores, organismos de control y demás interesados, con el </w:t>
      </w:r>
      <w:r w:rsidRPr="00EC0FFE">
        <w:rPr>
          <w:rFonts w:ascii="Verdana" w:eastAsia="Times New Roman" w:hAnsi="Verdana" w:cs="Arial"/>
          <w:lang w:eastAsia="es-MX"/>
        </w:rPr>
        <w:lastRenderedPageBreak/>
        <w:t>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EC0FFE">
        <w:rPr>
          <w:rFonts w:ascii="Verdana" w:eastAsia="Times New Roman" w:hAnsi="Verdana" w:cs="Arial"/>
          <w:lang w:eastAsia="es-MX"/>
        </w:rPr>
        <w:br/>
      </w:r>
      <w:hyperlink r:id="rId15" w:tgtFrame="_new" w:history="1">
        <w:r w:rsidRPr="00EC0FFE">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2810446E" w14:textId="77777777" w:rsidR="00EC0FFE" w:rsidRPr="00EC0FFE" w:rsidRDefault="00EC0FFE" w:rsidP="00EC0FFE">
      <w:pPr>
        <w:spacing w:after="0"/>
        <w:jc w:val="both"/>
        <w:rPr>
          <w:rFonts w:ascii="Verdana" w:eastAsia="Aptos" w:hAnsi="Verdana" w:cs="Times New Roman"/>
          <w:color w:val="212121"/>
          <w:lang w:eastAsia="es-MX"/>
        </w:rPr>
      </w:pPr>
    </w:p>
    <w:p w14:paraId="131DEA42" w14:textId="77777777" w:rsidR="00EC0FFE" w:rsidRPr="00EC0FFE" w:rsidRDefault="00EC0FFE" w:rsidP="00EC0FFE">
      <w:pPr>
        <w:spacing w:after="0" w:line="240" w:lineRule="auto"/>
        <w:jc w:val="both"/>
        <w:rPr>
          <w:rFonts w:ascii="Verdana" w:eastAsia="Calibri" w:hAnsi="Verdana" w:cs="Times New Roman"/>
          <w:lang w:eastAsia="es-MX"/>
        </w:rPr>
      </w:pPr>
      <w:r w:rsidRPr="00EC0FFE">
        <w:rPr>
          <w:rFonts w:ascii="Verdana" w:eastAsia="Aptos" w:hAnsi="Verdana" w:cs="Times New Roman"/>
          <w:lang w:eastAsia="es-MX"/>
        </w:rPr>
        <w:t xml:space="preserve">Por último, lo invitamos a seguirnos en las redes sociales en las cuales se difunde información institucional: </w:t>
      </w:r>
    </w:p>
    <w:p w14:paraId="7DB0A596" w14:textId="77777777" w:rsidR="00EC0FFE" w:rsidRPr="00EC0FFE" w:rsidRDefault="00EC0FFE" w:rsidP="00EC0FFE">
      <w:pPr>
        <w:spacing w:after="0" w:line="240" w:lineRule="auto"/>
        <w:jc w:val="both"/>
        <w:rPr>
          <w:rFonts w:ascii="Verdana" w:eastAsia="Aptos" w:hAnsi="Verdana" w:cs="Times New Roman"/>
          <w:lang w:eastAsia="es-MX"/>
        </w:rPr>
      </w:pPr>
    </w:p>
    <w:p w14:paraId="7CCD73DC" w14:textId="77777777" w:rsidR="00EC0FFE" w:rsidRPr="00EC0FFE" w:rsidRDefault="00EC0FFE" w:rsidP="00EC0FFE">
      <w:pPr>
        <w:spacing w:after="0" w:line="240" w:lineRule="auto"/>
        <w:jc w:val="both"/>
        <w:rPr>
          <w:rFonts w:ascii="Verdana" w:eastAsia="Aptos" w:hAnsi="Verdana" w:cs="Times New Roman"/>
          <w:lang w:eastAsia="es-MX"/>
        </w:rPr>
      </w:pPr>
      <w:r w:rsidRPr="00EC0FFE">
        <w:rPr>
          <w:rFonts w:ascii="Verdana" w:eastAsia="Aptos" w:hAnsi="Verdana" w:cs="Times New Roman"/>
          <w:lang w:eastAsia="es-MX"/>
        </w:rPr>
        <w:t xml:space="preserve">Twitter: </w:t>
      </w:r>
      <w:r w:rsidRPr="00EC0FFE">
        <w:rPr>
          <w:rFonts w:ascii="Verdana" w:eastAsia="Calibri" w:hAnsi="Verdana" w:cs="Times New Roman"/>
          <w:color w:val="156082"/>
          <w:u w:val="single"/>
          <w:lang w:eastAsia="es-MX"/>
        </w:rPr>
        <w:t>@colombiacompra</w:t>
      </w:r>
      <w:r w:rsidRPr="00EC0FFE">
        <w:rPr>
          <w:rFonts w:ascii="Verdana" w:eastAsia="Calibri" w:hAnsi="Verdana" w:cs="Times New Roman"/>
          <w:color w:val="156082"/>
          <w:lang w:eastAsia="es-MX"/>
        </w:rPr>
        <w:t xml:space="preserve"> </w:t>
      </w:r>
    </w:p>
    <w:p w14:paraId="70E2AF3D" w14:textId="77777777" w:rsidR="00EC0FFE" w:rsidRPr="00EC0FFE" w:rsidRDefault="00EC0FFE" w:rsidP="00EC0FFE">
      <w:pPr>
        <w:spacing w:after="0" w:line="240" w:lineRule="auto"/>
        <w:jc w:val="both"/>
        <w:rPr>
          <w:rFonts w:ascii="Verdana" w:eastAsia="Aptos" w:hAnsi="Verdana" w:cs="Times New Roman"/>
          <w:lang w:eastAsia="es-MX"/>
        </w:rPr>
      </w:pPr>
      <w:r w:rsidRPr="00EC0FFE">
        <w:rPr>
          <w:rFonts w:ascii="Verdana" w:eastAsia="Aptos" w:hAnsi="Verdana" w:cs="Times New Roman"/>
          <w:lang w:eastAsia="es-MX"/>
        </w:rPr>
        <w:t xml:space="preserve">Facebook: </w:t>
      </w:r>
      <w:proofErr w:type="spellStart"/>
      <w:r w:rsidRPr="00EC0FFE">
        <w:rPr>
          <w:rFonts w:ascii="Verdana" w:eastAsia="Calibri" w:hAnsi="Verdana" w:cs="Times New Roman"/>
          <w:color w:val="156082"/>
          <w:u w:val="single"/>
          <w:lang w:eastAsia="es-MX"/>
        </w:rPr>
        <w:t>ColombiaCompraEficiente</w:t>
      </w:r>
      <w:proofErr w:type="spellEnd"/>
    </w:p>
    <w:p w14:paraId="43699BCA" w14:textId="77777777" w:rsidR="00EC0FFE" w:rsidRPr="00EC0FFE" w:rsidRDefault="00EC0FFE" w:rsidP="00EC0FFE">
      <w:pPr>
        <w:spacing w:after="0" w:line="240" w:lineRule="auto"/>
        <w:jc w:val="both"/>
        <w:rPr>
          <w:rFonts w:ascii="Verdana" w:eastAsia="Aptos" w:hAnsi="Verdana" w:cs="Times New Roman"/>
          <w:lang w:eastAsia="es-MX"/>
        </w:rPr>
      </w:pPr>
      <w:r w:rsidRPr="00EC0FFE">
        <w:rPr>
          <w:rFonts w:ascii="Verdana" w:eastAsia="Aptos" w:hAnsi="Verdana" w:cs="Times New Roman"/>
          <w:lang w:eastAsia="es-MX"/>
        </w:rPr>
        <w:t xml:space="preserve">LinkedIn: </w:t>
      </w:r>
      <w:r w:rsidRPr="00EC0FFE">
        <w:rPr>
          <w:rFonts w:ascii="Verdana" w:eastAsia="Calibri" w:hAnsi="Verdana" w:cs="Times New Roman"/>
          <w:color w:val="156082"/>
          <w:u w:val="single"/>
          <w:lang w:eastAsia="es-MX"/>
        </w:rPr>
        <w:t>Agencia Nacional de Contratación Pública - Colombia Compra Eficiente</w:t>
      </w:r>
      <w:r w:rsidRPr="00EC0FFE">
        <w:rPr>
          <w:rFonts w:ascii="Verdana" w:eastAsia="Calibri" w:hAnsi="Verdana" w:cs="Times New Roman"/>
          <w:color w:val="156082"/>
          <w:lang w:eastAsia="es-MX"/>
        </w:rPr>
        <w:t xml:space="preserve"> </w:t>
      </w:r>
      <w:r w:rsidRPr="00EC0FFE">
        <w:rPr>
          <w:rFonts w:ascii="Verdana" w:eastAsia="Aptos" w:hAnsi="Verdana" w:cs="Times New Roman"/>
          <w:lang w:eastAsia="es-MX"/>
        </w:rPr>
        <w:t xml:space="preserve">Instagram: </w:t>
      </w:r>
      <w:r w:rsidRPr="00EC0FFE">
        <w:rPr>
          <w:rFonts w:ascii="Verdana" w:eastAsia="Calibri" w:hAnsi="Verdana" w:cs="Times New Roman"/>
          <w:color w:val="156082"/>
          <w:u w:val="single"/>
          <w:lang w:eastAsia="es-MX"/>
        </w:rPr>
        <w:t>@colombiacompraeficiente_cce</w:t>
      </w:r>
    </w:p>
    <w:p w14:paraId="458A6C20" w14:textId="77777777" w:rsidR="00EC0FFE" w:rsidRPr="00EC0FFE" w:rsidRDefault="00EC0FFE" w:rsidP="00EC0FFE">
      <w:pPr>
        <w:spacing w:after="0" w:line="276" w:lineRule="auto"/>
        <w:jc w:val="both"/>
        <w:rPr>
          <w:rFonts w:ascii="Verdana" w:eastAsia="Aptos" w:hAnsi="Verdana" w:cs="Times New Roman"/>
          <w:lang w:eastAsia="es-MX"/>
        </w:rPr>
      </w:pPr>
    </w:p>
    <w:p w14:paraId="6A62D5FF" w14:textId="77777777" w:rsidR="00EC0FFE" w:rsidRPr="00EC0FFE" w:rsidRDefault="00EC0FFE" w:rsidP="00EC0FFE">
      <w:pPr>
        <w:spacing w:after="0" w:line="276" w:lineRule="auto"/>
        <w:jc w:val="both"/>
        <w:rPr>
          <w:rFonts w:ascii="Verdana" w:eastAsia="Calibri" w:hAnsi="Verdana" w:cs="Times New Roman"/>
          <w:bCs/>
          <w:lang w:val="es-ES_tradnl" w:eastAsia="es-MX"/>
        </w:rPr>
      </w:pPr>
      <w:r w:rsidRPr="00EC0FFE">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CB897B0" w14:textId="77777777" w:rsidR="00EC0FFE" w:rsidRPr="00EC0FFE" w:rsidRDefault="00EC0FFE" w:rsidP="00EC0FFE">
      <w:pPr>
        <w:spacing w:after="0" w:line="276" w:lineRule="auto"/>
        <w:jc w:val="both"/>
        <w:rPr>
          <w:rFonts w:ascii="Verdana" w:eastAsia="Calibri" w:hAnsi="Verdana" w:cs="Times New Roman"/>
          <w:lang w:eastAsia="es-MX"/>
        </w:rPr>
      </w:pPr>
    </w:p>
    <w:p w14:paraId="00A0250A" w14:textId="77777777" w:rsidR="00EC0FFE" w:rsidRPr="00EC0FFE" w:rsidRDefault="00EC0FFE" w:rsidP="00EC0FFE">
      <w:pPr>
        <w:spacing w:after="0" w:line="276" w:lineRule="auto"/>
        <w:jc w:val="both"/>
        <w:rPr>
          <w:rFonts w:ascii="Verdana" w:eastAsia="Calibri" w:hAnsi="Verdana" w:cs="Times New Roman"/>
          <w:lang w:eastAsia="es-MX"/>
        </w:rPr>
      </w:pPr>
      <w:r w:rsidRPr="00EC0FFE">
        <w:rPr>
          <w:rFonts w:ascii="Verdana" w:eastAsia="Calibri" w:hAnsi="Verdana" w:cs="Times New Roman"/>
          <w:lang w:eastAsia="es-MX"/>
        </w:rPr>
        <w:t>Atentamente,</w:t>
      </w:r>
    </w:p>
    <w:p w14:paraId="293E22FE" w14:textId="6DFC2233" w:rsidR="00EC0FFE" w:rsidRPr="00EC0FFE" w:rsidRDefault="007A0D69" w:rsidP="007A0D69">
      <w:pPr>
        <w:tabs>
          <w:tab w:val="left" w:pos="1320"/>
        </w:tabs>
        <w:spacing w:after="0"/>
        <w:jc w:val="center"/>
        <w:rPr>
          <w:rFonts w:ascii="Verdana" w:eastAsia="Calibri" w:hAnsi="Verdana" w:cs="Times New Roman"/>
          <w:lang w:eastAsia="es-MX"/>
        </w:rPr>
      </w:pPr>
      <w:r w:rsidRPr="004D5C25">
        <w:rPr>
          <w:rFonts w:ascii="Century Gothic" w:hAnsi="Century Gothic"/>
          <w:noProof/>
        </w:rPr>
        <w:drawing>
          <wp:inline distT="0" distB="0" distL="0" distR="0" wp14:anchorId="3B112E7C" wp14:editId="2524BE0E">
            <wp:extent cx="1955051" cy="839315"/>
            <wp:effectExtent l="0" t="0" r="127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1978178" cy="849244"/>
                    </a:xfrm>
                    <a:prstGeom prst="rect">
                      <a:avLst/>
                    </a:prstGeom>
                  </pic:spPr>
                </pic:pic>
              </a:graphicData>
            </a:graphic>
          </wp:inline>
        </w:drawing>
      </w: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EC0FFE" w:rsidRPr="00EC0FFE" w14:paraId="49CF119A" w14:textId="77777777" w:rsidTr="5E9A77B6">
        <w:trPr>
          <w:trHeight w:val="323"/>
        </w:trPr>
        <w:tc>
          <w:tcPr>
            <w:tcW w:w="1041" w:type="dxa"/>
            <w:vAlign w:val="center"/>
            <w:hideMark/>
          </w:tcPr>
          <w:p w14:paraId="4FD1216C" w14:textId="77777777" w:rsidR="00EC0FFE" w:rsidRPr="00EC0FFE" w:rsidRDefault="00EC0FFE" w:rsidP="00EC0FFE">
            <w:pPr>
              <w:rPr>
                <w:rFonts w:ascii="Verdana" w:eastAsia="Calibri" w:hAnsi="Verdana" w:cs="Arial"/>
                <w:sz w:val="16"/>
                <w:szCs w:val="16"/>
                <w:lang w:val="es-ES_tradnl" w:eastAsia="es-ES"/>
              </w:rPr>
            </w:pPr>
            <w:r w:rsidRPr="00EC0FFE">
              <w:rPr>
                <w:rFonts w:ascii="Verdana" w:eastAsia="Calibri" w:hAnsi="Verdana" w:cs="Arial"/>
                <w:sz w:val="16"/>
                <w:szCs w:val="16"/>
                <w:lang w:val="es-ES_tradnl" w:eastAsia="es-ES"/>
              </w:rPr>
              <w:t>Elaboró:</w:t>
            </w:r>
          </w:p>
        </w:tc>
        <w:tc>
          <w:tcPr>
            <w:tcW w:w="6561" w:type="dxa"/>
            <w:tcBorders>
              <w:top w:val="nil"/>
              <w:left w:val="nil"/>
              <w:bottom w:val="dotted" w:sz="4" w:space="0" w:color="7F7F7F" w:themeColor="text1" w:themeTint="80"/>
              <w:right w:val="nil"/>
            </w:tcBorders>
            <w:vAlign w:val="center"/>
            <w:hideMark/>
          </w:tcPr>
          <w:p w14:paraId="24FBFA16" w14:textId="77777777" w:rsidR="00EC0FFE" w:rsidRPr="00EC0FFE" w:rsidRDefault="00EC0FFE" w:rsidP="00EC0FFE">
            <w:pPr>
              <w:rPr>
                <w:rFonts w:ascii="Verdana" w:eastAsia="Arial" w:hAnsi="Verdana" w:cs="Arial"/>
                <w:sz w:val="16"/>
                <w:szCs w:val="16"/>
                <w:lang w:val="es-ES" w:eastAsia="es-MX"/>
              </w:rPr>
            </w:pPr>
            <w:r w:rsidRPr="00EC0FFE">
              <w:rPr>
                <w:rFonts w:ascii="Verdana" w:eastAsia="Arial" w:hAnsi="Verdana" w:cs="Arial"/>
                <w:sz w:val="16"/>
                <w:szCs w:val="16"/>
                <w:lang w:val="es-ES" w:eastAsia="es-MX"/>
              </w:rPr>
              <w:t xml:space="preserve">Carlos Mario Castrillón Endo </w:t>
            </w:r>
          </w:p>
          <w:p w14:paraId="71B5ED43" w14:textId="77777777" w:rsidR="00EC0FFE" w:rsidRPr="00EC0FFE" w:rsidRDefault="00EC0FFE" w:rsidP="00EC0FFE">
            <w:pPr>
              <w:rPr>
                <w:rFonts w:ascii="Verdana" w:eastAsia="Arial" w:hAnsi="Verdana" w:cs="Arial"/>
                <w:sz w:val="16"/>
                <w:szCs w:val="16"/>
                <w:lang w:val="es-ES_tradnl" w:eastAsia="es-MX"/>
              </w:rPr>
            </w:pPr>
            <w:r w:rsidRPr="00EC0FFE">
              <w:rPr>
                <w:rFonts w:ascii="Verdana" w:eastAsia="Arial" w:hAnsi="Verdana" w:cs="Arial"/>
                <w:sz w:val="16"/>
                <w:szCs w:val="16"/>
                <w:lang w:val="es-ES_tradnl" w:eastAsia="es-MX"/>
              </w:rPr>
              <w:t>Contratista de la Subdirección de Gestión Contractual</w:t>
            </w:r>
          </w:p>
          <w:p w14:paraId="6B5C2A49" w14:textId="77777777" w:rsidR="00EC0FFE" w:rsidRPr="00EC0FFE" w:rsidRDefault="00EC0FFE" w:rsidP="00EC0FFE">
            <w:pPr>
              <w:rPr>
                <w:rFonts w:ascii="Verdana" w:eastAsia="Arial" w:hAnsi="Verdana" w:cs="Arial"/>
                <w:sz w:val="16"/>
                <w:szCs w:val="16"/>
                <w:lang w:val="es-ES_tradnl" w:eastAsia="es-MX"/>
              </w:rPr>
            </w:pPr>
          </w:p>
        </w:tc>
      </w:tr>
      <w:tr w:rsidR="00EC0FFE" w:rsidRPr="00EC0FFE" w14:paraId="5D1D9DD7" w14:textId="77777777" w:rsidTr="5E9A77B6">
        <w:trPr>
          <w:trHeight w:val="338"/>
        </w:trPr>
        <w:tc>
          <w:tcPr>
            <w:tcW w:w="1041" w:type="dxa"/>
            <w:vAlign w:val="center"/>
            <w:hideMark/>
          </w:tcPr>
          <w:p w14:paraId="27E32E1E" w14:textId="77777777" w:rsidR="00EC0FFE" w:rsidRPr="00EC0FFE" w:rsidRDefault="00EC0FFE" w:rsidP="00EC0FFE">
            <w:pPr>
              <w:rPr>
                <w:rFonts w:ascii="Verdana" w:eastAsia="Calibri" w:hAnsi="Verdana" w:cs="Arial"/>
                <w:sz w:val="16"/>
                <w:szCs w:val="16"/>
                <w:lang w:val="es-ES_tradnl" w:eastAsia="es-ES"/>
              </w:rPr>
            </w:pPr>
            <w:r w:rsidRPr="00EC0FFE">
              <w:rPr>
                <w:rFonts w:ascii="Verdana" w:eastAsia="Calibri" w:hAnsi="Verdana" w:cs="Arial"/>
                <w:sz w:val="16"/>
                <w:szCs w:val="16"/>
                <w:lang w:val="es-ES_tradnl" w:eastAsia="es-ES"/>
              </w:rPr>
              <w:t>Revisó:</w:t>
            </w:r>
          </w:p>
        </w:tc>
        <w:tc>
          <w:tcPr>
            <w:tcW w:w="6561" w:type="dxa"/>
            <w:tcBorders>
              <w:top w:val="dotted" w:sz="4" w:space="0" w:color="7F7F7F" w:themeColor="text1" w:themeTint="80"/>
              <w:left w:val="nil"/>
              <w:bottom w:val="dotted" w:sz="4" w:space="0" w:color="7F7F7F" w:themeColor="text1" w:themeTint="80"/>
              <w:right w:val="nil"/>
            </w:tcBorders>
            <w:vAlign w:val="center"/>
            <w:hideMark/>
          </w:tcPr>
          <w:p w14:paraId="516D0153" w14:textId="77777777" w:rsidR="00EC0FFE" w:rsidRPr="00EC0FFE" w:rsidRDefault="00EC0FFE" w:rsidP="00EC0FFE">
            <w:pPr>
              <w:rPr>
                <w:rFonts w:ascii="Verdana" w:eastAsia="Arial" w:hAnsi="Verdana" w:cs="Arial"/>
                <w:sz w:val="16"/>
                <w:szCs w:val="16"/>
                <w:lang w:val="es-ES" w:eastAsia="es-MX"/>
              </w:rPr>
            </w:pPr>
            <w:r w:rsidRPr="5E9A77B6">
              <w:rPr>
                <w:rFonts w:ascii="Verdana" w:eastAsia="Arial" w:hAnsi="Verdana" w:cs="Arial"/>
                <w:sz w:val="16"/>
                <w:szCs w:val="16"/>
                <w:lang w:val="es-ES" w:eastAsia="es-MX"/>
              </w:rPr>
              <w:t xml:space="preserve">Adriana Katherine López </w:t>
            </w:r>
            <w:proofErr w:type="spellStart"/>
            <w:r w:rsidRPr="5E9A77B6">
              <w:rPr>
                <w:rFonts w:ascii="Verdana" w:eastAsia="Arial" w:hAnsi="Verdana" w:cs="Arial"/>
                <w:sz w:val="16"/>
                <w:szCs w:val="16"/>
                <w:lang w:val="es-ES" w:eastAsia="es-MX"/>
              </w:rPr>
              <w:t>Rodriguez</w:t>
            </w:r>
            <w:proofErr w:type="spellEnd"/>
            <w:r w:rsidRPr="5E9A77B6">
              <w:rPr>
                <w:rFonts w:ascii="Verdana" w:eastAsia="Arial" w:hAnsi="Verdana" w:cs="Arial"/>
                <w:sz w:val="16"/>
                <w:szCs w:val="16"/>
                <w:lang w:val="es-ES" w:eastAsia="es-MX"/>
              </w:rPr>
              <w:t xml:space="preserve"> </w:t>
            </w:r>
          </w:p>
          <w:p w14:paraId="5DD8B17B" w14:textId="77777777" w:rsidR="00EC0FFE" w:rsidRPr="00EC0FFE" w:rsidRDefault="00EC0FFE" w:rsidP="00EC0FFE">
            <w:pPr>
              <w:rPr>
                <w:rFonts w:ascii="Verdana" w:eastAsia="Arial" w:hAnsi="Verdana" w:cs="Arial"/>
                <w:sz w:val="16"/>
                <w:szCs w:val="16"/>
                <w:lang w:val="es-ES" w:eastAsia="es-MX"/>
              </w:rPr>
            </w:pPr>
            <w:r w:rsidRPr="00EC0FFE">
              <w:rPr>
                <w:rFonts w:ascii="Verdana" w:eastAsia="Arial" w:hAnsi="Verdana" w:cs="Arial"/>
                <w:sz w:val="16"/>
                <w:szCs w:val="16"/>
                <w:lang w:val="es-ES_tradnl" w:eastAsia="es-MX"/>
              </w:rPr>
              <w:t>Contratista de la Subdirección de Gestión Contractual</w:t>
            </w:r>
          </w:p>
        </w:tc>
      </w:tr>
      <w:tr w:rsidR="00EC0FFE" w:rsidRPr="00EC0FFE" w14:paraId="7021AD0D" w14:textId="77777777" w:rsidTr="5E9A77B6">
        <w:trPr>
          <w:trHeight w:val="308"/>
        </w:trPr>
        <w:tc>
          <w:tcPr>
            <w:tcW w:w="1041" w:type="dxa"/>
            <w:vAlign w:val="center"/>
          </w:tcPr>
          <w:p w14:paraId="543D18FF" w14:textId="77777777" w:rsidR="00EC0FFE" w:rsidRPr="00EC0FFE" w:rsidRDefault="00EC0FFE" w:rsidP="00EC0FFE">
            <w:pPr>
              <w:rPr>
                <w:rFonts w:ascii="Verdana" w:eastAsia="Calibri" w:hAnsi="Verdana" w:cs="Arial"/>
                <w:sz w:val="16"/>
                <w:szCs w:val="16"/>
                <w:lang w:val="es-ES_tradnl" w:eastAsia="es-ES"/>
              </w:rPr>
            </w:pPr>
            <w:r w:rsidRPr="00EC0FFE">
              <w:rPr>
                <w:rFonts w:ascii="Verdana" w:eastAsia="Calibri" w:hAnsi="Verdana" w:cs="Arial"/>
                <w:sz w:val="16"/>
                <w:szCs w:val="16"/>
                <w:lang w:val="es-ES_tradnl" w:eastAsia="es-ES"/>
              </w:rPr>
              <w:t>Aprobó:</w:t>
            </w:r>
          </w:p>
        </w:tc>
        <w:tc>
          <w:tcPr>
            <w:tcW w:w="6561" w:type="dxa"/>
            <w:tcBorders>
              <w:top w:val="dotted" w:sz="4" w:space="0" w:color="7F7F7F" w:themeColor="text1" w:themeTint="80"/>
              <w:left w:val="nil"/>
              <w:bottom w:val="dotted" w:sz="4" w:space="0" w:color="7F7F7F" w:themeColor="text1" w:themeTint="80"/>
              <w:right w:val="nil"/>
            </w:tcBorders>
            <w:vAlign w:val="center"/>
          </w:tcPr>
          <w:p w14:paraId="46F4CAF3" w14:textId="77777777" w:rsidR="00EC0FFE" w:rsidRPr="00EC0FFE" w:rsidRDefault="00EC0FFE" w:rsidP="00EC0FFE">
            <w:pPr>
              <w:rPr>
                <w:rFonts w:ascii="Verdana" w:eastAsia="Calibri" w:hAnsi="Verdana" w:cs="Arial"/>
                <w:sz w:val="16"/>
                <w:szCs w:val="16"/>
                <w:lang w:val="es-ES" w:eastAsia="es-ES"/>
              </w:rPr>
            </w:pPr>
            <w:r w:rsidRPr="00EC0FFE">
              <w:rPr>
                <w:rFonts w:ascii="Verdana" w:eastAsia="Calibri" w:hAnsi="Verdana" w:cs="Arial"/>
                <w:sz w:val="16"/>
                <w:szCs w:val="16"/>
                <w:lang w:val="es-ES" w:eastAsia="es-ES"/>
              </w:rPr>
              <w:t>Carolina Quintero Gacharná</w:t>
            </w:r>
          </w:p>
          <w:p w14:paraId="381A9DBA" w14:textId="77777777" w:rsidR="00EC0FFE" w:rsidRPr="00EC0FFE" w:rsidRDefault="00EC0FFE" w:rsidP="00EC0FFE">
            <w:pPr>
              <w:rPr>
                <w:rFonts w:ascii="Verdana" w:eastAsia="Calibri" w:hAnsi="Verdana" w:cs="Arial"/>
                <w:sz w:val="16"/>
                <w:szCs w:val="16"/>
                <w:lang w:val="es-ES_tradnl" w:eastAsia="es-ES"/>
              </w:rPr>
            </w:pPr>
            <w:r w:rsidRPr="00EC0FFE">
              <w:rPr>
                <w:rFonts w:ascii="Verdana" w:eastAsia="Calibri" w:hAnsi="Verdana" w:cs="Arial"/>
                <w:sz w:val="16"/>
                <w:szCs w:val="16"/>
                <w:lang w:val="es-ES_tradnl" w:eastAsia="es-ES"/>
              </w:rPr>
              <w:t>Subdirectora de Gestión Contractual ANCP – CCE</w:t>
            </w:r>
          </w:p>
        </w:tc>
      </w:tr>
      <w:bookmarkEnd w:id="0"/>
    </w:tbl>
    <w:p w14:paraId="0F293BF4" w14:textId="1A22549F" w:rsidR="00127233" w:rsidRPr="00D1611F" w:rsidRDefault="00127233" w:rsidP="00D1611F"/>
    <w:sectPr w:rsidR="00127233" w:rsidRPr="00D1611F"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362D35" w14:textId="77777777" w:rsidR="00094106" w:rsidRDefault="00094106" w:rsidP="004A1847">
      <w:pPr>
        <w:spacing w:after="0" w:line="240" w:lineRule="auto"/>
      </w:pPr>
      <w:r>
        <w:separator/>
      </w:r>
    </w:p>
  </w:endnote>
  <w:endnote w:type="continuationSeparator" w:id="0">
    <w:p w14:paraId="26DAC0E9" w14:textId="77777777" w:rsidR="00094106" w:rsidRDefault="00094106" w:rsidP="004A1847">
      <w:pPr>
        <w:spacing w:after="0" w:line="240" w:lineRule="auto"/>
      </w:pPr>
      <w:r>
        <w:continuationSeparator/>
      </w:r>
    </w:p>
  </w:endnote>
  <w:endnote w:type="continuationNotice" w:id="1">
    <w:p w14:paraId="4E893A7A" w14:textId="77777777" w:rsidR="00094106" w:rsidRDefault="0009410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MT">
    <w:altName w:val="Arial"/>
    <w:panose1 w:val="00000000000000000000"/>
    <w:charset w:val="00"/>
    <w:family w:val="roman"/>
    <w:notTrueType/>
    <w:pitch w:val="default"/>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4F67F3"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PT" w:eastAsia="es-CO"/>
      </w:rPr>
    </w:pPr>
    <w:r w:rsidRPr="00EC0FFE">
      <w:rPr>
        <w:rFonts w:ascii="Verdana" w:eastAsia="Verdana" w:hAnsi="Verdana" w:cs="Verdana"/>
        <w:b/>
        <w:bCs/>
        <w:color w:val="000000"/>
        <w:sz w:val="18"/>
        <w:szCs w:val="18"/>
        <w:lang w:val="pt-PT" w:eastAsia="es-CO"/>
      </w:rPr>
      <w:t xml:space="preserve">Código: </w:t>
    </w:r>
    <w:r w:rsidRPr="00EC0FFE">
      <w:rPr>
        <w:rFonts w:ascii="Verdana" w:eastAsia="Verdana" w:hAnsi="Verdana" w:cs="Verdana"/>
        <w:color w:val="000000"/>
        <w:sz w:val="18"/>
        <w:szCs w:val="18"/>
        <w:lang w:val="pt-PT" w:eastAsia="es-CO"/>
      </w:rPr>
      <w:t xml:space="preserve">CCE-REC-FM-17 </w:t>
    </w:r>
    <w:r w:rsidRPr="00EC0FFE">
      <w:rPr>
        <w:rFonts w:ascii="Verdana" w:eastAsia="Verdana" w:hAnsi="Verdana" w:cs="Verdana"/>
        <w:b/>
        <w:bCs/>
        <w:color w:val="000000"/>
        <w:sz w:val="18"/>
        <w:szCs w:val="18"/>
        <w:lang w:val="pt-PT" w:eastAsia="es-CO"/>
      </w:rPr>
      <w:t xml:space="preserve">V: </w:t>
    </w:r>
    <w:r w:rsidRPr="004F67F3">
      <w:rPr>
        <w:rFonts w:ascii="Verdana" w:eastAsia="Verdana" w:hAnsi="Verdana" w:cs="Verdana"/>
        <w:sz w:val="18"/>
        <w:szCs w:val="18"/>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5557DD" w14:textId="77777777" w:rsidR="00094106" w:rsidRDefault="00094106" w:rsidP="004A1847">
      <w:pPr>
        <w:spacing w:after="0" w:line="240" w:lineRule="auto"/>
      </w:pPr>
      <w:r>
        <w:separator/>
      </w:r>
    </w:p>
  </w:footnote>
  <w:footnote w:type="continuationSeparator" w:id="0">
    <w:p w14:paraId="139ABDC7" w14:textId="77777777" w:rsidR="00094106" w:rsidRDefault="00094106" w:rsidP="004A1847">
      <w:pPr>
        <w:spacing w:after="0" w:line="240" w:lineRule="auto"/>
      </w:pPr>
      <w:r>
        <w:continuationSeparator/>
      </w:r>
    </w:p>
  </w:footnote>
  <w:footnote w:type="continuationNotice" w:id="1">
    <w:p w14:paraId="6F3F6347" w14:textId="77777777" w:rsidR="00094106" w:rsidRDefault="00094106">
      <w:pPr>
        <w:spacing w:after="0" w:line="240" w:lineRule="auto"/>
      </w:pPr>
    </w:p>
  </w:footnote>
  <w:footnote w:id="2">
    <w:p w14:paraId="18788C3C" w14:textId="77777777" w:rsidR="00EC0FFE" w:rsidRPr="001A5376" w:rsidRDefault="00EC0FFE" w:rsidP="00EC0FFE">
      <w:pPr>
        <w:pStyle w:val="Sinespaciado"/>
        <w:ind w:firstLine="708"/>
        <w:jc w:val="both"/>
        <w:rPr>
          <w:rFonts w:ascii="Verdana" w:hAnsi="Verdana" w:cs="Arial"/>
          <w:sz w:val="19"/>
          <w:szCs w:val="19"/>
        </w:rPr>
      </w:pPr>
      <w:r w:rsidRPr="001A5376">
        <w:rPr>
          <w:rStyle w:val="Refdenotaalpie"/>
          <w:rFonts w:ascii="Verdana" w:hAnsi="Verdana" w:cs="Arial"/>
          <w:sz w:val="19"/>
          <w:szCs w:val="19"/>
        </w:rPr>
        <w:footnoteRef/>
      </w:r>
      <w:r w:rsidRPr="001A5376">
        <w:rPr>
          <w:rFonts w:ascii="Verdana" w:hAnsi="Verdana" w:cs="Arial"/>
          <w:sz w:val="19"/>
          <w:szCs w:val="19"/>
        </w:rPr>
        <w:t xml:space="preserve"> “El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footnote>
  <w:footnote w:id="3">
    <w:p w14:paraId="63A8A360" w14:textId="77777777" w:rsidR="00EC0FFE" w:rsidRPr="001A5376" w:rsidRDefault="00EC0FFE" w:rsidP="00EC0FFE">
      <w:pPr>
        <w:pStyle w:val="Sinespaciado"/>
        <w:jc w:val="both"/>
        <w:rPr>
          <w:rFonts w:ascii="Verdana" w:hAnsi="Verdana" w:cs="Arial"/>
          <w:sz w:val="19"/>
          <w:szCs w:val="19"/>
        </w:rPr>
      </w:pPr>
    </w:p>
    <w:p w14:paraId="579081F3" w14:textId="77777777" w:rsidR="00EC0FFE" w:rsidRPr="001A5376" w:rsidRDefault="00EC0FFE" w:rsidP="00EC0FFE">
      <w:pPr>
        <w:pStyle w:val="Sinespaciado"/>
        <w:ind w:firstLine="708"/>
        <w:jc w:val="both"/>
        <w:rPr>
          <w:rFonts w:ascii="Verdana" w:hAnsi="Verdana" w:cs="Arial"/>
          <w:sz w:val="19"/>
          <w:szCs w:val="19"/>
        </w:rPr>
      </w:pPr>
      <w:r w:rsidRPr="001A5376">
        <w:rPr>
          <w:rStyle w:val="Refdenotaalpie"/>
          <w:rFonts w:ascii="Verdana" w:hAnsi="Verdana" w:cs="Arial"/>
          <w:sz w:val="19"/>
          <w:szCs w:val="19"/>
        </w:rPr>
        <w:footnoteRef/>
      </w:r>
      <w:r w:rsidRPr="001A5376">
        <w:rPr>
          <w:rFonts w:ascii="Verdana" w:hAnsi="Verdana" w:cs="Arial"/>
          <w:sz w:val="19"/>
          <w:szCs w:val="19"/>
        </w:rPr>
        <w:t xml:space="preserve"> Ley 1150 de 2007, artículo 6: “No se requerirá de este registro, ni de calificación ni de clasificación, en los casos de contratación directa; contratos para la prestación de servicios de salud; contratos cuyo valor no supere el diez por ciento (10%) de la menor cuantía de la respectiva entidad;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w:t>
      </w:r>
      <w:r w:rsidRPr="001A5376">
        <w:rPr>
          <w:rFonts w:ascii="Verdana" w:hAnsi="Verdana" w:cs="Arial"/>
          <w:spacing w:val="-16"/>
          <w:sz w:val="19"/>
          <w:szCs w:val="19"/>
        </w:rPr>
        <w:t xml:space="preserve"> </w:t>
      </w:r>
      <w:r w:rsidRPr="001A5376">
        <w:rPr>
          <w:rFonts w:ascii="Verdana" w:hAnsi="Verdana" w:cs="Arial"/>
          <w:sz w:val="19"/>
          <w:szCs w:val="19"/>
        </w:rPr>
        <w:t>proponentes”.</w:t>
      </w:r>
    </w:p>
    <w:p w14:paraId="5DD62C94" w14:textId="77777777" w:rsidR="00EC0FFE" w:rsidRPr="001A5376" w:rsidRDefault="00EC0FFE" w:rsidP="00EC0FFE">
      <w:pPr>
        <w:pStyle w:val="Sinespaciado"/>
        <w:ind w:firstLine="708"/>
        <w:jc w:val="both"/>
        <w:rPr>
          <w:rFonts w:ascii="Verdana" w:hAnsi="Verdana" w:cs="Arial"/>
          <w:sz w:val="19"/>
          <w:szCs w:val="19"/>
        </w:rPr>
      </w:pPr>
    </w:p>
  </w:footnote>
  <w:footnote w:id="4">
    <w:p w14:paraId="7C7919C8" w14:textId="77777777" w:rsidR="00EC0FFE" w:rsidRPr="001A5376" w:rsidRDefault="00EC0FFE" w:rsidP="00EC0FFE">
      <w:pPr>
        <w:pStyle w:val="Sinespaciado"/>
        <w:jc w:val="both"/>
        <w:rPr>
          <w:rFonts w:ascii="Verdana" w:hAnsi="Verdana" w:cs="Arial"/>
          <w:sz w:val="19"/>
          <w:szCs w:val="19"/>
        </w:rPr>
      </w:pPr>
      <w:r w:rsidRPr="001A5376">
        <w:rPr>
          <w:rFonts w:ascii="Verdana" w:hAnsi="Verdana" w:cs="Arial"/>
          <w:sz w:val="19"/>
          <w:szCs w:val="19"/>
        </w:rPr>
        <w:tab/>
      </w:r>
      <w:r w:rsidRPr="001A5376">
        <w:rPr>
          <w:rStyle w:val="Refdenotaalpie"/>
          <w:rFonts w:ascii="Verdana" w:hAnsi="Verdana" w:cs="Arial"/>
          <w:sz w:val="19"/>
          <w:szCs w:val="19"/>
        </w:rPr>
        <w:footnoteRef/>
      </w:r>
      <w:r w:rsidRPr="001A5376">
        <w:rPr>
          <w:rFonts w:ascii="Verdana" w:hAnsi="Verdana" w:cs="Arial"/>
          <w:sz w:val="19"/>
          <w:szCs w:val="19"/>
        </w:rPr>
        <w:t xml:space="preserve"> Consejo de Estado. Sala de Consulta y Servicio Civil. Concepto del 20 de mayo de 2010. Exp.1992. C.P. Enrique José Arboleda Perdomo.</w:t>
      </w:r>
    </w:p>
    <w:p w14:paraId="4CDEFCB3" w14:textId="77777777" w:rsidR="00EC0FFE" w:rsidRPr="001A5376" w:rsidRDefault="00EC0FFE" w:rsidP="00EC0FFE">
      <w:pPr>
        <w:pStyle w:val="Sinespaciado"/>
        <w:jc w:val="both"/>
        <w:rPr>
          <w:rFonts w:ascii="Verdana" w:hAnsi="Verdana" w:cs="Arial"/>
          <w:sz w:val="19"/>
          <w:szCs w:val="19"/>
        </w:rPr>
      </w:pPr>
    </w:p>
  </w:footnote>
  <w:footnote w:id="5">
    <w:p w14:paraId="21914036" w14:textId="77777777" w:rsidR="00EC0FFE" w:rsidRPr="001A5376" w:rsidRDefault="00EC0FFE" w:rsidP="00EC0FFE">
      <w:pPr>
        <w:pStyle w:val="Sinespaciado"/>
        <w:ind w:firstLine="708"/>
        <w:jc w:val="both"/>
        <w:rPr>
          <w:rFonts w:ascii="Verdana" w:hAnsi="Verdana" w:cs="Arial"/>
          <w:sz w:val="19"/>
          <w:szCs w:val="19"/>
          <w:lang w:val="es-ES"/>
        </w:rPr>
      </w:pPr>
      <w:r w:rsidRPr="001A5376">
        <w:rPr>
          <w:rStyle w:val="Refdenotaalpie"/>
          <w:rFonts w:ascii="Verdana" w:hAnsi="Verdana" w:cs="Arial"/>
          <w:sz w:val="19"/>
          <w:szCs w:val="19"/>
        </w:rPr>
        <w:footnoteRef/>
      </w:r>
      <w:r w:rsidRPr="001A5376">
        <w:rPr>
          <w:rFonts w:ascii="Verdana" w:hAnsi="Verdana" w:cs="Arial"/>
          <w:sz w:val="19"/>
          <w:szCs w:val="19"/>
        </w:rPr>
        <w:t xml:space="preserve"> </w:t>
      </w:r>
      <w:r w:rsidRPr="001A5376">
        <w:rPr>
          <w:rFonts w:ascii="Verdana" w:hAnsi="Verdana" w:cs="Arial"/>
          <w:sz w:val="19"/>
          <w:szCs w:val="19"/>
          <w:lang w:val="es-ES"/>
        </w:rPr>
        <w:t xml:space="preserve">Decreto 092 de 2017, Artículo 10º: </w:t>
      </w:r>
      <w:r w:rsidRPr="001A5376">
        <w:rPr>
          <w:rFonts w:ascii="Verdana" w:hAnsi="Verdana" w:cs="Arial"/>
          <w:sz w:val="19"/>
          <w:szCs w:val="19"/>
        </w:rPr>
        <w:t>“</w:t>
      </w:r>
      <w:r w:rsidRPr="001A5376">
        <w:rPr>
          <w:rFonts w:ascii="Verdana" w:hAnsi="Verdana" w:cs="Arial"/>
          <w:sz w:val="19"/>
          <w:szCs w:val="19"/>
          <w:lang w:val="es-ES"/>
        </w:rPr>
        <w:t>Las Entidades Estatales no requerirán la inscripción de las entidades privadas sin ánimo de lucro en el RUP para la contratación a la que hace referencia el presente decreto</w:t>
      </w:r>
      <w:r w:rsidRPr="001A5376">
        <w:rPr>
          <w:rFonts w:ascii="Verdana" w:hAnsi="Verdana" w:cs="Arial"/>
          <w:sz w:val="19"/>
          <w:szCs w:val="19"/>
        </w:rPr>
        <w:t>”</w:t>
      </w:r>
      <w:r w:rsidRPr="001A5376">
        <w:rPr>
          <w:rFonts w:ascii="Verdana" w:hAnsi="Verdana" w:cs="Arial"/>
          <w:sz w:val="19"/>
          <w:szCs w:val="19"/>
          <w:lang w:val="es-ES"/>
        </w:rPr>
        <w:t>.</w:t>
      </w:r>
    </w:p>
    <w:p w14:paraId="5C5921A5" w14:textId="77777777" w:rsidR="00EC0FFE" w:rsidRPr="001A5376" w:rsidRDefault="00EC0FFE" w:rsidP="00EC0FFE">
      <w:pPr>
        <w:pStyle w:val="Sinespaciado"/>
        <w:ind w:firstLine="708"/>
        <w:jc w:val="both"/>
        <w:rPr>
          <w:rFonts w:ascii="Verdana" w:hAnsi="Verdana" w:cs="Arial"/>
          <w:sz w:val="19"/>
          <w:szCs w:val="19"/>
          <w:lang w:val="es-ES"/>
        </w:rPr>
      </w:pPr>
    </w:p>
  </w:footnote>
  <w:footnote w:id="6">
    <w:p w14:paraId="626CA276" w14:textId="77777777" w:rsidR="00EC0FFE" w:rsidRPr="001A5376" w:rsidRDefault="00EC0FFE" w:rsidP="00EC0FFE">
      <w:pPr>
        <w:pStyle w:val="NormalWeb"/>
        <w:shd w:val="clear" w:color="auto" w:fill="FFFFFF"/>
        <w:spacing w:after="0"/>
        <w:ind w:firstLine="708"/>
        <w:jc w:val="both"/>
        <w:rPr>
          <w:rFonts w:ascii="Verdana" w:hAnsi="Verdana" w:cs="Arial"/>
          <w:color w:val="000000"/>
          <w:sz w:val="19"/>
          <w:szCs w:val="19"/>
          <w:lang w:val="es-MX"/>
        </w:rPr>
      </w:pPr>
      <w:r w:rsidRPr="001A5376">
        <w:rPr>
          <w:rStyle w:val="Refdenotaalpie"/>
          <w:rFonts w:ascii="Verdana" w:hAnsi="Verdana" w:cs="Arial"/>
          <w:color w:val="000000"/>
          <w:sz w:val="19"/>
          <w:szCs w:val="19"/>
        </w:rPr>
        <w:footnoteRef/>
      </w:r>
      <w:r w:rsidRPr="001A5376">
        <w:rPr>
          <w:rFonts w:ascii="Verdana" w:hAnsi="Verdana" w:cs="Arial"/>
          <w:color w:val="000000"/>
          <w:sz w:val="19"/>
          <w:szCs w:val="19"/>
          <w:lang w:val="es-MX"/>
        </w:rPr>
        <w:t xml:space="preserve"> “6.3. De la impugnación de la inscripción en el Registro Único de Proponentes (RUP). Realizada la verificación a que se refiere el numeral 6.1 del presente artículo, la Cámara publicará el acto de inscripción, contra el cual cualquier persona podrá interponer recurso de reposición ante la respectiva Cámara de Comercio, durante los diez (10) días hábiles siguientes a la publicación, sin que para ello requiera demostrar interés alguno. Para que la impugnación sea admisible deberá prestarse caución bancaria o de compañía de seguros para garantizar los perjuicios que se puedan causar al inscrito. Contra la decisión que resuelva el recurso de reposición, no procederá apelación.</w:t>
      </w:r>
    </w:p>
    <w:p w14:paraId="7CA17BCE" w14:textId="77777777" w:rsidR="00EC0FFE" w:rsidRPr="001A5376" w:rsidRDefault="00EC0FFE" w:rsidP="00EC0FFE">
      <w:pPr>
        <w:pStyle w:val="NormalWeb"/>
        <w:shd w:val="clear" w:color="auto" w:fill="FFFFFF"/>
        <w:spacing w:after="0"/>
        <w:ind w:firstLine="708"/>
        <w:jc w:val="both"/>
        <w:rPr>
          <w:rFonts w:ascii="Verdana" w:hAnsi="Verdana" w:cs="Arial"/>
          <w:color w:val="000000"/>
          <w:sz w:val="19"/>
          <w:szCs w:val="19"/>
          <w:lang w:val="es-MX"/>
        </w:rPr>
      </w:pPr>
    </w:p>
    <w:p w14:paraId="5A17801A" w14:textId="77777777" w:rsidR="00EC0FFE" w:rsidRPr="001A5376" w:rsidRDefault="00EC0FFE" w:rsidP="00EC0FFE">
      <w:pPr>
        <w:pStyle w:val="NormalWeb"/>
        <w:shd w:val="clear" w:color="auto" w:fill="FFFFFF"/>
        <w:spacing w:after="0"/>
        <w:ind w:firstLine="708"/>
        <w:jc w:val="both"/>
        <w:rPr>
          <w:rFonts w:ascii="Verdana" w:hAnsi="Verdana" w:cs="Arial"/>
          <w:color w:val="000000"/>
          <w:sz w:val="19"/>
          <w:szCs w:val="19"/>
          <w:lang w:val="es-MX"/>
        </w:rPr>
      </w:pPr>
      <w:r w:rsidRPr="001A5376">
        <w:rPr>
          <w:rFonts w:ascii="Verdana" w:hAnsi="Verdana" w:cs="Arial"/>
          <w:color w:val="000000"/>
          <w:sz w:val="19"/>
          <w:szCs w:val="19"/>
          <w:lang w:val="es-MX"/>
        </w:rPr>
        <w:t>En firme la inscripción, cualquier persona podrá demandar su nulidad en desarrollo de la acción prevista en el Código Contencioso Administrativo. Para el efecto será competente el Juez de lo Contencioso Administrativo en única instancia.</w:t>
      </w:r>
    </w:p>
    <w:p w14:paraId="529A3F6F" w14:textId="77777777" w:rsidR="00EC0FFE" w:rsidRPr="001A5376" w:rsidRDefault="00EC0FFE" w:rsidP="00EC0FFE">
      <w:pPr>
        <w:pStyle w:val="NormalWeb"/>
        <w:shd w:val="clear" w:color="auto" w:fill="FFFFFF"/>
        <w:spacing w:after="0"/>
        <w:ind w:firstLine="708"/>
        <w:jc w:val="both"/>
        <w:rPr>
          <w:rFonts w:ascii="Verdana" w:hAnsi="Verdana" w:cs="Arial"/>
          <w:color w:val="000000"/>
          <w:sz w:val="19"/>
          <w:szCs w:val="19"/>
          <w:lang w:val="es-MX"/>
        </w:rPr>
      </w:pPr>
      <w:r w:rsidRPr="001A5376">
        <w:rPr>
          <w:rFonts w:ascii="Verdana" w:hAnsi="Verdana" w:cs="Arial"/>
          <w:color w:val="000000"/>
          <w:sz w:val="19"/>
          <w:szCs w:val="19"/>
          <w:lang w:val="es-MX"/>
        </w:rPr>
        <w:t>La presentación de la demanda no suspenderá la inscripción, ni será causal de suspensión de los procesos de selección en curso en los que el proponente sea parte. El proceso se tramitará por el procedimiento ordinario a que se refiere el Código Contencioso Administrativo. Adoptada la decisión, la misma sólo tendrá efectos hacia el futuro.</w:t>
      </w:r>
    </w:p>
    <w:p w14:paraId="028064F0" w14:textId="77777777" w:rsidR="00EC0FFE" w:rsidRPr="001A5376" w:rsidRDefault="00EC0FFE" w:rsidP="00EC0FFE">
      <w:pPr>
        <w:pStyle w:val="NormalWeb"/>
        <w:shd w:val="clear" w:color="auto" w:fill="FFFFFF"/>
        <w:spacing w:after="0"/>
        <w:ind w:firstLine="708"/>
        <w:jc w:val="both"/>
        <w:rPr>
          <w:rFonts w:ascii="Verdana" w:hAnsi="Verdana" w:cs="Arial"/>
          <w:color w:val="000000"/>
          <w:sz w:val="19"/>
          <w:szCs w:val="19"/>
          <w:lang w:val="es-MX"/>
        </w:rPr>
      </w:pPr>
    </w:p>
    <w:p w14:paraId="12ACF5FA" w14:textId="77777777" w:rsidR="00EC0FFE" w:rsidRPr="001A5376" w:rsidRDefault="00EC0FFE" w:rsidP="00EC0FFE">
      <w:pPr>
        <w:pStyle w:val="NormalWeb"/>
        <w:shd w:val="clear" w:color="auto" w:fill="FFFFFF"/>
        <w:spacing w:after="0"/>
        <w:ind w:firstLine="708"/>
        <w:jc w:val="both"/>
        <w:rPr>
          <w:rFonts w:ascii="Verdana" w:hAnsi="Verdana" w:cs="Arial"/>
          <w:color w:val="000000"/>
          <w:sz w:val="19"/>
          <w:szCs w:val="19"/>
          <w:lang w:val="es-MX"/>
        </w:rPr>
      </w:pPr>
      <w:r w:rsidRPr="001A5376">
        <w:rPr>
          <w:rFonts w:ascii="Verdana" w:hAnsi="Verdana" w:cs="Arial"/>
          <w:color w:val="000000"/>
          <w:sz w:val="19"/>
          <w:szCs w:val="19"/>
          <w:lang w:val="es-MX"/>
        </w:rPr>
        <w:t>Cuando en desarrollo de un proceso de selección una entidad estatal advierta la existencia de posibles irregularidades en el contenido de la información del RUP, que puedan afectar el cumplimiento de los requisitos exigidos al proponente dentro del proceso de que se trate, podrá suspender el proceso de selección e impugnar ante la Cámara de Comercio la inscripción, para lo cual no estarán obligadas a prestar caución. Para el trámite y adopción de la decisión las Cámaras de Comercio tendrán un plazo de veinte (20) días. De no haberse adoptado una decisión en el término anterior, la entidad reanudará el proceso de selección de acuerdo con la información certificada en el RUP.</w:t>
      </w:r>
    </w:p>
    <w:p w14:paraId="10652070" w14:textId="77777777" w:rsidR="00EC0FFE" w:rsidRPr="001A5376" w:rsidRDefault="00EC0FFE" w:rsidP="00EC0FFE">
      <w:pPr>
        <w:pStyle w:val="NormalWeb"/>
        <w:shd w:val="clear" w:color="auto" w:fill="FFFFFF"/>
        <w:spacing w:after="0"/>
        <w:ind w:firstLine="708"/>
        <w:jc w:val="both"/>
        <w:rPr>
          <w:rFonts w:ascii="Verdana" w:hAnsi="Verdana" w:cs="Arial"/>
          <w:color w:val="000000"/>
          <w:sz w:val="19"/>
          <w:szCs w:val="19"/>
          <w:lang w:val="es-MX"/>
        </w:rPr>
      </w:pPr>
    </w:p>
    <w:p w14:paraId="129A1E0A" w14:textId="77777777" w:rsidR="00EC0FFE" w:rsidRPr="001A5376" w:rsidRDefault="00EC0FFE" w:rsidP="00EC0FFE">
      <w:pPr>
        <w:pStyle w:val="NormalWeb"/>
        <w:shd w:val="clear" w:color="auto" w:fill="FFFFFF"/>
        <w:spacing w:after="0"/>
        <w:ind w:firstLine="708"/>
        <w:jc w:val="both"/>
        <w:rPr>
          <w:rFonts w:ascii="Verdana" w:hAnsi="Verdana" w:cs="Arial"/>
          <w:color w:val="000000"/>
          <w:sz w:val="19"/>
          <w:szCs w:val="19"/>
          <w:lang w:val="es-MX"/>
        </w:rPr>
      </w:pPr>
      <w:r w:rsidRPr="001A5376">
        <w:rPr>
          <w:rFonts w:ascii="Verdana" w:hAnsi="Verdana" w:cs="Arial"/>
          <w:color w:val="000000"/>
          <w:sz w:val="19"/>
          <w:szCs w:val="19"/>
          <w:lang w:val="es-MX"/>
        </w:rPr>
        <w:t>En el evento en que la Cámara de Comercio establezca la existencia de graves inconsistencias se le cancelará la inscripción en el registro quedando en tal caso inhabilitado para contratar con las entidades estatales por el término de cinco (5) años, sin perjuicio de las acciones penales a que haya lugar. En caso de reincidencia la inhabilidad será permanente.</w:t>
      </w:r>
    </w:p>
    <w:p w14:paraId="3D7F25B2" w14:textId="77777777" w:rsidR="00EC0FFE" w:rsidRPr="001A5376" w:rsidRDefault="00EC0FFE" w:rsidP="00EC0FFE">
      <w:pPr>
        <w:pStyle w:val="NormalWeb"/>
        <w:shd w:val="clear" w:color="auto" w:fill="FFFFFF"/>
        <w:spacing w:after="0"/>
        <w:ind w:firstLine="708"/>
        <w:jc w:val="both"/>
        <w:rPr>
          <w:rFonts w:ascii="Verdana" w:hAnsi="Verdana" w:cs="Arial"/>
          <w:color w:val="000000"/>
          <w:sz w:val="19"/>
          <w:szCs w:val="19"/>
          <w:lang w:val="es-MX"/>
        </w:rPr>
      </w:pPr>
    </w:p>
    <w:p w14:paraId="51D6031E" w14:textId="77777777" w:rsidR="00EC0FFE" w:rsidRPr="001A5376" w:rsidRDefault="00EC0FFE" w:rsidP="00EC0FFE">
      <w:pPr>
        <w:pStyle w:val="NormalWeb"/>
        <w:spacing w:after="0"/>
        <w:ind w:firstLine="708"/>
        <w:jc w:val="both"/>
        <w:rPr>
          <w:rFonts w:ascii="Verdana" w:hAnsi="Verdana" w:cs="Arial"/>
          <w:color w:val="000000"/>
          <w:sz w:val="19"/>
          <w:szCs w:val="19"/>
          <w:lang w:val="es-MX"/>
        </w:rPr>
      </w:pPr>
      <w:r w:rsidRPr="001A5376">
        <w:rPr>
          <w:rFonts w:ascii="Verdana" w:hAnsi="Verdana" w:cs="Arial"/>
          <w:color w:val="000000"/>
          <w:sz w:val="19"/>
          <w:szCs w:val="19"/>
          <w:lang w:val="es-MX"/>
        </w:rPr>
        <w:t>Las mismas sanciones previstas en el inciso anterior se predicarán en el evento en que el Juez de lo Contencioso Administrativa declare la nulidad del acto de inscripción.</w:t>
      </w:r>
    </w:p>
    <w:p w14:paraId="1A426D7E" w14:textId="77777777" w:rsidR="00EC0FFE" w:rsidRPr="001A5376" w:rsidRDefault="00EC0FFE" w:rsidP="00EC0FFE">
      <w:pPr>
        <w:pStyle w:val="NormalWeb"/>
        <w:spacing w:after="0"/>
        <w:ind w:firstLine="708"/>
        <w:jc w:val="both"/>
        <w:rPr>
          <w:rFonts w:ascii="Verdana" w:hAnsi="Verdana" w:cs="Arial"/>
          <w:color w:val="000000"/>
          <w:sz w:val="19"/>
          <w:szCs w:val="19"/>
          <w:lang w:val="es-MX"/>
        </w:rPr>
      </w:pPr>
    </w:p>
    <w:p w14:paraId="016F3B37" w14:textId="77777777" w:rsidR="00EC0FFE" w:rsidRPr="001A5376" w:rsidRDefault="00EC0FFE" w:rsidP="00EC0FFE">
      <w:pPr>
        <w:pStyle w:val="NormalWeb"/>
        <w:spacing w:after="0"/>
        <w:ind w:firstLine="708"/>
        <w:jc w:val="both"/>
        <w:rPr>
          <w:rFonts w:ascii="Verdana" w:hAnsi="Verdana" w:cs="Arial"/>
          <w:color w:val="000000"/>
          <w:sz w:val="19"/>
          <w:szCs w:val="19"/>
          <w:lang w:val="es-MX"/>
        </w:rPr>
      </w:pPr>
      <w:r w:rsidRPr="001A5376">
        <w:rPr>
          <w:rFonts w:ascii="Verdana" w:hAnsi="Verdana" w:cs="Arial"/>
          <w:color w:val="000000"/>
          <w:sz w:val="19"/>
          <w:szCs w:val="19"/>
          <w:lang w:val="es-MX"/>
        </w:rPr>
        <w:t>La información contenida en el registro es pública y su consulta será gratuita”.</w:t>
      </w:r>
    </w:p>
    <w:p w14:paraId="233F688D" w14:textId="77777777" w:rsidR="00EC0FFE" w:rsidRPr="001A5376" w:rsidRDefault="00EC0FFE" w:rsidP="00EC0FFE">
      <w:pPr>
        <w:pStyle w:val="NormalWeb"/>
        <w:spacing w:after="0"/>
        <w:ind w:firstLine="708"/>
        <w:jc w:val="both"/>
        <w:rPr>
          <w:rFonts w:ascii="Verdana" w:hAnsi="Verdana" w:cs="Arial"/>
          <w:color w:val="000000"/>
          <w:sz w:val="19"/>
          <w:szCs w:val="19"/>
          <w:lang w:val="es-MX"/>
        </w:rPr>
      </w:pPr>
    </w:p>
  </w:footnote>
  <w:footnote w:id="7">
    <w:p w14:paraId="529AAC35" w14:textId="77777777" w:rsidR="00EC0FFE" w:rsidRPr="001A5376" w:rsidRDefault="00EC0FFE" w:rsidP="00EC0FFE">
      <w:pPr>
        <w:pStyle w:val="Textonotapie"/>
        <w:ind w:firstLine="708"/>
        <w:jc w:val="both"/>
        <w:rPr>
          <w:rFonts w:ascii="Verdana" w:eastAsia="Times New Roman" w:hAnsi="Verdana" w:cs="Arial"/>
          <w:color w:val="000000"/>
          <w:sz w:val="19"/>
          <w:szCs w:val="19"/>
          <w:lang w:eastAsia="es-CO"/>
        </w:rPr>
      </w:pPr>
      <w:r w:rsidRPr="001A5376">
        <w:rPr>
          <w:rStyle w:val="Refdenotaalpie"/>
          <w:rFonts w:ascii="Verdana" w:hAnsi="Verdana" w:cs="Arial"/>
          <w:color w:val="000000"/>
          <w:sz w:val="19"/>
          <w:szCs w:val="19"/>
        </w:rPr>
        <w:footnoteRef/>
      </w:r>
      <w:r w:rsidRPr="001A5376">
        <w:rPr>
          <w:rFonts w:ascii="Verdana" w:eastAsia="Times New Roman" w:hAnsi="Verdana" w:cs="Arial"/>
          <w:color w:val="000000"/>
          <w:sz w:val="19"/>
          <w:szCs w:val="19"/>
          <w:lang w:eastAsia="es-CO"/>
        </w:rPr>
        <w:t>“Artículo 2.2.1.1.1.5.1. Inscripción, renovación, actualización y cancelación del RUP.</w:t>
      </w:r>
    </w:p>
    <w:p w14:paraId="12CD616F" w14:textId="77777777" w:rsidR="00EC0FFE" w:rsidRPr="001A5376" w:rsidRDefault="00EC0FFE" w:rsidP="00EC0FFE">
      <w:pPr>
        <w:pStyle w:val="Textonotapie"/>
        <w:ind w:firstLine="708"/>
        <w:jc w:val="both"/>
        <w:rPr>
          <w:rFonts w:ascii="Verdana" w:eastAsia="Times New Roman" w:hAnsi="Verdana" w:cs="Arial"/>
          <w:color w:val="000000"/>
          <w:sz w:val="19"/>
          <w:szCs w:val="19"/>
          <w:lang w:eastAsia="es-CO"/>
        </w:rPr>
      </w:pPr>
    </w:p>
    <w:p w14:paraId="6C1F97F8" w14:textId="77777777" w:rsidR="00EC0FFE" w:rsidRPr="001A5376" w:rsidRDefault="00EC0FFE" w:rsidP="00EC0FFE">
      <w:pPr>
        <w:pStyle w:val="Textonotapie"/>
        <w:ind w:firstLine="708"/>
        <w:jc w:val="both"/>
        <w:rPr>
          <w:rFonts w:ascii="Verdana" w:eastAsia="Times New Roman" w:hAnsi="Verdana" w:cs="Arial"/>
          <w:color w:val="000000"/>
          <w:sz w:val="19"/>
          <w:szCs w:val="19"/>
          <w:lang w:eastAsia="es-CO"/>
        </w:rPr>
      </w:pPr>
      <w:r w:rsidRPr="001A5376">
        <w:rPr>
          <w:rFonts w:ascii="Verdana" w:eastAsia="Times New Roman" w:hAnsi="Verdana" w:cs="Arial"/>
          <w:color w:val="000000"/>
          <w:sz w:val="19"/>
          <w:szCs w:val="19"/>
          <w:lang w:eastAsia="es-CO"/>
        </w:rPr>
        <w:t>[…]</w:t>
      </w:r>
    </w:p>
    <w:p w14:paraId="1315EB39" w14:textId="77777777" w:rsidR="00EC0FFE" w:rsidRPr="001A5376" w:rsidRDefault="00EC0FFE" w:rsidP="00EC0FFE">
      <w:pPr>
        <w:pStyle w:val="Textonotapie"/>
        <w:ind w:firstLine="708"/>
        <w:jc w:val="both"/>
        <w:rPr>
          <w:rFonts w:ascii="Verdana" w:eastAsia="Times New Roman" w:hAnsi="Verdana" w:cs="Arial"/>
          <w:color w:val="000000"/>
          <w:sz w:val="19"/>
          <w:szCs w:val="19"/>
          <w:lang w:eastAsia="es-CO"/>
        </w:rPr>
      </w:pPr>
    </w:p>
    <w:p w14:paraId="4AEDB35C" w14:textId="77777777" w:rsidR="00EC0FFE" w:rsidRPr="001A5376" w:rsidRDefault="00EC0FFE" w:rsidP="00EC0FFE">
      <w:pPr>
        <w:pStyle w:val="Textonotapie"/>
        <w:ind w:firstLine="708"/>
        <w:jc w:val="both"/>
        <w:rPr>
          <w:rFonts w:ascii="Verdana" w:eastAsia="Times New Roman" w:hAnsi="Verdana" w:cs="Arial"/>
          <w:color w:val="000000"/>
          <w:sz w:val="19"/>
          <w:szCs w:val="19"/>
          <w:lang w:eastAsia="es-CO"/>
        </w:rPr>
      </w:pPr>
      <w:r w:rsidRPr="001A5376">
        <w:rPr>
          <w:rFonts w:ascii="Verdana" w:eastAsia="Times New Roman" w:hAnsi="Verdana" w:cs="Arial"/>
          <w:color w:val="000000"/>
          <w:sz w:val="19"/>
          <w:szCs w:val="19"/>
          <w:lang w:eastAsia="es-CO"/>
        </w:rPr>
        <w:t>La persona inscrita en el RUP debe presentar la información para renovar su registro a más tardar el quinto día hábil del mes de abril de cada año. De lo contrario cesan los efectos del RUP. La persona inscrita en el RUP puede actualizar la información registrada relativa a su experiencia y capacidad jurídica en cualquier momento”.</w:t>
      </w:r>
    </w:p>
  </w:footnote>
  <w:footnote w:id="8">
    <w:p w14:paraId="1C06BF78" w14:textId="77777777" w:rsidR="00EC0FFE" w:rsidRPr="001A5376" w:rsidRDefault="00EC0FFE" w:rsidP="00EC0FFE">
      <w:pPr>
        <w:pStyle w:val="Textonotapie"/>
        <w:ind w:firstLine="708"/>
        <w:jc w:val="both"/>
        <w:rPr>
          <w:rFonts w:ascii="Verdana" w:eastAsia="Times New Roman" w:hAnsi="Verdana" w:cs="Arial"/>
          <w:color w:val="000000"/>
          <w:sz w:val="19"/>
          <w:szCs w:val="19"/>
          <w:lang w:eastAsia="es-CO"/>
        </w:rPr>
      </w:pPr>
      <w:r w:rsidRPr="001A5376">
        <w:rPr>
          <w:rStyle w:val="Refdenotaalpie"/>
          <w:rFonts w:ascii="Verdana" w:hAnsi="Verdana" w:cs="Arial"/>
          <w:color w:val="000000"/>
          <w:sz w:val="19"/>
          <w:szCs w:val="19"/>
        </w:rPr>
        <w:footnoteRef/>
      </w:r>
      <w:r w:rsidRPr="001A5376">
        <w:rPr>
          <w:rFonts w:ascii="Verdana" w:hAnsi="Verdana" w:cs="Arial"/>
          <w:color w:val="000000"/>
          <w:sz w:val="19"/>
          <w:szCs w:val="19"/>
        </w:rPr>
        <w:t xml:space="preserve"> </w:t>
      </w:r>
      <w:r w:rsidRPr="001A5376">
        <w:rPr>
          <w:rFonts w:ascii="Verdana" w:eastAsia="Times New Roman" w:hAnsi="Verdana" w:cs="Arial"/>
          <w:color w:val="000000"/>
          <w:sz w:val="19"/>
          <w:szCs w:val="19"/>
          <w:lang w:eastAsia="es-CO"/>
        </w:rPr>
        <w:t>Consejo de Estado. Sección Tercera. Subsección A. Sentencia del 19 de septiembre de 2019. Exp. 59.432. C.P. Marta Nubia Velásquez Rico.</w:t>
      </w:r>
    </w:p>
    <w:p w14:paraId="49EC196A" w14:textId="77777777" w:rsidR="00EC0FFE" w:rsidRPr="001A5376" w:rsidRDefault="00EC0FFE" w:rsidP="00EC0FFE">
      <w:pPr>
        <w:pStyle w:val="Textonotapie"/>
        <w:ind w:firstLine="708"/>
        <w:jc w:val="both"/>
        <w:rPr>
          <w:rFonts w:ascii="Verdana" w:hAnsi="Verdana" w:cs="Arial"/>
          <w:color w:val="000000"/>
          <w:sz w:val="19"/>
          <w:szCs w:val="19"/>
          <w:lang w:val="es-CO"/>
        </w:rPr>
      </w:pPr>
    </w:p>
  </w:footnote>
  <w:footnote w:id="9">
    <w:p w14:paraId="0197C18B" w14:textId="77777777" w:rsidR="00EC0FFE" w:rsidRDefault="00EC0FFE" w:rsidP="00EC0FFE">
      <w:pPr>
        <w:pStyle w:val="Textonotapie"/>
        <w:ind w:firstLine="709"/>
        <w:jc w:val="both"/>
        <w:rPr>
          <w:rFonts w:ascii="Verdana" w:hAnsi="Verdana" w:cs="Arial"/>
          <w:color w:val="000000"/>
          <w:sz w:val="19"/>
          <w:szCs w:val="19"/>
          <w:lang w:val="es-CO"/>
        </w:rPr>
      </w:pPr>
      <w:r w:rsidRPr="001A5376">
        <w:rPr>
          <w:rStyle w:val="Refdenotaalpie"/>
          <w:rFonts w:ascii="Verdana" w:hAnsi="Verdana" w:cs="Arial"/>
          <w:color w:val="000000"/>
          <w:sz w:val="19"/>
          <w:szCs w:val="19"/>
        </w:rPr>
        <w:footnoteRef/>
      </w:r>
      <w:r w:rsidRPr="001A5376">
        <w:rPr>
          <w:rFonts w:ascii="Verdana" w:hAnsi="Verdana" w:cs="Arial"/>
          <w:color w:val="000000"/>
          <w:sz w:val="19"/>
          <w:szCs w:val="19"/>
        </w:rPr>
        <w:t xml:space="preserve"> </w:t>
      </w:r>
      <w:r w:rsidRPr="001A5376">
        <w:rPr>
          <w:rFonts w:ascii="Verdana" w:hAnsi="Verdana" w:cs="Arial"/>
          <w:color w:val="000000"/>
          <w:sz w:val="19"/>
          <w:szCs w:val="19"/>
          <w:lang w:val="es-CO"/>
        </w:rPr>
        <w:t xml:space="preserve">“Artículo 87. Firmeza de los actos administrativos. Los actos administrativos quedarán en firme: </w:t>
      </w:r>
    </w:p>
    <w:p w14:paraId="35E8904B" w14:textId="77777777" w:rsidR="00EC0FFE" w:rsidRPr="001A5376" w:rsidRDefault="00EC0FFE" w:rsidP="00EC0FFE">
      <w:pPr>
        <w:pStyle w:val="Textonotapie"/>
        <w:ind w:firstLine="709"/>
        <w:jc w:val="both"/>
        <w:rPr>
          <w:rFonts w:ascii="Verdana" w:hAnsi="Verdana" w:cs="Arial"/>
          <w:color w:val="000000"/>
          <w:sz w:val="19"/>
          <w:szCs w:val="19"/>
          <w:lang w:val="es-CO"/>
        </w:rPr>
      </w:pPr>
    </w:p>
    <w:p w14:paraId="35F459D3" w14:textId="77777777" w:rsidR="00EC0FFE" w:rsidRDefault="00EC0FFE" w:rsidP="00EC0FFE">
      <w:pPr>
        <w:pStyle w:val="Textonotapie"/>
        <w:ind w:firstLine="709"/>
        <w:jc w:val="both"/>
        <w:rPr>
          <w:rFonts w:ascii="Verdana" w:hAnsi="Verdana" w:cs="Arial"/>
          <w:color w:val="000000"/>
          <w:sz w:val="19"/>
          <w:szCs w:val="19"/>
          <w:lang w:val="es-CO"/>
        </w:rPr>
      </w:pPr>
      <w:r w:rsidRPr="001A5376">
        <w:rPr>
          <w:rFonts w:ascii="Verdana" w:hAnsi="Verdana" w:cs="Arial"/>
          <w:color w:val="000000"/>
          <w:sz w:val="19"/>
          <w:szCs w:val="19"/>
          <w:lang w:val="es-CO"/>
        </w:rPr>
        <w:t xml:space="preserve">1. Cuando contra ellos no proceda ningún recurso, desde el día siguiente al de su notificación, comunicación o publicación según el caso. </w:t>
      </w:r>
    </w:p>
    <w:p w14:paraId="7A26CB04" w14:textId="77777777" w:rsidR="00EC0FFE" w:rsidRPr="001A5376" w:rsidRDefault="00EC0FFE" w:rsidP="00EC0FFE">
      <w:pPr>
        <w:pStyle w:val="Textonotapie"/>
        <w:ind w:firstLine="709"/>
        <w:jc w:val="both"/>
        <w:rPr>
          <w:rFonts w:ascii="Verdana" w:hAnsi="Verdana" w:cs="Arial"/>
          <w:color w:val="000000"/>
          <w:sz w:val="19"/>
          <w:szCs w:val="19"/>
          <w:lang w:val="es-CO"/>
        </w:rPr>
      </w:pPr>
    </w:p>
    <w:p w14:paraId="3D4750B7" w14:textId="77777777" w:rsidR="00EC0FFE" w:rsidRDefault="00EC0FFE" w:rsidP="00EC0FFE">
      <w:pPr>
        <w:pStyle w:val="Textonotapie"/>
        <w:ind w:firstLine="709"/>
        <w:jc w:val="both"/>
        <w:rPr>
          <w:rFonts w:ascii="Verdana" w:hAnsi="Verdana" w:cs="Arial"/>
          <w:color w:val="000000"/>
          <w:sz w:val="19"/>
          <w:szCs w:val="19"/>
          <w:lang w:val="es-CO"/>
        </w:rPr>
      </w:pPr>
      <w:r w:rsidRPr="001A5376">
        <w:rPr>
          <w:rFonts w:ascii="Verdana" w:hAnsi="Verdana" w:cs="Arial"/>
          <w:color w:val="000000"/>
          <w:sz w:val="19"/>
          <w:szCs w:val="19"/>
          <w:lang w:val="es-CO"/>
        </w:rPr>
        <w:t xml:space="preserve">2. Desde el día siguiente a la publicación, comunicación o notificación de la decisión sobre los recursos interpuestos. </w:t>
      </w:r>
    </w:p>
    <w:p w14:paraId="73F0447C" w14:textId="77777777" w:rsidR="00EC0FFE" w:rsidRPr="001A5376" w:rsidRDefault="00EC0FFE" w:rsidP="00EC0FFE">
      <w:pPr>
        <w:pStyle w:val="Textonotapie"/>
        <w:ind w:firstLine="709"/>
        <w:jc w:val="both"/>
        <w:rPr>
          <w:rFonts w:ascii="Verdana" w:hAnsi="Verdana" w:cs="Arial"/>
          <w:color w:val="000000"/>
          <w:sz w:val="19"/>
          <w:szCs w:val="19"/>
          <w:lang w:val="es-CO"/>
        </w:rPr>
      </w:pPr>
    </w:p>
    <w:p w14:paraId="6380383D" w14:textId="77777777" w:rsidR="00EC0FFE" w:rsidRDefault="00EC0FFE" w:rsidP="00EC0FFE">
      <w:pPr>
        <w:pStyle w:val="Textonotapie"/>
        <w:ind w:firstLine="709"/>
        <w:jc w:val="both"/>
        <w:rPr>
          <w:rFonts w:ascii="Verdana" w:hAnsi="Verdana" w:cs="Arial"/>
          <w:color w:val="000000"/>
          <w:sz w:val="19"/>
          <w:szCs w:val="19"/>
          <w:lang w:val="es-CO"/>
        </w:rPr>
      </w:pPr>
      <w:r w:rsidRPr="001A5376">
        <w:rPr>
          <w:rFonts w:ascii="Verdana" w:hAnsi="Verdana" w:cs="Arial"/>
          <w:color w:val="000000"/>
          <w:sz w:val="19"/>
          <w:szCs w:val="19"/>
          <w:lang w:val="es-CO"/>
        </w:rPr>
        <w:t>3. Desde el día siguiente al del vencimiento del término para interponer los recursos, si estos no fueron interpuestos, o se hubiere renunciado expresamente a ellos.</w:t>
      </w:r>
    </w:p>
    <w:p w14:paraId="48FA6B47" w14:textId="77777777" w:rsidR="00EC0FFE" w:rsidRPr="001A5376" w:rsidRDefault="00EC0FFE" w:rsidP="00EC0FFE">
      <w:pPr>
        <w:pStyle w:val="Textonotapie"/>
        <w:ind w:firstLine="709"/>
        <w:jc w:val="both"/>
        <w:rPr>
          <w:rFonts w:ascii="Verdana" w:hAnsi="Verdana" w:cs="Arial"/>
          <w:color w:val="000000"/>
          <w:sz w:val="19"/>
          <w:szCs w:val="19"/>
          <w:lang w:val="es-CO"/>
        </w:rPr>
      </w:pPr>
    </w:p>
    <w:p w14:paraId="49F26AF1" w14:textId="77777777" w:rsidR="00EC0FFE" w:rsidRDefault="00EC0FFE" w:rsidP="00EC0FFE">
      <w:pPr>
        <w:pStyle w:val="Textonotapie"/>
        <w:ind w:firstLine="709"/>
        <w:jc w:val="both"/>
        <w:rPr>
          <w:rFonts w:ascii="Verdana" w:hAnsi="Verdana" w:cs="Arial"/>
          <w:color w:val="000000"/>
          <w:sz w:val="19"/>
          <w:szCs w:val="19"/>
          <w:lang w:val="es-CO"/>
        </w:rPr>
      </w:pPr>
      <w:r w:rsidRPr="001A5376">
        <w:rPr>
          <w:rFonts w:ascii="Verdana" w:hAnsi="Verdana" w:cs="Arial"/>
          <w:color w:val="000000"/>
          <w:sz w:val="19"/>
          <w:szCs w:val="19"/>
          <w:lang w:val="es-CO"/>
        </w:rPr>
        <w:t xml:space="preserve">4. Desde el día siguiente al de la notificación de la aceptación del desistimiento de los recursos. </w:t>
      </w:r>
    </w:p>
    <w:p w14:paraId="73FD8BD2" w14:textId="77777777" w:rsidR="00EC0FFE" w:rsidRPr="001A5376" w:rsidRDefault="00EC0FFE" w:rsidP="00EC0FFE">
      <w:pPr>
        <w:pStyle w:val="Textonotapie"/>
        <w:ind w:firstLine="709"/>
        <w:jc w:val="both"/>
        <w:rPr>
          <w:rFonts w:ascii="Verdana" w:hAnsi="Verdana" w:cs="Arial"/>
          <w:color w:val="000000"/>
          <w:sz w:val="19"/>
          <w:szCs w:val="19"/>
          <w:lang w:val="es-CO"/>
        </w:rPr>
      </w:pPr>
    </w:p>
    <w:p w14:paraId="60E9E32F" w14:textId="77777777" w:rsidR="00EC0FFE" w:rsidRPr="001A5376" w:rsidRDefault="00EC0FFE" w:rsidP="00EC0FFE">
      <w:pPr>
        <w:pStyle w:val="Textonotapie"/>
        <w:ind w:firstLine="709"/>
        <w:jc w:val="both"/>
        <w:rPr>
          <w:rFonts w:ascii="Verdana" w:hAnsi="Verdana" w:cs="Arial"/>
          <w:color w:val="000000"/>
          <w:sz w:val="19"/>
          <w:szCs w:val="19"/>
          <w:lang w:val="es-CO"/>
        </w:rPr>
      </w:pPr>
      <w:r w:rsidRPr="001A5376">
        <w:rPr>
          <w:rFonts w:ascii="Verdana" w:hAnsi="Verdana" w:cs="Arial"/>
          <w:color w:val="000000"/>
          <w:sz w:val="19"/>
          <w:szCs w:val="19"/>
          <w:lang w:val="es-CO"/>
        </w:rPr>
        <w:t>5. Desde el día siguiente al de la protocolización a que alude el artículo 85 para el silencio administrativo positivo”.</w:t>
      </w:r>
    </w:p>
    <w:p w14:paraId="07BD717F" w14:textId="77777777" w:rsidR="00EC0FFE" w:rsidRPr="001A5376" w:rsidRDefault="00EC0FFE" w:rsidP="00EC0FFE">
      <w:pPr>
        <w:pStyle w:val="Textonotapie"/>
        <w:ind w:firstLine="709"/>
        <w:jc w:val="both"/>
        <w:rPr>
          <w:rFonts w:ascii="Verdana" w:hAnsi="Verdana" w:cs="Arial"/>
          <w:color w:val="000000"/>
          <w:sz w:val="19"/>
          <w:szCs w:val="19"/>
          <w:lang w:val="es-CO"/>
        </w:rPr>
      </w:pPr>
    </w:p>
  </w:footnote>
  <w:footnote w:id="10">
    <w:p w14:paraId="09B7CC70" w14:textId="77777777" w:rsidR="00EC0FFE" w:rsidRPr="001A5376" w:rsidRDefault="00EC0FFE" w:rsidP="00EC0FFE">
      <w:pPr>
        <w:pStyle w:val="Textonotapie"/>
        <w:ind w:firstLine="709"/>
        <w:jc w:val="both"/>
        <w:rPr>
          <w:rFonts w:ascii="Verdana" w:hAnsi="Verdana" w:cs="Arial"/>
          <w:color w:val="000000"/>
          <w:sz w:val="19"/>
          <w:szCs w:val="19"/>
          <w:lang w:val="es-CO"/>
        </w:rPr>
      </w:pPr>
      <w:r w:rsidRPr="001A5376">
        <w:rPr>
          <w:rStyle w:val="Refdenotaalpie"/>
          <w:rFonts w:ascii="Verdana" w:hAnsi="Verdana" w:cs="Arial"/>
          <w:color w:val="000000"/>
          <w:sz w:val="19"/>
          <w:szCs w:val="19"/>
        </w:rPr>
        <w:footnoteRef/>
      </w:r>
      <w:r w:rsidRPr="001A5376">
        <w:rPr>
          <w:rFonts w:ascii="Verdana" w:hAnsi="Verdana" w:cs="Arial"/>
          <w:color w:val="000000"/>
          <w:sz w:val="19"/>
          <w:szCs w:val="19"/>
        </w:rPr>
        <w:t xml:space="preserve"> </w:t>
      </w:r>
      <w:r w:rsidRPr="001A5376">
        <w:rPr>
          <w:rFonts w:ascii="Verdana" w:hAnsi="Verdana" w:cs="Arial"/>
          <w:color w:val="000000"/>
          <w:sz w:val="19"/>
          <w:szCs w:val="19"/>
          <w:lang w:val="es-CO"/>
        </w:rPr>
        <w:t>Consejo de Estado. Sección Cuarta. Sentencia del 19 de noviembre de 1999. Exp. 9.453. CP. Daniel Manrique Guzmán.</w:t>
      </w:r>
    </w:p>
    <w:p w14:paraId="6B2A9A1C" w14:textId="77777777" w:rsidR="00EC0FFE" w:rsidRPr="001A5376" w:rsidRDefault="00EC0FFE" w:rsidP="00EC0FFE">
      <w:pPr>
        <w:pStyle w:val="Textonotapie"/>
        <w:ind w:firstLine="709"/>
        <w:jc w:val="both"/>
        <w:rPr>
          <w:rFonts w:ascii="Verdana" w:hAnsi="Verdana" w:cs="Arial"/>
          <w:color w:val="000000"/>
          <w:sz w:val="19"/>
          <w:szCs w:val="19"/>
          <w:lang w:val="es-CO"/>
        </w:rPr>
      </w:pPr>
    </w:p>
  </w:footnote>
  <w:footnote w:id="11">
    <w:p w14:paraId="5C671191" w14:textId="77777777" w:rsidR="00EC0FFE" w:rsidRPr="001A5376" w:rsidRDefault="00EC0FFE" w:rsidP="00EC0FFE">
      <w:pPr>
        <w:pStyle w:val="Textonotapie"/>
        <w:ind w:firstLine="708"/>
        <w:jc w:val="both"/>
        <w:rPr>
          <w:rFonts w:ascii="Verdana" w:hAnsi="Verdana" w:cs="Arial"/>
          <w:sz w:val="19"/>
          <w:szCs w:val="19"/>
        </w:rPr>
      </w:pPr>
      <w:r w:rsidRPr="001A5376">
        <w:rPr>
          <w:rStyle w:val="Refdenotaalpie"/>
          <w:rFonts w:ascii="Verdana" w:hAnsi="Verdana" w:cs="Arial"/>
          <w:sz w:val="19"/>
          <w:szCs w:val="19"/>
        </w:rPr>
        <w:footnoteRef/>
      </w:r>
      <w:r w:rsidRPr="001A5376">
        <w:rPr>
          <w:rFonts w:ascii="Verdana" w:hAnsi="Verdana" w:cs="Arial"/>
          <w:sz w:val="19"/>
          <w:szCs w:val="19"/>
        </w:rPr>
        <w:t xml:space="preserve"> Ley 1437 de 2011. “Artículo 2. Ámbito de aplicación. Las normas de esta Parte Primera del Código se aplican a todos los organismos y entidades que conforman las ramas del poder público en sus distintos órdenes, sectores y niveles, a los órganos autónomos e independientes del Estado y a los particulares, cuando cumplan funciones administrativas. A todos ellos se les dará el nombre de autoridades.</w:t>
      </w:r>
    </w:p>
    <w:p w14:paraId="7919C901" w14:textId="77777777" w:rsidR="00EC0FFE" w:rsidRPr="001A5376" w:rsidRDefault="00EC0FFE" w:rsidP="00EC0FFE">
      <w:pPr>
        <w:pStyle w:val="Textonotapie"/>
        <w:ind w:firstLine="708"/>
        <w:jc w:val="both"/>
        <w:rPr>
          <w:rFonts w:ascii="Verdana" w:hAnsi="Verdana" w:cs="Arial"/>
          <w:sz w:val="19"/>
          <w:szCs w:val="19"/>
        </w:rPr>
      </w:pPr>
      <w:r w:rsidRPr="001A5376">
        <w:rPr>
          <w:rFonts w:ascii="Verdana" w:hAnsi="Verdana" w:cs="Arial"/>
          <w:sz w:val="19"/>
          <w:szCs w:val="19"/>
        </w:rPr>
        <w:t>[…]</w:t>
      </w:r>
    </w:p>
    <w:p w14:paraId="6D4129B1" w14:textId="77777777" w:rsidR="00EC0FFE" w:rsidRPr="001A5376" w:rsidRDefault="00EC0FFE" w:rsidP="00EC0FFE">
      <w:pPr>
        <w:pStyle w:val="Textonotapie"/>
        <w:ind w:firstLine="708"/>
        <w:jc w:val="both"/>
        <w:rPr>
          <w:rFonts w:ascii="Verdana" w:hAnsi="Verdana" w:cs="Arial"/>
          <w:sz w:val="19"/>
          <w:szCs w:val="19"/>
        </w:rPr>
      </w:pPr>
      <w:r w:rsidRPr="001A5376">
        <w:rPr>
          <w:rFonts w:ascii="Verdana" w:hAnsi="Verdana" w:cs="Arial"/>
          <w:sz w:val="19"/>
          <w:szCs w:val="19"/>
        </w:rPr>
        <w:t>Las autoridades sujetarán sus actuaciones a los procedimientos que se establecen en este Código, sin perjuicio de los procedimientos regulados en leyes especiales. En lo no previsto en los mismos se aplicarán las disposiciones de este Código”.</w:t>
      </w:r>
    </w:p>
    <w:p w14:paraId="77E94E94" w14:textId="77777777" w:rsidR="00EC0FFE" w:rsidRPr="001A5376" w:rsidRDefault="00EC0FFE" w:rsidP="00EC0FFE">
      <w:pPr>
        <w:pStyle w:val="Textonotapie"/>
        <w:ind w:firstLine="708"/>
        <w:jc w:val="both"/>
        <w:rPr>
          <w:rFonts w:ascii="Verdana" w:hAnsi="Verdana" w:cs="Arial"/>
          <w:sz w:val="19"/>
          <w:szCs w:val="19"/>
        </w:rPr>
      </w:pPr>
    </w:p>
  </w:footnote>
  <w:footnote w:id="12">
    <w:p w14:paraId="4C787788" w14:textId="77777777" w:rsidR="00EC0FFE" w:rsidRPr="001A5376" w:rsidRDefault="00EC0FFE" w:rsidP="00EC0FFE">
      <w:pPr>
        <w:ind w:firstLine="709"/>
        <w:jc w:val="both"/>
        <w:rPr>
          <w:rFonts w:ascii="Verdana" w:hAnsi="Verdana" w:cs="Arial"/>
          <w:color w:val="000000"/>
          <w:sz w:val="19"/>
          <w:szCs w:val="19"/>
        </w:rPr>
      </w:pPr>
      <w:r w:rsidRPr="001A5376">
        <w:rPr>
          <w:rStyle w:val="Refdenotaalpie"/>
          <w:rFonts w:ascii="Verdana" w:hAnsi="Verdana" w:cs="Arial"/>
          <w:color w:val="000000"/>
          <w:sz w:val="19"/>
          <w:szCs w:val="19"/>
        </w:rPr>
        <w:footnoteRef/>
      </w:r>
      <w:r w:rsidRPr="001A5376">
        <w:rPr>
          <w:rFonts w:ascii="Verdana" w:hAnsi="Verdana" w:cs="Arial"/>
          <w:color w:val="000000"/>
          <w:sz w:val="19"/>
          <w:szCs w:val="19"/>
        </w:rPr>
        <w:t xml:space="preserve"> Ley 1882 de 2018: “Artículo 5. Modifíquese el Parágrafo 1 e inclúyanse los parágrafos 3, 4 y 5 de artículo 5° de la Ley 1150 de 2007, los cuales quedarán así: </w:t>
      </w:r>
    </w:p>
    <w:p w14:paraId="448E684F" w14:textId="77777777" w:rsidR="00EC0FFE" w:rsidRPr="001A5376" w:rsidRDefault="00EC0FFE" w:rsidP="00EC0FFE">
      <w:pPr>
        <w:ind w:firstLine="709"/>
        <w:jc w:val="both"/>
        <w:rPr>
          <w:rFonts w:ascii="Verdana" w:hAnsi="Verdana" w:cs="Arial"/>
          <w:color w:val="000000"/>
          <w:sz w:val="19"/>
          <w:szCs w:val="19"/>
        </w:rPr>
      </w:pPr>
      <w:r w:rsidRPr="001A5376">
        <w:rPr>
          <w:rFonts w:ascii="Verdana" w:hAnsi="Verdana" w:cs="Arial"/>
          <w:color w:val="000000"/>
          <w:sz w:val="19"/>
          <w:szCs w:val="19"/>
        </w:rPr>
        <w:t xml:space="preserve">[…] </w:t>
      </w:r>
    </w:p>
    <w:p w14:paraId="2644789D" w14:textId="77777777" w:rsidR="00EC0FFE" w:rsidRPr="001A5376" w:rsidRDefault="00EC0FFE" w:rsidP="00EC0FFE">
      <w:pPr>
        <w:ind w:firstLine="709"/>
        <w:jc w:val="both"/>
        <w:rPr>
          <w:rFonts w:ascii="Verdana" w:hAnsi="Verdana" w:cs="Arial"/>
          <w:color w:val="000000"/>
          <w:sz w:val="19"/>
          <w:szCs w:val="19"/>
        </w:rPr>
      </w:pPr>
      <w:r w:rsidRPr="001A5376">
        <w:rPr>
          <w:rFonts w:ascii="Verdana" w:hAnsi="Verdana" w:cs="Arial"/>
          <w:color w:val="000000"/>
          <w:sz w:val="19"/>
          <w:szCs w:val="19"/>
        </w:rPr>
        <w:t xml:space="preserve">Artículo 5°. De la selección objetiva. </w:t>
      </w:r>
    </w:p>
    <w:p w14:paraId="2BD3F7AD" w14:textId="77777777" w:rsidR="00EC0FFE" w:rsidRPr="001A5376" w:rsidRDefault="00EC0FFE" w:rsidP="00EC0FFE">
      <w:pPr>
        <w:ind w:firstLine="709"/>
        <w:jc w:val="both"/>
        <w:rPr>
          <w:rFonts w:ascii="Verdana" w:hAnsi="Verdana" w:cs="Arial"/>
          <w:color w:val="000000"/>
          <w:sz w:val="19"/>
          <w:szCs w:val="19"/>
        </w:rPr>
      </w:pPr>
      <w:r w:rsidRPr="001A5376">
        <w:rPr>
          <w:rFonts w:ascii="Verdana" w:hAnsi="Verdana" w:cs="Arial"/>
          <w:color w:val="000000"/>
          <w:sz w:val="19"/>
          <w:szCs w:val="19"/>
        </w:rPr>
        <w:t xml:space="preserve">[…] </w:t>
      </w:r>
    </w:p>
    <w:p w14:paraId="7DD17D1D" w14:textId="77777777" w:rsidR="00EC0FFE" w:rsidRPr="001A5376" w:rsidRDefault="00EC0FFE" w:rsidP="00EC0FFE">
      <w:pPr>
        <w:ind w:firstLine="709"/>
        <w:jc w:val="both"/>
        <w:rPr>
          <w:rFonts w:ascii="Verdana" w:hAnsi="Verdana" w:cs="Arial"/>
          <w:color w:val="000000"/>
          <w:sz w:val="19"/>
          <w:szCs w:val="19"/>
        </w:rPr>
      </w:pPr>
      <w:r w:rsidRPr="001A5376">
        <w:rPr>
          <w:rFonts w:ascii="Verdana" w:hAnsi="Verdana" w:cs="Arial"/>
          <w:color w:val="000000"/>
          <w:sz w:val="19"/>
          <w:szCs w:val="19"/>
        </w:rPr>
        <w:t xml:space="preserve">Parágrafo 1°.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w:t>
      </w:r>
    </w:p>
    <w:p w14:paraId="68B9B67F" w14:textId="77777777" w:rsidR="00EC0FFE" w:rsidRPr="001A5376" w:rsidRDefault="00EC0FFE" w:rsidP="00EC0FFE">
      <w:pPr>
        <w:ind w:firstLine="709"/>
        <w:jc w:val="both"/>
        <w:rPr>
          <w:rFonts w:ascii="Verdana" w:hAnsi="Verdana" w:cs="Arial"/>
          <w:color w:val="000000"/>
          <w:sz w:val="19"/>
          <w:szCs w:val="19"/>
        </w:rPr>
      </w:pPr>
      <w:r w:rsidRPr="001A5376">
        <w:rPr>
          <w:rFonts w:ascii="Verdana" w:hAnsi="Verdana" w:cs="Arial"/>
          <w:i/>
          <w:iCs/>
          <w:color w:val="000000"/>
          <w:sz w:val="19"/>
          <w:szCs w:val="19"/>
        </w:rPr>
        <w:t>Durante el término otorgado para subsanar las ofertas, los proponentes no podrán acreditar circunstancias ocurridas con posterioridad al cierre del proceso”</w:t>
      </w:r>
      <w:r w:rsidRPr="001A5376">
        <w:rPr>
          <w:rFonts w:ascii="Verdana" w:hAnsi="Verdana" w:cs="Arial"/>
          <w:color w:val="000000"/>
          <w:sz w:val="19"/>
          <w:szCs w:val="19"/>
        </w:rPr>
        <w:t xml:space="preserve"> (cursiva fuera de texto).</w:t>
      </w:r>
    </w:p>
  </w:footnote>
  <w:footnote w:id="13">
    <w:p w14:paraId="379B14CF" w14:textId="77777777" w:rsidR="00EC0FFE" w:rsidRPr="001A5376" w:rsidRDefault="00EC0FFE" w:rsidP="00EC0FFE">
      <w:pPr>
        <w:pStyle w:val="Textonotapie"/>
        <w:ind w:firstLine="709"/>
        <w:jc w:val="both"/>
        <w:rPr>
          <w:rFonts w:ascii="Verdana" w:hAnsi="Verdana" w:cs="Arial"/>
          <w:color w:val="000000"/>
          <w:sz w:val="19"/>
          <w:szCs w:val="19"/>
          <w:lang w:val="es-CO"/>
        </w:rPr>
      </w:pPr>
      <w:r w:rsidRPr="001A5376">
        <w:rPr>
          <w:rStyle w:val="Refdenotaalpie"/>
          <w:rFonts w:ascii="Verdana" w:hAnsi="Verdana" w:cs="Arial"/>
          <w:color w:val="000000"/>
          <w:sz w:val="19"/>
          <w:szCs w:val="19"/>
        </w:rPr>
        <w:footnoteRef/>
      </w:r>
      <w:r w:rsidRPr="001A5376">
        <w:rPr>
          <w:rFonts w:ascii="Verdana" w:hAnsi="Verdana" w:cs="Arial"/>
          <w:color w:val="000000"/>
          <w:sz w:val="19"/>
          <w:szCs w:val="19"/>
        </w:rPr>
        <w:t xml:space="preserve"> </w:t>
      </w:r>
      <w:r w:rsidRPr="001A5376">
        <w:rPr>
          <w:rFonts w:ascii="Verdana" w:hAnsi="Verdana" w:cs="Arial"/>
          <w:color w:val="000000"/>
          <w:sz w:val="19"/>
          <w:szCs w:val="19"/>
          <w:lang w:val="es-CO"/>
        </w:rPr>
        <w:t xml:space="preserve">Decreto 2474 de 2008, art. 10, inciso final: “En ningún caso la entidad podrá señalar taxativamente los requisitos o documentos subsanables o no subsanables en el pliego de condiciones, ni permitir que se subsane la falta de capacidad para presentar la oferta, </w:t>
      </w:r>
      <w:r w:rsidRPr="001A5376">
        <w:rPr>
          <w:rFonts w:ascii="Verdana" w:hAnsi="Verdana" w:cs="Arial"/>
          <w:i/>
          <w:iCs/>
          <w:color w:val="000000"/>
          <w:sz w:val="19"/>
          <w:szCs w:val="19"/>
          <w:lang w:val="es-CO"/>
        </w:rPr>
        <w:t>ni que se acrediten circunstancias ocurridas con posterioridad al cierre del proceso”</w:t>
      </w:r>
      <w:r w:rsidRPr="001A5376">
        <w:rPr>
          <w:rFonts w:ascii="Verdana" w:hAnsi="Verdana" w:cs="Arial"/>
          <w:color w:val="000000"/>
          <w:sz w:val="19"/>
          <w:szCs w:val="19"/>
          <w:lang w:val="es-CO"/>
        </w:rPr>
        <w:t xml:space="preserve"> (cursiva fuera de texto).</w:t>
      </w:r>
    </w:p>
    <w:p w14:paraId="537A078A" w14:textId="77777777" w:rsidR="00EC0FFE" w:rsidRPr="001A5376" w:rsidRDefault="00EC0FFE" w:rsidP="00EC0FFE">
      <w:pPr>
        <w:pStyle w:val="Textonotapie"/>
        <w:ind w:firstLine="709"/>
        <w:jc w:val="both"/>
        <w:rPr>
          <w:rFonts w:ascii="Verdana" w:hAnsi="Verdana" w:cs="Arial"/>
          <w:color w:val="000000"/>
          <w:sz w:val="19"/>
          <w:szCs w:val="19"/>
        </w:rPr>
      </w:pPr>
    </w:p>
  </w:footnote>
  <w:footnote w:id="14">
    <w:p w14:paraId="0B8017C5" w14:textId="77777777" w:rsidR="00EC0FFE" w:rsidRPr="001A5376" w:rsidRDefault="00EC0FFE" w:rsidP="00EC0FFE">
      <w:pPr>
        <w:pStyle w:val="Textonotapie"/>
        <w:ind w:firstLine="709"/>
        <w:jc w:val="both"/>
        <w:rPr>
          <w:rFonts w:ascii="Verdana" w:hAnsi="Verdana" w:cs="Arial"/>
          <w:color w:val="000000"/>
          <w:sz w:val="19"/>
          <w:szCs w:val="19"/>
          <w:lang w:val="es-CO"/>
        </w:rPr>
      </w:pPr>
      <w:r w:rsidRPr="001A5376">
        <w:rPr>
          <w:rStyle w:val="Refdenotaalpie"/>
          <w:rFonts w:ascii="Verdana" w:hAnsi="Verdana" w:cs="Arial"/>
          <w:color w:val="000000"/>
          <w:sz w:val="19"/>
          <w:szCs w:val="19"/>
        </w:rPr>
        <w:footnoteRef/>
      </w:r>
      <w:r w:rsidRPr="001A5376">
        <w:rPr>
          <w:rFonts w:ascii="Verdana" w:hAnsi="Verdana" w:cs="Arial"/>
          <w:color w:val="000000"/>
          <w:sz w:val="19"/>
          <w:szCs w:val="19"/>
        </w:rPr>
        <w:t xml:space="preserve"> </w:t>
      </w:r>
      <w:r w:rsidRPr="001A5376">
        <w:rPr>
          <w:rFonts w:ascii="Verdana" w:hAnsi="Verdana" w:cs="Arial"/>
          <w:color w:val="000000"/>
          <w:sz w:val="19"/>
          <w:szCs w:val="19"/>
          <w:lang w:val="es-CO"/>
        </w:rPr>
        <w:t>“De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(Consejo de Estado. Sala de Consulta y Servicio Civil. Concepto del 6 de noviembre de 2008. Exp. 1.927. C.P. William Zambrano Cetina).</w:t>
      </w:r>
    </w:p>
  </w:footnote>
  <w:footnote w:id="15">
    <w:p w14:paraId="4C1CA3DA" w14:textId="77777777" w:rsidR="00EC0FFE" w:rsidRPr="001A5376" w:rsidRDefault="00EC0FFE" w:rsidP="00EC0FFE">
      <w:pPr>
        <w:pStyle w:val="Textonotapie"/>
        <w:ind w:firstLine="708"/>
        <w:jc w:val="both"/>
        <w:rPr>
          <w:rFonts w:ascii="Verdana" w:hAnsi="Verdana"/>
          <w:sz w:val="19"/>
          <w:szCs w:val="19"/>
          <w:lang w:val="es-CO"/>
        </w:rPr>
      </w:pPr>
      <w:r w:rsidRPr="001A5376">
        <w:rPr>
          <w:rStyle w:val="Refdenotaalpie"/>
          <w:rFonts w:ascii="Verdana" w:hAnsi="Verdana"/>
          <w:sz w:val="19"/>
          <w:szCs w:val="19"/>
        </w:rPr>
        <w:footnoteRef/>
      </w:r>
      <w:r w:rsidRPr="001A5376">
        <w:rPr>
          <w:rFonts w:ascii="Verdana" w:hAnsi="Verdana"/>
          <w:sz w:val="19"/>
          <w:szCs w:val="19"/>
        </w:rPr>
        <w:t xml:space="preserve"> Decreto 1082 de 2015, artículo 2.2.1.1.1.5.1., citado previamente.</w:t>
      </w:r>
    </w:p>
  </w:footnote>
  <w:footnote w:id="16">
    <w:p w14:paraId="01C6C062" w14:textId="77777777" w:rsidR="00EC0FFE" w:rsidRPr="001A5376" w:rsidRDefault="00EC0FFE" w:rsidP="00EC0FFE">
      <w:pPr>
        <w:pStyle w:val="Textonotapie"/>
        <w:ind w:firstLine="708"/>
        <w:jc w:val="both"/>
        <w:rPr>
          <w:rFonts w:ascii="Verdana" w:hAnsi="Verdana"/>
          <w:sz w:val="19"/>
          <w:szCs w:val="19"/>
        </w:rPr>
      </w:pPr>
      <w:r w:rsidRPr="001A5376">
        <w:rPr>
          <w:rStyle w:val="Refdenotaalpie"/>
          <w:rFonts w:ascii="Verdana" w:hAnsi="Verdana"/>
          <w:sz w:val="19"/>
          <w:szCs w:val="19"/>
        </w:rPr>
        <w:footnoteRef/>
      </w:r>
      <w:r w:rsidRPr="001A5376">
        <w:rPr>
          <w:rFonts w:ascii="Verdana" w:hAnsi="Verdana"/>
          <w:sz w:val="19"/>
          <w:szCs w:val="19"/>
        </w:rPr>
        <w:t xml:space="preserve"> La Circular Externa Única de Colombia Compra Eficiente puede ser consultada en el siguiente link: </w:t>
      </w:r>
      <w:hyperlink r:id="rId1" w:history="1">
        <w:r w:rsidRPr="001A5376">
          <w:rPr>
            <w:rStyle w:val="Hipervnculo"/>
            <w:rFonts w:ascii="Verdana" w:hAnsi="Verdana"/>
            <w:sz w:val="19"/>
            <w:szCs w:val="19"/>
            <w:lang w:val="es-CO"/>
          </w:rPr>
          <w:t>circular_externa_unica_version_3_vf49.pdf</w:t>
        </w:r>
      </w:hyperlink>
    </w:p>
  </w:footnote>
  <w:footnote w:id="17">
    <w:p w14:paraId="40CF2F71" w14:textId="77777777" w:rsidR="00EC0FFE" w:rsidRPr="001A5376" w:rsidRDefault="00EC0FFE" w:rsidP="00EC0FFE">
      <w:pPr>
        <w:pStyle w:val="Textonotapie"/>
        <w:ind w:firstLine="708"/>
        <w:jc w:val="both"/>
        <w:rPr>
          <w:rFonts w:ascii="Verdana" w:hAnsi="Verdana"/>
          <w:color w:val="000000"/>
          <w:sz w:val="19"/>
          <w:szCs w:val="19"/>
          <w:lang w:val="es-CO"/>
        </w:rPr>
      </w:pPr>
      <w:r w:rsidRPr="001A5376">
        <w:rPr>
          <w:rStyle w:val="Refdenotaalpie"/>
          <w:rFonts w:ascii="Verdana" w:hAnsi="Verdana"/>
          <w:color w:val="000000"/>
          <w:sz w:val="19"/>
          <w:szCs w:val="19"/>
          <w:lang w:val="es-CO"/>
        </w:rPr>
        <w:footnoteRef/>
      </w:r>
      <w:r w:rsidRPr="001A5376">
        <w:rPr>
          <w:rFonts w:ascii="Verdana" w:hAnsi="Verdana"/>
          <w:color w:val="000000"/>
          <w:sz w:val="19"/>
          <w:szCs w:val="19"/>
          <w:lang w:val="es-CO"/>
        </w:rPr>
        <w:t xml:space="preserve"> Estos Documentos Tipo pueden ser consultados en la página web de Colombia Compra Eficiente, a través del siguiente enlace: </w:t>
      </w:r>
      <w:hyperlink r:id="rId2" w:history="1">
        <w:r w:rsidRPr="001A5376">
          <w:rPr>
            <w:rStyle w:val="Hipervnculo"/>
            <w:rFonts w:ascii="Verdana" w:hAnsi="Verdana"/>
            <w:color w:val="000000"/>
            <w:sz w:val="19"/>
            <w:szCs w:val="19"/>
            <w:lang w:val="es-CO"/>
          </w:rPr>
          <w:t>https://www.colombiacompra.gov.co/documentos-tipo/documentos-tipo</w:t>
        </w:r>
      </w:hyperlink>
      <w:r w:rsidRPr="001A5376">
        <w:rPr>
          <w:rFonts w:ascii="Verdana" w:hAnsi="Verdana"/>
          <w:color w:val="000000"/>
          <w:sz w:val="19"/>
          <w:szCs w:val="19"/>
          <w:lang w:val="es-CO"/>
        </w:rPr>
        <w:t xml:space="preserve"> </w:t>
      </w:r>
    </w:p>
  </w:footnote>
  <w:footnote w:id="18">
    <w:p w14:paraId="675BD299" w14:textId="77777777" w:rsidR="00EC0FFE" w:rsidRPr="001A5376" w:rsidRDefault="00EC0FFE" w:rsidP="00EC0FFE">
      <w:pPr>
        <w:pStyle w:val="Textonotapie"/>
        <w:ind w:firstLine="708"/>
        <w:jc w:val="both"/>
        <w:rPr>
          <w:rFonts w:ascii="Verdana" w:hAnsi="Verdana"/>
          <w:sz w:val="19"/>
          <w:szCs w:val="19"/>
        </w:rPr>
      </w:pPr>
      <w:r w:rsidRPr="001A5376">
        <w:rPr>
          <w:rStyle w:val="Refdenotaalpie"/>
          <w:rFonts w:ascii="Verdana" w:hAnsi="Verdana"/>
          <w:sz w:val="19"/>
          <w:szCs w:val="19"/>
        </w:rPr>
        <w:footnoteRef/>
      </w:r>
      <w:r w:rsidRPr="001A5376">
        <w:rPr>
          <w:rFonts w:ascii="Verdana" w:hAnsi="Verdana"/>
          <w:sz w:val="19"/>
          <w:szCs w:val="19"/>
        </w:rPr>
        <w:t xml:space="preserve"> "Por la cual se adopta la versión 3 de los Documentos Tipo para los procesos de selección de concurso de méritos para contratar la interventoría de obras públicas de infraestructura de transporte y se deroga la Resolución 326 de 2022".</w:t>
      </w:r>
    </w:p>
    <w:p w14:paraId="48AB328A" w14:textId="77777777" w:rsidR="00EC0FFE" w:rsidRPr="001A5376" w:rsidRDefault="00EC0FFE" w:rsidP="00EC0FFE">
      <w:pPr>
        <w:pStyle w:val="Textonotapie"/>
        <w:ind w:firstLine="708"/>
        <w:jc w:val="both"/>
        <w:rPr>
          <w:rFonts w:ascii="Verdana" w:hAnsi="Verdana"/>
          <w:sz w:val="19"/>
          <w:szCs w:val="19"/>
        </w:rPr>
      </w:pPr>
    </w:p>
  </w:footnote>
  <w:footnote w:id="19">
    <w:p w14:paraId="6ABEB4BE" w14:textId="77777777" w:rsidR="00EC0FFE" w:rsidRPr="001A5376" w:rsidRDefault="00EC0FFE" w:rsidP="00EC0FFE">
      <w:pPr>
        <w:spacing w:after="0" w:line="276" w:lineRule="auto"/>
        <w:ind w:firstLine="708"/>
        <w:jc w:val="both"/>
        <w:rPr>
          <w:rFonts w:ascii="Verdana" w:eastAsia="Times New Roman" w:hAnsi="Verdana" w:cs="Times New Roman"/>
          <w:color w:val="000000"/>
          <w:sz w:val="19"/>
          <w:szCs w:val="19"/>
          <w:lang w:eastAsia="es-CO"/>
        </w:rPr>
      </w:pPr>
      <w:r w:rsidRPr="001A5376">
        <w:rPr>
          <w:rStyle w:val="Refdenotaalpie"/>
          <w:rFonts w:ascii="Verdana" w:hAnsi="Verdana"/>
          <w:sz w:val="19"/>
          <w:szCs w:val="19"/>
        </w:rPr>
        <w:footnoteRef/>
      </w:r>
      <w:r w:rsidRPr="001A5376">
        <w:rPr>
          <w:rFonts w:ascii="Verdana" w:hAnsi="Verdana"/>
          <w:sz w:val="19"/>
          <w:szCs w:val="19"/>
        </w:rPr>
        <w:t xml:space="preserve"> </w:t>
      </w:r>
      <w:r w:rsidRPr="001A5376">
        <w:rPr>
          <w:rFonts w:ascii="Verdana" w:eastAsia="Times New Roman" w:hAnsi="Verdana" w:cs="Times New Roman"/>
          <w:color w:val="000000"/>
          <w:sz w:val="19"/>
          <w:szCs w:val="19"/>
          <w:lang w:eastAsia="es-CO"/>
        </w:rPr>
        <w:t>“Por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1A5376">
        <w:rPr>
          <w:rFonts w:ascii="Verdana" w:eastAsia="Aptos" w:hAnsi="Verdana" w:cs="Times New Roman"/>
          <w:sz w:val="19"/>
          <w:szCs w:val="19"/>
          <w:lang w:eastAsia="es-MX"/>
        </w:rPr>
        <w:t xml:space="preserve"> </w:t>
      </w:r>
    </w:p>
    <w:p w14:paraId="3128CA58" w14:textId="77777777" w:rsidR="00EC0FFE" w:rsidRPr="001A5376" w:rsidRDefault="00EC0FFE" w:rsidP="00EC0FFE">
      <w:pPr>
        <w:pStyle w:val="Textonotapie"/>
        <w:jc w:val="both"/>
        <w:rPr>
          <w:rFonts w:ascii="Verdana" w:hAnsi="Verdana"/>
          <w:sz w:val="19"/>
          <w:szCs w:val="19"/>
          <w:lang w:val="es-CO"/>
        </w:rPr>
      </w:pPr>
    </w:p>
  </w:footnote>
  <w:footnote w:id="20">
    <w:p w14:paraId="04E76C56" w14:textId="77777777" w:rsidR="00EC0FFE" w:rsidRPr="001A5376" w:rsidRDefault="00EC0FFE" w:rsidP="00EC0FFE">
      <w:pPr>
        <w:pStyle w:val="Sinespaciado"/>
        <w:ind w:firstLine="708"/>
        <w:jc w:val="both"/>
        <w:rPr>
          <w:rFonts w:ascii="Verdana" w:hAnsi="Verdana" w:cs="Arial"/>
          <w:sz w:val="19"/>
          <w:szCs w:val="19"/>
        </w:rPr>
      </w:pPr>
      <w:r w:rsidRPr="001A5376">
        <w:rPr>
          <w:rStyle w:val="Refdenotaalpie"/>
          <w:rFonts w:ascii="Verdana" w:hAnsi="Verdana" w:cs="Arial"/>
          <w:sz w:val="19"/>
          <w:szCs w:val="19"/>
        </w:rPr>
        <w:footnoteRef/>
      </w:r>
      <w:r w:rsidRPr="001A5376">
        <w:rPr>
          <w:rFonts w:ascii="Verdana" w:hAnsi="Verdana" w:cs="Arial"/>
          <w:sz w:val="19"/>
          <w:szCs w:val="19"/>
        </w:rPr>
        <w:t xml:space="preserve"> Agencia Nacional de Contratación Pública – Colombia Compra Eficiente, Concepto C–174 del 26 de abril de 2021. </w:t>
      </w:r>
    </w:p>
    <w:p w14:paraId="3D33D4F7" w14:textId="77777777" w:rsidR="00EC0FFE" w:rsidRPr="001A5376" w:rsidRDefault="00EC0FFE" w:rsidP="00EC0FFE">
      <w:pPr>
        <w:pStyle w:val="Sinespaciado"/>
        <w:jc w:val="both"/>
        <w:rPr>
          <w:rFonts w:ascii="Verdana" w:hAnsi="Verdana" w:cs="Arial"/>
          <w:sz w:val="19"/>
          <w:szCs w:val="19"/>
        </w:rPr>
      </w:pPr>
    </w:p>
  </w:footnote>
  <w:footnote w:id="21">
    <w:p w14:paraId="087DEAA4" w14:textId="77777777" w:rsidR="00EC0FFE" w:rsidRPr="001A5376" w:rsidRDefault="00EC0FFE" w:rsidP="00EC0FFE">
      <w:pPr>
        <w:pStyle w:val="Sinespaciado"/>
        <w:ind w:firstLine="708"/>
        <w:jc w:val="both"/>
        <w:rPr>
          <w:rFonts w:ascii="Verdana" w:hAnsi="Verdana" w:cs="Arial"/>
          <w:sz w:val="19"/>
          <w:szCs w:val="19"/>
        </w:rPr>
      </w:pPr>
      <w:r w:rsidRPr="001A5376">
        <w:rPr>
          <w:rStyle w:val="Refdenotaalpie"/>
          <w:rFonts w:ascii="Verdana" w:hAnsi="Verdana" w:cs="Arial"/>
          <w:sz w:val="19"/>
          <w:szCs w:val="19"/>
        </w:rPr>
        <w:footnoteRef/>
      </w:r>
      <w:r w:rsidRPr="001A5376">
        <w:rPr>
          <w:rFonts w:ascii="Verdana" w:hAnsi="Verdana" w:cs="Arial"/>
          <w:sz w:val="19"/>
          <w:szCs w:val="19"/>
        </w:rPr>
        <w:t xml:space="preserve"> Agencia Nacional de Contratación Pública – Colombia Compra Eficiente, Concepto C-156 de 20 de abril de 2021. </w:t>
      </w:r>
    </w:p>
    <w:p w14:paraId="619F4010" w14:textId="77777777" w:rsidR="00EC0FFE" w:rsidRPr="001A5376" w:rsidRDefault="00EC0FFE" w:rsidP="00EC0FFE">
      <w:pPr>
        <w:pStyle w:val="Sinespaciado"/>
        <w:jc w:val="both"/>
        <w:rPr>
          <w:rFonts w:ascii="Verdana" w:hAnsi="Verdana" w:cs="Arial"/>
          <w:sz w:val="19"/>
          <w:szCs w:val="19"/>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15pt;height:8.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5A1D"/>
    <w:rsid w:val="00016F78"/>
    <w:rsid w:val="00046945"/>
    <w:rsid w:val="00061B2A"/>
    <w:rsid w:val="00082362"/>
    <w:rsid w:val="00094106"/>
    <w:rsid w:val="000A2D53"/>
    <w:rsid w:val="000A683E"/>
    <w:rsid w:val="000B19B9"/>
    <w:rsid w:val="000D0334"/>
    <w:rsid w:val="000D5DA7"/>
    <w:rsid w:val="000F6486"/>
    <w:rsid w:val="00106728"/>
    <w:rsid w:val="00116940"/>
    <w:rsid w:val="00125105"/>
    <w:rsid w:val="00127233"/>
    <w:rsid w:val="0015699B"/>
    <w:rsid w:val="0018255F"/>
    <w:rsid w:val="001A33BF"/>
    <w:rsid w:val="001E4177"/>
    <w:rsid w:val="001F0B24"/>
    <w:rsid w:val="001F7DC6"/>
    <w:rsid w:val="00221095"/>
    <w:rsid w:val="0022400B"/>
    <w:rsid w:val="002421BB"/>
    <w:rsid w:val="0025796E"/>
    <w:rsid w:val="002707A2"/>
    <w:rsid w:val="002753B9"/>
    <w:rsid w:val="002951A0"/>
    <w:rsid w:val="002962BC"/>
    <w:rsid w:val="002A093D"/>
    <w:rsid w:val="002A0DD0"/>
    <w:rsid w:val="002A49AC"/>
    <w:rsid w:val="002A64FD"/>
    <w:rsid w:val="002C7A84"/>
    <w:rsid w:val="002E2BF8"/>
    <w:rsid w:val="002E4FD9"/>
    <w:rsid w:val="0030657A"/>
    <w:rsid w:val="00313104"/>
    <w:rsid w:val="00322A85"/>
    <w:rsid w:val="00324168"/>
    <w:rsid w:val="00330834"/>
    <w:rsid w:val="003448F4"/>
    <w:rsid w:val="00374F5E"/>
    <w:rsid w:val="00377E3E"/>
    <w:rsid w:val="00390C44"/>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7F3"/>
    <w:rsid w:val="004F685F"/>
    <w:rsid w:val="005566E8"/>
    <w:rsid w:val="00574867"/>
    <w:rsid w:val="00591460"/>
    <w:rsid w:val="005A65E0"/>
    <w:rsid w:val="005C3777"/>
    <w:rsid w:val="005C5CDC"/>
    <w:rsid w:val="005D476C"/>
    <w:rsid w:val="006200BF"/>
    <w:rsid w:val="006219F8"/>
    <w:rsid w:val="006302F7"/>
    <w:rsid w:val="00634DF6"/>
    <w:rsid w:val="00646B9F"/>
    <w:rsid w:val="00665D70"/>
    <w:rsid w:val="006900D9"/>
    <w:rsid w:val="006A79FC"/>
    <w:rsid w:val="006C110B"/>
    <w:rsid w:val="006C4FDD"/>
    <w:rsid w:val="00706C16"/>
    <w:rsid w:val="007340C3"/>
    <w:rsid w:val="0075235A"/>
    <w:rsid w:val="00756841"/>
    <w:rsid w:val="007649AB"/>
    <w:rsid w:val="00771D0C"/>
    <w:rsid w:val="007833AC"/>
    <w:rsid w:val="007A0D69"/>
    <w:rsid w:val="007B268C"/>
    <w:rsid w:val="007B7171"/>
    <w:rsid w:val="007C0C0F"/>
    <w:rsid w:val="007C3DC2"/>
    <w:rsid w:val="007E5497"/>
    <w:rsid w:val="00806F5F"/>
    <w:rsid w:val="00820278"/>
    <w:rsid w:val="008258C9"/>
    <w:rsid w:val="00837B41"/>
    <w:rsid w:val="00844AE9"/>
    <w:rsid w:val="00867F95"/>
    <w:rsid w:val="008843B6"/>
    <w:rsid w:val="00891928"/>
    <w:rsid w:val="008A446D"/>
    <w:rsid w:val="008A5495"/>
    <w:rsid w:val="008B25F1"/>
    <w:rsid w:val="008D180B"/>
    <w:rsid w:val="008F0EA7"/>
    <w:rsid w:val="00923EEF"/>
    <w:rsid w:val="009419F9"/>
    <w:rsid w:val="0095685E"/>
    <w:rsid w:val="00961B09"/>
    <w:rsid w:val="00965334"/>
    <w:rsid w:val="0097093E"/>
    <w:rsid w:val="0097365F"/>
    <w:rsid w:val="009A0DFA"/>
    <w:rsid w:val="009A1C6F"/>
    <w:rsid w:val="009B2D26"/>
    <w:rsid w:val="009C68A6"/>
    <w:rsid w:val="009C71FA"/>
    <w:rsid w:val="009C72E7"/>
    <w:rsid w:val="009C7F7E"/>
    <w:rsid w:val="009D3058"/>
    <w:rsid w:val="009F3A13"/>
    <w:rsid w:val="00A122D3"/>
    <w:rsid w:val="00A14468"/>
    <w:rsid w:val="00A17F13"/>
    <w:rsid w:val="00A20739"/>
    <w:rsid w:val="00A23AF9"/>
    <w:rsid w:val="00A33C78"/>
    <w:rsid w:val="00A86375"/>
    <w:rsid w:val="00AB0ADB"/>
    <w:rsid w:val="00B00C0E"/>
    <w:rsid w:val="00B01B1A"/>
    <w:rsid w:val="00B0381D"/>
    <w:rsid w:val="00B231CF"/>
    <w:rsid w:val="00B44A47"/>
    <w:rsid w:val="00B72CD3"/>
    <w:rsid w:val="00B72FFF"/>
    <w:rsid w:val="00BA2C93"/>
    <w:rsid w:val="00BA54D6"/>
    <w:rsid w:val="00BC3D36"/>
    <w:rsid w:val="00BD54A6"/>
    <w:rsid w:val="00BD7F72"/>
    <w:rsid w:val="00BE7A13"/>
    <w:rsid w:val="00BF7425"/>
    <w:rsid w:val="00C04FB3"/>
    <w:rsid w:val="00C11D8B"/>
    <w:rsid w:val="00C15139"/>
    <w:rsid w:val="00C330EB"/>
    <w:rsid w:val="00C50D69"/>
    <w:rsid w:val="00C5365C"/>
    <w:rsid w:val="00C754BE"/>
    <w:rsid w:val="00C76B1C"/>
    <w:rsid w:val="00C925AC"/>
    <w:rsid w:val="00CB6357"/>
    <w:rsid w:val="00CC1B26"/>
    <w:rsid w:val="00D1611F"/>
    <w:rsid w:val="00D26E15"/>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943C3"/>
    <w:rsid w:val="00EA0E3D"/>
    <w:rsid w:val="00EC0FFE"/>
    <w:rsid w:val="00EC38A7"/>
    <w:rsid w:val="00EE1AA8"/>
    <w:rsid w:val="00F23FEA"/>
    <w:rsid w:val="00F270B3"/>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5E9A77B6"/>
    <w:rsid w:val="69614A15"/>
    <w:rsid w:val="74BA017B"/>
    <w:rsid w:val="7677286E"/>
    <w:rsid w:val="7982C55C"/>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91ED7D18-3357-454C-8882-BFD2D5086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A2D5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A2D53"/>
    <w:rPr>
      <w:rFonts w:ascii="Geomanist Light" w:hAnsi="Geomanist Light"/>
      <w:lang w:val="es-ES"/>
    </w:rPr>
  </w:style>
  <w:style w:type="character" w:customStyle="1" w:styleId="s15">
    <w:name w:val="s15"/>
    <w:basedOn w:val="Fuentedeprrafopredeter"/>
    <w:rsid w:val="000A2D53"/>
  </w:style>
  <w:style w:type="character" w:customStyle="1" w:styleId="apple-converted-space">
    <w:name w:val="apple-converted-space"/>
    <w:basedOn w:val="Fuentedeprrafopredeter"/>
    <w:rsid w:val="000A2D53"/>
  </w:style>
  <w:style w:type="table" w:customStyle="1" w:styleId="Tablaconcuadrcula1">
    <w:name w:val="Tabla con cuadrícula1"/>
    <w:basedOn w:val="Tablanormal"/>
    <w:next w:val="Tablaconcuadrcula"/>
    <w:uiPriority w:val="39"/>
    <w:qFormat/>
    <w:rsid w:val="00EC0F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EC0FFE"/>
    <w:pPr>
      <w:spacing w:after="0" w:line="240" w:lineRule="auto"/>
    </w:pPr>
    <w:rPr>
      <w:kern w:val="2"/>
      <w:sz w:val="24"/>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documentos-tipo/documentos-tipo" TargetMode="External"/><Relationship Id="rId1" Type="http://schemas.openxmlformats.org/officeDocument/2006/relationships/hyperlink" Target="https://www.colombiacompra.gov.co/wp-content/uploads/2024/08/circular_externa_unica_version_3_vf49.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9626821-8090-43B9-89F1-0AA5ED6ED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65</TotalTime>
  <Pages>26</Pages>
  <Words>7843</Words>
  <Characters>43137</Characters>
  <Application>Microsoft Office Word</Application>
  <DocSecurity>0</DocSecurity>
  <Lines>359</Lines>
  <Paragraphs>101</Paragraphs>
  <ScaleCrop>false</ScaleCrop>
  <Company/>
  <LinksUpToDate>false</LinksUpToDate>
  <CharactersWithSpaces>50879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2023-01-11T00:18:00Z</cp:lastPrinted>
  <dcterms:created xsi:type="dcterms:W3CDTF">2026-06-04T23:06:00Z</dcterms:created>
  <dcterms:modified xsi:type="dcterms:W3CDTF">2026-06-05T16:53:00Z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