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438E" w14:textId="77777777" w:rsidR="00346148" w:rsidRDefault="00346148" w:rsidP="00346148">
      <w:pPr>
        <w:spacing w:after="0"/>
        <w:jc w:val="both"/>
        <w:rPr>
          <w:rFonts w:ascii="Verdana" w:eastAsia="Verdana" w:hAnsi="Verdana" w:cs="Verdana"/>
          <w:b/>
          <w:bCs/>
        </w:rPr>
      </w:pPr>
      <w:bookmarkStart w:id="0" w:name="_Hlk143780582"/>
      <w:r w:rsidRPr="00346148">
        <w:rPr>
          <w:rFonts w:ascii="Verdana" w:eastAsia="Verdana" w:hAnsi="Verdana" w:cs="Verdana"/>
          <w:b/>
          <w:bCs/>
        </w:rPr>
        <w:t>LEY DE GARANTÍAS ELECTORALES – Finalidad</w:t>
      </w:r>
    </w:p>
    <w:p w14:paraId="257574FC" w14:textId="77777777" w:rsidR="00346148" w:rsidRPr="00346148" w:rsidRDefault="00346148" w:rsidP="00346148">
      <w:pPr>
        <w:spacing w:after="0"/>
        <w:jc w:val="both"/>
        <w:rPr>
          <w:rFonts w:ascii="Verdana" w:eastAsia="Verdana" w:hAnsi="Verdana" w:cs="Verdana"/>
        </w:rPr>
      </w:pPr>
    </w:p>
    <w:p w14:paraId="695E8203" w14:textId="77777777" w:rsidR="00346148" w:rsidRPr="00346148" w:rsidRDefault="00346148" w:rsidP="00346148">
      <w:pPr>
        <w:spacing w:after="0"/>
        <w:jc w:val="both"/>
        <w:rPr>
          <w:rFonts w:ascii="Verdana" w:eastAsia="Verdana" w:hAnsi="Verdana" w:cs="Verdana"/>
          <w:sz w:val="20"/>
          <w:szCs w:val="20"/>
        </w:rPr>
      </w:pPr>
      <w:r w:rsidRPr="00346148">
        <w:rPr>
          <w:rFonts w:ascii="Verdana" w:eastAsia="Verdana" w:hAnsi="Verdana" w:cs="Verdana"/>
          <w:sz w:val="20"/>
          <w:szCs w:val="20"/>
        </w:rPr>
        <w:t>[…] Esta Ley se suma al andamiaje de orden constitucional y legal que se ha ocupado de evitar la injerencia inadecuada de intereses particulares en el ejercicio de la función pública. Su propósito es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2A051785" w14:textId="77777777" w:rsidR="00346148" w:rsidRPr="00346148" w:rsidRDefault="00346148" w:rsidP="00346148">
      <w:pPr>
        <w:spacing w:after="0"/>
        <w:jc w:val="both"/>
        <w:rPr>
          <w:rFonts w:ascii="Verdana" w:eastAsia="Verdana" w:hAnsi="Verdana" w:cs="Verdana"/>
        </w:rPr>
      </w:pPr>
    </w:p>
    <w:p w14:paraId="69AEAECA" w14:textId="77777777" w:rsidR="00346148" w:rsidRDefault="00346148" w:rsidP="00346148">
      <w:pPr>
        <w:spacing w:after="0"/>
        <w:jc w:val="both"/>
        <w:rPr>
          <w:rFonts w:ascii="Verdana" w:eastAsia="Verdana" w:hAnsi="Verdana" w:cs="Verdana"/>
          <w:b/>
          <w:bCs/>
        </w:rPr>
      </w:pPr>
      <w:r w:rsidRPr="00346148">
        <w:rPr>
          <w:rFonts w:ascii="Verdana" w:eastAsia="Verdana" w:hAnsi="Verdana" w:cs="Verdana"/>
          <w:b/>
          <w:bCs/>
        </w:rPr>
        <w:t>LEY DE GARANTÍAS ELECTORALES – Tipos de restricciones – Artículo 33 – Artículo 38</w:t>
      </w:r>
    </w:p>
    <w:p w14:paraId="3AC29CEE" w14:textId="77777777" w:rsidR="00346148" w:rsidRPr="00346148" w:rsidRDefault="00346148" w:rsidP="00346148">
      <w:pPr>
        <w:spacing w:after="0"/>
        <w:jc w:val="both"/>
        <w:rPr>
          <w:rFonts w:ascii="Verdana" w:eastAsia="Verdana" w:hAnsi="Verdana" w:cs="Verdana"/>
          <w:sz w:val="20"/>
          <w:szCs w:val="20"/>
        </w:rPr>
      </w:pPr>
    </w:p>
    <w:p w14:paraId="6D746554" w14:textId="77777777" w:rsidR="00346148" w:rsidRPr="00346148" w:rsidRDefault="00346148" w:rsidP="00346148">
      <w:pPr>
        <w:spacing w:after="0"/>
        <w:jc w:val="both"/>
        <w:rPr>
          <w:rFonts w:ascii="Verdana" w:eastAsia="Verdana" w:hAnsi="Verdana" w:cs="Verdana"/>
          <w:sz w:val="20"/>
          <w:szCs w:val="20"/>
        </w:rPr>
      </w:pPr>
      <w:r w:rsidRPr="00346148">
        <w:rPr>
          <w:rFonts w:ascii="Verdana" w:eastAsia="Verdana" w:hAnsi="Verdana" w:cs="Verdana"/>
          <w:sz w:val="20"/>
          <w:szCs w:val="20"/>
        </w:rPr>
        <w:t>[…] las restricciones consagradas en la citada Ley se dirigen a dos (2) tipos de campañas electorales claramente diferenciadas: i) las presidenciales y ii) las demás que se adelanten para la elección de los demás cargos de elección popular, tanto a nivel nacional como territorial.</w:t>
      </w:r>
    </w:p>
    <w:p w14:paraId="25604193" w14:textId="77777777" w:rsidR="00346148" w:rsidRPr="00346148" w:rsidRDefault="00346148" w:rsidP="00346148">
      <w:pPr>
        <w:spacing w:after="0"/>
        <w:jc w:val="both"/>
        <w:rPr>
          <w:rFonts w:ascii="Verdana" w:eastAsia="Verdana" w:hAnsi="Verdana" w:cs="Verdana"/>
          <w:sz w:val="20"/>
          <w:szCs w:val="20"/>
        </w:rPr>
      </w:pPr>
      <w:r w:rsidRPr="00346148">
        <w:rPr>
          <w:rFonts w:ascii="Verdana" w:eastAsia="Verdana" w:hAnsi="Verdana" w:cs="Verdana"/>
          <w:sz w:val="20"/>
          <w:szCs w:val="20"/>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8C07A31" w14:textId="77777777" w:rsidR="00346148" w:rsidRPr="00346148" w:rsidRDefault="00346148" w:rsidP="00346148">
      <w:pPr>
        <w:spacing w:after="0"/>
        <w:jc w:val="both"/>
        <w:rPr>
          <w:rFonts w:ascii="Verdana" w:eastAsia="Verdana" w:hAnsi="Verdana" w:cs="Verdana"/>
          <w:sz w:val="20"/>
          <w:szCs w:val="20"/>
        </w:rPr>
      </w:pPr>
      <w:r w:rsidRPr="00346148">
        <w:rPr>
          <w:rFonts w:ascii="Verdana" w:eastAsia="Verdana" w:hAnsi="Verdana" w:cs="Verdana"/>
          <w:sz w:val="20"/>
          <w:szCs w:val="20"/>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637C8951" w14:textId="77777777" w:rsidR="00346148" w:rsidRPr="00346148" w:rsidRDefault="00346148" w:rsidP="00346148">
      <w:pPr>
        <w:spacing w:after="0"/>
        <w:jc w:val="both"/>
        <w:rPr>
          <w:rFonts w:ascii="Verdana" w:eastAsia="Verdana" w:hAnsi="Verdana" w:cs="Verdana"/>
        </w:rPr>
      </w:pPr>
    </w:p>
    <w:p w14:paraId="0B1CA92F" w14:textId="77777777" w:rsidR="00346148" w:rsidRDefault="00346148" w:rsidP="00346148">
      <w:pPr>
        <w:spacing w:after="0"/>
        <w:jc w:val="both"/>
        <w:rPr>
          <w:rFonts w:ascii="Verdana" w:eastAsia="Verdana" w:hAnsi="Verdana" w:cs="Verdana"/>
          <w:b/>
          <w:bCs/>
        </w:rPr>
      </w:pPr>
      <w:r w:rsidRPr="00346148">
        <w:rPr>
          <w:rFonts w:ascii="Verdana" w:eastAsia="Verdana" w:hAnsi="Verdana" w:cs="Verdana"/>
          <w:b/>
          <w:bCs/>
        </w:rPr>
        <w:t>UNIVERSIDADES PÚBLICAS – Naturaleza jurídica – Régimen aplicable</w:t>
      </w:r>
    </w:p>
    <w:p w14:paraId="6DF5F8C0" w14:textId="77777777" w:rsidR="00346148" w:rsidRPr="00346148" w:rsidRDefault="00346148" w:rsidP="00346148">
      <w:pPr>
        <w:spacing w:after="0"/>
        <w:jc w:val="both"/>
        <w:rPr>
          <w:rFonts w:ascii="Verdana" w:eastAsia="Verdana" w:hAnsi="Verdana" w:cs="Verdana"/>
          <w:sz w:val="20"/>
          <w:szCs w:val="20"/>
        </w:rPr>
      </w:pPr>
    </w:p>
    <w:p w14:paraId="65931B75" w14:textId="77777777" w:rsidR="00346148" w:rsidRPr="00346148" w:rsidRDefault="00346148" w:rsidP="00346148">
      <w:pPr>
        <w:spacing w:after="0"/>
        <w:jc w:val="both"/>
        <w:rPr>
          <w:rFonts w:ascii="Verdana" w:eastAsia="Verdana" w:hAnsi="Verdana" w:cs="Verdana"/>
          <w:sz w:val="20"/>
          <w:szCs w:val="20"/>
        </w:rPr>
      </w:pPr>
      <w:r w:rsidRPr="00346148">
        <w:rPr>
          <w:rFonts w:ascii="Verdana" w:eastAsia="Verdana" w:hAnsi="Verdana" w:cs="Verdana"/>
          <w:sz w:val="20"/>
          <w:szCs w:val="20"/>
        </w:rPr>
        <w:t xml:space="preserve">[…] en la Ley 30 de 1992 se regularon aspectos como la naturaleza jurídica de las universidades estatales y oficiales, la forma de organizarse y el régimen de contratación aplicable. Así mismo, en el artículo 57 se consignó que el carácter especial del régimen de las universidades estatales u oficiales comprende, entre otros aspectos, el régimen de contratación. En concordancia con esto, el artículo 93 estableció que los contratos </w:t>
      </w:r>
      <w:r w:rsidRPr="00346148">
        <w:rPr>
          <w:rFonts w:ascii="Verdana" w:eastAsia="Verdana" w:hAnsi="Verdana" w:cs="Verdana"/>
          <w:sz w:val="20"/>
          <w:szCs w:val="20"/>
        </w:rPr>
        <w:lastRenderedPageBreak/>
        <w:t>que celebren las universidades estatales u oficiales se regirán por las normas del derecho privado.</w:t>
      </w:r>
    </w:p>
    <w:p w14:paraId="579137DC" w14:textId="77777777" w:rsidR="00346148" w:rsidRDefault="00346148" w:rsidP="00346148">
      <w:pPr>
        <w:spacing w:after="0"/>
        <w:jc w:val="both"/>
        <w:rPr>
          <w:rFonts w:ascii="Verdana" w:eastAsia="Verdana" w:hAnsi="Verdana" w:cs="Verdana"/>
          <w:sz w:val="20"/>
          <w:szCs w:val="20"/>
        </w:rPr>
      </w:pPr>
      <w:r w:rsidRPr="00346148">
        <w:rPr>
          <w:rFonts w:ascii="Verdana" w:eastAsia="Verdana" w:hAnsi="Verdana" w:cs="Verdana"/>
          <w:sz w:val="20"/>
          <w:szCs w:val="20"/>
        </w:rPr>
        <w:t>De otro lado, la Ley 489 de 1998, al desarrollar la estructura y organización de la Administración Pública, establece que los entes universitarios hacen parte integral de esta, catalogándolos como entidades públicas de carácter autónomo a las que aplica un régimen especial. […]</w:t>
      </w:r>
    </w:p>
    <w:p w14:paraId="22B6ECAF" w14:textId="77777777" w:rsidR="00346148" w:rsidRPr="00346148" w:rsidRDefault="00346148" w:rsidP="00346148">
      <w:pPr>
        <w:spacing w:after="0"/>
        <w:jc w:val="both"/>
        <w:rPr>
          <w:rFonts w:ascii="Verdana" w:eastAsia="Verdana" w:hAnsi="Verdana" w:cs="Verdana"/>
          <w:sz w:val="20"/>
          <w:szCs w:val="20"/>
        </w:rPr>
      </w:pPr>
    </w:p>
    <w:p w14:paraId="7918E363" w14:textId="77777777" w:rsidR="00346148" w:rsidRDefault="00346148" w:rsidP="00346148">
      <w:pPr>
        <w:spacing w:after="0"/>
        <w:jc w:val="both"/>
        <w:rPr>
          <w:rFonts w:ascii="Verdana" w:eastAsia="Verdana" w:hAnsi="Verdana" w:cs="Verdana"/>
          <w:b/>
          <w:bCs/>
        </w:rPr>
      </w:pPr>
      <w:r w:rsidRPr="00346148">
        <w:rPr>
          <w:rFonts w:ascii="Verdana" w:eastAsia="Verdana" w:hAnsi="Verdana" w:cs="Verdana"/>
          <w:b/>
          <w:bCs/>
        </w:rPr>
        <w:t>UNIVERSIDADES PÚBLICAS – Aplicación de la Ley de garantías</w:t>
      </w:r>
    </w:p>
    <w:p w14:paraId="22A3793B" w14:textId="77777777" w:rsidR="00346148" w:rsidRPr="00346148" w:rsidRDefault="00346148" w:rsidP="00346148">
      <w:pPr>
        <w:spacing w:after="0"/>
        <w:jc w:val="both"/>
        <w:rPr>
          <w:rFonts w:ascii="Verdana" w:eastAsia="Verdana" w:hAnsi="Verdana" w:cs="Verdana"/>
        </w:rPr>
      </w:pPr>
    </w:p>
    <w:p w14:paraId="4AD83F74" w14:textId="77777777" w:rsidR="00346148" w:rsidRPr="00346148" w:rsidRDefault="00346148" w:rsidP="00346148">
      <w:pPr>
        <w:spacing w:after="0"/>
        <w:jc w:val="both"/>
        <w:rPr>
          <w:rFonts w:ascii="Verdana" w:eastAsia="Verdana" w:hAnsi="Verdana" w:cs="Verdana"/>
          <w:sz w:val="20"/>
          <w:szCs w:val="20"/>
        </w:rPr>
      </w:pPr>
      <w:r w:rsidRPr="00346148">
        <w:rPr>
          <w:rFonts w:ascii="Verdana" w:eastAsia="Verdana" w:hAnsi="Verdana" w:cs="Verdana"/>
          <w:sz w:val="20"/>
          <w:szCs w:val="20"/>
        </w:rPr>
        <w:t>[…] dado que las universidades públicas son entidades públicas de carácter autónomo con régimen especial, les aplica la restricción establecida en el artículo 33 de la Ley 996 de 2005, que prohíbe la contratación directa por parte de todos los entes estatales durante los cuatro (4) meses anteriores a las elecciones presidenciales y dispone las excepciones a dicha prohibición. Por el contrario, a estas entidades no son susceptibles de la restricción contenida en el parágrafo del artículo 38 de la Ley 996 de 2005, dado que esta solo es aplicable a Alcaldes, Gobernadores, Secretarios, Gerentes y Directores de las entidades descentralizadas del orden municipal, departamental o distrital.</w:t>
      </w:r>
    </w:p>
    <w:p w14:paraId="4C737500" w14:textId="77777777" w:rsidR="00DE27EF" w:rsidRDefault="00DE27EF" w:rsidP="30821638">
      <w:pPr>
        <w:spacing w:after="0"/>
        <w:rPr>
          <w:rFonts w:ascii="Verdana" w:eastAsia="Verdana" w:hAnsi="Verdana" w:cs="Verdana"/>
        </w:rPr>
      </w:pPr>
    </w:p>
    <w:p w14:paraId="25F38FC9" w14:textId="4E48FA2C" w:rsidR="00DE27EF" w:rsidRDefault="00DE27EF">
      <w:pPr>
        <w:rPr>
          <w:rFonts w:ascii="Verdana" w:eastAsia="Verdana" w:hAnsi="Verdana" w:cs="Verdana"/>
        </w:rPr>
      </w:pPr>
      <w:r>
        <w:rPr>
          <w:rFonts w:ascii="Verdana" w:eastAsia="Verdana" w:hAnsi="Verdana" w:cs="Verdana"/>
        </w:rPr>
        <w:br w:type="page"/>
      </w:r>
    </w:p>
    <w:p w14:paraId="1468C46D" w14:textId="1F855C28" w:rsidR="00C15139" w:rsidRPr="005C170B" w:rsidRDefault="00C15139" w:rsidP="30821638">
      <w:pPr>
        <w:spacing w:after="0"/>
        <w:rPr>
          <w:rFonts w:ascii="Verdana" w:eastAsia="Verdana" w:hAnsi="Verdana" w:cs="Verdana"/>
        </w:rPr>
      </w:pPr>
      <w:r w:rsidRPr="005C170B">
        <w:rPr>
          <w:rFonts w:ascii="Verdana" w:eastAsia="Verdana" w:hAnsi="Verdana" w:cs="Verdana"/>
        </w:rPr>
        <w:lastRenderedPageBreak/>
        <w:t xml:space="preserve">Bogotá D.C., </w:t>
      </w:r>
      <w:r w:rsidR="00863B5F">
        <w:rPr>
          <w:rFonts w:ascii="Verdana" w:eastAsia="Verdana" w:hAnsi="Verdana" w:cs="Verdana"/>
        </w:rPr>
        <w:t xml:space="preserve">01 </w:t>
      </w:r>
      <w:r w:rsidR="00E57EB0">
        <w:rPr>
          <w:rFonts w:ascii="Verdana" w:eastAsia="Verdana" w:hAnsi="Verdana" w:cs="Verdana"/>
        </w:rPr>
        <w:t>junio</w:t>
      </w:r>
      <w:r w:rsidR="00863B5F">
        <w:rPr>
          <w:rFonts w:ascii="Verdana" w:eastAsia="Verdana" w:hAnsi="Verdana" w:cs="Verdana"/>
        </w:rPr>
        <w:t xml:space="preserve"> 2026</w:t>
      </w:r>
    </w:p>
    <w:p w14:paraId="23683A09" w14:textId="3B429E2D" w:rsidR="00E90850" w:rsidRPr="005C170B" w:rsidRDefault="00E90850" w:rsidP="00E90850">
      <w:pPr>
        <w:spacing w:after="0" w:line="240" w:lineRule="auto"/>
        <w:jc w:val="both"/>
        <w:rPr>
          <w:rFonts w:ascii="Verdana" w:eastAsia="Calibri" w:hAnsi="Verdana" w:cs="Arial"/>
          <w:lang w:val="es-ES" w:eastAsia="es-ES"/>
        </w:rPr>
      </w:pPr>
    </w:p>
    <w:p w14:paraId="489ECC03" w14:textId="42249608" w:rsidR="00863B5F" w:rsidRDefault="00863B5F" w:rsidP="00863B5F">
      <w:pPr>
        <w:spacing w:after="0" w:line="240" w:lineRule="auto"/>
        <w:jc w:val="right"/>
        <w:rPr>
          <w:rFonts w:ascii="Verdana" w:eastAsia="Calibri" w:hAnsi="Verdana" w:cs="Arial"/>
          <w:b/>
          <w:bCs/>
          <w:lang w:val="es-ES" w:eastAsia="es-ES"/>
        </w:rPr>
      </w:pPr>
      <w:r w:rsidRPr="00863B5F">
        <w:rPr>
          <w:rFonts w:ascii="Verdana" w:eastAsia="Calibri" w:hAnsi="Verdana" w:cs="Arial"/>
          <w:b/>
          <w:bCs/>
          <w:noProof/>
          <w:lang w:val="es-ES" w:eastAsia="es-ES"/>
        </w:rPr>
        <w:drawing>
          <wp:inline distT="0" distB="0" distL="0" distR="0" wp14:anchorId="109C8CFF" wp14:editId="60D9CF2D">
            <wp:extent cx="2505425" cy="657317"/>
            <wp:effectExtent l="0" t="0" r="0" b="9525"/>
            <wp:docPr id="17824932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493211" name=""/>
                    <pic:cNvPicPr/>
                  </pic:nvPicPr>
                  <pic:blipFill>
                    <a:blip r:embed="rId11"/>
                    <a:stretch>
                      <a:fillRect/>
                    </a:stretch>
                  </pic:blipFill>
                  <pic:spPr>
                    <a:xfrm>
                      <a:off x="0" y="0"/>
                      <a:ext cx="2505425" cy="657317"/>
                    </a:xfrm>
                    <a:prstGeom prst="rect">
                      <a:avLst/>
                    </a:prstGeom>
                  </pic:spPr>
                </pic:pic>
              </a:graphicData>
            </a:graphic>
          </wp:inline>
        </w:drawing>
      </w:r>
    </w:p>
    <w:p w14:paraId="70EF131D" w14:textId="0F05688F" w:rsidR="00B71191" w:rsidRDefault="00625209" w:rsidP="00B71191">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Señor</w:t>
      </w:r>
    </w:p>
    <w:p w14:paraId="38B60FD6" w14:textId="64581B00" w:rsidR="00625209" w:rsidRDefault="00625209" w:rsidP="00B71191">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 xml:space="preserve">Brajan Steven Garces Laiton </w:t>
      </w:r>
    </w:p>
    <w:p w14:paraId="76A27EEE" w14:textId="31DE0BBB" w:rsidR="00E72973" w:rsidRDefault="00E72973" w:rsidP="00B71191">
      <w:pPr>
        <w:spacing w:after="0" w:line="240" w:lineRule="auto"/>
        <w:jc w:val="both"/>
        <w:rPr>
          <w:rFonts w:ascii="Verdana" w:eastAsia="Calibri" w:hAnsi="Verdana" w:cs="Arial"/>
          <w:b/>
          <w:bCs/>
          <w:lang w:val="es-ES" w:eastAsia="es-ES"/>
        </w:rPr>
      </w:pPr>
      <w:hyperlink r:id="rId12" w:history="1">
        <w:r w:rsidRPr="00191498">
          <w:rPr>
            <w:rStyle w:val="Hipervnculo"/>
            <w:rFonts w:ascii="Verdana" w:eastAsia="Calibri" w:hAnsi="Verdana" w:cs="Arial"/>
            <w:b/>
            <w:bCs/>
            <w:lang w:val="es-ES" w:eastAsia="es-ES"/>
          </w:rPr>
          <w:t>brajangarceslaiton97@gmail.com</w:t>
        </w:r>
      </w:hyperlink>
      <w:r>
        <w:rPr>
          <w:rFonts w:ascii="Verdana" w:eastAsia="Calibri" w:hAnsi="Verdana" w:cs="Arial"/>
          <w:b/>
          <w:bCs/>
          <w:lang w:val="es-ES" w:eastAsia="es-ES"/>
        </w:rPr>
        <w:t xml:space="preserve"> </w:t>
      </w:r>
    </w:p>
    <w:p w14:paraId="551DCABF" w14:textId="6D1A3A76" w:rsidR="00E72973" w:rsidRPr="00E72973" w:rsidRDefault="00E72973" w:rsidP="00B71191">
      <w:pPr>
        <w:spacing w:after="0" w:line="240" w:lineRule="auto"/>
        <w:jc w:val="both"/>
        <w:rPr>
          <w:rFonts w:ascii="Verdana" w:eastAsia="Calibri" w:hAnsi="Verdana" w:cs="Arial"/>
          <w:lang w:val="es-ES" w:eastAsia="es-ES"/>
        </w:rPr>
      </w:pPr>
      <w:r w:rsidRPr="00E72973">
        <w:rPr>
          <w:rFonts w:ascii="Verdana" w:eastAsia="Calibri" w:hAnsi="Verdana" w:cs="Arial"/>
          <w:lang w:val="es-ES" w:eastAsia="es-ES"/>
        </w:rPr>
        <w:t>Villavicencio, Meta</w:t>
      </w:r>
    </w:p>
    <w:p w14:paraId="160754C6" w14:textId="77777777" w:rsidR="0055038B" w:rsidRPr="005C170B" w:rsidRDefault="0055038B" w:rsidP="0055038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5038B" w:rsidRPr="005C170B" w14:paraId="20673E99" w14:textId="77777777" w:rsidTr="00BA05D4">
        <w:trPr>
          <w:trHeight w:val="884"/>
        </w:trPr>
        <w:tc>
          <w:tcPr>
            <w:tcW w:w="2689" w:type="dxa"/>
          </w:tcPr>
          <w:p w14:paraId="324BEAE6" w14:textId="77777777" w:rsidR="0055038B" w:rsidRPr="005C170B" w:rsidRDefault="0055038B" w:rsidP="00BA05D4">
            <w:pPr>
              <w:jc w:val="both"/>
              <w:rPr>
                <w:rFonts w:ascii="Verdana" w:eastAsia="Calibri" w:hAnsi="Verdana" w:cs="Arial"/>
                <w:b/>
                <w:bCs/>
                <w:color w:val="7030A0"/>
                <w:lang w:val="es-ES_tradnl" w:eastAsia="es-ES_tradnl"/>
              </w:rPr>
            </w:pPr>
          </w:p>
        </w:tc>
        <w:tc>
          <w:tcPr>
            <w:tcW w:w="6100" w:type="dxa"/>
          </w:tcPr>
          <w:p w14:paraId="257F5186" w14:textId="44C188CC" w:rsidR="0055038B" w:rsidRPr="005C170B" w:rsidRDefault="0055038B" w:rsidP="00BA05D4">
            <w:pPr>
              <w:jc w:val="both"/>
              <w:rPr>
                <w:rFonts w:ascii="Verdana" w:eastAsia="Calibri" w:hAnsi="Verdana" w:cs="Arial"/>
                <w:b/>
                <w:bCs/>
                <w:lang w:val="es-ES" w:eastAsia="es-ES"/>
              </w:rPr>
            </w:pPr>
            <w:r w:rsidRPr="005C170B">
              <w:rPr>
                <w:rFonts w:ascii="Verdana" w:eastAsia="Calibri" w:hAnsi="Verdana" w:cs="Arial"/>
                <w:b/>
                <w:bCs/>
                <w:lang w:val="es-ES" w:eastAsia="es-ES"/>
              </w:rPr>
              <w:t xml:space="preserve">Concepto </w:t>
            </w:r>
            <w:r w:rsidR="001528A7" w:rsidRPr="005C170B">
              <w:rPr>
                <w:rFonts w:ascii="Verdana" w:eastAsia="Calibri" w:hAnsi="Verdana" w:cs="Arial"/>
                <w:b/>
                <w:bCs/>
                <w:lang w:eastAsia="es-ES"/>
              </w:rPr>
              <w:t>C-</w:t>
            </w:r>
            <w:r w:rsidR="002663AD" w:rsidRPr="005C170B">
              <w:rPr>
                <w:rFonts w:ascii="Verdana" w:eastAsia="Calibri" w:hAnsi="Verdana" w:cs="Arial"/>
                <w:b/>
                <w:bCs/>
                <w:lang w:eastAsia="es-ES"/>
              </w:rPr>
              <w:t>6</w:t>
            </w:r>
            <w:r w:rsidR="006B26C4">
              <w:rPr>
                <w:rFonts w:ascii="Verdana" w:eastAsia="Calibri" w:hAnsi="Verdana" w:cs="Arial"/>
                <w:b/>
                <w:bCs/>
                <w:lang w:eastAsia="es-ES"/>
              </w:rPr>
              <w:t>81</w:t>
            </w:r>
            <w:r w:rsidR="001528A7" w:rsidRPr="005C170B">
              <w:rPr>
                <w:rFonts w:ascii="Verdana" w:eastAsia="Calibri" w:hAnsi="Verdana" w:cs="Arial"/>
                <w:b/>
                <w:bCs/>
                <w:lang w:eastAsia="es-ES"/>
              </w:rPr>
              <w:t xml:space="preserve"> </w:t>
            </w:r>
            <w:r w:rsidRPr="005C170B">
              <w:rPr>
                <w:rFonts w:ascii="Verdana" w:eastAsia="Calibri" w:hAnsi="Verdana" w:cs="Arial"/>
                <w:b/>
                <w:bCs/>
                <w:lang w:val="es-ES" w:eastAsia="es-ES"/>
              </w:rPr>
              <w:t>de 2026</w:t>
            </w:r>
          </w:p>
        </w:tc>
      </w:tr>
      <w:tr w:rsidR="0055038B" w:rsidRPr="005C170B" w14:paraId="5723CCD9" w14:textId="77777777" w:rsidTr="00BA05D4">
        <w:trPr>
          <w:trHeight w:val="884"/>
        </w:trPr>
        <w:tc>
          <w:tcPr>
            <w:tcW w:w="2689" w:type="dxa"/>
          </w:tcPr>
          <w:p w14:paraId="33D940E9" w14:textId="77777777" w:rsidR="0055038B" w:rsidRPr="005C170B" w:rsidRDefault="0055038B" w:rsidP="00BA05D4">
            <w:pPr>
              <w:jc w:val="both"/>
              <w:rPr>
                <w:rFonts w:ascii="Verdana" w:eastAsia="Calibri" w:hAnsi="Verdana" w:cs="Arial"/>
                <w:color w:val="000000"/>
                <w:lang w:val="es-ES_tradnl" w:eastAsia="es-ES_tradnl"/>
              </w:rPr>
            </w:pPr>
            <w:r w:rsidRPr="005C170B">
              <w:rPr>
                <w:rFonts w:ascii="Verdana" w:eastAsia="Calibri" w:hAnsi="Verdana" w:cs="Arial"/>
                <w:b/>
                <w:color w:val="000000"/>
                <w:lang w:val="es-ES_tradnl" w:eastAsia="es-ES_tradnl"/>
              </w:rPr>
              <w:t>Temas:</w:t>
            </w:r>
            <w:r w:rsidRPr="005C170B">
              <w:rPr>
                <w:rFonts w:ascii="Verdana" w:eastAsia="Calibri" w:hAnsi="Verdana" w:cs="Arial"/>
                <w:color w:val="000000"/>
                <w:lang w:val="es-ES_tradnl" w:eastAsia="es-ES_tradnl"/>
              </w:rPr>
              <w:t xml:space="preserve">                   </w:t>
            </w:r>
          </w:p>
        </w:tc>
        <w:tc>
          <w:tcPr>
            <w:tcW w:w="6100" w:type="dxa"/>
          </w:tcPr>
          <w:p w14:paraId="7CBC2BC2" w14:textId="294F10AF" w:rsidR="00BF1DF1" w:rsidRPr="008F6D7D" w:rsidRDefault="00D34921" w:rsidP="00E87DBA">
            <w:pPr>
              <w:spacing w:line="276" w:lineRule="auto"/>
              <w:jc w:val="both"/>
              <w:rPr>
                <w:rFonts w:ascii="Verdana" w:eastAsia="Calibri" w:hAnsi="Verdana"/>
                <w:lang w:eastAsia="es-ES"/>
              </w:rPr>
            </w:pPr>
            <w:r w:rsidRPr="008F6D7D">
              <w:rPr>
                <w:rFonts w:ascii="Verdana" w:eastAsia="Calibri" w:hAnsi="Verdana" w:cs="Arial"/>
                <w:lang w:val="es-ES" w:eastAsia="es-ES"/>
              </w:rPr>
              <w:t>L</w:t>
            </w:r>
            <w:r w:rsidRPr="008F6D7D">
              <w:rPr>
                <w:rFonts w:ascii="Verdana" w:eastAsia="Calibri" w:hAnsi="Verdana"/>
                <w:lang w:eastAsia="es-ES"/>
              </w:rPr>
              <w:t>EY DE GARANTÍAS ELECTORALES – Finalidad</w:t>
            </w:r>
            <w:r w:rsidR="008C6EC3" w:rsidRPr="008F6D7D">
              <w:rPr>
                <w:rFonts w:ascii="Verdana" w:eastAsia="Calibri" w:hAnsi="Verdana"/>
                <w:lang w:eastAsia="es-ES"/>
              </w:rPr>
              <w:t xml:space="preserve">/ LEY DE GARANTÍAS ELECTORALES – Tipos de restricciones – Artículo 33 – Artículo 38 / </w:t>
            </w:r>
            <w:r w:rsidR="00A83A43" w:rsidRPr="008F6D7D">
              <w:rPr>
                <w:rFonts w:ascii="Verdana" w:eastAsia="Calibri" w:hAnsi="Verdana"/>
                <w:lang w:eastAsia="es-ES"/>
              </w:rPr>
              <w:t>UNIVERSIDADES PÚBLICAS – Naturaleza jurídica – Régimen aplicable / UNIVERSIDADES PÚBLICAS – Aplicación de la Ley de garantías</w:t>
            </w:r>
          </w:p>
          <w:p w14:paraId="693FFEEE" w14:textId="7CB32699" w:rsidR="00223F8E" w:rsidRPr="008F6D7D" w:rsidRDefault="00223F8E" w:rsidP="00E87DBA">
            <w:pPr>
              <w:spacing w:line="276" w:lineRule="auto"/>
              <w:jc w:val="both"/>
              <w:rPr>
                <w:rFonts w:ascii="Verdana" w:eastAsia="Calibri" w:hAnsi="Verdana" w:cs="Arial"/>
                <w:lang w:val="es-ES" w:eastAsia="es-ES"/>
              </w:rPr>
            </w:pPr>
          </w:p>
        </w:tc>
      </w:tr>
      <w:tr w:rsidR="0055038B" w:rsidRPr="005C170B" w14:paraId="4985FDFF" w14:textId="77777777" w:rsidTr="003114C5">
        <w:trPr>
          <w:trHeight w:val="242"/>
        </w:trPr>
        <w:tc>
          <w:tcPr>
            <w:tcW w:w="2689" w:type="dxa"/>
          </w:tcPr>
          <w:p w14:paraId="13767940" w14:textId="77777777" w:rsidR="0055038B" w:rsidRPr="005C170B" w:rsidRDefault="0055038B" w:rsidP="00BA05D4">
            <w:pPr>
              <w:jc w:val="both"/>
              <w:rPr>
                <w:rFonts w:ascii="Verdana" w:eastAsia="Calibri" w:hAnsi="Verdana" w:cs="Arial"/>
                <w:b/>
                <w:lang w:val="es-ES_tradnl" w:eastAsia="es-ES_tradnl"/>
              </w:rPr>
            </w:pPr>
            <w:r w:rsidRPr="005C170B">
              <w:rPr>
                <w:rFonts w:ascii="Verdana" w:eastAsia="Calibri" w:hAnsi="Verdana" w:cs="Arial"/>
                <w:b/>
                <w:lang w:val="es-ES_tradnl" w:eastAsia="es-ES_tradnl"/>
              </w:rPr>
              <w:t>Radicación:</w:t>
            </w:r>
            <w:r w:rsidRPr="005C170B">
              <w:rPr>
                <w:rFonts w:ascii="Verdana" w:eastAsia="Calibri" w:hAnsi="Verdana" w:cs="Arial"/>
                <w:lang w:val="es-ES_tradnl" w:eastAsia="es-ES_tradnl"/>
              </w:rPr>
              <w:t xml:space="preserve">               </w:t>
            </w:r>
          </w:p>
        </w:tc>
        <w:tc>
          <w:tcPr>
            <w:tcW w:w="6100" w:type="dxa"/>
          </w:tcPr>
          <w:p w14:paraId="43164C9D" w14:textId="127FE666" w:rsidR="0055038B" w:rsidRPr="005C170B" w:rsidRDefault="0055038B" w:rsidP="00BA05D4">
            <w:pPr>
              <w:jc w:val="both"/>
              <w:rPr>
                <w:rFonts w:ascii="Verdana" w:eastAsia="Calibri" w:hAnsi="Verdana" w:cs="Arial"/>
                <w:lang w:val="es-ES_tradnl" w:eastAsia="es-ES_tradnl"/>
              </w:rPr>
            </w:pPr>
            <w:r w:rsidRPr="005C170B">
              <w:rPr>
                <w:rFonts w:ascii="Verdana" w:eastAsia="Calibri" w:hAnsi="Verdana" w:cs="Arial"/>
                <w:lang w:val="es-ES_tradnl" w:eastAsia="es-ES_tradnl"/>
              </w:rPr>
              <w:t>Respuesta a consulta con radicado No.</w:t>
            </w:r>
            <w:r w:rsidR="007E0913" w:rsidRPr="005C170B">
              <w:rPr>
                <w:rFonts w:ascii="Verdana" w:eastAsia="Calibri" w:hAnsi="Verdana" w:cs="Arial"/>
                <w:lang w:val="es-ES_tradnl" w:eastAsia="es-ES_tradnl"/>
              </w:rPr>
              <w:t xml:space="preserve"> </w:t>
            </w:r>
            <w:r w:rsidR="00C870A1" w:rsidRPr="00C870A1">
              <w:rPr>
                <w:rFonts w:ascii="Verdana" w:eastAsia="Calibri" w:hAnsi="Verdana" w:cs="Arial"/>
                <w:lang w:eastAsia="es-ES_tradnl"/>
              </w:rPr>
              <w:t>1_2026_04_24_005642</w:t>
            </w:r>
          </w:p>
        </w:tc>
      </w:tr>
    </w:tbl>
    <w:p w14:paraId="346E0D1C" w14:textId="77777777" w:rsidR="0055038B" w:rsidRPr="005C170B" w:rsidRDefault="0055038B" w:rsidP="0055038B">
      <w:pPr>
        <w:spacing w:after="0" w:line="240" w:lineRule="auto"/>
        <w:jc w:val="both"/>
        <w:rPr>
          <w:rFonts w:ascii="Verdana" w:eastAsia="Calibri" w:hAnsi="Verdana" w:cs="Arial"/>
          <w:lang w:val="es-ES_tradnl" w:eastAsia="es-ES_tradnl"/>
        </w:rPr>
      </w:pPr>
    </w:p>
    <w:p w14:paraId="7CF9AD1B" w14:textId="77777777" w:rsidR="0055038B" w:rsidRPr="005C170B" w:rsidRDefault="0055038B" w:rsidP="0055038B">
      <w:pPr>
        <w:spacing w:after="0" w:line="240" w:lineRule="auto"/>
        <w:jc w:val="both"/>
        <w:rPr>
          <w:rFonts w:ascii="Verdana" w:eastAsia="Calibri" w:hAnsi="Verdana" w:cs="Arial"/>
          <w:color w:val="000000"/>
          <w:lang w:val="es-ES_tradnl" w:eastAsia="es-ES_tradnl"/>
        </w:rPr>
      </w:pPr>
    </w:p>
    <w:p w14:paraId="7EE2802E" w14:textId="490B508C" w:rsidR="0055038B" w:rsidRPr="005C170B" w:rsidRDefault="0055038B" w:rsidP="00B05EB8">
      <w:pPr>
        <w:spacing w:after="0" w:line="276" w:lineRule="auto"/>
        <w:jc w:val="both"/>
        <w:rPr>
          <w:rFonts w:ascii="Verdana" w:eastAsia="Calibri" w:hAnsi="Verdana" w:cs="Arial"/>
          <w:color w:val="000000" w:themeColor="text1"/>
          <w:lang w:val="es-ES" w:eastAsia="es-ES"/>
        </w:rPr>
      </w:pPr>
      <w:r w:rsidRPr="005C170B">
        <w:rPr>
          <w:rFonts w:ascii="Verdana" w:eastAsia="Calibri" w:hAnsi="Verdana" w:cs="Arial"/>
          <w:color w:val="000000" w:themeColor="text1"/>
          <w:lang w:val="es-ES" w:eastAsia="es-ES"/>
        </w:rPr>
        <w:t>Estimado</w:t>
      </w:r>
      <w:r w:rsidR="00B05EB8" w:rsidRPr="005C170B">
        <w:rPr>
          <w:rFonts w:ascii="Verdana" w:eastAsia="Calibri" w:hAnsi="Verdana" w:cs="Arial"/>
          <w:color w:val="000000" w:themeColor="text1"/>
          <w:lang w:val="es-ES" w:eastAsia="es-ES"/>
        </w:rPr>
        <w:t xml:space="preserve"> </w:t>
      </w:r>
      <w:r w:rsidR="00420E3F">
        <w:rPr>
          <w:rFonts w:ascii="Verdana" w:eastAsia="Calibri" w:hAnsi="Verdana" w:cs="Arial"/>
          <w:color w:val="000000" w:themeColor="text1"/>
          <w:lang w:val="es-ES" w:eastAsia="es-ES"/>
        </w:rPr>
        <w:t>Señor Garcés</w:t>
      </w:r>
      <w:r w:rsidR="005F40F3" w:rsidRPr="005C170B">
        <w:rPr>
          <w:rFonts w:ascii="Verdana" w:eastAsia="Calibri" w:hAnsi="Verdana" w:cs="Arial"/>
          <w:color w:val="000000" w:themeColor="text1"/>
          <w:lang w:val="es-ES" w:eastAsia="es-ES"/>
        </w:rPr>
        <w:t xml:space="preserve"> </w:t>
      </w:r>
      <w:r w:rsidR="00420E3F">
        <w:rPr>
          <w:rFonts w:ascii="Verdana" w:eastAsia="Calibri" w:hAnsi="Verdana" w:cs="Arial"/>
          <w:color w:val="000000" w:themeColor="text1"/>
          <w:lang w:val="es-ES" w:eastAsia="es-ES"/>
        </w:rPr>
        <w:t>Laiton,</w:t>
      </w:r>
      <w:r w:rsidR="00B05EB8" w:rsidRPr="005C170B">
        <w:rPr>
          <w:rFonts w:ascii="Verdana" w:eastAsia="Calibri" w:hAnsi="Verdana" w:cs="Arial"/>
          <w:color w:val="000000" w:themeColor="text1"/>
          <w:lang w:val="es-ES" w:eastAsia="es-ES"/>
        </w:rPr>
        <w:t xml:space="preserve"> cordial saludo, </w:t>
      </w:r>
    </w:p>
    <w:p w14:paraId="42DEB4CE" w14:textId="77777777" w:rsidR="00B05EB8" w:rsidRPr="005C170B" w:rsidRDefault="00B05EB8" w:rsidP="00B05EB8">
      <w:pPr>
        <w:spacing w:after="0" w:line="276" w:lineRule="auto"/>
        <w:jc w:val="both"/>
        <w:rPr>
          <w:rFonts w:ascii="Verdana" w:eastAsia="Calibri" w:hAnsi="Verdana" w:cs="Arial"/>
          <w:color w:val="000000" w:themeColor="text1"/>
          <w:lang w:val="es-ES" w:eastAsia="es-ES"/>
        </w:rPr>
      </w:pPr>
    </w:p>
    <w:p w14:paraId="525C5BD9" w14:textId="000EF01C" w:rsidR="0055038B" w:rsidRPr="005C170B" w:rsidRDefault="0055038B" w:rsidP="0055038B">
      <w:pPr>
        <w:spacing w:after="0" w:line="276" w:lineRule="auto"/>
        <w:jc w:val="both"/>
        <w:rPr>
          <w:rFonts w:ascii="Verdana" w:eastAsia="Calibri" w:hAnsi="Verdana" w:cs="Arial"/>
          <w:color w:val="7030A0"/>
          <w:lang w:val="es-ES" w:eastAsia="es-ES"/>
        </w:rPr>
      </w:pPr>
      <w:r w:rsidRPr="005C170B">
        <w:rPr>
          <w:rFonts w:ascii="Verdana" w:eastAsia="Calibri" w:hAnsi="Verdana" w:cs="Arial"/>
          <w:color w:val="000000" w:themeColor="text1"/>
          <w:lang w:val="es-ES" w:eastAsia="es-ES"/>
        </w:rPr>
        <w:t>En ejercicio de la competencia otorgada por los artículos 3, numeral 5º, y 11, numeral 8º, del Decreto Ley 4170 de 2011,</w:t>
      </w:r>
      <w:r w:rsidRPr="005C170B">
        <w:rPr>
          <w:rFonts w:ascii="Verdana" w:eastAsia="Arial MT" w:hAnsi="Verdana" w:cs="Arial MT"/>
          <w:lang w:val="es-ES" w:eastAsia="es-ES"/>
        </w:rPr>
        <w:t xml:space="preserve"> </w:t>
      </w:r>
      <w:r w:rsidRPr="005C170B">
        <w:rPr>
          <w:rFonts w:ascii="Verdana" w:hAnsi="Verdana" w:cs="Arial"/>
        </w:rPr>
        <w:t xml:space="preserve">así como lo establecido la </w:t>
      </w:r>
      <w:r w:rsidRPr="005C170B">
        <w:rPr>
          <w:rFonts w:ascii="Verdana" w:eastAsia="Verdana" w:hAnsi="Verdana" w:cs="Verdana"/>
          <w:color w:val="000000" w:themeColor="text1"/>
        </w:rPr>
        <w:t>Resolución 469 de 2025</w:t>
      </w:r>
      <w:r w:rsidRPr="005C170B">
        <w:rPr>
          <w:rFonts w:ascii="Verdana" w:hAnsi="Verdana" w:cs="Arial"/>
        </w:rPr>
        <w:t xml:space="preserve"> expedida por esta Entidad, </w:t>
      </w:r>
      <w:r w:rsidRPr="005C170B">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387599" w:rsidRPr="005C170B">
        <w:rPr>
          <w:rFonts w:ascii="Verdana" w:eastAsia="Calibri" w:hAnsi="Verdana" w:cs="Arial"/>
          <w:lang w:val="es-ES" w:eastAsia="es-ES"/>
        </w:rPr>
        <w:t>2</w:t>
      </w:r>
      <w:r w:rsidR="00D074BC">
        <w:rPr>
          <w:rFonts w:ascii="Verdana" w:eastAsia="Calibri" w:hAnsi="Verdana" w:cs="Arial"/>
          <w:lang w:val="es-ES" w:eastAsia="es-ES"/>
        </w:rPr>
        <w:t>4</w:t>
      </w:r>
      <w:r w:rsidR="001528A7" w:rsidRPr="005C170B">
        <w:rPr>
          <w:rFonts w:ascii="Verdana" w:eastAsia="Calibri" w:hAnsi="Verdana" w:cs="Arial"/>
          <w:lang w:val="es-ES" w:eastAsia="es-ES"/>
        </w:rPr>
        <w:t xml:space="preserve"> de abril</w:t>
      </w:r>
      <w:r w:rsidRPr="005C170B">
        <w:rPr>
          <w:rFonts w:ascii="Verdana" w:eastAsia="Calibri" w:hAnsi="Verdana" w:cs="Arial"/>
          <w:lang w:val="es-ES" w:eastAsia="es-ES"/>
        </w:rPr>
        <w:t xml:space="preserve"> de 2026, en la cual manifiesta lo siguiente: </w:t>
      </w:r>
    </w:p>
    <w:p w14:paraId="3C3C667A" w14:textId="77777777" w:rsidR="0055038B" w:rsidRPr="005C170B" w:rsidRDefault="0055038B" w:rsidP="0055038B">
      <w:pPr>
        <w:pStyle w:val="Prrafodelista"/>
        <w:tabs>
          <w:tab w:val="left" w:pos="142"/>
          <w:tab w:val="left" w:pos="284"/>
        </w:tabs>
        <w:spacing w:line="276" w:lineRule="auto"/>
        <w:ind w:left="0"/>
        <w:jc w:val="both"/>
        <w:rPr>
          <w:rFonts w:ascii="Verdana" w:eastAsia="Century Gothic" w:hAnsi="Verdana" w:cs="Century Gothic"/>
          <w:b/>
          <w:bCs/>
          <w:i/>
          <w:iCs/>
        </w:rPr>
      </w:pPr>
    </w:p>
    <w:p w14:paraId="7BCAA9CE" w14:textId="77777777" w:rsidR="00D42FCA" w:rsidRDefault="008E12DA" w:rsidP="00D42FCA">
      <w:pPr>
        <w:pStyle w:val="Prrafodelista"/>
        <w:spacing w:after="0" w:line="240" w:lineRule="auto"/>
        <w:ind w:left="1069" w:right="709"/>
        <w:jc w:val="both"/>
        <w:rPr>
          <w:rFonts w:ascii="Verdana" w:eastAsia="Century Gothic" w:hAnsi="Verdana" w:cs="Century Gothic"/>
          <w:i/>
          <w:iCs/>
          <w:sz w:val="20"/>
          <w:szCs w:val="20"/>
        </w:rPr>
      </w:pPr>
      <w:r w:rsidRPr="005C170B">
        <w:rPr>
          <w:rFonts w:ascii="Verdana" w:eastAsia="Century Gothic" w:hAnsi="Verdana" w:cs="Century Gothic"/>
          <w:i/>
          <w:iCs/>
          <w:sz w:val="20"/>
          <w:szCs w:val="20"/>
        </w:rPr>
        <w:t>“</w:t>
      </w:r>
      <w:r w:rsidR="00874DBA" w:rsidRPr="005C170B">
        <w:rPr>
          <w:rFonts w:ascii="Verdana" w:eastAsia="Century Gothic" w:hAnsi="Verdana" w:cs="Century Gothic"/>
          <w:i/>
          <w:iCs/>
          <w:sz w:val="20"/>
          <w:szCs w:val="20"/>
        </w:rPr>
        <w:t>Cordial saludo,</w:t>
      </w:r>
    </w:p>
    <w:p w14:paraId="25A58D3D" w14:textId="77777777" w:rsidR="00D42FCA" w:rsidRDefault="00D42FCA" w:rsidP="00D42FCA">
      <w:pPr>
        <w:pStyle w:val="Prrafodelista"/>
        <w:spacing w:after="0" w:line="240" w:lineRule="auto"/>
        <w:ind w:left="1069" w:right="709"/>
        <w:jc w:val="both"/>
        <w:rPr>
          <w:rFonts w:ascii="Verdana" w:eastAsia="Century Gothic" w:hAnsi="Verdana" w:cs="Century Gothic"/>
          <w:i/>
          <w:iCs/>
          <w:sz w:val="20"/>
          <w:szCs w:val="20"/>
        </w:rPr>
      </w:pPr>
      <w:r w:rsidRPr="00D42FCA">
        <w:rPr>
          <w:rFonts w:ascii="Verdana" w:eastAsia="Century Gothic" w:hAnsi="Verdana" w:cs="Century Gothic"/>
          <w:i/>
          <w:iCs/>
          <w:sz w:val="20"/>
          <w:szCs w:val="20"/>
        </w:rPr>
        <w:t>Hola, quisiera consultar lo siguiente.</w:t>
      </w:r>
    </w:p>
    <w:p w14:paraId="7C269DBC" w14:textId="77777777" w:rsidR="005421BA" w:rsidRDefault="00D42FCA" w:rsidP="005421BA">
      <w:pPr>
        <w:pStyle w:val="Prrafodelista"/>
        <w:spacing w:after="0" w:line="240" w:lineRule="auto"/>
        <w:ind w:left="1069" w:right="709"/>
        <w:jc w:val="both"/>
        <w:rPr>
          <w:rFonts w:ascii="Verdana" w:eastAsia="Century Gothic" w:hAnsi="Verdana" w:cs="Century Gothic"/>
          <w:i/>
          <w:iCs/>
          <w:sz w:val="20"/>
          <w:szCs w:val="20"/>
        </w:rPr>
      </w:pPr>
      <w:r w:rsidRPr="00D42FCA">
        <w:rPr>
          <w:rFonts w:ascii="Verdana" w:eastAsia="Century Gothic" w:hAnsi="Verdana" w:cs="Century Gothic"/>
          <w:i/>
          <w:iCs/>
          <w:sz w:val="20"/>
          <w:szCs w:val="20"/>
        </w:rPr>
        <w:t>Teniendo en cuenta el periodo de ley de garantias, me surge la</w:t>
      </w:r>
      <w:r>
        <w:rPr>
          <w:rFonts w:ascii="Verdana" w:eastAsia="Century Gothic" w:hAnsi="Verdana" w:cs="Century Gothic"/>
          <w:i/>
          <w:iCs/>
          <w:sz w:val="20"/>
          <w:szCs w:val="20"/>
        </w:rPr>
        <w:t xml:space="preserve"> </w:t>
      </w:r>
      <w:r w:rsidRPr="00D42FCA">
        <w:rPr>
          <w:rFonts w:ascii="Verdana" w:eastAsia="Century Gothic" w:hAnsi="Verdana" w:cs="Century Gothic"/>
          <w:i/>
          <w:iCs/>
          <w:sz w:val="20"/>
          <w:szCs w:val="20"/>
        </w:rPr>
        <w:t>duda de lo siguiente.</w:t>
      </w:r>
    </w:p>
    <w:p w14:paraId="77687496" w14:textId="77777777" w:rsidR="005421BA" w:rsidRDefault="00D42FCA" w:rsidP="005421BA">
      <w:pPr>
        <w:pStyle w:val="Prrafodelista"/>
        <w:spacing w:after="0" w:line="240" w:lineRule="auto"/>
        <w:ind w:left="1069" w:right="709"/>
        <w:jc w:val="both"/>
        <w:rPr>
          <w:rFonts w:ascii="Verdana" w:eastAsia="Century Gothic" w:hAnsi="Verdana" w:cs="Century Gothic"/>
          <w:i/>
          <w:iCs/>
          <w:sz w:val="20"/>
          <w:szCs w:val="20"/>
        </w:rPr>
      </w:pPr>
      <w:r w:rsidRPr="00D42FCA">
        <w:rPr>
          <w:rFonts w:ascii="Verdana" w:eastAsia="Century Gothic" w:hAnsi="Verdana" w:cs="Century Gothic"/>
          <w:i/>
          <w:iCs/>
          <w:sz w:val="20"/>
          <w:szCs w:val="20"/>
        </w:rPr>
        <w:t>Las universidades publicas pueden celebrar convenio con una</w:t>
      </w:r>
      <w:r w:rsidR="005421BA">
        <w:rPr>
          <w:rFonts w:ascii="Verdana" w:eastAsia="Century Gothic" w:hAnsi="Verdana" w:cs="Century Gothic"/>
          <w:i/>
          <w:iCs/>
          <w:sz w:val="20"/>
          <w:szCs w:val="20"/>
        </w:rPr>
        <w:t xml:space="preserve"> </w:t>
      </w:r>
      <w:r w:rsidRPr="00D42FCA">
        <w:rPr>
          <w:rFonts w:ascii="Verdana" w:eastAsia="Century Gothic" w:hAnsi="Verdana" w:cs="Century Gothic"/>
          <w:i/>
          <w:iCs/>
          <w:sz w:val="20"/>
          <w:szCs w:val="20"/>
        </w:rPr>
        <w:t>empresa del sector privado SAS, durante la ley de garantias.</w:t>
      </w:r>
    </w:p>
    <w:p w14:paraId="29C9CBDC" w14:textId="77777777" w:rsidR="005421BA" w:rsidRDefault="00D42FCA" w:rsidP="005421BA">
      <w:pPr>
        <w:pStyle w:val="Prrafodelista"/>
        <w:spacing w:after="0" w:line="240" w:lineRule="auto"/>
        <w:ind w:left="1069" w:right="709"/>
        <w:jc w:val="both"/>
        <w:rPr>
          <w:rFonts w:ascii="Verdana" w:eastAsia="Century Gothic" w:hAnsi="Verdana" w:cs="Century Gothic"/>
          <w:i/>
          <w:iCs/>
          <w:sz w:val="20"/>
          <w:szCs w:val="20"/>
        </w:rPr>
      </w:pPr>
      <w:r w:rsidRPr="00D42FCA">
        <w:rPr>
          <w:rFonts w:ascii="Verdana" w:eastAsia="Century Gothic" w:hAnsi="Verdana" w:cs="Century Gothic"/>
          <w:i/>
          <w:iCs/>
          <w:sz w:val="20"/>
          <w:szCs w:val="20"/>
        </w:rPr>
        <w:lastRenderedPageBreak/>
        <w:t>En el convenio las partes daran recursos en especie (Personal</w:t>
      </w:r>
      <w:r w:rsidR="005421BA">
        <w:rPr>
          <w:rFonts w:ascii="Verdana" w:eastAsia="Century Gothic" w:hAnsi="Verdana" w:cs="Century Gothic"/>
          <w:i/>
          <w:iCs/>
          <w:sz w:val="20"/>
          <w:szCs w:val="20"/>
        </w:rPr>
        <w:t xml:space="preserve"> </w:t>
      </w:r>
      <w:r w:rsidRPr="00D42FCA">
        <w:rPr>
          <w:rFonts w:ascii="Verdana" w:eastAsia="Century Gothic" w:hAnsi="Verdana" w:cs="Century Gothic"/>
          <w:i/>
          <w:iCs/>
          <w:sz w:val="20"/>
          <w:szCs w:val="20"/>
        </w:rPr>
        <w:t xml:space="preserve">humano, maquinarias, entre otros) es decir, ambas partes </w:t>
      </w:r>
      <w:r w:rsidR="005421BA">
        <w:rPr>
          <w:rFonts w:ascii="Verdana" w:eastAsia="Century Gothic" w:hAnsi="Verdana" w:cs="Century Gothic"/>
          <w:i/>
          <w:iCs/>
          <w:sz w:val="20"/>
          <w:szCs w:val="20"/>
        </w:rPr>
        <w:t xml:space="preserve">harán </w:t>
      </w:r>
      <w:r w:rsidRPr="00D42FCA">
        <w:rPr>
          <w:rFonts w:ascii="Verdana" w:eastAsia="Century Gothic" w:hAnsi="Verdana" w:cs="Century Gothic"/>
          <w:i/>
          <w:iCs/>
          <w:sz w:val="20"/>
          <w:szCs w:val="20"/>
        </w:rPr>
        <w:t>esos aportes.</w:t>
      </w:r>
    </w:p>
    <w:p w14:paraId="64BA15E0" w14:textId="27252748" w:rsidR="00B25313" w:rsidRPr="005C170B" w:rsidRDefault="00D42FCA" w:rsidP="005421BA">
      <w:pPr>
        <w:pStyle w:val="Prrafodelista"/>
        <w:spacing w:after="0" w:line="240" w:lineRule="auto"/>
        <w:ind w:left="1069" w:right="709"/>
        <w:jc w:val="both"/>
        <w:rPr>
          <w:rFonts w:ascii="Verdana" w:eastAsia="Century Gothic" w:hAnsi="Verdana" w:cs="Century Gothic"/>
          <w:i/>
          <w:iCs/>
          <w:sz w:val="20"/>
          <w:szCs w:val="20"/>
        </w:rPr>
      </w:pPr>
      <w:r w:rsidRPr="00D42FCA">
        <w:rPr>
          <w:rFonts w:ascii="Verdana" w:eastAsia="Century Gothic" w:hAnsi="Verdana" w:cs="Century Gothic"/>
          <w:i/>
          <w:iCs/>
          <w:sz w:val="20"/>
          <w:szCs w:val="20"/>
        </w:rPr>
        <w:t>Lo anterior, teniendo en cuenta que es importante precisar que</w:t>
      </w:r>
      <w:r w:rsidR="005421BA">
        <w:rPr>
          <w:rFonts w:ascii="Verdana" w:eastAsia="Century Gothic" w:hAnsi="Verdana" w:cs="Century Gothic"/>
          <w:i/>
          <w:iCs/>
          <w:sz w:val="20"/>
          <w:szCs w:val="20"/>
        </w:rPr>
        <w:t xml:space="preserve"> </w:t>
      </w:r>
      <w:r w:rsidRPr="005421BA">
        <w:rPr>
          <w:rFonts w:ascii="Verdana" w:eastAsia="Century Gothic" w:hAnsi="Verdana" w:cs="Century Gothic"/>
          <w:i/>
          <w:iCs/>
          <w:sz w:val="20"/>
          <w:szCs w:val="20"/>
        </w:rPr>
        <w:t>tipo de convenios se pueden hacer y si el que se pretend</w:t>
      </w:r>
      <w:r w:rsidR="005421BA">
        <w:rPr>
          <w:rFonts w:ascii="Verdana" w:eastAsia="Century Gothic" w:hAnsi="Verdana" w:cs="Century Gothic"/>
          <w:i/>
          <w:iCs/>
          <w:sz w:val="20"/>
          <w:szCs w:val="20"/>
        </w:rPr>
        <w:t xml:space="preserve">e </w:t>
      </w:r>
      <w:r w:rsidRPr="00D42FCA">
        <w:rPr>
          <w:rFonts w:ascii="Verdana" w:eastAsia="Century Gothic" w:hAnsi="Verdana" w:cs="Century Gothic"/>
          <w:i/>
          <w:iCs/>
          <w:sz w:val="20"/>
          <w:szCs w:val="20"/>
        </w:rPr>
        <w:t>realizar esta prohibido por ley de garantías.</w:t>
      </w:r>
      <w:r w:rsidR="005421BA">
        <w:rPr>
          <w:rFonts w:ascii="Verdana" w:eastAsia="Century Gothic" w:hAnsi="Verdana" w:cs="Century Gothic"/>
          <w:i/>
          <w:iCs/>
          <w:sz w:val="20"/>
          <w:szCs w:val="20"/>
        </w:rPr>
        <w:t>”</w:t>
      </w:r>
    </w:p>
    <w:p w14:paraId="66F0FF69" w14:textId="77777777" w:rsidR="0055038B" w:rsidRPr="005C170B" w:rsidRDefault="0055038B" w:rsidP="0055038B">
      <w:pPr>
        <w:spacing w:after="120" w:line="276" w:lineRule="auto"/>
        <w:ind w:firstLine="709"/>
        <w:jc w:val="both"/>
        <w:rPr>
          <w:rFonts w:ascii="Verdana" w:eastAsia="Calibri" w:hAnsi="Verdana" w:cs="Arial"/>
          <w:color w:val="000000"/>
          <w:szCs w:val="24"/>
          <w:lang w:val="es-ES_tradnl" w:eastAsia="es-ES_tradnl"/>
        </w:rPr>
      </w:pPr>
      <w:r w:rsidRPr="005C170B">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C170B">
        <w:rPr>
          <w:rFonts w:ascii="Verdana" w:eastAsia="Calibri" w:hAnsi="Verdana" w:cs="Arial"/>
          <w:color w:val="000000"/>
          <w:szCs w:val="24"/>
          <w:lang w:val="es-ES_tradnl" w:eastAsia="es-ES_tradnl"/>
        </w:rPr>
        <w:tab/>
      </w:r>
    </w:p>
    <w:p w14:paraId="0D73DF94" w14:textId="5DCA9F55" w:rsidR="00C72866" w:rsidRPr="005C170B" w:rsidRDefault="0055038B" w:rsidP="00565522">
      <w:pPr>
        <w:spacing w:after="0" w:line="276" w:lineRule="auto"/>
        <w:ind w:firstLine="709"/>
        <w:jc w:val="both"/>
        <w:rPr>
          <w:rFonts w:ascii="Verdana" w:eastAsia="Calibri" w:hAnsi="Verdana" w:cs="Arial"/>
          <w:color w:val="000000"/>
          <w:lang w:val="es-ES" w:eastAsia="es-ES"/>
        </w:rPr>
      </w:pPr>
      <w:r w:rsidRPr="005C170B">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w:t>
      </w:r>
      <w:r w:rsidRPr="005C170B">
        <w:rPr>
          <w:rFonts w:ascii="Verdana" w:eastAsia="Calibri" w:hAnsi="Verdana" w:cs="Arial"/>
          <w:lang w:val="es-ES" w:eastAsia="es-ES"/>
        </w:rPr>
        <w:t xml:space="preserve">el problema </w:t>
      </w:r>
      <w:r w:rsidRPr="005C170B">
        <w:rPr>
          <w:rFonts w:ascii="Verdana" w:eastAsia="Calibri" w:hAnsi="Verdana" w:cs="Arial"/>
          <w:color w:val="000000"/>
          <w:lang w:val="es-ES" w:eastAsia="es-ES"/>
        </w:rPr>
        <w:t xml:space="preserve">jurídico de su consulta. </w:t>
      </w:r>
    </w:p>
    <w:p w14:paraId="7BB6C2A8" w14:textId="77777777" w:rsidR="00C44BB4" w:rsidRPr="005C170B" w:rsidRDefault="00C44BB4" w:rsidP="00565522">
      <w:pPr>
        <w:spacing w:after="0" w:line="276" w:lineRule="auto"/>
        <w:ind w:firstLine="709"/>
        <w:jc w:val="both"/>
        <w:rPr>
          <w:rFonts w:ascii="Verdana" w:eastAsia="Calibri" w:hAnsi="Verdana" w:cs="Arial"/>
          <w:color w:val="000000"/>
          <w:lang w:val="es-ES" w:eastAsia="es-ES"/>
        </w:rPr>
      </w:pPr>
    </w:p>
    <w:p w14:paraId="7D7504A0" w14:textId="367D1BAA" w:rsidR="0055038B" w:rsidRPr="005C170B" w:rsidRDefault="0055038B" w:rsidP="00B303E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C170B">
        <w:rPr>
          <w:rFonts w:ascii="Verdana" w:eastAsia="Century Gothic" w:hAnsi="Verdana" w:cs="Century Gothic"/>
          <w:b/>
          <w:bCs/>
        </w:rPr>
        <w:t>Problema planteado:</w:t>
      </w:r>
    </w:p>
    <w:p w14:paraId="72478C41" w14:textId="77777777" w:rsidR="00B303EB" w:rsidRPr="005C170B" w:rsidRDefault="00B303EB" w:rsidP="00B303EB">
      <w:pPr>
        <w:spacing w:after="0" w:line="276" w:lineRule="auto"/>
        <w:ind w:firstLine="709"/>
        <w:jc w:val="both"/>
        <w:rPr>
          <w:rFonts w:ascii="Verdana" w:eastAsia="Century Gothic" w:hAnsi="Verdana" w:cs="Century Gothic"/>
        </w:rPr>
      </w:pPr>
    </w:p>
    <w:p w14:paraId="30E1A889" w14:textId="6394B556" w:rsidR="00F24E31" w:rsidRPr="005C170B" w:rsidRDefault="0055038B" w:rsidP="00B303EB">
      <w:pPr>
        <w:spacing w:after="0" w:line="276" w:lineRule="auto"/>
        <w:ind w:firstLine="709"/>
        <w:jc w:val="both"/>
        <w:rPr>
          <w:rFonts w:ascii="Verdana" w:eastAsia="Century Gothic" w:hAnsi="Verdana" w:cs="Century Gothic"/>
        </w:rPr>
      </w:pPr>
      <w:r w:rsidRPr="005C170B">
        <w:rPr>
          <w:rFonts w:ascii="Verdana" w:eastAsia="Century Gothic" w:hAnsi="Verdana" w:cs="Century Gothic"/>
        </w:rPr>
        <w:t xml:space="preserve">De acuerdo con el contenido de su solicitud, esta Agencia </w:t>
      </w:r>
      <w:r w:rsidR="006C6FEF" w:rsidRPr="005C170B">
        <w:rPr>
          <w:rFonts w:ascii="Verdana" w:eastAsia="Century Gothic" w:hAnsi="Verdana" w:cs="Century Gothic"/>
        </w:rPr>
        <w:t>el siguiente problema jurídico:</w:t>
      </w:r>
      <w:r w:rsidR="009B33BB" w:rsidRPr="005C170B">
        <w:rPr>
          <w:rFonts w:ascii="Verdana" w:eastAsia="Century Gothic" w:hAnsi="Verdana" w:cs="Century Gothic"/>
        </w:rPr>
        <w:t xml:space="preserve"> ¿Es jurídicamente procedente</w:t>
      </w:r>
      <w:r w:rsidR="00036F90" w:rsidRPr="005C170B">
        <w:rPr>
          <w:rFonts w:ascii="Verdana" w:eastAsia="Century Gothic" w:hAnsi="Verdana" w:cs="Century Gothic"/>
        </w:rPr>
        <w:t xml:space="preserve"> que las Universidades Públicas </w:t>
      </w:r>
      <w:r w:rsidR="00B303EB" w:rsidRPr="005C170B">
        <w:rPr>
          <w:rFonts w:ascii="Verdana" w:eastAsia="Century Gothic" w:hAnsi="Verdana" w:cs="Century Gothic"/>
        </w:rPr>
        <w:t xml:space="preserve">suscriban </w:t>
      </w:r>
      <w:r w:rsidR="00CF0D25">
        <w:rPr>
          <w:rFonts w:ascii="Verdana" w:eastAsia="Century Gothic" w:hAnsi="Verdana" w:cs="Century Gothic"/>
        </w:rPr>
        <w:t>convenios administrativos con empresas privadas durante la vigencia de la Ley de Garantías Electorales</w:t>
      </w:r>
      <w:r w:rsidR="00B303EB" w:rsidRPr="005C170B">
        <w:rPr>
          <w:rFonts w:ascii="Verdana" w:eastAsia="Century Gothic" w:hAnsi="Verdana" w:cs="Century Gothic"/>
        </w:rPr>
        <w:t>?</w:t>
      </w:r>
      <w:r w:rsidR="00A72F73" w:rsidRPr="005C170B">
        <w:rPr>
          <w:rFonts w:ascii="Verdana" w:eastAsia="Century Gothic" w:hAnsi="Verdana" w:cs="Century Gothic"/>
        </w:rPr>
        <w:t xml:space="preserve"> </w:t>
      </w:r>
    </w:p>
    <w:p w14:paraId="55B79B6B" w14:textId="77777777" w:rsidR="0055038B" w:rsidRPr="005C170B" w:rsidRDefault="0055038B" w:rsidP="0055038B">
      <w:pPr>
        <w:spacing w:after="0" w:line="276" w:lineRule="auto"/>
        <w:jc w:val="both"/>
        <w:rPr>
          <w:rFonts w:ascii="Verdana" w:eastAsia="Century Gothic" w:hAnsi="Verdana" w:cs="Century Gothic"/>
        </w:rPr>
      </w:pPr>
    </w:p>
    <w:p w14:paraId="7FD22A4A" w14:textId="77777777" w:rsidR="0055038B" w:rsidRPr="005C170B"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Respuesta:</w:t>
      </w:r>
    </w:p>
    <w:p w14:paraId="3CAD5198" w14:textId="77777777" w:rsidR="0055038B" w:rsidRPr="005C170B" w:rsidRDefault="0055038B" w:rsidP="0055038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5038B" w:rsidRPr="005C170B" w14:paraId="5EFAEA62" w14:textId="77777777" w:rsidTr="00BA05D4">
        <w:tc>
          <w:tcPr>
            <w:tcW w:w="8828" w:type="dxa"/>
          </w:tcPr>
          <w:p w14:paraId="09EE6AB8" w14:textId="58727089" w:rsidR="0045690C" w:rsidRPr="005C170B" w:rsidRDefault="00590896" w:rsidP="00154999">
            <w:pPr>
              <w:spacing w:after="160" w:line="278" w:lineRule="auto"/>
              <w:jc w:val="both"/>
              <w:rPr>
                <w:rFonts w:ascii="Verdana" w:hAnsi="Verdana"/>
              </w:rPr>
            </w:pPr>
            <w:r w:rsidRPr="005C170B">
              <w:rPr>
                <w:rFonts w:ascii="Verdana" w:hAnsi="Verdana"/>
              </w:rPr>
              <w:t>Conforme a la interpretación general de las normas del sistema de compras públicas, el artículo 33 de la Ley 996 de 2005 prohíbe “[…] la contratación directa por parte de todos los entes del Estado” durante los cuatro (4) meses anteriores a las elecciones presidenciales, salvo</w:t>
            </w:r>
            <w:r w:rsidR="0077000C" w:rsidRPr="005C170B">
              <w:rPr>
                <w:rFonts w:ascii="Verdana" w:hAnsi="Verdana"/>
              </w:rPr>
              <w:t xml:space="preserve"> i)</w:t>
            </w:r>
            <w:r w:rsidRPr="005C170B">
              <w:rPr>
                <w:rFonts w:ascii="Verdana" w:hAnsi="Verdana"/>
              </w:rPr>
              <w:t xml:space="preserve"> lo referente a la defensa y </w:t>
            </w:r>
            <w:r w:rsidRPr="005C170B">
              <w:rPr>
                <w:rFonts w:ascii="Verdana" w:hAnsi="Verdana"/>
              </w:rPr>
              <w:lastRenderedPageBreak/>
              <w:t xml:space="preserve">seguridad del Estado, </w:t>
            </w:r>
            <w:r w:rsidR="0077000C" w:rsidRPr="005C170B">
              <w:rPr>
                <w:rFonts w:ascii="Verdana" w:hAnsi="Verdana"/>
              </w:rPr>
              <w:t xml:space="preserve">ii) </w:t>
            </w:r>
            <w:r w:rsidRPr="005C170B">
              <w:rPr>
                <w:rFonts w:ascii="Verdana" w:hAnsi="Verdana"/>
              </w:rPr>
              <w:t xml:space="preserve">los contratos de crédito público, </w:t>
            </w:r>
            <w:r w:rsidR="0077000C" w:rsidRPr="005C170B">
              <w:rPr>
                <w:rFonts w:ascii="Verdana" w:hAnsi="Verdana"/>
              </w:rPr>
              <w:t xml:space="preserve">iii) </w:t>
            </w:r>
            <w:r w:rsidRPr="005C170B">
              <w:rPr>
                <w:rFonts w:ascii="Verdana" w:hAnsi="Verdana"/>
              </w:rPr>
              <w:t xml:space="preserve">los requeridos para cubrir las emergencias educativas, sanitarias y desastres, así como también </w:t>
            </w:r>
            <w:r w:rsidR="0077000C" w:rsidRPr="005C170B">
              <w:rPr>
                <w:rFonts w:ascii="Verdana" w:hAnsi="Verdana"/>
              </w:rPr>
              <w:t xml:space="preserve">iv) </w:t>
            </w:r>
            <w:r w:rsidRPr="005C170B">
              <w:rPr>
                <w:rFonts w:ascii="Verdana" w:hAnsi="Verdana"/>
              </w:rPr>
              <w:t>los utilizados para la reconstrucción de vías, puentes, carreteras, infraestructura energética y de comunicaciones, en caso de que hayan sido objeto de atentados, acciones terroristas, desastres naturales o casos de fuerza mayor y</w:t>
            </w:r>
            <w:r w:rsidR="001E5E7D" w:rsidRPr="005C170B">
              <w:rPr>
                <w:rFonts w:ascii="Verdana" w:hAnsi="Verdana"/>
              </w:rPr>
              <w:t>,</w:t>
            </w:r>
            <w:r w:rsidR="0077000C" w:rsidRPr="005C170B">
              <w:rPr>
                <w:rFonts w:ascii="Verdana" w:hAnsi="Verdana"/>
              </w:rPr>
              <w:t xml:space="preserve"> v)</w:t>
            </w:r>
            <w:r w:rsidRPr="005C170B">
              <w:rPr>
                <w:rFonts w:ascii="Verdana" w:hAnsi="Verdana"/>
              </w:rPr>
              <w:t xml:space="preserve"> los que deban realizar las entidades sanitarias y hospitalarias”.</w:t>
            </w:r>
          </w:p>
          <w:p w14:paraId="7FCC44E6" w14:textId="52206E1F" w:rsidR="0045690C" w:rsidRPr="005C170B" w:rsidRDefault="00397732" w:rsidP="0045690C">
            <w:pPr>
              <w:spacing w:after="160" w:line="278" w:lineRule="auto"/>
              <w:ind w:firstLine="709"/>
              <w:jc w:val="both"/>
              <w:rPr>
                <w:rFonts w:ascii="Verdana" w:hAnsi="Verdana"/>
              </w:rPr>
            </w:pPr>
            <w:r w:rsidRPr="005C170B">
              <w:rPr>
                <w:rFonts w:ascii="Verdana" w:eastAsia="Calibri" w:hAnsi="Verdana" w:cs="Arial"/>
                <w:bCs/>
                <w:color w:val="000000" w:themeColor="text1"/>
              </w:rPr>
              <w:t xml:space="preserve">Por su parte, el parágrafo del artículo 38 de la Ley 996 de 2005 prohíbe a los Alcaldes, Gobernadores, Secretarios, Gerentes y Directores de las entidades del orden municipal, departamental o distrital celebrar convenios interadministrativos para la ejecución de recursos públicos. En este sentido, si </w:t>
            </w:r>
            <w:r w:rsidRPr="00F027C0">
              <w:rPr>
                <w:rFonts w:ascii="Verdana" w:eastAsia="Calibri" w:hAnsi="Verdana" w:cs="Arial"/>
                <w:bCs/>
                <w:color w:val="000000" w:themeColor="text1"/>
              </w:rPr>
              <w:t>una o ambas partes de la relación negocial corresponden a entidades de aquellas descritas en el parágrafo ibidem,</w:t>
            </w:r>
            <w:r w:rsidRPr="005C170B">
              <w:rPr>
                <w:rFonts w:ascii="Verdana" w:eastAsia="Calibri" w:hAnsi="Verdana" w:cs="Arial"/>
                <w:bCs/>
                <w:color w:val="000000" w:themeColor="text1"/>
              </w:rPr>
              <w:t xml:space="preserve"> no podrán celebrarse tales convenios durante la aplicación de la Ley de Garantías Electorales, toda vez que la citada disposición se refiere de manera expresa y exclusiva a dicha tipología negocial, sin que el legislador haya previsto un efecto extensivo a otras formas contractuales</w:t>
            </w:r>
            <w:r w:rsidR="00420122" w:rsidRPr="005C170B">
              <w:rPr>
                <w:rFonts w:ascii="Verdana" w:eastAsia="Calibri" w:hAnsi="Verdana" w:cs="Arial"/>
                <w:bCs/>
                <w:color w:val="000000" w:themeColor="text1"/>
              </w:rPr>
              <w:t xml:space="preserve">. </w:t>
            </w:r>
          </w:p>
          <w:p w14:paraId="3BC93562" w14:textId="7A2C83FB" w:rsidR="005F6995" w:rsidRPr="005C170B" w:rsidRDefault="00B42570" w:rsidP="0077000C">
            <w:pPr>
              <w:spacing w:after="120" w:line="276" w:lineRule="auto"/>
              <w:ind w:firstLine="709"/>
              <w:jc w:val="both"/>
              <w:rPr>
                <w:rFonts w:ascii="Verdana" w:hAnsi="Verdana" w:cs="Arial"/>
                <w:shd w:val="clear" w:color="auto" w:fill="FFFFFF"/>
                <w:lang w:val="es-ES"/>
              </w:rPr>
            </w:pPr>
            <w:r w:rsidRPr="005C170B">
              <w:rPr>
                <w:rFonts w:ascii="Verdana" w:hAnsi="Verdana" w:cs="Arial"/>
                <w:shd w:val="clear" w:color="auto" w:fill="FFFFFF"/>
                <w:lang w:val="es-ES"/>
              </w:rPr>
              <w:t xml:space="preserve">En concordancia con lo expuesto, resulta necesario indicar que </w:t>
            </w:r>
            <w:r w:rsidR="00124075" w:rsidRPr="005C170B">
              <w:rPr>
                <w:rFonts w:ascii="Verdana" w:hAnsi="Verdana" w:cs="Arial"/>
                <w:shd w:val="clear" w:color="auto" w:fill="FFFFFF"/>
                <w:lang w:val="es-ES"/>
              </w:rPr>
              <w:t xml:space="preserve">de acuerdo con la Resolución No. 2580 del 5 de marzo de 2025, </w:t>
            </w:r>
            <w:r w:rsidR="00CC4EA6" w:rsidRPr="005C170B">
              <w:rPr>
                <w:rFonts w:ascii="Verdana" w:hAnsi="Verdana" w:cs="Arial"/>
                <w:shd w:val="clear" w:color="auto" w:fill="FFFFFF"/>
                <w:lang w:val="es-ES"/>
              </w:rPr>
              <w:t>la Registraduría Nacional del Estado Civil</w:t>
            </w:r>
            <w:r w:rsidR="00124075" w:rsidRPr="005C170B">
              <w:rPr>
                <w:rFonts w:ascii="Verdana" w:hAnsi="Verdana" w:cs="Arial"/>
                <w:shd w:val="clear" w:color="auto" w:fill="FFFFFF"/>
                <w:lang w:val="es-ES"/>
              </w:rPr>
              <w:t xml:space="preserve"> fijó el calendario electoral, informando que </w:t>
            </w:r>
            <w:r w:rsidRPr="005C170B">
              <w:rPr>
                <w:rFonts w:ascii="Verdana" w:hAnsi="Verdana" w:cs="Arial"/>
                <w:shd w:val="clear" w:color="auto" w:fill="FFFFFF"/>
                <w:lang w:val="es-ES"/>
              </w:rPr>
              <w:t xml:space="preserve">la restricción a la celebración de convenios interadministrativos aplicable a las entidades territoriales inició el pasado ocho (8) de noviembre de 2025, mientras que la restricción general a la contratación directa que cobija a todas las Entidades Estatales comenzó a regir a partir del treinta y uno (31) de enero de 2026. Ambas se mantendrán hasta el treinta y uno (31) de mayo o veinte y uno (21) de junio de 2026, en caso de requerirse segunda vuelta en las elecciones presidenciales. </w:t>
            </w:r>
          </w:p>
          <w:p w14:paraId="02ECC3B5" w14:textId="189C1051" w:rsidR="00471398" w:rsidRDefault="00AB38A7" w:rsidP="00365556">
            <w:pPr>
              <w:spacing w:after="120" w:line="276" w:lineRule="auto"/>
              <w:ind w:firstLine="709"/>
              <w:jc w:val="both"/>
              <w:rPr>
                <w:rFonts w:ascii="Verdana" w:hAnsi="Verdana" w:cs="Arial"/>
                <w:lang w:eastAsia="es-CO"/>
              </w:rPr>
            </w:pPr>
            <w:r w:rsidRPr="005C170B">
              <w:rPr>
                <w:rFonts w:ascii="Verdana" w:eastAsia="Calibri" w:hAnsi="Verdana" w:cs="Arial"/>
              </w:rPr>
              <w:t>Teniendo en cuenta lo anterior, cada Entidad Estatal</w:t>
            </w:r>
            <w:r w:rsidR="00365556" w:rsidRPr="005C170B">
              <w:rPr>
                <w:rFonts w:ascii="Verdana" w:eastAsia="Calibri" w:hAnsi="Verdana" w:cs="Arial"/>
              </w:rPr>
              <w:t xml:space="preserve">, en este caso, las Universidades Públicas, </w:t>
            </w:r>
            <w:r w:rsidRPr="005C170B">
              <w:rPr>
                <w:rFonts w:ascii="Verdana" w:eastAsia="Calibri" w:hAnsi="Verdana" w:cs="Arial"/>
              </w:rPr>
              <w:t>deberá</w:t>
            </w:r>
            <w:r w:rsidR="00365556" w:rsidRPr="005C170B">
              <w:rPr>
                <w:rFonts w:ascii="Verdana" w:eastAsia="Calibri" w:hAnsi="Verdana" w:cs="Arial"/>
              </w:rPr>
              <w:t>n</w:t>
            </w:r>
            <w:r w:rsidRPr="005C170B">
              <w:rPr>
                <w:rFonts w:ascii="Verdana" w:eastAsia="Calibri" w:hAnsi="Verdana" w:cs="Arial"/>
              </w:rPr>
              <w:t xml:space="preserve"> 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5C170B">
              <w:rPr>
                <w:rFonts w:ascii="Verdana" w:hAnsi="Verdana" w:cs="Arial"/>
                <w:lang w:eastAsia="es-CO"/>
              </w:rPr>
              <w:t xml:space="preserve">. Por el contrario, si el </w:t>
            </w:r>
            <w:r w:rsidRPr="005C170B">
              <w:rPr>
                <w:rFonts w:ascii="Verdana" w:hAnsi="Verdana" w:cs="Arial"/>
                <w:lang w:eastAsia="es-CO"/>
              </w:rPr>
              <w:lastRenderedPageBreak/>
              <w:t>estudio determina que no aplica excepción alguna estará vedada la celebración de contratos de manera directa</w:t>
            </w:r>
            <w:r w:rsidR="00471398" w:rsidRPr="005C170B">
              <w:rPr>
                <w:rFonts w:ascii="Verdana" w:hAnsi="Verdana" w:cs="Arial"/>
                <w:lang w:eastAsia="es-CO"/>
              </w:rPr>
              <w:t>.</w:t>
            </w:r>
          </w:p>
          <w:p w14:paraId="2F7CBF53" w14:textId="59F6D7C1" w:rsidR="00934932" w:rsidRDefault="00934932" w:rsidP="00365556">
            <w:pPr>
              <w:spacing w:after="120" w:line="276" w:lineRule="auto"/>
              <w:ind w:firstLine="709"/>
              <w:jc w:val="both"/>
              <w:rPr>
                <w:rFonts w:ascii="Verdana" w:hAnsi="Verdana"/>
                <w:bCs/>
                <w:lang w:val="es-MX" w:eastAsia="es-CO"/>
              </w:rPr>
            </w:pPr>
            <w:r>
              <w:rPr>
                <w:rFonts w:ascii="Verdana" w:hAnsi="Verdana"/>
                <w:bCs/>
                <w:lang w:val="es-MX" w:eastAsia="es-CO"/>
              </w:rPr>
              <w:t>Ahora bien, frente al problema jurídico planteado</w:t>
            </w:r>
            <w:r w:rsidRPr="003D0447">
              <w:rPr>
                <w:rFonts w:ascii="Verdana" w:hAnsi="Verdana"/>
                <w:bCs/>
                <w:lang w:val="es-MX" w:eastAsia="es-CO"/>
              </w:rPr>
              <w:t>,</w:t>
            </w:r>
            <w:r>
              <w:rPr>
                <w:rFonts w:ascii="Verdana" w:hAnsi="Verdana"/>
                <w:bCs/>
                <w:lang w:val="es-MX" w:eastAsia="es-CO"/>
              </w:rPr>
              <w:t xml:space="preserve"> debe señalarse que</w:t>
            </w:r>
            <w:r w:rsidRPr="003D0447">
              <w:rPr>
                <w:rFonts w:ascii="Verdana" w:hAnsi="Verdana"/>
                <w:bCs/>
                <w:lang w:val="es-MX" w:eastAsia="es-CO"/>
              </w:rPr>
              <w:t xml:space="preserve"> la restricción del artículo 33 aplica a todos los </w:t>
            </w:r>
            <w:r>
              <w:rPr>
                <w:rFonts w:ascii="Verdana" w:hAnsi="Verdana"/>
                <w:bCs/>
                <w:lang w:val="es-MX" w:eastAsia="es-CO"/>
              </w:rPr>
              <w:t>“</w:t>
            </w:r>
            <w:r w:rsidRPr="003D0447">
              <w:rPr>
                <w:rFonts w:ascii="Verdana" w:hAnsi="Verdana"/>
                <w:bCs/>
                <w:lang w:val="es-MX" w:eastAsia="es-CO"/>
              </w:rPr>
              <w:t>entes del Estado</w:t>
            </w:r>
            <w:r>
              <w:rPr>
                <w:rFonts w:ascii="Verdana" w:hAnsi="Verdana"/>
                <w:bCs/>
                <w:lang w:val="es-MX" w:eastAsia="es-CO"/>
              </w:rPr>
              <w:t>”</w:t>
            </w:r>
            <w:r w:rsidRPr="003D0447">
              <w:rPr>
                <w:rFonts w:ascii="Verdana" w:hAnsi="Verdana"/>
                <w:bCs/>
                <w:lang w:val="es-MX" w:eastAsia="es-CO"/>
              </w:rPr>
              <w:t>, independiente de su régimen, por lo que la misma aplica tanto a las universidades públicas o entes universitarios autónomos, como a los establecimientos públicos de educación superior, dada su calidad de entes estatales. En consecuencia, al margen que estas entidades estén sometidas al Estatuto General de Contratación de la Administración Públicas, tengan un régimen especial o pretendan suscribir un contrato aplicando el reglamento de un organismo internacional–con sustento en el artículo 20 de la Ley 1150 de 2007–, tienen restringida la contratación que no sea producto de procesos con pluralidad de oferentes durante a partir del inicio del periodo prelectorales de</w:t>
            </w:r>
            <w:r w:rsidR="00D46A87">
              <w:rPr>
                <w:rFonts w:ascii="Verdana" w:hAnsi="Verdana"/>
                <w:bCs/>
                <w:lang w:val="es-MX" w:eastAsia="es-CO"/>
              </w:rPr>
              <w:t xml:space="preserve"> </w:t>
            </w:r>
            <w:r w:rsidR="00D46A87" w:rsidRPr="003D0447">
              <w:rPr>
                <w:rFonts w:ascii="Verdana" w:hAnsi="Verdana"/>
                <w:bCs/>
                <w:lang w:val="es-MX" w:eastAsia="es-CO"/>
              </w:rPr>
              <w:t>los cuatro (4) meses previos a las elecciones presidenciales, salvo que se realice al amparo de las excepciones previstas en el inciso final del artículo 33 de la Ley 996 de 2005.</w:t>
            </w:r>
          </w:p>
          <w:p w14:paraId="3E405424" w14:textId="56D9B1D1" w:rsidR="006C546F" w:rsidRPr="000D2418" w:rsidRDefault="000D2418" w:rsidP="000D2418">
            <w:pPr>
              <w:spacing w:after="120" w:line="276" w:lineRule="auto"/>
              <w:ind w:firstLine="709"/>
              <w:jc w:val="both"/>
              <w:rPr>
                <w:rFonts w:ascii="Verdana" w:hAnsi="Verdana"/>
                <w:bCs/>
                <w:lang w:val="es-MX" w:eastAsia="es-CO"/>
              </w:rPr>
            </w:pPr>
            <w:r w:rsidRPr="000D2418">
              <w:rPr>
                <w:rFonts w:ascii="Verdana" w:hAnsi="Verdana"/>
                <w:bCs/>
                <w:lang w:val="es-MX" w:eastAsia="es-CO"/>
              </w:rPr>
              <w:t xml:space="preserve">De lo anterior se colige que, en virtud de la restricción establecida en el primer inciso artículo 33, las universidades y los establecimientos públicos de educación superior tienen vedada la celebración de convenios o contratos de manera directa durante las elecciones presidenciales, ya sea con otras entidades de la misma naturaleza o de carácter privado. Esto sin perjuicio de la eventual aplicación de alguna de las excepciones previstas en el inciso final de la norma, con sustento en las cuales, </w:t>
            </w:r>
            <w:r w:rsidR="00AE4206">
              <w:rPr>
                <w:rFonts w:ascii="Verdana" w:hAnsi="Verdana"/>
                <w:bCs/>
                <w:lang w:val="es-MX" w:eastAsia="es-CO"/>
              </w:rPr>
              <w:t>las</w:t>
            </w:r>
            <w:r w:rsidRPr="000D2418">
              <w:rPr>
                <w:rFonts w:ascii="Verdana" w:hAnsi="Verdana"/>
                <w:bCs/>
                <w:lang w:val="es-MX" w:eastAsia="es-CO"/>
              </w:rPr>
              <w:t xml:space="preserve"> instituciones de educación superior públicas podrían suscribir contratos de manera directa durante el periodo prelectoral señalado sin vulnerar la restricción, siempre que en efecto se configure alguno de los supuestos de hecho de las excepciones y no se contravengan otras normas jurídicas.</w:t>
            </w:r>
          </w:p>
          <w:p w14:paraId="27B4D277" w14:textId="25AAF495" w:rsidR="00DE5F5C" w:rsidRPr="005C170B" w:rsidRDefault="008233C0" w:rsidP="008233C0">
            <w:pPr>
              <w:spacing w:after="120" w:line="276" w:lineRule="auto"/>
              <w:ind w:firstLine="709"/>
              <w:jc w:val="both"/>
              <w:rPr>
                <w:rFonts w:ascii="Verdana" w:eastAsia="Times New Roman" w:hAnsi="Verdana" w:cs="Arial"/>
                <w:bCs/>
                <w:lang w:val="es-ES_tradnl" w:eastAsia="es-MX"/>
              </w:rPr>
            </w:pPr>
            <w:r w:rsidRPr="005C170B">
              <w:rPr>
                <w:rFonts w:ascii="Verdana" w:eastAsia="Times New Roman" w:hAnsi="Verdana" w:cs="Arial"/>
                <w:bCs/>
                <w:lang w:val="es-ES_tradnl"/>
              </w:rPr>
              <w:t xml:space="preserve"> </w:t>
            </w:r>
            <w:r w:rsidRPr="005C170B">
              <w:rPr>
                <w:rFonts w:ascii="Verdana" w:eastAsia="Calibri" w:hAnsi="Verdana" w:cs="Arial"/>
              </w:rPr>
              <w:t xml:space="preserve">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w:t>
            </w:r>
            <w:r w:rsidRPr="005C170B">
              <w:rPr>
                <w:rFonts w:ascii="Verdana" w:eastAsia="Calibri" w:hAnsi="Verdana" w:cs="Arial"/>
              </w:rPr>
              <w:lastRenderedPageBreak/>
              <w:t>contractual, sin que sea atribución de Colombia Compra Eficiente validar sus actuaciones.</w:t>
            </w:r>
          </w:p>
        </w:tc>
      </w:tr>
    </w:tbl>
    <w:p w14:paraId="296625FD" w14:textId="77777777" w:rsidR="0055038B" w:rsidRPr="005C170B" w:rsidRDefault="0055038B" w:rsidP="0055038B">
      <w:pPr>
        <w:tabs>
          <w:tab w:val="left" w:pos="142"/>
          <w:tab w:val="left" w:pos="284"/>
        </w:tabs>
        <w:spacing w:after="0" w:line="276" w:lineRule="auto"/>
        <w:jc w:val="both"/>
        <w:rPr>
          <w:rFonts w:ascii="Verdana" w:eastAsia="Century Gothic" w:hAnsi="Verdana" w:cs="Century Gothic"/>
          <w:b/>
          <w:bCs/>
          <w:lang w:val="es-ES"/>
        </w:rPr>
      </w:pPr>
    </w:p>
    <w:p w14:paraId="7349536F" w14:textId="77777777" w:rsidR="0055038B" w:rsidRPr="005C170B"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Razones de la respuesta:</w:t>
      </w:r>
    </w:p>
    <w:p w14:paraId="5F12C135" w14:textId="77777777" w:rsidR="0055038B" w:rsidRPr="005C170B" w:rsidRDefault="0055038B" w:rsidP="0055038B">
      <w:pPr>
        <w:spacing w:after="0" w:line="276" w:lineRule="auto"/>
        <w:jc w:val="both"/>
        <w:rPr>
          <w:rFonts w:ascii="Verdana" w:eastAsia="Calibri" w:hAnsi="Verdana" w:cs="Arial"/>
          <w:color w:val="7030A0"/>
          <w:lang w:val="es-ES"/>
        </w:rPr>
      </w:pPr>
    </w:p>
    <w:p w14:paraId="152231D6" w14:textId="6682DDE2" w:rsidR="00D10083" w:rsidRPr="005C170B" w:rsidRDefault="0055038B" w:rsidP="00B41EE0">
      <w:pPr>
        <w:spacing w:after="0" w:line="276" w:lineRule="auto"/>
        <w:jc w:val="both"/>
        <w:rPr>
          <w:rFonts w:ascii="Verdana" w:eastAsia="Calibri" w:hAnsi="Verdana" w:cs="Arial"/>
          <w:lang w:val="es-ES"/>
        </w:rPr>
      </w:pPr>
      <w:r w:rsidRPr="005C170B">
        <w:rPr>
          <w:rFonts w:ascii="Verdana" w:eastAsia="Calibri" w:hAnsi="Verdana" w:cs="Arial"/>
          <w:lang w:val="es-ES"/>
        </w:rPr>
        <w:t xml:space="preserve">Lo anterior se sustenta en las siguientes consideraciones: </w:t>
      </w:r>
    </w:p>
    <w:p w14:paraId="685E4229" w14:textId="77777777" w:rsidR="00B41EE0" w:rsidRPr="005C170B" w:rsidRDefault="00B41EE0" w:rsidP="00B41EE0">
      <w:pPr>
        <w:spacing w:after="0" w:line="276" w:lineRule="auto"/>
        <w:jc w:val="both"/>
        <w:rPr>
          <w:rFonts w:ascii="Verdana" w:eastAsia="Calibri" w:hAnsi="Verdana" w:cs="Arial"/>
          <w:lang w:val="es-ES"/>
        </w:rPr>
      </w:pPr>
    </w:p>
    <w:p w14:paraId="7459CC31" w14:textId="7100B38C" w:rsidR="00944591" w:rsidRPr="005C170B" w:rsidRDefault="00B41EE0" w:rsidP="00EF7990">
      <w:pPr>
        <w:spacing w:after="0" w:line="276" w:lineRule="auto"/>
        <w:ind w:firstLine="709"/>
        <w:jc w:val="both"/>
        <w:rPr>
          <w:rFonts w:ascii="Verdana" w:eastAsia="Calibri" w:hAnsi="Verdana" w:cs="Arial"/>
          <w:bCs/>
          <w:lang w:val="es-ES_tradnl" w:eastAsia="es-MX"/>
        </w:rPr>
      </w:pPr>
      <w:bookmarkStart w:id="1" w:name="_Hlk54011258"/>
      <w:r w:rsidRPr="005C170B">
        <w:rPr>
          <w:rFonts w:ascii="Verdana" w:eastAsia="Calibri" w:hAnsi="Verdana" w:cs="Arial"/>
          <w:b/>
          <w:lang w:val="es-ES_tradnl" w:eastAsia="es-MX"/>
        </w:rPr>
        <w:t>i.</w:t>
      </w:r>
      <w:r w:rsidRPr="005C170B">
        <w:rPr>
          <w:rFonts w:ascii="Verdana" w:eastAsia="Calibri" w:hAnsi="Verdana" w:cs="Arial"/>
          <w:bCs/>
          <w:lang w:val="es-ES_tradnl" w:eastAsia="es-MX"/>
        </w:rPr>
        <w:t xml:space="preserve"> </w:t>
      </w:r>
      <w:bookmarkEnd w:id="1"/>
      <w:r w:rsidR="00CF010A" w:rsidRPr="005C170B">
        <w:rPr>
          <w:rFonts w:ascii="Verdana" w:eastAsia="Calibri" w:hAnsi="Verdana" w:cs="Arial"/>
          <w:bCs/>
          <w:lang w:val="es-ES_tradnl" w:eastAsia="es-MX"/>
        </w:rPr>
        <w:t xml:space="preserve"> </w:t>
      </w:r>
      <w:r w:rsidR="00C26162" w:rsidRPr="005C170B">
        <w:rPr>
          <w:rFonts w:ascii="Verdana" w:eastAsia="Calibri" w:hAnsi="Verdana" w:cs="Arial"/>
          <w:bCs/>
          <w:color w:val="000000" w:themeColor="text1"/>
        </w:rPr>
        <w:t>El ordenamiento jurídico colombiano contempla una serie de previsiones para evitar la obtención de beneficios personales en asuntos propios de la administración. Un destacado ejemplo de lo anterior es la Ley 996 de 2005, conocida como “Ley de Garantías Electorales”, cuyo propósito es asegurar la neutralidad, transparencia e imparcialidad en los procesos electorales. Esta Ley busca impedir que quienes ejercen el poder público utilicen los recursos del Estado para incidir en la voluntad del electorado. Esta Ley se suma al andamiaje de orden constitucional y legal que se ha ocupado de evitar la injerencia inadecuada de intereses particulares en el ejercicio de la función pública. Su propósito es evitar cualquier tipo de arbitrariedad, de ventaja injustificada, de uso irregular de los recursos del Estado en las campañas o falta de garantías en la elección presidencial</w:t>
      </w:r>
      <w:r w:rsidR="00C26162" w:rsidRPr="005C170B">
        <w:rPr>
          <w:rStyle w:val="Refdenotaalpie"/>
          <w:rFonts w:ascii="Verdana" w:eastAsia="Calibri" w:hAnsi="Verdana" w:cs="Arial"/>
          <w:bCs/>
          <w:color w:val="000000" w:themeColor="text1"/>
        </w:rPr>
        <w:footnoteReference w:id="1"/>
      </w:r>
      <w:r w:rsidR="00C26162" w:rsidRPr="005C170B">
        <w:rPr>
          <w:rFonts w:ascii="Verdana" w:eastAsia="Calibri" w:hAnsi="Verdana" w:cs="Arial"/>
          <w:bCs/>
          <w:color w:val="000000" w:themeColor="text1"/>
        </w:rPr>
        <w:t xml:space="preserve">. En esta medida, introduce limitaciones para realizar nombramientos, postulaciones, contrataciones o cualquier otro tipo de actividad que implique destinación de recursos públicos bajo el devenir propio de las Entidades Estatales. </w:t>
      </w:r>
    </w:p>
    <w:p w14:paraId="0845C9B6" w14:textId="77777777" w:rsidR="00EF7990" w:rsidRPr="005C170B" w:rsidRDefault="00EF7990" w:rsidP="00EF7990">
      <w:pPr>
        <w:spacing w:after="0" w:line="276" w:lineRule="auto"/>
        <w:ind w:firstLine="709"/>
        <w:jc w:val="both"/>
        <w:rPr>
          <w:rFonts w:ascii="Verdana" w:eastAsia="Calibri" w:hAnsi="Verdana" w:cs="Arial"/>
          <w:bCs/>
          <w:lang w:val="es-ES_tradnl" w:eastAsia="es-MX"/>
        </w:rPr>
      </w:pPr>
    </w:p>
    <w:p w14:paraId="5AFE1FEF" w14:textId="77777777" w:rsidR="0000325F" w:rsidRPr="005C170B" w:rsidRDefault="0000325F" w:rsidP="0000325F">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 xml:space="preserve">En armonía con lo anterior, la Corte Constitucional ha abordado la definición de la Ley de Garantías Electorales. De esta manera, explica que tiene como propósito: </w:t>
      </w:r>
    </w:p>
    <w:p w14:paraId="621C00FE" w14:textId="77777777" w:rsidR="0000325F" w:rsidRPr="005C170B" w:rsidRDefault="0000325F" w:rsidP="0000325F">
      <w:pPr>
        <w:spacing w:after="0" w:line="276" w:lineRule="auto"/>
        <w:ind w:firstLine="708"/>
        <w:jc w:val="both"/>
        <w:rPr>
          <w:rFonts w:ascii="Verdana" w:eastAsia="Calibri" w:hAnsi="Verdana" w:cs="Arial"/>
          <w:bCs/>
          <w:color w:val="000000" w:themeColor="text1"/>
        </w:rPr>
      </w:pPr>
    </w:p>
    <w:p w14:paraId="675F0310" w14:textId="77777777" w:rsidR="0000325F" w:rsidRPr="005C170B" w:rsidRDefault="0000325F" w:rsidP="00C92C2C">
      <w:pPr>
        <w:spacing w:after="0" w:line="276" w:lineRule="auto"/>
        <w:ind w:left="708"/>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t xml:space="preserve">“[…] la definición de reglas claras que permitan acceder a los canales de expresión democrática de manera efectiva e igualitaria. El objetivo de una ley de garantías es definir esas reglas. […] 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w:t>
      </w:r>
      <w:r w:rsidRPr="005C170B">
        <w:rPr>
          <w:rFonts w:ascii="Verdana" w:eastAsia="Calibri" w:hAnsi="Verdana" w:cs="Arial"/>
          <w:bCs/>
          <w:color w:val="000000" w:themeColor="text1"/>
          <w:sz w:val="20"/>
          <w:szCs w:val="20"/>
        </w:rPr>
        <w:lastRenderedPageBreak/>
        <w:t>comunicación de los candidatos. Igualmente, una ley de garantías debe permitir que, en el debate democrático, sean las ideas y las propuestas las que definan el ascenso al poder, y no el músculo económico de los que se lo disputan”.</w:t>
      </w:r>
      <w:r w:rsidRPr="005C170B">
        <w:rPr>
          <w:rStyle w:val="Refdenotaalpie"/>
          <w:rFonts w:ascii="Verdana" w:eastAsia="Calibri" w:hAnsi="Verdana" w:cs="Arial"/>
          <w:bCs/>
          <w:color w:val="000000" w:themeColor="text1"/>
          <w:sz w:val="20"/>
          <w:szCs w:val="20"/>
        </w:rPr>
        <w:footnoteReference w:id="2"/>
      </w:r>
    </w:p>
    <w:p w14:paraId="47A33391" w14:textId="77777777" w:rsidR="0000325F" w:rsidRPr="005C170B" w:rsidRDefault="0000325F" w:rsidP="00EF7990">
      <w:pPr>
        <w:spacing w:after="0" w:line="276" w:lineRule="auto"/>
        <w:ind w:firstLine="709"/>
        <w:jc w:val="both"/>
        <w:rPr>
          <w:rFonts w:ascii="Verdana" w:eastAsia="Calibri" w:hAnsi="Verdana" w:cs="Arial"/>
          <w:bCs/>
          <w:lang w:val="es-ES_tradnl" w:eastAsia="es-MX"/>
        </w:rPr>
      </w:pPr>
    </w:p>
    <w:p w14:paraId="0640189A" w14:textId="77777777" w:rsidR="00C92C2C" w:rsidRPr="005C170B" w:rsidRDefault="00C92C2C" w:rsidP="00C92C2C">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1D7E02DA" w14:textId="77777777" w:rsidR="00C92C2C" w:rsidRPr="005C170B" w:rsidRDefault="00C92C2C" w:rsidP="00EF7990">
      <w:pPr>
        <w:spacing w:after="0" w:line="276" w:lineRule="auto"/>
        <w:ind w:firstLine="709"/>
        <w:jc w:val="both"/>
        <w:rPr>
          <w:rFonts w:ascii="Verdana" w:eastAsia="Calibri" w:hAnsi="Verdana" w:cs="Arial"/>
          <w:bCs/>
          <w:lang w:val="es-ES_tradnl" w:eastAsia="es-MX"/>
        </w:rPr>
      </w:pPr>
    </w:p>
    <w:p w14:paraId="0B99C005" w14:textId="77777777" w:rsidR="00C6012D" w:rsidRPr="005C170B" w:rsidRDefault="00C6012D" w:rsidP="00C6012D">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En efecto, la Sala de Consulta y Servicio Civil del Consejo de Estado, precisó:</w:t>
      </w:r>
    </w:p>
    <w:p w14:paraId="5CAD1396" w14:textId="77777777" w:rsidR="00F44CAD" w:rsidRPr="005C170B" w:rsidRDefault="00C6012D" w:rsidP="00F44CAD">
      <w:pPr>
        <w:spacing w:after="0" w:line="276" w:lineRule="auto"/>
        <w:ind w:left="708"/>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t>“No está de más recordar que las prohibiciones, en tanto limitan la libertad y los derechos de las personas, son de origen constitucional y legal; la tipificación de sus causas, vigencia, naturaleza y efectos es rígida y taxativa; y su aplicación es</w:t>
      </w:r>
      <w:r w:rsidR="00F44CAD" w:rsidRPr="005C170B">
        <w:rPr>
          <w:rFonts w:ascii="Verdana" w:eastAsia="Calibri" w:hAnsi="Verdana" w:cs="Arial"/>
          <w:bCs/>
          <w:color w:val="000000" w:themeColor="text1"/>
          <w:sz w:val="20"/>
          <w:szCs w:val="20"/>
        </w:rPr>
        <w:t xml:space="preserve">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6D5431F" w14:textId="77777777" w:rsidR="00F44CAD" w:rsidRPr="005C170B" w:rsidRDefault="00F44CAD" w:rsidP="00F44CAD">
      <w:pPr>
        <w:spacing w:after="0" w:line="276" w:lineRule="auto"/>
        <w:ind w:left="708"/>
        <w:jc w:val="both"/>
        <w:rPr>
          <w:rFonts w:ascii="Verdana" w:eastAsia="Calibri" w:hAnsi="Verdana" w:cs="Arial"/>
          <w:bCs/>
          <w:color w:val="000000" w:themeColor="text1"/>
          <w:sz w:val="20"/>
          <w:szCs w:val="20"/>
        </w:rPr>
      </w:pPr>
    </w:p>
    <w:p w14:paraId="6E7CF019" w14:textId="77777777" w:rsidR="00F44CAD" w:rsidRPr="005C170B" w:rsidRDefault="00F44CAD" w:rsidP="00F44CAD">
      <w:pPr>
        <w:spacing w:after="0" w:line="276" w:lineRule="auto"/>
        <w:ind w:left="708"/>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t>La jurisprudencia de la Corte Constitucional</w:t>
      </w:r>
      <w:r w:rsidRPr="005C170B">
        <w:rPr>
          <w:rStyle w:val="Refdenotaalpie"/>
          <w:rFonts w:ascii="Verdana" w:eastAsia="Calibri" w:hAnsi="Verdana" w:cs="Arial"/>
          <w:bCs/>
          <w:color w:val="000000" w:themeColor="text1"/>
          <w:sz w:val="20"/>
          <w:szCs w:val="20"/>
        </w:rPr>
        <w:footnoteReference w:id="3"/>
      </w:r>
      <w:r w:rsidRPr="005C170B">
        <w:rPr>
          <w:rFonts w:ascii="Verdana" w:eastAsia="Calibri" w:hAnsi="Verdana" w:cs="Arial"/>
          <w:bCs/>
          <w:color w:val="000000" w:themeColor="text1"/>
          <w:sz w:val="20"/>
          <w:szCs w:val="20"/>
        </w:rPr>
        <w:t xml:space="preserve"> y del consejo de estado</w:t>
      </w:r>
      <w:r w:rsidRPr="005C170B">
        <w:rPr>
          <w:rStyle w:val="Refdenotaalpie"/>
          <w:rFonts w:ascii="Verdana" w:eastAsia="Calibri" w:hAnsi="Verdana" w:cs="Arial"/>
          <w:bCs/>
          <w:color w:val="000000" w:themeColor="text1"/>
          <w:sz w:val="20"/>
          <w:szCs w:val="20"/>
        </w:rPr>
        <w:footnoteReference w:id="4"/>
      </w:r>
      <w:r w:rsidRPr="005C170B">
        <w:rPr>
          <w:rFonts w:ascii="Verdana" w:eastAsia="Calibri" w:hAnsi="Verdana" w:cs="Arial"/>
          <w:bCs/>
          <w:color w:val="000000" w:themeColor="text1"/>
          <w:sz w:val="20"/>
          <w:szCs w:val="20"/>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w:t>
      </w:r>
      <w:r w:rsidRPr="005C170B">
        <w:rPr>
          <w:rFonts w:ascii="Verdana" w:eastAsia="Calibri" w:hAnsi="Verdana" w:cs="Arial"/>
          <w:bCs/>
          <w:color w:val="000000" w:themeColor="text1"/>
          <w:sz w:val="20"/>
          <w:szCs w:val="20"/>
        </w:rPr>
        <w:lastRenderedPageBreak/>
        <w:t>pues como entrañan una limitación -así fuere justificada- a la libertad de actuar o capacidad de obrar, sobrepasar sus precisos términos comporta el desconocimiento de la voluntad del legislador”</w:t>
      </w:r>
      <w:r w:rsidRPr="005C170B">
        <w:rPr>
          <w:rStyle w:val="Refdenotaalpie"/>
          <w:rFonts w:ascii="Verdana" w:eastAsia="Calibri" w:hAnsi="Verdana" w:cs="Arial"/>
          <w:bCs/>
          <w:color w:val="000000" w:themeColor="text1"/>
          <w:sz w:val="20"/>
          <w:szCs w:val="20"/>
        </w:rPr>
        <w:footnoteReference w:id="5"/>
      </w:r>
    </w:p>
    <w:p w14:paraId="4A13E864" w14:textId="77777777" w:rsidR="00F44CAD" w:rsidRPr="005C170B" w:rsidRDefault="00F44CAD" w:rsidP="00F44CAD">
      <w:pPr>
        <w:spacing w:after="0" w:line="276" w:lineRule="auto"/>
        <w:jc w:val="both"/>
        <w:rPr>
          <w:rFonts w:ascii="Verdana" w:eastAsia="Calibri" w:hAnsi="Verdana" w:cs="Arial"/>
          <w:b/>
          <w:color w:val="000000" w:themeColor="text1"/>
        </w:rPr>
      </w:pPr>
    </w:p>
    <w:p w14:paraId="7C36461B" w14:textId="77777777" w:rsidR="00E559B7" w:rsidRPr="005C170B" w:rsidRDefault="00070439" w:rsidP="00E559B7">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
          <w:color w:val="000000" w:themeColor="text1"/>
        </w:rPr>
        <w:t>ii.</w:t>
      </w:r>
      <w:r w:rsidRPr="005C170B">
        <w:rPr>
          <w:rFonts w:ascii="Verdana" w:eastAsia="Calibri" w:hAnsi="Verdana" w:cs="Arial"/>
          <w:bCs/>
          <w:color w:val="000000" w:themeColor="text1"/>
        </w:rPr>
        <w:t xml:space="preserve"> Precisado el propósito de la Ley, es pertinente señalar que las restricciones consagradas en la citada Ley se dirigen a dos (2) tipos de campañas electorales claramente diferenciadas: i) las presidenciales y ii) las demás que se adelanten para la elección de los demás cargos de elección popular, tanto a nivel nacional como territorial.</w:t>
      </w:r>
    </w:p>
    <w:p w14:paraId="4A46175B" w14:textId="77777777" w:rsidR="00E559B7" w:rsidRPr="005C170B" w:rsidRDefault="00E559B7" w:rsidP="00E559B7">
      <w:pPr>
        <w:spacing w:after="0" w:line="276" w:lineRule="auto"/>
        <w:ind w:firstLine="708"/>
        <w:jc w:val="both"/>
        <w:rPr>
          <w:rFonts w:ascii="Verdana" w:eastAsia="Calibri" w:hAnsi="Verdana" w:cs="Arial"/>
          <w:bCs/>
          <w:color w:val="000000" w:themeColor="text1"/>
        </w:rPr>
      </w:pPr>
    </w:p>
    <w:p w14:paraId="3DAC51DF" w14:textId="3252871A" w:rsidR="00E91DF7" w:rsidRPr="005C170B" w:rsidRDefault="00E559B7" w:rsidP="00E91DF7">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w:t>
      </w:r>
      <w:r w:rsidR="000465DE" w:rsidRPr="005C170B">
        <w:rPr>
          <w:rFonts w:ascii="Verdana" w:eastAsia="Calibri" w:hAnsi="Verdana" w:cs="Arial"/>
          <w:bCs/>
          <w:color w:val="000000" w:themeColor="text1"/>
        </w:rPr>
        <w:t>,</w:t>
      </w:r>
      <w:r w:rsidR="00E91DF7" w:rsidRPr="005C170B">
        <w:rPr>
          <w:rFonts w:ascii="Verdana" w:eastAsia="Calibri" w:hAnsi="Verdana" w:cs="Arial"/>
          <w:bCs/>
          <w:color w:val="000000" w:themeColor="text1"/>
        </w:rPr>
        <w:t xml:space="preserve"> acciones terroristas, desastres naturales o casos de fuerza mayor, y los que deban realizar las entidades sanitarias y hospitalarias”</w:t>
      </w:r>
      <w:r w:rsidR="00E91DF7" w:rsidRPr="005C170B">
        <w:rPr>
          <w:rStyle w:val="Refdenotaalpie"/>
          <w:rFonts w:ascii="Verdana" w:eastAsia="Calibri" w:hAnsi="Verdana" w:cs="Arial"/>
          <w:bCs/>
          <w:color w:val="000000" w:themeColor="text1"/>
        </w:rPr>
        <w:footnoteReference w:id="6"/>
      </w:r>
    </w:p>
    <w:p w14:paraId="19746FDB" w14:textId="16CDB680" w:rsidR="00E559B7" w:rsidRPr="005C170B" w:rsidRDefault="00E559B7" w:rsidP="00E559B7">
      <w:pPr>
        <w:spacing w:after="0" w:line="276" w:lineRule="auto"/>
        <w:ind w:firstLine="708"/>
        <w:jc w:val="both"/>
        <w:rPr>
          <w:rFonts w:ascii="Verdana" w:eastAsia="Calibri" w:hAnsi="Verdana" w:cs="Arial"/>
          <w:bCs/>
          <w:color w:val="000000" w:themeColor="text1"/>
        </w:rPr>
      </w:pPr>
    </w:p>
    <w:p w14:paraId="773F9EC3" w14:textId="77777777" w:rsidR="000465DE" w:rsidRPr="005C170B" w:rsidRDefault="000465DE" w:rsidP="000465DE">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C170B">
        <w:rPr>
          <w:rStyle w:val="Refdenotaalpie"/>
          <w:rFonts w:ascii="Verdana" w:eastAsia="Calibri" w:hAnsi="Verdana" w:cs="Arial"/>
          <w:bCs/>
          <w:color w:val="000000" w:themeColor="text1"/>
        </w:rPr>
        <w:footnoteReference w:id="7"/>
      </w:r>
    </w:p>
    <w:p w14:paraId="317A29FD" w14:textId="77777777" w:rsidR="00EF7990" w:rsidRPr="005C170B" w:rsidRDefault="00EF7990" w:rsidP="000D5A44">
      <w:pPr>
        <w:spacing w:after="0" w:line="276" w:lineRule="auto"/>
        <w:jc w:val="both"/>
        <w:rPr>
          <w:rFonts w:ascii="Verdana" w:eastAsia="Calibri" w:hAnsi="Verdana" w:cs="Arial"/>
          <w:bCs/>
          <w:lang w:val="es-ES_tradnl" w:eastAsia="es-MX"/>
        </w:rPr>
      </w:pPr>
    </w:p>
    <w:p w14:paraId="4BF77DBF" w14:textId="77777777" w:rsidR="000D5A44" w:rsidRPr="005C170B" w:rsidRDefault="000D5A44" w:rsidP="000D5A44">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lastRenderedPageBreak/>
        <w:t>La Sala de Consulta y Servicio Civil del Consejo de Estado ha aclarado la distinción en la aplicación de las prohibiciones de la Ley 996 de 2005, dependiendo del tipo de elección que se trate. Al respecto, considera:</w:t>
      </w:r>
    </w:p>
    <w:p w14:paraId="709FE6F2" w14:textId="77777777" w:rsidR="000D5A44" w:rsidRPr="005C170B" w:rsidRDefault="000D5A44" w:rsidP="000D5A44">
      <w:pPr>
        <w:spacing w:after="0" w:line="276" w:lineRule="auto"/>
        <w:ind w:firstLine="708"/>
        <w:jc w:val="both"/>
        <w:rPr>
          <w:rFonts w:ascii="Verdana" w:eastAsia="Calibri" w:hAnsi="Verdana" w:cs="Arial"/>
          <w:bCs/>
          <w:color w:val="000000" w:themeColor="text1"/>
          <w:sz w:val="20"/>
          <w:szCs w:val="20"/>
        </w:rPr>
      </w:pPr>
    </w:p>
    <w:p w14:paraId="416BB498" w14:textId="522F02BC" w:rsidR="000D5A44" w:rsidRPr="005C170B" w:rsidRDefault="000D5A44" w:rsidP="000D5A44">
      <w:pPr>
        <w:spacing w:after="0" w:line="276" w:lineRule="auto"/>
        <w:ind w:left="708"/>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5C170B">
        <w:rPr>
          <w:rStyle w:val="Refdenotaalpie"/>
          <w:rFonts w:ascii="Verdana" w:eastAsia="Calibri" w:hAnsi="Verdana" w:cs="Arial"/>
          <w:bCs/>
          <w:color w:val="000000" w:themeColor="text1"/>
          <w:sz w:val="20"/>
          <w:szCs w:val="20"/>
        </w:rPr>
        <w:footnoteReference w:id="8"/>
      </w:r>
    </w:p>
    <w:p w14:paraId="5BFC0D99" w14:textId="77777777" w:rsidR="000D5A44" w:rsidRPr="005C170B" w:rsidRDefault="000D5A44" w:rsidP="000D5A44">
      <w:pPr>
        <w:spacing w:after="0" w:line="276" w:lineRule="auto"/>
        <w:ind w:left="708"/>
        <w:jc w:val="both"/>
        <w:rPr>
          <w:rFonts w:ascii="Verdana" w:eastAsia="Calibri" w:hAnsi="Verdana" w:cs="Arial"/>
          <w:bCs/>
          <w:color w:val="000000" w:themeColor="text1"/>
          <w:sz w:val="20"/>
          <w:szCs w:val="20"/>
        </w:rPr>
      </w:pPr>
    </w:p>
    <w:p w14:paraId="5548D755" w14:textId="77777777" w:rsidR="00ED5C55" w:rsidRPr="005C170B" w:rsidRDefault="006A67D9" w:rsidP="005C170B">
      <w:pPr>
        <w:spacing w:after="0" w:line="276" w:lineRule="auto"/>
        <w:ind w:firstLine="709"/>
        <w:jc w:val="both"/>
        <w:rPr>
          <w:rFonts w:ascii="Verdana" w:eastAsia="Calibri" w:hAnsi="Verdana" w:cs="Arial"/>
          <w:bCs/>
          <w:color w:val="000000" w:themeColor="text1"/>
        </w:rPr>
      </w:pPr>
      <w:r w:rsidRPr="005C170B">
        <w:rPr>
          <w:rFonts w:ascii="Verdana" w:eastAsia="Calibri" w:hAnsi="Verdana" w:cs="Arial"/>
          <w:b/>
          <w:lang w:val="es-ES_tradnl" w:eastAsia="es-MX"/>
        </w:rPr>
        <w:t>iii.</w:t>
      </w:r>
      <w:r w:rsidRPr="005C170B">
        <w:rPr>
          <w:rFonts w:ascii="Verdana" w:eastAsia="Calibri" w:hAnsi="Verdana" w:cs="Arial"/>
          <w:bCs/>
          <w:lang w:val="es-ES_tradnl" w:eastAsia="es-MX"/>
        </w:rPr>
        <w:t xml:space="preserve"> </w:t>
      </w:r>
      <w:r w:rsidR="00ED5C55" w:rsidRPr="005C170B">
        <w:rPr>
          <w:rFonts w:ascii="Verdana" w:eastAsia="Calibri" w:hAnsi="Verdana" w:cs="Arial"/>
          <w:bCs/>
          <w:color w:val="000000" w:themeColor="text1"/>
        </w:rPr>
        <w:t>En primer lugar, el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6679BF21" w14:textId="77777777" w:rsidR="00ED5C55" w:rsidRPr="005C170B" w:rsidRDefault="00ED5C55" w:rsidP="00ED5C55">
      <w:pPr>
        <w:spacing w:after="0" w:line="276" w:lineRule="auto"/>
        <w:ind w:left="708"/>
        <w:jc w:val="both"/>
        <w:rPr>
          <w:rFonts w:ascii="Verdana" w:eastAsia="Calibri" w:hAnsi="Verdana" w:cs="Arial"/>
          <w:bCs/>
          <w:color w:val="000000" w:themeColor="text1"/>
          <w:sz w:val="20"/>
          <w:szCs w:val="20"/>
        </w:rPr>
      </w:pPr>
    </w:p>
    <w:p w14:paraId="67A63A5D" w14:textId="77777777" w:rsidR="00ED5C55" w:rsidRPr="005C170B" w:rsidRDefault="00ED5C55" w:rsidP="005C170B">
      <w:pPr>
        <w:spacing w:after="0" w:line="276" w:lineRule="auto"/>
        <w:ind w:left="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C170B">
        <w:rPr>
          <w:rStyle w:val="Refdenotaalpie"/>
          <w:rFonts w:ascii="Verdana" w:eastAsia="Calibri" w:hAnsi="Verdana" w:cs="Arial"/>
          <w:bCs/>
          <w:color w:val="000000" w:themeColor="text1"/>
          <w:sz w:val="20"/>
          <w:szCs w:val="20"/>
        </w:rPr>
        <w:footnoteReference w:id="9"/>
      </w:r>
      <w:r w:rsidRPr="005C170B">
        <w:rPr>
          <w:rFonts w:ascii="Verdana" w:eastAsia="Calibri" w:hAnsi="Verdana" w:cs="Arial"/>
          <w:bCs/>
          <w:color w:val="000000" w:themeColor="text1"/>
          <w:sz w:val="20"/>
          <w:szCs w:val="20"/>
        </w:rPr>
        <w:t>.</w:t>
      </w:r>
    </w:p>
    <w:p w14:paraId="6F19F8C5" w14:textId="77777777" w:rsidR="00ED5C55" w:rsidRPr="005C170B" w:rsidRDefault="00ED5C55" w:rsidP="005C170B">
      <w:pPr>
        <w:spacing w:after="0" w:line="276" w:lineRule="auto"/>
        <w:ind w:left="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t xml:space="preserve">Esta Sala ha entendido que, para los efectos de la ley de garantías, y dada su finalidad, el enunciado ‘contratación directa’ es sinónimo de cualquier sistema que no implique convocatoria pública y posibilidad de pluralidad de oferentes, y </w:t>
      </w:r>
      <w:r w:rsidRPr="005C170B">
        <w:rPr>
          <w:rFonts w:ascii="Verdana" w:eastAsia="Calibri" w:hAnsi="Verdana" w:cs="Arial"/>
          <w:bCs/>
          <w:color w:val="000000" w:themeColor="text1"/>
          <w:sz w:val="20"/>
          <w:szCs w:val="20"/>
        </w:rPr>
        <w:lastRenderedPageBreak/>
        <w:t>que, además, no necesariamente hace referencia al procedimiento especial regulado por la ley de contratación estatal, sino a cualquier otro que prescinda de un proceso de licitación pública o concurso</w:t>
      </w:r>
      <w:r w:rsidRPr="005C170B">
        <w:rPr>
          <w:rStyle w:val="Refdenotaalpie"/>
          <w:rFonts w:ascii="Verdana" w:eastAsia="Calibri" w:hAnsi="Verdana" w:cs="Arial"/>
          <w:bCs/>
          <w:color w:val="000000" w:themeColor="text1"/>
          <w:sz w:val="20"/>
          <w:szCs w:val="20"/>
        </w:rPr>
        <w:footnoteReference w:id="10"/>
      </w:r>
      <w:r w:rsidRPr="005C170B">
        <w:rPr>
          <w:rFonts w:ascii="Verdana" w:eastAsia="Calibri" w:hAnsi="Verdana" w:cs="Arial"/>
          <w:bCs/>
          <w:color w:val="000000" w:themeColor="text1"/>
          <w:sz w:val="20"/>
          <w:szCs w:val="20"/>
        </w:rPr>
        <w:t>.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5C170B">
        <w:rPr>
          <w:rStyle w:val="Refdenotaalpie"/>
          <w:rFonts w:ascii="Verdana" w:eastAsia="Calibri" w:hAnsi="Verdana" w:cs="Arial"/>
          <w:bCs/>
          <w:color w:val="000000" w:themeColor="text1"/>
          <w:sz w:val="20"/>
          <w:szCs w:val="20"/>
        </w:rPr>
        <w:footnoteReference w:id="11"/>
      </w:r>
    </w:p>
    <w:p w14:paraId="5269887D" w14:textId="77777777" w:rsidR="00ED5C55" w:rsidRPr="005C170B" w:rsidRDefault="00ED5C55" w:rsidP="00ED5C55">
      <w:pPr>
        <w:spacing w:after="0" w:line="276" w:lineRule="auto"/>
        <w:jc w:val="both"/>
        <w:rPr>
          <w:rFonts w:ascii="Verdana" w:eastAsia="Calibri" w:hAnsi="Verdana" w:cs="Arial"/>
          <w:bCs/>
          <w:color w:val="000000" w:themeColor="text1"/>
          <w:sz w:val="20"/>
          <w:szCs w:val="20"/>
        </w:rPr>
      </w:pPr>
    </w:p>
    <w:p w14:paraId="31D68BA2" w14:textId="77777777" w:rsidR="007717BA" w:rsidRPr="005C170B" w:rsidRDefault="00ED5C55" w:rsidP="007717BA">
      <w:pPr>
        <w:spacing w:after="0" w:line="276" w:lineRule="auto"/>
        <w:ind w:firstLine="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rPr>
        <w:t>Según el concepto mencionado, la prohibición establecida en el artículo 33 de la Ley de Garantías Electorales se aplica a “todo mecanismo que no contemple una convocatoria pública ni permita la participación de múltiples oferentes”. En consecuencia, quedan excluidas las demás modalidades de contratación contempladas en la Ley 1150 de 2007, tales como la licitación pública, la selección abreviada y el concurso de méritos, así como aquellas modalidades abiertas y competitivas previstas en disposiciones especiales. Esta posición es congruente con la expedición de la Ley 1150 de 2007 que, entre</w:t>
      </w:r>
      <w:r w:rsidR="007717BA" w:rsidRPr="005C170B">
        <w:rPr>
          <w:rFonts w:ascii="Verdana" w:eastAsia="Calibri" w:hAnsi="Verdana" w:cs="Arial"/>
          <w:bCs/>
          <w:color w:val="000000" w:themeColor="text1"/>
        </w:rPr>
        <w:t xml:space="preserve"> otras reformas, introdujo la selección abreviada, rediseñó el concurso de méritos</w:t>
      </w:r>
      <w:r w:rsidR="007717BA" w:rsidRPr="005C170B">
        <w:rPr>
          <w:rStyle w:val="Refdenotaalpie"/>
          <w:rFonts w:ascii="Verdana" w:eastAsia="Calibri" w:hAnsi="Verdana" w:cs="Arial"/>
          <w:bCs/>
          <w:color w:val="000000" w:themeColor="text1"/>
        </w:rPr>
        <w:footnoteReference w:id="12"/>
      </w:r>
      <w:r w:rsidR="007717BA" w:rsidRPr="005C170B">
        <w:rPr>
          <w:rFonts w:ascii="Verdana" w:eastAsia="Calibri" w:hAnsi="Verdana" w:cs="Arial"/>
          <w:bCs/>
          <w:color w:val="000000" w:themeColor="text1"/>
        </w:rPr>
        <w:t xml:space="preserve"> y sistematizó las causales de contratación directa</w:t>
      </w:r>
      <w:r w:rsidR="007717BA" w:rsidRPr="005C170B">
        <w:rPr>
          <w:rStyle w:val="Refdenotaalpie"/>
          <w:rFonts w:ascii="Verdana" w:eastAsia="Calibri" w:hAnsi="Verdana" w:cs="Arial"/>
          <w:bCs/>
          <w:color w:val="000000" w:themeColor="text1"/>
          <w:sz w:val="20"/>
          <w:szCs w:val="20"/>
        </w:rPr>
        <w:footnoteReference w:id="13"/>
      </w:r>
      <w:r w:rsidR="007717BA" w:rsidRPr="005C170B">
        <w:rPr>
          <w:rFonts w:ascii="Verdana" w:eastAsia="Calibri" w:hAnsi="Verdana" w:cs="Arial"/>
          <w:bCs/>
          <w:color w:val="000000" w:themeColor="text1"/>
          <w:sz w:val="20"/>
          <w:szCs w:val="20"/>
        </w:rPr>
        <w:t xml:space="preserve">. </w:t>
      </w:r>
    </w:p>
    <w:p w14:paraId="0EB78372" w14:textId="77777777" w:rsidR="007717BA" w:rsidRPr="005C170B" w:rsidRDefault="007717BA" w:rsidP="007717BA">
      <w:pPr>
        <w:spacing w:after="0" w:line="276" w:lineRule="auto"/>
        <w:ind w:left="709" w:firstLine="709"/>
        <w:jc w:val="both"/>
        <w:rPr>
          <w:rFonts w:ascii="Verdana" w:eastAsia="Calibri" w:hAnsi="Verdana" w:cs="Arial"/>
          <w:bCs/>
          <w:color w:val="000000" w:themeColor="text1"/>
          <w:sz w:val="20"/>
          <w:szCs w:val="20"/>
        </w:rPr>
      </w:pPr>
    </w:p>
    <w:p w14:paraId="313A6BBB" w14:textId="77777777" w:rsidR="007717BA" w:rsidRPr="005C170B" w:rsidRDefault="007717BA" w:rsidP="007717BA">
      <w:pPr>
        <w:spacing w:after="0" w:line="276" w:lineRule="auto"/>
        <w:ind w:firstLine="709"/>
        <w:jc w:val="both"/>
        <w:rPr>
          <w:rFonts w:ascii="Verdana" w:eastAsia="Calibri" w:hAnsi="Verdana" w:cs="Arial"/>
          <w:bCs/>
          <w:color w:val="000000" w:themeColor="text1"/>
        </w:rPr>
      </w:pPr>
      <w:r w:rsidRPr="005C170B">
        <w:rPr>
          <w:rFonts w:ascii="Verdana" w:eastAsia="Calibri" w:hAnsi="Verdana" w:cs="Arial"/>
          <w:bCs/>
          <w:color w:val="000000" w:themeColor="text1"/>
        </w:rPr>
        <w:t>De tal manera, debe entenderse que, para los efectos de la Ley de Garantías Electorales y, en particular, para la prohibición o restricción temporal contenida en su artículo 33, la “contratación directa” es cualquier sistema de selección o procedimiento de contratación utilizado por las Entidades Estatales que no incluya la convocatoria pública en alguna de sus etapas, ni permita la participación de una pluralidad de oferentes</w:t>
      </w:r>
      <w:r w:rsidRPr="005C170B">
        <w:rPr>
          <w:rStyle w:val="Refdenotaalpie"/>
          <w:rFonts w:ascii="Verdana" w:eastAsia="Calibri" w:hAnsi="Verdana" w:cs="Arial"/>
          <w:bCs/>
          <w:color w:val="000000" w:themeColor="text1"/>
        </w:rPr>
        <w:footnoteReference w:id="14"/>
      </w:r>
    </w:p>
    <w:p w14:paraId="2943AB11" w14:textId="77777777" w:rsidR="007717BA" w:rsidRPr="005C170B" w:rsidRDefault="007717BA" w:rsidP="007717BA">
      <w:pPr>
        <w:spacing w:after="0" w:line="276" w:lineRule="auto"/>
        <w:ind w:firstLine="709"/>
        <w:jc w:val="both"/>
        <w:rPr>
          <w:rFonts w:ascii="Verdana" w:eastAsia="Calibri" w:hAnsi="Verdana" w:cs="Arial"/>
          <w:bCs/>
          <w:color w:val="000000" w:themeColor="text1"/>
          <w:sz w:val="20"/>
          <w:szCs w:val="20"/>
        </w:rPr>
      </w:pPr>
    </w:p>
    <w:p w14:paraId="2406859E" w14:textId="77777777" w:rsidR="007717BA" w:rsidRDefault="007717BA" w:rsidP="007717BA">
      <w:pPr>
        <w:spacing w:after="0" w:line="276" w:lineRule="auto"/>
        <w:ind w:firstLine="709"/>
        <w:jc w:val="both"/>
        <w:rPr>
          <w:rFonts w:ascii="Verdana" w:eastAsia="Calibri" w:hAnsi="Verdana" w:cs="Arial"/>
          <w:bCs/>
          <w:color w:val="000000" w:themeColor="text1"/>
        </w:rPr>
      </w:pPr>
      <w:r w:rsidRPr="005C170B">
        <w:rPr>
          <w:rFonts w:ascii="Verdana" w:eastAsia="Calibri" w:hAnsi="Verdana" w:cs="Arial"/>
          <w:bCs/>
          <w:color w:val="000000" w:themeColor="text1"/>
        </w:rPr>
        <w:t xml:space="preserve">De lo anterior se desprende que la restricción aplica, sin perjuicio de las excepciones establecidas en la misma Ley, para celebrar cualquier contrato de forma directa, esto es, sin que exista un proceso abierto y competitivo. Por tanto, no están sujetas a la prohibición las demás modalidades de selección previstas en la Ley 1150 de 2007, es decir, la licitación pública, el concurso de méritos y </w:t>
      </w:r>
      <w:r w:rsidRPr="005C170B">
        <w:rPr>
          <w:rFonts w:ascii="Verdana" w:eastAsia="Calibri" w:hAnsi="Verdana" w:cs="Arial"/>
          <w:bCs/>
          <w:color w:val="000000" w:themeColor="text1"/>
        </w:rPr>
        <w:lastRenderedPageBreak/>
        <w:t>la selección abreviada. De este modo, las Entidades Públicas, en el período preelectoral de que trata la disposición pueden seguir contratando bajo estos sistemas de selección.</w:t>
      </w:r>
    </w:p>
    <w:p w14:paraId="6272AB31" w14:textId="77777777" w:rsidR="001F4CB5" w:rsidRDefault="001F4CB5" w:rsidP="007717BA">
      <w:pPr>
        <w:spacing w:after="0" w:line="276" w:lineRule="auto"/>
        <w:ind w:firstLine="709"/>
        <w:jc w:val="both"/>
        <w:rPr>
          <w:rFonts w:ascii="Verdana" w:eastAsia="Calibri" w:hAnsi="Verdana" w:cs="Arial"/>
          <w:bCs/>
          <w:color w:val="000000" w:themeColor="text1"/>
        </w:rPr>
      </w:pPr>
    </w:p>
    <w:p w14:paraId="2537655F" w14:textId="678E98F5" w:rsidR="00EF7990" w:rsidRDefault="001F4CB5" w:rsidP="00190CF0">
      <w:pPr>
        <w:spacing w:after="120" w:line="276" w:lineRule="auto"/>
        <w:ind w:firstLine="708"/>
        <w:jc w:val="both"/>
        <w:rPr>
          <w:rFonts w:ascii="Verdana" w:eastAsia="Times New Roman" w:hAnsi="Verdana" w:cs="Arial"/>
          <w:bCs/>
          <w:lang w:eastAsia="x-none"/>
        </w:rPr>
      </w:pPr>
      <w:bookmarkStart w:id="2" w:name="_Hlk77237094"/>
      <w:r w:rsidRPr="00F10E52">
        <w:rPr>
          <w:rFonts w:ascii="Verdana" w:eastAsia="Times New Roman" w:hAnsi="Verdana" w:cs="Arial"/>
          <w:bCs/>
          <w:lang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w:t>
      </w:r>
      <w:r>
        <w:rPr>
          <w:rFonts w:ascii="Verdana" w:eastAsia="Times New Roman" w:hAnsi="Verdana" w:cs="Arial"/>
          <w:bCs/>
          <w:lang w:eastAsia="es-CO"/>
        </w:rPr>
        <w:t xml:space="preserve"> Electorales</w:t>
      </w:r>
      <w:r w:rsidRPr="00F10E52">
        <w:rPr>
          <w:rFonts w:ascii="Verdana" w:eastAsia="Times New Roman" w:hAnsi="Verdana" w:cs="Arial"/>
          <w:bCs/>
          <w:lang w:eastAsia="es-CO"/>
        </w:rPr>
        <w:t>, sin que ello haga nugatoria la restricción de la contratación directa y siempre que cumplan los principios de planeación, transparencia y responsabilidad.</w:t>
      </w:r>
      <w:bookmarkEnd w:id="2"/>
    </w:p>
    <w:p w14:paraId="1800CF82" w14:textId="77777777" w:rsidR="00D31C68" w:rsidRPr="00190CF0" w:rsidRDefault="00D31C68" w:rsidP="00190CF0">
      <w:pPr>
        <w:spacing w:after="120" w:line="276" w:lineRule="auto"/>
        <w:ind w:firstLine="708"/>
        <w:jc w:val="both"/>
        <w:rPr>
          <w:rFonts w:ascii="Verdana" w:eastAsia="Times New Roman" w:hAnsi="Verdana" w:cs="Arial"/>
          <w:bCs/>
          <w:lang w:eastAsia="x-none"/>
        </w:rPr>
      </w:pPr>
    </w:p>
    <w:p w14:paraId="027AF625" w14:textId="30F435A3" w:rsidR="00EF7990" w:rsidRPr="005C170B" w:rsidRDefault="00C62F47" w:rsidP="009A1C13">
      <w:pPr>
        <w:spacing w:after="0" w:line="276" w:lineRule="auto"/>
        <w:ind w:firstLine="709"/>
        <w:jc w:val="both"/>
        <w:rPr>
          <w:rFonts w:ascii="Verdana" w:eastAsia="Calibri" w:hAnsi="Verdana" w:cs="Arial"/>
          <w:bCs/>
          <w:color w:val="000000" w:themeColor="text1"/>
        </w:rPr>
      </w:pPr>
      <w:r w:rsidRPr="005C170B">
        <w:rPr>
          <w:rFonts w:ascii="Verdana" w:eastAsia="Calibri" w:hAnsi="Verdana" w:cs="Arial"/>
          <w:b/>
          <w:color w:val="000000" w:themeColor="text1"/>
        </w:rPr>
        <w:t>iv.</w:t>
      </w:r>
      <w:r w:rsidRPr="005C170B">
        <w:rPr>
          <w:rFonts w:ascii="Verdana" w:eastAsia="Calibri" w:hAnsi="Verdana" w:cs="Arial"/>
          <w:bCs/>
          <w:color w:val="000000" w:themeColor="text1"/>
        </w:rPr>
        <w:t xml:space="preserve"> </w:t>
      </w:r>
      <w:r w:rsidR="00EB31D7" w:rsidRPr="005C170B">
        <w:rPr>
          <w:rFonts w:ascii="Verdana" w:eastAsia="Calibri" w:hAnsi="Verdana" w:cs="Arial"/>
          <w:bCs/>
          <w:color w:val="000000" w:themeColor="text1"/>
        </w:rPr>
        <w:t xml:space="preserve">Ahora bien, </w:t>
      </w:r>
      <w:r w:rsidR="00426D15" w:rsidRPr="005C170B">
        <w:rPr>
          <w:rFonts w:ascii="Verdana" w:eastAsia="Calibri" w:hAnsi="Verdana" w:cs="Arial"/>
          <w:bCs/>
          <w:color w:val="000000" w:themeColor="text1"/>
        </w:rPr>
        <w:t>las excepciones a la restricción prevista en la Ley de Garantías Electorales, con fundamento en las cuales las entidades públicas podrán adelantar procedimientos de selección directa en períodos previos a la contienda electoral por la Presidencia, se encuentran consagradas de manera taxativa en el inciso final del citado artículo 33 de la Ley 996 de 2005. Dichas excepciones corresponden a</w:t>
      </w:r>
      <w:r w:rsidR="00153D39" w:rsidRPr="005C170B">
        <w:rPr>
          <w:rFonts w:ascii="Verdana" w:eastAsia="Calibri" w:hAnsi="Verdana" w:cs="Arial"/>
          <w:bCs/>
          <w:color w:val="000000" w:themeColor="text1"/>
        </w:rPr>
        <w:t>:</w:t>
      </w:r>
      <w:r w:rsidR="00426D15" w:rsidRPr="005C170B">
        <w:rPr>
          <w:rFonts w:ascii="Verdana" w:eastAsia="Calibri" w:hAnsi="Verdana" w:cs="Arial"/>
          <w:bCs/>
          <w:color w:val="000000" w:themeColor="text1"/>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09CA081E" w14:textId="77777777" w:rsidR="009A1C13" w:rsidRPr="005C170B" w:rsidRDefault="009A1C13" w:rsidP="009A1C13">
      <w:pPr>
        <w:spacing w:after="0" w:line="276" w:lineRule="auto"/>
        <w:ind w:firstLine="709"/>
        <w:jc w:val="both"/>
        <w:rPr>
          <w:rFonts w:ascii="Verdana" w:eastAsia="Calibri" w:hAnsi="Verdana" w:cs="Arial"/>
          <w:bCs/>
          <w:color w:val="000000" w:themeColor="text1"/>
        </w:rPr>
      </w:pPr>
    </w:p>
    <w:p w14:paraId="55CFB8B8" w14:textId="694F71AA" w:rsidR="008F67BC" w:rsidRPr="005C170B" w:rsidRDefault="008F67BC" w:rsidP="009A1C13">
      <w:pPr>
        <w:spacing w:after="0" w:line="276" w:lineRule="auto"/>
        <w:ind w:firstLine="709"/>
        <w:jc w:val="both"/>
        <w:rPr>
          <w:rFonts w:ascii="Verdana" w:eastAsia="Calibri" w:hAnsi="Verdana" w:cs="Arial"/>
          <w:bCs/>
          <w:color w:val="000000" w:themeColor="text1"/>
        </w:rPr>
      </w:pPr>
      <w:r w:rsidRPr="005C170B">
        <w:rPr>
          <w:rFonts w:ascii="Verdana" w:eastAsia="Calibri" w:hAnsi="Verdana" w:cs="Arial"/>
          <w:bCs/>
          <w:color w:val="000000" w:themeColor="text1"/>
        </w:rPr>
        <w:t>Conforme a lo consagrado en esta disposición, es responsabilidad del respectivo ente del Estado, examinar en cada caso la naturaleza de las</w:t>
      </w:r>
      <w:r w:rsidR="009B5D8E" w:rsidRPr="005C170B">
        <w:rPr>
          <w:rFonts w:ascii="Verdana" w:eastAsia="Calibri" w:hAnsi="Verdana" w:cs="Arial"/>
          <w:bCs/>
          <w:color w:val="000000" w:themeColor="text1"/>
        </w:rPr>
        <w:t xml:space="preserve"> actividades que adelanta y determinar si las mismas se enmarcan en alguna de las mencionadas excepciones, de manera que se le permita realizar la contratación que necesite en forma directa. 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w:t>
      </w:r>
      <w:r w:rsidR="009B5D8E" w:rsidRPr="005C170B">
        <w:rPr>
          <w:rFonts w:ascii="Verdana" w:eastAsia="Calibri" w:hAnsi="Verdana" w:cs="Arial"/>
          <w:bCs/>
          <w:color w:val="000000" w:themeColor="text1"/>
        </w:rPr>
        <w:lastRenderedPageBreak/>
        <w:t>contratación</w:t>
      </w:r>
      <w:r w:rsidR="00C770A9" w:rsidRPr="005C170B">
        <w:rPr>
          <w:rFonts w:ascii="Verdana" w:eastAsia="Calibri" w:hAnsi="Verdana" w:cs="Arial"/>
          <w:bCs/>
          <w:color w:val="000000" w:themeColor="text1"/>
        </w:rPr>
        <w:t>”</w:t>
      </w:r>
      <w:r w:rsidR="009B5D8E" w:rsidRPr="005C170B">
        <w:rPr>
          <w:rStyle w:val="Refdenotaalpie"/>
          <w:rFonts w:ascii="Verdana" w:eastAsia="Calibri" w:hAnsi="Verdana" w:cs="Arial"/>
          <w:bCs/>
          <w:color w:val="000000" w:themeColor="text1"/>
        </w:rPr>
        <w:footnoteReference w:id="15"/>
      </w:r>
      <w:r w:rsidR="005C793F" w:rsidRPr="005C170B">
        <w:rPr>
          <w:rFonts w:ascii="Verdana" w:eastAsia="Calibri" w:hAnsi="Verdana" w:cs="Arial"/>
          <w:bCs/>
          <w:color w:val="000000" w:themeColor="text1"/>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persecución de la igualdad entre los candidatos como garantía electoral.</w:t>
      </w:r>
    </w:p>
    <w:p w14:paraId="4B0A00AC" w14:textId="77777777" w:rsidR="009A1C13" w:rsidRPr="005C170B" w:rsidRDefault="009A1C13" w:rsidP="009A1C13">
      <w:pPr>
        <w:spacing w:after="0" w:line="276" w:lineRule="auto"/>
        <w:ind w:firstLine="709"/>
        <w:jc w:val="both"/>
        <w:rPr>
          <w:rFonts w:ascii="Verdana" w:eastAsia="Calibri" w:hAnsi="Verdana" w:cs="Arial"/>
          <w:bCs/>
          <w:color w:val="000000" w:themeColor="text1"/>
        </w:rPr>
      </w:pPr>
    </w:p>
    <w:p w14:paraId="2888EE41" w14:textId="77777777" w:rsidR="00843074" w:rsidRPr="005C170B" w:rsidRDefault="00F458C6" w:rsidP="00843074">
      <w:pPr>
        <w:spacing w:after="120" w:line="276" w:lineRule="auto"/>
        <w:ind w:firstLine="709"/>
        <w:jc w:val="both"/>
        <w:rPr>
          <w:rFonts w:ascii="Verdana" w:hAnsi="Verdana" w:cs="Arial"/>
          <w:lang w:val="es-MX"/>
        </w:rPr>
      </w:pPr>
      <w:r w:rsidRPr="005C170B">
        <w:rPr>
          <w:rFonts w:ascii="Verdana" w:eastAsia="Arial" w:hAnsi="Verdana" w:cs="Arial"/>
          <w:b/>
          <w:bCs/>
          <w:color w:val="000000"/>
        </w:rPr>
        <w:t>v.</w:t>
      </w:r>
      <w:r w:rsidR="00DB5CB9" w:rsidRPr="005C170B">
        <w:rPr>
          <w:rFonts w:ascii="Verdana" w:eastAsia="Arial" w:hAnsi="Verdana" w:cs="Arial"/>
          <w:b/>
          <w:bCs/>
          <w:color w:val="000000"/>
        </w:rPr>
        <w:t xml:space="preserve"> </w:t>
      </w:r>
      <w:r w:rsidR="00DB5CB9" w:rsidRPr="005C170B">
        <w:rPr>
          <w:rFonts w:ascii="Verdana" w:hAnsi="Verdana"/>
        </w:rPr>
        <w:t>En ese orden de ideas, en torno a la procedencia de la contratación directa por parte</w:t>
      </w:r>
      <w:r w:rsidR="001975C5" w:rsidRPr="005C170B">
        <w:rPr>
          <w:rFonts w:ascii="Verdana" w:hAnsi="Verdana"/>
        </w:rPr>
        <w:t xml:space="preserve"> de Instituciones Públicas Universitarias, es necesario </w:t>
      </w:r>
      <w:r w:rsidR="0083626F" w:rsidRPr="005C170B">
        <w:rPr>
          <w:rFonts w:ascii="Verdana" w:hAnsi="Verdana"/>
        </w:rPr>
        <w:t xml:space="preserve">analizar </w:t>
      </w:r>
      <w:r w:rsidR="0083626F" w:rsidRPr="005C170B">
        <w:rPr>
          <w:rFonts w:ascii="Verdana" w:eastAsia="Calibri" w:hAnsi="Verdana" w:cs="Arial"/>
        </w:rPr>
        <w:t xml:space="preserve">la naturaleza jurídica de las universidades públicas para determinar la aplicación de las restricciones antes mencionadas. </w:t>
      </w:r>
      <w:r w:rsidR="0083626F" w:rsidRPr="005C170B">
        <w:rPr>
          <w:rFonts w:ascii="Verdana" w:hAnsi="Verdana" w:cs="Arial"/>
          <w:lang w:val="es-MX"/>
        </w:rPr>
        <w:t>Para empezar, en la Ley 30 de 1992 se regularon aspectos como la naturaleza jurídica de las universidades estatales y oficiales, la forma de organizarse y el régimen de contratación aplicable. Así mismo, en el artículo 57 se consignó que e</w:t>
      </w:r>
      <w:r w:rsidR="0083626F" w:rsidRPr="005C170B">
        <w:rPr>
          <w:rFonts w:ascii="Verdana" w:hAnsi="Verdana" w:cs="Arial"/>
        </w:rPr>
        <w:t>l carácter especial del régimen de las universidades estatales u oficiales comprende, entre</w:t>
      </w:r>
      <w:r w:rsidR="00843074" w:rsidRPr="005C170B">
        <w:rPr>
          <w:rFonts w:ascii="Verdana" w:hAnsi="Verdana" w:cs="Arial"/>
        </w:rPr>
        <w:t xml:space="preserve"> otros aspectos, el régimen de contratación</w:t>
      </w:r>
      <w:r w:rsidR="00843074" w:rsidRPr="005C170B">
        <w:rPr>
          <w:rStyle w:val="Refdenotaalpie"/>
          <w:rFonts w:ascii="Verdana" w:hAnsi="Verdana" w:cs="Arial"/>
        </w:rPr>
        <w:footnoteReference w:id="16"/>
      </w:r>
      <w:r w:rsidR="00843074" w:rsidRPr="005C170B">
        <w:rPr>
          <w:rFonts w:ascii="Verdana" w:hAnsi="Verdana" w:cs="Arial"/>
        </w:rPr>
        <w:t xml:space="preserve">. En concordancia con esto, el artículo 93 estableció que los contratos que </w:t>
      </w:r>
      <w:r w:rsidR="00843074" w:rsidRPr="005C170B">
        <w:rPr>
          <w:rFonts w:ascii="Verdana" w:hAnsi="Verdana" w:cs="Arial"/>
          <w:lang w:val="es-MX"/>
        </w:rPr>
        <w:t>celebren las universidades estatales u oficiales se regirán por las normas del derecho privado</w:t>
      </w:r>
      <w:r w:rsidR="00843074" w:rsidRPr="005C170B">
        <w:rPr>
          <w:rStyle w:val="Refdenotaalpie"/>
          <w:rFonts w:ascii="Verdana" w:hAnsi="Verdana" w:cs="Arial"/>
          <w:lang w:val="es-MX"/>
        </w:rPr>
        <w:footnoteReference w:id="17"/>
      </w:r>
      <w:r w:rsidR="00843074" w:rsidRPr="005C170B">
        <w:rPr>
          <w:rFonts w:ascii="Verdana" w:hAnsi="Verdana" w:cs="Arial"/>
          <w:lang w:val="es-MX"/>
        </w:rPr>
        <w:t xml:space="preserve">. </w:t>
      </w:r>
    </w:p>
    <w:p w14:paraId="2828F900" w14:textId="77777777" w:rsidR="00843074" w:rsidRPr="005C170B" w:rsidRDefault="00843074" w:rsidP="00843074">
      <w:pPr>
        <w:widowControl w:val="0"/>
        <w:autoSpaceDE w:val="0"/>
        <w:autoSpaceDN w:val="0"/>
        <w:spacing w:before="120" w:after="0" w:line="276" w:lineRule="auto"/>
        <w:ind w:right="102" w:firstLine="708"/>
        <w:jc w:val="both"/>
        <w:rPr>
          <w:rFonts w:ascii="Verdana" w:eastAsia="Arial" w:hAnsi="Verdana" w:cs="Arial"/>
          <w:lang w:val="es-ES"/>
        </w:rPr>
      </w:pPr>
      <w:r w:rsidRPr="005C170B">
        <w:rPr>
          <w:rFonts w:ascii="Verdana" w:eastAsia="Arial" w:hAnsi="Verdana" w:cs="Arial"/>
          <w:lang w:val="es-ES"/>
        </w:rPr>
        <w:t>De otro lado, la Ley 489 de 1998, al desarrollar la estructura y organización de la Administración Pública, establece que los entes universitarios hacen parte integral de esta, catalogándolos como entidades públicas de carácter autónomo a las que aplica un régimen especial</w:t>
      </w:r>
      <w:r w:rsidRPr="005C170B">
        <w:rPr>
          <w:rStyle w:val="Refdenotaalpie"/>
          <w:rFonts w:ascii="Verdana" w:eastAsia="Arial" w:hAnsi="Verdana" w:cs="Arial"/>
          <w:lang w:val="es-ES"/>
        </w:rPr>
        <w:footnoteReference w:id="18"/>
      </w:r>
      <w:r w:rsidRPr="005C170B">
        <w:rPr>
          <w:rFonts w:ascii="Verdana" w:eastAsia="Arial" w:hAnsi="Verdana" w:cs="Arial"/>
          <w:lang w:val="es-ES"/>
        </w:rPr>
        <w:t xml:space="preserve">.  Al respecto, en la </w:t>
      </w:r>
      <w:r w:rsidRPr="005C170B">
        <w:rPr>
          <w:rFonts w:ascii="Verdana" w:eastAsia="Arial" w:hAnsi="Verdana" w:cs="Arial"/>
          <w:lang w:val="es-ES"/>
        </w:rPr>
        <w:lastRenderedPageBreak/>
        <w:t>sentencia C-1019 de 2012, la Corte Constitucional señaló:</w:t>
      </w:r>
    </w:p>
    <w:p w14:paraId="07E93FEA" w14:textId="77777777" w:rsidR="005C170B" w:rsidRPr="005C170B" w:rsidRDefault="005C170B" w:rsidP="00843074">
      <w:pPr>
        <w:widowControl w:val="0"/>
        <w:autoSpaceDE w:val="0"/>
        <w:autoSpaceDN w:val="0"/>
        <w:spacing w:before="120" w:after="0" w:line="276" w:lineRule="auto"/>
        <w:ind w:right="102" w:firstLine="708"/>
        <w:jc w:val="both"/>
        <w:rPr>
          <w:rFonts w:ascii="Verdana" w:eastAsia="Arial" w:hAnsi="Verdana" w:cs="Arial"/>
          <w:lang w:val="es-ES"/>
        </w:rPr>
      </w:pPr>
    </w:p>
    <w:p w14:paraId="1ACDD977" w14:textId="6D472CF3" w:rsidR="00A71E92" w:rsidRPr="005C170B" w:rsidRDefault="00A71E92" w:rsidP="00A71E92">
      <w:pPr>
        <w:widowControl w:val="0"/>
        <w:autoSpaceDE w:val="0"/>
        <w:autoSpaceDN w:val="0"/>
        <w:spacing w:after="0" w:line="240" w:lineRule="auto"/>
        <w:ind w:left="709" w:right="709"/>
        <w:jc w:val="both"/>
        <w:rPr>
          <w:rFonts w:ascii="Verdana" w:eastAsia="Arial" w:hAnsi="Verdana" w:cs="Arial"/>
          <w:sz w:val="20"/>
          <w:szCs w:val="20"/>
          <w:lang w:val="es-ES"/>
        </w:rPr>
      </w:pPr>
      <w:r w:rsidRPr="005C170B">
        <w:rPr>
          <w:rFonts w:ascii="Verdana" w:eastAsia="Arial" w:hAnsi="Verdana" w:cs="Arial"/>
          <w:sz w:val="20"/>
          <w:szCs w:val="20"/>
          <w:lang w:val="es-ES"/>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Pr="005C170B">
        <w:rPr>
          <w:rFonts w:ascii="Verdana" w:eastAsia="Arial" w:hAnsi="Verdana" w:cs="Arial"/>
          <w:spacing w:val="49"/>
          <w:sz w:val="20"/>
          <w:szCs w:val="20"/>
          <w:lang w:val="es-ES"/>
        </w:rPr>
        <w:t xml:space="preserve"> </w:t>
      </w:r>
      <w:r w:rsidRPr="005C170B">
        <w:rPr>
          <w:rFonts w:ascii="Verdana" w:eastAsia="Arial" w:hAnsi="Verdana" w:cs="Arial"/>
          <w:sz w:val="20"/>
          <w:szCs w:val="20"/>
          <w:lang w:val="es-ES"/>
        </w:rPr>
        <w:t>exige el cumplimiento de la obligación de colaboración armónica consagrado en el artículo 113 de la C.P. para el cumplimiento de las funciones del Estado</w:t>
      </w:r>
      <w:r w:rsidR="00D4710C" w:rsidRPr="005C170B">
        <w:rPr>
          <w:rFonts w:ascii="Verdana" w:eastAsia="Arial" w:hAnsi="Verdana" w:cs="Arial"/>
          <w:sz w:val="20"/>
          <w:szCs w:val="20"/>
          <w:lang w:val="es-ES"/>
        </w:rPr>
        <w:t>.</w:t>
      </w:r>
    </w:p>
    <w:p w14:paraId="7DCA92D3" w14:textId="77777777" w:rsidR="00D4710C" w:rsidRPr="005C170B" w:rsidRDefault="00D4710C" w:rsidP="00A71E92">
      <w:pPr>
        <w:widowControl w:val="0"/>
        <w:autoSpaceDE w:val="0"/>
        <w:autoSpaceDN w:val="0"/>
        <w:spacing w:after="0" w:line="240" w:lineRule="auto"/>
        <w:ind w:left="709" w:right="709"/>
        <w:jc w:val="both"/>
        <w:rPr>
          <w:rFonts w:ascii="Verdana" w:eastAsia="Arial" w:hAnsi="Verdana" w:cs="Arial"/>
          <w:sz w:val="20"/>
          <w:szCs w:val="20"/>
          <w:lang w:val="es-ES"/>
        </w:rPr>
      </w:pPr>
    </w:p>
    <w:p w14:paraId="19E42DA4" w14:textId="77777777" w:rsidR="00705BB7" w:rsidRPr="005C170B" w:rsidRDefault="00A71E92" w:rsidP="00705BB7">
      <w:pPr>
        <w:widowControl w:val="0"/>
        <w:autoSpaceDE w:val="0"/>
        <w:autoSpaceDN w:val="0"/>
        <w:spacing w:after="0" w:line="240" w:lineRule="auto"/>
        <w:ind w:left="709" w:right="709"/>
        <w:jc w:val="both"/>
        <w:rPr>
          <w:rFonts w:ascii="Verdana" w:eastAsia="Arial" w:hAnsi="Verdana" w:cs="Arial"/>
          <w:sz w:val="20"/>
          <w:szCs w:val="20"/>
          <w:lang w:val="es-ES"/>
        </w:rPr>
      </w:pPr>
      <w:r w:rsidRPr="005C170B">
        <w:rPr>
          <w:rFonts w:ascii="Verdana" w:eastAsia="Arial" w:hAnsi="Verdana" w:cs="Arial"/>
          <w:sz w:val="20"/>
          <w:szCs w:val="20"/>
          <w:lang w:val="es-ES"/>
        </w:rPr>
        <w:t>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w:t>
      </w:r>
      <w:r w:rsidR="00705BB7" w:rsidRPr="005C170B">
        <w:rPr>
          <w:rFonts w:ascii="Verdana" w:eastAsia="Arial" w:hAnsi="Verdana" w:cs="Arial"/>
          <w:sz w:val="20"/>
          <w:szCs w:val="20"/>
          <w:lang w:val="es-ES"/>
        </w:rPr>
        <w:t xml:space="preserve"> ninguna de las ramas del poder ni pueden formar parte de la administración nacional” De esta manera se pretende preservar a las universidades públicas y oficiales, de las injerencias e interferencias arbitrarias e indebidas del poder</w:t>
      </w:r>
      <w:r w:rsidR="00705BB7" w:rsidRPr="005C170B">
        <w:rPr>
          <w:rFonts w:ascii="Verdana" w:eastAsia="Arial" w:hAnsi="Verdana" w:cs="Arial"/>
          <w:spacing w:val="-6"/>
          <w:sz w:val="20"/>
          <w:szCs w:val="20"/>
          <w:lang w:val="es-ES"/>
        </w:rPr>
        <w:t xml:space="preserve"> </w:t>
      </w:r>
      <w:r w:rsidR="00705BB7" w:rsidRPr="005C170B">
        <w:rPr>
          <w:rFonts w:ascii="Verdana" w:eastAsia="Arial" w:hAnsi="Verdana" w:cs="Arial"/>
          <w:sz w:val="20"/>
          <w:szCs w:val="20"/>
          <w:lang w:val="es-ES"/>
        </w:rPr>
        <w:t>político”.</w:t>
      </w:r>
    </w:p>
    <w:p w14:paraId="513CB30F" w14:textId="61B7B94E" w:rsidR="00A71E92" w:rsidRPr="005C170B" w:rsidRDefault="00A71E92" w:rsidP="00A71E92">
      <w:pPr>
        <w:widowControl w:val="0"/>
        <w:autoSpaceDE w:val="0"/>
        <w:autoSpaceDN w:val="0"/>
        <w:spacing w:after="0" w:line="240" w:lineRule="auto"/>
        <w:ind w:left="709" w:right="709"/>
        <w:jc w:val="both"/>
        <w:rPr>
          <w:rFonts w:ascii="Verdana" w:eastAsia="Arial" w:hAnsi="Verdana" w:cs="Arial"/>
          <w:sz w:val="20"/>
          <w:szCs w:val="20"/>
          <w:lang w:val="es-ES"/>
        </w:rPr>
      </w:pPr>
    </w:p>
    <w:p w14:paraId="0D031FAE" w14:textId="77777777" w:rsidR="00CE1C2F" w:rsidRPr="005C170B" w:rsidRDefault="00CE1C2F" w:rsidP="00A71E92">
      <w:pPr>
        <w:widowControl w:val="0"/>
        <w:autoSpaceDE w:val="0"/>
        <w:autoSpaceDN w:val="0"/>
        <w:spacing w:after="0" w:line="240" w:lineRule="auto"/>
        <w:ind w:left="709" w:right="709"/>
        <w:jc w:val="both"/>
        <w:rPr>
          <w:rFonts w:ascii="Verdana" w:eastAsia="Arial" w:hAnsi="Verdana" w:cs="Arial"/>
          <w:sz w:val="20"/>
          <w:szCs w:val="20"/>
          <w:lang w:val="es-ES"/>
        </w:rPr>
      </w:pPr>
    </w:p>
    <w:p w14:paraId="5CF42AAF" w14:textId="77777777" w:rsidR="00CE1C2F" w:rsidRPr="005C170B" w:rsidRDefault="00CE1C2F" w:rsidP="00CE1C2F">
      <w:pPr>
        <w:widowControl w:val="0"/>
        <w:autoSpaceDE w:val="0"/>
        <w:autoSpaceDN w:val="0"/>
        <w:spacing w:line="276" w:lineRule="auto"/>
        <w:ind w:right="108" w:firstLine="527"/>
        <w:jc w:val="both"/>
        <w:rPr>
          <w:rFonts w:ascii="Verdana" w:eastAsia="Arial" w:hAnsi="Verdana" w:cs="Arial"/>
          <w:lang w:val="es-ES"/>
        </w:rPr>
      </w:pPr>
      <w:r w:rsidRPr="005C170B">
        <w:rPr>
          <w:rFonts w:ascii="Verdana" w:eastAsia="Arial" w:hAnsi="Verdana" w:cs="Arial"/>
          <w:lang w:val="es-ES"/>
        </w:rPr>
        <w:t>En armonía con lo anterior, se ha considerado que los entes universitarios no son entidades que hagan parte de la rama ejecutiva, ni pueden, por tanto, considerarse entidades descentralizadas, sino que gozan de un régimen especial. Lo anterior fue señalado por el Consejo de Estado de la siguiente manera</w:t>
      </w:r>
      <w:r w:rsidRPr="005C170B">
        <w:rPr>
          <w:rStyle w:val="Refdenotaalpie"/>
          <w:rFonts w:ascii="Verdana" w:eastAsia="Arial" w:hAnsi="Verdana" w:cs="Arial"/>
          <w:lang w:val="es-ES"/>
        </w:rPr>
        <w:footnoteReference w:id="19"/>
      </w:r>
      <w:r w:rsidRPr="005C170B">
        <w:rPr>
          <w:rFonts w:ascii="Verdana" w:eastAsia="Arial" w:hAnsi="Verdana" w:cs="Arial"/>
          <w:lang w:val="es-ES"/>
        </w:rPr>
        <w:t>:</w:t>
      </w:r>
    </w:p>
    <w:p w14:paraId="1E16672C" w14:textId="77777777" w:rsidR="00CE1C2F" w:rsidRPr="005C170B" w:rsidRDefault="00CE1C2F" w:rsidP="00CE1C2F">
      <w:pPr>
        <w:widowControl w:val="0"/>
        <w:autoSpaceDE w:val="0"/>
        <w:autoSpaceDN w:val="0"/>
        <w:spacing w:after="0" w:line="240" w:lineRule="auto"/>
        <w:ind w:left="709" w:right="709"/>
        <w:jc w:val="both"/>
        <w:rPr>
          <w:rFonts w:ascii="Verdana" w:eastAsia="Arial" w:hAnsi="Verdana" w:cs="Arial"/>
          <w:sz w:val="20"/>
          <w:szCs w:val="20"/>
          <w:lang w:val="es-ES"/>
        </w:rPr>
      </w:pPr>
      <w:r w:rsidRPr="005C170B">
        <w:rPr>
          <w:rFonts w:ascii="Verdana" w:eastAsia="Arial" w:hAnsi="Verdana" w:cs="Arial"/>
          <w:sz w:val="20"/>
          <w:szCs w:val="20"/>
          <w:lang w:val="es-ES"/>
        </w:rPr>
        <w:t xml:space="preserve">“Ahora bien, en la disposición legal [art. 57 de la Ley 30/92] se menciona que las universidades estatales u oficiales están vinculadas al Ministerio de Educación Nacional en lo que se refiere a las políticas y planeación del sector educativo, en donde la jurisprudencia constitucional ha dejado en claro que es únicamente para efectos de coordinar y planear el desarrollo de directrices educativas, y no como organismos supeditados al poder ejecutivo, de manera que deben actuar con independencia del mismo, sin estar sujetas a un control de tutela como el concebido para los </w:t>
      </w:r>
      <w:r w:rsidRPr="005C170B">
        <w:rPr>
          <w:rFonts w:ascii="Verdana" w:eastAsia="Arial" w:hAnsi="Verdana" w:cs="Arial"/>
          <w:sz w:val="20"/>
          <w:szCs w:val="20"/>
          <w:lang w:val="es-ES"/>
        </w:rPr>
        <w:lastRenderedPageBreak/>
        <w:t>establecimientos públicos, concepto que por sí mismo niega la autonomía.</w:t>
      </w:r>
    </w:p>
    <w:p w14:paraId="5C80D687" w14:textId="77777777" w:rsidR="00CE1C2F" w:rsidRPr="005C170B" w:rsidRDefault="00CE1C2F" w:rsidP="00CE1C2F">
      <w:pPr>
        <w:widowControl w:val="0"/>
        <w:autoSpaceDE w:val="0"/>
        <w:autoSpaceDN w:val="0"/>
        <w:spacing w:after="0" w:line="240" w:lineRule="auto"/>
        <w:ind w:left="709" w:right="709"/>
        <w:rPr>
          <w:rFonts w:ascii="Verdana" w:eastAsia="Arial" w:hAnsi="Verdana" w:cs="Arial"/>
          <w:sz w:val="20"/>
          <w:szCs w:val="20"/>
          <w:lang w:val="es-ES"/>
        </w:rPr>
      </w:pPr>
      <w:r w:rsidRPr="005C170B">
        <w:rPr>
          <w:rFonts w:ascii="Verdana" w:eastAsia="Arial" w:hAnsi="Verdana" w:cs="Arial"/>
          <w:sz w:val="20"/>
          <w:szCs w:val="20"/>
          <w:lang w:val="es-ES"/>
        </w:rPr>
        <w:t>[…]</w:t>
      </w:r>
    </w:p>
    <w:p w14:paraId="55B2E730" w14:textId="77777777" w:rsidR="00CE1C2F" w:rsidRPr="005C170B" w:rsidRDefault="00CE1C2F" w:rsidP="00CE1C2F">
      <w:pPr>
        <w:widowControl w:val="0"/>
        <w:autoSpaceDE w:val="0"/>
        <w:autoSpaceDN w:val="0"/>
        <w:spacing w:after="0" w:line="240" w:lineRule="auto"/>
        <w:ind w:left="709" w:right="709"/>
        <w:jc w:val="both"/>
        <w:rPr>
          <w:rFonts w:ascii="Verdana" w:eastAsia="Arial" w:hAnsi="Verdana" w:cs="Arial"/>
          <w:sz w:val="20"/>
          <w:szCs w:val="20"/>
          <w:lang w:val="es-ES"/>
        </w:rPr>
      </w:pPr>
      <w:r w:rsidRPr="005C170B">
        <w:rPr>
          <w:rFonts w:ascii="Verdana" w:eastAsia="Arial" w:hAnsi="Verdana" w:cs="Arial"/>
          <w:sz w:val="20"/>
          <w:szCs w:val="20"/>
          <w:lang w:val="es-ES"/>
        </w:rPr>
        <w:t>La situación se modificó con el actual marco constitucional en donde se estableció [art. 69] la garantía a la autonomía universitaria, para que pudieran darse sus directivas y regirse por sus propios estatutos, de acuerdo con el régimen especial que previera la Ley para las universidades del Estado, por lo cual se despojaban del control de tutela que ejercía el ejecutivo sobre ellas, con el fin de garantizar la independencia académica en la educación superior, sin ningún tipo de injerencia del poder público.</w:t>
      </w:r>
    </w:p>
    <w:p w14:paraId="4B5BF6BA" w14:textId="77777777" w:rsidR="00CE1C2F" w:rsidRPr="005C170B" w:rsidRDefault="00CE1C2F" w:rsidP="00CE1C2F">
      <w:pPr>
        <w:widowControl w:val="0"/>
        <w:autoSpaceDE w:val="0"/>
        <w:autoSpaceDN w:val="0"/>
        <w:spacing w:after="0" w:line="240" w:lineRule="auto"/>
        <w:ind w:left="709" w:right="709"/>
        <w:jc w:val="both"/>
        <w:rPr>
          <w:rFonts w:ascii="Verdana" w:eastAsia="Arial" w:hAnsi="Verdana" w:cs="Arial"/>
          <w:sz w:val="20"/>
          <w:szCs w:val="20"/>
          <w:lang w:val="es-ES"/>
        </w:rPr>
      </w:pPr>
      <w:r w:rsidRPr="005C170B">
        <w:rPr>
          <w:rFonts w:ascii="Verdana" w:eastAsia="Arial" w:hAnsi="Verdana" w:cs="Arial"/>
          <w:sz w:val="20"/>
          <w:szCs w:val="20"/>
          <w:lang w:val="es-ES"/>
        </w:rPr>
        <w:t>Lo anterior hizo que dejaran de pertenecer a la rama ejecutiva y por supuesto no hicieran parte de las demás [legislativa y judicial], al convertirse en organismos autónomos que cumplen funciones estatales de trascendental importancia para la nación, sin perder la calidad de entidades públicas […]”</w:t>
      </w:r>
    </w:p>
    <w:p w14:paraId="5FB279B6" w14:textId="77777777" w:rsidR="00CE1C2F" w:rsidRPr="005C170B" w:rsidRDefault="00CE1C2F" w:rsidP="00A71E92">
      <w:pPr>
        <w:widowControl w:val="0"/>
        <w:autoSpaceDE w:val="0"/>
        <w:autoSpaceDN w:val="0"/>
        <w:spacing w:after="0" w:line="240" w:lineRule="auto"/>
        <w:ind w:left="709" w:right="709"/>
        <w:jc w:val="both"/>
        <w:rPr>
          <w:rFonts w:ascii="Verdana" w:eastAsia="Arial" w:hAnsi="Verdana" w:cs="Arial"/>
          <w:sz w:val="20"/>
          <w:szCs w:val="20"/>
          <w:lang w:val="es-ES"/>
        </w:rPr>
      </w:pPr>
    </w:p>
    <w:p w14:paraId="58F452BA" w14:textId="57271E56" w:rsidR="001975C5" w:rsidRPr="005C170B" w:rsidRDefault="00A61C33" w:rsidP="001975C5">
      <w:pPr>
        <w:tabs>
          <w:tab w:val="left" w:pos="0"/>
        </w:tabs>
        <w:spacing w:after="120" w:line="276" w:lineRule="auto"/>
        <w:ind w:firstLine="709"/>
        <w:jc w:val="both"/>
        <w:rPr>
          <w:rFonts w:ascii="Verdana" w:hAnsi="Verdana"/>
        </w:rPr>
      </w:pPr>
      <w:r w:rsidRPr="005C170B">
        <w:rPr>
          <w:rFonts w:ascii="Verdana" w:eastAsia="Arial" w:hAnsi="Verdana" w:cs="Arial"/>
          <w:lang w:eastAsia="es-MX"/>
        </w:rPr>
        <w:t xml:space="preserve">Teniendo en cuenta lo anterior, dado que las universidades públicas son entidades públicas de carácter autónomo con régimen especial, les aplica la restricción establecida en el artículo 33 de la Ley 996 de 2005, que </w:t>
      </w:r>
      <w:r w:rsidRPr="005C170B">
        <w:rPr>
          <w:rFonts w:ascii="Verdana" w:eastAsia="Times New Roman" w:hAnsi="Verdana" w:cs="Open Sans"/>
          <w:lang w:eastAsia="es-CO"/>
        </w:rPr>
        <w:t>prohíbe la contratación directa por parte de todos los entes estatales durante los cuatro (4)</w:t>
      </w:r>
      <w:r w:rsidR="0019671A" w:rsidRPr="005C170B">
        <w:rPr>
          <w:rFonts w:ascii="Verdana" w:eastAsia="Times New Roman" w:hAnsi="Verdana" w:cs="Open Sans"/>
          <w:lang w:eastAsia="es-CO"/>
        </w:rPr>
        <w:t xml:space="preserve"> meses anteriores a las elecciones presidenciales y dispone las excepciones a dicha prohibición. Por el contrario, a estas entidades no </w:t>
      </w:r>
      <w:r w:rsidR="004E6E4C" w:rsidRPr="005C170B">
        <w:rPr>
          <w:rFonts w:ascii="Verdana" w:eastAsia="Times New Roman" w:hAnsi="Verdana" w:cs="Open Sans"/>
          <w:lang w:eastAsia="es-CO"/>
        </w:rPr>
        <w:t>son susceptibles de</w:t>
      </w:r>
      <w:r w:rsidR="0019671A" w:rsidRPr="005C170B">
        <w:rPr>
          <w:rFonts w:ascii="Verdana" w:eastAsia="Times New Roman" w:hAnsi="Verdana" w:cs="Open Sans"/>
          <w:lang w:eastAsia="es-CO"/>
        </w:rPr>
        <w:t xml:space="preserve"> la restricción contenida en el parágrafo del artículo 38 de la Ley 996 de 2005, dado que esta solo es aplicable a </w:t>
      </w:r>
      <w:r w:rsidR="0019671A" w:rsidRPr="005C170B">
        <w:rPr>
          <w:rFonts w:ascii="Verdana" w:eastAsia="Times New Roman" w:hAnsi="Verdana" w:cs="Arial"/>
          <w:lang w:val="es-MX" w:eastAsia="es-CO"/>
        </w:rPr>
        <w:t>Alcaldes, Gobernadores, Secretarios, Gerentes y Directores de las entidades descentralizadas del orden municipal, departamental o distrital</w:t>
      </w:r>
      <w:r w:rsidR="0019671A" w:rsidRPr="005C170B">
        <w:rPr>
          <w:rFonts w:ascii="Verdana" w:eastAsia="Times New Roman" w:hAnsi="Verdana" w:cs="Open Sans"/>
          <w:lang w:eastAsia="es-CO"/>
        </w:rPr>
        <w:t>.</w:t>
      </w:r>
    </w:p>
    <w:p w14:paraId="6DBBA249" w14:textId="057FAF51" w:rsidR="001975C5" w:rsidRPr="005C170B" w:rsidRDefault="004E6E4C" w:rsidP="004E6E4C">
      <w:pPr>
        <w:spacing w:before="120" w:after="120" w:line="276" w:lineRule="auto"/>
        <w:jc w:val="both"/>
        <w:rPr>
          <w:rFonts w:ascii="Verdana" w:hAnsi="Verdana" w:cs="BCDHEE+Verdana"/>
          <w:color w:val="000000"/>
        </w:rPr>
      </w:pPr>
      <w:r w:rsidRPr="005C170B">
        <w:rPr>
          <w:rFonts w:ascii="Verdana" w:eastAsia="Arial" w:hAnsi="Verdana" w:cs="Arial"/>
          <w:lang w:eastAsia="es-MX"/>
        </w:rPr>
        <w:t>En relación con lo anterior,</w:t>
      </w:r>
      <w:r w:rsidR="00937267" w:rsidRPr="005C170B">
        <w:rPr>
          <w:rFonts w:ascii="Verdana" w:eastAsia="Arial" w:hAnsi="Verdana" w:cs="Arial"/>
          <w:lang w:eastAsia="es-MX"/>
        </w:rPr>
        <w:t xml:space="preserve"> p</w:t>
      </w:r>
      <w:r w:rsidR="00937267" w:rsidRPr="005C170B">
        <w:rPr>
          <w:rFonts w:ascii="Verdana" w:hAnsi="Verdana" w:cs="BCDHEE+Verdana"/>
          <w:color w:val="000000"/>
        </w:rPr>
        <w:t xml:space="preserve">ara las elecciones presidenciales, </w:t>
      </w:r>
      <w:r w:rsidR="005220CC" w:rsidRPr="005C170B">
        <w:rPr>
          <w:rFonts w:ascii="Verdana" w:hAnsi="Verdana" w:cs="BCDHEE+Verdana"/>
          <w:color w:val="000000"/>
        </w:rPr>
        <w:t>la Registraduría Nacional del Estado Civil,</w:t>
      </w:r>
      <w:r w:rsidR="00937267" w:rsidRPr="005C170B">
        <w:rPr>
          <w:rFonts w:ascii="Verdana" w:hAnsi="Verdana" w:cs="BCDHEE+Verdana"/>
          <w:color w:val="000000"/>
        </w:rPr>
        <w:t xml:space="preserve">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cuatro (4) meses anteriores a la elección presidencial, es decir desde el 31 de enero de 2026 y hasta el momento de la celebración de la segunda vuelta, si fuere el caso, queda prohibida la contratación directa por parte de todos los entes del Estado.</w:t>
      </w:r>
    </w:p>
    <w:p w14:paraId="73BCB552" w14:textId="22059121" w:rsidR="00EF7990" w:rsidRPr="005C170B" w:rsidRDefault="00326E3D" w:rsidP="009639AE">
      <w:pPr>
        <w:spacing w:after="0" w:line="276" w:lineRule="auto"/>
        <w:ind w:firstLine="709"/>
        <w:jc w:val="both"/>
        <w:rPr>
          <w:rFonts w:ascii="Verdana" w:eastAsia="Arial" w:hAnsi="Verdana" w:cs="Arial"/>
          <w:bCs/>
          <w:color w:val="000000" w:themeColor="text1"/>
        </w:rPr>
      </w:pPr>
      <w:r w:rsidRPr="005C170B">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5C170B">
        <w:rPr>
          <w:rFonts w:ascii="Verdana" w:eastAsia="Arial" w:hAnsi="Verdana" w:cs="Arial"/>
          <w:bCs/>
          <w:i/>
          <w:iCs/>
          <w:color w:val="000000" w:themeColor="text1"/>
        </w:rPr>
        <w:t>el artículo 33</w:t>
      </w:r>
      <w:r w:rsidRPr="005C170B">
        <w:rPr>
          <w:rFonts w:ascii="Verdana" w:eastAsia="Arial" w:hAnsi="Verdana" w:cs="Arial"/>
          <w:bCs/>
          <w:color w:val="000000" w:themeColor="text1"/>
        </w:rPr>
        <w:t xml:space="preserve"> de la Ley 996 de 2005, es decir, si se trata de cualquier entidad pública que </w:t>
      </w:r>
      <w:r w:rsidRPr="005C170B">
        <w:rPr>
          <w:rFonts w:ascii="Verdana" w:eastAsia="Arial" w:hAnsi="Verdana" w:cs="Arial"/>
          <w:bCs/>
          <w:color w:val="000000" w:themeColor="text1"/>
        </w:rPr>
        <w:lastRenderedPageBreak/>
        <w:t xml:space="preserve">pretenda adelantar un proceso no competitivo. Adicionalmente, será pertinente analizar si se configura alguna de las excepciones previstas en la norma. </w:t>
      </w:r>
    </w:p>
    <w:p w14:paraId="107170E8" w14:textId="77777777" w:rsidR="009639AE" w:rsidRPr="005C170B" w:rsidRDefault="009639AE" w:rsidP="009639AE">
      <w:pPr>
        <w:spacing w:after="0" w:line="276" w:lineRule="auto"/>
        <w:ind w:firstLine="709"/>
        <w:jc w:val="both"/>
        <w:rPr>
          <w:rFonts w:ascii="Verdana" w:eastAsia="Arial" w:hAnsi="Verdana" w:cs="Arial"/>
          <w:bCs/>
          <w:color w:val="000000" w:themeColor="text1"/>
        </w:rPr>
      </w:pPr>
    </w:p>
    <w:p w14:paraId="68251D47" w14:textId="16931E93" w:rsidR="0055038B" w:rsidRPr="005C170B" w:rsidRDefault="00326E3D" w:rsidP="001178E6">
      <w:pPr>
        <w:tabs>
          <w:tab w:val="left" w:pos="0"/>
        </w:tabs>
        <w:spacing w:after="120" w:line="276" w:lineRule="auto"/>
        <w:ind w:firstLine="709"/>
        <w:jc w:val="both"/>
        <w:rPr>
          <w:rFonts w:ascii="Verdana" w:eastAsia="Arial" w:hAnsi="Verdana" w:cs="Arial"/>
          <w:color w:val="000000"/>
        </w:rPr>
      </w:pPr>
      <w:r w:rsidRPr="005C170B">
        <w:rPr>
          <w:rFonts w:ascii="Verdana" w:eastAsia="Calibri" w:hAnsi="Verdana" w:cs="Arial"/>
          <w:b/>
          <w:color w:val="000000" w:themeColor="text1"/>
        </w:rPr>
        <w:t>vi.</w:t>
      </w:r>
      <w:r w:rsidRPr="005C170B">
        <w:rPr>
          <w:rFonts w:ascii="Verdana" w:eastAsia="Calibri" w:hAnsi="Verdana" w:cs="Arial"/>
          <w:bCs/>
          <w:color w:val="000000" w:themeColor="text1"/>
        </w:rPr>
        <w:t xml:space="preserve"> </w:t>
      </w:r>
      <w:r w:rsidR="0055038B" w:rsidRPr="005C170B">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2E12520" w14:textId="77777777" w:rsidR="0055038B" w:rsidRPr="005C170B" w:rsidRDefault="0055038B" w:rsidP="0055038B">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25A31E3" w14:textId="77777777" w:rsidR="0055038B" w:rsidRPr="005C170B" w:rsidRDefault="0055038B" w:rsidP="0055038B">
      <w:pPr>
        <w:widowControl w:val="0"/>
        <w:autoSpaceDE w:val="0"/>
        <w:autoSpaceDN w:val="0"/>
        <w:spacing w:after="0" w:line="276" w:lineRule="auto"/>
        <w:jc w:val="both"/>
        <w:rPr>
          <w:rFonts w:ascii="Verdana" w:hAnsi="Verdana" w:cs="Arial"/>
        </w:rPr>
      </w:pPr>
    </w:p>
    <w:p w14:paraId="1938B5A6" w14:textId="77777777" w:rsidR="0055038B" w:rsidRPr="005C170B"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Referencias normativas, jurisprudenciales y otras fuentes:</w:t>
      </w:r>
    </w:p>
    <w:p w14:paraId="2F9D4F2A" w14:textId="77777777" w:rsidR="0055038B" w:rsidRPr="005C170B" w:rsidRDefault="0055038B" w:rsidP="0055038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5038B" w:rsidRPr="005C170B" w14:paraId="3D6A3094" w14:textId="77777777" w:rsidTr="00BA05D4">
        <w:trPr>
          <w:trHeight w:val="870"/>
        </w:trPr>
        <w:tc>
          <w:tcPr>
            <w:tcW w:w="8647" w:type="dxa"/>
          </w:tcPr>
          <w:p w14:paraId="73BB69E3"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Ley 996 de 2005, artículo 33 y 38.</w:t>
            </w:r>
          </w:p>
          <w:p w14:paraId="77DA2159"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Gaceta del Congreso de la República No. 71 del 2005.</w:t>
            </w:r>
          </w:p>
          <w:p w14:paraId="063E4527"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Corte Constitucional, Sentencia C- 1153 de 2005, M.P. Marco Gerardo Monroy Cabra.</w:t>
            </w:r>
          </w:p>
          <w:p w14:paraId="1DEF9959"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Corte Constitucional. Sentencias: C-233 de 4 de abril de 2002, expediente: D-3704; C-551 de 9 de julio de 2003, expediente: CRF-001 de 9 de julio de 2003; C-652 de 5 de agosto de 2003, expediente: D 4330; C-353 de 20 de mayo de 2009, expediente: D-7518, C-541 de 30 de junio de 2010, expediente: DD7966; entre otras.</w:t>
            </w:r>
          </w:p>
          <w:p w14:paraId="0BDABD4F"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lastRenderedPageBreak/>
              <w:t>Consejo de Estado, Sala de lo Contencioso Administrativo, Sección Primera. Sentencia de 3 de marzo de 2005, expediente número 2004-00823-01(PI).</w:t>
            </w:r>
          </w:p>
          <w:p w14:paraId="619D283C"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Sala de lo Contencioso Administrativo, Sección Tercera. Sentencia de 22 de enero de 2002, expediente número 2001-0148-01.</w:t>
            </w:r>
          </w:p>
          <w:p w14:paraId="651D69E6"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Sala de lo Contencioso Administrativo, Sección Tercera. Sentencia de 20 de noviembre de 2001, expediente número 2001-0130-01(PI).</w:t>
            </w:r>
          </w:p>
          <w:p w14:paraId="3474902C"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Sala de Consulta y Servicio Civil de fecha 24 de julio de 2013, radicado 2166, C. P. Álvaro Namén Vargas.</w:t>
            </w:r>
          </w:p>
          <w:p w14:paraId="76CBA5DF"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Sala de Consulta y Servicio Civil. Concepto del 17 de febrero de 2015. C.P. William Zambrano Cetina. Radicación No. 11001-03-06-000-2015-00164-00(2269).</w:t>
            </w:r>
          </w:p>
          <w:p w14:paraId="7DA75D8F"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Sección Tercera. Sentencia de 3 de diciembre de 2007. Radicados: 24.715, 25.206, 25.409, 24.524, 27.834, 25.410, 26.105, 28.244, 31.447 -acumulados-”.</w:t>
            </w:r>
          </w:p>
          <w:p w14:paraId="18BD3967"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Sala de Consulta y Servicio Civil. Concepto 1712 del 02 de febrero de 2006.</w:t>
            </w:r>
          </w:p>
          <w:p w14:paraId="2E4FE109"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Sala de Consulta y Servicio Civil. Concepto del 2 de septiembre de 2013. Radicación número: 11001-03-06-000-2013-00412-00 (2168). Consejero Ponente: Álvaro Namén Vargas.</w:t>
            </w:r>
          </w:p>
          <w:p w14:paraId="4978EE16"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Sala de Consulta y Servicio Civil. Concepto del 08 de mayo de 2018.</w:t>
            </w:r>
          </w:p>
          <w:p w14:paraId="3F529756"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Corte Constitucional. Sentencia C-1153-05 de 11 de noviembre de 2005. Magistrado Ponente Marco Gerardo Monroy Cabra.</w:t>
            </w:r>
          </w:p>
          <w:p w14:paraId="5E8493CF"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Ley 30 de 1992, artículo 57 y 93.</w:t>
            </w:r>
          </w:p>
          <w:p w14:paraId="1F2756AD"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Ley 489 de 1998</w:t>
            </w:r>
          </w:p>
          <w:p w14:paraId="4334E298" w14:textId="77777777" w:rsidR="00F02249"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Sección Cuarta. Sentencia del 16 de diciembre de 2008. Exp. 16.297. C.P. Martha Teresa Briceño de Valencia.</w:t>
            </w:r>
          </w:p>
          <w:p w14:paraId="03E68432" w14:textId="051869E8" w:rsidR="00DF25E0" w:rsidRPr="005C170B" w:rsidRDefault="00F02249" w:rsidP="00F02249">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Registraduría Nacional del Estado Civil. Resolución 2580 del 5 de marzo de 2025. “Por la cual se fija el calendario electoral para las elecciones de presidente y vicepresidente de la república (primera vuelta) para el período constitucional 2026-2030”.</w:t>
            </w:r>
          </w:p>
        </w:tc>
      </w:tr>
    </w:tbl>
    <w:p w14:paraId="1F377FE5" w14:textId="77777777" w:rsidR="002C745A" w:rsidRPr="005C170B" w:rsidRDefault="002C745A" w:rsidP="0055038B">
      <w:pPr>
        <w:widowControl w:val="0"/>
        <w:autoSpaceDE w:val="0"/>
        <w:autoSpaceDN w:val="0"/>
        <w:spacing w:after="0" w:line="276" w:lineRule="auto"/>
        <w:jc w:val="both"/>
        <w:rPr>
          <w:rFonts w:ascii="Verdana" w:hAnsi="Verdana" w:cs="Arial"/>
        </w:rPr>
      </w:pPr>
    </w:p>
    <w:p w14:paraId="197A92AE" w14:textId="77777777" w:rsidR="0055038B" w:rsidRPr="005C170B"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lastRenderedPageBreak/>
        <w:t>Doctrina de la Agencia Nacional de Contratación Pública:</w:t>
      </w:r>
    </w:p>
    <w:p w14:paraId="0E59D569" w14:textId="77777777" w:rsidR="0055038B" w:rsidRPr="005C170B" w:rsidRDefault="0055038B" w:rsidP="0055038B">
      <w:pPr>
        <w:widowControl w:val="0"/>
        <w:autoSpaceDE w:val="0"/>
        <w:autoSpaceDN w:val="0"/>
        <w:spacing w:after="0" w:line="276" w:lineRule="auto"/>
        <w:jc w:val="both"/>
        <w:rPr>
          <w:rFonts w:ascii="Verdana" w:hAnsi="Verdana" w:cs="Arial"/>
        </w:rPr>
      </w:pPr>
    </w:p>
    <w:p w14:paraId="6855B3AA" w14:textId="21FB882B" w:rsidR="00660873" w:rsidRPr="005C170B" w:rsidRDefault="0055038B" w:rsidP="00660873">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5C170B">
        <w:rPr>
          <w:rFonts w:ascii="Verdana" w:hAnsi="Verdana" w:cs="Arial"/>
          <w:shd w:val="clear" w:color="auto" w:fill="FFFFFF"/>
        </w:rPr>
        <w:t xml:space="preserve">Esta Subdirección se ha pronunciado </w:t>
      </w:r>
      <w:r w:rsidR="00660873" w:rsidRPr="005C170B">
        <w:rPr>
          <w:rFonts w:ascii="Verdana" w:hAnsi="Verdana" w:cs="Arial"/>
          <w:shd w:val="clear" w:color="auto" w:fill="FFFFFF"/>
        </w:rPr>
        <w:t xml:space="preserve">sobre </w:t>
      </w:r>
      <w:r w:rsidR="00EA69C7" w:rsidRPr="005C170B">
        <w:rPr>
          <w:rFonts w:ascii="Verdana" w:hAnsi="Verdana" w:cs="Arial"/>
          <w:shd w:val="clear" w:color="auto" w:fill="FFFFFF"/>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C-1124 del 18 de septiembre de 2025, C-1491 del 20 de noviembre de 2025, C- 1492 del </w:t>
      </w:r>
      <w:r w:rsidR="00EA69C7" w:rsidRPr="005C170B">
        <w:rPr>
          <w:rFonts w:ascii="Verdana" w:hAnsi="Verdana"/>
        </w:rPr>
        <w:t>21 de noviembre del 2025, C-1629, C-1646 del 17 de diciembre de 2025, C-1662 del 22 de diciembre de 2025</w:t>
      </w:r>
      <w:r w:rsidR="00EA69C7" w:rsidRPr="005C170B">
        <w:rPr>
          <w:rStyle w:val="normaltextrun"/>
          <w:rFonts w:ascii="Verdana" w:hAnsi="Verdana" w:cs="Arial"/>
          <w:shd w:val="clear" w:color="auto" w:fill="FFFFFF"/>
          <w:lang w:val="es-ES"/>
        </w:rPr>
        <w:t>, C-160 del 24 de febrero de 2026, C-108 del 4 de marzo de 2026, entre otros.</w:t>
      </w:r>
      <w:r w:rsidR="00EA69C7" w:rsidRPr="005C170B">
        <w:rPr>
          <w:rFonts w:ascii="Verdana" w:hAnsi="Verdana" w:cs="Arial"/>
          <w:shd w:val="clear" w:color="auto" w:fill="FFFFFF"/>
          <w:lang w:val="es-ES"/>
        </w:rPr>
        <w:t xml:space="preserve"> </w:t>
      </w:r>
      <w:r w:rsidR="00660873" w:rsidRPr="005C170B">
        <w:rPr>
          <w:rFonts w:ascii="Verdana" w:hAnsi="Verdana" w:cs="Arial"/>
          <w:color w:val="000000" w:themeColor="text1"/>
          <w:shd w:val="clear" w:color="auto" w:fill="FFFFFF"/>
        </w:rPr>
        <w:t xml:space="preserve">Estos </w:t>
      </w:r>
      <w:r w:rsidR="00660873" w:rsidRPr="005C170B">
        <w:rPr>
          <w:rStyle w:val="normaltextrun"/>
          <w:rFonts w:ascii="Verdana" w:hAnsi="Verdana" w:cs="Arial"/>
          <w:color w:val="000000" w:themeColor="text1"/>
          <w:shd w:val="clear" w:color="auto" w:fill="FFFFFF"/>
        </w:rPr>
        <w:t xml:space="preserve">se encuentran disponibles para consulta en el Sistema de relatoría de la Agencia, al cual puede accederse a través del siguiente enlace: </w:t>
      </w:r>
      <w:hyperlink r:id="rId13" w:history="1">
        <w:r w:rsidR="00660873" w:rsidRPr="005C170B">
          <w:rPr>
            <w:rStyle w:val="Hipervnculo"/>
            <w:rFonts w:ascii="Verdana" w:hAnsi="Verdana" w:cs="Arial"/>
            <w:shd w:val="clear" w:color="auto" w:fill="FFFFFF"/>
          </w:rPr>
          <w:t>https://relatoria.colombiacompra.gov.co/busqueda/conceptos</w:t>
        </w:r>
      </w:hyperlink>
      <w:r w:rsidR="00660873" w:rsidRPr="005C170B">
        <w:rPr>
          <w:rStyle w:val="Hipervnculo"/>
          <w:rFonts w:ascii="Verdana" w:hAnsi="Verdana"/>
        </w:rPr>
        <w:t>.</w:t>
      </w:r>
      <w:r w:rsidR="00660873" w:rsidRPr="005C170B">
        <w:rPr>
          <w:rStyle w:val="normaltextrun"/>
          <w:rFonts w:ascii="Verdana" w:hAnsi="Verdana" w:cs="Arial"/>
          <w:color w:val="000000" w:themeColor="text1"/>
          <w:shd w:val="clear" w:color="auto" w:fill="FFFFFF"/>
        </w:rPr>
        <w:t xml:space="preserve"> </w:t>
      </w:r>
      <w:r w:rsidR="00660873" w:rsidRPr="005C170B">
        <w:rPr>
          <w:rStyle w:val="normaltextrun"/>
          <w:rFonts w:ascii="Verdana" w:hAnsi="Verdana" w:cs="Arial"/>
          <w:color w:val="000000" w:themeColor="text1"/>
          <w:shd w:val="clear" w:color="auto" w:fill="FFFFFF"/>
          <w:lang w:val="es-ES"/>
        </w:rPr>
        <w:t xml:space="preserve"> </w:t>
      </w:r>
    </w:p>
    <w:p w14:paraId="275CD977" w14:textId="3ADA70B4" w:rsidR="0055038B" w:rsidRPr="005C170B" w:rsidRDefault="0055038B" w:rsidP="0055038B">
      <w:pPr>
        <w:widowControl w:val="0"/>
        <w:autoSpaceDE w:val="0"/>
        <w:autoSpaceDN w:val="0"/>
        <w:spacing w:after="0" w:line="276" w:lineRule="auto"/>
        <w:jc w:val="both"/>
        <w:rPr>
          <w:rFonts w:ascii="Verdana" w:hAnsi="Verdana" w:cs="Arial"/>
          <w:shd w:val="clear" w:color="auto" w:fill="FFFFFF"/>
        </w:rPr>
      </w:pPr>
    </w:p>
    <w:p w14:paraId="300F662D" w14:textId="77777777" w:rsidR="0055038B" w:rsidRPr="005C170B" w:rsidRDefault="0055038B" w:rsidP="0055038B">
      <w:pPr>
        <w:spacing w:after="0" w:line="240" w:lineRule="auto"/>
        <w:jc w:val="both"/>
        <w:rPr>
          <w:rFonts w:ascii="Verdana" w:hAnsi="Verdana"/>
        </w:rPr>
      </w:pPr>
    </w:p>
    <w:p w14:paraId="59CF8BD0" w14:textId="77777777" w:rsidR="0055038B" w:rsidRPr="005C170B" w:rsidRDefault="0055038B" w:rsidP="0055038B">
      <w:pPr>
        <w:spacing w:after="0" w:line="240" w:lineRule="auto"/>
        <w:jc w:val="both"/>
        <w:rPr>
          <w:rFonts w:ascii="Verdana" w:hAnsi="Verdana"/>
        </w:rPr>
      </w:pPr>
      <w:r w:rsidRPr="005C170B">
        <w:rPr>
          <w:rFonts w:ascii="Verdana" w:hAnsi="Verdana"/>
        </w:rPr>
        <w:t xml:space="preserve">Por último, lo invitamos a seguirnos en las redes sociales en las cuales se difunde información institucional: </w:t>
      </w:r>
    </w:p>
    <w:p w14:paraId="0A337EA3" w14:textId="77777777" w:rsidR="0055038B" w:rsidRPr="005C170B" w:rsidRDefault="0055038B" w:rsidP="0055038B">
      <w:pPr>
        <w:spacing w:after="0" w:line="240" w:lineRule="auto"/>
        <w:jc w:val="both"/>
        <w:rPr>
          <w:rFonts w:ascii="Verdana" w:hAnsi="Verdana"/>
        </w:rPr>
      </w:pPr>
    </w:p>
    <w:p w14:paraId="748DDF0C" w14:textId="77777777" w:rsidR="0055038B" w:rsidRPr="005C170B" w:rsidRDefault="0055038B" w:rsidP="0055038B">
      <w:pPr>
        <w:spacing w:after="0" w:line="240" w:lineRule="auto"/>
        <w:jc w:val="both"/>
        <w:rPr>
          <w:rFonts w:ascii="Verdana" w:hAnsi="Verdana"/>
        </w:rPr>
      </w:pPr>
      <w:r w:rsidRPr="005C170B">
        <w:rPr>
          <w:rFonts w:ascii="Verdana" w:hAnsi="Verdana"/>
        </w:rPr>
        <w:t xml:space="preserve">Twitter: </w:t>
      </w:r>
      <w:r w:rsidRPr="005C170B">
        <w:rPr>
          <w:rStyle w:val="Hipervnculo"/>
          <w:rFonts w:ascii="Verdana" w:hAnsi="Verdana"/>
        </w:rPr>
        <w:t>@colombiacompra</w:t>
      </w:r>
      <w:r w:rsidRPr="005C170B">
        <w:rPr>
          <w:rFonts w:ascii="Verdana" w:hAnsi="Verdana"/>
          <w:color w:val="0000FF"/>
        </w:rPr>
        <w:t xml:space="preserve"> </w:t>
      </w:r>
    </w:p>
    <w:p w14:paraId="01B2B32B" w14:textId="77777777" w:rsidR="0055038B" w:rsidRPr="005C170B" w:rsidRDefault="0055038B" w:rsidP="0055038B">
      <w:pPr>
        <w:spacing w:after="0" w:line="240" w:lineRule="auto"/>
        <w:jc w:val="both"/>
        <w:rPr>
          <w:rFonts w:ascii="Verdana" w:hAnsi="Verdana"/>
        </w:rPr>
      </w:pPr>
      <w:r w:rsidRPr="005C170B">
        <w:rPr>
          <w:rFonts w:ascii="Verdana" w:hAnsi="Verdana"/>
        </w:rPr>
        <w:t xml:space="preserve">Facebook: </w:t>
      </w:r>
      <w:r w:rsidRPr="005C170B">
        <w:rPr>
          <w:rStyle w:val="Hipervnculo"/>
          <w:rFonts w:ascii="Verdana" w:hAnsi="Verdana"/>
        </w:rPr>
        <w:t>ColombiaCompraEficiente</w:t>
      </w:r>
    </w:p>
    <w:p w14:paraId="3F902A00" w14:textId="77777777" w:rsidR="0055038B" w:rsidRPr="005C170B" w:rsidRDefault="0055038B" w:rsidP="0055038B">
      <w:pPr>
        <w:spacing w:after="0" w:line="240" w:lineRule="auto"/>
        <w:jc w:val="both"/>
        <w:rPr>
          <w:rFonts w:ascii="Verdana" w:hAnsi="Verdana"/>
        </w:rPr>
      </w:pPr>
      <w:r w:rsidRPr="005C170B">
        <w:rPr>
          <w:rFonts w:ascii="Verdana" w:hAnsi="Verdana"/>
        </w:rPr>
        <w:t xml:space="preserve">LinkedIn: </w:t>
      </w:r>
      <w:r w:rsidRPr="005C170B">
        <w:rPr>
          <w:rStyle w:val="Hipervnculo"/>
          <w:rFonts w:ascii="Verdana" w:hAnsi="Verdana"/>
        </w:rPr>
        <w:t>Agencia Nacional de Contratación Pública - Colombia Compra Eficiente</w:t>
      </w:r>
      <w:r w:rsidRPr="005C170B">
        <w:rPr>
          <w:rFonts w:ascii="Verdana" w:hAnsi="Verdana"/>
          <w:color w:val="0000FF"/>
        </w:rPr>
        <w:t xml:space="preserve"> </w:t>
      </w:r>
      <w:r w:rsidRPr="005C170B">
        <w:rPr>
          <w:rFonts w:ascii="Verdana" w:hAnsi="Verdana"/>
        </w:rPr>
        <w:t xml:space="preserve">Instagram: </w:t>
      </w:r>
      <w:r w:rsidRPr="005C170B">
        <w:rPr>
          <w:rStyle w:val="Hipervnculo"/>
          <w:rFonts w:ascii="Verdana" w:hAnsi="Verdana"/>
        </w:rPr>
        <w:t>@colombiacompraeficiente_cce</w:t>
      </w:r>
    </w:p>
    <w:p w14:paraId="18A81061" w14:textId="77777777" w:rsidR="0055038B" w:rsidRPr="005C170B" w:rsidRDefault="0055038B" w:rsidP="0055038B">
      <w:pPr>
        <w:widowControl w:val="0"/>
        <w:autoSpaceDE w:val="0"/>
        <w:autoSpaceDN w:val="0"/>
        <w:spacing w:after="0" w:line="276" w:lineRule="auto"/>
        <w:jc w:val="both"/>
        <w:rPr>
          <w:rFonts w:ascii="Verdana" w:hAnsi="Verdana" w:cs="Arial"/>
        </w:rPr>
      </w:pPr>
    </w:p>
    <w:p w14:paraId="02892392" w14:textId="77777777" w:rsidR="0055038B" w:rsidRPr="005C170B" w:rsidRDefault="0055038B" w:rsidP="0055038B">
      <w:pPr>
        <w:widowControl w:val="0"/>
        <w:autoSpaceDE w:val="0"/>
        <w:autoSpaceDN w:val="0"/>
        <w:spacing w:after="0" w:line="276" w:lineRule="auto"/>
        <w:jc w:val="both"/>
        <w:rPr>
          <w:rFonts w:ascii="Verdana" w:hAnsi="Verdana" w:cs="Arial"/>
          <w:lang w:val="es-ES_tradnl"/>
        </w:rPr>
      </w:pPr>
      <w:r w:rsidRPr="005C170B">
        <w:rPr>
          <w:rFonts w:ascii="Verdana" w:hAnsi="Verdana" w:cs="Arial"/>
        </w:rPr>
        <w:t xml:space="preserve">Este concepto tiene el alcance previsto en el artículo 28 del Código de Procedimiento Administrativo y de lo Contencioso Administrativo </w:t>
      </w:r>
      <w:r w:rsidRPr="005C170B">
        <w:rPr>
          <w:rFonts w:ascii="Verdana" w:hAnsi="Verdana" w:cs="Arial"/>
          <w:lang w:val="es-ES_tradnl"/>
        </w:rPr>
        <w:t>y las expresiones aquí utilizadas con mayúscula inicial deben ser entendidas con el significado que les otorga el artículo 2.2.1.1.1.3.1. del Decreto 1082 de 2015.</w:t>
      </w:r>
    </w:p>
    <w:p w14:paraId="622652B5" w14:textId="77777777" w:rsidR="0055038B" w:rsidRPr="005C170B" w:rsidRDefault="0055038B" w:rsidP="0055038B">
      <w:pPr>
        <w:widowControl w:val="0"/>
        <w:autoSpaceDE w:val="0"/>
        <w:autoSpaceDN w:val="0"/>
        <w:spacing w:after="0" w:line="276" w:lineRule="auto"/>
        <w:jc w:val="both"/>
        <w:rPr>
          <w:rFonts w:ascii="Verdana" w:hAnsi="Verdana" w:cs="Arial"/>
        </w:rPr>
      </w:pPr>
    </w:p>
    <w:p w14:paraId="733FCC36" w14:textId="77777777" w:rsidR="0055038B" w:rsidRPr="005C170B" w:rsidRDefault="0055038B" w:rsidP="0055038B">
      <w:pPr>
        <w:spacing w:after="0" w:line="240" w:lineRule="auto"/>
        <w:rPr>
          <w:rFonts w:ascii="Verdana" w:hAnsi="Verdana" w:cs="Arial"/>
          <w:lang w:eastAsia="es-CO"/>
        </w:rPr>
      </w:pPr>
      <w:r w:rsidRPr="005C170B">
        <w:rPr>
          <w:rFonts w:ascii="Verdana" w:eastAsia="Times New Roman" w:hAnsi="Verdana" w:cs="Arial"/>
          <w:lang w:eastAsia="es-CO"/>
        </w:rPr>
        <w:t>Atentamente,</w:t>
      </w:r>
      <w:r w:rsidRPr="005C170B">
        <w:rPr>
          <w:rFonts w:ascii="Verdana" w:hAnsi="Verdana" w:cs="Arial"/>
          <w:lang w:eastAsia="es-CO"/>
        </w:rPr>
        <w:t xml:space="preserve"> </w:t>
      </w:r>
    </w:p>
    <w:p w14:paraId="03F859CC" w14:textId="1652F4FE" w:rsidR="003C0FBA" w:rsidRPr="005C170B" w:rsidRDefault="00DD52B6" w:rsidP="00DD52B6">
      <w:pPr>
        <w:spacing w:line="276" w:lineRule="auto"/>
        <w:jc w:val="center"/>
        <w:rPr>
          <w:rFonts w:ascii="Verdana" w:hAnsi="Verdana" w:cs="Arial"/>
          <w:color w:val="000000"/>
          <w:lang w:eastAsia="es-CO"/>
        </w:rPr>
      </w:pPr>
      <w:r w:rsidRPr="00DD52B6">
        <w:rPr>
          <w:rFonts w:ascii="Verdana" w:hAnsi="Verdana" w:cs="Arial"/>
          <w:noProof/>
          <w:color w:val="000000"/>
          <w:lang w:eastAsia="es-CO"/>
        </w:rPr>
        <w:lastRenderedPageBreak/>
        <w:drawing>
          <wp:inline distT="0" distB="0" distL="0" distR="0" wp14:anchorId="3AB0EB39" wp14:editId="40DC710B">
            <wp:extent cx="4257675" cy="1685659"/>
            <wp:effectExtent l="0" t="0" r="0" b="0"/>
            <wp:docPr id="56129391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64895" cy="1688518"/>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5038B" w:rsidRPr="005C170B" w14:paraId="53706749" w14:textId="77777777" w:rsidTr="00BA05D4">
        <w:trPr>
          <w:trHeight w:val="315"/>
        </w:trPr>
        <w:tc>
          <w:tcPr>
            <w:tcW w:w="893" w:type="dxa"/>
            <w:vAlign w:val="center"/>
            <w:hideMark/>
          </w:tcPr>
          <w:p w14:paraId="59C860F1" w14:textId="77777777" w:rsidR="0055038B" w:rsidRPr="005C170B" w:rsidRDefault="0055038B" w:rsidP="00BA05D4">
            <w:pPr>
              <w:contextualSpacing/>
              <w:rPr>
                <w:rFonts w:ascii="Verdana" w:hAnsi="Verdana" w:cs="Arial"/>
                <w:sz w:val="16"/>
                <w:szCs w:val="16"/>
                <w:lang w:val="es-ES" w:eastAsia="es-ES"/>
              </w:rPr>
            </w:pPr>
            <w:r w:rsidRPr="005C170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73BD164" w14:textId="77777777" w:rsidR="0055038B" w:rsidRPr="005C170B" w:rsidRDefault="0055038B" w:rsidP="00BA05D4">
            <w:pPr>
              <w:contextualSpacing/>
              <w:rPr>
                <w:rFonts w:ascii="Verdana" w:eastAsia="Arial" w:hAnsi="Verdana" w:cs="Arial"/>
                <w:sz w:val="16"/>
                <w:szCs w:val="16"/>
              </w:rPr>
            </w:pPr>
            <w:r w:rsidRPr="005C170B">
              <w:rPr>
                <w:rFonts w:ascii="Verdana" w:eastAsia="Arial" w:hAnsi="Verdana" w:cs="Arial"/>
                <w:sz w:val="16"/>
                <w:szCs w:val="16"/>
              </w:rPr>
              <w:t>Andrea Camila Polo Paz</w:t>
            </w:r>
          </w:p>
          <w:p w14:paraId="4CDCF358" w14:textId="77777777" w:rsidR="0055038B" w:rsidRPr="005C170B" w:rsidRDefault="0055038B" w:rsidP="00BA05D4">
            <w:pPr>
              <w:contextualSpacing/>
              <w:rPr>
                <w:rFonts w:ascii="Verdana" w:eastAsia="Arial" w:hAnsi="Verdana" w:cs="Arial"/>
                <w:sz w:val="16"/>
                <w:szCs w:val="16"/>
              </w:rPr>
            </w:pPr>
            <w:r w:rsidRPr="005C170B">
              <w:rPr>
                <w:rStyle w:val="normaltextrun"/>
                <w:rFonts w:ascii="Verdana" w:eastAsia="Arial" w:hAnsi="Verdana" w:cs="Arial"/>
                <w:sz w:val="16"/>
                <w:szCs w:val="16"/>
              </w:rPr>
              <w:t>Analista T02-1 de la Subdirección de Gestión Contractual</w:t>
            </w:r>
          </w:p>
        </w:tc>
      </w:tr>
      <w:tr w:rsidR="0055038B" w:rsidRPr="005C170B" w14:paraId="1D65F365" w14:textId="77777777" w:rsidTr="00BA05D4">
        <w:trPr>
          <w:trHeight w:val="330"/>
        </w:trPr>
        <w:tc>
          <w:tcPr>
            <w:tcW w:w="893" w:type="dxa"/>
            <w:vAlign w:val="center"/>
            <w:hideMark/>
          </w:tcPr>
          <w:p w14:paraId="1A374013" w14:textId="77777777" w:rsidR="0055038B" w:rsidRPr="005C170B" w:rsidRDefault="0055038B" w:rsidP="00BA05D4">
            <w:pPr>
              <w:contextualSpacing/>
              <w:rPr>
                <w:rFonts w:ascii="Verdana" w:hAnsi="Verdana" w:cs="Arial"/>
                <w:sz w:val="16"/>
                <w:szCs w:val="16"/>
                <w:lang w:val="es-ES" w:eastAsia="es-ES"/>
              </w:rPr>
            </w:pPr>
            <w:r w:rsidRPr="005C170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CD7B31" w14:textId="28A7C633" w:rsidR="00660873" w:rsidRPr="005C170B" w:rsidRDefault="00D3402A" w:rsidP="00BA05D4">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David Cárdenas Cabeza</w:t>
            </w:r>
          </w:p>
          <w:p w14:paraId="628B8479" w14:textId="19252A1E" w:rsidR="0055038B" w:rsidRPr="005C170B" w:rsidRDefault="0055038B" w:rsidP="00BA05D4">
            <w:pPr>
              <w:pStyle w:val="paragraph"/>
              <w:spacing w:before="0" w:beforeAutospacing="0" w:after="0" w:afterAutospacing="0"/>
              <w:contextualSpacing/>
              <w:textAlignment w:val="baseline"/>
              <w:rPr>
                <w:rFonts w:ascii="Verdana" w:hAnsi="Verdana" w:cs="Arial"/>
                <w:sz w:val="16"/>
                <w:szCs w:val="16"/>
                <w:lang w:val="es-ES"/>
              </w:rPr>
            </w:pPr>
            <w:r w:rsidRPr="005C170B">
              <w:rPr>
                <w:rStyle w:val="normaltextrun"/>
                <w:rFonts w:ascii="Verdana" w:hAnsi="Verdana" w:cs="Arial"/>
                <w:sz w:val="16"/>
                <w:szCs w:val="16"/>
                <w:lang w:val="es-ES"/>
              </w:rPr>
              <w:t>Contratista de la Subdirección de Gestión Contractual</w:t>
            </w:r>
            <w:r w:rsidRPr="005C170B">
              <w:rPr>
                <w:rStyle w:val="eop"/>
                <w:rFonts w:ascii="Verdana" w:hAnsi="Verdana" w:cs="Arial"/>
                <w:sz w:val="16"/>
                <w:szCs w:val="16"/>
              </w:rPr>
              <w:t> </w:t>
            </w:r>
          </w:p>
        </w:tc>
      </w:tr>
      <w:tr w:rsidR="0055038B" w:rsidRPr="005C170B" w14:paraId="61B369D3" w14:textId="77777777" w:rsidTr="00BA05D4">
        <w:trPr>
          <w:trHeight w:val="300"/>
        </w:trPr>
        <w:tc>
          <w:tcPr>
            <w:tcW w:w="893" w:type="dxa"/>
            <w:vAlign w:val="center"/>
          </w:tcPr>
          <w:p w14:paraId="6B373092" w14:textId="77777777" w:rsidR="0055038B" w:rsidRPr="005C170B" w:rsidRDefault="0055038B" w:rsidP="00BA05D4">
            <w:pPr>
              <w:contextualSpacing/>
              <w:rPr>
                <w:rFonts w:ascii="Verdana" w:hAnsi="Verdana" w:cs="Arial"/>
                <w:sz w:val="16"/>
                <w:szCs w:val="16"/>
                <w:lang w:val="es-ES" w:eastAsia="es-ES"/>
              </w:rPr>
            </w:pPr>
            <w:r w:rsidRPr="005C170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F4F4ACC" w14:textId="77777777" w:rsidR="0055038B" w:rsidRPr="005C170B" w:rsidRDefault="0055038B" w:rsidP="00BA05D4">
            <w:pPr>
              <w:contextualSpacing/>
              <w:rPr>
                <w:rFonts w:ascii="Verdana" w:eastAsia="Calibri" w:hAnsi="Verdana" w:cs="Arial"/>
                <w:sz w:val="16"/>
                <w:szCs w:val="16"/>
                <w:lang w:val="pt-BR" w:eastAsia="es-ES"/>
              </w:rPr>
            </w:pPr>
            <w:r w:rsidRPr="005C170B">
              <w:rPr>
                <w:rFonts w:ascii="Verdana" w:eastAsia="Calibri" w:hAnsi="Verdana" w:cs="Arial"/>
                <w:sz w:val="16"/>
                <w:szCs w:val="16"/>
                <w:lang w:val="pt-BR" w:eastAsia="es-ES"/>
              </w:rPr>
              <w:t>Carolina Quintero Gacharná</w:t>
            </w:r>
          </w:p>
          <w:p w14:paraId="5FF55464" w14:textId="77777777" w:rsidR="0055038B" w:rsidRPr="005C170B" w:rsidRDefault="0055038B" w:rsidP="00BA05D4">
            <w:pPr>
              <w:contextualSpacing/>
              <w:rPr>
                <w:rFonts w:ascii="Verdana" w:eastAsia="Calibri" w:hAnsi="Verdana" w:cs="Arial"/>
                <w:sz w:val="16"/>
                <w:szCs w:val="16"/>
                <w:lang w:val="pt-BR" w:eastAsia="es-ES"/>
              </w:rPr>
            </w:pPr>
            <w:r w:rsidRPr="005C170B">
              <w:rPr>
                <w:rFonts w:ascii="Verdana" w:eastAsia="Calibri" w:hAnsi="Verdana" w:cs="Arial"/>
                <w:sz w:val="16"/>
                <w:szCs w:val="16"/>
                <w:lang w:eastAsia="es-ES"/>
              </w:rPr>
              <w:t>Subdirectora</w:t>
            </w:r>
            <w:r w:rsidRPr="005C170B">
              <w:rPr>
                <w:rFonts w:ascii="Verdana" w:eastAsia="Calibri" w:hAnsi="Verdana" w:cs="Arial"/>
                <w:sz w:val="16"/>
                <w:szCs w:val="16"/>
                <w:lang w:val="pt-BR" w:eastAsia="es-ES"/>
              </w:rPr>
              <w:t xml:space="preserve"> de Gestión Contractual ANCP – CCE</w:t>
            </w:r>
          </w:p>
        </w:tc>
      </w:tr>
    </w:tbl>
    <w:p w14:paraId="1006A388" w14:textId="77777777" w:rsidR="00C15139" w:rsidRPr="005C170B" w:rsidRDefault="00C15139" w:rsidP="30821638">
      <w:pPr>
        <w:spacing w:after="0" w:line="240" w:lineRule="auto"/>
        <w:jc w:val="both"/>
        <w:textAlignment w:val="baseline"/>
        <w:rPr>
          <w:rFonts w:ascii="Verdana" w:eastAsia="Verdana" w:hAnsi="Verdana" w:cs="Verdana"/>
          <w:lang w:eastAsia="es-CO"/>
        </w:rPr>
      </w:pPr>
    </w:p>
    <w:p w14:paraId="0F293BF4" w14:textId="18F255B8" w:rsidR="00127233" w:rsidRPr="005C170B" w:rsidRDefault="00C15139" w:rsidP="00824297">
      <w:pPr>
        <w:spacing w:after="0" w:line="240" w:lineRule="auto"/>
        <w:textAlignment w:val="baseline"/>
        <w:rPr>
          <w:rFonts w:ascii="Verdana" w:eastAsia="Verdana" w:hAnsi="Verdana" w:cs="Verdana"/>
          <w:lang w:eastAsia="es-CO"/>
        </w:rPr>
      </w:pPr>
      <w:r w:rsidRPr="005C170B">
        <w:rPr>
          <w:rFonts w:ascii="Verdana" w:eastAsia="Verdana" w:hAnsi="Verdana" w:cs="Verdana"/>
          <w:lang w:eastAsia="es-CO"/>
        </w:rPr>
        <w:t> </w:t>
      </w:r>
      <w:bookmarkEnd w:id="0"/>
    </w:p>
    <w:sectPr w:rsidR="00127233" w:rsidRPr="005C170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551642" w14:textId="77777777" w:rsidR="00AF1B37" w:rsidRDefault="00AF1B37" w:rsidP="004A1847">
      <w:pPr>
        <w:spacing w:after="0" w:line="240" w:lineRule="auto"/>
      </w:pPr>
      <w:r>
        <w:separator/>
      </w:r>
    </w:p>
  </w:endnote>
  <w:endnote w:type="continuationSeparator" w:id="0">
    <w:p w14:paraId="5718751C" w14:textId="77777777" w:rsidR="00AF1B37" w:rsidRDefault="00AF1B3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Open Sans">
    <w:charset w:val="00"/>
    <w:family w:val="swiss"/>
    <w:pitch w:val="variable"/>
    <w:sig w:usb0="E00002EF" w:usb1="4000205B" w:usb2="00000028" w:usb3="00000000" w:csb0="0000019F" w:csb1="00000000"/>
  </w:font>
  <w:font w:name="BCDHEE+Verdana">
    <w:altName w:val="Verdana"/>
    <w:charset w:val="00"/>
    <w:family w:val="swiss"/>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C81CB4" w14:textId="77777777" w:rsidR="00AF1B37" w:rsidRDefault="00AF1B37" w:rsidP="004A1847">
      <w:pPr>
        <w:spacing w:after="0" w:line="240" w:lineRule="auto"/>
      </w:pPr>
      <w:r>
        <w:separator/>
      </w:r>
    </w:p>
  </w:footnote>
  <w:footnote w:type="continuationSeparator" w:id="0">
    <w:p w14:paraId="5FE85DC0" w14:textId="77777777" w:rsidR="00AF1B37" w:rsidRDefault="00AF1B37" w:rsidP="004A1847">
      <w:pPr>
        <w:spacing w:after="0" w:line="240" w:lineRule="auto"/>
      </w:pPr>
      <w:r>
        <w:continuationSeparator/>
      </w:r>
    </w:p>
  </w:footnote>
  <w:footnote w:id="1">
    <w:p w14:paraId="1728676E" w14:textId="77777777" w:rsidR="00C26162" w:rsidRPr="00C3434B" w:rsidRDefault="00C26162" w:rsidP="00C26162">
      <w:pPr>
        <w:pStyle w:val="Textonotapie"/>
        <w:rPr>
          <w:rFonts w:ascii="Verdana" w:hAnsi="Verdana"/>
          <w:sz w:val="16"/>
          <w:szCs w:val="16"/>
        </w:rPr>
      </w:pPr>
      <w:r w:rsidRPr="00B60C90">
        <w:rPr>
          <w:rStyle w:val="Refdenotaalpie"/>
        </w:rPr>
        <w:footnoteRef/>
      </w:r>
      <w:r w:rsidRPr="00B60C90">
        <w:t xml:space="preserve"> </w:t>
      </w:r>
      <w:r w:rsidRPr="00B60C90">
        <w:rPr>
          <w:rFonts w:ascii="Verdana" w:hAnsi="Verdana"/>
          <w:sz w:val="16"/>
          <w:szCs w:val="16"/>
          <w:lang w:val="es-CO"/>
        </w:rPr>
        <w:t>Gaceta del Congreso de la República No. 71 del 2005.</w:t>
      </w:r>
    </w:p>
  </w:footnote>
  <w:footnote w:id="2">
    <w:p w14:paraId="43056124" w14:textId="77777777" w:rsidR="0000325F" w:rsidRPr="001E6792" w:rsidRDefault="0000325F" w:rsidP="001E6792">
      <w:pPr>
        <w:pStyle w:val="Textonotapie"/>
        <w:jc w:val="both"/>
        <w:rPr>
          <w:rFonts w:ascii="Verdana" w:hAnsi="Verdana"/>
          <w:sz w:val="16"/>
          <w:szCs w:val="16"/>
        </w:rPr>
      </w:pPr>
      <w:r w:rsidRPr="001E6792">
        <w:rPr>
          <w:rStyle w:val="Refdenotaalpie"/>
          <w:rFonts w:ascii="Verdana" w:hAnsi="Verdana"/>
          <w:sz w:val="16"/>
          <w:szCs w:val="16"/>
        </w:rPr>
        <w:footnoteRef/>
      </w:r>
      <w:r w:rsidRPr="001E6792">
        <w:rPr>
          <w:rFonts w:ascii="Verdana" w:hAnsi="Verdana"/>
          <w:sz w:val="16"/>
          <w:szCs w:val="16"/>
        </w:rPr>
        <w:t xml:space="preserve"> Corte Constitucional, Sentencia C- 1153 de 2005, M.P. Marco Gerardo Monroy Cabra.</w:t>
      </w:r>
    </w:p>
  </w:footnote>
  <w:footnote w:id="3">
    <w:p w14:paraId="2095B759" w14:textId="206A1AD7" w:rsidR="00F44CAD" w:rsidRPr="001E6792" w:rsidRDefault="00F44CAD" w:rsidP="001E6792">
      <w:pPr>
        <w:pStyle w:val="Textonotapie"/>
        <w:jc w:val="both"/>
        <w:rPr>
          <w:rFonts w:ascii="Verdana" w:hAnsi="Verdana"/>
          <w:sz w:val="16"/>
          <w:szCs w:val="16"/>
        </w:rPr>
      </w:pPr>
      <w:r w:rsidRPr="001E6792">
        <w:rPr>
          <w:rStyle w:val="Refdenotaalpie"/>
          <w:rFonts w:ascii="Verdana" w:hAnsi="Verdana"/>
          <w:sz w:val="16"/>
          <w:szCs w:val="16"/>
        </w:rPr>
        <w:footnoteRef/>
      </w:r>
      <w:r w:rsidRPr="001E6792">
        <w:rPr>
          <w:rFonts w:ascii="Verdana" w:hAnsi="Verdana"/>
          <w:sz w:val="16"/>
          <w:szCs w:val="16"/>
        </w:rPr>
        <w:t xml:space="preserve"> Corte Constitucional. Sentencias: C-233 de 4 de abril de 2002, expediente: D-3704; C-551 de 9 de julio de 2003, expediente: CRF-001 de 9 de julio de 2003; C-652 de 5 de agosto de 2003, expediente: D</w:t>
      </w:r>
      <w:r w:rsidR="001E6792">
        <w:rPr>
          <w:rFonts w:ascii="Verdana" w:hAnsi="Verdana"/>
          <w:sz w:val="16"/>
          <w:szCs w:val="16"/>
        </w:rPr>
        <w:t xml:space="preserve"> </w:t>
      </w:r>
      <w:r w:rsidRPr="001E6792">
        <w:rPr>
          <w:rFonts w:ascii="Verdana" w:hAnsi="Verdana"/>
          <w:sz w:val="16"/>
          <w:szCs w:val="16"/>
        </w:rPr>
        <w:t xml:space="preserve">4330; C-353 de 20 de mayo de 2009, expediente: D-7518, C-541 de 30 de junio de 2010, expediente: </w:t>
      </w:r>
      <w:r w:rsidR="001E6792">
        <w:rPr>
          <w:rFonts w:ascii="Verdana" w:hAnsi="Verdana"/>
          <w:sz w:val="16"/>
          <w:szCs w:val="16"/>
        </w:rPr>
        <w:t xml:space="preserve"> </w:t>
      </w:r>
      <w:r w:rsidRPr="001E6792">
        <w:rPr>
          <w:rFonts w:ascii="Verdana" w:hAnsi="Verdana"/>
          <w:sz w:val="16"/>
          <w:szCs w:val="16"/>
          <w:lang w:val="es-CO"/>
        </w:rPr>
        <w:t>DD7966; entre otras.</w:t>
      </w:r>
    </w:p>
  </w:footnote>
  <w:footnote w:id="4">
    <w:p w14:paraId="2AA78B7A" w14:textId="77777777" w:rsidR="00F44CAD" w:rsidRPr="00F44CAD" w:rsidRDefault="00F44CAD" w:rsidP="001E6792">
      <w:pPr>
        <w:pStyle w:val="Textonotapie"/>
        <w:jc w:val="both"/>
        <w:rPr>
          <w:rFonts w:ascii="Verdana" w:hAnsi="Verdana"/>
          <w:sz w:val="16"/>
          <w:szCs w:val="16"/>
          <w:highlight w:val="magenta"/>
        </w:rPr>
      </w:pPr>
      <w:r w:rsidRPr="001E6792">
        <w:rPr>
          <w:rStyle w:val="Refdenotaalpie"/>
          <w:rFonts w:ascii="Verdana" w:hAnsi="Verdana"/>
          <w:sz w:val="16"/>
          <w:szCs w:val="16"/>
        </w:rPr>
        <w:footnoteRef/>
      </w:r>
      <w:r w:rsidRPr="001E6792">
        <w:rPr>
          <w:rFonts w:ascii="Verdana" w:hAnsi="Verdana"/>
          <w:sz w:val="16"/>
          <w:szCs w:val="16"/>
        </w:rPr>
        <w:t xml:space="preserve"> </w:t>
      </w:r>
      <w:r w:rsidRPr="001E6792">
        <w:rPr>
          <w:rFonts w:ascii="Verdana" w:hAnsi="Verdana"/>
          <w:sz w:val="16"/>
          <w:szCs w:val="16"/>
          <w:lang w:val="es-CO"/>
        </w:rPr>
        <w:t>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5">
    <w:p w14:paraId="789E9F5C" w14:textId="77777777" w:rsidR="00F44CAD" w:rsidRPr="009A1BEA" w:rsidRDefault="00F44CAD" w:rsidP="009A1BEA">
      <w:pPr>
        <w:pStyle w:val="Textonotapie"/>
        <w:jc w:val="both"/>
        <w:rPr>
          <w:rFonts w:ascii="Verdana" w:hAnsi="Verdana"/>
          <w:sz w:val="16"/>
          <w:szCs w:val="16"/>
        </w:rPr>
      </w:pPr>
      <w:r w:rsidRPr="009A1BEA">
        <w:rPr>
          <w:rStyle w:val="Refdenotaalpie"/>
          <w:rFonts w:ascii="Verdana" w:hAnsi="Verdana"/>
          <w:sz w:val="16"/>
          <w:szCs w:val="16"/>
        </w:rPr>
        <w:footnoteRef/>
      </w:r>
      <w:r w:rsidRPr="009A1BEA">
        <w:rPr>
          <w:rFonts w:ascii="Verdana" w:hAnsi="Verdana"/>
          <w:sz w:val="16"/>
          <w:szCs w:val="16"/>
        </w:rPr>
        <w:t xml:space="preserve"> </w:t>
      </w:r>
      <w:r w:rsidRPr="009A1BEA">
        <w:rPr>
          <w:rFonts w:ascii="Verdana" w:hAnsi="Verdana"/>
          <w:sz w:val="16"/>
          <w:szCs w:val="16"/>
          <w:lang w:val="es-CO"/>
        </w:rPr>
        <w:t>Consejo de Estado, Sala de Consulta y Servicio Civil de fecha 24 de julio de 2013, radicado 2166, C. P. Álvaro Namén Vargas.</w:t>
      </w:r>
    </w:p>
  </w:footnote>
  <w:footnote w:id="6">
    <w:p w14:paraId="6CDF01D9" w14:textId="77777777" w:rsidR="00E91DF7" w:rsidRPr="009A1BEA" w:rsidRDefault="00E91DF7" w:rsidP="009A1BEA">
      <w:pPr>
        <w:pStyle w:val="Textonotapie"/>
        <w:jc w:val="both"/>
        <w:rPr>
          <w:rFonts w:ascii="Verdana" w:hAnsi="Verdana"/>
          <w:sz w:val="16"/>
          <w:szCs w:val="16"/>
        </w:rPr>
      </w:pPr>
      <w:r w:rsidRPr="009A1BEA">
        <w:rPr>
          <w:rStyle w:val="Refdenotaalpie"/>
          <w:rFonts w:ascii="Verdana" w:hAnsi="Verdana"/>
          <w:sz w:val="16"/>
          <w:szCs w:val="16"/>
        </w:rPr>
        <w:footnoteRef/>
      </w:r>
      <w:r w:rsidRPr="009A1BEA">
        <w:rPr>
          <w:rFonts w:ascii="Verdana" w:hAnsi="Verdana"/>
          <w:sz w:val="16"/>
          <w:szCs w:val="16"/>
        </w:rPr>
        <w:t xml:space="preserve"> </w:t>
      </w:r>
      <w:r w:rsidRPr="009A1BEA">
        <w:rPr>
          <w:rFonts w:ascii="Verdana" w:hAnsi="Verdana"/>
          <w:sz w:val="16"/>
          <w:szCs w:val="16"/>
          <w:lang w:val="es-CO"/>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footnote>
  <w:footnote w:id="7">
    <w:p w14:paraId="5EBA9526" w14:textId="77777777" w:rsidR="000465DE" w:rsidRDefault="000465DE" w:rsidP="009A1BEA">
      <w:pPr>
        <w:pStyle w:val="Textonotapie"/>
        <w:jc w:val="both"/>
      </w:pPr>
      <w:r w:rsidRPr="009A1BEA">
        <w:rPr>
          <w:rStyle w:val="Refdenotaalpie"/>
          <w:rFonts w:ascii="Verdana" w:hAnsi="Verdana"/>
          <w:sz w:val="16"/>
          <w:szCs w:val="16"/>
        </w:rPr>
        <w:footnoteRef/>
      </w:r>
      <w:r w:rsidRPr="009A1BEA">
        <w:rPr>
          <w:rFonts w:ascii="Verdana" w:hAnsi="Verdana"/>
          <w:sz w:val="16"/>
          <w:szCs w:val="16"/>
        </w:rPr>
        <w:t xml:space="preserve"> </w:t>
      </w:r>
      <w:r w:rsidRPr="009A1BEA">
        <w:rPr>
          <w:rFonts w:ascii="Verdana" w:hAnsi="Verdana"/>
          <w:sz w:val="16"/>
          <w:szCs w:val="16"/>
          <w:lang w:val="es-CO"/>
        </w:rPr>
        <w:t>“Artículo 38. Prohibiciones para los servidores públicos. A los empleados del Estado les está prohibido: […] Parágrafo.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footnote>
  <w:footnote w:id="8">
    <w:p w14:paraId="6FA29360" w14:textId="77777777" w:rsidR="000D5A44" w:rsidRPr="007602EE" w:rsidRDefault="000D5A44" w:rsidP="007602EE">
      <w:pPr>
        <w:pStyle w:val="Textonotapie"/>
        <w:jc w:val="both"/>
        <w:rPr>
          <w:rFonts w:ascii="Verdana" w:hAnsi="Verdana"/>
          <w:sz w:val="16"/>
          <w:szCs w:val="16"/>
        </w:rPr>
      </w:pPr>
      <w:r w:rsidRPr="007602EE">
        <w:rPr>
          <w:rStyle w:val="Refdenotaalpie"/>
          <w:rFonts w:ascii="Verdana" w:hAnsi="Verdana"/>
          <w:sz w:val="16"/>
          <w:szCs w:val="16"/>
        </w:rPr>
        <w:footnoteRef/>
      </w:r>
      <w:r w:rsidRPr="007602EE">
        <w:rPr>
          <w:rFonts w:ascii="Verdana" w:hAnsi="Verdana"/>
          <w:sz w:val="16"/>
          <w:szCs w:val="16"/>
        </w:rPr>
        <w:t xml:space="preserve"> </w:t>
      </w:r>
      <w:r w:rsidRPr="007602EE">
        <w:rPr>
          <w:rFonts w:ascii="Verdana" w:hAnsi="Verdana"/>
          <w:sz w:val="16"/>
          <w:szCs w:val="16"/>
          <w:lang w:val="es-CO"/>
        </w:rPr>
        <w:t>Consejo de Estado. Sala de Consulta y Servicio Civil. Concepto del 17 de febrero de 2015. C.P. William Zambrano Cetina. Radicación No. 11001-03-06-000-2015-00164-00(2269).</w:t>
      </w:r>
    </w:p>
  </w:footnote>
  <w:footnote w:id="9">
    <w:p w14:paraId="3D1C4479" w14:textId="1FA1856A" w:rsidR="00ED5C55" w:rsidRDefault="00ED5C55" w:rsidP="007602EE">
      <w:pPr>
        <w:pStyle w:val="Textonotapie"/>
        <w:jc w:val="both"/>
      </w:pPr>
      <w:r w:rsidRPr="007602EE">
        <w:rPr>
          <w:rStyle w:val="Refdenotaalpie"/>
          <w:rFonts w:ascii="Verdana" w:hAnsi="Verdana"/>
          <w:sz w:val="16"/>
          <w:szCs w:val="16"/>
        </w:rPr>
        <w:footnoteRef/>
      </w:r>
      <w:r w:rsidRPr="007602EE">
        <w:rPr>
          <w:rFonts w:ascii="Verdana" w:hAnsi="Verdana"/>
          <w:sz w:val="16"/>
          <w:szCs w:val="16"/>
        </w:rPr>
        <w:t xml:space="preserve"> </w:t>
      </w:r>
      <w:r w:rsidRPr="007602EE">
        <w:rPr>
          <w:rFonts w:ascii="Verdana" w:hAnsi="Verdana"/>
          <w:sz w:val="16"/>
          <w:szCs w:val="16"/>
          <w:lang w:val="es-CO"/>
        </w:rPr>
        <w:t xml:space="preserve"> Consejo de Estado. Sección Tercera. Sentencia de 3 de diciembre de 2007. Radicados: 24.715, 25.206, 25.409, 24.524, 27.834, 25.410, 26.105, 28.244, 31.447 -acumulados-”.</w:t>
      </w:r>
    </w:p>
  </w:footnote>
  <w:footnote w:id="10">
    <w:p w14:paraId="007BA8C2" w14:textId="32A13495" w:rsidR="00ED5C55" w:rsidRPr="009470F1" w:rsidRDefault="00ED5C55" w:rsidP="009470F1">
      <w:pPr>
        <w:pStyle w:val="Textonotapie"/>
        <w:jc w:val="both"/>
        <w:rPr>
          <w:rFonts w:ascii="Verdana" w:hAnsi="Verdana"/>
          <w:sz w:val="16"/>
          <w:szCs w:val="16"/>
        </w:rPr>
      </w:pPr>
      <w:r>
        <w:rPr>
          <w:rStyle w:val="Refdenotaalpie"/>
        </w:rPr>
        <w:footnoteRef/>
      </w:r>
      <w:r>
        <w:t xml:space="preserve"> </w:t>
      </w:r>
      <w:r w:rsidRPr="009470F1">
        <w:rPr>
          <w:rFonts w:ascii="Verdana" w:hAnsi="Verdana"/>
          <w:sz w:val="16"/>
          <w:szCs w:val="16"/>
          <w:lang w:val="es-CO"/>
        </w:rPr>
        <w:t>Al respecto ver el concepto 1712 de 2 de febrero de 2006. Consejo de Estado Sala de Consulta y Servicio Civil.</w:t>
      </w:r>
    </w:p>
  </w:footnote>
  <w:footnote w:id="11">
    <w:p w14:paraId="2305C2F1" w14:textId="77777777" w:rsidR="00ED5C55" w:rsidRPr="009470F1" w:rsidRDefault="00ED5C55" w:rsidP="009470F1">
      <w:pPr>
        <w:pStyle w:val="Textonotapie"/>
        <w:jc w:val="both"/>
        <w:rPr>
          <w:rFonts w:ascii="Verdana" w:hAnsi="Verdana"/>
          <w:sz w:val="16"/>
          <w:szCs w:val="16"/>
        </w:rPr>
      </w:pPr>
      <w:r w:rsidRPr="009470F1">
        <w:rPr>
          <w:rStyle w:val="Refdenotaalpie"/>
          <w:rFonts w:ascii="Verdana" w:hAnsi="Verdana"/>
          <w:sz w:val="16"/>
          <w:szCs w:val="16"/>
        </w:rPr>
        <w:footnoteRef/>
      </w:r>
      <w:r w:rsidRPr="009470F1">
        <w:rPr>
          <w:rFonts w:ascii="Verdana" w:hAnsi="Verdana"/>
          <w:sz w:val="16"/>
          <w:szCs w:val="16"/>
        </w:rPr>
        <w:t xml:space="preserve"> </w:t>
      </w:r>
      <w:r w:rsidRPr="009470F1">
        <w:rPr>
          <w:rFonts w:ascii="Verdana" w:hAnsi="Verdana"/>
          <w:sz w:val="16"/>
          <w:szCs w:val="16"/>
          <w:lang w:val="es-CO"/>
        </w:rPr>
        <w:t>Consejo de Estado. Sala de Consulta y Servicio Civil. Concepto del 2 de septiembre de 2013. Radicación número: 11001-03-06-000-2013-00412-00 (2168). Consejero Ponente: Álvaro Namén Vargas.</w:t>
      </w:r>
    </w:p>
  </w:footnote>
  <w:footnote w:id="12">
    <w:p w14:paraId="33564024" w14:textId="77777777" w:rsidR="007717BA" w:rsidRPr="009470F1" w:rsidRDefault="007717BA" w:rsidP="009470F1">
      <w:pPr>
        <w:pStyle w:val="Textonotapie"/>
        <w:jc w:val="both"/>
        <w:rPr>
          <w:rFonts w:ascii="Verdana" w:hAnsi="Verdana"/>
          <w:sz w:val="16"/>
          <w:szCs w:val="16"/>
        </w:rPr>
      </w:pPr>
      <w:r w:rsidRPr="009470F1">
        <w:rPr>
          <w:rStyle w:val="Refdenotaalpie"/>
          <w:rFonts w:ascii="Verdana" w:hAnsi="Verdana"/>
          <w:sz w:val="16"/>
          <w:szCs w:val="16"/>
        </w:rPr>
        <w:footnoteRef/>
      </w:r>
      <w:r w:rsidRPr="009470F1">
        <w:rPr>
          <w:rFonts w:ascii="Verdana" w:hAnsi="Verdana"/>
          <w:sz w:val="16"/>
          <w:szCs w:val="16"/>
        </w:rPr>
        <w:t xml:space="preserve"> Artículo 2.</w:t>
      </w:r>
    </w:p>
  </w:footnote>
  <w:footnote w:id="13">
    <w:p w14:paraId="0EE7764E" w14:textId="77777777" w:rsidR="007717BA" w:rsidRPr="009470F1" w:rsidRDefault="007717BA" w:rsidP="009470F1">
      <w:pPr>
        <w:pStyle w:val="Textonotapie"/>
        <w:jc w:val="both"/>
        <w:rPr>
          <w:rFonts w:ascii="Verdana" w:hAnsi="Verdana"/>
          <w:sz w:val="16"/>
          <w:szCs w:val="16"/>
        </w:rPr>
      </w:pPr>
      <w:r w:rsidRPr="009470F1">
        <w:rPr>
          <w:rStyle w:val="Refdenotaalpie"/>
          <w:rFonts w:ascii="Verdana" w:hAnsi="Verdana"/>
          <w:sz w:val="16"/>
          <w:szCs w:val="16"/>
        </w:rPr>
        <w:footnoteRef/>
      </w:r>
      <w:r w:rsidRPr="009470F1">
        <w:rPr>
          <w:rFonts w:ascii="Verdana" w:hAnsi="Verdana"/>
          <w:sz w:val="16"/>
          <w:szCs w:val="16"/>
        </w:rPr>
        <w:t xml:space="preserve"> Ibidem. </w:t>
      </w:r>
    </w:p>
  </w:footnote>
  <w:footnote w:id="14">
    <w:p w14:paraId="60B23DEA" w14:textId="77777777" w:rsidR="007717BA" w:rsidRDefault="007717BA" w:rsidP="009470F1">
      <w:pPr>
        <w:pStyle w:val="Textonotapie"/>
        <w:jc w:val="both"/>
      </w:pPr>
      <w:r w:rsidRPr="009470F1">
        <w:rPr>
          <w:rStyle w:val="Refdenotaalpie"/>
          <w:rFonts w:ascii="Verdana" w:hAnsi="Verdana"/>
          <w:sz w:val="16"/>
          <w:szCs w:val="16"/>
        </w:rPr>
        <w:footnoteRef/>
      </w:r>
      <w:r w:rsidRPr="009470F1">
        <w:rPr>
          <w:rFonts w:ascii="Verdana" w:hAnsi="Verdana"/>
          <w:sz w:val="16"/>
          <w:szCs w:val="16"/>
        </w:rPr>
        <w:t xml:space="preserve"> </w:t>
      </w:r>
      <w:r w:rsidRPr="009470F1">
        <w:rPr>
          <w:rFonts w:ascii="Verdana" w:hAnsi="Verdana"/>
          <w:sz w:val="16"/>
          <w:szCs w:val="16"/>
          <w:lang w:val="es-CO"/>
        </w:rPr>
        <w:t>Consejo de Estado. Sala de Consulta y Servicio Civil. Concepto del 08 de mayo de 2018. Exp. 2.382. C.P. Álvaro Namén Vargas.</w:t>
      </w:r>
      <w:r>
        <w:rPr>
          <w:rFonts w:ascii="Verdana" w:hAnsi="Verdana"/>
          <w:sz w:val="16"/>
          <w:szCs w:val="16"/>
          <w:lang w:val="es-CO"/>
        </w:rPr>
        <w:t xml:space="preserve"> </w:t>
      </w:r>
    </w:p>
  </w:footnote>
  <w:footnote w:id="15">
    <w:p w14:paraId="76E9F7CA" w14:textId="4E56AE59" w:rsidR="009B5D8E" w:rsidRPr="009B5D8E" w:rsidRDefault="009B5D8E">
      <w:pPr>
        <w:pStyle w:val="Textonotapie"/>
        <w:rPr>
          <w:rFonts w:ascii="Verdana" w:hAnsi="Verdana"/>
          <w:sz w:val="16"/>
          <w:szCs w:val="16"/>
        </w:rPr>
      </w:pPr>
      <w:r>
        <w:rPr>
          <w:rStyle w:val="Refdenotaalpie"/>
        </w:rPr>
        <w:footnoteRef/>
      </w:r>
      <w:r>
        <w:t xml:space="preserve"> </w:t>
      </w:r>
      <w:r w:rsidRPr="009B5D8E">
        <w:rPr>
          <w:rFonts w:ascii="Verdana" w:hAnsi="Verdana"/>
          <w:sz w:val="16"/>
          <w:szCs w:val="16"/>
          <w:lang w:val="es-CO"/>
        </w:rPr>
        <w:t>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6">
    <w:p w14:paraId="6173D4CD" w14:textId="67EDA07D" w:rsidR="00843074" w:rsidRPr="00790F02" w:rsidRDefault="00843074" w:rsidP="00843074">
      <w:pPr>
        <w:pStyle w:val="NormalWeb"/>
        <w:spacing w:before="0" w:beforeAutospacing="0" w:after="0" w:afterAutospacing="0"/>
        <w:ind w:firstLine="708"/>
        <w:jc w:val="both"/>
        <w:rPr>
          <w:rFonts w:ascii="Verdana" w:hAnsi="Verdana" w:cs="Open Sans"/>
          <w:sz w:val="16"/>
          <w:szCs w:val="16"/>
        </w:rPr>
      </w:pPr>
      <w:r w:rsidRPr="00790F02">
        <w:rPr>
          <w:rStyle w:val="Refdenotaalpie"/>
          <w:rFonts w:ascii="Verdana" w:eastAsiaTheme="majorEastAsia" w:hAnsi="Verdana"/>
          <w:sz w:val="16"/>
          <w:szCs w:val="16"/>
        </w:rPr>
        <w:footnoteRef/>
      </w:r>
      <w:r w:rsidRPr="00790F02">
        <w:rPr>
          <w:rFonts w:ascii="Verdana" w:hAnsi="Verdana"/>
          <w:sz w:val="16"/>
          <w:szCs w:val="16"/>
        </w:rPr>
        <w:t xml:space="preserve"> </w:t>
      </w:r>
      <w:bookmarkStart w:id="3" w:name="57"/>
      <w:r w:rsidR="00D4710C" w:rsidRPr="00790F02">
        <w:rPr>
          <w:rFonts w:ascii="Verdana" w:hAnsi="Verdana"/>
          <w:sz w:val="16"/>
          <w:szCs w:val="16"/>
        </w:rPr>
        <w:t xml:space="preserve">ARTÍCULO 57. </w:t>
      </w:r>
      <w:bookmarkEnd w:id="3"/>
      <w:r w:rsidRPr="00790F02">
        <w:rPr>
          <w:rFonts w:ascii="Verdana" w:hAnsi="Verdana" w:cs="Open Sans"/>
          <w:sz w:val="16"/>
          <w:szCs w:val="16"/>
        </w:rPr>
        <w:t>Las universidades estatales u oficiales deben organizarse como entes universitarios autónomos, con régimen especial y vinculados al Ministerio de Educación Nacional en lo que se refiere a las políticas y la planeación del sector educativo.</w:t>
      </w:r>
    </w:p>
    <w:p w14:paraId="33B79783" w14:textId="77777777" w:rsidR="00843074" w:rsidRPr="00790F02" w:rsidRDefault="00843074" w:rsidP="00843074">
      <w:pPr>
        <w:pStyle w:val="NormalWeb"/>
        <w:spacing w:before="0" w:beforeAutospacing="0" w:after="0" w:afterAutospacing="0"/>
        <w:jc w:val="both"/>
        <w:rPr>
          <w:rFonts w:ascii="Verdana" w:hAnsi="Verdana" w:cs="Open Sans"/>
          <w:sz w:val="16"/>
          <w:szCs w:val="16"/>
        </w:rPr>
      </w:pPr>
      <w:r w:rsidRPr="00790F02">
        <w:rPr>
          <w:rFonts w:ascii="Verdana" w:hAnsi="Verdana" w:cs="Open Sans"/>
          <w:sz w:val="16"/>
          <w:szCs w:val="16"/>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253C4AAB" w14:textId="58A816FF" w:rsidR="00843074" w:rsidRPr="00790F02" w:rsidRDefault="00843074" w:rsidP="00843074">
      <w:pPr>
        <w:pStyle w:val="NormalWeb"/>
        <w:spacing w:before="0" w:beforeAutospacing="0" w:after="0" w:afterAutospacing="0"/>
        <w:jc w:val="both"/>
        <w:rPr>
          <w:rFonts w:ascii="Verdana" w:hAnsi="Verdana" w:cs="Open Sans"/>
          <w:sz w:val="16"/>
          <w:szCs w:val="16"/>
        </w:rPr>
      </w:pPr>
      <w:r w:rsidRPr="00790F02">
        <w:rPr>
          <w:rFonts w:ascii="Verdana" w:hAnsi="Verdana" w:cs="Open Sans"/>
          <w:sz w:val="16"/>
          <w:szCs w:val="16"/>
        </w:rPr>
        <w:t xml:space="preserve">&lt;Inciso modificado por el artículo </w:t>
      </w:r>
      <w:r w:rsidRPr="00D4710C">
        <w:rPr>
          <w:rFonts w:ascii="Verdana" w:hAnsi="Verdana" w:cs="Open Sans"/>
          <w:sz w:val="16"/>
          <w:szCs w:val="16"/>
        </w:rPr>
        <w:t> </w:t>
      </w:r>
      <w:hyperlink r:id="rId1" w:anchor="1" w:history="1">
        <w:r w:rsidRPr="00D4710C">
          <w:rPr>
            <w:rStyle w:val="Hipervnculo"/>
            <w:rFonts w:ascii="Verdana" w:hAnsi="Verdana" w:cs="Open Sans"/>
            <w:color w:val="auto"/>
            <w:sz w:val="16"/>
            <w:szCs w:val="16"/>
            <w:u w:val="none"/>
          </w:rPr>
          <w:t>1</w:t>
        </w:r>
      </w:hyperlink>
      <w:r w:rsidRPr="00790F02">
        <w:rPr>
          <w:rFonts w:ascii="Verdana" w:hAnsi="Verdana" w:cs="Open Sans"/>
          <w:sz w:val="16"/>
          <w:szCs w:val="16"/>
        </w:rPr>
        <w:t xml:space="preserve"> de la ley 647 de 2001. El nuevo texto es el siguiente:&gt; El carácter especial del régimen de las universidades estatales u 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w:t>
      </w:r>
      <w:r w:rsidR="00D4710C" w:rsidRPr="00790F02">
        <w:rPr>
          <w:rFonts w:ascii="Verdana" w:hAnsi="Verdana" w:cs="Open Sans"/>
          <w:sz w:val="16"/>
          <w:szCs w:val="16"/>
        </w:rPr>
        <w:t>ley.</w:t>
      </w:r>
      <w:r w:rsidRPr="00790F02">
        <w:rPr>
          <w:rFonts w:ascii="Verdana" w:hAnsi="Verdana" w:cs="Open Sans"/>
          <w:sz w:val="16"/>
          <w:szCs w:val="16"/>
        </w:rPr>
        <w:t xml:space="preserve"> […]</w:t>
      </w:r>
    </w:p>
    <w:p w14:paraId="15093FF1" w14:textId="77777777" w:rsidR="00843074" w:rsidRPr="00790F02" w:rsidRDefault="00843074" w:rsidP="00843074">
      <w:pPr>
        <w:pStyle w:val="Textonotapie"/>
        <w:rPr>
          <w:rFonts w:ascii="Verdana" w:hAnsi="Verdana"/>
          <w:sz w:val="16"/>
          <w:szCs w:val="16"/>
          <w:lang w:val="es-ES"/>
        </w:rPr>
      </w:pPr>
    </w:p>
  </w:footnote>
  <w:footnote w:id="17">
    <w:p w14:paraId="1EE6AE69" w14:textId="6FA8BA04" w:rsidR="00843074" w:rsidRPr="00442540" w:rsidRDefault="00843074" w:rsidP="00843074">
      <w:pPr>
        <w:pStyle w:val="Textonotapie"/>
        <w:ind w:firstLine="708"/>
        <w:jc w:val="both"/>
        <w:rPr>
          <w:rFonts w:ascii="Verdana" w:hAnsi="Verdana"/>
          <w:sz w:val="16"/>
          <w:szCs w:val="16"/>
          <w:lang w:val="es-ES"/>
        </w:rPr>
      </w:pPr>
      <w:r w:rsidRPr="00790F02">
        <w:rPr>
          <w:rStyle w:val="Refdenotaalpie"/>
          <w:rFonts w:ascii="Verdana" w:hAnsi="Verdana"/>
          <w:sz w:val="16"/>
          <w:szCs w:val="16"/>
        </w:rPr>
        <w:footnoteRef/>
      </w:r>
      <w:r w:rsidRPr="00790F02">
        <w:rPr>
          <w:rFonts w:ascii="Verdana" w:hAnsi="Verdana"/>
          <w:sz w:val="16"/>
          <w:szCs w:val="16"/>
        </w:rPr>
        <w:t xml:space="preserve"> </w:t>
      </w:r>
      <w:r w:rsidR="00D4710C" w:rsidRPr="00790F02">
        <w:rPr>
          <w:rFonts w:ascii="Verdana" w:hAnsi="Verdana"/>
          <w:sz w:val="16"/>
          <w:szCs w:val="16"/>
          <w:lang w:val="es-ES"/>
        </w:rPr>
        <w:t xml:space="preserve">ARTÍCULO 93. </w:t>
      </w:r>
      <w:r w:rsidRPr="00442540">
        <w:rPr>
          <w:rFonts w:ascii="Verdana" w:hAnsi="Verdana" w:cs="Open Sans"/>
          <w:sz w:val="16"/>
          <w:szCs w:val="16"/>
        </w:rPr>
        <w:t>Salvo las excepciones consagradas en la presente ley, los contratos que para el cumplimiento de sus funciones celebren las universidades estatales u oficiales, se regirán por las normas del derecho privado y sus efectos estarán sujetos a las normas civiles y comerciales, según la naturaleza de los contratos. […]</w:t>
      </w:r>
    </w:p>
  </w:footnote>
  <w:footnote w:id="18">
    <w:p w14:paraId="12BDABEB" w14:textId="77777777" w:rsidR="00843074" w:rsidRDefault="00843074" w:rsidP="00843074">
      <w:pPr>
        <w:pStyle w:val="Textonotapie"/>
        <w:jc w:val="both"/>
        <w:rPr>
          <w:rFonts w:ascii="Verdana" w:hAnsi="Verdana"/>
          <w:sz w:val="16"/>
          <w:szCs w:val="16"/>
        </w:rPr>
      </w:pPr>
    </w:p>
    <w:p w14:paraId="11790B93" w14:textId="77777777" w:rsidR="00843074" w:rsidRDefault="00843074" w:rsidP="00843074">
      <w:pPr>
        <w:pStyle w:val="Textonotapie"/>
        <w:ind w:firstLine="708"/>
        <w:jc w:val="both"/>
        <w:rPr>
          <w:rFonts w:ascii="Verdana" w:hAnsi="Verdana"/>
          <w:sz w:val="16"/>
          <w:szCs w:val="16"/>
        </w:rPr>
      </w:pPr>
      <w:r w:rsidRPr="00442540">
        <w:rPr>
          <w:rStyle w:val="Refdenotaalpie"/>
          <w:rFonts w:ascii="Verdana" w:hAnsi="Verdana"/>
          <w:sz w:val="16"/>
          <w:szCs w:val="16"/>
        </w:rPr>
        <w:footnoteRef/>
      </w:r>
      <w:r w:rsidRPr="00442540">
        <w:rPr>
          <w:rFonts w:ascii="Verdana" w:hAnsi="Verdana"/>
          <w:sz w:val="16"/>
          <w:szCs w:val="16"/>
        </w:rPr>
        <w:t xml:space="preserve"> ARTICULO 40. ENTIDADES Y ORGANISMOS ESTATALES SUJETOS A REGIMEN ESPECIAL. 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p>
    <w:p w14:paraId="6BBDB887" w14:textId="77777777" w:rsidR="00843074" w:rsidRPr="00B47B8B" w:rsidRDefault="00843074" w:rsidP="00843074">
      <w:pPr>
        <w:pStyle w:val="Textonotapie"/>
        <w:ind w:firstLine="708"/>
        <w:jc w:val="both"/>
        <w:rPr>
          <w:rFonts w:ascii="Verdana" w:hAnsi="Verdana"/>
          <w:sz w:val="16"/>
          <w:szCs w:val="16"/>
          <w:lang w:val="es-ES"/>
        </w:rPr>
      </w:pPr>
    </w:p>
  </w:footnote>
  <w:footnote w:id="19">
    <w:p w14:paraId="221512B1" w14:textId="29576DBF" w:rsidR="00CE1C2F" w:rsidRDefault="00CE1C2F" w:rsidP="00CE1C2F">
      <w:pPr>
        <w:pStyle w:val="Textonotapie"/>
        <w:ind w:firstLine="708"/>
        <w:rPr>
          <w:rFonts w:ascii="Verdana" w:hAnsi="Verdana"/>
          <w:sz w:val="16"/>
          <w:szCs w:val="16"/>
        </w:rPr>
      </w:pPr>
      <w:r w:rsidRPr="00B47B8B">
        <w:rPr>
          <w:rStyle w:val="Refdenotaalpie"/>
          <w:rFonts w:ascii="Verdana" w:hAnsi="Verdana"/>
          <w:sz w:val="16"/>
          <w:szCs w:val="16"/>
        </w:rPr>
        <w:footnoteRef/>
      </w:r>
      <w:r w:rsidRPr="00B47B8B">
        <w:rPr>
          <w:rFonts w:ascii="Verdana" w:hAnsi="Verdana"/>
          <w:sz w:val="16"/>
          <w:szCs w:val="16"/>
        </w:rPr>
        <w:t xml:space="preserve"> </w:t>
      </w:r>
      <w:r w:rsidR="00D4710C" w:rsidRPr="00B47B8B">
        <w:rPr>
          <w:rFonts w:ascii="Verdana" w:hAnsi="Verdana"/>
          <w:sz w:val="16"/>
          <w:szCs w:val="16"/>
        </w:rPr>
        <w:t xml:space="preserve">Consejo </w:t>
      </w:r>
      <w:r w:rsidR="00D4710C">
        <w:rPr>
          <w:rFonts w:ascii="Verdana" w:hAnsi="Verdana"/>
          <w:sz w:val="16"/>
          <w:szCs w:val="16"/>
        </w:rPr>
        <w:t>d</w:t>
      </w:r>
      <w:r w:rsidR="00D4710C" w:rsidRPr="00B47B8B">
        <w:rPr>
          <w:rFonts w:ascii="Verdana" w:hAnsi="Verdana"/>
          <w:sz w:val="16"/>
          <w:szCs w:val="16"/>
        </w:rPr>
        <w:t xml:space="preserve">e Estado. </w:t>
      </w:r>
      <w:r w:rsidRPr="00B47B8B">
        <w:rPr>
          <w:rFonts w:ascii="Verdana" w:hAnsi="Verdana"/>
          <w:sz w:val="16"/>
          <w:szCs w:val="16"/>
        </w:rPr>
        <w:t>Sección Cuarta. Sentencia del 16 de diciembre de 2008. Exp. 16.297. C.P. Martha Teresa Briceño de Valencia</w:t>
      </w:r>
      <w:r>
        <w:rPr>
          <w:rFonts w:ascii="Verdana" w:hAnsi="Verdana"/>
          <w:sz w:val="16"/>
          <w:szCs w:val="16"/>
        </w:rPr>
        <w:t xml:space="preserve">. </w:t>
      </w:r>
    </w:p>
    <w:p w14:paraId="1D7AD0F7" w14:textId="77777777" w:rsidR="00CE1C2F" w:rsidRPr="00B47B8B" w:rsidRDefault="00CE1C2F" w:rsidP="00CE1C2F">
      <w:pPr>
        <w:pStyle w:val="Textonotapie"/>
        <w:ind w:firstLine="708"/>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7165"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30F676A"/>
    <w:multiLevelType w:val="hybridMultilevel"/>
    <w:tmpl w:val="EE7A460A"/>
    <w:lvl w:ilvl="0" w:tplc="17D8433E">
      <w:start w:val="1"/>
      <w:numFmt w:val="decimal"/>
      <w:lvlText w:val="%1."/>
      <w:lvlJc w:val="left"/>
      <w:pPr>
        <w:ind w:left="1069" w:hanging="360"/>
      </w:pPr>
      <w:rPr>
        <w:rFonts w:hint="default"/>
        <w:color w:val="auto"/>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17362494"/>
    <w:multiLevelType w:val="hybridMultilevel"/>
    <w:tmpl w:val="5ED8FFC8"/>
    <w:lvl w:ilvl="0" w:tplc="5BDEC4E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153EE8"/>
    <w:multiLevelType w:val="hybridMultilevel"/>
    <w:tmpl w:val="2D6290C4"/>
    <w:lvl w:ilvl="0" w:tplc="BB52EAE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4F7319D"/>
    <w:multiLevelType w:val="hybridMultilevel"/>
    <w:tmpl w:val="0994BA14"/>
    <w:lvl w:ilvl="0" w:tplc="74EA9134">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5F93E0E"/>
    <w:multiLevelType w:val="hybridMultilevel"/>
    <w:tmpl w:val="BEF666C8"/>
    <w:lvl w:ilvl="0" w:tplc="240A0001">
      <w:start w:val="1"/>
      <w:numFmt w:val="bullet"/>
      <w:lvlText w:val=""/>
      <w:lvlJc w:val="left"/>
      <w:pPr>
        <w:ind w:left="1069" w:hanging="360"/>
      </w:pPr>
      <w:rPr>
        <w:rFonts w:ascii="Symbol" w:hAnsi="Symbo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7CD521D"/>
    <w:multiLevelType w:val="hybridMultilevel"/>
    <w:tmpl w:val="C81C6714"/>
    <w:lvl w:ilvl="0" w:tplc="3B8E1F22">
      <w:numFmt w:val="bullet"/>
      <w:lvlText w:val="-"/>
      <w:lvlJc w:val="left"/>
      <w:pPr>
        <w:ind w:left="1429" w:hanging="360"/>
      </w:pPr>
      <w:rPr>
        <w:rFonts w:ascii="Verdana" w:eastAsia="Century Gothic" w:hAnsi="Verdana" w:cs="Century Gothic"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7" w15:restartNumberingAfterBreak="0">
    <w:nsid w:val="4EB832DE"/>
    <w:multiLevelType w:val="hybridMultilevel"/>
    <w:tmpl w:val="BBAE8086"/>
    <w:lvl w:ilvl="0" w:tplc="1CBA6FEA">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8" w15:restartNumberingAfterBreak="0">
    <w:nsid w:val="4F8978EE"/>
    <w:multiLevelType w:val="hybridMultilevel"/>
    <w:tmpl w:val="60B21C3C"/>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5449429A"/>
    <w:multiLevelType w:val="hybridMultilevel"/>
    <w:tmpl w:val="8682985C"/>
    <w:lvl w:ilvl="0" w:tplc="3B8E1F22">
      <w:numFmt w:val="bullet"/>
      <w:lvlText w:val="-"/>
      <w:lvlJc w:val="left"/>
      <w:pPr>
        <w:ind w:left="1504" w:hanging="360"/>
      </w:pPr>
      <w:rPr>
        <w:rFonts w:ascii="Verdana" w:eastAsia="Century Gothic" w:hAnsi="Verdana" w:cs="Century Gothic" w:hint="default"/>
      </w:rPr>
    </w:lvl>
    <w:lvl w:ilvl="1" w:tplc="240A0003" w:tentative="1">
      <w:start w:val="1"/>
      <w:numFmt w:val="bullet"/>
      <w:lvlText w:val="o"/>
      <w:lvlJc w:val="left"/>
      <w:pPr>
        <w:ind w:left="1515" w:hanging="360"/>
      </w:pPr>
      <w:rPr>
        <w:rFonts w:ascii="Courier New" w:hAnsi="Courier New" w:cs="Courier New" w:hint="default"/>
      </w:rPr>
    </w:lvl>
    <w:lvl w:ilvl="2" w:tplc="240A0005" w:tentative="1">
      <w:start w:val="1"/>
      <w:numFmt w:val="bullet"/>
      <w:lvlText w:val=""/>
      <w:lvlJc w:val="left"/>
      <w:pPr>
        <w:ind w:left="2235" w:hanging="360"/>
      </w:pPr>
      <w:rPr>
        <w:rFonts w:ascii="Wingdings" w:hAnsi="Wingdings" w:hint="default"/>
      </w:rPr>
    </w:lvl>
    <w:lvl w:ilvl="3" w:tplc="240A0001" w:tentative="1">
      <w:start w:val="1"/>
      <w:numFmt w:val="bullet"/>
      <w:lvlText w:val=""/>
      <w:lvlJc w:val="left"/>
      <w:pPr>
        <w:ind w:left="2955" w:hanging="360"/>
      </w:pPr>
      <w:rPr>
        <w:rFonts w:ascii="Symbol" w:hAnsi="Symbol" w:hint="default"/>
      </w:rPr>
    </w:lvl>
    <w:lvl w:ilvl="4" w:tplc="240A0003" w:tentative="1">
      <w:start w:val="1"/>
      <w:numFmt w:val="bullet"/>
      <w:lvlText w:val="o"/>
      <w:lvlJc w:val="left"/>
      <w:pPr>
        <w:ind w:left="3675" w:hanging="360"/>
      </w:pPr>
      <w:rPr>
        <w:rFonts w:ascii="Courier New" w:hAnsi="Courier New" w:cs="Courier New" w:hint="default"/>
      </w:rPr>
    </w:lvl>
    <w:lvl w:ilvl="5" w:tplc="240A0005" w:tentative="1">
      <w:start w:val="1"/>
      <w:numFmt w:val="bullet"/>
      <w:lvlText w:val=""/>
      <w:lvlJc w:val="left"/>
      <w:pPr>
        <w:ind w:left="4395" w:hanging="360"/>
      </w:pPr>
      <w:rPr>
        <w:rFonts w:ascii="Wingdings" w:hAnsi="Wingdings" w:hint="default"/>
      </w:rPr>
    </w:lvl>
    <w:lvl w:ilvl="6" w:tplc="240A0001" w:tentative="1">
      <w:start w:val="1"/>
      <w:numFmt w:val="bullet"/>
      <w:lvlText w:val=""/>
      <w:lvlJc w:val="left"/>
      <w:pPr>
        <w:ind w:left="5115" w:hanging="360"/>
      </w:pPr>
      <w:rPr>
        <w:rFonts w:ascii="Symbol" w:hAnsi="Symbol" w:hint="default"/>
      </w:rPr>
    </w:lvl>
    <w:lvl w:ilvl="7" w:tplc="240A0003" w:tentative="1">
      <w:start w:val="1"/>
      <w:numFmt w:val="bullet"/>
      <w:lvlText w:val="o"/>
      <w:lvlJc w:val="left"/>
      <w:pPr>
        <w:ind w:left="5835" w:hanging="360"/>
      </w:pPr>
      <w:rPr>
        <w:rFonts w:ascii="Courier New" w:hAnsi="Courier New" w:cs="Courier New" w:hint="default"/>
      </w:rPr>
    </w:lvl>
    <w:lvl w:ilvl="8" w:tplc="240A0005" w:tentative="1">
      <w:start w:val="1"/>
      <w:numFmt w:val="bullet"/>
      <w:lvlText w:val=""/>
      <w:lvlJc w:val="left"/>
      <w:pPr>
        <w:ind w:left="6555" w:hanging="360"/>
      </w:pPr>
      <w:rPr>
        <w:rFonts w:ascii="Wingdings" w:hAnsi="Wingdings" w:hint="default"/>
      </w:rPr>
    </w:lvl>
  </w:abstractNum>
  <w:abstractNum w:abstractNumId="2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D8609AC"/>
    <w:multiLevelType w:val="hybridMultilevel"/>
    <w:tmpl w:val="7FB48666"/>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2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1435944"/>
    <w:multiLevelType w:val="hybridMultilevel"/>
    <w:tmpl w:val="790E855C"/>
    <w:lvl w:ilvl="0" w:tplc="31E223D8">
      <w:start w:val="1"/>
      <w:numFmt w:val="lowerRoman"/>
      <w:lvlText w:val="%1."/>
      <w:lvlJc w:val="left"/>
      <w:pPr>
        <w:ind w:left="1789" w:hanging="720"/>
      </w:pPr>
      <w:rPr>
        <w:rFonts w:hint="default"/>
      </w:r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27" w15:restartNumberingAfterBreak="0">
    <w:nsid w:val="746C2AFA"/>
    <w:multiLevelType w:val="hybridMultilevel"/>
    <w:tmpl w:val="47E8FF66"/>
    <w:lvl w:ilvl="0" w:tplc="BA0842F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784A7128"/>
    <w:multiLevelType w:val="multilevel"/>
    <w:tmpl w:val="C8C0E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8779781">
    <w:abstractNumId w:val="9"/>
  </w:num>
  <w:num w:numId="2" w16cid:durableId="19822139">
    <w:abstractNumId w:val="2"/>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4"/>
  </w:num>
  <w:num w:numId="7" w16cid:durableId="1946422806">
    <w:abstractNumId w:val="8"/>
  </w:num>
  <w:num w:numId="8" w16cid:durableId="152644682">
    <w:abstractNumId w:val="22"/>
  </w:num>
  <w:num w:numId="9" w16cid:durableId="1317221377">
    <w:abstractNumId w:val="12"/>
  </w:num>
  <w:num w:numId="10" w16cid:durableId="1471245386">
    <w:abstractNumId w:val="21"/>
  </w:num>
  <w:num w:numId="11" w16cid:durableId="289172385">
    <w:abstractNumId w:val="13"/>
  </w:num>
  <w:num w:numId="12" w16cid:durableId="1470781324">
    <w:abstractNumId w:val="1"/>
  </w:num>
  <w:num w:numId="13" w16cid:durableId="1512908409">
    <w:abstractNumId w:val="5"/>
  </w:num>
  <w:num w:numId="14" w16cid:durableId="895897244">
    <w:abstractNumId w:val="25"/>
  </w:num>
  <w:num w:numId="15" w16cid:durableId="390349800">
    <w:abstractNumId w:val="20"/>
  </w:num>
  <w:num w:numId="16" w16cid:durableId="1227110730">
    <w:abstractNumId w:val="0"/>
  </w:num>
  <w:num w:numId="17" w16cid:durableId="531266698">
    <w:abstractNumId w:val="14"/>
  </w:num>
  <w:num w:numId="18" w16cid:durableId="1167788118">
    <w:abstractNumId w:val="17"/>
  </w:num>
  <w:num w:numId="19" w16cid:durableId="1026519032">
    <w:abstractNumId w:val="18"/>
  </w:num>
  <w:num w:numId="20" w16cid:durableId="13728338">
    <w:abstractNumId w:val="6"/>
  </w:num>
  <w:num w:numId="21" w16cid:durableId="1401903601">
    <w:abstractNumId w:val="4"/>
  </w:num>
  <w:num w:numId="22" w16cid:durableId="565142159">
    <w:abstractNumId w:val="27"/>
  </w:num>
  <w:num w:numId="23" w16cid:durableId="1577864287">
    <w:abstractNumId w:val="11"/>
  </w:num>
  <w:num w:numId="24" w16cid:durableId="1347637698">
    <w:abstractNumId w:val="15"/>
  </w:num>
  <w:num w:numId="25" w16cid:durableId="585069886">
    <w:abstractNumId w:val="16"/>
  </w:num>
  <w:num w:numId="26" w16cid:durableId="2138571247">
    <w:abstractNumId w:val="19"/>
  </w:num>
  <w:num w:numId="27" w16cid:durableId="214046263">
    <w:abstractNumId w:val="23"/>
  </w:num>
  <w:num w:numId="28" w16cid:durableId="1903101366">
    <w:abstractNumId w:val="10"/>
  </w:num>
  <w:num w:numId="29" w16cid:durableId="579875019">
    <w:abstractNumId w:val="3"/>
  </w:num>
  <w:num w:numId="30" w16cid:durableId="107165062">
    <w:abstractNumId w:val="26"/>
  </w:num>
  <w:num w:numId="31" w16cid:durableId="26989876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25F"/>
    <w:rsid w:val="00016F78"/>
    <w:rsid w:val="00023B03"/>
    <w:rsid w:val="00026B2C"/>
    <w:rsid w:val="00027264"/>
    <w:rsid w:val="00030424"/>
    <w:rsid w:val="000312E6"/>
    <w:rsid w:val="00036F90"/>
    <w:rsid w:val="000451F0"/>
    <w:rsid w:val="000465DE"/>
    <w:rsid w:val="00046945"/>
    <w:rsid w:val="00047051"/>
    <w:rsid w:val="0005018A"/>
    <w:rsid w:val="00051BA2"/>
    <w:rsid w:val="0005460F"/>
    <w:rsid w:val="0006055E"/>
    <w:rsid w:val="00061B2A"/>
    <w:rsid w:val="000647B1"/>
    <w:rsid w:val="00064E6D"/>
    <w:rsid w:val="00070439"/>
    <w:rsid w:val="00074BBA"/>
    <w:rsid w:val="00082362"/>
    <w:rsid w:val="000A683E"/>
    <w:rsid w:val="000B19B9"/>
    <w:rsid w:val="000B2835"/>
    <w:rsid w:val="000B2932"/>
    <w:rsid w:val="000C4F11"/>
    <w:rsid w:val="000D0334"/>
    <w:rsid w:val="000D2418"/>
    <w:rsid w:val="000D5A44"/>
    <w:rsid w:val="000D5DA7"/>
    <w:rsid w:val="000E71ED"/>
    <w:rsid w:val="000F5364"/>
    <w:rsid w:val="000F6486"/>
    <w:rsid w:val="00102244"/>
    <w:rsid w:val="0010369B"/>
    <w:rsid w:val="00113C90"/>
    <w:rsid w:val="0011625A"/>
    <w:rsid w:val="001166E8"/>
    <w:rsid w:val="00116940"/>
    <w:rsid w:val="001178E6"/>
    <w:rsid w:val="0012218D"/>
    <w:rsid w:val="00124075"/>
    <w:rsid w:val="00125105"/>
    <w:rsid w:val="0012537E"/>
    <w:rsid w:val="001270B7"/>
    <w:rsid w:val="00127233"/>
    <w:rsid w:val="0015095F"/>
    <w:rsid w:val="001518B6"/>
    <w:rsid w:val="001528A7"/>
    <w:rsid w:val="00153D39"/>
    <w:rsid w:val="0015470D"/>
    <w:rsid w:val="00154999"/>
    <w:rsid w:val="0015699B"/>
    <w:rsid w:val="001574E7"/>
    <w:rsid w:val="001577D0"/>
    <w:rsid w:val="00164789"/>
    <w:rsid w:val="00190CF0"/>
    <w:rsid w:val="001916EF"/>
    <w:rsid w:val="0019671A"/>
    <w:rsid w:val="001975C5"/>
    <w:rsid w:val="001A33BF"/>
    <w:rsid w:val="001A7F84"/>
    <w:rsid w:val="001B589B"/>
    <w:rsid w:val="001B7ABB"/>
    <w:rsid w:val="001C4455"/>
    <w:rsid w:val="001D53AE"/>
    <w:rsid w:val="001E4177"/>
    <w:rsid w:val="001E5E7D"/>
    <w:rsid w:val="001E6792"/>
    <w:rsid w:val="001F0B24"/>
    <w:rsid w:val="001F1600"/>
    <w:rsid w:val="001F283E"/>
    <w:rsid w:val="001F36D8"/>
    <w:rsid w:val="001F4CB5"/>
    <w:rsid w:val="001F5589"/>
    <w:rsid w:val="001F5AFE"/>
    <w:rsid w:val="001F7DC6"/>
    <w:rsid w:val="002002C5"/>
    <w:rsid w:val="0020125F"/>
    <w:rsid w:val="00202D79"/>
    <w:rsid w:val="00220425"/>
    <w:rsid w:val="002235B7"/>
    <w:rsid w:val="00223F8E"/>
    <w:rsid w:val="0022400B"/>
    <w:rsid w:val="002312E8"/>
    <w:rsid w:val="002324B8"/>
    <w:rsid w:val="00234802"/>
    <w:rsid w:val="002421BB"/>
    <w:rsid w:val="00242769"/>
    <w:rsid w:val="00244CE1"/>
    <w:rsid w:val="00247485"/>
    <w:rsid w:val="00255D5B"/>
    <w:rsid w:val="00255EB5"/>
    <w:rsid w:val="0025796E"/>
    <w:rsid w:val="00261696"/>
    <w:rsid w:val="002663AD"/>
    <w:rsid w:val="002707A2"/>
    <w:rsid w:val="002721A5"/>
    <w:rsid w:val="00274F71"/>
    <w:rsid w:val="00293864"/>
    <w:rsid w:val="002951A0"/>
    <w:rsid w:val="0029560D"/>
    <w:rsid w:val="002962BC"/>
    <w:rsid w:val="0029741F"/>
    <w:rsid w:val="002A093D"/>
    <w:rsid w:val="002A0DD0"/>
    <w:rsid w:val="002A209F"/>
    <w:rsid w:val="002A2B88"/>
    <w:rsid w:val="002A49AC"/>
    <w:rsid w:val="002A4F76"/>
    <w:rsid w:val="002A64FD"/>
    <w:rsid w:val="002B36BA"/>
    <w:rsid w:val="002B44FE"/>
    <w:rsid w:val="002B550E"/>
    <w:rsid w:val="002B7626"/>
    <w:rsid w:val="002B7E71"/>
    <w:rsid w:val="002C11D5"/>
    <w:rsid w:val="002C1283"/>
    <w:rsid w:val="002C745A"/>
    <w:rsid w:val="002C7A84"/>
    <w:rsid w:val="002D7F15"/>
    <w:rsid w:val="002E098F"/>
    <w:rsid w:val="002E2940"/>
    <w:rsid w:val="002E2BF8"/>
    <w:rsid w:val="002E3CC9"/>
    <w:rsid w:val="002E4FD9"/>
    <w:rsid w:val="002E67D4"/>
    <w:rsid w:val="002F1673"/>
    <w:rsid w:val="003058FC"/>
    <w:rsid w:val="0030657A"/>
    <w:rsid w:val="003114C5"/>
    <w:rsid w:val="00312E09"/>
    <w:rsid w:val="00322A85"/>
    <w:rsid w:val="00323EA4"/>
    <w:rsid w:val="00324168"/>
    <w:rsid w:val="00324479"/>
    <w:rsid w:val="003261CC"/>
    <w:rsid w:val="00326E3D"/>
    <w:rsid w:val="00330834"/>
    <w:rsid w:val="00332F16"/>
    <w:rsid w:val="00343E57"/>
    <w:rsid w:val="0034475D"/>
    <w:rsid w:val="003448F4"/>
    <w:rsid w:val="0034500F"/>
    <w:rsid w:val="00346148"/>
    <w:rsid w:val="003517EC"/>
    <w:rsid w:val="00352659"/>
    <w:rsid w:val="0035464A"/>
    <w:rsid w:val="00361D16"/>
    <w:rsid w:val="00365556"/>
    <w:rsid w:val="0036573A"/>
    <w:rsid w:val="00374F5E"/>
    <w:rsid w:val="00377E3E"/>
    <w:rsid w:val="0038212A"/>
    <w:rsid w:val="00382734"/>
    <w:rsid w:val="00387599"/>
    <w:rsid w:val="0038780F"/>
    <w:rsid w:val="00397732"/>
    <w:rsid w:val="003A779E"/>
    <w:rsid w:val="003C0FBA"/>
    <w:rsid w:val="003C1195"/>
    <w:rsid w:val="003C77DA"/>
    <w:rsid w:val="003D0F4D"/>
    <w:rsid w:val="003D143C"/>
    <w:rsid w:val="003D286E"/>
    <w:rsid w:val="003D3301"/>
    <w:rsid w:val="003D5644"/>
    <w:rsid w:val="003D5B0D"/>
    <w:rsid w:val="003E0499"/>
    <w:rsid w:val="003E4F80"/>
    <w:rsid w:val="003E6439"/>
    <w:rsid w:val="003E74BC"/>
    <w:rsid w:val="003E7513"/>
    <w:rsid w:val="003F1919"/>
    <w:rsid w:val="003F3941"/>
    <w:rsid w:val="003F4254"/>
    <w:rsid w:val="004012EC"/>
    <w:rsid w:val="004053FC"/>
    <w:rsid w:val="00406575"/>
    <w:rsid w:val="0041278B"/>
    <w:rsid w:val="00414C74"/>
    <w:rsid w:val="00420122"/>
    <w:rsid w:val="00420E3F"/>
    <w:rsid w:val="00425B7D"/>
    <w:rsid w:val="004262E7"/>
    <w:rsid w:val="00426D15"/>
    <w:rsid w:val="0042722E"/>
    <w:rsid w:val="004351C8"/>
    <w:rsid w:val="0044528D"/>
    <w:rsid w:val="004550BA"/>
    <w:rsid w:val="004564C2"/>
    <w:rsid w:val="0045690C"/>
    <w:rsid w:val="00462124"/>
    <w:rsid w:val="00466B8C"/>
    <w:rsid w:val="00466E39"/>
    <w:rsid w:val="00470B76"/>
    <w:rsid w:val="00471398"/>
    <w:rsid w:val="004747DE"/>
    <w:rsid w:val="00474FF8"/>
    <w:rsid w:val="004850CE"/>
    <w:rsid w:val="00491656"/>
    <w:rsid w:val="0049179D"/>
    <w:rsid w:val="004A1847"/>
    <w:rsid w:val="004A2849"/>
    <w:rsid w:val="004A305D"/>
    <w:rsid w:val="004C6A84"/>
    <w:rsid w:val="004C7BA6"/>
    <w:rsid w:val="004D0A6E"/>
    <w:rsid w:val="004E6C1D"/>
    <w:rsid w:val="004E6E4C"/>
    <w:rsid w:val="004F1DDE"/>
    <w:rsid w:val="004F21C4"/>
    <w:rsid w:val="004F685F"/>
    <w:rsid w:val="00501DC2"/>
    <w:rsid w:val="00501DC4"/>
    <w:rsid w:val="005026BD"/>
    <w:rsid w:val="005026D1"/>
    <w:rsid w:val="005111DB"/>
    <w:rsid w:val="0051719E"/>
    <w:rsid w:val="005220CC"/>
    <w:rsid w:val="00536279"/>
    <w:rsid w:val="005421BA"/>
    <w:rsid w:val="005421C1"/>
    <w:rsid w:val="00545D8A"/>
    <w:rsid w:val="0055038B"/>
    <w:rsid w:val="00551FD9"/>
    <w:rsid w:val="005548B4"/>
    <w:rsid w:val="0055547E"/>
    <w:rsid w:val="005566E8"/>
    <w:rsid w:val="00565522"/>
    <w:rsid w:val="00566BEA"/>
    <w:rsid w:val="00573A42"/>
    <w:rsid w:val="00574867"/>
    <w:rsid w:val="00590896"/>
    <w:rsid w:val="00591460"/>
    <w:rsid w:val="00595FE7"/>
    <w:rsid w:val="0059739E"/>
    <w:rsid w:val="005A0DF2"/>
    <w:rsid w:val="005A6445"/>
    <w:rsid w:val="005A65E0"/>
    <w:rsid w:val="005A7BB6"/>
    <w:rsid w:val="005A7E09"/>
    <w:rsid w:val="005B5734"/>
    <w:rsid w:val="005C0FFD"/>
    <w:rsid w:val="005C170B"/>
    <w:rsid w:val="005C3777"/>
    <w:rsid w:val="005C5CDC"/>
    <w:rsid w:val="005C793F"/>
    <w:rsid w:val="005D3D60"/>
    <w:rsid w:val="005D476C"/>
    <w:rsid w:val="005D59E2"/>
    <w:rsid w:val="005D66E2"/>
    <w:rsid w:val="005E41BA"/>
    <w:rsid w:val="005E61E5"/>
    <w:rsid w:val="005F40F3"/>
    <w:rsid w:val="005F549E"/>
    <w:rsid w:val="005F6995"/>
    <w:rsid w:val="005F734E"/>
    <w:rsid w:val="00607578"/>
    <w:rsid w:val="00610A39"/>
    <w:rsid w:val="00614586"/>
    <w:rsid w:val="006200BF"/>
    <w:rsid w:val="006219F8"/>
    <w:rsid w:val="00622D04"/>
    <w:rsid w:val="00622F98"/>
    <w:rsid w:val="00625209"/>
    <w:rsid w:val="006252AF"/>
    <w:rsid w:val="006266D6"/>
    <w:rsid w:val="006302F7"/>
    <w:rsid w:val="00632C09"/>
    <w:rsid w:val="00632E35"/>
    <w:rsid w:val="006334EF"/>
    <w:rsid w:val="006443F5"/>
    <w:rsid w:val="00646B9F"/>
    <w:rsid w:val="006562C1"/>
    <w:rsid w:val="00660873"/>
    <w:rsid w:val="00665658"/>
    <w:rsid w:val="00665D70"/>
    <w:rsid w:val="006670D3"/>
    <w:rsid w:val="006711B0"/>
    <w:rsid w:val="00675C00"/>
    <w:rsid w:val="00681689"/>
    <w:rsid w:val="00681ACF"/>
    <w:rsid w:val="00682C49"/>
    <w:rsid w:val="006900D9"/>
    <w:rsid w:val="00695589"/>
    <w:rsid w:val="00695CA0"/>
    <w:rsid w:val="00697798"/>
    <w:rsid w:val="006A623E"/>
    <w:rsid w:val="006A67D9"/>
    <w:rsid w:val="006B26C4"/>
    <w:rsid w:val="006B4420"/>
    <w:rsid w:val="006B4941"/>
    <w:rsid w:val="006B5640"/>
    <w:rsid w:val="006B7265"/>
    <w:rsid w:val="006B7482"/>
    <w:rsid w:val="006C4EE2"/>
    <w:rsid w:val="006C546F"/>
    <w:rsid w:val="006C6FEF"/>
    <w:rsid w:val="006D0694"/>
    <w:rsid w:val="006D538A"/>
    <w:rsid w:val="006D785F"/>
    <w:rsid w:val="006E552F"/>
    <w:rsid w:val="006E7A8B"/>
    <w:rsid w:val="006F4C6D"/>
    <w:rsid w:val="00705BB7"/>
    <w:rsid w:val="00706C16"/>
    <w:rsid w:val="007074C0"/>
    <w:rsid w:val="00716BE2"/>
    <w:rsid w:val="007264C4"/>
    <w:rsid w:val="00732652"/>
    <w:rsid w:val="00733093"/>
    <w:rsid w:val="00733F99"/>
    <w:rsid w:val="007340C3"/>
    <w:rsid w:val="007372DC"/>
    <w:rsid w:val="0074249B"/>
    <w:rsid w:val="0074730B"/>
    <w:rsid w:val="0075235A"/>
    <w:rsid w:val="00756841"/>
    <w:rsid w:val="007602EE"/>
    <w:rsid w:val="0076083E"/>
    <w:rsid w:val="007649AB"/>
    <w:rsid w:val="0077000C"/>
    <w:rsid w:val="007717BA"/>
    <w:rsid w:val="00771D0C"/>
    <w:rsid w:val="007763E5"/>
    <w:rsid w:val="007833AC"/>
    <w:rsid w:val="007906B6"/>
    <w:rsid w:val="0079140B"/>
    <w:rsid w:val="00794132"/>
    <w:rsid w:val="0079648D"/>
    <w:rsid w:val="00796CFE"/>
    <w:rsid w:val="00797644"/>
    <w:rsid w:val="007A587F"/>
    <w:rsid w:val="007B036F"/>
    <w:rsid w:val="007B268C"/>
    <w:rsid w:val="007B5C4A"/>
    <w:rsid w:val="007B634A"/>
    <w:rsid w:val="007B7171"/>
    <w:rsid w:val="007C0476"/>
    <w:rsid w:val="007C04BE"/>
    <w:rsid w:val="007C0C0F"/>
    <w:rsid w:val="007C2221"/>
    <w:rsid w:val="007C341F"/>
    <w:rsid w:val="007C3DC2"/>
    <w:rsid w:val="007C487F"/>
    <w:rsid w:val="007D1CDD"/>
    <w:rsid w:val="007D28D0"/>
    <w:rsid w:val="007D438C"/>
    <w:rsid w:val="007E005F"/>
    <w:rsid w:val="007E0913"/>
    <w:rsid w:val="007E4A7D"/>
    <w:rsid w:val="007E4BC5"/>
    <w:rsid w:val="007E5497"/>
    <w:rsid w:val="007E5579"/>
    <w:rsid w:val="007F6680"/>
    <w:rsid w:val="00803B98"/>
    <w:rsid w:val="00806F5F"/>
    <w:rsid w:val="008134D9"/>
    <w:rsid w:val="008140C1"/>
    <w:rsid w:val="00816B23"/>
    <w:rsid w:val="00820278"/>
    <w:rsid w:val="008227C4"/>
    <w:rsid w:val="00823027"/>
    <w:rsid w:val="008233C0"/>
    <w:rsid w:val="00824297"/>
    <w:rsid w:val="008258C9"/>
    <w:rsid w:val="0083626F"/>
    <w:rsid w:val="00841A1D"/>
    <w:rsid w:val="00843074"/>
    <w:rsid w:val="00843710"/>
    <w:rsid w:val="00844AE9"/>
    <w:rsid w:val="00845030"/>
    <w:rsid w:val="0084515A"/>
    <w:rsid w:val="008458AA"/>
    <w:rsid w:val="008618A7"/>
    <w:rsid w:val="00863B5F"/>
    <w:rsid w:val="00867743"/>
    <w:rsid w:val="00867F95"/>
    <w:rsid w:val="00874DBA"/>
    <w:rsid w:val="008843B6"/>
    <w:rsid w:val="00890CB9"/>
    <w:rsid w:val="00891928"/>
    <w:rsid w:val="00894E55"/>
    <w:rsid w:val="008A2FEF"/>
    <w:rsid w:val="008A446D"/>
    <w:rsid w:val="008B25F1"/>
    <w:rsid w:val="008B52F0"/>
    <w:rsid w:val="008C0BE1"/>
    <w:rsid w:val="008C44B5"/>
    <w:rsid w:val="008C6EC3"/>
    <w:rsid w:val="008D180B"/>
    <w:rsid w:val="008D5CBB"/>
    <w:rsid w:val="008E12DA"/>
    <w:rsid w:val="008F0EA7"/>
    <w:rsid w:val="008F36A7"/>
    <w:rsid w:val="008F67BC"/>
    <w:rsid w:val="008F6D7D"/>
    <w:rsid w:val="009149B0"/>
    <w:rsid w:val="009150E7"/>
    <w:rsid w:val="00916390"/>
    <w:rsid w:val="0092111A"/>
    <w:rsid w:val="009229C6"/>
    <w:rsid w:val="00923290"/>
    <w:rsid w:val="00923EEF"/>
    <w:rsid w:val="009303A1"/>
    <w:rsid w:val="00930E19"/>
    <w:rsid w:val="009331B5"/>
    <w:rsid w:val="00934932"/>
    <w:rsid w:val="00937267"/>
    <w:rsid w:val="009419F9"/>
    <w:rsid w:val="00944591"/>
    <w:rsid w:val="00944D35"/>
    <w:rsid w:val="009454F7"/>
    <w:rsid w:val="009470F1"/>
    <w:rsid w:val="00954218"/>
    <w:rsid w:val="0095628A"/>
    <w:rsid w:val="0095685E"/>
    <w:rsid w:val="00961B09"/>
    <w:rsid w:val="009639AE"/>
    <w:rsid w:val="00965334"/>
    <w:rsid w:val="0096768D"/>
    <w:rsid w:val="0097093E"/>
    <w:rsid w:val="00973558"/>
    <w:rsid w:val="00996FAA"/>
    <w:rsid w:val="009A0DFA"/>
    <w:rsid w:val="009A1BEA"/>
    <w:rsid w:val="009A1C0A"/>
    <w:rsid w:val="009A1C13"/>
    <w:rsid w:val="009A1C6F"/>
    <w:rsid w:val="009A218A"/>
    <w:rsid w:val="009A6A44"/>
    <w:rsid w:val="009B2D26"/>
    <w:rsid w:val="009B33BB"/>
    <w:rsid w:val="009B5D8E"/>
    <w:rsid w:val="009B6EDE"/>
    <w:rsid w:val="009B7015"/>
    <w:rsid w:val="009C71FA"/>
    <w:rsid w:val="009C72E7"/>
    <w:rsid w:val="009C7F7E"/>
    <w:rsid w:val="009D3058"/>
    <w:rsid w:val="009D7893"/>
    <w:rsid w:val="009E03FD"/>
    <w:rsid w:val="009E4F49"/>
    <w:rsid w:val="009F3557"/>
    <w:rsid w:val="009F3A13"/>
    <w:rsid w:val="00A0115E"/>
    <w:rsid w:val="00A122D3"/>
    <w:rsid w:val="00A13303"/>
    <w:rsid w:val="00A14468"/>
    <w:rsid w:val="00A148F3"/>
    <w:rsid w:val="00A151FF"/>
    <w:rsid w:val="00A17F13"/>
    <w:rsid w:val="00A203CB"/>
    <w:rsid w:val="00A20739"/>
    <w:rsid w:val="00A21276"/>
    <w:rsid w:val="00A21364"/>
    <w:rsid w:val="00A23AF9"/>
    <w:rsid w:val="00A25AC5"/>
    <w:rsid w:val="00A33C78"/>
    <w:rsid w:val="00A34AE2"/>
    <w:rsid w:val="00A35B1B"/>
    <w:rsid w:val="00A3784A"/>
    <w:rsid w:val="00A457B6"/>
    <w:rsid w:val="00A50078"/>
    <w:rsid w:val="00A509B4"/>
    <w:rsid w:val="00A55378"/>
    <w:rsid w:val="00A61C33"/>
    <w:rsid w:val="00A71B99"/>
    <w:rsid w:val="00A71E92"/>
    <w:rsid w:val="00A72F73"/>
    <w:rsid w:val="00A75228"/>
    <w:rsid w:val="00A80988"/>
    <w:rsid w:val="00A831DD"/>
    <w:rsid w:val="00A83A43"/>
    <w:rsid w:val="00A8510F"/>
    <w:rsid w:val="00A878A7"/>
    <w:rsid w:val="00A87CD7"/>
    <w:rsid w:val="00AA14F7"/>
    <w:rsid w:val="00AA22CD"/>
    <w:rsid w:val="00AA22FC"/>
    <w:rsid w:val="00AA2538"/>
    <w:rsid w:val="00AB0ADB"/>
    <w:rsid w:val="00AB0F63"/>
    <w:rsid w:val="00AB2C12"/>
    <w:rsid w:val="00AB38A7"/>
    <w:rsid w:val="00AC0BEC"/>
    <w:rsid w:val="00AC5715"/>
    <w:rsid w:val="00AD022B"/>
    <w:rsid w:val="00AD04BE"/>
    <w:rsid w:val="00AD3BA4"/>
    <w:rsid w:val="00AD5A67"/>
    <w:rsid w:val="00AD5D08"/>
    <w:rsid w:val="00AE4206"/>
    <w:rsid w:val="00AF1B37"/>
    <w:rsid w:val="00B00C0E"/>
    <w:rsid w:val="00B01B1A"/>
    <w:rsid w:val="00B0381D"/>
    <w:rsid w:val="00B05EB8"/>
    <w:rsid w:val="00B06176"/>
    <w:rsid w:val="00B11908"/>
    <w:rsid w:val="00B15C39"/>
    <w:rsid w:val="00B16C37"/>
    <w:rsid w:val="00B221FD"/>
    <w:rsid w:val="00B22A17"/>
    <w:rsid w:val="00B25313"/>
    <w:rsid w:val="00B303EB"/>
    <w:rsid w:val="00B308E3"/>
    <w:rsid w:val="00B31621"/>
    <w:rsid w:val="00B41EE0"/>
    <w:rsid w:val="00B4234E"/>
    <w:rsid w:val="00B42570"/>
    <w:rsid w:val="00B44A47"/>
    <w:rsid w:val="00B577BC"/>
    <w:rsid w:val="00B60C90"/>
    <w:rsid w:val="00B71191"/>
    <w:rsid w:val="00B72CD3"/>
    <w:rsid w:val="00B72FFF"/>
    <w:rsid w:val="00B74DC7"/>
    <w:rsid w:val="00B85F8F"/>
    <w:rsid w:val="00B93ABB"/>
    <w:rsid w:val="00BA04BD"/>
    <w:rsid w:val="00BB19D7"/>
    <w:rsid w:val="00BC3D36"/>
    <w:rsid w:val="00BC6044"/>
    <w:rsid w:val="00BD0D9B"/>
    <w:rsid w:val="00BD0FB2"/>
    <w:rsid w:val="00BD399A"/>
    <w:rsid w:val="00BD40CC"/>
    <w:rsid w:val="00BD495D"/>
    <w:rsid w:val="00BD54A6"/>
    <w:rsid w:val="00BD7F72"/>
    <w:rsid w:val="00BE2F9B"/>
    <w:rsid w:val="00BF1DF1"/>
    <w:rsid w:val="00BF2F9F"/>
    <w:rsid w:val="00BF7425"/>
    <w:rsid w:val="00BF7CF7"/>
    <w:rsid w:val="00C026CF"/>
    <w:rsid w:val="00C04FB3"/>
    <w:rsid w:val="00C11D8B"/>
    <w:rsid w:val="00C15139"/>
    <w:rsid w:val="00C26162"/>
    <w:rsid w:val="00C30187"/>
    <w:rsid w:val="00C330EB"/>
    <w:rsid w:val="00C34A4E"/>
    <w:rsid w:val="00C44BB4"/>
    <w:rsid w:val="00C450F0"/>
    <w:rsid w:val="00C4556B"/>
    <w:rsid w:val="00C464AD"/>
    <w:rsid w:val="00C501BE"/>
    <w:rsid w:val="00C50D69"/>
    <w:rsid w:val="00C52710"/>
    <w:rsid w:val="00C5365C"/>
    <w:rsid w:val="00C6012D"/>
    <w:rsid w:val="00C614F3"/>
    <w:rsid w:val="00C62F47"/>
    <w:rsid w:val="00C636DD"/>
    <w:rsid w:val="00C65F91"/>
    <w:rsid w:val="00C669E4"/>
    <w:rsid w:val="00C71645"/>
    <w:rsid w:val="00C72866"/>
    <w:rsid w:val="00C73830"/>
    <w:rsid w:val="00C73CC1"/>
    <w:rsid w:val="00C754BE"/>
    <w:rsid w:val="00C76B1C"/>
    <w:rsid w:val="00C770A9"/>
    <w:rsid w:val="00C83A1A"/>
    <w:rsid w:val="00C84C1A"/>
    <w:rsid w:val="00C85E39"/>
    <w:rsid w:val="00C86ED0"/>
    <w:rsid w:val="00C870A1"/>
    <w:rsid w:val="00C87BFF"/>
    <w:rsid w:val="00C925AC"/>
    <w:rsid w:val="00C92C2C"/>
    <w:rsid w:val="00C94765"/>
    <w:rsid w:val="00CA10FB"/>
    <w:rsid w:val="00CB2D34"/>
    <w:rsid w:val="00CB6357"/>
    <w:rsid w:val="00CC1B26"/>
    <w:rsid w:val="00CC33FA"/>
    <w:rsid w:val="00CC4EA6"/>
    <w:rsid w:val="00CD71D9"/>
    <w:rsid w:val="00CE1C2F"/>
    <w:rsid w:val="00CE4B4C"/>
    <w:rsid w:val="00CE52D4"/>
    <w:rsid w:val="00CE6B8A"/>
    <w:rsid w:val="00CF010A"/>
    <w:rsid w:val="00CF05E6"/>
    <w:rsid w:val="00CF0D25"/>
    <w:rsid w:val="00CF2A73"/>
    <w:rsid w:val="00D02399"/>
    <w:rsid w:val="00D044BE"/>
    <w:rsid w:val="00D074BC"/>
    <w:rsid w:val="00D10083"/>
    <w:rsid w:val="00D111CC"/>
    <w:rsid w:val="00D23772"/>
    <w:rsid w:val="00D27748"/>
    <w:rsid w:val="00D31490"/>
    <w:rsid w:val="00D31C68"/>
    <w:rsid w:val="00D3402A"/>
    <w:rsid w:val="00D34921"/>
    <w:rsid w:val="00D34F20"/>
    <w:rsid w:val="00D361FD"/>
    <w:rsid w:val="00D423A2"/>
    <w:rsid w:val="00D42FCA"/>
    <w:rsid w:val="00D440FE"/>
    <w:rsid w:val="00D44E26"/>
    <w:rsid w:val="00D46A87"/>
    <w:rsid w:val="00D4710C"/>
    <w:rsid w:val="00D50781"/>
    <w:rsid w:val="00D520D8"/>
    <w:rsid w:val="00D57036"/>
    <w:rsid w:val="00D62F12"/>
    <w:rsid w:val="00D63AC2"/>
    <w:rsid w:val="00D670BE"/>
    <w:rsid w:val="00D7383B"/>
    <w:rsid w:val="00D75C2D"/>
    <w:rsid w:val="00D7788A"/>
    <w:rsid w:val="00D81A53"/>
    <w:rsid w:val="00D82560"/>
    <w:rsid w:val="00D8691D"/>
    <w:rsid w:val="00D91429"/>
    <w:rsid w:val="00D97954"/>
    <w:rsid w:val="00DA0489"/>
    <w:rsid w:val="00DA0F87"/>
    <w:rsid w:val="00DA231B"/>
    <w:rsid w:val="00DA4C01"/>
    <w:rsid w:val="00DA683F"/>
    <w:rsid w:val="00DB2D6A"/>
    <w:rsid w:val="00DB5CB9"/>
    <w:rsid w:val="00DC2CC5"/>
    <w:rsid w:val="00DC39FC"/>
    <w:rsid w:val="00DD1C89"/>
    <w:rsid w:val="00DD52B6"/>
    <w:rsid w:val="00DD7A16"/>
    <w:rsid w:val="00DD7DB6"/>
    <w:rsid w:val="00DE27EF"/>
    <w:rsid w:val="00DE5F5C"/>
    <w:rsid w:val="00DE65A4"/>
    <w:rsid w:val="00DF07E0"/>
    <w:rsid w:val="00DF25E0"/>
    <w:rsid w:val="00DF5254"/>
    <w:rsid w:val="00E02524"/>
    <w:rsid w:val="00E12DAB"/>
    <w:rsid w:val="00E13ACE"/>
    <w:rsid w:val="00E16408"/>
    <w:rsid w:val="00E20894"/>
    <w:rsid w:val="00E20E5B"/>
    <w:rsid w:val="00E23335"/>
    <w:rsid w:val="00E245AB"/>
    <w:rsid w:val="00E2764C"/>
    <w:rsid w:val="00E27F2E"/>
    <w:rsid w:val="00E40312"/>
    <w:rsid w:val="00E417F4"/>
    <w:rsid w:val="00E4472C"/>
    <w:rsid w:val="00E44E3A"/>
    <w:rsid w:val="00E50AFE"/>
    <w:rsid w:val="00E5113C"/>
    <w:rsid w:val="00E5577A"/>
    <w:rsid w:val="00E559B7"/>
    <w:rsid w:val="00E55A04"/>
    <w:rsid w:val="00E55D1B"/>
    <w:rsid w:val="00E57402"/>
    <w:rsid w:val="00E5797D"/>
    <w:rsid w:val="00E57EB0"/>
    <w:rsid w:val="00E63B52"/>
    <w:rsid w:val="00E64CA9"/>
    <w:rsid w:val="00E65ED1"/>
    <w:rsid w:val="00E72973"/>
    <w:rsid w:val="00E75C92"/>
    <w:rsid w:val="00E771DC"/>
    <w:rsid w:val="00E8570D"/>
    <w:rsid w:val="00E8772A"/>
    <w:rsid w:val="00E87DBA"/>
    <w:rsid w:val="00E9031C"/>
    <w:rsid w:val="00E90850"/>
    <w:rsid w:val="00E90F6B"/>
    <w:rsid w:val="00E918FB"/>
    <w:rsid w:val="00E91DF7"/>
    <w:rsid w:val="00E92C27"/>
    <w:rsid w:val="00E96730"/>
    <w:rsid w:val="00EA0E3D"/>
    <w:rsid w:val="00EA69C7"/>
    <w:rsid w:val="00EB31D7"/>
    <w:rsid w:val="00EB5D91"/>
    <w:rsid w:val="00EC38A7"/>
    <w:rsid w:val="00EC5604"/>
    <w:rsid w:val="00ED1933"/>
    <w:rsid w:val="00ED2553"/>
    <w:rsid w:val="00ED5C55"/>
    <w:rsid w:val="00ED6624"/>
    <w:rsid w:val="00EE1AA8"/>
    <w:rsid w:val="00EE227B"/>
    <w:rsid w:val="00EE27E6"/>
    <w:rsid w:val="00EE5832"/>
    <w:rsid w:val="00EE598B"/>
    <w:rsid w:val="00EF6D2A"/>
    <w:rsid w:val="00EF7990"/>
    <w:rsid w:val="00F02249"/>
    <w:rsid w:val="00F027C0"/>
    <w:rsid w:val="00F16A70"/>
    <w:rsid w:val="00F22794"/>
    <w:rsid w:val="00F23FEA"/>
    <w:rsid w:val="00F24E31"/>
    <w:rsid w:val="00F31EDC"/>
    <w:rsid w:val="00F42B69"/>
    <w:rsid w:val="00F44CAD"/>
    <w:rsid w:val="00F458C6"/>
    <w:rsid w:val="00F45E0C"/>
    <w:rsid w:val="00F462B3"/>
    <w:rsid w:val="00F55A04"/>
    <w:rsid w:val="00F5664F"/>
    <w:rsid w:val="00F666C4"/>
    <w:rsid w:val="00F72F66"/>
    <w:rsid w:val="00F76AFC"/>
    <w:rsid w:val="00F82FC2"/>
    <w:rsid w:val="00F83606"/>
    <w:rsid w:val="00F83838"/>
    <w:rsid w:val="00F86FD1"/>
    <w:rsid w:val="00F90489"/>
    <w:rsid w:val="00F95522"/>
    <w:rsid w:val="00F9689E"/>
    <w:rsid w:val="00FA179A"/>
    <w:rsid w:val="00FA2CEE"/>
    <w:rsid w:val="00FA47C0"/>
    <w:rsid w:val="00FA4B87"/>
    <w:rsid w:val="00FA61CD"/>
    <w:rsid w:val="00FB3F2E"/>
    <w:rsid w:val="00FB5DD1"/>
    <w:rsid w:val="00FC0C77"/>
    <w:rsid w:val="00FC2B5D"/>
    <w:rsid w:val="00FC4756"/>
    <w:rsid w:val="00FC79F6"/>
    <w:rsid w:val="00FD533D"/>
    <w:rsid w:val="00FD7716"/>
    <w:rsid w:val="00FE38C5"/>
    <w:rsid w:val="00FF1449"/>
    <w:rsid w:val="00FF3815"/>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5038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5038B"/>
    <w:rPr>
      <w:rFonts w:ascii="Geomanist Light" w:hAnsi="Geomanist Light"/>
      <w:lang w:val="es-ES"/>
    </w:rPr>
  </w:style>
  <w:style w:type="character" w:customStyle="1" w:styleId="NormalWebCar">
    <w:name w:val="Normal (Web) Car"/>
    <w:link w:val="NormalWeb"/>
    <w:uiPriority w:val="99"/>
    <w:locked/>
    <w:rsid w:val="00843074"/>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rajangarceslaiton97@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647_2001.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CE9E59-5584-4C9E-A913-CA0F8D601E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8C91277B-699F-4B0E-A8EF-4AD867E19DCE}">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1457</TotalTime>
  <Pages>19</Pages>
  <Words>5831</Words>
  <Characters>32074</Characters>
  <Application>Microsoft Office Word</Application>
  <DocSecurity>0</DocSecurity>
  <Lines>267</Lines>
  <Paragraphs>75</Paragraphs>
  <ScaleCrop>false</ScaleCrop>
  <Company/>
  <LinksUpToDate>false</LinksUpToDate>
  <CharactersWithSpaces>37830</CharactersWithSpaces>
  <SharedDoc>false</SharedDoc>
  <HLinks>
    <vt:vector size="24" baseType="variant">
      <vt:variant>
        <vt:i4>7471218</vt:i4>
      </vt:variant>
      <vt:variant>
        <vt:i4>6</vt:i4>
      </vt:variant>
      <vt:variant>
        <vt:i4>0</vt:i4>
      </vt:variant>
      <vt:variant>
        <vt:i4>5</vt:i4>
      </vt:variant>
      <vt:variant>
        <vt:lpwstr>https://relatoria.colombiacompra.gov.co/busqueda/conceptos</vt:lpwstr>
      </vt:variant>
      <vt:variant>
        <vt:lpwstr/>
      </vt:variant>
      <vt:variant>
        <vt:i4>5111895</vt:i4>
      </vt:variant>
      <vt:variant>
        <vt:i4>3</vt:i4>
      </vt:variant>
      <vt:variant>
        <vt:i4>0</vt:i4>
      </vt:variant>
      <vt:variant>
        <vt:i4>5</vt:i4>
      </vt:variant>
      <vt:variant>
        <vt:lpwstr>https://www.colombiacompra.gov.co/manuales-guias-y-pliegos-tipo/manuales-y-guias</vt:lpwstr>
      </vt:variant>
      <vt:variant>
        <vt:lpwstr/>
      </vt:variant>
      <vt:variant>
        <vt:i4>65574</vt:i4>
      </vt:variant>
      <vt:variant>
        <vt:i4>0</vt:i4>
      </vt:variant>
      <vt:variant>
        <vt:i4>0</vt:i4>
      </vt:variant>
      <vt:variant>
        <vt:i4>5</vt:i4>
      </vt:variant>
      <vt:variant>
        <vt:lpwstr>mailto:Abogado.oscar.munoz@gmail.com</vt:lpwstr>
      </vt:variant>
      <vt:variant>
        <vt:lpwstr/>
      </vt:variant>
      <vt:variant>
        <vt:i4>5111895</vt:i4>
      </vt:variant>
      <vt:variant>
        <vt:i4>0</vt:i4>
      </vt:variant>
      <vt:variant>
        <vt:i4>0</vt:i4>
      </vt:variant>
      <vt:variant>
        <vt:i4>5</vt:i4>
      </vt:variant>
      <vt:variant>
        <vt:lpwstr>https://www.colombiacompra.gov.co/manuales-guias-y-pliegos-tipo/manuales-y-guias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498</cp:revision>
  <cp:lastPrinted>2023-01-10T21:18:00Z</cp:lastPrinted>
  <dcterms:created xsi:type="dcterms:W3CDTF">2026-04-06T15:07:00Z</dcterms:created>
  <dcterms:modified xsi:type="dcterms:W3CDTF">2026-06-02T00:41:00Z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