
<file path=[Content_Types].xml><?xml version="1.0" encoding="utf-8"?>
<Types xmlns="http://schemas.openxmlformats.org/package/2006/content-types">
  <Default Extension="emf" ContentType="image/x-emf"/>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6" Type="http://schemas.microsoft.com/office/2020/02/relationships/classificationlabels" Target="docMetadata/LabelInfo.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FE1F1A" w14:textId="77777777" w:rsidR="005D5CDA" w:rsidRDefault="005D5CDA" w:rsidP="005D5CDA">
      <w:pPr>
        <w:jc w:val="both"/>
        <w:rPr>
          <w:rFonts w:ascii="Verdana" w:eastAsia="Calibri" w:hAnsi="Verdana" w:cs="Arial"/>
          <w:b/>
          <w:bCs/>
          <w:lang w:eastAsia="es-ES"/>
        </w:rPr>
      </w:pPr>
      <w:bookmarkStart w:id="0" w:name="_Hlk143780582"/>
      <w:r w:rsidRPr="005D5CDA">
        <w:rPr>
          <w:rFonts w:ascii="Verdana" w:eastAsia="Calibri" w:hAnsi="Verdana" w:cs="Arial"/>
          <w:b/>
          <w:bCs/>
          <w:lang w:eastAsia="es-ES"/>
        </w:rPr>
        <w:t xml:space="preserve">SELECCIÓN OBJETIVA – Ley 1150 de 2007 artículo 5 </w:t>
      </w:r>
    </w:p>
    <w:p w14:paraId="3EF312F7" w14:textId="77777777" w:rsidR="005D5CDA" w:rsidRDefault="005D5CDA" w:rsidP="005D5CDA">
      <w:pPr>
        <w:spacing w:after="0" w:line="240" w:lineRule="auto"/>
        <w:jc w:val="both"/>
        <w:rPr>
          <w:rFonts w:ascii="Verdana" w:eastAsia="Calibri" w:hAnsi="Verdana" w:cs="Arial"/>
          <w:color w:val="000000" w:themeColor="text1"/>
          <w:sz w:val="20"/>
          <w:szCs w:val="20"/>
          <w:lang w:val="es-ES_tradnl"/>
        </w:rPr>
      </w:pPr>
      <w:r w:rsidRPr="005D5CDA">
        <w:rPr>
          <w:rFonts w:ascii="Verdana" w:eastAsia="Calibri" w:hAnsi="Verdana" w:cs="Arial"/>
          <w:color w:val="000000" w:themeColor="text1"/>
          <w:sz w:val="20"/>
          <w:szCs w:val="20"/>
          <w:lang w:val="es-ES_tradnl"/>
        </w:rPr>
        <w:t xml:space="preserve">El artículo 5 de la Ley 1150 de 2007 establece que se considera “objetiva la selección en la cual la escogencia se haga al ofrecimiento más favorable a la entidad y a los fines que ella busca, sin tener en consideración factores de afecto o de interés y, en general, cualquier clase de motivación subjetiva”. En ese contexto, los factores de escogencia y calificación que establezcan las entidades en los pliegos de condiciones o sus documentos equivalentes deberán tener en cuenta, entre otras cuestiones, los criterios establecidos en dicha disposición. </w:t>
      </w:r>
    </w:p>
    <w:p w14:paraId="1E25796E" w14:textId="77777777" w:rsidR="005D5CDA" w:rsidRPr="005D5CDA" w:rsidRDefault="005D5CDA" w:rsidP="005D5CDA">
      <w:pPr>
        <w:spacing w:after="0" w:line="240" w:lineRule="auto"/>
        <w:jc w:val="both"/>
        <w:rPr>
          <w:rFonts w:ascii="Verdana" w:eastAsia="Calibri" w:hAnsi="Verdana" w:cs="Arial"/>
          <w:color w:val="000000" w:themeColor="text1"/>
          <w:sz w:val="20"/>
          <w:szCs w:val="20"/>
          <w:lang w:val="es-ES_tradnl"/>
        </w:rPr>
      </w:pPr>
    </w:p>
    <w:p w14:paraId="53DF3CF7" w14:textId="77777777" w:rsidR="005D5CDA" w:rsidRDefault="005D5CDA" w:rsidP="005D5CDA">
      <w:pPr>
        <w:jc w:val="both"/>
        <w:rPr>
          <w:rFonts w:ascii="Verdana" w:eastAsia="Calibri" w:hAnsi="Verdana" w:cs="Arial"/>
          <w:b/>
          <w:bCs/>
          <w:lang w:eastAsia="es-ES"/>
        </w:rPr>
      </w:pPr>
      <w:r w:rsidRPr="005D5CDA">
        <w:rPr>
          <w:rFonts w:ascii="Verdana" w:eastAsia="Calibri" w:hAnsi="Verdana" w:cs="Arial"/>
          <w:b/>
          <w:bCs/>
          <w:lang w:eastAsia="es-ES"/>
        </w:rPr>
        <w:t xml:space="preserve">CAPACIDAD FINANCIERA – Finalidad </w:t>
      </w:r>
    </w:p>
    <w:p w14:paraId="0D677AD7" w14:textId="77777777" w:rsidR="005D5CDA" w:rsidRDefault="005D5CDA" w:rsidP="005D5CDA">
      <w:pPr>
        <w:spacing w:after="0" w:line="240" w:lineRule="auto"/>
        <w:jc w:val="both"/>
        <w:rPr>
          <w:rFonts w:ascii="Verdana" w:eastAsia="Calibri" w:hAnsi="Verdana" w:cs="Arial"/>
          <w:color w:val="000000" w:themeColor="text1"/>
          <w:sz w:val="20"/>
          <w:szCs w:val="20"/>
          <w:lang w:val="es-ES_tradnl"/>
        </w:rPr>
      </w:pPr>
      <w:r w:rsidRPr="005D5CDA">
        <w:rPr>
          <w:rFonts w:ascii="Verdana" w:eastAsia="Calibri" w:hAnsi="Verdana" w:cs="Arial"/>
          <w:color w:val="000000" w:themeColor="text1"/>
          <w:sz w:val="20"/>
          <w:szCs w:val="20"/>
          <w:lang w:val="es-ES_tradnl"/>
        </w:rPr>
        <w:t xml:space="preserve">La </w:t>
      </w:r>
      <w:r w:rsidRPr="005D5CDA">
        <w:rPr>
          <w:rFonts w:ascii="Verdana" w:eastAsia="Calibri" w:hAnsi="Verdana" w:cs="Arial"/>
          <w:bCs/>
          <w:i/>
          <w:iCs/>
          <w:color w:val="000000" w:themeColor="text1"/>
          <w:sz w:val="20"/>
          <w:szCs w:val="20"/>
          <w:lang w:val="es-ES_tradnl"/>
        </w:rPr>
        <w:t xml:space="preserve">capacidad financiera, </w:t>
      </w:r>
      <w:r w:rsidRPr="005D5CDA">
        <w:rPr>
          <w:rFonts w:ascii="Verdana" w:eastAsia="Calibri" w:hAnsi="Verdana" w:cs="Arial"/>
          <w:bCs/>
          <w:color w:val="000000" w:themeColor="text1"/>
          <w:sz w:val="20"/>
          <w:szCs w:val="20"/>
          <w:lang w:val="es-ES_tradnl"/>
        </w:rPr>
        <w:t>objeto de su consulta,</w:t>
      </w:r>
      <w:r w:rsidRPr="005D5CDA">
        <w:rPr>
          <w:rFonts w:ascii="Verdana" w:eastAsia="Calibri" w:hAnsi="Verdana" w:cs="Arial"/>
          <w:i/>
          <w:iCs/>
          <w:color w:val="000000" w:themeColor="text1"/>
          <w:sz w:val="20"/>
          <w:szCs w:val="20"/>
          <w:lang w:val="es-ES_tradnl"/>
        </w:rPr>
        <w:t xml:space="preserve"> </w:t>
      </w:r>
      <w:r w:rsidRPr="005D5CDA">
        <w:rPr>
          <w:rFonts w:ascii="Verdana" w:eastAsia="Calibri" w:hAnsi="Verdana" w:cs="Arial"/>
          <w:color w:val="000000" w:themeColor="text1"/>
          <w:sz w:val="20"/>
          <w:szCs w:val="20"/>
          <w:lang w:val="es-ES_tradnl"/>
        </w:rPr>
        <w:t>se determina a través de la liquidez y el endeudamiento de los proponentes. Busca establecer condiciones mínimas en relación con la “salud financiera” de estos últimos, particularmente, demostrar su aptitud para cumplir oportuna y cabalmente el objeto del contrato. En ese sentido, la capacidad financiera que la entidad requiera para un proceso de contratación debe ser adecuada y proporcional a la naturaleza y al valor del contrato. Además, los requisitos de capacidad financiera deben ser establecidos con fundamento en los Estudios del Sector, los cuales pueden ser elaborados según la “Guía para la Elaboración de Estudios de Sector”, de esta Agencia.</w:t>
      </w:r>
    </w:p>
    <w:p w14:paraId="2A25474E" w14:textId="77777777" w:rsidR="00687CCD" w:rsidRDefault="00687CCD" w:rsidP="005D5CDA">
      <w:pPr>
        <w:spacing w:after="0" w:line="240" w:lineRule="auto"/>
        <w:jc w:val="both"/>
        <w:rPr>
          <w:rFonts w:ascii="Verdana" w:eastAsia="Calibri" w:hAnsi="Verdana" w:cs="Arial"/>
          <w:color w:val="000000" w:themeColor="text1"/>
          <w:sz w:val="20"/>
          <w:szCs w:val="20"/>
          <w:lang w:val="es-ES_tradnl"/>
        </w:rPr>
      </w:pPr>
    </w:p>
    <w:p w14:paraId="41901D26" w14:textId="1E471643" w:rsidR="005D5CDA" w:rsidRDefault="005D5CDA" w:rsidP="005D5CDA">
      <w:pPr>
        <w:jc w:val="both"/>
        <w:rPr>
          <w:rFonts w:ascii="Verdana" w:eastAsia="Calibri" w:hAnsi="Verdana" w:cs="Arial"/>
          <w:b/>
          <w:bCs/>
          <w:lang w:eastAsia="es-ES"/>
        </w:rPr>
      </w:pPr>
      <w:r w:rsidRPr="005D5CDA">
        <w:rPr>
          <w:rFonts w:ascii="Verdana" w:eastAsia="Calibri" w:hAnsi="Verdana" w:cs="Arial"/>
          <w:b/>
          <w:bCs/>
          <w:lang w:eastAsia="es-ES"/>
        </w:rPr>
        <w:t xml:space="preserve">REQUISITOS HABILITANTES – Autonomía de la entidad </w:t>
      </w:r>
    </w:p>
    <w:p w14:paraId="581E4A28" w14:textId="77777777" w:rsidR="00B75152" w:rsidRDefault="00B75152" w:rsidP="00B75152">
      <w:pPr>
        <w:spacing w:after="0" w:line="240" w:lineRule="auto"/>
        <w:jc w:val="both"/>
        <w:rPr>
          <w:rFonts w:ascii="Verdana" w:eastAsia="Calibri" w:hAnsi="Verdana" w:cs="Arial"/>
          <w:color w:val="000000" w:themeColor="text1"/>
          <w:sz w:val="20"/>
          <w:szCs w:val="20"/>
          <w:lang w:val="es-ES_tradnl"/>
        </w:rPr>
      </w:pPr>
      <w:r w:rsidRPr="00B75152">
        <w:rPr>
          <w:rFonts w:ascii="Verdana" w:eastAsia="Calibri" w:hAnsi="Verdana" w:cs="Arial"/>
          <w:color w:val="000000" w:themeColor="text1"/>
          <w:sz w:val="20"/>
          <w:szCs w:val="20"/>
          <w:lang w:val="es-ES_tradnl"/>
        </w:rPr>
        <w:t xml:space="preserve">En atención a la naturaleza del contrato a suscribir y su valor, plazo y forma de pago, la entidad debe usar los indicadores que considere adecuados respecto del objeto del proceso de contratación, para lo cual no es suficiente la aplicación mecánica de fórmulas financieras, pues deben conocer cada indicador, sus fórmulas de cálculo y su interpretación. Según el artículo 2.2.1.1.1.5.3 del Decreto 1082 de 2015, son indicadores de la capacidad financiera los siguientes: i) el </w:t>
      </w:r>
      <w:r w:rsidRPr="00B75152">
        <w:rPr>
          <w:rFonts w:ascii="Verdana" w:eastAsia="Calibri" w:hAnsi="Verdana" w:cs="Arial"/>
          <w:i/>
          <w:iCs/>
          <w:color w:val="000000" w:themeColor="text1"/>
          <w:sz w:val="20"/>
          <w:szCs w:val="20"/>
          <w:lang w:val="es-ES_tradnl"/>
        </w:rPr>
        <w:t>índice de liquidez</w:t>
      </w:r>
      <w:r w:rsidRPr="00B75152">
        <w:rPr>
          <w:rFonts w:ascii="Verdana" w:eastAsia="Calibri" w:hAnsi="Verdana" w:cs="Arial"/>
          <w:color w:val="000000" w:themeColor="text1"/>
          <w:sz w:val="20"/>
          <w:szCs w:val="20"/>
          <w:lang w:val="es-ES_tradnl"/>
        </w:rPr>
        <w:t xml:space="preserve">, que corresponde a la división entre el activo corriente y el pasivo corriente, y que determina la capacidad que tiene el proponente para cumplir con sus obligaciones de corto plazo; </w:t>
      </w:r>
      <w:proofErr w:type="spellStart"/>
      <w:r w:rsidRPr="00B75152">
        <w:rPr>
          <w:rFonts w:ascii="Verdana" w:eastAsia="Calibri" w:hAnsi="Verdana" w:cs="Arial"/>
          <w:color w:val="000000" w:themeColor="text1"/>
          <w:sz w:val="20"/>
          <w:szCs w:val="20"/>
          <w:lang w:val="es-ES_tradnl"/>
        </w:rPr>
        <w:t>ii</w:t>
      </w:r>
      <w:proofErr w:type="spellEnd"/>
      <w:r w:rsidRPr="00B75152">
        <w:rPr>
          <w:rFonts w:ascii="Verdana" w:eastAsia="Calibri" w:hAnsi="Verdana" w:cs="Arial"/>
          <w:color w:val="000000" w:themeColor="text1"/>
          <w:sz w:val="20"/>
          <w:szCs w:val="20"/>
          <w:lang w:val="es-ES_tradnl"/>
        </w:rPr>
        <w:t xml:space="preserve">) el </w:t>
      </w:r>
      <w:r w:rsidRPr="00B75152">
        <w:rPr>
          <w:rFonts w:ascii="Verdana" w:eastAsia="Calibri" w:hAnsi="Verdana" w:cs="Arial"/>
          <w:i/>
          <w:iCs/>
          <w:color w:val="000000" w:themeColor="text1"/>
          <w:sz w:val="20"/>
          <w:szCs w:val="20"/>
          <w:lang w:val="es-ES_tradnl"/>
        </w:rPr>
        <w:t>índice de endeudamiento</w:t>
      </w:r>
      <w:r w:rsidRPr="00B75152">
        <w:rPr>
          <w:rFonts w:ascii="Verdana" w:eastAsia="Calibri" w:hAnsi="Verdana" w:cs="Arial"/>
          <w:color w:val="000000" w:themeColor="text1"/>
          <w:sz w:val="20"/>
          <w:szCs w:val="20"/>
          <w:lang w:val="es-ES_tradnl"/>
        </w:rPr>
        <w:t xml:space="preserve">, que se calcula dividiendo el pasivo total por el activo total, el cual determina el grado de endeudamiento en la estructura de financiación del proponente; y </w:t>
      </w:r>
      <w:proofErr w:type="spellStart"/>
      <w:r w:rsidRPr="00B75152">
        <w:rPr>
          <w:rFonts w:ascii="Verdana" w:eastAsia="Calibri" w:hAnsi="Verdana" w:cs="Arial"/>
          <w:color w:val="000000" w:themeColor="text1"/>
          <w:sz w:val="20"/>
          <w:szCs w:val="20"/>
          <w:lang w:val="es-ES_tradnl"/>
        </w:rPr>
        <w:t>iii</w:t>
      </w:r>
      <w:proofErr w:type="spellEnd"/>
      <w:r w:rsidRPr="00B75152">
        <w:rPr>
          <w:rFonts w:ascii="Verdana" w:eastAsia="Calibri" w:hAnsi="Verdana" w:cs="Arial"/>
          <w:color w:val="000000" w:themeColor="text1"/>
          <w:sz w:val="20"/>
          <w:szCs w:val="20"/>
          <w:lang w:val="es-ES_tradnl"/>
        </w:rPr>
        <w:t xml:space="preserve">) la </w:t>
      </w:r>
      <w:r w:rsidRPr="00B75152">
        <w:rPr>
          <w:rFonts w:ascii="Verdana" w:eastAsia="Calibri" w:hAnsi="Verdana" w:cs="Arial"/>
          <w:i/>
          <w:iCs/>
          <w:color w:val="000000" w:themeColor="text1"/>
          <w:sz w:val="20"/>
          <w:szCs w:val="20"/>
          <w:lang w:val="es-ES_tradnl"/>
        </w:rPr>
        <w:t>razón de cobertura de intereses</w:t>
      </w:r>
      <w:r w:rsidRPr="00B75152">
        <w:rPr>
          <w:rFonts w:ascii="Verdana" w:eastAsia="Calibri" w:hAnsi="Verdana" w:cs="Arial"/>
          <w:color w:val="000000" w:themeColor="text1"/>
          <w:sz w:val="20"/>
          <w:szCs w:val="20"/>
          <w:lang w:val="es-ES_tradnl"/>
        </w:rPr>
        <w:t>, que es igual a la utilidad operacional, sobre los gastos de intereses, y que refleja la capacidad del proponente para cumplir con sus obligaciones financieras.</w:t>
      </w:r>
    </w:p>
    <w:p w14:paraId="1C8F29F2" w14:textId="77777777" w:rsidR="00B75152" w:rsidRDefault="00B75152" w:rsidP="00B75152">
      <w:pPr>
        <w:spacing w:after="0" w:line="240" w:lineRule="auto"/>
        <w:jc w:val="both"/>
        <w:rPr>
          <w:rFonts w:ascii="Verdana" w:eastAsia="Calibri" w:hAnsi="Verdana" w:cs="Arial"/>
          <w:b/>
          <w:bCs/>
          <w:lang w:eastAsia="es-ES"/>
        </w:rPr>
      </w:pPr>
    </w:p>
    <w:p w14:paraId="1942FF78" w14:textId="41029EB4" w:rsidR="005D5CDA" w:rsidRPr="00B75152" w:rsidRDefault="005D5CDA" w:rsidP="005D5CDA">
      <w:pPr>
        <w:jc w:val="both"/>
        <w:rPr>
          <w:rFonts w:ascii="Verdana" w:eastAsia="Calibri" w:hAnsi="Verdana" w:cs="Arial"/>
          <w:color w:val="000000" w:themeColor="text1"/>
          <w:sz w:val="20"/>
          <w:szCs w:val="20"/>
          <w:lang w:val="es-ES_tradnl"/>
        </w:rPr>
      </w:pPr>
      <w:r w:rsidRPr="005D5CDA">
        <w:rPr>
          <w:rFonts w:ascii="Verdana" w:eastAsia="Calibri" w:hAnsi="Verdana" w:cs="Arial"/>
          <w:b/>
          <w:bCs/>
          <w:lang w:eastAsia="es-ES"/>
        </w:rPr>
        <w:t xml:space="preserve">DECRETO 399 DE 2021 – Finalidad – Reactivación económica </w:t>
      </w:r>
    </w:p>
    <w:p w14:paraId="48B447E0" w14:textId="6713DC69" w:rsidR="00B75152" w:rsidRPr="00B75152" w:rsidRDefault="00B75152" w:rsidP="00B75152">
      <w:pPr>
        <w:spacing w:after="0" w:line="240" w:lineRule="auto"/>
        <w:jc w:val="both"/>
        <w:rPr>
          <w:rFonts w:ascii="Verdana" w:hAnsi="Verdana" w:cs="Arial"/>
          <w:color w:val="000000"/>
          <w:sz w:val="20"/>
          <w:szCs w:val="20"/>
          <w:lang w:val="es-ES_tradnl"/>
        </w:rPr>
      </w:pPr>
      <w:r w:rsidRPr="00B75152">
        <w:rPr>
          <w:rFonts w:ascii="Verdana" w:hAnsi="Verdana" w:cs="Arial"/>
          <w:color w:val="000000"/>
          <w:sz w:val="20"/>
          <w:szCs w:val="20"/>
          <w:lang w:val="es-ES_tradnl"/>
        </w:rPr>
        <w:t xml:space="preserve">Para lograr la reactivación económica, ante la crisis generada por la pandemia del COVID-19, el gobierno nacional expidió el Decreto 399 de 2021, mediante el cual se establecieron algunas modificaciones al Decreto 1082 de 2015 frente a la regulación de la información financiera y organizacional prevista en el Registro Único de Proponentes –RUP–. En tal sentido, se indicó –con la modificación posteriormente introducida por el Decreto 579 de 2021– que a partir del 1 de julio de 2021 las Entidades Estatales deberán </w:t>
      </w:r>
      <w:r w:rsidRPr="00B75152">
        <w:rPr>
          <w:rFonts w:ascii="Verdana" w:hAnsi="Verdana" w:cs="Arial"/>
          <w:color w:val="000000"/>
          <w:sz w:val="20"/>
          <w:szCs w:val="20"/>
          <w:lang w:val="es-ES_tradnl"/>
        </w:rPr>
        <w:lastRenderedPageBreak/>
        <w:t xml:space="preserve">tener en cuenta los datos sobre la capacidad financiera y organizacional de los últimos tres años, consignada en el RUP. </w:t>
      </w:r>
    </w:p>
    <w:p w14:paraId="57E3F9EB" w14:textId="77777777" w:rsidR="00B75152" w:rsidRDefault="00B75152" w:rsidP="00B75152">
      <w:pPr>
        <w:spacing w:after="0" w:line="240" w:lineRule="auto"/>
        <w:jc w:val="both"/>
        <w:rPr>
          <w:rFonts w:ascii="Verdana" w:eastAsia="Calibri" w:hAnsi="Verdana" w:cs="Arial"/>
          <w:b/>
          <w:bCs/>
          <w:lang w:eastAsia="es-ES"/>
        </w:rPr>
      </w:pPr>
    </w:p>
    <w:p w14:paraId="0EE85624" w14:textId="77777777" w:rsidR="00B75152" w:rsidRDefault="005D5CDA" w:rsidP="00B75152">
      <w:pPr>
        <w:jc w:val="both"/>
        <w:rPr>
          <w:rFonts w:ascii="Verdana" w:eastAsia="Calibri" w:hAnsi="Verdana" w:cs="Arial"/>
          <w:b/>
          <w:bCs/>
          <w:lang w:eastAsia="es-ES"/>
        </w:rPr>
      </w:pPr>
      <w:r w:rsidRPr="005D5CDA">
        <w:rPr>
          <w:rFonts w:ascii="Verdana" w:eastAsia="Calibri" w:hAnsi="Verdana" w:cs="Arial"/>
          <w:b/>
          <w:bCs/>
          <w:lang w:eastAsia="es-ES"/>
        </w:rPr>
        <w:t xml:space="preserve">DECRETO 399 DE 2021 – Capacidad financiera y organizacional – Reporte de información de los estados financieros de los últimos tres (3) años fiscales </w:t>
      </w:r>
    </w:p>
    <w:p w14:paraId="0CE487A1" w14:textId="332D9991" w:rsidR="001A0E78" w:rsidRPr="001A0E78" w:rsidRDefault="001A0E78" w:rsidP="00B75152">
      <w:pPr>
        <w:jc w:val="both"/>
        <w:rPr>
          <w:rFonts w:ascii="Verdana" w:eastAsia="Calibri" w:hAnsi="Verdana" w:cs="Arial"/>
          <w:sz w:val="20"/>
          <w:szCs w:val="20"/>
          <w:lang w:val="es-ES_tradnl" w:eastAsia="es-ES"/>
        </w:rPr>
      </w:pPr>
      <w:r w:rsidRPr="001A0E78">
        <w:rPr>
          <w:rFonts w:ascii="Verdana" w:eastAsia="Calibri" w:hAnsi="Verdana" w:cs="Arial"/>
          <w:sz w:val="20"/>
          <w:szCs w:val="20"/>
          <w:lang w:val="es-ES_tradnl" w:eastAsia="es-ES"/>
        </w:rPr>
        <w:t>Para lograr la reactivación económica, ante la crisis generada por la pandemia del COVID-19, el gobierno nacional expidió el Decreto 399 de 2021, mediante el cual se establecieron algunas modificaciones al Decreto 1082 de 2015 frente a la regulación de la información financiera y organizacional prevista en el Registro Único de Proponentes –RUP–. En tal sentido, se indicó –con la modificación posteriormente introducida por el Decreto 579 de 2021– que a partir del 1 de julio de 2021 las Entidades Estatales deberán tener en cuenta los datos sobre la capacidad financiera y organizacional de los últimos tres años, consignada en el RUP.</w:t>
      </w:r>
    </w:p>
    <w:p w14:paraId="2404F482" w14:textId="023D6ED6" w:rsidR="005D5CDA" w:rsidRDefault="005D5CDA" w:rsidP="005D5CDA">
      <w:pPr>
        <w:jc w:val="both"/>
        <w:rPr>
          <w:rFonts w:ascii="Verdana" w:eastAsia="Calibri" w:hAnsi="Verdana" w:cs="Arial"/>
          <w:b/>
          <w:bCs/>
          <w:lang w:eastAsia="es-ES"/>
        </w:rPr>
      </w:pPr>
      <w:r w:rsidRPr="005D5CDA">
        <w:rPr>
          <w:rFonts w:ascii="Verdana" w:eastAsia="Calibri" w:hAnsi="Verdana" w:cs="Arial"/>
          <w:b/>
          <w:bCs/>
          <w:lang w:eastAsia="es-ES"/>
        </w:rPr>
        <w:t xml:space="preserve">DECRETOS 399 Y 579 DE 2021 – Indicadores – Capacidad financiera – Capacidad organizacional – Período </w:t>
      </w:r>
    </w:p>
    <w:p w14:paraId="31210237" w14:textId="6BCA1D3A" w:rsidR="00215B2D" w:rsidRPr="00215B2D" w:rsidRDefault="00215B2D" w:rsidP="00215B2D">
      <w:pPr>
        <w:spacing w:after="0" w:line="240" w:lineRule="auto"/>
        <w:jc w:val="both"/>
        <w:rPr>
          <w:rFonts w:ascii="Verdana" w:hAnsi="Verdana" w:cs="Arial"/>
          <w:i/>
          <w:iCs/>
          <w:color w:val="000000"/>
          <w:sz w:val="20"/>
          <w:szCs w:val="20"/>
          <w:lang w:val="es-ES_tradnl"/>
        </w:rPr>
      </w:pPr>
      <w:r w:rsidRPr="00215B2D">
        <w:rPr>
          <w:rFonts w:ascii="Verdana" w:hAnsi="Verdana" w:cs="Arial"/>
          <w:color w:val="000000"/>
          <w:sz w:val="20"/>
          <w:szCs w:val="20"/>
          <w:lang w:val="es-ES_tradnl"/>
        </w:rPr>
        <w:t xml:space="preserve">En tal sentido, el artículo 4 del Decreto 399 de 2021 adicionó dos parágrafos transitorios al artículo 2.2.1.1.1.5.2 del Decreto 1082 de 2015, que a su vez fueron sustituidos por el artículo 1 del Decreto 579 del 31 de mayo de 2021 y posteriormente se adicionó un parágrafo transitorio adicional al artículo 2.2.1.1.1.5.2 del Decreto 1082 de 2015 por el artículo 1 del </w:t>
      </w:r>
      <w:r w:rsidRPr="00215B2D">
        <w:rPr>
          <w:rFonts w:ascii="Verdana" w:hAnsi="Verdana" w:cs="Arial"/>
          <w:sz w:val="20"/>
          <w:szCs w:val="20"/>
        </w:rPr>
        <w:t>Decreto 1041 de 2022.</w:t>
      </w:r>
    </w:p>
    <w:p w14:paraId="6E1D0EB5" w14:textId="77777777" w:rsidR="00215B2D" w:rsidRDefault="00215B2D" w:rsidP="00215B2D">
      <w:pPr>
        <w:spacing w:after="0" w:line="240" w:lineRule="auto"/>
        <w:jc w:val="both"/>
        <w:rPr>
          <w:rFonts w:ascii="Verdana" w:hAnsi="Verdana" w:cs="Arial"/>
          <w:color w:val="000000"/>
          <w:sz w:val="20"/>
          <w:szCs w:val="20"/>
          <w:lang w:val="es-ES_tradnl"/>
        </w:rPr>
      </w:pPr>
    </w:p>
    <w:p w14:paraId="5A5EC12F" w14:textId="65F11E1C" w:rsidR="00215B2D" w:rsidRPr="00215B2D" w:rsidRDefault="00215B2D" w:rsidP="00215B2D">
      <w:pPr>
        <w:spacing w:after="0" w:line="240" w:lineRule="auto"/>
        <w:jc w:val="both"/>
        <w:rPr>
          <w:rFonts w:ascii="Verdana" w:hAnsi="Verdana" w:cs="Arial"/>
          <w:i/>
          <w:iCs/>
          <w:color w:val="000000"/>
          <w:sz w:val="20"/>
          <w:szCs w:val="20"/>
          <w:lang w:val="es-ES_tradnl"/>
        </w:rPr>
      </w:pPr>
      <w:r w:rsidRPr="00215B2D">
        <w:rPr>
          <w:rFonts w:ascii="Verdana" w:hAnsi="Verdana" w:cs="Arial"/>
          <w:color w:val="000000"/>
          <w:sz w:val="20"/>
          <w:szCs w:val="20"/>
          <w:lang w:val="es-ES_tradnl"/>
        </w:rPr>
        <w:t xml:space="preserve">El </w:t>
      </w:r>
      <w:r w:rsidRPr="00215B2D">
        <w:rPr>
          <w:rFonts w:ascii="Verdana" w:hAnsi="Verdana" w:cs="Arial"/>
          <w:i/>
          <w:iCs/>
          <w:color w:val="000000"/>
          <w:sz w:val="20"/>
          <w:szCs w:val="20"/>
          <w:lang w:val="es-ES_tradnl"/>
        </w:rPr>
        <w:t>parágrafo transitorio 1</w:t>
      </w:r>
      <w:r w:rsidRPr="00215B2D">
        <w:rPr>
          <w:rFonts w:ascii="Verdana" w:hAnsi="Verdana" w:cs="Arial"/>
          <w:color w:val="000000"/>
          <w:sz w:val="20"/>
          <w:szCs w:val="20"/>
          <w:lang w:val="es-ES_tradnl"/>
        </w:rPr>
        <w:t xml:space="preserve"> dispone que desde el 1 de junio de 2021 los interesados en inscribirse en el RUP deben reportar la información contable y los estados financieros de los tres últimos años fiscales. Sin embargo, si el interesado no tiene una antigüedad de tres años, podrá acreditar dicha información desde el primer cierre fiscal. Dicho parágrafo además permite que el proponente con inscripción activa y vigente en el RUP actualice la información del 2018 y/o 2019, por no contar con los datos sobre la capacidad financiera y organizacional de estos años, de manera gratuita, durante el mes de junio, por una sola vez. En todo caso, aclara que, si el proponente tiene registrada la información de dichos años en la cámara de comercio, no deberá presentar esta información.</w:t>
      </w:r>
    </w:p>
    <w:p w14:paraId="25782B44" w14:textId="77777777" w:rsidR="00215B2D" w:rsidRDefault="00215B2D" w:rsidP="00215B2D">
      <w:pPr>
        <w:spacing w:after="0" w:line="240" w:lineRule="auto"/>
        <w:jc w:val="both"/>
        <w:rPr>
          <w:rFonts w:ascii="Verdana" w:hAnsi="Verdana" w:cs="Arial"/>
          <w:color w:val="000000"/>
          <w:sz w:val="20"/>
          <w:szCs w:val="20"/>
          <w:lang w:val="es-ES_tradnl"/>
        </w:rPr>
      </w:pPr>
    </w:p>
    <w:p w14:paraId="002613AD" w14:textId="43D0346E" w:rsidR="00215B2D" w:rsidRPr="00215B2D" w:rsidRDefault="00215B2D" w:rsidP="00215B2D">
      <w:pPr>
        <w:spacing w:after="0" w:line="240" w:lineRule="auto"/>
        <w:jc w:val="both"/>
        <w:rPr>
          <w:rFonts w:ascii="Verdana" w:hAnsi="Verdana" w:cs="Arial"/>
          <w:i/>
          <w:color w:val="000000"/>
          <w:sz w:val="20"/>
          <w:szCs w:val="20"/>
          <w:lang w:val="es-ES_tradnl"/>
        </w:rPr>
      </w:pPr>
      <w:r w:rsidRPr="00215B2D">
        <w:rPr>
          <w:rFonts w:ascii="Verdana" w:hAnsi="Verdana" w:cs="Arial"/>
          <w:color w:val="000000"/>
          <w:sz w:val="20"/>
          <w:szCs w:val="20"/>
          <w:lang w:val="es-ES_tradnl"/>
        </w:rPr>
        <w:t xml:space="preserve">El </w:t>
      </w:r>
      <w:r w:rsidRPr="00215B2D">
        <w:rPr>
          <w:rFonts w:ascii="Verdana" w:hAnsi="Verdana" w:cs="Arial"/>
          <w:i/>
          <w:iCs/>
          <w:color w:val="000000"/>
          <w:sz w:val="20"/>
          <w:szCs w:val="20"/>
          <w:lang w:val="es-ES_tradnl"/>
        </w:rPr>
        <w:t>parágrafo transitorio 2</w:t>
      </w:r>
      <w:r w:rsidRPr="00215B2D">
        <w:rPr>
          <w:rFonts w:ascii="Verdana" w:hAnsi="Verdana" w:cs="Arial"/>
          <w:color w:val="000000"/>
          <w:sz w:val="20"/>
          <w:szCs w:val="20"/>
          <w:lang w:val="es-ES_tradnl"/>
        </w:rPr>
        <w:t xml:space="preserve"> señala que, en el año 2022, para la inscripción en el RUP o para su renovación, el interesado debe reportar la información contable y los estados financieros de los tres últimos años fiscales. Además, reitera que, si aquel no cuenta con la información financiera de dichos años, por no tener la antigüedad suficiente, podrá aportar la información de su primer cierre fiscal. </w:t>
      </w:r>
    </w:p>
    <w:p w14:paraId="137D090C" w14:textId="77777777" w:rsidR="00215B2D" w:rsidRDefault="00215B2D" w:rsidP="00215B2D">
      <w:pPr>
        <w:spacing w:after="0" w:line="240" w:lineRule="auto"/>
        <w:jc w:val="both"/>
        <w:rPr>
          <w:rFonts w:ascii="Verdana" w:eastAsia="Calibri" w:hAnsi="Verdana" w:cs="Arial"/>
          <w:b/>
          <w:bCs/>
          <w:lang w:val="es-ES_tradnl" w:eastAsia="es-ES"/>
        </w:rPr>
      </w:pPr>
    </w:p>
    <w:p w14:paraId="1B47D6E8" w14:textId="25858481" w:rsidR="00B13A11" w:rsidRDefault="005D5CDA" w:rsidP="005D5CDA">
      <w:pPr>
        <w:jc w:val="both"/>
        <w:rPr>
          <w:rFonts w:ascii="Verdana" w:eastAsia="Calibri" w:hAnsi="Verdana" w:cs="Arial"/>
          <w:b/>
          <w:bCs/>
          <w:lang w:eastAsia="es-ES"/>
        </w:rPr>
      </w:pPr>
      <w:r w:rsidRPr="005D5CDA">
        <w:rPr>
          <w:rFonts w:ascii="Verdana" w:eastAsia="Calibri" w:hAnsi="Verdana" w:cs="Arial"/>
          <w:b/>
          <w:bCs/>
          <w:lang w:eastAsia="es-ES"/>
        </w:rPr>
        <w:t>DECRETO 1041 DE 2022 - Información – Capacidad financiera – Capacidad organizacional – Últimos tres (3) años fiscales anteriores</w:t>
      </w:r>
    </w:p>
    <w:p w14:paraId="0C5174EE" w14:textId="77777777" w:rsidR="00B13A11" w:rsidRPr="00B13A11" w:rsidRDefault="00B13A11" w:rsidP="00B13A11">
      <w:pPr>
        <w:spacing w:after="0" w:line="240" w:lineRule="auto"/>
        <w:jc w:val="both"/>
        <w:rPr>
          <w:rFonts w:ascii="Verdana" w:hAnsi="Verdana" w:cs="Arial"/>
          <w:i/>
          <w:iCs/>
          <w:color w:val="000000"/>
          <w:sz w:val="20"/>
          <w:szCs w:val="20"/>
          <w:lang w:val="es-ES_tradnl"/>
        </w:rPr>
      </w:pPr>
      <w:r w:rsidRPr="00B13A11">
        <w:rPr>
          <w:rFonts w:ascii="Verdana" w:hAnsi="Verdana" w:cs="Arial"/>
          <w:color w:val="000000"/>
          <w:sz w:val="20"/>
          <w:szCs w:val="20"/>
          <w:lang w:val="es-ES_tradnl"/>
        </w:rPr>
        <w:t xml:space="preserve">Posteriormente, el segundo parágrafo transitorio del artículo 2.2.1.1.1.5.6 del Decreto 1082 de 2015, modificado por el artículo 2 del Decreto 1041 del 21 de junio 2022 dispone que </w:t>
      </w:r>
      <w:r w:rsidRPr="00B13A11">
        <w:rPr>
          <w:rFonts w:ascii="Verdana" w:hAnsi="Verdana" w:cs="Arial"/>
          <w:i/>
          <w:iCs/>
          <w:color w:val="000000"/>
          <w:sz w:val="20"/>
          <w:szCs w:val="20"/>
          <w:lang w:val="es-ES_tradnl"/>
        </w:rPr>
        <w:t>“</w:t>
      </w:r>
      <w:r w:rsidRPr="00B13A11">
        <w:rPr>
          <w:rFonts w:ascii="Verdana" w:hAnsi="Verdana" w:cs="Arial"/>
          <w:color w:val="000000"/>
          <w:sz w:val="20"/>
          <w:szCs w:val="20"/>
          <w:lang w:val="es-ES_tradnl"/>
        </w:rPr>
        <w:t>El proponente que cuente con inscripción activa y vigente en el RUP, que reporte la información de la capacidad financiera y organizacional, señalada en los parágrafos transitorios 1, 2 y 3 del artículo 2.2.1.1.1.5.2 del presente Decreto, deberá presentarla en el formato unificado que las cámaras de comercio dispongan para tal efecto</w:t>
      </w:r>
      <w:r w:rsidRPr="00B13A11">
        <w:rPr>
          <w:rFonts w:ascii="Verdana" w:hAnsi="Verdana" w:cs="Arial"/>
          <w:i/>
          <w:iCs/>
          <w:color w:val="000000"/>
          <w:sz w:val="20"/>
          <w:szCs w:val="20"/>
          <w:lang w:val="es-ES_tradnl"/>
        </w:rPr>
        <w:t xml:space="preserve">”. </w:t>
      </w:r>
      <w:r w:rsidRPr="00B13A11">
        <w:rPr>
          <w:rFonts w:ascii="Verdana" w:hAnsi="Verdana" w:cs="Arial"/>
          <w:color w:val="000000"/>
          <w:sz w:val="20"/>
          <w:szCs w:val="20"/>
          <w:lang w:val="es-ES_tradnl"/>
        </w:rPr>
        <w:t>Como se observa, las normas anteriormente transcritas disponen que:</w:t>
      </w:r>
    </w:p>
    <w:p w14:paraId="5C60A22D" w14:textId="77777777" w:rsidR="00B13A11" w:rsidRDefault="00B13A11" w:rsidP="00B13A11">
      <w:pPr>
        <w:spacing w:after="0" w:line="240" w:lineRule="auto"/>
        <w:jc w:val="both"/>
        <w:rPr>
          <w:rFonts w:ascii="Verdana" w:hAnsi="Verdana" w:cs="Arial"/>
          <w:color w:val="000000"/>
          <w:sz w:val="20"/>
          <w:szCs w:val="20"/>
          <w:lang w:val="es-ES_tradnl"/>
        </w:rPr>
      </w:pPr>
    </w:p>
    <w:p w14:paraId="2BFF8024" w14:textId="45DA223F" w:rsidR="00B13A11" w:rsidRPr="00B13A11" w:rsidRDefault="00B13A11" w:rsidP="00B13A11">
      <w:pPr>
        <w:spacing w:after="0" w:line="240" w:lineRule="auto"/>
        <w:jc w:val="both"/>
        <w:rPr>
          <w:rFonts w:ascii="Verdana" w:hAnsi="Verdana" w:cs="Arial"/>
          <w:i/>
          <w:iCs/>
          <w:color w:val="000000"/>
          <w:sz w:val="20"/>
          <w:szCs w:val="20"/>
          <w:lang w:val="es-ES_tradnl"/>
        </w:rPr>
      </w:pPr>
      <w:r w:rsidRPr="00B13A11">
        <w:rPr>
          <w:rFonts w:ascii="Verdana" w:hAnsi="Verdana" w:cs="Arial"/>
          <w:color w:val="000000"/>
          <w:sz w:val="20"/>
          <w:szCs w:val="20"/>
          <w:lang w:val="es-ES_tradnl"/>
        </w:rPr>
        <w:t>i) A partir del 1 de julio de 2021 las Entidades Estatales “[…] establecerán y evaluarán los requisitos habilitantes de capacidad financiera y organizacional teniendo en cuenta la información que conste en el Registro Único de Proponentes”. Es decir, las Entidades Estatales deben tener en cuenta la información sobre la capacidad financiera y organizacional “correspondiente a los últimos tres (3) años fiscales anteriores al respectivo acto” o “desde su primer cierre fiscal”, según el caso.</w:t>
      </w:r>
    </w:p>
    <w:p w14:paraId="1ABF24A2" w14:textId="77777777" w:rsidR="00B13A11" w:rsidRDefault="00B13A11" w:rsidP="00B13A11">
      <w:pPr>
        <w:spacing w:after="0" w:line="240" w:lineRule="auto"/>
        <w:jc w:val="both"/>
        <w:rPr>
          <w:rFonts w:ascii="Verdana" w:hAnsi="Verdana" w:cs="Arial"/>
          <w:color w:val="000000"/>
          <w:sz w:val="20"/>
          <w:szCs w:val="20"/>
          <w:lang w:val="es-ES_tradnl"/>
        </w:rPr>
      </w:pPr>
    </w:p>
    <w:p w14:paraId="03E3A8F8" w14:textId="023A89A5" w:rsidR="00B13A11" w:rsidRPr="00B13A11" w:rsidRDefault="00B13A11" w:rsidP="00B13A11">
      <w:pPr>
        <w:spacing w:after="0" w:line="240" w:lineRule="auto"/>
        <w:jc w:val="both"/>
        <w:rPr>
          <w:rFonts w:ascii="Verdana" w:hAnsi="Verdana" w:cs="Arial"/>
          <w:i/>
          <w:color w:val="000000"/>
          <w:sz w:val="20"/>
          <w:szCs w:val="20"/>
          <w:lang w:val="es-ES_tradnl"/>
        </w:rPr>
      </w:pPr>
      <w:proofErr w:type="spellStart"/>
      <w:r w:rsidRPr="00B13A11">
        <w:rPr>
          <w:rFonts w:ascii="Verdana" w:hAnsi="Verdana" w:cs="Arial"/>
          <w:color w:val="000000"/>
          <w:sz w:val="20"/>
          <w:szCs w:val="20"/>
          <w:lang w:val="es-ES_tradnl"/>
        </w:rPr>
        <w:t>ii</w:t>
      </w:r>
      <w:proofErr w:type="spellEnd"/>
      <w:r w:rsidRPr="00B13A11">
        <w:rPr>
          <w:rFonts w:ascii="Verdana" w:hAnsi="Verdana" w:cs="Arial"/>
          <w:color w:val="000000"/>
          <w:sz w:val="20"/>
          <w:szCs w:val="20"/>
          <w:lang w:val="es-ES_tradnl"/>
        </w:rPr>
        <w:t>) Las Entidades Estatales conservan su discrecionalidad administrativa para determinar los requisitos habilitantes de capacidad financiera y organizacional, pero “En todo caso, se establecerán indicadores proporcionales al procedimiento de contratación”. El principio de proporcionalidad exige que dichos indicadores sean razonables, o sea, que guarden congruencia con el objeto, alcance, valor y plazo del contrato, que sean necesarios y no restrinjan injustificadamente la libre concurrencia.</w:t>
      </w:r>
    </w:p>
    <w:p w14:paraId="014E5852" w14:textId="77777777" w:rsidR="00B13A11" w:rsidRDefault="00B13A11" w:rsidP="00B13A11">
      <w:pPr>
        <w:spacing w:after="0" w:line="240" w:lineRule="auto"/>
        <w:jc w:val="both"/>
        <w:rPr>
          <w:rFonts w:ascii="Verdana" w:hAnsi="Verdana" w:cs="Arial"/>
          <w:color w:val="000000"/>
          <w:sz w:val="20"/>
          <w:szCs w:val="20"/>
          <w:lang w:val="es-ES_tradnl"/>
        </w:rPr>
      </w:pPr>
    </w:p>
    <w:p w14:paraId="4FD5D4EF" w14:textId="64252D79" w:rsidR="00B13A11" w:rsidRPr="00B13A11" w:rsidRDefault="00B13A11" w:rsidP="00B13A11">
      <w:pPr>
        <w:spacing w:after="0" w:line="240" w:lineRule="auto"/>
        <w:jc w:val="both"/>
        <w:rPr>
          <w:rFonts w:ascii="Verdana" w:hAnsi="Verdana" w:cs="Arial"/>
          <w:i/>
          <w:color w:val="000000"/>
          <w:sz w:val="20"/>
          <w:szCs w:val="20"/>
          <w:lang w:val="es-ES_tradnl"/>
        </w:rPr>
      </w:pPr>
      <w:proofErr w:type="spellStart"/>
      <w:r w:rsidRPr="00B13A11">
        <w:rPr>
          <w:rFonts w:ascii="Verdana" w:hAnsi="Verdana" w:cs="Arial"/>
          <w:color w:val="000000"/>
          <w:sz w:val="20"/>
          <w:szCs w:val="20"/>
          <w:lang w:val="es-ES_tradnl"/>
        </w:rPr>
        <w:t>iii</w:t>
      </w:r>
      <w:proofErr w:type="spellEnd"/>
      <w:r w:rsidRPr="00B13A11">
        <w:rPr>
          <w:rFonts w:ascii="Verdana" w:hAnsi="Verdana" w:cs="Arial"/>
          <w:color w:val="000000"/>
          <w:sz w:val="20"/>
          <w:szCs w:val="20"/>
          <w:lang w:val="es-ES_tradnl"/>
        </w:rPr>
        <w:t>) En los procesos de selección cuyo acto administrativo de apertura o invitación se publique a partir del 1 de julio de 2021 las Entidades Estatales deberán tener en cuenta la información financiera y organizacional que esté vigente y en firme en el RUP.</w:t>
      </w:r>
    </w:p>
    <w:p w14:paraId="696BB5AA" w14:textId="77777777" w:rsidR="00B13A11" w:rsidRDefault="00B13A11" w:rsidP="00B13A11">
      <w:pPr>
        <w:spacing w:after="0" w:line="240" w:lineRule="auto"/>
        <w:jc w:val="both"/>
        <w:rPr>
          <w:rFonts w:ascii="Verdana" w:hAnsi="Verdana" w:cs="Arial"/>
          <w:color w:val="000000"/>
          <w:sz w:val="20"/>
          <w:szCs w:val="20"/>
          <w:lang w:val="es-ES_tradnl"/>
        </w:rPr>
      </w:pPr>
    </w:p>
    <w:p w14:paraId="5956C06C" w14:textId="7216A2AD" w:rsidR="00B13A11" w:rsidRPr="00B13A11" w:rsidRDefault="00B13A11" w:rsidP="00B13A11">
      <w:pPr>
        <w:spacing w:after="0" w:line="240" w:lineRule="auto"/>
        <w:jc w:val="both"/>
        <w:rPr>
          <w:rFonts w:ascii="Verdana" w:hAnsi="Verdana" w:cs="Arial"/>
          <w:i/>
          <w:iCs/>
          <w:color w:val="000000"/>
          <w:sz w:val="20"/>
          <w:szCs w:val="20"/>
          <w:lang w:val="es-ES_tradnl"/>
        </w:rPr>
      </w:pPr>
      <w:proofErr w:type="spellStart"/>
      <w:r w:rsidRPr="00B13A11">
        <w:rPr>
          <w:rFonts w:ascii="Verdana" w:hAnsi="Verdana" w:cs="Arial"/>
          <w:color w:val="000000"/>
          <w:sz w:val="20"/>
          <w:szCs w:val="20"/>
          <w:lang w:val="es-ES_tradnl"/>
        </w:rPr>
        <w:t>iv</w:t>
      </w:r>
      <w:proofErr w:type="spellEnd"/>
      <w:r w:rsidRPr="00B13A11">
        <w:rPr>
          <w:rFonts w:ascii="Verdana" w:hAnsi="Verdana" w:cs="Arial"/>
          <w:color w:val="000000"/>
          <w:sz w:val="20"/>
          <w:szCs w:val="20"/>
          <w:lang w:val="es-ES_tradnl"/>
        </w:rPr>
        <w:t xml:space="preserve">) A partir de la fecha establecida anteriormente, la evaluación de los indicadores de capacidad financiera –índice de liquidez, índice de endeudamiento y razón de cobertura de intereses– y organizacional –rentabilidad del patrimonio y rentabilidad del activo–, se deberá realizar por parte de las entidades estatales “teniendo en cuenta </w:t>
      </w:r>
      <w:r w:rsidRPr="00B13A11">
        <w:rPr>
          <w:rFonts w:ascii="Verdana" w:hAnsi="Verdana" w:cs="Arial"/>
          <w:i/>
          <w:iCs/>
          <w:color w:val="000000"/>
          <w:sz w:val="20"/>
          <w:szCs w:val="20"/>
          <w:lang w:val="es-ES_tradnl"/>
        </w:rPr>
        <w:t>el mejor año fiscal que se refleje en el registro</w:t>
      </w:r>
      <w:r w:rsidRPr="00B13A11">
        <w:rPr>
          <w:rFonts w:ascii="Verdana" w:hAnsi="Verdana" w:cs="Arial"/>
          <w:color w:val="000000"/>
          <w:sz w:val="20"/>
          <w:szCs w:val="20"/>
          <w:lang w:val="es-ES_tradnl"/>
        </w:rPr>
        <w:t xml:space="preserve"> de cada proponente” (Énfasis fuera de texto). </w:t>
      </w:r>
    </w:p>
    <w:p w14:paraId="70651D01" w14:textId="77777777" w:rsidR="00B13A11" w:rsidRDefault="00B13A11" w:rsidP="00B13A11">
      <w:pPr>
        <w:spacing w:after="0" w:line="240" w:lineRule="auto"/>
        <w:jc w:val="both"/>
        <w:rPr>
          <w:rFonts w:ascii="Verdana" w:hAnsi="Verdana" w:cs="Arial"/>
          <w:color w:val="000000"/>
          <w:sz w:val="20"/>
          <w:szCs w:val="20"/>
          <w:lang w:val="es-ES_tradnl"/>
        </w:rPr>
      </w:pPr>
    </w:p>
    <w:p w14:paraId="1E1B0895" w14:textId="77777777" w:rsidR="00B13A11" w:rsidRDefault="00B13A11" w:rsidP="00B13A11">
      <w:pPr>
        <w:spacing w:after="0" w:line="240" w:lineRule="auto"/>
        <w:jc w:val="both"/>
        <w:rPr>
          <w:rFonts w:ascii="Verdana" w:hAnsi="Verdana" w:cs="Arial"/>
          <w:i/>
          <w:iCs/>
          <w:color w:val="000000"/>
          <w:sz w:val="20"/>
          <w:szCs w:val="20"/>
          <w:lang w:val="es-ES_tradnl"/>
        </w:rPr>
      </w:pPr>
      <w:r w:rsidRPr="00B13A11">
        <w:rPr>
          <w:rFonts w:ascii="Verdana" w:hAnsi="Verdana" w:cs="Arial"/>
          <w:color w:val="000000"/>
          <w:sz w:val="20"/>
          <w:szCs w:val="20"/>
          <w:lang w:val="es-ES_tradnl"/>
        </w:rPr>
        <w:t>v) Dichas medidas se mantuvieron hasta el año 2023 en virtud de lo consagrado en el Decreto 1041 de 2022.</w:t>
      </w:r>
    </w:p>
    <w:p w14:paraId="3AA9D7BD" w14:textId="77777777" w:rsidR="00B13A11" w:rsidRDefault="00B13A11" w:rsidP="00B13A11">
      <w:pPr>
        <w:spacing w:after="0" w:line="240" w:lineRule="auto"/>
        <w:jc w:val="both"/>
        <w:rPr>
          <w:rFonts w:ascii="Verdana" w:hAnsi="Verdana" w:cs="Arial"/>
          <w:i/>
          <w:iCs/>
          <w:color w:val="000000"/>
          <w:sz w:val="20"/>
          <w:szCs w:val="20"/>
          <w:lang w:val="es-ES_tradnl"/>
        </w:rPr>
      </w:pPr>
    </w:p>
    <w:p w14:paraId="22A93C51" w14:textId="0E24F3CE" w:rsidR="005D5CDA" w:rsidRDefault="005D5CDA" w:rsidP="00B13A11">
      <w:pPr>
        <w:spacing w:after="0" w:line="240" w:lineRule="auto"/>
        <w:jc w:val="both"/>
        <w:rPr>
          <w:rFonts w:ascii="Verdana" w:eastAsia="Calibri" w:hAnsi="Verdana" w:cs="Arial"/>
          <w:b/>
          <w:bCs/>
          <w:lang w:eastAsia="es-ES"/>
        </w:rPr>
      </w:pPr>
      <w:r w:rsidRPr="005D5CDA">
        <w:rPr>
          <w:rFonts w:ascii="Verdana" w:eastAsia="Calibri" w:hAnsi="Verdana" w:cs="Arial"/>
          <w:b/>
          <w:bCs/>
          <w:lang w:eastAsia="es-ES"/>
        </w:rPr>
        <w:t xml:space="preserve">MEJOR AÑO FISCAL – Decreto 399 de 2021– Capacidad financiera – Capacidad organizacional – Interpretación </w:t>
      </w:r>
    </w:p>
    <w:p w14:paraId="223C3E57" w14:textId="77777777" w:rsidR="00B13A11" w:rsidRDefault="00B13A11" w:rsidP="00B13A11">
      <w:pPr>
        <w:spacing w:after="0" w:line="240" w:lineRule="auto"/>
        <w:jc w:val="both"/>
        <w:rPr>
          <w:rFonts w:ascii="Verdana" w:eastAsia="Calibri" w:hAnsi="Verdana" w:cs="Arial"/>
          <w:b/>
          <w:bCs/>
          <w:lang w:eastAsia="es-ES"/>
        </w:rPr>
      </w:pPr>
    </w:p>
    <w:p w14:paraId="631CE7B4" w14:textId="660CCD38" w:rsidR="00B13A11" w:rsidRPr="00B13A11" w:rsidRDefault="00B13A11" w:rsidP="00B13A11">
      <w:pPr>
        <w:spacing w:after="0" w:line="240" w:lineRule="auto"/>
        <w:jc w:val="both"/>
        <w:rPr>
          <w:rFonts w:ascii="Verdana" w:hAnsi="Verdana" w:cs="Arial"/>
          <w:i/>
          <w:iCs/>
          <w:color w:val="000000"/>
          <w:sz w:val="20"/>
          <w:szCs w:val="20"/>
          <w:lang w:val="es-ES_tradnl"/>
        </w:rPr>
      </w:pPr>
      <w:r w:rsidRPr="00B13A11">
        <w:rPr>
          <w:rFonts w:ascii="Verdana" w:hAnsi="Verdana" w:cs="Arial"/>
          <w:color w:val="000000"/>
          <w:sz w:val="20"/>
          <w:szCs w:val="20"/>
          <w:lang w:val="es-ES_tradnl"/>
        </w:rPr>
        <w:t>De la explicación anterior, se desprende que los parágrafos adicionados por los Decretos 399 de 2021, 579 de 2021 y 1041 de 2022 tienen naturaleza transitoria. Conforme a la definición del Diccionario de la RAE, por dicha expresión se entiende todos aquello que es “Pasajero, temporal” o “Caduco, perecedero, fugaz”. Es decir, el marco normativo descrito en los párrafos precedentes carece de vocación de permanencia, pues se trata de disposiciones efímeras, pasajeras, momentáneas, breves, provisionales y temporarias. Por ello, con la expiración de su vigencia y a falta de un reglamento que prorrogue las medidas adoptadas, la capacidad financiera y organizacional debe acreditarse a la Cámara de Comercio en las condiciones descritas en los numerales 1.3 y 2.3 del artículo 2.2.1.1.1.5.2 del Decreto 1082 de 2015.</w:t>
      </w:r>
    </w:p>
    <w:p w14:paraId="71898CFB" w14:textId="77777777" w:rsidR="00B13A11" w:rsidRDefault="00B13A11" w:rsidP="005D5CDA">
      <w:pPr>
        <w:spacing w:after="0" w:line="240" w:lineRule="auto"/>
        <w:jc w:val="both"/>
        <w:rPr>
          <w:rFonts w:ascii="Verdana" w:eastAsia="Calibri" w:hAnsi="Verdana" w:cs="Arial"/>
          <w:b/>
          <w:bCs/>
          <w:lang w:eastAsia="es-ES"/>
        </w:rPr>
      </w:pPr>
    </w:p>
    <w:p w14:paraId="49B60AF9" w14:textId="20C64674" w:rsidR="005D5CDA" w:rsidRPr="005D5CDA" w:rsidRDefault="005D5CDA" w:rsidP="005D5CDA">
      <w:pPr>
        <w:spacing w:after="0" w:line="240" w:lineRule="auto"/>
        <w:jc w:val="both"/>
        <w:rPr>
          <w:rFonts w:ascii="Verdana" w:eastAsia="Calibri" w:hAnsi="Verdana" w:cs="Arial"/>
          <w:b/>
          <w:bCs/>
          <w:lang w:eastAsia="es-ES"/>
        </w:rPr>
      </w:pPr>
      <w:r w:rsidRPr="005D5CDA">
        <w:rPr>
          <w:rFonts w:ascii="Verdana" w:eastAsia="Calibri" w:hAnsi="Verdana" w:cs="Arial"/>
          <w:b/>
          <w:bCs/>
          <w:lang w:eastAsia="es-ES"/>
        </w:rPr>
        <w:t>NORMAS TRANSITORIAS – Pérdida de vigencia – Efectos</w:t>
      </w:r>
    </w:p>
    <w:p w14:paraId="32A7A390" w14:textId="77777777" w:rsidR="005D5CDA" w:rsidRDefault="005D5CDA" w:rsidP="00DD2E5C">
      <w:pPr>
        <w:spacing w:after="0"/>
        <w:rPr>
          <w:rFonts w:ascii="Verdana" w:eastAsia="Verdana" w:hAnsi="Verdana" w:cs="Verdana"/>
        </w:rPr>
      </w:pPr>
    </w:p>
    <w:p w14:paraId="022F0D37" w14:textId="77777777" w:rsidR="00B13A11" w:rsidRDefault="00B13A11" w:rsidP="00B13A11">
      <w:pPr>
        <w:spacing w:after="0" w:line="240" w:lineRule="auto"/>
        <w:jc w:val="both"/>
        <w:rPr>
          <w:rFonts w:ascii="Verdana" w:hAnsi="Verdana" w:cs="Arial"/>
          <w:iCs/>
          <w:color w:val="000000"/>
          <w:sz w:val="20"/>
          <w:szCs w:val="20"/>
          <w:lang w:val="es-ES_tradnl"/>
        </w:rPr>
      </w:pPr>
      <w:r w:rsidRPr="00B13A11">
        <w:rPr>
          <w:rFonts w:ascii="Verdana" w:hAnsi="Verdana" w:cs="Arial"/>
          <w:iCs/>
          <w:color w:val="000000"/>
          <w:sz w:val="20"/>
          <w:szCs w:val="20"/>
          <w:lang w:val="es-ES_tradnl"/>
        </w:rPr>
        <w:t xml:space="preserve">En este contexto, los indicadores de capacidad financiera y organizacional ya no corresponderán a los últimos tres (3) años fiscales anteriores a la inscripción o renovación. Asimismo, con la pérdida de vigencia de los parágrafos transitorios de los artículos 2.2.1.1.1.5.2 y 2.2.1.1.1.5.6 del Decreto 1082 de 2015, el parágrafo transitorio del artículo 2.2.1.1.1.6.2 </w:t>
      </w:r>
      <w:r w:rsidRPr="00B13A11">
        <w:rPr>
          <w:rFonts w:ascii="Verdana" w:hAnsi="Verdana" w:cs="Arial"/>
          <w:i/>
          <w:color w:val="000000"/>
          <w:sz w:val="20"/>
          <w:szCs w:val="20"/>
          <w:lang w:val="es-ES_tradnl"/>
        </w:rPr>
        <w:t>ibidem</w:t>
      </w:r>
      <w:r w:rsidRPr="00B13A11">
        <w:rPr>
          <w:rFonts w:ascii="Verdana" w:hAnsi="Verdana" w:cs="Arial"/>
          <w:iCs/>
          <w:color w:val="000000"/>
          <w:sz w:val="20"/>
          <w:szCs w:val="20"/>
          <w:lang w:val="es-ES_tradnl"/>
        </w:rPr>
        <w:t xml:space="preserve"> –adicionados por el art. 6 del Decreto 399 de 2021 y sustituido por el art. 3 del Decreto 579 de 2021– es inaplicable por sustracción de materia. En consecuencia, cesa la posibilidad de acreditar los indicadores de los numerales 3 y 4 artículo 2.2.1.1.1.5.3 </w:t>
      </w:r>
      <w:r w:rsidRPr="00B13A11">
        <w:rPr>
          <w:rFonts w:ascii="Verdana" w:hAnsi="Verdana" w:cs="Arial"/>
          <w:i/>
          <w:color w:val="000000"/>
          <w:sz w:val="20"/>
          <w:szCs w:val="20"/>
          <w:lang w:val="es-ES_tradnl"/>
        </w:rPr>
        <w:t>ibidem</w:t>
      </w:r>
      <w:r w:rsidRPr="00B13A11">
        <w:rPr>
          <w:rFonts w:ascii="Verdana" w:hAnsi="Verdana" w:cs="Arial"/>
          <w:iCs/>
          <w:color w:val="000000"/>
          <w:sz w:val="20"/>
          <w:szCs w:val="20"/>
          <w:lang w:val="es-ES_tradnl"/>
        </w:rPr>
        <w:t xml:space="preserve"> teniendo en cuenta el mejor año fiscal que se refleje en el registro de cada proponente.</w:t>
      </w:r>
    </w:p>
    <w:p w14:paraId="2F6185D5" w14:textId="77777777" w:rsidR="00B13A11" w:rsidRDefault="00B13A11" w:rsidP="00B13A11">
      <w:pPr>
        <w:spacing w:after="0" w:line="240" w:lineRule="auto"/>
        <w:jc w:val="both"/>
        <w:rPr>
          <w:rFonts w:ascii="Verdana" w:hAnsi="Verdana" w:cs="Arial"/>
          <w:iCs/>
          <w:color w:val="000000"/>
          <w:sz w:val="20"/>
          <w:szCs w:val="20"/>
          <w:lang w:val="es-ES_tradnl"/>
        </w:rPr>
      </w:pPr>
    </w:p>
    <w:p w14:paraId="0DBC1365" w14:textId="1BB2A49B" w:rsidR="00B13A11" w:rsidRPr="00B13A11" w:rsidRDefault="00B13A11" w:rsidP="00B13A11">
      <w:pPr>
        <w:spacing w:after="0" w:line="240" w:lineRule="auto"/>
        <w:jc w:val="both"/>
        <w:rPr>
          <w:rFonts w:ascii="Verdana" w:eastAsia="Calibri" w:hAnsi="Verdana" w:cs="Arial"/>
          <w:color w:val="000000"/>
          <w:sz w:val="20"/>
          <w:szCs w:val="20"/>
          <w:lang w:val="es-ES_tradnl" w:eastAsia="es-ES_tradnl"/>
        </w:rPr>
      </w:pPr>
      <w:r w:rsidRPr="00B13A11">
        <w:rPr>
          <w:rFonts w:ascii="Verdana" w:eastAsia="Calibri" w:hAnsi="Verdana" w:cs="Arial"/>
          <w:color w:val="000000"/>
          <w:sz w:val="20"/>
          <w:szCs w:val="20"/>
          <w:lang w:val="es-ES_tradnl" w:eastAsia="es-ES_tradnl"/>
        </w:rPr>
        <w:t>Estas normas transitorias no perdieron su vigencia con la finalización de la emergencia sanitaria, pues el Decreto 1041 de 2022 –al prorrogar las medidas de los Decretos 399 y 579 de 2021– las extendió durante el 2023, vigencia fiscal que finalizó el 31 de diciembre de la mencionada anualidad. En consecuencia, una interpretación razonable permite concluir que a partir de 2024 los indicadores deben acreditarse frete a la Cámara de Comercio conforme a las reglas de generales del Decreto Único Reglamentario del Sector de Planeación Nacional.</w:t>
      </w:r>
    </w:p>
    <w:p w14:paraId="0B062ECA" w14:textId="77777777" w:rsidR="00B13A11" w:rsidRDefault="00B13A11" w:rsidP="00B13A11">
      <w:pPr>
        <w:spacing w:after="0" w:line="240" w:lineRule="auto"/>
        <w:jc w:val="both"/>
        <w:rPr>
          <w:rFonts w:ascii="Verdana" w:eastAsia="Calibri" w:hAnsi="Verdana" w:cs="Arial"/>
          <w:color w:val="000000"/>
          <w:sz w:val="20"/>
          <w:szCs w:val="20"/>
          <w:lang w:val="es-ES_tradnl" w:eastAsia="es-ES_tradnl"/>
        </w:rPr>
      </w:pPr>
    </w:p>
    <w:p w14:paraId="4F0A5F9E" w14:textId="77777777" w:rsidR="00B13A11" w:rsidRDefault="00B13A11" w:rsidP="00B13A11">
      <w:pPr>
        <w:spacing w:after="0" w:line="240" w:lineRule="auto"/>
        <w:jc w:val="both"/>
        <w:rPr>
          <w:rFonts w:ascii="Verdana" w:hAnsi="Verdana" w:cs="Arial"/>
          <w:iCs/>
          <w:color w:val="000000"/>
          <w:sz w:val="20"/>
          <w:szCs w:val="20"/>
          <w:lang w:val="es-ES_tradnl"/>
        </w:rPr>
      </w:pPr>
      <w:r w:rsidRPr="00B13A11">
        <w:rPr>
          <w:rFonts w:ascii="Verdana" w:eastAsia="Calibri" w:hAnsi="Verdana" w:cs="Arial"/>
          <w:color w:val="000000"/>
          <w:sz w:val="20"/>
          <w:szCs w:val="20"/>
          <w:lang w:val="es-ES_tradnl" w:eastAsia="es-ES_tradnl"/>
        </w:rPr>
        <w:t>En ese sentido, debe tenerse en cuenta que –por no existir una norma que amplié a la vigencia 2024, 2025 y 2026 las medidas adoptadas en los Decretos 399 y 579 de 2021 y el Decreto 1041 de 2022– aquellas personas que realicen la inscripción o renovación del Registro Único de Proponentes durante el presente año sólo podrán reportar ante las Cámaras de Comercio la información contable y los estados financieros del último año fiscal. Por tanto, la posibilidad que tenían los oferentes de acreditar el mejor año fiscal de los tres últimos registrados en el RUP finalizó el 2023. En consecuencia, las entidades deben estructurar la solicitud de indicadores financieros para sus procesos con referencia a lo dispuesto en los numerales 1.3 y 2.3 del artículo 2.2.1.1.1.5.2 del Decreto 1082 de 2015</w:t>
      </w:r>
      <w:r w:rsidRPr="00B13A11">
        <w:rPr>
          <w:rFonts w:ascii="Verdana" w:eastAsia="Calibri" w:hAnsi="Verdana" w:cs="Arial"/>
          <w:color w:val="000000"/>
          <w:sz w:val="20"/>
          <w:szCs w:val="20"/>
          <w:lang w:val="es-ES_tradnl" w:eastAsia="es-ES_tradnl"/>
        </w:rPr>
        <w:t>.</w:t>
      </w:r>
    </w:p>
    <w:p w14:paraId="7CE5E9BB" w14:textId="77777777" w:rsidR="00B13A11" w:rsidRDefault="00B13A11" w:rsidP="00B13A11">
      <w:pPr>
        <w:spacing w:after="0" w:line="240" w:lineRule="auto"/>
        <w:jc w:val="both"/>
        <w:rPr>
          <w:rFonts w:ascii="Verdana" w:hAnsi="Verdana" w:cs="Arial"/>
          <w:iCs/>
          <w:color w:val="000000"/>
          <w:sz w:val="20"/>
          <w:szCs w:val="20"/>
          <w:lang w:val="es-ES_tradnl"/>
        </w:rPr>
      </w:pPr>
    </w:p>
    <w:p w14:paraId="3ECB53BE" w14:textId="5C031267" w:rsidR="00B13A11" w:rsidRPr="00B13A11" w:rsidRDefault="00B13A11" w:rsidP="00B13A11">
      <w:pPr>
        <w:spacing w:after="0" w:line="240" w:lineRule="auto"/>
        <w:jc w:val="both"/>
        <w:rPr>
          <w:rFonts w:ascii="Verdana" w:hAnsi="Verdana" w:cs="Arial"/>
          <w:iCs/>
          <w:color w:val="000000"/>
          <w:sz w:val="20"/>
          <w:szCs w:val="20"/>
          <w:lang w:val="es-ES_tradnl"/>
        </w:rPr>
      </w:pPr>
      <w:r w:rsidRPr="00B13A11">
        <w:rPr>
          <w:rFonts w:ascii="Verdana" w:hAnsi="Verdana" w:cs="Arial"/>
          <w:iCs/>
          <w:color w:val="000000"/>
          <w:sz w:val="20"/>
          <w:szCs w:val="20"/>
          <w:lang w:val="es-ES_tradnl"/>
        </w:rPr>
        <w:t xml:space="preserve">En este contexto, los indicadores de capacidad financiera y organizacional ya no corresponderán a los últimos tres (3) años fiscales anteriores a la inscripción o renovación. Asimismo, con la pérdida de vigencia de los parágrafos transitorios de los artículos 2.2.1.1.1.5.2 y 2.2.1.1.1.5.6 del Decreto 1082 de 2015, el parágrafo transitorio del artículo 2.2.1.1.1.6.2 </w:t>
      </w:r>
      <w:r w:rsidRPr="00B13A11">
        <w:rPr>
          <w:rFonts w:ascii="Verdana" w:hAnsi="Verdana" w:cs="Arial"/>
          <w:i/>
          <w:color w:val="000000"/>
          <w:sz w:val="20"/>
          <w:szCs w:val="20"/>
          <w:lang w:val="es-ES_tradnl"/>
        </w:rPr>
        <w:t>ibidem</w:t>
      </w:r>
      <w:r w:rsidRPr="00B13A11">
        <w:rPr>
          <w:rFonts w:ascii="Verdana" w:hAnsi="Verdana" w:cs="Arial"/>
          <w:iCs/>
          <w:color w:val="000000"/>
          <w:sz w:val="20"/>
          <w:szCs w:val="20"/>
          <w:lang w:val="es-ES_tradnl"/>
        </w:rPr>
        <w:t xml:space="preserve"> –adicionados por el art. 6 del Decreto 399 de 2021 y sustituido por el art. 3 del Decreto 579 de 2021– es inaplicable por sustracción de materia. En consecuencia, cesa la posibilidad de acreditar los indicadores de los numerales 3 y 4 artículo 2.2.1.1.1.5.3 </w:t>
      </w:r>
      <w:r w:rsidRPr="00B13A11">
        <w:rPr>
          <w:rFonts w:ascii="Verdana" w:hAnsi="Verdana" w:cs="Arial"/>
          <w:i/>
          <w:color w:val="000000"/>
          <w:sz w:val="20"/>
          <w:szCs w:val="20"/>
          <w:lang w:val="es-ES_tradnl"/>
        </w:rPr>
        <w:t>ibidem</w:t>
      </w:r>
      <w:r w:rsidRPr="00B13A11">
        <w:rPr>
          <w:rFonts w:ascii="Verdana" w:hAnsi="Verdana" w:cs="Arial"/>
          <w:iCs/>
          <w:color w:val="000000"/>
          <w:sz w:val="20"/>
          <w:szCs w:val="20"/>
          <w:lang w:val="es-ES_tradnl"/>
        </w:rPr>
        <w:t xml:space="preserve"> teniendo en cuenta el mejor año fiscal que se refleje en el registro de cada proponente.</w:t>
      </w:r>
    </w:p>
    <w:p w14:paraId="15998D38" w14:textId="77777777" w:rsidR="00B13A11" w:rsidRPr="00B13A11" w:rsidRDefault="00B13A11" w:rsidP="00DD2E5C">
      <w:pPr>
        <w:spacing w:after="0"/>
        <w:rPr>
          <w:rFonts w:ascii="Verdana" w:eastAsia="Verdana" w:hAnsi="Verdana" w:cs="Verdana"/>
          <w:lang w:val="es-ES_tradnl"/>
        </w:rPr>
      </w:pPr>
    </w:p>
    <w:p w14:paraId="0BDCB468" w14:textId="77777777" w:rsidR="00B13A11" w:rsidRDefault="00B13A11" w:rsidP="00DD2E5C">
      <w:pPr>
        <w:spacing w:after="0"/>
        <w:rPr>
          <w:rFonts w:ascii="Verdana" w:eastAsia="Verdana" w:hAnsi="Verdana" w:cs="Verdana"/>
        </w:rPr>
      </w:pPr>
    </w:p>
    <w:p w14:paraId="209F8767" w14:textId="6F863CF0" w:rsidR="00DD2E5C" w:rsidRDefault="00C15139" w:rsidP="00DD2E5C">
      <w:pPr>
        <w:spacing w:after="0"/>
        <w:rPr>
          <w:rFonts w:ascii="Verdana" w:eastAsia="Verdana" w:hAnsi="Verdana" w:cs="Verdana"/>
        </w:rPr>
      </w:pPr>
      <w:r w:rsidRPr="30821638">
        <w:rPr>
          <w:rFonts w:ascii="Verdana" w:eastAsia="Verdana" w:hAnsi="Verdana" w:cs="Verdana"/>
        </w:rPr>
        <w:t xml:space="preserve">Bogotá D.C., </w:t>
      </w:r>
      <w:r w:rsidR="00DD2E5C">
        <w:rPr>
          <w:rFonts w:ascii="Verdana" w:eastAsia="Verdana" w:hAnsi="Verdana" w:cs="Verdana"/>
        </w:rPr>
        <w:t xml:space="preserve">04 Junio 2026                       </w:t>
      </w:r>
    </w:p>
    <w:p w14:paraId="27285D82" w14:textId="7BA520E5" w:rsidR="00DD2E5C" w:rsidRDefault="00DD2E5C" w:rsidP="00DD2E5C">
      <w:pPr>
        <w:spacing w:after="0"/>
        <w:jc w:val="right"/>
        <w:rPr>
          <w:rFonts w:ascii="Verdana" w:eastAsia="Verdana" w:hAnsi="Verdana" w:cs="Verdana"/>
        </w:rPr>
      </w:pPr>
      <w:r w:rsidRPr="00DD2E5C">
        <w:rPr>
          <w:noProof/>
        </w:rPr>
        <w:drawing>
          <wp:inline distT="0" distB="0" distL="0" distR="0" wp14:anchorId="08EBDBD1" wp14:editId="5B5CA6AF">
            <wp:extent cx="2444933" cy="513471"/>
            <wp:effectExtent l="0" t="0" r="0" b="1270"/>
            <wp:docPr id="123391241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3912411" name=""/>
                    <pic:cNvPicPr/>
                  </pic:nvPicPr>
                  <pic:blipFill>
                    <a:blip r:embed="rId10"/>
                    <a:stretch>
                      <a:fillRect/>
                    </a:stretch>
                  </pic:blipFill>
                  <pic:spPr>
                    <a:xfrm>
                      <a:off x="0" y="0"/>
                      <a:ext cx="2489693" cy="522871"/>
                    </a:xfrm>
                    <a:prstGeom prst="rect">
                      <a:avLst/>
                    </a:prstGeom>
                  </pic:spPr>
                </pic:pic>
              </a:graphicData>
            </a:graphic>
          </wp:inline>
        </w:drawing>
      </w:r>
    </w:p>
    <w:p w14:paraId="525B9945" w14:textId="420B0A11" w:rsidR="00DE32BB" w:rsidRPr="00DD2E5C" w:rsidRDefault="00DE32BB" w:rsidP="00DD2E5C">
      <w:pPr>
        <w:spacing w:after="0"/>
      </w:pPr>
      <w:bookmarkStart w:id="1" w:name="_Hlk214366482"/>
      <w:r>
        <w:rPr>
          <w:rFonts w:ascii="Verdana" w:eastAsia="Calibri" w:hAnsi="Verdana" w:cs="Arial"/>
          <w:b/>
          <w:bCs/>
          <w:lang w:eastAsia="es-ES"/>
        </w:rPr>
        <w:t>Señor</w:t>
      </w:r>
    </w:p>
    <w:p w14:paraId="1F13D5A5" w14:textId="77777777" w:rsidR="00DE32BB" w:rsidRDefault="00DE32BB" w:rsidP="00DE32BB">
      <w:pPr>
        <w:spacing w:after="0" w:line="240" w:lineRule="auto"/>
        <w:jc w:val="both"/>
        <w:rPr>
          <w:rFonts w:ascii="Verdana" w:eastAsia="Calibri" w:hAnsi="Verdana" w:cs="Arial"/>
          <w:b/>
          <w:bCs/>
          <w:lang w:eastAsia="es-ES"/>
        </w:rPr>
      </w:pPr>
      <w:r w:rsidRPr="000E67A3">
        <w:rPr>
          <w:rFonts w:ascii="Verdana" w:eastAsia="Calibri" w:hAnsi="Verdana" w:cs="Arial"/>
          <w:b/>
          <w:bCs/>
          <w:lang w:eastAsia="es-ES"/>
        </w:rPr>
        <w:t>Johan Sebast</w:t>
      </w:r>
      <w:r>
        <w:rPr>
          <w:rFonts w:ascii="Verdana" w:eastAsia="Calibri" w:hAnsi="Verdana" w:cs="Arial"/>
          <w:b/>
          <w:bCs/>
          <w:lang w:eastAsia="es-ES"/>
        </w:rPr>
        <w:t>í</w:t>
      </w:r>
      <w:r w:rsidRPr="000E67A3">
        <w:rPr>
          <w:rFonts w:ascii="Verdana" w:eastAsia="Calibri" w:hAnsi="Verdana" w:cs="Arial"/>
          <w:b/>
          <w:bCs/>
          <w:lang w:eastAsia="es-ES"/>
        </w:rPr>
        <w:t>an</w:t>
      </w:r>
      <w:r>
        <w:rPr>
          <w:rFonts w:ascii="Verdana" w:eastAsia="Calibri" w:hAnsi="Verdana" w:cs="Arial"/>
          <w:b/>
          <w:bCs/>
          <w:lang w:eastAsia="es-ES"/>
        </w:rPr>
        <w:t xml:space="preserve"> </w:t>
      </w:r>
      <w:r w:rsidRPr="000E67A3">
        <w:rPr>
          <w:rFonts w:ascii="Verdana" w:eastAsia="Calibri" w:hAnsi="Verdana" w:cs="Arial"/>
          <w:b/>
          <w:bCs/>
          <w:lang w:eastAsia="es-ES"/>
        </w:rPr>
        <w:t>Herrera Galindo</w:t>
      </w:r>
    </w:p>
    <w:p w14:paraId="56F7CBCB" w14:textId="77777777" w:rsidR="00DE32BB" w:rsidRPr="000E67A3" w:rsidRDefault="00DE32BB" w:rsidP="00DE32BB">
      <w:pPr>
        <w:spacing w:after="0" w:line="240" w:lineRule="auto"/>
        <w:jc w:val="both"/>
        <w:rPr>
          <w:rFonts w:ascii="Verdana" w:hAnsi="Verdana"/>
          <w:b/>
          <w:bCs/>
        </w:rPr>
      </w:pPr>
      <w:hyperlink r:id="rId11" w:history="1">
        <w:r w:rsidRPr="000E67A3">
          <w:rPr>
            <w:rStyle w:val="Hipervnculo"/>
            <w:rFonts w:ascii="Verdana" w:hAnsi="Verdana"/>
            <w:b/>
            <w:bCs/>
          </w:rPr>
          <w:t>johansh07@hotmail.com</w:t>
        </w:r>
      </w:hyperlink>
    </w:p>
    <w:p w14:paraId="7B521511" w14:textId="77777777" w:rsidR="00DE32BB" w:rsidRPr="007F2AEC" w:rsidRDefault="00DE32BB" w:rsidP="00DE32BB">
      <w:pPr>
        <w:spacing w:after="0" w:line="240" w:lineRule="auto"/>
        <w:jc w:val="both"/>
        <w:rPr>
          <w:rFonts w:ascii="Verdana" w:hAnsi="Verdana"/>
        </w:rPr>
      </w:pPr>
      <w:r>
        <w:rPr>
          <w:rFonts w:ascii="Verdana" w:hAnsi="Verdana"/>
        </w:rPr>
        <w:t>Ciudad</w:t>
      </w:r>
    </w:p>
    <w:p w14:paraId="16FF23B7" w14:textId="77777777" w:rsidR="00DE32BB" w:rsidRPr="007F2AEC" w:rsidRDefault="00DE32BB" w:rsidP="00DE32BB">
      <w:pPr>
        <w:spacing w:after="0" w:line="240" w:lineRule="auto"/>
        <w:jc w:val="both"/>
        <w:rPr>
          <w:rFonts w:ascii="Verdana" w:eastAsia="Calibri" w:hAnsi="Verdana" w:cs="Arial"/>
          <w:b/>
          <w:bCs/>
          <w:color w:val="000000"/>
          <w:lang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686"/>
        <w:gridCol w:w="5103"/>
      </w:tblGrid>
      <w:tr w:rsidR="00DE32BB" w:rsidRPr="005644FE" w14:paraId="36167BC5" w14:textId="77777777" w:rsidTr="00487144">
        <w:trPr>
          <w:trHeight w:val="162"/>
        </w:trPr>
        <w:tc>
          <w:tcPr>
            <w:tcW w:w="3686" w:type="dxa"/>
          </w:tcPr>
          <w:p w14:paraId="5509E4BE" w14:textId="77777777" w:rsidR="00DE32BB" w:rsidRPr="007F2AEC" w:rsidRDefault="00DE32BB" w:rsidP="00487144">
            <w:pPr>
              <w:jc w:val="both"/>
              <w:rPr>
                <w:rFonts w:ascii="Verdana" w:eastAsia="Calibri" w:hAnsi="Verdana" w:cs="Arial"/>
                <w:b/>
                <w:bCs/>
                <w:color w:val="7030A0"/>
                <w:lang w:eastAsia="es-ES_tradnl"/>
              </w:rPr>
            </w:pPr>
          </w:p>
        </w:tc>
        <w:tc>
          <w:tcPr>
            <w:tcW w:w="5103" w:type="dxa"/>
          </w:tcPr>
          <w:p w14:paraId="77992EE0" w14:textId="77777777" w:rsidR="00DE32BB" w:rsidRPr="005644FE" w:rsidRDefault="00DE32BB" w:rsidP="00487144">
            <w:pPr>
              <w:jc w:val="both"/>
              <w:rPr>
                <w:rFonts w:ascii="Verdana" w:eastAsia="Calibri" w:hAnsi="Verdana" w:cs="Arial"/>
                <w:b/>
                <w:bCs/>
                <w:lang w:eastAsia="es-ES"/>
              </w:rPr>
            </w:pPr>
            <w:r w:rsidRPr="005644FE">
              <w:rPr>
                <w:rFonts w:ascii="Verdana" w:eastAsia="Calibri" w:hAnsi="Verdana" w:cs="Arial"/>
                <w:b/>
                <w:bCs/>
                <w:lang w:eastAsia="es-ES"/>
              </w:rPr>
              <w:t>Concepto C</w:t>
            </w:r>
            <w:r w:rsidRPr="00205473">
              <w:rPr>
                <w:rFonts w:ascii="Verdana" w:eastAsia="Calibri" w:hAnsi="Verdana" w:cs="Arial"/>
                <w:b/>
                <w:bCs/>
                <w:lang w:eastAsia="es-ES"/>
              </w:rPr>
              <w:t>-</w:t>
            </w:r>
            <w:r>
              <w:rPr>
                <w:rFonts w:ascii="Verdana" w:eastAsia="Calibri" w:hAnsi="Verdana" w:cs="Arial"/>
                <w:b/>
                <w:bCs/>
                <w:lang w:eastAsia="es-ES"/>
              </w:rPr>
              <w:t>683 de 2026</w:t>
            </w:r>
          </w:p>
          <w:p w14:paraId="4AA8501E" w14:textId="77777777" w:rsidR="00DE32BB" w:rsidRPr="005644FE" w:rsidRDefault="00DE32BB" w:rsidP="00487144">
            <w:pPr>
              <w:jc w:val="both"/>
              <w:rPr>
                <w:rFonts w:ascii="Verdana" w:eastAsia="Calibri" w:hAnsi="Verdana" w:cs="Arial"/>
                <w:b/>
                <w:bCs/>
                <w:color w:val="7030A0"/>
                <w:lang w:eastAsia="es-ES"/>
              </w:rPr>
            </w:pPr>
          </w:p>
        </w:tc>
      </w:tr>
      <w:tr w:rsidR="00DE32BB" w:rsidRPr="005644FE" w14:paraId="0E798BBA" w14:textId="77777777" w:rsidTr="00487144">
        <w:trPr>
          <w:trHeight w:val="884"/>
        </w:trPr>
        <w:tc>
          <w:tcPr>
            <w:tcW w:w="3686" w:type="dxa"/>
          </w:tcPr>
          <w:p w14:paraId="17970B7C" w14:textId="77777777" w:rsidR="00DE32BB" w:rsidRPr="005644FE" w:rsidRDefault="00DE32BB" w:rsidP="00487144">
            <w:pPr>
              <w:jc w:val="both"/>
              <w:rPr>
                <w:rFonts w:ascii="Verdana" w:eastAsia="Calibri" w:hAnsi="Verdana" w:cs="Arial"/>
                <w:color w:val="000000"/>
                <w:lang w:eastAsia="es-ES_tradnl"/>
              </w:rPr>
            </w:pPr>
            <w:r w:rsidRPr="005644FE">
              <w:rPr>
                <w:rFonts w:ascii="Verdana" w:eastAsia="Calibri" w:hAnsi="Verdana" w:cs="Arial"/>
                <w:b/>
                <w:color w:val="000000"/>
                <w:lang w:eastAsia="es-ES_tradnl"/>
              </w:rPr>
              <w:t>Temas:</w:t>
            </w:r>
            <w:r w:rsidRPr="005644FE">
              <w:rPr>
                <w:rFonts w:ascii="Verdana" w:eastAsia="Calibri" w:hAnsi="Verdana" w:cs="Arial"/>
                <w:color w:val="000000"/>
                <w:lang w:eastAsia="es-ES_tradnl"/>
              </w:rPr>
              <w:t xml:space="preserve">                   </w:t>
            </w:r>
          </w:p>
        </w:tc>
        <w:tc>
          <w:tcPr>
            <w:tcW w:w="5103" w:type="dxa"/>
          </w:tcPr>
          <w:p w14:paraId="18A06280" w14:textId="77777777" w:rsidR="00DE32BB" w:rsidRDefault="00DE32BB" w:rsidP="00487144">
            <w:pPr>
              <w:spacing w:line="276" w:lineRule="auto"/>
              <w:jc w:val="both"/>
              <w:rPr>
                <w:rFonts w:ascii="Verdana" w:eastAsia="Calibri" w:hAnsi="Verdana" w:cs="Arial"/>
                <w:lang w:eastAsia="es-ES"/>
              </w:rPr>
            </w:pPr>
            <w:r>
              <w:rPr>
                <w:rFonts w:ascii="Verdana" w:eastAsia="Calibri" w:hAnsi="Verdana" w:cs="Arial"/>
                <w:lang w:eastAsia="es-ES"/>
              </w:rPr>
              <w:t xml:space="preserve">SELECCIÓN OBJETIVA – Ley 1150 de 2007 artículo 5 / CAPACIDAD FINANCIERA – Finalidad </w:t>
            </w:r>
            <w:r w:rsidRPr="00D93C12">
              <w:rPr>
                <w:rFonts w:ascii="Verdana" w:eastAsia="Calibri" w:hAnsi="Verdana" w:cs="Arial"/>
                <w:lang w:eastAsia="es-ES"/>
              </w:rPr>
              <w:t>REQUISITOS HABILITANTES – Autonomía</w:t>
            </w:r>
            <w:r>
              <w:rPr>
                <w:rFonts w:ascii="Verdana" w:eastAsia="Calibri" w:hAnsi="Verdana" w:cs="Arial"/>
                <w:lang w:eastAsia="es-ES"/>
              </w:rPr>
              <w:t xml:space="preserve"> de la entidad / </w:t>
            </w:r>
            <w:r w:rsidRPr="00D93C12">
              <w:rPr>
                <w:rFonts w:ascii="Verdana" w:eastAsia="Calibri" w:hAnsi="Verdana" w:cs="Arial"/>
                <w:lang w:eastAsia="es-ES"/>
              </w:rPr>
              <w:t xml:space="preserve">DECRETO 399 DE 2021 – Finalidad – Reactivación económica </w:t>
            </w:r>
            <w:r>
              <w:rPr>
                <w:rFonts w:ascii="Verdana" w:eastAsia="Calibri" w:hAnsi="Verdana" w:cs="Arial"/>
                <w:lang w:eastAsia="es-ES"/>
              </w:rPr>
              <w:t xml:space="preserve">/ </w:t>
            </w:r>
            <w:r w:rsidRPr="00D93C12">
              <w:rPr>
                <w:rFonts w:ascii="Verdana" w:eastAsia="Calibri" w:hAnsi="Verdana" w:cs="Arial"/>
                <w:lang w:eastAsia="es-ES"/>
              </w:rPr>
              <w:t xml:space="preserve">DECRETO 399 DE 2021 – Capacidad financiera y organizacional – </w:t>
            </w:r>
            <w:r>
              <w:rPr>
                <w:rFonts w:ascii="Verdana" w:eastAsia="Calibri" w:hAnsi="Verdana" w:cs="Arial"/>
                <w:lang w:eastAsia="es-ES"/>
              </w:rPr>
              <w:t>R</w:t>
            </w:r>
            <w:r w:rsidRPr="00D93C12">
              <w:rPr>
                <w:rFonts w:ascii="Verdana" w:eastAsia="Calibri" w:hAnsi="Verdana" w:cs="Arial"/>
                <w:lang w:eastAsia="es-ES"/>
              </w:rPr>
              <w:t>eporte de información de los estados financieros de los últimos tres (3) años fiscales</w:t>
            </w:r>
            <w:r>
              <w:rPr>
                <w:rFonts w:ascii="Verdana" w:eastAsia="Calibri" w:hAnsi="Verdana" w:cs="Arial"/>
                <w:lang w:eastAsia="es-ES"/>
              </w:rPr>
              <w:t xml:space="preserve"> / </w:t>
            </w:r>
            <w:r w:rsidRPr="00D93C12">
              <w:rPr>
                <w:rFonts w:ascii="Verdana" w:eastAsia="Calibri" w:hAnsi="Verdana" w:cs="Arial"/>
                <w:lang w:eastAsia="es-ES"/>
              </w:rPr>
              <w:t>DECRETOS 399 Y 579 DE 2021 – Indicadores – Capacidad financiera – Capacidad organizacional – Período</w:t>
            </w:r>
            <w:r>
              <w:rPr>
                <w:rFonts w:ascii="Verdana" w:eastAsia="Calibri" w:hAnsi="Verdana" w:cs="Arial"/>
                <w:lang w:eastAsia="es-ES"/>
              </w:rPr>
              <w:t xml:space="preserve"> / </w:t>
            </w:r>
            <w:r w:rsidRPr="00D93C12">
              <w:rPr>
                <w:rFonts w:ascii="Verdana" w:eastAsia="Calibri" w:hAnsi="Verdana" w:cs="Arial"/>
                <w:lang w:eastAsia="es-ES"/>
              </w:rPr>
              <w:t>DECRETO 1041 DE 2022 - Información – Capacidad financiera – Capacidad organizacional – Últimos tres (3) años fiscales anteriores</w:t>
            </w:r>
            <w:r>
              <w:rPr>
                <w:rFonts w:ascii="Verdana" w:eastAsia="Calibri" w:hAnsi="Verdana" w:cs="Arial"/>
                <w:lang w:eastAsia="es-ES"/>
              </w:rPr>
              <w:t xml:space="preserve"> / </w:t>
            </w:r>
            <w:r w:rsidRPr="00D93C12">
              <w:rPr>
                <w:rFonts w:ascii="Verdana" w:eastAsia="Calibri" w:hAnsi="Verdana" w:cs="Arial"/>
                <w:lang w:eastAsia="es-ES"/>
              </w:rPr>
              <w:t>MEJOR AÑO FISCAL – Decreto 399 de 2021– Capacidad financiera – Capacidad organizacional – Interpretación</w:t>
            </w:r>
            <w:r>
              <w:rPr>
                <w:rFonts w:ascii="Verdana" w:eastAsia="Calibri" w:hAnsi="Verdana" w:cs="Arial"/>
                <w:lang w:eastAsia="es-ES"/>
              </w:rPr>
              <w:t xml:space="preserve"> / </w:t>
            </w:r>
            <w:r w:rsidRPr="00D93C12">
              <w:rPr>
                <w:rFonts w:ascii="Verdana" w:eastAsia="Calibri" w:hAnsi="Verdana" w:cs="Arial"/>
                <w:lang w:eastAsia="es-ES"/>
              </w:rPr>
              <w:t>NORMAS TRANSITORIAS – Pérdida de vigencia – Efectos</w:t>
            </w:r>
          </w:p>
          <w:p w14:paraId="5BEF82CB" w14:textId="77777777" w:rsidR="00DE32BB" w:rsidRPr="00847D72" w:rsidRDefault="00DE32BB" w:rsidP="00487144">
            <w:pPr>
              <w:spacing w:line="276" w:lineRule="auto"/>
              <w:jc w:val="both"/>
              <w:rPr>
                <w:rFonts w:ascii="Verdana" w:eastAsia="Calibri" w:hAnsi="Verdana" w:cs="Arial"/>
                <w:lang w:eastAsia="es-ES"/>
              </w:rPr>
            </w:pPr>
          </w:p>
        </w:tc>
      </w:tr>
      <w:tr w:rsidR="00DE32BB" w:rsidRPr="005644FE" w14:paraId="5126AA61" w14:textId="77777777" w:rsidTr="00487144">
        <w:tc>
          <w:tcPr>
            <w:tcW w:w="3686" w:type="dxa"/>
          </w:tcPr>
          <w:p w14:paraId="67F21A36" w14:textId="77777777" w:rsidR="00DE32BB" w:rsidRPr="005644FE" w:rsidRDefault="00DE32BB" w:rsidP="00487144">
            <w:pPr>
              <w:jc w:val="both"/>
              <w:rPr>
                <w:rFonts w:ascii="Verdana" w:eastAsia="Calibri" w:hAnsi="Verdana" w:cs="Arial"/>
                <w:b/>
                <w:lang w:eastAsia="es-ES_tradnl"/>
              </w:rPr>
            </w:pPr>
            <w:r w:rsidRPr="005644FE">
              <w:rPr>
                <w:rFonts w:ascii="Verdana" w:eastAsia="Calibri" w:hAnsi="Verdana" w:cs="Arial"/>
                <w:b/>
                <w:lang w:eastAsia="es-ES_tradnl"/>
              </w:rPr>
              <w:t>Radicación:</w:t>
            </w:r>
            <w:r w:rsidRPr="005644FE">
              <w:rPr>
                <w:rFonts w:ascii="Verdana" w:eastAsia="Calibri" w:hAnsi="Verdana" w:cs="Arial"/>
                <w:lang w:eastAsia="es-ES_tradnl"/>
              </w:rPr>
              <w:t xml:space="preserve">               </w:t>
            </w:r>
          </w:p>
        </w:tc>
        <w:tc>
          <w:tcPr>
            <w:tcW w:w="5103" w:type="dxa"/>
          </w:tcPr>
          <w:p w14:paraId="4DE479EF" w14:textId="77777777" w:rsidR="00DE32BB" w:rsidRPr="00F04657" w:rsidRDefault="00DE32BB" w:rsidP="00487144">
            <w:pPr>
              <w:jc w:val="both"/>
              <w:rPr>
                <w:rFonts w:ascii="Verdana" w:eastAsia="Calibri" w:hAnsi="Verdana" w:cs="Arial"/>
                <w:lang w:eastAsia="es-ES"/>
              </w:rPr>
            </w:pPr>
            <w:r w:rsidRPr="74C89D8F">
              <w:rPr>
                <w:rFonts w:ascii="Verdana" w:eastAsia="Calibri" w:hAnsi="Verdana" w:cs="Arial"/>
                <w:lang w:eastAsia="es-ES"/>
              </w:rPr>
              <w:t>Respuesta a consulta con radicado</w:t>
            </w:r>
            <w:r>
              <w:rPr>
                <w:rFonts w:ascii="Verdana" w:eastAsia="Calibri" w:hAnsi="Verdana" w:cs="Arial"/>
                <w:lang w:eastAsia="es-ES"/>
              </w:rPr>
              <w:t xml:space="preserve"> </w:t>
            </w:r>
            <w:r w:rsidRPr="000E67A3">
              <w:rPr>
                <w:rFonts w:ascii="Verdana" w:eastAsia="Calibri" w:hAnsi="Verdana" w:cs="Arial"/>
                <w:lang w:eastAsia="es-ES"/>
              </w:rPr>
              <w:t>1_2026_04_24_005647</w:t>
            </w:r>
          </w:p>
        </w:tc>
      </w:tr>
    </w:tbl>
    <w:p w14:paraId="53631BEF" w14:textId="77777777" w:rsidR="00DE32BB" w:rsidRPr="005644FE" w:rsidRDefault="00DE32BB" w:rsidP="00DE32BB">
      <w:pPr>
        <w:spacing w:after="0" w:line="276" w:lineRule="auto"/>
        <w:jc w:val="both"/>
        <w:rPr>
          <w:rFonts w:ascii="Verdana" w:eastAsia="Calibri" w:hAnsi="Verdana" w:cs="Arial"/>
          <w:lang w:eastAsia="es-ES_tradnl"/>
        </w:rPr>
      </w:pPr>
      <w:r>
        <w:rPr>
          <w:rFonts w:ascii="Verdana" w:eastAsia="Calibri" w:hAnsi="Verdana" w:cs="Arial"/>
          <w:lang w:eastAsia="es-ES_tradnl"/>
        </w:rPr>
        <w:t xml:space="preserve"> </w:t>
      </w:r>
    </w:p>
    <w:p w14:paraId="1C3391B8" w14:textId="77777777" w:rsidR="00DE32BB" w:rsidRPr="005644FE" w:rsidRDefault="00DE32BB" w:rsidP="00DE32BB">
      <w:pPr>
        <w:spacing w:after="0" w:line="276" w:lineRule="auto"/>
        <w:jc w:val="both"/>
        <w:rPr>
          <w:rFonts w:ascii="Verdana" w:eastAsia="Calibri" w:hAnsi="Verdana" w:cs="Arial"/>
          <w:lang w:eastAsia="es-ES"/>
        </w:rPr>
      </w:pPr>
      <w:r>
        <w:rPr>
          <w:rFonts w:ascii="Verdana" w:eastAsia="Calibri" w:hAnsi="Verdana" w:cs="Arial"/>
          <w:lang w:eastAsia="es-ES"/>
        </w:rPr>
        <w:t xml:space="preserve">Estimado señor Herrera: </w:t>
      </w:r>
    </w:p>
    <w:p w14:paraId="0169F6EC" w14:textId="77777777" w:rsidR="00DE32BB" w:rsidRPr="00E02524" w:rsidRDefault="00DE32BB" w:rsidP="00DE32BB">
      <w:pPr>
        <w:spacing w:after="0" w:line="240" w:lineRule="auto"/>
        <w:jc w:val="both"/>
        <w:rPr>
          <w:rFonts w:ascii="Verdana" w:hAnsi="Verdana"/>
          <w:lang w:val="es-MX"/>
        </w:rPr>
      </w:pPr>
    </w:p>
    <w:p w14:paraId="59325C41" w14:textId="77777777" w:rsidR="00DE32BB" w:rsidRDefault="00DE32BB" w:rsidP="00DE32BB">
      <w:pPr>
        <w:spacing w:after="120" w:line="276" w:lineRule="auto"/>
        <w:jc w:val="both"/>
        <w:rPr>
          <w:rFonts w:ascii="Verdana" w:hAnsi="Verdana"/>
        </w:rPr>
      </w:pPr>
      <w:r w:rsidRPr="0084712D">
        <w:rPr>
          <w:rFonts w:ascii="Verdana" w:hAnsi="Verdana"/>
        </w:rPr>
        <w:t xml:space="preserve">La Agencia Nacional de Contratación Pública – Colombia Compra Eficiente –, en ejercicio de las competencias otorgadas por los artículos 3, numeral 5º, y 11, numeral 8º, del Decreto Ley 4170 de 2011 y de conformidad con las modalidades del derecho de petición contempladas en la Ley 1755 de 2015 y en la resolución </w:t>
      </w:r>
      <w:proofErr w:type="spellStart"/>
      <w:r w:rsidRPr="0084712D">
        <w:rPr>
          <w:rFonts w:ascii="Verdana" w:hAnsi="Verdana"/>
        </w:rPr>
        <w:t>N°</w:t>
      </w:r>
      <w:proofErr w:type="spellEnd"/>
      <w:r w:rsidRPr="0084712D">
        <w:rPr>
          <w:rFonts w:ascii="Verdana" w:hAnsi="Verdana"/>
        </w:rPr>
        <w:t xml:space="preserve"> 469 del 2025 expedida por esta Agencia, responde la solicitud de consulta de fecha 2</w:t>
      </w:r>
      <w:r>
        <w:rPr>
          <w:rFonts w:ascii="Verdana" w:hAnsi="Verdana"/>
        </w:rPr>
        <w:t>4</w:t>
      </w:r>
      <w:r w:rsidRPr="0084712D">
        <w:rPr>
          <w:rFonts w:ascii="Verdana" w:hAnsi="Verdana"/>
        </w:rPr>
        <w:t xml:space="preserve"> de abril de 2026, en la cual manifiesta lo siguiente:</w:t>
      </w:r>
    </w:p>
    <w:p w14:paraId="7C09FD02" w14:textId="77777777" w:rsidR="00DE32BB" w:rsidRDefault="00DE32BB" w:rsidP="00DE32BB">
      <w:pPr>
        <w:spacing w:after="0" w:line="240" w:lineRule="auto"/>
        <w:ind w:left="709" w:right="709"/>
        <w:jc w:val="both"/>
        <w:rPr>
          <w:rFonts w:ascii="Verdana" w:hAnsi="Verdana"/>
          <w:sz w:val="20"/>
          <w:szCs w:val="20"/>
        </w:rPr>
      </w:pPr>
      <w:r>
        <w:rPr>
          <w:rFonts w:ascii="Verdana" w:hAnsi="Verdana"/>
          <w:sz w:val="20"/>
          <w:szCs w:val="20"/>
        </w:rPr>
        <w:t xml:space="preserve">PETICIÓN REALIZADA: </w:t>
      </w:r>
    </w:p>
    <w:p w14:paraId="263C2167" w14:textId="77777777" w:rsidR="00DE32BB" w:rsidRDefault="00DE32BB" w:rsidP="00DE32BB">
      <w:pPr>
        <w:spacing w:after="0" w:line="240" w:lineRule="auto"/>
        <w:ind w:left="709" w:right="709"/>
        <w:jc w:val="both"/>
        <w:rPr>
          <w:rFonts w:ascii="Verdana" w:hAnsi="Verdana"/>
          <w:sz w:val="20"/>
          <w:szCs w:val="20"/>
        </w:rPr>
      </w:pPr>
    </w:p>
    <w:p w14:paraId="6BDA20A4" w14:textId="77777777" w:rsidR="00DE32BB" w:rsidRDefault="00DE32BB" w:rsidP="00DE32BB">
      <w:pPr>
        <w:spacing w:after="0" w:line="240" w:lineRule="auto"/>
        <w:ind w:left="709" w:right="709"/>
        <w:jc w:val="both"/>
        <w:rPr>
          <w:rFonts w:ascii="Verdana" w:hAnsi="Verdana"/>
          <w:sz w:val="20"/>
          <w:szCs w:val="20"/>
        </w:rPr>
      </w:pPr>
      <w:r>
        <w:rPr>
          <w:rFonts w:ascii="Verdana" w:hAnsi="Verdana"/>
          <w:sz w:val="20"/>
          <w:szCs w:val="20"/>
        </w:rPr>
        <w:t xml:space="preserve">“(…) </w:t>
      </w:r>
      <w:r w:rsidRPr="000E67A3">
        <w:rPr>
          <w:rFonts w:ascii="Verdana" w:hAnsi="Verdana"/>
          <w:sz w:val="20"/>
          <w:szCs w:val="20"/>
        </w:rPr>
        <w:t>¿Cómo debe proceder una Entidad Estatal, en un proceso de selección en el que el Registro Único de Proponentes es exigible, frente a la evaluación de una Unión Temporal o un Consorcio cuyos integrantes presentaron oportunamente la solicitud de renovación o actualización del RUP, cuando al momento del cierre del proceso cada uno de ellos cuenta con información en firme correspondiente a períodos o años distintos, pero sin que se haya producido la cesación de efectos de ninguno de los registros?</w:t>
      </w:r>
    </w:p>
    <w:p w14:paraId="2A232492" w14:textId="77777777" w:rsidR="00DE32BB" w:rsidRPr="000E67A3" w:rsidRDefault="00DE32BB" w:rsidP="00DE32BB">
      <w:pPr>
        <w:spacing w:after="0" w:line="240" w:lineRule="auto"/>
        <w:ind w:left="709" w:right="709"/>
        <w:jc w:val="both"/>
        <w:rPr>
          <w:rFonts w:ascii="Verdana" w:hAnsi="Verdana"/>
          <w:sz w:val="20"/>
          <w:szCs w:val="20"/>
        </w:rPr>
      </w:pPr>
    </w:p>
    <w:p w14:paraId="213ECB95" w14:textId="77777777" w:rsidR="00DE32BB" w:rsidRDefault="00DE32BB" w:rsidP="00DE32BB">
      <w:pPr>
        <w:spacing w:after="0" w:line="240" w:lineRule="auto"/>
        <w:ind w:left="709" w:right="709"/>
        <w:jc w:val="both"/>
        <w:rPr>
          <w:rFonts w:ascii="Verdana" w:hAnsi="Verdana"/>
          <w:sz w:val="20"/>
          <w:szCs w:val="20"/>
        </w:rPr>
      </w:pPr>
      <w:r w:rsidRPr="000E67A3">
        <w:rPr>
          <w:rFonts w:ascii="Verdana" w:hAnsi="Verdana"/>
          <w:sz w:val="20"/>
          <w:szCs w:val="20"/>
        </w:rPr>
        <w:t>Dicho en otras palabras, ¿es válido hacer la evaluación de los indicadores financieros de cada uno de los integrantes del proponente plural con base en la información contenida en el RUP vigente y en firma</w:t>
      </w:r>
      <w:r>
        <w:rPr>
          <w:rFonts w:ascii="Verdana" w:hAnsi="Verdana"/>
          <w:sz w:val="20"/>
          <w:szCs w:val="20"/>
        </w:rPr>
        <w:t xml:space="preserve"> (sic)</w:t>
      </w:r>
      <w:r w:rsidRPr="000E67A3">
        <w:rPr>
          <w:rFonts w:ascii="Verdana" w:hAnsi="Verdana"/>
          <w:sz w:val="20"/>
          <w:szCs w:val="20"/>
        </w:rPr>
        <w:t xml:space="preserve"> al momento del cierre del proceso, así este registro contenga información de años fiscales diferentes para cada uno de los integrantes? </w:t>
      </w:r>
      <w:r>
        <w:rPr>
          <w:rFonts w:ascii="Verdana" w:hAnsi="Verdana"/>
          <w:sz w:val="20"/>
          <w:szCs w:val="20"/>
        </w:rPr>
        <w:t>(…)”.</w:t>
      </w:r>
    </w:p>
    <w:p w14:paraId="0114E51B" w14:textId="77777777" w:rsidR="00DE32BB" w:rsidRPr="00647D77" w:rsidRDefault="00DE32BB" w:rsidP="00DE32BB">
      <w:pPr>
        <w:spacing w:after="0" w:line="240" w:lineRule="auto"/>
        <w:ind w:right="709"/>
        <w:jc w:val="both"/>
        <w:rPr>
          <w:rFonts w:ascii="Verdana" w:hAnsi="Verdana"/>
        </w:rPr>
      </w:pPr>
    </w:p>
    <w:p w14:paraId="19A5E559" w14:textId="77777777" w:rsidR="00DE32BB" w:rsidRPr="00F64722" w:rsidRDefault="00DE32BB" w:rsidP="00DE32BB">
      <w:pPr>
        <w:spacing w:after="120" w:line="276" w:lineRule="auto"/>
        <w:ind w:firstLine="709"/>
        <w:jc w:val="both"/>
        <w:rPr>
          <w:rFonts w:ascii="Verdana" w:eastAsia="Calibri" w:hAnsi="Verdana" w:cs="Arial"/>
          <w:color w:val="000000"/>
          <w:szCs w:val="24"/>
          <w:lang w:eastAsia="es-ES_tradnl"/>
        </w:rPr>
      </w:pPr>
      <w:r w:rsidRPr="005644FE">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w:t>
      </w:r>
      <w:r>
        <w:rPr>
          <w:rFonts w:ascii="Verdana" w:eastAsia="Calibri" w:hAnsi="Verdana" w:cs="Arial"/>
          <w:color w:val="000000"/>
          <w:lang w:eastAsia="es-ES"/>
        </w:rPr>
        <w:t xml:space="preserve">la Agencia Nacional de Contratación Pública - </w:t>
      </w:r>
      <w:r w:rsidRPr="005644FE">
        <w:rPr>
          <w:rFonts w:ascii="Verdana" w:eastAsia="Calibri" w:hAnsi="Verdana" w:cs="Arial"/>
          <w:color w:val="000000"/>
          <w:lang w:eastAsia="es-ES"/>
        </w:rPr>
        <w:t xml:space="preserve">Colombia Compra Eficiente como una autoridad para solucionar problemas jurídicos particulares de todos los partícipes del sistema de compra pública. La competencia de esta entidad se fija con límites claros, con </w:t>
      </w:r>
      <w:r w:rsidRPr="00F64722">
        <w:rPr>
          <w:rFonts w:ascii="Verdana" w:eastAsia="Calibri" w:hAnsi="Verdana" w:cs="Arial"/>
          <w:color w:val="000000"/>
          <w:lang w:eastAsia="es-ES"/>
        </w:rPr>
        <w:t xml:space="preserve">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0C5C4514" w14:textId="77777777" w:rsidR="00DE32BB" w:rsidRDefault="00DE32BB" w:rsidP="00DE32BB">
      <w:pPr>
        <w:spacing w:after="120" w:line="276" w:lineRule="auto"/>
        <w:ind w:firstLine="709"/>
        <w:jc w:val="both"/>
        <w:rPr>
          <w:rFonts w:ascii="Verdana" w:eastAsia="Calibri" w:hAnsi="Verdana" w:cs="Arial"/>
          <w:lang w:eastAsia="es-ES"/>
        </w:rPr>
      </w:pPr>
      <w:r w:rsidRPr="00B75E8F">
        <w:rPr>
          <w:rFonts w:ascii="Verdana" w:eastAsia="Calibri" w:hAnsi="Verdana" w:cs="Arial"/>
          <w:color w:val="000000"/>
          <w:lang w:eastAsia="es-ES"/>
        </w:rPr>
        <w:t xml:space="preserve">Conforme lo expuesto, en aras de garantizar el derecho fundamental de petición, se resolverá su petición dentro de los límites de la referida competencia consultiva, esto es, haciendo abstracción del caso particular y concreto señalado en su </w:t>
      </w:r>
      <w:r w:rsidRPr="00C52681">
        <w:rPr>
          <w:rFonts w:ascii="Verdana" w:eastAsia="Calibri" w:hAnsi="Verdana" w:cs="Arial"/>
          <w:color w:val="000000"/>
          <w:lang w:eastAsia="es-ES"/>
        </w:rPr>
        <w:t xml:space="preserve">petición, pero </w:t>
      </w:r>
      <w:r w:rsidRPr="00841458">
        <w:rPr>
          <w:rFonts w:ascii="Verdana" w:eastAsia="Calibri" w:hAnsi="Verdana" w:cs="Arial"/>
          <w:color w:val="000000"/>
          <w:lang w:eastAsia="es-ES"/>
        </w:rPr>
        <w:t>señalando algunas consideraciones sobre las normas generales relacionadas al problema jurídico de su consulta.</w:t>
      </w:r>
      <w:r w:rsidRPr="00841458">
        <w:rPr>
          <w:rFonts w:ascii="Verdana" w:eastAsia="Calibri" w:hAnsi="Verdana" w:cs="Arial"/>
          <w:lang w:eastAsia="es-ES"/>
        </w:rPr>
        <w:t xml:space="preserve">  </w:t>
      </w:r>
    </w:p>
    <w:p w14:paraId="4AD2C2A8" w14:textId="77777777" w:rsidR="00DE32BB" w:rsidRDefault="00DE32BB" w:rsidP="00DE32BB">
      <w:pPr>
        <w:spacing w:after="120" w:line="276" w:lineRule="auto"/>
        <w:ind w:firstLine="709"/>
        <w:jc w:val="both"/>
        <w:rPr>
          <w:rFonts w:ascii="Verdana" w:eastAsia="Calibri" w:hAnsi="Verdana" w:cs="Arial"/>
          <w:lang w:eastAsia="es-ES"/>
        </w:rPr>
      </w:pPr>
    </w:p>
    <w:p w14:paraId="12827393" w14:textId="77777777" w:rsidR="00DE32BB" w:rsidRPr="00847D72" w:rsidRDefault="00DE32BB" w:rsidP="00DE32BB">
      <w:pPr>
        <w:spacing w:after="120" w:line="276" w:lineRule="auto"/>
        <w:jc w:val="both"/>
        <w:rPr>
          <w:rFonts w:ascii="Verdana" w:eastAsia="Calibri" w:hAnsi="Verdana" w:cs="Arial"/>
          <w:lang w:eastAsia="es-ES"/>
        </w:rPr>
      </w:pPr>
      <w:r w:rsidRPr="00847D72">
        <w:rPr>
          <w:rFonts w:ascii="Verdana" w:eastAsia="Calibri" w:hAnsi="Verdana" w:cs="Arial"/>
          <w:b/>
          <w:bCs/>
          <w:lang w:eastAsia="es-ES"/>
        </w:rPr>
        <w:t xml:space="preserve">1. </w:t>
      </w:r>
      <w:r w:rsidRPr="00841458">
        <w:rPr>
          <w:rFonts w:ascii="Verdana" w:eastAsia="Century Gothic" w:hAnsi="Verdana" w:cs="Century Gothic"/>
          <w:b/>
          <w:bCs/>
        </w:rPr>
        <w:t>Problema planteado:</w:t>
      </w:r>
    </w:p>
    <w:p w14:paraId="3198839A" w14:textId="77777777" w:rsidR="00DE32BB" w:rsidRDefault="00DE32BB" w:rsidP="00DE32BB">
      <w:pPr>
        <w:spacing w:after="0" w:line="276" w:lineRule="auto"/>
        <w:jc w:val="both"/>
        <w:rPr>
          <w:rFonts w:ascii="Verdana" w:eastAsia="Calibri" w:hAnsi="Verdana" w:cs="Arial"/>
          <w:color w:val="000000"/>
          <w:lang w:eastAsia="es-ES"/>
        </w:rPr>
      </w:pPr>
      <w:r w:rsidRPr="00767EB7">
        <w:rPr>
          <w:rFonts w:ascii="Verdana" w:eastAsia="Calibri" w:hAnsi="Verdana" w:cs="Arial"/>
          <w:color w:val="000000"/>
          <w:lang w:eastAsia="es-ES"/>
        </w:rPr>
        <w:t xml:space="preserve">De acuerdo con el contenido de su solicitud, esta Agencia resolverá el siguiente problema jurídico: La evaluación de los indicadores financieros de los miembros de un proponente plural </w:t>
      </w:r>
      <w:r>
        <w:rPr>
          <w:rFonts w:ascii="Verdana" w:eastAsia="Calibri" w:hAnsi="Verdana" w:cs="Arial"/>
          <w:color w:val="000000"/>
          <w:lang w:eastAsia="es-ES"/>
        </w:rPr>
        <w:t>¿</w:t>
      </w:r>
      <w:r w:rsidRPr="00767EB7">
        <w:rPr>
          <w:rFonts w:ascii="Verdana" w:eastAsia="Calibri" w:hAnsi="Verdana" w:cs="Arial"/>
          <w:color w:val="000000"/>
          <w:lang w:eastAsia="es-ES"/>
        </w:rPr>
        <w:t>puede efectuarse teniendo en consideración información de años fiscales anteriores?</w:t>
      </w:r>
      <w:r>
        <w:rPr>
          <w:rFonts w:ascii="Verdana" w:eastAsia="Calibri" w:hAnsi="Verdana" w:cs="Arial"/>
          <w:color w:val="000000"/>
          <w:lang w:eastAsia="es-ES"/>
        </w:rPr>
        <w:t xml:space="preserve"> </w:t>
      </w:r>
    </w:p>
    <w:p w14:paraId="42FD8370" w14:textId="77777777" w:rsidR="00DE32BB" w:rsidRPr="007620A2" w:rsidRDefault="00DE32BB" w:rsidP="00DE32BB">
      <w:pPr>
        <w:spacing w:after="0" w:line="240" w:lineRule="auto"/>
        <w:jc w:val="both"/>
        <w:rPr>
          <w:rFonts w:ascii="Verdana" w:hAnsi="Verdana"/>
        </w:rPr>
      </w:pPr>
    </w:p>
    <w:p w14:paraId="12A82706" w14:textId="77777777" w:rsidR="00DE32BB" w:rsidRPr="00C97CA6" w:rsidRDefault="00DE32BB" w:rsidP="00DE32BB">
      <w:pPr>
        <w:spacing w:after="0" w:line="276" w:lineRule="auto"/>
        <w:jc w:val="both"/>
        <w:rPr>
          <w:rFonts w:ascii="Verdana" w:eastAsia="Century Gothic" w:hAnsi="Verdana" w:cs="Century Gothic"/>
        </w:rPr>
      </w:pPr>
      <w:r w:rsidRPr="00B33011">
        <w:rPr>
          <w:rFonts w:ascii="Verdana" w:eastAsia="Century Gothic" w:hAnsi="Verdana" w:cs="Century Gothic"/>
          <w:b/>
          <w:bCs/>
        </w:rPr>
        <w:t>2. Respuesta:</w:t>
      </w:r>
    </w:p>
    <w:p w14:paraId="57EDC1A8" w14:textId="77777777" w:rsidR="00DE32BB" w:rsidRPr="005644FE" w:rsidRDefault="00DE32BB" w:rsidP="00DE32BB">
      <w:pPr>
        <w:spacing w:after="0" w:line="276" w:lineRule="auto"/>
        <w:jc w:val="both"/>
        <w:rPr>
          <w:rFonts w:ascii="Verdana" w:eastAsia="Century Gothic" w:hAnsi="Verdana" w:cs="Century Gothic"/>
          <w:b/>
          <w:bCs/>
        </w:rPr>
      </w:pPr>
    </w:p>
    <w:tbl>
      <w:tblPr>
        <w:tblStyle w:val="Tablaconcuadrcula"/>
        <w:tblW w:w="0" w:type="auto"/>
        <w:tblLook w:val="04A0" w:firstRow="1" w:lastRow="0" w:firstColumn="1" w:lastColumn="0" w:noHBand="0" w:noVBand="1"/>
      </w:tblPr>
      <w:tblGrid>
        <w:gridCol w:w="8828"/>
      </w:tblGrid>
      <w:tr w:rsidR="00DE32BB" w:rsidRPr="005644FE" w14:paraId="41DDB679" w14:textId="77777777" w:rsidTr="00487144">
        <w:tc>
          <w:tcPr>
            <w:tcW w:w="8828" w:type="dxa"/>
          </w:tcPr>
          <w:p w14:paraId="572B37E0" w14:textId="77777777" w:rsidR="00DE32BB" w:rsidRPr="00F047DB" w:rsidRDefault="00DE32BB" w:rsidP="00487144">
            <w:pPr>
              <w:spacing w:after="120" w:line="276" w:lineRule="auto"/>
              <w:jc w:val="both"/>
              <w:rPr>
                <w:rFonts w:ascii="Verdana" w:eastAsia="Calibri" w:hAnsi="Verdana" w:cs="Arial"/>
                <w:color w:val="000000" w:themeColor="text1"/>
                <w:lang w:val="es-ES_tradnl"/>
              </w:rPr>
            </w:pPr>
            <w:r>
              <w:rPr>
                <w:rFonts w:ascii="Verdana" w:eastAsia="Calibri" w:hAnsi="Verdana" w:cs="Arial"/>
                <w:color w:val="000000" w:themeColor="text1"/>
                <w:lang w:val="es-ES_tradnl"/>
              </w:rPr>
              <w:t>E</w:t>
            </w:r>
            <w:r w:rsidRPr="00F047DB">
              <w:rPr>
                <w:rFonts w:ascii="Verdana" w:eastAsia="Calibri" w:hAnsi="Verdana" w:cs="Arial"/>
                <w:color w:val="000000" w:themeColor="text1"/>
                <w:lang w:val="es-ES_tradnl"/>
              </w:rPr>
              <w:t>l numeral 1º del artículo</w:t>
            </w:r>
            <w:r>
              <w:rPr>
                <w:rFonts w:ascii="Verdana" w:eastAsia="Calibri" w:hAnsi="Verdana" w:cs="Arial"/>
                <w:color w:val="000000" w:themeColor="text1"/>
                <w:lang w:val="es-ES_tradnl"/>
              </w:rPr>
              <w:t xml:space="preserve"> 5 de la Ley 1150 de 2007 </w:t>
            </w:r>
            <w:r w:rsidRPr="00F047DB">
              <w:rPr>
                <w:rFonts w:ascii="Verdana" w:eastAsia="Calibri" w:hAnsi="Verdana" w:cs="Arial"/>
                <w:color w:val="000000" w:themeColor="text1"/>
                <w:lang w:val="es-ES_tradnl"/>
              </w:rPr>
              <w:t xml:space="preserve">establece que en los procesos de selección de contratistas serán objeto de verificación, como requisitos habilitantes, </w:t>
            </w:r>
            <w:r w:rsidRPr="00F047DB">
              <w:rPr>
                <w:rFonts w:ascii="Verdana" w:eastAsia="Calibri" w:hAnsi="Verdana" w:cs="Arial"/>
                <w:i/>
                <w:iCs/>
                <w:color w:val="000000" w:themeColor="text1"/>
                <w:lang w:val="es-ES_tradnl"/>
              </w:rPr>
              <w:t>entre otros</w:t>
            </w:r>
            <w:r w:rsidRPr="00F047DB">
              <w:rPr>
                <w:rFonts w:ascii="Verdana" w:eastAsia="Calibri" w:hAnsi="Verdana" w:cs="Arial"/>
                <w:color w:val="000000" w:themeColor="text1"/>
                <w:lang w:val="es-ES_tradnl"/>
              </w:rPr>
              <w:t xml:space="preserve">, los siguientes: i) la capacidad jurídica; </w:t>
            </w:r>
            <w:proofErr w:type="spellStart"/>
            <w:r w:rsidRPr="00F047DB">
              <w:rPr>
                <w:rFonts w:ascii="Verdana" w:eastAsia="Calibri" w:hAnsi="Verdana" w:cs="Arial"/>
                <w:color w:val="000000" w:themeColor="text1"/>
                <w:lang w:val="es-ES_tradnl"/>
              </w:rPr>
              <w:t>ii</w:t>
            </w:r>
            <w:proofErr w:type="spellEnd"/>
            <w:r w:rsidRPr="00F047DB">
              <w:rPr>
                <w:rFonts w:ascii="Verdana" w:eastAsia="Calibri" w:hAnsi="Verdana" w:cs="Arial"/>
                <w:color w:val="000000" w:themeColor="text1"/>
                <w:lang w:val="es-ES_tradnl"/>
              </w:rPr>
              <w:t xml:space="preserve">) la experiencia; </w:t>
            </w:r>
            <w:proofErr w:type="spellStart"/>
            <w:r w:rsidRPr="00F047DB">
              <w:rPr>
                <w:rFonts w:ascii="Verdana" w:eastAsia="Calibri" w:hAnsi="Verdana" w:cs="Arial"/>
                <w:color w:val="000000" w:themeColor="text1"/>
                <w:lang w:val="es-ES_tradnl"/>
              </w:rPr>
              <w:t>iii</w:t>
            </w:r>
            <w:proofErr w:type="spellEnd"/>
            <w:r w:rsidRPr="00F047DB">
              <w:rPr>
                <w:rFonts w:ascii="Verdana" w:eastAsia="Calibri" w:hAnsi="Verdana" w:cs="Arial"/>
                <w:color w:val="000000" w:themeColor="text1"/>
                <w:lang w:val="es-ES_tradnl"/>
              </w:rPr>
              <w:t xml:space="preserve">) la capacidad financiera y </w:t>
            </w:r>
            <w:proofErr w:type="spellStart"/>
            <w:r w:rsidRPr="00F047DB">
              <w:rPr>
                <w:rFonts w:ascii="Verdana" w:eastAsia="Calibri" w:hAnsi="Verdana" w:cs="Arial"/>
                <w:color w:val="000000" w:themeColor="text1"/>
                <w:lang w:val="es-ES_tradnl"/>
              </w:rPr>
              <w:t>iv</w:t>
            </w:r>
            <w:proofErr w:type="spellEnd"/>
            <w:r w:rsidRPr="00F047DB">
              <w:rPr>
                <w:rFonts w:ascii="Verdana" w:eastAsia="Calibri" w:hAnsi="Verdana" w:cs="Arial"/>
                <w:color w:val="000000" w:themeColor="text1"/>
                <w:lang w:val="es-ES_tradnl"/>
              </w:rPr>
              <w:t xml:space="preserve">) la capacidad de organización. En efecto, la norma citada dispone lo siguiente: </w:t>
            </w:r>
          </w:p>
          <w:p w14:paraId="300B7128" w14:textId="77777777" w:rsidR="00DE32BB" w:rsidRPr="002344B9" w:rsidRDefault="00DE32BB" w:rsidP="00487144">
            <w:pPr>
              <w:spacing w:after="120" w:line="276" w:lineRule="auto"/>
              <w:ind w:firstLine="709"/>
              <w:jc w:val="both"/>
              <w:rPr>
                <w:rFonts w:ascii="Verdana" w:hAnsi="Verdana"/>
              </w:rPr>
            </w:pPr>
            <w:r>
              <w:rPr>
                <w:rFonts w:ascii="Verdana" w:hAnsi="Verdana"/>
              </w:rPr>
              <w:t>L</w:t>
            </w:r>
            <w:r w:rsidRPr="002344B9">
              <w:rPr>
                <w:rFonts w:ascii="Verdana" w:hAnsi="Verdana"/>
              </w:rPr>
              <w:t>a capacidad financiera</w:t>
            </w:r>
            <w:r>
              <w:rPr>
                <w:rFonts w:ascii="Verdana" w:hAnsi="Verdana"/>
              </w:rPr>
              <w:t xml:space="preserve">, objeto de su consulta </w:t>
            </w:r>
            <w:r w:rsidRPr="002344B9">
              <w:rPr>
                <w:rFonts w:ascii="Verdana" w:hAnsi="Verdana"/>
              </w:rPr>
              <w:t>es un requisito habilitante cuya acreditación debe realizarse en los términos de los artículos 5 de la Ley 1150 de 2007 y 2.2.1.1.1.5.3 del Decreto 1082 de 2015, a partir de la información consignada en el RUP con base en los estados financieros del proponente, suscritos por el representante legal y, cuando corresponda, por el revisor fiscal.</w:t>
            </w:r>
          </w:p>
          <w:p w14:paraId="4200CAC5" w14:textId="77777777" w:rsidR="00DE32BB" w:rsidRPr="002344B9" w:rsidRDefault="00DE32BB" w:rsidP="00487144">
            <w:pPr>
              <w:spacing w:after="120" w:line="276" w:lineRule="auto"/>
              <w:ind w:firstLine="709"/>
              <w:jc w:val="both"/>
              <w:rPr>
                <w:rFonts w:ascii="Verdana" w:hAnsi="Verdana"/>
              </w:rPr>
            </w:pPr>
            <w:r w:rsidRPr="002344B9">
              <w:rPr>
                <w:rFonts w:ascii="Verdana" w:hAnsi="Verdana"/>
              </w:rPr>
              <w:t xml:space="preserve">Ahora bien, los parágrafos adicionados por los Decretos 399 y 579 de 2021 y 1041 de 2022 tuvieron carácter transitorio, </w:t>
            </w:r>
            <w:r>
              <w:rPr>
                <w:rFonts w:ascii="Verdana" w:hAnsi="Verdana"/>
              </w:rPr>
              <w:t>por</w:t>
            </w:r>
            <w:r w:rsidRPr="002344B9">
              <w:rPr>
                <w:rFonts w:ascii="Verdana" w:hAnsi="Verdana"/>
              </w:rPr>
              <w:t xml:space="preserve"> cuanto habilitaban a los proponentes a acreditar los indicadores financieros y organizacionales con el “mejor año fiscal” de los últimos tres</w:t>
            </w:r>
            <w:r>
              <w:rPr>
                <w:rFonts w:ascii="Verdana" w:hAnsi="Verdana"/>
              </w:rPr>
              <w:t xml:space="preserve"> años</w:t>
            </w:r>
            <w:r w:rsidRPr="002344B9">
              <w:rPr>
                <w:rFonts w:ascii="Verdana" w:hAnsi="Verdana"/>
              </w:rPr>
              <w:t>. Dichas disposiciones fueron prorrogadas únicamente hasta el 31 de diciembre de 2023, por lo cual</w:t>
            </w:r>
            <w:r>
              <w:rPr>
                <w:rFonts w:ascii="Verdana" w:hAnsi="Verdana"/>
              </w:rPr>
              <w:t>,</w:t>
            </w:r>
            <w:r w:rsidRPr="002344B9">
              <w:rPr>
                <w:rFonts w:ascii="Verdana" w:hAnsi="Verdana"/>
              </w:rPr>
              <w:t xml:space="preserve"> desde el 1° de enero de 2024 carecen de vigencia y resulta inaplicable, por sustracción de materia, el parágrafo transitorio del artículo 2.2.1.1.1.6.2 del Decreto 1082 de 2015.</w:t>
            </w:r>
          </w:p>
          <w:p w14:paraId="336FCD18" w14:textId="77777777" w:rsidR="00DE32BB" w:rsidRDefault="00DE32BB" w:rsidP="00487144">
            <w:pPr>
              <w:spacing w:after="120" w:line="276" w:lineRule="auto"/>
              <w:ind w:firstLine="709"/>
              <w:jc w:val="both"/>
              <w:rPr>
                <w:rFonts w:ascii="Verdana" w:hAnsi="Verdana"/>
              </w:rPr>
            </w:pPr>
            <w:r w:rsidRPr="002344B9">
              <w:rPr>
                <w:rFonts w:ascii="Verdana" w:hAnsi="Verdana"/>
              </w:rPr>
              <w:t>En consecuencia, a partir del 1° de enero de 2024, las personas que realicen la inscripción o renovación del RUP únicamente podrán reportar la información contable y los estados financieros correspondientes al último año fiscal, de acuerdo con las siguientes reglas:</w:t>
            </w:r>
            <w:r>
              <w:rPr>
                <w:rFonts w:ascii="Verdana" w:hAnsi="Verdana"/>
              </w:rPr>
              <w:t xml:space="preserve"> i) </w:t>
            </w:r>
            <w:r w:rsidRPr="00110C9C">
              <w:rPr>
                <w:rStyle w:val="Fuerte"/>
                <w:rFonts w:ascii="Verdana" w:hAnsi="Verdana"/>
                <w:i/>
                <w:iCs/>
              </w:rPr>
              <w:t>Personas naturales obligadas a llevar contabilidad</w:t>
            </w:r>
            <w:r w:rsidRPr="00110C9C">
              <w:rPr>
                <w:rStyle w:val="Fuerte"/>
                <w:rFonts w:ascii="Verdana" w:hAnsi="Verdana"/>
              </w:rPr>
              <w:t>:</w:t>
            </w:r>
            <w:r w:rsidRPr="00110C9C">
              <w:rPr>
                <w:rFonts w:ascii="Verdana" w:hAnsi="Verdana"/>
                <w:b/>
                <w:bCs/>
              </w:rPr>
              <w:t xml:space="preserve"> </w:t>
            </w:r>
            <w:r w:rsidRPr="00110C9C">
              <w:rPr>
                <w:rFonts w:ascii="Verdana" w:hAnsi="Verdana"/>
              </w:rPr>
              <w:t xml:space="preserve">deben presentar copia de la información contable exigida por las normas tributarias para el último año fiscal; </w:t>
            </w:r>
            <w:proofErr w:type="spellStart"/>
            <w:r w:rsidRPr="00110C9C">
              <w:rPr>
                <w:rFonts w:ascii="Verdana" w:hAnsi="Verdana"/>
              </w:rPr>
              <w:t>ii</w:t>
            </w:r>
            <w:proofErr w:type="spellEnd"/>
            <w:r w:rsidRPr="00110C9C">
              <w:rPr>
                <w:rFonts w:ascii="Verdana" w:hAnsi="Verdana"/>
              </w:rPr>
              <w:t>)</w:t>
            </w:r>
            <w:r w:rsidRPr="00110C9C">
              <w:rPr>
                <w:rFonts w:ascii="Verdana" w:hAnsi="Verdana"/>
                <w:b/>
                <w:bCs/>
              </w:rPr>
              <w:t xml:space="preserve"> </w:t>
            </w:r>
            <w:r w:rsidRPr="00110C9C">
              <w:rPr>
                <w:rStyle w:val="Fuerte"/>
                <w:rFonts w:ascii="Verdana" w:hAnsi="Verdana"/>
                <w:i/>
                <w:iCs/>
              </w:rPr>
              <w:t>Personas jurídicas</w:t>
            </w:r>
            <w:r w:rsidRPr="00110C9C">
              <w:rPr>
                <w:rStyle w:val="Fuerte"/>
                <w:rFonts w:ascii="Verdana" w:hAnsi="Verdana"/>
              </w:rPr>
              <w:t>:</w:t>
            </w:r>
            <w:r w:rsidRPr="002344B9">
              <w:rPr>
                <w:rFonts w:ascii="Verdana" w:hAnsi="Verdana"/>
              </w:rPr>
              <w:t xml:space="preserve"> deben aportar los estados financieros de la sociedad y, cuando la norma aplicable lo exija, los estados financieros consolidados del grupo empresarial, auditados con sus notas y anexos, suscritos por el representante legal y el revisor fiscal (o por el auditor/contador, cuando no exista obligación de tener revisor fiscal)</w:t>
            </w:r>
            <w:r>
              <w:rPr>
                <w:rFonts w:ascii="Verdana" w:hAnsi="Verdana"/>
              </w:rPr>
              <w:t xml:space="preserve"> y </w:t>
            </w:r>
            <w:proofErr w:type="spellStart"/>
            <w:r>
              <w:rPr>
                <w:rFonts w:ascii="Verdana" w:hAnsi="Verdana"/>
              </w:rPr>
              <w:t>iii</w:t>
            </w:r>
            <w:proofErr w:type="spellEnd"/>
            <w:r>
              <w:rPr>
                <w:rFonts w:ascii="Verdana" w:hAnsi="Verdana"/>
              </w:rPr>
              <w:t xml:space="preserve">) </w:t>
            </w:r>
            <w:r w:rsidRPr="002344B9">
              <w:rPr>
                <w:rFonts w:ascii="Verdana" w:hAnsi="Verdana"/>
              </w:rPr>
              <w:t xml:space="preserve">En todo caso, </w:t>
            </w:r>
            <w:r w:rsidRPr="00795E38">
              <w:rPr>
                <w:rFonts w:ascii="Verdana" w:hAnsi="Verdana"/>
                <w:i/>
                <w:iCs/>
              </w:rPr>
              <w:t>si el proponente no tiene antigüedad suficiente para contar con estados financieros auditados a 31 de diciembre</w:t>
            </w:r>
            <w:r w:rsidRPr="002344B9">
              <w:rPr>
                <w:rFonts w:ascii="Verdana" w:hAnsi="Verdana"/>
              </w:rPr>
              <w:t>, debe inscribirse con estados financieros de corte trimestral suscritos por el representante legal y el auditor o contador, o con estados financieros de apertura.</w:t>
            </w:r>
          </w:p>
          <w:p w14:paraId="631BF047" w14:textId="77777777" w:rsidR="00DE32BB" w:rsidRPr="00F32231" w:rsidRDefault="00DE32BB" w:rsidP="00487144">
            <w:pPr>
              <w:spacing w:after="120" w:line="276" w:lineRule="auto"/>
              <w:ind w:firstLine="709"/>
              <w:jc w:val="both"/>
              <w:rPr>
                <w:rFonts w:ascii="Verdana" w:hAnsi="Verdana"/>
              </w:rPr>
            </w:pPr>
            <w:r w:rsidRPr="002344B9">
              <w:rPr>
                <w:rFonts w:ascii="Verdana" w:hAnsi="Verdana"/>
              </w:rPr>
              <w:t xml:space="preserve">En </w:t>
            </w:r>
            <w:r>
              <w:rPr>
                <w:rFonts w:ascii="Verdana" w:hAnsi="Verdana"/>
              </w:rPr>
              <w:t>conclusión</w:t>
            </w:r>
            <w:r w:rsidRPr="002344B9">
              <w:rPr>
                <w:rFonts w:ascii="Verdana" w:hAnsi="Verdana"/>
              </w:rPr>
              <w:t>, en el caso consultado, la evaluación de la capacidad financiera debe realizarse con base en la información vigente registrada en el RUP con corte al 31 de diciembre del año fiscal inmediatamente anterior, resultando improcedente la acreditación con un “mejor año fiscal” distinto o la presentación de documentos adicionales no incorporados en dicho registro oficial</w:t>
            </w:r>
            <w:r>
              <w:rPr>
                <w:rFonts w:ascii="Verdana" w:hAnsi="Verdana"/>
              </w:rPr>
              <w:t>.</w:t>
            </w:r>
          </w:p>
        </w:tc>
      </w:tr>
    </w:tbl>
    <w:p w14:paraId="71AE2243" w14:textId="77777777" w:rsidR="00DE32BB" w:rsidRDefault="00DE32BB" w:rsidP="00DE32BB">
      <w:pPr>
        <w:tabs>
          <w:tab w:val="left" w:pos="142"/>
          <w:tab w:val="left" w:pos="284"/>
        </w:tabs>
        <w:spacing w:after="0" w:line="276" w:lineRule="auto"/>
        <w:jc w:val="both"/>
        <w:rPr>
          <w:rFonts w:ascii="Verdana" w:eastAsia="Century Gothic" w:hAnsi="Verdana" w:cs="Century Gothic"/>
          <w:b/>
          <w:bCs/>
        </w:rPr>
      </w:pPr>
    </w:p>
    <w:p w14:paraId="40654A2B" w14:textId="77777777" w:rsidR="00DE32BB" w:rsidRPr="005644FE" w:rsidRDefault="00DE32BB" w:rsidP="00DE32BB">
      <w:pPr>
        <w:tabs>
          <w:tab w:val="left" w:pos="142"/>
          <w:tab w:val="left" w:pos="284"/>
        </w:tabs>
        <w:spacing w:after="0" w:line="276" w:lineRule="auto"/>
        <w:jc w:val="both"/>
        <w:rPr>
          <w:rFonts w:ascii="Verdana" w:eastAsia="Century Gothic" w:hAnsi="Verdana" w:cs="Century Gothic"/>
          <w:b/>
          <w:bCs/>
        </w:rPr>
      </w:pPr>
      <w:r w:rsidRPr="005644FE">
        <w:rPr>
          <w:rFonts w:ascii="Verdana" w:eastAsia="Century Gothic" w:hAnsi="Verdana" w:cs="Century Gothic"/>
          <w:b/>
          <w:bCs/>
        </w:rPr>
        <w:t>3. Razones de la respuesta:</w:t>
      </w:r>
    </w:p>
    <w:p w14:paraId="08DB27C5" w14:textId="77777777" w:rsidR="00DE32BB" w:rsidRPr="005644FE" w:rsidRDefault="00DE32BB" w:rsidP="00DE32BB">
      <w:pPr>
        <w:pStyle w:val="Prrafodelista"/>
        <w:tabs>
          <w:tab w:val="left" w:pos="142"/>
          <w:tab w:val="left" w:pos="284"/>
        </w:tabs>
        <w:spacing w:after="0" w:line="240" w:lineRule="auto"/>
        <w:ind w:left="0"/>
        <w:contextualSpacing w:val="0"/>
        <w:jc w:val="both"/>
        <w:rPr>
          <w:rFonts w:ascii="Verdana" w:eastAsia="Calibri" w:hAnsi="Verdana" w:cs="Arial"/>
        </w:rPr>
      </w:pPr>
    </w:p>
    <w:p w14:paraId="5A91635E" w14:textId="77777777" w:rsidR="00DE32BB" w:rsidRDefault="00DE32BB" w:rsidP="00DE32BB">
      <w:pPr>
        <w:tabs>
          <w:tab w:val="left" w:pos="142"/>
          <w:tab w:val="left" w:pos="284"/>
          <w:tab w:val="left" w:pos="6975"/>
        </w:tabs>
        <w:spacing w:after="0" w:line="276" w:lineRule="auto"/>
        <w:jc w:val="both"/>
        <w:rPr>
          <w:rFonts w:ascii="Verdana" w:eastAsia="Calibri" w:hAnsi="Verdana" w:cs="Arial"/>
        </w:rPr>
      </w:pPr>
      <w:r w:rsidRPr="005644FE">
        <w:rPr>
          <w:rFonts w:ascii="Verdana" w:eastAsia="Calibri" w:hAnsi="Verdana" w:cs="Arial"/>
        </w:rPr>
        <w:t>Lo anterior se sustenta en las siguientes consideraciones:</w:t>
      </w:r>
    </w:p>
    <w:p w14:paraId="169DECD6" w14:textId="77777777" w:rsidR="00DE32BB" w:rsidRDefault="00DE32BB" w:rsidP="00DE32BB">
      <w:pPr>
        <w:tabs>
          <w:tab w:val="left" w:pos="142"/>
          <w:tab w:val="left" w:pos="284"/>
          <w:tab w:val="left" w:pos="6975"/>
        </w:tabs>
        <w:spacing w:after="0" w:line="240" w:lineRule="auto"/>
        <w:jc w:val="both"/>
        <w:rPr>
          <w:rFonts w:ascii="Verdana" w:eastAsia="Calibri" w:hAnsi="Verdana" w:cs="Arial"/>
        </w:rPr>
      </w:pPr>
    </w:p>
    <w:p w14:paraId="43937F7F" w14:textId="77777777" w:rsidR="00DE32BB" w:rsidRPr="00F047DB" w:rsidRDefault="00DE32BB" w:rsidP="00DE32BB">
      <w:pPr>
        <w:spacing w:after="120" w:line="276" w:lineRule="auto"/>
        <w:jc w:val="both"/>
        <w:rPr>
          <w:rFonts w:ascii="Verdana" w:eastAsia="Calibri" w:hAnsi="Verdana" w:cs="Arial"/>
          <w:color w:val="000000" w:themeColor="text1"/>
          <w:lang w:val="es-ES_tradnl"/>
        </w:rPr>
      </w:pPr>
      <w:r w:rsidRPr="00F047DB">
        <w:rPr>
          <w:rFonts w:ascii="Verdana" w:eastAsia="Calibri" w:hAnsi="Verdana" w:cs="Arial"/>
          <w:color w:val="000000" w:themeColor="text1"/>
          <w:lang w:val="es-ES_tradnl"/>
        </w:rPr>
        <w:t xml:space="preserve">El artículo 5 de la Ley 1150 de 2007 establece que se considera “objetiva la selección en la cual la escogencia se haga al ofrecimiento más favorable a la entidad y a los fines que ella busca, sin tener en consideración factores de afecto o de interés y, en general, cualquier clase de motivación subjetiva”. En ese contexto, los factores de escogencia y calificación que establezcan las entidades en los pliegos de condiciones o sus documentos equivalentes deberán tener en cuenta, entre otras cuestiones, los criterios establecidos en dicha disposición. </w:t>
      </w:r>
    </w:p>
    <w:p w14:paraId="0C8EF5FE" w14:textId="77777777" w:rsidR="00DE32BB" w:rsidRPr="00F047DB" w:rsidRDefault="00DE32BB" w:rsidP="00DE32BB">
      <w:pPr>
        <w:spacing w:after="120" w:line="276" w:lineRule="auto"/>
        <w:ind w:firstLine="709"/>
        <w:jc w:val="both"/>
        <w:rPr>
          <w:rFonts w:ascii="Verdana" w:eastAsia="Calibri" w:hAnsi="Verdana" w:cs="Arial"/>
          <w:color w:val="000000" w:themeColor="text1"/>
          <w:lang w:val="es-ES_tradnl"/>
        </w:rPr>
      </w:pPr>
      <w:r w:rsidRPr="00F047DB">
        <w:rPr>
          <w:rFonts w:ascii="Verdana" w:eastAsia="Calibri" w:hAnsi="Verdana" w:cs="Arial"/>
          <w:color w:val="000000" w:themeColor="text1"/>
          <w:lang w:val="es-ES_tradnl"/>
        </w:rPr>
        <w:t xml:space="preserve">Específicamente, el numeral 1º del artículo referido establece que en los procesos de selección de contratistas serán objeto de verificación, como requisitos habilitantes, </w:t>
      </w:r>
      <w:r w:rsidRPr="00F047DB">
        <w:rPr>
          <w:rFonts w:ascii="Verdana" w:eastAsia="Calibri" w:hAnsi="Verdana" w:cs="Arial"/>
          <w:i/>
          <w:iCs/>
          <w:color w:val="000000" w:themeColor="text1"/>
          <w:lang w:val="es-ES_tradnl"/>
        </w:rPr>
        <w:t>entre otros</w:t>
      </w:r>
      <w:r w:rsidRPr="00F047DB">
        <w:rPr>
          <w:rFonts w:ascii="Verdana" w:eastAsia="Calibri" w:hAnsi="Verdana" w:cs="Arial"/>
          <w:color w:val="000000" w:themeColor="text1"/>
          <w:lang w:val="es-ES_tradnl"/>
        </w:rPr>
        <w:t xml:space="preserve">, los siguientes: i) la capacidad jurídica; </w:t>
      </w:r>
      <w:proofErr w:type="spellStart"/>
      <w:r w:rsidRPr="00F047DB">
        <w:rPr>
          <w:rFonts w:ascii="Verdana" w:eastAsia="Calibri" w:hAnsi="Verdana" w:cs="Arial"/>
          <w:color w:val="000000" w:themeColor="text1"/>
          <w:lang w:val="es-ES_tradnl"/>
        </w:rPr>
        <w:t>ii</w:t>
      </w:r>
      <w:proofErr w:type="spellEnd"/>
      <w:r w:rsidRPr="00F047DB">
        <w:rPr>
          <w:rFonts w:ascii="Verdana" w:eastAsia="Calibri" w:hAnsi="Verdana" w:cs="Arial"/>
          <w:color w:val="000000" w:themeColor="text1"/>
          <w:lang w:val="es-ES_tradnl"/>
        </w:rPr>
        <w:t xml:space="preserve">) la experiencia; </w:t>
      </w:r>
      <w:proofErr w:type="spellStart"/>
      <w:r w:rsidRPr="00F047DB">
        <w:rPr>
          <w:rFonts w:ascii="Verdana" w:eastAsia="Calibri" w:hAnsi="Verdana" w:cs="Arial"/>
          <w:color w:val="000000" w:themeColor="text1"/>
          <w:lang w:val="es-ES_tradnl"/>
        </w:rPr>
        <w:t>iii</w:t>
      </w:r>
      <w:proofErr w:type="spellEnd"/>
      <w:r w:rsidRPr="00F047DB">
        <w:rPr>
          <w:rFonts w:ascii="Verdana" w:eastAsia="Calibri" w:hAnsi="Verdana" w:cs="Arial"/>
          <w:color w:val="000000" w:themeColor="text1"/>
          <w:lang w:val="es-ES_tradnl"/>
        </w:rPr>
        <w:t xml:space="preserve">) la capacidad financiera y </w:t>
      </w:r>
      <w:proofErr w:type="spellStart"/>
      <w:r w:rsidRPr="00F047DB">
        <w:rPr>
          <w:rFonts w:ascii="Verdana" w:eastAsia="Calibri" w:hAnsi="Verdana" w:cs="Arial"/>
          <w:color w:val="000000" w:themeColor="text1"/>
          <w:lang w:val="es-ES_tradnl"/>
        </w:rPr>
        <w:t>iv</w:t>
      </w:r>
      <w:proofErr w:type="spellEnd"/>
      <w:r w:rsidRPr="00F047DB">
        <w:rPr>
          <w:rFonts w:ascii="Verdana" w:eastAsia="Calibri" w:hAnsi="Verdana" w:cs="Arial"/>
          <w:color w:val="000000" w:themeColor="text1"/>
          <w:lang w:val="es-ES_tradnl"/>
        </w:rPr>
        <w:t xml:space="preserve">) la capacidad de organización. En efecto, la norma citada dispone lo siguiente: </w:t>
      </w:r>
    </w:p>
    <w:p w14:paraId="637FD65B" w14:textId="77777777" w:rsidR="00DE32BB" w:rsidRDefault="00DE32BB" w:rsidP="00DE32BB">
      <w:pPr>
        <w:spacing w:after="0" w:line="240" w:lineRule="auto"/>
        <w:ind w:left="709" w:right="709"/>
        <w:jc w:val="both"/>
        <w:rPr>
          <w:rFonts w:ascii="Verdana" w:eastAsia="Calibri" w:hAnsi="Verdana" w:cs="Arial"/>
          <w:color w:val="000000" w:themeColor="text1"/>
          <w:sz w:val="20"/>
          <w:szCs w:val="20"/>
          <w:lang w:val="es-ES_tradnl"/>
        </w:rPr>
      </w:pPr>
      <w:r w:rsidRPr="00F047DB">
        <w:rPr>
          <w:rFonts w:ascii="Verdana" w:eastAsia="Calibri" w:hAnsi="Verdana" w:cs="Arial"/>
          <w:color w:val="000000" w:themeColor="text1"/>
          <w:sz w:val="20"/>
          <w:szCs w:val="20"/>
          <w:lang w:val="es-ES_tradnl"/>
        </w:rPr>
        <w:t xml:space="preserve">“Artículo 5. De la Selección Objetiva. </w:t>
      </w:r>
    </w:p>
    <w:p w14:paraId="3A4F4D08" w14:textId="77777777" w:rsidR="00DE32BB" w:rsidRDefault="00DE32BB" w:rsidP="00DE32BB">
      <w:pPr>
        <w:spacing w:after="0" w:line="240" w:lineRule="auto"/>
        <w:ind w:left="709" w:right="709"/>
        <w:jc w:val="both"/>
        <w:rPr>
          <w:rFonts w:ascii="Verdana" w:eastAsia="Calibri" w:hAnsi="Verdana" w:cs="Arial"/>
          <w:color w:val="000000" w:themeColor="text1"/>
          <w:sz w:val="20"/>
          <w:szCs w:val="20"/>
          <w:lang w:val="es-ES_tradnl"/>
        </w:rPr>
      </w:pPr>
    </w:p>
    <w:p w14:paraId="0F4AFBEF" w14:textId="77777777" w:rsidR="00DE32BB" w:rsidRPr="00F047DB" w:rsidRDefault="00DE32BB" w:rsidP="00DE32BB">
      <w:pPr>
        <w:spacing w:after="0" w:line="240" w:lineRule="auto"/>
        <w:ind w:left="709" w:right="709"/>
        <w:jc w:val="both"/>
        <w:rPr>
          <w:rFonts w:ascii="Verdana" w:eastAsia="Calibri" w:hAnsi="Verdana" w:cs="Arial"/>
          <w:color w:val="000000" w:themeColor="text1"/>
          <w:sz w:val="20"/>
          <w:szCs w:val="20"/>
          <w:lang w:val="es-ES_tradnl"/>
        </w:rPr>
      </w:pPr>
      <w:r w:rsidRPr="00F047DB">
        <w:rPr>
          <w:rFonts w:ascii="Verdana" w:eastAsia="Calibri" w:hAnsi="Verdana" w:cs="Arial"/>
          <w:color w:val="000000" w:themeColor="text1"/>
          <w:sz w:val="20"/>
          <w:szCs w:val="20"/>
          <w:lang w:val="es-ES_tradnl"/>
        </w:rPr>
        <w:t>[…]</w:t>
      </w:r>
    </w:p>
    <w:p w14:paraId="4AAFB300" w14:textId="77777777" w:rsidR="00DE32BB" w:rsidRDefault="00DE32BB" w:rsidP="00DE32BB">
      <w:pPr>
        <w:spacing w:after="0" w:line="240" w:lineRule="auto"/>
        <w:ind w:left="709" w:right="709"/>
        <w:jc w:val="both"/>
        <w:rPr>
          <w:rFonts w:ascii="Verdana" w:eastAsia="Calibri" w:hAnsi="Verdana" w:cs="Arial"/>
          <w:color w:val="000000" w:themeColor="text1"/>
          <w:sz w:val="20"/>
          <w:szCs w:val="20"/>
          <w:lang w:val="es-ES_tradnl"/>
        </w:rPr>
      </w:pPr>
    </w:p>
    <w:p w14:paraId="5172E329" w14:textId="77777777" w:rsidR="00DE32BB" w:rsidRDefault="00DE32BB" w:rsidP="00DE32BB">
      <w:pPr>
        <w:spacing w:after="0" w:line="240" w:lineRule="auto"/>
        <w:ind w:left="709" w:right="709"/>
        <w:jc w:val="both"/>
        <w:rPr>
          <w:rFonts w:ascii="Verdana" w:eastAsia="Calibri" w:hAnsi="Verdana" w:cs="Arial"/>
          <w:color w:val="000000" w:themeColor="text1"/>
          <w:sz w:val="21"/>
          <w:szCs w:val="21"/>
          <w:lang w:val="es-ES_tradnl"/>
        </w:rPr>
      </w:pPr>
      <w:r w:rsidRPr="00F047DB">
        <w:rPr>
          <w:rFonts w:ascii="Verdana" w:eastAsia="Calibri" w:hAnsi="Verdana" w:cs="Arial"/>
          <w:color w:val="000000" w:themeColor="text1"/>
          <w:sz w:val="20"/>
          <w:szCs w:val="20"/>
          <w:lang w:val="es-ES_tradnl"/>
        </w:rPr>
        <w:t>1. La capacidad jurídica y las condiciones de experiencia, capacidad financiera y de organización de los proponentes serán objeto de verificación de cumplimiento como requisitos habilitantes para la participación en el proceso de selección y no otorgarán puntaje, con excepción de lo previsto en el numeral 4 del presente artículo. La exigencia de tales condiciones debe ser adecuada y proporcional a la naturaleza del contrato a suscribir y a su valor. La verificación documental de las condiciones antes señaladas será efectuada por las Cámaras de Comercio de conformidad con lo establecido en el artículo 6 de la presente ley, de acuerdo con lo cual se expedirá la respectiva certificación”.</w:t>
      </w:r>
    </w:p>
    <w:p w14:paraId="3F8185C5" w14:textId="77777777" w:rsidR="00DE32BB" w:rsidRPr="00767EB7" w:rsidRDefault="00DE32BB" w:rsidP="00DE32BB">
      <w:pPr>
        <w:spacing w:after="0" w:line="240" w:lineRule="auto"/>
        <w:ind w:left="709" w:right="709"/>
        <w:jc w:val="both"/>
        <w:rPr>
          <w:rFonts w:ascii="Verdana" w:eastAsia="Calibri" w:hAnsi="Verdana" w:cs="Arial"/>
          <w:color w:val="000000" w:themeColor="text1"/>
          <w:sz w:val="21"/>
          <w:szCs w:val="21"/>
          <w:lang w:val="es-ES_tradnl"/>
        </w:rPr>
      </w:pPr>
    </w:p>
    <w:p w14:paraId="66F5A34A" w14:textId="77777777" w:rsidR="00DE32BB" w:rsidRPr="00F047DB" w:rsidRDefault="00DE32BB" w:rsidP="00DE32BB">
      <w:pPr>
        <w:spacing w:after="120" w:line="276" w:lineRule="auto"/>
        <w:ind w:firstLine="709"/>
        <w:jc w:val="both"/>
        <w:rPr>
          <w:rFonts w:ascii="Verdana" w:eastAsia="Calibri" w:hAnsi="Verdana" w:cs="Arial"/>
          <w:color w:val="000000" w:themeColor="text1"/>
          <w:lang w:val="es-ES_tradnl"/>
        </w:rPr>
      </w:pPr>
      <w:r w:rsidRPr="00F047DB">
        <w:rPr>
          <w:rFonts w:ascii="Verdana" w:eastAsia="Calibri" w:hAnsi="Verdana" w:cs="Arial"/>
          <w:color w:val="000000" w:themeColor="text1"/>
          <w:lang w:val="es-ES_tradnl"/>
        </w:rPr>
        <w:t xml:space="preserve">La </w:t>
      </w:r>
      <w:r w:rsidRPr="00F047DB">
        <w:rPr>
          <w:rFonts w:ascii="Verdana" w:eastAsia="Calibri" w:hAnsi="Verdana" w:cs="Arial"/>
          <w:bCs/>
          <w:i/>
          <w:iCs/>
          <w:color w:val="000000" w:themeColor="text1"/>
          <w:lang w:val="es-ES_tradnl"/>
        </w:rPr>
        <w:t>capacidad financiera</w:t>
      </w:r>
      <w:r>
        <w:rPr>
          <w:rFonts w:ascii="Verdana" w:eastAsia="Calibri" w:hAnsi="Verdana" w:cs="Arial"/>
          <w:bCs/>
          <w:i/>
          <w:iCs/>
          <w:color w:val="000000" w:themeColor="text1"/>
          <w:lang w:val="es-ES_tradnl"/>
        </w:rPr>
        <w:t xml:space="preserve">, </w:t>
      </w:r>
      <w:r>
        <w:rPr>
          <w:rFonts w:ascii="Verdana" w:eastAsia="Calibri" w:hAnsi="Verdana" w:cs="Arial"/>
          <w:bCs/>
          <w:color w:val="000000" w:themeColor="text1"/>
          <w:lang w:val="es-ES_tradnl"/>
        </w:rPr>
        <w:t>objeto de su consulta,</w:t>
      </w:r>
      <w:r w:rsidRPr="00F047DB">
        <w:rPr>
          <w:rFonts w:ascii="Verdana" w:eastAsia="Calibri" w:hAnsi="Verdana" w:cs="Arial"/>
          <w:i/>
          <w:iCs/>
          <w:color w:val="000000" w:themeColor="text1"/>
          <w:lang w:val="es-ES_tradnl"/>
        </w:rPr>
        <w:t xml:space="preserve"> </w:t>
      </w:r>
      <w:r w:rsidRPr="00F047DB">
        <w:rPr>
          <w:rFonts w:ascii="Verdana" w:eastAsia="Calibri" w:hAnsi="Verdana" w:cs="Arial"/>
          <w:color w:val="000000" w:themeColor="text1"/>
          <w:lang w:val="es-ES_tradnl"/>
        </w:rPr>
        <w:t>se determina a través de la liquidez y el endeudamiento de los proponentes. Busca establecer condiciones mínimas en relación con la “salud financiera” de estos últimos, particularmente, demostrar su aptitud para cumplir oportuna y cabalmente el objeto del contrato. En ese sentido, la capacidad financiera que la entidad requiera para un proceso de contratación debe ser adecuada y proporcional a la naturaleza y al valor del contrato. Además, los requisitos de capacidad financiera deben ser establecidos con fundamento en los Estudios del Sector, los cuales pueden ser elaborados según la “Guía para la Elaboración de Estudios de Sector”, de esta Agencia.</w:t>
      </w:r>
    </w:p>
    <w:p w14:paraId="78864E15" w14:textId="77777777" w:rsidR="00DE32BB" w:rsidRDefault="00DE32BB" w:rsidP="00DE32BB">
      <w:pPr>
        <w:spacing w:after="120" w:line="276" w:lineRule="auto"/>
        <w:ind w:firstLine="709"/>
        <w:jc w:val="both"/>
        <w:rPr>
          <w:rFonts w:ascii="Verdana" w:eastAsia="Calibri" w:hAnsi="Verdana" w:cs="Arial"/>
          <w:color w:val="000000" w:themeColor="text1"/>
          <w:lang w:val="es-ES_tradnl"/>
        </w:rPr>
      </w:pPr>
      <w:r w:rsidRPr="00F047DB">
        <w:rPr>
          <w:rFonts w:ascii="Verdana" w:eastAsia="Calibri" w:hAnsi="Verdana" w:cs="Arial"/>
          <w:color w:val="000000" w:themeColor="text1"/>
          <w:lang w:val="es-ES_tradnl"/>
        </w:rPr>
        <w:t xml:space="preserve">En atención a la naturaleza del contrato a suscribir y su valor, plazo y forma de pago, la entidad debe usar los indicadores que considere adecuados respecto del objeto del proceso de contratación, para lo cual no es suficiente la aplicación mecánica de fórmulas financieras, pues deben conocer cada indicador, sus fórmulas de cálculo y su interpretación. Según el artículo 2.2.1.1.1.5.3 del Decreto 1082 de 2015, son indicadores de la capacidad financiera los siguientes: i) el </w:t>
      </w:r>
      <w:r w:rsidRPr="00F047DB">
        <w:rPr>
          <w:rFonts w:ascii="Verdana" w:eastAsia="Calibri" w:hAnsi="Verdana" w:cs="Arial"/>
          <w:i/>
          <w:iCs/>
          <w:color w:val="000000" w:themeColor="text1"/>
          <w:lang w:val="es-ES_tradnl"/>
        </w:rPr>
        <w:t>índice de liquidez</w:t>
      </w:r>
      <w:r w:rsidRPr="00F047DB">
        <w:rPr>
          <w:rFonts w:ascii="Verdana" w:eastAsia="Calibri" w:hAnsi="Verdana" w:cs="Arial"/>
          <w:color w:val="000000" w:themeColor="text1"/>
          <w:lang w:val="es-ES_tradnl"/>
        </w:rPr>
        <w:t xml:space="preserve">, que corresponde a la división entre el activo corriente y el pasivo corriente, y que determina la capacidad que tiene el proponente para cumplir con sus obligaciones de corto plazo; </w:t>
      </w:r>
      <w:proofErr w:type="spellStart"/>
      <w:r w:rsidRPr="00F047DB">
        <w:rPr>
          <w:rFonts w:ascii="Verdana" w:eastAsia="Calibri" w:hAnsi="Verdana" w:cs="Arial"/>
          <w:color w:val="000000" w:themeColor="text1"/>
          <w:lang w:val="es-ES_tradnl"/>
        </w:rPr>
        <w:t>ii</w:t>
      </w:r>
      <w:proofErr w:type="spellEnd"/>
      <w:r w:rsidRPr="00F047DB">
        <w:rPr>
          <w:rFonts w:ascii="Verdana" w:eastAsia="Calibri" w:hAnsi="Verdana" w:cs="Arial"/>
          <w:color w:val="000000" w:themeColor="text1"/>
          <w:lang w:val="es-ES_tradnl"/>
        </w:rPr>
        <w:t xml:space="preserve">) el </w:t>
      </w:r>
      <w:r w:rsidRPr="00F047DB">
        <w:rPr>
          <w:rFonts w:ascii="Verdana" w:eastAsia="Calibri" w:hAnsi="Verdana" w:cs="Arial"/>
          <w:i/>
          <w:iCs/>
          <w:color w:val="000000" w:themeColor="text1"/>
          <w:lang w:val="es-ES_tradnl"/>
        </w:rPr>
        <w:t>índice de endeudamiento</w:t>
      </w:r>
      <w:r w:rsidRPr="00F047DB">
        <w:rPr>
          <w:rFonts w:ascii="Verdana" w:eastAsia="Calibri" w:hAnsi="Verdana" w:cs="Arial"/>
          <w:color w:val="000000" w:themeColor="text1"/>
          <w:lang w:val="es-ES_tradnl"/>
        </w:rPr>
        <w:t xml:space="preserve">, que se calcula dividiendo el pasivo total por el activo total, el cual determina el grado de endeudamiento en la estructura de financiación del proponente; y </w:t>
      </w:r>
      <w:proofErr w:type="spellStart"/>
      <w:r w:rsidRPr="00F047DB">
        <w:rPr>
          <w:rFonts w:ascii="Verdana" w:eastAsia="Calibri" w:hAnsi="Verdana" w:cs="Arial"/>
          <w:color w:val="000000" w:themeColor="text1"/>
          <w:lang w:val="es-ES_tradnl"/>
        </w:rPr>
        <w:t>iii</w:t>
      </w:r>
      <w:proofErr w:type="spellEnd"/>
      <w:r w:rsidRPr="00F047DB">
        <w:rPr>
          <w:rFonts w:ascii="Verdana" w:eastAsia="Calibri" w:hAnsi="Verdana" w:cs="Arial"/>
          <w:color w:val="000000" w:themeColor="text1"/>
          <w:lang w:val="es-ES_tradnl"/>
        </w:rPr>
        <w:t xml:space="preserve">) la </w:t>
      </w:r>
      <w:r w:rsidRPr="00F047DB">
        <w:rPr>
          <w:rFonts w:ascii="Verdana" w:eastAsia="Calibri" w:hAnsi="Verdana" w:cs="Arial"/>
          <w:i/>
          <w:iCs/>
          <w:color w:val="000000" w:themeColor="text1"/>
          <w:lang w:val="es-ES_tradnl"/>
        </w:rPr>
        <w:t>razón de cobertura de intereses</w:t>
      </w:r>
      <w:r w:rsidRPr="00F047DB">
        <w:rPr>
          <w:rFonts w:ascii="Verdana" w:eastAsia="Calibri" w:hAnsi="Verdana" w:cs="Arial"/>
          <w:color w:val="000000" w:themeColor="text1"/>
          <w:lang w:val="es-ES_tradnl"/>
        </w:rPr>
        <w:t xml:space="preserve">, que es igual a la utilidad operacional, sobre los gastos de intereses, y que refleja la capacidad del proponente para cumplir con sus obligaciones financieras. Adicionalmente, Colombia Compra Eficiente recomienda valorar otro tipo de indicadores como el </w:t>
      </w:r>
      <w:r w:rsidRPr="00F047DB">
        <w:rPr>
          <w:rFonts w:ascii="Verdana" w:eastAsia="Calibri" w:hAnsi="Verdana" w:cs="Arial"/>
          <w:i/>
          <w:iCs/>
          <w:color w:val="000000" w:themeColor="text1"/>
          <w:lang w:val="es-ES_tradnl"/>
        </w:rPr>
        <w:t>capital de trabajo</w:t>
      </w:r>
      <w:r w:rsidRPr="00F047DB">
        <w:rPr>
          <w:rFonts w:ascii="Verdana" w:eastAsia="Calibri" w:hAnsi="Verdana" w:cs="Arial"/>
          <w:color w:val="000000" w:themeColor="text1"/>
          <w:lang w:val="es-ES_tradnl"/>
        </w:rPr>
        <w:t xml:space="preserve">, la </w:t>
      </w:r>
      <w:r w:rsidRPr="00F047DB">
        <w:rPr>
          <w:rFonts w:ascii="Verdana" w:eastAsia="Calibri" w:hAnsi="Verdana" w:cs="Arial"/>
          <w:i/>
          <w:iCs/>
          <w:color w:val="000000" w:themeColor="text1"/>
          <w:lang w:val="es-ES_tradnl"/>
        </w:rPr>
        <w:t>razón de efectivo</w:t>
      </w:r>
      <w:r w:rsidRPr="00F047DB">
        <w:rPr>
          <w:rFonts w:ascii="Verdana" w:eastAsia="Calibri" w:hAnsi="Verdana" w:cs="Arial"/>
          <w:color w:val="000000" w:themeColor="text1"/>
          <w:lang w:val="es-ES_tradnl"/>
        </w:rPr>
        <w:t xml:space="preserve">, la denominada </w:t>
      </w:r>
      <w:r w:rsidRPr="00F047DB">
        <w:rPr>
          <w:rFonts w:ascii="Verdana" w:eastAsia="Calibri" w:hAnsi="Verdana" w:cs="Arial"/>
          <w:i/>
          <w:iCs/>
          <w:color w:val="000000" w:themeColor="text1"/>
          <w:lang w:val="es-ES_tradnl"/>
        </w:rPr>
        <w:t>prueba ácida</w:t>
      </w:r>
      <w:r w:rsidRPr="00F047DB">
        <w:rPr>
          <w:rFonts w:ascii="Verdana" w:eastAsia="Calibri" w:hAnsi="Verdana" w:cs="Arial"/>
          <w:color w:val="000000" w:themeColor="text1"/>
          <w:lang w:val="es-ES_tradnl"/>
        </w:rPr>
        <w:t xml:space="preserve">, la </w:t>
      </w:r>
      <w:r w:rsidRPr="00F047DB">
        <w:rPr>
          <w:rFonts w:ascii="Verdana" w:eastAsia="Calibri" w:hAnsi="Verdana" w:cs="Arial"/>
          <w:i/>
          <w:iCs/>
          <w:color w:val="000000" w:themeColor="text1"/>
          <w:lang w:val="es-ES_tradnl"/>
        </w:rPr>
        <w:t xml:space="preserve">concentración de endeudamiento a corto </w:t>
      </w:r>
      <w:r w:rsidRPr="00F047DB">
        <w:rPr>
          <w:rFonts w:ascii="Verdana" w:eastAsia="Calibri" w:hAnsi="Verdana" w:cs="Arial"/>
          <w:color w:val="000000" w:themeColor="text1"/>
          <w:lang w:val="es-ES_tradnl"/>
        </w:rPr>
        <w:t>y</w:t>
      </w:r>
      <w:r w:rsidRPr="00F047DB">
        <w:rPr>
          <w:rFonts w:ascii="Verdana" w:eastAsia="Calibri" w:hAnsi="Verdana" w:cs="Arial"/>
          <w:i/>
          <w:iCs/>
          <w:color w:val="000000" w:themeColor="text1"/>
          <w:lang w:val="es-ES_tradnl"/>
        </w:rPr>
        <w:t xml:space="preserve"> a largo plazo</w:t>
      </w:r>
      <w:r w:rsidRPr="00F047DB">
        <w:rPr>
          <w:rFonts w:ascii="Verdana" w:eastAsia="Calibri" w:hAnsi="Verdana" w:cs="Arial"/>
          <w:color w:val="000000" w:themeColor="text1"/>
          <w:lang w:val="es-ES_tradnl"/>
        </w:rPr>
        <w:t xml:space="preserve"> y el </w:t>
      </w:r>
      <w:r w:rsidRPr="00F047DB">
        <w:rPr>
          <w:rFonts w:ascii="Verdana" w:eastAsia="Calibri" w:hAnsi="Verdana" w:cs="Arial"/>
          <w:i/>
          <w:iCs/>
          <w:color w:val="000000" w:themeColor="text1"/>
          <w:lang w:val="es-ES_tradnl"/>
        </w:rPr>
        <w:t>patrimonio</w:t>
      </w:r>
      <w:r w:rsidRPr="00F047DB">
        <w:rPr>
          <w:rFonts w:ascii="Verdana" w:eastAsia="Calibri" w:hAnsi="Verdana" w:cs="Arial"/>
          <w:color w:val="000000" w:themeColor="text1"/>
          <w:lang w:val="es-ES_tradnl"/>
        </w:rPr>
        <w:t>.</w:t>
      </w:r>
    </w:p>
    <w:p w14:paraId="536E73AA" w14:textId="77777777" w:rsidR="00DE32BB" w:rsidRDefault="00DE32BB" w:rsidP="00DE32BB">
      <w:pPr>
        <w:spacing w:after="120" w:line="276" w:lineRule="auto"/>
        <w:ind w:firstLine="709"/>
        <w:jc w:val="both"/>
        <w:rPr>
          <w:rFonts w:ascii="Verdana" w:hAnsi="Verdana" w:cs="Arial"/>
          <w:color w:val="000000"/>
          <w:lang w:val="es-ES_tradnl"/>
        </w:rPr>
      </w:pPr>
      <w:r w:rsidRPr="006C0DB0">
        <w:rPr>
          <w:rFonts w:ascii="Verdana" w:hAnsi="Verdana" w:cs="Arial"/>
          <w:color w:val="000000"/>
          <w:lang w:val="es-ES_tradnl"/>
        </w:rPr>
        <w:t>Para lograr la reactivación económica, ante la crisis generada por la pandemia del COVID-19, el gobierno nacional expidió el Decreto 399 de 2021, mediante el cual se establec</w:t>
      </w:r>
      <w:r>
        <w:rPr>
          <w:rFonts w:ascii="Verdana" w:hAnsi="Verdana" w:cs="Arial"/>
          <w:color w:val="000000"/>
          <w:lang w:val="es-ES_tradnl"/>
        </w:rPr>
        <w:t>ieron</w:t>
      </w:r>
      <w:r w:rsidRPr="006C0DB0">
        <w:rPr>
          <w:rFonts w:ascii="Verdana" w:hAnsi="Verdana" w:cs="Arial"/>
          <w:color w:val="000000"/>
          <w:lang w:val="es-ES_tradnl"/>
        </w:rPr>
        <w:t xml:space="preserve"> algunas modificaciones al Decreto 1082 de 2015 frente a la regulación de la información financiera y organizacional prevista en el Registro Único de Proponentes –RUP–. En tal sentido, se indicó –con la modificación posteriormente introducida por el Decreto 579 de 2021– que a partir del 1 de julio de 2021 las Entidades Estatales deberán tener en cuenta los datos sobre la capacidad financiera y organizacional de los últimos tres años, consignada en el RUP</w:t>
      </w:r>
      <w:r w:rsidRPr="006C0DB0">
        <w:rPr>
          <w:rFonts w:ascii="Verdana" w:hAnsi="Verdana" w:cs="Arial"/>
          <w:color w:val="000000"/>
          <w:vertAlign w:val="superscript"/>
          <w:lang w:val="es-ES_tradnl"/>
        </w:rPr>
        <w:footnoteReference w:id="1"/>
      </w:r>
      <w:r w:rsidRPr="006C0DB0">
        <w:rPr>
          <w:rFonts w:ascii="Verdana" w:hAnsi="Verdana" w:cs="Arial"/>
          <w:color w:val="000000"/>
          <w:lang w:val="es-ES_tradnl"/>
        </w:rPr>
        <w:t xml:space="preserve">. </w:t>
      </w:r>
    </w:p>
    <w:p w14:paraId="4F581A4C" w14:textId="77777777" w:rsidR="00DE32BB" w:rsidRPr="00C9273F" w:rsidRDefault="00DE32BB" w:rsidP="00DE32BB">
      <w:pPr>
        <w:spacing w:after="120" w:line="276" w:lineRule="auto"/>
        <w:ind w:firstLine="709"/>
        <w:jc w:val="both"/>
        <w:rPr>
          <w:rFonts w:ascii="Verdana" w:eastAsia="Calibri" w:hAnsi="Verdana" w:cs="Arial"/>
          <w:color w:val="000000" w:themeColor="text1"/>
          <w:lang w:val="es-ES_tradnl"/>
        </w:rPr>
      </w:pPr>
      <w:r w:rsidRPr="006C0DB0">
        <w:rPr>
          <w:rFonts w:ascii="Verdana" w:hAnsi="Verdana" w:cs="Arial"/>
          <w:color w:val="000000"/>
          <w:lang w:val="es-ES_tradnl"/>
        </w:rPr>
        <w:t xml:space="preserve">Así lo justifica textualmente el reglamento mencionado, en sus consideraciones cuando manifiesta que </w:t>
      </w:r>
      <w:r w:rsidRPr="006C0DB0">
        <w:rPr>
          <w:rFonts w:ascii="Verdana" w:hAnsi="Verdana" w:cs="Arial"/>
          <w:i/>
          <w:iCs/>
          <w:color w:val="000000"/>
          <w:lang w:val="es-ES_tradnl"/>
        </w:rPr>
        <w:t>“</w:t>
      </w:r>
      <w:r w:rsidRPr="006C0DB0">
        <w:rPr>
          <w:rFonts w:ascii="Verdana" w:hAnsi="Verdana" w:cs="Arial"/>
          <w:color w:val="000000"/>
          <w:lang w:val="es-ES_tradnl"/>
        </w:rPr>
        <w:t>mediante lo anterior se propenderá por una mayor pluralidad de oferentes en los procedimientos de selección y se fortalecerá la reactivación económica del país, al permitir la participación en estos procedimientos de proponentes que fueron afectados negativamente por la pandemia del COVID-19</w:t>
      </w:r>
      <w:r w:rsidRPr="006C0DB0">
        <w:rPr>
          <w:rFonts w:ascii="Verdana" w:hAnsi="Verdana" w:cs="Arial"/>
          <w:i/>
          <w:iCs/>
        </w:rPr>
        <w:t xml:space="preserve">”. </w:t>
      </w:r>
    </w:p>
    <w:p w14:paraId="01F5B1C6" w14:textId="77777777" w:rsidR="00DE32BB" w:rsidRPr="006C0DB0" w:rsidRDefault="00DE32BB" w:rsidP="00DE32BB">
      <w:pPr>
        <w:spacing w:after="120" w:line="276" w:lineRule="auto"/>
        <w:ind w:firstLine="708"/>
        <w:jc w:val="both"/>
        <w:rPr>
          <w:rFonts w:ascii="Verdana" w:hAnsi="Verdana" w:cs="Arial"/>
          <w:i/>
          <w:iCs/>
          <w:color w:val="000000"/>
          <w:lang w:val="es-ES_tradnl"/>
        </w:rPr>
      </w:pPr>
      <w:r w:rsidRPr="006C0DB0">
        <w:rPr>
          <w:rFonts w:ascii="Verdana" w:hAnsi="Verdana" w:cs="Arial"/>
          <w:color w:val="000000"/>
          <w:lang w:val="es-ES_tradnl"/>
        </w:rPr>
        <w:t>En tal sentido, el artículo 4 del Decreto 399 de 2021 adicionó dos parágrafos transitorios al artículo 2.2.1.1.1.5.2 del Decreto 1082 de 2015, que a su vez fueron sustituidos por el artículo 1 del Decreto 579 del 31 de mayo de 2021</w:t>
      </w:r>
      <w:r w:rsidRPr="006C0DB0">
        <w:rPr>
          <w:rFonts w:ascii="Verdana" w:hAnsi="Verdana" w:cs="Arial"/>
          <w:color w:val="000000"/>
          <w:vertAlign w:val="superscript"/>
          <w:lang w:val="es-ES_tradnl"/>
        </w:rPr>
        <w:footnoteReference w:id="2"/>
      </w:r>
      <w:r w:rsidRPr="006C0DB0">
        <w:rPr>
          <w:rFonts w:ascii="Verdana" w:hAnsi="Verdana" w:cs="Arial"/>
          <w:color w:val="000000"/>
          <w:lang w:val="es-ES_tradnl"/>
        </w:rPr>
        <w:t xml:space="preserve"> y posteriormente se adicionó un parágrafo transitorio adicional al artículo 2.2.1.1.1.5.2 del Decreto 1082 de 2015 por el artículo 1 del </w:t>
      </w:r>
      <w:r w:rsidRPr="006C0DB0">
        <w:rPr>
          <w:rFonts w:ascii="Verdana" w:hAnsi="Verdana" w:cs="Arial"/>
        </w:rPr>
        <w:t>Decreto 1041 de 2022.</w:t>
      </w:r>
    </w:p>
    <w:p w14:paraId="49B1BC71" w14:textId="77777777" w:rsidR="00DE32BB" w:rsidRPr="006C0DB0" w:rsidRDefault="00DE32BB" w:rsidP="00DE32BB">
      <w:pPr>
        <w:spacing w:after="120" w:line="276" w:lineRule="auto"/>
        <w:ind w:firstLine="709"/>
        <w:jc w:val="both"/>
        <w:rPr>
          <w:rFonts w:ascii="Verdana" w:hAnsi="Verdana" w:cs="Arial"/>
          <w:i/>
          <w:iCs/>
          <w:color w:val="000000"/>
          <w:lang w:val="es-ES_tradnl"/>
        </w:rPr>
      </w:pPr>
      <w:r w:rsidRPr="006C0DB0">
        <w:rPr>
          <w:rFonts w:ascii="Verdana" w:hAnsi="Verdana" w:cs="Arial"/>
          <w:color w:val="000000"/>
          <w:lang w:val="es-ES_tradnl"/>
        </w:rPr>
        <w:t xml:space="preserve">El </w:t>
      </w:r>
      <w:r w:rsidRPr="006C0DB0">
        <w:rPr>
          <w:rFonts w:ascii="Verdana" w:hAnsi="Verdana" w:cs="Arial"/>
          <w:i/>
          <w:iCs/>
          <w:color w:val="000000"/>
          <w:lang w:val="es-ES_tradnl"/>
        </w:rPr>
        <w:t>parágrafo transitorio 1</w:t>
      </w:r>
      <w:r w:rsidRPr="006C0DB0">
        <w:rPr>
          <w:rFonts w:ascii="Verdana" w:hAnsi="Verdana" w:cs="Arial"/>
          <w:color w:val="000000"/>
          <w:lang w:val="es-ES_tradnl"/>
        </w:rPr>
        <w:t xml:space="preserve"> dispone que desde el 1 de junio de 2021 los interesados en inscribirse en el RUP deben reportar la información contable y los estados financieros de los tres últimos años fiscales. Sin embargo, si el interesado no tiene una antigüedad de tres años, podrá acreditar dicha información desde el primer cierre fiscal. Dicho parágrafo además permite que el proponente con inscripción activa y vigente en el RUP actualice la información del 2018 y/o 2019, por no contar con los datos sobre la capacidad financiera y organizacional de estos años, de manera gratuita, durante el mes de junio, por una sola vez. En todo caso, aclara que, si el proponente tiene registrada la información de dichos años en la cámara de comercio, no deberá presentar esta información.</w:t>
      </w:r>
    </w:p>
    <w:p w14:paraId="429707C8" w14:textId="77777777" w:rsidR="00DE32BB" w:rsidRPr="006C0DB0" w:rsidRDefault="00DE32BB" w:rsidP="00DE32BB">
      <w:pPr>
        <w:spacing w:after="120" w:line="276" w:lineRule="auto"/>
        <w:ind w:firstLine="709"/>
        <w:jc w:val="both"/>
        <w:rPr>
          <w:rFonts w:ascii="Verdana" w:hAnsi="Verdana" w:cs="Arial"/>
          <w:i/>
          <w:color w:val="000000"/>
          <w:lang w:val="es-ES_tradnl"/>
        </w:rPr>
      </w:pPr>
      <w:r w:rsidRPr="006C0DB0">
        <w:rPr>
          <w:rFonts w:ascii="Verdana" w:hAnsi="Verdana" w:cs="Arial"/>
          <w:color w:val="000000"/>
          <w:lang w:val="es-ES_tradnl"/>
        </w:rPr>
        <w:t xml:space="preserve">El </w:t>
      </w:r>
      <w:r w:rsidRPr="006C0DB0">
        <w:rPr>
          <w:rFonts w:ascii="Verdana" w:hAnsi="Verdana" w:cs="Arial"/>
          <w:i/>
          <w:iCs/>
          <w:color w:val="000000"/>
          <w:lang w:val="es-ES_tradnl"/>
        </w:rPr>
        <w:t>parágrafo transitorio 2</w:t>
      </w:r>
      <w:r w:rsidRPr="006C0DB0">
        <w:rPr>
          <w:rFonts w:ascii="Verdana" w:hAnsi="Verdana" w:cs="Arial"/>
          <w:color w:val="000000"/>
          <w:lang w:val="es-ES_tradnl"/>
        </w:rPr>
        <w:t xml:space="preserve"> señala que, en el año 2022, para la inscripción en el RUP o para su renovación, el interesado debe reportar la información contable y los estados financieros de los tres últimos años fiscales. Además, reitera que, si aquel no cuenta con la información financiera de dichos años, por no tener la antigüedad suficiente, podrá aportar la información de su primer cierre fiscal. </w:t>
      </w:r>
    </w:p>
    <w:p w14:paraId="37124E23" w14:textId="77777777" w:rsidR="00DE32BB" w:rsidRPr="006C0DB0" w:rsidRDefault="00DE32BB" w:rsidP="00DE32BB">
      <w:pPr>
        <w:spacing w:after="120" w:line="276" w:lineRule="auto"/>
        <w:ind w:firstLine="709"/>
        <w:jc w:val="both"/>
        <w:rPr>
          <w:rFonts w:ascii="Verdana" w:hAnsi="Verdana" w:cs="Arial"/>
          <w:i/>
          <w:color w:val="000000"/>
          <w:lang w:val="es-ES_tradnl"/>
        </w:rPr>
      </w:pPr>
      <w:r w:rsidRPr="006C0DB0">
        <w:rPr>
          <w:rFonts w:ascii="Verdana" w:hAnsi="Verdana" w:cs="Arial"/>
          <w:color w:val="000000"/>
          <w:lang w:val="es-ES_tradnl"/>
        </w:rPr>
        <w:t xml:space="preserve">En igual sentido, </w:t>
      </w:r>
      <w:r w:rsidRPr="006C0DB0">
        <w:rPr>
          <w:rFonts w:ascii="Verdana" w:hAnsi="Verdana" w:cs="Arial"/>
          <w:i/>
          <w:iCs/>
          <w:color w:val="000000"/>
          <w:lang w:val="es-ES_tradnl"/>
        </w:rPr>
        <w:t xml:space="preserve">el parágrafo transitorio 3 </w:t>
      </w:r>
      <w:r w:rsidRPr="006C0DB0">
        <w:rPr>
          <w:rFonts w:ascii="Verdana" w:hAnsi="Verdana" w:cs="Arial"/>
          <w:color w:val="000000"/>
          <w:lang w:val="es-ES_tradnl"/>
        </w:rPr>
        <w:t xml:space="preserve">–incluido por el </w:t>
      </w:r>
      <w:r w:rsidRPr="006C0DB0">
        <w:rPr>
          <w:rFonts w:ascii="Verdana" w:hAnsi="Verdana" w:cs="Arial"/>
        </w:rPr>
        <w:t>Decreto 1041 de 2022–</w:t>
      </w:r>
      <w:r w:rsidRPr="006C0DB0">
        <w:rPr>
          <w:rFonts w:ascii="Verdana" w:hAnsi="Verdana" w:cs="Arial"/>
          <w:i/>
          <w:iCs/>
        </w:rPr>
        <w:t xml:space="preserve"> </w:t>
      </w:r>
      <w:r w:rsidRPr="006C0DB0">
        <w:rPr>
          <w:rFonts w:ascii="Verdana" w:hAnsi="Verdana" w:cs="Arial"/>
        </w:rPr>
        <w:t xml:space="preserve">mantuvo la anterior medida para el año 2023, permitiendo que para </w:t>
      </w:r>
      <w:r w:rsidRPr="006C0DB0">
        <w:rPr>
          <w:rFonts w:ascii="Verdana" w:hAnsi="Verdana" w:cs="Arial"/>
          <w:color w:val="000000"/>
          <w:lang w:val="es-ES_tradnl"/>
        </w:rPr>
        <w:t xml:space="preserve">la inscripción en el RUP o para su renovación, el interesado pueda reportar la información contable y los estados financieros de los tres últimos años fiscales. </w:t>
      </w:r>
    </w:p>
    <w:p w14:paraId="544C5D52" w14:textId="77777777" w:rsidR="00DE32BB" w:rsidRPr="006C0DB0" w:rsidRDefault="00DE32BB" w:rsidP="00DE32BB">
      <w:pPr>
        <w:spacing w:after="120" w:line="276" w:lineRule="auto"/>
        <w:ind w:firstLine="709"/>
        <w:jc w:val="both"/>
        <w:rPr>
          <w:rFonts w:ascii="Verdana" w:hAnsi="Verdana" w:cs="Arial"/>
          <w:color w:val="000000"/>
          <w:lang w:val="es-ES_tradnl"/>
        </w:rPr>
      </w:pPr>
      <w:r w:rsidRPr="006C0DB0">
        <w:rPr>
          <w:rFonts w:ascii="Verdana" w:hAnsi="Verdana" w:cs="Arial"/>
          <w:color w:val="000000"/>
          <w:lang w:val="es-ES_tradnl"/>
        </w:rPr>
        <w:t xml:space="preserve">Por otra parte, el artículo 5 del Decreto 399 de 2021 adicionó dos parágrafos transitorios al artículo 2.2.1.1.1.5.6 del Decreto 1082 de 2015, que regula el contenido del certificado del RUP. El primer parágrafo transitorio, que fue posteriormente sustituido por el artículo 2 del Decreto 579 de 2021, establece que </w:t>
      </w:r>
      <w:r w:rsidRPr="006C0DB0">
        <w:rPr>
          <w:rFonts w:ascii="Verdana" w:hAnsi="Verdana" w:cs="Arial"/>
          <w:i/>
          <w:iCs/>
          <w:color w:val="000000"/>
          <w:lang w:val="es-ES_tradnl"/>
        </w:rPr>
        <w:t>“</w:t>
      </w:r>
      <w:r w:rsidRPr="006C0DB0">
        <w:rPr>
          <w:rFonts w:ascii="Verdana" w:hAnsi="Verdana" w:cs="Arial"/>
          <w:color w:val="000000"/>
          <w:lang w:val="es-ES_tradnl"/>
        </w:rPr>
        <w:t>[…]</w:t>
      </w:r>
      <w:r w:rsidRPr="006C0DB0">
        <w:rPr>
          <w:rFonts w:ascii="Verdana" w:hAnsi="Verdana" w:cs="Arial"/>
          <w:i/>
          <w:iCs/>
          <w:color w:val="000000"/>
          <w:lang w:val="es-ES_tradnl"/>
        </w:rPr>
        <w:t xml:space="preserve"> </w:t>
      </w:r>
      <w:r w:rsidRPr="006C0DB0">
        <w:rPr>
          <w:rFonts w:ascii="Verdana" w:hAnsi="Verdana" w:cs="Arial"/>
          <w:color w:val="000000"/>
          <w:lang w:val="es-ES_tradnl"/>
        </w:rPr>
        <w:t>los requisitos e indicadores de la capacidad financiera y organizacional de que trata el literal (b) del artículo 2.2.1.1.1.5.6. del Decreto 1082 de 2015 corresponderán a los últimos tres (3) años fiscales anteriores a la inscripción o renovación, dependiendo de la antigüedad del proponente</w:t>
      </w:r>
      <w:r w:rsidRPr="006C0DB0">
        <w:rPr>
          <w:rFonts w:ascii="Verdana" w:hAnsi="Verdana" w:cs="Arial"/>
          <w:i/>
          <w:iCs/>
          <w:color w:val="000000"/>
          <w:lang w:val="es-ES_tradnl"/>
        </w:rPr>
        <w:t>”</w:t>
      </w:r>
      <w:r w:rsidRPr="006C0DB0">
        <w:rPr>
          <w:rFonts w:ascii="Verdana" w:hAnsi="Verdana" w:cs="Arial"/>
          <w:color w:val="000000"/>
          <w:lang w:val="es-ES_tradnl"/>
        </w:rPr>
        <w:t>. Para esto, las cámaras de comercio, a partir del 1 de julio de 2021, “certificarán la información de que tratan los parágrafos transitorios 1 y 2 del artículo 2.2.1.1.1.5.2. de este Decreto</w:t>
      </w:r>
      <w:r w:rsidRPr="006C0DB0">
        <w:rPr>
          <w:rFonts w:ascii="Verdana" w:hAnsi="Verdana" w:cs="Arial"/>
          <w:i/>
          <w:iCs/>
          <w:color w:val="000000"/>
          <w:lang w:val="es-ES_tradnl"/>
        </w:rPr>
        <w:t>”.</w:t>
      </w:r>
      <w:r w:rsidRPr="006C0DB0">
        <w:rPr>
          <w:rFonts w:ascii="Verdana" w:hAnsi="Verdana" w:cs="Arial"/>
          <w:color w:val="000000"/>
          <w:lang w:val="es-ES_tradnl"/>
        </w:rPr>
        <w:t xml:space="preserve"> Los requisitos e indicadores de la capacidad financiera consagrados en el literal b) del artículo 2.2.1.1.1.5.6 del Decreto 1082 de 2015 son: i) el índice de liquidez, </w:t>
      </w:r>
      <w:proofErr w:type="spellStart"/>
      <w:r w:rsidRPr="006C0DB0">
        <w:rPr>
          <w:rFonts w:ascii="Verdana" w:hAnsi="Verdana" w:cs="Arial"/>
          <w:color w:val="000000"/>
          <w:lang w:val="es-ES_tradnl"/>
        </w:rPr>
        <w:t>ii</w:t>
      </w:r>
      <w:proofErr w:type="spellEnd"/>
      <w:r w:rsidRPr="006C0DB0">
        <w:rPr>
          <w:rFonts w:ascii="Verdana" w:hAnsi="Verdana" w:cs="Arial"/>
          <w:color w:val="000000"/>
          <w:lang w:val="es-ES_tradnl"/>
        </w:rPr>
        <w:t xml:space="preserve">) el índice de endeudamiento y </w:t>
      </w:r>
      <w:proofErr w:type="spellStart"/>
      <w:r w:rsidRPr="006C0DB0">
        <w:rPr>
          <w:rFonts w:ascii="Verdana" w:hAnsi="Verdana" w:cs="Arial"/>
          <w:color w:val="000000"/>
          <w:lang w:val="es-ES_tradnl"/>
        </w:rPr>
        <w:t>iii</w:t>
      </w:r>
      <w:proofErr w:type="spellEnd"/>
      <w:r w:rsidRPr="006C0DB0">
        <w:rPr>
          <w:rFonts w:ascii="Verdana" w:hAnsi="Verdana" w:cs="Arial"/>
          <w:color w:val="000000"/>
          <w:lang w:val="es-ES_tradnl"/>
        </w:rPr>
        <w:t xml:space="preserve">) la razón de cobertura de intereses. Los requisitos e indicadores de capacidad organizacional son: i) la rentabilidad del patrimonio y </w:t>
      </w:r>
      <w:proofErr w:type="spellStart"/>
      <w:r w:rsidRPr="006C0DB0">
        <w:rPr>
          <w:rFonts w:ascii="Verdana" w:hAnsi="Verdana" w:cs="Arial"/>
          <w:color w:val="000000"/>
          <w:lang w:val="es-ES_tradnl"/>
        </w:rPr>
        <w:t>ii</w:t>
      </w:r>
      <w:proofErr w:type="spellEnd"/>
      <w:r w:rsidRPr="006C0DB0">
        <w:rPr>
          <w:rFonts w:ascii="Verdana" w:hAnsi="Verdana" w:cs="Arial"/>
          <w:color w:val="000000"/>
          <w:lang w:val="es-ES_tradnl"/>
        </w:rPr>
        <w:t>) la rentabilidad del activo.</w:t>
      </w:r>
    </w:p>
    <w:p w14:paraId="10A4ED02" w14:textId="77777777" w:rsidR="00DE32BB" w:rsidRPr="006C0DB0" w:rsidRDefault="00DE32BB" w:rsidP="00DE32BB">
      <w:pPr>
        <w:spacing w:after="120" w:line="276" w:lineRule="auto"/>
        <w:ind w:firstLine="709"/>
        <w:jc w:val="both"/>
        <w:rPr>
          <w:rFonts w:ascii="Verdana" w:hAnsi="Verdana" w:cs="Arial"/>
          <w:i/>
          <w:iCs/>
          <w:color w:val="000000"/>
          <w:lang w:val="es-ES_tradnl"/>
        </w:rPr>
      </w:pPr>
      <w:r w:rsidRPr="006C0DB0">
        <w:rPr>
          <w:rFonts w:ascii="Verdana" w:hAnsi="Verdana" w:cs="Arial"/>
          <w:color w:val="000000"/>
          <w:lang w:val="es-ES_tradnl"/>
        </w:rPr>
        <w:t xml:space="preserve">Posteriormente, el segundo parágrafo transitorio del artículo 2.2.1.1.1.5.6 del Decreto 1082 de 2015, modificado por el artículo 2 del Decreto 1041 del 21 de junio 2022 dispone que </w:t>
      </w:r>
      <w:r w:rsidRPr="006C0DB0">
        <w:rPr>
          <w:rFonts w:ascii="Verdana" w:hAnsi="Verdana" w:cs="Arial"/>
          <w:i/>
          <w:iCs/>
          <w:color w:val="000000"/>
          <w:lang w:val="es-ES_tradnl"/>
        </w:rPr>
        <w:t>“</w:t>
      </w:r>
      <w:r w:rsidRPr="006C0DB0">
        <w:rPr>
          <w:rFonts w:ascii="Verdana" w:hAnsi="Verdana" w:cs="Arial"/>
          <w:color w:val="000000"/>
          <w:lang w:val="es-ES_tradnl"/>
        </w:rPr>
        <w:t xml:space="preserve">El proponente que cuente con inscripción activa y vigente en el RUP, que reporte la información de la capacidad financiera y organizacional, señalada en los parágrafos transitorios 1, 2 </w:t>
      </w:r>
      <w:r>
        <w:rPr>
          <w:rFonts w:ascii="Verdana" w:hAnsi="Verdana" w:cs="Arial"/>
          <w:color w:val="000000"/>
          <w:lang w:val="es-ES_tradnl"/>
        </w:rPr>
        <w:t>y</w:t>
      </w:r>
      <w:r w:rsidRPr="006C0DB0">
        <w:rPr>
          <w:rFonts w:ascii="Verdana" w:hAnsi="Verdana" w:cs="Arial"/>
          <w:color w:val="000000"/>
          <w:lang w:val="es-ES_tradnl"/>
        </w:rPr>
        <w:t xml:space="preserve"> 3 del artículo 2.2.1.1.1.5.2 del presente Decreto, deberá presentarla en el formato unificado que las cámaras de comercio dispongan para tal efecto</w:t>
      </w:r>
      <w:r w:rsidRPr="006C0DB0">
        <w:rPr>
          <w:rFonts w:ascii="Verdana" w:hAnsi="Verdana" w:cs="Arial"/>
          <w:i/>
          <w:iCs/>
          <w:color w:val="000000"/>
          <w:lang w:val="es-ES_tradnl"/>
        </w:rPr>
        <w:t xml:space="preserve">”. </w:t>
      </w:r>
      <w:r w:rsidRPr="006C0DB0">
        <w:rPr>
          <w:rFonts w:ascii="Verdana" w:hAnsi="Verdana" w:cs="Arial"/>
          <w:color w:val="000000"/>
          <w:lang w:val="es-ES_tradnl"/>
        </w:rPr>
        <w:t>Como se observa, las normas anteriormente transcritas disponen que:</w:t>
      </w:r>
    </w:p>
    <w:p w14:paraId="22250D84" w14:textId="77777777" w:rsidR="00DE32BB" w:rsidRPr="006C0DB0" w:rsidRDefault="00DE32BB" w:rsidP="00DE32BB">
      <w:pPr>
        <w:spacing w:after="120" w:line="276" w:lineRule="auto"/>
        <w:ind w:firstLine="708"/>
        <w:jc w:val="both"/>
        <w:rPr>
          <w:rFonts w:ascii="Verdana" w:hAnsi="Verdana" w:cs="Arial"/>
          <w:i/>
          <w:iCs/>
          <w:color w:val="000000"/>
          <w:lang w:val="es-ES_tradnl"/>
        </w:rPr>
      </w:pPr>
      <w:r w:rsidRPr="006C0DB0">
        <w:rPr>
          <w:rFonts w:ascii="Verdana" w:hAnsi="Verdana" w:cs="Arial"/>
          <w:color w:val="000000"/>
          <w:lang w:val="es-ES_tradnl"/>
        </w:rPr>
        <w:t>i) A partir del 1 de julio de 2021 las Entidades Estatales “[…] establecerán y evaluarán los requisitos habilitantes de capacidad financiera y organizacional teniendo en cuenta la información que conste en el Registro Único de Proponentes”. Es decir, las Entidades Estatales deben tener en cuenta la información sobre la capacidad financiera y organizacional “correspondiente a los últimos tres (3) años fiscales anteriores al respectivo acto” o “desde su primer cierre fiscal”, según el caso.</w:t>
      </w:r>
    </w:p>
    <w:p w14:paraId="028445BE" w14:textId="77777777" w:rsidR="00DE32BB" w:rsidRPr="006C0DB0" w:rsidRDefault="00DE32BB" w:rsidP="00DE32BB">
      <w:pPr>
        <w:spacing w:after="120" w:line="276" w:lineRule="auto"/>
        <w:ind w:firstLine="709"/>
        <w:jc w:val="both"/>
        <w:rPr>
          <w:rFonts w:ascii="Verdana" w:hAnsi="Verdana" w:cs="Arial"/>
          <w:i/>
          <w:color w:val="000000"/>
          <w:lang w:val="es-ES_tradnl"/>
        </w:rPr>
      </w:pPr>
      <w:proofErr w:type="spellStart"/>
      <w:r w:rsidRPr="006C0DB0">
        <w:rPr>
          <w:rFonts w:ascii="Verdana" w:hAnsi="Verdana" w:cs="Arial"/>
          <w:color w:val="000000"/>
          <w:lang w:val="es-ES_tradnl"/>
        </w:rPr>
        <w:t>ii</w:t>
      </w:r>
      <w:proofErr w:type="spellEnd"/>
      <w:r w:rsidRPr="006C0DB0">
        <w:rPr>
          <w:rFonts w:ascii="Verdana" w:hAnsi="Verdana" w:cs="Arial"/>
          <w:color w:val="000000"/>
          <w:lang w:val="es-ES_tradnl"/>
        </w:rPr>
        <w:t>) Las Entidades Estatales conservan su discrecionalidad administrativa para determinar los requisitos habilitantes de capacidad financiera y organizacional, pero “En todo caso, se establecerán indicadores proporcionales al procedimiento de contratación”. El principio de proporcionalidad exige que dichos indicadores sean razonables, o sea, que guarden congruencia con el objeto, alcance, valor y plazo del contrato, que sean necesarios y no restrinjan injustificadamente la libre concurrencia.</w:t>
      </w:r>
    </w:p>
    <w:p w14:paraId="277433C3" w14:textId="77777777" w:rsidR="00DE32BB" w:rsidRPr="006C0DB0" w:rsidRDefault="00DE32BB" w:rsidP="00DE32BB">
      <w:pPr>
        <w:spacing w:after="120" w:line="276" w:lineRule="auto"/>
        <w:ind w:firstLine="708"/>
        <w:jc w:val="both"/>
        <w:rPr>
          <w:rFonts w:ascii="Verdana" w:hAnsi="Verdana" w:cs="Arial"/>
          <w:i/>
          <w:color w:val="000000"/>
          <w:lang w:val="es-ES_tradnl"/>
        </w:rPr>
      </w:pPr>
      <w:proofErr w:type="spellStart"/>
      <w:r w:rsidRPr="006C0DB0">
        <w:rPr>
          <w:rFonts w:ascii="Verdana" w:hAnsi="Verdana" w:cs="Arial"/>
          <w:color w:val="000000"/>
          <w:lang w:val="es-ES_tradnl"/>
        </w:rPr>
        <w:t>iii</w:t>
      </w:r>
      <w:proofErr w:type="spellEnd"/>
      <w:r w:rsidRPr="006C0DB0">
        <w:rPr>
          <w:rFonts w:ascii="Verdana" w:hAnsi="Verdana" w:cs="Arial"/>
          <w:color w:val="000000"/>
          <w:lang w:val="es-ES_tradnl"/>
        </w:rPr>
        <w:t>) En los procesos de selección cuyo acto administrativo de apertura o invitación se publique a partir del 1 de julio de 2021 las Entidades Estatales deberán tener en cuenta la información financiera y organizacional que esté vigente y en firme en el RUP.</w:t>
      </w:r>
    </w:p>
    <w:p w14:paraId="2FF279FD" w14:textId="77777777" w:rsidR="00DE32BB" w:rsidRPr="006C0DB0" w:rsidRDefault="00DE32BB" w:rsidP="00DE32BB">
      <w:pPr>
        <w:spacing w:after="120" w:line="276" w:lineRule="auto"/>
        <w:ind w:firstLine="708"/>
        <w:jc w:val="both"/>
        <w:rPr>
          <w:rFonts w:ascii="Verdana" w:hAnsi="Verdana" w:cs="Arial"/>
          <w:i/>
          <w:iCs/>
          <w:color w:val="000000"/>
          <w:lang w:val="es-ES_tradnl"/>
        </w:rPr>
      </w:pPr>
      <w:proofErr w:type="spellStart"/>
      <w:r w:rsidRPr="006C0DB0">
        <w:rPr>
          <w:rFonts w:ascii="Verdana" w:hAnsi="Verdana" w:cs="Arial"/>
          <w:color w:val="000000"/>
          <w:lang w:val="es-ES_tradnl"/>
        </w:rPr>
        <w:t>iv</w:t>
      </w:r>
      <w:proofErr w:type="spellEnd"/>
      <w:r w:rsidRPr="006C0DB0">
        <w:rPr>
          <w:rFonts w:ascii="Verdana" w:hAnsi="Verdana" w:cs="Arial"/>
          <w:color w:val="000000"/>
          <w:lang w:val="es-ES_tradnl"/>
        </w:rPr>
        <w:t xml:space="preserve">) A partir de la fecha establecida anteriormente, la evaluación de los indicadores de capacidad financiera –índice de liquidez, índice de endeudamiento y razón de cobertura de intereses– y organizacional –rentabilidad del patrimonio y rentabilidad del activo–, se deberá realizar por parte de las entidades estatales “teniendo en cuenta </w:t>
      </w:r>
      <w:r w:rsidRPr="006C0DB0">
        <w:rPr>
          <w:rFonts w:ascii="Verdana" w:hAnsi="Verdana" w:cs="Arial"/>
          <w:i/>
          <w:iCs/>
          <w:color w:val="000000"/>
          <w:lang w:val="es-ES_tradnl"/>
        </w:rPr>
        <w:t>el mejor año fiscal que se refleje en el registro</w:t>
      </w:r>
      <w:r w:rsidRPr="006C0DB0">
        <w:rPr>
          <w:rFonts w:ascii="Verdana" w:hAnsi="Verdana" w:cs="Arial"/>
          <w:color w:val="000000"/>
          <w:lang w:val="es-ES_tradnl"/>
        </w:rPr>
        <w:t xml:space="preserve"> de cada proponente” (Énfasis fuera de texto). </w:t>
      </w:r>
    </w:p>
    <w:p w14:paraId="043EA798" w14:textId="77777777" w:rsidR="00DE32BB" w:rsidRPr="006C0DB0" w:rsidRDefault="00DE32BB" w:rsidP="00DE32BB">
      <w:pPr>
        <w:spacing w:after="120" w:line="276" w:lineRule="auto"/>
        <w:ind w:firstLine="708"/>
        <w:jc w:val="both"/>
        <w:rPr>
          <w:rFonts w:ascii="Verdana" w:hAnsi="Verdana" w:cs="Arial"/>
          <w:i/>
          <w:iCs/>
          <w:color w:val="000000"/>
          <w:lang w:val="es-ES_tradnl"/>
        </w:rPr>
      </w:pPr>
      <w:r w:rsidRPr="006C0DB0">
        <w:rPr>
          <w:rFonts w:ascii="Verdana" w:hAnsi="Verdana" w:cs="Arial"/>
          <w:color w:val="000000"/>
          <w:lang w:val="es-ES_tradnl"/>
        </w:rPr>
        <w:t>v) Dichas medidas se mant</w:t>
      </w:r>
      <w:r>
        <w:rPr>
          <w:rFonts w:ascii="Verdana" w:hAnsi="Verdana" w:cs="Arial"/>
          <w:color w:val="000000"/>
          <w:lang w:val="es-ES_tradnl"/>
        </w:rPr>
        <w:t xml:space="preserve">uvieron </w:t>
      </w:r>
      <w:r w:rsidRPr="006C0DB0">
        <w:rPr>
          <w:rFonts w:ascii="Verdana" w:hAnsi="Verdana" w:cs="Arial"/>
          <w:color w:val="000000"/>
          <w:lang w:val="es-ES_tradnl"/>
        </w:rPr>
        <w:t>hasta el año 2023 en virtud de lo consagrado en el Decreto 1041 de 2022.</w:t>
      </w:r>
    </w:p>
    <w:p w14:paraId="72B02D09" w14:textId="77777777" w:rsidR="00DE32BB" w:rsidRPr="006C0DB0" w:rsidRDefault="00DE32BB" w:rsidP="00DE32BB">
      <w:pPr>
        <w:spacing w:after="120" w:line="276" w:lineRule="auto"/>
        <w:ind w:firstLine="709"/>
        <w:jc w:val="both"/>
        <w:rPr>
          <w:rFonts w:ascii="Verdana" w:hAnsi="Verdana" w:cs="Arial"/>
          <w:color w:val="000000"/>
          <w:lang w:val="es-ES_tradnl"/>
        </w:rPr>
      </w:pPr>
      <w:r w:rsidRPr="006C0DB0">
        <w:rPr>
          <w:rFonts w:ascii="Verdana" w:hAnsi="Verdana" w:cs="Arial"/>
          <w:color w:val="000000"/>
          <w:lang w:val="es-ES_tradnl"/>
        </w:rPr>
        <w:t xml:space="preserve">Ahora bien, teniendo en cuenta que el RUP debe contener la información financiera y organizacional del proponente correspondiente a los últimos tres años o al período transcurrido desde su primer cierre fiscal, según el caso, al momento de evaluar tales indicadores las Entidades Estatales deberán tener en cuenta “el mejor año fiscal” que refleje el registro. Por “mejor año fiscal” se interpreta la información relativa al año apreciada en su conjunto, o sea, de manera integral, que permita al proponente cumplir los requisitos habilitantes de capacidad financiera y organizacional. Dicho de otro modo, cuando el parágrafo transitorio del artículo 2.2.1.1.1.6.2, adicionado por el artículo 6 del Decreto 399 de 2021, sustituido por el artículo 3 del Decreto 579 de 2021 y reiterado por el </w:t>
      </w:r>
      <w:r w:rsidRPr="006C0DB0">
        <w:rPr>
          <w:rFonts w:ascii="Verdana" w:hAnsi="Verdana" w:cs="Arial"/>
        </w:rPr>
        <w:t>Decreto 1041 de 2022</w:t>
      </w:r>
      <w:r w:rsidRPr="006C0DB0">
        <w:rPr>
          <w:rFonts w:ascii="Verdana" w:hAnsi="Verdana" w:cs="Arial"/>
          <w:color w:val="000000"/>
          <w:lang w:val="es-ES_tradnl"/>
        </w:rPr>
        <w:t>, establece que “[…] las Entidades Estatales evaluarán estos indicadores, teniendo en cuenta el mejor año fiscal que se refleje en el registro de cada proponente</w:t>
      </w:r>
      <w:r w:rsidRPr="006C0DB0">
        <w:rPr>
          <w:rFonts w:ascii="Verdana" w:hAnsi="Verdana" w:cs="Arial"/>
          <w:i/>
          <w:iCs/>
          <w:color w:val="000000"/>
          <w:lang w:val="es-ES_tradnl"/>
        </w:rPr>
        <w:t xml:space="preserve">”, </w:t>
      </w:r>
      <w:r w:rsidRPr="006C0DB0">
        <w:rPr>
          <w:rFonts w:ascii="Verdana" w:hAnsi="Verdana" w:cs="Arial"/>
          <w:color w:val="000000"/>
          <w:lang w:val="es-ES_tradnl"/>
        </w:rPr>
        <w:t>significa que deben examinar los años certificados en el RUP y escoger para ser evaluado el que refleje mejores indicadores de capacidad financiera y organizacional, que permita al proponente cumplir con dichos requisitos habilitantes.</w:t>
      </w:r>
    </w:p>
    <w:p w14:paraId="6BBCA2A9" w14:textId="77777777" w:rsidR="00DE32BB" w:rsidRPr="006C0DB0" w:rsidRDefault="00DE32BB" w:rsidP="00DE32BB">
      <w:pPr>
        <w:spacing w:after="0" w:line="276" w:lineRule="auto"/>
        <w:ind w:firstLine="708"/>
        <w:jc w:val="both"/>
        <w:rPr>
          <w:rFonts w:ascii="Verdana" w:hAnsi="Verdana" w:cs="Arial"/>
          <w:color w:val="000000"/>
          <w:lang w:val="es-ES_tradnl"/>
        </w:rPr>
      </w:pPr>
      <w:r w:rsidRPr="006C0DB0">
        <w:rPr>
          <w:rFonts w:ascii="Verdana" w:hAnsi="Verdana" w:cs="Arial"/>
          <w:color w:val="000000"/>
          <w:lang w:val="es-ES_tradnl"/>
        </w:rPr>
        <w:t xml:space="preserve">De la explicación anterior, se desprende que los parágrafos adicionados por </w:t>
      </w:r>
      <w:bookmarkStart w:id="2" w:name="_Hlk159846711"/>
      <w:r w:rsidRPr="006C0DB0">
        <w:rPr>
          <w:rFonts w:ascii="Verdana" w:hAnsi="Verdana" w:cs="Arial"/>
          <w:color w:val="000000"/>
          <w:lang w:val="es-ES_tradnl"/>
        </w:rPr>
        <w:t>los Decretos 399 de 2021, 579 de 2021 y 1041 de 2022</w:t>
      </w:r>
      <w:bookmarkEnd w:id="2"/>
      <w:r w:rsidRPr="006C0DB0">
        <w:rPr>
          <w:rFonts w:ascii="Verdana" w:hAnsi="Verdana" w:cs="Arial"/>
          <w:color w:val="000000"/>
          <w:lang w:val="es-ES_tradnl"/>
        </w:rPr>
        <w:t xml:space="preserve"> tienen naturaleza transitoria. Conforme a la definición del Diccionario de la RAE, por dicha expresión se entiende todos aquello que es “Pasajero, temporal” o “Caduco, perecedero, fugaz”. Es decir, el marco normativo descrito en los párrafos precedentes carece de vocación de permanencia, pues se trata de disposiciones efímeras, pasajeras, momentáneas, breves, provisionales y temporarias. Por ello, con la expiración de su vigencia y a falta de un reglamento que prorrogue las medidas adoptadas, la capacidad financiera y organizacional debe acreditarse a la Cámara de Comercio en las condiciones descritas en los numerales 1.3 y 2.3 del artículo 2.2.1.1.1.5.2 del Decreto 1082 de 2015. Como explica la doctrina:</w:t>
      </w:r>
    </w:p>
    <w:p w14:paraId="3EB918EB" w14:textId="77777777" w:rsidR="00DE32BB" w:rsidRPr="006C0DB0" w:rsidRDefault="00DE32BB" w:rsidP="00DE32BB">
      <w:pPr>
        <w:spacing w:after="0" w:line="240" w:lineRule="auto"/>
        <w:ind w:firstLine="709"/>
        <w:jc w:val="both"/>
        <w:rPr>
          <w:rFonts w:ascii="Verdana" w:hAnsi="Verdana" w:cs="Arial"/>
          <w:color w:val="000000"/>
          <w:lang w:val="es-ES_tradnl"/>
        </w:rPr>
      </w:pPr>
    </w:p>
    <w:p w14:paraId="5DFDBC05" w14:textId="77777777" w:rsidR="00DE32BB" w:rsidRPr="006C0DB0" w:rsidRDefault="00DE32BB" w:rsidP="00DE32BB">
      <w:pPr>
        <w:spacing w:after="0" w:line="240" w:lineRule="auto"/>
        <w:ind w:left="709" w:right="709"/>
        <w:jc w:val="both"/>
        <w:rPr>
          <w:rFonts w:ascii="Verdana" w:hAnsi="Verdana" w:cs="Arial"/>
          <w:color w:val="000000"/>
          <w:sz w:val="20"/>
          <w:szCs w:val="20"/>
          <w:lang w:val="es-ES_tradnl"/>
        </w:rPr>
      </w:pPr>
      <w:r w:rsidRPr="006C0DB0">
        <w:rPr>
          <w:rFonts w:ascii="Verdana" w:hAnsi="Verdana" w:cs="Arial"/>
          <w:color w:val="000000"/>
          <w:sz w:val="20"/>
          <w:szCs w:val="20"/>
          <w:lang w:val="es-ES_tradnl"/>
        </w:rPr>
        <w:t xml:space="preserve">“Las normas temporales […] son aquéllas cuya vigencia expira automáticamente por el acaecimiento de un hecho futuro pero cierto o por el transcurso de un plazo, sin necesidad de acto alguno de contrario imperio, esto es, de declaración o producción de tales efectos extintivos, porque tienen acotada su vigencia por imperio de la disposición que la prescribe o de otra previa y de superior rango. Ello no </w:t>
      </w:r>
      <w:proofErr w:type="spellStart"/>
      <w:r w:rsidRPr="006C0DB0">
        <w:rPr>
          <w:rFonts w:ascii="Verdana" w:hAnsi="Verdana" w:cs="Arial"/>
          <w:color w:val="000000"/>
          <w:sz w:val="20"/>
          <w:szCs w:val="20"/>
          <w:lang w:val="es-ES_tradnl"/>
        </w:rPr>
        <w:t>empece</w:t>
      </w:r>
      <w:proofErr w:type="spellEnd"/>
      <w:r w:rsidRPr="006C0DB0">
        <w:rPr>
          <w:rFonts w:ascii="Verdana" w:hAnsi="Verdana" w:cs="Arial"/>
          <w:color w:val="000000"/>
          <w:sz w:val="20"/>
          <w:szCs w:val="20"/>
          <w:lang w:val="es-ES_tradnl"/>
        </w:rPr>
        <w:t xml:space="preserve"> para que estas normas vean prorrogada su vigencia más allá de dicho momento, pero es tal prórroga la que requerirá, en su caso, ser expresamente adoptada mediante disposición posterior y de igual o superior rango”</w:t>
      </w:r>
      <w:r w:rsidRPr="006C0DB0">
        <w:rPr>
          <w:rStyle w:val="Refdenotaalpie"/>
          <w:rFonts w:ascii="Verdana" w:hAnsi="Verdana" w:cs="Arial"/>
          <w:color w:val="000000"/>
          <w:sz w:val="20"/>
          <w:szCs w:val="20"/>
          <w:lang w:val="es-ES_tradnl"/>
        </w:rPr>
        <w:footnoteReference w:id="3"/>
      </w:r>
      <w:r w:rsidRPr="006C0DB0">
        <w:rPr>
          <w:rFonts w:ascii="Verdana" w:hAnsi="Verdana" w:cs="Arial"/>
          <w:color w:val="000000"/>
          <w:sz w:val="20"/>
          <w:szCs w:val="20"/>
          <w:lang w:val="es-ES_tradnl"/>
        </w:rPr>
        <w:t xml:space="preserve">.  </w:t>
      </w:r>
    </w:p>
    <w:p w14:paraId="6A23050C" w14:textId="77777777" w:rsidR="00DE32BB" w:rsidRPr="006C0DB0" w:rsidRDefault="00DE32BB" w:rsidP="00DE32BB">
      <w:pPr>
        <w:spacing w:after="0" w:line="276" w:lineRule="auto"/>
        <w:ind w:left="709" w:right="709"/>
        <w:jc w:val="both"/>
        <w:rPr>
          <w:rFonts w:ascii="Verdana" w:hAnsi="Verdana" w:cs="Arial"/>
          <w:color w:val="000000"/>
          <w:lang w:val="es-ES_tradnl"/>
        </w:rPr>
      </w:pPr>
    </w:p>
    <w:p w14:paraId="5C859984" w14:textId="77777777" w:rsidR="00DE32BB" w:rsidRPr="006C0DB0" w:rsidRDefault="00DE32BB" w:rsidP="00DE32BB">
      <w:pPr>
        <w:spacing w:after="120" w:line="276" w:lineRule="auto"/>
        <w:ind w:firstLine="708"/>
        <w:jc w:val="both"/>
        <w:rPr>
          <w:rFonts w:ascii="Verdana" w:hAnsi="Verdana" w:cs="Arial"/>
          <w:color w:val="000000"/>
          <w:lang w:val="es-ES_tradnl"/>
        </w:rPr>
      </w:pPr>
      <w:bookmarkStart w:id="3" w:name="_Hlk159847867"/>
      <w:r w:rsidRPr="006C0DB0">
        <w:rPr>
          <w:rFonts w:ascii="Verdana" w:hAnsi="Verdana" w:cs="Arial"/>
          <w:color w:val="000000"/>
          <w:lang w:val="es-ES_tradnl"/>
        </w:rPr>
        <w:t>Así, tratándose de personas naturales obligadas a llevar contabilidad, deben presentar copia de la información contable del último año exigida por las normas tributarias. En contraste, las personas jurídicas deben aportar los estados financieros de la sociedad y los estados financieros consolidados del grupo empresarial, cuando la norma aplicable lo exige, auditados con sus notas y los siguientes anexos, suscritos por el representante legal y el revisor fiscal, si la persona jurídica está obligada a tenerlo, o suscritos por el representante legal y el auditor o contador si la persona jurídica no está obligada a tener revisor fisca. En todo caso, “Si el interesado no tiene antigüedad suficiente para tener estados financieros auditados a 31 de diciembre, debe inscribirse con estados financieros de corte trimestral, suscritos por el representante legal y el auditor o contador o estados financieros de apertura”.</w:t>
      </w:r>
    </w:p>
    <w:p w14:paraId="0C5F35F9" w14:textId="77777777" w:rsidR="00DE32BB" w:rsidRPr="006C0DB0" w:rsidRDefault="00DE32BB" w:rsidP="00DE32BB">
      <w:pPr>
        <w:spacing w:after="120" w:line="276" w:lineRule="auto"/>
        <w:ind w:firstLine="708"/>
        <w:jc w:val="both"/>
        <w:rPr>
          <w:rFonts w:ascii="Verdana" w:hAnsi="Verdana" w:cs="Arial"/>
          <w:iCs/>
          <w:color w:val="000000"/>
          <w:lang w:val="es-ES_tradnl"/>
        </w:rPr>
      </w:pPr>
      <w:r w:rsidRPr="006C0DB0">
        <w:rPr>
          <w:rFonts w:ascii="Verdana" w:hAnsi="Verdana" w:cs="Arial"/>
          <w:iCs/>
          <w:color w:val="000000"/>
          <w:lang w:val="es-ES_tradnl"/>
        </w:rPr>
        <w:t xml:space="preserve">En este contexto, los indicadores de capacidad financiera y organizacional ya no corresponderán a los últimos tres (3) años fiscales anteriores a la inscripción o renovación. Asimismo, con la pérdida de vigencia de los parágrafos transitorios de los artículos 2.2.1.1.1.5.2 y 2.2.1.1.1.5.6 del Decreto 1082 de 2015, el parágrafo transitorio del artículo 2.2.1.1.1.6.2 </w:t>
      </w:r>
      <w:r w:rsidRPr="006C0DB0">
        <w:rPr>
          <w:rFonts w:ascii="Verdana" w:hAnsi="Verdana" w:cs="Arial"/>
          <w:i/>
          <w:color w:val="000000"/>
          <w:lang w:val="es-ES_tradnl"/>
        </w:rPr>
        <w:t>ibidem</w:t>
      </w:r>
      <w:r w:rsidRPr="006C0DB0">
        <w:rPr>
          <w:rFonts w:ascii="Verdana" w:hAnsi="Verdana" w:cs="Arial"/>
          <w:iCs/>
          <w:color w:val="000000"/>
          <w:lang w:val="es-ES_tradnl"/>
        </w:rPr>
        <w:t xml:space="preserve"> –adicionados por el art. 6 del Decreto 399 de 2021 y sustituido por el art. 3 del Decreto 579 de 2021– es inaplicable por sustracción de materia. En consecuencia, cesa la posibilidad de acreditar los indicadores de los numerales 3 y 4 artículo 2.2.1.1.1.5.3 </w:t>
      </w:r>
      <w:r w:rsidRPr="006C0DB0">
        <w:rPr>
          <w:rFonts w:ascii="Verdana" w:hAnsi="Verdana" w:cs="Arial"/>
          <w:i/>
          <w:color w:val="000000"/>
          <w:lang w:val="es-ES_tradnl"/>
        </w:rPr>
        <w:t>ibidem</w:t>
      </w:r>
      <w:r w:rsidRPr="006C0DB0">
        <w:rPr>
          <w:rFonts w:ascii="Verdana" w:hAnsi="Verdana" w:cs="Arial"/>
          <w:iCs/>
          <w:color w:val="000000"/>
          <w:lang w:val="es-ES_tradnl"/>
        </w:rPr>
        <w:t xml:space="preserve"> teniendo en cuenta el mejor año fiscal que se refleje en el registro de cada proponente.</w:t>
      </w:r>
    </w:p>
    <w:p w14:paraId="3BA63CD7" w14:textId="77777777" w:rsidR="00DE32BB" w:rsidRPr="006C0DB0" w:rsidRDefault="00DE32BB" w:rsidP="00DE32BB">
      <w:pPr>
        <w:spacing w:after="120" w:line="276" w:lineRule="auto"/>
        <w:ind w:firstLine="708"/>
        <w:jc w:val="both"/>
        <w:rPr>
          <w:rFonts w:ascii="Verdana" w:eastAsia="Calibri" w:hAnsi="Verdana" w:cs="Arial"/>
          <w:color w:val="000000"/>
          <w:lang w:val="es-ES_tradnl" w:eastAsia="es-ES_tradnl"/>
        </w:rPr>
      </w:pPr>
      <w:r w:rsidRPr="006C0DB0">
        <w:rPr>
          <w:rFonts w:ascii="Verdana" w:eastAsia="Calibri" w:hAnsi="Verdana" w:cs="Arial"/>
          <w:color w:val="000000"/>
          <w:lang w:val="es-ES_tradnl" w:eastAsia="es-ES_tradnl"/>
        </w:rPr>
        <w:t xml:space="preserve">Estas normas transitorias no perdieron su vigencia con la finalización de la emergencia sanitaria, pues el Decreto 1041 de 2022 –al prorrogar las medidas de los Decretos 399 y 579 de 2021– las extendió durante el 2023, vigencia fiscal que finalizó el 31 de diciembre </w:t>
      </w:r>
      <w:r>
        <w:rPr>
          <w:rFonts w:ascii="Verdana" w:eastAsia="Calibri" w:hAnsi="Verdana" w:cs="Arial"/>
          <w:color w:val="000000"/>
          <w:lang w:val="es-ES_tradnl" w:eastAsia="es-ES_tradnl"/>
        </w:rPr>
        <w:t>de la mencionada anualidad</w:t>
      </w:r>
      <w:r w:rsidRPr="006C0DB0">
        <w:rPr>
          <w:rFonts w:ascii="Verdana" w:eastAsia="Calibri" w:hAnsi="Verdana" w:cs="Arial"/>
          <w:color w:val="000000"/>
          <w:lang w:val="es-ES_tradnl" w:eastAsia="es-ES_tradnl"/>
        </w:rPr>
        <w:t>. En consecuencia, una interpretación razonable permite concluir que a partir de 2024 los indicadores deben acreditarse frete a la Cámara de Comercio conforme a las reglas de generales del Decreto Único Reglamentario del Sector de Planeación Nacional.</w:t>
      </w:r>
    </w:p>
    <w:bookmarkEnd w:id="3"/>
    <w:p w14:paraId="7378E476" w14:textId="77777777" w:rsidR="00DE32BB" w:rsidRDefault="00DE32BB" w:rsidP="00DE32BB">
      <w:pPr>
        <w:spacing w:after="120" w:line="276" w:lineRule="auto"/>
        <w:ind w:firstLine="709"/>
        <w:jc w:val="both"/>
        <w:rPr>
          <w:rFonts w:ascii="Verdana" w:eastAsia="Calibri" w:hAnsi="Verdana" w:cs="Arial"/>
          <w:color w:val="000000"/>
          <w:lang w:val="es-ES_tradnl" w:eastAsia="es-ES_tradnl"/>
        </w:rPr>
      </w:pPr>
      <w:r w:rsidRPr="006C0DB0">
        <w:rPr>
          <w:rFonts w:ascii="Verdana" w:eastAsia="Calibri" w:hAnsi="Verdana" w:cs="Arial"/>
          <w:color w:val="000000"/>
          <w:lang w:val="es-ES_tradnl" w:eastAsia="es-ES_tradnl"/>
        </w:rPr>
        <w:t>En ese sentido, debe tenerse en cuenta que –por no existir una norma que amplié a la vigencia 2024</w:t>
      </w:r>
      <w:r>
        <w:rPr>
          <w:rFonts w:ascii="Verdana" w:eastAsia="Calibri" w:hAnsi="Verdana" w:cs="Arial"/>
          <w:color w:val="000000"/>
          <w:lang w:val="es-ES_tradnl" w:eastAsia="es-ES_tradnl"/>
        </w:rPr>
        <w:t>, 2025 y 2026</w:t>
      </w:r>
      <w:r w:rsidRPr="006C0DB0">
        <w:rPr>
          <w:rFonts w:ascii="Verdana" w:eastAsia="Calibri" w:hAnsi="Verdana" w:cs="Arial"/>
          <w:color w:val="000000"/>
          <w:lang w:val="es-ES_tradnl" w:eastAsia="es-ES_tradnl"/>
        </w:rPr>
        <w:t xml:space="preserve"> las medidas adoptadas en los Decretos 399 y 579 de 2021 y el Decreto 1041 de 2022– aquellas personas que realicen la inscripción o renovación del Registro Único de Proponentes durante el presente año sólo podrán reportar ante las Cámaras de Comercio la información contable y los estados financieros del último año fiscal. Por tanto, la posibilidad que tenían los oferentes de acreditar el mejor año fiscal de los tres últimos registrados en el RUP finalizó el 2023. En consecuencia, las entidades deben estructurar la solicitud de indicadores financieros para sus procesos con referencia a lo dispuesto en los numerales 1.3 y 2.3 del artículo 2.2.1.1.1.5.2 del Decreto 1082 de 2015.</w:t>
      </w:r>
    </w:p>
    <w:p w14:paraId="7FE17355" w14:textId="77777777" w:rsidR="00DE32BB" w:rsidRPr="005A59B7" w:rsidRDefault="00DE32BB" w:rsidP="00DE32BB">
      <w:pPr>
        <w:spacing w:after="120" w:line="276" w:lineRule="auto"/>
        <w:ind w:firstLine="709"/>
        <w:jc w:val="both"/>
        <w:rPr>
          <w:rFonts w:ascii="Verdana" w:eastAsia="Calibri" w:hAnsi="Verdana" w:cs="Arial"/>
          <w:color w:val="000000"/>
          <w:lang w:val="es-ES_tradnl" w:eastAsia="es-ES_tradnl"/>
        </w:rPr>
      </w:pPr>
      <w:r>
        <w:rPr>
          <w:rFonts w:ascii="Verdana" w:eastAsia="Arial" w:hAnsi="Verdana" w:cs="Arial"/>
          <w:color w:val="000000"/>
        </w:rPr>
        <w:t>Ahora bien, e</w:t>
      </w:r>
      <w:r w:rsidRPr="00DD16FF">
        <w:rPr>
          <w:rFonts w:ascii="Verdana" w:eastAsia="Arial" w:hAnsi="Verdana" w:cs="Arial"/>
          <w:color w:val="000000"/>
        </w:rPr>
        <w:t xml:space="preserve">n el escenario consultado, </w:t>
      </w:r>
      <w:r>
        <w:rPr>
          <w:rFonts w:ascii="Verdana" w:eastAsia="Arial" w:hAnsi="Verdana" w:cs="Arial"/>
          <w:color w:val="000000"/>
        </w:rPr>
        <w:t xml:space="preserve">aun cuando las Entidades Estatales </w:t>
      </w:r>
      <w:r w:rsidRPr="002048F5">
        <w:rPr>
          <w:rFonts w:ascii="Verdana" w:eastAsia="Century Gothic" w:hAnsi="Verdana" w:cs="Century Gothic"/>
          <w:color w:val="000000" w:themeColor="text1"/>
        </w:rPr>
        <w:t>conserva</w:t>
      </w:r>
      <w:r>
        <w:rPr>
          <w:rFonts w:ascii="Verdana" w:eastAsia="Century Gothic" w:hAnsi="Verdana" w:cs="Century Gothic"/>
          <w:color w:val="000000" w:themeColor="text1"/>
        </w:rPr>
        <w:t>n</w:t>
      </w:r>
      <w:r w:rsidRPr="002048F5">
        <w:rPr>
          <w:rFonts w:ascii="Verdana" w:eastAsia="Century Gothic" w:hAnsi="Verdana" w:cs="Century Gothic"/>
          <w:color w:val="000000" w:themeColor="text1"/>
        </w:rPr>
        <w:t xml:space="preserve"> su discrecionalidad administrativa para determinar los requisitos habilitantes de capacidad financiera</w:t>
      </w:r>
      <w:r>
        <w:rPr>
          <w:rFonts w:ascii="Verdana" w:eastAsia="Century Gothic" w:hAnsi="Verdana" w:cs="Century Gothic"/>
          <w:color w:val="000000" w:themeColor="text1"/>
        </w:rPr>
        <w:t>, además de que deben observar e</w:t>
      </w:r>
      <w:r w:rsidRPr="002048F5">
        <w:rPr>
          <w:rFonts w:ascii="Verdana" w:eastAsia="Century Gothic" w:hAnsi="Verdana" w:cs="Century Gothic"/>
          <w:color w:val="000000" w:themeColor="text1"/>
        </w:rPr>
        <w:t xml:space="preserve">l principio de proporcionalidad </w:t>
      </w:r>
      <w:r>
        <w:rPr>
          <w:rFonts w:ascii="Verdana" w:eastAsia="Century Gothic" w:hAnsi="Verdana" w:cs="Century Gothic"/>
          <w:color w:val="000000" w:themeColor="text1"/>
        </w:rPr>
        <w:t xml:space="preserve">el cual exige que </w:t>
      </w:r>
      <w:r w:rsidRPr="002048F5">
        <w:rPr>
          <w:rFonts w:ascii="Verdana" w:eastAsia="Century Gothic" w:hAnsi="Verdana" w:cs="Century Gothic"/>
          <w:color w:val="000000" w:themeColor="text1"/>
        </w:rPr>
        <w:t xml:space="preserve">dichos indicadores </w:t>
      </w:r>
      <w:r>
        <w:rPr>
          <w:rFonts w:ascii="Verdana" w:eastAsia="Century Gothic" w:hAnsi="Verdana" w:cs="Century Gothic"/>
          <w:color w:val="000000" w:themeColor="text1"/>
        </w:rPr>
        <w:t>sean</w:t>
      </w:r>
      <w:r w:rsidRPr="002048F5">
        <w:rPr>
          <w:rFonts w:ascii="Verdana" w:eastAsia="Century Gothic" w:hAnsi="Verdana" w:cs="Century Gothic"/>
          <w:color w:val="000000" w:themeColor="text1"/>
        </w:rPr>
        <w:t xml:space="preserve"> razonables</w:t>
      </w:r>
      <w:r>
        <w:rPr>
          <w:rFonts w:ascii="Verdana" w:eastAsia="Century Gothic" w:hAnsi="Verdana" w:cs="Century Gothic"/>
          <w:color w:val="000000" w:themeColor="text1"/>
        </w:rPr>
        <w:t xml:space="preserve"> y guarden </w:t>
      </w:r>
      <w:r w:rsidRPr="002048F5">
        <w:rPr>
          <w:rFonts w:ascii="Verdana" w:eastAsia="Century Gothic" w:hAnsi="Verdana" w:cs="Century Gothic"/>
          <w:color w:val="000000" w:themeColor="text1"/>
        </w:rPr>
        <w:t xml:space="preserve">congruencia con el objeto, alcance, valor y plazo del contrato, </w:t>
      </w:r>
      <w:r>
        <w:rPr>
          <w:rFonts w:ascii="Verdana" w:eastAsia="Century Gothic" w:hAnsi="Verdana" w:cs="Century Gothic"/>
          <w:color w:val="000000" w:themeColor="text1"/>
        </w:rPr>
        <w:t>también resulta obligatorio que dicha fijación respete las reglas y</w:t>
      </w:r>
      <w:r w:rsidRPr="002048F5">
        <w:rPr>
          <w:rFonts w:ascii="Verdana" w:eastAsia="Century Gothic" w:hAnsi="Verdana" w:cs="Century Gothic"/>
          <w:color w:val="000000" w:themeColor="text1"/>
        </w:rPr>
        <w:t xml:space="preserve"> condiciones descritas en los numerales 1.3 y 2.3 del artículo 2.2.1.1.1.5.2 del Decreto 1082 de 2015</w:t>
      </w:r>
      <w:r>
        <w:rPr>
          <w:rFonts w:ascii="Verdana" w:eastAsia="Century Gothic" w:hAnsi="Verdana" w:cs="Century Gothic"/>
          <w:color w:val="000000" w:themeColor="text1"/>
        </w:rPr>
        <w:t xml:space="preserve"> actualmente vigentes, por lo que la acreditación de los indicadores financieros deben evaluarse con base en la información </w:t>
      </w:r>
      <w:r w:rsidRPr="00AD33EB">
        <w:rPr>
          <w:rFonts w:ascii="Verdana" w:eastAsia="Century Gothic" w:hAnsi="Verdana" w:cs="Century Gothic"/>
          <w:color w:val="000000" w:themeColor="text1"/>
        </w:rPr>
        <w:t>contenida en el RUP vigente y en firme</w:t>
      </w:r>
      <w:r>
        <w:rPr>
          <w:rFonts w:ascii="Verdana" w:eastAsia="Century Gothic" w:hAnsi="Verdana" w:cs="Century Gothic"/>
          <w:color w:val="000000" w:themeColor="text1"/>
        </w:rPr>
        <w:t xml:space="preserve"> del último año fiscal del proponente, sin que se habilite la posibilidad de elección del mejor año fiscal entre los </w:t>
      </w:r>
      <w:r w:rsidRPr="002048F5">
        <w:rPr>
          <w:rFonts w:ascii="Verdana" w:eastAsia="Century Gothic" w:hAnsi="Verdana" w:cs="Century Gothic"/>
          <w:color w:val="000000" w:themeColor="text1"/>
        </w:rPr>
        <w:t>últimos tres (3) años</w:t>
      </w:r>
      <w:r>
        <w:rPr>
          <w:rFonts w:ascii="Verdana" w:eastAsia="Century Gothic" w:hAnsi="Verdana" w:cs="Century Gothic"/>
          <w:color w:val="000000" w:themeColor="text1"/>
        </w:rPr>
        <w:t>, como ocurría en el pasado, en vigencia de las normas transitorias aquí estudiadas.</w:t>
      </w:r>
    </w:p>
    <w:p w14:paraId="07127673" w14:textId="77777777" w:rsidR="00DE32BB" w:rsidRPr="00DD16FF" w:rsidRDefault="00DE32BB" w:rsidP="00DE32BB">
      <w:pPr>
        <w:spacing w:after="120" w:line="276" w:lineRule="auto"/>
        <w:ind w:firstLine="709"/>
        <w:jc w:val="both"/>
        <w:rPr>
          <w:rFonts w:ascii="Verdana" w:eastAsia="Arial" w:hAnsi="Verdana" w:cs="Arial"/>
          <w:color w:val="000000"/>
        </w:rPr>
      </w:pPr>
      <w:r>
        <w:rPr>
          <w:rFonts w:ascii="Verdana" w:eastAsia="Arial" w:hAnsi="Verdana" w:cs="Arial"/>
          <w:color w:val="000000"/>
        </w:rPr>
        <w:t xml:space="preserve">En ese sentido, </w:t>
      </w:r>
      <w:r w:rsidRPr="00DD16FF">
        <w:rPr>
          <w:rFonts w:ascii="Verdana" w:eastAsia="Arial" w:hAnsi="Verdana" w:cs="Arial"/>
          <w:color w:val="000000"/>
        </w:rPr>
        <w:t xml:space="preserve">el punto de partida es que, </w:t>
      </w:r>
      <w:r>
        <w:rPr>
          <w:rFonts w:ascii="Verdana" w:eastAsia="Arial" w:hAnsi="Verdana" w:cs="Arial"/>
          <w:color w:val="000000"/>
        </w:rPr>
        <w:t xml:space="preserve">si </w:t>
      </w:r>
      <w:r w:rsidRPr="00DD16FF">
        <w:rPr>
          <w:rFonts w:ascii="Verdana" w:eastAsia="Arial" w:hAnsi="Verdana" w:cs="Arial"/>
          <w:color w:val="000000"/>
        </w:rPr>
        <w:t xml:space="preserve">a partir del 1° de enero de 2024, el Registro Único de Proponentes únicamente refleja la información contable correspondiente al último año fiscal reportado por el proponente, en virtud de la finalización de la medida transitoria prevista en los Decretos 399 y 579 de 2021 y 1041 de 2022, </w:t>
      </w:r>
      <w:r>
        <w:rPr>
          <w:rFonts w:ascii="Verdana" w:eastAsia="Arial" w:hAnsi="Verdana" w:cs="Arial"/>
          <w:color w:val="000000"/>
        </w:rPr>
        <w:t xml:space="preserve">esto implica que </w:t>
      </w:r>
      <w:r w:rsidRPr="00DD16FF">
        <w:rPr>
          <w:rFonts w:ascii="Verdana" w:eastAsia="Arial" w:hAnsi="Verdana" w:cs="Arial"/>
          <w:color w:val="000000"/>
        </w:rPr>
        <w:t>el RUP vigente al año 2025 solo contiene estados financieros con corte al 31 de diciembre de 2024.</w:t>
      </w:r>
    </w:p>
    <w:p w14:paraId="6A56C2E9" w14:textId="77777777" w:rsidR="00DE32BB" w:rsidRPr="005A59B7" w:rsidRDefault="00DE32BB" w:rsidP="00DE32BB">
      <w:pPr>
        <w:spacing w:after="120" w:line="276" w:lineRule="auto"/>
        <w:ind w:firstLine="709"/>
        <w:jc w:val="both"/>
        <w:rPr>
          <w:rFonts w:ascii="Verdana" w:eastAsia="Arial" w:hAnsi="Verdana" w:cs="Arial"/>
          <w:color w:val="000000"/>
        </w:rPr>
      </w:pPr>
      <w:r>
        <w:rPr>
          <w:rFonts w:ascii="Verdana" w:eastAsia="Arial" w:hAnsi="Verdana" w:cs="Arial"/>
          <w:color w:val="000000"/>
        </w:rPr>
        <w:t>En otras palabras</w:t>
      </w:r>
      <w:r w:rsidRPr="00DD16FF">
        <w:rPr>
          <w:rFonts w:ascii="Verdana" w:eastAsia="Arial" w:hAnsi="Verdana" w:cs="Arial"/>
          <w:color w:val="000000"/>
        </w:rPr>
        <w:t>, la entidad estatal debe estructurar la evaluación de la capacidad financiera y organizacional de los proponentes con base en la información efectivamente contenida en el RUP</w:t>
      </w:r>
      <w:r>
        <w:rPr>
          <w:rFonts w:ascii="Verdana" w:eastAsia="Arial" w:hAnsi="Verdana" w:cs="Arial"/>
          <w:color w:val="000000"/>
        </w:rPr>
        <w:t xml:space="preserve"> y, no </w:t>
      </w:r>
      <w:r w:rsidRPr="00DD16FF">
        <w:rPr>
          <w:rFonts w:ascii="Verdana" w:eastAsia="Arial" w:hAnsi="Verdana" w:cs="Arial"/>
          <w:color w:val="000000"/>
        </w:rPr>
        <w:t>resulta procedente admitir la acreditación de estados contables de 2021, 2022 o 2023, pues ello equivaldría a incorporar al proceso datos que no se encuentran registrados en el instrumento oficial de verificación, desconociendo el principio de igualdad frente a aquellos oferentes que únicamente cuentan con la información del último año fiscal.</w:t>
      </w:r>
    </w:p>
    <w:p w14:paraId="1D805A22" w14:textId="77777777" w:rsidR="00DE32BB" w:rsidRDefault="00DE32BB" w:rsidP="00DE32BB">
      <w:pPr>
        <w:spacing w:before="120" w:after="0" w:line="276" w:lineRule="auto"/>
        <w:ind w:firstLine="709"/>
        <w:jc w:val="both"/>
        <w:rPr>
          <w:rFonts w:ascii="Verdana" w:eastAsia="Calibri" w:hAnsi="Verdana" w:cs="Arial"/>
        </w:rPr>
      </w:pPr>
      <w:r>
        <w:rPr>
          <w:rFonts w:ascii="Verdana" w:eastAsia="Calibri" w:hAnsi="Verdana" w:cs="Arial"/>
        </w:rPr>
        <w:t>A</w:t>
      </w:r>
      <w:r w:rsidRPr="00E853DE">
        <w:rPr>
          <w:rFonts w:ascii="Verdana" w:eastAsia="Calibri" w:hAnsi="Verdana" w:cs="Arial"/>
          <w:bCs/>
          <w:color w:val="000000" w:themeColor="text1"/>
        </w:rPr>
        <w:t>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600E9CFF" w14:textId="77777777" w:rsidR="00DE32BB" w:rsidRDefault="00DE32BB" w:rsidP="00DE32BB">
      <w:pPr>
        <w:spacing w:before="120" w:after="0" w:line="276" w:lineRule="auto"/>
        <w:ind w:firstLine="709"/>
        <w:jc w:val="both"/>
        <w:rPr>
          <w:rFonts w:ascii="Verdana" w:eastAsia="Calibri" w:hAnsi="Verdana" w:cs="Arial"/>
        </w:rPr>
      </w:pPr>
      <w:r w:rsidRPr="00E853DE">
        <w:rPr>
          <w:rFonts w:ascii="Verdana" w:eastAsia="Calibri" w:hAnsi="Verdana" w:cs="Arial"/>
          <w:bCs/>
          <w:color w:val="000000" w:themeColor="text1"/>
        </w:rPr>
        <w:t>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r w:rsidRPr="00185EE9">
        <w:rPr>
          <w:rFonts w:ascii="Verdana" w:eastAsia="Calibri" w:hAnsi="Verdana" w:cs="Arial"/>
          <w:bCs/>
          <w:color w:val="000000" w:themeColor="text1"/>
        </w:rPr>
        <w:t xml:space="preserve"> </w:t>
      </w:r>
    </w:p>
    <w:p w14:paraId="2BA9C9E4" w14:textId="77777777" w:rsidR="00DE32BB" w:rsidRDefault="00DE32BB" w:rsidP="00DE32BB">
      <w:pPr>
        <w:spacing w:after="0" w:line="240" w:lineRule="auto"/>
        <w:jc w:val="both"/>
        <w:rPr>
          <w:rFonts w:ascii="Verdana" w:hAnsi="Verdana" w:cs="Arial"/>
          <w:b/>
          <w:color w:val="000000" w:themeColor="text1"/>
        </w:rPr>
      </w:pPr>
      <w:bookmarkStart w:id="4" w:name="_Hlk204854194"/>
    </w:p>
    <w:p w14:paraId="2BB2EED8" w14:textId="77777777" w:rsidR="00DE32BB" w:rsidRDefault="00DE32BB" w:rsidP="00DE32BB">
      <w:pPr>
        <w:spacing w:after="0" w:line="276" w:lineRule="auto"/>
        <w:jc w:val="both"/>
        <w:rPr>
          <w:rFonts w:ascii="Verdana" w:eastAsia="Century Gothic" w:hAnsi="Verdana" w:cs="Century Gothic"/>
          <w:b/>
          <w:bCs/>
        </w:rPr>
      </w:pPr>
      <w:r w:rsidRPr="00237877">
        <w:rPr>
          <w:rFonts w:ascii="Verdana" w:hAnsi="Verdana" w:cs="Arial"/>
          <w:b/>
          <w:color w:val="000000" w:themeColor="text1"/>
        </w:rPr>
        <w:t>4.</w:t>
      </w:r>
      <w:r>
        <w:rPr>
          <w:rFonts w:ascii="Verdana" w:hAnsi="Verdana" w:cs="Arial"/>
          <w:bCs/>
          <w:color w:val="000000" w:themeColor="text1"/>
        </w:rPr>
        <w:t xml:space="preserve"> </w:t>
      </w:r>
      <w:r w:rsidRPr="005644FE">
        <w:rPr>
          <w:rFonts w:ascii="Verdana" w:eastAsia="Century Gothic" w:hAnsi="Verdana" w:cs="Century Gothic"/>
          <w:b/>
          <w:bCs/>
        </w:rPr>
        <w:t>Referencias normativas</w:t>
      </w:r>
      <w:r>
        <w:rPr>
          <w:rFonts w:ascii="Verdana" w:eastAsia="Century Gothic" w:hAnsi="Verdana" w:cs="Century Gothic"/>
          <w:b/>
          <w:bCs/>
        </w:rPr>
        <w:t xml:space="preserve"> y jurisprudenciales</w:t>
      </w:r>
      <w:r w:rsidRPr="005644FE">
        <w:rPr>
          <w:rFonts w:ascii="Verdana" w:eastAsia="Century Gothic" w:hAnsi="Verdana" w:cs="Century Gothic"/>
          <w:b/>
          <w:bCs/>
        </w:rPr>
        <w:t>:</w:t>
      </w:r>
      <w:bookmarkEnd w:id="4"/>
    </w:p>
    <w:p w14:paraId="0A81A518" w14:textId="77777777" w:rsidR="00DE32BB" w:rsidRPr="00E5656D" w:rsidRDefault="00DE32BB" w:rsidP="00DE32BB">
      <w:pPr>
        <w:spacing w:after="0" w:line="276" w:lineRule="auto"/>
        <w:jc w:val="both"/>
        <w:rPr>
          <w:rFonts w:ascii="Verdana" w:eastAsia="Century Gothic" w:hAnsi="Verdana" w:cs="Century Gothic"/>
          <w:b/>
          <w:bCs/>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DE32BB" w:rsidRPr="002D2C18" w14:paraId="7CA2158B" w14:textId="77777777" w:rsidTr="00487144">
        <w:trPr>
          <w:trHeight w:val="56"/>
          <w:jc w:val="center"/>
        </w:trPr>
        <w:tc>
          <w:tcPr>
            <w:tcW w:w="8647" w:type="dxa"/>
          </w:tcPr>
          <w:p w14:paraId="2AA74E48" w14:textId="77777777" w:rsidR="00DE32BB" w:rsidRDefault="00DE32BB" w:rsidP="00DE32BB">
            <w:pPr>
              <w:pStyle w:val="Prrafodelista"/>
              <w:numPr>
                <w:ilvl w:val="0"/>
                <w:numId w:val="16"/>
              </w:numPr>
              <w:spacing w:before="120" w:line="276" w:lineRule="auto"/>
              <w:rPr>
                <w:rFonts w:ascii="Verdana" w:eastAsia="Calibri" w:hAnsi="Verdana" w:cs="Arial"/>
                <w:bCs/>
                <w:color w:val="000000" w:themeColor="text1"/>
              </w:rPr>
            </w:pPr>
            <w:r w:rsidRPr="00947DD3">
              <w:rPr>
                <w:rFonts w:ascii="Verdana" w:eastAsia="Calibri" w:hAnsi="Verdana" w:cs="Arial"/>
                <w:bCs/>
                <w:color w:val="000000" w:themeColor="text1"/>
              </w:rPr>
              <w:t>Ley 1150 de 2007. Artículo 5.</w:t>
            </w:r>
          </w:p>
          <w:p w14:paraId="6F72DB59" w14:textId="77777777" w:rsidR="00DE32BB" w:rsidRDefault="00DE32BB" w:rsidP="00DE32BB">
            <w:pPr>
              <w:pStyle w:val="Prrafodelista"/>
              <w:numPr>
                <w:ilvl w:val="0"/>
                <w:numId w:val="16"/>
              </w:numPr>
              <w:spacing w:before="120" w:line="276" w:lineRule="auto"/>
              <w:rPr>
                <w:rFonts w:ascii="Verdana" w:eastAsia="Calibri" w:hAnsi="Verdana" w:cs="Arial"/>
                <w:bCs/>
                <w:color w:val="000000" w:themeColor="text1"/>
              </w:rPr>
            </w:pPr>
            <w:r w:rsidRPr="00947DD3">
              <w:rPr>
                <w:rFonts w:ascii="Verdana" w:eastAsia="Calibri" w:hAnsi="Verdana" w:cs="Arial"/>
                <w:bCs/>
                <w:color w:val="000000" w:themeColor="text1"/>
              </w:rPr>
              <w:t>Decreto 1082 de 2015. Artículos 2.2.1.1.1.5.2, 2.2.1.1.1.5.3, 2.2.1.1.1.5.6, 2.2.1.1.1.6.2</w:t>
            </w:r>
          </w:p>
          <w:p w14:paraId="2455D234" w14:textId="77777777" w:rsidR="00DE32BB" w:rsidRDefault="00DE32BB" w:rsidP="00DE32BB">
            <w:pPr>
              <w:pStyle w:val="Prrafodelista"/>
              <w:numPr>
                <w:ilvl w:val="0"/>
                <w:numId w:val="16"/>
              </w:numPr>
              <w:spacing w:before="120" w:line="276" w:lineRule="auto"/>
              <w:rPr>
                <w:rFonts w:ascii="Verdana" w:eastAsia="Calibri" w:hAnsi="Verdana" w:cs="Arial"/>
                <w:bCs/>
                <w:color w:val="000000" w:themeColor="text1"/>
              </w:rPr>
            </w:pPr>
            <w:r w:rsidRPr="00947DD3">
              <w:rPr>
                <w:rFonts w:ascii="Verdana" w:eastAsia="Calibri" w:hAnsi="Verdana" w:cs="Arial"/>
                <w:bCs/>
                <w:color w:val="000000" w:themeColor="text1"/>
              </w:rPr>
              <w:t xml:space="preserve">Decreto 399 de 2021. Artículos 4, 5, 6.  </w:t>
            </w:r>
          </w:p>
          <w:p w14:paraId="0B6DEBE3" w14:textId="77777777" w:rsidR="00DE32BB" w:rsidRPr="00947DD3" w:rsidRDefault="00DE32BB" w:rsidP="00DE32BB">
            <w:pPr>
              <w:pStyle w:val="Prrafodelista"/>
              <w:numPr>
                <w:ilvl w:val="0"/>
                <w:numId w:val="16"/>
              </w:numPr>
              <w:spacing w:before="120" w:line="276" w:lineRule="auto"/>
              <w:rPr>
                <w:rFonts w:ascii="Verdana" w:eastAsia="Calibri" w:hAnsi="Verdana" w:cs="Arial"/>
                <w:bCs/>
                <w:color w:val="000000" w:themeColor="text1"/>
              </w:rPr>
            </w:pPr>
            <w:r w:rsidRPr="00947DD3">
              <w:rPr>
                <w:rFonts w:ascii="Verdana" w:eastAsia="Calibri" w:hAnsi="Verdana" w:cs="Arial"/>
                <w:bCs/>
                <w:color w:val="000000" w:themeColor="text1"/>
              </w:rPr>
              <w:t xml:space="preserve">Decreto 579 de 2021. Artículos 1, 2, 3. </w:t>
            </w:r>
          </w:p>
          <w:p w14:paraId="12FF1286" w14:textId="77777777" w:rsidR="00DE32BB" w:rsidRDefault="00DE32BB" w:rsidP="00DE32BB">
            <w:pPr>
              <w:pStyle w:val="Prrafodelista"/>
              <w:numPr>
                <w:ilvl w:val="0"/>
                <w:numId w:val="16"/>
              </w:numPr>
              <w:spacing w:before="120" w:line="276" w:lineRule="auto"/>
              <w:jc w:val="both"/>
              <w:rPr>
                <w:rFonts w:ascii="Verdana" w:eastAsia="Calibri" w:hAnsi="Verdana" w:cs="Arial"/>
                <w:bCs/>
                <w:color w:val="000000" w:themeColor="text1"/>
              </w:rPr>
            </w:pPr>
            <w:r w:rsidRPr="00947DD3">
              <w:rPr>
                <w:rFonts w:ascii="Verdana" w:eastAsia="Calibri" w:hAnsi="Verdana" w:cs="Arial"/>
                <w:bCs/>
                <w:color w:val="000000" w:themeColor="text1"/>
              </w:rPr>
              <w:t xml:space="preserve">Decreto 1041 de 2022. </w:t>
            </w:r>
          </w:p>
          <w:p w14:paraId="5E7654DA" w14:textId="77777777" w:rsidR="00DE32BB" w:rsidRPr="00947DD3" w:rsidRDefault="00DE32BB" w:rsidP="00DE32BB">
            <w:pPr>
              <w:pStyle w:val="Prrafodelista"/>
              <w:numPr>
                <w:ilvl w:val="0"/>
                <w:numId w:val="16"/>
              </w:numPr>
              <w:spacing w:before="120" w:line="276" w:lineRule="auto"/>
              <w:jc w:val="both"/>
              <w:rPr>
                <w:rFonts w:ascii="Verdana" w:eastAsia="Calibri" w:hAnsi="Verdana" w:cs="Arial"/>
                <w:bCs/>
                <w:color w:val="000000" w:themeColor="text1"/>
              </w:rPr>
            </w:pPr>
            <w:r w:rsidRPr="00947DD3">
              <w:rPr>
                <w:rFonts w:ascii="Verdana" w:eastAsia="Calibri" w:hAnsi="Verdana" w:cs="Arial"/>
                <w:bCs/>
                <w:color w:val="000000" w:themeColor="text1"/>
              </w:rPr>
              <w:t>VAQUER CABALLERÍA, Marcos. Eficacia territorial y temporal de las normas. Valencia: Tirant lo Blanch, 2010.</w:t>
            </w:r>
          </w:p>
        </w:tc>
      </w:tr>
    </w:tbl>
    <w:p w14:paraId="71217A57" w14:textId="77777777" w:rsidR="00DE32BB" w:rsidRDefault="00DE32BB" w:rsidP="00DE32BB">
      <w:pPr>
        <w:tabs>
          <w:tab w:val="left" w:pos="142"/>
          <w:tab w:val="left" w:pos="284"/>
          <w:tab w:val="left" w:pos="3828"/>
        </w:tabs>
        <w:spacing w:after="0" w:line="276" w:lineRule="auto"/>
        <w:jc w:val="both"/>
        <w:rPr>
          <w:rFonts w:ascii="Verdana" w:eastAsia="Century Gothic" w:hAnsi="Verdana" w:cs="Century Gothic"/>
          <w:b/>
          <w:bCs/>
        </w:rPr>
      </w:pPr>
    </w:p>
    <w:p w14:paraId="2C5F5DC2" w14:textId="77777777" w:rsidR="00DE32BB" w:rsidRPr="0091091D" w:rsidRDefault="00DE32BB" w:rsidP="00DE32BB">
      <w:pPr>
        <w:tabs>
          <w:tab w:val="left" w:pos="142"/>
          <w:tab w:val="left" w:pos="284"/>
          <w:tab w:val="left" w:pos="3828"/>
        </w:tabs>
        <w:spacing w:after="0" w:line="276" w:lineRule="auto"/>
        <w:jc w:val="both"/>
        <w:rPr>
          <w:rFonts w:ascii="Verdana" w:eastAsia="Century Gothic" w:hAnsi="Verdana" w:cs="Century Gothic"/>
          <w:b/>
          <w:bCs/>
        </w:rPr>
      </w:pPr>
      <w:r w:rsidRPr="0091091D">
        <w:rPr>
          <w:rFonts w:ascii="Verdana" w:eastAsia="Century Gothic" w:hAnsi="Verdana" w:cs="Century Gothic"/>
          <w:b/>
          <w:bCs/>
        </w:rPr>
        <w:t>5. Doctrina de la Agencia Nacional de Contratación Pública:</w:t>
      </w:r>
    </w:p>
    <w:p w14:paraId="619CA295" w14:textId="77777777" w:rsidR="00DE32BB" w:rsidRPr="007A3DD4" w:rsidRDefault="00DE32BB" w:rsidP="00DE32BB">
      <w:pPr>
        <w:widowControl w:val="0"/>
        <w:autoSpaceDE w:val="0"/>
        <w:autoSpaceDN w:val="0"/>
        <w:spacing w:after="0" w:line="240" w:lineRule="auto"/>
        <w:jc w:val="both"/>
        <w:rPr>
          <w:rStyle w:val="normaltextrun"/>
          <w:rFonts w:ascii="Verdana" w:hAnsi="Verdana" w:cs="Arial"/>
          <w:shd w:val="clear" w:color="auto" w:fill="FFFFFF"/>
        </w:rPr>
      </w:pPr>
    </w:p>
    <w:p w14:paraId="5116166E" w14:textId="77777777" w:rsidR="00DE32BB" w:rsidRDefault="00DE32BB" w:rsidP="00DE32BB">
      <w:pPr>
        <w:widowControl w:val="0"/>
        <w:autoSpaceDE w:val="0"/>
        <w:autoSpaceDN w:val="0"/>
        <w:spacing w:after="120" w:line="276" w:lineRule="auto"/>
        <w:jc w:val="both"/>
        <w:rPr>
          <w:rFonts w:ascii="Verdana" w:eastAsia="Calibri" w:hAnsi="Verdana" w:cs="Arial"/>
          <w:shd w:val="clear" w:color="auto" w:fill="FFFFFF"/>
          <w:lang w:val="es-ES_tradnl"/>
        </w:rPr>
      </w:pPr>
      <w:r w:rsidRPr="001764C3">
        <w:rPr>
          <w:rFonts w:ascii="Verdana" w:eastAsia="Calibri" w:hAnsi="Verdana" w:cs="Arial"/>
          <w:lang w:eastAsia="es-ES"/>
        </w:rPr>
        <w:t xml:space="preserve">La Agencia Nacional de Contratación Pública – Colombia Compra Eficiente se ha pronunciado sobre </w:t>
      </w:r>
      <w:r w:rsidRPr="001764C3">
        <w:rPr>
          <w:rFonts w:ascii="Verdana" w:eastAsia="Calibri" w:hAnsi="Verdana" w:cs="Arial"/>
          <w:shd w:val="clear" w:color="auto" w:fill="FFFFFF"/>
          <w:lang w:val="es-ES_tradnl"/>
        </w:rPr>
        <w:t>la acreditación de los indicadores de capacidad financiera y organizacional de los oferentes mediante el RUP en los conceptos No. 4201912000006798 del 24 de octubre de 2019, C-002 del 12 de febrero de</w:t>
      </w:r>
      <w:r w:rsidRPr="005440CD">
        <w:rPr>
          <w:rFonts w:ascii="Verdana" w:eastAsia="Calibri" w:hAnsi="Verdana" w:cs="Arial"/>
          <w:shd w:val="clear" w:color="auto" w:fill="FFFFFF"/>
          <w:lang w:val="es-ES_tradnl"/>
        </w:rPr>
        <w:t xml:space="preserve"> 2020, C-089 del 4 de marzo de 2020, C-099 del 06 de abril de 2020, C-166 del 14 de abril de 2020, C-233 del 16 de abril de 2020, C-326 del 9 de junio de 2020, C-140 del 9 de abril de 202, entre otros. </w:t>
      </w:r>
    </w:p>
    <w:p w14:paraId="57674DCE" w14:textId="77777777" w:rsidR="00DE32BB" w:rsidRPr="00847D72" w:rsidRDefault="00DE32BB" w:rsidP="00DE32BB">
      <w:pPr>
        <w:widowControl w:val="0"/>
        <w:autoSpaceDE w:val="0"/>
        <w:autoSpaceDN w:val="0"/>
        <w:spacing w:after="120" w:line="276" w:lineRule="auto"/>
        <w:jc w:val="both"/>
        <w:rPr>
          <w:rFonts w:ascii="Verdana" w:eastAsia="Calibri" w:hAnsi="Verdana" w:cs="Arial"/>
          <w:shd w:val="clear" w:color="auto" w:fill="FFFFFF"/>
          <w:lang w:val="es-ES_tradnl"/>
        </w:rPr>
      </w:pPr>
      <w:r w:rsidRPr="005440CD">
        <w:rPr>
          <w:rFonts w:ascii="Verdana" w:eastAsia="Calibri" w:hAnsi="Verdana" w:cs="Arial"/>
          <w:shd w:val="clear" w:color="auto" w:fill="FFFFFF"/>
          <w:lang w:val="es-ES_tradnl"/>
        </w:rPr>
        <w:t>Respecto a la reglamentación establecida en los Decretos 399 y 579 de 2021 y 1041 de 2022, se pronunció en los conceptos C-288 de 17 de junio de 2021, C-353 del 19 de julio de 2021, C-366 del 26 de julio de 2021 y C-372 del 28 de julio de 2021, C-406 del 8 de agosto de 2021, C-407 del 25 de agosto de 2021, C-439 de 5 de julio de 2022, C-831 del 28 de noviembre del 2022, C-005 de 21 de febrero de 2023, C-050 de 22 de marzo de 2023, C-185 de 8 de junio de 2023, C-277 de 14 de julio de 2023, C-350 del 28 de agosto de 2023</w:t>
      </w:r>
      <w:r>
        <w:rPr>
          <w:rFonts w:ascii="Verdana" w:eastAsia="Calibri" w:hAnsi="Verdana" w:cs="Arial"/>
          <w:shd w:val="clear" w:color="auto" w:fill="FFFFFF"/>
          <w:lang w:val="es-ES_tradnl"/>
        </w:rPr>
        <w:t>,</w:t>
      </w:r>
      <w:r w:rsidRPr="005440CD">
        <w:rPr>
          <w:rFonts w:ascii="Verdana" w:eastAsia="Calibri" w:hAnsi="Verdana" w:cs="Arial"/>
          <w:shd w:val="clear" w:color="auto" w:fill="FFFFFF"/>
          <w:lang w:val="es-ES_tradnl"/>
        </w:rPr>
        <w:t xml:space="preserve"> C-355 del 30 de agosto de 2023</w:t>
      </w:r>
      <w:r>
        <w:rPr>
          <w:rFonts w:ascii="Verdana" w:eastAsia="Calibri" w:hAnsi="Verdana" w:cs="Arial"/>
          <w:shd w:val="clear" w:color="auto" w:fill="FFFFFF"/>
          <w:lang w:val="es-ES_tradnl"/>
        </w:rPr>
        <w:t>, C-102 del 6 de marzo de 2025 y C-571 del 19 de junio de 2025, C-1156 del 29 de septiembre de 2025,</w:t>
      </w:r>
      <w:r>
        <w:rPr>
          <w:rFonts w:ascii="Verdana" w:eastAsia="Calibri" w:hAnsi="Verdana" w:cs="Arial"/>
          <w:lang w:eastAsia="es-ES"/>
        </w:rPr>
        <w:t xml:space="preserve"> </w:t>
      </w:r>
      <w:r>
        <w:rPr>
          <w:rFonts w:ascii="Verdana" w:eastAsia="Calibri" w:hAnsi="Verdana" w:cs="Arial"/>
          <w:shd w:val="clear" w:color="auto" w:fill="FFFFFF"/>
          <w:lang w:val="es-ES_tradnl"/>
        </w:rPr>
        <w:t xml:space="preserve">C-751 del 15 de mayo de 2026, </w:t>
      </w:r>
      <w:r w:rsidRPr="00622C01">
        <w:rPr>
          <w:rFonts w:ascii="Verdana" w:hAnsi="Verdana" w:cs="Arial"/>
          <w:shd w:val="clear" w:color="auto" w:fill="FFFFFF"/>
          <w:lang w:val="es-ES"/>
        </w:rPr>
        <w:t xml:space="preserve">entre otros. </w:t>
      </w:r>
      <w:r w:rsidRPr="00622C01">
        <w:rPr>
          <w:rFonts w:ascii="Verdana" w:hAnsi="Verdana" w:cs="Arial"/>
        </w:rPr>
        <w:t xml:space="preserve">Estos y otros </w:t>
      </w:r>
      <w:r w:rsidRPr="00622C01">
        <w:rPr>
          <w:rFonts w:ascii="Verdana" w:hAnsi="Verdana"/>
        </w:rPr>
        <w:t>conceptos se encuentran disponibles para consulta en el Sistema de relatoría de la Agencia, al cual se puede acceder a través del siguiente enlace:</w:t>
      </w:r>
      <w:r w:rsidRPr="00622C01">
        <w:rPr>
          <w:rFonts w:ascii="Verdana" w:hAnsi="Verdana" w:cs="Arial"/>
          <w:shd w:val="clear" w:color="auto" w:fill="FFFFFF"/>
        </w:rPr>
        <w:t xml:space="preserve"> </w:t>
      </w:r>
      <w:hyperlink r:id="rId12" w:history="1">
        <w:r w:rsidRPr="00622C01">
          <w:rPr>
            <w:rFonts w:ascii="Verdana" w:hAnsi="Verdana" w:cs="Arial"/>
            <w:color w:val="0563C1" w:themeColor="hyperlink"/>
            <w:u w:val="single"/>
            <w:shd w:val="clear" w:color="auto" w:fill="FFFFFF"/>
          </w:rPr>
          <w:t>https://relatoria.colombiacompra.gov.co/busqueda/conceptos</w:t>
        </w:r>
      </w:hyperlink>
      <w:r w:rsidRPr="00622C01">
        <w:rPr>
          <w:rFonts w:ascii="Verdana" w:hAnsi="Verdana" w:cs="Arial"/>
          <w:shd w:val="clear" w:color="auto" w:fill="FFFFFF"/>
        </w:rPr>
        <w:t>.</w:t>
      </w:r>
      <w:r w:rsidRPr="00147D6A">
        <w:rPr>
          <w:rFonts w:ascii="Verdana" w:hAnsi="Verdana" w:cs="Arial"/>
          <w:color w:val="FF0000"/>
          <w:shd w:val="clear" w:color="auto" w:fill="FFFFFF"/>
        </w:rPr>
        <w:t xml:space="preserve"> </w:t>
      </w:r>
    </w:p>
    <w:p w14:paraId="3120BB7E" w14:textId="77777777" w:rsidR="00DE32BB" w:rsidRDefault="00DE32BB" w:rsidP="00DE32BB">
      <w:pPr>
        <w:widowControl w:val="0"/>
        <w:autoSpaceDE w:val="0"/>
        <w:autoSpaceDN w:val="0"/>
        <w:spacing w:after="120" w:line="276" w:lineRule="auto"/>
        <w:jc w:val="both"/>
      </w:pPr>
      <w:r w:rsidRPr="00147D6A">
        <w:rPr>
          <w:rFonts w:ascii="Verdana" w:hAnsi="Verdana"/>
        </w:rPr>
        <w:t>La sostenibilidad no es una opción, es una obligación. Por ello</w:t>
      </w:r>
      <w:r w:rsidRPr="009A385A">
        <w:rPr>
          <w:rFonts w:ascii="Verdana" w:hAnsi="Verdana"/>
        </w:rPr>
        <w:t xml:space="preserve">, la Agencia Nacional de Contratación Pública –Colombia Compra Eficiente– te invita a realizar el </w:t>
      </w:r>
      <w:r w:rsidRPr="009A385A">
        <w:rPr>
          <w:rFonts w:ascii="Verdana" w:hAnsi="Verdana"/>
          <w:b/>
          <w:bCs/>
        </w:rPr>
        <w:t>Curso de Contratación Pública Sostenible y Socialmente Responsable</w:t>
      </w:r>
      <w:r w:rsidRPr="009A385A">
        <w:rPr>
          <w:rFonts w:ascii="Verdana" w:hAnsi="Verdana"/>
        </w:rPr>
        <w:t xml:space="preserve">, una herramienta clave para fortalecer las capacidades de todos los </w:t>
      </w:r>
      <w:r>
        <w:rPr>
          <w:rFonts w:ascii="Verdana" w:hAnsi="Verdana"/>
        </w:rPr>
        <w:t xml:space="preserve">compradores públicos, proveedores, servidores públicos v para </w:t>
      </w:r>
      <w:r w:rsidRPr="009A385A">
        <w:rPr>
          <w:rFonts w:ascii="Verdana" w:hAnsi="Verdana"/>
        </w:rPr>
        <w:t>generar mayor valor público. Accede al curso</w:t>
      </w:r>
      <w:r>
        <w:rPr>
          <w:rFonts w:ascii="Verdana" w:hAnsi="Verdana"/>
        </w:rPr>
        <w:t xml:space="preserve"> y aprende como implementar criterios sociales y ambientales en las diferentes etapas del proceso de contratación</w:t>
      </w:r>
      <w:r w:rsidRPr="009A385A">
        <w:rPr>
          <w:rFonts w:ascii="Verdana" w:hAnsi="Verdana"/>
        </w:rPr>
        <w:t>:</w:t>
      </w:r>
      <w:r w:rsidRPr="009A385A">
        <w:rPr>
          <w:rFonts w:ascii="Verdana" w:hAnsi="Verdana"/>
        </w:rPr>
        <w:br/>
      </w:r>
      <w:hyperlink r:id="rId13" w:tgtFrame="_new" w:history="1">
        <w:r w:rsidRPr="008746BD">
          <w:rPr>
            <w:rStyle w:val="Hipervnculo"/>
            <w:rFonts w:ascii="Verdana" w:hAnsi="Verdana"/>
          </w:rPr>
          <w:t>https://formacionvirtual.colombiacompra.gov.co/mod/page/view.php?id=3718</w:t>
        </w:r>
      </w:hyperlink>
    </w:p>
    <w:p w14:paraId="4FC59A94" w14:textId="77777777" w:rsidR="00DE32BB" w:rsidRDefault="00DE32BB" w:rsidP="00DE32BB">
      <w:pPr>
        <w:widowControl w:val="0"/>
        <w:autoSpaceDE w:val="0"/>
        <w:autoSpaceDN w:val="0"/>
        <w:spacing w:after="120" w:line="276" w:lineRule="auto"/>
        <w:jc w:val="both"/>
        <w:rPr>
          <w:rStyle w:val="Hipervnculo"/>
          <w:rFonts w:ascii="Verdana" w:hAnsi="Verdana" w:cs="Arial"/>
          <w:color w:val="auto"/>
          <w:u w:val="none"/>
          <w:shd w:val="clear" w:color="auto" w:fill="FFFFFF"/>
        </w:rPr>
      </w:pPr>
      <w:r>
        <w:rPr>
          <w:rFonts w:ascii="Verdana" w:hAnsi="Verdana"/>
        </w:rPr>
        <w:t>De otro lado, te contamos que</w:t>
      </w:r>
      <w:r w:rsidRPr="00B36954">
        <w:rPr>
          <w:rFonts w:ascii="Verdana" w:hAnsi="Verdana"/>
        </w:rPr>
        <w:t xml:space="preserve"> </w:t>
      </w:r>
      <w:r>
        <w:rPr>
          <w:rFonts w:ascii="Verdana" w:hAnsi="Verdana"/>
        </w:rPr>
        <w:t>esta</w:t>
      </w:r>
      <w:r w:rsidRPr="00B36954">
        <w:rPr>
          <w:rFonts w:ascii="Verdana" w:hAnsi="Verdana"/>
        </w:rPr>
        <w:t xml:space="preserve"> Agencia </w:t>
      </w:r>
      <w:r>
        <w:rPr>
          <w:rFonts w:ascii="Verdana" w:hAnsi="Verdana"/>
        </w:rPr>
        <w:t xml:space="preserve">ha </w:t>
      </w:r>
      <w:r w:rsidRPr="00635F16">
        <w:rPr>
          <w:rFonts w:ascii="Verdana" w:hAnsi="Verdana"/>
        </w:rPr>
        <w:t>da</w:t>
      </w:r>
      <w:r>
        <w:rPr>
          <w:rFonts w:ascii="Verdana" w:hAnsi="Verdana"/>
        </w:rPr>
        <w:t>do</w:t>
      </w:r>
      <w:r w:rsidRPr="00635F16">
        <w:rPr>
          <w:rFonts w:ascii="Verdana" w:hAnsi="Verdana"/>
        </w:rPr>
        <w:t xml:space="preserve"> un paso decisivo en la estandarización y modernización del </w:t>
      </w:r>
      <w:r w:rsidRPr="009A385A">
        <w:rPr>
          <w:rFonts w:ascii="Verdana" w:hAnsi="Verdana"/>
          <w:b/>
          <w:bCs/>
        </w:rPr>
        <w:t>sector social</w:t>
      </w:r>
      <w:r w:rsidRPr="00635F16">
        <w:rPr>
          <w:rFonts w:ascii="Verdana" w:hAnsi="Verdana"/>
        </w:rPr>
        <w:t xml:space="preserve"> con la expedición de las </w:t>
      </w:r>
      <w:r w:rsidRPr="000E1EA7">
        <w:rPr>
          <w:rFonts w:ascii="Verdana" w:hAnsi="Verdana"/>
          <w:b/>
          <w:bCs/>
        </w:rPr>
        <w:t>Resoluciones 539, 540, 541, 952 y 953 de 2025</w:t>
      </w:r>
      <w:r w:rsidRPr="000E1EA7">
        <w:rPr>
          <w:rFonts w:ascii="Verdana" w:hAnsi="Verdana"/>
        </w:rPr>
        <w:t xml:space="preserve">, </w:t>
      </w:r>
      <w:r w:rsidRPr="000E1EA7">
        <w:rPr>
          <w:rFonts w:ascii="Verdana" w:hAnsi="Verdana"/>
          <w:b/>
          <w:bCs/>
        </w:rPr>
        <w:t>mediante las cuales adoptó Documentos Tipo</w:t>
      </w:r>
      <w:r w:rsidRPr="000E1EA7">
        <w:rPr>
          <w:rFonts w:ascii="Verdana" w:hAnsi="Verdana"/>
        </w:rPr>
        <w:t xml:space="preserve"> para las modalidades de selección de</w:t>
      </w:r>
      <w:r w:rsidRPr="000E1EA7">
        <w:rPr>
          <w:rFonts w:ascii="Verdana" w:hAnsi="Verdana"/>
          <w:b/>
          <w:bCs/>
        </w:rPr>
        <w:t xml:space="preserve"> licitación pública (versión 2), selección abreviada de menor cuantía, mínima cuantía, consultoría e interventoría</w:t>
      </w:r>
      <w:r w:rsidRPr="000E1EA7">
        <w:rPr>
          <w:rFonts w:ascii="Verdana" w:hAnsi="Verdana"/>
        </w:rPr>
        <w:t xml:space="preserve">, promoviendo procesos más transparentes, eficientes  competitivos y sostenibles en sectores estratégicos como educación, salud, cultura, recreación, deporte, institucional y vivienda. Consulta y descarga los documentos aquí: </w:t>
      </w:r>
      <w:hyperlink r:id="rId14" w:tgtFrame="_new" w:history="1">
        <w:r w:rsidRPr="000E1EA7">
          <w:rPr>
            <w:rStyle w:val="Hipervnculo"/>
            <w:rFonts w:ascii="Verdana" w:hAnsi="Verdana"/>
          </w:rPr>
          <w:t>https://www.colombiacompra.gov.co/normativa-y-relatoria/documentos-tipo</w:t>
        </w:r>
      </w:hyperlink>
    </w:p>
    <w:p w14:paraId="6AC7F661" w14:textId="77777777" w:rsidR="00DE32BB" w:rsidRPr="00847D72" w:rsidRDefault="00DE32BB" w:rsidP="00DE32BB">
      <w:pPr>
        <w:widowControl w:val="0"/>
        <w:autoSpaceDE w:val="0"/>
        <w:autoSpaceDN w:val="0"/>
        <w:spacing w:after="120" w:line="276" w:lineRule="auto"/>
        <w:jc w:val="both"/>
        <w:rPr>
          <w:rStyle w:val="Hipervnculo"/>
          <w:rFonts w:ascii="Verdana" w:hAnsi="Verdana" w:cs="Arial"/>
          <w:color w:val="auto"/>
          <w:u w:val="none"/>
          <w:shd w:val="clear" w:color="auto" w:fill="FFFFFF"/>
        </w:rPr>
      </w:pPr>
      <w:r>
        <w:rPr>
          <w:rFonts w:ascii="Verdana" w:hAnsi="Verdana"/>
        </w:rPr>
        <w:t>Si quieres conocer más sobre la aplicación de Documentos Tipo</w:t>
      </w:r>
      <w:r w:rsidRPr="009A385A">
        <w:rPr>
          <w:rFonts w:ascii="Verdana" w:hAnsi="Verdana"/>
        </w:rPr>
        <w:t xml:space="preserve"> </w:t>
      </w:r>
      <w:r>
        <w:rPr>
          <w:rFonts w:ascii="Verdana" w:hAnsi="Verdana"/>
        </w:rPr>
        <w:t xml:space="preserve">puedes </w:t>
      </w:r>
      <w:r w:rsidRPr="00797327">
        <w:rPr>
          <w:rFonts w:ascii="Verdana" w:hAnsi="Verdana"/>
        </w:rPr>
        <w:t>consulta</w:t>
      </w:r>
      <w:r>
        <w:rPr>
          <w:rFonts w:ascii="Verdana" w:hAnsi="Verdana"/>
        </w:rPr>
        <w:t>r</w:t>
      </w:r>
      <w:r w:rsidRPr="009A385A">
        <w:rPr>
          <w:rFonts w:ascii="Verdana" w:hAnsi="Verdana"/>
        </w:rPr>
        <w:t xml:space="preserve"> la</w:t>
      </w:r>
      <w:r w:rsidRPr="00797327">
        <w:rPr>
          <w:rFonts w:ascii="Verdana" w:hAnsi="Verdana"/>
        </w:rPr>
        <w:t xml:space="preserve"> última versión de la</w:t>
      </w:r>
      <w:r w:rsidRPr="009A385A">
        <w:rPr>
          <w:rFonts w:ascii="Verdana" w:hAnsi="Verdana"/>
        </w:rPr>
        <w:t xml:space="preserve"> </w:t>
      </w:r>
      <w:r w:rsidRPr="009A385A">
        <w:rPr>
          <w:rFonts w:ascii="Verdana" w:hAnsi="Verdana"/>
          <w:b/>
          <w:bCs/>
        </w:rPr>
        <w:t>Guía para la comprensión e implementación de los Documentos Tipo de obra pública de infraestructura de transporte</w:t>
      </w:r>
      <w:r w:rsidRPr="00797327">
        <w:rPr>
          <w:rFonts w:ascii="Verdana" w:hAnsi="Verdana"/>
        </w:rPr>
        <w:t xml:space="preserve">. En </w:t>
      </w:r>
      <w:r>
        <w:rPr>
          <w:rFonts w:ascii="Verdana" w:hAnsi="Verdana"/>
        </w:rPr>
        <w:t xml:space="preserve">esta </w:t>
      </w:r>
      <w:r w:rsidRPr="00797327">
        <w:rPr>
          <w:rFonts w:ascii="Verdana" w:hAnsi="Verdana"/>
        </w:rPr>
        <w:t>actualización</w:t>
      </w:r>
      <w:r>
        <w:rPr>
          <w:rFonts w:ascii="Verdana" w:hAnsi="Verdana"/>
        </w:rPr>
        <w:t xml:space="preserve"> </w:t>
      </w:r>
      <w:r w:rsidRPr="00797327">
        <w:rPr>
          <w:rFonts w:ascii="Verdana" w:hAnsi="Verdana"/>
        </w:rPr>
        <w:t>se incorporaron orientaciones prácticas dirigidas a entidades públicas, proveedores, organismos de control y demás interesados, con el propósito de facilitar la adecuada implementación de est</w:t>
      </w:r>
      <w:r>
        <w:rPr>
          <w:rFonts w:ascii="Verdana" w:hAnsi="Verdana"/>
        </w:rPr>
        <w:t>os</w:t>
      </w:r>
      <w:r w:rsidRPr="00797327">
        <w:rPr>
          <w:rFonts w:ascii="Verdana" w:hAnsi="Verdana"/>
        </w:rPr>
        <w:t xml:space="preserve"> instrumento</w:t>
      </w:r>
      <w:r>
        <w:rPr>
          <w:rFonts w:ascii="Verdana" w:hAnsi="Verdana"/>
        </w:rPr>
        <w:t>s</w:t>
      </w:r>
      <w:r w:rsidRPr="00797327">
        <w:rPr>
          <w:rFonts w:ascii="Verdana" w:hAnsi="Verdana"/>
        </w:rPr>
        <w:t xml:space="preserve"> en los procesos contractuales.</w:t>
      </w:r>
      <w:r w:rsidRPr="009A385A">
        <w:rPr>
          <w:rFonts w:ascii="Verdana" w:hAnsi="Verdana"/>
        </w:rPr>
        <w:t xml:space="preserve"> </w:t>
      </w:r>
      <w:r w:rsidRPr="008746BD">
        <w:rPr>
          <w:rFonts w:ascii="Verdana" w:hAnsi="Verdana"/>
        </w:rPr>
        <w:t>Además se incluyeron lineamientos que orientan la implementación de los criterios ambientales y sociales incluidos en los documentos tipo: Consulta la guía aquí:</w:t>
      </w:r>
      <w:r w:rsidRPr="008746BD">
        <w:rPr>
          <w:rFonts w:ascii="Verdana" w:hAnsi="Verdana"/>
        </w:rPr>
        <w:br/>
      </w:r>
      <w:hyperlink r:id="rId15" w:tgtFrame="_new" w:history="1">
        <w:r w:rsidRPr="008746BD">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1443E68B" w14:textId="77777777" w:rsidR="00DE32BB" w:rsidRPr="007A3DD4" w:rsidRDefault="00DE32BB" w:rsidP="00DE32BB">
      <w:pPr>
        <w:widowControl w:val="0"/>
        <w:autoSpaceDE w:val="0"/>
        <w:autoSpaceDN w:val="0"/>
        <w:spacing w:after="120" w:line="276" w:lineRule="auto"/>
        <w:jc w:val="both"/>
        <w:rPr>
          <w:rFonts w:ascii="Verdana" w:hAnsi="Verdana" w:cs="Arial"/>
        </w:rPr>
      </w:pPr>
      <w:r w:rsidRPr="001A68FB">
        <w:rPr>
          <w:rFonts w:ascii="Verdana" w:hAnsi="Verdana"/>
        </w:rPr>
        <w:t>Por último, 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w:t>
      </w:r>
      <w:r w:rsidRPr="00116940">
        <w:rPr>
          <w:rFonts w:ascii="Verdana" w:hAnsi="Verdana"/>
        </w:rPr>
        <w:t xml:space="preserve"> </w:t>
      </w:r>
    </w:p>
    <w:p w14:paraId="0BF02D5A" w14:textId="77777777" w:rsidR="00DE32BB" w:rsidRPr="00116940" w:rsidRDefault="00DE32BB" w:rsidP="00DE32BB">
      <w:pPr>
        <w:pStyle w:val="Prrafodelista"/>
        <w:numPr>
          <w:ilvl w:val="0"/>
          <w:numId w:val="15"/>
        </w:numPr>
        <w:spacing w:after="0" w:line="276" w:lineRule="auto"/>
        <w:contextualSpacing w:val="0"/>
        <w:jc w:val="both"/>
        <w:rPr>
          <w:rFonts w:ascii="Verdana" w:eastAsia="Verdana" w:hAnsi="Verdana" w:cs="Verdana"/>
          <w:color w:val="4472C4" w:themeColor="accent1"/>
          <w:u w:val="single"/>
          <w:lang w:val="es-MX"/>
        </w:rPr>
      </w:pPr>
      <w:r w:rsidRPr="00116940">
        <w:rPr>
          <w:rFonts w:ascii="Verdana" w:eastAsia="Verdana" w:hAnsi="Verdana" w:cs="Verdana"/>
          <w:lang w:val="es-MX"/>
        </w:rPr>
        <w:t xml:space="preserve">Línea nacional gratuita o servicio a la ciudadanía (Mesa de servicio): </w:t>
      </w:r>
      <w:r w:rsidRPr="00116940">
        <w:rPr>
          <w:rStyle w:val="Hipervnculo"/>
          <w:rFonts w:ascii="Verdana" w:hAnsi="Verdana"/>
        </w:rPr>
        <w:t>01800 0520808</w:t>
      </w:r>
    </w:p>
    <w:p w14:paraId="18089AC8" w14:textId="77777777" w:rsidR="00DE32BB" w:rsidRPr="00116940" w:rsidRDefault="00DE32BB" w:rsidP="00DE32BB">
      <w:pPr>
        <w:pStyle w:val="Prrafodelista"/>
        <w:numPr>
          <w:ilvl w:val="0"/>
          <w:numId w:val="15"/>
        </w:numPr>
        <w:spacing w:after="0" w:line="276" w:lineRule="auto"/>
        <w:contextualSpacing w:val="0"/>
        <w:rPr>
          <w:rFonts w:ascii="Verdana" w:eastAsia="Verdana" w:hAnsi="Verdana" w:cs="Verdana"/>
          <w:color w:val="4472C4" w:themeColor="accent1"/>
          <w:u w:val="single"/>
          <w:lang w:val="es-MX"/>
        </w:rPr>
      </w:pPr>
      <w:r w:rsidRPr="00116940">
        <w:rPr>
          <w:rFonts w:ascii="Verdana" w:eastAsia="Verdana" w:hAnsi="Verdana" w:cs="Verdana"/>
          <w:lang w:val="es-MX"/>
        </w:rPr>
        <w:t>Línea en Bogotá (Mesa de servicio):</w:t>
      </w:r>
      <w:r w:rsidRPr="00116940">
        <w:rPr>
          <w:rStyle w:val="Hipervnculo"/>
          <w:rFonts w:ascii="Verdana" w:hAnsi="Verdana"/>
        </w:rPr>
        <w:t>+57 601 7456788</w:t>
      </w:r>
    </w:p>
    <w:p w14:paraId="1D26B044" w14:textId="77777777" w:rsidR="00DE32BB" w:rsidRPr="00116940" w:rsidRDefault="00DE32BB" w:rsidP="00DE32BB">
      <w:pPr>
        <w:pStyle w:val="Prrafodelista"/>
        <w:numPr>
          <w:ilvl w:val="0"/>
          <w:numId w:val="15"/>
        </w:numPr>
        <w:spacing w:after="0" w:line="276" w:lineRule="auto"/>
        <w:contextualSpacing w:val="0"/>
        <w:rPr>
          <w:rFonts w:ascii="Verdana" w:eastAsia="Verdana" w:hAnsi="Verdana" w:cs="Verdana"/>
          <w:color w:val="0000FF"/>
          <w:u w:val="single"/>
          <w:lang w:val="es-MX"/>
        </w:rPr>
      </w:pPr>
      <w:r w:rsidRPr="00116940">
        <w:rPr>
          <w:rFonts w:ascii="Verdana" w:eastAsia="Verdana" w:hAnsi="Verdana" w:cs="Verdana"/>
          <w:lang w:val="es-MX"/>
        </w:rPr>
        <w:t xml:space="preserve">Correo de radicación de correspondencia: </w:t>
      </w:r>
      <w:hyperlink r:id="rId16">
        <w:r w:rsidRPr="00116940">
          <w:rPr>
            <w:rStyle w:val="Hipervnculo"/>
            <w:rFonts w:ascii="Verdana" w:eastAsia="Verdana" w:hAnsi="Verdana" w:cs="Verdana"/>
            <w:lang w:val="es-MX"/>
          </w:rPr>
          <w:t>ventanilladeradicacion@colombiacompra.gov.co</w:t>
        </w:r>
      </w:hyperlink>
    </w:p>
    <w:p w14:paraId="7044F0B9" w14:textId="77777777" w:rsidR="00DE32BB" w:rsidRPr="00DD2E5C" w:rsidRDefault="00DE32BB" w:rsidP="00DE32BB">
      <w:pPr>
        <w:pStyle w:val="Prrafodelista"/>
        <w:numPr>
          <w:ilvl w:val="0"/>
          <w:numId w:val="15"/>
        </w:numPr>
        <w:spacing w:after="0" w:line="276" w:lineRule="auto"/>
        <w:contextualSpacing w:val="0"/>
        <w:rPr>
          <w:rFonts w:ascii="Verdana" w:eastAsia="Verdana" w:hAnsi="Verdana" w:cs="Verdana"/>
          <w:color w:val="0000FF"/>
          <w:u w:val="single"/>
          <w:lang w:val="es-MX"/>
        </w:rPr>
      </w:pPr>
      <w:r w:rsidRPr="00116940">
        <w:rPr>
          <w:rFonts w:ascii="Verdana" w:eastAsia="Verdana" w:hAnsi="Verdana" w:cs="Verdana"/>
        </w:rPr>
        <w:t>Formulario web para</w:t>
      </w:r>
      <w:r w:rsidRPr="00116940">
        <w:rPr>
          <w:rFonts w:ascii="Verdana" w:eastAsia="Verdana" w:hAnsi="Verdana" w:cs="Verdana"/>
          <w:lang w:val="es"/>
        </w:rPr>
        <w:t xml:space="preserve"> PQRSD: </w:t>
      </w:r>
      <w:hyperlink r:id="rId17">
        <w:r w:rsidRPr="00116940">
          <w:rPr>
            <w:rStyle w:val="Hipervnculo"/>
            <w:rFonts w:ascii="Verdana" w:eastAsia="Verdana" w:hAnsi="Verdana" w:cs="Verdana"/>
            <w:lang w:val="es-MX"/>
          </w:rPr>
          <w:t>https://www.colombiacompra.gov.co/pqrsd/informacion-importante-antes-de-formular-una-pqrsd</w:t>
        </w:r>
      </w:hyperlink>
    </w:p>
    <w:p w14:paraId="1FD3E91D" w14:textId="77777777" w:rsidR="00DE32BB" w:rsidRDefault="00DE32BB" w:rsidP="00DE32BB">
      <w:pPr>
        <w:spacing w:after="0" w:line="276" w:lineRule="auto"/>
        <w:jc w:val="both"/>
        <w:rPr>
          <w:rFonts w:ascii="Verdana" w:hAnsi="Verdana"/>
        </w:rPr>
      </w:pPr>
      <w:r w:rsidRPr="00116940">
        <w:rPr>
          <w:rFonts w:ascii="Verdana" w:hAnsi="Verdana"/>
        </w:rPr>
        <w:t>Evalúa el servicio que ofrece la Agencia por el canal de atención de PQRSD en el siguiente enlace:</w:t>
      </w:r>
      <w:r>
        <w:rPr>
          <w:rFonts w:ascii="Verdana" w:hAnsi="Verdana"/>
        </w:rPr>
        <w:t xml:space="preserve"> </w:t>
      </w:r>
      <w:hyperlink r:id="rId18" w:history="1">
        <w:r w:rsidRPr="008746BD">
          <w:rPr>
            <w:rStyle w:val="Hipervnculo"/>
            <w:rFonts w:ascii="Verdana" w:eastAsia="Verdana" w:hAnsi="Verdana" w:cs="Verdana"/>
            <w:lang w:val="es-MX"/>
          </w:rPr>
          <w:t>https://forms.office.com/r/pPHyWVs2SZ</w:t>
        </w:r>
      </w:hyperlink>
      <w:r w:rsidRPr="008746BD">
        <w:rPr>
          <w:rStyle w:val="Hipervnculo"/>
          <w:rFonts w:ascii="Verdana" w:eastAsia="Verdana" w:hAnsi="Verdana" w:cs="Verdana"/>
          <w:lang w:val="es-MX"/>
        </w:rPr>
        <w:t>.</w:t>
      </w:r>
      <w:r>
        <w:rPr>
          <w:rFonts w:ascii="Verdana" w:hAnsi="Verdana"/>
        </w:rPr>
        <w:t xml:space="preserve"> </w:t>
      </w:r>
      <w:r w:rsidRPr="00116940">
        <w:rPr>
          <w:rFonts w:ascii="Verdana" w:hAnsi="Verdana"/>
        </w:rPr>
        <w:t>¡Ayúdanos a mejorar porque el compromiso es de todos!</w:t>
      </w:r>
    </w:p>
    <w:p w14:paraId="1FA2B369" w14:textId="77777777" w:rsidR="00DE32BB" w:rsidRDefault="00DE32BB" w:rsidP="00DE32BB">
      <w:pPr>
        <w:spacing w:after="0" w:line="240" w:lineRule="auto"/>
        <w:jc w:val="both"/>
        <w:rPr>
          <w:rFonts w:ascii="Verdana" w:hAnsi="Verdana"/>
        </w:rPr>
      </w:pPr>
    </w:p>
    <w:p w14:paraId="3FC98DA0" w14:textId="77777777" w:rsidR="00DE32BB" w:rsidRPr="00116940" w:rsidRDefault="00DE32BB" w:rsidP="00DE32BB">
      <w:pPr>
        <w:spacing w:after="0" w:line="276" w:lineRule="auto"/>
        <w:jc w:val="both"/>
        <w:rPr>
          <w:rFonts w:ascii="Verdana" w:hAnsi="Verdana"/>
        </w:rPr>
      </w:pPr>
      <w:r w:rsidRPr="00116940">
        <w:rPr>
          <w:rFonts w:ascii="Verdana" w:hAnsi="Verdana"/>
        </w:rPr>
        <w:t xml:space="preserve">Por último, lo invitamos a seguirnos en las redes sociales en las cuales se difunde información institucional: </w:t>
      </w:r>
    </w:p>
    <w:p w14:paraId="324AFBBB" w14:textId="77777777" w:rsidR="00DE32BB" w:rsidRPr="00116940" w:rsidRDefault="00DE32BB" w:rsidP="00DE32BB">
      <w:pPr>
        <w:spacing w:after="0" w:line="276"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01A80F27" w14:textId="77777777" w:rsidR="00DE32BB" w:rsidRPr="00116940" w:rsidRDefault="00DE32BB" w:rsidP="00DE32BB">
      <w:pPr>
        <w:spacing w:after="0" w:line="276" w:lineRule="auto"/>
        <w:jc w:val="both"/>
        <w:rPr>
          <w:rFonts w:ascii="Verdana" w:hAnsi="Verdana"/>
        </w:rPr>
      </w:pPr>
      <w:r w:rsidRPr="00116940">
        <w:rPr>
          <w:rFonts w:ascii="Verdana" w:hAnsi="Verdana"/>
        </w:rPr>
        <w:t xml:space="preserve">Facebook: </w:t>
      </w:r>
      <w:proofErr w:type="spellStart"/>
      <w:r w:rsidRPr="00116940">
        <w:rPr>
          <w:rStyle w:val="Hipervnculo"/>
          <w:rFonts w:ascii="Verdana" w:hAnsi="Verdana"/>
        </w:rPr>
        <w:t>ColombiaCompraEficiente</w:t>
      </w:r>
      <w:proofErr w:type="spellEnd"/>
    </w:p>
    <w:p w14:paraId="2759F2F5" w14:textId="77777777" w:rsidR="00DE32BB" w:rsidRPr="00116940" w:rsidRDefault="00DE32BB" w:rsidP="00DE32BB">
      <w:pPr>
        <w:spacing w:after="0" w:line="276" w:lineRule="auto"/>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40CA65CA" w14:textId="77777777" w:rsidR="00DE32BB" w:rsidRDefault="00DE32BB" w:rsidP="00DE32BB">
      <w:pPr>
        <w:spacing w:after="0" w:line="240" w:lineRule="auto"/>
        <w:jc w:val="both"/>
        <w:rPr>
          <w:rFonts w:ascii="Century Gothic" w:eastAsia="Century Gothic" w:hAnsi="Century Gothic" w:cs="Century Gothic"/>
          <w:lang w:val="es-ES" w:eastAsia="es-ES_tradnl"/>
        </w:rPr>
      </w:pPr>
    </w:p>
    <w:p w14:paraId="2FAFD1FC" w14:textId="77777777" w:rsidR="00DE32BB" w:rsidRPr="00842775" w:rsidRDefault="00DE32BB" w:rsidP="00DE32BB">
      <w:pPr>
        <w:spacing w:after="120" w:line="276" w:lineRule="auto"/>
        <w:jc w:val="both"/>
        <w:rPr>
          <w:rFonts w:ascii="Verdana" w:hAnsi="Verdana"/>
          <w:lang w:val="es-MX"/>
        </w:rPr>
      </w:pPr>
      <w:r w:rsidRPr="00842775">
        <w:rPr>
          <w:rFonts w:ascii="Verdana" w:eastAsia="Century Gothic" w:hAnsi="Verdana" w:cs="Century Gothic"/>
          <w:lang w:val="es-ES" w:eastAsia="es-ES_tradnl"/>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r>
        <w:rPr>
          <w:rFonts w:ascii="Verdana" w:eastAsia="Century Gothic" w:hAnsi="Verdana" w:cs="Century Gothic"/>
          <w:lang w:val="es-ES" w:eastAsia="es-ES_tradnl"/>
        </w:rPr>
        <w:t>.</w:t>
      </w:r>
    </w:p>
    <w:p w14:paraId="07177962" w14:textId="77777777" w:rsidR="00DE32BB" w:rsidRPr="00330029" w:rsidRDefault="00DE32BB" w:rsidP="00DE32BB">
      <w:pPr>
        <w:spacing w:after="0" w:line="276" w:lineRule="auto"/>
        <w:jc w:val="both"/>
        <w:rPr>
          <w:rFonts w:ascii="Verdana" w:hAnsi="Verdana"/>
          <w:lang w:val="es-MX"/>
        </w:rPr>
      </w:pPr>
      <w:r w:rsidRPr="00E02524">
        <w:rPr>
          <w:rFonts w:ascii="Verdana" w:hAnsi="Verdana"/>
          <w:lang w:val="es-MX"/>
        </w:rPr>
        <w:t>Cordialmente,</w:t>
      </w:r>
    </w:p>
    <w:p w14:paraId="2A9846FF" w14:textId="1F1571E0" w:rsidR="00DE32BB" w:rsidRDefault="00DD2E5C" w:rsidP="00DE32BB">
      <w:pPr>
        <w:spacing w:after="0" w:line="256" w:lineRule="auto"/>
        <w:jc w:val="center"/>
        <w:rPr>
          <w:rFonts w:ascii="Verdana" w:eastAsia="Calibri" w:hAnsi="Verdana" w:cs="Times New Roman"/>
        </w:rPr>
      </w:pPr>
      <w:r w:rsidRPr="0065791A">
        <w:rPr>
          <w:rFonts w:ascii="Century Gothic" w:hAnsi="Century Gothic"/>
          <w:noProof/>
        </w:rPr>
        <w:drawing>
          <wp:inline distT="0" distB="0" distL="0" distR="0" wp14:anchorId="14BE6F3A" wp14:editId="69584580">
            <wp:extent cx="3369212" cy="1587418"/>
            <wp:effectExtent l="0" t="0" r="3175" b="0"/>
            <wp:docPr id="119417683" name="Imagen 1" descr="Interfaz de usuario gráfica, Texto, Aplicación&#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417683" name="Imagen 1" descr="Interfaz de usuario gráfica, Texto, Aplicación&#10;&#10;Descripción generada automáticamente con confianza media"/>
                    <pic:cNvPicPr/>
                  </pic:nvPicPr>
                  <pic:blipFill>
                    <a:blip r:embed="rId19"/>
                    <a:stretch>
                      <a:fillRect/>
                    </a:stretch>
                  </pic:blipFill>
                  <pic:spPr>
                    <a:xfrm>
                      <a:off x="0" y="0"/>
                      <a:ext cx="3405296" cy="1604419"/>
                    </a:xfrm>
                    <a:prstGeom prst="rect">
                      <a:avLst/>
                    </a:prstGeom>
                  </pic:spPr>
                </pic:pic>
              </a:graphicData>
            </a:graphic>
          </wp:inline>
        </w:drawing>
      </w:r>
    </w:p>
    <w:p w14:paraId="2EE8666D" w14:textId="565B0BF0" w:rsidR="00DE32BB" w:rsidRDefault="00DE32BB" w:rsidP="00DE32BB">
      <w:pPr>
        <w:spacing w:after="0" w:line="256" w:lineRule="auto"/>
        <w:jc w:val="center"/>
        <w:rPr>
          <w:rFonts w:ascii="Verdana" w:eastAsia="Calibri" w:hAnsi="Verdana" w:cs="Times New Roman"/>
        </w:rPr>
      </w:pPr>
    </w:p>
    <w:tbl>
      <w:tblPr>
        <w:tblStyle w:val="Tablaconcuadrcula"/>
        <w:tblW w:w="595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061"/>
      </w:tblGrid>
      <w:tr w:rsidR="00DE32BB" w:rsidRPr="005644FE" w14:paraId="239898DB" w14:textId="77777777" w:rsidTr="00487144">
        <w:trPr>
          <w:trHeight w:val="288"/>
        </w:trPr>
        <w:tc>
          <w:tcPr>
            <w:tcW w:w="893" w:type="dxa"/>
            <w:vAlign w:val="center"/>
            <w:hideMark/>
          </w:tcPr>
          <w:p w14:paraId="24AE2982" w14:textId="77777777" w:rsidR="00DE32BB" w:rsidRPr="005644FE" w:rsidRDefault="00DE32BB" w:rsidP="00487144">
            <w:pPr>
              <w:contextualSpacing/>
              <w:rPr>
                <w:rFonts w:ascii="Verdana" w:hAnsi="Verdana" w:cs="Arial"/>
                <w:sz w:val="16"/>
                <w:szCs w:val="16"/>
                <w:lang w:eastAsia="es-ES"/>
              </w:rPr>
            </w:pPr>
            <w:r w:rsidRPr="005644FE">
              <w:rPr>
                <w:rFonts w:ascii="Verdana" w:hAnsi="Verdana" w:cs="Arial"/>
                <w:sz w:val="16"/>
                <w:szCs w:val="16"/>
                <w:lang w:eastAsia="es-ES"/>
              </w:rPr>
              <w:t>Elaboró:</w:t>
            </w:r>
          </w:p>
        </w:tc>
        <w:tc>
          <w:tcPr>
            <w:tcW w:w="5061" w:type="dxa"/>
            <w:tcBorders>
              <w:top w:val="nil"/>
              <w:left w:val="nil"/>
              <w:bottom w:val="dotted" w:sz="4" w:space="0" w:color="7F7F7F" w:themeColor="text1" w:themeTint="80"/>
              <w:right w:val="nil"/>
            </w:tcBorders>
            <w:vAlign w:val="center"/>
            <w:hideMark/>
          </w:tcPr>
          <w:p w14:paraId="487B25C3" w14:textId="77777777" w:rsidR="00DE32BB" w:rsidRPr="005644FE" w:rsidRDefault="00DE32BB" w:rsidP="00487144">
            <w:pPr>
              <w:contextualSpacing/>
              <w:rPr>
                <w:rStyle w:val="normaltextrun"/>
                <w:rFonts w:ascii="Verdana" w:hAnsi="Verdana"/>
                <w:sz w:val="16"/>
                <w:szCs w:val="16"/>
              </w:rPr>
            </w:pPr>
            <w:r w:rsidRPr="005644FE">
              <w:rPr>
                <w:rStyle w:val="normaltextrun"/>
                <w:rFonts w:ascii="Verdana" w:hAnsi="Verdana"/>
                <w:sz w:val="16"/>
                <w:szCs w:val="16"/>
              </w:rPr>
              <w:t xml:space="preserve">Esperanza Contreras P </w:t>
            </w:r>
          </w:p>
          <w:p w14:paraId="376472E5" w14:textId="77777777" w:rsidR="00DE32BB" w:rsidRPr="005644FE" w:rsidRDefault="00DE32BB" w:rsidP="00487144">
            <w:pPr>
              <w:contextualSpacing/>
              <w:rPr>
                <w:rFonts w:ascii="Verdana" w:eastAsia="Arial" w:hAnsi="Verdana" w:cs="Arial"/>
                <w:sz w:val="16"/>
                <w:szCs w:val="16"/>
              </w:rPr>
            </w:pPr>
            <w:r w:rsidRPr="005644FE">
              <w:rPr>
                <w:rStyle w:val="normaltextrun"/>
                <w:rFonts w:ascii="Verdana" w:hAnsi="Verdana" w:cs="Arial"/>
                <w:sz w:val="16"/>
                <w:szCs w:val="16"/>
              </w:rPr>
              <w:t>Contratista de la Subdirección de Gestión Contractual</w:t>
            </w:r>
            <w:r w:rsidRPr="005644FE">
              <w:rPr>
                <w:rStyle w:val="eop"/>
                <w:rFonts w:ascii="Verdana" w:hAnsi="Verdana" w:cs="Arial"/>
                <w:sz w:val="16"/>
                <w:szCs w:val="16"/>
              </w:rPr>
              <w:t> </w:t>
            </w:r>
          </w:p>
        </w:tc>
      </w:tr>
      <w:tr w:rsidR="00DE32BB" w:rsidRPr="005644FE" w14:paraId="4AE71A0C" w14:textId="77777777" w:rsidTr="00487144">
        <w:trPr>
          <w:trHeight w:val="330"/>
        </w:trPr>
        <w:tc>
          <w:tcPr>
            <w:tcW w:w="893" w:type="dxa"/>
            <w:vAlign w:val="center"/>
            <w:hideMark/>
          </w:tcPr>
          <w:p w14:paraId="302CBEFC" w14:textId="77777777" w:rsidR="00DE32BB" w:rsidRPr="005644FE" w:rsidRDefault="00DE32BB" w:rsidP="00487144">
            <w:pPr>
              <w:contextualSpacing/>
              <w:rPr>
                <w:rFonts w:ascii="Verdana" w:hAnsi="Verdana" w:cs="Arial"/>
                <w:sz w:val="16"/>
                <w:szCs w:val="16"/>
                <w:lang w:eastAsia="es-ES"/>
              </w:rPr>
            </w:pPr>
            <w:r w:rsidRPr="005644FE">
              <w:rPr>
                <w:rFonts w:ascii="Verdana" w:hAnsi="Verdana" w:cs="Arial"/>
                <w:sz w:val="16"/>
                <w:szCs w:val="16"/>
                <w:lang w:eastAsia="es-ES"/>
              </w:rPr>
              <w:t>Revisó:</w:t>
            </w:r>
          </w:p>
        </w:tc>
        <w:tc>
          <w:tcPr>
            <w:tcW w:w="5061" w:type="dxa"/>
            <w:tcBorders>
              <w:top w:val="dotted" w:sz="4" w:space="0" w:color="7F7F7F" w:themeColor="text1" w:themeTint="80"/>
              <w:left w:val="nil"/>
              <w:bottom w:val="dotted" w:sz="4" w:space="0" w:color="7F7F7F" w:themeColor="text1" w:themeTint="80"/>
              <w:right w:val="nil"/>
            </w:tcBorders>
            <w:vAlign w:val="center"/>
            <w:hideMark/>
          </w:tcPr>
          <w:p w14:paraId="3FA79094" w14:textId="77777777" w:rsidR="00DE32BB" w:rsidRPr="00147D6A" w:rsidRDefault="00DE32BB" w:rsidP="00487144">
            <w:pPr>
              <w:pStyle w:val="paragraph"/>
              <w:spacing w:before="0" w:beforeAutospacing="0" w:after="0" w:afterAutospacing="0"/>
              <w:contextualSpacing/>
              <w:textAlignment w:val="baseline"/>
              <w:rPr>
                <w:rStyle w:val="normaltextrun"/>
                <w:rFonts w:ascii="Verdana" w:hAnsi="Verdana"/>
                <w:sz w:val="16"/>
                <w:szCs w:val="16"/>
              </w:rPr>
            </w:pPr>
            <w:r w:rsidRPr="00147D6A">
              <w:rPr>
                <w:rStyle w:val="normaltextrun"/>
                <w:rFonts w:ascii="Verdana" w:hAnsi="Verdana"/>
                <w:sz w:val="16"/>
                <w:szCs w:val="16"/>
              </w:rPr>
              <w:t xml:space="preserve">Adriana </w:t>
            </w:r>
            <w:proofErr w:type="spellStart"/>
            <w:r w:rsidRPr="00147D6A">
              <w:rPr>
                <w:rStyle w:val="normaltextrun"/>
                <w:rFonts w:ascii="Verdana" w:hAnsi="Verdana"/>
                <w:sz w:val="16"/>
                <w:szCs w:val="16"/>
              </w:rPr>
              <w:t>Katerine</w:t>
            </w:r>
            <w:proofErr w:type="spellEnd"/>
            <w:r w:rsidRPr="00147D6A">
              <w:rPr>
                <w:rStyle w:val="normaltextrun"/>
                <w:rFonts w:ascii="Verdana" w:hAnsi="Verdana"/>
                <w:sz w:val="16"/>
                <w:szCs w:val="16"/>
              </w:rPr>
              <w:t xml:space="preserve"> López</w:t>
            </w:r>
            <w:r>
              <w:rPr>
                <w:rStyle w:val="normaltextrun"/>
                <w:rFonts w:ascii="Verdana" w:hAnsi="Verdana"/>
                <w:sz w:val="16"/>
                <w:szCs w:val="16"/>
              </w:rPr>
              <w:t xml:space="preserve"> Rodríguez. </w:t>
            </w:r>
          </w:p>
          <w:p w14:paraId="1A625F1A" w14:textId="77777777" w:rsidR="00DE32BB" w:rsidRPr="00147D6A" w:rsidRDefault="00DE32BB" w:rsidP="00487144">
            <w:pPr>
              <w:pStyle w:val="paragraph"/>
              <w:spacing w:before="0" w:beforeAutospacing="0" w:after="0" w:afterAutospacing="0"/>
              <w:contextualSpacing/>
              <w:textAlignment w:val="baseline"/>
              <w:rPr>
                <w:rFonts w:ascii="Verdana" w:hAnsi="Verdana" w:cs="Segoe UI"/>
                <w:sz w:val="16"/>
                <w:szCs w:val="16"/>
              </w:rPr>
            </w:pPr>
            <w:r w:rsidRPr="00147D6A">
              <w:rPr>
                <w:rStyle w:val="normaltextrun"/>
                <w:rFonts w:ascii="Verdana" w:hAnsi="Verdana"/>
                <w:sz w:val="16"/>
                <w:szCs w:val="16"/>
              </w:rPr>
              <w:t xml:space="preserve">Contratista Subdirección Gestión Contractual  </w:t>
            </w:r>
          </w:p>
        </w:tc>
      </w:tr>
      <w:tr w:rsidR="00DE32BB" w:rsidRPr="005644FE" w14:paraId="31090639" w14:textId="77777777" w:rsidTr="00487144">
        <w:trPr>
          <w:trHeight w:val="300"/>
        </w:trPr>
        <w:tc>
          <w:tcPr>
            <w:tcW w:w="893" w:type="dxa"/>
            <w:vAlign w:val="center"/>
          </w:tcPr>
          <w:p w14:paraId="1EDF21A4" w14:textId="77777777" w:rsidR="00DE32BB" w:rsidRPr="005644FE" w:rsidRDefault="00DE32BB" w:rsidP="00487144">
            <w:pPr>
              <w:contextualSpacing/>
              <w:rPr>
                <w:rFonts w:ascii="Verdana" w:hAnsi="Verdana" w:cs="Arial"/>
                <w:sz w:val="16"/>
                <w:szCs w:val="16"/>
                <w:lang w:eastAsia="es-ES"/>
              </w:rPr>
            </w:pPr>
            <w:r w:rsidRPr="005644FE">
              <w:rPr>
                <w:rFonts w:ascii="Verdana" w:hAnsi="Verdana" w:cs="Arial"/>
                <w:sz w:val="16"/>
                <w:szCs w:val="16"/>
                <w:lang w:eastAsia="es-ES"/>
              </w:rPr>
              <w:t>Aprobó:</w:t>
            </w:r>
          </w:p>
        </w:tc>
        <w:tc>
          <w:tcPr>
            <w:tcW w:w="5061" w:type="dxa"/>
            <w:tcBorders>
              <w:top w:val="dotted" w:sz="4" w:space="0" w:color="7F7F7F" w:themeColor="text1" w:themeTint="80"/>
              <w:left w:val="nil"/>
              <w:bottom w:val="dotted" w:sz="4" w:space="0" w:color="7F7F7F" w:themeColor="text1" w:themeTint="80"/>
              <w:right w:val="nil"/>
            </w:tcBorders>
            <w:vAlign w:val="center"/>
          </w:tcPr>
          <w:p w14:paraId="711A5DE7" w14:textId="77777777" w:rsidR="00DE32BB" w:rsidRPr="00147D6A" w:rsidRDefault="00DE32BB" w:rsidP="00487144">
            <w:pPr>
              <w:contextualSpacing/>
              <w:rPr>
                <w:rFonts w:ascii="Verdana" w:eastAsia="Calibri" w:hAnsi="Verdana" w:cs="Arial"/>
                <w:sz w:val="16"/>
                <w:szCs w:val="16"/>
                <w:lang w:eastAsia="es-ES"/>
              </w:rPr>
            </w:pPr>
            <w:r w:rsidRPr="00147D6A">
              <w:rPr>
                <w:rFonts w:ascii="Verdana" w:eastAsia="Calibri" w:hAnsi="Verdana" w:cs="Arial"/>
                <w:sz w:val="16"/>
                <w:szCs w:val="16"/>
                <w:lang w:eastAsia="es-ES"/>
              </w:rPr>
              <w:t>Carolina Quintero Gacharná</w:t>
            </w:r>
          </w:p>
          <w:p w14:paraId="1B915225" w14:textId="77777777" w:rsidR="00DE32BB" w:rsidRPr="00147D6A" w:rsidRDefault="00DE32BB" w:rsidP="00487144">
            <w:pPr>
              <w:contextualSpacing/>
              <w:rPr>
                <w:rFonts w:ascii="Verdana" w:eastAsia="Calibri" w:hAnsi="Verdana" w:cs="Arial"/>
                <w:sz w:val="16"/>
                <w:szCs w:val="16"/>
                <w:lang w:eastAsia="es-ES"/>
              </w:rPr>
            </w:pPr>
            <w:r w:rsidRPr="00147D6A">
              <w:rPr>
                <w:rFonts w:ascii="Verdana" w:eastAsia="Calibri" w:hAnsi="Verdana" w:cs="Arial"/>
                <w:sz w:val="16"/>
                <w:szCs w:val="16"/>
                <w:lang w:eastAsia="es-ES"/>
              </w:rPr>
              <w:t>Subdirectora de Gestión Contractual ANCP – CCE</w:t>
            </w:r>
          </w:p>
        </w:tc>
      </w:tr>
      <w:bookmarkEnd w:id="1"/>
    </w:tbl>
    <w:p w14:paraId="424075B3" w14:textId="77777777" w:rsidR="00DE32BB" w:rsidRPr="0024624F" w:rsidRDefault="00DE32BB" w:rsidP="00DE32BB">
      <w:pPr>
        <w:spacing w:after="0"/>
        <w:rPr>
          <w:rFonts w:ascii="Verdana" w:eastAsia="Verdana" w:hAnsi="Verdana" w:cs="Verdana"/>
        </w:rPr>
      </w:pPr>
    </w:p>
    <w:p w14:paraId="3DF02852" w14:textId="77777777" w:rsidR="00DE32BB" w:rsidRPr="00A374FD" w:rsidRDefault="00DE32BB" w:rsidP="00DE32BB"/>
    <w:p w14:paraId="4147B8E4" w14:textId="77777777" w:rsidR="00DE32BB" w:rsidRPr="00A35A17" w:rsidRDefault="00DE32BB" w:rsidP="00DE32BB"/>
    <w:p w14:paraId="778CDA44" w14:textId="77777777" w:rsidR="00DE32BB" w:rsidRPr="0024624F" w:rsidRDefault="00DE32BB" w:rsidP="00DE32BB">
      <w:pPr>
        <w:spacing w:after="0"/>
        <w:rPr>
          <w:rFonts w:ascii="Verdana" w:eastAsia="Verdana" w:hAnsi="Verdana" w:cs="Verdana"/>
        </w:rPr>
      </w:pPr>
    </w:p>
    <w:bookmarkEnd w:id="0"/>
    <w:p w14:paraId="348BFBD8" w14:textId="77777777" w:rsidR="00DE32BB" w:rsidRPr="0024624F" w:rsidRDefault="00DE32BB" w:rsidP="30821638">
      <w:pPr>
        <w:spacing w:after="0"/>
        <w:rPr>
          <w:rFonts w:ascii="Verdana" w:eastAsia="Verdana" w:hAnsi="Verdana" w:cs="Verdana"/>
        </w:rPr>
      </w:pPr>
    </w:p>
    <w:sectPr w:rsidR="00DE32BB" w:rsidRPr="0024624F" w:rsidSect="007C0C0F">
      <w:headerReference w:type="default" r:id="rId20"/>
      <w:footerReference w:type="default" r:id="rId21"/>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AD22D0" w14:textId="77777777" w:rsidR="0093790F" w:rsidRDefault="0093790F" w:rsidP="004A1847">
      <w:pPr>
        <w:spacing w:after="0" w:line="240" w:lineRule="auto"/>
      </w:pPr>
      <w:r>
        <w:separator/>
      </w:r>
    </w:p>
  </w:endnote>
  <w:endnote w:type="continuationSeparator" w:id="0">
    <w:p w14:paraId="320C8B22" w14:textId="77777777" w:rsidR="0093790F" w:rsidRDefault="0093790F"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0A488E" w14:textId="77777777" w:rsidR="0093790F" w:rsidRDefault="0093790F" w:rsidP="004A1847">
      <w:pPr>
        <w:spacing w:after="0" w:line="240" w:lineRule="auto"/>
      </w:pPr>
      <w:r>
        <w:separator/>
      </w:r>
    </w:p>
  </w:footnote>
  <w:footnote w:type="continuationSeparator" w:id="0">
    <w:p w14:paraId="414C6B2A" w14:textId="77777777" w:rsidR="0093790F" w:rsidRDefault="0093790F" w:rsidP="004A1847">
      <w:pPr>
        <w:spacing w:after="0" w:line="240" w:lineRule="auto"/>
      </w:pPr>
      <w:r>
        <w:continuationSeparator/>
      </w:r>
    </w:p>
  </w:footnote>
  <w:footnote w:id="1">
    <w:p w14:paraId="4C22809A" w14:textId="77777777" w:rsidR="00DE32BB" w:rsidRPr="00847D72" w:rsidRDefault="00DE32BB" w:rsidP="00DE32BB">
      <w:pPr>
        <w:pStyle w:val="Textonotapie"/>
        <w:ind w:firstLine="709"/>
        <w:jc w:val="both"/>
        <w:rPr>
          <w:rFonts w:ascii="Verdana" w:hAnsi="Verdana" w:cs="Arial"/>
          <w:sz w:val="14"/>
          <w:szCs w:val="14"/>
          <w:lang w:val="es-ES"/>
        </w:rPr>
      </w:pPr>
      <w:r w:rsidRPr="00847D72">
        <w:rPr>
          <w:rStyle w:val="Refdenotaalpie"/>
          <w:rFonts w:ascii="Verdana" w:hAnsi="Verdana" w:cs="Arial"/>
          <w:sz w:val="14"/>
          <w:szCs w:val="14"/>
        </w:rPr>
        <w:footnoteRef/>
      </w:r>
      <w:r w:rsidRPr="00847D72">
        <w:rPr>
          <w:rFonts w:ascii="Verdana" w:hAnsi="Verdana" w:cs="Arial"/>
          <w:sz w:val="14"/>
          <w:szCs w:val="14"/>
        </w:rPr>
        <w:t xml:space="preserve"> En efecto</w:t>
      </w:r>
      <w:r w:rsidRPr="00847D72">
        <w:rPr>
          <w:rFonts w:ascii="Verdana" w:hAnsi="Verdana" w:cs="Arial"/>
          <w:sz w:val="14"/>
          <w:szCs w:val="14"/>
          <w:lang w:val="es-ES"/>
        </w:rPr>
        <w:t xml:space="preserve">, es importante mencionar desde este momento que mediante el Decreto 579 de 2021, expedido recientemente, el gobierno nacional anticipó estas medidas, sustituyendo algunos parágrafos transitorios que había agregado el Decreto 399 de 2021, como se explicará más adelante. Concretamente, el Decreto 579 de 2021 establece que en los procesos de selección cuyo acto administrativo de apertura o invitación se publique a partir del 1 de </w:t>
      </w:r>
      <w:r w:rsidRPr="00847D72">
        <w:rPr>
          <w:rFonts w:ascii="Verdana" w:hAnsi="Verdana" w:cs="Arial"/>
          <w:i/>
          <w:iCs/>
          <w:sz w:val="14"/>
          <w:szCs w:val="14"/>
          <w:lang w:val="es-ES"/>
        </w:rPr>
        <w:t>julio</w:t>
      </w:r>
      <w:r w:rsidRPr="00847D72">
        <w:rPr>
          <w:rFonts w:ascii="Verdana" w:hAnsi="Verdana" w:cs="Arial"/>
          <w:sz w:val="14"/>
          <w:szCs w:val="14"/>
          <w:lang w:val="es-ES"/>
        </w:rPr>
        <w:t xml:space="preserve"> de 2021 –ya no desde el 1 de septiembre, como inicialmente lo señalaba el Decreto 399 de 2021–, las entidades estatales deben evaluar los indicadores de la capacidad financiera teniendo en cuenta el mejor año fiscal que se refleje en el RUP, y con esta capacidad financiera también deberán calcular la capacidad residual.</w:t>
      </w:r>
    </w:p>
    <w:p w14:paraId="62AC7EF1" w14:textId="77777777" w:rsidR="00DE32BB" w:rsidRPr="00847D72" w:rsidRDefault="00DE32BB" w:rsidP="00DE32BB">
      <w:pPr>
        <w:pStyle w:val="Textonotapie"/>
        <w:ind w:firstLine="709"/>
        <w:jc w:val="both"/>
        <w:rPr>
          <w:rFonts w:ascii="Verdana" w:hAnsi="Verdana" w:cs="Arial"/>
          <w:sz w:val="14"/>
          <w:szCs w:val="14"/>
          <w:lang w:val="es-ES"/>
        </w:rPr>
      </w:pPr>
    </w:p>
  </w:footnote>
  <w:footnote w:id="2">
    <w:p w14:paraId="0E8ECC14" w14:textId="77777777" w:rsidR="00DE32BB" w:rsidRPr="00847D72" w:rsidRDefault="00DE32BB" w:rsidP="00DE32BB">
      <w:pPr>
        <w:pStyle w:val="Textonotapie"/>
        <w:ind w:firstLine="709"/>
        <w:jc w:val="both"/>
        <w:rPr>
          <w:rFonts w:ascii="Verdana" w:hAnsi="Verdana" w:cs="Arial"/>
          <w:sz w:val="14"/>
          <w:szCs w:val="14"/>
          <w:lang w:val="es-ES"/>
        </w:rPr>
      </w:pPr>
      <w:r w:rsidRPr="00847D72">
        <w:rPr>
          <w:rStyle w:val="Refdenotaalpie"/>
          <w:rFonts w:ascii="Verdana" w:hAnsi="Verdana" w:cs="Arial"/>
          <w:sz w:val="14"/>
          <w:szCs w:val="14"/>
        </w:rPr>
        <w:footnoteRef/>
      </w:r>
      <w:r w:rsidRPr="00847D72">
        <w:rPr>
          <w:rFonts w:ascii="Verdana" w:hAnsi="Verdana" w:cs="Arial"/>
          <w:sz w:val="14"/>
          <w:szCs w:val="14"/>
        </w:rPr>
        <w:t xml:space="preserve"> </w:t>
      </w:r>
      <w:r w:rsidRPr="00847D72">
        <w:rPr>
          <w:rFonts w:ascii="Verdana" w:hAnsi="Verdana" w:cs="Arial"/>
          <w:sz w:val="14"/>
          <w:szCs w:val="14"/>
          <w:lang w:val="es-ES"/>
        </w:rPr>
        <w:t>“Artículo 1. Sustitución de los parágrafos transitorios del artículo 2.2.1.1.1.5.2. del Decreto 1082 de 2015, Único Reglamentario del Sector Administrativo de Planeación Nacional. Sustitúyase los parágrafos transitorios del artículo 2.2.1.1.1.5.2. de la Subsección 5 de la Sección 1 del Capítulo 1 del Título 1 de la Parte 2 del Libro 2 del Decreto 1082 de 2015, Único Reglamentario del Sector Administrativo de Planeación Nacional, los cuales quedarán así:</w:t>
      </w:r>
    </w:p>
    <w:p w14:paraId="1737DDA8" w14:textId="77777777" w:rsidR="00DE32BB" w:rsidRPr="00847D72" w:rsidRDefault="00DE32BB" w:rsidP="00DE32BB">
      <w:pPr>
        <w:pStyle w:val="Textonotapie"/>
        <w:ind w:firstLine="709"/>
        <w:jc w:val="both"/>
        <w:rPr>
          <w:rFonts w:ascii="Verdana" w:hAnsi="Verdana" w:cs="Arial"/>
          <w:sz w:val="14"/>
          <w:szCs w:val="14"/>
          <w:lang w:val="es-ES"/>
        </w:rPr>
      </w:pPr>
      <w:r w:rsidRPr="00847D72">
        <w:rPr>
          <w:rFonts w:ascii="Verdana" w:eastAsia="Calibri" w:hAnsi="Verdana" w:cs="Arial"/>
          <w:i/>
          <w:iCs/>
          <w:color w:val="000000"/>
          <w:sz w:val="14"/>
          <w:szCs w:val="14"/>
          <w:lang w:val="es-ES_tradnl"/>
        </w:rPr>
        <w:t>“</w:t>
      </w:r>
      <w:r w:rsidRPr="00847D72">
        <w:rPr>
          <w:rFonts w:ascii="Verdana" w:hAnsi="Verdana" w:cs="Arial"/>
          <w:sz w:val="14"/>
          <w:szCs w:val="14"/>
          <w:lang w:val="es-ES"/>
        </w:rPr>
        <w:t>PARÁGRAFO TRANSITORIO 1: A partir del 1 de junio de 2021, para efectos de la inscripción en el Registro Único de Proponentes, el interesado reportará la información contable de que tratan los numerales 1.3 y 2.3 de este artículo, correspondiente a los últimos tres (3) años fiscales anteriores al respectivo acto.</w:t>
      </w:r>
    </w:p>
    <w:p w14:paraId="553F26F5" w14:textId="77777777" w:rsidR="00DE32BB" w:rsidRPr="00847D72" w:rsidRDefault="00DE32BB" w:rsidP="00DE32BB">
      <w:pPr>
        <w:pStyle w:val="Textonotapie"/>
        <w:ind w:firstLine="709"/>
        <w:jc w:val="both"/>
        <w:rPr>
          <w:rFonts w:ascii="Verdana" w:hAnsi="Verdana" w:cs="Arial"/>
          <w:sz w:val="14"/>
          <w:szCs w:val="14"/>
          <w:lang w:val="es-ES"/>
        </w:rPr>
      </w:pPr>
      <w:r w:rsidRPr="00847D72">
        <w:rPr>
          <w:rFonts w:ascii="Verdana" w:hAnsi="Verdana" w:cs="Arial"/>
          <w:sz w:val="14"/>
          <w:szCs w:val="14"/>
          <w:lang w:val="es-ES"/>
        </w:rPr>
        <w:t>En aquellos eventos en que el proponente no tenga la antigüedad suficiente para aportar la información financiera correspondiente a los tres (3) años descritos en el inciso anterior, podrá acreditar dicha información desde su primer cierre fiscal.</w:t>
      </w:r>
    </w:p>
    <w:p w14:paraId="72C6764B" w14:textId="77777777" w:rsidR="00DE32BB" w:rsidRPr="00847D72" w:rsidRDefault="00DE32BB" w:rsidP="00DE32BB">
      <w:pPr>
        <w:pStyle w:val="Textonotapie"/>
        <w:ind w:firstLine="709"/>
        <w:jc w:val="both"/>
        <w:rPr>
          <w:rFonts w:ascii="Verdana" w:hAnsi="Verdana" w:cs="Arial"/>
          <w:sz w:val="14"/>
          <w:szCs w:val="14"/>
          <w:lang w:val="es-ES"/>
        </w:rPr>
      </w:pPr>
      <w:r w:rsidRPr="00847D72">
        <w:rPr>
          <w:rFonts w:ascii="Verdana" w:hAnsi="Verdana" w:cs="Arial"/>
          <w:sz w:val="14"/>
          <w:szCs w:val="14"/>
          <w:lang w:val="es-ES"/>
        </w:rPr>
        <w:t>El proponente con inscripción activa y vigente que no tenga la información de la capacidad financiera y organizacional de los años 2018 y/o 2019 inscrita en el Registro Único de Proponentes, durante el mes de junio de 2021, podrá reportar por única vez, mediante una solicitud de actualización, únicamente la información contable correspondiente a estos años, sin costo alguno.</w:t>
      </w:r>
    </w:p>
    <w:p w14:paraId="42B50DA9" w14:textId="77777777" w:rsidR="00DE32BB" w:rsidRPr="00847D72" w:rsidRDefault="00DE32BB" w:rsidP="00DE32BB">
      <w:pPr>
        <w:pStyle w:val="Textonotapie"/>
        <w:ind w:firstLine="709"/>
        <w:jc w:val="both"/>
        <w:rPr>
          <w:rFonts w:ascii="Verdana" w:hAnsi="Verdana" w:cs="Arial"/>
          <w:sz w:val="14"/>
          <w:szCs w:val="14"/>
          <w:lang w:val="es-ES"/>
        </w:rPr>
      </w:pPr>
      <w:r w:rsidRPr="00847D72">
        <w:rPr>
          <w:rFonts w:ascii="Verdana" w:hAnsi="Verdana" w:cs="Arial"/>
          <w:sz w:val="14"/>
          <w:szCs w:val="14"/>
          <w:lang w:val="es-ES"/>
        </w:rPr>
        <w:t>El proponente que tenga inscrita en la cámara de comercio la información de la capacidad financiera y organizacional de los años 2018 y/o 2019, no deberá presentar la información que repose en la respectiva cámara de comercio, la cual conservará la firmeza para efectos de su certificación.</w:t>
      </w:r>
    </w:p>
    <w:p w14:paraId="36D9F452" w14:textId="77777777" w:rsidR="00DE32BB" w:rsidRPr="00847D72" w:rsidRDefault="00DE32BB" w:rsidP="00DE32BB">
      <w:pPr>
        <w:pStyle w:val="Textonotapie"/>
        <w:ind w:firstLine="709"/>
        <w:jc w:val="both"/>
        <w:rPr>
          <w:rFonts w:ascii="Verdana" w:hAnsi="Verdana" w:cs="Arial"/>
          <w:sz w:val="14"/>
          <w:szCs w:val="14"/>
          <w:lang w:val="es-ES"/>
        </w:rPr>
      </w:pPr>
      <w:r w:rsidRPr="00847D72">
        <w:rPr>
          <w:rFonts w:ascii="Verdana" w:hAnsi="Verdana" w:cs="Arial"/>
          <w:sz w:val="14"/>
          <w:szCs w:val="14"/>
          <w:lang w:val="es-ES"/>
        </w:rPr>
        <w:t>PARÁGRAFO TRANSITORIO 2: En el año 2022, para efectos de la inscripción o renovación del Registro Único de Proponentes, el interesado reportará la información contable de que tratan los numerales 1.3 y 2.3 de este artículo, correspondiente a los últimos tres (3) años fiscales anteriores al respectivo acto.</w:t>
      </w:r>
    </w:p>
    <w:p w14:paraId="627EC527" w14:textId="77777777" w:rsidR="00DE32BB" w:rsidRPr="00847D72" w:rsidRDefault="00DE32BB" w:rsidP="00DE32BB">
      <w:pPr>
        <w:pStyle w:val="Textonotapie"/>
        <w:ind w:firstLine="709"/>
        <w:jc w:val="both"/>
        <w:rPr>
          <w:rFonts w:ascii="Verdana" w:hAnsi="Verdana" w:cs="Arial"/>
          <w:sz w:val="14"/>
          <w:szCs w:val="14"/>
          <w:lang w:val="es-ES"/>
        </w:rPr>
      </w:pPr>
      <w:r w:rsidRPr="00847D72">
        <w:rPr>
          <w:rFonts w:ascii="Verdana" w:hAnsi="Verdana" w:cs="Arial"/>
          <w:sz w:val="14"/>
          <w:szCs w:val="14"/>
          <w:lang w:val="es-ES"/>
        </w:rPr>
        <w:t>En aquellos eventos en que el proponente no tenga la antigüedad suficiente para aportar la información financiera correspondiente a los tres (3) años descritos en el inciso anterior, podrá acreditar dicha información desde su primer cierre fiscal.</w:t>
      </w:r>
    </w:p>
    <w:p w14:paraId="345E616E" w14:textId="77777777" w:rsidR="00DE32BB" w:rsidRPr="00847D72" w:rsidRDefault="00DE32BB" w:rsidP="00DE32BB">
      <w:pPr>
        <w:pStyle w:val="Textonotapie"/>
        <w:ind w:firstLine="709"/>
        <w:jc w:val="both"/>
        <w:rPr>
          <w:rFonts w:ascii="Verdana" w:hAnsi="Verdana" w:cs="Arial"/>
          <w:sz w:val="14"/>
          <w:szCs w:val="14"/>
          <w:lang w:val="es-CO"/>
        </w:rPr>
      </w:pPr>
      <w:r w:rsidRPr="00847D72">
        <w:rPr>
          <w:rFonts w:ascii="Verdana" w:hAnsi="Verdana" w:cs="Arial"/>
          <w:sz w:val="14"/>
          <w:szCs w:val="14"/>
          <w:lang w:val="es-ES"/>
        </w:rPr>
        <w:t>El proponente que tenga inscrita en la cámara de comercio la información de la capacidad financiera y organizacional de los años 2019 y/o 2020, no deberá presentar la información que repose en la respectiva cámara de comercio, la cual conservará la firmeza para efectos de su certificación”.</w:t>
      </w:r>
    </w:p>
  </w:footnote>
  <w:footnote w:id="3">
    <w:p w14:paraId="23CC80E5" w14:textId="77777777" w:rsidR="00DE32BB" w:rsidRPr="00847D72" w:rsidRDefault="00DE32BB" w:rsidP="00DE32BB">
      <w:pPr>
        <w:pStyle w:val="Textonotapie"/>
        <w:ind w:firstLine="708"/>
        <w:jc w:val="both"/>
        <w:rPr>
          <w:rFonts w:ascii="Verdana" w:hAnsi="Verdana"/>
          <w:sz w:val="14"/>
          <w:szCs w:val="14"/>
        </w:rPr>
      </w:pPr>
      <w:r w:rsidRPr="00847D72">
        <w:rPr>
          <w:rStyle w:val="Refdenotaalpie"/>
          <w:rFonts w:ascii="Verdana" w:hAnsi="Verdana"/>
          <w:sz w:val="14"/>
          <w:szCs w:val="14"/>
        </w:rPr>
        <w:footnoteRef/>
      </w:r>
      <w:r w:rsidRPr="00847D72">
        <w:rPr>
          <w:rFonts w:ascii="Verdana" w:hAnsi="Verdana"/>
          <w:sz w:val="14"/>
          <w:szCs w:val="14"/>
        </w:rPr>
        <w:t xml:space="preserve"> VAQUER CABALLERÍA, Marcos. Eficacia territorial y temporal de las normas. Valencia: Tirant lo Blanch, 2010. pp. 44-45.</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12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7C425CC"/>
    <w:multiLevelType w:val="hybridMultilevel"/>
    <w:tmpl w:val="CAD0076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0"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5"/>
  </w:num>
  <w:num w:numId="2" w16cid:durableId="19822139">
    <w:abstractNumId w:val="1"/>
  </w:num>
  <w:num w:numId="3" w16cid:durableId="876742304">
    <w:abstractNumId w:val="3"/>
  </w:num>
  <w:num w:numId="4" w16cid:durableId="24518640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2"/>
  </w:num>
  <w:num w:numId="7" w16cid:durableId="1946422806">
    <w:abstractNumId w:val="4"/>
  </w:num>
  <w:num w:numId="8" w16cid:durableId="152644682">
    <w:abstractNumId w:val="11"/>
  </w:num>
  <w:num w:numId="9" w16cid:durableId="1317221377">
    <w:abstractNumId w:val="6"/>
  </w:num>
  <w:num w:numId="10" w16cid:durableId="1471245386">
    <w:abstractNumId w:val="10"/>
  </w:num>
  <w:num w:numId="11" w16cid:durableId="289172385">
    <w:abstractNumId w:val="8"/>
  </w:num>
  <w:num w:numId="12" w16cid:durableId="1470781324">
    <w:abstractNumId w:val="0"/>
  </w:num>
  <w:num w:numId="13" w16cid:durableId="1512908409">
    <w:abstractNumId w:val="2"/>
  </w:num>
  <w:num w:numId="14" w16cid:durableId="895897244">
    <w:abstractNumId w:val="13"/>
  </w:num>
  <w:num w:numId="15" w16cid:durableId="390349800">
    <w:abstractNumId w:val="9"/>
  </w:num>
  <w:num w:numId="16" w16cid:durableId="209678364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defaultTabStop w:val="708"/>
  <w:hyphenationZone w:val="425"/>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63ADD"/>
    <w:rsid w:val="00082362"/>
    <w:rsid w:val="000A683E"/>
    <w:rsid w:val="000B19B9"/>
    <w:rsid w:val="000D0334"/>
    <w:rsid w:val="000D5DA7"/>
    <w:rsid w:val="000F3F18"/>
    <w:rsid w:val="000F6486"/>
    <w:rsid w:val="00116940"/>
    <w:rsid w:val="00125105"/>
    <w:rsid w:val="00127233"/>
    <w:rsid w:val="0015699B"/>
    <w:rsid w:val="001A0E78"/>
    <w:rsid w:val="001A33BF"/>
    <w:rsid w:val="001E4177"/>
    <w:rsid w:val="001F0B24"/>
    <w:rsid w:val="001F7DC6"/>
    <w:rsid w:val="00215B2D"/>
    <w:rsid w:val="0022400B"/>
    <w:rsid w:val="002421BB"/>
    <w:rsid w:val="0025796E"/>
    <w:rsid w:val="002707A2"/>
    <w:rsid w:val="002951A0"/>
    <w:rsid w:val="002962BC"/>
    <w:rsid w:val="002A093D"/>
    <w:rsid w:val="002A0DD0"/>
    <w:rsid w:val="002A49AC"/>
    <w:rsid w:val="002A64FD"/>
    <w:rsid w:val="002C7A84"/>
    <w:rsid w:val="002E2BF8"/>
    <w:rsid w:val="002E4FD9"/>
    <w:rsid w:val="00300867"/>
    <w:rsid w:val="0030657A"/>
    <w:rsid w:val="00322A85"/>
    <w:rsid w:val="00324168"/>
    <w:rsid w:val="00330834"/>
    <w:rsid w:val="003448F4"/>
    <w:rsid w:val="00374F5E"/>
    <w:rsid w:val="00377E3E"/>
    <w:rsid w:val="003A779E"/>
    <w:rsid w:val="003D0F4D"/>
    <w:rsid w:val="003D5B0D"/>
    <w:rsid w:val="003E0499"/>
    <w:rsid w:val="003E4F80"/>
    <w:rsid w:val="003E6439"/>
    <w:rsid w:val="003F3941"/>
    <w:rsid w:val="00406575"/>
    <w:rsid w:val="00414C74"/>
    <w:rsid w:val="00425FC9"/>
    <w:rsid w:val="0042722E"/>
    <w:rsid w:val="0044528D"/>
    <w:rsid w:val="00466E39"/>
    <w:rsid w:val="004A1847"/>
    <w:rsid w:val="004A305D"/>
    <w:rsid w:val="004F21C4"/>
    <w:rsid w:val="004F685F"/>
    <w:rsid w:val="005566E8"/>
    <w:rsid w:val="00574867"/>
    <w:rsid w:val="00591460"/>
    <w:rsid w:val="005A65E0"/>
    <w:rsid w:val="005C3777"/>
    <w:rsid w:val="005C5CDC"/>
    <w:rsid w:val="005D476C"/>
    <w:rsid w:val="005D5CDA"/>
    <w:rsid w:val="006200BF"/>
    <w:rsid w:val="006219F8"/>
    <w:rsid w:val="006302F7"/>
    <w:rsid w:val="00646B9F"/>
    <w:rsid w:val="00665D70"/>
    <w:rsid w:val="00687CCD"/>
    <w:rsid w:val="006900D9"/>
    <w:rsid w:val="00706C16"/>
    <w:rsid w:val="007340C3"/>
    <w:rsid w:val="0075235A"/>
    <w:rsid w:val="00756841"/>
    <w:rsid w:val="007649AB"/>
    <w:rsid w:val="00771D0C"/>
    <w:rsid w:val="007833AC"/>
    <w:rsid w:val="007B268C"/>
    <w:rsid w:val="007B7171"/>
    <w:rsid w:val="007C0C0F"/>
    <w:rsid w:val="007C3DC2"/>
    <w:rsid w:val="007C52E5"/>
    <w:rsid w:val="007E5497"/>
    <w:rsid w:val="007E68E9"/>
    <w:rsid w:val="00806F5F"/>
    <w:rsid w:val="00820278"/>
    <w:rsid w:val="008258C9"/>
    <w:rsid w:val="00844AE9"/>
    <w:rsid w:val="00867F95"/>
    <w:rsid w:val="008843B6"/>
    <w:rsid w:val="00891928"/>
    <w:rsid w:val="008A446D"/>
    <w:rsid w:val="008B25F1"/>
    <w:rsid w:val="008D180B"/>
    <w:rsid w:val="008F0EA7"/>
    <w:rsid w:val="00915B5D"/>
    <w:rsid w:val="00923236"/>
    <w:rsid w:val="00923EEF"/>
    <w:rsid w:val="0093790F"/>
    <w:rsid w:val="009419F9"/>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B0ADB"/>
    <w:rsid w:val="00B00C0E"/>
    <w:rsid w:val="00B01B1A"/>
    <w:rsid w:val="00B0381D"/>
    <w:rsid w:val="00B13A11"/>
    <w:rsid w:val="00B44A47"/>
    <w:rsid w:val="00B72CD3"/>
    <w:rsid w:val="00B72FFF"/>
    <w:rsid w:val="00B75152"/>
    <w:rsid w:val="00BC3D36"/>
    <w:rsid w:val="00BD54A6"/>
    <w:rsid w:val="00BD7F72"/>
    <w:rsid w:val="00BF7425"/>
    <w:rsid w:val="00C04FB3"/>
    <w:rsid w:val="00C11D8B"/>
    <w:rsid w:val="00C15139"/>
    <w:rsid w:val="00C330EB"/>
    <w:rsid w:val="00C50D69"/>
    <w:rsid w:val="00C5365C"/>
    <w:rsid w:val="00C754BE"/>
    <w:rsid w:val="00C76B1C"/>
    <w:rsid w:val="00C925AC"/>
    <w:rsid w:val="00CB6357"/>
    <w:rsid w:val="00CC1B26"/>
    <w:rsid w:val="00CD6B84"/>
    <w:rsid w:val="00D361FD"/>
    <w:rsid w:val="00D423A2"/>
    <w:rsid w:val="00D44E26"/>
    <w:rsid w:val="00D520D8"/>
    <w:rsid w:val="00D63AC2"/>
    <w:rsid w:val="00D7383B"/>
    <w:rsid w:val="00D7788A"/>
    <w:rsid w:val="00DA231B"/>
    <w:rsid w:val="00DC39FC"/>
    <w:rsid w:val="00DD2E5C"/>
    <w:rsid w:val="00DE32BB"/>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23FEA"/>
    <w:rsid w:val="00F31EDC"/>
    <w:rsid w:val="00F462B3"/>
    <w:rsid w:val="00F5664F"/>
    <w:rsid w:val="00F666C4"/>
    <w:rsid w:val="00F76AFC"/>
    <w:rsid w:val="00FA47C0"/>
    <w:rsid w:val="00FB5DD1"/>
    <w:rsid w:val="00FC2B5D"/>
    <w:rsid w:val="00FF1449"/>
    <w:rsid w:val="00FF7963"/>
    <w:rsid w:val="071B8F93"/>
    <w:rsid w:val="07C73DD1"/>
    <w:rsid w:val="09908A09"/>
    <w:rsid w:val="0EFE6349"/>
    <w:rsid w:val="0FF4CCA8"/>
    <w:rsid w:val="13CFC91B"/>
    <w:rsid w:val="19A2EC2C"/>
    <w:rsid w:val="21779BE6"/>
    <w:rsid w:val="2859CA1B"/>
    <w:rsid w:val="2C4D2425"/>
    <w:rsid w:val="2EE1E026"/>
    <w:rsid w:val="2F44F38F"/>
    <w:rsid w:val="30821638"/>
    <w:rsid w:val="32A4F9CF"/>
    <w:rsid w:val="33A1FF93"/>
    <w:rsid w:val="356CEDFD"/>
    <w:rsid w:val="3C591AFD"/>
    <w:rsid w:val="42183F0A"/>
    <w:rsid w:val="545B112A"/>
    <w:rsid w:val="5BEB1497"/>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5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DE32BB"/>
    <w:rPr>
      <w:rFonts w:ascii="Geomanist Light" w:hAnsi="Geomanist Light"/>
      <w:lang w:val="es-ES"/>
    </w:rPr>
  </w:style>
  <w:style w:type="paragraph" w:customStyle="1" w:styleId="Appelnotedebasde">
    <w:name w:val="Appel note de bas de..."/>
    <w:basedOn w:val="Normal"/>
    <w:link w:val="Refdenotaalpie"/>
    <w:uiPriority w:val="99"/>
    <w:rsid w:val="00DE32BB"/>
    <w:pPr>
      <w:spacing w:line="240" w:lineRule="exact"/>
    </w:pPr>
    <w:rPr>
      <w:vertAlign w:val="superscript"/>
    </w:rPr>
  </w:style>
  <w:style w:type="character" w:styleId="Fuerte">
    <w:name w:val="Strong"/>
    <w:basedOn w:val="Fuentedeprrafopredeter"/>
    <w:uiPriority w:val="22"/>
    <w:qFormat/>
    <w:rsid w:val="00DE32B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hyperlink" Target="https://forms.office.com/r/pPHyWVs2SZ"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hyperlink" Target="https://www.colombiacompra.gov.co/pqrsd/informacion-importante-antes-de-formular-una-pqrsd" TargetMode="External"/><Relationship Id="rId2" Type="http://schemas.openxmlformats.org/officeDocument/2006/relationships/customXml" Target="../customXml/item2.xml"/><Relationship Id="rId16" Type="http://schemas.openxmlformats.org/officeDocument/2006/relationships/hyperlink" Target="mailto:ventanilladeradicacion@colombiacompra.gov.co"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johansh07@hotmail.com" TargetMode="Externa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3" Type="http://schemas.openxmlformats.org/officeDocument/2006/relationships/theme" Target="theme/theme1.xml"/><Relationship Id="rId10" Type="http://schemas.openxmlformats.org/officeDocument/2006/relationships/image" Target="media/image2.png"/><Relationship Id="rId19" Type="http://schemas.openxmlformats.org/officeDocument/2006/relationships/image" Target="media/image3.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FF7EE88-F611-42BC-9BD0-C771B4C662BD}"/>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27</TotalTime>
  <Pages>19</Pages>
  <Words>6825</Words>
  <Characters>37541</Characters>
  <Application>Microsoft Office Word</Application>
  <DocSecurity>0</DocSecurity>
  <Lines>312</Lines>
  <Paragraphs>88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44278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Esperanza Contreras Pedreros</cp:lastModifiedBy>
  <cp:revision>7</cp:revision>
  <cp:lastPrinted>2023-01-10T21:18:00Z</cp:lastPrinted>
  <dcterms:created xsi:type="dcterms:W3CDTF">2026-06-04T18:34:00Z</dcterms:created>
  <dcterms:modified xsi:type="dcterms:W3CDTF">2026-06-05T22:06:00Z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