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A2184" w14:textId="77777777" w:rsidR="003A1BAC" w:rsidRPr="004C046B" w:rsidRDefault="003A1BAC" w:rsidP="003A1BAC">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41D49B7F" w14:textId="77777777" w:rsidR="003A1BAC" w:rsidRPr="007B5AD4" w:rsidRDefault="003A1BAC" w:rsidP="003A1BAC">
      <w:pPr>
        <w:spacing w:after="0" w:line="240" w:lineRule="auto"/>
        <w:contextualSpacing/>
        <w:jc w:val="both"/>
        <w:rPr>
          <w:rFonts w:ascii="Verdana" w:eastAsia="Calibri" w:hAnsi="Verdana" w:cs="Arial"/>
          <w:b/>
          <w:bCs/>
          <w:sz w:val="20"/>
          <w:szCs w:val="20"/>
          <w:lang w:eastAsia="es-ES"/>
        </w:rPr>
      </w:pPr>
    </w:p>
    <w:p w14:paraId="145E291C" w14:textId="77777777" w:rsidR="003A1BAC" w:rsidRDefault="003A1BAC" w:rsidP="003A1BAC">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La insuficiencia del Decreto 392 de 2018 fue constatada judicialmente. La Sección Quinta del Consejo de Estado, mediante sentencia de acción de cumplimiento del 12 de diciembre de 2024, radicación n.°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32D09BA"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25AD1E5E" w14:textId="3E6CC5F7" w:rsidR="00594D0B" w:rsidRDefault="00594D0B" w:rsidP="003A1BAC">
      <w:pPr>
        <w:spacing w:after="0" w:line="240" w:lineRule="auto"/>
        <w:contextualSpacing/>
        <w:jc w:val="both"/>
        <w:rPr>
          <w:rFonts w:ascii="Verdana" w:eastAsia="Calibri" w:hAnsi="Verdana" w:cs="Arial"/>
          <w:b/>
          <w:bCs/>
          <w:lang w:eastAsia="es-ES"/>
        </w:rPr>
      </w:pPr>
      <w:r w:rsidRPr="00594D0B">
        <w:rPr>
          <w:rFonts w:ascii="Verdana" w:eastAsia="Calibri" w:hAnsi="Verdana" w:cs="Arial"/>
          <w:b/>
          <w:bCs/>
          <w:lang w:eastAsia="es-ES"/>
        </w:rPr>
        <w:t>DECRETO 0287 DE 2026 – Puntaje adicional – Requisitos</w:t>
      </w:r>
    </w:p>
    <w:p w14:paraId="4292AE6D" w14:textId="77777777" w:rsidR="00594D0B" w:rsidRDefault="00594D0B" w:rsidP="003A1BAC">
      <w:pPr>
        <w:spacing w:after="0" w:line="240" w:lineRule="auto"/>
        <w:contextualSpacing/>
        <w:jc w:val="both"/>
        <w:rPr>
          <w:rFonts w:ascii="Verdana" w:eastAsia="Calibri" w:hAnsi="Verdana" w:cs="Arial"/>
          <w:b/>
          <w:bCs/>
          <w:lang w:eastAsia="es-ES"/>
        </w:rPr>
      </w:pPr>
    </w:p>
    <w:p w14:paraId="6E8C544F" w14:textId="77777777" w:rsidR="00594D0B" w:rsidRPr="008D1F58" w:rsidRDefault="00594D0B" w:rsidP="00594D0B">
      <w:pPr>
        <w:spacing w:after="0" w:line="240" w:lineRule="auto"/>
        <w:contextualSpacing/>
        <w:jc w:val="both"/>
        <w:rPr>
          <w:rFonts w:ascii="Verdana" w:eastAsia="Calibri" w:hAnsi="Verdana" w:cs="Arial"/>
          <w:sz w:val="20"/>
          <w:szCs w:val="20"/>
          <w:lang w:eastAsia="es-ES"/>
        </w:rPr>
      </w:pPr>
      <w:r w:rsidRPr="008D1F58">
        <w:rPr>
          <w:rFonts w:ascii="Verdana" w:eastAsia="Calibri" w:hAnsi="Verdana" w:cs="Arial"/>
          <w:sz w:val="20"/>
          <w:szCs w:val="20"/>
          <w:lang w:eastAsia="es-ES"/>
        </w:rPr>
        <w:t>En respuesta al problema planteado, es preciso señalar que el artículo 2.2.1.2.4.2.7.4 del Decreto 1082 de 2015, modificado por el Decreto 287 de 2026, establece un puntaje adicional del dos por ciento (2 %) del total de los puntos previstos en el pliego de condiciones para los procedimientos de licitación pública y concurso de méritos. A este beneficio pueden acceder los proponentes que: i) acrediten alguna de las condiciones previstas en el artículo 2.2.1.2.4.2.6 del Decreto 1082 de 2015, o ii) demuestren la vinculación de personas con discapacidad a su planta de personal en los términos establecidos en el numeral 2 del artículo 2.2.1.2.4.2.7.4.</w:t>
      </w:r>
    </w:p>
    <w:p w14:paraId="7B5BE611"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545C4AEF" w14:textId="5B315AA1" w:rsidR="003A1BAC" w:rsidRDefault="008D1F58" w:rsidP="003A1BAC">
      <w:pPr>
        <w:spacing w:after="0" w:line="240" w:lineRule="auto"/>
        <w:contextualSpacing/>
        <w:jc w:val="both"/>
        <w:rPr>
          <w:rFonts w:ascii="Verdana" w:eastAsia="Calibri" w:hAnsi="Verdana" w:cs="Arial"/>
          <w:b/>
          <w:bCs/>
          <w:lang w:eastAsia="es-ES"/>
        </w:rPr>
      </w:pPr>
      <w:r w:rsidRPr="008D1F58">
        <w:rPr>
          <w:rFonts w:ascii="Verdana" w:eastAsia="Calibri" w:hAnsi="Verdana" w:cs="Arial"/>
          <w:b/>
          <w:bCs/>
          <w:lang w:eastAsia="es-ES"/>
        </w:rPr>
        <w:t xml:space="preserve">EMPRENDIMIENTOS Y EMPRESAS DE PERSONAS CON DISCAPACIDAD ‒ Cargos del </w:t>
      </w:r>
      <w:r>
        <w:rPr>
          <w:rFonts w:ascii="Verdana" w:eastAsia="Calibri" w:hAnsi="Verdana" w:cs="Arial"/>
          <w:b/>
          <w:bCs/>
          <w:lang w:eastAsia="es-ES"/>
        </w:rPr>
        <w:t>n</w:t>
      </w:r>
      <w:r w:rsidRPr="008D1F58">
        <w:rPr>
          <w:rFonts w:ascii="Verdana" w:eastAsia="Calibri" w:hAnsi="Verdana" w:cs="Arial"/>
          <w:b/>
          <w:bCs/>
          <w:lang w:eastAsia="es-ES"/>
        </w:rPr>
        <w:t>ivel directivo – Noción</w:t>
      </w:r>
    </w:p>
    <w:p w14:paraId="51C1B2C3" w14:textId="77777777" w:rsidR="008D1F58" w:rsidRPr="00D70058" w:rsidRDefault="008D1F58" w:rsidP="003A1BAC">
      <w:pPr>
        <w:spacing w:after="0" w:line="240" w:lineRule="auto"/>
        <w:contextualSpacing/>
        <w:jc w:val="both"/>
        <w:rPr>
          <w:rFonts w:ascii="Verdana" w:eastAsia="Calibri" w:hAnsi="Verdana" w:cs="Arial"/>
          <w:b/>
          <w:bCs/>
          <w:sz w:val="20"/>
          <w:szCs w:val="20"/>
          <w:highlight w:val="yellow"/>
          <w:lang w:eastAsia="es-ES"/>
        </w:rPr>
      </w:pPr>
    </w:p>
    <w:p w14:paraId="22F08EBF" w14:textId="7E83DB2C" w:rsidR="008D1F58" w:rsidRPr="008D1F58" w:rsidRDefault="008D1F58" w:rsidP="008D1F58">
      <w:pPr>
        <w:spacing w:after="0" w:line="240" w:lineRule="auto"/>
        <w:contextualSpacing/>
        <w:jc w:val="both"/>
        <w:rPr>
          <w:rFonts w:ascii="Verdana" w:eastAsia="Calibri" w:hAnsi="Verdana" w:cs="Arial"/>
          <w:sz w:val="20"/>
          <w:szCs w:val="20"/>
          <w:lang w:eastAsia="es-ES"/>
        </w:rPr>
      </w:pPr>
      <w:r w:rsidRPr="008D1F58">
        <w:rPr>
          <w:rFonts w:ascii="Verdana" w:eastAsia="Calibri" w:hAnsi="Verdana" w:cs="Arial"/>
          <w:sz w:val="20"/>
          <w:szCs w:val="20"/>
          <w:lang w:eastAsia="es-ES"/>
        </w:rPr>
        <w:t>Ahora bien, de conformidad con el numeral 4 del artículo 2.2.1.2.4.2.6, se consideran emprendimientos o empresas de personas con discapacidad las personas jurídicas que tengan vinculada laboralmente al menos una (1) persona con discapacidad en un empleo del nivel directivo durante, por lo menos, el año anterior a la fecha de cierre del proceso de selección, ya sea en el mismo cargo o en otro del mismo nivel. La norma precisa que los empleos del nivel directivo son aquellos cuyas funciones se relacionan con la dirección de áreas misionales de la empresa y la adopción de decisiones estratégicas. En consecuencia, se trata de cargos ubicados en los niveles superiores de la estructura organizacional o que, por su jerarquía, impliquen funciones de representación del empleador.</w:t>
      </w:r>
    </w:p>
    <w:p w14:paraId="7761D060" w14:textId="77777777" w:rsidR="008D1F58" w:rsidRDefault="008D1F58" w:rsidP="008D1F58">
      <w:pPr>
        <w:spacing w:after="0" w:line="240" w:lineRule="auto"/>
        <w:contextualSpacing/>
        <w:jc w:val="both"/>
        <w:rPr>
          <w:rFonts w:ascii="Verdana" w:eastAsia="Calibri" w:hAnsi="Verdana" w:cs="Arial"/>
          <w:sz w:val="20"/>
          <w:szCs w:val="20"/>
          <w:lang w:eastAsia="es-ES"/>
        </w:rPr>
      </w:pPr>
    </w:p>
    <w:p w14:paraId="01A10AE2" w14:textId="4B077008" w:rsidR="008D1F58" w:rsidRDefault="008D1F58" w:rsidP="008D1F58">
      <w:pPr>
        <w:spacing w:after="0" w:line="240" w:lineRule="auto"/>
        <w:contextualSpacing/>
        <w:jc w:val="both"/>
        <w:rPr>
          <w:rFonts w:ascii="Verdana" w:eastAsia="Calibri" w:hAnsi="Verdana" w:cs="Arial"/>
          <w:sz w:val="20"/>
          <w:szCs w:val="20"/>
          <w:lang w:eastAsia="es-ES"/>
        </w:rPr>
      </w:pPr>
      <w:r w:rsidRPr="008D1F58">
        <w:rPr>
          <w:rFonts w:ascii="Verdana" w:eastAsia="Calibri" w:hAnsi="Verdana" w:cs="Arial"/>
          <w:sz w:val="20"/>
          <w:szCs w:val="20"/>
          <w:lang w:eastAsia="es-ES"/>
        </w:rPr>
        <w:t xml:space="preserve">De acuerdo con el inciso cuarto del citado numeral, esta circunstancia debe acreditarse mediante certificación expedida por el representante legal y el revisor fiscal, cuando exista, o por el contador, en la que se identifique a las personas con discapacidad que ocupan cargos del nivel directivo y se indique el tiempo de vinculación correspondiente. Por tanto, el proponente que acredite esta condición podrá acceder al puntaje adicional </w:t>
      </w:r>
      <w:r w:rsidRPr="008D1F58">
        <w:rPr>
          <w:rFonts w:ascii="Verdana" w:eastAsia="Calibri" w:hAnsi="Verdana" w:cs="Arial"/>
          <w:sz w:val="20"/>
          <w:szCs w:val="20"/>
          <w:lang w:eastAsia="es-ES"/>
        </w:rPr>
        <w:lastRenderedPageBreak/>
        <w:t>previsto en el artículo 2.2.1.2.4.2.7.4 del Decreto 1082 de 2015, conforme con lo dispuesto en el numeral 1 de dicha disposición.</w:t>
      </w:r>
    </w:p>
    <w:p w14:paraId="1853343B" w14:textId="77777777" w:rsidR="008D1F58" w:rsidRPr="008D1F58" w:rsidRDefault="008D1F58" w:rsidP="008D1F58">
      <w:pPr>
        <w:spacing w:after="0" w:line="240" w:lineRule="auto"/>
        <w:contextualSpacing/>
        <w:jc w:val="both"/>
        <w:rPr>
          <w:rFonts w:ascii="Verdana" w:eastAsia="Calibri" w:hAnsi="Verdana" w:cs="Arial"/>
          <w:sz w:val="20"/>
          <w:szCs w:val="20"/>
          <w:lang w:eastAsia="es-ES"/>
        </w:rPr>
      </w:pPr>
    </w:p>
    <w:p w14:paraId="60105560" w14:textId="5764020E" w:rsidR="003A1BAC" w:rsidRDefault="008D1F58" w:rsidP="008D1F58">
      <w:pPr>
        <w:spacing w:after="0" w:line="240" w:lineRule="auto"/>
        <w:contextualSpacing/>
        <w:jc w:val="both"/>
        <w:rPr>
          <w:rFonts w:ascii="Verdana" w:eastAsia="Calibri" w:hAnsi="Verdana" w:cs="Arial"/>
          <w:sz w:val="20"/>
          <w:szCs w:val="20"/>
          <w:lang w:eastAsia="es-ES"/>
        </w:rPr>
      </w:pPr>
      <w:r w:rsidRPr="008D1F58">
        <w:rPr>
          <w:rFonts w:ascii="Verdana" w:eastAsia="Calibri" w:hAnsi="Verdana" w:cs="Arial"/>
          <w:sz w:val="20"/>
          <w:szCs w:val="20"/>
          <w:lang w:eastAsia="es-ES"/>
        </w:rPr>
        <w:t>Sin perjuicio de lo anterior, cuando la persona con discapacidad vinculada no ocupe un cargo del nivel directivo en los términos del numeral 4 del artículo 2.2.1.2.4.2.6, el proponente podrá verificar la procedencia del puntaje con fundamento en el numeral 2 del artículo 2.2.1.2.4.2.7.4. En este evento, deberá determinar el rango en el que se ubica su planta de personal para establecer el número mínimo de personas con discapacidad que deben encontrarse vinculadas laboralmente. Al respecto, debe tenerse en cuenta que, las empresas cuya planta de personal esté conformada entre uno (1) y treinta (30) trabajadores, la norma exige la vinculación de al menos dos (2) personas con discapacidad para acceder al puntaje adicional</w:t>
      </w:r>
      <w:r>
        <w:rPr>
          <w:rFonts w:ascii="Verdana" w:eastAsia="Calibri" w:hAnsi="Verdana" w:cs="Arial"/>
          <w:sz w:val="20"/>
          <w:szCs w:val="20"/>
          <w:lang w:eastAsia="es-ES"/>
        </w:rPr>
        <w:t>.</w:t>
      </w:r>
    </w:p>
    <w:p w14:paraId="6DA83550"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69123E6A"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BF14830"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26B57EA"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1B189D3A"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1A547F3B"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36A1C703"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75C89FD"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3426AF30"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4B1B9D14"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D65DD88"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58C07D14"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59E0E70E"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EAA47C0"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69357D52"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0B6FFAC4"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63E0C128"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AEE9606"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2AC9B814"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798669A"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6F032F35"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21009645"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24F5B735"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79F3A47D"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259C9077"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0E50D4B"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221A46E"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36860480"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72732EC7"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07C1759E"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47F09F5F"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51EC7D1"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38E481A1"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314DDC20" w14:textId="77777777" w:rsidR="003A1BAC" w:rsidRDefault="003A1BAC" w:rsidP="003A1BAC">
      <w:pPr>
        <w:spacing w:after="0"/>
        <w:rPr>
          <w:rFonts w:ascii="Verdana" w:hAnsi="Verdana"/>
          <w:lang w:val="es-ES_tradnl"/>
        </w:rPr>
      </w:pPr>
    </w:p>
    <w:p w14:paraId="13027AEA" w14:textId="3FB7274A" w:rsidR="003A1BAC" w:rsidRDefault="003A1BAC" w:rsidP="003A1BAC">
      <w:pPr>
        <w:spacing w:after="0"/>
        <w:rPr>
          <w:rFonts w:ascii="Verdana" w:hAnsi="Verdana"/>
          <w:lang w:val="es-ES_tradnl"/>
        </w:rPr>
      </w:pPr>
      <w:r w:rsidRPr="004F4EF9">
        <w:rPr>
          <w:rFonts w:ascii="Verdana" w:hAnsi="Verdana"/>
          <w:lang w:val="es-ES_tradnl"/>
        </w:rPr>
        <w:lastRenderedPageBreak/>
        <w:t xml:space="preserve">Bogotá D.C., </w:t>
      </w:r>
      <w:r w:rsidR="001038DE">
        <w:rPr>
          <w:rFonts w:ascii="Verdana" w:hAnsi="Verdana"/>
          <w:lang w:val="es-ES_tradnl"/>
        </w:rPr>
        <w:t>28 de mayo de 2026</w:t>
      </w:r>
    </w:p>
    <w:p w14:paraId="6A010E22" w14:textId="77777777" w:rsidR="001038DE" w:rsidRDefault="001038DE" w:rsidP="003A1BAC">
      <w:pPr>
        <w:spacing w:after="0"/>
        <w:rPr>
          <w:rFonts w:ascii="Verdana" w:hAnsi="Verdana"/>
          <w:lang w:val="es-ES_tradnl"/>
        </w:rPr>
      </w:pPr>
    </w:p>
    <w:p w14:paraId="128EC4DC" w14:textId="224002E6" w:rsidR="001038DE" w:rsidRDefault="001038DE" w:rsidP="001038DE">
      <w:pPr>
        <w:spacing w:after="0"/>
        <w:jc w:val="right"/>
        <w:rPr>
          <w:rFonts w:ascii="Verdana" w:hAnsi="Verdana"/>
          <w:lang w:val="es-ES_tradnl"/>
        </w:rPr>
      </w:pPr>
      <w:r w:rsidRPr="001038DE">
        <w:rPr>
          <w:rFonts w:ascii="Verdana" w:hAnsi="Verdana"/>
          <w:lang w:val="es-ES_tradnl"/>
        </w:rPr>
        <w:drawing>
          <wp:inline distT="0" distB="0" distL="0" distR="0" wp14:anchorId="0CBBF37F" wp14:editId="2178FC9F">
            <wp:extent cx="3677163" cy="1124107"/>
            <wp:effectExtent l="0" t="0" r="0" b="0"/>
            <wp:docPr id="3155358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535832" name=""/>
                    <pic:cNvPicPr/>
                  </pic:nvPicPr>
                  <pic:blipFill>
                    <a:blip r:embed="rId11"/>
                    <a:stretch>
                      <a:fillRect/>
                    </a:stretch>
                  </pic:blipFill>
                  <pic:spPr>
                    <a:xfrm>
                      <a:off x="0" y="0"/>
                      <a:ext cx="3677163" cy="1124107"/>
                    </a:xfrm>
                    <a:prstGeom prst="rect">
                      <a:avLst/>
                    </a:prstGeom>
                  </pic:spPr>
                </pic:pic>
              </a:graphicData>
            </a:graphic>
          </wp:inline>
        </w:drawing>
      </w:r>
    </w:p>
    <w:p w14:paraId="61321AD4" w14:textId="77777777" w:rsidR="003A1BAC" w:rsidRDefault="003A1BAC" w:rsidP="003A1BAC">
      <w:pPr>
        <w:spacing w:after="0"/>
        <w:rPr>
          <w:rFonts w:ascii="Verdana" w:hAnsi="Verdana"/>
          <w:lang w:val="es-ES_tradnl"/>
        </w:rPr>
      </w:pPr>
    </w:p>
    <w:p w14:paraId="5A3C1D37" w14:textId="77777777" w:rsidR="003A1BAC" w:rsidRPr="00777292" w:rsidRDefault="003A1BAC" w:rsidP="003A1BAC">
      <w:pPr>
        <w:spacing w:after="0"/>
        <w:rPr>
          <w:rFonts w:ascii="Verdana" w:hAnsi="Verdana"/>
          <w:lang w:val="es-ES_tradnl"/>
        </w:rPr>
      </w:pPr>
    </w:p>
    <w:p w14:paraId="4F39BDE4" w14:textId="77777777" w:rsidR="003A1BAC" w:rsidRPr="00FB6143" w:rsidRDefault="003A1BAC" w:rsidP="003A1BAC">
      <w:pPr>
        <w:spacing w:after="0" w:line="240" w:lineRule="auto"/>
        <w:rPr>
          <w:rFonts w:ascii="Verdana" w:hAnsi="Verdana"/>
        </w:rPr>
      </w:pPr>
      <w:bookmarkStart w:id="0" w:name="_Hlk143780582"/>
      <w:r w:rsidRPr="00FB6143">
        <w:rPr>
          <w:rFonts w:ascii="Verdana" w:eastAsia="Calibri" w:hAnsi="Verdana" w:cs="Arial"/>
          <w:lang w:eastAsia="es-ES"/>
        </w:rPr>
        <w:t>Señor</w:t>
      </w:r>
    </w:p>
    <w:p w14:paraId="7536B7C8" w14:textId="77777777" w:rsidR="003A1BAC" w:rsidRPr="00181EEB" w:rsidRDefault="003A1BAC" w:rsidP="003A1BAC">
      <w:pPr>
        <w:spacing w:after="0"/>
        <w:rPr>
          <w:rFonts w:ascii="Verdana" w:eastAsia="Calibri" w:hAnsi="Verdana" w:cs="Arial"/>
          <w:b/>
          <w:bCs/>
          <w:lang w:eastAsia="es-ES"/>
        </w:rPr>
      </w:pPr>
      <w:r w:rsidRPr="00181EEB">
        <w:rPr>
          <w:rFonts w:ascii="Verdana" w:eastAsia="Calibri" w:hAnsi="Verdana" w:cs="Arial"/>
          <w:b/>
          <w:bCs/>
          <w:lang w:eastAsia="es-ES"/>
        </w:rPr>
        <w:t>Arturo Eduardo Martinez Correa</w:t>
      </w:r>
    </w:p>
    <w:p w14:paraId="4F355955" w14:textId="77777777" w:rsidR="003A1BAC" w:rsidRPr="00181EEB" w:rsidRDefault="003A1BAC" w:rsidP="003A1BAC">
      <w:pPr>
        <w:spacing w:after="0"/>
        <w:rPr>
          <w:rFonts w:ascii="Verdana" w:hAnsi="Verdana"/>
        </w:rPr>
      </w:pPr>
      <w:hyperlink r:id="rId12" w:history="1">
        <w:r w:rsidRPr="00181EEB">
          <w:rPr>
            <w:rStyle w:val="Hipervnculo"/>
            <w:rFonts w:ascii="Verdana" w:hAnsi="Verdana"/>
          </w:rPr>
          <w:t>arturoemartinez@hotmail.com</w:t>
        </w:r>
      </w:hyperlink>
    </w:p>
    <w:p w14:paraId="4CB0FE73" w14:textId="77777777" w:rsidR="003A1BAC" w:rsidRPr="00181EEB" w:rsidRDefault="003A1BAC" w:rsidP="003A1BAC">
      <w:pPr>
        <w:spacing w:after="0"/>
        <w:rPr>
          <w:rFonts w:ascii="Verdana" w:eastAsia="Calibri" w:hAnsi="Verdana" w:cs="Arial"/>
          <w:lang w:eastAsia="es-ES"/>
        </w:rPr>
      </w:pPr>
      <w:r w:rsidRPr="00181EEB">
        <w:rPr>
          <w:rFonts w:ascii="Verdana" w:eastAsia="Calibri" w:hAnsi="Verdana" w:cs="Arial"/>
          <w:lang w:eastAsia="es-ES"/>
        </w:rPr>
        <w:t>Ciudad</w:t>
      </w:r>
    </w:p>
    <w:p w14:paraId="3D1E632F" w14:textId="77777777" w:rsidR="003A1BAC" w:rsidRPr="00777292" w:rsidRDefault="003A1BAC" w:rsidP="003A1BAC">
      <w:pPr>
        <w:spacing w:after="0"/>
        <w:rPr>
          <w:rFonts w:ascii="Verdana" w:eastAsia="Calibri" w:hAnsi="Verdana" w:cs="Arial"/>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A1BAC" w:rsidRPr="00777292" w14:paraId="317B33D4" w14:textId="77777777" w:rsidTr="002D3CDE">
        <w:trPr>
          <w:trHeight w:val="190"/>
        </w:trPr>
        <w:tc>
          <w:tcPr>
            <w:tcW w:w="2689" w:type="dxa"/>
          </w:tcPr>
          <w:p w14:paraId="51CFE102" w14:textId="77777777" w:rsidR="003A1BAC" w:rsidRDefault="003A1BAC" w:rsidP="002D3CDE">
            <w:pPr>
              <w:jc w:val="both"/>
              <w:rPr>
                <w:rFonts w:ascii="Verdana" w:eastAsia="Calibri" w:hAnsi="Verdana" w:cs="Arial"/>
                <w:b/>
                <w:bCs/>
                <w:lang w:eastAsia="es-ES_tradnl"/>
              </w:rPr>
            </w:pPr>
          </w:p>
          <w:p w14:paraId="2EF7E8E3" w14:textId="77777777" w:rsidR="003A1BAC" w:rsidRPr="00777292" w:rsidRDefault="003A1BAC" w:rsidP="002D3CDE">
            <w:pPr>
              <w:jc w:val="both"/>
              <w:rPr>
                <w:rFonts w:ascii="Verdana" w:eastAsia="Calibri" w:hAnsi="Verdana" w:cs="Arial"/>
                <w:b/>
                <w:bCs/>
                <w:lang w:eastAsia="es-ES_tradnl"/>
              </w:rPr>
            </w:pPr>
          </w:p>
        </w:tc>
        <w:tc>
          <w:tcPr>
            <w:tcW w:w="6100" w:type="dxa"/>
          </w:tcPr>
          <w:p w14:paraId="77AE1A2A" w14:textId="77777777" w:rsidR="003A1BAC" w:rsidRPr="00777292" w:rsidRDefault="003A1BAC" w:rsidP="002D3CDE">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Pr>
                <w:rFonts w:ascii="Verdana" w:eastAsia="Calibri" w:hAnsi="Verdana" w:cs="Arial"/>
                <w:b/>
                <w:bCs/>
                <w:lang w:eastAsia="es-ES"/>
              </w:rPr>
              <w:t>686</w:t>
            </w:r>
            <w:r w:rsidRPr="00777292">
              <w:rPr>
                <w:rFonts w:ascii="Verdana" w:eastAsia="Calibri" w:hAnsi="Verdana" w:cs="Arial"/>
                <w:b/>
                <w:bCs/>
                <w:lang w:eastAsia="es-ES"/>
              </w:rPr>
              <w:t xml:space="preserve"> de 2026</w:t>
            </w:r>
          </w:p>
          <w:p w14:paraId="6D2EA4F5" w14:textId="77777777" w:rsidR="003A1BAC" w:rsidRPr="00777292" w:rsidRDefault="003A1BAC" w:rsidP="002D3CDE">
            <w:pPr>
              <w:jc w:val="both"/>
              <w:rPr>
                <w:rFonts w:ascii="Verdana" w:eastAsia="Calibri" w:hAnsi="Verdana" w:cs="Arial"/>
                <w:b/>
                <w:bCs/>
                <w:lang w:eastAsia="es-ES"/>
              </w:rPr>
            </w:pPr>
          </w:p>
        </w:tc>
      </w:tr>
      <w:tr w:rsidR="003A1BAC" w:rsidRPr="00777292" w14:paraId="024AC644" w14:textId="77777777" w:rsidTr="002D3CDE">
        <w:trPr>
          <w:trHeight w:val="884"/>
        </w:trPr>
        <w:tc>
          <w:tcPr>
            <w:tcW w:w="2689" w:type="dxa"/>
          </w:tcPr>
          <w:p w14:paraId="5E802A59" w14:textId="77777777" w:rsidR="003A1BAC" w:rsidRPr="00777292" w:rsidRDefault="003A1BAC" w:rsidP="002D3CDE">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75E58C78" w14:textId="03032FE3" w:rsidR="003A1BAC" w:rsidRPr="00777292" w:rsidRDefault="003A1BAC" w:rsidP="00F17922">
            <w:pPr>
              <w:spacing w:line="276" w:lineRule="auto"/>
              <w:contextualSpacing/>
              <w:jc w:val="both"/>
              <w:rPr>
                <w:rFonts w:ascii="Verdana" w:eastAsia="Calibri" w:hAnsi="Verdana" w:cs="Arial"/>
                <w:lang w:eastAsia="es-ES"/>
              </w:rPr>
            </w:pP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w:t>
            </w:r>
            <w:r w:rsidR="00A373F2">
              <w:rPr>
                <w:rFonts w:ascii="Verdana" w:eastAsia="Calibri" w:hAnsi="Verdana" w:cs="Arial"/>
                <w:lang w:eastAsia="es-ES"/>
              </w:rPr>
              <w:t>/</w:t>
            </w:r>
            <w:r w:rsidR="00D73A23">
              <w:rPr>
                <w:rFonts w:ascii="Verdana" w:eastAsia="Calibri" w:hAnsi="Verdana" w:cs="Arial"/>
                <w:lang w:eastAsia="es-ES"/>
              </w:rPr>
              <w:t xml:space="preserve"> </w:t>
            </w:r>
            <w:r w:rsidR="00BD7D24" w:rsidRPr="00777292">
              <w:rPr>
                <w:rFonts w:ascii="Verdana" w:eastAsia="Calibri" w:hAnsi="Verdana" w:cs="Arial"/>
                <w:lang w:eastAsia="es-ES"/>
              </w:rPr>
              <w:t xml:space="preserve">DECRETO 0287 DE 2026 </w:t>
            </w:r>
            <w:r w:rsidR="00D73A23">
              <w:rPr>
                <w:rFonts w:ascii="Verdana" w:eastAsia="Calibri" w:hAnsi="Verdana" w:cs="Arial"/>
                <w:lang w:eastAsia="es-ES"/>
              </w:rPr>
              <w:t>– Puntaje adicional – Requisitos</w:t>
            </w:r>
            <w:r w:rsidR="00BD7D24">
              <w:rPr>
                <w:rFonts w:ascii="Verdana" w:eastAsia="Calibri" w:hAnsi="Verdana" w:cs="Arial"/>
                <w:lang w:eastAsia="es-ES"/>
              </w:rPr>
              <w:t xml:space="preserve"> /</w:t>
            </w:r>
            <w:r w:rsidR="00A373F2">
              <w:rPr>
                <w:rFonts w:ascii="Verdana" w:eastAsia="Calibri" w:hAnsi="Verdana" w:cs="Arial"/>
                <w:lang w:eastAsia="es-ES"/>
              </w:rPr>
              <w:t xml:space="preserve"> </w:t>
            </w:r>
            <w:r w:rsidR="00A373F2" w:rsidRPr="00777292">
              <w:rPr>
                <w:rFonts w:ascii="Verdana" w:eastAsia="Calibri" w:hAnsi="Verdana" w:cs="Arial"/>
                <w:lang w:eastAsia="es-ES"/>
              </w:rPr>
              <w:t>EMPRENDIMIENTOS Y EMPRESAS DE PERSONAS CON DISCAPACIDAD</w:t>
            </w:r>
            <w:r w:rsidR="001B4B80">
              <w:rPr>
                <w:rFonts w:ascii="Verdana" w:eastAsia="Calibri" w:hAnsi="Verdana" w:cs="Arial"/>
                <w:lang w:eastAsia="es-ES"/>
              </w:rPr>
              <w:t xml:space="preserve"> </w:t>
            </w:r>
            <w:r w:rsidRPr="00777292">
              <w:rPr>
                <w:rFonts w:ascii="Verdana" w:eastAsia="Calibri" w:hAnsi="Verdana" w:cs="Arial"/>
                <w:lang w:eastAsia="es-ES"/>
              </w:rPr>
              <w:t>‒</w:t>
            </w:r>
            <w:r>
              <w:rPr>
                <w:rFonts w:ascii="Verdana" w:eastAsia="Calibri" w:hAnsi="Verdana" w:cs="Arial"/>
                <w:lang w:eastAsia="es-ES"/>
              </w:rPr>
              <w:t xml:space="preserve"> </w:t>
            </w:r>
            <w:r w:rsidR="00D73A23">
              <w:rPr>
                <w:rFonts w:ascii="Verdana" w:eastAsia="Calibri" w:hAnsi="Verdana" w:cs="Arial"/>
                <w:lang w:eastAsia="es-ES"/>
              </w:rPr>
              <w:t>Cargos del</w:t>
            </w:r>
            <w:r w:rsidRPr="00B66A1B">
              <w:rPr>
                <w:rFonts w:ascii="Verdana" w:eastAsia="Calibri" w:hAnsi="Verdana" w:cs="Arial"/>
                <w:lang w:eastAsia="es-ES"/>
              </w:rPr>
              <w:t xml:space="preserve"> </w:t>
            </w:r>
            <w:r w:rsidR="00594D0B">
              <w:rPr>
                <w:rFonts w:ascii="Verdana" w:eastAsia="Calibri" w:hAnsi="Verdana" w:cs="Arial"/>
                <w:lang w:eastAsia="es-ES"/>
              </w:rPr>
              <w:t>n</w:t>
            </w:r>
            <w:r w:rsidRPr="00B66A1B">
              <w:rPr>
                <w:rFonts w:ascii="Verdana" w:eastAsia="Calibri" w:hAnsi="Verdana" w:cs="Arial"/>
                <w:lang w:eastAsia="es-ES"/>
              </w:rPr>
              <w:t>ivel directivo</w:t>
            </w:r>
            <w:r w:rsidR="001B4B80">
              <w:rPr>
                <w:rFonts w:ascii="Verdana" w:eastAsia="Calibri" w:hAnsi="Verdana" w:cs="Arial"/>
                <w:lang w:eastAsia="es-ES"/>
              </w:rPr>
              <w:t xml:space="preserve"> – Noción</w:t>
            </w:r>
          </w:p>
        </w:tc>
      </w:tr>
      <w:tr w:rsidR="003A1BAC" w:rsidRPr="00777292" w14:paraId="31E40406" w14:textId="77777777" w:rsidTr="002D3CDE">
        <w:tc>
          <w:tcPr>
            <w:tcW w:w="2689" w:type="dxa"/>
          </w:tcPr>
          <w:p w14:paraId="09A4DD1F" w14:textId="77777777" w:rsidR="003A1BAC" w:rsidRPr="00777292" w:rsidRDefault="003A1BAC" w:rsidP="002D3CDE">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14C3AD82" w14:textId="77777777" w:rsidR="003A1BAC" w:rsidRPr="00777292" w:rsidRDefault="003A1BAC" w:rsidP="00F17922">
            <w:pPr>
              <w:spacing w:line="276" w:lineRule="auto"/>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Pr="00EF107F">
              <w:rPr>
                <w:rFonts w:ascii="Verdana" w:hAnsi="Verdana" w:cs="Segoe UI"/>
                <w:color w:val="2B2B2B"/>
                <w:shd w:val="clear" w:color="auto" w:fill="FFFFFF"/>
              </w:rPr>
              <w:t>1_2026_04_26_005677</w:t>
            </w:r>
          </w:p>
        </w:tc>
      </w:tr>
    </w:tbl>
    <w:p w14:paraId="137B206E" w14:textId="77777777" w:rsidR="003A1BAC" w:rsidRPr="00206556" w:rsidRDefault="003A1BAC" w:rsidP="003A1BAC">
      <w:pPr>
        <w:tabs>
          <w:tab w:val="left" w:pos="1520"/>
        </w:tabs>
        <w:spacing w:after="0" w:line="276" w:lineRule="auto"/>
        <w:jc w:val="both"/>
        <w:rPr>
          <w:rFonts w:ascii="Verdana" w:eastAsia="Calibri" w:hAnsi="Verdana" w:cs="Arial"/>
          <w:color w:val="ED7D31" w:themeColor="accent2"/>
          <w:sz w:val="20"/>
          <w:szCs w:val="20"/>
          <w:lang w:val="es-ES" w:eastAsia="es-ES"/>
        </w:rPr>
      </w:pPr>
    </w:p>
    <w:p w14:paraId="7597C74E" w14:textId="77777777" w:rsidR="003A1BAC" w:rsidRPr="00206556" w:rsidRDefault="003A1BAC" w:rsidP="003A1BAC">
      <w:pPr>
        <w:spacing w:after="0" w:line="276" w:lineRule="auto"/>
        <w:jc w:val="both"/>
        <w:rPr>
          <w:rFonts w:ascii="Verdana" w:eastAsia="Calibri" w:hAnsi="Verdana" w:cs="Arial"/>
          <w:color w:val="ED7D31" w:themeColor="accent2"/>
          <w:lang w:val="es-ES" w:eastAsia="es-ES"/>
        </w:rPr>
      </w:pPr>
    </w:p>
    <w:p w14:paraId="5AC5EB64" w14:textId="4122D783" w:rsidR="003A1BAC" w:rsidRPr="00206556" w:rsidRDefault="003A1BAC" w:rsidP="003A1BAC">
      <w:pPr>
        <w:spacing w:after="0" w:line="276" w:lineRule="auto"/>
        <w:jc w:val="both"/>
        <w:rPr>
          <w:rFonts w:ascii="Verdana" w:eastAsia="Calibri" w:hAnsi="Verdana" w:cs="Arial"/>
          <w:lang w:val="es-ES" w:eastAsia="es-ES"/>
        </w:rPr>
      </w:pPr>
      <w:r w:rsidRPr="006A7B59">
        <w:rPr>
          <w:rFonts w:ascii="Verdana" w:eastAsia="Calibri" w:hAnsi="Verdana" w:cs="Arial"/>
          <w:lang w:val="es-ES" w:eastAsia="es-ES"/>
        </w:rPr>
        <w:t>Estimad</w:t>
      </w:r>
      <w:r>
        <w:rPr>
          <w:rFonts w:ascii="Verdana" w:eastAsia="Calibri" w:hAnsi="Verdana" w:cs="Arial"/>
          <w:lang w:val="es-ES" w:eastAsia="es-ES"/>
        </w:rPr>
        <w:t>o</w:t>
      </w:r>
      <w:r w:rsidRPr="006A7B59">
        <w:rPr>
          <w:rFonts w:ascii="Verdana" w:eastAsia="Calibri" w:hAnsi="Verdana" w:cs="Arial"/>
          <w:lang w:val="es-ES" w:eastAsia="es-ES"/>
        </w:rPr>
        <w:t xml:space="preserve"> Señor </w:t>
      </w:r>
      <w:r w:rsidR="00EB4D75">
        <w:rPr>
          <w:rFonts w:ascii="Verdana" w:eastAsia="Calibri" w:hAnsi="Verdana" w:cs="Arial"/>
          <w:lang w:val="es-ES" w:eastAsia="es-ES"/>
        </w:rPr>
        <w:t>Martínez</w:t>
      </w:r>
      <w:r w:rsidRPr="006A7B59">
        <w:rPr>
          <w:rFonts w:ascii="Verdana" w:eastAsia="Calibri" w:hAnsi="Verdana" w:cs="Arial"/>
          <w:lang w:val="es-ES" w:eastAsia="es-ES"/>
        </w:rPr>
        <w:t>,</w:t>
      </w:r>
    </w:p>
    <w:p w14:paraId="75E43AB5" w14:textId="77777777" w:rsidR="003A1BAC" w:rsidRPr="00206556" w:rsidRDefault="003A1BAC" w:rsidP="003A1BAC">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4FAD3AB9" w14:textId="77777777" w:rsidR="003A1BAC" w:rsidRPr="00206556" w:rsidRDefault="003A1BAC" w:rsidP="003A1BAC">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la Resolución 469 de 2025 expedida por esta Entidad, </w:t>
      </w:r>
      <w:r w:rsidRPr="00206556">
        <w:rPr>
          <w:rFonts w:ascii="Verdana" w:eastAsia="Calibri" w:hAnsi="Verdana" w:cs="Arial"/>
          <w:lang w:val="es-ES" w:eastAsia="es-ES"/>
        </w:rPr>
        <w:t xml:space="preserve">la Agencia Nacional de Contratación Pública – Colombia Compra Eficiente– responde su solicitud de </w:t>
      </w:r>
      <w:r w:rsidRPr="00FB46F9">
        <w:rPr>
          <w:rFonts w:ascii="Verdana" w:eastAsia="Calibri" w:hAnsi="Verdana" w:cs="Arial"/>
          <w:lang w:val="es-ES" w:eastAsia="es-ES"/>
        </w:rPr>
        <w:t>consulta de fecha</w:t>
      </w:r>
      <w:r>
        <w:rPr>
          <w:rFonts w:ascii="Verdana" w:eastAsia="Calibri" w:hAnsi="Verdana" w:cs="Arial"/>
          <w:lang w:val="es-ES" w:eastAsia="es-ES"/>
        </w:rPr>
        <w:t xml:space="preserve"> 26</w:t>
      </w:r>
      <w:r w:rsidRPr="00FB46F9">
        <w:rPr>
          <w:rFonts w:ascii="Verdana" w:eastAsia="Calibri" w:hAnsi="Verdana" w:cs="Arial"/>
          <w:lang w:val="es-ES" w:eastAsia="es-ES"/>
        </w:rPr>
        <w:t xml:space="preserve"> de </w:t>
      </w:r>
      <w:r>
        <w:rPr>
          <w:rFonts w:ascii="Verdana" w:eastAsia="Calibri" w:hAnsi="Verdana" w:cs="Arial"/>
          <w:lang w:val="es-ES" w:eastAsia="es-ES"/>
        </w:rPr>
        <w:t>abril</w:t>
      </w:r>
      <w:r w:rsidRPr="00FB46F9">
        <w:rPr>
          <w:rFonts w:ascii="Verdana" w:eastAsia="Calibri" w:hAnsi="Verdana" w:cs="Arial"/>
          <w:lang w:val="es-ES" w:eastAsia="es-ES"/>
        </w:rPr>
        <w:t xml:space="preserve"> de 2026, en</w:t>
      </w:r>
      <w:r w:rsidRPr="00206556">
        <w:rPr>
          <w:rFonts w:ascii="Verdana" w:eastAsia="Calibri" w:hAnsi="Verdana" w:cs="Arial"/>
          <w:lang w:val="es-ES" w:eastAsia="es-ES"/>
        </w:rPr>
        <w:t xml:space="preserve"> la cual manifiesta lo siguiente: </w:t>
      </w:r>
    </w:p>
    <w:p w14:paraId="43B2A68B" w14:textId="77777777" w:rsidR="003A1BAC" w:rsidRDefault="003A1BAC" w:rsidP="003A1BAC">
      <w:pPr>
        <w:spacing w:before="120" w:after="120" w:line="240" w:lineRule="auto"/>
        <w:ind w:right="709"/>
        <w:contextualSpacing/>
        <w:jc w:val="both"/>
        <w:rPr>
          <w:rFonts w:ascii="Verdana" w:eastAsia="Century Gothic" w:hAnsi="Verdana" w:cs="Century Gothic"/>
          <w:i/>
          <w:iCs/>
          <w:sz w:val="20"/>
          <w:szCs w:val="20"/>
          <w:lang w:val="es-ES"/>
        </w:rPr>
      </w:pPr>
    </w:p>
    <w:p w14:paraId="37AC0C72" w14:textId="77777777" w:rsidR="003A1BAC" w:rsidRDefault="003A1BAC" w:rsidP="003A1BAC">
      <w:pPr>
        <w:spacing w:before="120" w:after="120" w:line="240" w:lineRule="auto"/>
        <w:ind w:left="709" w:right="709"/>
        <w:contextualSpacing/>
        <w:jc w:val="both"/>
        <w:rPr>
          <w:rFonts w:ascii="Verdana" w:eastAsia="Century Gothic" w:hAnsi="Verdana" w:cs="Century Gothic"/>
          <w:i/>
          <w:iCs/>
          <w:sz w:val="20"/>
          <w:szCs w:val="20"/>
          <w:lang w:val="es-ES"/>
        </w:rPr>
      </w:pPr>
      <w:r w:rsidRPr="008173B6">
        <w:rPr>
          <w:rFonts w:ascii="Verdana" w:eastAsia="Century Gothic" w:hAnsi="Verdana" w:cs="Century Gothic"/>
          <w:i/>
          <w:iCs/>
          <w:sz w:val="21"/>
          <w:szCs w:val="21"/>
          <w:lang w:val="es-ES"/>
        </w:rPr>
        <w:t xml:space="preserve">Cordial saludo, en cuanto a las confusiones que nos ha ocasionado la implementación del decreto 0287 de 2026, el cual practica mente nos impide la participación en procesos de contratación estatal, en </w:t>
      </w:r>
      <w:r w:rsidRPr="008173B6">
        <w:rPr>
          <w:rFonts w:ascii="Verdana" w:eastAsia="Century Gothic" w:hAnsi="Verdana" w:cs="Century Gothic"/>
          <w:i/>
          <w:iCs/>
          <w:sz w:val="21"/>
          <w:szCs w:val="21"/>
          <w:lang w:val="es-ES"/>
        </w:rPr>
        <w:lastRenderedPageBreak/>
        <w:t>licitaciones publicas, selecciones abreviadas de menor cuantía, para la ejecución de obras publicas, les solicito respetuosamente, me aclaren, si UN EMPLEADOR PERSONA NATURAL, que tiene un empleado PERSONA EN CONDICIÓN DE DISCAPACIDAD, con todas las condiciones de ley laboral EXIGIDAS, (CONTRATO LABORAL A TERMINO INDEFINIDO,PRESTACIONES DE LEY, SEGURIDAD SOCIAL), ocupando un cargo de nivel directivo, desde hace mas de un año, puede llegar a obtener el máximo de puntuación ( hasta 2 puntos), en los procesos de contratación estatal, descritos anteriormente, por su amable atención y oportuna respuesta a la anterior, me suscribo de ustedes</w:t>
      </w:r>
    </w:p>
    <w:p w14:paraId="5E66451C" w14:textId="77777777" w:rsidR="003A1BAC" w:rsidRPr="00206556" w:rsidRDefault="003A1BAC" w:rsidP="003A1BAC">
      <w:pPr>
        <w:spacing w:before="120" w:after="120" w:line="240" w:lineRule="auto"/>
        <w:ind w:left="709" w:right="709"/>
        <w:contextualSpacing/>
        <w:jc w:val="both"/>
        <w:rPr>
          <w:rFonts w:ascii="Verdana" w:eastAsia="Century Gothic" w:hAnsi="Verdana" w:cs="Century Gothic"/>
          <w:i/>
          <w:iCs/>
          <w:sz w:val="20"/>
          <w:szCs w:val="20"/>
          <w:lang w:val="es-ES"/>
        </w:rPr>
      </w:pPr>
    </w:p>
    <w:p w14:paraId="147618E5" w14:textId="77777777" w:rsidR="003A1BAC" w:rsidRPr="00206556" w:rsidRDefault="003A1BAC" w:rsidP="003A1BAC">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11A5B4E1" w14:textId="77777777" w:rsidR="003A1BAC" w:rsidRPr="00206556" w:rsidRDefault="003A1BAC" w:rsidP="003A1BAC">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 xml:space="preserve">el </w:t>
      </w:r>
      <w:r w:rsidRPr="00206556">
        <w:rPr>
          <w:rFonts w:ascii="Verdana" w:eastAsia="Calibri" w:hAnsi="Verdana" w:cs="Arial"/>
          <w:lang w:val="es-ES" w:eastAsia="es-ES"/>
        </w:rPr>
        <w:t xml:space="preserve">problema jurídico de su consulta. </w:t>
      </w:r>
    </w:p>
    <w:p w14:paraId="1D18CB3F" w14:textId="77777777" w:rsidR="003A1BAC" w:rsidRPr="00206556" w:rsidRDefault="003A1BAC" w:rsidP="003A1BAC">
      <w:pPr>
        <w:spacing w:after="0" w:line="276" w:lineRule="auto"/>
        <w:ind w:firstLine="709"/>
        <w:jc w:val="both"/>
        <w:rPr>
          <w:rFonts w:ascii="Verdana" w:eastAsia="Calibri" w:hAnsi="Verdana" w:cs="Arial"/>
          <w:lang w:val="es-ES" w:eastAsia="es-ES"/>
        </w:rPr>
      </w:pPr>
    </w:p>
    <w:p w14:paraId="5B39E981" w14:textId="77777777" w:rsidR="003A1BAC" w:rsidRPr="00206556" w:rsidRDefault="003A1BAC" w:rsidP="003A1BAC">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57BFEDDA" w14:textId="77777777" w:rsidR="003A1BAC" w:rsidRPr="00206556" w:rsidRDefault="003A1BAC" w:rsidP="003A1BAC">
      <w:pPr>
        <w:tabs>
          <w:tab w:val="left" w:pos="426"/>
        </w:tabs>
        <w:spacing w:after="0" w:line="276" w:lineRule="auto"/>
        <w:jc w:val="both"/>
        <w:rPr>
          <w:rFonts w:ascii="Verdana" w:eastAsia="Century Gothic" w:hAnsi="Verdana" w:cs="Century Gothic"/>
          <w:color w:val="ED7D31" w:themeColor="accent2"/>
          <w:lang w:val="es-ES"/>
        </w:rPr>
      </w:pPr>
    </w:p>
    <w:p w14:paraId="7914A4ED" w14:textId="77777777" w:rsidR="003A1BAC" w:rsidRDefault="003A1BAC" w:rsidP="003A1BAC">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Pr="00206556">
        <w:rPr>
          <w:rFonts w:ascii="Verdana" w:eastAsia="Century Gothic" w:hAnsi="Verdana" w:cs="Century Gothic"/>
        </w:rPr>
        <w:t>¿</w:t>
      </w:r>
      <w:r>
        <w:rPr>
          <w:rFonts w:ascii="Verdana" w:eastAsia="Century Gothic" w:hAnsi="Verdana" w:cs="Century Gothic"/>
        </w:rPr>
        <w:t>Cómo se aplica el puntaje para empleadores de personas con discapacidad que ocupan el nivel directivo de la empresa</w:t>
      </w:r>
      <w:r w:rsidRPr="00206556">
        <w:rPr>
          <w:rFonts w:ascii="Verdana" w:eastAsia="Century Gothic" w:hAnsi="Verdana" w:cs="Century Gothic"/>
        </w:rPr>
        <w:t>?</w:t>
      </w:r>
    </w:p>
    <w:p w14:paraId="2808050C" w14:textId="77777777" w:rsidR="003A1BAC" w:rsidRPr="00206556" w:rsidRDefault="003A1BAC" w:rsidP="003A1BAC">
      <w:pPr>
        <w:spacing w:after="0" w:line="276" w:lineRule="auto"/>
        <w:jc w:val="both"/>
        <w:rPr>
          <w:rFonts w:ascii="Verdana" w:eastAsia="Century Gothic" w:hAnsi="Verdana" w:cs="Century Gothic"/>
          <w:color w:val="ED7D31" w:themeColor="accent2"/>
        </w:rPr>
      </w:pPr>
    </w:p>
    <w:p w14:paraId="56B65508"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2BE8EC2C"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A1BAC" w:rsidRPr="00206556" w14:paraId="655FF97A" w14:textId="77777777" w:rsidTr="002D3CDE">
        <w:tc>
          <w:tcPr>
            <w:tcW w:w="8828" w:type="dxa"/>
          </w:tcPr>
          <w:p w14:paraId="60A35710" w14:textId="77777777" w:rsidR="00D86808" w:rsidRPr="00D86808" w:rsidRDefault="00D86808" w:rsidP="00F17922">
            <w:pPr>
              <w:spacing w:before="120" w:after="120" w:line="276" w:lineRule="auto"/>
              <w:jc w:val="both"/>
              <w:rPr>
                <w:rFonts w:ascii="Verdana" w:eastAsia="Calibri" w:hAnsi="Verdana" w:cs="Arial"/>
              </w:rPr>
            </w:pPr>
            <w:r w:rsidRPr="00D86808">
              <w:rPr>
                <w:rFonts w:ascii="Verdana" w:eastAsia="Calibri" w:hAnsi="Verdana" w:cs="Arial"/>
              </w:rPr>
              <w:t>En respuesta al problema planteado, es preciso señalar que el artículo 2.2.1.2.4.2.7.4 del Decreto 1082 de 2015, modificado por el Decreto 287 de 2026, establece un puntaje adicional del dos por ciento (2 %) del total de los puntos previstos en el pliego de condiciones para los procedimientos de licitación pública y concurso de méritos. A este beneficio pueden acceder los proponentes que: i) acrediten alguna de las condiciones previstas en el artículo 2.2.1.2.4.2.6 del Decreto 1082 de 2015, o ii) demuestren la vinculación de personas con discapacidad a su planta de personal en los términos establecidos en el numeral 2 del artículo 2.2.1.2.4.2.7.4.</w:t>
            </w:r>
          </w:p>
          <w:p w14:paraId="754FF912" w14:textId="77777777" w:rsidR="00D86808" w:rsidRPr="00D86808" w:rsidRDefault="00D86808" w:rsidP="00D86808">
            <w:pPr>
              <w:spacing w:before="120" w:after="120" w:line="276" w:lineRule="auto"/>
              <w:ind w:firstLine="709"/>
              <w:jc w:val="both"/>
              <w:rPr>
                <w:rFonts w:ascii="Verdana" w:eastAsia="Calibri" w:hAnsi="Verdana" w:cs="Arial"/>
              </w:rPr>
            </w:pPr>
            <w:r w:rsidRPr="00D86808">
              <w:rPr>
                <w:rFonts w:ascii="Verdana" w:eastAsia="Calibri" w:hAnsi="Verdana" w:cs="Arial"/>
              </w:rPr>
              <w:t>Ahora bien, de conformidad con el numeral 4 del artículo 2.2.1.2.4.2.6, se consideran emprendimientos o empresas de personas con discapacidad las personas jurídicas que tengan vinculada laboralmente al menos una (1) persona con discapacidad en un empleo del nivel directivo durante, por lo menos, el año anterior a la fecha de cierre del proceso de selección, ya sea en el mismo cargo o en otro del mismo nivel. La norma precisa que los empleos del nivel directivo son aquellos cuyas funciones se relacionan con la dirección de áreas misionales de la empresa y la adopción de decisiones estratégicas. En consecuencia, se trata de cargos ubicados en los niveles superiores de la estructura organizacional o que, por su jerarquía, impliquen funciones de representación del empleador.</w:t>
            </w:r>
          </w:p>
          <w:p w14:paraId="181315D6" w14:textId="77777777" w:rsidR="00D86808" w:rsidRPr="00D86808" w:rsidRDefault="00D86808" w:rsidP="00D86808">
            <w:pPr>
              <w:spacing w:before="120" w:after="120" w:line="276" w:lineRule="auto"/>
              <w:ind w:firstLine="709"/>
              <w:jc w:val="both"/>
              <w:rPr>
                <w:rFonts w:ascii="Verdana" w:eastAsia="Calibri" w:hAnsi="Verdana" w:cs="Arial"/>
              </w:rPr>
            </w:pPr>
            <w:r w:rsidRPr="00D86808">
              <w:rPr>
                <w:rFonts w:ascii="Verdana" w:eastAsia="Calibri" w:hAnsi="Verdana" w:cs="Arial"/>
              </w:rPr>
              <w:t>De acuerdo con el inciso cuarto del citado numeral, esta circunstancia debe acreditarse mediante certificación expedida por el representante legal y el revisor fiscal, cuando exista, o por el contador, en la que se identifique a las personas con discapacidad que ocupan cargos del nivel directivo y se indique el tiempo de vinculación correspondiente. Por tanto, el proponente que acredite esta condición podrá acceder al puntaje adicional previsto en el artículo 2.2.1.2.4.2.7.4 del Decreto 1082 de 2015, conforme con lo dispuesto en el numeral 1 de dicha disposición.</w:t>
            </w:r>
          </w:p>
          <w:p w14:paraId="5D8F814B" w14:textId="5F0286B6" w:rsidR="003A1BAC" w:rsidRPr="00670CFB" w:rsidRDefault="00D86808" w:rsidP="002D3CDE">
            <w:pPr>
              <w:spacing w:before="120" w:after="120" w:line="276" w:lineRule="auto"/>
              <w:ind w:firstLine="709"/>
              <w:jc w:val="both"/>
              <w:rPr>
                <w:rFonts w:ascii="Verdana" w:eastAsia="Calibri" w:hAnsi="Verdana" w:cs="Arial"/>
              </w:rPr>
            </w:pPr>
            <w:r w:rsidRPr="00D86808">
              <w:rPr>
                <w:rFonts w:ascii="Verdana" w:eastAsia="Calibri" w:hAnsi="Verdana" w:cs="Arial"/>
              </w:rPr>
              <w:t xml:space="preserve">Sin perjuicio de lo anterior, cuando la persona con discapacidad vinculada no ocupe un cargo del nivel directivo en los términos del numeral 4 del artículo 2.2.1.2.4.2.6, el proponente podrá verificar la procedencia del puntaje con fundamento en el numeral 2 del artículo 2.2.1.2.4.2.7.4. En este evento, deberá determinar el rango en el que se ubica su planta de personal para establecer el número mínimo de personas con discapacidad que deben </w:t>
            </w:r>
            <w:r w:rsidRPr="00D86808">
              <w:rPr>
                <w:rFonts w:ascii="Verdana" w:eastAsia="Calibri" w:hAnsi="Verdana" w:cs="Arial"/>
              </w:rPr>
              <w:lastRenderedPageBreak/>
              <w:t xml:space="preserve">encontrarse vinculadas laboralmente. </w:t>
            </w:r>
            <w:r>
              <w:rPr>
                <w:rFonts w:ascii="Verdana" w:eastAsia="Calibri" w:hAnsi="Verdana" w:cs="Arial"/>
              </w:rPr>
              <w:t>Al respecto, debe tenerse en cuenta que,</w:t>
            </w:r>
            <w:r w:rsidRPr="00D86808">
              <w:rPr>
                <w:rFonts w:ascii="Verdana" w:eastAsia="Calibri" w:hAnsi="Verdana" w:cs="Arial"/>
              </w:rPr>
              <w:t xml:space="preserve"> las empresas cuya planta de personal esté conformada entre uno (1) y treinta (30) trabajadores, la norma exige la vinculación de al menos dos (2) personas con discapacidad para acceder al puntaje adicional.</w:t>
            </w:r>
          </w:p>
        </w:tc>
      </w:tr>
    </w:tbl>
    <w:p w14:paraId="2DF2B85B"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53973846"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6B56BEA0"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color w:val="ED7D31" w:themeColor="accent2"/>
          <w:lang w:val="es-ES"/>
        </w:rPr>
      </w:pPr>
    </w:p>
    <w:p w14:paraId="79DC0139" w14:textId="77777777" w:rsidR="003A1BAC" w:rsidRPr="00206556" w:rsidRDefault="003A1BAC" w:rsidP="003A1BAC">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0827E6B7" w14:textId="77777777" w:rsidR="003A1BAC" w:rsidRPr="00206556" w:rsidRDefault="003A1BAC" w:rsidP="003A1BAC">
      <w:pPr>
        <w:spacing w:after="0" w:line="276" w:lineRule="auto"/>
        <w:jc w:val="both"/>
        <w:rPr>
          <w:rFonts w:ascii="Verdana" w:eastAsia="Calibri" w:hAnsi="Verdana" w:cs="Arial"/>
          <w:lang w:val="es-ES"/>
        </w:rPr>
      </w:pPr>
    </w:p>
    <w:p w14:paraId="7DCAA975" w14:textId="77777777" w:rsidR="003A1BAC" w:rsidRPr="000C6B53" w:rsidRDefault="003A1BAC" w:rsidP="003A1BAC">
      <w:pPr>
        <w:spacing w:after="120" w:line="276" w:lineRule="auto"/>
        <w:jc w:val="both"/>
        <w:rPr>
          <w:rFonts w:ascii="Verdana" w:eastAsia="Calibri" w:hAnsi="Verdana" w:cs="Arial"/>
        </w:rPr>
      </w:pPr>
      <w:r w:rsidRPr="000C6B53">
        <w:rPr>
          <w:rFonts w:ascii="Verdana" w:eastAsia="Calibri" w:hAnsi="Verdana" w:cs="Arial"/>
          <w:lang w:val="es-ES"/>
        </w:rPr>
        <w:t xml:space="preserve">(i) </w:t>
      </w:r>
      <w:r w:rsidRPr="000C6B53">
        <w:rPr>
          <w:rFonts w:ascii="Verdana" w:eastAsia="Calibri" w:hAnsi="Verdana" w:cs="Arial"/>
        </w:rPr>
        <w:t xml:space="preserve">Para resolver el problema jurídico planteado, esta Agencia considera necesario partir del análisis de los antecedentes normativos que explican el origen, la finalidad y el alcance del Sistema Integral de Preferencias establecido por el Decreto 0287 de 2026, en la medida en que solo a partir de ese contexto es posible comprender las obligaciones concretas que dicho decreto impone a las entidades estatales y a los demás partícipes de la contratación pública. </w:t>
      </w:r>
    </w:p>
    <w:p w14:paraId="62D3E96F" w14:textId="77777777" w:rsidR="003A1BAC" w:rsidRPr="000C6B53" w:rsidRDefault="003A1BAC" w:rsidP="003A1BAC">
      <w:pPr>
        <w:spacing w:after="120" w:line="276" w:lineRule="auto"/>
        <w:ind w:firstLine="708"/>
        <w:jc w:val="both"/>
        <w:rPr>
          <w:rFonts w:ascii="Verdana" w:eastAsia="Times New Roman" w:hAnsi="Verdana" w:cs="Times New Roman"/>
        </w:rPr>
      </w:pPr>
      <w:r w:rsidRPr="000C6B53">
        <w:rPr>
          <w:rFonts w:ascii="Verdana" w:eastAsia="Times New Roman" w:hAnsi="Verdana" w:cs="Times New Roman"/>
        </w:rPr>
        <w:t>El fundamento constitucional del Sistema de Preferencias en favor de las PcD en la contratación pública se encuentra en el principio de igualdad material o real y efectiva consagrado en el artículo 13 de la Constitución Política de 1991</w:t>
      </w:r>
      <w:r w:rsidRPr="000C6B53">
        <w:rPr>
          <w:rStyle w:val="Refdenotaalpie"/>
          <w:rFonts w:ascii="Verdana" w:eastAsia="Times New Roman" w:hAnsi="Verdana" w:cs="Times New Roman"/>
        </w:rPr>
        <w:footnoteReference w:id="1"/>
      </w:r>
      <w:r w:rsidRPr="000C6B53">
        <w:rPr>
          <w:rFonts w:ascii="Verdana" w:eastAsia="Times New Roman" w:hAnsi="Verdana" w:cs="Times New Roman"/>
        </w:rPr>
        <w:t xml:space="preserve">, el cual le impone al Estado el deber positivo de adoptar </w:t>
      </w:r>
      <w:r w:rsidRPr="000C6B53">
        <w:rPr>
          <w:rFonts w:ascii="Verdana" w:eastAsia="Times New Roman" w:hAnsi="Verdana" w:cs="Times New Roman"/>
          <w:i/>
          <w:iCs/>
        </w:rPr>
        <w:t>acciones afirmativas</w:t>
      </w:r>
      <w:r w:rsidRPr="000C6B53">
        <w:rPr>
          <w:rFonts w:ascii="Verdana" w:eastAsia="Times New Roman" w:hAnsi="Verdana" w:cs="Times New Roman"/>
        </w:rPr>
        <w:t xml:space="preserve"> en favor de grupos históricamente excluidos, dirigidas a corregir situaciones de discriminación estructural que los afectan. En desarrollo de este mandato, la Corte Constitucional ha sostenido que tales medidas buscan contrarrestar los efectos de la discriminación y que el Estado puede establecer tratamientos diferenciales a favor de estos grupos en aras de lograr una igualdad real y efectiva. </w:t>
      </w:r>
    </w:p>
    <w:p w14:paraId="76AF31F2" w14:textId="77777777" w:rsidR="003A1BAC" w:rsidRPr="000C6B53" w:rsidRDefault="003A1BAC" w:rsidP="003A1BAC">
      <w:pPr>
        <w:spacing w:after="120" w:line="276" w:lineRule="auto"/>
        <w:ind w:firstLine="708"/>
        <w:jc w:val="both"/>
        <w:rPr>
          <w:rFonts w:ascii="Verdana" w:eastAsia="Times New Roman" w:hAnsi="Verdana" w:cs="Times New Roman"/>
        </w:rPr>
      </w:pPr>
      <w:r w:rsidRPr="000C6B53">
        <w:rPr>
          <w:rFonts w:ascii="Verdana" w:eastAsia="Times New Roman" w:hAnsi="Verdana" w:cs="Times New Roman"/>
        </w:rPr>
        <w:t>A su vez, los artículos 47 y 54 de la Carta Política refuerzan este mandato al ordenar políticas de integración social y ubicación laboral para las PcD</w:t>
      </w:r>
      <w:r w:rsidRPr="000C6B53">
        <w:rPr>
          <w:rStyle w:val="Refdenotaalpie"/>
          <w:rFonts w:ascii="Verdana" w:eastAsia="Times New Roman" w:hAnsi="Verdana" w:cs="Times New Roman"/>
        </w:rPr>
        <w:footnoteReference w:id="2"/>
      </w:r>
      <w:r w:rsidRPr="000C6B53">
        <w:rPr>
          <w:rFonts w:ascii="Verdana" w:eastAsia="Times New Roman" w:hAnsi="Verdana" w:cs="Times New Roman"/>
        </w:rPr>
        <w:t>.</w:t>
      </w:r>
    </w:p>
    <w:p w14:paraId="3A1BFCF6" w14:textId="77777777" w:rsidR="003A1BAC" w:rsidRPr="000C6B53" w:rsidRDefault="003A1BAC" w:rsidP="003A1BAC">
      <w:pPr>
        <w:spacing w:after="120" w:line="276" w:lineRule="auto"/>
        <w:ind w:firstLine="708"/>
        <w:jc w:val="both"/>
        <w:rPr>
          <w:rFonts w:ascii="Verdana" w:hAnsi="Verdana"/>
        </w:rPr>
      </w:pPr>
      <w:r w:rsidRPr="000C6B53">
        <w:rPr>
          <w:rFonts w:ascii="Verdana" w:eastAsia="Times New Roman" w:hAnsi="Verdana" w:cs="Times New Roman"/>
        </w:rPr>
        <w:t xml:space="preserve">En el plano internacional, Colombia es Estado Parte de diversos instrumentos que conforman el Bloque de Constitucionalidad en los términos del artículo 93 superior. En particular, la Convención sobre los Derechos de las </w:t>
      </w:r>
      <w:r w:rsidRPr="000C6B53">
        <w:rPr>
          <w:rFonts w:ascii="Verdana" w:eastAsia="Times New Roman" w:hAnsi="Verdana" w:cs="Times New Roman"/>
        </w:rPr>
        <w:lastRenderedPageBreak/>
        <w:t>Personas con Discapacidad de la ONU</w:t>
      </w:r>
      <w:r w:rsidRPr="000C6B53">
        <w:rPr>
          <w:rStyle w:val="Refdenotaalpie"/>
          <w:rFonts w:ascii="Verdana" w:eastAsia="Times New Roman" w:hAnsi="Verdana" w:cs="Times New Roman"/>
        </w:rPr>
        <w:footnoteReference w:id="3"/>
      </w:r>
      <w:r w:rsidRPr="000C6B53">
        <w:rPr>
          <w:rFonts w:ascii="Verdana" w:eastAsia="Times New Roman" w:hAnsi="Verdana" w:cs="Times New Roman"/>
        </w:rPr>
        <w:t xml:space="preserve"> reconoce el derecho de las PcD a trabajar en igualdad de condiciones y exige programas de acción afirmativa. De igual forma, la Convención Interamericana para la Eliminación de todas las Formas de Discriminación</w:t>
      </w:r>
      <w:r w:rsidRPr="000C6B53">
        <w:rPr>
          <w:rStyle w:val="Refdenotaalpie"/>
          <w:rFonts w:ascii="Verdana" w:eastAsia="Times New Roman" w:hAnsi="Verdana" w:cs="Times New Roman"/>
        </w:rPr>
        <w:footnoteReference w:id="4"/>
      </w:r>
      <w:r w:rsidRPr="000C6B53">
        <w:rPr>
          <w:rFonts w:ascii="Verdana" w:eastAsia="Times New Roman" w:hAnsi="Verdana" w:cs="Times New Roman"/>
        </w:rPr>
        <w:t xml:space="preserve"> ordena eliminar progresivamente la discriminación en la prestación de servicios, incluido el empleo. Finalmente, el Convenio 159 de la OIT</w:t>
      </w:r>
      <w:r w:rsidRPr="000C6B53">
        <w:rPr>
          <w:rStyle w:val="Refdenotaalpie"/>
          <w:rFonts w:ascii="Verdana" w:eastAsia="Times New Roman" w:hAnsi="Verdana" w:cs="Times New Roman"/>
        </w:rPr>
        <w:footnoteReference w:id="5"/>
      </w:r>
      <w:r w:rsidRPr="000C6B53">
        <w:rPr>
          <w:rFonts w:ascii="Verdana" w:eastAsia="Times New Roman" w:hAnsi="Verdana" w:cs="Times New Roman"/>
        </w:rPr>
        <w:t xml:space="preserve"> exige medidas orientadas a garantizar la igualdad de oportunidades de todas las categorías de PcD en materia de empleo.</w:t>
      </w:r>
    </w:p>
    <w:p w14:paraId="5EC44082" w14:textId="77777777" w:rsidR="003A1BAC" w:rsidRPr="000C6B53" w:rsidRDefault="003A1BAC" w:rsidP="003A1BAC">
      <w:pPr>
        <w:spacing w:after="120" w:line="276" w:lineRule="auto"/>
        <w:jc w:val="both"/>
        <w:rPr>
          <w:rFonts w:ascii="Verdana" w:hAnsi="Verdana"/>
        </w:rPr>
      </w:pPr>
      <w:r w:rsidRPr="000C6B53">
        <w:rPr>
          <w:rFonts w:ascii="Verdana" w:eastAsia="Times New Roman" w:hAnsi="Verdana" w:cs="Times New Roman"/>
          <w:b/>
          <w:bCs/>
        </w:rPr>
        <w:t xml:space="preserve">       </w:t>
      </w:r>
      <w:r w:rsidRPr="000C6B53">
        <w:rPr>
          <w:rFonts w:ascii="Verdana" w:eastAsia="Times New Roman" w:hAnsi="Verdana" w:cs="Times New Roman"/>
        </w:rPr>
        <w:t>En desarrollo de estos mandatos, con rango constitucional,</w:t>
      </w:r>
      <w:r w:rsidRPr="000C6B53">
        <w:rPr>
          <w:rFonts w:ascii="Verdana" w:eastAsia="Times New Roman" w:hAnsi="Verdana" w:cs="Times New Roman"/>
          <w:b/>
          <w:bCs/>
        </w:rPr>
        <w:t xml:space="preserve"> </w:t>
      </w:r>
      <w:r w:rsidRPr="000C6B53">
        <w:rPr>
          <w:rFonts w:ascii="Verdana" w:eastAsia="Times New Roman" w:hAnsi="Verdana" w:cs="Times New Roman"/>
        </w:rPr>
        <w:t>la Ley 361 de 1997 estableció los primeros mecanismos de integración social de las PcD. Su artículo 24 introdujo una preferencia en igualdad de condiciones en licitaciones y adjudicaciones de contratos estatales para aquellos empleadores que tuvieran al menos el diez por ciento (10%) de su nómina compuesta por PcD</w:t>
      </w:r>
      <w:r w:rsidRPr="000C6B53">
        <w:rPr>
          <w:rStyle w:val="Refdenotaalpie"/>
          <w:rFonts w:ascii="Verdana" w:eastAsia="Times New Roman" w:hAnsi="Verdana" w:cs="Times New Roman"/>
        </w:rPr>
        <w:footnoteReference w:id="6"/>
      </w:r>
      <w:r w:rsidRPr="000C6B53">
        <w:rPr>
          <w:rFonts w:ascii="Verdana" w:eastAsia="Times New Roman" w:hAnsi="Verdana" w:cs="Times New Roman"/>
        </w:rPr>
        <w:t>. Esta norma vinculó por primera vez la contratación pública con la inclusión laboral de las PcD, pero su alcance era limitado en la medida que se trataba de una preferencia residual aplicable solo en caso de empate y que beneficiaba únicamente a los empleadores de PcD sin considerar a las propias PcD como proponentes o contratistas directos.</w:t>
      </w:r>
    </w:p>
    <w:p w14:paraId="29EB9E95" w14:textId="77777777" w:rsidR="003A1BAC" w:rsidRPr="000C6B53" w:rsidRDefault="003A1BAC" w:rsidP="003A1BAC">
      <w:pPr>
        <w:spacing w:after="120" w:line="276" w:lineRule="auto"/>
        <w:jc w:val="both"/>
        <w:rPr>
          <w:rFonts w:ascii="Verdana" w:hAnsi="Verdana"/>
        </w:rPr>
      </w:pPr>
      <w:r w:rsidRPr="000C6B53">
        <w:rPr>
          <w:rFonts w:ascii="Verdana" w:eastAsia="Times New Roman" w:hAnsi="Verdana" w:cs="Times New Roman"/>
          <w:b/>
          <w:bCs/>
        </w:rPr>
        <w:t xml:space="preserve">       </w:t>
      </w:r>
      <w:r w:rsidRPr="000C6B53">
        <w:rPr>
          <w:rFonts w:ascii="Verdana" w:eastAsia="Times New Roman" w:hAnsi="Verdana" w:cs="Times New Roman"/>
        </w:rPr>
        <w:t xml:space="preserve">Posteriormente, la Ley Estatutaria 1618 de 2013 representó un avance sustancial en el marco jurídico de protección de las PcD, al definirlas como </w:t>
      </w:r>
      <w:r w:rsidRPr="000C6B53">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0C6B53">
        <w:rPr>
          <w:rStyle w:val="Refdenotaalpie"/>
          <w:rFonts w:ascii="Verdana" w:eastAsia="Times New Roman" w:hAnsi="Verdana" w:cs="Times New Roman"/>
          <w:i/>
          <w:iCs/>
        </w:rPr>
        <w:footnoteReference w:id="7"/>
      </w:r>
      <w:r w:rsidRPr="000C6B53">
        <w:rPr>
          <w:rFonts w:ascii="Verdana" w:eastAsia="Times New Roman" w:hAnsi="Verdana" w:cs="Times New Roman"/>
          <w:i/>
          <w:iCs/>
        </w:rPr>
        <w:t>.</w:t>
      </w:r>
      <w:r w:rsidRPr="000C6B53">
        <w:rPr>
          <w:rFonts w:ascii="Verdana" w:eastAsia="Times New Roman" w:hAnsi="Verdana" w:cs="Times New Roman"/>
        </w:rPr>
        <w:t xml:space="preserve"> En su artículo 13, </w:t>
      </w:r>
      <w:r w:rsidRPr="000C6B53">
        <w:rPr>
          <w:rFonts w:ascii="Verdana" w:eastAsia="Times New Roman" w:hAnsi="Verdana" w:cs="Times New Roman"/>
        </w:rPr>
        <w:lastRenderedPageBreak/>
        <w:t xml:space="preserve">numerales 1, 7 y 8, ordenó al Gobierno Nacional reglamentar: i) una puntuación adicional en licitación pública, concurso de méritos y contratación directa para empresas que vinculen PcD y para empresas de PcD; ii) un sistema de preferencias para empleadores de PcD en la adjudicación; y iii) </w:t>
      </w:r>
      <w:r w:rsidRPr="000C6B53">
        <w:rPr>
          <w:rFonts w:ascii="Verdana" w:eastAsia="Times New Roman" w:hAnsi="Verdana" w:cs="Times New Roman"/>
          <w:i/>
        </w:rPr>
        <w:t>un sistema de preferencias en favor de las propias PcD como contratistas</w:t>
      </w:r>
      <w:r w:rsidRPr="000C6B53">
        <w:rPr>
          <w:rStyle w:val="Refdenotaalpie"/>
          <w:rFonts w:ascii="Verdana" w:eastAsia="Times New Roman" w:hAnsi="Verdana" w:cs="Times New Roman"/>
        </w:rPr>
        <w:footnoteReference w:id="8"/>
      </w:r>
      <w:r w:rsidRPr="000C6B53">
        <w:rPr>
          <w:rFonts w:ascii="Verdana" w:eastAsia="Times New Roman" w:hAnsi="Verdana" w:cs="Times New Roman"/>
        </w:rPr>
        <w:t xml:space="preserve">. Este último mandato fue especialmente significativo porque introdujo el concepto de </w:t>
      </w:r>
      <w:r w:rsidRPr="000C6B53">
        <w:rPr>
          <w:rFonts w:ascii="Verdana" w:eastAsia="Times New Roman" w:hAnsi="Verdana" w:cs="Times New Roman"/>
          <w:i/>
          <w:iCs/>
        </w:rPr>
        <w:t>"sistema de preferencias"</w:t>
      </w:r>
      <w:r w:rsidRPr="000C6B53">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4F2F8E6C" w14:textId="77777777" w:rsidR="003A1BAC" w:rsidRPr="000C6B53" w:rsidRDefault="003A1BAC" w:rsidP="003A1BAC">
      <w:pPr>
        <w:spacing w:after="120" w:line="276" w:lineRule="auto"/>
        <w:ind w:firstLine="709"/>
        <w:jc w:val="both"/>
        <w:rPr>
          <w:rFonts w:ascii="Verdana" w:hAnsi="Verdana"/>
        </w:rPr>
      </w:pPr>
      <w:r w:rsidRPr="000C6B53">
        <w:rPr>
          <w:rFonts w:ascii="Verdana" w:hAnsi="Verdana"/>
        </w:rPr>
        <w:t>En cumplimiento parcial de los numerales 1 y 8 del artículo 13 de la Ley 1618 de 2013, se expidió el Decreto 392 de 2018. Sin embargo, tal y como se reconoce en los considerandos del Decreto 0287 de 2026, dicha regulación presentó omisiones estructurales que frustraron la finalidad de la Ley Estatutaria. En efecto, el Decreto 392 de 2018 solo contempló el uno por ciento (1%) del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reglamentación material el numeral 8, que era precisamente el que ordenaba el Sistema De Preferencias en favor de las propias PcD como contratistas.</w:t>
      </w:r>
    </w:p>
    <w:p w14:paraId="6E77AC55" w14:textId="77777777" w:rsidR="003A1BAC" w:rsidRPr="000C6B53" w:rsidRDefault="003A1BAC" w:rsidP="003A1BAC">
      <w:pPr>
        <w:spacing w:after="120" w:line="276" w:lineRule="auto"/>
        <w:ind w:firstLine="709"/>
        <w:jc w:val="both"/>
        <w:rPr>
          <w:rFonts w:ascii="Verdana" w:hAnsi="Verdana"/>
        </w:rPr>
      </w:pPr>
      <w:r w:rsidRPr="000C6B53">
        <w:rPr>
          <w:rFonts w:ascii="Verdana" w:hAnsi="Verdana"/>
        </w:rPr>
        <w:t xml:space="preserve">La insuficiencia del Decreto 392 de 2018 fue constatada judicialmente. La Sección Quinta del Consejo de Estado, mediante sentencia proferida dentro de una acción de cumplimiento del 12 de diciembre de 2024, radicación n.° 05001-23-33-000-2024-00847-01, M.P. Omar Joaquín Barreto Suárez, declaró el incumplimiento por parte del Gobierno Nacional del artículo 62 de la Ley 1996 de 2019, norma que ordenaba reglamentar las medidas del artículo 13 de la Ley 1618 de 2013. En dicha providencia, la Sala ordenó expedir los decretos reglamentarios faltantes en el término de cuatro (4) meses contados a partir de la ejecutoria de la providencia. La Sala calificó la obligación como imperativa, expresa e inobjetable, señalando que el Gobierno Nacional no contaba con </w:t>
      </w:r>
      <w:r w:rsidRPr="000C6B53">
        <w:rPr>
          <w:rFonts w:ascii="Verdana" w:hAnsi="Verdana"/>
        </w:rPr>
        <w:lastRenderedPageBreak/>
        <w:t>margen de discrecionalidad para decidir si reglamentaba o no el Sistema de Preferencias.</w:t>
      </w:r>
    </w:p>
    <w:p w14:paraId="001B36B0" w14:textId="77777777" w:rsidR="003A1BAC" w:rsidRDefault="003A1BAC" w:rsidP="003A1BAC">
      <w:pPr>
        <w:spacing w:after="120" w:line="276" w:lineRule="auto"/>
        <w:ind w:firstLine="709"/>
        <w:jc w:val="both"/>
        <w:rPr>
          <w:rFonts w:ascii="Verdana" w:hAnsi="Verdana"/>
        </w:rPr>
      </w:pPr>
      <w:r w:rsidRPr="000C6B53">
        <w:rPr>
          <w:rFonts w:ascii="Verdana" w:hAnsi="Verdana"/>
        </w:rPr>
        <w:t>En cumplimiento de esa decisión, fue expedido el Decreto 0287 de 2026, el cual, como se indicó en la respuesta del presente concepto, establece un Sistema Integral de Preferencias compuesto por cinco medidas afirmativas que actúan en todas las fases del proceso contractual: planeación, selección, adjudicación y ejecución. Dicho sistema se orienta a beneficiar a dos sujetos diferenciados: los emprendimientos y empresas de PcD y los empleadores de PcD. A continuación, se desarrolla el alcance de cada aspecto del sistema planteado en los problemas jurídicos.</w:t>
      </w:r>
      <w:r w:rsidRPr="00E727F0">
        <w:rPr>
          <w:rFonts w:ascii="Verdana" w:hAnsi="Verdana"/>
        </w:rPr>
        <w:t xml:space="preserve"> </w:t>
      </w:r>
    </w:p>
    <w:p w14:paraId="2F0DB084" w14:textId="77777777" w:rsidR="003A1BAC" w:rsidRPr="00E727F0" w:rsidRDefault="003A1BAC" w:rsidP="003A1BAC">
      <w:pPr>
        <w:spacing w:after="120" w:line="276" w:lineRule="auto"/>
        <w:ind w:firstLine="708"/>
        <w:jc w:val="both"/>
        <w:rPr>
          <w:rFonts w:ascii="Verdana" w:hAnsi="Verdana"/>
        </w:rPr>
      </w:pPr>
      <w:r w:rsidRPr="00206556">
        <w:rPr>
          <w:rFonts w:ascii="Verdana" w:hAnsi="Verdana"/>
        </w:rPr>
        <w:t xml:space="preserve">(ii) </w:t>
      </w:r>
      <w:r w:rsidRPr="00E727F0">
        <w:rPr>
          <w:rFonts w:ascii="Verdana" w:eastAsia="Times New Roman" w:hAnsi="Verdana" w:cs="Times New Roman"/>
        </w:rPr>
        <w:t>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PcD, conforme a las categorías del artículo 2.2.1.2.4.2.6., o ser empleador de PcD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3B3982BC" w14:textId="77777777" w:rsidR="003A1BAC" w:rsidRPr="00FE07F8" w:rsidRDefault="003A1BAC" w:rsidP="003A1BAC">
      <w:pPr>
        <w:spacing w:before="120" w:after="120" w:line="240" w:lineRule="auto"/>
        <w:ind w:left="709" w:right="709"/>
        <w:jc w:val="both"/>
        <w:rPr>
          <w:rFonts w:ascii="Verdana" w:hAnsi="Verdana"/>
          <w:sz w:val="21"/>
          <w:szCs w:val="21"/>
        </w:rPr>
      </w:pPr>
      <w:r w:rsidRPr="00FE07F8">
        <w:rPr>
          <w:rFonts w:ascii="Verdana" w:eastAsia="Times New Roman" w:hAnsi="Verdana" w:cs="Times New Roman"/>
          <w:i/>
          <w:iCs/>
          <w:sz w:val="21"/>
          <w:szCs w:val="21"/>
        </w:rPr>
        <w:t>"El proponente podrá acreditar alguna de las situaciones mencionadas, y en todo caso el puntaje adicional total y único a otorgar por este criterio será del dos por ciento (2%), sin que sean acumulables a efecto de la evaluación de la oferta."</w:t>
      </w:r>
    </w:p>
    <w:p w14:paraId="285932CD" w14:textId="77777777" w:rsidR="003A1BAC" w:rsidRPr="00206556" w:rsidRDefault="003A1BAC" w:rsidP="003A1BAC">
      <w:pPr>
        <w:spacing w:after="120" w:line="276" w:lineRule="auto"/>
        <w:ind w:firstLine="709"/>
        <w:jc w:val="both"/>
        <w:rPr>
          <w:rFonts w:ascii="Verdana" w:hAnsi="Verdana"/>
        </w:rPr>
      </w:pPr>
      <w:r w:rsidRPr="00E727F0">
        <w:rPr>
          <w:rFonts w:ascii="Verdana" w:eastAsia="Times New Roman" w:hAnsi="Verdana" w:cs="Times New Roman"/>
        </w:rPr>
        <w:t>Esta decisión normativa responde a una razón de diseño del sistema: el 2% ya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00FEA769" w14:textId="77777777" w:rsidR="003A1BAC" w:rsidRPr="00D22B7C" w:rsidRDefault="003A1BAC" w:rsidP="003A1BAC">
      <w:pPr>
        <w:spacing w:after="120" w:line="276" w:lineRule="auto"/>
        <w:ind w:firstLine="709"/>
        <w:jc w:val="both"/>
        <w:rPr>
          <w:rFonts w:ascii="Verdana" w:hAnsi="Verdana"/>
        </w:rPr>
      </w:pPr>
      <w:r w:rsidRPr="00206556">
        <w:rPr>
          <w:rFonts w:ascii="Verdana" w:eastAsia="Times New Roman" w:hAnsi="Verdana" w:cs="Times New Roman"/>
        </w:rPr>
        <w:lastRenderedPageBreak/>
        <w:t xml:space="preserve">(iii) </w:t>
      </w:r>
      <w:r w:rsidRPr="00D22B7C">
        <w:rPr>
          <w:rFonts w:ascii="Verdana" w:eastAsia="Times New Roman" w:hAnsi="Verdana" w:cs="Times New Roman"/>
        </w:rPr>
        <w:t xml:space="preserve">En cuanto </w:t>
      </w:r>
      <w:r>
        <w:rPr>
          <w:rFonts w:ascii="Verdana" w:eastAsia="Times New Roman" w:hAnsi="Verdana" w:cs="Times New Roman"/>
        </w:rPr>
        <w:t>a las condiciones para acceder al puntaje, e</w:t>
      </w:r>
      <w:r w:rsidRPr="006E7113">
        <w:rPr>
          <w:rFonts w:ascii="Verdana" w:eastAsia="Times New Roman" w:hAnsi="Verdana" w:cs="Times New Roman"/>
        </w:rPr>
        <w:t xml:space="preserve">l artículo 2.2.1.2.4.2.7.4. del Decreto 0287 de 2026 establece que para </w:t>
      </w:r>
      <w:r>
        <w:rPr>
          <w:rFonts w:ascii="Verdana" w:eastAsia="Times New Roman" w:hAnsi="Verdana" w:cs="Times New Roman"/>
        </w:rPr>
        <w:t>obtener los puntos</w:t>
      </w:r>
      <w:r w:rsidRPr="00D22B7C">
        <w:rPr>
          <w:rFonts w:ascii="Verdana" w:eastAsia="Times New Roman" w:hAnsi="Verdana" w:cs="Times New Roman"/>
        </w:rPr>
        <w:t xml:space="preserve"> adicional</w:t>
      </w:r>
      <w:r>
        <w:rPr>
          <w:rFonts w:ascii="Verdana" w:eastAsia="Times New Roman" w:hAnsi="Verdana" w:cs="Times New Roman"/>
        </w:rPr>
        <w:t>es se debe cumplir una de las siguientes condiciones: i) ser emprendimiento y empresa de personas con discapacidad, o ii) ser empleador</w:t>
      </w:r>
      <w:r w:rsidRPr="00D22B7C">
        <w:rPr>
          <w:rFonts w:ascii="Verdana" w:eastAsia="Times New Roman" w:hAnsi="Verdana" w:cs="Times New Roman"/>
        </w:rPr>
        <w:t xml:space="preserve"> de PcD,</w:t>
      </w:r>
      <w:r>
        <w:rPr>
          <w:rFonts w:ascii="Verdana" w:eastAsia="Times New Roman" w:hAnsi="Verdana" w:cs="Times New Roman"/>
        </w:rPr>
        <w:t xml:space="preserve"> y en este último caso</w:t>
      </w:r>
      <w:r w:rsidRPr="00D22B7C">
        <w:rPr>
          <w:rFonts w:ascii="Verdana" w:eastAsia="Times New Roman" w:hAnsi="Verdana" w:cs="Times New Roman"/>
        </w:rPr>
        <w:t xml:space="preserve"> 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p w14:paraId="44691ED1" w14:textId="77777777" w:rsidR="003A1BAC" w:rsidRPr="00D22B7C" w:rsidRDefault="003A1BAC" w:rsidP="003A1BAC">
      <w:pPr>
        <w:spacing w:after="100"/>
        <w:rPr>
          <w:rFonts w:ascii="Verdana" w:hAnsi="Verdana"/>
        </w:rPr>
      </w:pP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3A1BAC" w:rsidRPr="00D22B7C" w14:paraId="687D5046"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0FD01032" w14:textId="77777777" w:rsidR="003A1BAC" w:rsidRPr="00D22B7C" w:rsidRDefault="003A1BAC" w:rsidP="002D3CDE">
            <w:pPr>
              <w:jc w:val="center"/>
              <w:rPr>
                <w:rFonts w:ascii="Verdana" w:hAnsi="Verdana"/>
              </w:rPr>
            </w:pPr>
            <w:r w:rsidRPr="00D22B7C">
              <w:rPr>
                <w:rFonts w:ascii="Verdana" w:eastAsia="Times New Roman" w:hAnsi="Verdana" w:cs="Times New Roman"/>
                <w:b/>
                <w:bCs/>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3C0A0C0E" w14:textId="77777777" w:rsidR="003A1BAC" w:rsidRPr="00D22B7C" w:rsidRDefault="003A1BAC" w:rsidP="002D3CDE">
            <w:pPr>
              <w:jc w:val="center"/>
              <w:rPr>
                <w:rFonts w:ascii="Verdana" w:hAnsi="Verdana"/>
              </w:rPr>
            </w:pPr>
            <w:r w:rsidRPr="00D22B7C">
              <w:rPr>
                <w:rFonts w:ascii="Verdana" w:eastAsia="Times New Roman" w:hAnsi="Verdana" w:cs="Times New Roman"/>
                <w:b/>
                <w:bCs/>
              </w:rPr>
              <w:t>Número mínimo de trabajadores con discapacidad requerido</w:t>
            </w:r>
          </w:p>
        </w:tc>
      </w:tr>
      <w:tr w:rsidR="003A1BAC" w:rsidRPr="00D22B7C" w14:paraId="2AFD91E1"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A7D6971" w14:textId="77777777" w:rsidR="003A1BAC" w:rsidRPr="00D22B7C" w:rsidRDefault="003A1BAC" w:rsidP="002D3CDE">
            <w:pPr>
              <w:jc w:val="center"/>
              <w:rPr>
                <w:rFonts w:ascii="Verdana" w:hAnsi="Verdana"/>
              </w:rPr>
            </w:pPr>
            <w:r w:rsidRPr="00D22B7C">
              <w:rPr>
                <w:rFonts w:ascii="Verdana" w:eastAsia="Times New Roman" w:hAnsi="Verdana" w:cs="Times New Roman"/>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842EFFD" w14:textId="77777777" w:rsidR="003A1BAC" w:rsidRPr="00D22B7C" w:rsidRDefault="003A1BAC" w:rsidP="002D3CDE">
            <w:pPr>
              <w:jc w:val="center"/>
              <w:rPr>
                <w:rFonts w:ascii="Verdana" w:hAnsi="Verdana"/>
              </w:rPr>
            </w:pPr>
            <w:r w:rsidRPr="00D22B7C">
              <w:rPr>
                <w:rFonts w:ascii="Verdana" w:eastAsia="Times New Roman" w:hAnsi="Verdana" w:cs="Times New Roman"/>
              </w:rPr>
              <w:t>2</w:t>
            </w:r>
          </w:p>
        </w:tc>
      </w:tr>
      <w:tr w:rsidR="003A1BAC" w:rsidRPr="00D22B7C" w14:paraId="34C6D02C"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CD23DD4" w14:textId="77777777" w:rsidR="003A1BAC" w:rsidRPr="00D22B7C" w:rsidRDefault="003A1BAC" w:rsidP="002D3CDE">
            <w:pPr>
              <w:jc w:val="center"/>
              <w:rPr>
                <w:rFonts w:ascii="Verdana" w:hAnsi="Verdana"/>
              </w:rPr>
            </w:pPr>
            <w:r w:rsidRPr="00D22B7C">
              <w:rPr>
                <w:rFonts w:ascii="Verdana" w:eastAsia="Times New Roman" w:hAnsi="Verdana" w:cs="Times New Roman"/>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89AC6BC" w14:textId="77777777" w:rsidR="003A1BAC" w:rsidRPr="00D22B7C" w:rsidRDefault="003A1BAC" w:rsidP="002D3CDE">
            <w:pPr>
              <w:jc w:val="center"/>
              <w:rPr>
                <w:rFonts w:ascii="Verdana" w:hAnsi="Verdana"/>
              </w:rPr>
            </w:pPr>
            <w:r w:rsidRPr="00D22B7C">
              <w:rPr>
                <w:rFonts w:ascii="Verdana" w:eastAsia="Times New Roman" w:hAnsi="Verdana" w:cs="Times New Roman"/>
              </w:rPr>
              <w:t>3</w:t>
            </w:r>
          </w:p>
        </w:tc>
      </w:tr>
      <w:tr w:rsidR="003A1BAC" w:rsidRPr="00D22B7C" w14:paraId="7A8DF6F4"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2CF276" w14:textId="77777777" w:rsidR="003A1BAC" w:rsidRPr="00D22B7C" w:rsidRDefault="003A1BAC" w:rsidP="002D3CDE">
            <w:pPr>
              <w:jc w:val="center"/>
              <w:rPr>
                <w:rFonts w:ascii="Verdana" w:hAnsi="Verdana"/>
              </w:rPr>
            </w:pPr>
            <w:r w:rsidRPr="00D22B7C">
              <w:rPr>
                <w:rFonts w:ascii="Verdana" w:eastAsia="Times New Roman" w:hAnsi="Verdana" w:cs="Times New Roman"/>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95E87D6" w14:textId="77777777" w:rsidR="003A1BAC" w:rsidRPr="00D22B7C" w:rsidRDefault="003A1BAC" w:rsidP="002D3CDE">
            <w:pPr>
              <w:jc w:val="center"/>
              <w:rPr>
                <w:rFonts w:ascii="Verdana" w:hAnsi="Verdana"/>
              </w:rPr>
            </w:pPr>
            <w:r w:rsidRPr="00D22B7C">
              <w:rPr>
                <w:rFonts w:ascii="Verdana" w:eastAsia="Times New Roman" w:hAnsi="Verdana" w:cs="Times New Roman"/>
              </w:rPr>
              <w:t>4</w:t>
            </w:r>
          </w:p>
        </w:tc>
      </w:tr>
      <w:tr w:rsidR="003A1BAC" w:rsidRPr="00D22B7C" w14:paraId="6CE6E564"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347E328" w14:textId="77777777" w:rsidR="003A1BAC" w:rsidRPr="00D22B7C" w:rsidRDefault="003A1BAC" w:rsidP="002D3CDE">
            <w:pPr>
              <w:jc w:val="center"/>
              <w:rPr>
                <w:rFonts w:ascii="Verdana" w:hAnsi="Verdana"/>
              </w:rPr>
            </w:pPr>
            <w:r w:rsidRPr="00D22B7C">
              <w:rPr>
                <w:rFonts w:ascii="Verdana" w:eastAsia="Times New Roman" w:hAnsi="Verdana" w:cs="Times New Roman"/>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7E23A63" w14:textId="77777777" w:rsidR="003A1BAC" w:rsidRPr="00D22B7C" w:rsidRDefault="003A1BAC" w:rsidP="002D3CDE">
            <w:pPr>
              <w:jc w:val="center"/>
              <w:rPr>
                <w:rFonts w:ascii="Verdana" w:hAnsi="Verdana"/>
              </w:rPr>
            </w:pPr>
            <w:r w:rsidRPr="00D22B7C">
              <w:rPr>
                <w:rFonts w:ascii="Verdana" w:eastAsia="Times New Roman" w:hAnsi="Verdana" w:cs="Times New Roman"/>
              </w:rPr>
              <w:t>5</w:t>
            </w:r>
          </w:p>
        </w:tc>
      </w:tr>
      <w:tr w:rsidR="003A1BAC" w:rsidRPr="00D22B7C" w14:paraId="417DA4E2"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0FB3013" w14:textId="77777777" w:rsidR="003A1BAC" w:rsidRPr="00D22B7C" w:rsidRDefault="003A1BAC" w:rsidP="002D3CDE">
            <w:pPr>
              <w:jc w:val="center"/>
              <w:rPr>
                <w:rFonts w:ascii="Verdana" w:hAnsi="Verdana"/>
              </w:rPr>
            </w:pPr>
            <w:r w:rsidRPr="00D22B7C">
              <w:rPr>
                <w:rFonts w:ascii="Verdana" w:eastAsia="Times New Roman" w:hAnsi="Verdana" w:cs="Times New Roman"/>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7047C1" w14:textId="77777777" w:rsidR="003A1BAC" w:rsidRPr="00D22B7C" w:rsidRDefault="003A1BAC" w:rsidP="002D3CDE">
            <w:pPr>
              <w:jc w:val="center"/>
              <w:rPr>
                <w:rFonts w:ascii="Verdana" w:hAnsi="Verdana"/>
              </w:rPr>
            </w:pPr>
            <w:r w:rsidRPr="00D22B7C">
              <w:rPr>
                <w:rFonts w:ascii="Verdana" w:eastAsia="Times New Roman" w:hAnsi="Verdana" w:cs="Times New Roman"/>
              </w:rPr>
              <w:t>7</w:t>
            </w:r>
          </w:p>
        </w:tc>
      </w:tr>
      <w:tr w:rsidR="003A1BAC" w:rsidRPr="00D22B7C" w14:paraId="7B8D7030"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C2B4FFD" w14:textId="77777777" w:rsidR="003A1BAC" w:rsidRPr="00D22B7C" w:rsidRDefault="003A1BAC" w:rsidP="002D3CDE">
            <w:pPr>
              <w:jc w:val="center"/>
              <w:rPr>
                <w:rFonts w:ascii="Verdana" w:hAnsi="Verdana"/>
              </w:rPr>
            </w:pPr>
            <w:r w:rsidRPr="00D22B7C">
              <w:rPr>
                <w:rFonts w:ascii="Verdana" w:eastAsia="Times New Roman" w:hAnsi="Verdana" w:cs="Times New Roman"/>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4A8673C" w14:textId="77777777" w:rsidR="003A1BAC" w:rsidRPr="00D22B7C" w:rsidRDefault="003A1BAC" w:rsidP="002D3CDE">
            <w:pPr>
              <w:jc w:val="center"/>
              <w:rPr>
                <w:rFonts w:ascii="Verdana" w:hAnsi="Verdana"/>
              </w:rPr>
            </w:pPr>
            <w:r w:rsidRPr="00D22B7C">
              <w:rPr>
                <w:rFonts w:ascii="Verdana" w:eastAsia="Times New Roman" w:hAnsi="Verdana" w:cs="Times New Roman"/>
              </w:rPr>
              <w:t>10</w:t>
            </w:r>
          </w:p>
        </w:tc>
      </w:tr>
      <w:tr w:rsidR="003A1BAC" w:rsidRPr="00D22B7C" w14:paraId="6FDFA5E6"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C15EA54" w14:textId="77777777" w:rsidR="003A1BAC" w:rsidRPr="00D22B7C" w:rsidRDefault="003A1BAC" w:rsidP="002D3CDE">
            <w:pPr>
              <w:jc w:val="center"/>
              <w:rPr>
                <w:rFonts w:ascii="Verdana" w:hAnsi="Verdana"/>
              </w:rPr>
            </w:pPr>
            <w:r w:rsidRPr="00D22B7C">
              <w:rPr>
                <w:rFonts w:ascii="Verdana" w:eastAsia="Times New Roman" w:hAnsi="Verdana" w:cs="Times New Roman"/>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CB9352" w14:textId="77777777" w:rsidR="003A1BAC" w:rsidRPr="00D22B7C" w:rsidRDefault="003A1BAC" w:rsidP="002D3CDE">
            <w:pPr>
              <w:jc w:val="center"/>
              <w:rPr>
                <w:rFonts w:ascii="Verdana" w:hAnsi="Verdana"/>
              </w:rPr>
            </w:pPr>
            <w:r w:rsidRPr="00D22B7C">
              <w:rPr>
                <w:rFonts w:ascii="Verdana" w:eastAsia="Times New Roman" w:hAnsi="Verdana" w:cs="Times New Roman"/>
              </w:rPr>
              <w:t>12</w:t>
            </w:r>
          </w:p>
        </w:tc>
      </w:tr>
      <w:tr w:rsidR="003A1BAC" w:rsidRPr="00D22B7C" w14:paraId="17570C64"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1EC6528" w14:textId="77777777" w:rsidR="003A1BAC" w:rsidRPr="00D22B7C" w:rsidRDefault="003A1BAC" w:rsidP="002D3CDE">
            <w:pPr>
              <w:jc w:val="center"/>
              <w:rPr>
                <w:rFonts w:ascii="Verdana" w:hAnsi="Verdana"/>
              </w:rPr>
            </w:pPr>
            <w:r w:rsidRPr="00D22B7C">
              <w:rPr>
                <w:rFonts w:ascii="Verdana" w:eastAsia="Times New Roman" w:hAnsi="Verdana" w:cs="Times New Roman"/>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4F1B26F" w14:textId="77777777" w:rsidR="003A1BAC" w:rsidRPr="00D22B7C" w:rsidRDefault="003A1BAC" w:rsidP="002D3CDE">
            <w:pPr>
              <w:jc w:val="center"/>
              <w:rPr>
                <w:rFonts w:ascii="Verdana" w:hAnsi="Verdana"/>
              </w:rPr>
            </w:pPr>
            <w:r w:rsidRPr="00D22B7C">
              <w:rPr>
                <w:rFonts w:ascii="Verdana" w:eastAsia="Times New Roman" w:hAnsi="Verdana" w:cs="Times New Roman"/>
              </w:rPr>
              <w:t>14</w:t>
            </w:r>
          </w:p>
        </w:tc>
      </w:tr>
      <w:tr w:rsidR="003A1BAC" w:rsidRPr="00D22B7C" w14:paraId="5EC404AB"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183176C" w14:textId="77777777" w:rsidR="003A1BAC" w:rsidRPr="00D22B7C" w:rsidRDefault="003A1BAC" w:rsidP="002D3CDE">
            <w:pPr>
              <w:jc w:val="center"/>
              <w:rPr>
                <w:rFonts w:ascii="Verdana" w:hAnsi="Verdana"/>
              </w:rPr>
            </w:pPr>
            <w:r w:rsidRPr="00D22B7C">
              <w:rPr>
                <w:rFonts w:ascii="Verdana" w:eastAsia="Times New Roman" w:hAnsi="Verdana" w:cs="Times New Roman"/>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D263B77" w14:textId="77777777" w:rsidR="003A1BAC" w:rsidRPr="00D22B7C" w:rsidRDefault="003A1BAC" w:rsidP="002D3CDE">
            <w:pPr>
              <w:jc w:val="center"/>
              <w:rPr>
                <w:rFonts w:ascii="Verdana" w:hAnsi="Verdana"/>
              </w:rPr>
            </w:pPr>
            <w:r w:rsidRPr="00D22B7C">
              <w:rPr>
                <w:rFonts w:ascii="Verdana" w:eastAsia="Times New Roman" w:hAnsi="Verdana" w:cs="Times New Roman"/>
              </w:rPr>
              <w:t>16</w:t>
            </w:r>
          </w:p>
        </w:tc>
      </w:tr>
      <w:tr w:rsidR="003A1BAC" w:rsidRPr="00D22B7C" w14:paraId="49819B5E"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0F4018E" w14:textId="77777777" w:rsidR="003A1BAC" w:rsidRPr="00D22B7C" w:rsidRDefault="003A1BAC" w:rsidP="002D3CDE">
            <w:pPr>
              <w:jc w:val="center"/>
              <w:rPr>
                <w:rFonts w:ascii="Verdana" w:hAnsi="Verdana"/>
              </w:rPr>
            </w:pPr>
            <w:r w:rsidRPr="00D22B7C">
              <w:rPr>
                <w:rFonts w:ascii="Verdana" w:eastAsia="Times New Roman" w:hAnsi="Verdana" w:cs="Times New Roman"/>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BEC7642" w14:textId="77777777" w:rsidR="003A1BAC" w:rsidRPr="00D22B7C" w:rsidRDefault="003A1BAC" w:rsidP="002D3CDE">
            <w:pPr>
              <w:jc w:val="center"/>
              <w:rPr>
                <w:rFonts w:ascii="Verdana" w:hAnsi="Verdana"/>
              </w:rPr>
            </w:pPr>
            <w:r w:rsidRPr="00D22B7C">
              <w:rPr>
                <w:rFonts w:ascii="Verdana" w:eastAsia="Times New Roman" w:hAnsi="Verdana" w:cs="Times New Roman"/>
              </w:rPr>
              <w:t xml:space="preserve">Por cada 100 trabajadores adicionales, se suman </w:t>
            </w:r>
            <w:r w:rsidRPr="00D22B7C">
              <w:rPr>
                <w:rFonts w:ascii="Verdana" w:eastAsia="Times New Roman" w:hAnsi="Verdana" w:cs="Times New Roman"/>
              </w:rPr>
              <w:lastRenderedPageBreak/>
              <w:t>2 trabajadores con discapacidad</w:t>
            </w:r>
          </w:p>
        </w:tc>
      </w:tr>
    </w:tbl>
    <w:p w14:paraId="0C323361" w14:textId="77777777" w:rsidR="003A1BAC" w:rsidRPr="00D22B7C" w:rsidRDefault="003A1BAC" w:rsidP="003A1BAC">
      <w:pPr>
        <w:spacing w:after="0" w:line="276" w:lineRule="auto"/>
        <w:rPr>
          <w:rFonts w:ascii="Verdana" w:hAnsi="Verdana"/>
        </w:rPr>
      </w:pPr>
    </w:p>
    <w:p w14:paraId="7CE9B5A0" w14:textId="77777777" w:rsidR="003A1BAC" w:rsidRPr="00D22B7C" w:rsidRDefault="003A1BAC" w:rsidP="003A1BAC">
      <w:pPr>
        <w:spacing w:after="120" w:line="276" w:lineRule="auto"/>
        <w:ind w:firstLine="709"/>
        <w:jc w:val="both"/>
        <w:rPr>
          <w:rFonts w:ascii="Verdana" w:hAnsi="Verdana"/>
        </w:rPr>
      </w:pPr>
      <w:r w:rsidRPr="00D22B7C">
        <w:rPr>
          <w:rFonts w:ascii="Verdana" w:eastAsia="Times New Roman" w:hAnsi="Verdana" w:cs="Times New Roman"/>
        </w:rPr>
        <w:t>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2CE9AD78" w14:textId="77777777" w:rsidR="003A1BAC" w:rsidRDefault="003A1BAC" w:rsidP="003A1BAC">
      <w:pPr>
        <w:spacing w:after="120" w:line="276" w:lineRule="auto"/>
        <w:ind w:firstLine="708"/>
        <w:jc w:val="both"/>
        <w:rPr>
          <w:rFonts w:ascii="Verdana" w:eastAsia="Times New Roman" w:hAnsi="Verdana" w:cs="Times New Roman"/>
        </w:rPr>
      </w:pPr>
      <w:r>
        <w:rPr>
          <w:rFonts w:ascii="Verdana" w:eastAsia="Times New Roman" w:hAnsi="Verdana" w:cs="Times New Roman"/>
        </w:rPr>
        <w:t>Por otra parte, respecto de la calidad de emprendimiento y empresa de persona con discapacidad el decreto dispone 4 categorías en las que una persona natural o jurídica tendrá esa calidad:</w:t>
      </w:r>
    </w:p>
    <w:p w14:paraId="1BB08F44"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w:t>
      </w:r>
      <w:r>
        <w:rPr>
          <w:rFonts w:ascii="Verdana" w:eastAsia="Times New Roman" w:hAnsi="Verdana" w:cs="Times New Roman"/>
          <w:i/>
          <w:iCs/>
          <w:sz w:val="21"/>
          <w:szCs w:val="21"/>
        </w:rPr>
        <w:t>(…)</w:t>
      </w:r>
      <w:r w:rsidRPr="00E4530E">
        <w:rPr>
          <w:rFonts w:ascii="Verdana" w:eastAsia="Times New Roman" w:hAnsi="Verdana" w:cs="Times New Roman"/>
          <w:i/>
          <w:iCs/>
          <w:sz w:val="21"/>
          <w:szCs w:val="21"/>
        </w:rPr>
        <w:t>1) Personas naturales con discapacidad que ejerzan una profesión liberal. Esta circunstancia se acreditará mediante la copia de cedula de ciudadanía, la cedula de extranjería o el pasaporte, el certificado de discapacidad expedido de acuerdo con la normativa del Ministerio de Salud y Protección Social, así coma el título profesional correspondiente.</w:t>
      </w:r>
    </w:p>
    <w:p w14:paraId="5F74DFCB"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2) Personas naturales con discapacidad que hayan realizado actividades comerciales a través de un establecimiento de comercio, durante al menos el último año anterior a la fecha de cierre del proceso de selección. Esta circunstancia se acreditará mediante la copia de cedula de ciudadanía, la cedula de extranjera o el pasaporte, el certificado de discapacidad expedido de acuerdo con la normativa del Ministerio de Salud y Protección Social, así coma la copia del registro mercantil.</w:t>
      </w:r>
    </w:p>
    <w:p w14:paraId="21BA6283"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3) Personas jurídicas donde más del cincuenta por ciento (50%) de sus acciones, partes de interés o cuotas de participación pertenezcan a personas con discapacidad y los derechos de propiedad hayan pertenecido a estas durante al menos el último año anterior a la fecha de cierre del Proceso de Selección.</w:t>
      </w:r>
    </w:p>
    <w:p w14:paraId="0662076C"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La circunstancia de la propiedad de la persona jurídica se acreditará mediante certificación expedida por el representante legal y el revisor fiscal, cuando exista, de acuerdo con los requerimientos de ley o, el contador, donde conste la distribución de l</w:t>
      </w:r>
      <w:r>
        <w:rPr>
          <w:rFonts w:ascii="Verdana" w:eastAsia="Times New Roman" w:hAnsi="Verdana" w:cs="Times New Roman"/>
          <w:i/>
          <w:iCs/>
          <w:sz w:val="21"/>
          <w:szCs w:val="21"/>
        </w:rPr>
        <w:t>o</w:t>
      </w:r>
      <w:r w:rsidRPr="00E4530E">
        <w:rPr>
          <w:rFonts w:ascii="Verdana" w:eastAsia="Times New Roman" w:hAnsi="Verdana" w:cs="Times New Roman"/>
          <w:i/>
          <w:iCs/>
          <w:sz w:val="21"/>
          <w:szCs w:val="21"/>
        </w:rPr>
        <w:t xml:space="preserve">s derechos en la sociedad </w:t>
      </w:r>
      <w:r w:rsidRPr="00E4530E">
        <w:rPr>
          <w:rFonts w:ascii="Verdana" w:eastAsia="Times New Roman" w:hAnsi="Verdana" w:cs="Times New Roman"/>
          <w:i/>
          <w:iCs/>
          <w:sz w:val="21"/>
          <w:szCs w:val="21"/>
        </w:rPr>
        <w:lastRenderedPageBreak/>
        <w:t>y el tiempo en el que las personas con discapacidad han mantenido su participación. Adicionalmente se debe adjuntar la copia de cedula de ciudadanía, la cedula de extranjera o el pasaporte, el certificado de discapacidad expedido de acuerdo con la normativa del Ministerio de Salud y Protección Social, así como la copia del certificado de existencia y representación legal.</w:t>
      </w:r>
    </w:p>
    <w:p w14:paraId="79C366D0"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4) Personas jurídicas que tengan vinculadas laboralmente al menos una persona con discapacidad en empleos del nivel directivo de la empresa durante al menos el último año anterior a la fecha de cierre del Proceso de Selección en el mismo cargo u otro del mismo nivel.</w:t>
      </w:r>
    </w:p>
    <w:p w14:paraId="584C3CB0"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Por otra parte, 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7FC100FA"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Esta circunstancia se acreditará mediante certificación expedida por el representante legal y el revisor fiscal, cuando exista de acuerdo con los requerimientos de ley, o el contador, donde se señale de manera detallada las personas con discapacidad que ocupan cargos de nivel directivo del proponente y el tiempo de vinculación.</w:t>
      </w:r>
    </w:p>
    <w:p w14:paraId="2A4F7D3E" w14:textId="77777777" w:rsidR="003A1BAC"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La certificación deberá relacionar el nombre completo y el número de documento de identidad de las personas con discapacidad que ocupan cargos de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 y el certificado de discapacidad expedido de acuerdo con la normativa del Ministerio de Salud y Protección Social</w:t>
      </w:r>
      <w:r>
        <w:rPr>
          <w:rFonts w:ascii="Verdana" w:eastAsia="Times New Roman" w:hAnsi="Verdana" w:cs="Times New Roman"/>
          <w:i/>
          <w:iCs/>
          <w:sz w:val="21"/>
          <w:szCs w:val="21"/>
        </w:rPr>
        <w:t>”.</w:t>
      </w:r>
    </w:p>
    <w:p w14:paraId="46848844" w14:textId="77777777" w:rsidR="003A1BAC" w:rsidRPr="00E4530E" w:rsidRDefault="003A1BAC" w:rsidP="003A1BAC">
      <w:pPr>
        <w:spacing w:after="120" w:line="276" w:lineRule="auto"/>
        <w:ind w:firstLine="709"/>
        <w:jc w:val="both"/>
        <w:rPr>
          <w:rFonts w:ascii="Verdana" w:hAnsi="Verdana"/>
        </w:rPr>
      </w:pPr>
      <w:r w:rsidRPr="00E4530E">
        <w:rPr>
          <w:rFonts w:ascii="Verdana" w:hAnsi="Verdana"/>
        </w:rPr>
        <w:t>Por tanto,</w:t>
      </w:r>
      <w:r w:rsidRPr="000911C8">
        <w:rPr>
          <w:rFonts w:ascii="Verdana" w:eastAsia="Calibri" w:hAnsi="Verdana" w:cs="Arial"/>
        </w:rPr>
        <w:t xml:space="preserve"> </w:t>
      </w:r>
      <w:r>
        <w:rPr>
          <w:rFonts w:ascii="Verdana" w:eastAsia="Calibri" w:hAnsi="Verdana" w:cs="Arial"/>
        </w:rPr>
        <w:t xml:space="preserve">de acuerdo con su consulta, si un proponente acredita un (1) trabajador con discapacidad que ejerce un cargo del nivel directivo para la obtención del puntaje, podrá ser considerado emprendimiento y empresa de personas con discapacidad de acuerdo con el artículo 2.2.1.2.4.2.6, numeral 4. Lo anterior siempre y cuando acredite que la persona con discapacidad en el cargo de nivel directivo, lo ha ejercido durante al menos el último año anterior a la fecha de cierre del proceso, lo cual debe ser acreditado de acuerdo con los documentos anteriormente citados. En este caso, será considerado emprendimiento y empresa de personas con discapacidad que es una de las dos </w:t>
      </w:r>
      <w:r>
        <w:rPr>
          <w:rFonts w:ascii="Verdana" w:eastAsia="Calibri" w:hAnsi="Verdana" w:cs="Arial"/>
        </w:rPr>
        <w:lastRenderedPageBreak/>
        <w:t>condiciones para obtener el puntaje señalado en el artículo 2.2.1.2.4.2.7.4 del Decreto 287 de 2026, ya que la segunda condición que es tener vinculadas personas con discapacidad de acuerdo con la tabla del mismo artículo, no se cumpliría porque se requiere como mínimo dos (2) personas con discapacidad vinculadas; pero el artículo señala que con cumplir solo una (1) de las dos condiciones se accede al puntaje.</w:t>
      </w:r>
    </w:p>
    <w:p w14:paraId="656C8340" w14:textId="77777777" w:rsidR="003A1BAC" w:rsidRPr="00D22B7C" w:rsidRDefault="003A1BAC" w:rsidP="003A1BAC">
      <w:pPr>
        <w:spacing w:after="120" w:line="276" w:lineRule="auto"/>
        <w:ind w:firstLine="709"/>
        <w:jc w:val="both"/>
        <w:rPr>
          <w:rFonts w:ascii="Verdana" w:hAnsi="Verdana"/>
        </w:rPr>
      </w:pPr>
      <w:r w:rsidRPr="00206556">
        <w:rPr>
          <w:rFonts w:ascii="Verdana" w:hAnsi="Verdana"/>
        </w:rPr>
        <w:t>(</w:t>
      </w:r>
      <w:r>
        <w:rPr>
          <w:rFonts w:ascii="Verdana" w:hAnsi="Verdana"/>
        </w:rPr>
        <w:t>iv</w:t>
      </w:r>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y la contratación directa tiene su propia medida afirmativa a través de los contratos de prestación de servicios con PcD.</w:t>
      </w:r>
    </w:p>
    <w:p w14:paraId="0EF41355" w14:textId="77777777" w:rsidR="003A1BAC" w:rsidRPr="00670CFB" w:rsidRDefault="003A1BAC" w:rsidP="003A1BAC">
      <w:pPr>
        <w:spacing w:after="120" w:line="276" w:lineRule="auto"/>
        <w:ind w:firstLine="709"/>
        <w:jc w:val="both"/>
        <w:rPr>
          <w:rFonts w:ascii="Verdana" w:hAnsi="Verdana"/>
        </w:rPr>
      </w:pPr>
      <w:r w:rsidRPr="00206556">
        <w:rPr>
          <w:rFonts w:ascii="Verdana" w:hAnsi="Verdana"/>
        </w:rPr>
        <w:t>(</w:t>
      </w:r>
      <w:r>
        <w:rPr>
          <w:rFonts w:ascii="Verdana" w:hAnsi="Verdana"/>
        </w:rPr>
        <w:t>v</w:t>
      </w:r>
      <w:r w:rsidRPr="00206556">
        <w:rPr>
          <w:rFonts w:ascii="Verdana" w:hAnsi="Verdana"/>
        </w:rPr>
        <w:t xml:space="preserve">) </w:t>
      </w:r>
      <w:r w:rsidRPr="00670CFB">
        <w:rPr>
          <w:rFonts w:ascii="Verdana" w:hAnsi="Verdana"/>
        </w:rPr>
        <w:t>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PcD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449658A1"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w:t>
      </w:r>
      <w:r w:rsidRPr="00670CFB">
        <w:rPr>
          <w:rFonts w:ascii="Verdana" w:hAnsi="Verdana"/>
        </w:rPr>
        <w:lastRenderedPageBreak/>
        <w:t xml:space="preserve">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56D2ED88"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PcD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w:t>
      </w:r>
      <w:r w:rsidRPr="00670CFB">
        <w:rPr>
          <w:rFonts w:ascii="Verdana" w:hAnsi="Verdana"/>
        </w:rPr>
        <w:lastRenderedPageBreak/>
        <w:t>equivalente a su participación. Su omisión injustificada en el pliego de condiciones puede constituir una barrera de acceso contraria a los mandatos del decreto y comprometer la validez del proceso de selección.</w:t>
      </w:r>
    </w:p>
    <w:p w14:paraId="74EF5A76"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en licitación pública y concurso de méritos. La acreditación exige, entre otros documentos, los certificados de aportes a seguridad social de los tres (3) meses anteriores a la presentación de la oferta para cada PcD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PcD vinculadas puede constituir causal de incumplimiento contractual, salvo que se demuestre fuerza mayor o caso fortuito, y en todo caso respetando el derecho a la estabilidad laboral reforzada de las PcD.</w:t>
      </w:r>
    </w:p>
    <w:p w14:paraId="1D6E5BD4"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 xml:space="preserve">Estatuto General </w:t>
      </w:r>
      <w:r>
        <w:rPr>
          <w:rFonts w:ascii="Verdana" w:hAnsi="Verdana"/>
        </w:rPr>
        <w:lastRenderedPageBreak/>
        <w:t>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2DC58A57"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0E58F989"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xml:space="preserve">. Esta obligación consiste en incorporar en los estudios previos y en los documentos del proceso 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w:t>
      </w:r>
      <w:r w:rsidRPr="00670CFB">
        <w:rPr>
          <w:rFonts w:ascii="Verdana" w:hAnsi="Verdana"/>
        </w:rPr>
        <w:lastRenderedPageBreak/>
        <w:t>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0669ACA7"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1F1138C5" w14:textId="77777777" w:rsidR="003A1BAC" w:rsidRPr="00206556" w:rsidRDefault="003A1BAC" w:rsidP="003A1BAC">
      <w:pPr>
        <w:spacing w:after="0" w:line="276" w:lineRule="auto"/>
        <w:jc w:val="both"/>
        <w:rPr>
          <w:rFonts w:ascii="Verdana" w:eastAsia="Calibri" w:hAnsi="Verdana" w:cs="Arial"/>
          <w:lang w:val="es-ES"/>
        </w:rPr>
      </w:pPr>
    </w:p>
    <w:p w14:paraId="72BB9696" w14:textId="77777777" w:rsidR="003A1BAC" w:rsidRPr="00206556" w:rsidRDefault="003A1BAC" w:rsidP="003A1BAC">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A1BAC" w:rsidRPr="00206556" w14:paraId="2CB619CD" w14:textId="77777777" w:rsidTr="002D3CDE">
        <w:trPr>
          <w:trHeight w:val="297"/>
        </w:trPr>
        <w:tc>
          <w:tcPr>
            <w:tcW w:w="8647" w:type="dxa"/>
          </w:tcPr>
          <w:p w14:paraId="218CDB1A" w14:textId="77777777" w:rsidR="003A1BAC" w:rsidRPr="00670CFB"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33BE296C"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2147D7D2"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5C2F66FC"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218EA744"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78B3ADBF"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201D749F"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250FB189"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661A89F7"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232BC796"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61948CD2"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1AEB517F"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50A23C9E"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Decreto 392 de 2018. Derogado en lo contrario por el Decreto 0287 de 2026.</w:t>
            </w:r>
          </w:p>
          <w:p w14:paraId="7AFC5E2C"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3EB5C9F3"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5F1154CE"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36EF4165"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13ACA260"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lo Contencioso Administrativo, Sección Quinta. Sentencia de acción de cumplimiento del 12 de diciembre de 2024. Rad. n.° 05001-23-33-000-2024-00847-01. M.P. Omar Joaquín Barreto Suárez.</w:t>
            </w:r>
          </w:p>
          <w:p w14:paraId="60DDF8D1"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3E9F4FC1"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00C37330"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6526A445"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1678CEE0"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33A52438"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616B3EB3"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6A51485E"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4B523B34" w14:textId="77777777" w:rsidR="003A1BAC" w:rsidRPr="00206556" w:rsidRDefault="003A1BAC" w:rsidP="002D3CDE">
            <w:pPr>
              <w:widowControl w:val="0"/>
              <w:autoSpaceDE w:val="0"/>
              <w:autoSpaceDN w:val="0"/>
              <w:spacing w:line="276" w:lineRule="auto"/>
              <w:jc w:val="both"/>
              <w:rPr>
                <w:rFonts w:ascii="Verdana" w:eastAsia="Arial MT" w:hAnsi="Verdana" w:cs="Arial"/>
                <w:lang w:val="es-ES" w:eastAsia="es-ES" w:bidi="es-ES"/>
              </w:rPr>
            </w:pPr>
          </w:p>
        </w:tc>
      </w:tr>
    </w:tbl>
    <w:p w14:paraId="61089421" w14:textId="77777777" w:rsidR="003A1BAC" w:rsidRPr="00206556" w:rsidRDefault="003A1BAC" w:rsidP="003A1BAC">
      <w:pPr>
        <w:widowControl w:val="0"/>
        <w:autoSpaceDE w:val="0"/>
        <w:autoSpaceDN w:val="0"/>
        <w:spacing w:after="0" w:line="276" w:lineRule="auto"/>
        <w:jc w:val="both"/>
        <w:rPr>
          <w:rFonts w:ascii="Verdana" w:hAnsi="Verdana" w:cs="Arial"/>
          <w:color w:val="ED7D31" w:themeColor="accent2"/>
          <w:lang w:val="es-ES"/>
        </w:rPr>
      </w:pPr>
    </w:p>
    <w:p w14:paraId="21279AD8" w14:textId="77777777" w:rsidR="003A1BAC" w:rsidRDefault="003A1BAC" w:rsidP="003A1BA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076C16AE" w14:textId="77777777" w:rsidR="003A1BAC" w:rsidRPr="00670CFB" w:rsidRDefault="003A1BAC" w:rsidP="003A1BAC">
      <w:pPr>
        <w:tabs>
          <w:tab w:val="left" w:pos="142"/>
          <w:tab w:val="left" w:pos="284"/>
        </w:tabs>
        <w:spacing w:after="0" w:line="276" w:lineRule="auto"/>
        <w:jc w:val="both"/>
        <w:rPr>
          <w:rFonts w:ascii="Verdana" w:eastAsia="Century Gothic" w:hAnsi="Verdana" w:cs="Century Gothic"/>
          <w:b/>
          <w:lang w:val="es-ES"/>
        </w:rPr>
      </w:pPr>
    </w:p>
    <w:p w14:paraId="58AECC41" w14:textId="77777777" w:rsidR="003A1BAC" w:rsidRPr="00206556" w:rsidRDefault="003A1BAC" w:rsidP="003A1BAC">
      <w:pPr>
        <w:spacing w:after="0" w:line="276" w:lineRule="auto"/>
        <w:jc w:val="both"/>
        <w:rPr>
          <w:rFonts w:ascii="Verdana" w:hAnsi="Verdana"/>
          <w:color w:val="ED7D31" w:themeColor="accent2"/>
          <w:lang w:val="es-ES"/>
        </w:rPr>
      </w:pPr>
      <w:r w:rsidRPr="00E85A49">
        <w:rPr>
          <w:rFonts w:ascii="Verdana" w:eastAsia="Calibri" w:hAnsi="Verdana" w:cs="Arial"/>
          <w:lang w:val="es-ES"/>
        </w:rPr>
        <w:t>La Agencia Nacional de Contratación Pública – Colombia Compra Eficiente se ha referido sobre el alcance del Decreto 0287 de 2026 en los conceptos C-473 del 7 de mayo de 2026, C-498 del 8 de mayo de 2026</w:t>
      </w:r>
      <w:r>
        <w:rPr>
          <w:rFonts w:ascii="Verdana" w:eastAsia="Calibri" w:hAnsi="Verdana" w:cs="Arial"/>
          <w:lang w:val="es-ES"/>
        </w:rPr>
        <w:t>,</w:t>
      </w:r>
      <w:r w:rsidRPr="00E85A49">
        <w:rPr>
          <w:rFonts w:ascii="Verdana" w:eastAsia="Calibri" w:hAnsi="Verdana" w:cs="Arial"/>
          <w:lang w:val="es-ES"/>
        </w:rPr>
        <w:t xml:space="preserve"> C-576 del 19 de mayo de 2026</w:t>
      </w:r>
      <w:r>
        <w:rPr>
          <w:rFonts w:ascii="Verdana" w:eastAsia="Calibri" w:hAnsi="Verdana" w:cs="Arial"/>
          <w:lang w:val="es-ES"/>
        </w:rPr>
        <w:t xml:space="preserve"> y C-604 del 22 de mayo de 2026</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Pr>
          <w:rFonts w:ascii="Verdana" w:hAnsi="Verdana" w:cs="Arial"/>
          <w:shd w:val="clear" w:color="auto" w:fill="FFFFFF"/>
          <w:lang w:val="es-ES"/>
        </w:rPr>
        <w:t>os</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3" w:history="1">
        <w:r w:rsidRPr="00206556">
          <w:rPr>
            <w:rStyle w:val="Hipervnculo"/>
            <w:rFonts w:ascii="Verdana" w:hAnsi="Verdana" w:cs="Arial"/>
            <w:shd w:val="clear" w:color="auto" w:fill="FFFFFF"/>
            <w:lang w:val="es-ES"/>
          </w:rPr>
          <w:t>https://relatoria.colombiacompra.gov.co/busqueda/conceptos</w:t>
        </w:r>
      </w:hyperlink>
    </w:p>
    <w:p w14:paraId="44DEB88C" w14:textId="77777777" w:rsidR="003A1BAC" w:rsidRPr="00206556" w:rsidRDefault="003A1BAC" w:rsidP="003A1BAC">
      <w:pPr>
        <w:spacing w:after="0" w:line="276" w:lineRule="auto"/>
        <w:jc w:val="both"/>
        <w:rPr>
          <w:rFonts w:ascii="Verdana" w:hAnsi="Verdana" w:cs="Arial"/>
          <w:color w:val="ED7D31" w:themeColor="accent2"/>
          <w:shd w:val="clear" w:color="auto" w:fill="FFFFFF"/>
          <w:lang w:val="es-ES"/>
        </w:rPr>
      </w:pPr>
    </w:p>
    <w:p w14:paraId="2F5AB205" w14:textId="77777777" w:rsidR="003A1BAC" w:rsidRPr="00206556" w:rsidRDefault="003A1BAC" w:rsidP="003A1BA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4"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456C3784" w14:textId="77777777" w:rsidR="003A1BAC" w:rsidRPr="00206556" w:rsidRDefault="003A1BAC" w:rsidP="003A1BAC">
      <w:pPr>
        <w:spacing w:after="0" w:line="276" w:lineRule="auto"/>
        <w:jc w:val="both"/>
        <w:rPr>
          <w:rFonts w:ascii="Verdana" w:hAnsi="Verdana" w:cs="Arial"/>
          <w:shd w:val="clear" w:color="auto" w:fill="FFFFFF"/>
        </w:rPr>
      </w:pPr>
    </w:p>
    <w:p w14:paraId="639AAAA7" w14:textId="77777777" w:rsidR="003A1BAC" w:rsidRPr="00206556" w:rsidRDefault="003A1BAC" w:rsidP="003A1BA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5" w:history="1">
        <w:r w:rsidRPr="00206556">
          <w:rPr>
            <w:rStyle w:val="Hipervnculo"/>
            <w:rFonts w:ascii="Verdana" w:hAnsi="Verdana" w:cs="Arial"/>
            <w:shd w:val="clear" w:color="auto" w:fill="FFFFFF"/>
          </w:rPr>
          <w:t>https://www.colombiacompra.gov.co/normativa-y-relatoria/documentos-tipo</w:t>
        </w:r>
      </w:hyperlink>
    </w:p>
    <w:p w14:paraId="3F91B17E" w14:textId="77777777" w:rsidR="003A1BAC" w:rsidRPr="00206556" w:rsidRDefault="003A1BAC" w:rsidP="003A1BAC">
      <w:pPr>
        <w:spacing w:after="0" w:line="276" w:lineRule="auto"/>
        <w:jc w:val="both"/>
        <w:rPr>
          <w:rFonts w:ascii="Verdana" w:hAnsi="Verdana" w:cs="Arial"/>
          <w:shd w:val="clear" w:color="auto" w:fill="FFFFFF"/>
        </w:rPr>
      </w:pPr>
    </w:p>
    <w:p w14:paraId="53530D08" w14:textId="77777777" w:rsidR="003A1BAC" w:rsidRPr="00206556" w:rsidRDefault="003A1BAC" w:rsidP="003A1BA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w:t>
      </w:r>
      <w:r w:rsidRPr="00206556">
        <w:rPr>
          <w:rFonts w:ascii="Verdana" w:hAnsi="Verdana" w:cs="Arial"/>
          <w:shd w:val="clear" w:color="auto" w:fill="FFFFFF"/>
        </w:rPr>
        <w:lastRenderedPageBreak/>
        <w:t>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3427D914" w14:textId="77777777" w:rsidR="003A1BAC" w:rsidRPr="00206556" w:rsidRDefault="003A1BAC" w:rsidP="003A1BAC">
      <w:pPr>
        <w:spacing w:after="0" w:line="276" w:lineRule="auto"/>
        <w:jc w:val="both"/>
        <w:rPr>
          <w:rFonts w:ascii="Verdana" w:hAnsi="Verdana" w:cs="Arial"/>
          <w:color w:val="ED7D31" w:themeColor="accent2"/>
          <w:shd w:val="clear" w:color="auto" w:fill="FFFFFF"/>
        </w:rPr>
      </w:pPr>
    </w:p>
    <w:p w14:paraId="77BFA0B0"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0D848AA2" w14:textId="77777777" w:rsidR="003A1BAC" w:rsidRPr="00206556" w:rsidRDefault="003A1BAC" w:rsidP="003A1BAC">
      <w:pPr>
        <w:spacing w:after="0"/>
        <w:jc w:val="both"/>
        <w:rPr>
          <w:rFonts w:ascii="Verdana" w:hAnsi="Verdana" w:cs="Arial"/>
          <w:shd w:val="clear" w:color="auto" w:fill="FFFFFF"/>
        </w:rPr>
      </w:pPr>
    </w:p>
    <w:p w14:paraId="30C724B8"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62D885B3"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ColombiaCompraEficiente</w:t>
      </w:r>
    </w:p>
    <w:p w14:paraId="278E2295"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12D17FF4"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A26749B" w14:textId="77777777" w:rsidR="003A1BAC" w:rsidRPr="00206556" w:rsidRDefault="003A1BAC" w:rsidP="003A1BAC">
      <w:pPr>
        <w:widowControl w:val="0"/>
        <w:autoSpaceDE w:val="0"/>
        <w:autoSpaceDN w:val="0"/>
        <w:spacing w:after="0" w:line="276" w:lineRule="auto"/>
        <w:jc w:val="both"/>
        <w:rPr>
          <w:rFonts w:ascii="Verdana" w:hAnsi="Verdana" w:cs="Arial"/>
          <w:color w:val="ED7D31" w:themeColor="accent2"/>
          <w:lang w:val="es-ES"/>
        </w:rPr>
      </w:pPr>
    </w:p>
    <w:p w14:paraId="0054244C" w14:textId="77777777" w:rsidR="003A1BAC" w:rsidRPr="00206556" w:rsidRDefault="003A1BAC" w:rsidP="003A1BAC">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7011DC0" w14:textId="77777777" w:rsidR="003A1BAC" w:rsidRPr="00206556" w:rsidRDefault="003A1BAC" w:rsidP="003A1BAC">
      <w:pPr>
        <w:widowControl w:val="0"/>
        <w:autoSpaceDE w:val="0"/>
        <w:autoSpaceDN w:val="0"/>
        <w:spacing w:after="0" w:line="276" w:lineRule="auto"/>
        <w:jc w:val="both"/>
        <w:rPr>
          <w:rFonts w:ascii="Verdana" w:hAnsi="Verdana" w:cs="Arial"/>
          <w:lang w:val="es-ES"/>
        </w:rPr>
      </w:pPr>
    </w:p>
    <w:p w14:paraId="40DF13B0" w14:textId="77777777" w:rsidR="003A1BAC" w:rsidRPr="00206556" w:rsidRDefault="003A1BAC" w:rsidP="003A1BAC">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49030CFF" w14:textId="77777777" w:rsidR="003A1BAC" w:rsidRPr="00206556" w:rsidRDefault="003A1BAC" w:rsidP="003A1BAC">
      <w:pPr>
        <w:autoSpaceDE w:val="0"/>
        <w:autoSpaceDN w:val="0"/>
        <w:adjustRightInd w:val="0"/>
        <w:spacing w:after="0" w:line="276" w:lineRule="auto"/>
        <w:rPr>
          <w:rFonts w:ascii="Verdana" w:eastAsia="Calibri" w:hAnsi="Verdana" w:cs="Arial"/>
          <w:noProof/>
          <w:sz w:val="20"/>
          <w:szCs w:val="20"/>
        </w:rPr>
      </w:pPr>
    </w:p>
    <w:p w14:paraId="1516661C" w14:textId="73C6B5E8" w:rsidR="003A1BAC" w:rsidRPr="00206556" w:rsidRDefault="00B32BD0" w:rsidP="003A1BAC">
      <w:pPr>
        <w:spacing w:after="0" w:line="256" w:lineRule="auto"/>
        <w:jc w:val="center"/>
        <w:rPr>
          <w:rFonts w:ascii="Verdana" w:eastAsia="Times New Roman" w:hAnsi="Verdana" w:cs="Arial"/>
          <w:lang w:eastAsia="es-ES"/>
        </w:rPr>
      </w:pPr>
      <w:r w:rsidRPr="002C3AD6">
        <w:rPr>
          <w:rFonts w:ascii="Century Gothic" w:hAnsi="Century Gothic"/>
          <w:noProof/>
        </w:rPr>
        <w:drawing>
          <wp:inline distT="0" distB="0" distL="0" distR="0" wp14:anchorId="293D6843" wp14:editId="33D5AA3B">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175800FD" w14:textId="77777777" w:rsidR="003A1BAC" w:rsidRPr="00206556" w:rsidRDefault="003A1BAC" w:rsidP="003A1BAC">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3A1BAC" w:rsidRPr="00206556" w14:paraId="05BFC2E8" w14:textId="77777777" w:rsidTr="002D3CDE">
        <w:trPr>
          <w:trHeight w:val="322"/>
        </w:trPr>
        <w:tc>
          <w:tcPr>
            <w:tcW w:w="733" w:type="dxa"/>
            <w:tcBorders>
              <w:top w:val="nil"/>
              <w:left w:val="nil"/>
              <w:bottom w:val="nil"/>
              <w:right w:val="nil"/>
            </w:tcBorders>
            <w:vAlign w:val="center"/>
            <w:hideMark/>
          </w:tcPr>
          <w:p w14:paraId="262AA1F5" w14:textId="77777777" w:rsidR="003A1BAC" w:rsidRPr="00206556" w:rsidRDefault="003A1BAC" w:rsidP="002D3CDE">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4C9408BF" w14:textId="77777777" w:rsidR="003A1BAC" w:rsidRPr="00206556" w:rsidRDefault="003A1BAC" w:rsidP="002D3CDE">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val="es-ES_tradnl" w:eastAsia="es-ES"/>
              </w:rPr>
              <w:t>Ximena Ríos López</w:t>
            </w:r>
          </w:p>
          <w:p w14:paraId="662071EF" w14:textId="77777777" w:rsidR="003A1BAC" w:rsidRPr="00A5703A" w:rsidRDefault="003A1BAC" w:rsidP="002D3CDE">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T1-11 de la Subdirección de Gestión Contractual</w:t>
            </w:r>
          </w:p>
        </w:tc>
      </w:tr>
      <w:tr w:rsidR="003A1BAC" w:rsidRPr="00206556" w14:paraId="113CD7D7" w14:textId="77777777" w:rsidTr="002D3CDE">
        <w:trPr>
          <w:trHeight w:val="322"/>
        </w:trPr>
        <w:tc>
          <w:tcPr>
            <w:tcW w:w="733" w:type="dxa"/>
            <w:tcBorders>
              <w:top w:val="nil"/>
              <w:left w:val="nil"/>
              <w:bottom w:val="nil"/>
              <w:right w:val="nil"/>
            </w:tcBorders>
            <w:vAlign w:val="center"/>
            <w:hideMark/>
          </w:tcPr>
          <w:p w14:paraId="28A4F308" w14:textId="77777777" w:rsidR="003A1BAC" w:rsidRPr="00206556" w:rsidRDefault="003A1BAC" w:rsidP="002D3CDE">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5B0C4EF3" w14:textId="77777777" w:rsidR="003A1BAC" w:rsidRPr="00206556" w:rsidRDefault="003A1BAC" w:rsidP="002D3CDE">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Alejandro Sarmiento</w:t>
            </w:r>
          </w:p>
          <w:p w14:paraId="023DA057" w14:textId="77777777" w:rsidR="003A1BAC" w:rsidRPr="00A5703A" w:rsidRDefault="003A1BAC" w:rsidP="002D3CDE">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w:t>
            </w:r>
            <w:r>
              <w:rPr>
                <w:rFonts w:ascii="Verdana" w:eastAsia="Times New Roman" w:hAnsi="Verdana" w:cs="Arial"/>
                <w:sz w:val="16"/>
                <w:szCs w:val="16"/>
                <w:lang w:eastAsia="es-ES"/>
              </w:rPr>
              <w:t xml:space="preserve">5 </w:t>
            </w:r>
            <w:r w:rsidRPr="00206556">
              <w:rPr>
                <w:rFonts w:ascii="Verdana" w:eastAsia="Times New Roman" w:hAnsi="Verdana" w:cs="Arial"/>
                <w:sz w:val="16"/>
                <w:szCs w:val="16"/>
                <w:lang w:eastAsia="es-ES"/>
              </w:rPr>
              <w:t>de la Subdirección de Gestión Contractual</w:t>
            </w:r>
          </w:p>
        </w:tc>
      </w:tr>
      <w:tr w:rsidR="003A1BAC" w:rsidRPr="00206556" w14:paraId="438E5873" w14:textId="77777777" w:rsidTr="002D3CDE">
        <w:trPr>
          <w:trHeight w:val="307"/>
        </w:trPr>
        <w:tc>
          <w:tcPr>
            <w:tcW w:w="733" w:type="dxa"/>
            <w:tcBorders>
              <w:top w:val="nil"/>
              <w:left w:val="nil"/>
              <w:bottom w:val="nil"/>
              <w:right w:val="nil"/>
            </w:tcBorders>
            <w:vAlign w:val="center"/>
            <w:hideMark/>
          </w:tcPr>
          <w:p w14:paraId="6631095B" w14:textId="77777777" w:rsidR="003A1BAC" w:rsidRPr="00206556" w:rsidRDefault="003A1BAC" w:rsidP="002D3CDE">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240C606" w14:textId="77777777" w:rsidR="003A1BAC" w:rsidRPr="00206556" w:rsidRDefault="003A1BAC" w:rsidP="002D3CDE">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09F97F1E" w14:textId="77777777" w:rsidR="003A1BAC" w:rsidRPr="00206556" w:rsidRDefault="003A1BAC" w:rsidP="002D3CDE">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46E4073D" w14:textId="77777777" w:rsidR="003A1BAC" w:rsidRDefault="003A1BAC" w:rsidP="003A1BAC">
      <w:pPr>
        <w:autoSpaceDE w:val="0"/>
        <w:autoSpaceDN w:val="0"/>
        <w:adjustRightInd w:val="0"/>
        <w:spacing w:after="0" w:line="276" w:lineRule="auto"/>
        <w:jc w:val="center"/>
        <w:rPr>
          <w:rFonts w:ascii="Verdana" w:eastAsia="Calibri" w:hAnsi="Verdana" w:cs="Arial"/>
        </w:rPr>
      </w:pPr>
    </w:p>
    <w:p w14:paraId="34F6870D" w14:textId="706B1AD2" w:rsidR="003A1BAC" w:rsidRDefault="003A1BAC" w:rsidP="003A1BAC">
      <w:pPr>
        <w:autoSpaceDE w:val="0"/>
        <w:autoSpaceDN w:val="0"/>
        <w:adjustRightInd w:val="0"/>
        <w:spacing w:after="0" w:line="276" w:lineRule="auto"/>
        <w:jc w:val="center"/>
        <w:rPr>
          <w:rFonts w:ascii="Verdana" w:eastAsia="Calibri" w:hAnsi="Verdana" w:cs="Arial"/>
        </w:rPr>
      </w:pPr>
    </w:p>
    <w:p w14:paraId="0F293BF4" w14:textId="320013C9" w:rsidR="00127233" w:rsidRPr="003A1BAC" w:rsidRDefault="00127233" w:rsidP="003A1BAC"/>
    <w:sectPr w:rsidR="00127233" w:rsidRPr="003A1BAC"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D4B1F" w14:textId="77777777" w:rsidR="00E66B9B" w:rsidRDefault="00E66B9B" w:rsidP="004A1847">
      <w:pPr>
        <w:spacing w:after="0" w:line="240" w:lineRule="auto"/>
      </w:pPr>
      <w:r>
        <w:separator/>
      </w:r>
    </w:p>
  </w:endnote>
  <w:endnote w:type="continuationSeparator" w:id="0">
    <w:p w14:paraId="7B0D883C" w14:textId="77777777" w:rsidR="00E66B9B" w:rsidRDefault="00E66B9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E585F2" w14:textId="77777777" w:rsidR="00E66B9B" w:rsidRDefault="00E66B9B" w:rsidP="004A1847">
      <w:pPr>
        <w:spacing w:after="0" w:line="240" w:lineRule="auto"/>
      </w:pPr>
      <w:r>
        <w:separator/>
      </w:r>
    </w:p>
  </w:footnote>
  <w:footnote w:type="continuationSeparator" w:id="0">
    <w:p w14:paraId="425F20A5" w14:textId="77777777" w:rsidR="00E66B9B" w:rsidRDefault="00E66B9B" w:rsidP="004A1847">
      <w:pPr>
        <w:spacing w:after="0" w:line="240" w:lineRule="auto"/>
      </w:pPr>
      <w:r>
        <w:continuationSeparator/>
      </w:r>
    </w:p>
  </w:footnote>
  <w:footnote w:id="1">
    <w:p w14:paraId="241B4833" w14:textId="77777777" w:rsidR="003A1BAC" w:rsidRPr="00206556" w:rsidRDefault="003A1BAC" w:rsidP="003A1BAC">
      <w:pPr>
        <w:spacing w:after="0" w:line="240" w:lineRule="auto"/>
        <w:ind w:firstLine="709"/>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45AD9F53" w14:textId="77777777" w:rsidR="003A1BAC" w:rsidRPr="00206556" w:rsidRDefault="003A1BAC" w:rsidP="003A1BAC">
      <w:pPr>
        <w:spacing w:after="0" w:line="240" w:lineRule="auto"/>
        <w:ind w:firstLine="709"/>
        <w:jc w:val="both"/>
        <w:rPr>
          <w:rFonts w:ascii="Verdana" w:hAnsi="Verdana"/>
          <w:sz w:val="16"/>
          <w:szCs w:val="16"/>
        </w:rPr>
      </w:pPr>
    </w:p>
  </w:footnote>
  <w:footnote w:id="2">
    <w:p w14:paraId="30C618FB" w14:textId="77777777" w:rsidR="003A1BAC" w:rsidRPr="00206556" w:rsidRDefault="003A1BAC" w:rsidP="003A1BAC">
      <w:pPr>
        <w:pStyle w:val="Textonotapie"/>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3AB92941" w14:textId="77777777" w:rsidR="003A1BAC" w:rsidRPr="00206556" w:rsidRDefault="003A1BAC" w:rsidP="003A1BAC">
      <w:pPr>
        <w:pStyle w:val="Textonotapie"/>
        <w:ind w:firstLine="709"/>
        <w:jc w:val="both"/>
        <w:rPr>
          <w:rFonts w:ascii="Verdana" w:hAnsi="Verdana"/>
          <w:sz w:val="16"/>
          <w:szCs w:val="16"/>
          <w:lang w:val="es-ES"/>
        </w:rPr>
      </w:pPr>
    </w:p>
  </w:footnote>
  <w:footnote w:id="3">
    <w:p w14:paraId="6C7074CF" w14:textId="77777777" w:rsidR="003A1BAC" w:rsidRPr="00206556" w:rsidRDefault="003A1BAC" w:rsidP="003A1BAC">
      <w:pPr>
        <w:spacing w:after="0" w:line="240" w:lineRule="auto"/>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313E0D01" w14:textId="77777777" w:rsidR="003A1BAC" w:rsidRPr="00206556" w:rsidRDefault="003A1BAC" w:rsidP="003A1BAC">
      <w:pPr>
        <w:spacing w:after="0" w:line="240" w:lineRule="auto"/>
        <w:ind w:firstLine="709"/>
        <w:jc w:val="both"/>
        <w:rPr>
          <w:rFonts w:ascii="Verdana" w:hAnsi="Verdana"/>
          <w:sz w:val="16"/>
          <w:szCs w:val="16"/>
        </w:rPr>
      </w:pPr>
    </w:p>
  </w:footnote>
  <w:footnote w:id="4">
    <w:p w14:paraId="3485B71B" w14:textId="77777777" w:rsidR="003A1BAC" w:rsidRPr="00206556" w:rsidRDefault="003A1BAC" w:rsidP="003A1BAC">
      <w:pPr>
        <w:pStyle w:val="Textonotapie"/>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08CE5530" w14:textId="77777777" w:rsidR="003A1BAC" w:rsidRPr="00206556" w:rsidRDefault="003A1BAC" w:rsidP="003A1BAC">
      <w:pPr>
        <w:pStyle w:val="Textonotapie"/>
        <w:ind w:firstLine="709"/>
        <w:jc w:val="both"/>
        <w:rPr>
          <w:rFonts w:ascii="Verdana" w:hAnsi="Verdana"/>
          <w:sz w:val="16"/>
          <w:szCs w:val="16"/>
          <w:lang w:val="es-ES"/>
        </w:rPr>
      </w:pPr>
    </w:p>
  </w:footnote>
  <w:footnote w:id="5">
    <w:p w14:paraId="6EA6C5C3" w14:textId="77777777" w:rsidR="003A1BAC" w:rsidRPr="00206556" w:rsidRDefault="003A1BAC" w:rsidP="003A1BAC">
      <w:pPr>
        <w:pStyle w:val="Textonotapie"/>
        <w:ind w:firstLine="709"/>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0EFDB3F1" w14:textId="77777777" w:rsidR="003A1BAC" w:rsidRPr="00206556" w:rsidRDefault="003A1BAC" w:rsidP="003A1BAC">
      <w:pPr>
        <w:pStyle w:val="Textonotapie"/>
        <w:ind w:firstLine="709"/>
        <w:jc w:val="both"/>
        <w:rPr>
          <w:rFonts w:ascii="Verdana" w:hAnsi="Verdana"/>
          <w:sz w:val="16"/>
          <w:szCs w:val="16"/>
          <w:lang w:val="es-ES"/>
        </w:rPr>
      </w:pPr>
    </w:p>
  </w:footnote>
  <w:footnote w:id="6">
    <w:p w14:paraId="35ECDFD2" w14:textId="77777777" w:rsidR="003A1BAC" w:rsidRPr="00206556" w:rsidRDefault="003A1BAC" w:rsidP="003A1BAC">
      <w:pPr>
        <w:pStyle w:val="Textonotapie"/>
        <w:ind w:firstLine="709"/>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5B5348C3" w14:textId="77777777" w:rsidR="003A1BAC" w:rsidRPr="00206556" w:rsidRDefault="003A1BAC" w:rsidP="003A1BAC">
      <w:pPr>
        <w:pStyle w:val="Textonotapie"/>
        <w:ind w:firstLine="709"/>
        <w:rPr>
          <w:rFonts w:ascii="Verdana" w:hAnsi="Verdana"/>
          <w:sz w:val="16"/>
          <w:szCs w:val="16"/>
          <w:lang w:val="es-ES"/>
        </w:rPr>
      </w:pPr>
    </w:p>
  </w:footnote>
  <w:footnote w:id="7">
    <w:p w14:paraId="251B5A00" w14:textId="77777777" w:rsidR="003A1BAC" w:rsidRPr="00206556" w:rsidRDefault="003A1BAC" w:rsidP="003A1BAC">
      <w:pPr>
        <w:pStyle w:val="Textonotapie"/>
        <w:ind w:firstLine="709"/>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255880D4" w14:textId="77777777" w:rsidR="003A1BAC" w:rsidRPr="00206556" w:rsidRDefault="003A1BAC" w:rsidP="003A1BAC">
      <w:pPr>
        <w:pStyle w:val="Textonotapie"/>
        <w:ind w:firstLine="709"/>
        <w:rPr>
          <w:rFonts w:ascii="Verdana" w:hAnsi="Verdana"/>
          <w:sz w:val="16"/>
          <w:szCs w:val="16"/>
          <w:lang w:val="es-ES"/>
        </w:rPr>
      </w:pPr>
    </w:p>
  </w:footnote>
  <w:footnote w:id="8">
    <w:p w14:paraId="4F52FBCA" w14:textId="77777777" w:rsidR="003A1BAC" w:rsidRPr="00206556" w:rsidRDefault="003A1BAC" w:rsidP="003A1BAC">
      <w:pPr>
        <w:pStyle w:val="Textonotapie"/>
        <w:ind w:firstLine="709"/>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B5D"/>
    <w:rsid w:val="00013F7E"/>
    <w:rsid w:val="00016F78"/>
    <w:rsid w:val="000364C3"/>
    <w:rsid w:val="00045DAC"/>
    <w:rsid w:val="00046945"/>
    <w:rsid w:val="00050EF1"/>
    <w:rsid w:val="00052609"/>
    <w:rsid w:val="00061B2A"/>
    <w:rsid w:val="00063D2B"/>
    <w:rsid w:val="00082362"/>
    <w:rsid w:val="000A683E"/>
    <w:rsid w:val="000B19B9"/>
    <w:rsid w:val="000D0334"/>
    <w:rsid w:val="000D5DA7"/>
    <w:rsid w:val="000E08EE"/>
    <w:rsid w:val="000F6486"/>
    <w:rsid w:val="001038DE"/>
    <w:rsid w:val="00116940"/>
    <w:rsid w:val="00121532"/>
    <w:rsid w:val="001231C7"/>
    <w:rsid w:val="00125105"/>
    <w:rsid w:val="00127233"/>
    <w:rsid w:val="0015699B"/>
    <w:rsid w:val="0018129F"/>
    <w:rsid w:val="001850FD"/>
    <w:rsid w:val="00185759"/>
    <w:rsid w:val="00192DB5"/>
    <w:rsid w:val="001A33BF"/>
    <w:rsid w:val="001B4B80"/>
    <w:rsid w:val="001C1D5F"/>
    <w:rsid w:val="001E4177"/>
    <w:rsid w:val="001F0B24"/>
    <w:rsid w:val="001F5AAA"/>
    <w:rsid w:val="001F7DC6"/>
    <w:rsid w:val="00211B48"/>
    <w:rsid w:val="0021388C"/>
    <w:rsid w:val="0021400E"/>
    <w:rsid w:val="0022400B"/>
    <w:rsid w:val="00225AB2"/>
    <w:rsid w:val="00230952"/>
    <w:rsid w:val="002421BB"/>
    <w:rsid w:val="00252605"/>
    <w:rsid w:val="0025796E"/>
    <w:rsid w:val="002707A2"/>
    <w:rsid w:val="00280361"/>
    <w:rsid w:val="002951A0"/>
    <w:rsid w:val="002962BC"/>
    <w:rsid w:val="002A093D"/>
    <w:rsid w:val="002A0DD0"/>
    <w:rsid w:val="002A49AC"/>
    <w:rsid w:val="002A527B"/>
    <w:rsid w:val="002A64FD"/>
    <w:rsid w:val="002A77C8"/>
    <w:rsid w:val="002C7A84"/>
    <w:rsid w:val="002D2E28"/>
    <w:rsid w:val="002D4EAE"/>
    <w:rsid w:val="002E2BF8"/>
    <w:rsid w:val="002E4FD9"/>
    <w:rsid w:val="003044B0"/>
    <w:rsid w:val="0030657A"/>
    <w:rsid w:val="00322A85"/>
    <w:rsid w:val="00324168"/>
    <w:rsid w:val="00330834"/>
    <w:rsid w:val="003448F4"/>
    <w:rsid w:val="00345267"/>
    <w:rsid w:val="003706EC"/>
    <w:rsid w:val="00374F5E"/>
    <w:rsid w:val="00377E3E"/>
    <w:rsid w:val="00385F8E"/>
    <w:rsid w:val="0038731B"/>
    <w:rsid w:val="00387F12"/>
    <w:rsid w:val="00390A4F"/>
    <w:rsid w:val="00396D58"/>
    <w:rsid w:val="003A013C"/>
    <w:rsid w:val="003A101E"/>
    <w:rsid w:val="003A1BAC"/>
    <w:rsid w:val="003A779E"/>
    <w:rsid w:val="003B1196"/>
    <w:rsid w:val="003C7D4A"/>
    <w:rsid w:val="003D081E"/>
    <w:rsid w:val="003D0F4D"/>
    <w:rsid w:val="003D5B0D"/>
    <w:rsid w:val="003E0499"/>
    <w:rsid w:val="003E4F80"/>
    <w:rsid w:val="003E6439"/>
    <w:rsid w:val="003F0ED1"/>
    <w:rsid w:val="003F3941"/>
    <w:rsid w:val="00406575"/>
    <w:rsid w:val="00407026"/>
    <w:rsid w:val="00414C74"/>
    <w:rsid w:val="0042119F"/>
    <w:rsid w:val="0042722E"/>
    <w:rsid w:val="004353EE"/>
    <w:rsid w:val="0044528D"/>
    <w:rsid w:val="00461175"/>
    <w:rsid w:val="00466E39"/>
    <w:rsid w:val="004A1847"/>
    <w:rsid w:val="004A305D"/>
    <w:rsid w:val="004B5150"/>
    <w:rsid w:val="004D352A"/>
    <w:rsid w:val="004F01CA"/>
    <w:rsid w:val="004F21C4"/>
    <w:rsid w:val="004F685F"/>
    <w:rsid w:val="005006C2"/>
    <w:rsid w:val="00507361"/>
    <w:rsid w:val="00512770"/>
    <w:rsid w:val="00521962"/>
    <w:rsid w:val="00533DBF"/>
    <w:rsid w:val="00542636"/>
    <w:rsid w:val="0054478F"/>
    <w:rsid w:val="00554544"/>
    <w:rsid w:val="005566E8"/>
    <w:rsid w:val="00556F32"/>
    <w:rsid w:val="00565519"/>
    <w:rsid w:val="0057033C"/>
    <w:rsid w:val="00574867"/>
    <w:rsid w:val="00574B02"/>
    <w:rsid w:val="00580197"/>
    <w:rsid w:val="005837FA"/>
    <w:rsid w:val="00591460"/>
    <w:rsid w:val="00594D0B"/>
    <w:rsid w:val="005A65E0"/>
    <w:rsid w:val="005A77D1"/>
    <w:rsid w:val="005C1592"/>
    <w:rsid w:val="005C2CED"/>
    <w:rsid w:val="005C3777"/>
    <w:rsid w:val="005C5CDC"/>
    <w:rsid w:val="005D476C"/>
    <w:rsid w:val="005D5628"/>
    <w:rsid w:val="0061269B"/>
    <w:rsid w:val="00615EA1"/>
    <w:rsid w:val="006200BF"/>
    <w:rsid w:val="006219F8"/>
    <w:rsid w:val="006263FB"/>
    <w:rsid w:val="006302F7"/>
    <w:rsid w:val="00646B9F"/>
    <w:rsid w:val="006521CE"/>
    <w:rsid w:val="00652FDF"/>
    <w:rsid w:val="00664EF8"/>
    <w:rsid w:val="0066595E"/>
    <w:rsid w:val="00665D70"/>
    <w:rsid w:val="006878AF"/>
    <w:rsid w:val="006900D9"/>
    <w:rsid w:val="00690614"/>
    <w:rsid w:val="006C6930"/>
    <w:rsid w:val="006C6C71"/>
    <w:rsid w:val="006D36D3"/>
    <w:rsid w:val="006E2F67"/>
    <w:rsid w:val="006E70F1"/>
    <w:rsid w:val="00706C16"/>
    <w:rsid w:val="007219AE"/>
    <w:rsid w:val="007340C3"/>
    <w:rsid w:val="0075235A"/>
    <w:rsid w:val="00754D51"/>
    <w:rsid w:val="00756841"/>
    <w:rsid w:val="007649AB"/>
    <w:rsid w:val="00771D0C"/>
    <w:rsid w:val="007833AC"/>
    <w:rsid w:val="0078641B"/>
    <w:rsid w:val="00797209"/>
    <w:rsid w:val="007B268C"/>
    <w:rsid w:val="007B7171"/>
    <w:rsid w:val="007C0C0F"/>
    <w:rsid w:val="007C20C9"/>
    <w:rsid w:val="007C3DC2"/>
    <w:rsid w:val="007C6A48"/>
    <w:rsid w:val="007E5497"/>
    <w:rsid w:val="00806F5F"/>
    <w:rsid w:val="00820278"/>
    <w:rsid w:val="008258C9"/>
    <w:rsid w:val="00844AE9"/>
    <w:rsid w:val="00846F5A"/>
    <w:rsid w:val="00850EAC"/>
    <w:rsid w:val="008512A0"/>
    <w:rsid w:val="008561D8"/>
    <w:rsid w:val="00867F95"/>
    <w:rsid w:val="008750E9"/>
    <w:rsid w:val="008843B6"/>
    <w:rsid w:val="00891928"/>
    <w:rsid w:val="008A446D"/>
    <w:rsid w:val="008B25F1"/>
    <w:rsid w:val="008C002A"/>
    <w:rsid w:val="008C0FC7"/>
    <w:rsid w:val="008C11B1"/>
    <w:rsid w:val="008D180B"/>
    <w:rsid w:val="008D1F58"/>
    <w:rsid w:val="008F0EA7"/>
    <w:rsid w:val="009157DB"/>
    <w:rsid w:val="00923EEF"/>
    <w:rsid w:val="00931712"/>
    <w:rsid w:val="009419F9"/>
    <w:rsid w:val="0095685E"/>
    <w:rsid w:val="00961B09"/>
    <w:rsid w:val="00965334"/>
    <w:rsid w:val="00966696"/>
    <w:rsid w:val="0097093E"/>
    <w:rsid w:val="0098798A"/>
    <w:rsid w:val="009A0DFA"/>
    <w:rsid w:val="009A1C6F"/>
    <w:rsid w:val="009A3E8B"/>
    <w:rsid w:val="009B2D26"/>
    <w:rsid w:val="009B55B3"/>
    <w:rsid w:val="009C0D3A"/>
    <w:rsid w:val="009C37A3"/>
    <w:rsid w:val="009C52AE"/>
    <w:rsid w:val="009C71FA"/>
    <w:rsid w:val="009C72E7"/>
    <w:rsid w:val="009C7F7E"/>
    <w:rsid w:val="009D3058"/>
    <w:rsid w:val="009E69FC"/>
    <w:rsid w:val="009F3928"/>
    <w:rsid w:val="009F3A13"/>
    <w:rsid w:val="00A04A89"/>
    <w:rsid w:val="00A122D3"/>
    <w:rsid w:val="00A14468"/>
    <w:rsid w:val="00A17F13"/>
    <w:rsid w:val="00A20739"/>
    <w:rsid w:val="00A23AF9"/>
    <w:rsid w:val="00A24E17"/>
    <w:rsid w:val="00A33C78"/>
    <w:rsid w:val="00A373F2"/>
    <w:rsid w:val="00A80498"/>
    <w:rsid w:val="00A91F13"/>
    <w:rsid w:val="00AB0ADB"/>
    <w:rsid w:val="00AC47A7"/>
    <w:rsid w:val="00AD0122"/>
    <w:rsid w:val="00AD06E8"/>
    <w:rsid w:val="00AD0FD5"/>
    <w:rsid w:val="00AD2196"/>
    <w:rsid w:val="00B00C0E"/>
    <w:rsid w:val="00B01B1A"/>
    <w:rsid w:val="00B0381D"/>
    <w:rsid w:val="00B32BD0"/>
    <w:rsid w:val="00B4266E"/>
    <w:rsid w:val="00B44073"/>
    <w:rsid w:val="00B44A47"/>
    <w:rsid w:val="00B51B43"/>
    <w:rsid w:val="00B65A1F"/>
    <w:rsid w:val="00B72CD3"/>
    <w:rsid w:val="00B72FFF"/>
    <w:rsid w:val="00B86367"/>
    <w:rsid w:val="00BB5D07"/>
    <w:rsid w:val="00BC3D36"/>
    <w:rsid w:val="00BD1EC9"/>
    <w:rsid w:val="00BD3403"/>
    <w:rsid w:val="00BD54A6"/>
    <w:rsid w:val="00BD5F3F"/>
    <w:rsid w:val="00BD7D24"/>
    <w:rsid w:val="00BD7F72"/>
    <w:rsid w:val="00BF72F8"/>
    <w:rsid w:val="00BF7425"/>
    <w:rsid w:val="00C04FB3"/>
    <w:rsid w:val="00C05134"/>
    <w:rsid w:val="00C11D8B"/>
    <w:rsid w:val="00C137C6"/>
    <w:rsid w:val="00C150A5"/>
    <w:rsid w:val="00C15139"/>
    <w:rsid w:val="00C174D8"/>
    <w:rsid w:val="00C330EB"/>
    <w:rsid w:val="00C50D69"/>
    <w:rsid w:val="00C5365C"/>
    <w:rsid w:val="00C61377"/>
    <w:rsid w:val="00C754BE"/>
    <w:rsid w:val="00C76B1C"/>
    <w:rsid w:val="00C925AC"/>
    <w:rsid w:val="00CA577A"/>
    <w:rsid w:val="00CB3C75"/>
    <w:rsid w:val="00CB6357"/>
    <w:rsid w:val="00CC1B26"/>
    <w:rsid w:val="00CC4922"/>
    <w:rsid w:val="00CC4AC6"/>
    <w:rsid w:val="00CD2412"/>
    <w:rsid w:val="00CD319B"/>
    <w:rsid w:val="00CE6726"/>
    <w:rsid w:val="00D024F7"/>
    <w:rsid w:val="00D02709"/>
    <w:rsid w:val="00D03071"/>
    <w:rsid w:val="00D12161"/>
    <w:rsid w:val="00D1557A"/>
    <w:rsid w:val="00D21C34"/>
    <w:rsid w:val="00D361FD"/>
    <w:rsid w:val="00D423A2"/>
    <w:rsid w:val="00D43727"/>
    <w:rsid w:val="00D44E26"/>
    <w:rsid w:val="00D45E2C"/>
    <w:rsid w:val="00D520D8"/>
    <w:rsid w:val="00D63AC2"/>
    <w:rsid w:val="00D7383B"/>
    <w:rsid w:val="00D73A23"/>
    <w:rsid w:val="00D7788A"/>
    <w:rsid w:val="00D86808"/>
    <w:rsid w:val="00DA16F9"/>
    <w:rsid w:val="00DA231B"/>
    <w:rsid w:val="00DA79A1"/>
    <w:rsid w:val="00DB21F1"/>
    <w:rsid w:val="00DC39FC"/>
    <w:rsid w:val="00DE0395"/>
    <w:rsid w:val="00DE4257"/>
    <w:rsid w:val="00DF5254"/>
    <w:rsid w:val="00E02524"/>
    <w:rsid w:val="00E10FC2"/>
    <w:rsid w:val="00E12A5D"/>
    <w:rsid w:val="00E16408"/>
    <w:rsid w:val="00E20894"/>
    <w:rsid w:val="00E245AB"/>
    <w:rsid w:val="00E2764C"/>
    <w:rsid w:val="00E27F2E"/>
    <w:rsid w:val="00E3246D"/>
    <w:rsid w:val="00E50AFE"/>
    <w:rsid w:val="00E66B9B"/>
    <w:rsid w:val="00E75C92"/>
    <w:rsid w:val="00E771DC"/>
    <w:rsid w:val="00E86342"/>
    <w:rsid w:val="00E8772A"/>
    <w:rsid w:val="00E90F6B"/>
    <w:rsid w:val="00E92C27"/>
    <w:rsid w:val="00E94B18"/>
    <w:rsid w:val="00EA0E3D"/>
    <w:rsid w:val="00EB4D75"/>
    <w:rsid w:val="00EC38A7"/>
    <w:rsid w:val="00EC6B65"/>
    <w:rsid w:val="00ED3EA0"/>
    <w:rsid w:val="00EE154C"/>
    <w:rsid w:val="00EE1AA8"/>
    <w:rsid w:val="00EE6D42"/>
    <w:rsid w:val="00F025BA"/>
    <w:rsid w:val="00F17922"/>
    <w:rsid w:val="00F23FEA"/>
    <w:rsid w:val="00F31EDC"/>
    <w:rsid w:val="00F36D31"/>
    <w:rsid w:val="00F462B3"/>
    <w:rsid w:val="00F5233B"/>
    <w:rsid w:val="00F553EE"/>
    <w:rsid w:val="00F5664F"/>
    <w:rsid w:val="00F609A0"/>
    <w:rsid w:val="00F62A55"/>
    <w:rsid w:val="00F666C4"/>
    <w:rsid w:val="00F76AFC"/>
    <w:rsid w:val="00F77C86"/>
    <w:rsid w:val="00F96832"/>
    <w:rsid w:val="00FA1389"/>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A1BAC"/>
    <w:pPr>
      <w:spacing w:line="240" w:lineRule="exact"/>
    </w:pPr>
    <w:rPr>
      <w:vertAlign w:val="superscript"/>
    </w:rPr>
  </w:style>
  <w:style w:type="character" w:styleId="Refdecomentario">
    <w:name w:val="annotation reference"/>
    <w:basedOn w:val="Fuentedeprrafopredeter"/>
    <w:uiPriority w:val="99"/>
    <w:semiHidden/>
    <w:unhideWhenUsed/>
    <w:rsid w:val="00DE0395"/>
    <w:rPr>
      <w:sz w:val="16"/>
      <w:szCs w:val="16"/>
    </w:rPr>
  </w:style>
  <w:style w:type="paragraph" w:styleId="Textocomentario">
    <w:name w:val="annotation text"/>
    <w:basedOn w:val="Normal"/>
    <w:link w:val="TextocomentarioCar"/>
    <w:uiPriority w:val="99"/>
    <w:unhideWhenUsed/>
    <w:rsid w:val="00DE0395"/>
    <w:pPr>
      <w:spacing w:line="240" w:lineRule="auto"/>
    </w:pPr>
    <w:rPr>
      <w:sz w:val="20"/>
      <w:szCs w:val="20"/>
    </w:rPr>
  </w:style>
  <w:style w:type="character" w:customStyle="1" w:styleId="TextocomentarioCar">
    <w:name w:val="Texto comentario Car"/>
    <w:basedOn w:val="Fuentedeprrafopredeter"/>
    <w:link w:val="Textocomentario"/>
    <w:uiPriority w:val="99"/>
    <w:rsid w:val="00DE0395"/>
    <w:rPr>
      <w:sz w:val="20"/>
      <w:szCs w:val="20"/>
    </w:rPr>
  </w:style>
  <w:style w:type="paragraph" w:styleId="Asuntodelcomentario">
    <w:name w:val="annotation subject"/>
    <w:basedOn w:val="Textocomentario"/>
    <w:next w:val="Textocomentario"/>
    <w:link w:val="AsuntodelcomentarioCar"/>
    <w:uiPriority w:val="99"/>
    <w:semiHidden/>
    <w:unhideWhenUsed/>
    <w:rsid w:val="00DE0395"/>
    <w:rPr>
      <w:b/>
      <w:bCs/>
    </w:rPr>
  </w:style>
  <w:style w:type="character" w:customStyle="1" w:styleId="AsuntodelcomentarioCar">
    <w:name w:val="Asunto del comentario Car"/>
    <w:basedOn w:val="TextocomentarioCar"/>
    <w:link w:val="Asuntodelcomentario"/>
    <w:uiPriority w:val="99"/>
    <w:semiHidden/>
    <w:rsid w:val="00DE039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rturoemartinez@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C21E34-8E75-4D2A-A45C-8AFCADAE3A98}">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99979DA-32BF-48F3-BF07-01D57CD09313}"/>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21</Pages>
  <Words>6512</Words>
  <Characters>35822</Characters>
  <Application>Microsoft Office Word</Application>
  <DocSecurity>0</DocSecurity>
  <Lines>298</Lines>
  <Paragraphs>84</Paragraphs>
  <ScaleCrop>false</ScaleCrop>
  <Company/>
  <LinksUpToDate>false</LinksUpToDate>
  <CharactersWithSpaces>42250</CharactersWithSpaces>
  <SharedDoc>false</SharedDoc>
  <HLinks>
    <vt:vector size="24" baseType="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8257627</vt:i4>
      </vt:variant>
      <vt:variant>
        <vt:i4>0</vt:i4>
      </vt:variant>
      <vt:variant>
        <vt:i4>0</vt:i4>
      </vt:variant>
      <vt:variant>
        <vt:i4>5</vt:i4>
      </vt:variant>
      <vt:variant>
        <vt:lpwstr>mailto:arturoemartinez@hotmail.com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4</cp:revision>
  <cp:lastPrinted>2023-01-10T21:18:00Z</cp:lastPrinted>
  <dcterms:created xsi:type="dcterms:W3CDTF">2026-05-26T21:54:00Z</dcterms:created>
  <dcterms:modified xsi:type="dcterms:W3CDTF">2026-05-28T19:36:00Z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