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FB1EE" w14:textId="2543EC5A" w:rsidR="00AD4C6A" w:rsidRPr="00AD4C6A" w:rsidRDefault="00AD4C6A" w:rsidP="00AD4C6A">
      <w:pPr>
        <w:spacing w:after="0"/>
        <w:rPr>
          <w:rFonts w:ascii="Verdana" w:eastAsia="Verdana" w:hAnsi="Verdana" w:cs="Verdana"/>
        </w:rPr>
      </w:pPr>
      <w:bookmarkStart w:id="0" w:name="_Hlk143780582"/>
      <w:r w:rsidRPr="00AD4C6A">
        <w:rPr>
          <w:rFonts w:ascii="Verdana" w:eastAsia="Calibri" w:hAnsi="Verdana" w:cs="Arial"/>
          <w:b/>
          <w:bCs/>
          <w:lang w:val="es-ES" w:eastAsia="es-ES"/>
        </w:rPr>
        <w:t>CAPACIDAD RESIDUAL – Definición – Factores – Contratos de obra</w:t>
      </w:r>
    </w:p>
    <w:p w14:paraId="5549BABF" w14:textId="77777777" w:rsidR="00AD4C6A" w:rsidRPr="00AD4C6A" w:rsidRDefault="00AD4C6A" w:rsidP="00AD4C6A">
      <w:pPr>
        <w:shd w:val="clear" w:color="auto" w:fill="FFFFFF"/>
        <w:spacing w:after="0" w:line="276" w:lineRule="auto"/>
        <w:jc w:val="both"/>
        <w:rPr>
          <w:rFonts w:ascii="Verdana" w:eastAsia="Calibri" w:hAnsi="Verdana" w:cs="Arial"/>
          <w:b/>
          <w:bCs/>
          <w:lang w:val="es-ES" w:eastAsia="es-ES"/>
        </w:rPr>
      </w:pPr>
    </w:p>
    <w:p w14:paraId="088E0F93" w14:textId="77777777" w:rsidR="00AD4C6A" w:rsidRPr="00AD4C6A" w:rsidRDefault="00AD4C6A" w:rsidP="00AD4C6A">
      <w:pPr>
        <w:spacing w:after="0" w:line="240" w:lineRule="auto"/>
        <w:jc w:val="both"/>
        <w:rPr>
          <w:rFonts w:ascii="Verdana" w:eastAsia="Calibri" w:hAnsi="Verdana" w:cs="Arial"/>
          <w:color w:val="000000"/>
          <w:sz w:val="20"/>
          <w:szCs w:val="20"/>
          <w:lang w:val="es-MX" w:eastAsia="en-GB"/>
        </w:rPr>
      </w:pPr>
      <w:r w:rsidRPr="00AD4C6A">
        <w:rPr>
          <w:rFonts w:ascii="Verdana" w:eastAsia="Calibri" w:hAnsi="Verdana" w:cs="Arial"/>
          <w:color w:val="000000"/>
          <w:sz w:val="20"/>
          <w:szCs w:val="20"/>
          <w:lang w:val="es-MX" w:eastAsia="en-GB"/>
        </w:rPr>
        <w:t>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 Por su parte, el Consejo de Estado ha definido la Capacidad Residual como “la diferencia que existe entre el potencial de contratación que se tiene y los compromisos que haya adquirido y que se encuentren en ejecución, para la fecha de presentación de la oferta”.</w:t>
      </w:r>
    </w:p>
    <w:p w14:paraId="4CF83A3E" w14:textId="77777777" w:rsidR="00AD4C6A" w:rsidRPr="00AD4C6A" w:rsidRDefault="00AD4C6A" w:rsidP="00AD4C6A">
      <w:pPr>
        <w:spacing w:after="0" w:line="240" w:lineRule="auto"/>
        <w:jc w:val="both"/>
        <w:rPr>
          <w:rFonts w:ascii="Verdana" w:eastAsia="Calibri" w:hAnsi="Verdana" w:cs="Arial"/>
          <w:color w:val="000000"/>
          <w:sz w:val="20"/>
          <w:szCs w:val="20"/>
          <w:lang w:val="es-MX" w:eastAsia="en-GB"/>
        </w:rPr>
      </w:pPr>
    </w:p>
    <w:p w14:paraId="69DF2D12" w14:textId="77777777" w:rsidR="00AD4C6A" w:rsidRPr="00AD4C6A" w:rsidRDefault="00AD4C6A" w:rsidP="00AD4C6A">
      <w:pPr>
        <w:spacing w:after="0" w:line="240" w:lineRule="auto"/>
        <w:jc w:val="both"/>
        <w:rPr>
          <w:rFonts w:ascii="Verdana" w:eastAsia="Calibri" w:hAnsi="Verdana" w:cs="Arial"/>
          <w:color w:val="000000"/>
          <w:sz w:val="20"/>
          <w:szCs w:val="20"/>
          <w:lang w:val="es-MX" w:eastAsia="en-GB"/>
        </w:rPr>
      </w:pPr>
      <w:r w:rsidRPr="00AD4C6A">
        <w:rPr>
          <w:rFonts w:ascii="Verdana" w:eastAsia="Calibri" w:hAnsi="Verdana" w:cs="Arial"/>
          <w:color w:val="000000"/>
          <w:sz w:val="20"/>
          <w:szCs w:val="20"/>
          <w:lang w:val="es-MX" w:eastAsia="en-GB"/>
        </w:rPr>
        <w:t>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 en los siguientes términos: […]</w:t>
      </w:r>
    </w:p>
    <w:p w14:paraId="31D0EF7F" w14:textId="77777777" w:rsidR="00AD4C6A" w:rsidRPr="00AD4C6A" w:rsidRDefault="00AD4C6A" w:rsidP="00AD4C6A">
      <w:pPr>
        <w:shd w:val="clear" w:color="auto" w:fill="FFFFFF"/>
        <w:spacing w:after="0" w:line="276" w:lineRule="auto"/>
        <w:jc w:val="both"/>
        <w:rPr>
          <w:rFonts w:ascii="Verdana" w:eastAsia="Calibri" w:hAnsi="Verdana" w:cs="Arial"/>
          <w:b/>
          <w:bCs/>
          <w:lang w:val="es-ES" w:eastAsia="es-ES"/>
        </w:rPr>
      </w:pPr>
    </w:p>
    <w:p w14:paraId="37809A74" w14:textId="77777777" w:rsidR="00AD4C6A" w:rsidRPr="00AD4C6A" w:rsidRDefault="00AD4C6A" w:rsidP="00AD4C6A">
      <w:pPr>
        <w:autoSpaceDE w:val="0"/>
        <w:autoSpaceDN w:val="0"/>
        <w:adjustRightInd w:val="0"/>
        <w:spacing w:after="0" w:line="276" w:lineRule="auto"/>
        <w:jc w:val="both"/>
        <w:rPr>
          <w:rFonts w:ascii="Verdana" w:eastAsia="Calibri" w:hAnsi="Verdana" w:cs="Arial"/>
          <w:b/>
          <w:bCs/>
          <w:kern w:val="2"/>
          <w:lang w:eastAsia="es-MX"/>
          <w14:ligatures w14:val="standardContextual"/>
        </w:rPr>
      </w:pPr>
      <w:r w:rsidRPr="00AD4C6A">
        <w:rPr>
          <w:rFonts w:ascii="Verdana" w:eastAsia="Calibri" w:hAnsi="Verdana" w:cs="Arial"/>
          <w:b/>
          <w:bCs/>
          <w:kern w:val="2"/>
          <w:lang w:eastAsia="es-MX"/>
          <w14:ligatures w14:val="standardContextual"/>
        </w:rPr>
        <w:t>CAPACIDAD RESIDUAL – Saldos de Contratos en Ejecución – SCE – Documentos Tipo – Cálculo</w:t>
      </w:r>
    </w:p>
    <w:p w14:paraId="5BB21A46" w14:textId="77777777" w:rsidR="00AD4C6A" w:rsidRPr="00AD4C6A" w:rsidRDefault="00AD4C6A" w:rsidP="00AD4C6A">
      <w:pPr>
        <w:spacing w:after="0" w:line="276" w:lineRule="auto"/>
        <w:jc w:val="both"/>
        <w:rPr>
          <w:rFonts w:ascii="Verdana" w:eastAsia="Calibri" w:hAnsi="Verdana" w:cs="Arial"/>
          <w:color w:val="000000"/>
          <w:lang w:val="es-ES"/>
        </w:rPr>
      </w:pPr>
    </w:p>
    <w:p w14:paraId="5AA6C9DE" w14:textId="77777777" w:rsidR="00AD4C6A" w:rsidRPr="00AD4C6A" w:rsidRDefault="00AD4C6A" w:rsidP="00AD4C6A">
      <w:pPr>
        <w:spacing w:after="0" w:line="240" w:lineRule="auto"/>
        <w:jc w:val="both"/>
        <w:rPr>
          <w:rFonts w:ascii="Verdana" w:eastAsia="Calibri" w:hAnsi="Verdana" w:cs="Arial"/>
          <w:sz w:val="20"/>
          <w:szCs w:val="20"/>
          <w:lang w:eastAsia="en-GB"/>
        </w:rPr>
      </w:pPr>
      <w:r w:rsidRPr="00AD4C6A">
        <w:rPr>
          <w:rFonts w:ascii="Verdana" w:eastAsia="Calibri" w:hAnsi="Verdana" w:cs="Arial"/>
          <w:sz w:val="20"/>
          <w:szCs w:val="20"/>
          <w:lang w:eastAsia="en-GB"/>
        </w:rPr>
        <w:t xml:space="preserve">De este modo, para acreditar el factor </w:t>
      </w:r>
      <w:r w:rsidRPr="00AD4C6A">
        <w:rPr>
          <w:rFonts w:ascii="Verdana" w:eastAsia="Calibri" w:hAnsi="Verdana" w:cs="Arial"/>
          <w:bCs/>
          <w:color w:val="000000"/>
          <w:sz w:val="20"/>
          <w:szCs w:val="20"/>
          <w:lang w:val="es-MX" w:eastAsia="en-GB"/>
        </w:rPr>
        <w:t xml:space="preserve">saldos de los contratos en ejecución </w:t>
      </w:r>
      <w:r w:rsidRPr="00AD4C6A">
        <w:rPr>
          <w:rFonts w:ascii="Verdana" w:eastAsia="Calibri" w:hAnsi="Verdana" w:cs="Arial"/>
          <w:bCs/>
          <w:color w:val="000000"/>
          <w:sz w:val="20"/>
          <w:szCs w:val="20"/>
          <w:lang w:eastAsia="en-GB"/>
        </w:rPr>
        <w:t>“SCE”,</w:t>
      </w:r>
      <w:r w:rsidRPr="00AD4C6A">
        <w:rPr>
          <w:rFonts w:ascii="Verdana" w:eastAsia="Calibri" w:hAnsi="Verdana" w:cs="Arial"/>
          <w:sz w:val="20"/>
          <w:szCs w:val="20"/>
          <w:lang w:eastAsia="en-GB"/>
        </w:rPr>
        <w:t xml:space="preserve"> como lo establece la Guía, el proponente debe presentar la lista de contratos de obras civiles en ejecución, tanto a nivel nacional como internacional, señalando: i) el valor del contrato; </w:t>
      </w:r>
      <w:proofErr w:type="spellStart"/>
      <w:r w:rsidRPr="00AD4C6A">
        <w:rPr>
          <w:rFonts w:ascii="Verdana" w:eastAsia="Calibri" w:hAnsi="Verdana" w:cs="Arial"/>
          <w:sz w:val="20"/>
          <w:szCs w:val="20"/>
          <w:lang w:eastAsia="en-GB"/>
        </w:rPr>
        <w:t>ii</w:t>
      </w:r>
      <w:proofErr w:type="spellEnd"/>
      <w:r w:rsidRPr="00AD4C6A">
        <w:rPr>
          <w:rFonts w:ascii="Verdana" w:eastAsia="Calibri" w:hAnsi="Verdana" w:cs="Arial"/>
          <w:sz w:val="20"/>
          <w:szCs w:val="20"/>
          <w:lang w:eastAsia="en-GB"/>
        </w:rPr>
        <w:t xml:space="preserve">) el plazo de ejecución del contrato en meses; </w:t>
      </w:r>
      <w:proofErr w:type="spellStart"/>
      <w:r w:rsidRPr="00AD4C6A">
        <w:rPr>
          <w:rFonts w:ascii="Verdana" w:eastAsia="Calibri" w:hAnsi="Verdana" w:cs="Arial"/>
          <w:sz w:val="20"/>
          <w:szCs w:val="20"/>
          <w:lang w:eastAsia="en-GB"/>
        </w:rPr>
        <w:t>iii</w:t>
      </w:r>
      <w:proofErr w:type="spellEnd"/>
      <w:r w:rsidRPr="00AD4C6A">
        <w:rPr>
          <w:rFonts w:ascii="Verdana" w:eastAsia="Calibri" w:hAnsi="Verdana" w:cs="Arial"/>
          <w:sz w:val="20"/>
          <w:szCs w:val="20"/>
          <w:lang w:eastAsia="en-GB"/>
        </w:rPr>
        <w:t xml:space="preserve">) la fecha de inicio de las obras objeto del contrato (día, mes, año); </w:t>
      </w:r>
      <w:proofErr w:type="spellStart"/>
      <w:r w:rsidRPr="00AD4C6A">
        <w:rPr>
          <w:rFonts w:ascii="Verdana" w:eastAsia="Calibri" w:hAnsi="Verdana" w:cs="Arial"/>
          <w:sz w:val="20"/>
          <w:szCs w:val="20"/>
          <w:lang w:eastAsia="en-GB"/>
        </w:rPr>
        <w:t>iv</w:t>
      </w:r>
      <w:proofErr w:type="spellEnd"/>
      <w:r w:rsidRPr="00AD4C6A">
        <w:rPr>
          <w:rFonts w:ascii="Verdana" w:eastAsia="Calibri" w:hAnsi="Verdana" w:cs="Arial"/>
          <w:sz w:val="20"/>
          <w:szCs w:val="20"/>
          <w:lang w:eastAsia="en-GB"/>
        </w:rPr>
        <w:t xml:space="preserve">) si la obra la ejecuta un consorcio o unión temporal, junto con el porcentaje de participación del oferente que presenta el certificado; v) si el contrato se encuentra suspendido, y si es así, la fecha de suspensión, además del saldo pendiente por ejecutar. Si el proponente no tiene contratos en ejecución, en el certificado debe constar expresamente esa circunstancia. </w:t>
      </w:r>
    </w:p>
    <w:p w14:paraId="4B9B2CB4" w14:textId="77777777" w:rsidR="00AD4C6A" w:rsidRPr="00AD4C6A" w:rsidRDefault="00AD4C6A" w:rsidP="00AD4C6A">
      <w:pPr>
        <w:spacing w:after="0" w:line="240" w:lineRule="auto"/>
        <w:jc w:val="both"/>
        <w:rPr>
          <w:rFonts w:ascii="Verdana" w:eastAsia="Calibri" w:hAnsi="Verdana" w:cs="Arial"/>
          <w:sz w:val="20"/>
          <w:szCs w:val="20"/>
          <w:lang w:eastAsia="en-GB"/>
        </w:rPr>
      </w:pPr>
    </w:p>
    <w:p w14:paraId="1B0ED42D" w14:textId="77777777" w:rsidR="00AD4C6A" w:rsidRPr="00AD4C6A" w:rsidRDefault="00AD4C6A" w:rsidP="00AD4C6A">
      <w:pPr>
        <w:spacing w:after="0" w:line="240" w:lineRule="auto"/>
        <w:jc w:val="both"/>
        <w:rPr>
          <w:rFonts w:ascii="Verdana" w:eastAsia="Calibri" w:hAnsi="Verdana" w:cs="Arial"/>
          <w:sz w:val="20"/>
          <w:szCs w:val="20"/>
          <w:lang w:eastAsia="en-GB"/>
        </w:rPr>
      </w:pPr>
      <w:r w:rsidRPr="00AD4C6A">
        <w:rPr>
          <w:rFonts w:ascii="Verdana" w:eastAsia="Calibri" w:hAnsi="Verdana" w:cs="Arial"/>
          <w:sz w:val="20"/>
          <w:szCs w:val="20"/>
          <w:lang w:eastAsia="en-GB"/>
        </w:rPr>
        <w:t xml:space="preserve">En concordancia con lo anterior, sobre la acreditación del factor </w:t>
      </w:r>
      <w:r w:rsidRPr="00AD4C6A">
        <w:rPr>
          <w:rFonts w:ascii="Verdana" w:eastAsia="Calibri" w:hAnsi="Verdana" w:cs="Arial"/>
          <w:bCs/>
          <w:color w:val="000000"/>
          <w:sz w:val="20"/>
          <w:szCs w:val="20"/>
          <w:lang w:eastAsia="en-GB"/>
        </w:rPr>
        <w:t xml:space="preserve">“SCE” </w:t>
      </w:r>
      <w:r w:rsidRPr="00AD4C6A">
        <w:rPr>
          <w:rFonts w:ascii="Verdana" w:eastAsia="Calibri" w:hAnsi="Verdana" w:cs="Arial"/>
          <w:sz w:val="20"/>
          <w:szCs w:val="20"/>
          <w:lang w:eastAsia="en-GB"/>
        </w:rPr>
        <w:t>en los Documentos Tipo de Licitación de Obra Pública para Infraestructura de Transporte, el literal E del numeral 3.11.2 “CÁLCULO DE LA CAPACIDAD RESIDUAL DEL PROPONENTE (CRP)” del Documento Base señala lo siguiente: […]</w:t>
      </w:r>
    </w:p>
    <w:p w14:paraId="35A01DFC" w14:textId="77777777" w:rsidR="00AD4C6A" w:rsidRPr="00AD4C6A" w:rsidRDefault="00AD4C6A" w:rsidP="00AD4C6A">
      <w:pPr>
        <w:spacing w:after="0"/>
        <w:jc w:val="both"/>
        <w:rPr>
          <w:rFonts w:ascii="Verdana" w:eastAsia="Calibri" w:hAnsi="Verdana" w:cs="Arial"/>
          <w:b/>
          <w:bCs/>
          <w:lang w:val="es-ES_tradnl" w:eastAsia="es-ES"/>
        </w:rPr>
      </w:pPr>
    </w:p>
    <w:p w14:paraId="5AAB0D22" w14:textId="77777777" w:rsidR="00AD4C6A" w:rsidRPr="00AD4C6A" w:rsidRDefault="00AD4C6A" w:rsidP="00AD4C6A">
      <w:pPr>
        <w:spacing w:after="0"/>
        <w:jc w:val="both"/>
        <w:rPr>
          <w:rFonts w:ascii="Verdana" w:eastAsia="Calibri" w:hAnsi="Verdana" w:cs="Times New Roman"/>
        </w:rPr>
      </w:pPr>
      <w:r w:rsidRPr="00AD4C6A">
        <w:rPr>
          <w:rFonts w:ascii="Verdana" w:eastAsia="Calibri" w:hAnsi="Verdana" w:cs="Arial"/>
          <w:b/>
          <w:bCs/>
          <w:lang w:val="es-ES_tradnl" w:eastAsia="es-ES"/>
        </w:rPr>
        <w:t>DOCUMENTOS TIPO – Fundamento normativo – Obligatoriedad</w:t>
      </w:r>
    </w:p>
    <w:p w14:paraId="6F23C138" w14:textId="77777777" w:rsidR="00AD4C6A" w:rsidRPr="00AD4C6A" w:rsidRDefault="00AD4C6A" w:rsidP="00AD4C6A">
      <w:pPr>
        <w:spacing w:after="0" w:line="276" w:lineRule="auto"/>
        <w:jc w:val="both"/>
        <w:rPr>
          <w:rFonts w:ascii="Verdana" w:eastAsia="Calibri" w:hAnsi="Verdana" w:cs="Arial"/>
          <w:b/>
          <w:bCs/>
          <w:lang w:val="es-ES_tradnl" w:eastAsia="es-ES"/>
        </w:rPr>
      </w:pPr>
    </w:p>
    <w:p w14:paraId="49B86273" w14:textId="77777777" w:rsidR="00AD4C6A" w:rsidRPr="00AD4C6A" w:rsidRDefault="00AD4C6A" w:rsidP="00AD4C6A">
      <w:pPr>
        <w:snapToGrid w:val="0"/>
        <w:spacing w:after="0" w:line="240" w:lineRule="auto"/>
        <w:jc w:val="both"/>
        <w:rPr>
          <w:rFonts w:ascii="Verdana" w:eastAsia="Calibri" w:hAnsi="Verdana" w:cs="Times New Roman"/>
          <w:kern w:val="2"/>
          <w:sz w:val="20"/>
          <w:szCs w:val="20"/>
          <w:lang w:val="es-ES_tradnl"/>
          <w14:ligatures w14:val="standardContextual"/>
        </w:rPr>
      </w:pPr>
      <w:r w:rsidRPr="00AD4C6A">
        <w:rPr>
          <w:rFonts w:ascii="Verdana" w:eastAsia="Calibri" w:hAnsi="Verdana" w:cs="Times New Roman"/>
          <w:kern w:val="2"/>
          <w:sz w:val="20"/>
          <w:szCs w:val="20"/>
          <w:lang w:val="es-ES_tradnl"/>
          <w14:ligatures w14:val="standardContextual"/>
        </w:rPr>
        <w:t xml:space="preserve">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w:t>
      </w:r>
      <w:r w:rsidRPr="00AD4C6A">
        <w:rPr>
          <w:rFonts w:ascii="Verdana" w:eastAsia="Calibri" w:hAnsi="Verdana" w:cs="Times New Roman"/>
          <w:kern w:val="2"/>
          <w:sz w:val="20"/>
          <w:szCs w:val="20"/>
          <w:lang w:val="es-ES_tradnl"/>
          <w14:ligatures w14:val="standardContextual"/>
        </w:rPr>
        <w:lastRenderedPageBreak/>
        <w:t>Procesos de Contratación en los objetos y modalidades cobijadas por los Documentos Tipo.</w:t>
      </w:r>
    </w:p>
    <w:p w14:paraId="41A5BF34" w14:textId="77777777" w:rsidR="00AD4C6A" w:rsidRPr="00AD4C6A" w:rsidRDefault="00AD4C6A" w:rsidP="00AD4C6A">
      <w:pPr>
        <w:spacing w:after="0" w:line="276" w:lineRule="auto"/>
        <w:rPr>
          <w:rFonts w:ascii="Verdana" w:eastAsia="Geomanist Light" w:hAnsi="Verdana" w:cs="Arial"/>
          <w:lang w:val="es-ES_tradnl"/>
        </w:rPr>
      </w:pPr>
    </w:p>
    <w:p w14:paraId="0EA4F72D" w14:textId="77777777" w:rsidR="00AD4C6A" w:rsidRPr="00AD4C6A" w:rsidRDefault="00AD4C6A" w:rsidP="00AD4C6A">
      <w:pPr>
        <w:spacing w:after="0" w:line="276" w:lineRule="auto"/>
        <w:jc w:val="both"/>
        <w:rPr>
          <w:rFonts w:ascii="Verdana" w:eastAsia="Geomanist Light" w:hAnsi="Verdana" w:cs="Arial"/>
          <w:b/>
          <w:bCs/>
          <w:lang w:val="es-ES_tradnl"/>
        </w:rPr>
      </w:pPr>
      <w:r w:rsidRPr="00AD4C6A">
        <w:rPr>
          <w:rFonts w:ascii="Verdana" w:eastAsia="Geomanist Light" w:hAnsi="Verdana" w:cs="Arial"/>
          <w:b/>
          <w:bCs/>
          <w:lang w:val="es-ES_tradnl"/>
        </w:rPr>
        <w:t>INFORMACIÓN INEXACTA – Falsedad – Rechazo de la oferta – Documentos Tipo</w:t>
      </w:r>
    </w:p>
    <w:p w14:paraId="69AB1F2F" w14:textId="77777777" w:rsidR="00AD4C6A" w:rsidRPr="00AD4C6A" w:rsidRDefault="00AD4C6A" w:rsidP="00AD4C6A">
      <w:pPr>
        <w:snapToGrid w:val="0"/>
        <w:spacing w:after="0" w:line="240" w:lineRule="auto"/>
        <w:jc w:val="both"/>
        <w:rPr>
          <w:rFonts w:ascii="Verdana" w:eastAsia="Calibri" w:hAnsi="Verdana" w:cs="Times New Roman"/>
          <w:kern w:val="2"/>
          <w14:ligatures w14:val="standardContextual"/>
        </w:rPr>
      </w:pPr>
    </w:p>
    <w:p w14:paraId="64D843DC" w14:textId="77777777" w:rsidR="00AD4C6A" w:rsidRPr="00AD4C6A" w:rsidRDefault="00AD4C6A" w:rsidP="00AD4C6A">
      <w:pPr>
        <w:spacing w:after="0" w:line="240" w:lineRule="auto"/>
        <w:jc w:val="both"/>
        <w:rPr>
          <w:rFonts w:ascii="Verdana" w:eastAsia="Calibri" w:hAnsi="Verdana" w:cs="Arial"/>
          <w:sz w:val="20"/>
          <w:szCs w:val="20"/>
        </w:rPr>
      </w:pPr>
      <w:r w:rsidRPr="00AD4C6A">
        <w:rPr>
          <w:rFonts w:ascii="Verdana" w:eastAsia="Calibri" w:hAnsi="Verdana" w:cs="Arial"/>
          <w:sz w:val="20"/>
          <w:szCs w:val="20"/>
        </w:rPr>
        <w:t xml:space="preserve">Las reglas previstas en el numeral 1.11 del Documento Base aplican frente a la totalidad de la información y documentación aportada para el cumplimiento de los requisitos habilitantes y de ponderación de las propuestas. </w:t>
      </w:r>
    </w:p>
    <w:p w14:paraId="57B03D71" w14:textId="77777777" w:rsidR="00AD4C6A" w:rsidRPr="00AD4C6A" w:rsidRDefault="00AD4C6A" w:rsidP="00AD4C6A">
      <w:pPr>
        <w:spacing w:after="0" w:line="240" w:lineRule="auto"/>
        <w:jc w:val="both"/>
        <w:rPr>
          <w:rFonts w:ascii="Verdana" w:eastAsia="Calibri" w:hAnsi="Verdana" w:cs="Arial"/>
          <w:sz w:val="20"/>
          <w:szCs w:val="20"/>
        </w:rPr>
      </w:pPr>
    </w:p>
    <w:p w14:paraId="1F31EED2" w14:textId="77777777" w:rsidR="00AD4C6A" w:rsidRPr="00AD4C6A" w:rsidRDefault="00AD4C6A" w:rsidP="00AD4C6A">
      <w:pPr>
        <w:spacing w:after="0" w:line="240" w:lineRule="auto"/>
        <w:jc w:val="both"/>
        <w:rPr>
          <w:rFonts w:ascii="Verdana" w:eastAsia="Calibri" w:hAnsi="Verdana" w:cs="Arial"/>
          <w:i/>
          <w:iCs/>
          <w:color w:val="000000"/>
          <w:kern w:val="2"/>
          <w:sz w:val="20"/>
          <w:szCs w:val="20"/>
          <w:lang w:val="es-ES_tradnl"/>
          <w14:ligatures w14:val="standardContextual"/>
        </w:rPr>
      </w:pPr>
      <w:r w:rsidRPr="00AD4C6A">
        <w:rPr>
          <w:rFonts w:ascii="Verdana" w:eastAsia="Calibri" w:hAnsi="Verdana" w:cs="Arial"/>
          <w:color w:val="000000"/>
          <w:kern w:val="2"/>
          <w:sz w:val="20"/>
          <w:szCs w:val="20"/>
          <w:lang w:val="es-ES_tradnl"/>
          <w14:ligatures w14:val="standardContextual"/>
        </w:rPr>
        <w:t xml:space="preserve">A su turno, en los documentos tipo se estableció la causal de rechazo del literal H del numeral 1.15 del Documento Base, tipificada al siguiente tenor: </w:t>
      </w:r>
      <w:r w:rsidRPr="00AD4C6A">
        <w:rPr>
          <w:rFonts w:ascii="Verdana" w:eastAsia="Calibri" w:hAnsi="Verdana" w:cs="Arial"/>
          <w:i/>
          <w:iCs/>
          <w:color w:val="000000"/>
          <w:kern w:val="2"/>
          <w:sz w:val="20"/>
          <w:szCs w:val="20"/>
          <w:lang w:val="es-ES_tradnl"/>
          <w14:ligatures w14:val="standardContextual"/>
        </w:rPr>
        <w:t>“H. Que el proponente aporte información inexacta sobre la cual pueda existir una posible falsedad en los términos de la sección 1.11 del Documento Base”.</w:t>
      </w:r>
    </w:p>
    <w:p w14:paraId="59A3AECD" w14:textId="77777777" w:rsidR="00AD4C6A" w:rsidRPr="00AD4C6A" w:rsidRDefault="00AD4C6A" w:rsidP="00AD4C6A">
      <w:pPr>
        <w:spacing w:after="0" w:line="240" w:lineRule="auto"/>
        <w:jc w:val="both"/>
        <w:rPr>
          <w:rFonts w:ascii="Verdana" w:eastAsia="Calibri" w:hAnsi="Verdana" w:cs="Arial"/>
          <w:kern w:val="2"/>
          <w:sz w:val="20"/>
          <w:szCs w:val="20"/>
          <w:lang w:val="es-ES_tradnl"/>
          <w14:ligatures w14:val="standardContextual"/>
        </w:rPr>
      </w:pPr>
    </w:p>
    <w:p w14:paraId="7775D75F" w14:textId="77777777" w:rsidR="00AD4C6A" w:rsidRPr="00AD4C6A" w:rsidRDefault="00AD4C6A" w:rsidP="00AD4C6A">
      <w:pPr>
        <w:spacing w:after="0" w:line="240" w:lineRule="auto"/>
        <w:jc w:val="both"/>
        <w:rPr>
          <w:rFonts w:ascii="Verdana" w:eastAsia="Calibri" w:hAnsi="Verdana" w:cs="Arial"/>
          <w:kern w:val="2"/>
          <w:sz w:val="20"/>
          <w:szCs w:val="20"/>
          <w:lang w:val="es-ES_tradnl"/>
          <w14:ligatures w14:val="standardContextual"/>
        </w:rPr>
      </w:pPr>
      <w:r w:rsidRPr="00AD4C6A">
        <w:rPr>
          <w:rFonts w:ascii="Verdana" w:eastAsia="Calibri" w:hAnsi="Verdana" w:cs="Arial"/>
          <w:kern w:val="2"/>
          <w:sz w:val="20"/>
          <w:szCs w:val="20"/>
          <w:lang w:val="es-ES_tradnl"/>
          <w14:ligatures w14:val="standardContextual"/>
        </w:rPr>
        <w:t>Con todo, los supuestos señalados parten de la base del deber que le asiste a la Entidad Estatal de verificar la veracidad de la información suministrada por el proponente para evitar vicios en la adjudicación y en el contrato. Así, durante el plazo de evaluación de las ofertas las entidades contratantes tienen el deber de verificar la veracidad de la información que se allegue con las propuestas, bien sea mediante solicitud de aclaraciones al mismo oferente o mediante la constatación con fuentes externas, pues de ello depende no solamente la correcta escogencia del contratista y la forma más idónea de ejecución de la compra planeada, sino la validez misma de la decisión de adjudicación y, por ende, del contrato celebrado.</w:t>
      </w:r>
    </w:p>
    <w:p w14:paraId="7ED43CBD" w14:textId="77777777" w:rsidR="00AD4C6A" w:rsidRPr="00AD4C6A" w:rsidRDefault="00AD4C6A" w:rsidP="00AD4C6A">
      <w:pPr>
        <w:spacing w:after="0" w:line="276" w:lineRule="auto"/>
        <w:jc w:val="both"/>
        <w:rPr>
          <w:rFonts w:ascii="Verdana" w:eastAsia="Calibri" w:hAnsi="Verdana" w:cs="Times New Roman"/>
        </w:rPr>
      </w:pPr>
    </w:p>
    <w:p w14:paraId="2F2B07C9" w14:textId="77777777" w:rsidR="00AD4C6A" w:rsidRPr="00AD4C6A" w:rsidRDefault="00AD4C6A" w:rsidP="00AD4C6A">
      <w:pPr>
        <w:spacing w:after="0" w:line="276" w:lineRule="auto"/>
        <w:jc w:val="both"/>
        <w:rPr>
          <w:rFonts w:ascii="Verdana" w:eastAsia="Calibri" w:hAnsi="Verdana" w:cs="Times New Roman"/>
          <w:b/>
          <w:bCs/>
        </w:rPr>
      </w:pPr>
      <w:r w:rsidRPr="00AD4C6A">
        <w:rPr>
          <w:rFonts w:ascii="Verdana" w:eastAsia="Calibri" w:hAnsi="Verdana" w:cs="Times New Roman"/>
          <w:b/>
          <w:bCs/>
        </w:rPr>
        <w:t>CAPACIDAD RESIDUAL – Causales de rechazo – Saldos de Contratos en Ejecución – Aclaraciones – Subsanación</w:t>
      </w:r>
    </w:p>
    <w:p w14:paraId="20D67DDE" w14:textId="77777777" w:rsidR="00AD4C6A" w:rsidRPr="00AD4C6A" w:rsidRDefault="00AD4C6A" w:rsidP="00AD4C6A">
      <w:pPr>
        <w:spacing w:after="0" w:line="276" w:lineRule="auto"/>
        <w:jc w:val="both"/>
        <w:rPr>
          <w:rFonts w:ascii="Verdana" w:eastAsia="Calibri" w:hAnsi="Verdana" w:cs="Times New Roman"/>
        </w:rPr>
      </w:pPr>
    </w:p>
    <w:p w14:paraId="5FA76AF0" w14:textId="77777777" w:rsidR="00AD4C6A" w:rsidRPr="00AD4C6A" w:rsidRDefault="00AD4C6A" w:rsidP="00AD4C6A">
      <w:pPr>
        <w:spacing w:after="0" w:line="240" w:lineRule="auto"/>
        <w:jc w:val="both"/>
        <w:rPr>
          <w:rFonts w:ascii="Verdana" w:eastAsia="Calibri" w:hAnsi="Verdana" w:cs="Arial"/>
          <w:sz w:val="20"/>
          <w:szCs w:val="20"/>
          <w:lang w:val="es-ES"/>
        </w:rPr>
      </w:pPr>
      <w:r w:rsidRPr="00AD4C6A">
        <w:rPr>
          <w:rFonts w:ascii="Verdana" w:eastAsia="Calibri" w:hAnsi="Verdana" w:cs="Arial"/>
          <w:sz w:val="20"/>
          <w:szCs w:val="20"/>
          <w:lang w:val="es-ES"/>
        </w:rPr>
        <w:t>El numeral 3.11 del documento base de los documentos tipo de licitación pública de infraestructura de transporte – versión 4, establece como requisito habilitante la capacidad residual. En este documento tipo, al menos tres causales de rechazo del numeral 1.15 se relacionan con la capacidad residual como requisito habilitante, esto es, los literales E, H y X.</w:t>
      </w:r>
    </w:p>
    <w:p w14:paraId="34BE695B" w14:textId="77777777" w:rsidR="00AD4C6A" w:rsidRPr="00AD4C6A" w:rsidRDefault="00AD4C6A" w:rsidP="00AD4C6A">
      <w:pPr>
        <w:spacing w:after="0" w:line="240" w:lineRule="auto"/>
        <w:jc w:val="both"/>
        <w:rPr>
          <w:rFonts w:ascii="Verdana" w:eastAsia="Calibri" w:hAnsi="Verdana" w:cs="Arial"/>
          <w:sz w:val="20"/>
          <w:szCs w:val="20"/>
          <w:lang w:val="es-ES"/>
        </w:rPr>
      </w:pPr>
      <w:r w:rsidRPr="00AD4C6A">
        <w:rPr>
          <w:rFonts w:ascii="Verdana" w:eastAsia="Calibri" w:hAnsi="Verdana" w:cs="Arial"/>
          <w:sz w:val="20"/>
          <w:szCs w:val="20"/>
          <w:lang w:val="es-ES"/>
        </w:rPr>
        <w:t>[…]</w:t>
      </w:r>
    </w:p>
    <w:p w14:paraId="07DC9EAE" w14:textId="77777777" w:rsidR="00AD4C6A" w:rsidRPr="00AD4C6A" w:rsidRDefault="00AD4C6A" w:rsidP="00AD4C6A">
      <w:pPr>
        <w:spacing w:after="0" w:line="240" w:lineRule="auto"/>
        <w:jc w:val="both"/>
        <w:rPr>
          <w:rFonts w:ascii="Verdana" w:eastAsia="Calibri" w:hAnsi="Verdana" w:cs="Arial"/>
          <w:sz w:val="20"/>
          <w:szCs w:val="20"/>
          <w:lang w:val="es-ES"/>
        </w:rPr>
      </w:pPr>
      <w:r w:rsidRPr="00AD4C6A">
        <w:rPr>
          <w:rFonts w:ascii="Verdana" w:eastAsia="Calibri" w:hAnsi="Verdana" w:cs="Arial"/>
          <w:sz w:val="20"/>
          <w:szCs w:val="20"/>
          <w:lang w:val="es-ES"/>
        </w:rPr>
        <w:t>i)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X es objetiva, pues solo aplica ante la omisión del proponente de informar el número total de contratos en ejecución antes del cierre.</w:t>
      </w:r>
    </w:p>
    <w:p w14:paraId="35C02BCA" w14:textId="77777777" w:rsidR="00AD4C6A" w:rsidRPr="00AD4C6A" w:rsidRDefault="00AD4C6A" w:rsidP="00AD4C6A">
      <w:pPr>
        <w:spacing w:after="0" w:line="240" w:lineRule="auto"/>
        <w:jc w:val="both"/>
        <w:rPr>
          <w:rFonts w:ascii="Verdana" w:eastAsia="Calibri" w:hAnsi="Verdana" w:cs="Arial"/>
          <w:sz w:val="20"/>
          <w:szCs w:val="20"/>
          <w:lang w:val="es-ES"/>
        </w:rPr>
      </w:pPr>
    </w:p>
    <w:p w14:paraId="285CAF2A" w14:textId="77777777" w:rsidR="00AD4C6A" w:rsidRPr="00AD4C6A" w:rsidRDefault="00AD4C6A" w:rsidP="00AD4C6A">
      <w:pPr>
        <w:spacing w:after="0" w:line="240" w:lineRule="auto"/>
        <w:jc w:val="both"/>
        <w:rPr>
          <w:rFonts w:ascii="Verdana" w:eastAsia="Calibri" w:hAnsi="Verdana" w:cs="Arial"/>
          <w:sz w:val="20"/>
          <w:szCs w:val="20"/>
          <w:lang w:val="es-ES"/>
        </w:rPr>
      </w:pPr>
      <w:proofErr w:type="spellStart"/>
      <w:r w:rsidRPr="00AD4C6A">
        <w:rPr>
          <w:rFonts w:ascii="Verdana" w:eastAsia="Calibri" w:hAnsi="Verdana" w:cs="Arial"/>
          <w:sz w:val="20"/>
          <w:szCs w:val="20"/>
          <w:lang w:val="es-ES"/>
        </w:rPr>
        <w:lastRenderedPageBreak/>
        <w:t>ii</w:t>
      </w:r>
      <w:proofErr w:type="spellEnd"/>
      <w:r w:rsidRPr="00AD4C6A">
        <w:rPr>
          <w:rFonts w:ascii="Verdana" w:eastAsia="Calibri" w:hAnsi="Verdana" w:cs="Arial"/>
          <w:sz w:val="20"/>
          <w:szCs w:val="20"/>
          <w:lang w:val="es-ES"/>
        </w:rPr>
        <w:t xml:space="preserve">)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06B89C61" w14:textId="77777777" w:rsidR="00AD4C6A" w:rsidRPr="00AD4C6A" w:rsidRDefault="00AD4C6A" w:rsidP="00AD4C6A">
      <w:pPr>
        <w:spacing w:after="0" w:line="240" w:lineRule="auto"/>
        <w:jc w:val="both"/>
        <w:rPr>
          <w:rFonts w:ascii="Verdana" w:eastAsia="Calibri" w:hAnsi="Verdana" w:cs="Arial"/>
          <w:sz w:val="20"/>
          <w:szCs w:val="20"/>
          <w:lang w:val="es-ES"/>
        </w:rPr>
      </w:pPr>
    </w:p>
    <w:p w14:paraId="7353D89A" w14:textId="77777777" w:rsidR="00AD4C6A" w:rsidRPr="00AD4C6A" w:rsidRDefault="00AD4C6A" w:rsidP="00AD4C6A">
      <w:pPr>
        <w:spacing w:after="0" w:line="240" w:lineRule="auto"/>
        <w:jc w:val="both"/>
        <w:rPr>
          <w:rFonts w:ascii="Verdana" w:eastAsia="Calibri" w:hAnsi="Verdana" w:cs="Arial"/>
          <w:sz w:val="20"/>
          <w:szCs w:val="20"/>
          <w:lang w:val="es-ES"/>
        </w:rPr>
      </w:pPr>
      <w:proofErr w:type="spellStart"/>
      <w:r w:rsidRPr="00AD4C6A">
        <w:rPr>
          <w:rFonts w:ascii="Verdana" w:eastAsia="Calibri" w:hAnsi="Verdana" w:cs="Arial"/>
          <w:sz w:val="20"/>
          <w:szCs w:val="20"/>
          <w:lang w:val="es-ES"/>
        </w:rPr>
        <w:t>iii</w:t>
      </w:r>
      <w:proofErr w:type="spellEnd"/>
      <w:r w:rsidRPr="00AD4C6A">
        <w:rPr>
          <w:rFonts w:ascii="Verdana" w:eastAsia="Calibri" w:hAnsi="Verdana" w:cs="Arial"/>
          <w:sz w:val="20"/>
          <w:szCs w:val="20"/>
          <w:lang w:val="es-ES"/>
        </w:rPr>
        <w:t>)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72A981F4" w14:textId="77777777" w:rsidR="00AD4C6A" w:rsidRPr="00AD4C6A" w:rsidRDefault="00AD4C6A" w:rsidP="00AD4C6A">
      <w:pPr>
        <w:spacing w:after="0" w:line="240" w:lineRule="auto"/>
        <w:jc w:val="both"/>
        <w:rPr>
          <w:rFonts w:ascii="Verdana" w:eastAsia="Calibri" w:hAnsi="Verdana" w:cs="Arial"/>
          <w:sz w:val="20"/>
          <w:szCs w:val="20"/>
          <w:lang w:val="es-ES"/>
        </w:rPr>
      </w:pPr>
    </w:p>
    <w:p w14:paraId="6BEB7123" w14:textId="77777777" w:rsidR="00AD4C6A" w:rsidRPr="00AD4C6A" w:rsidRDefault="00AD4C6A" w:rsidP="00AD4C6A">
      <w:pPr>
        <w:spacing w:after="0" w:line="240" w:lineRule="auto"/>
        <w:jc w:val="both"/>
        <w:rPr>
          <w:rFonts w:ascii="Verdana" w:eastAsia="Calibri" w:hAnsi="Verdana" w:cs="Arial"/>
          <w:sz w:val="20"/>
          <w:szCs w:val="20"/>
          <w:lang w:val="es-ES"/>
        </w:rPr>
      </w:pPr>
      <w:r w:rsidRPr="00AD4C6A">
        <w:rPr>
          <w:rFonts w:ascii="Verdana" w:eastAsia="Calibri" w:hAnsi="Verdana" w:cs="Arial"/>
          <w:sz w:val="20"/>
          <w:szCs w:val="20"/>
          <w:lang w:val="es-ES"/>
        </w:rPr>
        <w:t xml:space="preserve">En relación con las reglas de </w:t>
      </w:r>
      <w:proofErr w:type="spellStart"/>
      <w:r w:rsidRPr="00AD4C6A">
        <w:rPr>
          <w:rFonts w:ascii="Verdana" w:eastAsia="Calibri" w:hAnsi="Verdana" w:cs="Arial"/>
          <w:sz w:val="20"/>
          <w:szCs w:val="20"/>
          <w:lang w:val="es-ES"/>
        </w:rPr>
        <w:t>subsanabilidad</w:t>
      </w:r>
      <w:proofErr w:type="spellEnd"/>
      <w:r w:rsidRPr="00AD4C6A">
        <w:rPr>
          <w:rFonts w:ascii="Verdana" w:eastAsia="Calibri" w:hAnsi="Verdana" w:cs="Arial"/>
          <w:sz w:val="20"/>
          <w:szCs w:val="20"/>
          <w:lang w:val="es-ES"/>
        </w:rPr>
        <w:t xml:space="preserve">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X,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42604386" w14:textId="77777777" w:rsidR="00AD4C6A" w:rsidRPr="00AD4C6A" w:rsidRDefault="00AD4C6A" w:rsidP="00AD4C6A">
      <w:pPr>
        <w:spacing w:after="0" w:line="240" w:lineRule="auto"/>
        <w:jc w:val="both"/>
        <w:rPr>
          <w:rFonts w:ascii="Verdana" w:eastAsia="Calibri" w:hAnsi="Verdana" w:cs="Times New Roman"/>
        </w:rPr>
      </w:pPr>
    </w:p>
    <w:p w14:paraId="020B569B" w14:textId="77777777" w:rsidR="00AD4C6A" w:rsidRPr="00AD4C6A" w:rsidRDefault="00AD4C6A" w:rsidP="00AD4C6A">
      <w:pPr>
        <w:spacing w:after="0" w:line="240" w:lineRule="auto"/>
        <w:jc w:val="both"/>
        <w:rPr>
          <w:rFonts w:ascii="Verdana" w:eastAsia="Calibri" w:hAnsi="Verdana" w:cs="Times New Roman"/>
        </w:rPr>
      </w:pPr>
    </w:p>
    <w:p w14:paraId="08063381" w14:textId="77777777" w:rsidR="00AD4C6A" w:rsidRPr="00AD4C6A" w:rsidRDefault="00AD4C6A" w:rsidP="00AD4C6A">
      <w:pPr>
        <w:spacing w:after="0" w:line="240" w:lineRule="auto"/>
        <w:jc w:val="both"/>
        <w:rPr>
          <w:rFonts w:ascii="Verdana" w:eastAsia="Calibri" w:hAnsi="Verdana" w:cs="Times New Roman"/>
        </w:rPr>
      </w:pPr>
    </w:p>
    <w:p w14:paraId="70F2A25F" w14:textId="77777777" w:rsidR="00AD4C6A" w:rsidRPr="00AD4C6A" w:rsidRDefault="00AD4C6A" w:rsidP="00AD4C6A">
      <w:pPr>
        <w:spacing w:after="0" w:line="240" w:lineRule="auto"/>
        <w:jc w:val="both"/>
        <w:rPr>
          <w:rFonts w:ascii="Verdana" w:eastAsia="Calibri" w:hAnsi="Verdana" w:cs="Times New Roman"/>
        </w:rPr>
      </w:pPr>
    </w:p>
    <w:p w14:paraId="274C046D" w14:textId="77777777" w:rsidR="00AD4C6A" w:rsidRPr="00AD4C6A" w:rsidRDefault="00AD4C6A" w:rsidP="00AD4C6A">
      <w:pPr>
        <w:spacing w:after="0" w:line="240" w:lineRule="auto"/>
        <w:jc w:val="both"/>
        <w:rPr>
          <w:rFonts w:ascii="Verdana" w:eastAsia="Calibri" w:hAnsi="Verdana" w:cs="Times New Roman"/>
        </w:rPr>
      </w:pPr>
    </w:p>
    <w:p w14:paraId="2A527FC6" w14:textId="77777777" w:rsidR="00AD4C6A" w:rsidRPr="00AD4C6A" w:rsidRDefault="00AD4C6A" w:rsidP="00AD4C6A">
      <w:pPr>
        <w:spacing w:after="0" w:line="240" w:lineRule="auto"/>
        <w:jc w:val="both"/>
        <w:rPr>
          <w:rFonts w:ascii="Verdana" w:eastAsia="Calibri" w:hAnsi="Verdana" w:cs="Times New Roman"/>
        </w:rPr>
      </w:pPr>
    </w:p>
    <w:p w14:paraId="39FC8EEB" w14:textId="77777777" w:rsidR="00AD4C6A" w:rsidRPr="00AD4C6A" w:rsidRDefault="00AD4C6A" w:rsidP="00AD4C6A">
      <w:pPr>
        <w:spacing w:after="0" w:line="240" w:lineRule="auto"/>
        <w:jc w:val="both"/>
        <w:rPr>
          <w:rFonts w:ascii="Verdana" w:eastAsia="Calibri" w:hAnsi="Verdana" w:cs="Times New Roman"/>
        </w:rPr>
      </w:pPr>
    </w:p>
    <w:p w14:paraId="2903ABDB" w14:textId="77777777" w:rsidR="00AD4C6A" w:rsidRPr="00AD4C6A" w:rsidRDefault="00AD4C6A" w:rsidP="00AD4C6A">
      <w:pPr>
        <w:spacing w:after="0" w:line="240" w:lineRule="auto"/>
        <w:jc w:val="both"/>
        <w:rPr>
          <w:rFonts w:ascii="Verdana" w:eastAsia="Calibri" w:hAnsi="Verdana" w:cs="Times New Roman"/>
        </w:rPr>
      </w:pPr>
    </w:p>
    <w:p w14:paraId="0CE4CC46" w14:textId="77777777" w:rsidR="00AD4C6A" w:rsidRPr="00AD4C6A" w:rsidRDefault="00AD4C6A" w:rsidP="00AD4C6A">
      <w:pPr>
        <w:spacing w:after="0" w:line="240" w:lineRule="auto"/>
        <w:jc w:val="both"/>
        <w:rPr>
          <w:rFonts w:ascii="Verdana" w:eastAsia="Calibri" w:hAnsi="Verdana" w:cs="Times New Roman"/>
        </w:rPr>
      </w:pPr>
    </w:p>
    <w:p w14:paraId="407D597E" w14:textId="77777777" w:rsidR="00AD4C6A" w:rsidRPr="00AD4C6A" w:rsidRDefault="00AD4C6A" w:rsidP="00AD4C6A">
      <w:pPr>
        <w:spacing w:after="0" w:line="240" w:lineRule="auto"/>
        <w:jc w:val="both"/>
        <w:rPr>
          <w:rFonts w:ascii="Verdana" w:eastAsia="Calibri" w:hAnsi="Verdana" w:cs="Times New Roman"/>
        </w:rPr>
      </w:pPr>
    </w:p>
    <w:p w14:paraId="23DF1C3A" w14:textId="77777777" w:rsidR="00AD4C6A" w:rsidRPr="00AD4C6A" w:rsidRDefault="00AD4C6A" w:rsidP="00AD4C6A">
      <w:pPr>
        <w:spacing w:after="0" w:line="240" w:lineRule="auto"/>
        <w:jc w:val="both"/>
        <w:rPr>
          <w:rFonts w:ascii="Verdana" w:eastAsia="Calibri" w:hAnsi="Verdana" w:cs="Times New Roman"/>
        </w:rPr>
      </w:pPr>
    </w:p>
    <w:p w14:paraId="414AB4A9" w14:textId="77777777" w:rsidR="00AD4C6A" w:rsidRPr="00AD4C6A" w:rsidRDefault="00AD4C6A" w:rsidP="00AD4C6A">
      <w:pPr>
        <w:spacing w:after="0" w:line="240" w:lineRule="auto"/>
        <w:jc w:val="both"/>
        <w:rPr>
          <w:rFonts w:ascii="Verdana" w:eastAsia="Calibri" w:hAnsi="Verdana" w:cs="Times New Roman"/>
        </w:rPr>
      </w:pPr>
    </w:p>
    <w:p w14:paraId="6A019E32" w14:textId="77777777" w:rsidR="00AD4C6A" w:rsidRPr="00AD4C6A" w:rsidRDefault="00AD4C6A" w:rsidP="00AD4C6A">
      <w:pPr>
        <w:spacing w:after="0" w:line="240" w:lineRule="auto"/>
        <w:jc w:val="both"/>
        <w:rPr>
          <w:rFonts w:ascii="Verdana" w:eastAsia="Calibri" w:hAnsi="Verdana" w:cs="Times New Roman"/>
        </w:rPr>
      </w:pPr>
    </w:p>
    <w:p w14:paraId="5B1EC618" w14:textId="77777777" w:rsidR="00AD4C6A" w:rsidRPr="00AD4C6A" w:rsidRDefault="00AD4C6A" w:rsidP="00AD4C6A">
      <w:pPr>
        <w:spacing w:after="0" w:line="240" w:lineRule="auto"/>
        <w:jc w:val="both"/>
        <w:rPr>
          <w:rFonts w:ascii="Verdana" w:eastAsia="Calibri" w:hAnsi="Verdana" w:cs="Times New Roman"/>
        </w:rPr>
      </w:pPr>
    </w:p>
    <w:p w14:paraId="46A27011" w14:textId="77777777" w:rsidR="00AD4C6A" w:rsidRPr="00AD4C6A" w:rsidRDefault="00AD4C6A" w:rsidP="00AD4C6A">
      <w:pPr>
        <w:spacing w:after="0" w:line="240" w:lineRule="auto"/>
        <w:jc w:val="both"/>
        <w:rPr>
          <w:rFonts w:ascii="Verdana" w:eastAsia="Calibri" w:hAnsi="Verdana" w:cs="Times New Roman"/>
        </w:rPr>
      </w:pPr>
    </w:p>
    <w:p w14:paraId="60B224D9" w14:textId="77777777" w:rsidR="00AD4C6A" w:rsidRPr="00AD4C6A" w:rsidRDefault="00AD4C6A" w:rsidP="00AD4C6A">
      <w:pPr>
        <w:spacing w:after="0" w:line="240" w:lineRule="auto"/>
        <w:jc w:val="both"/>
        <w:rPr>
          <w:rFonts w:ascii="Verdana" w:eastAsia="Calibri" w:hAnsi="Verdana" w:cs="Times New Roman"/>
        </w:rPr>
      </w:pPr>
    </w:p>
    <w:p w14:paraId="2D3C8F85" w14:textId="77777777" w:rsidR="00AD4C6A" w:rsidRPr="00AD4C6A" w:rsidRDefault="00AD4C6A" w:rsidP="00AD4C6A">
      <w:pPr>
        <w:spacing w:after="0" w:line="240" w:lineRule="auto"/>
        <w:jc w:val="both"/>
        <w:rPr>
          <w:rFonts w:ascii="Verdana" w:eastAsia="Calibri" w:hAnsi="Verdana" w:cs="Times New Roman"/>
        </w:rPr>
      </w:pPr>
    </w:p>
    <w:p w14:paraId="075AB05F" w14:textId="77777777" w:rsidR="00AD4C6A" w:rsidRPr="00AD4C6A" w:rsidRDefault="00AD4C6A" w:rsidP="00AD4C6A">
      <w:pPr>
        <w:spacing w:after="0" w:line="240" w:lineRule="auto"/>
        <w:jc w:val="both"/>
        <w:rPr>
          <w:rFonts w:ascii="Verdana" w:eastAsia="Calibri" w:hAnsi="Verdana" w:cs="Times New Roman"/>
        </w:rPr>
      </w:pPr>
    </w:p>
    <w:p w14:paraId="3D2CD1D4" w14:textId="77777777" w:rsidR="00AD4C6A" w:rsidRPr="00AD4C6A" w:rsidRDefault="00AD4C6A" w:rsidP="00AD4C6A">
      <w:pPr>
        <w:spacing w:after="0" w:line="240" w:lineRule="auto"/>
        <w:jc w:val="both"/>
        <w:rPr>
          <w:rFonts w:ascii="Verdana" w:eastAsia="Calibri" w:hAnsi="Verdana" w:cs="Times New Roman"/>
        </w:rPr>
      </w:pPr>
    </w:p>
    <w:p w14:paraId="7B7A7705" w14:textId="77777777" w:rsidR="00AD4C6A" w:rsidRPr="00AD4C6A" w:rsidRDefault="00AD4C6A" w:rsidP="00AD4C6A">
      <w:pPr>
        <w:spacing w:after="0" w:line="240" w:lineRule="auto"/>
        <w:jc w:val="both"/>
        <w:rPr>
          <w:rFonts w:ascii="Verdana" w:eastAsia="Calibri" w:hAnsi="Verdana" w:cs="Times New Roman"/>
        </w:rPr>
      </w:pPr>
    </w:p>
    <w:p w14:paraId="2435062F" w14:textId="77777777" w:rsidR="00AD4C6A" w:rsidRPr="00AD4C6A" w:rsidRDefault="00AD4C6A" w:rsidP="00AD4C6A">
      <w:pPr>
        <w:spacing w:after="0" w:line="240" w:lineRule="auto"/>
        <w:jc w:val="both"/>
        <w:rPr>
          <w:rFonts w:ascii="Verdana" w:eastAsia="Calibri" w:hAnsi="Verdana" w:cs="Times New Roman"/>
        </w:rPr>
      </w:pPr>
    </w:p>
    <w:p w14:paraId="213B0D39" w14:textId="77777777" w:rsidR="00AD4C6A" w:rsidRPr="00AD4C6A" w:rsidRDefault="00AD4C6A" w:rsidP="00AD4C6A">
      <w:pPr>
        <w:spacing w:after="0" w:line="240" w:lineRule="auto"/>
        <w:jc w:val="both"/>
        <w:rPr>
          <w:rFonts w:ascii="Verdana" w:eastAsia="Calibri" w:hAnsi="Verdana" w:cs="Times New Roman"/>
        </w:rPr>
      </w:pPr>
    </w:p>
    <w:p w14:paraId="7176F681" w14:textId="77777777" w:rsidR="00AD4C6A" w:rsidRPr="00AD4C6A" w:rsidRDefault="00AD4C6A" w:rsidP="00AD4C6A">
      <w:pPr>
        <w:spacing w:after="0" w:line="240" w:lineRule="auto"/>
        <w:jc w:val="both"/>
        <w:rPr>
          <w:rFonts w:ascii="Verdana" w:eastAsia="Calibri" w:hAnsi="Verdana" w:cs="Times New Roman"/>
        </w:rPr>
      </w:pPr>
    </w:p>
    <w:p w14:paraId="231440C6" w14:textId="77777777" w:rsidR="00AD4C6A" w:rsidRDefault="00AD4C6A" w:rsidP="00AD4C6A">
      <w:pPr>
        <w:spacing w:after="0" w:line="240" w:lineRule="auto"/>
        <w:rPr>
          <w:rFonts w:ascii="Verdana" w:eastAsia="Calibri" w:hAnsi="Verdana" w:cs="Times New Roman"/>
        </w:rPr>
      </w:pPr>
    </w:p>
    <w:p w14:paraId="37E9BC83" w14:textId="3E7BAF0E" w:rsidR="00AD4C6A" w:rsidRPr="00AD4C6A" w:rsidRDefault="00AD4C6A" w:rsidP="00AD4C6A">
      <w:pPr>
        <w:spacing w:after="0" w:line="240" w:lineRule="auto"/>
        <w:rPr>
          <w:rFonts w:ascii="Verdana" w:eastAsia="Calibri" w:hAnsi="Verdana" w:cs="Arial"/>
          <w:lang w:val="es-ES_tradnl" w:eastAsia="es-ES"/>
        </w:rPr>
      </w:pPr>
      <w:r w:rsidRPr="30821638">
        <w:rPr>
          <w:rFonts w:ascii="Verdana" w:eastAsia="Verdana" w:hAnsi="Verdana" w:cs="Verdana"/>
        </w:rPr>
        <w:lastRenderedPageBreak/>
        <w:t xml:space="preserve">Bogotá D.C., </w:t>
      </w:r>
      <w:r w:rsidR="00023F3C">
        <w:rPr>
          <w:rFonts w:ascii="Verdana" w:eastAsia="Verdana" w:hAnsi="Verdana" w:cs="Verdana"/>
        </w:rPr>
        <w:t>05 Junio 2026</w:t>
      </w:r>
    </w:p>
    <w:p w14:paraId="7EE4C203" w14:textId="78FE4FD8" w:rsidR="00AD4C6A" w:rsidRPr="00AD4C6A" w:rsidRDefault="00023F3C" w:rsidP="00023F3C">
      <w:pPr>
        <w:spacing w:after="0" w:line="276"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4F4A08E7" wp14:editId="3DB9E864">
            <wp:extent cx="2206782" cy="645688"/>
            <wp:effectExtent l="0" t="0" r="3175" b="2540"/>
            <wp:docPr id="1426004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004489" name="Imagen 142600448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24777" cy="650953"/>
                    </a:xfrm>
                    <a:prstGeom prst="rect">
                      <a:avLst/>
                    </a:prstGeom>
                  </pic:spPr>
                </pic:pic>
              </a:graphicData>
            </a:graphic>
          </wp:inline>
        </w:drawing>
      </w:r>
    </w:p>
    <w:p w14:paraId="28F3FB3B" w14:textId="77777777" w:rsidR="00AD4C6A" w:rsidRPr="00AD4C6A" w:rsidRDefault="00AD4C6A" w:rsidP="00AD4C6A">
      <w:pPr>
        <w:spacing w:after="0" w:line="240" w:lineRule="auto"/>
        <w:jc w:val="both"/>
        <w:rPr>
          <w:rFonts w:ascii="Verdana" w:eastAsia="Calibri" w:hAnsi="Verdana" w:cs="Arial"/>
          <w:lang w:val="es-ES_tradnl" w:eastAsia="es-ES"/>
        </w:rPr>
      </w:pPr>
      <w:r w:rsidRPr="00AD4C6A">
        <w:rPr>
          <w:rFonts w:ascii="Verdana" w:eastAsia="Calibri" w:hAnsi="Verdana" w:cs="Arial"/>
          <w:lang w:val="es-ES_tradnl" w:eastAsia="es-ES"/>
        </w:rPr>
        <w:t>Señor</w:t>
      </w:r>
    </w:p>
    <w:p w14:paraId="32F9CFF0" w14:textId="77777777" w:rsidR="00AD4C6A" w:rsidRPr="00AD4C6A" w:rsidRDefault="00AD4C6A" w:rsidP="00AD4C6A">
      <w:pPr>
        <w:spacing w:after="0" w:line="240" w:lineRule="auto"/>
        <w:rPr>
          <w:rFonts w:ascii="Verdana" w:eastAsia="Calibri" w:hAnsi="Verdana" w:cs="Arial"/>
          <w:b/>
          <w:lang w:val="es-ES_tradnl" w:eastAsia="es-ES_tradnl"/>
        </w:rPr>
      </w:pPr>
      <w:r w:rsidRPr="00AD4C6A">
        <w:rPr>
          <w:rFonts w:ascii="Verdana" w:eastAsia="Calibri" w:hAnsi="Verdana" w:cs="Arial"/>
          <w:b/>
          <w:lang w:val="es-ES_tradnl" w:eastAsia="es-ES_tradnl"/>
        </w:rPr>
        <w:t>Santiago Sánchez Mantilla</w:t>
      </w:r>
    </w:p>
    <w:p w14:paraId="34AB0B4C" w14:textId="77777777" w:rsidR="00AD4C6A" w:rsidRPr="00AD4C6A" w:rsidRDefault="00AD4C6A" w:rsidP="00AD4C6A">
      <w:pPr>
        <w:spacing w:after="0" w:line="240" w:lineRule="auto"/>
        <w:rPr>
          <w:rFonts w:ascii="Verdana" w:eastAsia="Calibri" w:hAnsi="Verdana" w:cs="Arial"/>
          <w:lang w:val="es-ES_tradnl" w:eastAsia="es-ES"/>
        </w:rPr>
      </w:pPr>
      <w:r w:rsidRPr="00AD4C6A">
        <w:rPr>
          <w:rFonts w:ascii="Verdana" w:eastAsia="Calibri" w:hAnsi="Verdana" w:cs="Arial"/>
          <w:lang w:val="es-ES_tradnl" w:eastAsia="es-ES"/>
        </w:rPr>
        <w:t>Bucaramanga, Santander</w:t>
      </w:r>
    </w:p>
    <w:p w14:paraId="20DD25AC" w14:textId="77777777" w:rsidR="00AD4C6A" w:rsidRPr="00AD4C6A" w:rsidRDefault="00AD4C6A" w:rsidP="00AD4C6A">
      <w:pPr>
        <w:spacing w:after="0" w:line="240" w:lineRule="auto"/>
        <w:rPr>
          <w:rFonts w:ascii="Verdana" w:eastAsia="Calibri" w:hAnsi="Verdana" w:cs="Arial"/>
          <w:b/>
          <w:bCs/>
          <w:lang w:val="es-ES_tradnl" w:eastAsia="es-ES_tradnl"/>
        </w:rPr>
      </w:pPr>
    </w:p>
    <w:p w14:paraId="5EFB00C3" w14:textId="77777777" w:rsidR="00AD4C6A" w:rsidRPr="00AD4C6A" w:rsidRDefault="00AD4C6A" w:rsidP="00AD4C6A">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D4C6A" w:rsidRPr="00AD4C6A" w14:paraId="29252D69" w14:textId="77777777" w:rsidTr="005C0361">
        <w:trPr>
          <w:trHeight w:val="884"/>
        </w:trPr>
        <w:tc>
          <w:tcPr>
            <w:tcW w:w="2689" w:type="dxa"/>
          </w:tcPr>
          <w:p w14:paraId="5E592B67" w14:textId="77777777" w:rsidR="00AD4C6A" w:rsidRPr="00AD4C6A" w:rsidRDefault="00AD4C6A" w:rsidP="00AD4C6A">
            <w:pPr>
              <w:jc w:val="both"/>
              <w:rPr>
                <w:rFonts w:ascii="Verdana" w:eastAsia="Calibri" w:hAnsi="Verdana" w:cs="Arial"/>
                <w:b/>
                <w:bCs/>
                <w:lang w:val="es-ES_tradnl" w:eastAsia="es-ES_tradnl"/>
              </w:rPr>
            </w:pPr>
          </w:p>
        </w:tc>
        <w:tc>
          <w:tcPr>
            <w:tcW w:w="6100" w:type="dxa"/>
          </w:tcPr>
          <w:p w14:paraId="1DE30435" w14:textId="77777777" w:rsidR="00AD4C6A" w:rsidRPr="00AD4C6A" w:rsidRDefault="00AD4C6A" w:rsidP="00AD4C6A">
            <w:pPr>
              <w:jc w:val="both"/>
              <w:rPr>
                <w:rFonts w:ascii="Verdana" w:eastAsia="Calibri" w:hAnsi="Verdana" w:cs="Arial"/>
                <w:b/>
                <w:bCs/>
                <w:lang w:val="es-ES_tradnl" w:eastAsia="es-ES"/>
              </w:rPr>
            </w:pPr>
            <w:r w:rsidRPr="00AD4C6A">
              <w:rPr>
                <w:rFonts w:ascii="Verdana" w:eastAsia="Calibri" w:hAnsi="Verdana" w:cs="Arial"/>
                <w:b/>
                <w:bCs/>
                <w:lang w:val="es-ES_tradnl" w:eastAsia="es-ES"/>
              </w:rPr>
              <w:t>Concepto C – 687 de 2026</w:t>
            </w:r>
          </w:p>
        </w:tc>
      </w:tr>
      <w:tr w:rsidR="00AD4C6A" w:rsidRPr="00AD4C6A" w14:paraId="46D8EE35" w14:textId="77777777" w:rsidTr="005C0361">
        <w:trPr>
          <w:trHeight w:val="884"/>
        </w:trPr>
        <w:tc>
          <w:tcPr>
            <w:tcW w:w="2689" w:type="dxa"/>
          </w:tcPr>
          <w:p w14:paraId="124BEBEA" w14:textId="77777777" w:rsidR="00AD4C6A" w:rsidRPr="00AD4C6A" w:rsidRDefault="00AD4C6A" w:rsidP="00AD4C6A">
            <w:pPr>
              <w:jc w:val="both"/>
              <w:rPr>
                <w:rFonts w:ascii="Verdana" w:eastAsia="Calibri" w:hAnsi="Verdana" w:cs="Arial"/>
                <w:lang w:val="es-ES_tradnl" w:eastAsia="es-ES_tradnl"/>
              </w:rPr>
            </w:pPr>
            <w:r w:rsidRPr="00AD4C6A">
              <w:rPr>
                <w:rFonts w:ascii="Verdana" w:eastAsia="Calibri" w:hAnsi="Verdana" w:cs="Arial"/>
                <w:b/>
                <w:lang w:val="es-ES_tradnl" w:eastAsia="es-ES_tradnl"/>
              </w:rPr>
              <w:t>Temas:</w:t>
            </w:r>
            <w:r w:rsidRPr="00AD4C6A">
              <w:rPr>
                <w:rFonts w:ascii="Verdana" w:eastAsia="Calibri" w:hAnsi="Verdana" w:cs="Arial"/>
                <w:lang w:val="es-ES_tradnl" w:eastAsia="es-ES_tradnl"/>
              </w:rPr>
              <w:t xml:space="preserve">                   </w:t>
            </w:r>
          </w:p>
        </w:tc>
        <w:tc>
          <w:tcPr>
            <w:tcW w:w="6100" w:type="dxa"/>
          </w:tcPr>
          <w:p w14:paraId="05A63086" w14:textId="77777777" w:rsidR="00AD4C6A" w:rsidRPr="00AD4C6A" w:rsidRDefault="00AD4C6A" w:rsidP="00AD4C6A">
            <w:pPr>
              <w:spacing w:line="276" w:lineRule="auto"/>
              <w:jc w:val="both"/>
              <w:rPr>
                <w:rFonts w:ascii="Verdana" w:eastAsia="Calibri" w:hAnsi="Verdana" w:cs="Times New Roman"/>
              </w:rPr>
            </w:pPr>
            <w:r w:rsidRPr="00AD4C6A">
              <w:rPr>
                <w:rFonts w:ascii="Verdana" w:eastAsia="Calibri" w:hAnsi="Verdana" w:cs="Arial"/>
                <w:lang w:val="es-ES" w:eastAsia="es-ES"/>
              </w:rPr>
              <w:t xml:space="preserve">CAPACIDAD RESIDUAL – Definición – Factores – Contratos de obra / </w:t>
            </w:r>
            <w:r w:rsidRPr="00AD4C6A">
              <w:rPr>
                <w:rFonts w:ascii="Verdana" w:eastAsia="Calibri" w:hAnsi="Verdana" w:cs="Arial"/>
                <w:lang w:eastAsia="es-MX"/>
              </w:rPr>
              <w:t xml:space="preserve">CAPACIDAD RESIDUAL – Saldos de Contratos en Ejecución – SCE – Documentos Tipo – Cálculo / </w:t>
            </w:r>
            <w:r w:rsidRPr="00AD4C6A">
              <w:rPr>
                <w:rFonts w:ascii="Verdana" w:eastAsia="Calibri" w:hAnsi="Verdana" w:cs="Arial"/>
                <w:lang w:val="es-ES_tradnl" w:eastAsia="es-ES"/>
              </w:rPr>
              <w:t xml:space="preserve">DOCUMENTOS TIPO – Fundamento normativo – Obligatoriedad / </w:t>
            </w:r>
            <w:r w:rsidRPr="00AD4C6A">
              <w:rPr>
                <w:rFonts w:ascii="Verdana" w:eastAsia="Geomanist Light" w:hAnsi="Verdana" w:cs="Arial"/>
                <w:lang w:val="es-ES_tradnl"/>
              </w:rPr>
              <w:t xml:space="preserve">INFORMACIÓN INEXACTA – Falsedad – Rechazo de la oferta – Documentos Tipo / </w:t>
            </w:r>
            <w:r w:rsidRPr="00AD4C6A">
              <w:rPr>
                <w:rFonts w:ascii="Verdana" w:eastAsia="Calibri" w:hAnsi="Verdana" w:cs="Times New Roman"/>
              </w:rPr>
              <w:t>CAPACIDAD RESIDUAL – Causales de rechazo – Saldos de Contratos en Ejecución – Aclaraciones – Subsanación</w:t>
            </w:r>
          </w:p>
          <w:p w14:paraId="53A04737" w14:textId="77777777" w:rsidR="00AD4C6A" w:rsidRPr="00AD4C6A" w:rsidRDefault="00AD4C6A" w:rsidP="00AD4C6A">
            <w:pPr>
              <w:spacing w:line="276" w:lineRule="auto"/>
              <w:jc w:val="both"/>
              <w:rPr>
                <w:rFonts w:ascii="Verdana" w:eastAsia="Calibri" w:hAnsi="Verdana" w:cs="Arial"/>
                <w:lang w:val="es-ES_tradnl" w:eastAsia="es-ES"/>
              </w:rPr>
            </w:pPr>
          </w:p>
        </w:tc>
      </w:tr>
      <w:tr w:rsidR="00AD4C6A" w:rsidRPr="00AD4C6A" w14:paraId="6A035885" w14:textId="77777777" w:rsidTr="005C0361">
        <w:tc>
          <w:tcPr>
            <w:tcW w:w="2689" w:type="dxa"/>
          </w:tcPr>
          <w:p w14:paraId="0B37504F" w14:textId="77777777" w:rsidR="00AD4C6A" w:rsidRPr="00AD4C6A" w:rsidRDefault="00AD4C6A" w:rsidP="00AD4C6A">
            <w:pPr>
              <w:jc w:val="both"/>
              <w:rPr>
                <w:rFonts w:ascii="Verdana" w:eastAsia="Calibri" w:hAnsi="Verdana" w:cs="Arial"/>
                <w:b/>
                <w:lang w:val="es-ES_tradnl" w:eastAsia="es-ES_tradnl"/>
              </w:rPr>
            </w:pPr>
            <w:r w:rsidRPr="00AD4C6A">
              <w:rPr>
                <w:rFonts w:ascii="Verdana" w:eastAsia="Calibri" w:hAnsi="Verdana" w:cs="Arial"/>
                <w:b/>
                <w:lang w:val="es-ES_tradnl" w:eastAsia="es-ES_tradnl"/>
              </w:rPr>
              <w:t>Radicación:</w:t>
            </w:r>
            <w:r w:rsidRPr="00AD4C6A">
              <w:rPr>
                <w:rFonts w:ascii="Verdana" w:eastAsia="Calibri" w:hAnsi="Verdana" w:cs="Arial"/>
                <w:lang w:val="es-ES_tradnl" w:eastAsia="es-ES_tradnl"/>
              </w:rPr>
              <w:t xml:space="preserve">               </w:t>
            </w:r>
          </w:p>
        </w:tc>
        <w:tc>
          <w:tcPr>
            <w:tcW w:w="6100" w:type="dxa"/>
          </w:tcPr>
          <w:p w14:paraId="64108D23" w14:textId="77777777" w:rsidR="00AD4C6A" w:rsidRPr="00AD4C6A" w:rsidRDefault="00AD4C6A" w:rsidP="00AD4C6A">
            <w:pPr>
              <w:spacing w:line="276" w:lineRule="auto"/>
              <w:jc w:val="both"/>
              <w:rPr>
                <w:rFonts w:ascii="Verdana" w:eastAsia="Calibri" w:hAnsi="Verdana" w:cs="Arial"/>
                <w:lang w:val="es-ES_tradnl" w:eastAsia="es-ES_tradnl"/>
              </w:rPr>
            </w:pPr>
            <w:r w:rsidRPr="00AD4C6A">
              <w:rPr>
                <w:rFonts w:ascii="Verdana" w:eastAsia="Calibri" w:hAnsi="Verdana" w:cs="Arial"/>
                <w:lang w:val="es-ES_tradnl" w:eastAsia="es-ES_tradnl"/>
              </w:rPr>
              <w:t>Respuesta a consulta con radicado No. 1_2026_04_27_005698</w:t>
            </w:r>
          </w:p>
        </w:tc>
      </w:tr>
    </w:tbl>
    <w:p w14:paraId="1D67DA3C" w14:textId="77777777" w:rsidR="00AD4C6A" w:rsidRPr="00AD4C6A" w:rsidRDefault="00AD4C6A" w:rsidP="00AD4C6A">
      <w:pPr>
        <w:spacing w:after="0" w:line="240" w:lineRule="auto"/>
        <w:jc w:val="both"/>
        <w:rPr>
          <w:rFonts w:ascii="Verdana" w:eastAsia="Calibri" w:hAnsi="Verdana" w:cs="Arial"/>
          <w:lang w:val="es-ES_tradnl" w:eastAsia="es-ES_tradnl"/>
        </w:rPr>
      </w:pPr>
    </w:p>
    <w:p w14:paraId="342BE333" w14:textId="77777777" w:rsidR="00AD4C6A" w:rsidRPr="00AD4C6A" w:rsidRDefault="00AD4C6A" w:rsidP="00AD4C6A">
      <w:pPr>
        <w:spacing w:after="0" w:line="240" w:lineRule="auto"/>
        <w:jc w:val="both"/>
        <w:rPr>
          <w:rFonts w:ascii="Verdana" w:eastAsia="Calibri" w:hAnsi="Verdana" w:cs="Arial"/>
          <w:lang w:val="es-ES_tradnl" w:eastAsia="es-ES_tradnl"/>
        </w:rPr>
      </w:pPr>
    </w:p>
    <w:p w14:paraId="12B7E63C" w14:textId="77777777" w:rsidR="00AD4C6A" w:rsidRPr="00AD4C6A" w:rsidRDefault="00AD4C6A" w:rsidP="00AD4C6A">
      <w:pPr>
        <w:spacing w:after="0" w:line="276" w:lineRule="auto"/>
        <w:jc w:val="both"/>
        <w:rPr>
          <w:rFonts w:ascii="Verdana" w:eastAsia="Calibri" w:hAnsi="Verdana" w:cs="Arial"/>
          <w:lang w:val="es-ES_tradnl" w:eastAsia="es-ES"/>
        </w:rPr>
      </w:pPr>
      <w:r w:rsidRPr="00AD4C6A">
        <w:rPr>
          <w:rFonts w:ascii="Verdana" w:eastAsia="Calibri" w:hAnsi="Verdana" w:cs="Arial"/>
          <w:lang w:val="es-ES_tradnl" w:eastAsia="es-ES"/>
        </w:rPr>
        <w:t xml:space="preserve">Estimado señor Sánchez Mantilla: </w:t>
      </w:r>
    </w:p>
    <w:p w14:paraId="340842F2" w14:textId="77777777" w:rsidR="00AD4C6A" w:rsidRPr="00AD4C6A" w:rsidRDefault="00AD4C6A" w:rsidP="00AD4C6A">
      <w:pPr>
        <w:tabs>
          <w:tab w:val="left" w:pos="3768"/>
        </w:tabs>
        <w:spacing w:after="0" w:line="276" w:lineRule="auto"/>
        <w:jc w:val="both"/>
        <w:rPr>
          <w:rFonts w:ascii="Verdana" w:eastAsia="Calibri" w:hAnsi="Verdana" w:cs="Arial"/>
          <w:lang w:val="es-ES_tradnl" w:eastAsia="es-ES"/>
        </w:rPr>
      </w:pPr>
      <w:r w:rsidRPr="00AD4C6A">
        <w:rPr>
          <w:rFonts w:ascii="Verdana" w:eastAsia="Calibri" w:hAnsi="Verdana" w:cs="Arial"/>
          <w:lang w:val="es-ES_tradnl" w:eastAsia="es-ES"/>
        </w:rPr>
        <w:tab/>
      </w:r>
    </w:p>
    <w:p w14:paraId="3BFD0BC4" w14:textId="77777777" w:rsidR="00AD4C6A" w:rsidRPr="00AD4C6A" w:rsidRDefault="00AD4C6A" w:rsidP="00AD4C6A">
      <w:pPr>
        <w:snapToGrid w:val="0"/>
        <w:spacing w:after="0" w:line="276" w:lineRule="auto"/>
        <w:jc w:val="both"/>
        <w:rPr>
          <w:rFonts w:ascii="Verdana" w:eastAsia="Calibri" w:hAnsi="Verdana" w:cs="Arial"/>
          <w:lang w:val="es-ES_tradnl" w:eastAsia="es-ES"/>
        </w:rPr>
      </w:pPr>
      <w:r w:rsidRPr="00AD4C6A">
        <w:rPr>
          <w:rFonts w:ascii="Verdana" w:eastAsia="Calibri" w:hAnsi="Verdana" w:cs="Arial"/>
          <w:lang w:val="es-ES_tradnl" w:eastAsia="es-ES"/>
        </w:rPr>
        <w:t>En ejercicio de la competencia otorgada por los artículos 3, numeral 5º, y 11, numeral 8º, del Decreto Ley 4170 de 2011,</w:t>
      </w:r>
      <w:r w:rsidRPr="00AD4C6A">
        <w:rPr>
          <w:rFonts w:ascii="Verdana" w:eastAsia="Arial MT" w:hAnsi="Verdana" w:cs="Arial MT"/>
          <w:lang w:val="es-ES_tradnl" w:eastAsia="es-ES"/>
        </w:rPr>
        <w:t xml:space="preserve"> </w:t>
      </w:r>
      <w:r w:rsidRPr="00AD4C6A">
        <w:rPr>
          <w:rFonts w:ascii="Verdana" w:eastAsia="Calibri" w:hAnsi="Verdana" w:cs="Arial"/>
          <w:lang w:val="es-ES_tradnl"/>
        </w:rPr>
        <w:t xml:space="preserve">así como lo establecido en la Resolución No. 469 del 2025 expedida por esta Entidad, </w:t>
      </w:r>
      <w:r w:rsidRPr="00AD4C6A">
        <w:rPr>
          <w:rFonts w:ascii="Verdana" w:eastAsia="Calibri" w:hAnsi="Verdana" w:cs="Arial"/>
          <w:lang w:val="es-ES_tradnl" w:eastAsia="es-ES"/>
        </w:rPr>
        <w:t>la Agencia Nacional de Contratación Pública –Colombia Compra Eficiente– responde su solicitud de consulta de fecha 25 de abril de 2026, en la cual manifiesta lo siguiente:</w:t>
      </w:r>
    </w:p>
    <w:p w14:paraId="75B92D79" w14:textId="77777777" w:rsidR="00AD4C6A" w:rsidRPr="00AD4C6A" w:rsidRDefault="00AD4C6A" w:rsidP="00AD4C6A">
      <w:pPr>
        <w:tabs>
          <w:tab w:val="left" w:pos="142"/>
          <w:tab w:val="left" w:pos="284"/>
        </w:tabs>
        <w:snapToGrid w:val="0"/>
        <w:spacing w:after="0" w:line="240" w:lineRule="auto"/>
        <w:jc w:val="both"/>
        <w:rPr>
          <w:rFonts w:ascii="Verdana" w:eastAsia="Century Gothic" w:hAnsi="Verdana" w:cs="Century Gothic"/>
          <w:b/>
          <w:bCs/>
          <w:lang w:val="es-ES_tradnl"/>
        </w:rPr>
      </w:pPr>
    </w:p>
    <w:p w14:paraId="5C1281E7" w14:textId="77777777" w:rsidR="00AD4C6A" w:rsidRPr="00AD4C6A" w:rsidRDefault="00AD4C6A" w:rsidP="00AD4C6A">
      <w:pPr>
        <w:snapToGrid w:val="0"/>
        <w:spacing w:after="0" w:line="240" w:lineRule="auto"/>
        <w:ind w:left="720" w:right="709"/>
        <w:jc w:val="both"/>
        <w:rPr>
          <w:rFonts w:ascii="Verdana" w:eastAsia="Century Gothic" w:hAnsi="Verdana" w:cs="Century Gothic"/>
          <w:sz w:val="21"/>
          <w:szCs w:val="21"/>
          <w:lang w:val="es-ES"/>
        </w:rPr>
      </w:pPr>
      <w:r w:rsidRPr="00AD4C6A">
        <w:rPr>
          <w:rFonts w:ascii="Verdana" w:eastAsia="Century Gothic" w:hAnsi="Verdana" w:cs="Century Gothic"/>
          <w:sz w:val="21"/>
          <w:szCs w:val="21"/>
          <w:lang w:val="es-ES"/>
        </w:rPr>
        <w:t xml:space="preserve">“En </w:t>
      </w:r>
      <w:proofErr w:type="gramStart"/>
      <w:r w:rsidRPr="00AD4C6A">
        <w:rPr>
          <w:rFonts w:ascii="Verdana" w:eastAsia="Century Gothic" w:hAnsi="Verdana" w:cs="Century Gothic"/>
          <w:sz w:val="21"/>
          <w:szCs w:val="21"/>
          <w:lang w:val="es-ES"/>
        </w:rPr>
        <w:t>los proceso</w:t>
      </w:r>
      <w:proofErr w:type="gramEnd"/>
      <w:r w:rsidRPr="00AD4C6A">
        <w:rPr>
          <w:rFonts w:ascii="Verdana" w:eastAsia="Century Gothic" w:hAnsi="Verdana" w:cs="Century Gothic"/>
          <w:sz w:val="21"/>
          <w:szCs w:val="21"/>
          <w:lang w:val="es-ES"/>
        </w:rPr>
        <w:t xml:space="preserve"> de selección adelantados bajo la modalidad de pliegos tipo, evidenciamos de forma recurrente que existe confusión por parte de los comités evaluadores referente a la aplicación de la causal de </w:t>
      </w:r>
      <w:r w:rsidRPr="00AD4C6A">
        <w:rPr>
          <w:rFonts w:ascii="Verdana" w:eastAsia="Century Gothic" w:hAnsi="Verdana" w:cs="Century Gothic"/>
          <w:sz w:val="21"/>
          <w:szCs w:val="21"/>
          <w:lang w:val="es-ES"/>
        </w:rPr>
        <w:lastRenderedPageBreak/>
        <w:t>rechazo de inexactitud, en lo particular con la capacidad residual de los oferentes, por lo que agradecemos a ustedes aclarar al respecto:</w:t>
      </w:r>
    </w:p>
    <w:p w14:paraId="4D0E5A00" w14:textId="77777777" w:rsidR="00AD4C6A" w:rsidRPr="00AD4C6A" w:rsidRDefault="00AD4C6A" w:rsidP="00AD4C6A">
      <w:pPr>
        <w:snapToGrid w:val="0"/>
        <w:spacing w:after="0" w:line="240" w:lineRule="auto"/>
        <w:ind w:left="720" w:right="709"/>
        <w:jc w:val="both"/>
        <w:rPr>
          <w:rFonts w:ascii="Verdana" w:eastAsia="Century Gothic" w:hAnsi="Verdana" w:cs="Century Gothic"/>
          <w:sz w:val="21"/>
          <w:szCs w:val="21"/>
          <w:lang w:val="es-ES"/>
        </w:rPr>
      </w:pPr>
      <w:r w:rsidRPr="00AD4C6A">
        <w:rPr>
          <w:rFonts w:ascii="Verdana" w:eastAsia="Century Gothic" w:hAnsi="Verdana" w:cs="Century Gothic"/>
          <w:sz w:val="21"/>
          <w:szCs w:val="21"/>
          <w:lang w:val="es-ES"/>
        </w:rPr>
        <w:t xml:space="preserve"> </w:t>
      </w:r>
    </w:p>
    <w:p w14:paraId="3A9F9F19" w14:textId="77777777" w:rsidR="00AD4C6A" w:rsidRPr="00AD4C6A" w:rsidRDefault="00AD4C6A" w:rsidP="00AD4C6A">
      <w:pPr>
        <w:snapToGrid w:val="0"/>
        <w:spacing w:after="0" w:line="240" w:lineRule="auto"/>
        <w:ind w:left="720" w:right="709"/>
        <w:jc w:val="both"/>
        <w:rPr>
          <w:rFonts w:ascii="Verdana" w:eastAsia="Century Gothic" w:hAnsi="Verdana" w:cs="Century Gothic"/>
          <w:sz w:val="21"/>
          <w:szCs w:val="21"/>
          <w:lang w:val="es-ES"/>
        </w:rPr>
      </w:pPr>
      <w:r w:rsidRPr="00AD4C6A">
        <w:rPr>
          <w:rFonts w:ascii="Verdana" w:eastAsia="Century Gothic" w:hAnsi="Verdana" w:cs="Century Gothic"/>
          <w:sz w:val="21"/>
          <w:szCs w:val="21"/>
          <w:lang w:val="es-ES"/>
        </w:rPr>
        <w:t xml:space="preserve">1. Los errores en el diligenciamiento del formato SALDO DE CONTRATOS EN EJECUCION, como lo son: </w:t>
      </w:r>
      <w:proofErr w:type="gramStart"/>
      <w:r w:rsidRPr="00AD4C6A">
        <w:rPr>
          <w:rFonts w:ascii="Verdana" w:eastAsia="Century Gothic" w:hAnsi="Verdana" w:cs="Century Gothic"/>
          <w:sz w:val="21"/>
          <w:szCs w:val="21"/>
          <w:lang w:val="es-ES"/>
        </w:rPr>
        <w:t xml:space="preserve">fechas de inicio, reinicio o suspensión, valores adicionales, porcentajes de participación, y cualquier otra </w:t>
      </w:r>
      <w:proofErr w:type="spellStart"/>
      <w:r w:rsidRPr="00AD4C6A">
        <w:rPr>
          <w:rFonts w:ascii="Verdana" w:eastAsia="Century Gothic" w:hAnsi="Verdana" w:cs="Century Gothic"/>
          <w:sz w:val="21"/>
          <w:szCs w:val="21"/>
          <w:lang w:val="es-ES"/>
        </w:rPr>
        <w:t>informacion</w:t>
      </w:r>
      <w:proofErr w:type="spellEnd"/>
      <w:r w:rsidRPr="00AD4C6A">
        <w:rPr>
          <w:rFonts w:ascii="Verdana" w:eastAsia="Century Gothic" w:hAnsi="Verdana" w:cs="Century Gothic"/>
          <w:sz w:val="21"/>
          <w:szCs w:val="21"/>
          <w:lang w:val="es-ES"/>
        </w:rPr>
        <w:t xml:space="preserve"> relevante de cada contrato, se debe tomar esto como una inexactitud que no puede ser rechazada?</w:t>
      </w:r>
      <w:proofErr w:type="gramEnd"/>
      <w:r w:rsidRPr="00AD4C6A">
        <w:rPr>
          <w:rFonts w:ascii="Verdana" w:eastAsia="Century Gothic" w:hAnsi="Verdana" w:cs="Century Gothic"/>
          <w:sz w:val="21"/>
          <w:szCs w:val="21"/>
          <w:lang w:val="es-ES"/>
        </w:rPr>
        <w:t xml:space="preserve"> </w:t>
      </w:r>
      <w:proofErr w:type="gramStart"/>
      <w:r w:rsidRPr="00AD4C6A">
        <w:rPr>
          <w:rFonts w:ascii="Verdana" w:eastAsia="Century Gothic" w:hAnsi="Verdana" w:cs="Century Gothic"/>
          <w:sz w:val="21"/>
          <w:szCs w:val="21"/>
          <w:lang w:val="es-ES"/>
        </w:rPr>
        <w:t xml:space="preserve">O por ser un requisito habilitante, es posible que los oferentes corrijan la </w:t>
      </w:r>
      <w:proofErr w:type="spellStart"/>
      <w:r w:rsidRPr="00AD4C6A">
        <w:rPr>
          <w:rFonts w:ascii="Verdana" w:eastAsia="Century Gothic" w:hAnsi="Verdana" w:cs="Century Gothic"/>
          <w:sz w:val="21"/>
          <w:szCs w:val="21"/>
          <w:lang w:val="es-ES"/>
        </w:rPr>
        <w:t>informacion</w:t>
      </w:r>
      <w:proofErr w:type="spellEnd"/>
      <w:r w:rsidRPr="00AD4C6A">
        <w:rPr>
          <w:rFonts w:ascii="Verdana" w:eastAsia="Century Gothic" w:hAnsi="Verdana" w:cs="Century Gothic"/>
          <w:sz w:val="21"/>
          <w:szCs w:val="21"/>
          <w:lang w:val="es-ES"/>
        </w:rPr>
        <w:t xml:space="preserve"> y la subsanen?</w:t>
      </w:r>
      <w:proofErr w:type="gramEnd"/>
    </w:p>
    <w:p w14:paraId="18A7478B" w14:textId="77777777" w:rsidR="00AD4C6A" w:rsidRPr="00AD4C6A" w:rsidRDefault="00AD4C6A" w:rsidP="00AD4C6A">
      <w:pPr>
        <w:snapToGrid w:val="0"/>
        <w:spacing w:after="0" w:line="240" w:lineRule="auto"/>
        <w:ind w:left="720" w:right="709"/>
        <w:jc w:val="both"/>
        <w:rPr>
          <w:rFonts w:ascii="Verdana" w:eastAsia="Century Gothic" w:hAnsi="Verdana" w:cs="Century Gothic"/>
          <w:sz w:val="21"/>
          <w:szCs w:val="21"/>
          <w:lang w:val="es-ES"/>
        </w:rPr>
      </w:pPr>
      <w:r w:rsidRPr="00AD4C6A">
        <w:rPr>
          <w:rFonts w:ascii="Verdana" w:eastAsia="Century Gothic" w:hAnsi="Verdana" w:cs="Century Gothic"/>
          <w:sz w:val="21"/>
          <w:szCs w:val="21"/>
          <w:lang w:val="es-ES"/>
        </w:rPr>
        <w:t xml:space="preserve">2. </w:t>
      </w:r>
      <w:proofErr w:type="gramStart"/>
      <w:r w:rsidRPr="00AD4C6A">
        <w:rPr>
          <w:rFonts w:ascii="Verdana" w:eastAsia="Century Gothic" w:hAnsi="Verdana" w:cs="Century Gothic"/>
          <w:sz w:val="21"/>
          <w:szCs w:val="21"/>
          <w:lang w:val="es-ES"/>
        </w:rPr>
        <w:t xml:space="preserve">No reporta un </w:t>
      </w:r>
      <w:proofErr w:type="spellStart"/>
      <w:r w:rsidRPr="00AD4C6A">
        <w:rPr>
          <w:rFonts w:ascii="Verdana" w:eastAsia="Century Gothic" w:hAnsi="Verdana" w:cs="Century Gothic"/>
          <w:sz w:val="21"/>
          <w:szCs w:val="21"/>
          <w:lang w:val="es-ES"/>
        </w:rPr>
        <w:t>adicion</w:t>
      </w:r>
      <w:proofErr w:type="spellEnd"/>
      <w:r w:rsidRPr="00AD4C6A">
        <w:rPr>
          <w:rFonts w:ascii="Verdana" w:eastAsia="Century Gothic" w:hAnsi="Verdana" w:cs="Century Gothic"/>
          <w:sz w:val="21"/>
          <w:szCs w:val="21"/>
          <w:lang w:val="es-ES"/>
        </w:rPr>
        <w:t xml:space="preserve"> en valor, puede ser interpretado de igual forma que omitir un contrato en ejecución, y aplicar esta causal de rechazo?</w:t>
      </w:r>
      <w:proofErr w:type="gramEnd"/>
      <w:r w:rsidRPr="00AD4C6A">
        <w:rPr>
          <w:rFonts w:ascii="Verdana" w:eastAsia="Century Gothic" w:hAnsi="Verdana" w:cs="Century Gothic"/>
          <w:sz w:val="21"/>
          <w:szCs w:val="21"/>
          <w:lang w:val="es-ES"/>
        </w:rPr>
        <w:t>” [SIC]</w:t>
      </w:r>
    </w:p>
    <w:p w14:paraId="64706195" w14:textId="77777777" w:rsidR="00AD4C6A" w:rsidRPr="00AD4C6A" w:rsidRDefault="00AD4C6A" w:rsidP="00AD4C6A">
      <w:pPr>
        <w:tabs>
          <w:tab w:val="left" w:pos="142"/>
          <w:tab w:val="left" w:pos="284"/>
        </w:tabs>
        <w:spacing w:line="276" w:lineRule="auto"/>
        <w:contextualSpacing/>
        <w:jc w:val="both"/>
        <w:rPr>
          <w:rFonts w:ascii="Verdana" w:eastAsia="Century Gothic" w:hAnsi="Verdana" w:cs="Century Gothic"/>
          <w:b/>
          <w:bCs/>
          <w:lang w:val="es-ES_tradnl"/>
        </w:rPr>
      </w:pPr>
    </w:p>
    <w:p w14:paraId="465C72E9" w14:textId="77777777" w:rsidR="00AD4C6A" w:rsidRPr="00AD4C6A" w:rsidRDefault="00AD4C6A" w:rsidP="00AD4C6A">
      <w:pPr>
        <w:spacing w:after="120" w:line="276" w:lineRule="auto"/>
        <w:ind w:firstLine="709"/>
        <w:jc w:val="both"/>
        <w:rPr>
          <w:rFonts w:ascii="Verdana" w:eastAsia="Calibri" w:hAnsi="Verdana" w:cs="Arial"/>
          <w:lang w:val="es-ES" w:eastAsia="es-ES"/>
        </w:rPr>
      </w:pPr>
      <w:r w:rsidRPr="00AD4C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D4C6A">
        <w:rPr>
          <w:rFonts w:ascii="Calibri" w:eastAsia="Calibri" w:hAnsi="Calibri" w:cs="Times New Roman"/>
        </w:rPr>
        <w:tab/>
      </w:r>
    </w:p>
    <w:p w14:paraId="63B1300E" w14:textId="77777777" w:rsidR="00AD4C6A" w:rsidRPr="00AD4C6A" w:rsidRDefault="00AD4C6A" w:rsidP="00AD4C6A">
      <w:pPr>
        <w:snapToGrid w:val="0"/>
        <w:spacing w:after="0" w:line="276" w:lineRule="auto"/>
        <w:ind w:firstLine="709"/>
        <w:jc w:val="both"/>
        <w:rPr>
          <w:rFonts w:ascii="Verdana" w:eastAsia="Calibri" w:hAnsi="Verdana" w:cs="Arial"/>
          <w:lang w:val="es-ES_tradnl" w:eastAsia="es-ES"/>
        </w:rPr>
      </w:pPr>
      <w:r w:rsidRPr="00AD4C6A">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F8D7A01" w14:textId="77777777" w:rsidR="00AD4C6A" w:rsidRPr="00AD4C6A" w:rsidRDefault="00AD4C6A" w:rsidP="00AD4C6A">
      <w:pPr>
        <w:snapToGrid w:val="0"/>
        <w:spacing w:after="0" w:line="276" w:lineRule="auto"/>
        <w:ind w:firstLine="709"/>
        <w:jc w:val="both"/>
        <w:rPr>
          <w:rFonts w:ascii="Verdana" w:eastAsia="Calibri" w:hAnsi="Verdana" w:cs="Arial"/>
          <w:lang w:val="es-ES_tradnl" w:eastAsia="es-ES"/>
        </w:rPr>
      </w:pPr>
    </w:p>
    <w:p w14:paraId="118E47F1" w14:textId="77777777" w:rsidR="00AD4C6A" w:rsidRPr="00AD4C6A" w:rsidRDefault="00AD4C6A" w:rsidP="00AD4C6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D4C6A">
        <w:rPr>
          <w:rFonts w:ascii="Verdana" w:eastAsia="Century Gothic" w:hAnsi="Verdana" w:cs="Century Gothic"/>
          <w:b/>
          <w:bCs/>
          <w:lang w:val="es-ES_tradnl"/>
        </w:rPr>
        <w:t>Problema planteado:</w:t>
      </w:r>
    </w:p>
    <w:p w14:paraId="1A6A9848" w14:textId="77777777" w:rsidR="00AD4C6A" w:rsidRPr="00AD4C6A" w:rsidRDefault="00AD4C6A" w:rsidP="00AD4C6A">
      <w:pPr>
        <w:tabs>
          <w:tab w:val="left" w:pos="426"/>
        </w:tabs>
        <w:snapToGrid w:val="0"/>
        <w:spacing w:after="0" w:line="276" w:lineRule="auto"/>
        <w:jc w:val="both"/>
        <w:rPr>
          <w:rFonts w:ascii="Verdana" w:eastAsia="Century Gothic" w:hAnsi="Verdana" w:cs="Century Gothic"/>
          <w:lang w:val="es-ES_tradnl"/>
        </w:rPr>
      </w:pPr>
    </w:p>
    <w:p w14:paraId="0660D0AF" w14:textId="77777777" w:rsidR="00AD4C6A" w:rsidRPr="00AD4C6A" w:rsidRDefault="00AD4C6A" w:rsidP="00AD4C6A">
      <w:pPr>
        <w:snapToGrid w:val="0"/>
        <w:spacing w:after="0" w:line="276" w:lineRule="auto"/>
        <w:jc w:val="both"/>
        <w:rPr>
          <w:rFonts w:ascii="Verdana" w:eastAsia="Century Gothic" w:hAnsi="Verdana" w:cs="Century Gothic"/>
          <w:lang w:val="es-ES_tradnl"/>
        </w:rPr>
      </w:pPr>
      <w:r w:rsidRPr="00AD4C6A">
        <w:rPr>
          <w:rFonts w:ascii="Verdana" w:eastAsia="Century Gothic" w:hAnsi="Verdana" w:cs="Century Gothic"/>
          <w:lang w:val="es-ES_tradnl"/>
        </w:rPr>
        <w:t>De acuerdo con el contenido de su solicitud, esta Agencia resolverá el siguiente problema jurídico sobre documentos tipo: ¿cómo opera el rechazo de las ofertas frente a información y errores sobre Saldos de Contratos en Ejecución (SCE)?</w:t>
      </w:r>
    </w:p>
    <w:p w14:paraId="4B328AD6" w14:textId="77777777" w:rsidR="00AD4C6A" w:rsidRPr="00AD4C6A" w:rsidRDefault="00AD4C6A" w:rsidP="00AD4C6A">
      <w:pPr>
        <w:snapToGrid w:val="0"/>
        <w:spacing w:after="0" w:line="276" w:lineRule="auto"/>
        <w:jc w:val="both"/>
        <w:rPr>
          <w:rFonts w:ascii="Verdana" w:eastAsia="Calibri" w:hAnsi="Verdana" w:cs="Arial"/>
          <w:lang w:val="es-ES_tradnl"/>
        </w:rPr>
      </w:pPr>
    </w:p>
    <w:p w14:paraId="6D051599" w14:textId="77777777" w:rsidR="00AD4C6A" w:rsidRPr="00AD4C6A" w:rsidRDefault="00AD4C6A" w:rsidP="00AD4C6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D4C6A">
        <w:rPr>
          <w:rFonts w:ascii="Verdana" w:eastAsia="Century Gothic" w:hAnsi="Verdana" w:cs="Century Gothic"/>
          <w:b/>
          <w:bCs/>
          <w:lang w:val="es-ES_tradnl"/>
        </w:rPr>
        <w:lastRenderedPageBreak/>
        <w:t>Respuesta:</w:t>
      </w:r>
    </w:p>
    <w:p w14:paraId="771A70F6" w14:textId="77777777" w:rsidR="00AD4C6A" w:rsidRPr="00AD4C6A" w:rsidRDefault="00AD4C6A" w:rsidP="00AD4C6A">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D4C6A" w:rsidRPr="00AD4C6A" w14:paraId="4A65494F" w14:textId="77777777" w:rsidTr="005C0361">
        <w:tc>
          <w:tcPr>
            <w:tcW w:w="8828" w:type="dxa"/>
          </w:tcPr>
          <w:p w14:paraId="4C6C7A3D" w14:textId="77777777" w:rsidR="00AD4C6A" w:rsidRPr="00AD4C6A" w:rsidRDefault="00AD4C6A" w:rsidP="00AD4C6A">
            <w:pPr>
              <w:spacing w:line="276" w:lineRule="auto"/>
              <w:jc w:val="both"/>
              <w:rPr>
                <w:rFonts w:ascii="Verdana" w:eastAsia="Calibri" w:hAnsi="Verdana" w:cs="Arial"/>
                <w:i/>
                <w:iCs/>
                <w:lang w:eastAsia="en-GB"/>
              </w:rPr>
            </w:pPr>
            <w:r w:rsidRPr="00AD4C6A">
              <w:rPr>
                <w:rFonts w:ascii="Verdana" w:eastAsia="Calibri" w:hAnsi="Verdana" w:cs="Arial"/>
                <w:bCs/>
                <w:color w:val="000000"/>
                <w:lang w:val="es-MX" w:eastAsia="en-GB"/>
              </w:rPr>
              <w:t xml:space="preserve">i. Respecto del factor de saldos de los contratos en ejecución </w:t>
            </w:r>
            <w:r w:rsidRPr="00AD4C6A">
              <w:rPr>
                <w:rFonts w:ascii="Verdana" w:eastAsia="Calibri" w:hAnsi="Verdana" w:cs="Arial"/>
                <w:bCs/>
                <w:color w:val="000000"/>
                <w:lang w:eastAsia="en-GB"/>
              </w:rPr>
              <w:t>“SCE”,</w:t>
            </w:r>
            <w:r w:rsidRPr="00AD4C6A">
              <w:rPr>
                <w:rFonts w:ascii="Verdana" w:eastAsia="Calibri" w:hAnsi="Verdana" w:cs="Arial"/>
                <w:lang w:eastAsia="en-GB"/>
              </w:rPr>
              <w:t xml:space="preserve"> es necesario tener en cuenta que la “Guía para Determinar y Verificar la Capacidad Residual del Proponente en los Procesos de Contratación de Obra Pública”</w:t>
            </w:r>
            <w:r w:rsidRPr="00AD4C6A">
              <w:rPr>
                <w:rFonts w:ascii="Verdana" w:eastAsia="Calibri" w:hAnsi="Verdana" w:cs="Arial"/>
                <w:i/>
                <w:iCs/>
                <w:lang w:eastAsia="en-GB"/>
              </w:rPr>
              <w:t xml:space="preserve">, </w:t>
            </w:r>
            <w:r w:rsidRPr="00AD4C6A">
              <w:rPr>
                <w:rFonts w:ascii="Verdana" w:eastAsia="Calibri" w:hAnsi="Verdana" w:cs="Arial"/>
                <w:lang w:eastAsia="en-GB"/>
              </w:rPr>
              <w:t xml:space="preserve">define a este factor </w:t>
            </w:r>
            <w:r w:rsidRPr="00AD4C6A">
              <w:rPr>
                <w:rFonts w:ascii="Verdana" w:eastAsia="Calibri" w:hAnsi="Verdana" w:cs="Arial"/>
                <w:bCs/>
                <w:color w:val="000000"/>
                <w:lang w:eastAsia="en-GB"/>
              </w:rPr>
              <w:t>como “la suma de los montos por ejecutar de los contratos en ejecución durante los 12 meses siguientes”. Así mismo, define los</w:t>
            </w:r>
            <w:r w:rsidRPr="00AD4C6A">
              <w:rPr>
                <w:rFonts w:ascii="Verdana" w:eastAsia="Calibri" w:hAnsi="Verdana" w:cs="Arial"/>
                <w:lang w:eastAsia="en-GB"/>
              </w:rPr>
              <w:t xml:space="preserve"> </w:t>
            </w:r>
            <w:r w:rsidRPr="00AD4C6A">
              <w:rPr>
                <w:rFonts w:ascii="Verdana" w:eastAsia="Calibri" w:hAnsi="Verdana" w:cs="Arial"/>
                <w:i/>
                <w:iCs/>
                <w:lang w:eastAsia="en-GB"/>
              </w:rPr>
              <w:t>Contratos en Ejecución</w:t>
            </w:r>
            <w:r w:rsidRPr="00AD4C6A">
              <w:rPr>
                <w:rFonts w:ascii="Verdana" w:eastAsia="Calibri" w:hAnsi="Verdana" w:cs="Arial"/>
                <w:lang w:eastAsia="en-GB"/>
              </w:rPr>
              <w:t xml:space="preserve"> de la siguiente manera: </w:t>
            </w:r>
            <w:r w:rsidRPr="00AD4C6A">
              <w:rPr>
                <w:rFonts w:ascii="Verdana" w:eastAsia="Calibri" w:hAnsi="Verdana" w:cs="Arial"/>
                <w:i/>
                <w:iCs/>
                <w:lang w:eastAsia="en-GB"/>
              </w:rPr>
              <w:t xml:space="preserve"> </w:t>
            </w:r>
          </w:p>
          <w:p w14:paraId="789A4D26" w14:textId="77777777" w:rsidR="00AD4C6A" w:rsidRPr="00AD4C6A" w:rsidRDefault="00AD4C6A" w:rsidP="00AD4C6A">
            <w:pPr>
              <w:spacing w:line="276" w:lineRule="auto"/>
              <w:ind w:firstLine="709"/>
              <w:contextualSpacing/>
              <w:jc w:val="both"/>
              <w:rPr>
                <w:rFonts w:ascii="Verdana" w:eastAsia="Calibri" w:hAnsi="Verdana" w:cs="Arial"/>
                <w:lang w:eastAsia="en-GB"/>
              </w:rPr>
            </w:pPr>
          </w:p>
          <w:p w14:paraId="528EA696" w14:textId="77777777" w:rsidR="00AD4C6A" w:rsidRPr="00AD4C6A" w:rsidRDefault="00AD4C6A" w:rsidP="00AD4C6A">
            <w:pPr>
              <w:ind w:left="709" w:right="709"/>
              <w:jc w:val="both"/>
              <w:rPr>
                <w:rFonts w:ascii="Verdana" w:eastAsia="Calibri" w:hAnsi="Verdana" w:cs="Arial"/>
                <w:sz w:val="21"/>
                <w:szCs w:val="21"/>
                <w:lang w:eastAsia="en-GB"/>
              </w:rPr>
            </w:pPr>
            <w:r w:rsidRPr="00AD4C6A">
              <w:rPr>
                <w:rFonts w:ascii="Verdana" w:eastAsia="Calibri" w:hAnsi="Verdana" w:cs="Arial"/>
                <w:sz w:val="21"/>
                <w:szCs w:val="21"/>
                <w:lang w:eastAsia="en-GB"/>
              </w:rPr>
              <w:t xml:space="preserve">“Son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que se encuentren suspendidos y aquellos que no tengan acta de inicio.   </w:t>
            </w:r>
          </w:p>
          <w:p w14:paraId="4599A507" w14:textId="77777777" w:rsidR="00AD4C6A" w:rsidRPr="00AD4C6A" w:rsidRDefault="00AD4C6A" w:rsidP="00AD4C6A">
            <w:pPr>
              <w:ind w:left="709" w:right="709"/>
              <w:jc w:val="both"/>
              <w:rPr>
                <w:rFonts w:ascii="Verdana" w:eastAsia="Calibri" w:hAnsi="Verdana" w:cs="Arial"/>
                <w:sz w:val="21"/>
                <w:szCs w:val="21"/>
                <w:lang w:eastAsia="en-GB"/>
              </w:rPr>
            </w:pPr>
          </w:p>
          <w:p w14:paraId="325CE3E5" w14:textId="77777777" w:rsidR="00AD4C6A" w:rsidRPr="00AD4C6A" w:rsidRDefault="00AD4C6A" w:rsidP="00AD4C6A">
            <w:pPr>
              <w:ind w:left="709" w:right="709"/>
              <w:jc w:val="both"/>
              <w:rPr>
                <w:rFonts w:ascii="Verdana" w:eastAsia="Calibri" w:hAnsi="Verdana" w:cs="Arial"/>
                <w:sz w:val="21"/>
                <w:szCs w:val="21"/>
                <w:lang w:eastAsia="en-GB"/>
              </w:rPr>
            </w:pPr>
            <w:r w:rsidRPr="00AD4C6A">
              <w:rPr>
                <w:rFonts w:ascii="Verdana" w:eastAsia="Calibri" w:hAnsi="Verdana" w:cs="Arial"/>
                <w:sz w:val="21"/>
                <w:szCs w:val="21"/>
                <w:lang w:eastAsia="en-GB"/>
              </w:rPr>
              <w:t>No se entenderá como Contratos en Ejecución los que se encuentren en etapa de liquidación o ya fueron liquidados.”</w:t>
            </w:r>
          </w:p>
          <w:p w14:paraId="309FA6AD" w14:textId="77777777" w:rsidR="00AD4C6A" w:rsidRPr="00AD4C6A" w:rsidRDefault="00AD4C6A" w:rsidP="00AD4C6A">
            <w:pPr>
              <w:spacing w:line="276" w:lineRule="auto"/>
              <w:ind w:right="709"/>
              <w:jc w:val="both"/>
              <w:rPr>
                <w:rFonts w:ascii="Verdana" w:eastAsia="Calibri" w:hAnsi="Verdana" w:cs="Arial"/>
                <w:lang w:eastAsia="en-GB"/>
              </w:rPr>
            </w:pPr>
          </w:p>
          <w:p w14:paraId="77CA168F" w14:textId="77777777" w:rsidR="00AD4C6A" w:rsidRPr="00AD4C6A" w:rsidRDefault="00AD4C6A" w:rsidP="00AD4C6A">
            <w:pPr>
              <w:spacing w:line="276" w:lineRule="auto"/>
              <w:ind w:firstLine="709"/>
              <w:jc w:val="both"/>
              <w:rPr>
                <w:rFonts w:ascii="Verdana" w:eastAsia="Calibri" w:hAnsi="Verdana" w:cs="Arial"/>
                <w:lang w:eastAsia="en-GB"/>
              </w:rPr>
            </w:pPr>
            <w:r w:rsidRPr="00AD4C6A">
              <w:rPr>
                <w:rFonts w:ascii="Verdana" w:eastAsia="Calibri" w:hAnsi="Verdana" w:cs="Arial"/>
                <w:lang w:eastAsia="en-GB"/>
              </w:rPr>
              <w:t xml:space="preserve">En este sentido, los saldos pendientes se derivan de las obligaciones que se encuentran en ejecución al momento de la presentación de la oferta y se refieren a contratos cuyo objeto sea la ejecución de obras civiles. 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AD4C6A">
              <w:rPr>
                <w:rFonts w:ascii="Verdana" w:eastAsia="Calibri" w:hAnsi="Verdana" w:cs="Arial"/>
                <w:bCs/>
                <w:color w:val="000000"/>
                <w:lang w:eastAsia="en-GB"/>
              </w:rPr>
              <w:t>“CRP”</w:t>
            </w:r>
            <w:r w:rsidRPr="00AD4C6A">
              <w:rPr>
                <w:rFonts w:ascii="Verdana" w:eastAsia="Calibri" w:hAnsi="Verdana" w:cs="Arial"/>
                <w:lang w:eastAsia="en-GB"/>
              </w:rPr>
              <w:t>.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p>
          <w:p w14:paraId="1ED05261" w14:textId="77777777" w:rsidR="00AD4C6A" w:rsidRPr="00AD4C6A" w:rsidRDefault="00AD4C6A" w:rsidP="00AD4C6A">
            <w:pPr>
              <w:spacing w:line="276" w:lineRule="auto"/>
              <w:jc w:val="both"/>
              <w:rPr>
                <w:rFonts w:ascii="Verdana" w:eastAsia="Calibri" w:hAnsi="Verdana" w:cs="Arial"/>
              </w:rPr>
            </w:pPr>
          </w:p>
          <w:p w14:paraId="38F51267" w14:textId="77777777" w:rsidR="00AD4C6A" w:rsidRPr="00AD4C6A" w:rsidRDefault="00AD4C6A" w:rsidP="00AD4C6A">
            <w:pPr>
              <w:spacing w:line="276" w:lineRule="auto"/>
              <w:jc w:val="both"/>
              <w:rPr>
                <w:rFonts w:ascii="Verdana" w:eastAsia="Calibri" w:hAnsi="Verdana" w:cs="Arial"/>
              </w:rPr>
            </w:pPr>
            <w:proofErr w:type="spellStart"/>
            <w:r w:rsidRPr="00AD4C6A">
              <w:rPr>
                <w:rFonts w:ascii="Verdana" w:eastAsia="Calibri" w:hAnsi="Verdana" w:cs="Arial"/>
              </w:rPr>
              <w:t>ii</w:t>
            </w:r>
            <w:proofErr w:type="spellEnd"/>
            <w:r w:rsidRPr="00AD4C6A">
              <w:rPr>
                <w:rFonts w:ascii="Verdana" w:eastAsia="Calibri" w:hAnsi="Verdana" w:cs="Arial"/>
              </w:rPr>
              <w:t xml:space="preserve">. En el Documento Base de los documentos tipo de licitación de obra pública de infraestructura de transporte –versión 4– se incluye el numeral 1.11, referido a la información inexacta: </w:t>
            </w:r>
          </w:p>
          <w:p w14:paraId="2CCFD7FB" w14:textId="77777777" w:rsidR="00AD4C6A" w:rsidRPr="00AD4C6A" w:rsidRDefault="00AD4C6A" w:rsidP="00AD4C6A">
            <w:pPr>
              <w:spacing w:line="276" w:lineRule="auto"/>
              <w:ind w:firstLine="708"/>
              <w:jc w:val="both"/>
              <w:rPr>
                <w:rFonts w:ascii="Verdana" w:eastAsia="Calibri" w:hAnsi="Verdana" w:cs="Arial"/>
              </w:rPr>
            </w:pPr>
          </w:p>
          <w:p w14:paraId="3C9D7480" w14:textId="77777777" w:rsidR="00AD4C6A" w:rsidRPr="00AD4C6A" w:rsidRDefault="00AD4C6A" w:rsidP="00AD4C6A">
            <w:pPr>
              <w:keepNext/>
              <w:keepLines/>
              <w:numPr>
                <w:ilvl w:val="1"/>
                <w:numId w:val="0"/>
              </w:numPr>
              <w:spacing w:after="120"/>
              <w:ind w:left="709" w:right="709"/>
              <w:jc w:val="both"/>
              <w:outlineLvl w:val="1"/>
              <w:rPr>
                <w:rFonts w:ascii="Verdana" w:eastAsia="Yu Gothic Light" w:hAnsi="Verdana" w:cs="Times New Roman"/>
                <w:b/>
                <w:caps/>
                <w:color w:val="000000"/>
                <w:sz w:val="21"/>
                <w:szCs w:val="21"/>
                <w:lang w:val="es-MX"/>
              </w:rPr>
            </w:pPr>
            <w:r w:rsidRPr="00AD4C6A">
              <w:rPr>
                <w:rFonts w:ascii="Verdana" w:eastAsia="Yu Gothic Light" w:hAnsi="Verdana" w:cs="Times New Roman"/>
                <w:bCs/>
                <w:caps/>
                <w:color w:val="000000"/>
                <w:sz w:val="21"/>
                <w:szCs w:val="21"/>
                <w:lang w:val="es-MX"/>
              </w:rPr>
              <w:t>“</w:t>
            </w:r>
            <w:r w:rsidRPr="00AD4C6A">
              <w:rPr>
                <w:rFonts w:ascii="Verdana" w:eastAsia="Yu Gothic Light" w:hAnsi="Verdana" w:cs="Times New Roman"/>
                <w:b/>
                <w:caps/>
                <w:color w:val="000000"/>
                <w:sz w:val="21"/>
                <w:szCs w:val="21"/>
                <w:lang w:val="es-MX"/>
              </w:rPr>
              <w:t>1.11. INFORMACIÓN INEXACTA</w:t>
            </w:r>
          </w:p>
          <w:p w14:paraId="7F8B34CD" w14:textId="77777777" w:rsidR="00AD4C6A" w:rsidRPr="00AD4C6A" w:rsidRDefault="00AD4C6A" w:rsidP="00AD4C6A">
            <w:pPr>
              <w:ind w:left="709" w:right="709"/>
              <w:jc w:val="both"/>
              <w:rPr>
                <w:rFonts w:ascii="Verdana" w:eastAsia="Calibri" w:hAnsi="Verdana" w:cs="Arial"/>
                <w:color w:val="000000"/>
                <w:sz w:val="21"/>
                <w:szCs w:val="21"/>
                <w:lang w:val="es-MX"/>
              </w:rPr>
            </w:pPr>
            <w:r w:rsidRPr="00AD4C6A">
              <w:rPr>
                <w:rFonts w:ascii="Verdana" w:eastAsia="Calibri" w:hAnsi="Verdana" w:cs="Arial"/>
                <w:color w:val="000000"/>
                <w:sz w:val="21"/>
                <w:szCs w:val="21"/>
                <w:lang w:val="es-MX"/>
              </w:rPr>
              <w:t xml:space="preserve">La entidad se reserva el derecho de verificar integralmente la información aportada por el proponente. Para esto, puede acudir a las autoridades, personas, empresas o entidades   respectivas. </w:t>
            </w:r>
          </w:p>
          <w:p w14:paraId="1A75A8AB" w14:textId="77777777" w:rsidR="00AD4C6A" w:rsidRPr="00AD4C6A" w:rsidRDefault="00AD4C6A" w:rsidP="00AD4C6A">
            <w:pPr>
              <w:ind w:left="709" w:right="709"/>
              <w:jc w:val="both"/>
              <w:rPr>
                <w:rFonts w:ascii="Verdana" w:eastAsia="Calibri" w:hAnsi="Verdana" w:cs="Arial"/>
                <w:color w:val="000000"/>
                <w:sz w:val="21"/>
                <w:szCs w:val="21"/>
                <w:lang w:val="es-MX"/>
              </w:rPr>
            </w:pPr>
            <w:r w:rsidRPr="00AD4C6A">
              <w:rPr>
                <w:rFonts w:ascii="Verdana" w:eastAsia="Calibri" w:hAnsi="Verdana" w:cs="Arial"/>
                <w:color w:val="000000"/>
                <w:sz w:val="21"/>
                <w:szCs w:val="21"/>
                <w:lang w:val="es-MX"/>
              </w:rPr>
              <w:t xml:space="preserve">Cuando exista inconsistencia entre la información suministrada por el proponente y la verificada por la entidad, la información que pretende demostrar el proponente se tendrá por no acreditada. </w:t>
            </w:r>
          </w:p>
          <w:p w14:paraId="2ED455E7" w14:textId="77777777" w:rsidR="00AD4C6A" w:rsidRPr="00AD4C6A" w:rsidRDefault="00AD4C6A" w:rsidP="00AD4C6A">
            <w:pPr>
              <w:ind w:left="709" w:right="709"/>
              <w:jc w:val="both"/>
              <w:rPr>
                <w:rFonts w:ascii="Verdana" w:eastAsia="Calibri" w:hAnsi="Verdana" w:cs="Arial"/>
                <w:color w:val="000000"/>
                <w:sz w:val="21"/>
                <w:szCs w:val="21"/>
                <w:lang w:val="es-MX"/>
              </w:rPr>
            </w:pPr>
            <w:r w:rsidRPr="00AD4C6A">
              <w:rPr>
                <w:rFonts w:ascii="Verdana" w:eastAsia="Calibri" w:hAnsi="Verdana" w:cs="Arial"/>
                <w:color w:val="000000"/>
                <w:sz w:val="21"/>
                <w:szCs w:val="21"/>
                <w:lang w:val="es-MX"/>
              </w:rPr>
              <w:t>La entidad compulsará copias a las autoridades competentes en aquellos eventos en los cuales la información aportada tenga inconsistencias sobre las cuales pueda existir una posible falsedad, sin que el proponente haya demostrado lo contrario, y rechazará la oferta.”</w:t>
            </w:r>
          </w:p>
          <w:p w14:paraId="22F05816" w14:textId="77777777" w:rsidR="00AD4C6A" w:rsidRPr="00AD4C6A" w:rsidRDefault="00AD4C6A" w:rsidP="00AD4C6A">
            <w:pPr>
              <w:spacing w:line="276" w:lineRule="auto"/>
              <w:ind w:left="709" w:right="709"/>
              <w:jc w:val="both"/>
              <w:rPr>
                <w:rFonts w:ascii="Verdana" w:eastAsia="Calibri" w:hAnsi="Verdana" w:cs="Arial"/>
                <w:color w:val="000000"/>
                <w:lang w:val="es-MX"/>
              </w:rPr>
            </w:pPr>
          </w:p>
          <w:p w14:paraId="796FFD4F" w14:textId="77777777" w:rsidR="00AD4C6A" w:rsidRPr="00AD4C6A" w:rsidRDefault="00AD4C6A" w:rsidP="00AD4C6A">
            <w:pPr>
              <w:spacing w:after="120" w:line="276" w:lineRule="auto"/>
              <w:ind w:firstLine="709"/>
              <w:jc w:val="both"/>
              <w:rPr>
                <w:rFonts w:ascii="Verdana" w:eastAsia="Calibri" w:hAnsi="Verdana" w:cs="Arial"/>
              </w:rPr>
            </w:pPr>
            <w:r w:rsidRPr="00AD4C6A">
              <w:rPr>
                <w:rFonts w:ascii="Verdana" w:eastAsia="Calibri" w:hAnsi="Verdana" w:cs="Arial"/>
              </w:rPr>
              <w:t xml:space="preserve">El anterior numeral permite a la Entidad Estatal agotar los medios a su alcance para corroborar la información que aporte el proponente, para lo cual puede recurrir a las autoridades, personas, empresas o entidades.  </w:t>
            </w:r>
          </w:p>
          <w:p w14:paraId="5855BE2D"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rPr>
              <w:t xml:space="preserve">La regla de verificación de la información contempla dos supuestos, con consecuencias diferentes: </w:t>
            </w:r>
            <w:r w:rsidRPr="00AD4C6A">
              <w:rPr>
                <w:rFonts w:ascii="Verdana" w:eastAsia="Calibri" w:hAnsi="Verdana" w:cs="Arial"/>
                <w:i/>
                <w:iCs/>
              </w:rPr>
              <w:t>el primero,</w:t>
            </w:r>
            <w:r w:rsidRPr="00AD4C6A">
              <w:rPr>
                <w:rFonts w:ascii="Verdana" w:eastAsia="Calibri" w:hAnsi="Verdana" w:cs="Arial"/>
              </w:rPr>
              <w:t xml:space="preserve"> señala que una vez verificada la información con las autoridades, personas, empresas o entidades, y evidenciada la inconsistencia, la Entidad Estatal tendrá por no acreditada la información. </w:t>
            </w:r>
            <w:r w:rsidRPr="00AD4C6A">
              <w:rPr>
                <w:rFonts w:ascii="Verdana" w:eastAsia="Calibri" w:hAnsi="Verdana" w:cs="Arial"/>
                <w:lang w:val="es-ES_tradnl"/>
              </w:rPr>
              <w:t xml:space="preserve">Por ejemplo, cuando se presente documentación para acreditar un requisito habilitante y ante las observaciones recibidas en el traslado del informe de evaluación no se logre constatar con exactitud lo acreditado o la veracidad </w:t>
            </w:r>
            <w:proofErr w:type="gramStart"/>
            <w:r w:rsidRPr="00AD4C6A">
              <w:rPr>
                <w:rFonts w:ascii="Verdana" w:eastAsia="Calibri" w:hAnsi="Verdana" w:cs="Arial"/>
                <w:lang w:val="es-ES_tradnl"/>
              </w:rPr>
              <w:t>del mismo</w:t>
            </w:r>
            <w:proofErr w:type="gramEnd"/>
            <w:r w:rsidRPr="00AD4C6A">
              <w:rPr>
                <w:rFonts w:ascii="Verdana" w:eastAsia="Calibri" w:hAnsi="Verdana" w:cs="Arial"/>
                <w:lang w:val="es-ES_tradnl"/>
              </w:rPr>
              <w:t xml:space="preserve">, ante esta duda, la entidad no tendrá en cuenta la documentación aportada, sin perjuicio de que el proponente cumpla con el requisito habilitante con los demás documentos que aporte. </w:t>
            </w:r>
            <w:r w:rsidRPr="00AD4C6A">
              <w:rPr>
                <w:rFonts w:ascii="Verdana" w:eastAsia="Calibri" w:hAnsi="Verdana" w:cs="Arial"/>
              </w:rPr>
              <w:t xml:space="preserve">En este evento se trata de inconsistencias que no pueden ser superadas por la ausencia de medio probatorio, pero que en principio no tienen la connotación de falsedad. </w:t>
            </w:r>
          </w:p>
          <w:p w14:paraId="6C6DB590"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i/>
                <w:iCs/>
              </w:rPr>
              <w:t>El segundo</w:t>
            </w:r>
            <w:r w:rsidRPr="00AD4C6A">
              <w:rPr>
                <w:rFonts w:ascii="Verdana" w:eastAsia="Calibri" w:hAnsi="Verdana" w:cs="Arial"/>
              </w:rPr>
              <w:t xml:space="preserve"> evento aplica cuando de la verificación realizada por la Entidad Estatal se corrobora que las inconsistencias pueden devenir de una presunta falsedad no desvirtuada por el proponente, caso en el cual se procede con el rechazo de la oferta y se informa a las autoridades correspondientes. Por ejemplo, ante una certificación de experiencia, la Entidad Estatal, al comunicarse con la entidad para la cual se ejecutó el contrato a acreditar, es informada de que la certificación aportada por el proponente no fue expedida por cuanto ese objeto no ha sido contratado; en este supuesto, cuando la </w:t>
            </w:r>
            <w:r w:rsidRPr="00AD4C6A">
              <w:rPr>
                <w:rFonts w:ascii="Verdana" w:eastAsia="Calibri" w:hAnsi="Verdana" w:cs="Arial"/>
              </w:rPr>
              <w:lastRenderedPageBreak/>
              <w:t xml:space="preserve">Entidad Estatal tiene el suficiente convencimiento de la existencia de la presunta falsedad, y luego de dar la oportunidad para que el proponente se manifieste, es procedente rechazar la oferta y compulsar copias a las autoridades competentes, quienes adelantarán las respectivas investigaciones. </w:t>
            </w:r>
          </w:p>
          <w:p w14:paraId="47DB40C2"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rPr>
              <w:t xml:space="preserve">Las reglas previstas en el numeral 1.11 del Documento Base aplican frente a la totalidad de la información y documentación aportada para el cumplimiento de los requisitos habilitantes y de ponderación de las propuestas. </w:t>
            </w:r>
          </w:p>
          <w:p w14:paraId="41503E99" w14:textId="77777777" w:rsidR="00AD4C6A" w:rsidRPr="00AD4C6A" w:rsidRDefault="00AD4C6A" w:rsidP="00AD4C6A">
            <w:pPr>
              <w:spacing w:after="120" w:line="276" w:lineRule="auto"/>
              <w:ind w:firstLine="709"/>
              <w:jc w:val="both"/>
              <w:rPr>
                <w:rFonts w:ascii="Verdana" w:eastAsia="Calibri" w:hAnsi="Verdana" w:cs="Arial"/>
                <w:lang w:val="es-ES_tradnl"/>
              </w:rPr>
            </w:pPr>
            <w:r w:rsidRPr="00AD4C6A">
              <w:rPr>
                <w:rFonts w:ascii="Verdana" w:eastAsia="Calibri" w:hAnsi="Verdana" w:cs="Arial"/>
                <w:color w:val="000000"/>
                <w:lang w:val="es-ES_tradnl"/>
              </w:rPr>
              <w:t xml:space="preserve">A su turno, en los documentos tipo se estableció la causal de rechazo del literal H del numeral 1.15 del Documento Base, tipificada al siguiente tenor: </w:t>
            </w:r>
            <w:r w:rsidRPr="00AD4C6A">
              <w:rPr>
                <w:rFonts w:ascii="Verdana" w:eastAsia="Calibri" w:hAnsi="Verdana" w:cs="Arial"/>
                <w:i/>
                <w:iCs/>
                <w:color w:val="000000"/>
                <w:lang w:val="es-ES_tradnl"/>
              </w:rPr>
              <w:t>“H. Que el proponente aporte información inexacta sobre la cual pueda existir una posible falsedad en los términos de la sección 1.11 del Documento Base”.</w:t>
            </w:r>
          </w:p>
          <w:p w14:paraId="3E7E518B" w14:textId="77777777" w:rsidR="00AD4C6A" w:rsidRPr="00AD4C6A" w:rsidRDefault="00AD4C6A" w:rsidP="00AD4C6A">
            <w:pPr>
              <w:spacing w:before="120" w:line="276" w:lineRule="auto"/>
              <w:ind w:firstLine="709"/>
              <w:jc w:val="both"/>
              <w:rPr>
                <w:rFonts w:ascii="Verdana" w:eastAsia="Calibri" w:hAnsi="Verdana" w:cs="Arial"/>
                <w:lang w:val="es-ES_tradnl"/>
              </w:rPr>
            </w:pPr>
            <w:r w:rsidRPr="00AD4C6A">
              <w:rPr>
                <w:rFonts w:ascii="Verdana" w:eastAsia="Calibri" w:hAnsi="Verdana" w:cs="Arial"/>
                <w:lang w:val="es-ES_tradnl"/>
              </w:rPr>
              <w:t>Con todo, los supuestos señalados parten de la base del deber que le asiste a la Entidad Estatal de verificar la veracidad de la información suministrada por el proponente para evitar vicios en la adjudicación y en el contrato. Así, durante el plazo de evaluación de las ofertas las entidades contratantes tienen el deber de verificar la veracidad de la información que se allegue con las propuestas, bien sea mediante solicitud de aclaraciones al mismo oferente o mediante la constatación con fuentes externas, pues de ello depende no solamente la correcta escogencia del contratista y la forma más idónea de ejecución de la compra planeada, sino la validez misma de la decisión de adjudicación y, por ende, del contrato celebrado.</w:t>
            </w:r>
          </w:p>
          <w:p w14:paraId="0F0B12CC" w14:textId="77777777" w:rsidR="00AD4C6A" w:rsidRPr="00AD4C6A" w:rsidRDefault="00AD4C6A" w:rsidP="00AD4C6A">
            <w:pPr>
              <w:spacing w:before="120" w:line="276" w:lineRule="auto"/>
              <w:ind w:firstLine="709"/>
              <w:jc w:val="both"/>
              <w:rPr>
                <w:rFonts w:ascii="Verdana" w:eastAsia="Calibri" w:hAnsi="Verdana" w:cs="Arial"/>
                <w:lang w:val="es-ES_tradnl"/>
              </w:rPr>
            </w:pPr>
            <w:r w:rsidRPr="00AD4C6A">
              <w:rPr>
                <w:rFonts w:ascii="Verdana" w:eastAsia="Calibri" w:hAnsi="Verdana" w:cs="Arial"/>
                <w:lang w:val="es-ES_tradnl"/>
              </w:rPr>
              <w:t>De esta manera, la verificación que realice la entidad durante esta etapa resulta decisiva para la correcta evaluación de las ofertas, de manera que en caso de encontrar inconsistencias y después de revisar dicha información con las entidades que corresponda, si es del caso, la entidad tomará las medidas que se indican en el pliego de condiciones respecto de los supuestos señalados. Si se presentan observaciones sobre dicha información por fuera de esta etapa y una vez adjudicado el contrato, es importante que la entidad revise su contenido y alcance para tomar las medidas que correspondan.</w:t>
            </w:r>
          </w:p>
          <w:p w14:paraId="36DCD2A8" w14:textId="77777777" w:rsidR="00AD4C6A" w:rsidRPr="00AD4C6A" w:rsidRDefault="00AD4C6A" w:rsidP="00AD4C6A">
            <w:pPr>
              <w:spacing w:line="276" w:lineRule="auto"/>
              <w:jc w:val="both"/>
              <w:rPr>
                <w:rFonts w:ascii="Verdana" w:eastAsia="Calibri" w:hAnsi="Verdana" w:cs="Arial"/>
                <w:lang w:val="es-ES_tradnl"/>
              </w:rPr>
            </w:pPr>
          </w:p>
          <w:p w14:paraId="508A59DC" w14:textId="77777777" w:rsidR="00AD4C6A" w:rsidRPr="00AD4C6A" w:rsidRDefault="00AD4C6A" w:rsidP="00AD4C6A">
            <w:pPr>
              <w:spacing w:after="120" w:line="276" w:lineRule="auto"/>
              <w:jc w:val="both"/>
              <w:rPr>
                <w:rFonts w:ascii="Verdana" w:eastAsia="Calibri" w:hAnsi="Verdana" w:cs="Arial"/>
                <w:lang w:val="es-ES"/>
              </w:rPr>
            </w:pPr>
            <w:proofErr w:type="spellStart"/>
            <w:r w:rsidRPr="00AD4C6A">
              <w:rPr>
                <w:rFonts w:ascii="Verdana" w:eastAsia="Calibri" w:hAnsi="Verdana" w:cs="Arial"/>
                <w:lang w:val="es-ES_tradnl"/>
              </w:rPr>
              <w:t>iii</w:t>
            </w:r>
            <w:proofErr w:type="spellEnd"/>
            <w:r w:rsidRPr="00AD4C6A">
              <w:rPr>
                <w:rFonts w:ascii="Verdana" w:eastAsia="Calibri" w:hAnsi="Verdana" w:cs="Arial"/>
                <w:lang w:val="es-ES_tradnl"/>
              </w:rPr>
              <w:t xml:space="preserve">. </w:t>
            </w:r>
            <w:r w:rsidRPr="00AD4C6A">
              <w:rPr>
                <w:rFonts w:ascii="Verdana" w:eastAsia="Calibri" w:hAnsi="Verdana" w:cs="Arial"/>
                <w:lang w:val="es-ES"/>
              </w:rPr>
              <w:t xml:space="preserve">El numeral 3.11 del documento base de los documentos tipo de licitación pública de infraestructura de transporte – versión 4, establece como requisito </w:t>
            </w:r>
            <w:r w:rsidRPr="00AD4C6A">
              <w:rPr>
                <w:rFonts w:ascii="Verdana" w:eastAsia="Calibri" w:hAnsi="Verdana" w:cs="Arial"/>
                <w:lang w:val="es-ES"/>
              </w:rPr>
              <w:lastRenderedPageBreak/>
              <w:t>habilitante la capacidad residual. En este documento tipo, al menos tres causales de rechazo del numeral 1.15 se relacionan con la capacidad residual como requisito habilitante, esto es, los literales E, H y X.</w:t>
            </w:r>
          </w:p>
          <w:p w14:paraId="66A63D2A"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Como se consideró en los conceptos del 25 de septiembre y el 23 de diciembre de 2019 −radicados Nos. 2201913000007117 y 2201913000009538−, entre otros,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128551D9"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i)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X es objetiva, pues solo aplica ante la omisión del proponente de informar el número total de contratos en ejecución antes del cierre.</w:t>
            </w:r>
          </w:p>
          <w:p w14:paraId="1FA1A04A" w14:textId="77777777" w:rsidR="00AD4C6A" w:rsidRPr="00AD4C6A" w:rsidRDefault="00AD4C6A" w:rsidP="00AD4C6A">
            <w:pPr>
              <w:spacing w:after="120" w:line="276" w:lineRule="auto"/>
              <w:ind w:firstLine="709"/>
              <w:jc w:val="both"/>
              <w:rPr>
                <w:rFonts w:ascii="Verdana" w:eastAsia="Calibri" w:hAnsi="Verdana" w:cs="Arial"/>
                <w:lang w:val="es-ES"/>
              </w:rPr>
            </w:pPr>
            <w:proofErr w:type="spellStart"/>
            <w:r w:rsidRPr="00AD4C6A">
              <w:rPr>
                <w:rFonts w:ascii="Verdana" w:eastAsia="Calibri" w:hAnsi="Verdana" w:cs="Arial"/>
                <w:lang w:val="es-ES"/>
              </w:rPr>
              <w:t>ii</w:t>
            </w:r>
            <w:proofErr w:type="spellEnd"/>
            <w:r w:rsidRPr="00AD4C6A">
              <w:rPr>
                <w:rFonts w:ascii="Verdana" w:eastAsia="Calibri" w:hAnsi="Verdana" w:cs="Arial"/>
                <w:lang w:val="es-ES"/>
              </w:rPr>
              <w:t xml:space="preserve">)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168F020A" w14:textId="77777777" w:rsidR="00AD4C6A" w:rsidRPr="00AD4C6A" w:rsidRDefault="00AD4C6A" w:rsidP="00AD4C6A">
            <w:pPr>
              <w:spacing w:after="120" w:line="276" w:lineRule="auto"/>
              <w:ind w:firstLine="709"/>
              <w:jc w:val="both"/>
              <w:rPr>
                <w:rFonts w:ascii="Verdana" w:eastAsia="Calibri" w:hAnsi="Verdana" w:cs="Arial"/>
                <w:lang w:val="es-ES"/>
              </w:rPr>
            </w:pPr>
            <w:proofErr w:type="spellStart"/>
            <w:r w:rsidRPr="00AD4C6A">
              <w:rPr>
                <w:rFonts w:ascii="Verdana" w:eastAsia="Calibri" w:hAnsi="Verdana" w:cs="Arial"/>
                <w:lang w:val="es-ES"/>
              </w:rPr>
              <w:t>iii</w:t>
            </w:r>
            <w:proofErr w:type="spellEnd"/>
            <w:r w:rsidRPr="00AD4C6A">
              <w:rPr>
                <w:rFonts w:ascii="Verdana" w:eastAsia="Calibri" w:hAnsi="Verdana" w:cs="Arial"/>
                <w:lang w:val="es-ES"/>
              </w:rPr>
              <w:t>)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074DF43B"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lastRenderedPageBreak/>
              <w:t xml:space="preserve">En relación con las reglas de </w:t>
            </w:r>
            <w:proofErr w:type="spellStart"/>
            <w:r w:rsidRPr="00AD4C6A">
              <w:rPr>
                <w:rFonts w:ascii="Verdana" w:eastAsia="Calibri" w:hAnsi="Verdana" w:cs="Arial"/>
                <w:lang w:val="es-ES"/>
              </w:rPr>
              <w:t>subsanabilidad</w:t>
            </w:r>
            <w:proofErr w:type="spellEnd"/>
            <w:r w:rsidRPr="00AD4C6A">
              <w:rPr>
                <w:rFonts w:ascii="Verdana" w:eastAsia="Calibri" w:hAnsi="Verdana" w:cs="Arial"/>
                <w:lang w:val="es-ES"/>
              </w:rPr>
              <w:t xml:space="preserve">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X,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549F308F"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Ahora bien, es importante precisar que lo expresado en el párrafo precedente no contradice lo dispuesto en el artículo 5, parágrafo 1, 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De esta manera, la imposibilidad de subsanar se deriva, entonces, del supuesto de hecho de aquellas causales, sin que en esto sea relevante que se otorguen o no puntos a la propuesta por el requisito de capacidad residual.</w:t>
            </w:r>
          </w:p>
          <w:p w14:paraId="7A16AF78"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Por lo anterior, aunque la causal de rechazo del literal X del numeral 1.15 de los documentos tipo se relaciona con la capacidad residual como requisito habilitante, esta se aplica cuando el proponente deja de informar la totalidad de los contratos que tiene en ejecución antes del cierre o no reporta la información de los contratos exigida en el documento base, es decir en el formato, y efectivamente tiene contratos en ejecución omitiendo su información. </w:t>
            </w:r>
          </w:p>
          <w:p w14:paraId="53568069"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w:t>
            </w:r>
            <w:r w:rsidRPr="00AD4C6A">
              <w:rPr>
                <w:rFonts w:ascii="Verdana" w:eastAsia="Calibri" w:hAnsi="Verdana" w:cs="Arial"/>
                <w:lang w:val="es-ES"/>
              </w:rPr>
              <w:lastRenderedPageBreak/>
              <w:t xml:space="preserve">la configuración de la causal se determinará teniendo en cuenta si la información inexacta conduce a una posible falsedad. Piénsese en el evento en que el proponente reporta todos los contratos de obra en ejecución en el formato de saldos de contratos en ejecución, 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w:t>
            </w:r>
            <w:proofErr w:type="spellStart"/>
            <w:r w:rsidRPr="00AD4C6A">
              <w:rPr>
                <w:rFonts w:ascii="Verdana" w:eastAsia="Calibri" w:hAnsi="Verdana" w:cs="Arial"/>
                <w:lang w:val="es-ES"/>
              </w:rPr>
              <w:t>causal</w:t>
            </w:r>
            <w:proofErr w:type="spellEnd"/>
            <w:r w:rsidRPr="00AD4C6A">
              <w:rPr>
                <w:rFonts w:ascii="Verdana" w:eastAsia="Calibri" w:hAnsi="Verdana" w:cs="Arial"/>
                <w:lang w:val="es-ES"/>
              </w:rPr>
              <w:t xml:space="preserve">.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388912B0"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7D9EBBE8"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En relación con la información contractual no incluida que pueda afectar la capacidad residual del proponente, el pliego de condiciones del “Documento Tipo – Versión 4” de licitación pública de infraestructura de transporte, estableció una regla especial en el numeral 3.11.</w:t>
            </w:r>
          </w:p>
          <w:p w14:paraId="4D9BA88B"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esto es, la referente a contratos de obra en ejecución.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w:t>
            </w:r>
            <w:r w:rsidRPr="00AD4C6A">
              <w:rPr>
                <w:rFonts w:ascii="Verdana" w:eastAsia="Calibri" w:hAnsi="Verdana" w:cs="Arial"/>
                <w:lang w:val="es-ES"/>
              </w:rPr>
              <w:lastRenderedPageBreak/>
              <w:t>en “Que el Proponente aporte información inexacta sobre la cual pueda existir una posible falsedad en los términos de la sección 1.11”.</w:t>
            </w:r>
          </w:p>
          <w:p w14:paraId="679DC0AC"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En todo caso, resulta pertinente mencionar que, debe ser la Entidad Estatal quien determine si alguno de los supuestos de hecho contenidos en las causales de rechazo contenidas del numeral 1.15 del Documento Base de los “Documentos Tipo – Versión 4”, aplican frente a cada situación particular.</w:t>
            </w:r>
          </w:p>
          <w:p w14:paraId="29F58112" w14:textId="77777777" w:rsidR="00AD4C6A" w:rsidRPr="00AD4C6A" w:rsidRDefault="00AD4C6A" w:rsidP="00AD4C6A">
            <w:pPr>
              <w:spacing w:after="120" w:line="276" w:lineRule="auto"/>
              <w:ind w:firstLine="709"/>
              <w:jc w:val="both"/>
              <w:rPr>
                <w:rFonts w:ascii="Verdana" w:eastAsia="Times New Roman" w:hAnsi="Verdana" w:cs="Arial"/>
                <w:lang w:val="es-ES_tradnl" w:eastAsia="es-ES_tradnl"/>
              </w:rPr>
            </w:pPr>
            <w:r w:rsidRPr="00AD4C6A">
              <w:rPr>
                <w:rFonts w:ascii="Verdana" w:eastAsia="Times New Roman" w:hAnsi="Verdana" w:cs="Arial"/>
                <w:lang w:val="es-ES_tradnl" w:eastAsia="es-ES_tradnl"/>
              </w:rPr>
              <w:t xml:space="preserve">Finalmente, es importante señalar que, 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tc>
      </w:tr>
    </w:tbl>
    <w:p w14:paraId="2ABA3743" w14:textId="77777777" w:rsidR="00AD4C6A" w:rsidRPr="00AD4C6A" w:rsidRDefault="00AD4C6A" w:rsidP="00AD4C6A">
      <w:pPr>
        <w:tabs>
          <w:tab w:val="left" w:pos="142"/>
          <w:tab w:val="left" w:pos="284"/>
        </w:tabs>
        <w:snapToGrid w:val="0"/>
        <w:spacing w:after="0" w:line="276" w:lineRule="auto"/>
        <w:jc w:val="both"/>
        <w:rPr>
          <w:rFonts w:ascii="Verdana" w:eastAsia="Century Gothic" w:hAnsi="Verdana" w:cs="Century Gothic"/>
          <w:b/>
          <w:bCs/>
          <w:lang w:val="es-ES_tradnl"/>
        </w:rPr>
      </w:pPr>
    </w:p>
    <w:p w14:paraId="44E6DDD5" w14:textId="77777777" w:rsidR="00AD4C6A" w:rsidRPr="00AD4C6A" w:rsidRDefault="00AD4C6A" w:rsidP="00AD4C6A">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D4C6A">
        <w:rPr>
          <w:rFonts w:ascii="Verdana" w:eastAsia="Century Gothic" w:hAnsi="Verdana" w:cs="Century Gothic"/>
          <w:b/>
          <w:bCs/>
          <w:lang w:val="es-ES_tradnl"/>
        </w:rPr>
        <w:t>Razones de la respuesta:</w:t>
      </w:r>
    </w:p>
    <w:p w14:paraId="67D8FBB5" w14:textId="77777777" w:rsidR="00AD4C6A" w:rsidRPr="00AD4C6A" w:rsidRDefault="00AD4C6A" w:rsidP="00AD4C6A">
      <w:pPr>
        <w:snapToGrid w:val="0"/>
        <w:spacing w:after="0" w:line="276" w:lineRule="auto"/>
        <w:jc w:val="both"/>
        <w:rPr>
          <w:rFonts w:ascii="Verdana" w:eastAsia="Calibri" w:hAnsi="Verdana" w:cs="Arial"/>
          <w:lang w:val="es-ES_tradnl"/>
        </w:rPr>
      </w:pPr>
    </w:p>
    <w:p w14:paraId="0A3D4BF6" w14:textId="77777777" w:rsidR="00AD4C6A" w:rsidRPr="00AD4C6A" w:rsidRDefault="00AD4C6A" w:rsidP="00AD4C6A">
      <w:pPr>
        <w:snapToGrid w:val="0"/>
        <w:spacing w:after="0" w:line="276" w:lineRule="auto"/>
        <w:jc w:val="both"/>
        <w:rPr>
          <w:rFonts w:ascii="Verdana" w:eastAsia="Calibri" w:hAnsi="Verdana" w:cs="Arial"/>
          <w:lang w:val="es-ES_tradnl"/>
        </w:rPr>
      </w:pPr>
      <w:r w:rsidRPr="00AD4C6A">
        <w:rPr>
          <w:rFonts w:ascii="Verdana" w:eastAsia="Calibri" w:hAnsi="Verdana" w:cs="Arial"/>
          <w:lang w:val="es-ES_tradnl"/>
        </w:rPr>
        <w:t xml:space="preserve">Lo anterior se sustenta en las siguientes consideraciones: </w:t>
      </w:r>
    </w:p>
    <w:p w14:paraId="6C97E3D9" w14:textId="77777777" w:rsidR="00AD4C6A" w:rsidRPr="00AD4C6A" w:rsidRDefault="00AD4C6A" w:rsidP="00AD4C6A">
      <w:pPr>
        <w:snapToGrid w:val="0"/>
        <w:spacing w:after="0" w:line="276" w:lineRule="auto"/>
        <w:jc w:val="both"/>
        <w:rPr>
          <w:rFonts w:ascii="Verdana" w:eastAsia="Calibri" w:hAnsi="Verdana" w:cs="Arial"/>
          <w:lang w:val="es-ES_tradnl"/>
        </w:rPr>
      </w:pPr>
    </w:p>
    <w:p w14:paraId="1A0CE09D" w14:textId="77777777" w:rsidR="00AD4C6A" w:rsidRPr="00AD4C6A" w:rsidRDefault="00AD4C6A" w:rsidP="00AD4C6A">
      <w:pPr>
        <w:spacing w:after="120" w:line="276" w:lineRule="auto"/>
        <w:jc w:val="both"/>
        <w:rPr>
          <w:rFonts w:ascii="Verdana" w:eastAsia="Calibri" w:hAnsi="Verdana" w:cs="Arial"/>
          <w:color w:val="000000"/>
          <w:lang w:val="es-MX" w:eastAsia="en-GB"/>
        </w:rPr>
      </w:pPr>
      <w:r w:rsidRPr="00AD4C6A">
        <w:rPr>
          <w:rFonts w:ascii="Verdana" w:eastAsia="Calibri" w:hAnsi="Verdana" w:cs="Arial"/>
          <w:color w:val="000000"/>
          <w:lang w:val="es-MX" w:eastAsia="en-GB"/>
        </w:rPr>
        <w:t>i. 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w:t>
      </w:r>
      <w:r w:rsidRPr="00AD4C6A">
        <w:rPr>
          <w:rFonts w:ascii="Verdana" w:eastAsia="Calibri" w:hAnsi="Verdana" w:cs="Arial"/>
          <w:color w:val="000000"/>
          <w:vertAlign w:val="superscript"/>
          <w:lang w:val="es-MX" w:eastAsia="en-GB"/>
        </w:rPr>
        <w:footnoteReference w:id="1"/>
      </w:r>
      <w:r w:rsidRPr="00AD4C6A">
        <w:rPr>
          <w:rFonts w:ascii="Verdana" w:eastAsia="Calibri" w:hAnsi="Verdana" w:cs="Arial"/>
          <w:color w:val="000000"/>
          <w:lang w:val="es-MX" w:eastAsia="en-GB"/>
        </w:rPr>
        <w:t xml:space="preserve">. Por su parte, el Consejo de Estado ha definido la Capacidad Residual como “la diferencia que existe entre el potencial de contratación que se tiene y los compromisos que </w:t>
      </w:r>
      <w:r w:rsidRPr="00AD4C6A">
        <w:rPr>
          <w:rFonts w:ascii="Verdana" w:eastAsia="Calibri" w:hAnsi="Verdana" w:cs="Arial"/>
          <w:color w:val="000000"/>
          <w:lang w:val="es-MX" w:eastAsia="en-GB"/>
        </w:rPr>
        <w:lastRenderedPageBreak/>
        <w:t>haya adquirido y que se encuentren en ejecución, para la fecha de presentación de la oferta”</w:t>
      </w:r>
      <w:r w:rsidRPr="00AD4C6A">
        <w:rPr>
          <w:rFonts w:ascii="Verdana" w:eastAsia="Calibri" w:hAnsi="Verdana" w:cs="Arial"/>
          <w:color w:val="000000"/>
          <w:vertAlign w:val="superscript"/>
          <w:lang w:val="es-MX" w:eastAsia="en-GB"/>
        </w:rPr>
        <w:footnoteReference w:id="2"/>
      </w:r>
      <w:r w:rsidRPr="00AD4C6A">
        <w:rPr>
          <w:rFonts w:ascii="Verdana" w:eastAsia="Calibri" w:hAnsi="Verdana" w:cs="Arial"/>
          <w:color w:val="000000"/>
          <w:lang w:val="es-MX" w:eastAsia="en-GB"/>
        </w:rPr>
        <w:t>.</w:t>
      </w:r>
    </w:p>
    <w:p w14:paraId="7B11A659" w14:textId="77777777" w:rsidR="00AD4C6A" w:rsidRPr="00AD4C6A" w:rsidRDefault="00AD4C6A" w:rsidP="00AD4C6A">
      <w:pPr>
        <w:spacing w:before="120" w:after="0" w:line="276" w:lineRule="auto"/>
        <w:ind w:firstLine="709"/>
        <w:jc w:val="both"/>
        <w:rPr>
          <w:rFonts w:ascii="Verdana" w:eastAsia="Calibri" w:hAnsi="Verdana" w:cs="Arial"/>
          <w:color w:val="000000"/>
          <w:lang w:val="es-MX" w:eastAsia="en-GB"/>
        </w:rPr>
      </w:pPr>
      <w:r w:rsidRPr="00AD4C6A">
        <w:rPr>
          <w:rFonts w:ascii="Verdana" w:eastAsia="Calibri" w:hAnsi="Verdana" w:cs="Arial"/>
          <w:color w:val="000000"/>
          <w:lang w:val="es-MX" w:eastAsia="en-GB"/>
        </w:rPr>
        <w:t xml:space="preserve">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 en los siguientes términos: </w:t>
      </w:r>
    </w:p>
    <w:p w14:paraId="6F2790D3" w14:textId="77777777" w:rsidR="00AD4C6A" w:rsidRPr="00AD4C6A" w:rsidRDefault="00AD4C6A" w:rsidP="00AD4C6A">
      <w:pPr>
        <w:spacing w:after="0" w:line="276" w:lineRule="auto"/>
        <w:ind w:firstLine="709"/>
        <w:jc w:val="both"/>
        <w:rPr>
          <w:rFonts w:ascii="Verdana" w:eastAsia="Calibri" w:hAnsi="Verdana" w:cs="Arial"/>
          <w:color w:val="000000"/>
          <w:lang w:val="es-MX" w:eastAsia="en-GB"/>
        </w:rPr>
      </w:pPr>
    </w:p>
    <w:p w14:paraId="5BEBEF74" w14:textId="77777777" w:rsidR="00AD4C6A" w:rsidRPr="00AD4C6A" w:rsidRDefault="00AD4C6A" w:rsidP="00AD4C6A">
      <w:pPr>
        <w:spacing w:after="0" w:line="240" w:lineRule="auto"/>
        <w:ind w:left="709" w:right="709"/>
        <w:contextualSpacing/>
        <w:jc w:val="both"/>
        <w:rPr>
          <w:rFonts w:ascii="Verdana" w:eastAsia="Calibri" w:hAnsi="Verdana" w:cs="Arial"/>
          <w:color w:val="000000"/>
          <w:sz w:val="21"/>
          <w:szCs w:val="21"/>
          <w:lang w:val="es-MX" w:eastAsia="en-GB"/>
        </w:rPr>
      </w:pPr>
      <w:r w:rsidRPr="00AD4C6A">
        <w:rPr>
          <w:rFonts w:ascii="Verdana" w:eastAsia="Calibri" w:hAnsi="Verdana" w:cs="Arial"/>
          <w:color w:val="000000"/>
          <w:sz w:val="21"/>
          <w:szCs w:val="21"/>
          <w:lang w:val="es-MX" w:eastAsia="en-GB"/>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054E1846" w14:textId="77777777" w:rsidR="00AD4C6A" w:rsidRPr="00AD4C6A" w:rsidRDefault="00AD4C6A" w:rsidP="00AD4C6A">
      <w:pPr>
        <w:spacing w:after="0" w:line="240" w:lineRule="auto"/>
        <w:ind w:left="709" w:right="709"/>
        <w:contextualSpacing/>
        <w:jc w:val="both"/>
        <w:rPr>
          <w:rFonts w:ascii="Verdana" w:eastAsia="Calibri" w:hAnsi="Verdana" w:cs="Arial"/>
          <w:color w:val="000000"/>
          <w:sz w:val="21"/>
          <w:szCs w:val="21"/>
          <w:lang w:val="es-MX" w:eastAsia="en-GB"/>
        </w:rPr>
      </w:pPr>
    </w:p>
    <w:p w14:paraId="2005F4D2" w14:textId="77777777" w:rsidR="00AD4C6A" w:rsidRPr="00AD4C6A" w:rsidRDefault="00AD4C6A" w:rsidP="00AD4C6A">
      <w:pPr>
        <w:spacing w:after="0" w:line="240" w:lineRule="auto"/>
        <w:ind w:left="709" w:right="709"/>
        <w:contextualSpacing/>
        <w:jc w:val="both"/>
        <w:rPr>
          <w:rFonts w:ascii="Verdana" w:eastAsia="Calibri" w:hAnsi="Verdana" w:cs="Arial"/>
          <w:color w:val="000000"/>
          <w:sz w:val="21"/>
          <w:szCs w:val="21"/>
          <w:lang w:val="es-MX" w:eastAsia="en-GB"/>
        </w:rPr>
      </w:pPr>
      <w:r w:rsidRPr="00AD4C6A">
        <w:rPr>
          <w:rFonts w:ascii="Verdana" w:eastAsia="Calibri" w:hAnsi="Verdana" w:cs="Arial"/>
          <w:color w:val="000000"/>
          <w:sz w:val="21"/>
          <w:szCs w:val="21"/>
          <w:lang w:val="es-MX" w:eastAsia="en-GB"/>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1F8DE965" w14:textId="77777777" w:rsidR="00AD4C6A" w:rsidRPr="00AD4C6A" w:rsidRDefault="00AD4C6A" w:rsidP="00AD4C6A">
      <w:pPr>
        <w:spacing w:after="0" w:line="276" w:lineRule="auto"/>
        <w:ind w:right="709"/>
        <w:jc w:val="both"/>
        <w:rPr>
          <w:rFonts w:ascii="Verdana" w:eastAsia="Calibri" w:hAnsi="Verdana" w:cs="Arial"/>
          <w:color w:val="000000"/>
          <w:lang w:val="es-MX" w:eastAsia="en-GB"/>
        </w:rPr>
      </w:pPr>
    </w:p>
    <w:p w14:paraId="223F77A6" w14:textId="77777777" w:rsidR="00AD4C6A" w:rsidRPr="00AD4C6A" w:rsidRDefault="00AD4C6A" w:rsidP="00AD4C6A">
      <w:pPr>
        <w:spacing w:after="120" w:line="276" w:lineRule="auto"/>
        <w:ind w:firstLine="709"/>
        <w:jc w:val="both"/>
        <w:rPr>
          <w:rFonts w:ascii="Verdana" w:eastAsia="Calibri" w:hAnsi="Verdana" w:cs="Arial"/>
          <w:color w:val="000000"/>
          <w:lang w:eastAsia="en-GB"/>
        </w:rPr>
      </w:pPr>
      <w:r w:rsidRPr="00AD4C6A">
        <w:rPr>
          <w:rFonts w:ascii="Verdana" w:eastAsia="Calibri" w:hAnsi="Verdana" w:cs="Arial"/>
          <w:color w:val="000000"/>
          <w:lang w:val="es-MX" w:eastAsia="en-GB"/>
        </w:rPr>
        <w:t xml:space="preserve">De acuerdo con </w:t>
      </w:r>
      <w:r w:rsidRPr="00AD4C6A">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contratación”, según se desprende de la misma disposición, “[…] se deberá calcular mediante la evaluación de los siguientes factores: Experiencia (E), Capacidad Financiera (CF), Capacidad Técnica (CT), y Capacidad de Organización (CO)”.</w:t>
      </w:r>
    </w:p>
    <w:p w14:paraId="77DDD85E" w14:textId="77777777" w:rsidR="00AD4C6A" w:rsidRPr="00AD4C6A" w:rsidRDefault="00AD4C6A" w:rsidP="00AD4C6A">
      <w:pPr>
        <w:spacing w:after="120" w:line="276" w:lineRule="auto"/>
        <w:ind w:firstLine="709"/>
        <w:jc w:val="both"/>
        <w:rPr>
          <w:rFonts w:ascii="Verdana" w:eastAsia="Calibri" w:hAnsi="Verdana" w:cs="Arial"/>
          <w:color w:val="000000"/>
          <w:lang w:val="es-MX" w:eastAsia="en-GB"/>
        </w:rPr>
      </w:pPr>
      <w:bookmarkStart w:id="1" w:name="_Hlk103608376"/>
      <w:r w:rsidRPr="00AD4C6A">
        <w:rPr>
          <w:rFonts w:ascii="Verdana" w:eastAsia="Calibri" w:hAnsi="Verdana" w:cs="Arial"/>
          <w:color w:val="000000"/>
          <w:lang w:val="es-MX" w:eastAsia="en-GB"/>
        </w:rPr>
        <w:t xml:space="preserve">Por su parte, el artículo 2.2.1.1.1.6.4 del Decreto 1082 de 2015 dispone que las Entidades Estatales deberán calcular la Capacidad Residual conforme a la metodología definida por la Agencia Nacional de Contratación Pública – </w:t>
      </w:r>
      <w:r w:rsidRPr="00AD4C6A">
        <w:rPr>
          <w:rFonts w:ascii="Verdana" w:eastAsia="Calibri" w:hAnsi="Verdana" w:cs="Arial"/>
          <w:color w:val="000000"/>
          <w:lang w:val="es-MX" w:eastAsia="en-GB"/>
        </w:rPr>
        <w:lastRenderedPageBreak/>
        <w:t>Colombia Compra Eficiente. Para tales fines, resulta necesario tener en cuenta los factores de: i) Experiencia –E–, ii) Capacidad Financiera –CF–, iii) Capacidad Técnica –CT–, iv) Capacidad de Organización y v) los Saldos de los Contratos en Ejecución –SCE–.</w:t>
      </w:r>
    </w:p>
    <w:p w14:paraId="14C28FC7" w14:textId="77777777" w:rsidR="00AD4C6A" w:rsidRPr="00AD4C6A" w:rsidRDefault="00AD4C6A" w:rsidP="00AD4C6A">
      <w:pPr>
        <w:spacing w:after="120" w:line="276" w:lineRule="auto"/>
        <w:ind w:firstLine="709"/>
        <w:jc w:val="both"/>
        <w:rPr>
          <w:rFonts w:ascii="Verdana" w:eastAsia="Calibri" w:hAnsi="Verdana" w:cs="Arial"/>
          <w:lang w:val="es-MX" w:eastAsia="en-GB"/>
        </w:rPr>
      </w:pPr>
      <w:r w:rsidRPr="00AD4C6A">
        <w:rPr>
          <w:rFonts w:ascii="Verdana" w:eastAsia="Calibri" w:hAnsi="Verdana" w:cs="Arial"/>
          <w:color w:val="000000"/>
          <w:lang w:val="es-MX" w:eastAsia="en-GB"/>
        </w:rPr>
        <w:t xml:space="preserve">De igual manera, </w:t>
      </w:r>
      <w:r w:rsidRPr="00AD4C6A">
        <w:rPr>
          <w:rFonts w:ascii="Verdana" w:eastAsia="Calibri" w:hAnsi="Verdana" w:cs="Arial"/>
          <w:lang w:val="es-MX" w:eastAsia="en-GB"/>
        </w:rPr>
        <w:t>establece que el interesado en celebrar contratos de obra pública acreditará su Capacidad Residual con los siguientes documentos: i) la lista de los contratos de obras civiles en ejecución suscritos con Entidades Estatales y con entidades privadas; ii) la lista de contratos de obras civiles en ejecución, suscritos por sociedades, consorcios o uniones temporales, en los cuales el proponente tenga participación, con Entidades Estatales y con entidades privadas; y finalmente iii) el balance general auditado del año inmediatamente anterior y estado de resultados auditado del año en que haya obtenido el mayor ingreso operacional en los últimos cinco (5) años</w:t>
      </w:r>
      <w:bookmarkEnd w:id="1"/>
      <w:r w:rsidRPr="00AD4C6A">
        <w:rPr>
          <w:rFonts w:ascii="Verdana" w:eastAsia="Calibri" w:hAnsi="Verdana" w:cs="Arial"/>
          <w:vertAlign w:val="superscript"/>
          <w:lang w:val="es-MX" w:eastAsia="en-GB"/>
        </w:rPr>
        <w:footnoteReference w:id="3"/>
      </w:r>
      <w:r w:rsidRPr="00AD4C6A">
        <w:rPr>
          <w:rFonts w:ascii="Verdana" w:eastAsia="Calibri" w:hAnsi="Verdana" w:cs="Arial"/>
          <w:lang w:val="es-MX" w:eastAsia="en-GB"/>
        </w:rPr>
        <w:t xml:space="preserve">. </w:t>
      </w:r>
    </w:p>
    <w:p w14:paraId="07128210" w14:textId="77777777" w:rsidR="00AD4C6A" w:rsidRPr="00AD4C6A" w:rsidRDefault="00AD4C6A" w:rsidP="00AD4C6A">
      <w:pPr>
        <w:spacing w:after="120" w:line="276" w:lineRule="auto"/>
        <w:ind w:firstLine="709"/>
        <w:jc w:val="both"/>
        <w:rPr>
          <w:rFonts w:ascii="Verdana" w:eastAsia="Calibri" w:hAnsi="Verdana" w:cs="Arial"/>
          <w:bCs/>
          <w:color w:val="000000"/>
          <w:lang w:eastAsia="en-GB"/>
        </w:rPr>
      </w:pPr>
      <w:r w:rsidRPr="00AD4C6A">
        <w:rPr>
          <w:rFonts w:ascii="Verdana" w:eastAsia="Calibri" w:hAnsi="Verdana" w:cs="Arial"/>
          <w:color w:val="000000"/>
          <w:lang w:val="es-MX" w:eastAsia="en-GB"/>
        </w:rPr>
        <w:t>De conformidad con lo expuesto, la Agencia Nacional de Contratación Pública – Colombia Compra Eficiente expidió la “Guía para Determinar y Verificar la Capacidad Residual del Proponente en los Procesos de Contratación de Obra Pública”. Este documento establece, entre otras cuestiones, que a la entidad contratante le corresponde, primero, establecer la Capacidad Residual del Proceso de Contratación “CRPC” y, segundo, determinar si los proponentes cumplen con la Capacidad Residual del Proceso de Contratación, teniendo en cuenta la información mencionada en el párrafo precedente.</w:t>
      </w:r>
    </w:p>
    <w:p w14:paraId="6C145F33" w14:textId="77777777" w:rsidR="00AD4C6A" w:rsidRPr="00AD4C6A" w:rsidRDefault="00AD4C6A" w:rsidP="00AD4C6A">
      <w:pPr>
        <w:spacing w:after="120" w:line="276" w:lineRule="auto"/>
        <w:ind w:firstLine="709"/>
        <w:jc w:val="both"/>
        <w:rPr>
          <w:rFonts w:ascii="Verdana" w:eastAsia="Calibri" w:hAnsi="Verdana" w:cs="Arial"/>
          <w:bCs/>
          <w:color w:val="000000"/>
          <w:lang w:eastAsia="en-GB"/>
        </w:rPr>
      </w:pPr>
      <w:r w:rsidRPr="00AD4C6A">
        <w:rPr>
          <w:rFonts w:ascii="Verdana" w:eastAsia="Calibri" w:hAnsi="Verdana" w:cs="Arial"/>
          <w:bCs/>
          <w:color w:val="000000"/>
          <w:lang w:eastAsia="en-GB"/>
        </w:rPr>
        <w:lastRenderedPageBreak/>
        <w:t>En relación con el primer aspecto, sobre la determinación de la Capacidad Residual del Proceso de Contratación “CRPC”, debe determinarse si el plazo del contrato es superior a doce (12) meses. Si no lo es, la CRPC equivale al presupuesto oficial estimado del Proceso de Contratación menos el anticipo o pago anticipado cuando haya lugar. Si lo es, equivale a la proporción lineal de doce (12) meses del presupuesto oficial estimado menos el anticipo o pago anticipado.</w:t>
      </w:r>
    </w:p>
    <w:p w14:paraId="64951AFD" w14:textId="77777777" w:rsidR="00AD4C6A" w:rsidRPr="00AD4C6A" w:rsidRDefault="00AD4C6A" w:rsidP="00AD4C6A">
      <w:pPr>
        <w:spacing w:after="0" w:line="276" w:lineRule="auto"/>
        <w:ind w:firstLine="709"/>
        <w:jc w:val="both"/>
        <w:rPr>
          <w:rFonts w:ascii="Verdana" w:eastAsia="Calibri" w:hAnsi="Verdana" w:cs="Arial"/>
          <w:bCs/>
          <w:color w:val="000000"/>
          <w:lang w:eastAsia="en-GB"/>
        </w:rPr>
      </w:pPr>
      <w:r w:rsidRPr="00AD4C6A">
        <w:rPr>
          <w:rFonts w:ascii="Verdana" w:eastAsia="Calibri" w:hAnsi="Verdana" w:cs="Arial"/>
          <w:bCs/>
          <w:color w:val="000000"/>
          <w:lang w:eastAsia="en-GB"/>
        </w:rPr>
        <w:t xml:space="preserve">En cuanto al segundo aspecto, sobre la validación de </w:t>
      </w:r>
      <w:bookmarkStart w:id="2" w:name="_Hlk68683272"/>
      <w:r w:rsidRPr="00AD4C6A">
        <w:rPr>
          <w:rFonts w:ascii="Verdana" w:eastAsia="Calibri" w:hAnsi="Verdana" w:cs="Arial"/>
          <w:bCs/>
          <w:color w:val="000000"/>
          <w:lang w:eastAsia="en-GB"/>
        </w:rPr>
        <w:t>que cada proponente cumpla con la CRPC</w:t>
      </w:r>
      <w:bookmarkEnd w:id="2"/>
      <w:r w:rsidRPr="00AD4C6A">
        <w:rPr>
          <w:rFonts w:ascii="Verdana" w:eastAsia="Calibri" w:hAnsi="Verdana" w:cs="Arial"/>
          <w:bCs/>
          <w:color w:val="000000"/>
          <w:lang w:eastAsia="en-GB"/>
        </w:rPr>
        <w:t xml:space="preserve">, la Entidad Pública debe verificar que la Capacidad Residual del proponente “CRP” sea igual o superior a la capacidad referida en el párrafo precedente. De todas formas, previamente debe establecer la CRP, con fundamento en los siguientes factores: i) experiencia “E”; </w:t>
      </w:r>
      <w:proofErr w:type="spellStart"/>
      <w:r w:rsidRPr="00AD4C6A">
        <w:rPr>
          <w:rFonts w:ascii="Verdana" w:eastAsia="Calibri" w:hAnsi="Verdana" w:cs="Arial"/>
          <w:bCs/>
          <w:color w:val="000000"/>
          <w:lang w:eastAsia="en-GB"/>
        </w:rPr>
        <w:t>ii</w:t>
      </w:r>
      <w:proofErr w:type="spellEnd"/>
      <w:r w:rsidRPr="00AD4C6A">
        <w:rPr>
          <w:rFonts w:ascii="Verdana" w:eastAsia="Calibri" w:hAnsi="Verdana" w:cs="Arial"/>
          <w:bCs/>
          <w:color w:val="000000"/>
          <w:lang w:eastAsia="en-GB"/>
        </w:rPr>
        <w:t xml:space="preserve">) capacidad financiera “CF”; </w:t>
      </w:r>
      <w:proofErr w:type="spellStart"/>
      <w:r w:rsidRPr="00AD4C6A">
        <w:rPr>
          <w:rFonts w:ascii="Verdana" w:eastAsia="Calibri" w:hAnsi="Verdana" w:cs="Arial"/>
          <w:bCs/>
          <w:color w:val="000000"/>
          <w:lang w:eastAsia="en-GB"/>
        </w:rPr>
        <w:t>iii</w:t>
      </w:r>
      <w:proofErr w:type="spellEnd"/>
      <w:r w:rsidRPr="00AD4C6A">
        <w:rPr>
          <w:rFonts w:ascii="Verdana" w:eastAsia="Calibri" w:hAnsi="Verdana" w:cs="Arial"/>
          <w:bCs/>
          <w:color w:val="000000"/>
          <w:lang w:eastAsia="en-GB"/>
        </w:rPr>
        <w:t xml:space="preserve">) capacidad técnica “CT”; </w:t>
      </w:r>
      <w:proofErr w:type="spellStart"/>
      <w:r w:rsidRPr="00AD4C6A">
        <w:rPr>
          <w:rFonts w:ascii="Verdana" w:eastAsia="Calibri" w:hAnsi="Verdana" w:cs="Arial"/>
          <w:bCs/>
          <w:color w:val="000000"/>
          <w:lang w:eastAsia="en-GB"/>
        </w:rPr>
        <w:t>iv</w:t>
      </w:r>
      <w:proofErr w:type="spellEnd"/>
      <w:r w:rsidRPr="00AD4C6A">
        <w:rPr>
          <w:rFonts w:ascii="Verdana" w:eastAsia="Calibri" w:hAnsi="Verdana" w:cs="Arial"/>
          <w:bCs/>
          <w:color w:val="000000"/>
          <w:lang w:eastAsia="en-GB"/>
        </w:rPr>
        <w:t>) capacidad de organización “CO”, y v) los saldos de los contratos en ejecución “SCE”, según la siguiente formula:</w:t>
      </w:r>
    </w:p>
    <w:p w14:paraId="473958AA" w14:textId="77777777" w:rsidR="00AD4C6A" w:rsidRPr="00AD4C6A" w:rsidRDefault="00AD4C6A" w:rsidP="00AD4C6A">
      <w:pPr>
        <w:spacing w:after="0" w:line="276" w:lineRule="auto"/>
        <w:ind w:firstLine="709"/>
        <w:jc w:val="both"/>
        <w:rPr>
          <w:rFonts w:ascii="Verdana" w:eastAsia="Calibri" w:hAnsi="Verdana" w:cs="Arial"/>
          <w:bCs/>
          <w:color w:val="000000"/>
          <w:lang w:eastAsia="en-GB"/>
        </w:rPr>
      </w:pPr>
    </w:p>
    <w:p w14:paraId="7E0B5C27" w14:textId="77777777" w:rsidR="00AD4C6A" w:rsidRPr="00AD4C6A" w:rsidRDefault="00AD4C6A" w:rsidP="00AD4C6A">
      <w:pPr>
        <w:spacing w:after="0" w:line="276" w:lineRule="auto"/>
        <w:ind w:firstLine="709"/>
        <w:rPr>
          <w:rFonts w:ascii="Verdana" w:eastAsia="Calibri" w:hAnsi="Verdana" w:cs="Arial"/>
          <w:bCs/>
          <w:color w:val="000000"/>
          <w:lang w:eastAsia="en-GB"/>
        </w:rPr>
      </w:pPr>
      <w:r w:rsidRPr="00AD4C6A">
        <w:rPr>
          <w:rFonts w:ascii="Verdana" w:eastAsia="Calibri" w:hAnsi="Verdana" w:cs="Arial"/>
          <w:bCs/>
          <w:noProof/>
          <w:color w:val="000000"/>
          <w:lang w:eastAsia="en-GB"/>
        </w:rPr>
        <w:drawing>
          <wp:inline distT="0" distB="0" distL="0" distR="0" wp14:anchorId="7C423E48" wp14:editId="145C4CB1">
            <wp:extent cx="4095115" cy="460989"/>
            <wp:effectExtent l="0" t="0" r="635" b="0"/>
            <wp:docPr id="6159233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23349" name=""/>
                    <pic:cNvPicPr/>
                  </pic:nvPicPr>
                  <pic:blipFill>
                    <a:blip r:embed="rId11"/>
                    <a:stretch>
                      <a:fillRect/>
                    </a:stretch>
                  </pic:blipFill>
                  <pic:spPr>
                    <a:xfrm>
                      <a:off x="0" y="0"/>
                      <a:ext cx="4208786" cy="473785"/>
                    </a:xfrm>
                    <a:prstGeom prst="rect">
                      <a:avLst/>
                    </a:prstGeom>
                  </pic:spPr>
                </pic:pic>
              </a:graphicData>
            </a:graphic>
          </wp:inline>
        </w:drawing>
      </w:r>
    </w:p>
    <w:p w14:paraId="14DB41AD" w14:textId="77777777" w:rsidR="00AD4C6A" w:rsidRPr="00AD4C6A" w:rsidRDefault="00AD4C6A" w:rsidP="00AD4C6A">
      <w:pPr>
        <w:spacing w:after="0" w:line="276" w:lineRule="auto"/>
        <w:contextualSpacing/>
        <w:jc w:val="both"/>
        <w:rPr>
          <w:rFonts w:ascii="Verdana" w:eastAsia="Calibri" w:hAnsi="Verdana" w:cs="Arial"/>
          <w:bCs/>
          <w:color w:val="000000"/>
          <w:lang w:val="es-MX" w:eastAsia="en-GB"/>
        </w:rPr>
      </w:pPr>
    </w:p>
    <w:p w14:paraId="3A7346EA" w14:textId="77777777" w:rsidR="00AD4C6A" w:rsidRPr="00AD4C6A" w:rsidRDefault="00AD4C6A" w:rsidP="00AD4C6A">
      <w:pPr>
        <w:spacing w:after="120" w:line="276" w:lineRule="auto"/>
        <w:ind w:firstLine="709"/>
        <w:jc w:val="both"/>
        <w:rPr>
          <w:rFonts w:ascii="Verdana" w:eastAsia="Times New Roman" w:hAnsi="Verdana" w:cs="Arial"/>
          <w:kern w:val="2"/>
          <w:lang w:eastAsia="es-MX"/>
          <w14:ligatures w14:val="standardContextual"/>
        </w:rPr>
      </w:pPr>
      <w:bookmarkStart w:id="3" w:name="_Hlk128390666"/>
      <w:r w:rsidRPr="00AD4C6A">
        <w:rPr>
          <w:rFonts w:ascii="Verdana" w:eastAsia="Times New Roman" w:hAnsi="Verdana" w:cs="Arial"/>
          <w:kern w:val="2"/>
          <w:lang w:eastAsia="es-MX"/>
          <w14:ligatures w14:val="standardContextual"/>
        </w:rPr>
        <w:t xml:space="preserve">Por otra parte, esta Agencia ha manifestado en anteriores oportunidades que los contratos en ejecución son aquellos que, a la fecha de presentación de la oferta, obligan al proponente con Entidades Estatales y con entidades privadas para ejecutar obras públicas, incluyendo la ejecución de obras civiles en los contratos de concesión y los contratos de obra suscritos con concesionarios, incluyendo los contratos suspendidos y aquellos que no tengan acta de inicio. Es decir, los saldos pendientes se derivan de las obligaciones que se encuentran en ejecución al momento de la presentación de la oferta. A este respecto, no se entenderán como contratos en ejecución los que se encuentren en liquidación o liquidados. Teniendo en cuenta que los contratos en ejecución son aquellos que a la fecha de presentación de la oferta obligan al proponente, se aclara que deben tenerse en cuenta los contratos sin acta de inicio, pues el criterio </w:t>
      </w:r>
      <w:r w:rsidRPr="00AD4C6A">
        <w:rPr>
          <w:rFonts w:ascii="Verdana" w:eastAsia="Times New Roman" w:hAnsi="Verdana" w:cs="Arial"/>
          <w:kern w:val="2"/>
          <w:lang w:eastAsia="es-MX"/>
          <w14:ligatures w14:val="standardContextual"/>
        </w:rPr>
        <w:lastRenderedPageBreak/>
        <w:t>determinante para establecer si un contrato se encuentra en ejecución no lo determina el acta de inicio, sino que el mismo obligue al proponente</w:t>
      </w:r>
      <w:r w:rsidRPr="00AD4C6A">
        <w:rPr>
          <w:rFonts w:ascii="Verdana" w:eastAsia="Times New Roman" w:hAnsi="Verdana" w:cs="Arial"/>
          <w:kern w:val="2"/>
          <w:vertAlign w:val="superscript"/>
          <w:lang w:eastAsia="es-MX"/>
          <w14:ligatures w14:val="standardContextual"/>
        </w:rPr>
        <w:footnoteReference w:id="4"/>
      </w:r>
      <w:r w:rsidRPr="00AD4C6A">
        <w:rPr>
          <w:rFonts w:ascii="Verdana" w:eastAsia="Times New Roman" w:hAnsi="Verdana" w:cs="Arial"/>
          <w:kern w:val="2"/>
          <w:lang w:eastAsia="es-MX"/>
          <w14:ligatures w14:val="standardContextual"/>
        </w:rPr>
        <w:t xml:space="preserve">.  </w:t>
      </w:r>
      <w:bookmarkEnd w:id="3"/>
    </w:p>
    <w:p w14:paraId="73745A45" w14:textId="77777777" w:rsidR="00AD4C6A" w:rsidRPr="00AD4C6A" w:rsidRDefault="00AD4C6A" w:rsidP="00AD4C6A">
      <w:pPr>
        <w:spacing w:after="0" w:line="276" w:lineRule="auto"/>
        <w:ind w:firstLine="709"/>
        <w:jc w:val="both"/>
        <w:rPr>
          <w:rFonts w:ascii="Verdana" w:eastAsia="Calibri" w:hAnsi="Verdana" w:cs="Arial"/>
          <w:i/>
          <w:iCs/>
          <w:lang w:eastAsia="en-GB"/>
        </w:rPr>
      </w:pPr>
      <w:r w:rsidRPr="00AD4C6A">
        <w:rPr>
          <w:rFonts w:ascii="Verdana" w:eastAsia="Calibri" w:hAnsi="Verdana" w:cs="Arial"/>
          <w:bCs/>
          <w:color w:val="000000"/>
          <w:lang w:val="es-MX" w:eastAsia="en-GB"/>
        </w:rPr>
        <w:t xml:space="preserve">Particularmente, </w:t>
      </w:r>
      <w:bookmarkStart w:id="4" w:name="_Hlk100139879"/>
      <w:r w:rsidRPr="00AD4C6A">
        <w:rPr>
          <w:rFonts w:ascii="Verdana" w:eastAsia="Calibri" w:hAnsi="Verdana" w:cs="Arial"/>
          <w:bCs/>
          <w:color w:val="000000"/>
          <w:lang w:val="es-MX" w:eastAsia="en-GB"/>
        </w:rPr>
        <w:t xml:space="preserve">respecto del factor de saldos de los contratos en ejecución </w:t>
      </w:r>
      <w:r w:rsidRPr="00AD4C6A">
        <w:rPr>
          <w:rFonts w:ascii="Verdana" w:eastAsia="Calibri" w:hAnsi="Verdana" w:cs="Arial"/>
          <w:bCs/>
          <w:color w:val="000000"/>
          <w:lang w:eastAsia="en-GB"/>
        </w:rPr>
        <w:t>“SCE”,</w:t>
      </w:r>
      <w:r w:rsidRPr="00AD4C6A">
        <w:rPr>
          <w:rFonts w:ascii="Verdana" w:eastAsia="Calibri" w:hAnsi="Verdana" w:cs="Arial"/>
          <w:lang w:eastAsia="en-GB"/>
        </w:rPr>
        <w:t xml:space="preserve"> es necesario tener en cuenta que la “Guía para Determinar y Verificar la Capacidad Residual del Proponente en los Procesos de Contratación de Obra Pública”</w:t>
      </w:r>
      <w:r w:rsidRPr="00AD4C6A">
        <w:rPr>
          <w:rFonts w:ascii="Verdana" w:eastAsia="Calibri" w:hAnsi="Verdana" w:cs="Arial"/>
          <w:i/>
          <w:iCs/>
          <w:lang w:eastAsia="en-GB"/>
        </w:rPr>
        <w:t xml:space="preserve">, </w:t>
      </w:r>
      <w:r w:rsidRPr="00AD4C6A">
        <w:rPr>
          <w:rFonts w:ascii="Verdana" w:eastAsia="Calibri" w:hAnsi="Verdana" w:cs="Arial"/>
          <w:lang w:eastAsia="en-GB"/>
        </w:rPr>
        <w:t xml:space="preserve">define a este factor </w:t>
      </w:r>
      <w:r w:rsidRPr="00AD4C6A">
        <w:rPr>
          <w:rFonts w:ascii="Verdana" w:eastAsia="Calibri" w:hAnsi="Verdana" w:cs="Arial"/>
          <w:bCs/>
          <w:color w:val="000000"/>
          <w:lang w:eastAsia="en-GB"/>
        </w:rPr>
        <w:t>como “la suma de los montos por ejecutar de los contratos en ejecución durante los 12 meses siguientes</w:t>
      </w:r>
      <w:bookmarkEnd w:id="4"/>
      <w:r w:rsidRPr="00AD4C6A">
        <w:rPr>
          <w:rFonts w:ascii="Verdana" w:eastAsia="Calibri" w:hAnsi="Verdana" w:cs="Arial"/>
          <w:bCs/>
          <w:color w:val="000000"/>
          <w:lang w:eastAsia="en-GB"/>
        </w:rPr>
        <w:t>”. Así mismo, define los</w:t>
      </w:r>
      <w:r w:rsidRPr="00AD4C6A">
        <w:rPr>
          <w:rFonts w:ascii="Verdana" w:eastAsia="Calibri" w:hAnsi="Verdana" w:cs="Arial"/>
          <w:lang w:eastAsia="en-GB"/>
        </w:rPr>
        <w:t xml:space="preserve"> </w:t>
      </w:r>
      <w:bookmarkStart w:id="5" w:name="_Hlk78819022"/>
      <w:r w:rsidRPr="00AD4C6A">
        <w:rPr>
          <w:rFonts w:ascii="Verdana" w:eastAsia="Calibri" w:hAnsi="Verdana" w:cs="Arial"/>
          <w:i/>
          <w:iCs/>
          <w:lang w:eastAsia="en-GB"/>
        </w:rPr>
        <w:t>Contratos en Ejecución</w:t>
      </w:r>
      <w:r w:rsidRPr="00AD4C6A">
        <w:rPr>
          <w:rFonts w:ascii="Verdana" w:eastAsia="Calibri" w:hAnsi="Verdana" w:cs="Arial"/>
          <w:lang w:eastAsia="en-GB"/>
        </w:rPr>
        <w:t xml:space="preserve"> </w:t>
      </w:r>
      <w:bookmarkEnd w:id="5"/>
      <w:r w:rsidRPr="00AD4C6A">
        <w:rPr>
          <w:rFonts w:ascii="Verdana" w:eastAsia="Calibri" w:hAnsi="Verdana" w:cs="Arial"/>
          <w:lang w:eastAsia="en-GB"/>
        </w:rPr>
        <w:t xml:space="preserve">de la siguiente manera: </w:t>
      </w:r>
      <w:r w:rsidRPr="00AD4C6A">
        <w:rPr>
          <w:rFonts w:ascii="Verdana" w:eastAsia="Calibri" w:hAnsi="Verdana" w:cs="Arial"/>
          <w:i/>
          <w:iCs/>
          <w:lang w:eastAsia="en-GB"/>
        </w:rPr>
        <w:t xml:space="preserve"> </w:t>
      </w:r>
    </w:p>
    <w:p w14:paraId="51B7EC0C" w14:textId="77777777" w:rsidR="00AD4C6A" w:rsidRPr="00AD4C6A" w:rsidRDefault="00AD4C6A" w:rsidP="00AD4C6A">
      <w:pPr>
        <w:spacing w:after="0" w:line="276" w:lineRule="auto"/>
        <w:ind w:firstLine="709"/>
        <w:contextualSpacing/>
        <w:jc w:val="both"/>
        <w:rPr>
          <w:rFonts w:ascii="Verdana" w:eastAsia="Calibri" w:hAnsi="Verdana" w:cs="Arial"/>
          <w:lang w:eastAsia="en-GB"/>
        </w:rPr>
      </w:pPr>
    </w:p>
    <w:p w14:paraId="17E76041" w14:textId="77777777" w:rsidR="00AD4C6A" w:rsidRPr="00AD4C6A" w:rsidRDefault="00AD4C6A" w:rsidP="00AD4C6A">
      <w:pPr>
        <w:spacing w:after="0" w:line="240" w:lineRule="auto"/>
        <w:ind w:left="709" w:right="709"/>
        <w:jc w:val="both"/>
        <w:rPr>
          <w:rFonts w:ascii="Verdana" w:eastAsia="Calibri" w:hAnsi="Verdana" w:cs="Arial"/>
          <w:sz w:val="21"/>
          <w:szCs w:val="21"/>
          <w:lang w:eastAsia="en-GB"/>
        </w:rPr>
      </w:pPr>
      <w:r w:rsidRPr="00AD4C6A">
        <w:rPr>
          <w:rFonts w:ascii="Verdana" w:eastAsia="Calibri" w:hAnsi="Verdana" w:cs="Arial"/>
          <w:sz w:val="21"/>
          <w:szCs w:val="21"/>
          <w:lang w:eastAsia="en-GB"/>
        </w:rPr>
        <w:t xml:space="preserve">“Son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que se encuentren suspendidos y aquellos que no tengan acta de inicio.   </w:t>
      </w:r>
    </w:p>
    <w:p w14:paraId="22645390" w14:textId="77777777" w:rsidR="00AD4C6A" w:rsidRPr="00AD4C6A" w:rsidRDefault="00AD4C6A" w:rsidP="00AD4C6A">
      <w:pPr>
        <w:spacing w:after="0" w:line="240" w:lineRule="auto"/>
        <w:ind w:left="709" w:right="709"/>
        <w:jc w:val="both"/>
        <w:rPr>
          <w:rFonts w:ascii="Verdana" w:eastAsia="Calibri" w:hAnsi="Verdana" w:cs="Arial"/>
          <w:sz w:val="21"/>
          <w:szCs w:val="21"/>
          <w:lang w:eastAsia="en-GB"/>
        </w:rPr>
      </w:pPr>
    </w:p>
    <w:p w14:paraId="7DE68CC2" w14:textId="77777777" w:rsidR="00AD4C6A" w:rsidRPr="00AD4C6A" w:rsidRDefault="00AD4C6A" w:rsidP="00AD4C6A">
      <w:pPr>
        <w:spacing w:after="0" w:line="240" w:lineRule="auto"/>
        <w:ind w:left="709" w:right="709"/>
        <w:jc w:val="both"/>
        <w:rPr>
          <w:rFonts w:ascii="Verdana" w:eastAsia="Calibri" w:hAnsi="Verdana" w:cs="Arial"/>
          <w:sz w:val="21"/>
          <w:szCs w:val="21"/>
          <w:lang w:eastAsia="en-GB"/>
        </w:rPr>
      </w:pPr>
      <w:r w:rsidRPr="00AD4C6A">
        <w:rPr>
          <w:rFonts w:ascii="Verdana" w:eastAsia="Calibri" w:hAnsi="Verdana" w:cs="Arial"/>
          <w:sz w:val="21"/>
          <w:szCs w:val="21"/>
          <w:lang w:eastAsia="en-GB"/>
        </w:rPr>
        <w:t>No se entenderá como Contratos en Ejecución los que se encuentren en etapa de liquidación o ya fueron liquidados.”</w:t>
      </w:r>
    </w:p>
    <w:p w14:paraId="10B2D954" w14:textId="77777777" w:rsidR="00AD4C6A" w:rsidRPr="00AD4C6A" w:rsidRDefault="00AD4C6A" w:rsidP="00AD4C6A">
      <w:pPr>
        <w:spacing w:after="0" w:line="276" w:lineRule="auto"/>
        <w:ind w:right="709"/>
        <w:jc w:val="both"/>
        <w:rPr>
          <w:rFonts w:ascii="Verdana" w:eastAsia="Calibri" w:hAnsi="Verdana" w:cs="Arial"/>
          <w:lang w:eastAsia="en-GB"/>
        </w:rPr>
      </w:pPr>
    </w:p>
    <w:p w14:paraId="38481FE4" w14:textId="77777777" w:rsidR="00AD4C6A" w:rsidRPr="00AD4C6A" w:rsidRDefault="00AD4C6A" w:rsidP="00AD4C6A">
      <w:pPr>
        <w:spacing w:after="0" w:line="276" w:lineRule="auto"/>
        <w:ind w:firstLine="709"/>
        <w:jc w:val="both"/>
        <w:rPr>
          <w:rFonts w:ascii="Verdana" w:eastAsia="Calibri" w:hAnsi="Verdana" w:cs="Arial"/>
          <w:lang w:val="es-MX" w:eastAsia="en-GB"/>
        </w:rPr>
      </w:pPr>
      <w:bookmarkStart w:id="6" w:name="_Hlk100139912"/>
      <w:bookmarkStart w:id="7" w:name="_Hlk103609030"/>
      <w:r w:rsidRPr="00AD4C6A">
        <w:rPr>
          <w:rFonts w:ascii="Verdana" w:eastAsia="Calibri" w:hAnsi="Verdana" w:cs="Arial"/>
          <w:lang w:eastAsia="en-GB"/>
        </w:rPr>
        <w:t>En este sentido, los saldos pendientes se derivan de las obligaciones que se encuentran en ejecución al momento de la presentación de la oferta y se refieren a contratos cuyo objeto sea la ejecución de obras civiles</w:t>
      </w:r>
      <w:bookmarkEnd w:id="6"/>
      <w:r w:rsidRPr="00AD4C6A">
        <w:rPr>
          <w:rFonts w:ascii="Verdana" w:eastAsia="Calibri" w:hAnsi="Verdana" w:cs="Arial"/>
          <w:lang w:eastAsia="en-GB"/>
        </w:rPr>
        <w:t xml:space="preserve">. </w:t>
      </w:r>
      <w:bookmarkStart w:id="8" w:name="_Hlk100139986"/>
      <w:r w:rsidRPr="00AD4C6A">
        <w:rPr>
          <w:rFonts w:ascii="Verdana" w:eastAsia="Calibri" w:hAnsi="Verdana" w:cs="Arial"/>
          <w:lang w:eastAsia="en-GB"/>
        </w:rPr>
        <w:t xml:space="preserve">Se aclara que deben tenerse en cuenta los 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Pr="00AD4C6A">
        <w:rPr>
          <w:rFonts w:ascii="Verdana" w:eastAsia="Calibri" w:hAnsi="Verdana" w:cs="Arial"/>
          <w:bCs/>
          <w:color w:val="000000"/>
          <w:lang w:eastAsia="en-GB"/>
        </w:rPr>
        <w:t>“CRP”</w:t>
      </w:r>
      <w:r w:rsidRPr="00AD4C6A">
        <w:rPr>
          <w:rFonts w:ascii="Verdana" w:eastAsia="Calibri" w:hAnsi="Verdana" w:cs="Arial"/>
          <w:lang w:eastAsia="en-GB"/>
        </w:rPr>
        <w:t>.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w:t>
      </w:r>
      <w:bookmarkEnd w:id="7"/>
      <w:bookmarkEnd w:id="8"/>
      <w:r w:rsidRPr="00AD4C6A">
        <w:rPr>
          <w:rFonts w:ascii="Verdana" w:eastAsia="Calibri" w:hAnsi="Verdana" w:cs="Arial"/>
          <w:lang w:eastAsia="en-GB"/>
        </w:rPr>
        <w:t xml:space="preserve">. </w:t>
      </w:r>
      <w:r w:rsidRPr="00AD4C6A">
        <w:rPr>
          <w:rFonts w:ascii="Verdana" w:eastAsia="Calibri" w:hAnsi="Verdana" w:cs="Arial"/>
          <w:lang w:val="es-MX" w:eastAsia="en-GB"/>
        </w:rPr>
        <w:t>Por lo demás, en dicha Guía también se precisa que:</w:t>
      </w:r>
    </w:p>
    <w:p w14:paraId="41FC4665" w14:textId="77777777" w:rsidR="00AD4C6A" w:rsidRPr="00AD4C6A" w:rsidRDefault="00AD4C6A" w:rsidP="00AD4C6A">
      <w:pPr>
        <w:spacing w:after="0" w:line="276" w:lineRule="auto"/>
        <w:ind w:firstLine="709"/>
        <w:jc w:val="both"/>
        <w:rPr>
          <w:rFonts w:ascii="Verdana" w:eastAsia="Calibri" w:hAnsi="Verdana" w:cs="Arial"/>
          <w:lang w:val="es-MX" w:eastAsia="en-GB"/>
        </w:rPr>
      </w:pPr>
    </w:p>
    <w:p w14:paraId="06255EFF" w14:textId="77777777" w:rsidR="00AD4C6A" w:rsidRPr="00AD4C6A" w:rsidRDefault="00AD4C6A" w:rsidP="00AD4C6A">
      <w:pPr>
        <w:spacing w:after="0" w:line="240" w:lineRule="auto"/>
        <w:ind w:left="709" w:right="709"/>
        <w:jc w:val="both"/>
        <w:rPr>
          <w:rFonts w:ascii="Verdana" w:eastAsia="Calibri" w:hAnsi="Verdana" w:cs="Arial"/>
          <w:sz w:val="21"/>
          <w:szCs w:val="21"/>
          <w:lang w:eastAsia="en-GB"/>
        </w:rPr>
      </w:pPr>
      <w:bookmarkStart w:id="9" w:name="_Hlk100140013"/>
      <w:r w:rsidRPr="00AD4C6A">
        <w:rPr>
          <w:rFonts w:ascii="Verdana" w:eastAsia="Calibri" w:hAnsi="Verdana" w:cs="Arial"/>
          <w:sz w:val="21"/>
          <w:szCs w:val="21"/>
          <w:lang w:eastAsia="en-GB"/>
        </w:rPr>
        <w:t>“</w:t>
      </w:r>
      <w:bookmarkEnd w:id="9"/>
      <w:r w:rsidRPr="00AD4C6A">
        <w:rPr>
          <w:rFonts w:ascii="Verdana" w:eastAsia="Calibri" w:hAnsi="Verdana" w:cs="Arial"/>
          <w:sz w:val="21"/>
          <w:szCs w:val="21"/>
          <w:lang w:eastAsia="en-GB"/>
        </w:rPr>
        <w:t>El cálculo del Saldo de los Contratos en Ejecución (SCE) debe hacerse linealmente calculando una ejecución diaria equivalente al valor del contrato divido por el plazo del contrato y si el contrato es ejecutado por una estructura plural por la participación del proponente en el respectivo contratista. Si el número de días por ejecutar en un contrato es superior a doce (12) meses, es decir 360 días, el Saldo del Contrato en Ejecución (SCE) solo tendrá en cuenta la proporcional lineal de doce [12] meses.</w:t>
      </w:r>
    </w:p>
    <w:p w14:paraId="62BA08FE" w14:textId="77777777" w:rsidR="00AD4C6A" w:rsidRPr="00AD4C6A" w:rsidRDefault="00AD4C6A" w:rsidP="00AD4C6A">
      <w:pPr>
        <w:spacing w:after="0" w:line="240" w:lineRule="auto"/>
        <w:ind w:left="709" w:right="709"/>
        <w:jc w:val="both"/>
        <w:rPr>
          <w:rFonts w:ascii="Verdana" w:eastAsia="Calibri" w:hAnsi="Verdana" w:cs="Arial"/>
          <w:sz w:val="21"/>
          <w:szCs w:val="21"/>
          <w:lang w:val="es-MX" w:eastAsia="en-GB"/>
        </w:rPr>
      </w:pPr>
      <w:r w:rsidRPr="00AD4C6A">
        <w:rPr>
          <w:rFonts w:ascii="Verdana" w:eastAsia="Calibri" w:hAnsi="Verdana" w:cs="Arial"/>
          <w:sz w:val="21"/>
          <w:szCs w:val="21"/>
          <w:lang w:val="es-MX" w:eastAsia="en-GB"/>
        </w:rPr>
        <w:t>[…]</w:t>
      </w:r>
    </w:p>
    <w:p w14:paraId="15F7E67F" w14:textId="77777777" w:rsidR="00AD4C6A" w:rsidRPr="00AD4C6A" w:rsidRDefault="00AD4C6A" w:rsidP="00AD4C6A">
      <w:pPr>
        <w:spacing w:after="0" w:line="240" w:lineRule="auto"/>
        <w:ind w:left="709" w:right="709"/>
        <w:jc w:val="both"/>
        <w:rPr>
          <w:rFonts w:ascii="Verdana" w:eastAsia="Calibri" w:hAnsi="Verdana" w:cs="Arial"/>
          <w:sz w:val="21"/>
          <w:szCs w:val="21"/>
          <w:lang w:eastAsia="en-GB"/>
        </w:rPr>
      </w:pPr>
      <w:r w:rsidRPr="00AD4C6A">
        <w:rPr>
          <w:rFonts w:ascii="Verdana" w:eastAsia="Calibri" w:hAnsi="Verdana" w:cs="Arial"/>
          <w:sz w:val="21"/>
          <w:szCs w:val="21"/>
          <w:lang w:eastAsia="en-GB"/>
        </w:rPr>
        <w:t xml:space="preserve">Si un contrato se encuentra suspendido, el cálculo del Saldo del Contrato en Ejecución (SCE) de dicho contrato debe calcularse asumiendo que lo que falta por ejecutar empezará en la fecha de la presentación de la oferta del Proceso de Contratación.”  </w:t>
      </w:r>
    </w:p>
    <w:p w14:paraId="62525107" w14:textId="77777777" w:rsidR="00AD4C6A" w:rsidRPr="00AD4C6A" w:rsidRDefault="00AD4C6A" w:rsidP="00AD4C6A">
      <w:pPr>
        <w:spacing w:after="0" w:line="276" w:lineRule="auto"/>
        <w:ind w:firstLine="709"/>
        <w:jc w:val="both"/>
        <w:rPr>
          <w:rFonts w:ascii="Verdana" w:eastAsia="Calibri" w:hAnsi="Verdana" w:cs="Arial"/>
          <w:lang w:eastAsia="en-GB"/>
        </w:rPr>
      </w:pPr>
    </w:p>
    <w:p w14:paraId="0AFB70E8" w14:textId="77777777" w:rsidR="00AD4C6A" w:rsidRPr="00AD4C6A" w:rsidRDefault="00AD4C6A" w:rsidP="00AD4C6A">
      <w:pPr>
        <w:spacing w:after="120" w:line="276" w:lineRule="auto"/>
        <w:ind w:firstLine="709"/>
        <w:jc w:val="both"/>
        <w:rPr>
          <w:rFonts w:ascii="Verdana" w:eastAsia="Calibri" w:hAnsi="Verdana" w:cs="Arial"/>
          <w:lang w:eastAsia="en-GB"/>
        </w:rPr>
      </w:pPr>
      <w:r w:rsidRPr="00AD4C6A">
        <w:rPr>
          <w:rFonts w:ascii="Verdana" w:eastAsia="Calibri" w:hAnsi="Verdana" w:cs="Arial"/>
          <w:lang w:eastAsia="en-GB"/>
        </w:rPr>
        <w:t xml:space="preserve">De este modo, para acreditar el factor </w:t>
      </w:r>
      <w:r w:rsidRPr="00AD4C6A">
        <w:rPr>
          <w:rFonts w:ascii="Verdana" w:eastAsia="Calibri" w:hAnsi="Verdana" w:cs="Arial"/>
          <w:bCs/>
          <w:color w:val="000000"/>
          <w:lang w:val="es-MX" w:eastAsia="en-GB"/>
        </w:rPr>
        <w:t xml:space="preserve">saldos de los contratos en ejecución </w:t>
      </w:r>
      <w:r w:rsidRPr="00AD4C6A">
        <w:rPr>
          <w:rFonts w:ascii="Verdana" w:eastAsia="Calibri" w:hAnsi="Verdana" w:cs="Arial"/>
          <w:bCs/>
          <w:color w:val="000000"/>
          <w:lang w:eastAsia="en-GB"/>
        </w:rPr>
        <w:t>“SCE”,</w:t>
      </w:r>
      <w:r w:rsidRPr="00AD4C6A">
        <w:rPr>
          <w:rFonts w:ascii="Verdana" w:eastAsia="Calibri" w:hAnsi="Verdana" w:cs="Arial"/>
          <w:lang w:eastAsia="en-GB"/>
        </w:rPr>
        <w:t xml:space="preserve"> como lo establece la Guía, el proponente debe presentar la lista de contratos de obras civiles en ejecución, tanto a nivel nacional como internacional, señalando: i) el valor del contrato; </w:t>
      </w:r>
      <w:proofErr w:type="spellStart"/>
      <w:r w:rsidRPr="00AD4C6A">
        <w:rPr>
          <w:rFonts w:ascii="Verdana" w:eastAsia="Calibri" w:hAnsi="Verdana" w:cs="Arial"/>
          <w:lang w:eastAsia="en-GB"/>
        </w:rPr>
        <w:t>ii</w:t>
      </w:r>
      <w:proofErr w:type="spellEnd"/>
      <w:r w:rsidRPr="00AD4C6A">
        <w:rPr>
          <w:rFonts w:ascii="Verdana" w:eastAsia="Calibri" w:hAnsi="Verdana" w:cs="Arial"/>
          <w:lang w:eastAsia="en-GB"/>
        </w:rPr>
        <w:t xml:space="preserve">) el plazo de ejecución del contrato en meses; </w:t>
      </w:r>
      <w:proofErr w:type="spellStart"/>
      <w:r w:rsidRPr="00AD4C6A">
        <w:rPr>
          <w:rFonts w:ascii="Verdana" w:eastAsia="Calibri" w:hAnsi="Verdana" w:cs="Arial"/>
          <w:lang w:eastAsia="en-GB"/>
        </w:rPr>
        <w:t>iii</w:t>
      </w:r>
      <w:proofErr w:type="spellEnd"/>
      <w:r w:rsidRPr="00AD4C6A">
        <w:rPr>
          <w:rFonts w:ascii="Verdana" w:eastAsia="Calibri" w:hAnsi="Verdana" w:cs="Arial"/>
          <w:lang w:eastAsia="en-GB"/>
        </w:rPr>
        <w:t xml:space="preserve">) la fecha de inicio de las obras objeto del contrato (día, mes, año); </w:t>
      </w:r>
      <w:proofErr w:type="spellStart"/>
      <w:r w:rsidRPr="00AD4C6A">
        <w:rPr>
          <w:rFonts w:ascii="Verdana" w:eastAsia="Calibri" w:hAnsi="Verdana" w:cs="Arial"/>
          <w:lang w:eastAsia="en-GB"/>
        </w:rPr>
        <w:t>iv</w:t>
      </w:r>
      <w:proofErr w:type="spellEnd"/>
      <w:r w:rsidRPr="00AD4C6A">
        <w:rPr>
          <w:rFonts w:ascii="Verdana" w:eastAsia="Calibri" w:hAnsi="Verdana" w:cs="Arial"/>
          <w:lang w:eastAsia="en-GB"/>
        </w:rPr>
        <w:t xml:space="preserve">) si la obra la ejecuta un consorcio o unión temporal, junto con el porcentaje de participación del oferente que presenta el certificado; v) si el contrato se encuentra suspendido, y si es así, la fecha de suspensión, además del saldo pendiente por ejecutar. Si el proponente no tiene contratos en ejecución, en el certificado debe constar expresamente esa circunstancia. </w:t>
      </w:r>
    </w:p>
    <w:p w14:paraId="6B273551" w14:textId="77777777" w:rsidR="00AD4C6A" w:rsidRPr="00AD4C6A" w:rsidRDefault="00AD4C6A" w:rsidP="00AD4C6A">
      <w:pPr>
        <w:spacing w:after="0" w:line="276" w:lineRule="auto"/>
        <w:ind w:firstLine="709"/>
        <w:jc w:val="both"/>
        <w:rPr>
          <w:rFonts w:ascii="Verdana" w:eastAsia="Calibri" w:hAnsi="Verdana" w:cs="Arial"/>
          <w:lang w:eastAsia="en-GB"/>
        </w:rPr>
      </w:pPr>
      <w:r w:rsidRPr="00AD4C6A">
        <w:rPr>
          <w:rFonts w:ascii="Verdana" w:eastAsia="Calibri" w:hAnsi="Verdana" w:cs="Arial"/>
          <w:lang w:eastAsia="en-GB"/>
        </w:rPr>
        <w:t xml:space="preserve">En concordancia con lo anterior, sobre la acreditación del factor </w:t>
      </w:r>
      <w:r w:rsidRPr="00AD4C6A">
        <w:rPr>
          <w:rFonts w:ascii="Verdana" w:eastAsia="Calibri" w:hAnsi="Verdana" w:cs="Arial"/>
          <w:bCs/>
          <w:color w:val="000000"/>
          <w:lang w:eastAsia="en-GB"/>
        </w:rPr>
        <w:t xml:space="preserve">“SCE” </w:t>
      </w:r>
      <w:r w:rsidRPr="00AD4C6A">
        <w:rPr>
          <w:rFonts w:ascii="Verdana" w:eastAsia="Calibri" w:hAnsi="Verdana" w:cs="Arial"/>
          <w:lang w:eastAsia="en-GB"/>
        </w:rPr>
        <w:t>en los Documentos Tipo de Licitación de Obra Pública para Infraestructura de Transporte</w:t>
      </w:r>
      <w:r w:rsidRPr="00AD4C6A">
        <w:rPr>
          <w:rFonts w:ascii="Verdana" w:eastAsia="Calibri" w:hAnsi="Verdana" w:cs="Arial"/>
          <w:vertAlign w:val="superscript"/>
          <w:lang w:eastAsia="en-GB"/>
        </w:rPr>
        <w:footnoteReference w:id="5"/>
      </w:r>
      <w:r w:rsidRPr="00AD4C6A">
        <w:rPr>
          <w:rFonts w:ascii="Verdana" w:eastAsia="Calibri" w:hAnsi="Verdana" w:cs="Arial"/>
          <w:lang w:eastAsia="en-GB"/>
        </w:rPr>
        <w:t xml:space="preserve">, </w:t>
      </w:r>
      <w:bookmarkStart w:id="10" w:name="_Hlk100140108"/>
      <w:r w:rsidRPr="00AD4C6A">
        <w:rPr>
          <w:rFonts w:ascii="Verdana" w:eastAsia="Calibri" w:hAnsi="Verdana" w:cs="Arial"/>
          <w:lang w:eastAsia="en-GB"/>
        </w:rPr>
        <w:t>el literal E del numeral 3.11.2 “CÁLCULO DE LA CAPACIDAD RESIDUAL DEL PROPONENTE (CRP)” del Documento Base</w:t>
      </w:r>
      <w:bookmarkEnd w:id="10"/>
      <w:r w:rsidRPr="00AD4C6A">
        <w:rPr>
          <w:rFonts w:ascii="Verdana" w:eastAsia="Calibri" w:hAnsi="Verdana" w:cs="Arial"/>
          <w:lang w:eastAsia="en-GB"/>
        </w:rPr>
        <w:t xml:space="preserve"> señala lo siguiente:</w:t>
      </w:r>
    </w:p>
    <w:p w14:paraId="5A3557BD" w14:textId="77777777" w:rsidR="00AD4C6A" w:rsidRPr="00AD4C6A" w:rsidRDefault="00AD4C6A" w:rsidP="00AD4C6A">
      <w:pPr>
        <w:spacing w:after="0" w:line="276" w:lineRule="auto"/>
        <w:ind w:firstLine="709"/>
        <w:jc w:val="both"/>
        <w:rPr>
          <w:rFonts w:ascii="Verdana" w:eastAsia="Calibri" w:hAnsi="Verdana" w:cs="Arial"/>
          <w:lang w:eastAsia="en-GB"/>
        </w:rPr>
      </w:pPr>
    </w:p>
    <w:p w14:paraId="4B73DC7B" w14:textId="77777777" w:rsidR="00AD4C6A" w:rsidRPr="00AD4C6A" w:rsidRDefault="00AD4C6A" w:rsidP="00AD4C6A">
      <w:pPr>
        <w:spacing w:after="0" w:line="240" w:lineRule="auto"/>
        <w:ind w:left="709" w:right="709"/>
        <w:jc w:val="both"/>
        <w:rPr>
          <w:rFonts w:ascii="Verdana" w:eastAsia="Arial," w:hAnsi="Verdana" w:cs="Arial"/>
          <w:sz w:val="21"/>
          <w:szCs w:val="21"/>
          <w:lang w:eastAsia="en-GB"/>
        </w:rPr>
      </w:pPr>
      <w:r w:rsidRPr="00AD4C6A">
        <w:rPr>
          <w:rFonts w:ascii="Verdana" w:eastAsia="Calibri" w:hAnsi="Verdana" w:cs="Arial"/>
          <w:sz w:val="21"/>
          <w:szCs w:val="21"/>
          <w:lang w:eastAsia="en-GB"/>
        </w:rPr>
        <w:t>“Para</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acreditar</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el</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factor</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(SCE)</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el</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proponente</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tendrá</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en</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cuenta</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lo</w:t>
      </w:r>
      <w:r w:rsidRPr="00AD4C6A">
        <w:rPr>
          <w:rFonts w:ascii="Verdana" w:eastAsia="Arial," w:hAnsi="Verdana" w:cs="Arial"/>
          <w:sz w:val="21"/>
          <w:szCs w:val="21"/>
          <w:lang w:eastAsia="en-GB"/>
        </w:rPr>
        <w:t xml:space="preserve"> </w:t>
      </w:r>
      <w:r w:rsidRPr="00AD4C6A">
        <w:rPr>
          <w:rFonts w:ascii="Verdana" w:eastAsia="Calibri" w:hAnsi="Verdana" w:cs="Arial"/>
          <w:sz w:val="21"/>
          <w:szCs w:val="21"/>
          <w:lang w:eastAsia="en-GB"/>
        </w:rPr>
        <w:t>siguiente:</w:t>
      </w:r>
    </w:p>
    <w:p w14:paraId="36DE26F6" w14:textId="77777777" w:rsidR="00AD4C6A" w:rsidRPr="00AD4C6A" w:rsidRDefault="00AD4C6A" w:rsidP="00AD4C6A">
      <w:pPr>
        <w:spacing w:after="0" w:line="240" w:lineRule="auto"/>
        <w:ind w:left="709" w:right="709"/>
        <w:jc w:val="both"/>
        <w:rPr>
          <w:rFonts w:ascii="Verdana" w:eastAsia="Arial," w:hAnsi="Verdana" w:cs="Arial"/>
          <w:sz w:val="21"/>
          <w:szCs w:val="21"/>
          <w:lang w:eastAsia="en-GB"/>
        </w:rPr>
      </w:pPr>
      <w:r w:rsidRPr="00AD4C6A">
        <w:rPr>
          <w:rFonts w:ascii="Verdana" w:eastAsia="Arial," w:hAnsi="Verdana" w:cs="Arial"/>
          <w:sz w:val="21"/>
          <w:szCs w:val="21"/>
          <w:lang w:eastAsia="en-GB"/>
        </w:rPr>
        <w:t>[…]</w:t>
      </w:r>
    </w:p>
    <w:p w14:paraId="038981C3" w14:textId="77777777" w:rsidR="00AD4C6A" w:rsidRPr="00AD4C6A" w:rsidRDefault="00AD4C6A" w:rsidP="00AD4C6A">
      <w:pPr>
        <w:spacing w:after="0" w:line="240" w:lineRule="auto"/>
        <w:ind w:left="1134" w:right="709" w:hanging="425"/>
        <w:jc w:val="both"/>
        <w:rPr>
          <w:rFonts w:ascii="Verdana" w:eastAsia="Arial" w:hAnsi="Verdana" w:cs="Arial"/>
          <w:sz w:val="21"/>
          <w:szCs w:val="21"/>
          <w:lang w:val="es-MX" w:eastAsia="en-GB"/>
        </w:rPr>
      </w:pPr>
      <w:r w:rsidRPr="00AD4C6A">
        <w:rPr>
          <w:rFonts w:ascii="Verdana" w:eastAsia="Arial" w:hAnsi="Verdana" w:cs="Arial"/>
          <w:sz w:val="21"/>
          <w:szCs w:val="21"/>
          <w:lang w:val="es-MX" w:eastAsia="en-GB"/>
        </w:rPr>
        <w:t>II.</w:t>
      </w:r>
      <w:r w:rsidRPr="00AD4C6A">
        <w:rPr>
          <w:rFonts w:ascii="Verdana" w:eastAsia="Arial" w:hAnsi="Verdana" w:cs="Arial"/>
          <w:sz w:val="21"/>
          <w:szCs w:val="21"/>
          <w:lang w:val="es-MX" w:eastAsia="en-GB"/>
        </w:rPr>
        <w:tab/>
        <w:t xml:space="preserve">Los contratos de obras civiles en ejecución son aquellos que a la fecha de presentación de la oferta obligan al proponente con entidades estatales y con entidades privadas para ejecutar obras </w:t>
      </w:r>
      <w:r w:rsidRPr="00AD4C6A">
        <w:rPr>
          <w:rFonts w:ascii="Verdana" w:eastAsia="Arial" w:hAnsi="Verdana" w:cs="Arial"/>
          <w:sz w:val="21"/>
          <w:szCs w:val="21"/>
          <w:lang w:val="es-MX" w:eastAsia="en-GB"/>
        </w:rPr>
        <w:lastRenderedPageBreak/>
        <w:t>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4D43D9E0" w14:textId="77777777" w:rsidR="00AD4C6A" w:rsidRPr="00AD4C6A" w:rsidRDefault="00AD4C6A" w:rsidP="00AD4C6A">
      <w:pPr>
        <w:spacing w:after="0" w:line="240" w:lineRule="auto"/>
        <w:ind w:left="1134" w:right="709" w:hanging="425"/>
        <w:jc w:val="both"/>
        <w:rPr>
          <w:rFonts w:ascii="Verdana" w:eastAsia="Arial" w:hAnsi="Verdana" w:cs="Arial"/>
          <w:sz w:val="21"/>
          <w:szCs w:val="21"/>
          <w:lang w:val="es-MX" w:eastAsia="en-GB"/>
        </w:rPr>
      </w:pPr>
      <w:r w:rsidRPr="00AD4C6A">
        <w:rPr>
          <w:rFonts w:ascii="Verdana" w:eastAsia="Arial" w:hAnsi="Verdana" w:cs="Arial"/>
          <w:sz w:val="21"/>
          <w:szCs w:val="21"/>
          <w:lang w:val="es-MX" w:eastAsia="en-GB"/>
        </w:rPr>
        <w:t>III.</w:t>
      </w:r>
      <w:r w:rsidRPr="00AD4C6A">
        <w:rPr>
          <w:rFonts w:ascii="Verdana" w:eastAsia="Arial" w:hAnsi="Verdana" w:cs="Arial"/>
          <w:sz w:val="21"/>
          <w:szCs w:val="21"/>
          <w:lang w:val="es-MX" w:eastAsia="en-GB"/>
        </w:rPr>
        <w:tab/>
        <w:t xml:space="preserve">Se tendrán en cuenta los </w:t>
      </w:r>
      <w:bookmarkStart w:id="11" w:name="_Hlk199239771"/>
      <w:r w:rsidRPr="00AD4C6A">
        <w:rPr>
          <w:rFonts w:ascii="Verdana" w:eastAsia="Arial" w:hAnsi="Verdana" w:cs="Arial"/>
          <w:sz w:val="21"/>
          <w:szCs w:val="21"/>
          <w:lang w:val="es-MX" w:eastAsia="en-GB"/>
        </w:rPr>
        <w:t xml:space="preserve">contratos de obras civiles en ejecución </w:t>
      </w:r>
      <w:bookmarkEnd w:id="11"/>
      <w:r w:rsidRPr="00AD4C6A">
        <w:rPr>
          <w:rFonts w:ascii="Verdana" w:eastAsia="Arial" w:hAnsi="Verdana" w:cs="Arial"/>
          <w:sz w:val="21"/>
          <w:szCs w:val="21"/>
          <w:lang w:val="es-MX" w:eastAsia="en-GB"/>
        </w:rPr>
        <w:t xml:space="preserve">suscritos por el proponente o por sociedades, consorcios o uniones temporales en los cuales el proponente tenga participación. </w:t>
      </w:r>
    </w:p>
    <w:p w14:paraId="3F0A3D84" w14:textId="77777777" w:rsidR="00AD4C6A" w:rsidRPr="00AD4C6A" w:rsidRDefault="00AD4C6A" w:rsidP="00AD4C6A">
      <w:pPr>
        <w:spacing w:after="0" w:line="240" w:lineRule="auto"/>
        <w:ind w:left="1134" w:right="709" w:hanging="425"/>
        <w:jc w:val="both"/>
        <w:rPr>
          <w:rFonts w:ascii="Verdana" w:eastAsia="Arial" w:hAnsi="Verdana" w:cs="Arial"/>
          <w:sz w:val="21"/>
          <w:szCs w:val="21"/>
          <w:lang w:val="es-MX" w:eastAsia="en-GB"/>
        </w:rPr>
      </w:pPr>
      <w:r w:rsidRPr="00AD4C6A">
        <w:rPr>
          <w:rFonts w:ascii="Verdana" w:eastAsia="Arial" w:hAnsi="Verdana" w:cs="Arial"/>
          <w:sz w:val="21"/>
          <w:szCs w:val="21"/>
          <w:lang w:val="es-MX" w:eastAsia="en-GB"/>
        </w:rPr>
        <w:t>IV.</w:t>
      </w:r>
      <w:r w:rsidRPr="00AD4C6A">
        <w:rPr>
          <w:rFonts w:ascii="Verdana" w:eastAsia="Arial" w:hAnsi="Verdana" w:cs="Arial"/>
          <w:sz w:val="21"/>
          <w:szCs w:val="21"/>
          <w:lang w:val="es-MX" w:eastAsia="en-GB"/>
        </w:rPr>
        <w:tab/>
        <w:t>Si un contrato se encuentra suspendido, el cálculo del (SCE) de dicho contrato debe efectuarse asumiendo que lo que falta por ejecutar iniciara en la fecha de presentación de la oferta del Proceso de Contratación. Si el contrato está suspendido el proponente debe informar el saldo pendiente por ejecutar.</w:t>
      </w:r>
    </w:p>
    <w:p w14:paraId="06E6D450" w14:textId="77777777" w:rsidR="00AD4C6A" w:rsidRPr="00AD4C6A" w:rsidRDefault="00AD4C6A" w:rsidP="00AD4C6A">
      <w:pPr>
        <w:spacing w:after="0" w:line="240" w:lineRule="auto"/>
        <w:ind w:left="1134" w:right="709" w:hanging="425"/>
        <w:jc w:val="both"/>
        <w:rPr>
          <w:rFonts w:ascii="Verdana" w:eastAsia="Arial" w:hAnsi="Verdana" w:cs="Arial"/>
          <w:sz w:val="21"/>
          <w:szCs w:val="21"/>
          <w:lang w:val="es-MX" w:eastAsia="en-GB"/>
        </w:rPr>
      </w:pPr>
      <w:r w:rsidRPr="00AD4C6A">
        <w:rPr>
          <w:rFonts w:ascii="Verdana" w:eastAsia="Arial" w:hAnsi="Verdana" w:cs="Arial"/>
          <w:sz w:val="21"/>
          <w:szCs w:val="21"/>
          <w:lang w:val="es-MX" w:eastAsia="en-GB"/>
        </w:rPr>
        <w:t>V.</w:t>
      </w:r>
      <w:r w:rsidRPr="00AD4C6A">
        <w:rPr>
          <w:rFonts w:ascii="Verdana" w:eastAsia="Arial" w:hAnsi="Verdana" w:cs="Arial"/>
          <w:sz w:val="21"/>
          <w:szCs w:val="21"/>
          <w:lang w:val="es-MX" w:eastAsia="en-GB"/>
        </w:rPr>
        <w:tab/>
        <w:t>El cálculo del factor (SCE)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la respectiva estructura.”</w:t>
      </w:r>
    </w:p>
    <w:p w14:paraId="606BAEFE" w14:textId="77777777" w:rsidR="00AD4C6A" w:rsidRPr="00AD4C6A" w:rsidRDefault="00AD4C6A" w:rsidP="00AD4C6A">
      <w:pPr>
        <w:spacing w:after="0" w:line="276" w:lineRule="auto"/>
        <w:jc w:val="both"/>
        <w:rPr>
          <w:rFonts w:ascii="Verdana" w:eastAsia="Arial," w:hAnsi="Verdana" w:cs="Arial"/>
          <w:lang w:val="es-MX" w:eastAsia="en-GB"/>
        </w:rPr>
      </w:pPr>
    </w:p>
    <w:p w14:paraId="1E252D61" w14:textId="77777777" w:rsidR="00AD4C6A" w:rsidRPr="00AD4C6A" w:rsidRDefault="00AD4C6A" w:rsidP="00AD4C6A">
      <w:pPr>
        <w:spacing w:after="120" w:line="276" w:lineRule="auto"/>
        <w:ind w:firstLine="709"/>
        <w:jc w:val="both"/>
        <w:rPr>
          <w:rFonts w:ascii="Verdana" w:eastAsia="Calibri" w:hAnsi="Verdana" w:cs="Arial"/>
          <w:lang w:val="es-MX" w:eastAsia="en-GB"/>
        </w:rPr>
      </w:pPr>
      <w:r w:rsidRPr="00AD4C6A">
        <w:rPr>
          <w:rFonts w:ascii="Verdana" w:eastAsia="Arial," w:hAnsi="Verdana" w:cs="Arial"/>
          <w:lang w:eastAsia="en-GB"/>
        </w:rPr>
        <w:t>Como se aprecia, los apartados transcritos del Documento Base están en armonía con lo dispuesto en la “</w:t>
      </w:r>
      <w:r w:rsidRPr="00AD4C6A">
        <w:rPr>
          <w:rFonts w:ascii="Verdana" w:eastAsia="Calibri" w:hAnsi="Verdana" w:cs="Arial"/>
          <w:lang w:eastAsia="en-GB"/>
        </w:rPr>
        <w:t xml:space="preserve">Guía para Determinar y Verificar la Capacidad Residual del Proponente en los Procesos de Contratación de Obra Pública”, y se refieren a los contratos de obras civiles en ejecución, incluyendo a los contratos suspendidos y los que no tienen acta de inicio. Lo expuesto es congruente con </w:t>
      </w:r>
      <w:r w:rsidRPr="00AD4C6A">
        <w:rPr>
          <w:rFonts w:ascii="Verdana" w:eastAsia="Calibri" w:hAnsi="Verdana" w:cs="Arial"/>
          <w:color w:val="000000"/>
          <w:lang w:val="es-MX" w:eastAsia="en-GB"/>
        </w:rPr>
        <w:t xml:space="preserve">el artículo 2.2.1.1.1.6.4 del Decreto 1082 de 2015, en virtud del cual, para efectos de </w:t>
      </w:r>
      <w:r w:rsidRPr="00AD4C6A">
        <w:rPr>
          <w:rFonts w:ascii="Verdana" w:eastAsia="Calibri" w:hAnsi="Verdana" w:cs="Arial"/>
          <w:lang w:val="es-MX" w:eastAsia="en-GB"/>
        </w:rPr>
        <w:t xml:space="preserve">acreditar la Capacidad Residual del proponente, se requiere el listado de contratos de obra civiles en ejecución suscritos con Entidades Estatales y con entidades privadas. </w:t>
      </w:r>
    </w:p>
    <w:p w14:paraId="134A9352" w14:textId="77777777" w:rsidR="00AD4C6A" w:rsidRPr="00AD4C6A" w:rsidRDefault="00AD4C6A" w:rsidP="00AD4C6A">
      <w:pPr>
        <w:spacing w:after="120" w:line="276" w:lineRule="auto"/>
        <w:ind w:firstLine="709"/>
        <w:jc w:val="both"/>
        <w:rPr>
          <w:rFonts w:ascii="Verdana" w:eastAsia="Calibri" w:hAnsi="Verdana" w:cs="Arial"/>
          <w:lang w:eastAsia="en-GB"/>
        </w:rPr>
      </w:pPr>
      <w:r w:rsidRPr="00AD4C6A">
        <w:rPr>
          <w:rFonts w:ascii="Verdana" w:eastAsia="Calibri" w:hAnsi="Verdana" w:cs="Arial"/>
          <w:lang w:val="es-MX" w:eastAsia="en-GB"/>
        </w:rPr>
        <w:t xml:space="preserve">En consecuencia, para acreditar el factor de saldos de contratos en ejecución (SCE), es necesario que se presenten </w:t>
      </w:r>
      <w:r w:rsidRPr="00AD4C6A">
        <w:rPr>
          <w:rFonts w:ascii="Verdana" w:eastAsia="Calibri" w:hAnsi="Verdana" w:cs="Arial"/>
          <w:lang w:eastAsia="en-GB"/>
        </w:rPr>
        <w:t xml:space="preserve">los contratos de obras civiles en ejecución, tanto a nivel nacional como internacional, </w:t>
      </w:r>
      <w:r w:rsidRPr="00AD4C6A">
        <w:rPr>
          <w:rFonts w:ascii="Verdana" w:eastAsia="Calibri" w:hAnsi="Verdana" w:cs="Arial"/>
          <w:i/>
          <w:iCs/>
          <w:lang w:eastAsia="en-GB"/>
        </w:rPr>
        <w:t>independientemente de su denominación o tipología contractual</w:t>
      </w:r>
      <w:r w:rsidRPr="00AD4C6A">
        <w:rPr>
          <w:rFonts w:ascii="Verdana" w:eastAsia="Calibri" w:hAnsi="Verdana" w:cs="Arial"/>
          <w:lang w:eastAsia="en-GB"/>
        </w:rPr>
        <w:t xml:space="preserve">. Esto implica que deben tenerse en cuenta todos aquellos contratos que tengan por objeto </w:t>
      </w:r>
      <w:r w:rsidRPr="00AD4C6A">
        <w:rPr>
          <w:rFonts w:ascii="Verdana" w:eastAsia="Calibri" w:hAnsi="Verdana" w:cs="Arial"/>
          <w:i/>
          <w:iCs/>
          <w:lang w:eastAsia="en-GB"/>
        </w:rPr>
        <w:t>obras civiles</w:t>
      </w:r>
      <w:r w:rsidRPr="00AD4C6A">
        <w:rPr>
          <w:rFonts w:ascii="Verdana" w:eastAsia="Calibri" w:hAnsi="Verdana" w:cs="Arial"/>
          <w:lang w:eastAsia="en-GB"/>
        </w:rPr>
        <w:t xml:space="preserve"> y que se encuentren en ejecución, en los términos expuestos en este concepto y de conformidad con las normas y la Guía a las que se hizo referencia. </w:t>
      </w:r>
    </w:p>
    <w:p w14:paraId="2F02634B" w14:textId="77777777" w:rsidR="00AD4C6A" w:rsidRPr="00AD4C6A" w:rsidRDefault="00AD4C6A" w:rsidP="00AD4C6A">
      <w:pPr>
        <w:spacing w:after="120" w:line="276" w:lineRule="auto"/>
        <w:ind w:firstLine="709"/>
        <w:jc w:val="both"/>
        <w:rPr>
          <w:rFonts w:ascii="Verdana" w:eastAsia="Calibri" w:hAnsi="Verdana" w:cs="Arial"/>
          <w:lang w:eastAsia="en-GB"/>
        </w:rPr>
      </w:pPr>
      <w:r w:rsidRPr="00AD4C6A">
        <w:rPr>
          <w:rFonts w:ascii="Verdana" w:eastAsia="Calibri" w:hAnsi="Verdana" w:cs="Arial"/>
          <w:lang w:eastAsia="en-GB"/>
        </w:rPr>
        <w:t xml:space="preserve">Finalmente, teniendo en cuenta su consulta, es importante precisar que, conforme al Documento Base de los documentos tipo en comento y el artículo 2.2.1.1.1.6.4 del Decreto 1082 de 2015, los saldos de contratos en ejecución </w:t>
      </w:r>
      <w:r w:rsidRPr="00AD4C6A">
        <w:rPr>
          <w:rFonts w:ascii="Verdana" w:eastAsia="Calibri" w:hAnsi="Verdana" w:cs="Arial"/>
          <w:lang w:eastAsia="en-GB"/>
        </w:rPr>
        <w:lastRenderedPageBreak/>
        <w:t>(SCE) contemplan, también, la lista de los contratos de obras civiles en ejecución, suscritos por sociedades, consorcios o uniones temporales, en los cuales el proponente tenga participación, con Entidades Estatales y con entidades privadas.</w:t>
      </w:r>
    </w:p>
    <w:p w14:paraId="09A7F80F" w14:textId="77777777" w:rsidR="00AD4C6A" w:rsidRPr="00AD4C6A" w:rsidRDefault="00AD4C6A" w:rsidP="00AD4C6A">
      <w:pPr>
        <w:spacing w:after="120" w:line="276" w:lineRule="auto"/>
        <w:ind w:firstLine="709"/>
        <w:jc w:val="both"/>
        <w:rPr>
          <w:rFonts w:ascii="Verdana" w:eastAsia="Calibri" w:hAnsi="Verdana" w:cs="Arial"/>
          <w:lang w:eastAsia="en-GB"/>
        </w:rPr>
      </w:pPr>
      <w:r w:rsidRPr="00AD4C6A">
        <w:rPr>
          <w:rFonts w:ascii="Verdana" w:eastAsia="Calibri" w:hAnsi="Verdana" w:cs="Arial"/>
          <w:lang w:eastAsia="en-GB"/>
        </w:rPr>
        <w:t xml:space="preserve">Lo anterior implica que, para efectos del cálculo del factor SCE, el proponente tendrá en cuenta los contratos de obras civiles en ejecución suscritos por sociedades, consorcios o uniones temporales en los cuales tenga participación. En ese sentido, cuando un proponente haga parte de un consorcio, unión temporal o sociedad –indistintamente del tipo societario– y tenga participación en los contratos de obras civiles suscritos por estos que se encuentren en ejecución, el proponente tendrá en cuenta dichos contratos para el cálculo de los saldos de contratos en ejecución. </w:t>
      </w:r>
    </w:p>
    <w:p w14:paraId="0BE419B0" w14:textId="77777777" w:rsidR="00AD4C6A" w:rsidRPr="00AD4C6A" w:rsidRDefault="00AD4C6A" w:rsidP="00AD4C6A">
      <w:pPr>
        <w:spacing w:after="0" w:line="276" w:lineRule="auto"/>
        <w:ind w:firstLine="709"/>
        <w:jc w:val="both"/>
        <w:rPr>
          <w:rFonts w:ascii="Verdana" w:eastAsia="Calibri" w:hAnsi="Verdana" w:cs="Arial"/>
          <w:lang w:eastAsia="en-GB"/>
        </w:rPr>
      </w:pPr>
      <w:r w:rsidRPr="00AD4C6A">
        <w:rPr>
          <w:rFonts w:ascii="Verdana" w:eastAsia="Calibri" w:hAnsi="Verdana" w:cs="Arial"/>
          <w:lang w:eastAsia="en-GB"/>
        </w:rPr>
        <w:t xml:space="preserve">De todos modos, lo precisado </w:t>
      </w:r>
      <w:r w:rsidRPr="00AD4C6A">
        <w:rPr>
          <w:rFonts w:ascii="Verdana" w:eastAsia="Calibri" w:hAnsi="Verdana" w:cs="Arial"/>
          <w:i/>
          <w:iCs/>
          <w:lang w:eastAsia="en-GB"/>
        </w:rPr>
        <w:t>ut supra</w:t>
      </w:r>
      <w:r w:rsidRPr="00AD4C6A">
        <w:rPr>
          <w:rFonts w:ascii="Verdana" w:eastAsia="Calibri" w:hAnsi="Verdana" w:cs="Arial"/>
          <w:lang w:eastAsia="en-GB"/>
        </w:rPr>
        <w:t xml:space="preserve"> no significa que para que puedan tenerse en cuenta los contratos en ejecución la oferta deba ser presentada por una sociedad o proponente plural en su integridad, sino que quien haga parte de estos y pretenda participar en un proceso de contratación podrá tener en cuenta los contratos de obras civiles en ejecución respecto de los cuales tenga participación dentro de la sociedad o estructura plural.</w:t>
      </w:r>
    </w:p>
    <w:p w14:paraId="48BA3E4B" w14:textId="77777777" w:rsidR="00AD4C6A" w:rsidRPr="00AD4C6A" w:rsidRDefault="00AD4C6A" w:rsidP="00AD4C6A">
      <w:pPr>
        <w:snapToGrid w:val="0"/>
        <w:spacing w:after="0" w:line="276" w:lineRule="auto"/>
        <w:jc w:val="both"/>
        <w:rPr>
          <w:rFonts w:ascii="Verdana" w:eastAsia="Calibri" w:hAnsi="Verdana" w:cs="Arial"/>
          <w:lang w:val="es-ES_tradnl"/>
        </w:rPr>
      </w:pPr>
    </w:p>
    <w:p w14:paraId="2BF4966B" w14:textId="77777777" w:rsidR="00AD4C6A" w:rsidRPr="00AD4C6A" w:rsidRDefault="00AD4C6A" w:rsidP="00AD4C6A">
      <w:pPr>
        <w:snapToGrid w:val="0"/>
        <w:spacing w:after="120" w:line="276" w:lineRule="auto"/>
        <w:jc w:val="both"/>
        <w:rPr>
          <w:rFonts w:ascii="Verdana" w:eastAsia="Calibri" w:hAnsi="Verdana" w:cs="Arial"/>
          <w:lang w:val="es-ES_tradnl"/>
        </w:rPr>
      </w:pPr>
      <w:proofErr w:type="spellStart"/>
      <w:r w:rsidRPr="00AD4C6A">
        <w:rPr>
          <w:rFonts w:ascii="Verdana" w:eastAsia="Calibri" w:hAnsi="Verdana" w:cs="Arial"/>
          <w:lang w:val="es-ES_tradnl"/>
        </w:rPr>
        <w:t>ii</w:t>
      </w:r>
      <w:proofErr w:type="spellEnd"/>
      <w:r w:rsidRPr="00AD4C6A">
        <w:rPr>
          <w:rFonts w:ascii="Verdana" w:eastAsia="Calibri" w:hAnsi="Verdana" w:cs="Arial"/>
          <w:lang w:val="es-ES_tradnl"/>
        </w:rPr>
        <w:t>. 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13B522C"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rPr>
        <w:t xml:space="preserve">Los Documentos Tipo adoptados por esta Agencia establecen las condiciones habilitantes, los factores técnicos y económicos de escogencia y los sistemas de ponderación de carácter obligatorio para las Entidades Estatales sometidas al Estatuto General de la Contratación de la Administración Pública. </w:t>
      </w:r>
    </w:p>
    <w:p w14:paraId="3BCC50E1" w14:textId="77777777" w:rsidR="00AD4C6A" w:rsidRPr="00AD4C6A" w:rsidRDefault="00AD4C6A" w:rsidP="00AD4C6A">
      <w:pPr>
        <w:spacing w:after="0" w:line="276" w:lineRule="auto"/>
        <w:ind w:firstLine="708"/>
        <w:jc w:val="both"/>
        <w:rPr>
          <w:rFonts w:ascii="Verdana" w:eastAsia="Calibri" w:hAnsi="Verdana" w:cs="Arial"/>
        </w:rPr>
      </w:pPr>
      <w:r w:rsidRPr="00AD4C6A">
        <w:rPr>
          <w:rFonts w:ascii="Verdana" w:eastAsia="Calibri" w:hAnsi="Verdana" w:cs="Arial"/>
        </w:rPr>
        <w:t xml:space="preserve">En el Documento Base de los documentos tipo de licitación de obra pública de infraestructura de transporte –versión 4– se incluye el numeral 1.11, referido a la información inexacta: </w:t>
      </w:r>
    </w:p>
    <w:p w14:paraId="28479AFC" w14:textId="77777777" w:rsidR="00AD4C6A" w:rsidRPr="00AD4C6A" w:rsidRDefault="00AD4C6A" w:rsidP="00AD4C6A">
      <w:pPr>
        <w:spacing w:after="0" w:line="276" w:lineRule="auto"/>
        <w:ind w:firstLine="708"/>
        <w:jc w:val="both"/>
        <w:rPr>
          <w:rFonts w:ascii="Verdana" w:eastAsia="Calibri" w:hAnsi="Verdana" w:cs="Arial"/>
        </w:rPr>
      </w:pPr>
    </w:p>
    <w:p w14:paraId="5E1187D1" w14:textId="77777777" w:rsidR="00AD4C6A" w:rsidRPr="00AD4C6A" w:rsidRDefault="00AD4C6A" w:rsidP="00AD4C6A">
      <w:pPr>
        <w:keepNext/>
        <w:keepLines/>
        <w:numPr>
          <w:ilvl w:val="1"/>
          <w:numId w:val="0"/>
        </w:numPr>
        <w:spacing w:after="120" w:line="240" w:lineRule="auto"/>
        <w:ind w:left="709" w:right="709"/>
        <w:jc w:val="both"/>
        <w:outlineLvl w:val="1"/>
        <w:rPr>
          <w:rFonts w:ascii="Verdana" w:eastAsia="Yu Gothic Light" w:hAnsi="Verdana" w:cs="Times New Roman"/>
          <w:b/>
          <w:caps/>
          <w:color w:val="000000"/>
          <w:sz w:val="21"/>
          <w:szCs w:val="21"/>
          <w:lang w:val="es-MX"/>
        </w:rPr>
      </w:pPr>
      <w:bookmarkStart w:id="12" w:name="_Toc176242633"/>
      <w:r w:rsidRPr="00AD4C6A">
        <w:rPr>
          <w:rFonts w:ascii="Verdana" w:eastAsia="Yu Gothic Light" w:hAnsi="Verdana" w:cs="Times New Roman"/>
          <w:bCs/>
          <w:caps/>
          <w:color w:val="000000"/>
          <w:sz w:val="21"/>
          <w:szCs w:val="21"/>
          <w:lang w:val="es-MX"/>
        </w:rPr>
        <w:lastRenderedPageBreak/>
        <w:t>“</w:t>
      </w:r>
      <w:r w:rsidRPr="00AD4C6A">
        <w:rPr>
          <w:rFonts w:ascii="Verdana" w:eastAsia="Yu Gothic Light" w:hAnsi="Verdana" w:cs="Times New Roman"/>
          <w:b/>
          <w:caps/>
          <w:color w:val="000000"/>
          <w:sz w:val="21"/>
          <w:szCs w:val="21"/>
          <w:lang w:val="es-MX"/>
        </w:rPr>
        <w:t>1.11. INFORMACIÓN INEXACTA</w:t>
      </w:r>
      <w:bookmarkEnd w:id="12"/>
    </w:p>
    <w:p w14:paraId="619447B2" w14:textId="77777777" w:rsidR="00AD4C6A" w:rsidRPr="00AD4C6A" w:rsidRDefault="00AD4C6A" w:rsidP="00AD4C6A">
      <w:pPr>
        <w:spacing w:line="240" w:lineRule="auto"/>
        <w:ind w:left="709" w:right="709"/>
        <w:jc w:val="both"/>
        <w:rPr>
          <w:rFonts w:ascii="Verdana" w:eastAsia="Calibri" w:hAnsi="Verdana" w:cs="Arial"/>
          <w:color w:val="000000"/>
          <w:sz w:val="21"/>
          <w:szCs w:val="21"/>
          <w:lang w:val="es-MX"/>
        </w:rPr>
      </w:pPr>
      <w:r w:rsidRPr="00AD4C6A">
        <w:rPr>
          <w:rFonts w:ascii="Verdana" w:eastAsia="Calibri" w:hAnsi="Verdana" w:cs="Arial"/>
          <w:color w:val="000000"/>
          <w:sz w:val="21"/>
          <w:szCs w:val="21"/>
          <w:lang w:val="es-MX"/>
        </w:rPr>
        <w:t xml:space="preserve">La entidad se reserva el derecho de verificar integralmente la información aportada por el proponente. Para esto, puede acudir a las autoridades, personas, empresas o entidades   respectivas. </w:t>
      </w:r>
    </w:p>
    <w:p w14:paraId="108F71A7" w14:textId="77777777" w:rsidR="00AD4C6A" w:rsidRPr="00AD4C6A" w:rsidRDefault="00AD4C6A" w:rsidP="00AD4C6A">
      <w:pPr>
        <w:spacing w:line="240" w:lineRule="auto"/>
        <w:ind w:left="709" w:right="709"/>
        <w:jc w:val="both"/>
        <w:rPr>
          <w:rFonts w:ascii="Verdana" w:eastAsia="Calibri" w:hAnsi="Verdana" w:cs="Arial"/>
          <w:color w:val="000000"/>
          <w:sz w:val="21"/>
          <w:szCs w:val="21"/>
          <w:lang w:val="es-MX"/>
        </w:rPr>
      </w:pPr>
      <w:r w:rsidRPr="00AD4C6A">
        <w:rPr>
          <w:rFonts w:ascii="Verdana" w:eastAsia="Calibri" w:hAnsi="Verdana" w:cs="Arial"/>
          <w:color w:val="000000"/>
          <w:sz w:val="21"/>
          <w:szCs w:val="21"/>
          <w:lang w:val="es-MX"/>
        </w:rPr>
        <w:t xml:space="preserve">Cuando exista inconsistencia entre la información suministrada por el proponente y la verificada por la entidad, la información que pretende demostrar el proponente se tendrá por no acreditada. </w:t>
      </w:r>
    </w:p>
    <w:p w14:paraId="6A07BC0D" w14:textId="77777777" w:rsidR="00AD4C6A" w:rsidRPr="00AD4C6A" w:rsidRDefault="00AD4C6A" w:rsidP="00AD4C6A">
      <w:pPr>
        <w:spacing w:after="0" w:line="240" w:lineRule="auto"/>
        <w:ind w:left="709" w:right="709"/>
        <w:jc w:val="both"/>
        <w:rPr>
          <w:rFonts w:ascii="Verdana" w:eastAsia="Calibri" w:hAnsi="Verdana" w:cs="Arial"/>
          <w:color w:val="000000"/>
          <w:sz w:val="21"/>
          <w:szCs w:val="21"/>
          <w:lang w:val="es-MX"/>
        </w:rPr>
      </w:pPr>
      <w:r w:rsidRPr="00AD4C6A">
        <w:rPr>
          <w:rFonts w:ascii="Verdana" w:eastAsia="Calibri" w:hAnsi="Verdana" w:cs="Arial"/>
          <w:color w:val="000000"/>
          <w:sz w:val="21"/>
          <w:szCs w:val="21"/>
          <w:lang w:val="es-MX"/>
        </w:rPr>
        <w:t>La entidad compulsará copias a las autoridades competentes en aquellos eventos en los cuales la información aportada tenga inconsistencias sobre las cuales pueda existir una posible falsedad, sin que el proponente haya demostrado lo contrario, y rechazará la oferta.”</w:t>
      </w:r>
    </w:p>
    <w:p w14:paraId="45C63B41" w14:textId="77777777" w:rsidR="00AD4C6A" w:rsidRPr="00AD4C6A" w:rsidRDefault="00AD4C6A" w:rsidP="00AD4C6A">
      <w:pPr>
        <w:spacing w:after="0" w:line="276" w:lineRule="auto"/>
        <w:ind w:left="709" w:right="709"/>
        <w:jc w:val="both"/>
        <w:rPr>
          <w:rFonts w:ascii="Verdana" w:eastAsia="Calibri" w:hAnsi="Verdana" w:cs="Arial"/>
          <w:color w:val="000000"/>
          <w:lang w:val="es-MX"/>
        </w:rPr>
      </w:pPr>
    </w:p>
    <w:p w14:paraId="60DC021B" w14:textId="77777777" w:rsidR="00AD4C6A" w:rsidRPr="00AD4C6A" w:rsidRDefault="00AD4C6A" w:rsidP="00AD4C6A">
      <w:pPr>
        <w:spacing w:after="120" w:line="276" w:lineRule="auto"/>
        <w:ind w:firstLine="709"/>
        <w:jc w:val="both"/>
        <w:rPr>
          <w:rFonts w:ascii="Verdana" w:eastAsia="Calibri" w:hAnsi="Verdana" w:cs="Arial"/>
        </w:rPr>
      </w:pPr>
      <w:r w:rsidRPr="00AD4C6A">
        <w:rPr>
          <w:rFonts w:ascii="Verdana" w:eastAsia="Calibri" w:hAnsi="Verdana" w:cs="Arial"/>
        </w:rPr>
        <w:t xml:space="preserve">El anterior numeral permite a la Entidad Estatal agotar los medios a su alcance para corroborar la información que aporte el proponente, para lo cual puede recurrir a las autoridades, personas, empresas o entidades.  </w:t>
      </w:r>
    </w:p>
    <w:p w14:paraId="7349A950"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rPr>
        <w:t xml:space="preserve">La regla de verificación de la información contempla dos supuestos, con consecuencias diferentes: </w:t>
      </w:r>
      <w:r w:rsidRPr="00AD4C6A">
        <w:rPr>
          <w:rFonts w:ascii="Verdana" w:eastAsia="Calibri" w:hAnsi="Verdana" w:cs="Arial"/>
          <w:i/>
          <w:iCs/>
        </w:rPr>
        <w:t>el primero,</w:t>
      </w:r>
      <w:r w:rsidRPr="00AD4C6A">
        <w:rPr>
          <w:rFonts w:ascii="Verdana" w:eastAsia="Calibri" w:hAnsi="Verdana" w:cs="Arial"/>
        </w:rPr>
        <w:t xml:space="preserve"> señala que una vez verificada la información con las autoridades, personas, empresas o entidades, y evidenciada la inconsistencia, la Entidad Estatal tendrá por no acreditada la información. </w:t>
      </w:r>
      <w:r w:rsidRPr="00AD4C6A">
        <w:rPr>
          <w:rFonts w:ascii="Verdana" w:eastAsia="Calibri" w:hAnsi="Verdana" w:cs="Arial"/>
          <w:kern w:val="2"/>
          <w:lang w:val="es-ES_tradnl"/>
          <w14:ligatures w14:val="standardContextual"/>
        </w:rPr>
        <w:t xml:space="preserve">Por ejemplo, cuando se presente documentación para acreditar un requisito habilitante y ante las observaciones recibidas en el traslado del informe de evaluación no se logre constatar con exactitud lo acreditado o la veracidad </w:t>
      </w:r>
      <w:proofErr w:type="gramStart"/>
      <w:r w:rsidRPr="00AD4C6A">
        <w:rPr>
          <w:rFonts w:ascii="Verdana" w:eastAsia="Calibri" w:hAnsi="Verdana" w:cs="Arial"/>
          <w:kern w:val="2"/>
          <w:lang w:val="es-ES_tradnl"/>
          <w14:ligatures w14:val="standardContextual"/>
        </w:rPr>
        <w:t>del mismo</w:t>
      </w:r>
      <w:proofErr w:type="gramEnd"/>
      <w:r w:rsidRPr="00AD4C6A">
        <w:rPr>
          <w:rFonts w:ascii="Verdana" w:eastAsia="Calibri" w:hAnsi="Verdana" w:cs="Arial"/>
          <w:kern w:val="2"/>
          <w:lang w:val="es-ES_tradnl"/>
          <w14:ligatures w14:val="standardContextual"/>
        </w:rPr>
        <w:t xml:space="preserve">, ante esta duda, la entidad no tendrá en cuenta la documentación aportada, sin perjuicio de que el proponente cumpla con el requisito habilitante con los demás documentos que aporte. </w:t>
      </w:r>
      <w:r w:rsidRPr="00AD4C6A">
        <w:rPr>
          <w:rFonts w:ascii="Verdana" w:eastAsia="Calibri" w:hAnsi="Verdana" w:cs="Arial"/>
        </w:rPr>
        <w:t xml:space="preserve">En este evento se trata de inconsistencias que no pueden ser superadas por la ausencia de medio probatorio, pero que en principio no tienen la connotación de falsedad. </w:t>
      </w:r>
    </w:p>
    <w:p w14:paraId="6BF1444B"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i/>
          <w:iCs/>
        </w:rPr>
        <w:t>El segundo</w:t>
      </w:r>
      <w:r w:rsidRPr="00AD4C6A">
        <w:rPr>
          <w:rFonts w:ascii="Verdana" w:eastAsia="Calibri" w:hAnsi="Verdana" w:cs="Arial"/>
        </w:rPr>
        <w:t xml:space="preserve"> evento aplica cuando de la verificación realizada por la Entidad Estatal se corrobora que las inconsistencias pueden devenir de una presunta falsedad no desvirtuada por el proponente, caso en el cual se procede con el rechazo de la oferta y se informa a las autoridades correspondientes. Por ejemplo, ante una certificación de experiencia, la Entidad Estatal, al comunicarse con la entidad para la cual se ejecutó el contrato a acreditar, es informada de que la certificación aportada por el proponente no fue expedida por cuanto ese objeto no ha sido contratado; en este supuesto, cuando la Entidad Estatal tiene </w:t>
      </w:r>
      <w:r w:rsidRPr="00AD4C6A">
        <w:rPr>
          <w:rFonts w:ascii="Verdana" w:eastAsia="Calibri" w:hAnsi="Verdana" w:cs="Arial"/>
        </w:rPr>
        <w:lastRenderedPageBreak/>
        <w:t xml:space="preserve">el suficiente convencimiento de la existencia de la presunta falsedad, y luego de dar la oportunidad para que el proponente se manifieste, es procedente rechazar la oferta y compulsar copias a las autoridades competentes, quienes adelantarán las respectivas investigaciones. </w:t>
      </w:r>
    </w:p>
    <w:p w14:paraId="21D5D02F" w14:textId="77777777" w:rsidR="00AD4C6A" w:rsidRPr="00AD4C6A" w:rsidRDefault="00AD4C6A" w:rsidP="00AD4C6A">
      <w:pPr>
        <w:spacing w:before="120" w:after="120" w:line="276" w:lineRule="auto"/>
        <w:ind w:firstLine="709"/>
        <w:jc w:val="both"/>
        <w:rPr>
          <w:rFonts w:ascii="Verdana" w:eastAsia="Calibri" w:hAnsi="Verdana" w:cs="Arial"/>
        </w:rPr>
      </w:pPr>
      <w:r w:rsidRPr="00AD4C6A">
        <w:rPr>
          <w:rFonts w:ascii="Verdana" w:eastAsia="Calibri" w:hAnsi="Verdana" w:cs="Arial"/>
        </w:rPr>
        <w:t xml:space="preserve">Las reglas previstas en el numeral 1.11 del Documento Base aplican frente a la totalidad de la información y documentación aportada para el cumplimiento de los requisitos habilitantes y de ponderación de las propuestas. </w:t>
      </w:r>
    </w:p>
    <w:p w14:paraId="22A053F2" w14:textId="77777777" w:rsidR="00AD4C6A" w:rsidRPr="00AD4C6A" w:rsidRDefault="00AD4C6A" w:rsidP="00AD4C6A">
      <w:pPr>
        <w:spacing w:after="120" w:line="276" w:lineRule="auto"/>
        <w:ind w:firstLine="709"/>
        <w:jc w:val="both"/>
        <w:rPr>
          <w:rFonts w:ascii="Verdana" w:eastAsia="Calibri" w:hAnsi="Verdana" w:cs="Arial"/>
          <w:kern w:val="2"/>
          <w:lang w:val="es-ES_tradnl"/>
          <w14:ligatures w14:val="standardContextual"/>
        </w:rPr>
      </w:pPr>
      <w:r w:rsidRPr="00AD4C6A">
        <w:rPr>
          <w:rFonts w:ascii="Verdana" w:eastAsia="Calibri" w:hAnsi="Verdana" w:cs="Arial"/>
          <w:color w:val="000000"/>
          <w:kern w:val="2"/>
          <w:lang w:val="es-ES_tradnl"/>
          <w14:ligatures w14:val="standardContextual"/>
        </w:rPr>
        <w:t xml:space="preserve">A su turno, en los documentos tipo se estableció la causal de rechazo del literal H del numeral 1.15 del Documento Base, tipificada al siguiente tenor: </w:t>
      </w:r>
      <w:r w:rsidRPr="00AD4C6A">
        <w:rPr>
          <w:rFonts w:ascii="Verdana" w:eastAsia="Calibri" w:hAnsi="Verdana" w:cs="Arial"/>
          <w:i/>
          <w:iCs/>
          <w:color w:val="000000"/>
          <w:kern w:val="2"/>
          <w:lang w:val="es-ES_tradnl"/>
          <w14:ligatures w14:val="standardContextual"/>
        </w:rPr>
        <w:t>“H. Que el proponente aporte información inexacta sobre la cual pueda existir una posible falsedad en los términos de la sección 1.11 del Documento Base”.</w:t>
      </w:r>
    </w:p>
    <w:p w14:paraId="7BC13F94" w14:textId="77777777" w:rsidR="00AD4C6A" w:rsidRPr="00AD4C6A" w:rsidRDefault="00AD4C6A" w:rsidP="00AD4C6A">
      <w:pPr>
        <w:spacing w:before="120" w:after="0" w:line="276" w:lineRule="auto"/>
        <w:ind w:firstLine="709"/>
        <w:jc w:val="both"/>
        <w:rPr>
          <w:rFonts w:ascii="Verdana" w:eastAsia="Calibri" w:hAnsi="Verdana" w:cs="Arial"/>
          <w:kern w:val="2"/>
          <w:lang w:val="es-ES_tradnl"/>
          <w14:ligatures w14:val="standardContextual"/>
        </w:rPr>
      </w:pPr>
      <w:r w:rsidRPr="00AD4C6A">
        <w:rPr>
          <w:rFonts w:ascii="Verdana" w:eastAsia="Calibri" w:hAnsi="Verdana" w:cs="Arial"/>
          <w:kern w:val="2"/>
          <w:lang w:val="es-ES_tradnl"/>
          <w14:ligatures w14:val="standardContextual"/>
        </w:rPr>
        <w:t>Con todo, los supuestos señalados parten de la base del deber que le asiste a la Entidad Estatal de verificar la veracidad de la información suministrada por el proponente para evitar vicios en la adjudicación y en el contrato. Así, durante el plazo de evaluación de las ofertas las entidades contratantes tienen el deber de verificar la veracidad de la información que se allegue con las propuestas, bien sea mediante solicitud de aclaraciones al mismo oferente o mediante la constatación con fuentes externas, pues de ello depende no solamente la correcta escogencia del contratista y la forma más idónea de ejecución de la compra planeada, sino la validez misma de la decisión de adjudicación y, por ende, del contrato celebrado.</w:t>
      </w:r>
    </w:p>
    <w:p w14:paraId="3FB11AB5" w14:textId="77777777" w:rsidR="00AD4C6A" w:rsidRPr="00AD4C6A" w:rsidRDefault="00AD4C6A" w:rsidP="00AD4C6A">
      <w:pPr>
        <w:spacing w:before="120" w:after="120" w:line="276" w:lineRule="auto"/>
        <w:ind w:firstLine="709"/>
        <w:jc w:val="both"/>
        <w:rPr>
          <w:rFonts w:ascii="Verdana" w:eastAsia="Calibri" w:hAnsi="Verdana" w:cs="Arial"/>
          <w:color w:val="000000"/>
          <w:kern w:val="2"/>
          <w:lang w:val="es-ES_tradnl"/>
          <w14:ligatures w14:val="standardContextual"/>
        </w:rPr>
      </w:pPr>
      <w:r w:rsidRPr="00AD4C6A">
        <w:rPr>
          <w:rFonts w:ascii="Verdana" w:eastAsia="Calibri" w:hAnsi="Verdana" w:cs="Arial"/>
          <w:kern w:val="2"/>
          <w:lang w:val="es-ES_tradnl"/>
          <w14:ligatures w14:val="standardContextual"/>
        </w:rPr>
        <w:t>De esta manera, la verificación que realice la entidad durante esta etapa resulta decisiva para la correcta evaluación de las ofertas, de manera que en caso de encontrar inconsistencias y después de revisar dicha información con las entidades que corresponda, si es del caso, la entidad tomará las medidas que se indican en el pliego de condiciones respecto de los supuestos señalados. Si se presentan observaciones sobre dicha información por fuera de esta etapa y una vez adjudicado el contrato, es importante que la entidad revise su contenido y alcance para tomar las medidas que correspondan.</w:t>
      </w:r>
    </w:p>
    <w:p w14:paraId="085A7B08" w14:textId="77777777" w:rsidR="00AD4C6A" w:rsidRPr="00AD4C6A" w:rsidRDefault="00AD4C6A" w:rsidP="00AD4C6A">
      <w:pPr>
        <w:spacing w:after="0" w:line="276" w:lineRule="auto"/>
        <w:ind w:firstLine="709"/>
        <w:jc w:val="both"/>
        <w:rPr>
          <w:rFonts w:ascii="Verdana" w:eastAsia="Calibri" w:hAnsi="Verdana" w:cs="Arial"/>
        </w:rPr>
      </w:pPr>
      <w:r w:rsidRPr="00AD4C6A">
        <w:rPr>
          <w:rFonts w:ascii="Verdana" w:eastAsia="Calibri" w:hAnsi="Verdana" w:cs="Arial"/>
        </w:rPr>
        <w:t xml:space="preserve">En virtud de lo anterior, la verificación de la información aportada por el proponente debe realizarse conforme a lo establecido en los numerales 1.11 y 1.15 del Documento Base, teniendo en cuenta que no cualquier inconsistencia en la información presentada puede configurar una falsedad o rechazo de la oferta, en los términos expuestos. </w:t>
      </w:r>
    </w:p>
    <w:p w14:paraId="122E9D41" w14:textId="77777777" w:rsidR="00AD4C6A" w:rsidRPr="00AD4C6A" w:rsidRDefault="00AD4C6A" w:rsidP="00AD4C6A">
      <w:pPr>
        <w:spacing w:line="276" w:lineRule="auto"/>
        <w:contextualSpacing/>
        <w:jc w:val="both"/>
        <w:rPr>
          <w:rFonts w:ascii="Verdana" w:eastAsia="Calibri" w:hAnsi="Verdana" w:cs="Arial"/>
        </w:rPr>
      </w:pPr>
    </w:p>
    <w:p w14:paraId="215374B2" w14:textId="77777777" w:rsidR="00AD4C6A" w:rsidRPr="00AD4C6A" w:rsidRDefault="00AD4C6A" w:rsidP="00AD4C6A">
      <w:pPr>
        <w:spacing w:after="120" w:line="276" w:lineRule="auto"/>
        <w:jc w:val="both"/>
        <w:rPr>
          <w:rFonts w:ascii="Verdana" w:eastAsia="Calibri" w:hAnsi="Verdana" w:cs="Arial"/>
          <w:lang w:val="es-ES"/>
        </w:rPr>
      </w:pPr>
      <w:proofErr w:type="spellStart"/>
      <w:r w:rsidRPr="00AD4C6A">
        <w:rPr>
          <w:rFonts w:ascii="Verdana" w:eastAsia="Calibri" w:hAnsi="Verdana" w:cs="Arial"/>
          <w:lang w:val="es-ES"/>
        </w:rPr>
        <w:t>iii</w:t>
      </w:r>
      <w:proofErr w:type="spellEnd"/>
      <w:r w:rsidRPr="00AD4C6A">
        <w:rPr>
          <w:rFonts w:ascii="Verdana" w:eastAsia="Calibri" w:hAnsi="Verdana" w:cs="Arial"/>
          <w:lang w:val="es-ES"/>
        </w:rPr>
        <w:t xml:space="preserve">. La Capacidad Residual es un requisito habilitante que está sujeto a la posibilidad de solicitarle aclaración, con el fin de esclarecer dudas sobre aspectos de la información presentada por el proponente y, de igual forma, está sujeto a la posibilidad de subsanar la ausencia de requisitos, siempre que se cumpla con los límites temporales y materiales establecidos al respecto, es decir, que lo omitido no sea un factor que afecte la asignación de puntaje, que sea la prueba de una circunstancia o hecho que ocurrió con anterioridad al cierre del proceso y que no exista disposición legal o en el pliego de condiciones que prohíba su subsanación. </w:t>
      </w:r>
    </w:p>
    <w:p w14:paraId="19B09F57"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El numeral 3.11 del documento base de los documentos tipo de licitación pública de infraestructura de transporte – versión 4, establece como requisito habilitante la capacidad residual. En este documento tipo, al menos tres causales de rechazo del numeral 1.15 se relacionan con la capacidad residual como requisito habilitante, esto es, los literales E, H y X.</w:t>
      </w:r>
    </w:p>
    <w:p w14:paraId="27DD9BCE"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Como se consideró en los conceptos del 25 de septiembre y el 23 de diciembre de 2019 −radicados Nos. 2201913000007117 y 2201913000009538−, entre otros,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7BAF0772"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i)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X es objetiva, pues solo aplica ante la omisión del proponente de informar el número total de contratos en ejecución antes del cierre.</w:t>
      </w:r>
    </w:p>
    <w:p w14:paraId="04BDA9E9" w14:textId="77777777" w:rsidR="00AD4C6A" w:rsidRPr="00AD4C6A" w:rsidRDefault="00AD4C6A" w:rsidP="00AD4C6A">
      <w:pPr>
        <w:spacing w:after="120" w:line="276" w:lineRule="auto"/>
        <w:ind w:firstLine="709"/>
        <w:jc w:val="both"/>
        <w:rPr>
          <w:rFonts w:ascii="Verdana" w:eastAsia="Calibri" w:hAnsi="Verdana" w:cs="Arial"/>
          <w:lang w:val="es-ES"/>
        </w:rPr>
      </w:pPr>
      <w:proofErr w:type="spellStart"/>
      <w:r w:rsidRPr="00AD4C6A">
        <w:rPr>
          <w:rFonts w:ascii="Verdana" w:eastAsia="Calibri" w:hAnsi="Verdana" w:cs="Arial"/>
          <w:lang w:val="es-ES"/>
        </w:rPr>
        <w:lastRenderedPageBreak/>
        <w:t>ii</w:t>
      </w:r>
      <w:proofErr w:type="spellEnd"/>
      <w:r w:rsidRPr="00AD4C6A">
        <w:rPr>
          <w:rFonts w:ascii="Verdana" w:eastAsia="Calibri" w:hAnsi="Verdana" w:cs="Arial"/>
          <w:lang w:val="es-ES"/>
        </w:rPr>
        <w:t xml:space="preserve">) 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7B2C0F1B" w14:textId="77777777" w:rsidR="00AD4C6A" w:rsidRPr="00AD4C6A" w:rsidRDefault="00AD4C6A" w:rsidP="00AD4C6A">
      <w:pPr>
        <w:spacing w:after="120" w:line="276" w:lineRule="auto"/>
        <w:ind w:firstLine="709"/>
        <w:jc w:val="both"/>
        <w:rPr>
          <w:rFonts w:ascii="Verdana" w:eastAsia="Calibri" w:hAnsi="Verdana" w:cs="Arial"/>
          <w:lang w:val="es-ES"/>
        </w:rPr>
      </w:pPr>
      <w:proofErr w:type="spellStart"/>
      <w:r w:rsidRPr="00AD4C6A">
        <w:rPr>
          <w:rFonts w:ascii="Verdana" w:eastAsia="Calibri" w:hAnsi="Verdana" w:cs="Arial"/>
          <w:lang w:val="es-ES"/>
        </w:rPr>
        <w:t>iii</w:t>
      </w:r>
      <w:proofErr w:type="spellEnd"/>
      <w:r w:rsidRPr="00AD4C6A">
        <w:rPr>
          <w:rFonts w:ascii="Verdana" w:eastAsia="Calibri" w:hAnsi="Verdana" w:cs="Arial"/>
          <w:lang w:val="es-ES"/>
        </w:rPr>
        <w:t>) 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644C793D"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En relación con las reglas de </w:t>
      </w:r>
      <w:proofErr w:type="spellStart"/>
      <w:r w:rsidRPr="00AD4C6A">
        <w:rPr>
          <w:rFonts w:ascii="Verdana" w:eastAsia="Calibri" w:hAnsi="Verdana" w:cs="Arial"/>
          <w:lang w:val="es-ES"/>
        </w:rPr>
        <w:t>subsanabilidad</w:t>
      </w:r>
      <w:proofErr w:type="spellEnd"/>
      <w:r w:rsidRPr="00AD4C6A">
        <w:rPr>
          <w:rFonts w:ascii="Verdana" w:eastAsia="Calibri" w:hAnsi="Verdana" w:cs="Arial"/>
          <w:lang w:val="es-ES"/>
        </w:rPr>
        <w:t xml:space="preserve">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X,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64D411DE"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Ahora bien, es importante precisar que lo expresado en el párrafo precedente no contradice lo dispuesto en el artículo 5, parágrafo 1, de la Ley 1150 de 2007, adicionado por el artículo 5 de la Ley 1882 de 2018, norma que dispone que “[…] 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De esta manera, la imposibilidad de subsanar se deriva, entonces, del supuesto de hecho de aquellas causales, sin que en esto sea relevante que se otorguen o no puntos a la propuesta por el requisito de capacidad residual.</w:t>
      </w:r>
    </w:p>
    <w:p w14:paraId="36BE6364"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Por lo anterior, aunque la causal de rechazo del literal X del numeral 1.15 de los documentos tipo se relaciona con la capacidad residual como requisito </w:t>
      </w:r>
      <w:r w:rsidRPr="00AD4C6A">
        <w:rPr>
          <w:rFonts w:ascii="Verdana" w:eastAsia="Calibri" w:hAnsi="Verdana" w:cs="Arial"/>
          <w:lang w:val="es-ES"/>
        </w:rPr>
        <w:lastRenderedPageBreak/>
        <w:t xml:space="preserve">habilitante, esta se aplica cuando el proponente deja de informar la totalidad de los contratos que tiene en ejecución antes del cierre o no reporta la información de los contratos exigida en el documento base, es decir en el formato, y efectivamente tiene contratos en ejecución omitiendo su información. </w:t>
      </w:r>
    </w:p>
    <w:p w14:paraId="40F7C2D4"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la configuración de la causal se determinará teniendo en cuenta si la información inexacta conduce a una posible falsedad. Piénsese en el evento en que el proponente reporta todos los contratos de obra en ejecución en el formato de saldos de contratos en ejecución, 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w:t>
      </w:r>
      <w:proofErr w:type="spellStart"/>
      <w:r w:rsidRPr="00AD4C6A">
        <w:rPr>
          <w:rFonts w:ascii="Verdana" w:eastAsia="Calibri" w:hAnsi="Verdana" w:cs="Arial"/>
          <w:lang w:val="es-ES"/>
        </w:rPr>
        <w:t>causal</w:t>
      </w:r>
      <w:proofErr w:type="spellEnd"/>
      <w:r w:rsidRPr="00AD4C6A">
        <w:rPr>
          <w:rFonts w:ascii="Verdana" w:eastAsia="Calibri" w:hAnsi="Verdana" w:cs="Arial"/>
          <w:lang w:val="es-ES"/>
        </w:rPr>
        <w:t xml:space="preserve">.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7BFA0E23"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42FD4DB9"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En relación con la información contractual no incluida que pueda afectar la capacidad residual del proponente, el pliego de condiciones del “Documento Tipo – Versión 4” de licitación pública de infraestructura de transporte, estableció una regla especial en el numeral 3.11.</w:t>
      </w:r>
    </w:p>
    <w:p w14:paraId="0A9B9989"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 xml:space="preserve">De conformidad con esta regla, el rechazo de la oferta procede cuando en ejercicio de la potestad verificadora se advierta que, luego de agotar la </w:t>
      </w:r>
      <w:r w:rsidRPr="00AD4C6A">
        <w:rPr>
          <w:rFonts w:ascii="Verdana" w:eastAsia="Calibri" w:hAnsi="Verdana" w:cs="Arial"/>
          <w:lang w:val="es-ES"/>
        </w:rPr>
        <w:lastRenderedPageBreak/>
        <w:t>posibilidad de subsanación o aclaración, el proponente dejó de incluir información que afecta la capacidad, esto es, la referente a contratos de obra en ejecución.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0E5DE2C2" w14:textId="77777777" w:rsidR="00AD4C6A" w:rsidRPr="00AD4C6A" w:rsidRDefault="00AD4C6A" w:rsidP="00AD4C6A">
      <w:pPr>
        <w:spacing w:after="120" w:line="276" w:lineRule="auto"/>
        <w:ind w:firstLine="709"/>
        <w:jc w:val="both"/>
        <w:rPr>
          <w:rFonts w:ascii="Verdana" w:eastAsia="Calibri" w:hAnsi="Verdana" w:cs="Arial"/>
          <w:lang w:val="es-ES"/>
        </w:rPr>
      </w:pPr>
      <w:r w:rsidRPr="00AD4C6A">
        <w:rPr>
          <w:rFonts w:ascii="Verdana" w:eastAsia="Calibri" w:hAnsi="Verdana" w:cs="Arial"/>
          <w:lang w:val="es-ES"/>
        </w:rPr>
        <w:t>En todo caso, resulta pertinente mencionar que, debe ser la Entidad Estatal quien determine si alguno de los supuestos de hecho contenidos en las causales de rechazo contenidas del numeral 1.15 del Documento Base de los “Documentos Tipo – Versión 4”, aplican frente a cada situación particular.</w:t>
      </w:r>
    </w:p>
    <w:p w14:paraId="42D0D29D" w14:textId="77777777" w:rsidR="00AD4C6A" w:rsidRPr="00AD4C6A" w:rsidRDefault="00AD4C6A" w:rsidP="00AD4C6A">
      <w:pPr>
        <w:spacing w:after="120" w:line="276" w:lineRule="auto"/>
        <w:ind w:firstLine="709"/>
        <w:jc w:val="both"/>
        <w:rPr>
          <w:rFonts w:ascii="Verdana" w:eastAsia="Times New Roman" w:hAnsi="Verdana" w:cs="Arial"/>
          <w:kern w:val="2"/>
          <w:lang w:val="es-ES_tradnl" w:eastAsia="es-ES_tradnl"/>
          <w14:ligatures w14:val="standardContextual"/>
        </w:rPr>
      </w:pPr>
      <w:r w:rsidRPr="00AD4C6A">
        <w:rPr>
          <w:rFonts w:ascii="Verdana" w:eastAsia="Times New Roman" w:hAnsi="Verdana" w:cs="Arial"/>
          <w:kern w:val="2"/>
          <w:lang w:val="es-ES_tradnl" w:eastAsia="es-ES_tradnl"/>
          <w14:ligatures w14:val="standardContextual"/>
        </w:rPr>
        <w:t xml:space="preserve">Finalmente, es importante señalar que, 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602CBC55" w14:textId="77777777" w:rsidR="00AD4C6A" w:rsidRPr="00AD4C6A" w:rsidRDefault="00AD4C6A" w:rsidP="00AD4C6A">
      <w:pPr>
        <w:spacing w:after="120" w:line="276" w:lineRule="auto"/>
        <w:ind w:firstLine="709"/>
        <w:jc w:val="both"/>
        <w:rPr>
          <w:rFonts w:ascii="Verdana" w:eastAsia="Times New Roman" w:hAnsi="Verdana" w:cs="Arial"/>
          <w:kern w:val="2"/>
          <w:lang w:val="es-ES" w:eastAsia="es-ES"/>
          <w14:ligatures w14:val="standardContextual"/>
        </w:rPr>
      </w:pPr>
      <w:r w:rsidRPr="00AD4C6A">
        <w:rPr>
          <w:rFonts w:ascii="Verdana" w:eastAsia="Times New Roman" w:hAnsi="Verdana" w:cs="Arial"/>
          <w:kern w:val="2"/>
          <w:lang w:val="es-ES" w:eastAsia="es-ES"/>
          <w14:ligatures w14:val="standardContextual"/>
        </w:rPr>
        <w:t xml:space="preserve">Un mejor entendimiento del significado de la expresión </w:t>
      </w:r>
      <w:r w:rsidRPr="00AD4C6A">
        <w:rPr>
          <w:rFonts w:ascii="Verdana" w:eastAsia="Times New Roman" w:hAnsi="Verdana" w:cs="Arial"/>
          <w:i/>
          <w:kern w:val="2"/>
          <w:lang w:val="es-ES" w:eastAsia="es-ES"/>
          <w14:ligatures w14:val="standardContextual"/>
        </w:rPr>
        <w:t>“circunstancias ocurridas con posterioridad al cierre del proceso”</w:t>
      </w:r>
      <w:r w:rsidRPr="00AD4C6A">
        <w:rPr>
          <w:rFonts w:ascii="Verdana" w:eastAsia="Times New Roman" w:hAnsi="Verdana" w:cs="Arial"/>
          <w:kern w:val="2"/>
          <w:lang w:val="es-ES" w:eastAsia="es-ES"/>
          <w14:ligatures w14:val="standardContextual"/>
        </w:rPr>
        <w:t xml:space="preserve"> implica distinguir entre la prueba de un hecho y el hecho mismo. En el caso de la </w:t>
      </w:r>
      <w:proofErr w:type="spellStart"/>
      <w:r w:rsidRPr="00AD4C6A">
        <w:rPr>
          <w:rFonts w:ascii="Verdana" w:eastAsia="Times New Roman" w:hAnsi="Verdana" w:cs="Arial"/>
          <w:kern w:val="2"/>
          <w:lang w:val="es-ES" w:eastAsia="es-ES"/>
          <w14:ligatures w14:val="standardContextual"/>
        </w:rPr>
        <w:t>subsanabilidad</w:t>
      </w:r>
      <w:proofErr w:type="spellEnd"/>
      <w:r w:rsidRPr="00AD4C6A">
        <w:rPr>
          <w:rFonts w:ascii="Verdana" w:eastAsia="Times New Roman" w:hAnsi="Verdana" w:cs="Arial"/>
          <w:kern w:val="2"/>
          <w:lang w:val="es-ES" w:eastAsia="es-ES"/>
          <w14:ligatures w14:val="standardContextual"/>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AD4C6A">
        <w:rPr>
          <w:rFonts w:ascii="Verdana" w:eastAsia="Aptos" w:hAnsi="Verdana" w:cs="Times New Roman"/>
          <w:kern w:val="2"/>
          <w:vertAlign w:val="superscript"/>
          <w:lang w:val="es-ES" w:eastAsia="es-ES"/>
          <w14:ligatures w14:val="standardContextual"/>
        </w:rPr>
        <w:footnoteReference w:id="6"/>
      </w:r>
      <w:r w:rsidRPr="00AD4C6A">
        <w:rPr>
          <w:rFonts w:ascii="Verdana" w:eastAsia="Times New Roman" w:hAnsi="Verdana" w:cs="Arial"/>
          <w:kern w:val="2"/>
          <w:lang w:val="es-ES" w:eastAsia="es-ES"/>
          <w14:ligatures w14:val="standardContextual"/>
        </w:rPr>
        <w:t xml:space="preserve">. </w:t>
      </w:r>
    </w:p>
    <w:p w14:paraId="2F41E6EA" w14:textId="77777777" w:rsidR="00AD4C6A" w:rsidRPr="00AD4C6A" w:rsidRDefault="00AD4C6A" w:rsidP="00AD4C6A">
      <w:pPr>
        <w:spacing w:after="120" w:line="276" w:lineRule="auto"/>
        <w:ind w:firstLine="709"/>
        <w:jc w:val="both"/>
        <w:rPr>
          <w:rFonts w:ascii="Verdana" w:eastAsia="Times New Roman" w:hAnsi="Verdana" w:cs="Arial"/>
          <w:kern w:val="2"/>
          <w:lang w:val="es-ES" w:eastAsia="es-ES"/>
          <w14:ligatures w14:val="standardContextual"/>
        </w:rPr>
      </w:pPr>
      <w:r w:rsidRPr="00AD4C6A">
        <w:rPr>
          <w:rFonts w:ascii="Verdana" w:eastAsia="Times New Roman" w:hAnsi="Verdana" w:cs="Arial"/>
          <w:kern w:val="2"/>
          <w:lang w:val="es-ES" w:eastAsia="es-ES"/>
          <w14:ligatures w14:val="standardContextual"/>
        </w:rPr>
        <w:lastRenderedPageBreak/>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AD4C6A">
        <w:rPr>
          <w:rFonts w:ascii="Verdana" w:eastAsia="Times New Roman" w:hAnsi="Verdana" w:cs="Arial"/>
          <w:kern w:val="2"/>
          <w:lang w:val="es-ES" w:eastAsia="es-ES"/>
          <w14:ligatures w14:val="standardContextual"/>
        </w:rPr>
        <w:t>esta</w:t>
      </w:r>
      <w:proofErr w:type="spellEnd"/>
      <w:r w:rsidRPr="00AD4C6A">
        <w:rPr>
          <w:rFonts w:ascii="Verdana" w:eastAsia="Times New Roman" w:hAnsi="Verdana" w:cs="Arial"/>
          <w:kern w:val="2"/>
          <w:lang w:val="es-ES" w:eastAsia="es-ES"/>
          <w14:ligatures w14:val="standardContextual"/>
        </w:rPr>
        <w:t xml:space="preserve"> en firme para dicho momento; </w:t>
      </w:r>
      <w:proofErr w:type="spellStart"/>
      <w:r w:rsidRPr="00AD4C6A">
        <w:rPr>
          <w:rFonts w:ascii="Verdana" w:eastAsia="Times New Roman" w:hAnsi="Verdana" w:cs="Arial"/>
          <w:kern w:val="2"/>
          <w:lang w:val="es-ES" w:eastAsia="es-ES"/>
          <w14:ligatures w14:val="standardContextual"/>
        </w:rPr>
        <w:t>ii</w:t>
      </w:r>
      <w:proofErr w:type="spellEnd"/>
      <w:r w:rsidRPr="00AD4C6A">
        <w:rPr>
          <w:rFonts w:ascii="Verdana" w:eastAsia="Times New Roman" w:hAnsi="Verdana" w:cs="Arial"/>
          <w:kern w:val="2"/>
          <w:lang w:val="es-ES" w:eastAsia="es-ES"/>
          <w14:ligatures w14:val="standardContextual"/>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AD4C6A">
        <w:rPr>
          <w:rFonts w:ascii="Verdana" w:eastAsia="Aptos" w:hAnsi="Verdana" w:cs="Times New Roman"/>
          <w:kern w:val="2"/>
          <w:vertAlign w:val="superscript"/>
          <w:lang w:val="es-ES" w:eastAsia="es-ES"/>
          <w14:ligatures w14:val="standardContextual"/>
        </w:rPr>
        <w:footnoteReference w:id="7"/>
      </w:r>
      <w:r w:rsidRPr="00AD4C6A">
        <w:rPr>
          <w:rFonts w:ascii="Verdana" w:eastAsia="Times New Roman" w:hAnsi="Verdana" w:cs="Arial"/>
          <w:kern w:val="2"/>
          <w:lang w:val="es-ES" w:eastAsia="es-ES"/>
          <w14:ligatures w14:val="standardContextual"/>
        </w:rPr>
        <w:t xml:space="preserve">; </w:t>
      </w:r>
      <w:proofErr w:type="spellStart"/>
      <w:r w:rsidRPr="00AD4C6A">
        <w:rPr>
          <w:rFonts w:ascii="Verdana" w:eastAsia="Times New Roman" w:hAnsi="Verdana" w:cs="Arial"/>
          <w:kern w:val="2"/>
          <w:lang w:val="es-ES" w:eastAsia="es-ES"/>
          <w14:ligatures w14:val="standardContextual"/>
        </w:rPr>
        <w:t>iii</w:t>
      </w:r>
      <w:proofErr w:type="spellEnd"/>
      <w:r w:rsidRPr="00AD4C6A">
        <w:rPr>
          <w:rFonts w:ascii="Verdana" w:eastAsia="Times New Roman" w:hAnsi="Verdana" w:cs="Arial"/>
          <w:kern w:val="2"/>
          <w:lang w:val="es-ES" w:eastAsia="es-ES"/>
          <w14:ligatures w14:val="standardContextual"/>
        </w:rPr>
        <w:t>) si un oferente no anexó el certificado de existencia y representación legal, el documento aportado con posterioridad debe dar cuenta de que la sociedad existía antes del cierre del proceso</w:t>
      </w:r>
      <w:r w:rsidRPr="00AD4C6A">
        <w:rPr>
          <w:rFonts w:ascii="Verdana" w:eastAsia="Aptos" w:hAnsi="Verdana" w:cs="Times New Roman"/>
          <w:kern w:val="2"/>
          <w:vertAlign w:val="superscript"/>
          <w:lang w:val="es-ES" w:eastAsia="es-ES"/>
          <w14:ligatures w14:val="standardContextual"/>
        </w:rPr>
        <w:footnoteReference w:id="8"/>
      </w:r>
      <w:r w:rsidRPr="00AD4C6A">
        <w:rPr>
          <w:rFonts w:ascii="Verdana" w:eastAsia="Times New Roman" w:hAnsi="Verdana" w:cs="Arial"/>
          <w:kern w:val="2"/>
          <w:lang w:val="es-ES" w:eastAsia="es-ES"/>
          <w14:ligatures w14:val="standardContextual"/>
        </w:rPr>
        <w:t xml:space="preserve">; </w:t>
      </w:r>
      <w:proofErr w:type="spellStart"/>
      <w:r w:rsidRPr="00AD4C6A">
        <w:rPr>
          <w:rFonts w:ascii="Verdana" w:eastAsia="Times New Roman" w:hAnsi="Verdana" w:cs="Arial"/>
          <w:kern w:val="2"/>
          <w:lang w:val="es-ES" w:eastAsia="es-ES"/>
          <w14:ligatures w14:val="standardContextual"/>
        </w:rPr>
        <w:t>iv</w:t>
      </w:r>
      <w:proofErr w:type="spellEnd"/>
      <w:r w:rsidRPr="00AD4C6A">
        <w:rPr>
          <w:rFonts w:ascii="Verdana" w:eastAsia="Times New Roman" w:hAnsi="Verdana" w:cs="Arial"/>
          <w:kern w:val="2"/>
          <w:lang w:val="es-ES" w:eastAsia="es-ES"/>
          <w14:ligatures w14:val="standardContextual"/>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0E447747" w14:textId="77777777" w:rsidR="00AD4C6A" w:rsidRPr="00AD4C6A" w:rsidRDefault="00AD4C6A" w:rsidP="00AD4C6A">
      <w:pPr>
        <w:spacing w:after="120" w:line="276" w:lineRule="auto"/>
        <w:ind w:firstLine="709"/>
        <w:jc w:val="both"/>
        <w:rPr>
          <w:rFonts w:ascii="Verdana" w:eastAsia="Times New Roman" w:hAnsi="Verdana" w:cs="Arial"/>
          <w:i/>
          <w:kern w:val="2"/>
          <w:lang w:val="es-ES" w:eastAsia="es-ES"/>
          <w14:ligatures w14:val="standardContextual"/>
        </w:rPr>
      </w:pPr>
      <w:r w:rsidRPr="00AD4C6A">
        <w:rPr>
          <w:rFonts w:ascii="Verdana" w:eastAsia="Times New Roman" w:hAnsi="Verdana" w:cs="Arial"/>
          <w:kern w:val="2"/>
          <w:lang w:val="es-ES" w:eastAsia="es-ES"/>
          <w14:ligatures w14:val="standardContextual"/>
        </w:rPr>
        <w:lastRenderedPageBreak/>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AD4C6A">
        <w:rPr>
          <w:rFonts w:ascii="Verdana" w:eastAsia="Times New Roman" w:hAnsi="Verdana" w:cs="Arial"/>
          <w:kern w:val="2"/>
          <w:lang w:val="es-ES" w:eastAsia="es-ES"/>
          <w14:ligatures w14:val="standardContextual"/>
        </w:rPr>
        <w:t>que</w:t>
      </w:r>
      <w:proofErr w:type="gramEnd"/>
      <w:r w:rsidRPr="00AD4C6A">
        <w:rPr>
          <w:rFonts w:ascii="Verdana" w:eastAsia="Times New Roman" w:hAnsi="Verdana" w:cs="Arial"/>
          <w:kern w:val="2"/>
          <w:lang w:val="es-ES" w:eastAsia="es-ES"/>
          <w14:ligatures w14:val="standardContextual"/>
        </w:rPr>
        <w:t xml:space="preserve"> el Consejo de Estado sostiene </w:t>
      </w:r>
      <w:proofErr w:type="gramStart"/>
      <w:r w:rsidRPr="00AD4C6A">
        <w:rPr>
          <w:rFonts w:ascii="Verdana" w:eastAsia="Times New Roman" w:hAnsi="Verdana" w:cs="Arial"/>
          <w:kern w:val="2"/>
          <w:lang w:val="es-ES" w:eastAsia="es-ES"/>
          <w14:ligatures w14:val="standardContextual"/>
        </w:rPr>
        <w:t>que ”lo</w:t>
      </w:r>
      <w:proofErr w:type="gramEnd"/>
      <w:r w:rsidRPr="00AD4C6A">
        <w:rPr>
          <w:rFonts w:ascii="Verdana" w:eastAsia="Times New Roman" w:hAnsi="Verdana" w:cs="Arial"/>
          <w:kern w:val="2"/>
          <w:lang w:val="es-ES" w:eastAsia="es-ES"/>
          <w14:ligatures w14:val="standardContextual"/>
        </w:rPr>
        <w:t xml:space="preserve">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AD4C6A">
        <w:rPr>
          <w:rFonts w:ascii="Verdana" w:eastAsia="Aptos" w:hAnsi="Verdana" w:cs="Times New Roman"/>
          <w:kern w:val="2"/>
          <w:vertAlign w:val="superscript"/>
          <w:lang w:val="es-ES" w:eastAsia="es-ES"/>
          <w14:ligatures w14:val="standardContextual"/>
        </w:rPr>
        <w:footnoteReference w:id="9"/>
      </w:r>
      <w:r w:rsidRPr="00AD4C6A">
        <w:rPr>
          <w:rFonts w:ascii="Verdana" w:eastAsia="Times New Roman" w:hAnsi="Verdana" w:cs="Arial"/>
          <w:kern w:val="2"/>
          <w:lang w:val="es-ES" w:eastAsia="es-ES"/>
          <w14:ligatures w14:val="standardContextual"/>
        </w:rPr>
        <w:t>.</w:t>
      </w:r>
    </w:p>
    <w:p w14:paraId="73A09138" w14:textId="77777777" w:rsidR="00AD4C6A" w:rsidRPr="00AD4C6A" w:rsidRDefault="00AD4C6A" w:rsidP="00AD4C6A">
      <w:pPr>
        <w:spacing w:after="120" w:line="276" w:lineRule="auto"/>
        <w:ind w:firstLine="709"/>
        <w:jc w:val="both"/>
        <w:rPr>
          <w:rFonts w:ascii="Verdana" w:eastAsia="Aptos" w:hAnsi="Verdana" w:cs="Arial"/>
          <w:color w:val="000000"/>
          <w:kern w:val="2"/>
          <w14:ligatures w14:val="standardContextual"/>
        </w:rPr>
      </w:pPr>
      <w:r w:rsidRPr="00AD4C6A">
        <w:rPr>
          <w:rFonts w:ascii="Verdana" w:eastAsia="Times New Roman" w:hAnsi="Verdana" w:cs="Arial"/>
          <w:iCs/>
          <w:kern w:val="2"/>
          <w:lang w:val="es-ES" w:eastAsia="es-ES"/>
          <w14:ligatures w14:val="standardContextual"/>
        </w:rPr>
        <w:t>Ahora bien,</w:t>
      </w:r>
      <w:r w:rsidRPr="00AD4C6A">
        <w:rPr>
          <w:rFonts w:ascii="Verdana" w:eastAsia="Times New Roman" w:hAnsi="Verdana" w:cs="Arial"/>
          <w:i/>
          <w:kern w:val="2"/>
          <w:lang w:val="es-ES" w:eastAsia="es-ES"/>
          <w14:ligatures w14:val="standardContextual"/>
        </w:rPr>
        <w:t xml:space="preserve"> e</w:t>
      </w:r>
      <w:r w:rsidRPr="00AD4C6A">
        <w:rPr>
          <w:rFonts w:ascii="Verdana" w:eastAsia="Aptos" w:hAnsi="Verdana" w:cs="Arial"/>
          <w:color w:val="000000"/>
          <w:kern w:val="2"/>
          <w:lang w:val="es-ES"/>
          <w14:ligatures w14:val="standardContextual"/>
        </w:rPr>
        <w:t xml:space="preserve">l parágrafo 3 del artículo 5 de la Ley 1882 de 2018 determinó, de manera expresa, que “la no entrega de la garantía de seriedad junto con la propuesta no será subsanable y será causal de rechazo de </w:t>
      </w:r>
      <w:proofErr w:type="gramStart"/>
      <w:r w:rsidRPr="00AD4C6A">
        <w:rPr>
          <w:rFonts w:ascii="Verdana" w:eastAsia="Aptos" w:hAnsi="Verdana" w:cs="Arial"/>
          <w:color w:val="000000"/>
          <w:kern w:val="2"/>
          <w:lang w:val="es-ES"/>
          <w14:ligatures w14:val="standardContextual"/>
        </w:rPr>
        <w:t>la misma</w:t>
      </w:r>
      <w:proofErr w:type="gramEnd"/>
      <w:r w:rsidRPr="00AD4C6A">
        <w:rPr>
          <w:rFonts w:ascii="Verdana" w:eastAsia="Aptos" w:hAnsi="Verdana" w:cs="Arial"/>
          <w:color w:val="000000"/>
          <w:kern w:val="2"/>
          <w:lang w:val="es-ES"/>
          <w14:ligatures w14:val="standardContextual"/>
        </w:rPr>
        <w:t>”, dejando claro que se trata de un documento de obligatoria presentación junto con la propuesta y que materializa los principios de seriedad e irrevocabilidad de la oferta.</w:t>
      </w:r>
      <w:r w:rsidRPr="00AD4C6A">
        <w:rPr>
          <w:rFonts w:ascii="Verdana" w:eastAsia="Aptos" w:hAnsi="Verdana" w:cs="Arial"/>
          <w:color w:val="000000"/>
          <w:kern w:val="2"/>
          <w14:ligatures w14:val="standardContextual"/>
        </w:rPr>
        <w:t> </w:t>
      </w:r>
    </w:p>
    <w:p w14:paraId="71EFF48C" w14:textId="77777777" w:rsidR="00AD4C6A" w:rsidRPr="00AD4C6A" w:rsidRDefault="00AD4C6A" w:rsidP="00AD4C6A">
      <w:pPr>
        <w:spacing w:after="120" w:line="276" w:lineRule="auto"/>
        <w:ind w:firstLine="709"/>
        <w:jc w:val="both"/>
        <w:rPr>
          <w:rFonts w:ascii="Verdana" w:eastAsia="Times New Roman" w:hAnsi="Verdana" w:cs="Arial"/>
          <w:kern w:val="2"/>
          <w:lang w:val="es-ES" w:eastAsia="es-ES"/>
          <w14:ligatures w14:val="standardContextual"/>
        </w:rPr>
      </w:pPr>
      <w:r w:rsidRPr="00AD4C6A">
        <w:rPr>
          <w:rFonts w:ascii="Verdana" w:eastAsia="Times New Roman" w:hAnsi="Verdana" w:cs="Arial"/>
          <w:kern w:val="2"/>
          <w:lang w:val="es-ES" w:eastAsia="es-ES"/>
          <w14:ligatures w14:val="standardContextual"/>
        </w:rPr>
        <w:t>Visto lo anterior, debe decirse que,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1D858B95" w14:textId="77777777" w:rsidR="00AD4C6A" w:rsidRPr="00AD4C6A" w:rsidRDefault="00AD4C6A" w:rsidP="00AD4C6A">
      <w:pPr>
        <w:spacing w:after="120" w:line="276" w:lineRule="auto"/>
        <w:ind w:firstLine="709"/>
        <w:jc w:val="both"/>
        <w:rPr>
          <w:rFonts w:ascii="Verdana" w:eastAsia="Aptos" w:hAnsi="Verdana" w:cs="Arial"/>
          <w:noProof/>
          <w:kern w:val="2"/>
          <w:lang w:val="es-ES_tradnl"/>
          <w14:ligatures w14:val="standardContextual"/>
        </w:rPr>
      </w:pPr>
      <w:r w:rsidRPr="00AD4C6A">
        <w:rPr>
          <w:rFonts w:ascii="Verdana" w:eastAsia="Aptos" w:hAnsi="Verdana" w:cs="Arial"/>
          <w:noProof/>
          <w:kern w:val="2"/>
          <w:lang w:val="es-ES_tradnl"/>
          <w14:ligatures w14:val="standardContextual"/>
        </w:rPr>
        <w:t>En conclusion, los requisitos o documentos que no sean necesarios para la comparación de las ofertas pueden subsanarse y todo lo que no sea necesario para la comparación de propuestas no es título suficiente para su rechazo.</w:t>
      </w:r>
    </w:p>
    <w:p w14:paraId="27489C30" w14:textId="77777777" w:rsidR="00AD4C6A" w:rsidRPr="00AD4C6A" w:rsidRDefault="00AD4C6A" w:rsidP="00AD4C6A">
      <w:pPr>
        <w:spacing w:after="0" w:line="276" w:lineRule="auto"/>
        <w:ind w:firstLine="709"/>
        <w:jc w:val="both"/>
        <w:rPr>
          <w:rFonts w:ascii="Verdana" w:eastAsia="Aptos" w:hAnsi="Verdana" w:cs="Arial"/>
          <w:noProof/>
          <w:kern w:val="2"/>
          <w:lang w:val="es-ES_tradnl"/>
          <w14:ligatures w14:val="standardContextual"/>
        </w:rPr>
      </w:pPr>
      <w:r w:rsidRPr="00AD4C6A">
        <w:rPr>
          <w:rFonts w:ascii="Verdana" w:eastAsia="Aptos" w:hAnsi="Verdana" w:cs="Arial"/>
          <w:noProof/>
          <w:kern w:val="2"/>
          <w:lang w:val="es-ES_tradnl"/>
          <w14:ligatures w14:val="standardContextual"/>
        </w:rPr>
        <w:lastRenderedPageBreak/>
        <w:t>No obstante, a la luz del artículo 5 de la Ley 1882 de 2018, lo subsanable es la prueba de todas las circunstancias ocurridas antes del vencimiento del término para presentar las ofertas, pues una cosa es el requisito habilitante o el elemento de la propuesta y otra su prueba. De tal modo que lo que prohíbe la norma es que se subsanen requisitos que no estaban materialmente cumplidos al momento de presentación de la oferta, o en palabras de la ley, que se acrediten hechos que ocurrieron después del cierre del proceso, por lo que dicha limitación a la regla de subsanabilidad también deberá ser tenida en cuenta.</w:t>
      </w:r>
    </w:p>
    <w:p w14:paraId="279C94BD" w14:textId="77777777" w:rsidR="00AD4C6A" w:rsidRPr="00AD4C6A" w:rsidRDefault="00AD4C6A" w:rsidP="00AD4C6A">
      <w:pPr>
        <w:spacing w:after="0" w:line="276" w:lineRule="auto"/>
        <w:jc w:val="both"/>
        <w:rPr>
          <w:rFonts w:ascii="Verdana" w:eastAsia="Aptos" w:hAnsi="Verdana" w:cs="Times New Roman"/>
          <w:kern w:val="2"/>
          <w14:ligatures w14:val="standardContextual"/>
        </w:rPr>
      </w:pPr>
    </w:p>
    <w:p w14:paraId="3D02CC16" w14:textId="77777777" w:rsidR="00AD4C6A" w:rsidRPr="00AD4C6A" w:rsidRDefault="00AD4C6A" w:rsidP="00AD4C6A">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_tradnl"/>
        </w:rPr>
      </w:pPr>
      <w:r w:rsidRPr="00AD4C6A">
        <w:rPr>
          <w:rFonts w:ascii="Verdana" w:eastAsia="Century Gothic" w:hAnsi="Verdana" w:cs="Century Gothic"/>
          <w:b/>
          <w:bCs/>
          <w:lang w:val="es-ES_tradnl"/>
        </w:rPr>
        <w:t>Referencias normativas, jurisprudenciales y otras fuentes:</w:t>
      </w:r>
    </w:p>
    <w:p w14:paraId="2F5C2F07" w14:textId="77777777" w:rsidR="00AD4C6A" w:rsidRPr="00AD4C6A" w:rsidRDefault="00AD4C6A" w:rsidP="00AD4C6A">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AD4C6A" w:rsidRPr="00AD4C6A" w14:paraId="342C2719" w14:textId="77777777" w:rsidTr="005C0361">
        <w:trPr>
          <w:trHeight w:val="870"/>
        </w:trPr>
        <w:tc>
          <w:tcPr>
            <w:tcW w:w="8647" w:type="dxa"/>
          </w:tcPr>
          <w:p w14:paraId="7E84DA82" w14:textId="77777777" w:rsidR="00AD4C6A" w:rsidRPr="00AD4C6A" w:rsidRDefault="00AD4C6A" w:rsidP="00AD4C6A">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AD4C6A">
              <w:rPr>
                <w:rFonts w:ascii="Verdana" w:eastAsia="Calibri" w:hAnsi="Verdana" w:cs="Arial"/>
                <w:lang w:val="es-ES_tradnl"/>
              </w:rPr>
              <w:t xml:space="preserve">Ley 2022 de 2020, artículo 1. </w:t>
            </w:r>
          </w:p>
          <w:p w14:paraId="49BFAB8E"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Calibri" w:hAnsi="Verdana" w:cs="Arial"/>
                <w:lang w:val="es-ES_tradnl"/>
              </w:rPr>
              <w:t>Ley 1682 de 2013, artículo 72.</w:t>
            </w:r>
          </w:p>
          <w:p w14:paraId="59254A04"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Calibri" w:hAnsi="Verdana" w:cs="Arial"/>
                <w:lang w:val="es-ES_tradnl"/>
              </w:rPr>
              <w:t>Ley 1150 de 2007, artículos 5 y 6.</w:t>
            </w:r>
          </w:p>
          <w:p w14:paraId="069556B8"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Calibri" w:hAnsi="Verdana" w:cs="Arial"/>
                <w:lang w:val="es-ES_tradnl"/>
              </w:rPr>
              <w:t>Ley 1882 de 2015, artículo 5.</w:t>
            </w:r>
          </w:p>
          <w:p w14:paraId="2A2C8D76"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Calibri" w:hAnsi="Verdana" w:cs="Arial"/>
                <w:lang w:val="es-ES_tradnl"/>
              </w:rPr>
              <w:t>Decreto 1082 de 2015, artículos 2.2.1.1.1.3.1 y 2.2.1.1.1.6.4.</w:t>
            </w:r>
          </w:p>
          <w:p w14:paraId="0A3BBFB0"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Calibri" w:hAnsi="Verdana" w:cs="Arial"/>
                <w:lang w:val="es-ES_tradnl"/>
              </w:rPr>
              <w:t>Consejo de Estado. Sección Tercera. Sentencia del 26 de junio de 2003. Rad. 13.354. C.P. María Elena Giraldo Gómez.</w:t>
            </w:r>
          </w:p>
          <w:p w14:paraId="313571EB"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Aptos" w:hAnsi="Verdana" w:cs="Arial"/>
                <w:color w:val="000000"/>
                <w:lang w:val="es-ES_tradnl"/>
              </w:rPr>
              <w:t xml:space="preserve">Consejo de Estado. Sección Tercera, Subsección C. Sentencia del 26 de febrero de 2011. C.P. Jaime Orlando Santofimio. Rad. 36.408. </w:t>
            </w:r>
          </w:p>
          <w:p w14:paraId="6A6019F0"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Aptos" w:hAnsi="Verdana" w:cs="Arial"/>
                <w:color w:val="000000"/>
                <w:lang w:val="es-ES_tradnl"/>
              </w:rPr>
              <w:t xml:space="preserve">Consejo de Estado. Sección Tercera, Subsección C. Sentencia del 26 de febrero de 2014. C.P. Enrique Gil Botero. Rad. 25.804. </w:t>
            </w:r>
          </w:p>
          <w:p w14:paraId="03CFF6AA" w14:textId="77777777" w:rsidR="00AD4C6A" w:rsidRPr="00AD4C6A" w:rsidRDefault="00AD4C6A" w:rsidP="00AD4C6A">
            <w:pPr>
              <w:widowControl w:val="0"/>
              <w:numPr>
                <w:ilvl w:val="0"/>
                <w:numId w:val="17"/>
              </w:numPr>
              <w:autoSpaceDE w:val="0"/>
              <w:autoSpaceDN w:val="0"/>
              <w:spacing w:after="120" w:line="276" w:lineRule="auto"/>
              <w:jc w:val="both"/>
              <w:rPr>
                <w:rFonts w:ascii="Verdana" w:eastAsia="Calibri" w:hAnsi="Verdana" w:cs="Arial"/>
                <w:lang w:val="es-ES_tradnl"/>
              </w:rPr>
            </w:pPr>
            <w:r w:rsidRPr="00AD4C6A">
              <w:rPr>
                <w:rFonts w:ascii="Verdana" w:eastAsia="Aptos" w:hAnsi="Verdana" w:cs="Arial"/>
                <w:color w:val="000000"/>
                <w:lang w:val="es-ES_tradnl"/>
              </w:rPr>
              <w:t>Consejo de Estado. Sala de Consulta y Servicio Civil. Concepto del 20 de mayo de 2010. Expediente: 1992. C.P. Enrique José Arboleda Perdomo</w:t>
            </w:r>
          </w:p>
          <w:p w14:paraId="5C368F81" w14:textId="77777777" w:rsidR="00AD4C6A" w:rsidRPr="00AD4C6A" w:rsidRDefault="00AD4C6A" w:rsidP="00AD4C6A">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AD4C6A">
              <w:rPr>
                <w:rFonts w:ascii="Verdana" w:eastAsia="Calibri" w:hAnsi="Verdana" w:cs="Arial"/>
                <w:lang w:val="es-ES_tradnl"/>
              </w:rPr>
              <w:t xml:space="preserve">Documentos Tipo. Disponibles en: </w:t>
            </w:r>
            <w:hyperlink r:id="rId12" w:history="1">
              <w:r w:rsidRPr="00AD4C6A">
                <w:rPr>
                  <w:rFonts w:ascii="Verdana" w:eastAsia="Calibri" w:hAnsi="Verdana" w:cs="Arial"/>
                  <w:color w:val="467886"/>
                  <w:u w:val="single"/>
                  <w:lang w:val="es-ES_tradnl"/>
                </w:rPr>
                <w:t>https://www.colombiacompra.gov.co/normativa-y-relatoria/documentos-tipo</w:t>
              </w:r>
            </w:hyperlink>
            <w:r w:rsidRPr="00AD4C6A">
              <w:rPr>
                <w:rFonts w:ascii="Verdana" w:eastAsia="Calibri" w:hAnsi="Verdana" w:cs="Arial"/>
                <w:lang w:val="es-ES_tradnl"/>
              </w:rPr>
              <w:t xml:space="preserve">. </w:t>
            </w:r>
          </w:p>
        </w:tc>
      </w:tr>
    </w:tbl>
    <w:p w14:paraId="1CE4BEC1" w14:textId="77777777" w:rsidR="00AD4C6A" w:rsidRPr="00AD4C6A" w:rsidRDefault="00AD4C6A" w:rsidP="00AD4C6A">
      <w:pPr>
        <w:widowControl w:val="0"/>
        <w:autoSpaceDE w:val="0"/>
        <w:autoSpaceDN w:val="0"/>
        <w:snapToGrid w:val="0"/>
        <w:spacing w:after="0" w:line="276" w:lineRule="auto"/>
        <w:jc w:val="both"/>
        <w:rPr>
          <w:rFonts w:ascii="Verdana" w:eastAsia="Calibri" w:hAnsi="Verdana" w:cs="Arial"/>
          <w:lang w:val="es-ES_tradnl"/>
        </w:rPr>
      </w:pPr>
    </w:p>
    <w:p w14:paraId="0E76AF55" w14:textId="77777777" w:rsidR="00AD4C6A" w:rsidRPr="00AD4C6A" w:rsidRDefault="00AD4C6A" w:rsidP="00AD4C6A">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_tradnl"/>
        </w:rPr>
      </w:pPr>
      <w:r w:rsidRPr="00AD4C6A">
        <w:rPr>
          <w:rFonts w:ascii="Verdana" w:eastAsia="Century Gothic" w:hAnsi="Verdana" w:cs="Century Gothic"/>
          <w:b/>
          <w:bCs/>
          <w:lang w:val="es-ES_tradnl"/>
        </w:rPr>
        <w:t>Doctrina de la Agencia Nacional de Contratación Pública:</w:t>
      </w:r>
    </w:p>
    <w:p w14:paraId="7A3112B6" w14:textId="77777777" w:rsidR="00AD4C6A" w:rsidRPr="00AD4C6A" w:rsidRDefault="00AD4C6A" w:rsidP="00AD4C6A">
      <w:pPr>
        <w:widowControl w:val="0"/>
        <w:autoSpaceDE w:val="0"/>
        <w:autoSpaceDN w:val="0"/>
        <w:snapToGrid w:val="0"/>
        <w:spacing w:after="0" w:line="276" w:lineRule="auto"/>
        <w:jc w:val="both"/>
        <w:rPr>
          <w:rFonts w:ascii="Verdana" w:eastAsia="Calibri" w:hAnsi="Verdana" w:cs="Arial"/>
          <w:lang w:val="es-ES_tradnl"/>
        </w:rPr>
      </w:pPr>
    </w:p>
    <w:p w14:paraId="47A7D138" w14:textId="77777777" w:rsidR="00AD4C6A" w:rsidRPr="00AD4C6A" w:rsidRDefault="00AD4C6A" w:rsidP="00AD4C6A">
      <w:pPr>
        <w:spacing w:after="0" w:line="276" w:lineRule="auto"/>
        <w:jc w:val="both"/>
        <w:textAlignment w:val="baseline"/>
        <w:rPr>
          <w:rFonts w:ascii="Verdana" w:eastAsia="Calibri" w:hAnsi="Verdana" w:cs="Arial"/>
          <w:shd w:val="clear" w:color="auto" w:fill="FFFFFF"/>
        </w:rPr>
      </w:pPr>
      <w:r w:rsidRPr="00AD4C6A">
        <w:rPr>
          <w:rFonts w:ascii="Verdana" w:eastAsia="Calibri" w:hAnsi="Verdana" w:cs="Arial"/>
          <w:kern w:val="2"/>
          <w:shd w:val="clear" w:color="auto" w:fill="FFFFFF"/>
          <w:lang w:val="es-ES"/>
          <w14:ligatures w14:val="standardContextual"/>
        </w:rPr>
        <w:lastRenderedPageBreak/>
        <w:t>La Agencia Nacional de Contratación Pública – Colombia Compra Eficiente se pronunció</w:t>
      </w:r>
      <w:r w:rsidRPr="00AD4C6A">
        <w:rPr>
          <w:rFonts w:ascii="Aptos" w:eastAsia="Aptos" w:hAnsi="Aptos" w:cs="Times New Roman"/>
          <w:kern w:val="2"/>
          <w:sz w:val="24"/>
          <w:szCs w:val="24"/>
          <w:lang w:val="es-ES_tradnl"/>
          <w14:ligatures w14:val="standardContextual"/>
        </w:rPr>
        <w:t xml:space="preserve"> </w:t>
      </w:r>
      <w:r w:rsidRPr="00AD4C6A">
        <w:rPr>
          <w:rFonts w:ascii="Verdana" w:eastAsia="Calibri" w:hAnsi="Verdana" w:cs="Arial"/>
          <w:kern w:val="2"/>
          <w:shd w:val="clear" w:color="auto" w:fill="FFFFFF"/>
          <w:lang w:val="es-ES"/>
          <w14:ligatures w14:val="standardContextual"/>
        </w:rPr>
        <w:t>sobre la capacidad residual y la forma como esta se debe acreditar, en los conceptos 2201913000006275 del 27 de agosto de 2019, 2201913000009465 del 20 de diciembre de 2019, 2201913000009642 y 2201913000009640 del 26 de diciembre de 2019; así como en los conceptos C–022 del 20 de febrero de 2020, C–089 del 4 de marzo de 2020, C–112 del 16 de marzo de 2020, C–133 del 25 de marzo de 2020, C–194 del 21 de abril de 2020, C–326 del 9 de junio de 2020, C–446 del 6 de julio de 2020, C-461 del 13 de julio de 2020, C–668 del 20 de noviembre de 2020, C–742 del 16 de diciembre de 2020, C–045 del 5 de marzo de 2021, C–003 del 26 de marzo de 2021, C–121 del 31 de marzo de 2021, C–143 del 9 de abril de 2021, C–202 del 7 de mayo de 2021, C–219 del 19 de mayo de 2021, C–368 del 28 de julio de 2021, C–392 del 5 de agosto de 2021, C–513 del 23 de septiembre de 2021, C–590 del 12 de octubre de 2021, C-068 del 9 de marzo de 2022, C-220 del 22 de abril de 2022, C-351 del 23 de mayo de 2022, C-392 del 16 de junio de 2022, C-411 del 4 de diciembre de 2023, C-486 del 29 de mayo de 2025, entre otros.</w:t>
      </w:r>
      <w:r w:rsidRPr="00AD4C6A">
        <w:rPr>
          <w:rFonts w:ascii="Verdana" w:eastAsia="Calibri" w:hAnsi="Verdana" w:cs="Arial"/>
          <w:kern w:val="2"/>
          <w:shd w:val="clear" w:color="auto" w:fill="FFFFFF"/>
          <w:lang w:val="es-ES_tradnl"/>
          <w14:ligatures w14:val="standardContextual"/>
        </w:rPr>
        <w:t xml:space="preserve"> </w:t>
      </w:r>
      <w:r w:rsidRPr="00AD4C6A">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AD4C6A">
          <w:rPr>
            <w:rFonts w:ascii="Verdana" w:eastAsia="Times New Roman" w:hAnsi="Verdana" w:cs="Arial"/>
            <w:kern w:val="2"/>
            <w:shd w:val="clear" w:color="auto" w:fill="FFFFFF"/>
            <w:lang w:val="es-ES"/>
            <w14:ligatures w14:val="standardContextual"/>
          </w:rPr>
          <w:t>https://relatoria.colombiacompra.gov.co/</w:t>
        </w:r>
      </w:hyperlink>
      <w:r w:rsidRPr="00AD4C6A">
        <w:rPr>
          <w:rFonts w:ascii="Verdana" w:eastAsia="Times New Roman" w:hAnsi="Verdana" w:cs="Arial"/>
          <w:kern w:val="2"/>
          <w:shd w:val="clear" w:color="auto" w:fill="FFFFFF"/>
          <w:lang w:val="es-ES"/>
          <w14:ligatures w14:val="standardContextual"/>
        </w:rPr>
        <w:t>.</w:t>
      </w:r>
    </w:p>
    <w:p w14:paraId="0C1229FD" w14:textId="77777777" w:rsidR="00AD4C6A" w:rsidRPr="00AD4C6A" w:rsidRDefault="00AD4C6A" w:rsidP="00AD4C6A">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FE17DD1" w14:textId="77777777" w:rsidR="00AD4C6A" w:rsidRPr="00AD4C6A" w:rsidRDefault="00AD4C6A" w:rsidP="00AD4C6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AD4C6A">
        <w:rPr>
          <w:rFonts w:ascii="Verdana" w:eastAsia="Calibri" w:hAnsi="Verdana" w:cs="Arial"/>
          <w:kern w:val="2"/>
          <w:shd w:val="clear" w:color="auto" w:fill="FFFFFF"/>
          <w:lang w:val="es-ES_tradnl"/>
          <w14:ligatures w14:val="standardContextual"/>
        </w:rPr>
        <w:t>La</w:t>
      </w:r>
      <w:r w:rsidRPr="00AD4C6A">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AD4C6A">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AD4C6A">
        <w:rPr>
          <w:rFonts w:ascii="Verdana" w:eastAsia="Calibri" w:hAnsi="Verdana" w:cs="Arial"/>
          <w:b/>
          <w:bCs/>
          <w:kern w:val="2"/>
          <w:shd w:val="clear" w:color="auto" w:fill="FFFFFF"/>
          <w:lang w:val="es-ES_tradnl"/>
          <w14:ligatures w14:val="standardContextual"/>
        </w:rPr>
        <w:t>Documentos Tipo</w:t>
      </w:r>
      <w:r w:rsidRPr="00AD4C6A">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AD4C6A">
        <w:rPr>
          <w:rFonts w:ascii="Verdana" w:eastAsia="Calibri" w:hAnsi="Verdana" w:cs="Arial"/>
          <w:b/>
          <w:bCs/>
          <w:kern w:val="2"/>
          <w:shd w:val="clear" w:color="auto" w:fill="FFFFFF"/>
          <w:lang w:val="es-ES_tradnl"/>
          <w14:ligatures w14:val="standardContextual"/>
        </w:rPr>
        <w:t>transparencia</w:t>
      </w:r>
      <w:r w:rsidRPr="00AD4C6A">
        <w:rPr>
          <w:rFonts w:ascii="Verdana" w:eastAsia="Calibri" w:hAnsi="Verdana" w:cs="Arial"/>
          <w:kern w:val="2"/>
          <w:shd w:val="clear" w:color="auto" w:fill="FFFFFF"/>
          <w:lang w:val="es-ES_tradnl"/>
          <w14:ligatures w14:val="standardContextual"/>
        </w:rPr>
        <w:t> y promover un proceso de </w:t>
      </w:r>
      <w:r w:rsidRPr="00AD4C6A">
        <w:rPr>
          <w:rFonts w:ascii="Verdana" w:eastAsia="Calibri" w:hAnsi="Verdana" w:cs="Arial"/>
          <w:b/>
          <w:bCs/>
          <w:kern w:val="2"/>
          <w:shd w:val="clear" w:color="auto" w:fill="FFFFFF"/>
          <w:lang w:val="es-ES_tradnl"/>
          <w14:ligatures w14:val="standardContextual"/>
        </w:rPr>
        <w:t>selección objetiva</w:t>
      </w:r>
      <w:r w:rsidRPr="00AD4C6A">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8A48986" w14:textId="77777777" w:rsidR="00AD4C6A" w:rsidRPr="00AD4C6A" w:rsidRDefault="00AD4C6A" w:rsidP="00AD4C6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B3CC846" w14:textId="77777777" w:rsidR="00AD4C6A" w:rsidRPr="00AD4C6A" w:rsidRDefault="00AD4C6A" w:rsidP="00AD4C6A">
      <w:pPr>
        <w:spacing w:after="0" w:line="276" w:lineRule="auto"/>
        <w:jc w:val="both"/>
        <w:rPr>
          <w:rFonts w:ascii="Verdana" w:eastAsia="Aptos" w:hAnsi="Verdana" w:cs="Times New Roman"/>
          <w:kern w:val="2"/>
          <w:lang w:val="es-ES_tradnl"/>
          <w14:ligatures w14:val="standardContextual"/>
        </w:rPr>
      </w:pPr>
      <w:r w:rsidRPr="00AD4C6A">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AD4C6A">
        <w:rPr>
          <w:rFonts w:ascii="Verdana" w:eastAsia="Aptos" w:hAnsi="Verdana" w:cs="Times New Roman"/>
          <w:b/>
          <w:bCs/>
          <w:kern w:val="2"/>
          <w:lang w:val="es-ES_tradnl"/>
          <w14:ligatures w14:val="standardContextual"/>
        </w:rPr>
        <w:t>Curso de Contratación Pública Sostenible y Socialmente Responsable</w:t>
      </w:r>
      <w:r w:rsidRPr="00AD4C6A">
        <w:rPr>
          <w:rFonts w:ascii="Verdana" w:eastAsia="Aptos" w:hAnsi="Verdana" w:cs="Times New Roman"/>
          <w:kern w:val="2"/>
          <w:lang w:val="es-ES_tradnl"/>
          <w14:ligatures w14:val="standardContextual"/>
        </w:rPr>
        <w:t xml:space="preserve">, una herramienta clave para fortalecer las capacidades de todos </w:t>
      </w:r>
      <w:r w:rsidRPr="00AD4C6A">
        <w:rPr>
          <w:rFonts w:ascii="Verdana" w:eastAsia="Aptos" w:hAnsi="Verdana" w:cs="Times New Roman"/>
          <w:kern w:val="2"/>
          <w:lang w:val="es-ES_tradnl"/>
          <w14:ligatures w14:val="standardContextual"/>
        </w:rPr>
        <w:lastRenderedPageBreak/>
        <w:t>los compradores públicos, proveedores, servidores públicos v para generar mayor valor público. Accede al curso y aprende como implementar criterios sociales y ambientales en las diferentes etapas del proceso de contratación:</w:t>
      </w:r>
      <w:r w:rsidRPr="00AD4C6A">
        <w:rPr>
          <w:rFonts w:ascii="Verdana" w:eastAsia="Aptos" w:hAnsi="Verdana" w:cs="Times New Roman"/>
          <w:kern w:val="2"/>
          <w:lang w:val="es-ES_tradnl"/>
          <w14:ligatures w14:val="standardContextual"/>
        </w:rPr>
        <w:br/>
      </w:r>
      <w:hyperlink r:id="rId14" w:tgtFrame="_new" w:history="1">
        <w:r w:rsidRPr="00AD4C6A">
          <w:rPr>
            <w:rFonts w:ascii="Verdana" w:eastAsia="Aptos" w:hAnsi="Verdana" w:cs="Times New Roman"/>
            <w:color w:val="0000FF"/>
            <w:kern w:val="2"/>
            <w:u w:val="single"/>
            <w:lang w:val="es-ES_tradnl"/>
            <w14:ligatures w14:val="standardContextual"/>
          </w:rPr>
          <w:t>https://formacionvirtual.colombiacompra.gov.co/mod/page/view.php?id=3718</w:t>
        </w:r>
      </w:hyperlink>
    </w:p>
    <w:p w14:paraId="45DC032A" w14:textId="77777777" w:rsidR="00AD4C6A" w:rsidRPr="00AD4C6A" w:rsidRDefault="00AD4C6A" w:rsidP="00AD4C6A">
      <w:pPr>
        <w:spacing w:after="0" w:line="276" w:lineRule="auto"/>
        <w:jc w:val="both"/>
        <w:rPr>
          <w:rFonts w:ascii="Verdana" w:eastAsia="Aptos" w:hAnsi="Verdana" w:cs="Times New Roman"/>
          <w:kern w:val="2"/>
          <w:lang w:val="es-ES_tradnl"/>
          <w14:ligatures w14:val="standardContextual"/>
        </w:rPr>
      </w:pPr>
    </w:p>
    <w:p w14:paraId="24724504" w14:textId="77777777" w:rsidR="00AD4C6A" w:rsidRPr="00AD4C6A" w:rsidRDefault="00AD4C6A" w:rsidP="00AD4C6A">
      <w:pPr>
        <w:spacing w:after="0" w:line="276" w:lineRule="auto"/>
        <w:jc w:val="both"/>
        <w:rPr>
          <w:rFonts w:ascii="Verdana" w:eastAsia="Aptos" w:hAnsi="Verdana" w:cs="Times New Roman"/>
          <w:kern w:val="2"/>
          <w:lang w:val="es-ES_tradnl"/>
          <w14:ligatures w14:val="standardContextual"/>
        </w:rPr>
      </w:pPr>
      <w:r w:rsidRPr="00AD4C6A">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AD4C6A">
        <w:rPr>
          <w:rFonts w:ascii="Verdana" w:eastAsia="Aptos" w:hAnsi="Verdana" w:cs="Times New Roman"/>
          <w:b/>
          <w:bCs/>
          <w:kern w:val="2"/>
          <w:lang w:val="es-ES_tradnl"/>
          <w14:ligatures w14:val="standardContextual"/>
        </w:rPr>
        <w:t>sector  social</w:t>
      </w:r>
      <w:r w:rsidRPr="00AD4C6A">
        <w:rPr>
          <w:rFonts w:ascii="Verdana" w:eastAsia="Aptos" w:hAnsi="Verdana" w:cs="Times New Roman"/>
          <w:kern w:val="2"/>
          <w:lang w:val="es-ES_tradnl"/>
          <w14:ligatures w14:val="standardContextual"/>
        </w:rPr>
        <w:t xml:space="preserve"> con la expedición de las </w:t>
      </w:r>
      <w:r w:rsidRPr="00AD4C6A">
        <w:rPr>
          <w:rFonts w:ascii="Verdana" w:eastAsia="Aptos" w:hAnsi="Verdana" w:cs="Times New Roman"/>
          <w:b/>
          <w:bCs/>
          <w:kern w:val="2"/>
          <w:lang w:val="es-ES_tradnl"/>
          <w14:ligatures w14:val="standardContextual"/>
        </w:rPr>
        <w:t>Resoluciones 539, 540, 541, 952 y 953 de 2025</w:t>
      </w:r>
      <w:r w:rsidRPr="00AD4C6A">
        <w:rPr>
          <w:rFonts w:ascii="Verdana" w:eastAsia="Aptos" w:hAnsi="Verdana" w:cs="Times New Roman"/>
          <w:kern w:val="2"/>
          <w:lang w:val="es-ES_tradnl"/>
          <w14:ligatures w14:val="standardContextual"/>
        </w:rPr>
        <w:t xml:space="preserve">, </w:t>
      </w:r>
      <w:r w:rsidRPr="00AD4C6A">
        <w:rPr>
          <w:rFonts w:ascii="Verdana" w:eastAsia="Aptos" w:hAnsi="Verdana" w:cs="Times New Roman"/>
          <w:b/>
          <w:bCs/>
          <w:kern w:val="2"/>
          <w:lang w:val="es-ES_tradnl"/>
          <w14:ligatures w14:val="standardContextual"/>
        </w:rPr>
        <w:t>mediante las cuales adoptó Documentos Tipo</w:t>
      </w:r>
      <w:r w:rsidRPr="00AD4C6A">
        <w:rPr>
          <w:rFonts w:ascii="Verdana" w:eastAsia="Aptos" w:hAnsi="Verdana" w:cs="Times New Roman"/>
          <w:kern w:val="2"/>
          <w:lang w:val="es-ES_tradnl"/>
          <w14:ligatures w14:val="standardContextual"/>
        </w:rPr>
        <w:t xml:space="preserve"> para las modalidades de selección de</w:t>
      </w:r>
      <w:r w:rsidRPr="00AD4C6A">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AD4C6A">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AD4C6A">
          <w:rPr>
            <w:rFonts w:ascii="Verdana" w:eastAsia="Aptos" w:hAnsi="Verdana" w:cs="Times New Roman"/>
            <w:color w:val="0000FF"/>
            <w:kern w:val="2"/>
            <w:u w:val="single"/>
            <w:lang w:val="es-ES_tradnl"/>
            <w14:ligatures w14:val="standardContextual"/>
          </w:rPr>
          <w:t>https://www.colombiacompra.gov.co/normativa-y-relatoria/documentos-tipo</w:t>
        </w:r>
      </w:hyperlink>
    </w:p>
    <w:p w14:paraId="4ECE6D5D" w14:textId="77777777" w:rsidR="00AD4C6A" w:rsidRPr="00AD4C6A" w:rsidRDefault="00AD4C6A" w:rsidP="00AD4C6A">
      <w:pPr>
        <w:spacing w:after="0" w:line="276" w:lineRule="auto"/>
        <w:jc w:val="both"/>
        <w:rPr>
          <w:rFonts w:ascii="Verdana" w:eastAsia="Aptos" w:hAnsi="Verdana" w:cs="Times New Roman"/>
          <w:kern w:val="2"/>
          <w:lang w:val="es-ES_tradnl"/>
          <w14:ligatures w14:val="standardContextual"/>
        </w:rPr>
      </w:pPr>
    </w:p>
    <w:p w14:paraId="60466A7D" w14:textId="77777777" w:rsidR="00AD4C6A" w:rsidRPr="00AD4C6A" w:rsidRDefault="00AD4C6A" w:rsidP="00AD4C6A">
      <w:pPr>
        <w:spacing w:after="0" w:line="276" w:lineRule="auto"/>
        <w:jc w:val="both"/>
        <w:rPr>
          <w:rFonts w:ascii="Verdana" w:eastAsia="Aptos" w:hAnsi="Verdana" w:cs="Times New Roman"/>
          <w:kern w:val="2"/>
          <w:lang w:val="es-ES_tradnl"/>
          <w14:ligatures w14:val="standardContextual"/>
        </w:rPr>
      </w:pPr>
      <w:r w:rsidRPr="00AD4C6A">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AD4C6A">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AD4C6A">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AD4C6A">
        <w:rPr>
          <w:rFonts w:ascii="Verdana" w:eastAsia="Aptos" w:hAnsi="Verdana" w:cs="Times New Roman"/>
          <w:kern w:val="2"/>
          <w:lang w:val="es-ES_tradnl"/>
          <w14:ligatures w14:val="standardContextual"/>
        </w:rPr>
        <w:t>Además</w:t>
      </w:r>
      <w:proofErr w:type="gramEnd"/>
      <w:r w:rsidRPr="00AD4C6A">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AD4C6A">
        <w:rPr>
          <w:rFonts w:ascii="Verdana" w:eastAsia="Aptos" w:hAnsi="Verdana" w:cs="Times New Roman"/>
          <w:kern w:val="2"/>
          <w:lang w:val="es-ES_tradnl"/>
          <w14:ligatures w14:val="standardContextual"/>
        </w:rPr>
        <w:br/>
      </w:r>
      <w:hyperlink r:id="rId16" w:tgtFrame="_new" w:history="1">
        <w:r w:rsidRPr="00AD4C6A">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08703839" w14:textId="77777777" w:rsidR="00AD4C6A" w:rsidRPr="00AD4C6A" w:rsidRDefault="00AD4C6A" w:rsidP="00AD4C6A">
      <w:pPr>
        <w:widowControl w:val="0"/>
        <w:autoSpaceDE w:val="0"/>
        <w:autoSpaceDN w:val="0"/>
        <w:spacing w:after="0" w:line="276" w:lineRule="auto"/>
        <w:jc w:val="both"/>
        <w:rPr>
          <w:rFonts w:ascii="Verdana" w:eastAsia="Calibri" w:hAnsi="Verdana" w:cs="Arial"/>
          <w:shd w:val="clear" w:color="auto" w:fill="FFFFFF"/>
          <w:lang w:val="es-ES_tradnl"/>
        </w:rPr>
      </w:pPr>
    </w:p>
    <w:p w14:paraId="54298B04" w14:textId="77777777" w:rsidR="00AD4C6A" w:rsidRPr="00AD4C6A" w:rsidRDefault="00AD4C6A" w:rsidP="00AD4C6A">
      <w:pPr>
        <w:spacing w:after="0" w:line="276" w:lineRule="auto"/>
        <w:jc w:val="both"/>
        <w:rPr>
          <w:rFonts w:ascii="Verdana" w:eastAsia="Calibri" w:hAnsi="Verdana" w:cs="Times New Roman"/>
          <w:lang w:val="es-ES_tradnl"/>
        </w:rPr>
      </w:pPr>
      <w:r w:rsidRPr="00AD4C6A">
        <w:rPr>
          <w:rFonts w:ascii="Verdana" w:eastAsia="Calibri" w:hAnsi="Verdana" w:cs="Times New Roman"/>
          <w:lang w:val="es-ES_tradnl"/>
        </w:rPr>
        <w:t xml:space="preserve">Por último, los invitamos a seguirnos en las redes sociales, en las cuales se difunde información institucional: </w:t>
      </w:r>
    </w:p>
    <w:p w14:paraId="58C70E04" w14:textId="77777777" w:rsidR="00AD4C6A" w:rsidRPr="00AD4C6A" w:rsidRDefault="00AD4C6A" w:rsidP="00AD4C6A">
      <w:pPr>
        <w:spacing w:after="0" w:line="240" w:lineRule="auto"/>
        <w:jc w:val="both"/>
        <w:rPr>
          <w:rFonts w:ascii="Verdana" w:eastAsia="Calibri" w:hAnsi="Verdana" w:cs="Times New Roman"/>
          <w:kern w:val="2"/>
          <w:lang w:val="es-ES_tradnl"/>
          <w14:ligatures w14:val="standardContextual"/>
        </w:rPr>
      </w:pPr>
    </w:p>
    <w:p w14:paraId="67718911" w14:textId="77777777" w:rsidR="00AD4C6A" w:rsidRPr="00AD4C6A" w:rsidRDefault="00AD4C6A" w:rsidP="00AD4C6A">
      <w:pPr>
        <w:spacing w:after="0" w:line="240" w:lineRule="auto"/>
        <w:jc w:val="both"/>
        <w:rPr>
          <w:rFonts w:ascii="Verdana" w:eastAsia="Calibri" w:hAnsi="Verdana" w:cs="Times New Roman"/>
          <w:kern w:val="2"/>
          <w:lang w:val="es-ES_tradnl"/>
          <w14:ligatures w14:val="standardContextual"/>
        </w:rPr>
      </w:pPr>
      <w:r w:rsidRPr="00AD4C6A">
        <w:rPr>
          <w:rFonts w:ascii="Verdana" w:eastAsia="Calibri" w:hAnsi="Verdana" w:cs="Times New Roman"/>
          <w:kern w:val="2"/>
          <w:lang w:val="es-ES_tradnl"/>
          <w14:ligatures w14:val="standardContextual"/>
        </w:rPr>
        <w:t xml:space="preserve">X: </w:t>
      </w:r>
      <w:r w:rsidRPr="00AD4C6A">
        <w:rPr>
          <w:rFonts w:ascii="Verdana" w:eastAsia="Calibri" w:hAnsi="Verdana" w:cs="Times New Roman"/>
          <w:kern w:val="2"/>
          <w:u w:val="single"/>
          <w:lang w:val="es-ES_tradnl"/>
          <w14:ligatures w14:val="standardContextual"/>
        </w:rPr>
        <w:t>@colombiacompra</w:t>
      </w:r>
      <w:r w:rsidRPr="00AD4C6A">
        <w:rPr>
          <w:rFonts w:ascii="Verdana" w:eastAsia="Calibri" w:hAnsi="Verdana" w:cs="Times New Roman"/>
          <w:kern w:val="2"/>
          <w:lang w:val="es-ES_tradnl"/>
          <w14:ligatures w14:val="standardContextual"/>
        </w:rPr>
        <w:t xml:space="preserve"> </w:t>
      </w:r>
    </w:p>
    <w:p w14:paraId="09A4344F" w14:textId="77777777" w:rsidR="00AD4C6A" w:rsidRPr="00AD4C6A" w:rsidRDefault="00AD4C6A" w:rsidP="00AD4C6A">
      <w:pPr>
        <w:spacing w:after="0" w:line="240" w:lineRule="auto"/>
        <w:jc w:val="both"/>
        <w:rPr>
          <w:rFonts w:ascii="Verdana" w:eastAsia="Calibri" w:hAnsi="Verdana" w:cs="Times New Roman"/>
          <w:kern w:val="2"/>
          <w:lang w:val="es-ES"/>
          <w14:ligatures w14:val="standardContextual"/>
        </w:rPr>
      </w:pPr>
      <w:r w:rsidRPr="00AD4C6A">
        <w:rPr>
          <w:rFonts w:ascii="Verdana" w:eastAsia="Calibri" w:hAnsi="Verdana" w:cs="Times New Roman"/>
          <w:kern w:val="2"/>
          <w:lang w:val="es-ES"/>
          <w14:ligatures w14:val="standardContextual"/>
        </w:rPr>
        <w:t xml:space="preserve">Facebook: </w:t>
      </w:r>
      <w:proofErr w:type="spellStart"/>
      <w:r w:rsidRPr="00AD4C6A">
        <w:rPr>
          <w:rFonts w:ascii="Verdana" w:eastAsia="Calibri" w:hAnsi="Verdana" w:cs="Times New Roman"/>
          <w:kern w:val="2"/>
          <w:u w:val="single"/>
          <w:lang w:val="es-ES"/>
          <w14:ligatures w14:val="standardContextual"/>
        </w:rPr>
        <w:t>ColombiaCompraEficiente</w:t>
      </w:r>
      <w:proofErr w:type="spellEnd"/>
    </w:p>
    <w:p w14:paraId="7B777A16" w14:textId="77777777" w:rsidR="00AD4C6A" w:rsidRPr="00AD4C6A" w:rsidRDefault="00AD4C6A" w:rsidP="00AD4C6A">
      <w:pPr>
        <w:spacing w:after="0" w:line="240" w:lineRule="auto"/>
        <w:jc w:val="both"/>
        <w:rPr>
          <w:rFonts w:ascii="Verdana" w:eastAsia="Calibri" w:hAnsi="Verdana" w:cs="Times New Roman"/>
          <w:kern w:val="2"/>
          <w:lang w:val="es-ES_tradnl"/>
          <w14:ligatures w14:val="standardContextual"/>
        </w:rPr>
      </w:pPr>
      <w:r w:rsidRPr="00AD4C6A">
        <w:rPr>
          <w:rFonts w:ascii="Verdana" w:eastAsia="Calibri" w:hAnsi="Verdana" w:cs="Times New Roman"/>
          <w:kern w:val="2"/>
          <w:lang w:val="es-ES_tradnl"/>
          <w14:ligatures w14:val="standardContextual"/>
        </w:rPr>
        <w:t xml:space="preserve">LinkedIn: </w:t>
      </w:r>
      <w:r w:rsidRPr="00AD4C6A">
        <w:rPr>
          <w:rFonts w:ascii="Verdana" w:eastAsia="Calibri" w:hAnsi="Verdana" w:cs="Times New Roman"/>
          <w:kern w:val="2"/>
          <w:u w:val="single"/>
          <w:lang w:val="es-ES_tradnl"/>
          <w14:ligatures w14:val="standardContextual"/>
        </w:rPr>
        <w:t>Agencia Nacional de Contratación Pública - Colombia Compra Eficiente</w:t>
      </w:r>
      <w:r w:rsidRPr="00AD4C6A">
        <w:rPr>
          <w:rFonts w:ascii="Verdana" w:eastAsia="Calibri" w:hAnsi="Verdana" w:cs="Times New Roman"/>
          <w:kern w:val="2"/>
          <w:lang w:val="es-ES_tradnl"/>
          <w14:ligatures w14:val="standardContextual"/>
        </w:rPr>
        <w:t xml:space="preserve"> Instagram: </w:t>
      </w:r>
      <w:r w:rsidRPr="00AD4C6A">
        <w:rPr>
          <w:rFonts w:ascii="Verdana" w:eastAsia="Calibri" w:hAnsi="Verdana" w:cs="Times New Roman"/>
          <w:kern w:val="2"/>
          <w:u w:val="single"/>
          <w:lang w:val="es-ES_tradnl"/>
          <w14:ligatures w14:val="standardContextual"/>
        </w:rPr>
        <w:t>@colombiacompraeficiente_cce</w:t>
      </w:r>
    </w:p>
    <w:p w14:paraId="31939175" w14:textId="77777777" w:rsidR="00AD4C6A" w:rsidRPr="00AD4C6A" w:rsidRDefault="00AD4C6A" w:rsidP="00AD4C6A">
      <w:pPr>
        <w:spacing w:after="0" w:line="240" w:lineRule="auto"/>
        <w:jc w:val="both"/>
        <w:rPr>
          <w:rFonts w:ascii="Verdana" w:eastAsia="Calibri" w:hAnsi="Verdana" w:cs="Times New Roman"/>
          <w:kern w:val="2"/>
          <w:lang w:val="es-ES_tradnl"/>
          <w14:ligatures w14:val="standardContextual"/>
        </w:rPr>
      </w:pPr>
    </w:p>
    <w:p w14:paraId="05400BE6" w14:textId="77777777" w:rsidR="00AD4C6A" w:rsidRPr="00AD4C6A" w:rsidRDefault="00AD4C6A" w:rsidP="00AD4C6A">
      <w:pPr>
        <w:widowControl w:val="0"/>
        <w:autoSpaceDE w:val="0"/>
        <w:autoSpaceDN w:val="0"/>
        <w:spacing w:after="0" w:line="276" w:lineRule="auto"/>
        <w:jc w:val="both"/>
        <w:rPr>
          <w:rFonts w:ascii="Verdana" w:eastAsia="Calibri" w:hAnsi="Verdana" w:cs="Arial"/>
          <w:kern w:val="2"/>
          <w:lang w:val="es-ES_tradnl"/>
          <w14:ligatures w14:val="standardContextual"/>
        </w:rPr>
      </w:pPr>
      <w:r w:rsidRPr="00AD4C6A">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5153A98" w14:textId="77777777" w:rsidR="00AD4C6A" w:rsidRPr="00AD4C6A" w:rsidRDefault="00AD4C6A" w:rsidP="00AD4C6A">
      <w:pPr>
        <w:widowControl w:val="0"/>
        <w:autoSpaceDE w:val="0"/>
        <w:autoSpaceDN w:val="0"/>
        <w:spacing w:after="0" w:line="276" w:lineRule="auto"/>
        <w:jc w:val="both"/>
        <w:rPr>
          <w:rFonts w:ascii="Verdana" w:eastAsia="Calibri" w:hAnsi="Verdana" w:cs="Arial"/>
          <w:lang w:val="es-ES_tradnl"/>
        </w:rPr>
      </w:pPr>
    </w:p>
    <w:p w14:paraId="1A758A00" w14:textId="77777777" w:rsidR="00AD4C6A" w:rsidRPr="00AD4C6A" w:rsidRDefault="00AD4C6A" w:rsidP="00AD4C6A">
      <w:pPr>
        <w:spacing w:after="0" w:line="240" w:lineRule="auto"/>
        <w:rPr>
          <w:rFonts w:ascii="Verdana" w:eastAsia="Calibri" w:hAnsi="Verdana" w:cs="Arial"/>
          <w:lang w:val="es-ES_tradnl" w:eastAsia="es-CO"/>
        </w:rPr>
      </w:pPr>
      <w:r w:rsidRPr="00AD4C6A">
        <w:rPr>
          <w:rFonts w:ascii="Verdana" w:eastAsia="Times New Roman" w:hAnsi="Verdana" w:cs="Arial"/>
          <w:lang w:val="es-ES_tradnl" w:eastAsia="es-CO"/>
        </w:rPr>
        <w:t>Atentamente,</w:t>
      </w:r>
      <w:r w:rsidRPr="00AD4C6A">
        <w:rPr>
          <w:rFonts w:ascii="Verdana" w:eastAsia="Calibri" w:hAnsi="Verdana" w:cs="Arial"/>
          <w:lang w:val="es-ES_tradnl" w:eastAsia="es-CO"/>
        </w:rPr>
        <w:t xml:space="preserve"> </w:t>
      </w:r>
    </w:p>
    <w:p w14:paraId="2A3BDEFE" w14:textId="2EA747ED" w:rsidR="00AD4C6A" w:rsidRPr="00AD4C6A" w:rsidRDefault="004E4715" w:rsidP="00AD4C6A">
      <w:pPr>
        <w:spacing w:line="276" w:lineRule="auto"/>
        <w:jc w:val="center"/>
        <w:rPr>
          <w:rFonts w:ascii="Verdana" w:eastAsia="Calibri" w:hAnsi="Verdana" w:cs="Arial"/>
          <w:lang w:val="es-ES_tradnl" w:eastAsia="es-CO"/>
        </w:rPr>
      </w:pPr>
      <w:r>
        <w:rPr>
          <w:noProof/>
        </w:rPr>
        <w:drawing>
          <wp:inline distT="0" distB="0" distL="0" distR="0" wp14:anchorId="627F262A" wp14:editId="42E7F5A5">
            <wp:extent cx="3016502" cy="1119763"/>
            <wp:effectExtent l="0" t="0" r="0" b="0"/>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7"/>
                    <a:stretch>
                      <a:fillRect/>
                    </a:stretch>
                  </pic:blipFill>
                  <pic:spPr>
                    <a:xfrm>
                      <a:off x="0" y="0"/>
                      <a:ext cx="3043275" cy="112970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D4C6A" w:rsidRPr="00AD4C6A" w14:paraId="652D6011" w14:textId="77777777" w:rsidTr="005C0361">
        <w:trPr>
          <w:trHeight w:val="315"/>
        </w:trPr>
        <w:tc>
          <w:tcPr>
            <w:tcW w:w="893" w:type="dxa"/>
            <w:vAlign w:val="center"/>
            <w:hideMark/>
          </w:tcPr>
          <w:p w14:paraId="55E68A91" w14:textId="77777777" w:rsidR="00AD4C6A" w:rsidRPr="00AD4C6A" w:rsidRDefault="00AD4C6A" w:rsidP="00AD4C6A">
            <w:pPr>
              <w:rPr>
                <w:rFonts w:ascii="Verdana" w:eastAsia="Calibri" w:hAnsi="Verdana" w:cs="Arial"/>
                <w:sz w:val="16"/>
                <w:szCs w:val="16"/>
                <w:lang w:val="es-ES_tradnl" w:eastAsia="es-ES"/>
              </w:rPr>
            </w:pPr>
            <w:r w:rsidRPr="00AD4C6A">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085EC3C8" w14:textId="77777777" w:rsidR="00AD4C6A" w:rsidRPr="00AD4C6A" w:rsidRDefault="00AD4C6A" w:rsidP="00AD4C6A">
            <w:pPr>
              <w:rPr>
                <w:rFonts w:ascii="Verdana" w:eastAsia="Arial" w:hAnsi="Verdana" w:cs="Arial"/>
                <w:sz w:val="16"/>
                <w:szCs w:val="16"/>
                <w:lang w:val="es-ES_tradnl"/>
              </w:rPr>
            </w:pPr>
            <w:r w:rsidRPr="00AD4C6A">
              <w:rPr>
                <w:rFonts w:ascii="Verdana" w:eastAsia="Arial" w:hAnsi="Verdana" w:cs="Arial"/>
                <w:sz w:val="16"/>
                <w:szCs w:val="16"/>
                <w:lang w:val="es-ES_tradnl"/>
              </w:rPr>
              <w:t>Kevin Arlid Herrera Santa</w:t>
            </w:r>
          </w:p>
          <w:p w14:paraId="368980BC" w14:textId="77777777" w:rsidR="00AD4C6A" w:rsidRPr="00AD4C6A" w:rsidRDefault="00AD4C6A" w:rsidP="00AD4C6A">
            <w:pPr>
              <w:rPr>
                <w:rFonts w:ascii="Verdana" w:eastAsia="Arial" w:hAnsi="Verdana" w:cs="Arial"/>
                <w:sz w:val="16"/>
                <w:szCs w:val="16"/>
                <w:lang w:val="es-ES_tradnl"/>
              </w:rPr>
            </w:pPr>
            <w:r w:rsidRPr="00AD4C6A">
              <w:rPr>
                <w:rFonts w:ascii="Verdana" w:eastAsia="Arial" w:hAnsi="Verdana" w:cs="Arial"/>
                <w:sz w:val="16"/>
                <w:szCs w:val="16"/>
                <w:lang w:val="es-ES_tradnl"/>
              </w:rPr>
              <w:t xml:space="preserve">Contratista de la Subdirección de Gestión Contractual </w:t>
            </w:r>
          </w:p>
          <w:p w14:paraId="541C8529" w14:textId="77777777" w:rsidR="00AD4C6A" w:rsidRPr="00AD4C6A" w:rsidRDefault="00AD4C6A" w:rsidP="00AD4C6A">
            <w:pPr>
              <w:rPr>
                <w:rFonts w:ascii="Verdana" w:eastAsia="Arial" w:hAnsi="Verdana" w:cs="Arial"/>
                <w:sz w:val="16"/>
                <w:szCs w:val="16"/>
                <w:lang w:val="es-ES_tradnl"/>
              </w:rPr>
            </w:pPr>
          </w:p>
        </w:tc>
      </w:tr>
      <w:tr w:rsidR="00AD4C6A" w:rsidRPr="00AD4C6A" w14:paraId="0FDE71A0" w14:textId="77777777" w:rsidTr="005C0361">
        <w:trPr>
          <w:trHeight w:val="330"/>
        </w:trPr>
        <w:tc>
          <w:tcPr>
            <w:tcW w:w="893" w:type="dxa"/>
            <w:vAlign w:val="center"/>
            <w:hideMark/>
          </w:tcPr>
          <w:p w14:paraId="18CB54C7" w14:textId="77777777" w:rsidR="00AD4C6A" w:rsidRPr="00AD4C6A" w:rsidRDefault="00AD4C6A" w:rsidP="00AD4C6A">
            <w:pPr>
              <w:rPr>
                <w:rFonts w:ascii="Verdana" w:eastAsia="Calibri" w:hAnsi="Verdana" w:cs="Arial"/>
                <w:sz w:val="16"/>
                <w:szCs w:val="16"/>
                <w:lang w:val="es-ES_tradnl" w:eastAsia="es-ES"/>
              </w:rPr>
            </w:pPr>
            <w:r w:rsidRPr="00AD4C6A">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4B801FA6" w14:textId="77777777" w:rsidR="00AD4C6A" w:rsidRPr="00AD4C6A" w:rsidRDefault="00AD4C6A" w:rsidP="00AD4C6A">
            <w:pPr>
              <w:textAlignment w:val="baseline"/>
              <w:rPr>
                <w:rFonts w:ascii="Verdana" w:eastAsia="Times New Roman" w:hAnsi="Verdana" w:cs="Segoe UI"/>
                <w:sz w:val="16"/>
                <w:szCs w:val="16"/>
                <w:lang w:val="es-ES_tradnl" w:eastAsia="es-ES_tradnl"/>
              </w:rPr>
            </w:pPr>
            <w:r w:rsidRPr="00AD4C6A">
              <w:rPr>
                <w:rFonts w:ascii="Verdana" w:eastAsia="Times New Roman" w:hAnsi="Verdana" w:cs="Segoe UI"/>
                <w:sz w:val="16"/>
                <w:szCs w:val="16"/>
                <w:lang w:val="es-ES_tradnl" w:eastAsia="es-ES_tradnl"/>
              </w:rPr>
              <w:t>Martha Alicia Romero Vargas</w:t>
            </w:r>
          </w:p>
          <w:p w14:paraId="0D4AF67A" w14:textId="77777777" w:rsidR="00AD4C6A" w:rsidRPr="00AD4C6A" w:rsidRDefault="00AD4C6A" w:rsidP="00AD4C6A">
            <w:pPr>
              <w:textAlignment w:val="baseline"/>
              <w:rPr>
                <w:rFonts w:ascii="Verdana" w:eastAsia="Times New Roman" w:hAnsi="Verdana" w:cs="Segoe UI"/>
                <w:sz w:val="16"/>
                <w:szCs w:val="16"/>
                <w:lang w:val="es-ES_tradnl" w:eastAsia="es-ES_tradnl"/>
              </w:rPr>
            </w:pPr>
            <w:r w:rsidRPr="00AD4C6A">
              <w:rPr>
                <w:rFonts w:ascii="Verdana" w:eastAsia="Times New Roman" w:hAnsi="Verdana" w:cs="Arial"/>
                <w:sz w:val="16"/>
                <w:szCs w:val="16"/>
                <w:lang w:val="es-ES_tradnl" w:eastAsia="es-ES_tradnl"/>
              </w:rPr>
              <w:t>Gestor T1-15 de la Subdirección de Gestión Contractual </w:t>
            </w:r>
          </w:p>
        </w:tc>
      </w:tr>
      <w:tr w:rsidR="00AD4C6A" w:rsidRPr="00AD4C6A" w14:paraId="06483997" w14:textId="77777777" w:rsidTr="005C0361">
        <w:trPr>
          <w:trHeight w:val="300"/>
        </w:trPr>
        <w:tc>
          <w:tcPr>
            <w:tcW w:w="893" w:type="dxa"/>
            <w:vAlign w:val="center"/>
          </w:tcPr>
          <w:p w14:paraId="63B9CFA7" w14:textId="77777777" w:rsidR="00AD4C6A" w:rsidRPr="00AD4C6A" w:rsidRDefault="00AD4C6A" w:rsidP="00AD4C6A">
            <w:pPr>
              <w:rPr>
                <w:rFonts w:ascii="Verdana" w:eastAsia="Calibri" w:hAnsi="Verdana" w:cs="Arial"/>
                <w:sz w:val="16"/>
                <w:szCs w:val="16"/>
                <w:lang w:val="es-ES_tradnl" w:eastAsia="es-ES"/>
              </w:rPr>
            </w:pPr>
            <w:r w:rsidRPr="00AD4C6A">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6A603346" w14:textId="77777777" w:rsidR="00AD4C6A" w:rsidRPr="00AD4C6A" w:rsidRDefault="00AD4C6A" w:rsidP="00AD4C6A">
            <w:pPr>
              <w:rPr>
                <w:rFonts w:ascii="Verdana" w:eastAsia="Calibri" w:hAnsi="Verdana" w:cs="Arial"/>
                <w:sz w:val="16"/>
                <w:szCs w:val="16"/>
                <w:lang w:val="es-ES" w:eastAsia="es-ES"/>
              </w:rPr>
            </w:pPr>
            <w:r w:rsidRPr="00AD4C6A">
              <w:rPr>
                <w:rFonts w:ascii="Verdana" w:eastAsia="Calibri" w:hAnsi="Verdana" w:cs="Arial"/>
                <w:sz w:val="16"/>
                <w:szCs w:val="16"/>
                <w:lang w:val="es-ES" w:eastAsia="es-ES"/>
              </w:rPr>
              <w:t>Carolina Quintero Gacharná</w:t>
            </w:r>
          </w:p>
          <w:p w14:paraId="079BFD11" w14:textId="77777777" w:rsidR="00AD4C6A" w:rsidRPr="00AD4C6A" w:rsidRDefault="00AD4C6A" w:rsidP="00AD4C6A">
            <w:pPr>
              <w:rPr>
                <w:rFonts w:ascii="Verdana" w:eastAsia="Calibri" w:hAnsi="Verdana" w:cs="Arial"/>
                <w:sz w:val="16"/>
                <w:szCs w:val="16"/>
                <w:lang w:val="es-ES_tradnl" w:eastAsia="es-ES"/>
              </w:rPr>
            </w:pPr>
            <w:r w:rsidRPr="00AD4C6A">
              <w:rPr>
                <w:rFonts w:ascii="Verdana" w:eastAsia="Calibri" w:hAnsi="Verdana" w:cs="Arial"/>
                <w:sz w:val="16"/>
                <w:szCs w:val="16"/>
                <w:lang w:val="es-ES_tradnl" w:eastAsia="es-ES"/>
              </w:rPr>
              <w:t>Subdirectora de Gestión Contractual ANCP – CCE</w:t>
            </w:r>
          </w:p>
        </w:tc>
      </w:tr>
    </w:tbl>
    <w:p w14:paraId="69BC4D14" w14:textId="156EDDC1"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129D5" w14:textId="77777777" w:rsidR="005E41F6" w:rsidRDefault="005E41F6" w:rsidP="004A1847">
      <w:pPr>
        <w:spacing w:after="0" w:line="240" w:lineRule="auto"/>
      </w:pPr>
      <w:r>
        <w:separator/>
      </w:r>
    </w:p>
  </w:endnote>
  <w:endnote w:type="continuationSeparator" w:id="0">
    <w:p w14:paraId="4AC33C6A" w14:textId="77777777" w:rsidR="005E41F6" w:rsidRDefault="005E41F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Arial,">
    <w:altName w:val="Arial"/>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E2DF4" w14:textId="77777777" w:rsidR="005E41F6" w:rsidRDefault="005E41F6" w:rsidP="004A1847">
      <w:pPr>
        <w:spacing w:after="0" w:line="240" w:lineRule="auto"/>
      </w:pPr>
      <w:r>
        <w:separator/>
      </w:r>
    </w:p>
  </w:footnote>
  <w:footnote w:type="continuationSeparator" w:id="0">
    <w:p w14:paraId="2517E8B0" w14:textId="77777777" w:rsidR="005E41F6" w:rsidRDefault="005E41F6" w:rsidP="004A1847">
      <w:pPr>
        <w:spacing w:after="0" w:line="240" w:lineRule="auto"/>
      </w:pPr>
      <w:r>
        <w:continuationSeparator/>
      </w:r>
    </w:p>
  </w:footnote>
  <w:footnote w:id="1">
    <w:p w14:paraId="2188273F" w14:textId="77777777" w:rsidR="00AD4C6A" w:rsidRPr="0012365A" w:rsidRDefault="00AD4C6A" w:rsidP="00AD4C6A">
      <w:pPr>
        <w:pStyle w:val="Textonotapie"/>
        <w:ind w:firstLine="709"/>
        <w:contextualSpacing/>
        <w:jc w:val="both"/>
        <w:rPr>
          <w:rFonts w:ascii="Verdana" w:eastAsia="Calibri" w:hAnsi="Verdana" w:cs="Arial"/>
          <w:color w:val="000000"/>
          <w:sz w:val="18"/>
          <w:szCs w:val="18"/>
        </w:rPr>
      </w:pPr>
      <w:r w:rsidRPr="0012365A">
        <w:rPr>
          <w:rStyle w:val="Refdenotaalpie"/>
          <w:rFonts w:ascii="Verdana" w:hAnsi="Verdana" w:cs="Arial"/>
          <w:color w:val="000000"/>
          <w:sz w:val="18"/>
          <w:szCs w:val="18"/>
        </w:rPr>
        <w:footnoteRef/>
      </w:r>
      <w:r w:rsidRPr="0012365A">
        <w:rPr>
          <w:rFonts w:ascii="Verdana" w:hAnsi="Verdana" w:cs="Arial"/>
          <w:color w:val="000000"/>
          <w:sz w:val="18"/>
          <w:szCs w:val="18"/>
        </w:rPr>
        <w:t xml:space="preserve"> </w:t>
      </w:r>
      <w:r w:rsidRPr="0012365A">
        <w:rPr>
          <w:rFonts w:ascii="Verdana" w:eastAsia="Calibri" w:hAnsi="Verdana" w:cs="Arial"/>
          <w:color w:val="000000"/>
          <w:sz w:val="18"/>
          <w:szCs w:val="18"/>
        </w:rPr>
        <w:t xml:space="preserve">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7F565521" w14:textId="77777777" w:rsidR="00AD4C6A" w:rsidRPr="0012365A" w:rsidRDefault="00AD4C6A" w:rsidP="00AD4C6A">
      <w:pPr>
        <w:pStyle w:val="Textonotapie"/>
        <w:ind w:firstLine="709"/>
        <w:contextualSpacing/>
        <w:jc w:val="both"/>
        <w:rPr>
          <w:rFonts w:ascii="Verdana" w:eastAsia="Calibri" w:hAnsi="Verdana" w:cs="Arial"/>
          <w:color w:val="000000"/>
          <w:sz w:val="18"/>
          <w:szCs w:val="18"/>
        </w:rPr>
      </w:pPr>
      <w:r w:rsidRPr="0012365A">
        <w:rPr>
          <w:rFonts w:ascii="Verdana" w:eastAsia="Calibri" w:hAnsi="Verdana" w:cs="Arial"/>
          <w:color w:val="000000"/>
          <w:sz w:val="18"/>
          <w:szCs w:val="18"/>
        </w:rPr>
        <w:t>[…]</w:t>
      </w:r>
    </w:p>
    <w:p w14:paraId="2E0CCA80" w14:textId="77777777" w:rsidR="00AD4C6A" w:rsidRPr="0012365A" w:rsidRDefault="00AD4C6A" w:rsidP="00AD4C6A">
      <w:pPr>
        <w:pStyle w:val="Textonotapie"/>
        <w:ind w:firstLine="709"/>
        <w:contextualSpacing/>
        <w:jc w:val="both"/>
        <w:rPr>
          <w:rFonts w:ascii="Verdana" w:hAnsi="Verdana" w:cs="Arial"/>
          <w:color w:val="000000"/>
          <w:sz w:val="18"/>
          <w:szCs w:val="18"/>
          <w:lang w:val="es-CO"/>
        </w:rPr>
      </w:pPr>
      <w:r w:rsidRPr="0012365A">
        <w:rPr>
          <w:rFonts w:ascii="Verdana" w:eastAsia="Calibri" w:hAnsi="Verdana" w:cs="Arial"/>
          <w:color w:val="000000"/>
          <w:sz w:val="18"/>
          <w:szCs w:val="18"/>
        </w:rPr>
        <w:t>Capacidad Residual o K de Contratación: Aptitud de un oferente para cumplir oportuna y cabalmente con el objeto de un contrato de obra, sin que sus otros compromisos contractuales afecten su habilidad de cumplir con el contrato que está en proceso de selección”.</w:t>
      </w:r>
      <w:r w:rsidRPr="0012365A">
        <w:rPr>
          <w:rFonts w:ascii="Verdana" w:hAnsi="Verdana" w:cs="Arial"/>
          <w:color w:val="000000"/>
          <w:sz w:val="18"/>
          <w:szCs w:val="18"/>
          <w:lang w:val="es-CO"/>
        </w:rPr>
        <w:t xml:space="preserve"> </w:t>
      </w:r>
    </w:p>
  </w:footnote>
  <w:footnote w:id="2">
    <w:p w14:paraId="3BC15F8D" w14:textId="77777777" w:rsidR="00AD4C6A" w:rsidRPr="0012365A" w:rsidRDefault="00AD4C6A" w:rsidP="00AD4C6A">
      <w:pPr>
        <w:pStyle w:val="Textonotapie"/>
        <w:ind w:firstLine="709"/>
        <w:contextualSpacing/>
        <w:jc w:val="both"/>
        <w:rPr>
          <w:rFonts w:ascii="Verdana" w:hAnsi="Verdana" w:cs="Arial"/>
          <w:color w:val="000000"/>
          <w:sz w:val="18"/>
          <w:szCs w:val="18"/>
          <w:lang w:val="es-CO"/>
        </w:rPr>
      </w:pPr>
      <w:r w:rsidRPr="0012365A">
        <w:rPr>
          <w:rFonts w:ascii="Verdana" w:eastAsia="Calibri" w:hAnsi="Verdana" w:cs="Arial"/>
          <w:color w:val="000000"/>
          <w:sz w:val="18"/>
          <w:szCs w:val="18"/>
          <w:vertAlign w:val="superscript"/>
        </w:rPr>
        <w:footnoteRef/>
      </w:r>
      <w:r w:rsidRPr="0012365A">
        <w:rPr>
          <w:rFonts w:ascii="Verdana" w:eastAsia="Calibri" w:hAnsi="Verdana" w:cs="Arial"/>
          <w:color w:val="000000"/>
          <w:sz w:val="18"/>
          <w:szCs w:val="18"/>
          <w:vertAlign w:val="superscript"/>
        </w:rPr>
        <w:t xml:space="preserve"> </w:t>
      </w:r>
      <w:r w:rsidRPr="0012365A">
        <w:rPr>
          <w:rFonts w:ascii="Verdana" w:eastAsia="Calibri" w:hAnsi="Verdana" w:cs="Arial"/>
          <w:color w:val="000000"/>
          <w:sz w:val="18"/>
          <w:szCs w:val="18"/>
        </w:rPr>
        <w:t xml:space="preserve">Consejo de Estado. Sección Tercera. Sentencia del 26 de junio de 2003. Rad. 13.354. C.P. María Elena Giraldo Gómez. </w:t>
      </w:r>
    </w:p>
  </w:footnote>
  <w:footnote w:id="3">
    <w:p w14:paraId="047B6FE7" w14:textId="77777777" w:rsidR="00AD4C6A" w:rsidRPr="0012365A" w:rsidRDefault="00AD4C6A" w:rsidP="00AD4C6A">
      <w:pPr>
        <w:pStyle w:val="NormalWeb1"/>
        <w:shd w:val="clear" w:color="auto" w:fill="FFFFFF"/>
        <w:ind w:firstLine="709"/>
        <w:contextualSpacing/>
        <w:jc w:val="both"/>
        <w:rPr>
          <w:rFonts w:ascii="Verdana" w:hAnsi="Verdana" w:cs="Arial"/>
          <w:sz w:val="18"/>
          <w:szCs w:val="18"/>
        </w:rPr>
      </w:pPr>
      <w:r w:rsidRPr="0012365A">
        <w:rPr>
          <w:rStyle w:val="Refdenotaalpie"/>
          <w:rFonts w:ascii="Verdana" w:eastAsia="Times New Roman" w:hAnsi="Verdana" w:cs="Arial"/>
          <w:sz w:val="18"/>
          <w:szCs w:val="18"/>
        </w:rPr>
        <w:footnoteRef/>
      </w:r>
      <w:r w:rsidRPr="0012365A">
        <w:rPr>
          <w:rStyle w:val="Refdenotaalpie"/>
          <w:rFonts w:ascii="Verdana" w:eastAsia="Times New Roman" w:hAnsi="Verdana" w:cs="Arial"/>
          <w:sz w:val="18"/>
          <w:szCs w:val="18"/>
        </w:rPr>
        <w:t xml:space="preserve"> </w:t>
      </w:r>
      <w:r w:rsidRPr="0012365A">
        <w:rPr>
          <w:rFonts w:ascii="Verdana" w:eastAsia="Times New Roman" w:hAnsi="Verdana" w:cs="Arial"/>
          <w:sz w:val="18"/>
          <w:szCs w:val="18"/>
        </w:rPr>
        <w:t xml:space="preserve">Decreto 1082 de 2015: </w:t>
      </w:r>
      <w:r w:rsidRPr="0012365A">
        <w:rPr>
          <w:rFonts w:ascii="Verdana" w:hAnsi="Verdana" w:cs="Arial"/>
          <w:sz w:val="18"/>
          <w:szCs w:val="18"/>
        </w:rPr>
        <w:t>“Artículo 2.2.1.1.1.6.4. Capacidad Residual: El interesado en celebrar contratos de obra pública con Entidades Estatales debe acreditar su Capacidad Residual o K de Contratación con los siguientes documentos:</w:t>
      </w:r>
    </w:p>
    <w:p w14:paraId="0E80B5EE" w14:textId="77777777" w:rsidR="00AD4C6A" w:rsidRPr="0012365A" w:rsidRDefault="00AD4C6A" w:rsidP="00AD4C6A">
      <w:pPr>
        <w:shd w:val="clear" w:color="auto" w:fill="FFFFFF"/>
        <w:ind w:firstLine="709"/>
        <w:contextualSpacing/>
        <w:jc w:val="both"/>
        <w:rPr>
          <w:rFonts w:ascii="Verdana" w:hAnsi="Verdana" w:cs="Arial"/>
          <w:sz w:val="18"/>
          <w:szCs w:val="18"/>
        </w:rPr>
      </w:pPr>
      <w:r w:rsidRPr="0012365A">
        <w:rPr>
          <w:rFonts w:ascii="Verdana" w:hAnsi="Verdana" w:cs="Arial"/>
          <w:sz w:val="18"/>
          <w:szCs w:val="18"/>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7AD02A19" w14:textId="77777777" w:rsidR="00AD4C6A" w:rsidRPr="0012365A" w:rsidRDefault="00AD4C6A" w:rsidP="00AD4C6A">
      <w:pPr>
        <w:shd w:val="clear" w:color="auto" w:fill="FFFFFF"/>
        <w:ind w:firstLine="709"/>
        <w:contextualSpacing/>
        <w:jc w:val="both"/>
        <w:rPr>
          <w:rFonts w:ascii="Verdana" w:hAnsi="Verdana" w:cs="Arial"/>
          <w:sz w:val="18"/>
          <w:szCs w:val="18"/>
        </w:rPr>
      </w:pPr>
      <w:r w:rsidRPr="0012365A">
        <w:rPr>
          <w:rFonts w:ascii="Verdana" w:hAnsi="Verdana" w:cs="Arial"/>
          <w:sz w:val="18"/>
          <w:szCs w:val="18"/>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1EEBFB98" w14:textId="77777777" w:rsidR="00AD4C6A" w:rsidRPr="0012365A" w:rsidRDefault="00AD4C6A" w:rsidP="00AD4C6A">
      <w:pPr>
        <w:shd w:val="clear" w:color="auto" w:fill="FFFFFF"/>
        <w:ind w:firstLine="709"/>
        <w:contextualSpacing/>
        <w:jc w:val="both"/>
        <w:rPr>
          <w:rFonts w:ascii="Verdana" w:hAnsi="Verdana" w:cs="Arial"/>
          <w:sz w:val="18"/>
          <w:szCs w:val="18"/>
        </w:rPr>
      </w:pPr>
      <w:r w:rsidRPr="0012365A">
        <w:rPr>
          <w:rFonts w:ascii="Verdana" w:hAnsi="Verdana" w:cs="Arial"/>
          <w:sz w:val="18"/>
          <w:szCs w:val="18"/>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footnote>
  <w:footnote w:id="4">
    <w:p w14:paraId="5E1FA918" w14:textId="77777777" w:rsidR="00AD4C6A" w:rsidRPr="0012365A" w:rsidRDefault="00AD4C6A" w:rsidP="00AD4C6A">
      <w:pPr>
        <w:pStyle w:val="NormalWeb"/>
        <w:shd w:val="clear" w:color="auto" w:fill="FFFFFF"/>
        <w:ind w:firstLine="708"/>
        <w:jc w:val="both"/>
        <w:rPr>
          <w:rFonts w:ascii="Verdana" w:hAnsi="Verdana" w:cs="Arial"/>
          <w:sz w:val="18"/>
          <w:szCs w:val="18"/>
        </w:rPr>
      </w:pPr>
      <w:r w:rsidRPr="0012365A">
        <w:rPr>
          <w:rStyle w:val="Refdenotaalpie"/>
          <w:rFonts w:ascii="Verdana" w:hAnsi="Verdana" w:cs="Arial"/>
          <w:sz w:val="18"/>
          <w:szCs w:val="18"/>
        </w:rPr>
        <w:footnoteRef/>
      </w:r>
      <w:r w:rsidRPr="0012365A">
        <w:rPr>
          <w:rFonts w:ascii="Verdana" w:hAnsi="Verdana" w:cs="Arial"/>
          <w:sz w:val="18"/>
          <w:szCs w:val="18"/>
        </w:rPr>
        <w:t xml:space="preserve"> Agencia Nacional de Contratación Pública – Colombia Compra Eficiente. </w:t>
      </w:r>
      <w:r w:rsidRPr="0012365A">
        <w:rPr>
          <w:rFonts w:ascii="Verdana" w:hAnsi="Verdana" w:cs="Arial"/>
          <w:sz w:val="18"/>
          <w:szCs w:val="18"/>
          <w:lang w:val="es-ES"/>
        </w:rPr>
        <w:t>Concepto C-017 de 2023.</w:t>
      </w:r>
    </w:p>
  </w:footnote>
  <w:footnote w:id="5">
    <w:p w14:paraId="7FA6E45E" w14:textId="77777777" w:rsidR="00AD4C6A" w:rsidRPr="0012365A" w:rsidRDefault="00AD4C6A" w:rsidP="00AD4C6A">
      <w:pPr>
        <w:pStyle w:val="Textonotapie"/>
        <w:ind w:firstLine="708"/>
        <w:contextualSpacing/>
        <w:jc w:val="both"/>
        <w:rPr>
          <w:rFonts w:ascii="Verdana" w:hAnsi="Verdana"/>
          <w:sz w:val="18"/>
          <w:szCs w:val="18"/>
        </w:rPr>
      </w:pPr>
      <w:r w:rsidRPr="0012365A">
        <w:rPr>
          <w:rStyle w:val="Refdenotaalpie"/>
          <w:rFonts w:ascii="Verdana" w:hAnsi="Verdana"/>
          <w:sz w:val="18"/>
          <w:szCs w:val="18"/>
        </w:rPr>
        <w:footnoteRef/>
      </w:r>
      <w:r w:rsidRPr="0012365A">
        <w:rPr>
          <w:rFonts w:ascii="Verdana" w:hAnsi="Verdana"/>
          <w:sz w:val="18"/>
          <w:szCs w:val="18"/>
        </w:rPr>
        <w:t xml:space="preserve"> Los Documentos Tipo </w:t>
      </w:r>
      <w:r w:rsidRPr="0012365A">
        <w:rPr>
          <w:rFonts w:ascii="Verdana" w:hAnsi="Verdana" w:cs="Arial"/>
          <w:sz w:val="18"/>
          <w:szCs w:val="18"/>
          <w:lang w:eastAsia="en-GB"/>
        </w:rPr>
        <w:t xml:space="preserve">Licitación de Obra Pública para Infraestructura de Transporte pueden consultarse en el siguiente enlace: </w:t>
      </w:r>
      <w:hyperlink r:id="rId1" w:history="1">
        <w:r w:rsidRPr="0012365A">
          <w:rPr>
            <w:rStyle w:val="Hipervnculo"/>
            <w:rFonts w:ascii="Verdana" w:hAnsi="Verdana" w:cs="Arial"/>
            <w:sz w:val="18"/>
            <w:szCs w:val="18"/>
            <w:lang w:eastAsia="en-GB"/>
          </w:rPr>
          <w:t>https://www.colombiacompra.gov.co/normativa-y-relatoria/documentos-tipo</w:t>
        </w:r>
      </w:hyperlink>
      <w:r w:rsidRPr="0012365A">
        <w:rPr>
          <w:rFonts w:ascii="Verdana" w:hAnsi="Verdana" w:cs="Arial"/>
          <w:sz w:val="18"/>
          <w:szCs w:val="18"/>
          <w:lang w:eastAsia="en-GB"/>
        </w:rPr>
        <w:t xml:space="preserve">. </w:t>
      </w:r>
    </w:p>
  </w:footnote>
  <w:footnote w:id="6">
    <w:p w14:paraId="4093E482" w14:textId="77777777" w:rsidR="00AD4C6A" w:rsidRPr="00542986" w:rsidRDefault="00AD4C6A" w:rsidP="00AD4C6A">
      <w:pPr>
        <w:pStyle w:val="Textonotapie"/>
        <w:ind w:firstLine="709"/>
        <w:jc w:val="both"/>
        <w:rPr>
          <w:rFonts w:ascii="Verdana" w:hAnsi="Verdana" w:cs="Arial"/>
          <w:color w:val="000000"/>
          <w:sz w:val="18"/>
          <w:szCs w:val="18"/>
        </w:rPr>
      </w:pPr>
      <w:r w:rsidRPr="00542986">
        <w:rPr>
          <w:rStyle w:val="Refdenotaalpie"/>
          <w:rFonts w:ascii="Verdana" w:hAnsi="Verdana" w:cs="Arial"/>
          <w:sz w:val="18"/>
          <w:szCs w:val="18"/>
        </w:rPr>
        <w:footnoteRef/>
      </w:r>
      <w:r w:rsidRPr="00542986">
        <w:rPr>
          <w:rFonts w:ascii="Verdana" w:hAnsi="Verdana" w:cs="Arial"/>
          <w:sz w:val="18"/>
          <w:szCs w:val="18"/>
        </w:rPr>
        <w:t xml:space="preserve"> </w:t>
      </w:r>
      <w:r w:rsidRPr="00542986">
        <w:rPr>
          <w:rFonts w:ascii="Verdana" w:hAnsi="Verdana" w:cs="Arial"/>
          <w:color w:val="000000"/>
          <w:sz w:val="18"/>
          <w:szCs w:val="18"/>
        </w:rPr>
        <w:t>En armonía con lo anterior, actualmente la Circular</w:t>
      </w:r>
      <w:r>
        <w:rPr>
          <w:rFonts w:ascii="Verdana" w:hAnsi="Verdana" w:cs="Arial"/>
          <w:color w:val="000000"/>
          <w:sz w:val="18"/>
          <w:szCs w:val="18"/>
        </w:rPr>
        <w:t xml:space="preserve"> Externa Única</w:t>
      </w:r>
      <w:r w:rsidRPr="00542986">
        <w:rPr>
          <w:rFonts w:ascii="Verdana" w:hAnsi="Verdana" w:cs="Arial"/>
          <w:color w:val="000000"/>
          <w:sz w:val="18"/>
          <w:szCs w:val="18"/>
        </w:rPr>
        <w:t xml:space="preserve">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04B21A89" w14:textId="77777777" w:rsidR="00AD4C6A" w:rsidRPr="00542986" w:rsidRDefault="00AD4C6A" w:rsidP="00AD4C6A">
      <w:pPr>
        <w:pStyle w:val="Textonotapie"/>
        <w:ind w:firstLine="709"/>
        <w:jc w:val="both"/>
        <w:rPr>
          <w:rFonts w:ascii="Verdana" w:hAnsi="Verdana" w:cs="Arial"/>
          <w:color w:val="000000"/>
          <w:sz w:val="18"/>
          <w:szCs w:val="18"/>
        </w:rPr>
      </w:pPr>
      <w:r w:rsidRPr="00542986">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w:t>
      </w:r>
      <w:r>
        <w:rPr>
          <w:rFonts w:ascii="Verdana" w:hAnsi="Verdana" w:cs="Arial"/>
          <w:color w:val="000000"/>
          <w:sz w:val="18"/>
          <w:szCs w:val="18"/>
        </w:rPr>
        <w:t>«</w:t>
      </w:r>
      <w:r w:rsidRPr="00542986">
        <w:rPr>
          <w:rFonts w:ascii="Verdana" w:hAnsi="Verdana" w:cs="Arial"/>
          <w:color w:val="000000"/>
          <w:sz w:val="18"/>
          <w:szCs w:val="18"/>
        </w:rPr>
        <w:t>circunstancias ocurridas con posterioridad al cierre del proceso</w:t>
      </w:r>
      <w:r>
        <w:rPr>
          <w:rFonts w:ascii="Verdana" w:hAnsi="Verdana" w:cs="Arial"/>
          <w:color w:val="000000"/>
          <w:sz w:val="18"/>
          <w:szCs w:val="18"/>
        </w:rPr>
        <w:t>»</w:t>
      </w:r>
      <w:r w:rsidRPr="00542986">
        <w:rPr>
          <w:rFonts w:ascii="Verdana" w:hAnsi="Verdana" w:cs="Arial"/>
          <w:color w:val="000000"/>
          <w:sz w:val="18"/>
          <w:szCs w:val="18"/>
        </w:rPr>
        <w:t xml:space="preserve">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w:t>
      </w:r>
      <w:r>
        <w:rPr>
          <w:rFonts w:ascii="Verdana" w:hAnsi="Verdana" w:cs="Arial"/>
          <w:color w:val="000000"/>
          <w:sz w:val="18"/>
          <w:szCs w:val="18"/>
        </w:rPr>
        <w:t xml:space="preserve">: </w:t>
      </w:r>
      <w:hyperlink r:id="rId2" w:history="1">
        <w:r w:rsidRPr="0019699B">
          <w:rPr>
            <w:rStyle w:val="Hipervnculo"/>
            <w:rFonts w:ascii="Verdana" w:hAnsi="Verdana" w:cs="Arial"/>
            <w:sz w:val="18"/>
            <w:szCs w:val="18"/>
          </w:rPr>
          <w:t>https://www.colombiacompra.gov.co/circulares</w:t>
        </w:r>
      </w:hyperlink>
      <w:r>
        <w:rPr>
          <w:rFonts w:ascii="Verdana" w:hAnsi="Verdana" w:cs="Arial"/>
          <w:color w:val="000000"/>
          <w:sz w:val="18"/>
          <w:szCs w:val="18"/>
        </w:rPr>
        <w:t xml:space="preserve">. </w:t>
      </w:r>
    </w:p>
  </w:footnote>
  <w:footnote w:id="7">
    <w:p w14:paraId="3FB09BF0" w14:textId="77777777" w:rsidR="00AD4C6A" w:rsidRPr="00542986" w:rsidRDefault="00AD4C6A" w:rsidP="00AD4C6A">
      <w:pPr>
        <w:pStyle w:val="Textonotapie"/>
        <w:ind w:firstLine="709"/>
        <w:jc w:val="both"/>
        <w:rPr>
          <w:rFonts w:ascii="Verdana" w:hAnsi="Verdana" w:cs="Arial"/>
          <w:color w:val="000000"/>
          <w:sz w:val="18"/>
          <w:szCs w:val="18"/>
        </w:rPr>
      </w:pPr>
      <w:r w:rsidRPr="00542986">
        <w:rPr>
          <w:rStyle w:val="Refdenotaalpie"/>
          <w:rFonts w:ascii="Verdana" w:hAnsi="Verdana" w:cs="Arial"/>
          <w:color w:val="000000"/>
          <w:sz w:val="18"/>
          <w:szCs w:val="18"/>
        </w:rPr>
        <w:footnoteRef/>
      </w:r>
      <w:r w:rsidRPr="00542986">
        <w:rPr>
          <w:rFonts w:ascii="Verdana" w:hAnsi="Verdana" w:cs="Arial"/>
          <w:color w:val="000000"/>
          <w:sz w:val="18"/>
          <w:szCs w:val="18"/>
        </w:rPr>
        <w:t xml:space="preserve"> Ver CONSEJO DE ESTADO, Sección Tercera, Subsección C. Sentencia del 26 de febrero de 2011. C.P. Jaime Orlando Santofimio. Rad. 36.408. </w:t>
      </w:r>
    </w:p>
  </w:footnote>
  <w:footnote w:id="8">
    <w:p w14:paraId="755B196E" w14:textId="77777777" w:rsidR="00AD4C6A" w:rsidRPr="00542986" w:rsidRDefault="00AD4C6A" w:rsidP="00AD4C6A">
      <w:pPr>
        <w:pStyle w:val="Textonotapie"/>
        <w:tabs>
          <w:tab w:val="left" w:pos="3585"/>
        </w:tabs>
        <w:jc w:val="both"/>
        <w:rPr>
          <w:rFonts w:ascii="Verdana" w:hAnsi="Verdana" w:cs="Arial"/>
          <w:color w:val="000000"/>
          <w:sz w:val="18"/>
          <w:szCs w:val="18"/>
        </w:rPr>
      </w:pPr>
    </w:p>
    <w:p w14:paraId="42EB8998" w14:textId="77777777" w:rsidR="00AD4C6A" w:rsidRPr="00542986" w:rsidRDefault="00AD4C6A" w:rsidP="00AD4C6A">
      <w:pPr>
        <w:pStyle w:val="Textonotapie"/>
        <w:ind w:firstLine="709"/>
        <w:jc w:val="both"/>
        <w:rPr>
          <w:rFonts w:ascii="Verdana" w:hAnsi="Verdana" w:cs="Arial"/>
          <w:color w:val="000000"/>
          <w:sz w:val="18"/>
          <w:szCs w:val="18"/>
        </w:rPr>
      </w:pPr>
      <w:r w:rsidRPr="00542986">
        <w:rPr>
          <w:rStyle w:val="Refdenotaalpie"/>
          <w:rFonts w:ascii="Verdana" w:hAnsi="Verdana" w:cs="Arial"/>
          <w:color w:val="000000"/>
          <w:sz w:val="18"/>
          <w:szCs w:val="18"/>
        </w:rPr>
        <w:footnoteRef/>
      </w:r>
      <w:r w:rsidRPr="00542986">
        <w:rPr>
          <w:rFonts w:ascii="Verdana" w:hAnsi="Verdana" w:cs="Arial"/>
          <w:color w:val="000000"/>
          <w:sz w:val="18"/>
          <w:szCs w:val="18"/>
        </w:rPr>
        <w:t xml:space="preserve"> Ver CONSEJO DE ESTADO, Sección Tercera, Subsección C. Sentencia del 26 de febrero de 2014. C.P. Enrique Gil Botero. Rad. 25.804. </w:t>
      </w:r>
    </w:p>
  </w:footnote>
  <w:footnote w:id="9">
    <w:p w14:paraId="610A7724" w14:textId="77777777" w:rsidR="00AD4C6A" w:rsidRPr="00B74530" w:rsidRDefault="00AD4C6A" w:rsidP="00AD4C6A">
      <w:pPr>
        <w:pStyle w:val="Textonotapie"/>
        <w:ind w:firstLine="708"/>
        <w:jc w:val="both"/>
        <w:rPr>
          <w:rFonts w:ascii="Verdana" w:hAnsi="Verdana" w:cs="Arial"/>
          <w:color w:val="000000"/>
          <w:sz w:val="16"/>
          <w:szCs w:val="16"/>
        </w:rPr>
      </w:pPr>
      <w:r w:rsidRPr="00542986">
        <w:rPr>
          <w:rStyle w:val="Refdenotaalpie"/>
          <w:rFonts w:ascii="Verdana" w:hAnsi="Verdana" w:cs="Arial"/>
          <w:color w:val="000000"/>
          <w:sz w:val="18"/>
          <w:szCs w:val="18"/>
        </w:rPr>
        <w:footnoteRef/>
      </w:r>
      <w:r w:rsidRPr="00542986">
        <w:rPr>
          <w:rFonts w:ascii="Verdana" w:hAnsi="Verdana" w:cs="Arial"/>
          <w:color w:val="000000"/>
          <w:sz w:val="18"/>
          <w:szCs w:val="18"/>
        </w:rPr>
        <w:t xml:space="preserve"> 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F3C"/>
    <w:rsid w:val="00046945"/>
    <w:rsid w:val="00061B2A"/>
    <w:rsid w:val="00082362"/>
    <w:rsid w:val="000A683E"/>
    <w:rsid w:val="000B19B9"/>
    <w:rsid w:val="000D0334"/>
    <w:rsid w:val="000D5DA7"/>
    <w:rsid w:val="000F0F76"/>
    <w:rsid w:val="000F6486"/>
    <w:rsid w:val="00116940"/>
    <w:rsid w:val="00125105"/>
    <w:rsid w:val="00127233"/>
    <w:rsid w:val="00147A72"/>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EEB"/>
    <w:rsid w:val="00374F5E"/>
    <w:rsid w:val="00377E3E"/>
    <w:rsid w:val="003A779E"/>
    <w:rsid w:val="003A7CF2"/>
    <w:rsid w:val="003D0F4D"/>
    <w:rsid w:val="003D5B0D"/>
    <w:rsid w:val="003E0499"/>
    <w:rsid w:val="003E4F80"/>
    <w:rsid w:val="003E6439"/>
    <w:rsid w:val="003F3941"/>
    <w:rsid w:val="003F3A20"/>
    <w:rsid w:val="00406575"/>
    <w:rsid w:val="00414C74"/>
    <w:rsid w:val="0042722E"/>
    <w:rsid w:val="0044528D"/>
    <w:rsid w:val="00466E39"/>
    <w:rsid w:val="00496871"/>
    <w:rsid w:val="004A1847"/>
    <w:rsid w:val="004A305D"/>
    <w:rsid w:val="004E2A26"/>
    <w:rsid w:val="004E4715"/>
    <w:rsid w:val="004F21C4"/>
    <w:rsid w:val="004F685F"/>
    <w:rsid w:val="005566E8"/>
    <w:rsid w:val="00574867"/>
    <w:rsid w:val="00591460"/>
    <w:rsid w:val="005A65E0"/>
    <w:rsid w:val="005C3777"/>
    <w:rsid w:val="005C5CDC"/>
    <w:rsid w:val="005D476C"/>
    <w:rsid w:val="005E41F6"/>
    <w:rsid w:val="006200BF"/>
    <w:rsid w:val="006219F8"/>
    <w:rsid w:val="006302F7"/>
    <w:rsid w:val="00646B9F"/>
    <w:rsid w:val="00665D70"/>
    <w:rsid w:val="006900D9"/>
    <w:rsid w:val="00706C16"/>
    <w:rsid w:val="007340C3"/>
    <w:rsid w:val="0075235A"/>
    <w:rsid w:val="007553E4"/>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7A6B"/>
    <w:rsid w:val="00AB0ADB"/>
    <w:rsid w:val="00AD4C6A"/>
    <w:rsid w:val="00B00C0E"/>
    <w:rsid w:val="00B01B1A"/>
    <w:rsid w:val="00B0381D"/>
    <w:rsid w:val="00B44A47"/>
    <w:rsid w:val="00B72CD3"/>
    <w:rsid w:val="00B72FFF"/>
    <w:rsid w:val="00BC3D36"/>
    <w:rsid w:val="00BD54A6"/>
    <w:rsid w:val="00BD7F72"/>
    <w:rsid w:val="00BF7425"/>
    <w:rsid w:val="00C04FB3"/>
    <w:rsid w:val="00C11D8B"/>
    <w:rsid w:val="00C15139"/>
    <w:rsid w:val="00C3112C"/>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1068"/>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D4C6A"/>
    <w:pPr>
      <w:spacing w:line="240" w:lineRule="exact"/>
    </w:pPr>
    <w:rPr>
      <w:vertAlign w:val="superscript"/>
    </w:rPr>
  </w:style>
  <w:style w:type="paragraph" w:customStyle="1" w:styleId="NormalWeb1">
    <w:name w:val="Normal (Web)1"/>
    <w:basedOn w:val="Normal"/>
    <w:next w:val="NormalWeb"/>
    <w:uiPriority w:val="99"/>
    <w:semiHidden/>
    <w:unhideWhenUsed/>
    <w:rsid w:val="00AD4C6A"/>
    <w:pPr>
      <w:spacing w:after="0" w:line="240" w:lineRule="auto"/>
    </w:pPr>
    <w:rPr>
      <w:rFonts w:ascii="Times New Roman" w:hAnsi="Times New Roman" w:cs="Times New Roman"/>
      <w:kern w:val="2"/>
      <w:sz w:val="24"/>
      <w:szCs w:val="24"/>
      <w:lang w:val="es-ES_tradnl"/>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 TargetMode="External"/><Relationship Id="rId1"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943F3D5-D23F-4020-9410-3A553C89102E}"/>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31</Pages>
  <Words>10420</Words>
  <Characters>57316</Characters>
  <Application>Microsoft Office Word</Application>
  <DocSecurity>0</DocSecurity>
  <Lines>477</Lines>
  <Paragraphs>135</Paragraphs>
  <ScaleCrop>false</ScaleCrop>
  <Company/>
  <LinksUpToDate>false</LinksUpToDate>
  <CharactersWithSpaces>67601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2026-06-05T18:34:00Z</dcterms:created>
  <dcterms:modified xsi:type="dcterms:W3CDTF">2026-06-06T00:05:00Z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