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E02524" w:rsidR="002A0DD0" w:rsidP="30821638" w:rsidRDefault="002A0DD0" w14:paraId="3B27AFCD" w14:textId="77777777">
      <w:pPr>
        <w:spacing w:after="0" w:line="240" w:lineRule="auto"/>
        <w:jc w:val="both"/>
        <w:rPr>
          <w:rFonts w:ascii="Verdana" w:hAnsi="Verdana" w:eastAsia="Verdana" w:cs="Verdana"/>
          <w:b/>
          <w:bCs/>
          <w:lang w:val="es-MX"/>
        </w:rPr>
      </w:pPr>
      <w:bookmarkStart w:name="_Hlk143780582" w:id="0"/>
    </w:p>
    <w:p w:rsidRPr="00052F7C" w:rsidR="001055A9" w:rsidP="001055A9" w:rsidRDefault="001055A9" w14:paraId="149DF7CF" w14:textId="77777777">
      <w:pPr>
        <w:spacing w:after="0" w:line="240" w:lineRule="auto"/>
        <w:contextualSpacing/>
        <w:jc w:val="both"/>
        <w:rPr>
          <w:rFonts w:ascii="Verdana" w:hAnsi="Verdana" w:eastAsia="Calibri" w:cs="Arial"/>
          <w:b/>
          <w:bCs/>
          <w:lang w:val="es-ES_tradnl"/>
        </w:rPr>
      </w:pPr>
      <w:r w:rsidRPr="00052F7C">
        <w:rPr>
          <w:rFonts w:ascii="Verdana" w:hAnsi="Verdana" w:eastAsia="Calibri" w:cs="Arial"/>
          <w:b/>
          <w:bCs/>
        </w:rPr>
        <w:t xml:space="preserve">CONTRATO DE PRESTACIÓN DE SERVICIOS – Concepto </w:t>
      </w:r>
      <w:r w:rsidRPr="00052F7C">
        <w:rPr>
          <w:rFonts w:ascii="Verdana" w:hAnsi="Verdana" w:eastAsia="Calibri" w:cs="Arial"/>
          <w:b/>
          <w:bCs/>
          <w:lang w:val="es-ES_tradnl"/>
        </w:rPr>
        <w:t xml:space="preserve"> </w:t>
      </w:r>
    </w:p>
    <w:p w:rsidRPr="00052F7C" w:rsidR="001055A9" w:rsidP="001055A9" w:rsidRDefault="001055A9" w14:paraId="0B388E47" w14:textId="77777777">
      <w:pPr>
        <w:spacing w:after="0" w:line="240" w:lineRule="auto"/>
        <w:contextualSpacing/>
        <w:jc w:val="both"/>
        <w:rPr>
          <w:rFonts w:ascii="Verdana" w:hAnsi="Verdana" w:eastAsia="Calibri" w:cs="Arial"/>
          <w:sz w:val="20"/>
          <w:szCs w:val="20"/>
          <w:lang w:val="es-ES_tradnl"/>
        </w:rPr>
      </w:pPr>
    </w:p>
    <w:p w:rsidRPr="00052F7C" w:rsidR="001055A9" w:rsidP="001055A9" w:rsidRDefault="001055A9" w14:paraId="13B6F79D" w14:textId="77777777">
      <w:pPr>
        <w:spacing w:after="0" w:line="240" w:lineRule="auto"/>
        <w:contextualSpacing/>
        <w:jc w:val="both"/>
        <w:rPr>
          <w:rFonts w:ascii="Verdana" w:hAnsi="Verdana" w:eastAsia="Calibri" w:cs="Arial"/>
          <w:sz w:val="20"/>
          <w:szCs w:val="20"/>
          <w:lang w:val="es-ES_tradnl"/>
        </w:rPr>
      </w:pPr>
      <w:r w:rsidRPr="00052F7C">
        <w:rPr>
          <w:rFonts w:ascii="Verdana" w:hAnsi="Verdana" w:eastAsia="Calibri"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hAnsi="Verdana" w:eastAsia="Calibri" w:cs="Arial"/>
          <w:sz w:val="20"/>
          <w:szCs w:val="20"/>
          <w:lang w:val="es-ES_tradnl"/>
        </w:rPr>
        <w:t xml:space="preserve"> </w:t>
      </w:r>
      <w:r w:rsidRPr="00052F7C">
        <w:rPr>
          <w:rFonts w:ascii="Verdana" w:hAnsi="Verdana" w:eastAsia="Calibri"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hAnsi="Verdana" w:eastAsia="Calibri" w:cs="Arial"/>
          <w:sz w:val="20"/>
          <w:szCs w:val="20"/>
          <w:lang w:val="es-ES_tradnl"/>
        </w:rPr>
        <w:t xml:space="preserve"> </w:t>
      </w:r>
      <w:r w:rsidRPr="00052F7C">
        <w:rPr>
          <w:rFonts w:ascii="Verdana" w:hAnsi="Verdana" w:eastAsia="Calibri" w:cs="Arial"/>
          <w:sz w:val="20"/>
          <w:szCs w:val="20"/>
        </w:rPr>
        <w:t>En ningún caso estos contratos generan relación laboral ni prestaciones sociales y se celebrarán por el término estrictamente indispensable.</w:t>
      </w:r>
    </w:p>
    <w:p w:rsidRPr="00941309" w:rsidR="001055A9" w:rsidP="001055A9" w:rsidRDefault="001055A9" w14:paraId="6D45EFE4" w14:textId="77777777">
      <w:pPr>
        <w:spacing w:after="0" w:line="240" w:lineRule="auto"/>
        <w:contextualSpacing/>
        <w:jc w:val="both"/>
        <w:rPr>
          <w:rFonts w:ascii="Verdana" w:hAnsi="Verdana" w:eastAsia="Calibri" w:cs="Arial"/>
          <w:b/>
          <w:bCs/>
          <w:color w:val="4472C4" w:themeColor="accent1"/>
          <w:sz w:val="20"/>
          <w:szCs w:val="20"/>
          <w:lang w:val="es-ES_tradnl"/>
        </w:rPr>
      </w:pPr>
    </w:p>
    <w:p w:rsidRPr="00592DC4" w:rsidR="001055A9" w:rsidP="001055A9" w:rsidRDefault="001055A9" w14:paraId="2F10DDF6" w14:textId="77777777">
      <w:pPr>
        <w:spacing w:after="0" w:line="240" w:lineRule="auto"/>
        <w:contextualSpacing/>
        <w:jc w:val="both"/>
        <w:rPr>
          <w:rFonts w:ascii="Verdana" w:hAnsi="Verdana" w:eastAsia="Calibri" w:cs="Arial"/>
          <w:b/>
          <w:bCs/>
          <w:lang w:val="es-ES_tradnl"/>
        </w:rPr>
      </w:pPr>
      <w:r w:rsidRPr="00592DC4">
        <w:rPr>
          <w:rFonts w:ascii="Verdana" w:hAnsi="Verdana" w:eastAsia="Calibri" w:cs="Arial"/>
          <w:b/>
          <w:bCs/>
          <w:lang w:val="es-ES_tradnl"/>
        </w:rPr>
        <w:t>CONTRATO DE PRESTACIÓN DE SERVICIOS – Características</w:t>
      </w:r>
    </w:p>
    <w:p w:rsidRPr="00592DC4" w:rsidR="001055A9" w:rsidP="001055A9" w:rsidRDefault="001055A9" w14:paraId="35200201" w14:textId="77777777">
      <w:pPr>
        <w:spacing w:after="0" w:line="240" w:lineRule="auto"/>
        <w:contextualSpacing/>
        <w:jc w:val="both"/>
        <w:rPr>
          <w:rFonts w:ascii="Verdana" w:hAnsi="Verdana" w:eastAsia="Calibri" w:cs="Arial"/>
          <w:b/>
          <w:bCs/>
          <w:sz w:val="20"/>
          <w:szCs w:val="20"/>
          <w:lang w:val="es-ES_tradnl"/>
        </w:rPr>
      </w:pPr>
    </w:p>
    <w:p w:rsidR="001055A9" w:rsidP="001055A9" w:rsidRDefault="001055A9" w14:paraId="27F9BFD3" w14:textId="77777777">
      <w:pPr>
        <w:spacing w:after="0" w:line="240" w:lineRule="auto"/>
        <w:jc w:val="both"/>
        <w:rPr>
          <w:rFonts w:ascii="Verdana" w:hAnsi="Verdana" w:eastAsia="Times New Roman" w:cs="Times New Roman"/>
          <w:sz w:val="20"/>
          <w:szCs w:val="20"/>
          <w:lang w:val="es-ES_tradnl" w:eastAsia="es-ES_tradnl"/>
        </w:rPr>
      </w:pPr>
      <w:r w:rsidRPr="00592DC4">
        <w:rPr>
          <w:rFonts w:ascii="Verdana" w:hAnsi="Verdana" w:eastAsia="Times New Roman"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rsidR="001055A9" w:rsidP="001055A9" w:rsidRDefault="001055A9" w14:paraId="3340C4DD" w14:textId="77777777">
      <w:pPr>
        <w:spacing w:after="0" w:line="240" w:lineRule="auto"/>
        <w:jc w:val="both"/>
        <w:rPr>
          <w:rFonts w:ascii="Verdana" w:hAnsi="Verdana" w:eastAsia="Times New Roman" w:cs="Times New Roman"/>
          <w:sz w:val="20"/>
          <w:szCs w:val="20"/>
          <w:lang w:val="es-ES_tradnl" w:eastAsia="es-ES_tradnl"/>
        </w:rPr>
      </w:pPr>
    </w:p>
    <w:p w:rsidRPr="009143F1" w:rsidR="001055A9" w:rsidP="001055A9" w:rsidRDefault="001055A9" w14:paraId="56CD2980" w14:textId="77777777">
      <w:pPr>
        <w:jc w:val="both"/>
        <w:rPr>
          <w:rFonts w:ascii="Verdana" w:hAnsi="Verdana" w:cs="Arial"/>
          <w:b/>
          <w:bCs/>
          <w:color w:val="000000" w:themeColor="text1"/>
          <w:lang w:val="es-ES_tradnl"/>
        </w:rPr>
      </w:pPr>
      <w:r>
        <w:rPr>
          <w:rFonts w:ascii="Verdana" w:hAnsi="Verdana" w:cs="Arial"/>
          <w:b/>
          <w:bCs/>
          <w:color w:val="000000" w:themeColor="text1"/>
          <w:lang w:val="es-ES_tradnl"/>
        </w:rPr>
        <w:t>C</w:t>
      </w:r>
      <w:r w:rsidRPr="009143F1">
        <w:rPr>
          <w:rFonts w:ascii="Verdana" w:hAnsi="Verdana" w:cs="Arial"/>
          <w:b/>
          <w:bCs/>
          <w:color w:val="000000" w:themeColor="text1"/>
          <w:lang w:val="es-ES_tradnl"/>
        </w:rPr>
        <w:t xml:space="preserve">ONTRATO DE PRESTACIÓN DE SERVICIOS PROFESIONALES </w:t>
      </w:r>
      <w:r w:rsidRPr="009143F1">
        <w:rPr>
          <w:rFonts w:ascii="Verdana" w:hAnsi="Verdana" w:eastAsia="Calibri" w:cs="Arial"/>
          <w:b/>
          <w:color w:val="000000" w:themeColor="text1"/>
        </w:rPr>
        <w:t>–</w:t>
      </w:r>
      <w:r>
        <w:rPr>
          <w:rFonts w:ascii="Verdana" w:hAnsi="Verdana" w:eastAsia="Calibri" w:cs="Arial"/>
          <w:b/>
          <w:color w:val="000000" w:themeColor="text1"/>
        </w:rPr>
        <w:t xml:space="preserve"> Obligaciones </w:t>
      </w:r>
      <w:r w:rsidRPr="009143F1">
        <w:rPr>
          <w:rFonts w:ascii="Verdana" w:hAnsi="Verdana" w:eastAsia="Calibri" w:cs="Arial"/>
          <w:b/>
          <w:color w:val="000000" w:themeColor="text1"/>
        </w:rPr>
        <w:t>–</w:t>
      </w:r>
      <w:r>
        <w:rPr>
          <w:rFonts w:ascii="Verdana" w:hAnsi="Verdana" w:eastAsia="Calibri" w:cs="Arial"/>
          <w:b/>
          <w:color w:val="000000" w:themeColor="text1"/>
        </w:rPr>
        <w:t xml:space="preserve"> Interpretación</w:t>
      </w:r>
    </w:p>
    <w:p w:rsidRPr="00C0517E" w:rsidR="001055A9" w:rsidP="001055A9" w:rsidRDefault="001055A9" w14:paraId="17BDFDD3" w14:textId="77777777">
      <w:pPr>
        <w:spacing w:after="0" w:line="240" w:lineRule="auto"/>
        <w:jc w:val="both"/>
        <w:rPr>
          <w:rFonts w:ascii="Verdana" w:hAnsi="Verdana" w:eastAsia="Times New Roman" w:cs="Times New Roman"/>
          <w:sz w:val="20"/>
          <w:szCs w:val="20"/>
          <w:lang w:val="es-ES_tradnl" w:eastAsia="es-ES_tradnl"/>
        </w:rPr>
      </w:pPr>
      <w:r w:rsidRPr="00C0517E">
        <w:rPr>
          <w:rFonts w:ascii="Verdana" w:hAnsi="Verdana" w:eastAsia="Times New Roman" w:cs="Times New Roman"/>
          <w:sz w:val="20"/>
          <w:szCs w:val="20"/>
          <w:lang w:val="es-ES_tradnl" w:eastAsia="es-ES_tradnl"/>
        </w:rPr>
        <w:t xml:space="preserve">De esta forma, el uso de cláusulas amplias o de obligaciones indeterminadas en los contratos de prestación de servicios debe analizarse de acuerdo con las características que se expondrán en el presente concepto. Así las cosas, los contratos de prestación de servicios solo pueden celebrarse para realizar “actividades relacionadas con la administración o funcionamiento de la entidad”. En ese sentido, las cláusulas que se incluyan en los contratos deben guardar conexidad con el objeto contractual pactado. </w:t>
      </w:r>
    </w:p>
    <w:p w:rsidR="001055A9" w:rsidP="001055A9" w:rsidRDefault="001055A9" w14:paraId="6EBF57D3"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D992121" w14:textId="77777777">
      <w:pPr>
        <w:spacing w:after="0" w:line="240" w:lineRule="auto"/>
        <w:jc w:val="both"/>
        <w:rPr>
          <w:rFonts w:ascii="Verdana" w:hAnsi="Verdana" w:eastAsia="Times New Roman" w:cs="Times New Roman"/>
          <w:sz w:val="20"/>
          <w:szCs w:val="20"/>
          <w:lang w:val="es-ES_tradnl" w:eastAsia="es-ES_tradnl"/>
        </w:rPr>
      </w:pPr>
      <w:r w:rsidRPr="00C0517E">
        <w:rPr>
          <w:rFonts w:ascii="Verdana" w:hAnsi="Verdana" w:eastAsia="Times New Roman" w:cs="Times New Roman"/>
          <w:sz w:val="20"/>
          <w:szCs w:val="20"/>
          <w:lang w:val="es-ES_tradnl" w:eastAsia="es-ES_tradnl"/>
        </w:rPr>
        <w:t xml:space="preserve">En consecuencia, las cláusulas que se incluyan en el contrato deben interpretarse conforme al objeto contractual definido a partir de los estudios previos, los cuales determinan tanto el propósito de la contratación como la forma en que se espera que el contratista ejecute el objeto y cumpla las obligaciones derivadas del contrato. De este </w:t>
      </w:r>
      <w:r w:rsidRPr="00C0517E">
        <w:rPr>
          <w:rFonts w:ascii="Verdana" w:hAnsi="Verdana" w:eastAsia="Times New Roman" w:cs="Times New Roman"/>
          <w:sz w:val="20"/>
          <w:szCs w:val="20"/>
          <w:lang w:val="es-ES_tradnl" w:eastAsia="es-ES_tradnl"/>
        </w:rPr>
        <w:lastRenderedPageBreak/>
        <w:t>modo, las obligaciones que se incluyan en el contrato, o que señale el supervisor del mismo deben restringirse al objeto del contrato conforme al principio de planeación y a la autonomía de la voluntad de las partes.</w:t>
      </w:r>
    </w:p>
    <w:p w:rsidRPr="00C0517E" w:rsidR="001055A9" w:rsidP="001055A9" w:rsidRDefault="001055A9" w14:paraId="3698C2FC"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1D7D08C7" w14:textId="77777777">
      <w:pPr>
        <w:spacing w:after="0" w:line="240" w:lineRule="auto"/>
        <w:jc w:val="both"/>
        <w:rPr>
          <w:rFonts w:ascii="Verdana" w:hAnsi="Verdana" w:eastAsia="Times New Roman" w:cs="Times New Roman"/>
          <w:sz w:val="20"/>
          <w:szCs w:val="20"/>
          <w:lang w:val="es-ES_tradnl" w:eastAsia="es-ES_tradnl"/>
        </w:rPr>
      </w:pPr>
      <w:r w:rsidRPr="00C0517E">
        <w:rPr>
          <w:rFonts w:ascii="Verdana" w:hAnsi="Verdana" w:eastAsia="Times New Roman" w:cs="Times New Roman"/>
          <w:sz w:val="20"/>
          <w:szCs w:val="20"/>
          <w:lang w:val="es-ES_tradnl" w:eastAsia="es-ES_tradnl"/>
        </w:rPr>
        <w:t>Lo anterior implica que, si bien es posible y recomendable pactar cláusulas amplias o indeterminadas, como “otras obligaciones relacionadas con el objeto” o “las demás obligaciones que asigne el supervisor” en los contratos de prestación de servicios, lo cierto es que, el supervisor no puede fijar obligaciones que amplíen el objeto del contrato ni imponer tareas que lo desborden. Esto, puesto que tales actuaciones desconocerían la naturaleza jurídica del contrato de prestación de servicios y podrían generar riesgos como la desnaturalización del vínculo contractual.</w:t>
      </w:r>
    </w:p>
    <w:p w:rsidR="001055A9" w:rsidP="001055A9" w:rsidRDefault="001055A9" w14:paraId="60C67BD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98A57ED"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0B5BF0FF"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61392E91"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69BC58E6"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79AB62C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EF9ED86"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1519F730"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202CA72F"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6C167922"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531FCFF"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59C38EFD"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E515D45"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52740658"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4824357C"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024B5E2"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0B625EC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57DB545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14401342"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792F898A"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2FBC66AC"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69BBB1E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60A5719D"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46048DC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7C084F4"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6FB9672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6B7D75B"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45CD85EA"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78974343"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5DFC58B3"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34E3B281"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1E43D2C9"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2AFA2D48"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5AA7E8D7" w14:textId="77777777">
      <w:pPr>
        <w:spacing w:after="0" w:line="240" w:lineRule="auto"/>
        <w:jc w:val="both"/>
        <w:rPr>
          <w:rFonts w:ascii="Verdana" w:hAnsi="Verdana" w:eastAsia="Times New Roman" w:cs="Times New Roman"/>
          <w:sz w:val="20"/>
          <w:szCs w:val="20"/>
          <w:lang w:val="es-ES_tradnl" w:eastAsia="es-ES_tradnl"/>
        </w:rPr>
      </w:pPr>
    </w:p>
    <w:p w:rsidR="001055A9" w:rsidP="001055A9" w:rsidRDefault="001055A9" w14:paraId="769C5718" w14:textId="77777777">
      <w:pPr>
        <w:spacing w:after="0" w:line="240" w:lineRule="auto"/>
        <w:jc w:val="both"/>
        <w:rPr>
          <w:rFonts w:ascii="Verdana" w:hAnsi="Verdana" w:eastAsia="Times New Roman" w:cs="Times New Roman"/>
          <w:sz w:val="20"/>
          <w:szCs w:val="20"/>
          <w:lang w:val="es-ES_tradnl" w:eastAsia="es-ES_tradnl"/>
        </w:rPr>
      </w:pPr>
    </w:p>
    <w:p w:rsidRPr="00E31648" w:rsidR="001055A9" w:rsidP="001055A9" w:rsidRDefault="001055A9" w14:paraId="4AA2259F" w14:textId="4E7C85C9">
      <w:pPr>
        <w:spacing w:after="0" w:line="240" w:lineRule="auto"/>
      </w:pPr>
      <w:r w:rsidRPr="00C562D4">
        <w:rPr>
          <w:rFonts w:ascii="Verdana" w:hAnsi="Verdana" w:eastAsia="Calibri" w:cs="Arial"/>
          <w:color w:val="000000" w:themeColor="text1"/>
        </w:rPr>
        <w:lastRenderedPageBreak/>
        <w:t xml:space="preserve">Bogotá D.C., </w:t>
      </w:r>
      <w:r w:rsidR="00E45973">
        <w:rPr>
          <w:rFonts w:ascii="Verdana" w:hAnsi="Verdana" w:eastAsia="Calibri" w:cs="Arial"/>
          <w:color w:val="000000" w:themeColor="text1"/>
        </w:rPr>
        <w:t>09</w:t>
      </w:r>
      <w:r>
        <w:rPr>
          <w:rFonts w:ascii="Verdana" w:hAnsi="Verdana" w:eastAsia="Calibri" w:cs="Arial"/>
          <w:color w:val="000000" w:themeColor="text1"/>
        </w:rPr>
        <w:t xml:space="preserve"> </w:t>
      </w:r>
      <w:r w:rsidRPr="00C562D4">
        <w:rPr>
          <w:rFonts w:ascii="Verdana" w:hAnsi="Verdana" w:eastAsia="Calibri" w:cs="Arial"/>
          <w:color w:val="000000" w:themeColor="text1"/>
        </w:rPr>
        <w:t xml:space="preserve">de </w:t>
      </w:r>
      <w:r w:rsidR="00E45973">
        <w:rPr>
          <w:rFonts w:ascii="Verdana" w:hAnsi="Verdana" w:eastAsia="Calibri" w:cs="Arial"/>
          <w:color w:val="000000" w:themeColor="text1"/>
        </w:rPr>
        <w:t>junio</w:t>
      </w:r>
      <w:r>
        <w:rPr>
          <w:rFonts w:ascii="Verdana" w:hAnsi="Verdana" w:eastAsia="Calibri" w:cs="Arial"/>
          <w:color w:val="000000" w:themeColor="text1"/>
        </w:rPr>
        <w:t xml:space="preserve"> </w:t>
      </w:r>
      <w:r w:rsidRPr="00C562D4">
        <w:rPr>
          <w:rFonts w:ascii="Verdana" w:hAnsi="Verdana" w:eastAsia="Calibri" w:cs="Arial"/>
          <w:color w:val="000000" w:themeColor="text1"/>
        </w:rPr>
        <w:t>de 20</w:t>
      </w:r>
      <w:r>
        <w:rPr>
          <w:rFonts w:ascii="Verdana" w:hAnsi="Verdana" w:eastAsia="Calibri" w:cs="Arial"/>
          <w:color w:val="000000" w:themeColor="text1"/>
        </w:rPr>
        <w:t>26</w:t>
      </w:r>
    </w:p>
    <w:p w:rsidR="001055A9" w:rsidP="001055A9" w:rsidRDefault="001055A9" w14:paraId="498A233F" w14:textId="77777777">
      <w:pPr>
        <w:spacing w:after="0" w:line="240" w:lineRule="auto"/>
        <w:jc w:val="both"/>
        <w:rPr>
          <w:rFonts w:ascii="Verdana" w:hAnsi="Verdana" w:eastAsia="Calibri" w:cs="Arial"/>
          <w:color w:val="000000" w:themeColor="text1"/>
          <w:lang w:val="es-ES"/>
        </w:rPr>
      </w:pPr>
    </w:p>
    <w:p w:rsidR="001055A9" w:rsidP="00DC4023" w:rsidRDefault="00DC4023" w14:paraId="53770399" w14:textId="737A6DE6">
      <w:pPr>
        <w:spacing w:after="0" w:line="240" w:lineRule="auto"/>
        <w:jc w:val="right"/>
        <w:rPr>
          <w:rFonts w:ascii="Verdana" w:hAnsi="Verdana" w:eastAsia="Calibri" w:cs="Arial"/>
          <w:color w:val="000000" w:themeColor="text1"/>
          <w:lang w:val="es-ES" w:eastAsia="es-ES"/>
        </w:rPr>
      </w:pPr>
      <w:r>
        <w:rPr>
          <w:rFonts w:ascii="Verdana" w:hAnsi="Verdana" w:eastAsia="Calibri" w:cs="Arial"/>
          <w:noProof/>
          <w:color w:val="000000" w:themeColor="text1"/>
          <w:lang w:val="es-ES" w:eastAsia="es-ES"/>
        </w:rPr>
        <w:drawing>
          <wp:inline distT="0" distB="0" distL="0" distR="0" wp14:anchorId="69559E23" wp14:editId="0F0C373C">
            <wp:extent cx="2276475" cy="710329"/>
            <wp:effectExtent l="0" t="0" r="0" b="0"/>
            <wp:docPr id="6718695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2834" cy="712313"/>
                    </a:xfrm>
                    <a:prstGeom prst="rect">
                      <a:avLst/>
                    </a:prstGeom>
                    <a:noFill/>
                    <a:ln>
                      <a:noFill/>
                    </a:ln>
                  </pic:spPr>
                </pic:pic>
              </a:graphicData>
            </a:graphic>
          </wp:inline>
        </w:drawing>
      </w:r>
    </w:p>
    <w:p w:rsidR="00DC4023" w:rsidP="001055A9" w:rsidRDefault="00DC4023" w14:paraId="37C97CDE" w14:textId="77777777">
      <w:pPr>
        <w:spacing w:after="0" w:line="240" w:lineRule="auto"/>
        <w:jc w:val="both"/>
        <w:rPr>
          <w:rFonts w:ascii="Verdana" w:hAnsi="Verdana" w:eastAsia="Calibri" w:cs="Arial"/>
          <w:color w:val="000000" w:themeColor="text1"/>
          <w:lang w:val="es-ES" w:eastAsia="es-ES"/>
        </w:rPr>
      </w:pPr>
    </w:p>
    <w:p w:rsidRPr="0046108F" w:rsidR="001055A9" w:rsidP="001055A9" w:rsidRDefault="001055A9" w14:paraId="17D1EB03" w14:textId="77777777">
      <w:pPr>
        <w:spacing w:after="0" w:line="240" w:lineRule="auto"/>
        <w:jc w:val="both"/>
        <w:rPr>
          <w:rFonts w:ascii="Verdana" w:hAnsi="Verdana" w:eastAsia="Calibri" w:cs="Arial"/>
          <w:color w:val="000000" w:themeColor="text1"/>
          <w:lang w:val="es-ES" w:eastAsia="es-ES"/>
        </w:rPr>
      </w:pPr>
      <w:r w:rsidRPr="0046108F">
        <w:rPr>
          <w:rFonts w:ascii="Verdana" w:hAnsi="Verdana" w:eastAsia="Calibri" w:cs="Arial"/>
          <w:color w:val="000000" w:themeColor="text1"/>
          <w:lang w:val="es-ES" w:eastAsia="es-ES"/>
        </w:rPr>
        <w:t>Señor</w:t>
      </w:r>
    </w:p>
    <w:p w:rsidR="001055A9" w:rsidP="001055A9" w:rsidRDefault="001055A9" w14:paraId="6B31912D" w14:textId="77777777">
      <w:pPr>
        <w:spacing w:after="0" w:line="240" w:lineRule="auto"/>
        <w:rPr>
          <w:rFonts w:ascii="Verdana" w:hAnsi="Verdana" w:eastAsia="Calibri" w:cs="Arial"/>
          <w:b/>
          <w:bCs/>
          <w:lang w:eastAsia="es-ES"/>
        </w:rPr>
      </w:pPr>
      <w:r w:rsidRPr="004C3ACE">
        <w:rPr>
          <w:rFonts w:ascii="Verdana" w:hAnsi="Verdana" w:eastAsia="Calibri" w:cs="Arial"/>
          <w:b/>
          <w:bCs/>
          <w:lang w:eastAsia="es-ES"/>
        </w:rPr>
        <w:t>DIEGO FERNANDO AGIUILON</w:t>
      </w:r>
    </w:p>
    <w:p w:rsidRPr="00D57FE3" w:rsidR="001055A9" w:rsidP="001055A9" w:rsidRDefault="001055A9" w14:paraId="679B694D" w14:textId="77777777">
      <w:pPr>
        <w:spacing w:after="0" w:line="240" w:lineRule="auto"/>
        <w:rPr>
          <w:rFonts w:ascii="Verdana" w:hAnsi="Verdana" w:eastAsia="Calibri" w:cs="Arial"/>
          <w:lang w:val="es-ES" w:eastAsia="es-ES"/>
        </w:rPr>
      </w:pPr>
      <w:hyperlink w:history="1" r:id="rId11">
        <w:r w:rsidRPr="00E6757A">
          <w:rPr>
            <w:rStyle w:val="Hipervnculo"/>
            <w:rFonts w:ascii="Verdana" w:hAnsi="Verdana" w:eastAsia="Calibri" w:cs="Arial"/>
            <w:lang w:eastAsia="es-ES"/>
          </w:rPr>
          <w:t>diego.aguilon@cali.gov.co</w:t>
        </w:r>
      </w:hyperlink>
      <w:r>
        <w:rPr>
          <w:rFonts w:ascii="Verdana" w:hAnsi="Verdana" w:eastAsia="Calibri" w:cs="Arial"/>
          <w:lang w:eastAsia="es-ES"/>
        </w:rPr>
        <w:t xml:space="preserve"> </w:t>
      </w:r>
    </w:p>
    <w:p w:rsidRPr="006B17A7" w:rsidR="001055A9" w:rsidP="001055A9" w:rsidRDefault="001055A9" w14:paraId="502395D9" w14:textId="77777777">
      <w:pPr>
        <w:spacing w:after="0" w:line="240" w:lineRule="auto"/>
        <w:rPr>
          <w:rFonts w:ascii="Verdana" w:hAnsi="Verdana" w:eastAsia="Calibri" w:cs="Arial"/>
          <w:b/>
          <w:bCs/>
          <w:lang w:val="es-ES" w:eastAsia="es-ES"/>
        </w:rPr>
      </w:pPr>
      <w:r>
        <w:rPr>
          <w:rFonts w:ascii="Verdana" w:hAnsi="Verdana" w:eastAsia="Calibri" w:cs="Arial"/>
          <w:lang w:val="es-ES" w:eastAsia="es-ES"/>
        </w:rPr>
        <w:t>Bogotá D.C.</w:t>
      </w:r>
    </w:p>
    <w:p w:rsidRPr="00CB7ABE" w:rsidR="001055A9" w:rsidP="001055A9" w:rsidRDefault="001055A9" w14:paraId="00388EBC" w14:textId="77777777">
      <w:pPr>
        <w:spacing w:after="0" w:line="240" w:lineRule="auto"/>
        <w:rPr>
          <w:rFonts w:ascii="Verdana" w:hAnsi="Verdana" w:eastAsia="Calibri" w:cs="Arial"/>
          <w:b/>
          <w:bCs/>
          <w:color w:val="000000" w:themeColor="text1"/>
          <w:lang w:eastAsia="es-ES_tradnl"/>
        </w:rPr>
      </w:pPr>
    </w:p>
    <w:tbl>
      <w:tblPr>
        <w:tblStyle w:val="Tablaconcuadrcula"/>
        <w:tblW w:w="88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70"/>
        <w:gridCol w:w="6547"/>
      </w:tblGrid>
      <w:tr w:rsidRPr="00115E3D" w:rsidR="001055A9" w:rsidTr="0076623F" w14:paraId="5CB52115" w14:textId="77777777">
        <w:trPr>
          <w:trHeight w:val="615"/>
        </w:trPr>
        <w:tc>
          <w:tcPr>
            <w:tcW w:w="2270" w:type="dxa"/>
          </w:tcPr>
          <w:p w:rsidRPr="00CB7ABE" w:rsidR="001055A9" w:rsidP="0076623F" w:rsidRDefault="001055A9" w14:paraId="14C8812A" w14:textId="77777777">
            <w:pPr>
              <w:jc w:val="both"/>
              <w:rPr>
                <w:rFonts w:ascii="Verdana" w:hAnsi="Verdana" w:eastAsia="Calibri" w:cs="Arial"/>
                <w:b/>
                <w:bCs/>
                <w:color w:val="000000" w:themeColor="text1"/>
                <w:lang w:eastAsia="es-ES_tradnl"/>
              </w:rPr>
            </w:pPr>
          </w:p>
        </w:tc>
        <w:tc>
          <w:tcPr>
            <w:tcW w:w="6547" w:type="dxa"/>
          </w:tcPr>
          <w:p w:rsidRPr="008A209A" w:rsidR="001055A9" w:rsidP="0076623F" w:rsidRDefault="001055A9" w14:paraId="6B0FEAF1" w14:textId="77777777">
            <w:pPr>
              <w:jc w:val="both"/>
              <w:rPr>
                <w:rFonts w:ascii="Verdana" w:hAnsi="Verdana" w:eastAsia="Calibri" w:cs="Arial"/>
                <w:b/>
                <w:bCs/>
                <w:color w:val="000000" w:themeColor="text1"/>
                <w:lang w:val="es-ES" w:eastAsia="es-ES"/>
              </w:rPr>
            </w:pPr>
            <w:r w:rsidRPr="008A209A">
              <w:rPr>
                <w:rFonts w:ascii="Verdana" w:hAnsi="Verdana" w:eastAsia="Calibri" w:cs="Arial"/>
                <w:b/>
                <w:bCs/>
                <w:color w:val="000000" w:themeColor="text1"/>
                <w:lang w:val="es-ES" w:eastAsia="es-ES"/>
              </w:rPr>
              <w:t xml:space="preserve">Concepto C- </w:t>
            </w:r>
            <w:r>
              <w:rPr>
                <w:rFonts w:ascii="Verdana" w:hAnsi="Verdana" w:eastAsia="Calibri" w:cs="Arial"/>
                <w:b/>
                <w:bCs/>
                <w:color w:val="000000" w:themeColor="text1"/>
                <w:lang w:val="es-ES" w:eastAsia="es-ES"/>
              </w:rPr>
              <w:t xml:space="preserve">693 </w:t>
            </w:r>
            <w:r w:rsidRPr="008A209A">
              <w:rPr>
                <w:rFonts w:ascii="Verdana" w:hAnsi="Verdana" w:eastAsia="Calibri" w:cs="Arial"/>
                <w:b/>
                <w:bCs/>
                <w:color w:val="000000" w:themeColor="text1"/>
                <w:lang w:val="es-ES" w:eastAsia="es-ES"/>
              </w:rPr>
              <w:t>de 2026</w:t>
            </w:r>
          </w:p>
        </w:tc>
      </w:tr>
      <w:tr w:rsidRPr="007E403E" w:rsidR="001055A9" w:rsidTr="0076623F" w14:paraId="7713E530" w14:textId="77777777">
        <w:trPr>
          <w:trHeight w:val="1071"/>
        </w:trPr>
        <w:tc>
          <w:tcPr>
            <w:tcW w:w="2270" w:type="dxa"/>
          </w:tcPr>
          <w:p w:rsidRPr="001B36DA" w:rsidR="001055A9" w:rsidP="0076623F" w:rsidRDefault="001055A9" w14:paraId="2BC30683" w14:textId="77777777">
            <w:pPr>
              <w:jc w:val="both"/>
              <w:rPr>
                <w:rFonts w:ascii="Verdana" w:hAnsi="Verdana" w:eastAsia="Calibri" w:cs="Arial"/>
                <w:color w:val="000000" w:themeColor="text1"/>
                <w:lang w:val="es-ES_tradnl" w:eastAsia="es-ES_tradnl"/>
              </w:rPr>
            </w:pPr>
            <w:r w:rsidRPr="001B36DA">
              <w:rPr>
                <w:rFonts w:ascii="Verdana" w:hAnsi="Verdana" w:eastAsia="Calibri" w:cs="Arial"/>
                <w:b/>
                <w:color w:val="000000" w:themeColor="text1"/>
                <w:lang w:val="es-ES_tradnl" w:eastAsia="es-ES_tradnl"/>
              </w:rPr>
              <w:t>Temas:</w:t>
            </w:r>
            <w:r w:rsidRPr="001B36DA">
              <w:rPr>
                <w:rFonts w:ascii="Verdana" w:hAnsi="Verdana" w:eastAsia="Calibri" w:cs="Arial"/>
                <w:color w:val="000000" w:themeColor="text1"/>
                <w:lang w:val="es-ES_tradnl" w:eastAsia="es-ES_tradnl"/>
              </w:rPr>
              <w:t xml:space="preserve">                   </w:t>
            </w:r>
          </w:p>
        </w:tc>
        <w:tc>
          <w:tcPr>
            <w:tcW w:w="6547" w:type="dxa"/>
          </w:tcPr>
          <w:p w:rsidRPr="00E65794" w:rsidR="001055A9" w:rsidP="0076623F" w:rsidRDefault="001055A9" w14:paraId="73DD87EF" w14:textId="77777777">
            <w:pPr>
              <w:jc w:val="both"/>
              <w:rPr>
                <w:rFonts w:ascii="Verdana" w:hAnsi="Verdana" w:eastAsia="Calibri" w:cs="Arial"/>
                <w:b/>
                <w:bCs/>
                <w:lang w:val="es-ES_tradnl"/>
              </w:rPr>
            </w:pPr>
            <w:r w:rsidRPr="00E65794">
              <w:rPr>
                <w:rFonts w:ascii="Verdana" w:hAnsi="Verdana" w:eastAsia="Calibri" w:cs="Arial"/>
              </w:rPr>
              <w:t>CONTRATO DE PRESTACIÓN DE SERVICIOS – Concepto</w:t>
            </w:r>
            <w:r w:rsidRPr="00E65794">
              <w:rPr>
                <w:rFonts w:ascii="Verdana" w:hAnsi="Verdana" w:eastAsia="Calibri" w:cs="Arial"/>
                <w:b/>
                <w:bCs/>
              </w:rPr>
              <w:t xml:space="preserve"> </w:t>
            </w:r>
            <w:r w:rsidRPr="00E65794">
              <w:rPr>
                <w:rFonts w:ascii="Verdana" w:hAnsi="Verdana" w:eastAsia="Calibri" w:cs="Arial"/>
              </w:rPr>
              <w:t xml:space="preserve">/ CONTRATO DE PRESTACIÓN DE SERVICIOS – Características / </w:t>
            </w:r>
            <w:r w:rsidRPr="00E65794">
              <w:rPr>
                <w:rFonts w:ascii="Verdana" w:hAnsi="Verdana" w:cs="Arial"/>
                <w:color w:val="000000" w:themeColor="text1"/>
                <w:lang w:val="es-ES_tradnl"/>
              </w:rPr>
              <w:t>CONTRATO DE PRESTACIÓN DE SERVICIOS PROFESIONALES – Obligaciones – Cláusulas – Interpretación</w:t>
            </w:r>
          </w:p>
          <w:p w:rsidRPr="00103B36" w:rsidR="001055A9" w:rsidP="0076623F" w:rsidRDefault="001055A9" w14:paraId="14B4CC72" w14:textId="77777777">
            <w:pPr>
              <w:spacing w:line="276" w:lineRule="auto"/>
              <w:jc w:val="both"/>
              <w:rPr>
                <w:rFonts w:ascii="Verdana" w:hAnsi="Verdana" w:eastAsia="Calibri" w:cs="Arial"/>
                <w:color w:val="000000" w:themeColor="text1"/>
                <w:highlight w:val="yellow"/>
                <w:lang w:val="es-ES" w:eastAsia="es-ES"/>
              </w:rPr>
            </w:pPr>
            <w:r w:rsidRPr="00103B36">
              <w:rPr>
                <w:rFonts w:ascii="Verdana" w:hAnsi="Verdana" w:eastAsia="Calibri" w:cs="Arial"/>
                <w:highlight w:val="yellow"/>
                <w:lang w:val="es-ES" w:eastAsia="es-ES"/>
              </w:rPr>
              <w:t xml:space="preserve"> </w:t>
            </w:r>
          </w:p>
        </w:tc>
      </w:tr>
      <w:tr w:rsidRPr="00115E3D" w:rsidR="001055A9" w:rsidTr="0076623F" w14:paraId="1985D49C" w14:textId="77777777">
        <w:trPr>
          <w:trHeight w:val="653"/>
        </w:trPr>
        <w:tc>
          <w:tcPr>
            <w:tcW w:w="2270" w:type="dxa"/>
          </w:tcPr>
          <w:p w:rsidRPr="00CB7ABE" w:rsidR="001055A9" w:rsidP="0076623F" w:rsidRDefault="001055A9" w14:paraId="514C4FFB" w14:textId="77777777">
            <w:pPr>
              <w:jc w:val="both"/>
              <w:rPr>
                <w:rFonts w:ascii="Verdana" w:hAnsi="Verdana" w:eastAsia="Calibri" w:cs="Arial"/>
                <w:b/>
                <w:color w:val="000000" w:themeColor="text1"/>
                <w:lang w:val="es-ES_tradnl" w:eastAsia="es-ES_tradnl"/>
              </w:rPr>
            </w:pPr>
            <w:r w:rsidRPr="00CB7ABE">
              <w:rPr>
                <w:rFonts w:ascii="Verdana" w:hAnsi="Verdana" w:eastAsia="Calibri" w:cs="Arial"/>
                <w:b/>
                <w:color w:val="000000" w:themeColor="text1"/>
                <w:lang w:val="es-ES_tradnl" w:eastAsia="es-ES_tradnl"/>
              </w:rPr>
              <w:t>Radicación:</w:t>
            </w:r>
            <w:r w:rsidRPr="00CB7ABE">
              <w:rPr>
                <w:rFonts w:ascii="Verdana" w:hAnsi="Verdana" w:eastAsia="Calibri" w:cs="Arial"/>
                <w:color w:val="000000" w:themeColor="text1"/>
                <w:lang w:val="es-ES_tradnl" w:eastAsia="es-ES_tradnl"/>
              </w:rPr>
              <w:t xml:space="preserve">           </w:t>
            </w:r>
          </w:p>
        </w:tc>
        <w:tc>
          <w:tcPr>
            <w:tcW w:w="6547" w:type="dxa"/>
          </w:tcPr>
          <w:p w:rsidRPr="00CB7ABE" w:rsidR="001055A9" w:rsidP="0076623F" w:rsidRDefault="001055A9" w14:paraId="77A53F99" w14:textId="77777777">
            <w:pPr>
              <w:ind w:right="1"/>
              <w:jc w:val="both"/>
              <w:rPr>
                <w:rFonts w:ascii="Verdana" w:hAnsi="Verdana"/>
                <w:color w:val="000000"/>
              </w:rPr>
            </w:pPr>
            <w:r w:rsidRPr="00CB7ABE">
              <w:rPr>
                <w:rFonts w:ascii="Verdana" w:hAnsi="Verdana" w:eastAsia="Calibri" w:cs="Arial"/>
                <w:color w:val="000000" w:themeColor="text1"/>
                <w:lang w:val="es-ES_tradnl" w:eastAsia="es-ES_tradnl"/>
              </w:rPr>
              <w:t>Respuesta a consulta con radicado</w:t>
            </w:r>
            <w:r>
              <w:rPr>
                <w:rFonts w:ascii="Verdana" w:hAnsi="Verdana" w:eastAsia="Calibri" w:cs="Arial"/>
                <w:color w:val="000000" w:themeColor="text1"/>
                <w:lang w:val="es-ES_tradnl" w:eastAsia="es-ES_tradnl"/>
              </w:rPr>
              <w:t xml:space="preserve"> N.º </w:t>
            </w:r>
            <w:r w:rsidRPr="00412485">
              <w:rPr>
                <w:rFonts w:ascii="Verdana" w:hAnsi="Verdana" w:eastAsia="Calibri" w:cs="Arial"/>
                <w:color w:val="000000" w:themeColor="text1"/>
                <w:lang w:val="es-ES_tradnl" w:eastAsia="es-ES_tradnl"/>
              </w:rPr>
              <w:t>1_2026_04_27_005713</w:t>
            </w:r>
          </w:p>
        </w:tc>
      </w:tr>
      <w:tr w:rsidRPr="00115E3D" w:rsidR="001055A9" w:rsidTr="0076623F" w14:paraId="675325A5" w14:textId="77777777">
        <w:trPr>
          <w:trHeight w:val="278"/>
        </w:trPr>
        <w:tc>
          <w:tcPr>
            <w:tcW w:w="2270" w:type="dxa"/>
          </w:tcPr>
          <w:p w:rsidRPr="00CB7ABE" w:rsidR="001055A9" w:rsidP="0076623F" w:rsidRDefault="001055A9" w14:paraId="3E3A1A3F" w14:textId="77777777">
            <w:pPr>
              <w:jc w:val="both"/>
              <w:rPr>
                <w:rFonts w:ascii="Verdana" w:hAnsi="Verdana" w:eastAsia="Calibri" w:cs="Arial"/>
                <w:b/>
                <w:color w:val="000000" w:themeColor="text1"/>
                <w:lang w:val="es-ES_tradnl" w:eastAsia="es-ES_tradnl"/>
              </w:rPr>
            </w:pPr>
          </w:p>
        </w:tc>
        <w:tc>
          <w:tcPr>
            <w:tcW w:w="6547" w:type="dxa"/>
          </w:tcPr>
          <w:p w:rsidRPr="00CB7ABE" w:rsidR="001055A9" w:rsidP="0076623F" w:rsidRDefault="001055A9" w14:paraId="560DB7DB" w14:textId="77777777">
            <w:pPr>
              <w:ind w:right="1"/>
              <w:jc w:val="both"/>
              <w:rPr>
                <w:rFonts w:ascii="Verdana" w:hAnsi="Verdana" w:eastAsia="Calibri" w:cs="Arial"/>
                <w:color w:val="000000" w:themeColor="text1"/>
                <w:lang w:val="es-ES_tradnl" w:eastAsia="es-ES_tradnl"/>
              </w:rPr>
            </w:pPr>
          </w:p>
        </w:tc>
      </w:tr>
    </w:tbl>
    <w:p w:rsidRPr="00115E3D" w:rsidR="001055A9" w:rsidP="001055A9" w:rsidRDefault="001055A9" w14:paraId="7BD82A04" w14:textId="77777777">
      <w:pPr>
        <w:spacing w:after="0" w:line="276" w:lineRule="auto"/>
        <w:jc w:val="both"/>
        <w:rPr>
          <w:rFonts w:ascii="Verdana" w:hAnsi="Verdana" w:eastAsia="Calibri" w:cs="Arial"/>
          <w:color w:val="000000" w:themeColor="text1"/>
          <w:lang w:val="es-ES" w:eastAsia="es-ES"/>
        </w:rPr>
      </w:pPr>
      <w:r>
        <w:rPr>
          <w:rFonts w:ascii="Verdana" w:hAnsi="Verdana" w:eastAsia="Calibri" w:cs="Arial"/>
          <w:color w:val="000000" w:themeColor="text1"/>
          <w:lang w:val="es-ES" w:eastAsia="es-ES"/>
        </w:rPr>
        <w:t>E</w:t>
      </w:r>
      <w:r w:rsidRPr="00115E3D">
        <w:rPr>
          <w:rFonts w:ascii="Verdana" w:hAnsi="Verdana" w:eastAsia="Calibri" w:cs="Arial"/>
          <w:color w:val="000000" w:themeColor="text1"/>
          <w:lang w:val="es-ES" w:eastAsia="es-ES"/>
        </w:rPr>
        <w:t>stimad</w:t>
      </w:r>
      <w:r>
        <w:rPr>
          <w:rFonts w:ascii="Verdana" w:hAnsi="Verdana" w:eastAsia="Calibri" w:cs="Arial"/>
          <w:color w:val="000000" w:themeColor="text1"/>
          <w:lang w:val="es-ES" w:eastAsia="es-ES"/>
        </w:rPr>
        <w:t xml:space="preserve">o </w:t>
      </w:r>
      <w:r w:rsidRPr="00115E3D">
        <w:rPr>
          <w:rFonts w:ascii="Verdana" w:hAnsi="Verdana" w:eastAsia="Calibri" w:cs="Arial"/>
          <w:color w:val="000000" w:themeColor="text1"/>
          <w:lang w:val="es-ES" w:eastAsia="es-ES"/>
        </w:rPr>
        <w:t>señor</w:t>
      </w:r>
      <w:r>
        <w:rPr>
          <w:rFonts w:ascii="Verdana" w:hAnsi="Verdana" w:eastAsia="Calibri" w:cs="Arial"/>
          <w:color w:val="000000" w:themeColor="text1"/>
          <w:lang w:val="es-ES" w:eastAsia="es-ES"/>
        </w:rPr>
        <w:t xml:space="preserve"> </w:t>
      </w:r>
      <w:r w:rsidRPr="004C3ACE">
        <w:rPr>
          <w:rFonts w:ascii="Verdana" w:hAnsi="Verdana" w:eastAsia="Calibri" w:cs="Arial"/>
          <w:color w:val="000000" w:themeColor="text1"/>
          <w:lang w:val="es-ES" w:eastAsia="es-ES"/>
        </w:rPr>
        <w:t>Agiuilon</w:t>
      </w:r>
      <w:r>
        <w:rPr>
          <w:rFonts w:ascii="Verdana" w:hAnsi="Verdana" w:eastAsia="Calibri" w:cs="Arial"/>
          <w:color w:val="000000" w:themeColor="text1"/>
          <w:lang w:val="es-ES" w:eastAsia="es-ES"/>
        </w:rPr>
        <w:t>;</w:t>
      </w:r>
    </w:p>
    <w:p w:rsidRPr="00115E3D" w:rsidR="001055A9" w:rsidP="001055A9" w:rsidRDefault="001055A9" w14:paraId="2ED0DE0E" w14:textId="77777777">
      <w:pPr>
        <w:tabs>
          <w:tab w:val="left" w:pos="3768"/>
        </w:tabs>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ab/>
      </w:r>
    </w:p>
    <w:p w:rsidRPr="00115E3D" w:rsidR="001055A9" w:rsidP="001055A9" w:rsidRDefault="001055A9" w14:paraId="1DE389A4"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En ejercicio de la competencia otorgada por los artículos 3, numeral 5º, y 11, numeral 8º, del Decreto Ley 4170 de 2011,</w:t>
      </w:r>
      <w:r w:rsidRPr="00115E3D">
        <w:rPr>
          <w:rFonts w:ascii="Verdana" w:hAnsi="Verdana" w:eastAsia="Arial MT"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hAnsi="Verdana" w:eastAsia="Calibri" w:cs="Arial"/>
          <w:color w:val="000000" w:themeColor="text1"/>
          <w:lang w:val="es-ES" w:eastAsia="es-ES"/>
        </w:rPr>
        <w:t>la Agencia Nacional de Contratación Pública – Colombia Compra Eficiente– responde</w:t>
      </w:r>
      <w:r>
        <w:rPr>
          <w:rFonts w:ascii="Verdana" w:hAnsi="Verdana" w:eastAsia="Calibri" w:cs="Arial"/>
          <w:color w:val="000000" w:themeColor="text1"/>
          <w:lang w:val="es-ES" w:eastAsia="es-ES"/>
        </w:rPr>
        <w:t xml:space="preserve"> a su solicitud  radicada ante esta entidad el 30 de abril de 2026 </w:t>
      </w:r>
      <w:r w:rsidRPr="00115E3D">
        <w:rPr>
          <w:rFonts w:ascii="Verdana" w:hAnsi="Verdana" w:eastAsia="Calibri" w:cs="Arial"/>
          <w:color w:val="000000" w:themeColor="text1"/>
          <w:lang w:val="es-ES" w:eastAsia="es-ES"/>
        </w:rPr>
        <w:t xml:space="preserve">en la cual manifiesta lo siguiente: </w:t>
      </w:r>
    </w:p>
    <w:p w:rsidR="001055A9" w:rsidP="001055A9" w:rsidRDefault="001055A9" w14:paraId="3D242827" w14:textId="77777777">
      <w:pPr>
        <w:spacing w:after="0" w:line="240" w:lineRule="auto"/>
        <w:ind w:left="709" w:right="709"/>
        <w:jc w:val="both"/>
        <w:rPr>
          <w:rFonts w:ascii="Verdana" w:hAnsi="Verdana" w:eastAsia="Century Gothic" w:cs="Century Gothic"/>
          <w:i/>
          <w:iCs/>
          <w:color w:val="000000" w:themeColor="text1"/>
          <w:sz w:val="20"/>
          <w:szCs w:val="20"/>
          <w:lang w:val="es-ES"/>
        </w:rPr>
      </w:pPr>
      <w:bookmarkStart w:name="_Hlk95313578" w:id="1"/>
    </w:p>
    <w:bookmarkEnd w:id="1"/>
    <w:p w:rsidRPr="004C3ACE" w:rsidR="001055A9" w:rsidP="001055A9" w:rsidRDefault="001055A9" w14:paraId="2F253643" w14:textId="77777777">
      <w:pPr>
        <w:spacing w:after="0" w:line="240" w:lineRule="auto"/>
        <w:ind w:left="709" w:right="709"/>
        <w:jc w:val="both"/>
        <w:rPr>
          <w:rFonts w:ascii="Verdana" w:hAnsi="Verdana" w:eastAsia="Century Gothic" w:cs="Century Gothic"/>
          <w:i/>
          <w:iCs/>
          <w:color w:val="000000" w:themeColor="text1"/>
          <w:sz w:val="20"/>
          <w:szCs w:val="20"/>
        </w:rPr>
      </w:pPr>
      <w:r w:rsidRPr="00104557">
        <w:rPr>
          <w:rFonts w:ascii="Verdana" w:hAnsi="Verdana" w:eastAsia="Century Gothic" w:cs="Century Gothic"/>
          <w:i/>
          <w:iCs/>
          <w:color w:val="000000" w:themeColor="text1"/>
          <w:sz w:val="20"/>
          <w:szCs w:val="20"/>
          <w:lang w:val="es-ES"/>
        </w:rPr>
        <w:t>“</w:t>
      </w:r>
      <w:r w:rsidRPr="004C3ACE">
        <w:rPr>
          <w:rFonts w:ascii="Verdana" w:hAnsi="Verdana" w:eastAsia="Century Gothic" w:cs="Century Gothic"/>
          <w:i/>
          <w:iCs/>
          <w:color w:val="000000" w:themeColor="text1"/>
          <w:sz w:val="20"/>
          <w:szCs w:val="20"/>
        </w:rPr>
        <w:t>Solicitud de concepto sobre alcance del contrato de prestación de</w:t>
      </w:r>
    </w:p>
    <w:p w:rsidRPr="004C3ACE" w:rsidR="001055A9" w:rsidP="001055A9" w:rsidRDefault="001055A9" w14:paraId="419F76DD" w14:textId="77777777">
      <w:pPr>
        <w:spacing w:after="0" w:line="240" w:lineRule="auto"/>
        <w:ind w:left="709" w:right="709"/>
        <w:jc w:val="both"/>
        <w:rPr>
          <w:rFonts w:ascii="Verdana" w:hAnsi="Verdana" w:eastAsia="Century Gothic" w:cs="Century Gothic"/>
          <w:i/>
          <w:iCs/>
          <w:color w:val="000000" w:themeColor="text1"/>
          <w:sz w:val="20"/>
          <w:szCs w:val="20"/>
        </w:rPr>
      </w:pPr>
      <w:r w:rsidRPr="004C3ACE">
        <w:rPr>
          <w:rFonts w:ascii="Verdana" w:hAnsi="Verdana" w:eastAsia="Century Gothic" w:cs="Century Gothic"/>
          <w:i/>
          <w:iCs/>
          <w:color w:val="000000" w:themeColor="text1"/>
          <w:sz w:val="20"/>
          <w:szCs w:val="20"/>
        </w:rPr>
        <w:t>servicios frente al desarrollo de funciones permanentes y participación</w:t>
      </w:r>
    </w:p>
    <w:p w:rsidRPr="00AC00FA" w:rsidR="001055A9" w:rsidP="001055A9" w:rsidRDefault="001055A9" w14:paraId="1D9FE3EA" w14:textId="77777777">
      <w:pPr>
        <w:spacing w:after="0" w:line="240" w:lineRule="auto"/>
        <w:ind w:left="709" w:right="709"/>
        <w:jc w:val="both"/>
        <w:rPr>
          <w:rFonts w:ascii="Verdana" w:hAnsi="Verdana" w:eastAsia="Century Gothic" w:cs="Century Gothic"/>
          <w:i/>
          <w:iCs/>
          <w:color w:val="000000" w:themeColor="text1"/>
          <w:sz w:val="20"/>
          <w:szCs w:val="20"/>
          <w:lang w:val="es-ES"/>
        </w:rPr>
      </w:pPr>
      <w:r w:rsidRPr="004C3ACE">
        <w:rPr>
          <w:rFonts w:ascii="Verdana" w:hAnsi="Verdana" w:eastAsia="Century Gothic" w:cs="Century Gothic"/>
          <w:i/>
          <w:iCs/>
          <w:color w:val="000000" w:themeColor="text1"/>
          <w:sz w:val="20"/>
          <w:szCs w:val="20"/>
        </w:rPr>
        <w:t>en flujos contractuales</w:t>
      </w:r>
      <w:r w:rsidRPr="00AC00FA">
        <w:rPr>
          <w:rFonts w:ascii="Verdana" w:hAnsi="Verdana" w:eastAsia="Century Gothic" w:cs="Century Gothic"/>
          <w:i/>
          <w:iCs/>
          <w:color w:val="000000" w:themeColor="text1"/>
          <w:sz w:val="20"/>
          <w:szCs w:val="20"/>
          <w:lang w:val="es-MX"/>
        </w:rPr>
        <w:t>“</w:t>
      </w:r>
    </w:p>
    <w:p w:rsidR="001055A9" w:rsidP="001055A9" w:rsidRDefault="001055A9" w14:paraId="19F74381" w14:textId="77777777">
      <w:pPr>
        <w:spacing w:after="0" w:line="240" w:lineRule="auto"/>
        <w:ind w:left="709" w:right="709"/>
        <w:jc w:val="both"/>
        <w:rPr>
          <w:rFonts w:ascii="Verdana" w:hAnsi="Verdana" w:eastAsia="Century Gothic" w:cs="Century Gothic"/>
          <w:i/>
          <w:iCs/>
          <w:color w:val="000000" w:themeColor="text1"/>
          <w:sz w:val="20"/>
          <w:szCs w:val="20"/>
          <w:lang w:val="es-ES"/>
        </w:rPr>
      </w:pPr>
    </w:p>
    <w:p w:rsidR="001055A9" w:rsidP="001055A9" w:rsidRDefault="001055A9" w14:paraId="3DE567E2" w14:textId="77777777">
      <w:pPr>
        <w:spacing w:after="0" w:line="276" w:lineRule="auto"/>
        <w:ind w:right="51" w:firstLine="709"/>
        <w:jc w:val="both"/>
        <w:rPr>
          <w:rFonts w:ascii="Verdana" w:hAnsi="Verdana" w:eastAsia="Calibri" w:cs="Arial"/>
          <w:color w:val="000000" w:themeColor="text1"/>
          <w:szCs w:val="24"/>
          <w:lang w:val="es-ES_tradnl" w:eastAsia="es-ES_tradnl"/>
        </w:rPr>
      </w:pPr>
      <w:r w:rsidRPr="00115E3D">
        <w:rPr>
          <w:rFonts w:ascii="Verdana" w:hAnsi="Verdana" w:eastAsia="Calibri" w:cs="Arial"/>
          <w:color w:val="000000" w:themeColor="text1"/>
          <w:lang w:val="es-ES" w:eastAsia="es-ES"/>
        </w:rPr>
        <w:t>De manera preliminar, resulta necesario acotar que esta entidad solo tiene competencia para responder consultas sobre la aplicación de normas de carác</w:t>
      </w:r>
      <w:r>
        <w:rPr>
          <w:rFonts w:ascii="Verdana" w:hAnsi="Verdana" w:eastAsia="Calibri" w:cs="Arial"/>
          <w:color w:val="000000" w:themeColor="text1"/>
          <w:lang w:val="es-ES" w:eastAsia="es-ES"/>
        </w:rPr>
        <w:t>t</w:t>
      </w:r>
      <w:r w:rsidRPr="00115E3D">
        <w:rPr>
          <w:rFonts w:ascii="Verdana" w:hAnsi="Verdana" w:eastAsia="Calibri" w:cs="Arial"/>
          <w:color w:val="000000" w:themeColor="text1"/>
          <w:lang w:val="es-ES" w:eastAsia="es-ES"/>
        </w:rPr>
        <w:t xml:space="preserve">er general en materia de compras y contratación pública. En ese sentido, </w:t>
      </w:r>
      <w:r w:rsidRPr="00115E3D">
        <w:rPr>
          <w:rFonts w:ascii="Verdana" w:hAnsi="Verdana" w:eastAsia="Calibri" w:cs="Arial"/>
          <w:color w:val="000000" w:themeColor="text1"/>
          <w:lang w:val="es-ES" w:eastAsia="es-ES"/>
        </w:rPr>
        <w:lastRenderedPageBreak/>
        <w:t xml:space="preserve">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hAnsi="Verdana" w:eastAsia="Calibri" w:cs="Arial"/>
          <w:color w:val="000000" w:themeColor="text1"/>
          <w:szCs w:val="24"/>
          <w:lang w:val="es-ES_tradnl" w:eastAsia="es-ES_tradnl"/>
        </w:rPr>
        <w:tab/>
      </w:r>
    </w:p>
    <w:p w:rsidRPr="00115E3D" w:rsidR="001055A9" w:rsidP="001055A9" w:rsidRDefault="001055A9" w14:paraId="24CF0F89" w14:textId="77777777">
      <w:pPr>
        <w:spacing w:after="0" w:line="240" w:lineRule="auto"/>
        <w:ind w:right="49"/>
        <w:jc w:val="both"/>
        <w:rPr>
          <w:rFonts w:ascii="Verdana" w:hAnsi="Verdana" w:eastAsia="Calibri" w:cs="Arial"/>
          <w:color w:val="000000" w:themeColor="text1"/>
          <w:szCs w:val="24"/>
          <w:lang w:val="es-ES_tradnl" w:eastAsia="es-ES_tradnl"/>
        </w:rPr>
      </w:pPr>
    </w:p>
    <w:p w:rsidRPr="00115E3D" w:rsidR="001055A9" w:rsidP="001055A9" w:rsidRDefault="001055A9" w14:paraId="3693CAB8" w14:textId="77777777">
      <w:pPr>
        <w:spacing w:after="0" w:line="276" w:lineRule="auto"/>
        <w:ind w:firstLine="709"/>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hAnsi="Verdana" w:eastAsia="Calibri" w:cs="Arial"/>
          <w:color w:val="000000" w:themeColor="text1"/>
          <w:lang w:val="es-ES" w:eastAsia="es-ES"/>
        </w:rPr>
        <w:t xml:space="preserve"> </w:t>
      </w:r>
      <w:r w:rsidRPr="00115E3D">
        <w:rPr>
          <w:rFonts w:ascii="Verdana" w:hAnsi="Verdana" w:eastAsia="Calibri" w:cs="Arial"/>
          <w:color w:val="000000" w:themeColor="text1"/>
          <w:lang w:val="es-ES" w:eastAsia="es-ES"/>
        </w:rPr>
        <w:t xml:space="preserve">jurídico de su consulta. </w:t>
      </w:r>
    </w:p>
    <w:p w:rsidRPr="00115E3D" w:rsidR="001055A9" w:rsidP="001055A9" w:rsidRDefault="001055A9" w14:paraId="5ED4C76A" w14:textId="77777777">
      <w:pPr>
        <w:spacing w:after="0" w:line="276" w:lineRule="auto"/>
        <w:ind w:firstLine="709"/>
        <w:jc w:val="both"/>
        <w:rPr>
          <w:rFonts w:ascii="Verdana" w:hAnsi="Verdana" w:eastAsia="Calibri" w:cs="Arial"/>
          <w:color w:val="000000" w:themeColor="text1"/>
          <w:lang w:val="es-ES" w:eastAsia="es-ES"/>
        </w:rPr>
      </w:pPr>
    </w:p>
    <w:p w:rsidRPr="00115E3D" w:rsidR="001055A9" w:rsidP="001055A9" w:rsidRDefault="001055A9" w14:paraId="23F30DCB"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Problema planteado:</w:t>
      </w:r>
    </w:p>
    <w:p w:rsidRPr="00115E3D" w:rsidR="001055A9" w:rsidP="001055A9" w:rsidRDefault="001055A9" w14:paraId="3E64E7E2" w14:textId="77777777">
      <w:pPr>
        <w:tabs>
          <w:tab w:val="left" w:pos="426"/>
        </w:tabs>
        <w:spacing w:after="0" w:line="276" w:lineRule="auto"/>
        <w:jc w:val="both"/>
        <w:rPr>
          <w:rFonts w:ascii="Verdana" w:hAnsi="Verdana" w:eastAsia="Century Gothic" w:cs="Century Gothic"/>
          <w:color w:val="000000" w:themeColor="text1"/>
          <w:lang w:val="es-ES"/>
        </w:rPr>
      </w:pPr>
    </w:p>
    <w:p w:rsidR="001055A9" w:rsidP="001055A9" w:rsidRDefault="001055A9" w14:paraId="4020995A" w14:textId="77777777">
      <w:pPr>
        <w:spacing w:after="0" w:line="276" w:lineRule="auto"/>
        <w:jc w:val="both"/>
        <w:rPr>
          <w:rFonts w:ascii="Verdana" w:hAnsi="Verdana"/>
        </w:rPr>
      </w:pPr>
      <w:r w:rsidRPr="00115E3D">
        <w:rPr>
          <w:rFonts w:ascii="Verdana" w:hAnsi="Verdana" w:eastAsia="Century Gothic" w:cs="Century Gothic"/>
          <w:color w:val="000000" w:themeColor="text1"/>
        </w:rPr>
        <w:t xml:space="preserve">De acuerdo con el contenido de su solicitud, esta Agencia resolverá </w:t>
      </w:r>
      <w:r>
        <w:rPr>
          <w:rFonts w:ascii="Verdana" w:hAnsi="Verdana" w:eastAsia="Century Gothic" w:cs="Century Gothic"/>
          <w:color w:val="000000" w:themeColor="text1"/>
        </w:rPr>
        <w:t>el</w:t>
      </w:r>
      <w:r w:rsidRPr="00115E3D">
        <w:rPr>
          <w:rFonts w:ascii="Verdana" w:hAnsi="Verdana" w:eastAsia="Century Gothic" w:cs="Century Gothic"/>
          <w:color w:val="000000" w:themeColor="text1"/>
        </w:rPr>
        <w:t xml:space="preserve"> siguiente problema jurídico:</w:t>
      </w:r>
      <w:r>
        <w:rPr>
          <w:rFonts w:ascii="Verdana" w:hAnsi="Verdana" w:eastAsia="Century Gothic" w:cs="Century Gothic"/>
          <w:color w:val="000000" w:themeColor="text1"/>
        </w:rPr>
        <w:t xml:space="preserve"> </w:t>
      </w:r>
      <w:r w:rsidRPr="000D374A">
        <w:rPr>
          <w:rFonts w:ascii="Verdana" w:hAnsi="Verdana"/>
        </w:rPr>
        <w:t>¿Cuál es el alcance de los contratos de prestación de servicios frente a la participación en actividades de gestión contractual y al desarrollo de funciones permanentes de la entidad?</w:t>
      </w:r>
    </w:p>
    <w:p w:rsidRPr="00B511C1" w:rsidR="001055A9" w:rsidP="001055A9" w:rsidRDefault="001055A9" w14:paraId="3DA7D9C7" w14:textId="77777777">
      <w:pPr>
        <w:spacing w:after="0" w:line="276" w:lineRule="auto"/>
        <w:jc w:val="both"/>
        <w:rPr>
          <w:rFonts w:ascii="Verdana" w:hAnsi="Verdana" w:eastAsia="Century Gothic" w:cs="Century Gothic"/>
          <w:color w:val="000000" w:themeColor="text1"/>
        </w:rPr>
      </w:pPr>
    </w:p>
    <w:p w:rsidRPr="00115E3D" w:rsidR="001055A9" w:rsidP="001055A9" w:rsidRDefault="001055A9" w14:paraId="6B5A7717"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Respuesta:</w:t>
      </w:r>
    </w:p>
    <w:p w:rsidRPr="00115E3D" w:rsidR="001055A9" w:rsidP="001055A9" w:rsidRDefault="001055A9" w14:paraId="0897985B"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115E3D" w:rsidR="001055A9" w:rsidTr="0076623F" w14:paraId="0F8841D1" w14:textId="77777777">
        <w:trPr>
          <w:trHeight w:val="774"/>
        </w:trPr>
        <w:tc>
          <w:tcPr>
            <w:tcW w:w="8828" w:type="dxa"/>
          </w:tcPr>
          <w:p w:rsidRPr="000D374A" w:rsidR="001055A9" w:rsidP="0076623F" w:rsidRDefault="001055A9" w14:paraId="3ABC9D39" w14:textId="77777777">
            <w:pPr>
              <w:spacing w:after="120" w:line="276" w:lineRule="auto"/>
              <w:jc w:val="both"/>
              <w:rPr>
                <w:rFonts w:ascii="Verdana" w:hAnsi="Verdana" w:eastAsia="Arial" w:cs="Arial"/>
              </w:rPr>
            </w:pPr>
            <w:r>
              <w:rPr>
                <w:rFonts w:ascii="Verdana" w:hAnsi="Verdana" w:eastAsia="Arial" w:cs="Arial"/>
              </w:rPr>
              <w:t xml:space="preserve">          </w:t>
            </w:r>
            <w:r w:rsidRPr="000D374A">
              <w:rPr>
                <w:rFonts w:ascii="Verdana" w:hAnsi="Verdana" w:eastAsia="Arial" w:cs="Arial"/>
              </w:rPr>
              <w:t>De conformidad con el numeral 3 del artículo 32 de la Ley 80 de 1993, las entidades estatales pueden celebrar contratos de prestación de servicios para desarrollar actividades relacionadas con su administración o funcionamiento cuando estas no puedan realizarse con personal de planta o requieran conocimientos especializados. En consecuencia, resulta jurídicamente procedente que los contratistas participen en actividades asociadas a la gestión contractual y a los distintos flujos o etapas de los procesos de contratación, siempre que dicha participación corresponda a labores de apoyo, asesoría o acompañamiento vinculadas al objeto contractual previamente definido por la entidad.</w:t>
            </w:r>
          </w:p>
          <w:p w:rsidRPr="000D374A" w:rsidR="001055A9" w:rsidP="0076623F" w:rsidRDefault="001055A9" w14:paraId="70E85617" w14:textId="77777777">
            <w:pPr>
              <w:spacing w:after="120" w:line="276" w:lineRule="auto"/>
              <w:jc w:val="both"/>
              <w:rPr>
                <w:rFonts w:ascii="Verdana" w:hAnsi="Verdana" w:eastAsia="Arial" w:cs="Arial"/>
              </w:rPr>
            </w:pPr>
            <w:r>
              <w:rPr>
                <w:rFonts w:ascii="Verdana" w:hAnsi="Verdana" w:eastAsia="Arial" w:cs="Arial"/>
              </w:rPr>
              <w:lastRenderedPageBreak/>
              <w:t xml:space="preserve">          </w:t>
            </w:r>
            <w:r w:rsidRPr="000D374A">
              <w:rPr>
                <w:rFonts w:ascii="Verdana" w:hAnsi="Verdana" w:eastAsia="Arial" w:cs="Arial"/>
              </w:rPr>
              <w:t>No obstante, la participación del contratista encuentra límites en la naturaleza y alcance del contrato celebrado. Por ello, las actividades que le sean encomendadas deben guardar una relación directa con el objeto contractual y con las necesidades identificadas en los estudios previos, sin que sea posible asignarle funciones o responsabilidades que excedan dicho objeto ni trasladarle competencias que la ley atribuye a los servidores públicos de la entidad.</w:t>
            </w:r>
          </w:p>
          <w:p w:rsidRPr="000D374A" w:rsidR="001055A9" w:rsidP="0076623F" w:rsidRDefault="001055A9" w14:paraId="1C3BAE03" w14:textId="77777777">
            <w:pPr>
              <w:spacing w:after="120" w:line="276" w:lineRule="auto"/>
              <w:jc w:val="both"/>
              <w:rPr>
                <w:rFonts w:ascii="Verdana" w:hAnsi="Verdana" w:eastAsia="Arial" w:cs="Arial"/>
              </w:rPr>
            </w:pPr>
            <w:r>
              <w:rPr>
                <w:rFonts w:ascii="Verdana" w:hAnsi="Verdana" w:eastAsia="Arial" w:cs="Arial"/>
              </w:rPr>
              <w:t xml:space="preserve">           </w:t>
            </w:r>
            <w:r w:rsidRPr="000D374A">
              <w:rPr>
                <w:rFonts w:ascii="Verdana" w:hAnsi="Verdana" w:eastAsia="Arial" w:cs="Arial"/>
              </w:rPr>
              <w:t>En este sentido, aunque es válido pactar obligaciones de carácter amplio, tales como el cumplimiento de actividades complementarias o relacionadas con el objeto contractual, estas deben interpretarse de manera armónica con el objeto del contrato y no pueden servir de fundamento para imponer nuevas obligaciones ajenas a la finalidad inicialmente prevista. De igual forma, las instrucciones impartidas por el supervisor deben enmarcarse dentro de las actividades contratadas y no pueden modificar, ampliar o desnaturalizar el alcance del contrato.</w:t>
            </w:r>
          </w:p>
          <w:p w:rsidRPr="000D374A" w:rsidR="001055A9" w:rsidP="0076623F" w:rsidRDefault="001055A9" w14:paraId="388F7418" w14:textId="77777777">
            <w:pPr>
              <w:spacing w:after="120" w:line="276" w:lineRule="auto"/>
              <w:jc w:val="both"/>
              <w:rPr>
                <w:rFonts w:ascii="Verdana" w:hAnsi="Verdana" w:eastAsia="Arial" w:cs="Arial"/>
              </w:rPr>
            </w:pPr>
            <w:r>
              <w:rPr>
                <w:rFonts w:ascii="Verdana" w:hAnsi="Verdana" w:eastAsia="Arial" w:cs="Arial"/>
              </w:rPr>
              <w:t xml:space="preserve">           </w:t>
            </w:r>
            <w:r w:rsidRPr="000D374A">
              <w:rPr>
                <w:rFonts w:ascii="Verdana" w:hAnsi="Verdana" w:eastAsia="Arial" w:cs="Arial"/>
              </w:rPr>
              <w:t>Por consiguiente, los contratistas pueden participar en actividades relacionadas con la elaboración de documentos, apoyo técnico, jurídico o administrativo a los procesos contractuales, revisión de información, acompañamiento a la supervisión, seguimiento de obligaciones y demás actuaciones de apoyo requeridas para la gestión contractual. Sin embargo, no pueden asumir de manera autónoma funciones propias de la entidad estatal, adoptar decisiones reservadas a los servidores públicos, ejercer autoridad administrativa, sustituir integralmente al personal de planta ni desarrollar actividades que desborden el objeto contractual pactado.</w:t>
            </w:r>
          </w:p>
          <w:p w:rsidRPr="000D374A" w:rsidR="001055A9" w:rsidP="0076623F" w:rsidRDefault="001055A9" w14:paraId="72658FBD" w14:textId="77777777">
            <w:pPr>
              <w:spacing w:after="120" w:line="276" w:lineRule="auto"/>
              <w:jc w:val="both"/>
              <w:rPr>
                <w:rFonts w:ascii="Verdana" w:hAnsi="Verdana" w:eastAsia="Arial" w:cs="Arial"/>
              </w:rPr>
            </w:pPr>
            <w:r>
              <w:rPr>
                <w:rFonts w:ascii="Verdana" w:hAnsi="Verdana" w:eastAsia="Arial" w:cs="Arial"/>
              </w:rPr>
              <w:t xml:space="preserve">         </w:t>
            </w:r>
            <w:r w:rsidRPr="000D374A">
              <w:rPr>
                <w:rFonts w:ascii="Verdana" w:hAnsi="Verdana" w:eastAsia="Arial" w:cs="Arial"/>
              </w:rPr>
              <w:t>En todo caso, la determinación de las actividades específicas que pueden ser ejecutadas por un contratista exige analizar las condiciones particulares de cada contrato, sus estudios previos, el objeto contratado y las obligaciones pactadas, aspectos cuya valoración corresponde inicialmente a la entidad estatal en ejercicio de su autonomía administrativa y contractual.</w:t>
            </w:r>
          </w:p>
          <w:p w:rsidRPr="00B643B2" w:rsidR="001055A9" w:rsidP="0076623F" w:rsidRDefault="001055A9" w14:paraId="3D482964" w14:textId="77777777">
            <w:pPr>
              <w:spacing w:after="120" w:line="276" w:lineRule="auto"/>
              <w:jc w:val="both"/>
              <w:rPr>
                <w:rFonts w:ascii="Verdana" w:hAnsi="Verdana" w:eastAsia="Calibri"/>
              </w:rPr>
            </w:pPr>
            <w:r w:rsidRPr="009924B0">
              <w:rPr>
                <w:rFonts w:ascii="Verdana" w:hAnsi="Verdana" w:eastAsia="Arial" w:cs="Arial"/>
              </w:rPr>
              <w:t xml:space="preserve"> </w:t>
            </w:r>
            <w:r>
              <w:rPr>
                <w:rFonts w:ascii="Verdana" w:hAnsi="Verdana" w:eastAsia="Calibri"/>
              </w:rPr>
              <w:t xml:space="preserve">        </w:t>
            </w:r>
            <w:r w:rsidRPr="00B643B2">
              <w:rPr>
                <w:rFonts w:ascii="Verdana" w:hAnsi="Verdana" w:eastAsia="Calibri"/>
              </w:rPr>
              <w:t xml:space="preserve">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w:t>
            </w:r>
            <w:r w:rsidRPr="00B643B2">
              <w:rPr>
                <w:rFonts w:ascii="Verdana" w:hAnsi="Verdana" w:eastAsia="Calibri"/>
              </w:rPr>
              <w:lastRenderedPageBreak/>
              <w:t>corresponderá a los interesados adoptar la decisión y, en caso de conflicto, a las autoridades judiciales, fiscales y disciplinarias.</w:t>
            </w:r>
          </w:p>
          <w:p w:rsidRPr="0029110A" w:rsidR="001055A9" w:rsidP="0076623F" w:rsidRDefault="001055A9" w14:paraId="1468B22E" w14:textId="77777777">
            <w:pPr>
              <w:spacing w:before="120" w:after="120" w:line="276" w:lineRule="auto"/>
              <w:jc w:val="both"/>
              <w:rPr>
                <w:rFonts w:ascii="Verdana" w:hAnsi="Verdana" w:eastAsia="Calibri" w:cs="Times New Roman"/>
                <w:lang w:val="es-ES"/>
              </w:rPr>
            </w:pPr>
            <w:r>
              <w:rPr>
                <w:rFonts w:ascii="Verdana" w:hAnsi="Verdana" w:eastAsia="Calibri"/>
              </w:rPr>
              <w:t xml:space="preserve">        </w:t>
            </w:r>
            <w:r w:rsidRPr="00B643B2">
              <w:rPr>
                <w:rFonts w:ascii="Verdana" w:hAnsi="Verdana" w:eastAsia="Calibri"/>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Pr="00115E3D" w:rsidR="001055A9" w:rsidTr="0076623F" w14:paraId="4B1DE31C" w14:textId="77777777">
        <w:trPr>
          <w:trHeight w:val="162"/>
        </w:trPr>
        <w:tc>
          <w:tcPr>
            <w:tcW w:w="8828" w:type="dxa"/>
          </w:tcPr>
          <w:p w:rsidR="001055A9" w:rsidP="0076623F" w:rsidRDefault="001055A9" w14:paraId="79519DC1" w14:textId="77777777">
            <w:pPr>
              <w:spacing w:line="276" w:lineRule="auto"/>
              <w:jc w:val="both"/>
              <w:rPr>
                <w:rFonts w:ascii="Verdana" w:hAnsi="Verdana" w:eastAsia="Calibri" w:cs="Arial"/>
              </w:rPr>
            </w:pPr>
          </w:p>
        </w:tc>
      </w:tr>
    </w:tbl>
    <w:p w:rsidR="001055A9" w:rsidP="001055A9" w:rsidRDefault="001055A9" w14:paraId="549E7586"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color w:val="000000" w:themeColor="text1"/>
        </w:rPr>
      </w:pPr>
    </w:p>
    <w:p w:rsidR="001055A9" w:rsidP="001055A9" w:rsidRDefault="001055A9" w14:paraId="5E0F730A"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Razones de la respuesta:</w:t>
      </w:r>
    </w:p>
    <w:p w:rsidR="001055A9" w:rsidP="001055A9" w:rsidRDefault="001055A9" w14:paraId="11BD2CEA" w14:textId="77777777">
      <w:pPr>
        <w:spacing w:after="120" w:line="276" w:lineRule="auto"/>
        <w:ind w:firstLine="708"/>
        <w:jc w:val="both"/>
        <w:rPr>
          <w:rFonts w:ascii="Verdana" w:hAnsi="Verdana" w:eastAsia="Aptos" w:cs="Arial"/>
        </w:rPr>
      </w:pPr>
    </w:p>
    <w:p w:rsidRPr="009C2CE9" w:rsidR="001055A9" w:rsidP="001055A9" w:rsidRDefault="001055A9" w14:paraId="2170BE2A" w14:textId="77777777">
      <w:pPr>
        <w:spacing w:after="0" w:line="276" w:lineRule="auto"/>
        <w:ind w:firstLine="708"/>
        <w:jc w:val="both"/>
        <w:rPr>
          <w:rFonts w:ascii="Verdana" w:hAnsi="Verdana" w:eastAsia="Calibri" w:cs="Arial"/>
          <w:color w:val="000000"/>
        </w:rPr>
      </w:pPr>
      <w:bookmarkStart w:name="_Hlk218602419" w:id="2"/>
      <w:r w:rsidRPr="00890A2D">
        <w:rPr>
          <w:rFonts w:ascii="Verdana" w:hAnsi="Verdana" w:eastAsia="Calibri" w:cs="Arial"/>
        </w:rPr>
        <w:t>El</w:t>
      </w:r>
      <w:r w:rsidRPr="00053937">
        <w:rPr>
          <w:rFonts w:ascii="Verdana" w:hAnsi="Verdana" w:eastAsia="Calibri" w:cs="Arial"/>
        </w:rPr>
        <w:t xml:space="preserve"> </w:t>
      </w:r>
      <w:r w:rsidRPr="009C2CE9">
        <w:rPr>
          <w:rFonts w:ascii="Verdana" w:hAnsi="Verdana" w:eastAsia="Calibri" w:cs="Arial"/>
          <w:color w:val="000000"/>
        </w:rPr>
        <w:t>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rsidRPr="009C2CE9" w:rsidR="001055A9" w:rsidP="001055A9" w:rsidRDefault="001055A9" w14:paraId="7D3C0AB9" w14:textId="77777777">
      <w:pPr>
        <w:spacing w:after="0" w:line="276" w:lineRule="auto"/>
        <w:jc w:val="both"/>
        <w:rPr>
          <w:rFonts w:ascii="Verdana" w:hAnsi="Verdana" w:eastAsia="Calibri" w:cs="Arial"/>
          <w:color w:val="000000"/>
        </w:rPr>
      </w:pPr>
    </w:p>
    <w:p w:rsidRPr="009C2CE9" w:rsidR="001055A9" w:rsidP="001055A9" w:rsidRDefault="001055A9" w14:paraId="037467A0" w14:textId="77777777">
      <w:pPr>
        <w:spacing w:after="0" w:line="240" w:lineRule="auto"/>
        <w:ind w:left="709" w:right="709"/>
        <w:jc w:val="both"/>
        <w:rPr>
          <w:rFonts w:ascii="Verdana" w:hAnsi="Verdana" w:eastAsia="Calibri" w:cs="Arial"/>
          <w:color w:val="000000"/>
          <w:sz w:val="20"/>
          <w:szCs w:val="20"/>
        </w:rPr>
      </w:pPr>
      <w:r>
        <w:rPr>
          <w:rFonts w:ascii="Verdana" w:hAnsi="Verdana" w:eastAsia="Calibri" w:cs="Arial"/>
          <w:color w:val="000000"/>
          <w:sz w:val="20"/>
          <w:szCs w:val="20"/>
        </w:rPr>
        <w:t>“</w:t>
      </w:r>
      <w:r w:rsidRPr="009C2CE9">
        <w:rPr>
          <w:rFonts w:ascii="Verdana" w:hAnsi="Verdana" w:eastAsia="Calibri"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rsidRPr="009C2CE9" w:rsidR="001055A9" w:rsidP="001055A9" w:rsidRDefault="001055A9" w14:paraId="23B827E3" w14:textId="77777777">
      <w:pPr>
        <w:spacing w:after="0" w:line="240" w:lineRule="auto"/>
        <w:ind w:left="709" w:right="709"/>
        <w:jc w:val="both"/>
        <w:rPr>
          <w:rFonts w:ascii="Verdana" w:hAnsi="Verdana" w:eastAsia="Calibri" w:cs="Arial"/>
          <w:color w:val="000000"/>
          <w:sz w:val="20"/>
          <w:szCs w:val="20"/>
        </w:rPr>
      </w:pPr>
    </w:p>
    <w:p w:rsidR="001055A9" w:rsidP="001055A9" w:rsidRDefault="001055A9" w14:paraId="6ADF033B"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En ningún caso estos contratos generan relación laboral ni prestaciones sociales y se celebrarán por el término estrictamente indispensable.</w:t>
      </w:r>
      <w:r>
        <w:rPr>
          <w:rFonts w:ascii="Verdana" w:hAnsi="Verdana" w:eastAsia="Calibri" w:cs="Arial"/>
          <w:color w:val="000000"/>
          <w:sz w:val="20"/>
          <w:szCs w:val="20"/>
        </w:rPr>
        <w:t>”</w:t>
      </w:r>
    </w:p>
    <w:p w:rsidR="001055A9" w:rsidP="001055A9" w:rsidRDefault="001055A9" w14:paraId="088BF17D" w14:textId="77777777">
      <w:pPr>
        <w:spacing w:after="0" w:line="276" w:lineRule="auto"/>
        <w:ind w:left="709" w:right="709"/>
        <w:jc w:val="both"/>
        <w:rPr>
          <w:rFonts w:ascii="Verdana" w:hAnsi="Verdana" w:eastAsia="Calibri" w:cs="Arial"/>
          <w:color w:val="000000"/>
          <w:sz w:val="20"/>
          <w:szCs w:val="20"/>
        </w:rPr>
      </w:pPr>
    </w:p>
    <w:p w:rsidR="001055A9" w:rsidP="001055A9" w:rsidRDefault="001055A9" w14:paraId="7BBBF00B"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t>De otro lado, la celebración de dicho contrato debe efectuarse mediante la modalidad de la contratación directa. Así lo prevé el artículo 2, numeral 4º, literal h) de la Ley 1150 de 2007, que dispone:</w:t>
      </w:r>
    </w:p>
    <w:p w:rsidRPr="009C2CE9" w:rsidR="001055A9" w:rsidP="001055A9" w:rsidRDefault="001055A9" w14:paraId="73F4D991" w14:textId="77777777">
      <w:pPr>
        <w:spacing w:after="0" w:line="276" w:lineRule="auto"/>
        <w:ind w:firstLine="709"/>
        <w:jc w:val="both"/>
        <w:rPr>
          <w:rFonts w:ascii="Verdana" w:hAnsi="Verdana" w:eastAsia="Calibri" w:cs="Arial"/>
          <w:color w:val="000000"/>
        </w:rPr>
      </w:pPr>
    </w:p>
    <w:p w:rsidRPr="009C2CE9" w:rsidR="001055A9" w:rsidP="001055A9" w:rsidRDefault="001055A9" w14:paraId="134B8E62" w14:textId="77777777">
      <w:pPr>
        <w:spacing w:after="0" w:line="240" w:lineRule="auto"/>
        <w:ind w:left="709" w:right="709"/>
        <w:jc w:val="both"/>
        <w:rPr>
          <w:rFonts w:ascii="Verdana" w:hAnsi="Verdana" w:eastAsia="Calibri" w:cs="Arial"/>
          <w:color w:val="000000"/>
          <w:sz w:val="20"/>
          <w:szCs w:val="20"/>
        </w:rPr>
      </w:pPr>
      <w:r>
        <w:rPr>
          <w:rFonts w:ascii="Verdana" w:hAnsi="Verdana" w:eastAsia="Calibri" w:cs="Arial"/>
          <w:color w:val="000000"/>
          <w:sz w:val="20"/>
          <w:szCs w:val="20"/>
        </w:rPr>
        <w:t>“</w:t>
      </w:r>
      <w:r w:rsidRPr="009C2CE9">
        <w:rPr>
          <w:rFonts w:ascii="Verdana" w:hAnsi="Verdana" w:eastAsia="Calibri" w:cs="Arial"/>
          <w:color w:val="000000"/>
          <w:sz w:val="20"/>
          <w:szCs w:val="20"/>
        </w:rPr>
        <w:t>[…]</w:t>
      </w:r>
    </w:p>
    <w:p w:rsidRPr="009C2CE9" w:rsidR="001055A9" w:rsidP="001055A9" w:rsidRDefault="001055A9" w14:paraId="54A1FF12"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Contratación directa. La modalidad de selección de contratación directa solamente procederá en los siguientes casos:</w:t>
      </w:r>
    </w:p>
    <w:p w:rsidRPr="009C2CE9" w:rsidR="001055A9" w:rsidP="001055A9" w:rsidRDefault="001055A9" w14:paraId="65C33B97"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w:t>
      </w:r>
    </w:p>
    <w:p w:rsidRPr="009C2CE9" w:rsidR="001055A9" w:rsidP="001055A9" w:rsidRDefault="001055A9" w14:paraId="0DD1F8D5"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lastRenderedPageBreak/>
        <w:t>h) Para la prestación de servicios profesionales y de apoyo a la gestión, o para la ejecución de trabajos artísticos que sólo puedan encomendarse a determinadas personas naturales;</w:t>
      </w:r>
      <w:r>
        <w:rPr>
          <w:rFonts w:ascii="Verdana" w:hAnsi="Verdana" w:eastAsia="Calibri" w:cs="Arial"/>
          <w:color w:val="000000"/>
          <w:sz w:val="20"/>
          <w:szCs w:val="20"/>
        </w:rPr>
        <w:t>”</w:t>
      </w:r>
    </w:p>
    <w:p w:rsidRPr="00072FBB" w:rsidR="001055A9" w:rsidP="001055A9" w:rsidRDefault="001055A9" w14:paraId="4B43C936" w14:textId="77777777">
      <w:pPr>
        <w:spacing w:after="0" w:line="276" w:lineRule="auto"/>
        <w:ind w:right="709"/>
        <w:jc w:val="both"/>
        <w:rPr>
          <w:rFonts w:ascii="Verdana" w:hAnsi="Verdana" w:eastAsia="Calibri" w:cs="Arial"/>
          <w:color w:val="000000"/>
        </w:rPr>
      </w:pPr>
    </w:p>
    <w:p w:rsidRPr="00F9262C" w:rsidR="001055A9" w:rsidP="001055A9" w:rsidRDefault="001055A9" w14:paraId="028B018D"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rsidRPr="009C2CE9" w:rsidR="001055A9" w:rsidP="001055A9" w:rsidRDefault="001055A9" w14:paraId="29C7250A"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a) Solo puede celebrarse para realizar “actividades relacionadas con la administración o funcionamiento de la entidad”, es decir, que hagan parte de su giro ordinario o quehacer cotidiano.</w:t>
      </w:r>
    </w:p>
    <w:p w:rsidRPr="009C2CE9" w:rsidR="001055A9" w:rsidP="001055A9" w:rsidRDefault="001055A9" w14:paraId="57E4A78E"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rsidR="001055A9" w:rsidP="001055A9" w:rsidRDefault="001055A9" w14:paraId="79FCE8E5"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c) Si bien se celebran para obtener la prestación personal de un servicio, se diferencian del contrato de trabajo</w:t>
      </w:r>
      <w:r w:rsidRPr="009C2CE9">
        <w:rPr>
          <w:rFonts w:ascii="Verdana" w:hAnsi="Verdana" w:eastAsia="Calibri" w:cs="Arial"/>
          <w:color w:val="000000"/>
          <w:vertAlign w:val="superscript"/>
        </w:rPr>
        <w:footnoteReference w:id="1"/>
      </w:r>
      <w:r w:rsidRPr="009C2CE9">
        <w:rPr>
          <w:rFonts w:ascii="Verdana" w:hAnsi="Verdana" w:eastAsia="Calibri" w:cs="Arial"/>
          <w:color w:val="000000"/>
        </w:rPr>
        <w:t xml:space="preserve"> en que quien celebra el contrato de prestación de servicios profesionales debe mantener autonomía e independencia en la ejecución de la labor, lo que significa que no puede existir la </w:t>
      </w:r>
      <w:r w:rsidRPr="009C2CE9">
        <w:rPr>
          <w:rFonts w:ascii="Verdana" w:hAnsi="Verdana" w:eastAsia="Calibri" w:cs="Arial"/>
          <w:i/>
          <w:color w:val="000000"/>
        </w:rPr>
        <w:t>subordinación y dependencia</w:t>
      </w:r>
      <w:r w:rsidRPr="009C2CE9">
        <w:rPr>
          <w:rFonts w:ascii="Verdana" w:hAnsi="Verdana" w:eastAsia="Calibri" w:cs="Arial"/>
          <w:iCs/>
          <w:color w:val="000000"/>
        </w:rPr>
        <w:t>,</w:t>
      </w:r>
      <w:r w:rsidRPr="009C2CE9">
        <w:rPr>
          <w:rFonts w:ascii="Verdana" w:hAnsi="Verdana" w:eastAsia="Calibri"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w:t>
      </w:r>
      <w:r w:rsidRPr="009C2CE9">
        <w:rPr>
          <w:rFonts w:ascii="Verdana" w:hAnsi="Verdana" w:eastAsia="Calibri" w:cs="Arial"/>
          <w:color w:val="000000"/>
        </w:rPr>
        <w:lastRenderedPageBreak/>
        <w:t xml:space="preserve">pues debe interpretarse en el sentido de que los contratos de prestación de servicios profesionales </w:t>
      </w:r>
      <w:r w:rsidRPr="009C2CE9">
        <w:rPr>
          <w:rFonts w:ascii="Verdana" w:hAnsi="Verdana" w:eastAsia="Calibri" w:cs="Arial"/>
          <w:i/>
          <w:color w:val="000000"/>
        </w:rPr>
        <w:t>no pueden</w:t>
      </w:r>
      <w:r w:rsidRPr="009C2CE9">
        <w:rPr>
          <w:rFonts w:ascii="Verdana" w:hAnsi="Verdana" w:eastAsia="Calibri" w:cs="Arial"/>
          <w:color w:val="000000"/>
        </w:rPr>
        <w:t xml:space="preserve"> generar relación laboral, ni dar lugar a que las entidades estatales paguen por su cuenta los aportes al Sistema de Seguridad Social Integral del contratista. </w:t>
      </w:r>
    </w:p>
    <w:p w:rsidR="001055A9" w:rsidP="001055A9" w:rsidRDefault="001055A9" w14:paraId="767F921F" w14:textId="77777777">
      <w:pPr>
        <w:spacing w:after="120" w:line="276" w:lineRule="auto"/>
        <w:ind w:firstLine="709"/>
        <w:jc w:val="both"/>
        <w:rPr>
          <w:rFonts w:ascii="Verdana" w:hAnsi="Verdana" w:eastAsia="Calibri" w:cs="Arial"/>
          <w:color w:val="000000"/>
        </w:rPr>
      </w:pPr>
      <w:r>
        <w:rPr>
          <w:rFonts w:ascii="Verdana" w:hAnsi="Verdana" w:eastAsia="Calibri" w:cs="Arial"/>
          <w:color w:val="000000"/>
        </w:rPr>
        <w:t>Lo anterior</w:t>
      </w:r>
      <w:r w:rsidRPr="009C2CE9">
        <w:rPr>
          <w:rFonts w:ascii="Verdana" w:hAnsi="Verdana" w:eastAsia="Calibri" w:cs="Arial"/>
          <w:color w:val="000000"/>
        </w:rPr>
        <w:t xml:space="preserve">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9C2CE9">
        <w:rPr>
          <w:rFonts w:ascii="Verdana" w:hAnsi="Verdana" w:eastAsia="Calibri" w:cs="Arial"/>
          <w:color w:val="000000"/>
          <w:vertAlign w:val="superscript"/>
        </w:rPr>
        <w:footnoteReference w:id="2"/>
      </w:r>
      <w:r w:rsidRPr="009C2CE9">
        <w:rPr>
          <w:rFonts w:ascii="Verdana" w:hAnsi="Verdana" w:eastAsia="Calibri" w:cs="Arial"/>
          <w:color w:val="000000"/>
        </w:rPr>
        <w:t xml:space="preserve">. </w:t>
      </w:r>
    </w:p>
    <w:p w:rsidR="001055A9" w:rsidP="001055A9" w:rsidRDefault="001055A9" w14:paraId="1715B60F"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 xml:space="preserve">Pero es posible que, a pesar de este mandato deontológico, en la práctica surja la relación laboral, pues, como se sabe, el contrato de trabajo es un </w:t>
      </w:r>
      <w:r w:rsidRPr="009C2CE9">
        <w:rPr>
          <w:rFonts w:ascii="Verdana" w:hAnsi="Verdana" w:eastAsia="Calibri" w:cs="Arial"/>
          <w:i/>
          <w:color w:val="000000"/>
        </w:rPr>
        <w:t>contrato realidad</w:t>
      </w:r>
      <w:r w:rsidRPr="009C2CE9">
        <w:rPr>
          <w:rFonts w:ascii="Verdana" w:hAnsi="Verdana" w:eastAsia="Calibri" w:cs="Arial"/>
          <w:color w:val="000000"/>
        </w:rPr>
        <w:t xml:space="preserve">, ya que para su perfeccionamiento rige el principio de la prevalencia de la realidad sobre las formalidades. </w:t>
      </w:r>
    </w:p>
    <w:p w:rsidRPr="009C2CE9" w:rsidR="001055A9" w:rsidP="001055A9" w:rsidRDefault="001055A9" w14:paraId="36F62E99"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t>d) Deben ser temporales. Así lo señaló la Corte Constitucional en la misma providencia a la que se aludió previamente, expresando que:</w:t>
      </w:r>
    </w:p>
    <w:p w:rsidRPr="009C2CE9" w:rsidR="001055A9" w:rsidP="001055A9" w:rsidRDefault="001055A9" w14:paraId="1D66728F" w14:textId="77777777">
      <w:pPr>
        <w:spacing w:after="0" w:line="276" w:lineRule="auto"/>
        <w:ind w:firstLine="709"/>
        <w:jc w:val="both"/>
        <w:rPr>
          <w:rFonts w:ascii="Verdana" w:hAnsi="Verdana" w:eastAsia="Calibri" w:cs="Arial"/>
          <w:color w:val="000000"/>
        </w:rPr>
      </w:pPr>
    </w:p>
    <w:p w:rsidRPr="009C2CE9" w:rsidR="001055A9" w:rsidP="001055A9" w:rsidRDefault="001055A9" w14:paraId="7E459CA8" w14:textId="77777777">
      <w:pPr>
        <w:spacing w:after="0" w:line="240" w:lineRule="auto"/>
        <w:ind w:left="709" w:right="709"/>
        <w:jc w:val="both"/>
        <w:rPr>
          <w:rFonts w:ascii="Verdana" w:hAnsi="Verdana" w:eastAsia="Calibri" w:cs="Arial"/>
          <w:color w:val="000000"/>
          <w:sz w:val="21"/>
          <w:szCs w:val="21"/>
        </w:rPr>
      </w:pPr>
      <w:r>
        <w:rPr>
          <w:rFonts w:ascii="Verdana" w:hAnsi="Verdana" w:eastAsia="Calibri" w:cs="Arial"/>
          <w:color w:val="000000"/>
          <w:sz w:val="20"/>
          <w:szCs w:val="20"/>
        </w:rPr>
        <w:t>“</w:t>
      </w:r>
      <w:r w:rsidRPr="009C2CE9">
        <w:rPr>
          <w:rFonts w:ascii="Verdana" w:hAnsi="Verdana" w:eastAsia="Calibri" w:cs="Arial"/>
          <w:color w:val="000000"/>
          <w:sz w:val="20"/>
          <w:szCs w:val="20"/>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w:t>
      </w:r>
      <w:r w:rsidRPr="009C2CE9">
        <w:rPr>
          <w:rFonts w:ascii="Verdana" w:hAnsi="Verdana" w:eastAsia="Calibri" w:cs="Arial"/>
          <w:color w:val="000000"/>
          <w:sz w:val="20"/>
          <w:szCs w:val="20"/>
        </w:rPr>
        <w:lastRenderedPageBreak/>
        <w:t>contemplado en la respectiva planta y previstos sus emolumentos en el presupuesto correspondiente</w:t>
      </w:r>
      <w:r>
        <w:rPr>
          <w:rFonts w:ascii="Verdana" w:hAnsi="Verdana" w:eastAsia="Calibri" w:cs="Arial"/>
          <w:color w:val="000000"/>
          <w:sz w:val="20"/>
          <w:szCs w:val="20"/>
        </w:rPr>
        <w:t>”</w:t>
      </w:r>
      <w:r w:rsidRPr="009C2CE9">
        <w:rPr>
          <w:rFonts w:ascii="Verdana" w:hAnsi="Verdana" w:eastAsia="Calibri" w:cs="Arial"/>
          <w:color w:val="000000"/>
          <w:sz w:val="21"/>
          <w:szCs w:val="21"/>
          <w:vertAlign w:val="superscript"/>
        </w:rPr>
        <w:footnoteReference w:id="3"/>
      </w:r>
      <w:r w:rsidRPr="009C2CE9">
        <w:rPr>
          <w:rFonts w:ascii="Verdana" w:hAnsi="Verdana" w:eastAsia="Calibri" w:cs="Arial"/>
          <w:color w:val="000000"/>
          <w:sz w:val="21"/>
          <w:szCs w:val="21"/>
        </w:rPr>
        <w:t>.</w:t>
      </w:r>
    </w:p>
    <w:p w:rsidRPr="009C2CE9" w:rsidR="001055A9" w:rsidP="001055A9" w:rsidRDefault="001055A9" w14:paraId="4F97C886" w14:textId="77777777">
      <w:pPr>
        <w:spacing w:after="0" w:line="276" w:lineRule="auto"/>
        <w:ind w:firstLine="709"/>
        <w:jc w:val="both"/>
        <w:rPr>
          <w:rFonts w:ascii="Verdana" w:hAnsi="Verdana" w:eastAsia="Calibri" w:cs="Arial"/>
          <w:color w:val="000000"/>
        </w:rPr>
      </w:pPr>
    </w:p>
    <w:p w:rsidRPr="009C2CE9" w:rsidR="001055A9" w:rsidP="001055A9" w:rsidRDefault="001055A9" w14:paraId="0CF4A150"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t xml:space="preserve">e) Los contratos de prestación </w:t>
      </w:r>
      <w:r>
        <w:rPr>
          <w:rFonts w:ascii="Verdana" w:hAnsi="Verdana" w:eastAsia="Calibri" w:cs="Arial"/>
          <w:color w:val="000000"/>
        </w:rPr>
        <w:t xml:space="preserve">es el </w:t>
      </w:r>
      <w:proofErr w:type="spellStart"/>
      <w:r>
        <w:rPr>
          <w:rFonts w:ascii="Verdana" w:hAnsi="Verdana" w:eastAsia="Calibri" w:cs="Arial"/>
          <w:color w:val="000000"/>
        </w:rPr>
        <w:t>genero</w:t>
      </w:r>
      <w:proofErr w:type="spellEnd"/>
      <w:r>
        <w:rPr>
          <w:rFonts w:ascii="Verdana" w:hAnsi="Verdana" w:eastAsia="Calibri" w:cs="Arial"/>
          <w:color w:val="000000"/>
        </w:rPr>
        <w:t>, y dentro de él se encuentran diferentes especies o clases, tales como el contrato de prestación de</w:t>
      </w:r>
      <w:r w:rsidRPr="009C2CE9">
        <w:rPr>
          <w:rFonts w:ascii="Verdana" w:hAnsi="Verdana" w:eastAsia="Calibri" w:cs="Arial"/>
          <w:color w:val="000000"/>
        </w:rPr>
        <w:t xml:space="preserve"> servicios profesionales</w:t>
      </w:r>
      <w:r>
        <w:rPr>
          <w:rFonts w:ascii="Verdana" w:hAnsi="Verdana" w:eastAsia="Calibri" w:cs="Arial"/>
          <w:color w:val="000000"/>
        </w:rPr>
        <w:t xml:space="preserve">, </w:t>
      </w:r>
      <w:r w:rsidRPr="009C2CE9">
        <w:rPr>
          <w:rFonts w:ascii="Verdana" w:hAnsi="Verdana" w:eastAsia="Calibri" w:cs="Arial"/>
          <w:color w:val="000000"/>
        </w:rPr>
        <w:t>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9C2CE9">
        <w:rPr>
          <w:rFonts w:ascii="Verdana" w:hAnsi="Verdana" w:eastAsia="Calibri" w:cs="Arial"/>
          <w:color w:val="000000"/>
          <w:vertAlign w:val="superscript"/>
        </w:rPr>
        <w:footnoteReference w:id="4"/>
      </w:r>
      <w:r w:rsidRPr="009C2CE9">
        <w:rPr>
          <w:rFonts w:ascii="Verdana" w:hAnsi="Verdana" w:eastAsia="Calibri" w:cs="Arial"/>
          <w:color w:val="000000"/>
        </w:rPr>
        <w:t xml:space="preserve">. La diferencia entre el contrato de prestación de servicios </w:t>
      </w:r>
      <w:r w:rsidRPr="009C2CE9">
        <w:rPr>
          <w:rFonts w:ascii="Verdana" w:hAnsi="Verdana" w:eastAsia="Calibri" w:cs="Arial"/>
          <w:i/>
          <w:color w:val="000000"/>
        </w:rPr>
        <w:t>profesionales</w:t>
      </w:r>
      <w:r w:rsidRPr="009C2CE9">
        <w:rPr>
          <w:rFonts w:ascii="Verdana" w:hAnsi="Verdana" w:eastAsia="Calibri"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w:t>
      </w:r>
      <w:r>
        <w:rPr>
          <w:rFonts w:ascii="Verdana" w:hAnsi="Verdana" w:eastAsia="Calibri" w:cs="Arial"/>
          <w:color w:val="000000"/>
        </w:rPr>
        <w:t>,</w:t>
      </w:r>
      <w:r w:rsidRPr="009C2CE9">
        <w:rPr>
          <w:rFonts w:ascii="Verdana" w:hAnsi="Verdana" w:eastAsia="Calibri" w:cs="Arial"/>
          <w:color w:val="000000"/>
        </w:rPr>
        <w:t xml:space="preserve"> en sentencia de unificación jurisprudencial del 2 de diciembre de 2013, al indicar, respecto del contrato de prestación de servicios profesionales, que:</w:t>
      </w:r>
    </w:p>
    <w:p w:rsidRPr="009C2CE9" w:rsidR="001055A9" w:rsidP="001055A9" w:rsidRDefault="001055A9" w14:paraId="1FDD2B5E" w14:textId="77777777">
      <w:pPr>
        <w:spacing w:after="0" w:line="276" w:lineRule="auto"/>
        <w:ind w:firstLine="709"/>
        <w:jc w:val="both"/>
        <w:rPr>
          <w:rFonts w:ascii="Verdana" w:hAnsi="Verdana" w:eastAsia="Calibri" w:cs="Arial"/>
          <w:color w:val="000000"/>
        </w:rPr>
      </w:pPr>
    </w:p>
    <w:p w:rsidRPr="00072FBB" w:rsidR="001055A9" w:rsidP="001055A9" w:rsidRDefault="001055A9" w14:paraId="02D57C8F" w14:textId="77777777">
      <w:pPr>
        <w:spacing w:after="0" w:line="240" w:lineRule="auto"/>
        <w:ind w:left="709" w:right="709"/>
        <w:jc w:val="both"/>
        <w:rPr>
          <w:rFonts w:ascii="Verdana" w:hAnsi="Verdana" w:eastAsia="Calibri" w:cs="Arial"/>
          <w:color w:val="000000"/>
          <w:sz w:val="20"/>
          <w:szCs w:val="20"/>
        </w:rPr>
      </w:pPr>
      <w:r w:rsidRPr="0070352A">
        <w:rPr>
          <w:rFonts w:ascii="Verdana" w:hAnsi="Verdana" w:eastAsia="Calibri" w:cs="Arial"/>
          <w:color w:val="000000"/>
          <w:sz w:val="20"/>
          <w:szCs w:val="20"/>
        </w:rPr>
        <w:t>“</w:t>
      </w:r>
      <w:r w:rsidRPr="009C2CE9">
        <w:rPr>
          <w:rFonts w:ascii="Verdana" w:hAnsi="Verdana" w:eastAsia="Calibri" w:cs="Arial"/>
          <w:color w:val="000000"/>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3925DB">
        <w:rPr>
          <w:rFonts w:ascii="Verdana" w:hAnsi="Verdana" w:eastAsia="Calibri" w:cs="Arial"/>
          <w:color w:val="000000"/>
          <w:sz w:val="20"/>
          <w:szCs w:val="20"/>
        </w:rPr>
        <w:t>”</w:t>
      </w:r>
      <w:r w:rsidRPr="00072FBB">
        <w:rPr>
          <w:rFonts w:ascii="Verdana" w:hAnsi="Verdana" w:eastAsia="Calibri" w:cs="Arial"/>
          <w:color w:val="000000"/>
          <w:sz w:val="20"/>
          <w:szCs w:val="20"/>
          <w:vertAlign w:val="superscript"/>
        </w:rPr>
        <w:footnoteReference w:id="5"/>
      </w:r>
      <w:r w:rsidRPr="00072FBB">
        <w:rPr>
          <w:rFonts w:ascii="Verdana" w:hAnsi="Verdana" w:eastAsia="Calibri" w:cs="Arial"/>
          <w:color w:val="000000"/>
          <w:sz w:val="20"/>
          <w:szCs w:val="20"/>
        </w:rPr>
        <w:t>.</w:t>
      </w:r>
    </w:p>
    <w:p w:rsidRPr="009C2CE9" w:rsidR="001055A9" w:rsidP="001055A9" w:rsidRDefault="001055A9" w14:paraId="53183165" w14:textId="77777777">
      <w:pPr>
        <w:spacing w:after="0" w:line="276" w:lineRule="auto"/>
        <w:ind w:firstLine="709"/>
        <w:jc w:val="both"/>
        <w:rPr>
          <w:rFonts w:ascii="Verdana" w:hAnsi="Verdana" w:eastAsia="Calibri" w:cs="Arial"/>
          <w:color w:val="000000"/>
        </w:rPr>
      </w:pPr>
    </w:p>
    <w:p w:rsidRPr="009C2CE9" w:rsidR="001055A9" w:rsidP="001055A9" w:rsidRDefault="001055A9" w14:paraId="622BD96A" w14:textId="77777777">
      <w:pPr>
        <w:spacing w:after="0" w:line="276" w:lineRule="auto"/>
        <w:ind w:firstLine="709"/>
        <w:jc w:val="both"/>
        <w:rPr>
          <w:rFonts w:ascii="Verdana" w:hAnsi="Verdana" w:eastAsia="Calibri" w:cs="Arial"/>
          <w:color w:val="000000"/>
        </w:rPr>
      </w:pPr>
      <w:r w:rsidRPr="009C2CE9">
        <w:rPr>
          <w:rFonts w:ascii="Verdana" w:hAnsi="Verdana" w:eastAsia="Calibri" w:cs="Arial"/>
          <w:color w:val="000000"/>
        </w:rPr>
        <w:t>Objeto que, según la sentencia que se cita, se diferencia del objeto del contrato de prestación de servicios de apoyo a la gestión, porque en este:</w:t>
      </w:r>
    </w:p>
    <w:p w:rsidRPr="009C2CE9" w:rsidR="001055A9" w:rsidP="001055A9" w:rsidRDefault="001055A9" w14:paraId="4740B3AA" w14:textId="77777777">
      <w:pPr>
        <w:spacing w:after="0" w:line="276" w:lineRule="auto"/>
        <w:ind w:firstLine="709"/>
        <w:jc w:val="both"/>
        <w:rPr>
          <w:rFonts w:ascii="Verdana" w:hAnsi="Verdana" w:eastAsia="Calibri" w:cs="Arial"/>
          <w:color w:val="000000"/>
        </w:rPr>
      </w:pPr>
    </w:p>
    <w:p w:rsidRPr="009C2CE9" w:rsidR="001055A9" w:rsidP="001055A9" w:rsidRDefault="001055A9" w14:paraId="183959C6"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lastRenderedPageBreak/>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rsidRPr="009C2CE9" w:rsidR="001055A9" w:rsidP="001055A9" w:rsidRDefault="001055A9" w14:paraId="6B35D2AD" w14:textId="77777777">
      <w:pPr>
        <w:spacing w:after="0" w:line="240" w:lineRule="auto"/>
        <w:ind w:left="709" w:right="709"/>
        <w:jc w:val="both"/>
        <w:rPr>
          <w:rFonts w:ascii="Verdana" w:hAnsi="Verdana" w:eastAsia="Calibri" w:cs="Arial"/>
          <w:color w:val="000000"/>
          <w:sz w:val="20"/>
          <w:szCs w:val="20"/>
        </w:rPr>
      </w:pPr>
    </w:p>
    <w:p w:rsidRPr="009C2CE9" w:rsidR="001055A9" w:rsidP="001055A9" w:rsidRDefault="001055A9" w14:paraId="0AE01736"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Aunque también se caracteriza por el desempeño de actividad intelectiva, ésta se enmarca dentro de un saber propiamente técnico; igualmente involucra actividades en donde prima el esfuerzo físico o mecánico, en donde no se requiere de personal profesional.</w:t>
      </w:r>
    </w:p>
    <w:p w:rsidRPr="009C2CE9" w:rsidR="001055A9" w:rsidP="001055A9" w:rsidRDefault="001055A9" w14:paraId="51E71682" w14:textId="77777777">
      <w:pPr>
        <w:spacing w:after="0" w:line="240" w:lineRule="auto"/>
        <w:ind w:left="709" w:right="709"/>
        <w:jc w:val="both"/>
        <w:rPr>
          <w:rFonts w:ascii="Verdana" w:hAnsi="Verdana" w:eastAsia="Calibri" w:cs="Arial"/>
          <w:color w:val="000000"/>
          <w:sz w:val="20"/>
          <w:szCs w:val="20"/>
        </w:rPr>
      </w:pPr>
    </w:p>
    <w:p w:rsidRPr="009C2CE9" w:rsidR="001055A9" w:rsidP="001055A9" w:rsidRDefault="001055A9" w14:paraId="2957534B"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p>
    <w:p w:rsidRPr="009C2CE9" w:rsidR="001055A9" w:rsidP="001055A9" w:rsidRDefault="001055A9" w14:paraId="16232476" w14:textId="77777777">
      <w:pPr>
        <w:spacing w:after="0" w:line="240" w:lineRule="auto"/>
        <w:ind w:left="709" w:right="709"/>
        <w:jc w:val="both"/>
        <w:rPr>
          <w:rFonts w:ascii="Verdana" w:hAnsi="Verdana" w:eastAsia="Calibri" w:cs="Arial"/>
          <w:color w:val="000000"/>
          <w:sz w:val="20"/>
          <w:szCs w:val="20"/>
        </w:rPr>
      </w:pPr>
    </w:p>
    <w:p w:rsidRPr="00072FBB" w:rsidR="001055A9" w:rsidP="001055A9" w:rsidRDefault="001055A9" w14:paraId="5D3A8FE4" w14:textId="77777777">
      <w:pPr>
        <w:spacing w:after="0" w:line="240" w:lineRule="auto"/>
        <w:ind w:left="709" w:right="709"/>
        <w:jc w:val="both"/>
        <w:rPr>
          <w:rFonts w:ascii="Verdana" w:hAnsi="Verdana" w:eastAsia="Calibri" w:cs="Arial"/>
          <w:color w:val="000000"/>
          <w:sz w:val="20"/>
          <w:szCs w:val="20"/>
        </w:rPr>
      </w:pPr>
      <w:r w:rsidRPr="009C2CE9">
        <w:rPr>
          <w:rFonts w:ascii="Verdana" w:hAnsi="Verdana" w:eastAsia="Calibri"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072FBB">
        <w:rPr>
          <w:rFonts w:ascii="Verdana" w:hAnsi="Verdana" w:eastAsia="Calibri" w:cs="Arial"/>
          <w:color w:val="000000"/>
          <w:sz w:val="20"/>
          <w:szCs w:val="20"/>
          <w:vertAlign w:val="superscript"/>
        </w:rPr>
        <w:footnoteReference w:id="6"/>
      </w:r>
      <w:r w:rsidRPr="00072FBB">
        <w:rPr>
          <w:rFonts w:ascii="Verdana" w:hAnsi="Verdana" w:eastAsia="Calibri" w:cs="Arial"/>
          <w:color w:val="000000"/>
          <w:sz w:val="20"/>
          <w:szCs w:val="20"/>
        </w:rPr>
        <w:t>.</w:t>
      </w:r>
    </w:p>
    <w:p w:rsidRPr="009C2CE9" w:rsidR="001055A9" w:rsidP="001055A9" w:rsidRDefault="001055A9" w14:paraId="2AAF138B" w14:textId="77777777">
      <w:pPr>
        <w:spacing w:after="0" w:line="276" w:lineRule="auto"/>
        <w:ind w:firstLine="709"/>
        <w:jc w:val="both"/>
        <w:rPr>
          <w:rFonts w:ascii="Verdana" w:hAnsi="Verdana" w:eastAsia="Calibri" w:cs="Arial"/>
          <w:color w:val="000000"/>
        </w:rPr>
      </w:pPr>
    </w:p>
    <w:p w:rsidRPr="009C2CE9" w:rsidR="001055A9" w:rsidP="001055A9" w:rsidRDefault="001055A9" w14:paraId="198D7CB0"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f) Su celebración debe realizarse a través de la modalidad de contratación directa, independientemente de la cuantía y del tipo de servicio profesional, siempre que este no ingrese dentro del objeto del contrato de consultoría</w:t>
      </w:r>
      <w:r>
        <w:rPr>
          <w:rFonts w:ascii="Verdana" w:hAnsi="Verdana" w:eastAsia="Calibri" w:cs="Arial"/>
          <w:color w:val="000000"/>
        </w:rPr>
        <w:t>. C</w:t>
      </w:r>
      <w:r w:rsidRPr="009C2CE9">
        <w:rPr>
          <w:rFonts w:ascii="Verdana" w:hAnsi="Verdana" w:eastAsia="Calibri" w:cs="Arial"/>
          <w:color w:val="000000"/>
        </w:rPr>
        <w:t>omo lo indicó el Consejo de Estado</w:t>
      </w:r>
      <w:r>
        <w:rPr>
          <w:rFonts w:ascii="Verdana" w:hAnsi="Verdana" w:eastAsia="Calibri" w:cs="Arial"/>
          <w:color w:val="000000"/>
        </w:rPr>
        <w:t>,</w:t>
      </w:r>
      <w:r w:rsidRPr="009C2CE9">
        <w:rPr>
          <w:rFonts w:ascii="Verdana" w:hAnsi="Verdana" w:eastAsia="Calibri" w:cs="Arial"/>
          <w:color w:val="000000"/>
        </w:rPr>
        <w:t xml:space="preserve">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C2CE9">
        <w:rPr>
          <w:rFonts w:ascii="Verdana" w:hAnsi="Verdana" w:eastAsia="Calibri" w:cs="Arial"/>
          <w:color w:val="000000"/>
          <w:vertAlign w:val="superscript"/>
        </w:rPr>
        <w:footnoteReference w:id="7"/>
      </w:r>
      <w:r w:rsidRPr="009C2CE9">
        <w:rPr>
          <w:rFonts w:ascii="Verdana" w:hAnsi="Verdana" w:eastAsia="Calibri" w:cs="Arial"/>
          <w:color w:val="000000"/>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rsidRPr="009C2CE9" w:rsidR="001055A9" w:rsidP="001055A9" w:rsidRDefault="001055A9" w14:paraId="63F52076"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lastRenderedPageBreak/>
        <w:t>g) Para su celebración no se requiere la expedición del acto administrativo de justificación de la contratación directa</w:t>
      </w:r>
      <w:r w:rsidRPr="009C2CE9">
        <w:rPr>
          <w:rFonts w:ascii="Verdana" w:hAnsi="Verdana" w:eastAsia="Calibri" w:cs="Arial"/>
          <w:color w:val="000000"/>
          <w:vertAlign w:val="superscript"/>
        </w:rPr>
        <w:footnoteReference w:id="8"/>
      </w:r>
      <w:r w:rsidRPr="009C2CE9">
        <w:rPr>
          <w:rFonts w:ascii="Verdana" w:hAnsi="Verdana" w:eastAsia="Calibri" w:cs="Arial"/>
          <w:color w:val="000000"/>
        </w:rPr>
        <w:t xml:space="preserve">. </w:t>
      </w:r>
    </w:p>
    <w:p w:rsidRPr="009C2CE9" w:rsidR="001055A9" w:rsidP="001055A9" w:rsidRDefault="001055A9" w14:paraId="4DEB355E"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h) Admiten el pacto de cláusulas excepcionales. Es decir, en los contratos de prestación de servicios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C2CE9">
        <w:rPr>
          <w:rFonts w:ascii="Verdana" w:hAnsi="Verdana" w:eastAsia="Calibri" w:cs="Arial"/>
          <w:color w:val="000000"/>
          <w:vertAlign w:val="superscript"/>
        </w:rPr>
        <w:footnoteReference w:id="9"/>
      </w:r>
      <w:r w:rsidRPr="009C2CE9">
        <w:rPr>
          <w:rFonts w:ascii="Verdana" w:hAnsi="Verdana" w:eastAsia="Calibri" w:cs="Arial"/>
          <w:color w:val="000000"/>
        </w:rPr>
        <w:t>.</w:t>
      </w:r>
    </w:p>
    <w:p w:rsidRPr="009C2CE9" w:rsidR="001055A9" w:rsidP="001055A9" w:rsidRDefault="001055A9" w14:paraId="536B4392"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i) En ellos no es obligatoria la liquidación, pues así lo estableció el artículo 217 del Decreto 019 de 2012, que modificó el artículo 60 de la Ley 80 de 1993</w:t>
      </w:r>
      <w:r w:rsidRPr="009C2CE9">
        <w:rPr>
          <w:rFonts w:ascii="Verdana" w:hAnsi="Verdana" w:eastAsia="Calibri" w:cs="Arial"/>
          <w:color w:val="000000"/>
          <w:vertAlign w:val="superscript"/>
        </w:rPr>
        <w:footnoteReference w:id="10"/>
      </w:r>
      <w:r w:rsidRPr="009C2CE9">
        <w:rPr>
          <w:rFonts w:ascii="Verdana" w:hAnsi="Verdana" w:eastAsia="Calibri" w:cs="Arial"/>
          <w:color w:val="000000"/>
        </w:rPr>
        <w:t xml:space="preserve">, </w:t>
      </w:r>
      <w:r w:rsidRPr="009C2CE9">
        <w:rPr>
          <w:rFonts w:ascii="Verdana" w:hAnsi="Verdana" w:eastAsia="Calibri" w:cs="Arial"/>
          <w:color w:val="000000"/>
          <w:lang w:val="es-ES" w:eastAsia="es-ES"/>
        </w:rPr>
        <w:t>refiriéndose expresamente a los contratos de prestación de servicios profesionales y de apoyo a la gestión.</w:t>
      </w:r>
    </w:p>
    <w:p w:rsidRPr="009C2CE9" w:rsidR="001055A9" w:rsidP="001055A9" w:rsidRDefault="001055A9" w14:paraId="550C0B82"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t>j) Para su celebración no se requiere inscripción en el Registro Único de Proponentes (RUP), según lo prevé el artículo 6 de la Ley 1150 de 2007</w:t>
      </w:r>
      <w:r w:rsidRPr="009C2CE9">
        <w:rPr>
          <w:rFonts w:ascii="Verdana" w:hAnsi="Verdana" w:eastAsia="Calibri" w:cs="Arial"/>
          <w:color w:val="000000"/>
          <w:vertAlign w:val="superscript"/>
        </w:rPr>
        <w:footnoteReference w:id="11"/>
      </w:r>
      <w:r w:rsidRPr="009C2CE9">
        <w:rPr>
          <w:rFonts w:ascii="Verdana" w:hAnsi="Verdana" w:eastAsia="Calibri" w:cs="Arial"/>
          <w:color w:val="000000"/>
        </w:rPr>
        <w:t>.</w:t>
      </w:r>
    </w:p>
    <w:p w:rsidRPr="009C2CE9" w:rsidR="001055A9" w:rsidP="001055A9" w:rsidRDefault="001055A9" w14:paraId="4A226167" w14:textId="77777777">
      <w:pPr>
        <w:spacing w:after="120" w:line="276" w:lineRule="auto"/>
        <w:ind w:firstLine="709"/>
        <w:jc w:val="both"/>
        <w:rPr>
          <w:rFonts w:ascii="Verdana" w:hAnsi="Verdana" w:eastAsia="Calibri" w:cs="Arial"/>
          <w:color w:val="000000"/>
        </w:rPr>
      </w:pPr>
      <w:r w:rsidRPr="009C2CE9">
        <w:rPr>
          <w:rFonts w:ascii="Verdana" w:hAnsi="Verdana" w:eastAsia="Calibri" w:cs="Arial"/>
          <w:color w:val="000000"/>
        </w:rPr>
        <w:lastRenderedPageBreak/>
        <w:t>k) En ellos no son necesarias las garantías</w:t>
      </w:r>
      <w:r w:rsidRPr="009C2CE9">
        <w:rPr>
          <w:rFonts w:ascii="Verdana" w:hAnsi="Verdana" w:eastAsia="Calibri" w:cs="Arial"/>
          <w:color w:val="000000"/>
          <w:vertAlign w:val="superscript"/>
        </w:rPr>
        <w:footnoteReference w:id="12"/>
      </w:r>
      <w:r w:rsidRPr="009C2CE9">
        <w:rPr>
          <w:rFonts w:ascii="Verdana" w:hAnsi="Verdana" w:eastAsia="Calibri" w:cs="Arial"/>
          <w:color w:val="000000"/>
        </w:rPr>
        <w:t>.</w:t>
      </w:r>
    </w:p>
    <w:p w:rsidR="001055A9" w:rsidP="001055A9" w:rsidRDefault="001055A9" w14:paraId="23FF8AD4" w14:textId="77777777">
      <w:pPr>
        <w:spacing w:after="0" w:line="276" w:lineRule="auto"/>
        <w:ind w:firstLine="709"/>
        <w:jc w:val="both"/>
        <w:rPr>
          <w:rFonts w:ascii="Verdana" w:hAnsi="Verdana" w:eastAsia="Calibri" w:cs="Arial"/>
          <w:i/>
          <w:color w:val="000000"/>
        </w:rPr>
      </w:pPr>
      <w:r w:rsidRPr="009C2CE9">
        <w:rPr>
          <w:rFonts w:ascii="Verdana" w:hAnsi="Verdana"/>
        </w:rPr>
        <w:t>Lo expuesto constituye</w:t>
      </w:r>
      <w:r w:rsidRPr="009C2CE9">
        <w:rPr>
          <w:rFonts w:ascii="Verdana" w:hAnsi="Verdana" w:eastAsia="Calibri" w:cs="Arial"/>
          <w:color w:val="000000"/>
        </w:rPr>
        <w:t xml:space="preserve"> el marco jurídico de los contratos de prestación de servicios y su aplicación es obligatoria para las entidades sometidas al Estatuto General de Contratación de la Administración Pública establecidas en el artículo 1 de la Ley 80 de 1993, como son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así como las entidades señaladas en el numeral b</w:t>
      </w:r>
      <w:r>
        <w:rPr>
          <w:rFonts w:ascii="Verdana" w:hAnsi="Verdana" w:eastAsia="Calibri" w:cs="Arial"/>
          <w:color w:val="000000"/>
        </w:rPr>
        <w:t>)</w:t>
      </w:r>
      <w:r w:rsidRPr="009C2CE9">
        <w:rPr>
          <w:rFonts w:ascii="Verdana" w:hAnsi="Verdana" w:eastAsia="Calibri" w:cs="Arial"/>
          <w:color w:val="000000"/>
        </w:rPr>
        <w:t xml:space="preserve"> </w:t>
      </w:r>
      <w:r w:rsidRPr="009C2CE9">
        <w:rPr>
          <w:rFonts w:ascii="Verdana" w:hAnsi="Verdana" w:eastAsia="Calibri" w:cs="Arial"/>
          <w:i/>
          <w:iCs/>
          <w:color w:val="000000"/>
        </w:rPr>
        <w:t>ibidem.</w:t>
      </w:r>
    </w:p>
    <w:p w:rsidR="001055A9" w:rsidP="001055A9" w:rsidRDefault="001055A9" w14:paraId="1D7DBBC3" w14:textId="77777777">
      <w:pPr>
        <w:spacing w:after="0" w:line="276" w:lineRule="auto"/>
        <w:ind w:firstLine="709"/>
        <w:jc w:val="both"/>
        <w:rPr>
          <w:rFonts w:ascii="Verdana" w:hAnsi="Verdana" w:eastAsia="Calibri" w:cs="Arial"/>
          <w:color w:val="000000"/>
          <w:lang w:val="es-ES_tradnl" w:eastAsia="es-ES_tradnl"/>
        </w:rPr>
      </w:pPr>
    </w:p>
    <w:p w:rsidRPr="00072FBB" w:rsidR="001055A9" w:rsidP="001055A9" w:rsidRDefault="001055A9" w14:paraId="7B98EC05" w14:textId="77777777">
      <w:pPr>
        <w:autoSpaceDE w:val="0"/>
        <w:autoSpaceDN w:val="0"/>
        <w:adjustRightInd w:val="0"/>
        <w:spacing w:after="120" w:line="276" w:lineRule="auto"/>
        <w:ind w:firstLine="708"/>
        <w:jc w:val="both"/>
        <w:rPr>
          <w:rFonts w:ascii="Verdana" w:hAnsi="Verdana" w:cs="Arial"/>
          <w:i/>
        </w:rPr>
      </w:pPr>
      <w:r w:rsidRPr="00EA4DC1">
        <w:rPr>
          <w:rFonts w:ascii="Verdana" w:hAnsi="Verdana" w:cs="Arial"/>
        </w:rPr>
        <w:t>En lo relativo a</w:t>
      </w:r>
      <w:r>
        <w:rPr>
          <w:rFonts w:ascii="Verdana" w:hAnsi="Verdana" w:cs="Arial"/>
        </w:rPr>
        <w:t xml:space="preserve"> </w:t>
      </w:r>
      <w:r w:rsidRPr="00EA4DC1">
        <w:rPr>
          <w:rFonts w:ascii="Verdana" w:hAnsi="Verdana" w:cs="Arial"/>
        </w:rPr>
        <w:t>l</w:t>
      </w:r>
      <w:r>
        <w:rPr>
          <w:rFonts w:ascii="Verdana" w:hAnsi="Verdana" w:cs="Arial"/>
        </w:rPr>
        <w:t xml:space="preserve">as obligaciones pactadas dentro </w:t>
      </w:r>
      <w:r w:rsidRPr="00EA4DC1">
        <w:rPr>
          <w:rFonts w:ascii="Verdana" w:hAnsi="Verdana" w:cs="Arial"/>
        </w:rPr>
        <w:t>de los contratos de prestación de servicios</w:t>
      </w:r>
      <w:r>
        <w:rPr>
          <w:rFonts w:ascii="Verdana" w:hAnsi="Verdana" w:cs="Arial"/>
        </w:rPr>
        <w:t>,</w:t>
      </w:r>
      <w:r w:rsidRPr="00EA4DC1">
        <w:rPr>
          <w:rFonts w:ascii="Verdana" w:hAnsi="Verdana" w:cs="Arial"/>
        </w:rPr>
        <w:t xml:space="preserve"> debe destacarse lo señalado en el inciso segundo del numeral 3 del artículo 32 de la Ley 80 de 1993, el cual dispone que: </w:t>
      </w:r>
      <w:r w:rsidRPr="00072FBB">
        <w:rPr>
          <w:rFonts w:ascii="Verdana" w:hAnsi="Verdana" w:cs="Arial"/>
          <w:i/>
        </w:rPr>
        <w:t>“Estos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rsidR="001055A9" w:rsidP="001055A9" w:rsidRDefault="001055A9" w14:paraId="34A38742" w14:textId="77777777">
      <w:pPr>
        <w:spacing w:after="120" w:line="276" w:lineRule="auto"/>
        <w:ind w:firstLine="709"/>
        <w:jc w:val="both"/>
        <w:rPr>
          <w:rFonts w:ascii="Verdana" w:hAnsi="Verdana" w:eastAsia="Calibri" w:cs="Arial"/>
          <w:color w:val="000000"/>
        </w:rPr>
      </w:pPr>
      <w:r>
        <w:rPr>
          <w:rFonts w:ascii="Verdana" w:hAnsi="Verdana" w:eastAsia="Calibri" w:cs="Arial"/>
          <w:color w:val="000000"/>
        </w:rPr>
        <w:t>De esta forma,</w:t>
      </w:r>
      <w:r w:rsidRPr="008D2E7A">
        <w:t xml:space="preserve"> </w:t>
      </w:r>
      <w:r>
        <w:rPr>
          <w:rFonts w:ascii="Verdana" w:hAnsi="Verdana"/>
        </w:rPr>
        <w:t>el uso de</w:t>
      </w:r>
      <w:r>
        <w:rPr>
          <w:rFonts w:ascii="Verdana" w:hAnsi="Verdana" w:eastAsia="Calibri" w:cs="Arial"/>
          <w:color w:val="000000"/>
        </w:rPr>
        <w:t xml:space="preserve"> cláusulas amplias o de obligaciones indeterminadas en</w:t>
      </w:r>
      <w:r w:rsidRPr="008D2E7A">
        <w:rPr>
          <w:rFonts w:ascii="Verdana" w:hAnsi="Verdana" w:eastAsia="Calibri" w:cs="Arial"/>
          <w:color w:val="000000"/>
        </w:rPr>
        <w:t xml:space="preserve"> los contratos de prestación de servicios</w:t>
      </w:r>
      <w:r>
        <w:rPr>
          <w:rFonts w:ascii="Verdana" w:hAnsi="Verdana" w:eastAsia="Calibri" w:cs="Arial"/>
          <w:color w:val="000000"/>
        </w:rPr>
        <w:t xml:space="preserve"> debe analizarse</w:t>
      </w:r>
      <w:r w:rsidRPr="008D2E7A">
        <w:rPr>
          <w:rFonts w:ascii="Verdana" w:hAnsi="Verdana" w:eastAsia="Calibri" w:cs="Arial"/>
          <w:color w:val="000000"/>
        </w:rPr>
        <w:t xml:space="preserve"> </w:t>
      </w:r>
      <w:r>
        <w:rPr>
          <w:rFonts w:ascii="Verdana" w:hAnsi="Verdana" w:eastAsia="Calibri" w:cs="Arial"/>
          <w:color w:val="000000"/>
        </w:rPr>
        <w:t xml:space="preserve">de </w:t>
      </w:r>
      <w:r>
        <w:rPr>
          <w:rFonts w:ascii="Verdana" w:hAnsi="Verdana" w:eastAsia="Calibri" w:cs="Arial"/>
          <w:color w:val="000000"/>
        </w:rPr>
        <w:lastRenderedPageBreak/>
        <w:t xml:space="preserve">acuerdo con las características enlistadas anteriormente. Así, los contratos de prestación de servicios solo pueden celebrarse </w:t>
      </w:r>
      <w:r w:rsidRPr="00D14454">
        <w:rPr>
          <w:rFonts w:ascii="Verdana" w:hAnsi="Verdana" w:eastAsia="Calibri" w:cs="Arial"/>
          <w:color w:val="000000"/>
        </w:rPr>
        <w:t>para realizar “actividades relacionadas con la administración o funcionamiento de la entidad”</w:t>
      </w:r>
      <w:r>
        <w:rPr>
          <w:rFonts w:ascii="Verdana" w:hAnsi="Verdana" w:eastAsia="Calibri" w:cs="Arial"/>
          <w:color w:val="000000"/>
        </w:rPr>
        <w:t xml:space="preserve">. En ese sentido, las cláusulas que se incluyan en los contratos deben guardar conexidad con el objeto contractual pactado. </w:t>
      </w:r>
    </w:p>
    <w:p w:rsidRPr="009B4DB8" w:rsidR="001055A9" w:rsidP="001055A9" w:rsidRDefault="001055A9" w14:paraId="0088CA2B" w14:textId="77777777">
      <w:pPr>
        <w:spacing w:after="120" w:line="276" w:lineRule="auto"/>
        <w:ind w:firstLine="709"/>
        <w:jc w:val="both"/>
        <w:rPr>
          <w:rFonts w:ascii="Verdana" w:hAnsi="Verdana" w:eastAsia="Calibri" w:cs="Arial"/>
          <w:color w:val="000000"/>
        </w:rPr>
      </w:pPr>
      <w:r w:rsidRPr="009B4DB8">
        <w:rPr>
          <w:rFonts w:ascii="Verdana" w:hAnsi="Verdana" w:eastAsia="Calibri" w:cs="Arial"/>
          <w:color w:val="000000"/>
        </w:rPr>
        <w:t>En consecuencia, las cláusulas</w:t>
      </w:r>
      <w:r w:rsidRPr="00DF64E0">
        <w:rPr>
          <w:rFonts w:ascii="Verdana" w:hAnsi="Verdana" w:eastAsia="Calibri" w:cs="Arial"/>
          <w:color w:val="000000"/>
        </w:rPr>
        <w:t xml:space="preserve">  que se incluyan en el contrato deben interpretarse con</w:t>
      </w:r>
      <w:r w:rsidRPr="009B4DB8">
        <w:rPr>
          <w:rFonts w:ascii="Verdana" w:hAnsi="Verdana" w:eastAsia="Calibri" w:cs="Arial"/>
          <w:color w:val="000000"/>
        </w:rPr>
        <w:t>forme al objeto contractual definido a partir de los estudios previos, los cuales determinan tanto el propósito de la contratación como la forma en que se espera que el contratista ejecute el objeto y cumpla las obligaciones derivadas del contrato. De este modo, las obligaciones que se incluyan en el contrato, o que señale el supervisor del mismo deben restringirse al objeto del contrato conforme al principio de planeación y a la autonomía de la voluntad de las partes.</w:t>
      </w:r>
    </w:p>
    <w:bookmarkEnd w:id="2"/>
    <w:p w:rsidRPr="000D374A" w:rsidR="001055A9" w:rsidP="001055A9" w:rsidRDefault="001055A9" w14:paraId="1AC08946" w14:textId="77777777">
      <w:pPr>
        <w:spacing w:after="120" w:line="276" w:lineRule="auto"/>
        <w:ind w:firstLine="708"/>
        <w:jc w:val="both"/>
        <w:rPr>
          <w:rFonts w:ascii="Verdana" w:hAnsi="Verdana" w:eastAsia="Arial" w:cs="Arial"/>
        </w:rPr>
      </w:pPr>
      <w:r w:rsidRPr="000D374A">
        <w:rPr>
          <w:rFonts w:ascii="Verdana" w:hAnsi="Verdana" w:eastAsia="Arial" w:cs="Arial"/>
        </w:rPr>
        <w:t>Por consiguiente, los contratistas pueden participar en actividades relacionadas con la elaboración de documentos, apoyo técnico, jurídico o administrativo a los procesos contractuales, revisión de información, acompañamiento a la supervisión, seguimiento de obligaciones y demás actuaciones de apoyo requeridas para la gestión contractual. Sin embargo, no pueden asumir de manera autónoma funciones propias de la entidad estatal, adoptar decisiones reservadas a los servidores públicos, ejercer autoridad administrativa, sustituir integralmente al personal de planta ni desarrollar actividades que desborden el objeto contractual pactado.</w:t>
      </w:r>
    </w:p>
    <w:p w:rsidRPr="000D374A" w:rsidR="001055A9" w:rsidP="001055A9" w:rsidRDefault="001055A9" w14:paraId="675EF801" w14:textId="77777777">
      <w:pPr>
        <w:spacing w:after="120" w:line="276" w:lineRule="auto"/>
        <w:jc w:val="both"/>
        <w:rPr>
          <w:rFonts w:ascii="Verdana" w:hAnsi="Verdana" w:eastAsia="Arial" w:cs="Arial"/>
        </w:rPr>
      </w:pPr>
      <w:r>
        <w:rPr>
          <w:rFonts w:ascii="Verdana" w:hAnsi="Verdana" w:eastAsia="Arial" w:cs="Arial"/>
        </w:rPr>
        <w:t xml:space="preserve">         </w:t>
      </w:r>
      <w:r w:rsidRPr="000D374A">
        <w:rPr>
          <w:rFonts w:ascii="Verdana" w:hAnsi="Verdana" w:eastAsia="Arial" w:cs="Arial"/>
        </w:rPr>
        <w:t>En todo caso, la determinación de las actividades específicas que pueden ser ejecutadas por un contratista exige analizar las condiciones particulares de cada contrato, sus estudios previos, el objeto contratado y las obligaciones pactadas, aspectos cuya valoración corresponde inicialmente a la entidad estatal en ejercicio de su autonomía administrativa y contractual.</w:t>
      </w:r>
    </w:p>
    <w:p w:rsidRPr="00920927" w:rsidR="001055A9" w:rsidP="001055A9" w:rsidRDefault="001055A9" w14:paraId="415D1ED5" w14:textId="77777777">
      <w:pPr>
        <w:spacing w:line="276" w:lineRule="auto"/>
        <w:ind w:firstLine="360"/>
        <w:jc w:val="both"/>
        <w:rPr>
          <w:rFonts w:ascii="Verdana" w:hAnsi="Verdana" w:eastAsia="Times New Roman" w:cs="Arial"/>
          <w:lang w:eastAsia="es-MX"/>
        </w:rPr>
      </w:pPr>
      <w:r>
        <w:rPr>
          <w:rFonts w:ascii="Verdana" w:hAnsi="Verdana" w:eastAsia="Calibri" w:cs="Arial"/>
        </w:rPr>
        <w:t xml:space="preserve">    F</w:t>
      </w:r>
      <w:r w:rsidRPr="006B17A7">
        <w:rPr>
          <w:rFonts w:ascii="Verdana" w:hAnsi="Verdana" w:eastAsia="Calibri" w:cs="Arial"/>
        </w:rPr>
        <w:t xml:space="preserve">inalmente debe advertirse que el análisis requerido para resolver problemas específicos </w:t>
      </w:r>
      <w:r>
        <w:rPr>
          <w:rFonts w:ascii="Verdana" w:hAnsi="Verdana" w:eastAsia="Calibri" w:cs="Arial"/>
        </w:rPr>
        <w:t xml:space="preserve">frente a los requisitos habilitantes en procesos de contratación con sociedad extranjeras </w:t>
      </w:r>
      <w:r w:rsidRPr="006B17A7">
        <w:rPr>
          <w:rFonts w:ascii="Verdana" w:hAnsi="Verdana" w:eastAsia="Calibri"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sidRPr="006B17A7">
        <w:rPr>
          <w:rFonts w:ascii="Verdana" w:hAnsi="Verdana" w:eastAsia="Calibri" w:cs="Arial"/>
        </w:rPr>
        <w:lastRenderedPageBreak/>
        <w:t xml:space="preserve">de adoptar la decisión y, en caso de conflicto, a las autoridades judiciales, fiscales y disciplinarias. </w:t>
      </w:r>
    </w:p>
    <w:p w:rsidR="001055A9" w:rsidP="001055A9" w:rsidRDefault="001055A9" w14:paraId="2C74B915" w14:textId="77777777">
      <w:pPr>
        <w:spacing w:before="120" w:after="0" w:line="276" w:lineRule="auto"/>
        <w:ind w:firstLine="360"/>
        <w:jc w:val="both"/>
        <w:rPr>
          <w:rFonts w:ascii="Verdana" w:hAnsi="Verdana" w:eastAsia="Calibri" w:cs="Arial"/>
        </w:rPr>
      </w:pPr>
      <w:r>
        <w:rPr>
          <w:rFonts w:ascii="Verdana" w:hAnsi="Verdana" w:eastAsia="Calibri" w:cs="Arial"/>
        </w:rPr>
        <w:t xml:space="preserve">    </w:t>
      </w:r>
      <w:r w:rsidRPr="006B17A7">
        <w:rPr>
          <w:rFonts w:ascii="Verdana" w:hAnsi="Verdana" w:eastAsia="Calibri"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rsidRPr="006B17A7" w:rsidR="001055A9" w:rsidP="001055A9" w:rsidRDefault="001055A9" w14:paraId="14ED1D18" w14:textId="77777777">
      <w:pPr>
        <w:spacing w:after="0" w:line="276" w:lineRule="auto"/>
        <w:ind w:firstLine="708"/>
        <w:jc w:val="both"/>
        <w:rPr>
          <w:rFonts w:ascii="Verdana" w:hAnsi="Verdana" w:eastAsia="Calibri" w:cs="Arial"/>
        </w:rPr>
      </w:pPr>
    </w:p>
    <w:p w:rsidRPr="006B17A7" w:rsidR="001055A9" w:rsidP="001055A9" w:rsidRDefault="001055A9" w14:paraId="6781D99D" w14:textId="77777777">
      <w:pPr>
        <w:widowControl w:val="0"/>
        <w:autoSpaceDE w:val="0"/>
        <w:autoSpaceDN w:val="0"/>
        <w:spacing w:before="1" w:after="0" w:line="240" w:lineRule="auto"/>
        <w:outlineLvl w:val="0"/>
        <w:rPr>
          <w:rFonts w:ascii="Arial" w:hAnsi="Arial" w:eastAsia="Arial" w:cs="Arial"/>
          <w:b/>
          <w:bCs/>
          <w:lang w:val="es-ES"/>
        </w:rPr>
      </w:pPr>
      <w:r w:rsidRPr="006B17A7">
        <w:rPr>
          <w:rFonts w:ascii="Arial" w:hAnsi="Arial" w:eastAsia="Arial" w:cs="Arial"/>
          <w:b/>
          <w:bCs/>
          <w:lang w:val="es-ES"/>
        </w:rPr>
        <w:t xml:space="preserve">4. </w:t>
      </w:r>
      <w:r w:rsidRPr="006B17A7">
        <w:rPr>
          <w:rFonts w:ascii="Verdana" w:hAnsi="Verdana" w:eastAsia="Arial" w:cs="Arial"/>
          <w:b/>
          <w:bCs/>
          <w:lang w:val="es-ES"/>
        </w:rPr>
        <w:t>Referencias normativas, jurisprudenciales y otras fuentes:</w:t>
      </w:r>
    </w:p>
    <w:p w:rsidRPr="006B17A7" w:rsidR="001055A9" w:rsidP="001055A9" w:rsidRDefault="001055A9" w14:paraId="7B864934" w14:textId="77777777">
      <w:pPr>
        <w:widowControl w:val="0"/>
        <w:autoSpaceDE w:val="0"/>
        <w:autoSpaceDN w:val="0"/>
        <w:spacing w:after="0" w:line="276" w:lineRule="auto"/>
        <w:jc w:val="both"/>
        <w:rPr>
          <w:rFonts w:ascii="Verdana" w:hAnsi="Verdana" w:eastAsia="Aptos"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6B17A7" w:rsidR="001055A9" w:rsidTr="0076623F" w14:paraId="6AC7B5B4" w14:textId="77777777">
        <w:trPr>
          <w:trHeight w:val="870"/>
        </w:trPr>
        <w:tc>
          <w:tcPr>
            <w:tcW w:w="8647" w:type="dxa"/>
          </w:tcPr>
          <w:p w:rsidRPr="00BB054D" w:rsidR="001055A9" w:rsidP="001055A9" w:rsidRDefault="001055A9" w14:paraId="69B342AE" w14:textId="77777777">
            <w:pPr>
              <w:pStyle w:val="Prrafodelista"/>
              <w:widowControl w:val="0"/>
              <w:numPr>
                <w:ilvl w:val="0"/>
                <w:numId w:val="17"/>
              </w:numPr>
              <w:autoSpaceDE w:val="0"/>
              <w:autoSpaceDN w:val="0"/>
              <w:spacing w:after="120" w:line="276" w:lineRule="auto"/>
              <w:jc w:val="both"/>
              <w:rPr>
                <w:rFonts w:ascii="Verdana" w:hAnsi="Verdana" w:eastAsia="Aptos" w:cs="Arial"/>
              </w:rPr>
            </w:pPr>
            <w:r w:rsidRPr="00BB054D">
              <w:rPr>
                <w:rFonts w:ascii="Verdana" w:hAnsi="Verdana" w:eastAsia="Aptos" w:cs="Arial"/>
              </w:rPr>
              <w:t>Ley 80 de 1993. Artículo 32 y 40.</w:t>
            </w:r>
          </w:p>
          <w:p w:rsidRPr="00BB054D" w:rsidR="001055A9" w:rsidP="001055A9" w:rsidRDefault="001055A9" w14:paraId="1D11F18B" w14:textId="77777777">
            <w:pPr>
              <w:pStyle w:val="Prrafodelista"/>
              <w:widowControl w:val="0"/>
              <w:numPr>
                <w:ilvl w:val="0"/>
                <w:numId w:val="17"/>
              </w:numPr>
              <w:autoSpaceDE w:val="0"/>
              <w:autoSpaceDN w:val="0"/>
              <w:spacing w:after="120" w:line="276" w:lineRule="auto"/>
              <w:jc w:val="both"/>
              <w:rPr>
                <w:rFonts w:ascii="Verdana" w:hAnsi="Verdana" w:eastAsia="Aptos" w:cs="Arial"/>
              </w:rPr>
            </w:pPr>
            <w:r w:rsidRPr="00BB054D">
              <w:rPr>
                <w:rFonts w:ascii="Verdana" w:hAnsi="Verdana" w:eastAsia="Aptos" w:cs="Arial"/>
              </w:rPr>
              <w:t>Ley 1150 de 2007. Artículo 2.</w:t>
            </w:r>
          </w:p>
          <w:p w:rsidRPr="00BB054D" w:rsidR="001055A9" w:rsidP="001055A9" w:rsidRDefault="001055A9" w14:paraId="546C1D4A" w14:textId="77777777">
            <w:pPr>
              <w:pStyle w:val="Prrafodelista"/>
              <w:widowControl w:val="0"/>
              <w:numPr>
                <w:ilvl w:val="0"/>
                <w:numId w:val="17"/>
              </w:numPr>
              <w:autoSpaceDE w:val="0"/>
              <w:autoSpaceDN w:val="0"/>
              <w:spacing w:after="120" w:line="276" w:lineRule="auto"/>
              <w:jc w:val="both"/>
              <w:rPr>
                <w:rFonts w:ascii="Verdana" w:hAnsi="Verdana" w:eastAsia="Aptos" w:cs="Arial"/>
              </w:rPr>
            </w:pPr>
            <w:r w:rsidRPr="00BB054D">
              <w:rPr>
                <w:rFonts w:ascii="Verdana" w:hAnsi="Verdana" w:eastAsia="Aptos" w:cs="Arial"/>
              </w:rPr>
              <w:t>Ley 1437 de 2011. Artículo 91.</w:t>
            </w:r>
          </w:p>
          <w:p w:rsidRPr="00BB054D" w:rsidR="001055A9" w:rsidP="001055A9" w:rsidRDefault="001055A9" w14:paraId="52AC77C6" w14:textId="77777777">
            <w:pPr>
              <w:pStyle w:val="Prrafodelista"/>
              <w:widowControl w:val="0"/>
              <w:numPr>
                <w:ilvl w:val="0"/>
                <w:numId w:val="17"/>
              </w:numPr>
              <w:autoSpaceDE w:val="0"/>
              <w:autoSpaceDN w:val="0"/>
              <w:spacing w:after="120" w:line="276" w:lineRule="auto"/>
              <w:jc w:val="both"/>
              <w:rPr>
                <w:rFonts w:ascii="Verdana" w:hAnsi="Verdana" w:eastAsia="Aptos" w:cs="Arial"/>
              </w:rPr>
            </w:pPr>
            <w:r w:rsidRPr="00BB054D">
              <w:rPr>
                <w:rFonts w:ascii="Verdana" w:hAnsi="Verdana" w:eastAsia="Aptos" w:cs="Arial"/>
              </w:rPr>
              <w:t>Ley 1955 de 2015. Artículo 244.</w:t>
            </w:r>
          </w:p>
          <w:p w:rsidRPr="00BB054D" w:rsidR="001055A9" w:rsidP="001055A9" w:rsidRDefault="001055A9" w14:paraId="3D7BC33E" w14:textId="77777777">
            <w:pPr>
              <w:pStyle w:val="Prrafodelista"/>
              <w:widowControl w:val="0"/>
              <w:numPr>
                <w:ilvl w:val="0"/>
                <w:numId w:val="17"/>
              </w:numPr>
              <w:autoSpaceDE w:val="0"/>
              <w:autoSpaceDN w:val="0"/>
              <w:spacing w:after="120" w:line="276" w:lineRule="auto"/>
              <w:jc w:val="both"/>
              <w:rPr>
                <w:rFonts w:ascii="Verdana" w:hAnsi="Verdana" w:eastAsia="Aptos" w:cs="Arial"/>
              </w:rPr>
            </w:pPr>
            <w:r w:rsidRPr="00BB054D">
              <w:rPr>
                <w:rFonts w:ascii="Verdana" w:hAnsi="Verdana" w:eastAsia="Aptos" w:cs="Arial"/>
              </w:rPr>
              <w:t>Decreto 1082 de 2015. Artículo 2.2.1.2.1.4.1, 2.2.1.2.1.4.5, 2.2.1.2.1.4.9.</w:t>
            </w:r>
          </w:p>
          <w:p w:rsidRPr="00BB054D" w:rsidR="001055A9" w:rsidP="001055A9" w:rsidRDefault="001055A9" w14:paraId="4FFDF2F8" w14:textId="77777777">
            <w:pPr>
              <w:pStyle w:val="Prrafodelista"/>
              <w:widowControl w:val="0"/>
              <w:numPr>
                <w:ilvl w:val="0"/>
                <w:numId w:val="17"/>
              </w:numPr>
              <w:autoSpaceDE w:val="0"/>
              <w:autoSpaceDN w:val="0"/>
              <w:spacing w:after="120" w:line="276" w:lineRule="auto"/>
              <w:jc w:val="both"/>
              <w:rPr>
                <w:rFonts w:ascii="Verdana" w:hAnsi="Verdana" w:eastAsia="Aptos" w:cs="Arial"/>
              </w:rPr>
            </w:pPr>
            <w:r w:rsidRPr="00BB054D">
              <w:rPr>
                <w:rFonts w:ascii="Verdana" w:hAnsi="Verdana" w:eastAsia="Aptos" w:cs="Arial"/>
              </w:rPr>
              <w:t>Corte Constitucional. Sentencia C-154 de 1997. Magistrado Ponente: Hernando Herrera Vergara.</w:t>
            </w:r>
          </w:p>
          <w:p w:rsidRPr="00BB054D" w:rsidR="001055A9" w:rsidP="001055A9" w:rsidRDefault="001055A9" w14:paraId="5C5EFEF1" w14:textId="77777777">
            <w:pPr>
              <w:pStyle w:val="Prrafodelista"/>
              <w:widowControl w:val="0"/>
              <w:numPr>
                <w:ilvl w:val="0"/>
                <w:numId w:val="17"/>
              </w:numPr>
              <w:autoSpaceDE w:val="0"/>
              <w:autoSpaceDN w:val="0"/>
              <w:spacing w:after="120" w:line="276" w:lineRule="auto"/>
              <w:jc w:val="both"/>
              <w:rPr>
                <w:rFonts w:ascii="Verdana" w:hAnsi="Verdana" w:eastAsia="Aptos" w:cs="Arial"/>
              </w:rPr>
            </w:pPr>
            <w:r w:rsidRPr="00BB054D">
              <w:rPr>
                <w:rFonts w:ascii="Verdana" w:hAnsi="Verdana" w:eastAsia="Aptos" w:cs="Arial"/>
              </w:rPr>
              <w:t xml:space="preserve">Consejo de Estado. Sección Tercera. Subsección C. Sentencia del 2 de diciembre de 2013. </w:t>
            </w:r>
            <w:proofErr w:type="spellStart"/>
            <w:r w:rsidRPr="00BB054D">
              <w:rPr>
                <w:rFonts w:ascii="Verdana" w:hAnsi="Verdana" w:eastAsia="Aptos" w:cs="Arial"/>
              </w:rPr>
              <w:t>Exp</w:t>
            </w:r>
            <w:proofErr w:type="spellEnd"/>
            <w:r w:rsidRPr="00BB054D">
              <w:rPr>
                <w:rFonts w:ascii="Verdana" w:hAnsi="Verdana" w:eastAsia="Aptos" w:cs="Arial"/>
              </w:rPr>
              <w:t>. 41719. Consejero Ponente: Jaime Orlando Santofimio Gamboa.</w:t>
            </w:r>
          </w:p>
          <w:p w:rsidRPr="006B17A7" w:rsidR="001055A9" w:rsidP="001055A9" w:rsidRDefault="001055A9" w14:paraId="43673E24" w14:textId="77777777">
            <w:pPr>
              <w:pStyle w:val="Prrafodelista"/>
              <w:widowControl w:val="0"/>
              <w:numPr>
                <w:ilvl w:val="0"/>
                <w:numId w:val="17"/>
              </w:numPr>
              <w:autoSpaceDE w:val="0"/>
              <w:autoSpaceDN w:val="0"/>
              <w:spacing w:after="120" w:line="276" w:lineRule="auto"/>
              <w:contextualSpacing w:val="0"/>
              <w:jc w:val="both"/>
              <w:rPr>
                <w:rFonts w:ascii="Verdana" w:hAnsi="Verdana" w:eastAsia="Aptos" w:cs="Arial"/>
              </w:rPr>
            </w:pPr>
            <w:r w:rsidRPr="00BB054D">
              <w:rPr>
                <w:rFonts w:ascii="Verdana" w:hAnsi="Verdana" w:eastAsia="Aptos" w:cs="Arial"/>
              </w:rPr>
              <w:t>Consejo de Estado. Sección Segunda. Sentencia de Unificación Jurisprudencial SUJ-025-CE-S2-2021. Radicado (1317-2016).</w:t>
            </w:r>
          </w:p>
        </w:tc>
      </w:tr>
    </w:tbl>
    <w:p w:rsidRPr="006B17A7" w:rsidR="001055A9" w:rsidP="001055A9" w:rsidRDefault="001055A9" w14:paraId="0A92B74D" w14:textId="77777777">
      <w:pPr>
        <w:widowControl w:val="0"/>
        <w:autoSpaceDE w:val="0"/>
        <w:autoSpaceDN w:val="0"/>
        <w:spacing w:after="0" w:line="276" w:lineRule="auto"/>
        <w:jc w:val="both"/>
        <w:rPr>
          <w:rFonts w:ascii="Verdana" w:hAnsi="Verdana" w:eastAsia="Aptos" w:cs="Arial"/>
        </w:rPr>
      </w:pPr>
    </w:p>
    <w:p w:rsidRPr="006B17A7" w:rsidR="001055A9" w:rsidP="001055A9" w:rsidRDefault="001055A9" w14:paraId="398EB0A8" w14:textId="77777777">
      <w:pPr>
        <w:widowControl w:val="0"/>
        <w:autoSpaceDE w:val="0"/>
        <w:autoSpaceDN w:val="0"/>
        <w:spacing w:before="1" w:after="0" w:line="240" w:lineRule="auto"/>
        <w:outlineLvl w:val="0"/>
        <w:rPr>
          <w:rFonts w:ascii="Verdana" w:hAnsi="Verdana" w:eastAsia="Arial" w:cs="Arial"/>
          <w:b/>
          <w:bCs/>
          <w:lang w:val="es-ES"/>
        </w:rPr>
      </w:pPr>
      <w:r w:rsidRPr="006B17A7">
        <w:rPr>
          <w:rFonts w:ascii="Verdana" w:hAnsi="Verdana" w:eastAsia="Arial" w:cs="Arial"/>
          <w:b/>
          <w:bCs/>
          <w:lang w:val="es-ES"/>
        </w:rPr>
        <w:t>5. Doctrina de la Agencia Nacional de Contratación Pública:</w:t>
      </w:r>
    </w:p>
    <w:p w:rsidRPr="006B17A7" w:rsidR="001055A9" w:rsidP="001055A9" w:rsidRDefault="001055A9" w14:paraId="321BF2E6" w14:textId="77777777">
      <w:pPr>
        <w:widowControl w:val="0"/>
        <w:autoSpaceDE w:val="0"/>
        <w:autoSpaceDN w:val="0"/>
        <w:spacing w:after="0" w:line="276" w:lineRule="auto"/>
        <w:jc w:val="both"/>
        <w:rPr>
          <w:rFonts w:ascii="Verdana" w:hAnsi="Verdana" w:eastAsia="Aptos" w:cs="Arial"/>
        </w:rPr>
      </w:pPr>
    </w:p>
    <w:p w:rsidRPr="00ED0098" w:rsidR="001055A9" w:rsidP="001055A9" w:rsidRDefault="001055A9" w14:paraId="75424189" w14:textId="77777777">
      <w:pPr>
        <w:widowControl w:val="0"/>
        <w:autoSpaceDE w:val="0"/>
        <w:autoSpaceDN w:val="0"/>
        <w:spacing w:after="0" w:line="276" w:lineRule="auto"/>
        <w:jc w:val="both"/>
        <w:rPr>
          <w:rStyle w:val="normaltextrun"/>
          <w:rFonts w:ascii="Verdana" w:hAnsi="Verdana" w:cs="Arial"/>
          <w:shd w:val="clear" w:color="auto" w:fill="FFFFFF"/>
        </w:rPr>
      </w:pPr>
      <w:r w:rsidRPr="006903C3">
        <w:rPr>
          <w:rFonts w:ascii="Verdana" w:hAnsi="Verdana" w:eastAsia="Calibri" w:cs="Arial"/>
          <w:lang w:val="es-ES"/>
        </w:rPr>
        <w:t xml:space="preserve">La Agencia Nacional de Contratación Pública – Colombia Compra Eficiente se ha referido </w:t>
      </w:r>
      <w:r w:rsidRPr="006903C3">
        <w:rPr>
          <w:rFonts w:ascii="Verdana" w:hAnsi="Verdana" w:cs="Arial"/>
          <w:shd w:val="clear" w:color="auto" w:fill="FFFFFF"/>
          <w:lang w:val="es-ES"/>
        </w:rPr>
        <w:t xml:space="preserve">sobre </w:t>
      </w:r>
      <w:r w:rsidRPr="009C2CE9">
        <w:rPr>
          <w:rFonts w:ascii="Verdana" w:hAnsi="Verdana" w:cs="Arial"/>
          <w:shd w:val="clear" w:color="auto" w:fill="FFFFFF"/>
          <w:lang w:val="es-ES"/>
        </w:rPr>
        <w:t xml:space="preserve">los contratos de prestación de servicios, así como los requisitos para su </w:t>
      </w:r>
      <w:r w:rsidRPr="004E5317">
        <w:rPr>
          <w:rFonts w:ascii="Verdana" w:hAnsi="Verdana" w:cs="Arial"/>
          <w:shd w:val="clear" w:color="auto" w:fill="FFFFFF"/>
          <w:lang w:val="es-ES"/>
        </w:rPr>
        <w:t xml:space="preserve">celebración en los conceptos con radicado C-414 </w:t>
      </w:r>
      <w:r w:rsidRPr="009C2CE9">
        <w:rPr>
          <w:rFonts w:ascii="Verdana" w:hAnsi="Verdana" w:cs="Arial"/>
          <w:shd w:val="clear" w:color="auto" w:fill="FFFFFF"/>
          <w:lang w:val="es-ES"/>
        </w:rPr>
        <w:t>del 30 de junio de 2020,C-661 del 17 de noviembre de 2020 C−685 del 18 de diciembre de 2020, C-004 del 12 de febrero de 2021, C</w:t>
      </w:r>
      <w:r>
        <w:rPr>
          <w:rFonts w:ascii="Verdana" w:hAnsi="Verdana" w:cs="Arial"/>
          <w:shd w:val="clear" w:color="auto" w:fill="FFFFFF"/>
          <w:lang w:val="es-ES"/>
        </w:rPr>
        <w:t>-</w:t>
      </w:r>
      <w:r w:rsidRPr="009C2CE9">
        <w:rPr>
          <w:rFonts w:ascii="Verdana" w:hAnsi="Verdana" w:cs="Arial"/>
          <w:shd w:val="clear" w:color="auto" w:fill="FFFFFF"/>
          <w:lang w:val="es-ES"/>
        </w:rPr>
        <w:t>106 del 7 de abril de 2021, C-181 del 07 de abril de 2022, C-214 del 22 de abril de 2022</w:t>
      </w:r>
      <w:r>
        <w:rPr>
          <w:rFonts w:ascii="Verdana" w:hAnsi="Verdana" w:cs="Arial"/>
          <w:shd w:val="clear" w:color="auto" w:fill="FFFFFF"/>
          <w:lang w:val="es-ES"/>
        </w:rPr>
        <w:t xml:space="preserve">, </w:t>
      </w:r>
      <w:r w:rsidRPr="009C2CE9">
        <w:rPr>
          <w:rFonts w:ascii="Verdana" w:hAnsi="Verdana" w:cs="Arial"/>
          <w:shd w:val="clear" w:color="auto" w:fill="FFFFFF"/>
          <w:lang w:val="es-ES"/>
        </w:rPr>
        <w:t xml:space="preserve">C-491 de 01 de agosto de 2022, </w:t>
      </w:r>
      <w:r w:rsidRPr="009C2CE9">
        <w:rPr>
          <w:rFonts w:ascii="Verdana" w:hAnsi="Verdana" w:cs="Arial"/>
          <w:shd w:val="clear" w:color="auto" w:fill="FFFFFF"/>
          <w:lang w:val="es-ES"/>
        </w:rPr>
        <w:lastRenderedPageBreak/>
        <w:t>C-008 del 20 de febrero de 2023, C-009 del 20 de febrero de 2023, C-286 del 2023, C-351 del 30 de agosto de 2024</w:t>
      </w:r>
      <w:r>
        <w:rPr>
          <w:rFonts w:ascii="Verdana" w:hAnsi="Verdana" w:cs="Arial"/>
          <w:shd w:val="clear" w:color="auto" w:fill="FFFFFF"/>
          <w:lang w:val="es-ES"/>
        </w:rPr>
        <w:t xml:space="preserve">, </w:t>
      </w:r>
      <w:r w:rsidRPr="009C2CE9">
        <w:rPr>
          <w:rFonts w:ascii="Verdana" w:hAnsi="Verdana" w:cs="Arial"/>
          <w:shd w:val="clear" w:color="auto" w:fill="FFFFFF"/>
          <w:lang w:val="es-ES"/>
        </w:rPr>
        <w:t xml:space="preserve">C-372 del 26 de Agosto 2024, C-904 del 9 de diciembre de 2024 </w:t>
      </w:r>
      <w:r>
        <w:rPr>
          <w:rFonts w:ascii="Verdana" w:hAnsi="Verdana" w:cs="Arial"/>
          <w:shd w:val="clear" w:color="auto" w:fill="FFFFFF"/>
          <w:lang w:val="es-ES"/>
        </w:rPr>
        <w:t xml:space="preserve">, </w:t>
      </w:r>
      <w:r w:rsidRPr="009C2CE9">
        <w:rPr>
          <w:rFonts w:ascii="Verdana" w:hAnsi="Verdana" w:cs="Arial"/>
          <w:shd w:val="clear" w:color="auto" w:fill="FFFFFF"/>
          <w:lang w:val="es-ES"/>
        </w:rPr>
        <w:t>C-363 del 15 de abril de 2025</w:t>
      </w:r>
      <w:r>
        <w:rPr>
          <w:rFonts w:ascii="Verdana" w:hAnsi="Verdana" w:cs="Arial"/>
          <w:shd w:val="clear" w:color="auto" w:fill="FFFFFF"/>
          <w:lang w:val="es-ES"/>
        </w:rPr>
        <w:t xml:space="preserve">, C-652 del 04 de julio de 2025 y C-706 del 15 de julio de 2025, </w:t>
      </w:r>
      <w:r w:rsidRPr="00ED7C2F">
        <w:rPr>
          <w:rFonts w:ascii="Verdana" w:hAnsi="Verdana" w:cs="Arial"/>
          <w:shd w:val="clear" w:color="auto" w:fill="FFFFFF"/>
          <w:lang w:val="es-ES"/>
        </w:rPr>
        <w:t>C-1838 de</w:t>
      </w:r>
      <w:r>
        <w:rPr>
          <w:rFonts w:ascii="Verdana" w:hAnsi="Verdana" w:cs="Arial"/>
          <w:shd w:val="clear" w:color="auto" w:fill="FFFFFF"/>
          <w:lang w:val="es-ES"/>
        </w:rPr>
        <w:t>l 23 de enero de</w:t>
      </w:r>
      <w:r w:rsidRPr="00ED7C2F">
        <w:rPr>
          <w:rFonts w:ascii="Verdana" w:hAnsi="Verdana" w:cs="Arial"/>
          <w:shd w:val="clear" w:color="auto" w:fill="FFFFFF"/>
          <w:lang w:val="es-ES"/>
        </w:rPr>
        <w:t xml:space="preserve"> 2026</w:t>
      </w:r>
      <w:r>
        <w:rPr>
          <w:rFonts w:ascii="Verdana" w:hAnsi="Verdana" w:cs="Arial"/>
          <w:shd w:val="clear" w:color="auto" w:fill="FFFFFF"/>
          <w:lang w:val="es-ES"/>
        </w:rPr>
        <w:t xml:space="preserve"> y C-188 del 20 de febrero de 2026, </w:t>
      </w:r>
      <w:r w:rsidRPr="009C2CE9">
        <w:rPr>
          <w:rFonts w:ascii="Verdana" w:hAnsi="Verdana" w:cs="Arial"/>
          <w:shd w:val="clear" w:color="auto" w:fill="FFFFFF"/>
          <w:lang w:val="es-ES"/>
        </w:rPr>
        <w:t>entre otros</w:t>
      </w:r>
      <w:r w:rsidRPr="009C2CE9">
        <w:rPr>
          <w:rFonts w:ascii="Verdana" w:hAnsi="Verdana" w:eastAsia="Aptos" w:cs="Segoe UI"/>
          <w:kern w:val="2"/>
          <w14:ligatures w14:val="standardContextual"/>
        </w:rPr>
        <w:t>.</w:t>
      </w:r>
      <w:r>
        <w:rPr>
          <w:rFonts w:ascii="Verdana" w:hAnsi="Verdana" w:eastAsia="Calibri"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w:history="1" r:id="rId12">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rsidRPr="00115E3D" w:rsidR="001055A9" w:rsidP="001055A9" w:rsidRDefault="001055A9" w14:paraId="09D918C3" w14:textId="7777777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rsidRPr="009A385A" w:rsidR="001055A9" w:rsidP="001055A9" w:rsidRDefault="001055A9" w14:paraId="6897AB35" w14:textId="77777777">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w:tgtFrame="_new" w:history="1" r:id="rId13">
        <w:r w:rsidRPr="009A385A">
          <w:rPr>
            <w:rStyle w:val="Hipervnculo"/>
            <w:rFonts w:ascii="Verdana" w:hAnsi="Verdana"/>
          </w:rPr>
          <w:t>https://formacionvirtual.colombiacompra.gov.co/mod/page/view.php?id=3718</w:t>
        </w:r>
      </w:hyperlink>
    </w:p>
    <w:p w:rsidR="001055A9" w:rsidP="001055A9" w:rsidRDefault="001055A9" w14:paraId="1D8FFD34" w14:textId="77777777">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w:tgtFrame="_new" w:history="1" r:id="rId14">
        <w:r w:rsidRPr="00635F16">
          <w:rPr>
            <w:rStyle w:val="Hipervnculo"/>
            <w:rFonts w:ascii="Verdana" w:hAnsi="Verdana"/>
          </w:rPr>
          <w:t>https://www.colombiacompra.gov.co/normativa-y-relatoria/documentos-tipo</w:t>
        </w:r>
      </w:hyperlink>
    </w:p>
    <w:p w:rsidRPr="009A385A" w:rsidR="001055A9" w:rsidP="001055A9" w:rsidRDefault="001055A9" w14:paraId="37F16B6A" w14:textId="77777777">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w:tgtFrame="_new" w:history="1" r:id="rId15">
        <w:r w:rsidRPr="009A385A">
          <w:rPr>
            <w:rStyle w:val="Hipervnculo"/>
            <w:rFonts w:ascii="Verdana" w:hAnsi="Verdana"/>
          </w:rPr>
          <w:t>https://www.colombiacompra.gov.co/archivos/manual/guia-para-la-</w:t>
        </w:r>
        <w:r w:rsidRPr="009A385A">
          <w:rPr>
            <w:rStyle w:val="Hipervnculo"/>
            <w:rFonts w:ascii="Verdana" w:hAnsi="Verdana"/>
          </w:rPr>
          <w:lastRenderedPageBreak/>
          <w:t>comprension-e-implementacion-de-los-documentos-tipo-de-obra-publica-de-infraestructura-de-transporte-bajo-las-diferentes-modalidades-de-contratacion-vigentes</w:t>
        </w:r>
      </w:hyperlink>
    </w:p>
    <w:p w:rsidRPr="00115E3D" w:rsidR="001055A9" w:rsidP="001055A9" w:rsidRDefault="001055A9" w14:paraId="43B28BD6" w14:textId="77777777">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rsidRPr="00115E3D" w:rsidR="001055A9" w:rsidP="001055A9" w:rsidRDefault="001055A9" w14:paraId="33AB71C7" w14:textId="77777777">
      <w:pPr>
        <w:spacing w:after="0" w:line="240" w:lineRule="auto"/>
        <w:jc w:val="both"/>
        <w:rPr>
          <w:rFonts w:ascii="Verdana" w:hAnsi="Verdana"/>
          <w:color w:val="000000" w:themeColor="text1"/>
        </w:rPr>
      </w:pPr>
    </w:p>
    <w:p w:rsidRPr="00115E3D" w:rsidR="001055A9" w:rsidP="001055A9" w:rsidRDefault="001055A9" w14:paraId="53389B62"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rsidRPr="00115E3D" w:rsidR="001055A9" w:rsidP="001055A9" w:rsidRDefault="001055A9" w14:paraId="3DADF25E"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rsidRPr="00115E3D" w:rsidR="001055A9" w:rsidP="001055A9" w:rsidRDefault="001055A9" w14:paraId="5537CBFA"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rsidRPr="00115E3D" w:rsidR="001055A9" w:rsidP="001055A9" w:rsidRDefault="001055A9" w14:paraId="589908C4" w14:textId="77777777">
      <w:pPr>
        <w:widowControl w:val="0"/>
        <w:autoSpaceDE w:val="0"/>
        <w:autoSpaceDN w:val="0"/>
        <w:spacing w:after="0" w:line="276" w:lineRule="auto"/>
        <w:jc w:val="both"/>
        <w:rPr>
          <w:rFonts w:ascii="Verdana" w:hAnsi="Verdana" w:cs="Arial"/>
          <w:color w:val="000000" w:themeColor="text1"/>
        </w:rPr>
      </w:pPr>
    </w:p>
    <w:p w:rsidRPr="00115E3D" w:rsidR="001055A9" w:rsidP="001055A9" w:rsidRDefault="001055A9" w14:paraId="01F223F8" w14:textId="77777777">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rsidR="001055A9" w:rsidP="001055A9" w:rsidRDefault="001055A9" w14:paraId="415A8FA0" w14:textId="77777777">
      <w:pPr>
        <w:spacing w:after="0" w:line="240" w:lineRule="auto"/>
        <w:rPr>
          <w:rFonts w:ascii="Verdana" w:hAnsi="Verdana" w:eastAsia="Times New Roman" w:cs="Arial"/>
          <w:color w:val="000000" w:themeColor="text1"/>
          <w:lang w:eastAsia="es-CO"/>
        </w:rPr>
      </w:pPr>
    </w:p>
    <w:p w:rsidR="001055A9" w:rsidP="001055A9" w:rsidRDefault="001055A9" w14:paraId="4A44BF40" w14:textId="77777777">
      <w:pPr>
        <w:spacing w:after="0" w:line="240" w:lineRule="auto"/>
        <w:rPr>
          <w:rFonts w:ascii="Verdana" w:hAnsi="Verdana" w:eastAsia="Times New Roman" w:cs="Arial"/>
          <w:color w:val="000000" w:themeColor="text1"/>
          <w:lang w:eastAsia="es-CO"/>
        </w:rPr>
      </w:pPr>
    </w:p>
    <w:p w:rsidRPr="00115E3D" w:rsidR="001055A9" w:rsidP="001055A9" w:rsidRDefault="001055A9" w14:paraId="4A69C7BA" w14:textId="77777777">
      <w:pPr>
        <w:spacing w:after="0" w:line="240" w:lineRule="auto"/>
        <w:rPr>
          <w:rFonts w:ascii="Verdana" w:hAnsi="Verdana" w:cs="Arial"/>
          <w:color w:val="000000" w:themeColor="text1"/>
          <w:lang w:eastAsia="es-CO"/>
        </w:rPr>
      </w:pPr>
      <w:r w:rsidRPr="00115E3D">
        <w:rPr>
          <w:rFonts w:ascii="Verdana" w:hAnsi="Verdana" w:eastAsia="Times New Roman" w:cs="Arial"/>
          <w:color w:val="000000" w:themeColor="text1"/>
          <w:lang w:eastAsia="es-CO"/>
        </w:rPr>
        <w:t>Atentamente,</w:t>
      </w:r>
      <w:r w:rsidRPr="00115E3D">
        <w:rPr>
          <w:rFonts w:ascii="Verdana" w:hAnsi="Verdana" w:cs="Arial"/>
          <w:color w:val="000000" w:themeColor="text1"/>
          <w:lang w:eastAsia="es-CO"/>
        </w:rPr>
        <w:t xml:space="preserve"> </w:t>
      </w:r>
    </w:p>
    <w:p w:rsidR="00795B6F" w:rsidP="001055A9" w:rsidRDefault="00795B6F" w14:paraId="51E50A89" w14:textId="77777777">
      <w:pPr>
        <w:spacing w:line="276" w:lineRule="auto"/>
        <w:jc w:val="center"/>
        <w:rPr>
          <w:noProof/>
        </w:rPr>
      </w:pPr>
    </w:p>
    <w:p w:rsidR="00795B6F" w:rsidP="001055A9" w:rsidRDefault="00795B6F" w14:paraId="45AD8BAC" w14:textId="772B195A">
      <w:pPr>
        <w:spacing w:line="276" w:lineRule="auto"/>
        <w:jc w:val="center"/>
        <w:rPr>
          <w:noProof/>
        </w:rPr>
      </w:pPr>
      <w:r>
        <w:rPr>
          <w:noProof/>
        </w:rPr>
        <w:drawing>
          <wp:inline distT="0" distB="0" distL="0" distR="0" wp14:anchorId="1F2D7497" wp14:editId="5F20792F">
            <wp:extent cx="3221355" cy="1382872"/>
            <wp:effectExtent l="0" t="0" r="0" b="8255"/>
            <wp:docPr id="160448622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26235" cy="1384967"/>
                    </a:xfrm>
                    <a:prstGeom prst="rect">
                      <a:avLst/>
                    </a:prstGeom>
                    <a:noFill/>
                    <a:ln>
                      <a:noFill/>
                    </a:ln>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115E3D" w:rsidR="001055A9" w:rsidTr="0076623F" w14:paraId="1DC66139" w14:textId="77777777">
        <w:trPr>
          <w:trHeight w:val="315"/>
        </w:trPr>
        <w:tc>
          <w:tcPr>
            <w:tcW w:w="893" w:type="dxa"/>
            <w:vAlign w:val="center"/>
            <w:hideMark/>
          </w:tcPr>
          <w:p w:rsidRPr="00115E3D" w:rsidR="001055A9" w:rsidP="0076623F" w:rsidRDefault="001055A9" w14:paraId="3AB5A698"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115E3D" w:rsidR="001055A9" w:rsidP="0076623F" w:rsidRDefault="001055A9" w14:paraId="65C4E697" w14:textId="77777777">
            <w:pPr>
              <w:contextualSpacing/>
              <w:rPr>
                <w:rFonts w:ascii="Verdana" w:hAnsi="Verdana" w:eastAsia="Arial" w:cs="Arial"/>
                <w:color w:val="000000" w:themeColor="text1"/>
                <w:sz w:val="16"/>
                <w:szCs w:val="16"/>
              </w:rPr>
            </w:pPr>
            <w:r>
              <w:rPr>
                <w:rFonts w:ascii="Verdana" w:hAnsi="Verdana" w:eastAsia="Arial" w:cs="Arial"/>
                <w:color w:val="000000" w:themeColor="text1"/>
                <w:sz w:val="16"/>
                <w:szCs w:val="16"/>
              </w:rPr>
              <w:t>Daniel Eduardo Rojas Poveda</w:t>
            </w:r>
          </w:p>
          <w:p w:rsidRPr="00115E3D" w:rsidR="001055A9" w:rsidP="0076623F" w:rsidRDefault="001055A9" w14:paraId="4DCF1E33" w14:textId="77777777">
            <w:pPr>
              <w:contextualSpacing/>
              <w:rPr>
                <w:rFonts w:ascii="Verdana" w:hAnsi="Verdana" w:eastAsia="Arial" w:cs="Arial"/>
                <w:color w:val="000000" w:themeColor="text1"/>
                <w:sz w:val="16"/>
                <w:szCs w:val="16"/>
              </w:rPr>
            </w:pPr>
            <w:r w:rsidRPr="00AB5151">
              <w:rPr>
                <w:rStyle w:val="normaltextrun"/>
                <w:rFonts w:ascii="Verdana" w:hAnsi="Verdana" w:eastAsia="Arial" w:cs="Times New Roman"/>
                <w:color w:val="000000" w:themeColor="text1"/>
                <w:sz w:val="16"/>
                <w:szCs w:val="16"/>
              </w:rPr>
              <w:t>C</w:t>
            </w:r>
            <w:r w:rsidRPr="00AB5151">
              <w:rPr>
                <w:rStyle w:val="normaltextrun"/>
                <w:rFonts w:ascii="Verdana" w:hAnsi="Verdana" w:eastAsia="Arial" w:cs="Times New Roman"/>
                <w:sz w:val="16"/>
                <w:szCs w:val="16"/>
              </w:rPr>
              <w:t xml:space="preserve">ontratista </w:t>
            </w:r>
            <w:r w:rsidRPr="00115E3D">
              <w:rPr>
                <w:rStyle w:val="normaltextrun"/>
                <w:rFonts w:ascii="Verdana" w:hAnsi="Verdana" w:eastAsia="Arial" w:cs="Arial"/>
                <w:color w:val="000000" w:themeColor="text1"/>
                <w:sz w:val="16"/>
                <w:szCs w:val="16"/>
              </w:rPr>
              <w:t>de la Subdirección de Gestión Contractual</w:t>
            </w:r>
          </w:p>
        </w:tc>
      </w:tr>
      <w:tr w:rsidRPr="00115E3D" w:rsidR="001055A9" w:rsidTr="0076623F" w14:paraId="360ABBF1" w14:textId="77777777">
        <w:trPr>
          <w:trHeight w:val="330"/>
        </w:trPr>
        <w:tc>
          <w:tcPr>
            <w:tcW w:w="893" w:type="dxa"/>
            <w:vAlign w:val="center"/>
            <w:hideMark/>
          </w:tcPr>
          <w:p w:rsidRPr="00115E3D" w:rsidR="001055A9" w:rsidP="0076623F" w:rsidRDefault="001055A9" w14:paraId="5E8C8140"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001055A9" w:rsidP="0076623F" w:rsidRDefault="001055A9" w14:paraId="4F476145"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rsidRPr="00115E3D" w:rsidR="001055A9" w:rsidP="0076623F" w:rsidRDefault="001055A9" w14:paraId="006B78ED"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Pr="00115E3D" w:rsidR="001055A9" w:rsidTr="0076623F" w14:paraId="3C04C94E" w14:textId="77777777">
        <w:trPr>
          <w:trHeight w:val="300"/>
        </w:trPr>
        <w:tc>
          <w:tcPr>
            <w:tcW w:w="893" w:type="dxa"/>
            <w:vAlign w:val="center"/>
          </w:tcPr>
          <w:p w:rsidRPr="00115E3D" w:rsidR="001055A9" w:rsidP="0076623F" w:rsidRDefault="001055A9" w14:paraId="54D8EDF5"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115E3D" w:rsidR="001055A9" w:rsidP="0076623F" w:rsidRDefault="001055A9" w14:paraId="212DBA67"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val="pt-BR" w:eastAsia="es-ES"/>
              </w:rPr>
              <w:t xml:space="preserve">Carolina Quintero </w:t>
            </w:r>
            <w:proofErr w:type="spellStart"/>
            <w:r w:rsidRPr="00115E3D">
              <w:rPr>
                <w:rFonts w:ascii="Verdana" w:hAnsi="Verdana" w:eastAsia="Calibri" w:cs="Arial"/>
                <w:color w:val="000000" w:themeColor="text1"/>
                <w:sz w:val="16"/>
                <w:szCs w:val="16"/>
                <w:lang w:val="pt-BR" w:eastAsia="es-ES"/>
              </w:rPr>
              <w:t>Gacharná</w:t>
            </w:r>
            <w:proofErr w:type="spellEnd"/>
          </w:p>
          <w:p w:rsidRPr="00115E3D" w:rsidR="001055A9" w:rsidP="0076623F" w:rsidRDefault="001055A9" w14:paraId="7254D88F"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eastAsia="es-ES"/>
              </w:rPr>
              <w:t>Subdirectora</w:t>
            </w:r>
            <w:r w:rsidRPr="00115E3D">
              <w:rPr>
                <w:rFonts w:ascii="Verdana" w:hAnsi="Verdana" w:eastAsia="Calibri" w:cs="Arial"/>
                <w:color w:val="000000" w:themeColor="text1"/>
                <w:sz w:val="16"/>
                <w:szCs w:val="16"/>
                <w:lang w:val="pt-BR" w:eastAsia="es-ES"/>
              </w:rPr>
              <w:t xml:space="preserve"> de Gestión </w:t>
            </w:r>
            <w:proofErr w:type="spellStart"/>
            <w:r w:rsidRPr="00115E3D">
              <w:rPr>
                <w:rFonts w:ascii="Verdana" w:hAnsi="Verdana" w:eastAsia="Calibri" w:cs="Arial"/>
                <w:color w:val="000000" w:themeColor="text1"/>
                <w:sz w:val="16"/>
                <w:szCs w:val="16"/>
                <w:lang w:val="pt-BR" w:eastAsia="es-ES"/>
              </w:rPr>
              <w:t>Contractual</w:t>
            </w:r>
            <w:proofErr w:type="spellEnd"/>
            <w:r w:rsidRPr="00115E3D">
              <w:rPr>
                <w:rFonts w:ascii="Verdana" w:hAnsi="Verdana" w:eastAsia="Calibri" w:cs="Arial"/>
                <w:color w:val="000000" w:themeColor="text1"/>
                <w:sz w:val="16"/>
                <w:szCs w:val="16"/>
                <w:lang w:val="pt-BR" w:eastAsia="es-ES"/>
              </w:rPr>
              <w:t xml:space="preserve"> ANCP – CCE</w:t>
            </w:r>
          </w:p>
        </w:tc>
      </w:tr>
    </w:tbl>
    <w:p w:rsidR="001055A9" w:rsidP="001055A9" w:rsidRDefault="001055A9" w14:paraId="1EAB89C8" w14:textId="77777777"/>
    <w:p w:rsidRPr="001055A9" w:rsidR="002A0DD0" w:rsidP="30821638" w:rsidRDefault="002A0DD0" w14:paraId="7C9026E2" w14:textId="77777777">
      <w:pPr>
        <w:spacing w:after="0" w:line="240" w:lineRule="auto"/>
        <w:jc w:val="both"/>
        <w:rPr>
          <w:rFonts w:ascii="Verdana" w:hAnsi="Verdana" w:eastAsia="Verdana" w:cs="Verdana"/>
          <w:b/>
          <w:bCs/>
        </w:rPr>
      </w:pPr>
    </w:p>
    <w:p w:rsidRPr="000E2B93" w:rsidR="00C15139" w:rsidP="30821638" w:rsidRDefault="00C15139" w14:paraId="1006A388" w14:textId="77777777">
      <w:pPr>
        <w:spacing w:after="0" w:line="240" w:lineRule="auto"/>
        <w:jc w:val="both"/>
        <w:textAlignment w:val="baseline"/>
        <w:rPr>
          <w:rFonts w:ascii="Verdana" w:hAnsi="Verdana" w:eastAsia="Verdana" w:cs="Verdana"/>
          <w:lang w:eastAsia="es-CO"/>
        </w:rPr>
      </w:pPr>
    </w:p>
    <w:p w:rsidRPr="000E2B93" w:rsidR="00C15139" w:rsidP="30821638" w:rsidRDefault="00C15139" w14:paraId="69BC4D14" w14:textId="08C1F0EB">
      <w:pPr>
        <w:spacing w:after="0" w:line="240" w:lineRule="auto"/>
        <w:textAlignment w:val="baseline"/>
        <w:rPr>
          <w:rFonts w:ascii="Verdana" w:hAnsi="Verdana" w:eastAsia="Verdana" w:cs="Verdana"/>
          <w:lang w:eastAsia="es-CO"/>
        </w:rPr>
      </w:pPr>
      <w:r w:rsidRPr="30821638">
        <w:rPr>
          <w:rFonts w:ascii="Verdana" w:hAnsi="Verdana" w:eastAsia="Verdana" w:cs="Verdana"/>
          <w:lang w:eastAsia="es-CO"/>
        </w:rPr>
        <w:t> </w:t>
      </w:r>
      <w:bookmarkEnd w:id="0"/>
    </w:p>
    <w:sectPr w:rsidRPr="000E2B93" w:rsidR="00C15139" w:rsidSect="007C0C0F">
      <w:headerReference w:type="default" r:id="rId17"/>
      <w:footerReference w:type="default" r:id="rId18"/>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07158" w:rsidP="004A1847" w:rsidRDefault="00007158" w14:paraId="3F01684C" w14:textId="77777777">
      <w:pPr>
        <w:spacing w:after="0" w:line="240" w:lineRule="auto"/>
      </w:pPr>
      <w:r>
        <w:separator/>
      </w:r>
    </w:p>
  </w:endnote>
  <w:endnote w:type="continuationSeparator" w:id="0">
    <w:p w:rsidR="00007158" w:rsidP="004A1847" w:rsidRDefault="00007158" w14:paraId="236A3AA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07158" w:rsidP="004A1847" w:rsidRDefault="00007158" w14:paraId="0D75988E" w14:textId="77777777">
      <w:pPr>
        <w:spacing w:after="0" w:line="240" w:lineRule="auto"/>
      </w:pPr>
      <w:r>
        <w:separator/>
      </w:r>
    </w:p>
  </w:footnote>
  <w:footnote w:type="continuationSeparator" w:id="0">
    <w:p w:rsidR="00007158" w:rsidP="004A1847" w:rsidRDefault="00007158" w14:paraId="4CF375F3" w14:textId="77777777">
      <w:pPr>
        <w:spacing w:after="0" w:line="240" w:lineRule="auto"/>
      </w:pPr>
      <w:r>
        <w:continuationSeparator/>
      </w:r>
    </w:p>
  </w:footnote>
  <w:footnote w:id="1">
    <w:p w:rsidR="001055A9" w:rsidP="001055A9" w:rsidRDefault="001055A9" w14:paraId="2802A0E2" w14:textId="77777777">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rsidRPr="00373AD7" w:rsidR="001055A9" w:rsidP="001055A9" w:rsidRDefault="001055A9" w14:paraId="07E2BADF" w14:textId="77777777">
      <w:pPr>
        <w:pStyle w:val="Textonotapie"/>
        <w:ind w:firstLine="709"/>
        <w:jc w:val="both"/>
        <w:rPr>
          <w:rFonts w:ascii="Verdana" w:hAnsi="Verdana" w:cs="Arial"/>
          <w:color w:val="000000"/>
          <w:sz w:val="16"/>
          <w:szCs w:val="16"/>
          <w:lang w:val="es-ES"/>
        </w:rPr>
      </w:pPr>
    </w:p>
  </w:footnote>
  <w:footnote w:id="2">
    <w:p w:rsidRPr="00373AD7" w:rsidR="001055A9" w:rsidP="001055A9" w:rsidRDefault="001055A9" w14:paraId="2027BC67" w14:textId="77777777">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rsidRPr="00AD7D22" w:rsidR="001055A9" w:rsidP="001055A9" w:rsidRDefault="001055A9" w14:paraId="2F738885" w14:textId="77777777">
      <w:pPr>
        <w:pStyle w:val="Textonotapie"/>
        <w:ind w:firstLine="709"/>
        <w:jc w:val="both"/>
        <w:rPr>
          <w:rFonts w:ascii="Verdana" w:hAnsi="Verdana" w:cs="Arial"/>
          <w:color w:val="000000"/>
          <w:sz w:val="16"/>
          <w:szCs w:val="16"/>
          <w:lang w:val="es-ES"/>
        </w:rPr>
      </w:pPr>
      <w:r w:rsidRPr="00373AD7">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w:t>
      </w:r>
      <w:r w:rsidRPr="00AD7D22">
        <w:rPr>
          <w:rFonts w:ascii="Verdana" w:hAnsi="Verdana" w:cs="Arial"/>
          <w:color w:val="000000"/>
          <w:sz w:val="16"/>
          <w:szCs w:val="16"/>
          <w:lang w:val="es-ES"/>
        </w:rPr>
        <w:t xml:space="preserve">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rsidRPr="00AD7D22" w:rsidR="001055A9" w:rsidP="001055A9" w:rsidRDefault="001055A9" w14:paraId="7E492CA1"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El Gobierno nacional reglamentará el mecanismo para realizar la mensualización de que trata el presente artículo.</w:t>
      </w:r>
    </w:p>
    <w:p w:rsidR="001055A9" w:rsidP="001055A9" w:rsidRDefault="001055A9" w14:paraId="58422648"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rsidRPr="00AD7D22" w:rsidR="001055A9" w:rsidP="001055A9" w:rsidRDefault="001055A9" w14:paraId="7CC3737E" w14:textId="77777777">
      <w:pPr>
        <w:pStyle w:val="Textonotapie"/>
        <w:ind w:firstLine="709"/>
        <w:jc w:val="both"/>
        <w:rPr>
          <w:rFonts w:ascii="Verdana" w:hAnsi="Verdana" w:cs="Arial"/>
          <w:color w:val="000000"/>
          <w:sz w:val="16"/>
          <w:szCs w:val="16"/>
          <w:lang w:val="es-ES"/>
        </w:rPr>
      </w:pPr>
    </w:p>
  </w:footnote>
  <w:footnote w:id="3">
    <w:p w:rsidR="001055A9" w:rsidP="001055A9" w:rsidRDefault="001055A9" w14:paraId="713292B8" w14:textId="77777777">
      <w:pPr>
        <w:pStyle w:val="Textonotapie"/>
        <w:ind w:firstLine="709"/>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Corte Constitucional. Sentencia C-154 de 1997. Magistrado Ponente: Hernando Herrera Vergara.</w:t>
      </w:r>
    </w:p>
    <w:p w:rsidRPr="004D29E2" w:rsidR="001055A9" w:rsidP="001055A9" w:rsidRDefault="001055A9" w14:paraId="3C33970D" w14:textId="77777777">
      <w:pPr>
        <w:pStyle w:val="Textonotapie"/>
        <w:ind w:firstLine="709"/>
        <w:rPr>
          <w:rFonts w:ascii="Verdana" w:hAnsi="Verdana" w:cs="Arial"/>
          <w:color w:val="000000"/>
          <w:sz w:val="16"/>
          <w:szCs w:val="16"/>
          <w:lang w:val="es-ES"/>
        </w:rPr>
      </w:pPr>
    </w:p>
  </w:footnote>
  <w:footnote w:id="4">
    <w:p w:rsidR="001055A9" w:rsidP="001055A9" w:rsidRDefault="001055A9" w14:paraId="2236B174"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rsidRPr="003917D2" w:rsidR="001055A9" w:rsidP="001055A9" w:rsidRDefault="001055A9" w14:paraId="27427FEA" w14:textId="77777777">
      <w:pPr>
        <w:pStyle w:val="Textonotapie"/>
        <w:ind w:firstLine="709"/>
        <w:jc w:val="both"/>
        <w:rPr>
          <w:rFonts w:ascii="Verdana" w:hAnsi="Verdana" w:cs="Arial"/>
          <w:color w:val="000000"/>
          <w:sz w:val="16"/>
          <w:szCs w:val="16"/>
          <w:lang w:val="es-ES"/>
        </w:rPr>
      </w:pPr>
    </w:p>
  </w:footnote>
  <w:footnote w:id="5">
    <w:p w:rsidR="001055A9" w:rsidP="001055A9" w:rsidRDefault="001055A9" w14:paraId="3D320681"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Consejo de Estado. Sección Tercera. Subsección C. Sentencia del 2 de diciembre de 2013. Exp. 41719. Consejero Ponente: Jaime Orlando Santofimio Gamboa.</w:t>
      </w:r>
    </w:p>
    <w:p w:rsidRPr="00515310" w:rsidR="001055A9" w:rsidP="001055A9" w:rsidRDefault="001055A9" w14:paraId="43305C2E" w14:textId="77777777">
      <w:pPr>
        <w:pStyle w:val="Textonotapie"/>
        <w:ind w:firstLine="709"/>
        <w:jc w:val="both"/>
        <w:rPr>
          <w:rFonts w:ascii="Verdana" w:hAnsi="Verdana" w:cs="Arial"/>
          <w:color w:val="000000"/>
          <w:sz w:val="16"/>
          <w:szCs w:val="16"/>
          <w:lang w:val="es-ES"/>
        </w:rPr>
      </w:pPr>
    </w:p>
  </w:footnote>
  <w:footnote w:id="6">
    <w:p w:rsidR="001055A9" w:rsidP="001055A9" w:rsidRDefault="001055A9" w14:paraId="314D17F8" w14:textId="77777777">
      <w:pPr>
        <w:pStyle w:val="Textonotapie"/>
        <w:ind w:firstLine="709"/>
        <w:rPr>
          <w:rFonts w:ascii="Verdana" w:hAnsi="Verdana"/>
          <w:sz w:val="16"/>
          <w:szCs w:val="16"/>
        </w:rPr>
      </w:pPr>
      <w:r w:rsidRPr="00AD7D22">
        <w:rPr>
          <w:rStyle w:val="Refdenotaalpie"/>
          <w:rFonts w:ascii="Verdana" w:hAnsi="Verdana"/>
          <w:sz w:val="16"/>
          <w:szCs w:val="16"/>
        </w:rPr>
        <w:footnoteRef/>
      </w:r>
      <w:r w:rsidRPr="00AD7D22">
        <w:rPr>
          <w:rFonts w:ascii="Verdana" w:hAnsi="Verdana"/>
          <w:sz w:val="16"/>
          <w:szCs w:val="16"/>
        </w:rPr>
        <w:t xml:space="preserve"> Ibid. </w:t>
      </w:r>
    </w:p>
    <w:p w:rsidRPr="00AD7D22" w:rsidR="001055A9" w:rsidP="001055A9" w:rsidRDefault="001055A9" w14:paraId="759D54F7" w14:textId="77777777">
      <w:pPr>
        <w:pStyle w:val="Textonotapie"/>
        <w:ind w:firstLine="709"/>
        <w:rPr>
          <w:rFonts w:ascii="Verdana" w:hAnsi="Verdana"/>
          <w:sz w:val="16"/>
          <w:szCs w:val="16"/>
          <w:lang w:val="es-ES"/>
        </w:rPr>
      </w:pPr>
    </w:p>
  </w:footnote>
  <w:footnote w:id="7">
    <w:p w:rsidRPr="00AD7D22" w:rsidR="001055A9" w:rsidP="001055A9" w:rsidRDefault="001055A9" w14:paraId="2FD179B3"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Ibid.</w:t>
      </w:r>
      <w:r>
        <w:rPr>
          <w:rFonts w:ascii="Verdana" w:hAnsi="Verdana" w:cs="Arial"/>
          <w:color w:val="000000"/>
          <w:sz w:val="16"/>
          <w:szCs w:val="16"/>
          <w:lang w:val="es-ES"/>
        </w:rPr>
        <w:t>-</w:t>
      </w:r>
      <w:r w:rsidRPr="00AD7D22">
        <w:rPr>
          <w:rFonts w:ascii="Verdana" w:hAnsi="Verdana" w:cs="Arial"/>
          <w:color w:val="000000"/>
          <w:sz w:val="16"/>
          <w:szCs w:val="16"/>
          <w:lang w:val="es-ES"/>
        </w:rPr>
        <w:t xml:space="preserve">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rsidRPr="00AD7D22" w:rsidR="001055A9" w:rsidP="001055A9" w:rsidRDefault="001055A9" w14:paraId="12368625"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rsidR="001055A9" w:rsidP="001055A9" w:rsidRDefault="001055A9" w14:paraId="50C5032C"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rsidRPr="00B356F2" w:rsidR="001055A9" w:rsidP="001055A9" w:rsidRDefault="001055A9" w14:paraId="31177EA2" w14:textId="77777777">
      <w:pPr>
        <w:pStyle w:val="Textonotapie"/>
        <w:ind w:firstLine="709"/>
        <w:jc w:val="both"/>
        <w:rPr>
          <w:rFonts w:ascii="Verdana" w:hAnsi="Verdana" w:cs="Arial"/>
          <w:color w:val="000000"/>
          <w:sz w:val="16"/>
          <w:szCs w:val="16"/>
          <w:lang w:val="es-ES"/>
        </w:rPr>
      </w:pPr>
    </w:p>
  </w:footnote>
  <w:footnote w:id="8">
    <w:p w:rsidRPr="00AD7D22" w:rsidR="001055A9" w:rsidP="001055A9" w:rsidRDefault="001055A9" w14:paraId="6D61E9E9"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rsidRPr="00AD7D22" w:rsidR="001055A9" w:rsidP="001055A9" w:rsidRDefault="001055A9" w14:paraId="60578069"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1. La causal que invoca para contratar directamente.</w:t>
      </w:r>
    </w:p>
    <w:p w:rsidRPr="00AD7D22" w:rsidR="001055A9" w:rsidP="001055A9" w:rsidRDefault="001055A9" w14:paraId="17E62439"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 El objeto del contrato.</w:t>
      </w:r>
    </w:p>
    <w:p w:rsidRPr="00AD7D22" w:rsidR="001055A9" w:rsidP="001055A9" w:rsidRDefault="001055A9" w14:paraId="73085DA5"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3. El presupuesto para la contratación y las condiciones que exigirá al contratista.</w:t>
      </w:r>
    </w:p>
    <w:p w:rsidRPr="00AD7D22" w:rsidR="001055A9" w:rsidP="001055A9" w:rsidRDefault="001055A9" w14:paraId="22FD72F6"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4. El lugar en el cual los interesados pueden consultar los estudios y documentos previos.</w:t>
      </w:r>
    </w:p>
    <w:p w:rsidR="001055A9" w:rsidP="001055A9" w:rsidRDefault="001055A9" w14:paraId="7030101F"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rsidRPr="00B31452" w:rsidR="001055A9" w:rsidP="001055A9" w:rsidRDefault="001055A9" w14:paraId="7EE75D69" w14:textId="77777777">
      <w:pPr>
        <w:pStyle w:val="Textonotapie"/>
        <w:ind w:firstLine="709"/>
        <w:jc w:val="both"/>
        <w:rPr>
          <w:rFonts w:ascii="Verdana" w:hAnsi="Verdana" w:cs="Arial"/>
          <w:color w:val="000000"/>
          <w:sz w:val="16"/>
          <w:szCs w:val="16"/>
          <w:lang w:val="es-ES"/>
        </w:rPr>
      </w:pPr>
    </w:p>
  </w:footnote>
  <w:footnote w:id="9">
    <w:p w:rsidRPr="00AD7D22" w:rsidR="001055A9" w:rsidP="001055A9" w:rsidRDefault="001055A9" w14:paraId="0CF77192"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Esta norma expresa: “</w:t>
      </w:r>
      <w:r w:rsidRPr="00AD7D22">
        <w:rPr>
          <w:rFonts w:ascii="Verdana" w:hAnsi="Verdana" w:cs="Arial"/>
          <w:color w:val="000000"/>
          <w:sz w:val="16"/>
          <w:szCs w:val="16"/>
        </w:rPr>
        <w:t>P</w:t>
      </w:r>
      <w:r w:rsidRPr="00AD7D22">
        <w:rPr>
          <w:rFonts w:ascii="Verdana" w:hAnsi="Verdana" w:cs="Arial"/>
          <w:color w:val="000000"/>
          <w:sz w:val="16"/>
          <w:szCs w:val="16"/>
          <w:lang w:val="es-ES"/>
        </w:rPr>
        <w:t>ara el cumplimiento de los fines de la contratación, las entidades estatales al celebrar un contrato:</w:t>
      </w:r>
    </w:p>
    <w:p w:rsidRPr="00AD7D22" w:rsidR="001055A9" w:rsidP="001055A9" w:rsidRDefault="001055A9" w14:paraId="0BCC9B39"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rsidRPr="00AD7D22" w:rsidR="001055A9" w:rsidP="001055A9" w:rsidRDefault="001055A9" w14:paraId="436BA17D"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rsidRPr="00AD7D22" w:rsidR="001055A9" w:rsidP="001055A9" w:rsidRDefault="001055A9" w14:paraId="131F12B4"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Las entidades estatales podrán pactar estas cláusulas en los contratos de suministro y de prestación de servicios.</w:t>
      </w:r>
    </w:p>
    <w:p w:rsidR="001055A9" w:rsidP="001055A9" w:rsidRDefault="001055A9" w14:paraId="2A1D3226" w14:textId="77777777">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rsidRPr="00B356F2" w:rsidR="001055A9" w:rsidP="001055A9" w:rsidRDefault="001055A9" w14:paraId="3D199C78" w14:textId="77777777">
      <w:pPr>
        <w:pStyle w:val="Textonotapie"/>
        <w:ind w:firstLine="709"/>
        <w:jc w:val="both"/>
        <w:rPr>
          <w:rFonts w:ascii="Verdana" w:hAnsi="Verdana" w:cs="Arial"/>
          <w:color w:val="000000"/>
          <w:sz w:val="16"/>
          <w:szCs w:val="16"/>
          <w:lang w:val="es-ES"/>
        </w:rPr>
      </w:pPr>
    </w:p>
  </w:footnote>
  <w:footnote w:id="10">
    <w:p w:rsidR="001055A9" w:rsidP="001055A9" w:rsidRDefault="001055A9" w14:paraId="1A947812" w14:textId="77777777">
      <w:pPr>
        <w:pStyle w:val="Textonotapie"/>
        <w:ind w:firstLine="709"/>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rsidRPr="00B356F2" w:rsidR="001055A9" w:rsidP="001055A9" w:rsidRDefault="001055A9" w14:paraId="4CCF0129" w14:textId="77777777">
      <w:pPr>
        <w:pStyle w:val="Textonotapie"/>
        <w:ind w:firstLine="709"/>
        <w:rPr>
          <w:rFonts w:ascii="Verdana" w:hAnsi="Verdana" w:cs="Arial"/>
          <w:color w:val="000000"/>
          <w:sz w:val="16"/>
          <w:szCs w:val="16"/>
          <w:lang w:val="es-ES"/>
        </w:rPr>
      </w:pPr>
    </w:p>
  </w:footnote>
  <w:footnote w:id="11">
    <w:p w:rsidRPr="00AD7D22" w:rsidR="001055A9" w:rsidP="001055A9" w:rsidRDefault="001055A9" w14:paraId="3C6C6BB2" w14:textId="77777777">
      <w:pPr>
        <w:pStyle w:val="Textonotapie"/>
        <w:ind w:firstLine="709"/>
        <w:jc w:val="both"/>
        <w:rPr>
          <w:rFonts w:ascii="Verdana" w:hAnsi="Verdana" w:cs="Arial"/>
          <w:color w:val="000000"/>
          <w:sz w:val="16"/>
          <w:szCs w:val="16"/>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rsidRPr="00AD7D22" w:rsidR="001055A9" w:rsidP="001055A9" w:rsidRDefault="001055A9" w14:paraId="266C516D" w14:textId="77777777">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rsidR="001055A9" w:rsidP="001055A9" w:rsidRDefault="001055A9" w14:paraId="247C7A32" w14:textId="77777777">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w:t>
      </w:r>
    </w:p>
    <w:p w:rsidRPr="00B356F2" w:rsidR="001055A9" w:rsidP="001055A9" w:rsidRDefault="001055A9" w14:paraId="5668A176" w14:textId="77777777">
      <w:pPr>
        <w:pStyle w:val="Textonotapie"/>
        <w:ind w:firstLine="709"/>
        <w:jc w:val="both"/>
        <w:rPr>
          <w:rFonts w:ascii="Verdana" w:hAnsi="Verdana" w:cs="Arial"/>
          <w:color w:val="000000"/>
          <w:sz w:val="16"/>
          <w:szCs w:val="16"/>
        </w:rPr>
      </w:pPr>
    </w:p>
  </w:footnote>
  <w:footnote w:id="12">
    <w:p w:rsidRPr="00AD7D22" w:rsidR="001055A9" w:rsidP="001055A9" w:rsidRDefault="001055A9" w14:paraId="070708C8" w14:textId="77777777">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rsidRPr="00AD7D22" w:rsidR="001055A9" w:rsidP="001055A9" w:rsidRDefault="001055A9" w14:paraId="33E89D20" w14:textId="77777777">
      <w:pPr>
        <w:pStyle w:val="Textonotapie"/>
        <w:ind w:firstLine="709"/>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pt;height:12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80105726">
    <w:abstractNumId w:val="0"/>
  </w:num>
  <w:num w:numId="17" w16cid:durableId="15875690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158"/>
    <w:rsid w:val="00016F78"/>
    <w:rsid w:val="00046945"/>
    <w:rsid w:val="00061B2A"/>
    <w:rsid w:val="00082362"/>
    <w:rsid w:val="000A683E"/>
    <w:rsid w:val="000B19B9"/>
    <w:rsid w:val="000D0334"/>
    <w:rsid w:val="000D5DA7"/>
    <w:rsid w:val="000D7A18"/>
    <w:rsid w:val="000F6486"/>
    <w:rsid w:val="001055A9"/>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389"/>
    <w:rsid w:val="002E4FD9"/>
    <w:rsid w:val="0030657A"/>
    <w:rsid w:val="00322A85"/>
    <w:rsid w:val="00324168"/>
    <w:rsid w:val="00330834"/>
    <w:rsid w:val="003448F4"/>
    <w:rsid w:val="00374F5E"/>
    <w:rsid w:val="00377E3E"/>
    <w:rsid w:val="003A779E"/>
    <w:rsid w:val="003C2965"/>
    <w:rsid w:val="003D0F4D"/>
    <w:rsid w:val="003D5B0D"/>
    <w:rsid w:val="003E0499"/>
    <w:rsid w:val="003E4F80"/>
    <w:rsid w:val="003E6439"/>
    <w:rsid w:val="003F3941"/>
    <w:rsid w:val="00406575"/>
    <w:rsid w:val="00414C74"/>
    <w:rsid w:val="0042722E"/>
    <w:rsid w:val="0044528D"/>
    <w:rsid w:val="00453197"/>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95B6F"/>
    <w:rsid w:val="007B268C"/>
    <w:rsid w:val="007B7171"/>
    <w:rsid w:val="007C0C0F"/>
    <w:rsid w:val="007C3DC2"/>
    <w:rsid w:val="007E5497"/>
    <w:rsid w:val="00806F5F"/>
    <w:rsid w:val="00817F63"/>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4DFF"/>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E0A8D"/>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C4023"/>
    <w:rsid w:val="00DF5254"/>
    <w:rsid w:val="00E02524"/>
    <w:rsid w:val="00E16408"/>
    <w:rsid w:val="00E20894"/>
    <w:rsid w:val="00E245AB"/>
    <w:rsid w:val="00E2764C"/>
    <w:rsid w:val="00E27F2E"/>
    <w:rsid w:val="00E45973"/>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D799B7E"/>
    <w:rsid w:val="2EE1E026"/>
    <w:rsid w:val="2F44F38F"/>
    <w:rsid w:val="30821638"/>
    <w:rsid w:val="32A4F9CF"/>
    <w:rsid w:val="33A1FF93"/>
    <w:rsid w:val="356CEDFD"/>
    <w:rsid w:val="3C591AFD"/>
    <w:rsid w:val="42183F0A"/>
    <w:rsid w:val="545B112A"/>
    <w:rsid w:val="56E24371"/>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1055A9"/>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055A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formacionvirtual.colombiacompra.gov.co/mod/page/view.php?id=3718" TargetMode="External"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image" Target="media/image3.jpeg"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diego.aguilon@cali.gov.co" TargetMode="External" Id="rId11" /><Relationship Type="http://schemas.openxmlformats.org/officeDocument/2006/relationships/styles" Target="styles.xml" Id="rId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5" /><Relationship Type="http://schemas.openxmlformats.org/officeDocument/2006/relationships/image" Target="media/image2.png"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normativa-y-relatoria/documentos-tipo"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C6866F2-CE6D-49D3-BF37-26C908F9928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Daniel Eduardo Rojas Poveda</lastModifiedBy>
  <revision>9</revision>
  <lastPrinted>2023-01-10T21:18:00.0000000Z</lastPrinted>
  <dcterms:created xsi:type="dcterms:W3CDTF">2026-06-12T19:33:00.0000000Z</dcterms:created>
  <dcterms:modified xsi:type="dcterms:W3CDTF">2026-06-12T20:42:21.7581792Z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