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329379" w14:textId="77777777" w:rsidR="003C5205" w:rsidRPr="00A70DA4" w:rsidRDefault="003C5205" w:rsidP="003C5205">
      <w:pPr>
        <w:spacing w:after="0" w:line="240" w:lineRule="auto"/>
        <w:contextualSpacing/>
        <w:jc w:val="both"/>
        <w:rPr>
          <w:rFonts w:ascii="Verdana" w:eastAsia="Calibri" w:hAnsi="Verdana" w:cs="Arial"/>
          <w:b/>
          <w:bCs/>
          <w:lang w:val="es-MX" w:eastAsia="es-ES_tradnl"/>
          <w14:ligatures w14:val="standardContextual"/>
        </w:rPr>
      </w:pPr>
      <w:bookmarkStart w:id="0" w:name="_Hlk143780582"/>
      <w:r w:rsidRPr="00A70DA4">
        <w:rPr>
          <w:rFonts w:ascii="Verdana" w:eastAsia="Calibri" w:hAnsi="Verdana" w:cs="Arial"/>
          <w:b/>
          <w:bCs/>
          <w:lang w:val="es-MX" w:eastAsia="es-ES_tradnl"/>
          <w14:ligatures w14:val="standardContextual"/>
        </w:rPr>
        <w:t>DETERMINACIÓN DEL VALOR DEL CONTRATO – Etapa de planeación – Metodologías – Factores que inciden</w:t>
      </w:r>
    </w:p>
    <w:p w14:paraId="375051B7" w14:textId="77777777" w:rsidR="003C5205" w:rsidRPr="00A70DA4" w:rsidRDefault="003C5205" w:rsidP="003C5205">
      <w:pPr>
        <w:spacing w:after="0" w:line="240" w:lineRule="auto"/>
        <w:contextualSpacing/>
        <w:jc w:val="both"/>
        <w:rPr>
          <w:rFonts w:ascii="Verdana" w:eastAsia="Calibri" w:hAnsi="Verdana" w:cs="Arial"/>
          <w:b/>
          <w:bCs/>
          <w:sz w:val="20"/>
          <w:szCs w:val="20"/>
          <w:lang w:val="es-MX" w:eastAsia="es-ES_tradnl"/>
          <w14:ligatures w14:val="standardContextual"/>
        </w:rPr>
      </w:pPr>
    </w:p>
    <w:p w14:paraId="1F5B9B45" w14:textId="77777777" w:rsidR="003C5205" w:rsidRPr="00A70DA4" w:rsidRDefault="003C5205" w:rsidP="003C5205">
      <w:pPr>
        <w:spacing w:after="0" w:line="240" w:lineRule="auto"/>
        <w:contextualSpacing/>
        <w:jc w:val="both"/>
        <w:rPr>
          <w:rFonts w:ascii="Verdana" w:eastAsia="Times New Roman" w:hAnsi="Verdana" w:cs="Arial"/>
          <w:noProof/>
          <w:sz w:val="20"/>
          <w:szCs w:val="20"/>
          <w:lang w:val="es-ES_tradnl" w:eastAsia="es-ES_tradnl"/>
          <w14:ligatures w14:val="standardContextual"/>
        </w:rPr>
      </w:pPr>
      <w:r w:rsidRPr="00A70DA4">
        <w:rPr>
          <w:rFonts w:ascii="Verdana" w:eastAsia="Times New Roman" w:hAnsi="Verdana" w:cs="Arial"/>
          <w:noProof/>
          <w:sz w:val="20"/>
          <w:szCs w:val="20"/>
          <w:lang w:val="es-ES_tradnl" w:eastAsia="es-ES_tradnl"/>
          <w14:ligatures w14:val="standardContextual"/>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epara los de concesión, por mencionar algunos ejemplos.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ii) el precio global –que equivale al monto total, por la realización integral del objeto del contrato, sin discriminar unidades–, y iii) la administración delegada de recursos –en la que se distinguen los costos de inversión de los honorarios del administrador–.</w:t>
      </w:r>
    </w:p>
    <w:p w14:paraId="18606BFA" w14:textId="77777777" w:rsidR="003C5205" w:rsidRPr="00A70DA4" w:rsidRDefault="003C5205" w:rsidP="003C5205">
      <w:pPr>
        <w:spacing w:after="0" w:line="240" w:lineRule="auto"/>
        <w:contextualSpacing/>
        <w:jc w:val="both"/>
        <w:rPr>
          <w:rFonts w:ascii="Verdana" w:eastAsia="Times New Roman" w:hAnsi="Verdana" w:cs="Arial"/>
          <w:noProof/>
          <w:sz w:val="20"/>
          <w:szCs w:val="20"/>
          <w:lang w:val="es-ES_tradnl" w:eastAsia="es-ES_tradnl"/>
          <w14:ligatures w14:val="standardContextual"/>
        </w:rPr>
      </w:pPr>
    </w:p>
    <w:p w14:paraId="461B1B5B" w14:textId="77777777" w:rsidR="003C5205" w:rsidRPr="00A70DA4" w:rsidRDefault="003C5205" w:rsidP="003C5205">
      <w:pPr>
        <w:spacing w:after="0" w:line="240" w:lineRule="auto"/>
        <w:contextualSpacing/>
        <w:jc w:val="both"/>
        <w:rPr>
          <w:rFonts w:ascii="Verdana" w:eastAsia="Calibri" w:hAnsi="Verdana" w:cs="Arial"/>
          <w:b/>
          <w:bCs/>
          <w:lang w:val="es-MX" w:eastAsia="es-ES_tradnl"/>
          <w14:ligatures w14:val="standardContextual"/>
        </w:rPr>
      </w:pPr>
      <w:r w:rsidRPr="00A70DA4">
        <w:rPr>
          <w:rFonts w:ascii="Verdana" w:eastAsia="Calibri" w:hAnsi="Verdana" w:cs="Arial"/>
          <w:b/>
          <w:bCs/>
          <w:lang w:val="es-MX" w:eastAsia="es-ES_tradnl"/>
          <w14:ligatures w14:val="standardContextual"/>
        </w:rPr>
        <w:t>SISTEMA DE FACTOR MULTIPLICADOR – Noción – Costos directos – Imputables al contrato</w:t>
      </w:r>
    </w:p>
    <w:p w14:paraId="18F53B1E" w14:textId="77777777" w:rsidR="003C5205" w:rsidRPr="00A70DA4" w:rsidRDefault="003C5205" w:rsidP="003C5205">
      <w:pPr>
        <w:spacing w:after="0" w:line="240" w:lineRule="auto"/>
        <w:contextualSpacing/>
        <w:jc w:val="both"/>
        <w:rPr>
          <w:rFonts w:ascii="Verdana" w:eastAsia="Times New Roman" w:hAnsi="Verdana" w:cs="Arial"/>
          <w:noProof/>
          <w:sz w:val="20"/>
          <w:szCs w:val="20"/>
          <w:lang w:val="es-ES_tradnl" w:eastAsia="es-ES_tradnl"/>
          <w14:ligatures w14:val="standardContextual"/>
        </w:rPr>
      </w:pPr>
    </w:p>
    <w:p w14:paraId="12E9A533" w14:textId="77777777" w:rsidR="003C5205" w:rsidRPr="00A70DA4" w:rsidRDefault="003C5205" w:rsidP="003C5205">
      <w:pPr>
        <w:spacing w:after="0" w:line="240" w:lineRule="auto"/>
        <w:jc w:val="both"/>
        <w:rPr>
          <w:rFonts w:ascii="Verdana" w:eastAsia="Geomanist Light" w:hAnsi="Verdana" w:cs="Arial"/>
          <w:sz w:val="20"/>
          <w:szCs w:val="20"/>
          <w:lang w:val="es-MX"/>
        </w:rPr>
      </w:pPr>
      <w:r w:rsidRPr="00A70DA4">
        <w:rPr>
          <w:rFonts w:ascii="Verdana" w:eastAsia="Times New Roman" w:hAnsi="Verdana" w:cs="Arial"/>
          <w:noProof/>
          <w:sz w:val="20"/>
          <w:szCs w:val="20"/>
          <w:lang w:val="es-ES_tradnl" w:eastAsia="es-ES_tradnl"/>
          <w14:ligatures w14:val="standardContextual"/>
        </w:rPr>
        <w:t>[…] el factor multiplicador es una metodología permite imputar al contrato los costos directos asociados a prestaciones laborales y sociales del personal vinculado con carácter exclusivo al proyecto, la utilidad del ingeniero y los costos de administración asociados al personal, afectando el valor parcial de la oferta por un factor multiplicador . De esta manera se obtiene un subtotal de costos directos a partir de la sumatoria de los valores correspondientes los salarios del personal, incrementado a partir de su multiplicación por un factor que suele consistir en una cifra de dos dígitos, con una parte entera y otra decimal. Esto sin perjuicio de la incorporación de otros costos directos como viáticos, alquiler de equipos, oficinas, etc, cuya discriminación se exige de manera separada de los costos de personal, para ser sumados al valor resultante la aplicación del factor multiplicador.</w:t>
      </w:r>
    </w:p>
    <w:p w14:paraId="6DC82F1B" w14:textId="77777777" w:rsidR="003C5205" w:rsidRPr="00A70DA4" w:rsidRDefault="003C5205" w:rsidP="003C5205">
      <w:pPr>
        <w:spacing w:after="0" w:line="240" w:lineRule="auto"/>
        <w:rPr>
          <w:rFonts w:ascii="Verdana" w:eastAsia="Geomanist Light" w:hAnsi="Verdana" w:cs="Arial"/>
          <w:sz w:val="20"/>
          <w:szCs w:val="20"/>
          <w:lang w:val="es-MX"/>
        </w:rPr>
      </w:pPr>
    </w:p>
    <w:p w14:paraId="33C41280" w14:textId="77777777" w:rsidR="003C5205" w:rsidRPr="00A70DA4" w:rsidRDefault="003C5205" w:rsidP="003C5205">
      <w:pPr>
        <w:spacing w:after="0" w:line="240" w:lineRule="auto"/>
        <w:jc w:val="both"/>
        <w:rPr>
          <w:rFonts w:ascii="Verdana" w:eastAsia="Calibri" w:hAnsi="Verdana" w:cs="Arial"/>
          <w:b/>
          <w:bCs/>
          <w:lang w:val="es-ES" w:eastAsia="es-ES"/>
        </w:rPr>
      </w:pPr>
      <w:r w:rsidRPr="00A70DA4">
        <w:rPr>
          <w:rFonts w:ascii="Verdana" w:eastAsia="Calibri" w:hAnsi="Verdana" w:cs="Arial"/>
          <w:b/>
          <w:bCs/>
        </w:rPr>
        <w:t xml:space="preserve">REESTRUCTURACIÓN – Factor multiplicador – Ausencia de obligatoriedad – Principio de planeación y buena fe </w:t>
      </w:r>
    </w:p>
    <w:p w14:paraId="04067D5D" w14:textId="77777777" w:rsidR="003C5205" w:rsidRPr="00A70DA4" w:rsidRDefault="003C5205" w:rsidP="003C5205">
      <w:pPr>
        <w:spacing w:after="0" w:line="240" w:lineRule="auto"/>
        <w:jc w:val="both"/>
        <w:rPr>
          <w:rFonts w:ascii="Verdana" w:eastAsia="Geomanist Light" w:hAnsi="Verdana" w:cs="Arial"/>
          <w:sz w:val="20"/>
          <w:szCs w:val="20"/>
          <w:lang w:val="es-MX"/>
        </w:rPr>
      </w:pPr>
    </w:p>
    <w:p w14:paraId="0804097E" w14:textId="77777777" w:rsidR="003C5205" w:rsidRPr="00A70DA4" w:rsidRDefault="003C5205" w:rsidP="003C5205">
      <w:pPr>
        <w:spacing w:after="0" w:line="240" w:lineRule="auto"/>
        <w:jc w:val="both"/>
        <w:rPr>
          <w:rFonts w:ascii="Verdana" w:eastAsia="Calibri" w:hAnsi="Verdana" w:cs="Arial"/>
          <w:color w:val="000000"/>
          <w:sz w:val="20"/>
          <w:szCs w:val="20"/>
          <w:lang w:val="es-MX"/>
        </w:rPr>
      </w:pPr>
      <w:r w:rsidRPr="00A70DA4">
        <w:rPr>
          <w:rFonts w:ascii="Verdana" w:eastAsia="Calibri" w:hAnsi="Verdana" w:cs="Arial"/>
          <w:color w:val="000000"/>
          <w:sz w:val="20"/>
          <w:szCs w:val="20"/>
          <w:lang w:val="es-MX"/>
        </w:rPr>
        <w:t xml:space="preserve">El deber de planeación no es privativo de las entidades públicas, por lo que también se extiende a los interesados en el proceso de selección. Al respecto, la Subsección A de la Sección Tercera del Consejo de Estado –en Sentencia del 21 de febrero de 2025, Exp. 71583, con ponencia del Consejero Fernando Alexei Pardo Flórez– explica que “El deber de planeación, y las cargas de advertencia y previsión, propias de la autonomía privada de la voluntad, impiden que la contratista obtenga reconocimientos económicos </w:t>
      </w:r>
      <w:r w:rsidRPr="00A70DA4">
        <w:rPr>
          <w:rFonts w:ascii="Verdana" w:eastAsia="Calibri" w:hAnsi="Verdana" w:cs="Arial"/>
          <w:color w:val="000000"/>
          <w:sz w:val="20"/>
          <w:szCs w:val="20"/>
          <w:lang w:val="es-MX"/>
        </w:rPr>
        <w:lastRenderedPageBreak/>
        <w:t>derivados de fallas en la estructuración del negocio que debieron ser advertidas desde la fase de formación del acuerdo de voluntades […]”.</w:t>
      </w:r>
    </w:p>
    <w:p w14:paraId="1DECDCCD" w14:textId="77777777" w:rsidR="003C5205" w:rsidRPr="00A70DA4" w:rsidRDefault="003C5205" w:rsidP="003C5205">
      <w:pPr>
        <w:spacing w:after="0" w:line="240" w:lineRule="auto"/>
        <w:jc w:val="both"/>
        <w:rPr>
          <w:rFonts w:ascii="Verdana" w:eastAsia="Calibri" w:hAnsi="Verdana" w:cs="Arial"/>
          <w:color w:val="000000"/>
          <w:sz w:val="20"/>
          <w:szCs w:val="20"/>
          <w:lang w:val="es-MX"/>
        </w:rPr>
      </w:pPr>
    </w:p>
    <w:p w14:paraId="22DF5687" w14:textId="77777777" w:rsidR="003C5205" w:rsidRPr="00A70DA4" w:rsidRDefault="003C5205" w:rsidP="003C5205">
      <w:pPr>
        <w:spacing w:after="0" w:line="240" w:lineRule="auto"/>
        <w:jc w:val="both"/>
        <w:rPr>
          <w:rFonts w:ascii="Verdana" w:eastAsia="Calibri" w:hAnsi="Verdana" w:cs="Arial"/>
          <w:color w:val="000000"/>
          <w:sz w:val="20"/>
          <w:szCs w:val="20"/>
          <w:lang w:val="es-MX"/>
        </w:rPr>
      </w:pPr>
      <w:r w:rsidRPr="00A70DA4">
        <w:rPr>
          <w:rFonts w:ascii="Verdana" w:eastAsia="Calibri" w:hAnsi="Verdana" w:cs="Arial"/>
          <w:color w:val="000000"/>
          <w:sz w:val="20"/>
          <w:szCs w:val="20"/>
          <w:lang w:val="es-MX"/>
        </w:rPr>
        <w:t>Es decir, si existían inquietudes sobre los componentes del factor multiplicador, los interesados tuvieron la oportunidad de formular observaciones para aclarar sus dudas. En este sentido, el artículo 24.2 del Estatuto General de Contratación de la Administración Pública dispone que “En los procesos contractuales los interesados tendrán oportunidad de conocer y controvertir los informes, conceptos y decisiones que se rindan o adopten, para lo cual se establecerán etapas que permitan el conocimiento de dichas actuaciones y otorguen la posibilidad de expresar observaciones”. Así, los proponentes pueden observar tanto el proyecto de pliego como el pliego de condiciones definitivo con el propósito de esclarecer aspectos del proceso.</w:t>
      </w:r>
    </w:p>
    <w:p w14:paraId="6D073967" w14:textId="77777777" w:rsidR="003C5205" w:rsidRPr="00A70DA4" w:rsidRDefault="003C5205" w:rsidP="003C5205">
      <w:pPr>
        <w:spacing w:after="0" w:line="240" w:lineRule="auto"/>
        <w:jc w:val="both"/>
        <w:rPr>
          <w:rFonts w:ascii="Verdana" w:eastAsia="Calibri" w:hAnsi="Verdana" w:cs="Arial"/>
          <w:color w:val="000000"/>
          <w:sz w:val="20"/>
          <w:szCs w:val="20"/>
          <w:lang w:val="es-MX"/>
        </w:rPr>
      </w:pPr>
    </w:p>
    <w:p w14:paraId="493225BE" w14:textId="77777777" w:rsidR="003C5205" w:rsidRPr="00A70DA4" w:rsidRDefault="003C5205" w:rsidP="003C5205">
      <w:pPr>
        <w:spacing w:after="0" w:line="240" w:lineRule="auto"/>
        <w:jc w:val="both"/>
        <w:rPr>
          <w:rFonts w:ascii="Verdana" w:eastAsia="Calibri" w:hAnsi="Verdana" w:cs="Arial"/>
          <w:color w:val="000000"/>
          <w:sz w:val="20"/>
          <w:szCs w:val="20"/>
          <w:lang w:val="es-MX"/>
        </w:rPr>
      </w:pPr>
      <w:r w:rsidRPr="00A70DA4">
        <w:rPr>
          <w:rFonts w:ascii="Verdana" w:eastAsia="Calibri" w:hAnsi="Verdana" w:cs="Arial"/>
          <w:color w:val="000000"/>
          <w:sz w:val="20"/>
          <w:szCs w:val="20"/>
          <w:lang w:val="es-MX"/>
        </w:rPr>
        <w:t>En este contexto, bajo el criterio de que “nadie puede beneficiarse de su propia culpa”, se restringe a los contratistas la posibilidad de solicitar reconocimientos económicos derivados de fallas de planeación que debieron advertir a la entidad contratante antes del perfeccionamiento del contrato. Si bien el parágrafo del artículo 40 de la Ley 80 de 1993 dispone que “Los contratos no podrán adicionarse en más del cincuenta por ciento (50%) de su valor inicial, expresado éste en salarios mínimos legales mensuales”, el Estado no se encuentra obligado a reestructurar el porcentaje ni los componentes del factor multiplicador, pues las modificaciones contractuales no son un derecho del contratista.</w:t>
      </w:r>
    </w:p>
    <w:p w14:paraId="688D286A" w14:textId="77777777" w:rsidR="008D4CBE" w:rsidRPr="00A70DA4" w:rsidRDefault="008D4CBE" w:rsidP="30821638">
      <w:pPr>
        <w:spacing w:after="0"/>
        <w:rPr>
          <w:rFonts w:ascii="Verdana" w:eastAsia="Verdana" w:hAnsi="Verdana" w:cs="Verdana"/>
          <w:lang w:val="es-MX"/>
        </w:rPr>
      </w:pPr>
    </w:p>
    <w:p w14:paraId="5E30979B" w14:textId="77777777" w:rsidR="008D4CBE" w:rsidRPr="00A70DA4" w:rsidRDefault="008D4CBE" w:rsidP="30821638">
      <w:pPr>
        <w:spacing w:after="0"/>
        <w:rPr>
          <w:rFonts w:ascii="Verdana" w:eastAsia="Aptos" w:hAnsi="Verdana" w:cs="Times New Roman"/>
          <w:b/>
          <w:bCs/>
          <w:lang w:val="es-MX"/>
        </w:rPr>
      </w:pPr>
    </w:p>
    <w:p w14:paraId="5E59C3F5" w14:textId="77777777" w:rsidR="00D83480" w:rsidRPr="00A70DA4" w:rsidRDefault="00D83480" w:rsidP="30821638">
      <w:pPr>
        <w:spacing w:after="0"/>
        <w:rPr>
          <w:rFonts w:ascii="Verdana" w:eastAsia="Aptos" w:hAnsi="Verdana" w:cs="Times New Roman"/>
          <w:b/>
          <w:bCs/>
          <w:lang w:val="es-MX"/>
        </w:rPr>
      </w:pPr>
    </w:p>
    <w:p w14:paraId="2DAC3EE4" w14:textId="77777777" w:rsidR="00D83480" w:rsidRPr="00A70DA4" w:rsidRDefault="00D83480" w:rsidP="30821638">
      <w:pPr>
        <w:spacing w:after="0"/>
        <w:rPr>
          <w:rFonts w:ascii="Verdana" w:eastAsia="Aptos" w:hAnsi="Verdana" w:cs="Times New Roman"/>
          <w:b/>
          <w:bCs/>
          <w:lang w:val="es-MX"/>
        </w:rPr>
      </w:pPr>
    </w:p>
    <w:p w14:paraId="3E6DECF0" w14:textId="77777777" w:rsidR="00D83480" w:rsidRPr="00A70DA4" w:rsidRDefault="00D83480" w:rsidP="30821638">
      <w:pPr>
        <w:spacing w:after="0"/>
        <w:rPr>
          <w:rFonts w:ascii="Verdana" w:eastAsia="Aptos" w:hAnsi="Verdana" w:cs="Times New Roman"/>
          <w:b/>
          <w:bCs/>
          <w:lang w:val="es-MX"/>
        </w:rPr>
      </w:pPr>
    </w:p>
    <w:p w14:paraId="7C0C23AF" w14:textId="77777777" w:rsidR="00D83480" w:rsidRPr="00A70DA4" w:rsidRDefault="00D83480" w:rsidP="30821638">
      <w:pPr>
        <w:spacing w:after="0"/>
        <w:rPr>
          <w:rFonts w:ascii="Verdana" w:eastAsia="Aptos" w:hAnsi="Verdana" w:cs="Times New Roman"/>
          <w:b/>
          <w:bCs/>
          <w:lang w:val="es-MX"/>
        </w:rPr>
      </w:pPr>
    </w:p>
    <w:p w14:paraId="41E8C35B" w14:textId="77777777" w:rsidR="00D83480" w:rsidRPr="00A70DA4" w:rsidRDefault="00D83480" w:rsidP="30821638">
      <w:pPr>
        <w:spacing w:after="0"/>
        <w:rPr>
          <w:rFonts w:ascii="Verdana" w:eastAsia="Aptos" w:hAnsi="Verdana" w:cs="Times New Roman"/>
          <w:b/>
          <w:bCs/>
          <w:lang w:val="es-MX"/>
        </w:rPr>
      </w:pPr>
    </w:p>
    <w:p w14:paraId="75A0FF3A" w14:textId="77777777" w:rsidR="00D83480" w:rsidRPr="00A70DA4" w:rsidRDefault="00D83480" w:rsidP="30821638">
      <w:pPr>
        <w:spacing w:after="0"/>
        <w:rPr>
          <w:rFonts w:ascii="Verdana" w:eastAsia="Aptos" w:hAnsi="Verdana" w:cs="Times New Roman"/>
          <w:b/>
          <w:bCs/>
          <w:lang w:val="es-MX"/>
        </w:rPr>
      </w:pPr>
    </w:p>
    <w:p w14:paraId="1FBF37A6" w14:textId="77777777" w:rsidR="00D83480" w:rsidRPr="00A70DA4" w:rsidRDefault="00D83480" w:rsidP="30821638">
      <w:pPr>
        <w:spacing w:after="0"/>
        <w:rPr>
          <w:rFonts w:ascii="Verdana" w:eastAsia="Aptos" w:hAnsi="Verdana" w:cs="Times New Roman"/>
          <w:b/>
          <w:bCs/>
          <w:lang w:val="es-MX"/>
        </w:rPr>
      </w:pPr>
    </w:p>
    <w:p w14:paraId="3009A1AE" w14:textId="77777777" w:rsidR="00D83480" w:rsidRPr="00A70DA4" w:rsidRDefault="00D83480" w:rsidP="30821638">
      <w:pPr>
        <w:spacing w:after="0"/>
        <w:rPr>
          <w:rFonts w:ascii="Verdana" w:eastAsia="Aptos" w:hAnsi="Verdana" w:cs="Times New Roman"/>
          <w:b/>
          <w:bCs/>
          <w:lang w:val="es-MX"/>
        </w:rPr>
      </w:pPr>
    </w:p>
    <w:p w14:paraId="2F188590" w14:textId="77777777" w:rsidR="00D83480" w:rsidRPr="00A70DA4" w:rsidRDefault="00D83480" w:rsidP="30821638">
      <w:pPr>
        <w:spacing w:after="0"/>
        <w:rPr>
          <w:rFonts w:ascii="Verdana" w:eastAsia="Aptos" w:hAnsi="Verdana" w:cs="Times New Roman"/>
          <w:b/>
          <w:bCs/>
          <w:lang w:val="es-MX"/>
        </w:rPr>
      </w:pPr>
    </w:p>
    <w:p w14:paraId="61A7D4DB" w14:textId="77777777" w:rsidR="00D83480" w:rsidRPr="00A70DA4" w:rsidRDefault="00D83480" w:rsidP="30821638">
      <w:pPr>
        <w:spacing w:after="0"/>
        <w:rPr>
          <w:rFonts w:ascii="Verdana" w:eastAsia="Aptos" w:hAnsi="Verdana" w:cs="Times New Roman"/>
          <w:b/>
          <w:bCs/>
          <w:lang w:val="es-MX"/>
        </w:rPr>
      </w:pPr>
    </w:p>
    <w:p w14:paraId="061902CB" w14:textId="77777777" w:rsidR="00D83480" w:rsidRPr="00A70DA4" w:rsidRDefault="00D83480" w:rsidP="30821638">
      <w:pPr>
        <w:spacing w:after="0"/>
        <w:rPr>
          <w:rFonts w:ascii="Verdana" w:eastAsia="Aptos" w:hAnsi="Verdana" w:cs="Times New Roman"/>
          <w:b/>
          <w:bCs/>
          <w:lang w:val="es-MX"/>
        </w:rPr>
      </w:pPr>
    </w:p>
    <w:p w14:paraId="20591BA8" w14:textId="77777777" w:rsidR="00D83480" w:rsidRPr="00A70DA4" w:rsidRDefault="00D83480" w:rsidP="30821638">
      <w:pPr>
        <w:spacing w:after="0"/>
        <w:rPr>
          <w:rFonts w:ascii="Verdana" w:eastAsia="Aptos" w:hAnsi="Verdana" w:cs="Times New Roman"/>
          <w:b/>
          <w:bCs/>
          <w:lang w:val="es-MX"/>
        </w:rPr>
      </w:pPr>
    </w:p>
    <w:p w14:paraId="6AB1A3C7" w14:textId="77777777" w:rsidR="00D83480" w:rsidRPr="00A70DA4" w:rsidRDefault="00D83480" w:rsidP="30821638">
      <w:pPr>
        <w:spacing w:after="0"/>
        <w:rPr>
          <w:rFonts w:ascii="Verdana" w:eastAsia="Verdana" w:hAnsi="Verdana" w:cs="Verdana"/>
          <w:lang w:val="es-MX"/>
        </w:rPr>
      </w:pPr>
    </w:p>
    <w:p w14:paraId="4A7540A4" w14:textId="77777777" w:rsidR="003C5205" w:rsidRPr="00A70DA4" w:rsidRDefault="003C5205" w:rsidP="30821638">
      <w:pPr>
        <w:spacing w:after="0"/>
        <w:rPr>
          <w:rFonts w:ascii="Verdana" w:eastAsia="Verdana" w:hAnsi="Verdana" w:cs="Verdana"/>
        </w:rPr>
      </w:pPr>
    </w:p>
    <w:p w14:paraId="4EFB9378" w14:textId="77777777" w:rsidR="003C5205" w:rsidRPr="00A70DA4" w:rsidRDefault="003C5205" w:rsidP="30821638">
      <w:pPr>
        <w:spacing w:after="0"/>
        <w:rPr>
          <w:rFonts w:ascii="Verdana" w:eastAsia="Verdana" w:hAnsi="Verdana" w:cs="Verdana"/>
        </w:rPr>
      </w:pPr>
    </w:p>
    <w:p w14:paraId="76FBE8F9" w14:textId="77777777" w:rsidR="003C5205" w:rsidRPr="00A70DA4" w:rsidRDefault="003C5205" w:rsidP="30821638">
      <w:pPr>
        <w:spacing w:after="0"/>
        <w:rPr>
          <w:rFonts w:ascii="Verdana" w:eastAsia="Verdana" w:hAnsi="Verdana" w:cs="Verdana"/>
        </w:rPr>
      </w:pPr>
    </w:p>
    <w:p w14:paraId="664524F7" w14:textId="77777777" w:rsidR="003C5205" w:rsidRPr="00A70DA4" w:rsidRDefault="003C5205" w:rsidP="30821638">
      <w:pPr>
        <w:spacing w:after="0"/>
        <w:rPr>
          <w:rFonts w:ascii="Verdana" w:eastAsia="Verdana" w:hAnsi="Verdana" w:cs="Verdana"/>
        </w:rPr>
      </w:pPr>
    </w:p>
    <w:p w14:paraId="7F7A1815" w14:textId="379A77E9" w:rsidR="00952181" w:rsidRPr="00A70DA4" w:rsidRDefault="00C15139" w:rsidP="30821638">
      <w:pPr>
        <w:spacing w:after="0"/>
        <w:rPr>
          <w:rFonts w:ascii="Verdana" w:hAnsi="Verdana"/>
        </w:rPr>
      </w:pPr>
      <w:r w:rsidRPr="00A70DA4">
        <w:rPr>
          <w:rFonts w:ascii="Verdana" w:eastAsia="Verdana" w:hAnsi="Verdana" w:cs="Verdana"/>
        </w:rPr>
        <w:lastRenderedPageBreak/>
        <w:t xml:space="preserve">Bogotá D.C., </w:t>
      </w:r>
      <w:r w:rsidR="00E65FA1" w:rsidRPr="00A70DA4">
        <w:rPr>
          <w:rFonts w:ascii="Verdana" w:eastAsia="Verdana" w:hAnsi="Verdana" w:cs="Verdana"/>
        </w:rPr>
        <w:t>05 de junio del 2026</w:t>
      </w:r>
      <w:r w:rsidRPr="00A70DA4">
        <w:rPr>
          <w:rFonts w:ascii="Verdana" w:hAnsi="Verdana"/>
        </w:rPr>
        <w:tab/>
      </w:r>
      <w:r w:rsidRPr="00A70DA4">
        <w:rPr>
          <w:rFonts w:ascii="Verdana" w:hAnsi="Verdana"/>
        </w:rPr>
        <w:br/>
      </w:r>
    </w:p>
    <w:p w14:paraId="016464A5" w14:textId="42E4F57C" w:rsidR="00AE065F" w:rsidRPr="00A70DA4" w:rsidRDefault="00AE065F" w:rsidP="00AE065F">
      <w:pPr>
        <w:spacing w:after="0"/>
        <w:jc w:val="right"/>
        <w:rPr>
          <w:rFonts w:ascii="Verdana" w:hAnsi="Verdana"/>
        </w:rPr>
      </w:pPr>
      <w:r w:rsidRPr="00A70DA4">
        <w:rPr>
          <w:rFonts w:ascii="Verdana" w:hAnsi="Verdana"/>
        </w:rPr>
        <w:drawing>
          <wp:inline distT="0" distB="0" distL="0" distR="0" wp14:anchorId="64AA5D27" wp14:editId="4BC574B0">
            <wp:extent cx="2886075" cy="752475"/>
            <wp:effectExtent l="0" t="0" r="9525" b="9525"/>
            <wp:docPr id="168785046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850463" name=""/>
                    <pic:cNvPicPr/>
                  </pic:nvPicPr>
                  <pic:blipFill>
                    <a:blip r:embed="rId11"/>
                    <a:stretch>
                      <a:fillRect/>
                    </a:stretch>
                  </pic:blipFill>
                  <pic:spPr>
                    <a:xfrm>
                      <a:off x="0" y="0"/>
                      <a:ext cx="2886479" cy="752580"/>
                    </a:xfrm>
                    <a:prstGeom prst="rect">
                      <a:avLst/>
                    </a:prstGeom>
                  </pic:spPr>
                </pic:pic>
              </a:graphicData>
            </a:graphic>
          </wp:inline>
        </w:drawing>
      </w:r>
    </w:p>
    <w:p w14:paraId="1468C46D" w14:textId="78AF7DCD" w:rsidR="00C15139" w:rsidRPr="00A70DA4" w:rsidRDefault="00C15139" w:rsidP="30821638">
      <w:pPr>
        <w:spacing w:after="0"/>
        <w:rPr>
          <w:rFonts w:ascii="Verdana" w:eastAsia="Verdana" w:hAnsi="Verdana" w:cs="Verdana"/>
        </w:rPr>
      </w:pPr>
      <w:r w:rsidRPr="00A70DA4">
        <w:rPr>
          <w:rFonts w:ascii="Verdana" w:hAnsi="Verdana"/>
        </w:rPr>
        <w:tab/>
      </w:r>
    </w:p>
    <w:p w14:paraId="7A21162D" w14:textId="1C1ADAA0" w:rsidR="00616235" w:rsidRPr="00A70DA4" w:rsidRDefault="00616235" w:rsidP="00616235">
      <w:pPr>
        <w:spacing w:after="0" w:line="240" w:lineRule="auto"/>
        <w:rPr>
          <w:rFonts w:ascii="Verdana" w:hAnsi="Verdana"/>
        </w:rPr>
      </w:pPr>
      <w:r w:rsidRPr="00A70DA4">
        <w:rPr>
          <w:rFonts w:ascii="Verdana" w:eastAsia="Calibri" w:hAnsi="Verdana" w:cs="Arial"/>
          <w:color w:val="000000" w:themeColor="text1"/>
          <w:lang w:val="es-ES" w:eastAsia="es-ES"/>
        </w:rPr>
        <w:t>Señor</w:t>
      </w:r>
      <w:r w:rsidR="00D207DB" w:rsidRPr="00A70DA4">
        <w:rPr>
          <w:rFonts w:ascii="Verdana" w:eastAsia="Calibri" w:hAnsi="Verdana" w:cs="Arial"/>
          <w:color w:val="000000" w:themeColor="text1"/>
          <w:lang w:val="es-ES" w:eastAsia="es-ES"/>
        </w:rPr>
        <w:t>a</w:t>
      </w:r>
      <w:r w:rsidRPr="00A70DA4">
        <w:rPr>
          <w:rFonts w:ascii="Verdana" w:eastAsia="Calibri" w:hAnsi="Verdana" w:cs="Arial"/>
          <w:color w:val="000000" w:themeColor="text1"/>
          <w:lang w:val="es-ES" w:eastAsia="es-ES"/>
        </w:rPr>
        <w:t>:</w:t>
      </w:r>
    </w:p>
    <w:p w14:paraId="625CB847" w14:textId="46633CAB" w:rsidR="00616235" w:rsidRPr="00A70DA4" w:rsidRDefault="00D207DB" w:rsidP="00616235">
      <w:pPr>
        <w:spacing w:after="0" w:line="240" w:lineRule="auto"/>
        <w:jc w:val="both"/>
        <w:rPr>
          <w:rFonts w:ascii="Verdana" w:eastAsia="Calibri" w:hAnsi="Verdana" w:cs="Arial"/>
          <w:b/>
          <w:bCs/>
          <w:color w:val="000000" w:themeColor="text1"/>
          <w:lang w:eastAsia="es-ES"/>
        </w:rPr>
      </w:pPr>
      <w:r w:rsidRPr="00A70DA4">
        <w:rPr>
          <w:rFonts w:ascii="Verdana" w:eastAsia="Calibri" w:hAnsi="Verdana" w:cs="Arial"/>
          <w:b/>
          <w:bCs/>
          <w:color w:val="000000" w:themeColor="text1"/>
          <w:lang w:eastAsia="es-ES"/>
        </w:rPr>
        <w:t>Luz Andrea Fajardo Corredor</w:t>
      </w:r>
    </w:p>
    <w:p w14:paraId="2E7B4DDB" w14:textId="249568E8" w:rsidR="00147AD0" w:rsidRPr="00A70DA4" w:rsidRDefault="00147AD0" w:rsidP="00616235">
      <w:pPr>
        <w:spacing w:after="0" w:line="240" w:lineRule="auto"/>
        <w:rPr>
          <w:rFonts w:ascii="Verdana" w:hAnsi="Verdana"/>
        </w:rPr>
      </w:pPr>
      <w:hyperlink r:id="rId12" w:history="1">
        <w:r w:rsidRPr="00A70DA4">
          <w:rPr>
            <w:rStyle w:val="Hipervnculo"/>
            <w:rFonts w:ascii="Verdana" w:hAnsi="Verdana"/>
          </w:rPr>
          <w:t>recepcion@gavinco.com</w:t>
        </w:r>
      </w:hyperlink>
    </w:p>
    <w:p w14:paraId="5ACFA52F" w14:textId="405DF9BB" w:rsidR="00616235" w:rsidRPr="00A70DA4" w:rsidRDefault="00147AD0" w:rsidP="00616235">
      <w:pPr>
        <w:spacing w:after="0" w:line="240" w:lineRule="auto"/>
        <w:rPr>
          <w:rFonts w:ascii="Verdana" w:eastAsia="Calibri" w:hAnsi="Verdana" w:cs="Arial"/>
          <w:color w:val="000000" w:themeColor="text1"/>
          <w:lang w:val="es-ES_tradnl" w:eastAsia="es-ES"/>
        </w:rPr>
      </w:pPr>
      <w:r w:rsidRPr="00A70DA4">
        <w:rPr>
          <w:rFonts w:ascii="Verdana" w:eastAsia="Calibri" w:hAnsi="Verdana" w:cs="Arial"/>
          <w:color w:val="000000" w:themeColor="text1"/>
          <w:lang w:val="es-ES_tradnl" w:eastAsia="es-ES"/>
        </w:rPr>
        <w:t>Bogotá D.C.</w:t>
      </w:r>
    </w:p>
    <w:p w14:paraId="7576A4A5" w14:textId="77777777" w:rsidR="00952181" w:rsidRPr="00A70DA4" w:rsidRDefault="00952181" w:rsidP="00616235">
      <w:pPr>
        <w:spacing w:after="0" w:line="240" w:lineRule="auto"/>
        <w:rPr>
          <w:rFonts w:ascii="Verdana" w:eastAsia="Calibri" w:hAnsi="Verdana" w:cs="Arial"/>
          <w:b/>
          <w:bCs/>
          <w:color w:val="000000" w:themeColor="text1"/>
          <w:lang w:val="es-ES_tradnl" w:eastAsia="es-ES_tradnl"/>
        </w:rPr>
      </w:pPr>
    </w:p>
    <w:p w14:paraId="6B00D89C" w14:textId="0C1512D2" w:rsidR="00616235" w:rsidRPr="00A70DA4" w:rsidRDefault="00616235" w:rsidP="00616235">
      <w:pPr>
        <w:spacing w:after="0" w:line="240" w:lineRule="auto"/>
        <w:rPr>
          <w:rFonts w:ascii="Verdana" w:eastAsia="Calibri" w:hAnsi="Verdana" w:cs="Arial"/>
          <w:b/>
          <w:bCs/>
          <w:color w:val="000000" w:themeColor="text1"/>
          <w:lang w:val="es-ES_tradnl" w:eastAsia="es-ES_tradnl"/>
        </w:rPr>
      </w:pPr>
      <w:r w:rsidRPr="00A70DA4">
        <w:rPr>
          <w:rFonts w:ascii="Verdana" w:eastAsia="Calibri" w:hAnsi="Verdana" w:cs="Arial"/>
          <w:b/>
          <w:bCs/>
          <w:color w:val="000000" w:themeColor="text1"/>
          <w:lang w:val="es-ES_tradnl" w:eastAsia="es-ES_tradnl"/>
        </w:rPr>
        <w:t xml:space="preserve">                                   Concepto </w:t>
      </w:r>
      <w:r w:rsidR="0041721A" w:rsidRPr="00A70DA4">
        <w:rPr>
          <w:rFonts w:ascii="Verdana" w:eastAsia="Calibri" w:hAnsi="Verdana" w:cs="Arial"/>
          <w:b/>
          <w:bCs/>
          <w:color w:val="000000" w:themeColor="text1"/>
          <w:lang w:val="es-ES_tradnl" w:eastAsia="es-ES_tradnl"/>
        </w:rPr>
        <w:t xml:space="preserve">C-694 </w:t>
      </w:r>
      <w:r w:rsidRPr="00A70DA4">
        <w:rPr>
          <w:rFonts w:ascii="Verdana" w:eastAsia="Calibri" w:hAnsi="Verdana" w:cs="Arial"/>
          <w:b/>
          <w:bCs/>
          <w:color w:val="000000" w:themeColor="text1"/>
          <w:lang w:val="es-ES_tradnl" w:eastAsia="es-ES_tradnl"/>
        </w:rPr>
        <w:t>del 2026</w:t>
      </w:r>
    </w:p>
    <w:p w14:paraId="1A82BF07" w14:textId="77777777" w:rsidR="00616235" w:rsidRPr="00A70DA4" w:rsidRDefault="00616235" w:rsidP="00616235">
      <w:pPr>
        <w:spacing w:after="0" w:line="240" w:lineRule="auto"/>
        <w:rPr>
          <w:rFonts w:ascii="Verdana" w:eastAsia="Calibri" w:hAnsi="Verdana" w:cs="Arial"/>
          <w:b/>
          <w:bCs/>
          <w:color w:val="000000" w:themeColor="text1"/>
          <w:highlight w:val="cyan"/>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16235" w:rsidRPr="00A70DA4" w14:paraId="0E3FDFAE" w14:textId="77777777" w:rsidTr="008B2E4B">
        <w:trPr>
          <w:trHeight w:val="884"/>
        </w:trPr>
        <w:tc>
          <w:tcPr>
            <w:tcW w:w="2689" w:type="dxa"/>
          </w:tcPr>
          <w:p w14:paraId="24E727D1" w14:textId="77777777" w:rsidR="00616235" w:rsidRPr="00A70DA4" w:rsidRDefault="00616235" w:rsidP="008B2E4B">
            <w:pPr>
              <w:jc w:val="both"/>
              <w:rPr>
                <w:rFonts w:ascii="Verdana" w:eastAsia="Calibri" w:hAnsi="Verdana" w:cs="Arial"/>
                <w:color w:val="000000" w:themeColor="text1"/>
                <w:lang w:val="es-ES_tradnl" w:eastAsia="es-ES_tradnl"/>
              </w:rPr>
            </w:pPr>
            <w:r w:rsidRPr="00A70DA4">
              <w:rPr>
                <w:rFonts w:ascii="Verdana" w:eastAsia="Calibri" w:hAnsi="Verdana" w:cs="Arial"/>
                <w:b/>
                <w:color w:val="000000" w:themeColor="text1"/>
                <w:lang w:val="es-ES_tradnl" w:eastAsia="es-ES_tradnl"/>
              </w:rPr>
              <w:t>Temas:</w:t>
            </w:r>
            <w:r w:rsidRPr="00A70DA4">
              <w:rPr>
                <w:rFonts w:ascii="Verdana" w:eastAsia="Calibri" w:hAnsi="Verdana" w:cs="Arial"/>
                <w:color w:val="000000" w:themeColor="text1"/>
                <w:lang w:val="es-ES_tradnl" w:eastAsia="es-ES_tradnl"/>
              </w:rPr>
              <w:t xml:space="preserve">                   </w:t>
            </w:r>
          </w:p>
        </w:tc>
        <w:tc>
          <w:tcPr>
            <w:tcW w:w="6100" w:type="dxa"/>
          </w:tcPr>
          <w:p w14:paraId="4B5673D0" w14:textId="55522FAB" w:rsidR="00616235" w:rsidRPr="00A70DA4" w:rsidRDefault="001103ED" w:rsidP="001103ED">
            <w:pPr>
              <w:spacing w:line="276" w:lineRule="auto"/>
              <w:jc w:val="both"/>
              <w:rPr>
                <w:rFonts w:ascii="Verdana" w:eastAsia="Aptos" w:hAnsi="Verdana" w:cs="Times New Roman"/>
              </w:rPr>
            </w:pPr>
            <w:r w:rsidRPr="00A70DA4">
              <w:rPr>
                <w:rFonts w:ascii="Verdana" w:eastAsia="Calibri" w:hAnsi="Verdana" w:cs="Arial"/>
                <w:lang w:val="es-MX" w:eastAsia="es-ES_tradnl"/>
                <w14:ligatures w14:val="standardContextual"/>
              </w:rPr>
              <w:t xml:space="preserve">DETERMINACIÓN DEL VALOR DEL CONTRATO – Etapa de planeación – Metodologías – Factores que inciden / SISTEMA DE FACTOR MULTIPLICADOR – Noción – Costos directos – Imputables al contrato / </w:t>
            </w:r>
            <w:r w:rsidRPr="00A70DA4">
              <w:rPr>
                <w:rFonts w:ascii="Verdana" w:eastAsia="Calibri" w:hAnsi="Verdana" w:cs="Arial"/>
              </w:rPr>
              <w:t xml:space="preserve">REESTRUCTURACIÓN – Factor multiplicador – Ausencia de obligatoriedad – Principio de planeación y buena fe </w:t>
            </w:r>
          </w:p>
          <w:p w14:paraId="3F7F35CD" w14:textId="1834E24B" w:rsidR="00420700" w:rsidRPr="00A70DA4" w:rsidRDefault="00420700" w:rsidP="001103ED">
            <w:pPr>
              <w:spacing w:line="276" w:lineRule="auto"/>
              <w:jc w:val="both"/>
              <w:rPr>
                <w:rFonts w:ascii="Verdana" w:eastAsia="Aptos" w:hAnsi="Verdana" w:cs="Times New Roman"/>
              </w:rPr>
            </w:pPr>
          </w:p>
        </w:tc>
      </w:tr>
      <w:tr w:rsidR="00616235" w:rsidRPr="00A70DA4" w14:paraId="05A28D9F" w14:textId="77777777" w:rsidTr="008B2E4B">
        <w:tc>
          <w:tcPr>
            <w:tcW w:w="2689" w:type="dxa"/>
          </w:tcPr>
          <w:p w14:paraId="4374C065" w14:textId="77777777" w:rsidR="00616235" w:rsidRPr="00A70DA4" w:rsidRDefault="00616235" w:rsidP="008B2E4B">
            <w:pPr>
              <w:jc w:val="both"/>
              <w:rPr>
                <w:rFonts w:ascii="Verdana" w:eastAsia="Calibri" w:hAnsi="Verdana" w:cs="Arial"/>
                <w:b/>
                <w:color w:val="000000" w:themeColor="text1"/>
                <w:lang w:val="es-ES_tradnl" w:eastAsia="es-ES_tradnl"/>
              </w:rPr>
            </w:pPr>
            <w:r w:rsidRPr="00A70DA4">
              <w:rPr>
                <w:rFonts w:ascii="Verdana" w:eastAsia="Calibri" w:hAnsi="Verdana" w:cs="Arial"/>
                <w:b/>
                <w:color w:val="000000" w:themeColor="text1"/>
                <w:lang w:val="es-ES_tradnl" w:eastAsia="es-ES_tradnl"/>
              </w:rPr>
              <w:t>Radicación:</w:t>
            </w:r>
            <w:r w:rsidRPr="00A70DA4">
              <w:rPr>
                <w:rFonts w:ascii="Verdana" w:eastAsia="Calibri" w:hAnsi="Verdana" w:cs="Arial"/>
                <w:color w:val="000000" w:themeColor="text1"/>
                <w:lang w:val="es-ES_tradnl" w:eastAsia="es-ES_tradnl"/>
              </w:rPr>
              <w:t xml:space="preserve">               </w:t>
            </w:r>
          </w:p>
        </w:tc>
        <w:tc>
          <w:tcPr>
            <w:tcW w:w="6100" w:type="dxa"/>
          </w:tcPr>
          <w:p w14:paraId="7105C6A5" w14:textId="33984EF8" w:rsidR="00616235" w:rsidRPr="00A70DA4" w:rsidRDefault="00616235" w:rsidP="00174138">
            <w:pPr>
              <w:spacing w:line="276" w:lineRule="auto"/>
              <w:jc w:val="both"/>
              <w:rPr>
                <w:rFonts w:ascii="Verdana" w:eastAsia="Calibri" w:hAnsi="Verdana" w:cs="Arial"/>
                <w:color w:val="000000" w:themeColor="text1"/>
                <w:lang w:eastAsia="es-ES_tradnl"/>
              </w:rPr>
            </w:pPr>
            <w:r w:rsidRPr="00A70DA4">
              <w:rPr>
                <w:rFonts w:ascii="Verdana" w:eastAsia="Calibri" w:hAnsi="Verdana" w:cs="Arial"/>
                <w:color w:val="000000" w:themeColor="text1"/>
                <w:lang w:val="es-ES_tradnl" w:eastAsia="es-ES_tradnl"/>
              </w:rPr>
              <w:t>Respuesta a consulta con radicado No.</w:t>
            </w:r>
            <w:r w:rsidRPr="00A70DA4">
              <w:rPr>
                <w:rFonts w:ascii="Verdana" w:hAnsi="Verdana"/>
              </w:rPr>
              <w:t xml:space="preserve"> </w:t>
            </w:r>
            <w:r w:rsidR="00AA0AB4" w:rsidRPr="00A70DA4">
              <w:rPr>
                <w:rFonts w:ascii="Verdana" w:hAnsi="Verdana"/>
              </w:rPr>
              <w:t>1_2026_04_27_005718</w:t>
            </w:r>
          </w:p>
        </w:tc>
      </w:tr>
    </w:tbl>
    <w:p w14:paraId="481FD2F8" w14:textId="77777777" w:rsidR="00616235" w:rsidRPr="00A70DA4" w:rsidRDefault="00616235" w:rsidP="00616235">
      <w:pPr>
        <w:spacing w:after="0" w:line="276" w:lineRule="auto"/>
        <w:jc w:val="both"/>
        <w:rPr>
          <w:rFonts w:ascii="Verdana" w:eastAsia="Calibri" w:hAnsi="Verdana" w:cs="Arial"/>
          <w:color w:val="000000" w:themeColor="text1"/>
          <w:highlight w:val="cyan"/>
          <w:lang w:val="es-ES" w:eastAsia="es-ES"/>
        </w:rPr>
      </w:pPr>
    </w:p>
    <w:p w14:paraId="07ED5581" w14:textId="509575F0" w:rsidR="00616235" w:rsidRPr="00A70DA4" w:rsidRDefault="00616235" w:rsidP="00616235">
      <w:pPr>
        <w:spacing w:after="0" w:line="276" w:lineRule="auto"/>
        <w:jc w:val="both"/>
        <w:rPr>
          <w:rFonts w:ascii="Verdana" w:eastAsia="Calibri" w:hAnsi="Verdana" w:cs="Arial"/>
          <w:color w:val="000000" w:themeColor="text1"/>
          <w:lang w:val="es-ES" w:eastAsia="es-ES"/>
        </w:rPr>
      </w:pPr>
      <w:r w:rsidRPr="00A70DA4">
        <w:rPr>
          <w:rFonts w:ascii="Verdana" w:eastAsia="Calibri" w:hAnsi="Verdana" w:cs="Arial"/>
          <w:color w:val="000000" w:themeColor="text1"/>
          <w:lang w:val="es-ES" w:eastAsia="es-ES"/>
        </w:rPr>
        <w:t>Estimad</w:t>
      </w:r>
      <w:r w:rsidR="00D207DB" w:rsidRPr="00A70DA4">
        <w:rPr>
          <w:rFonts w:ascii="Verdana" w:eastAsia="Calibri" w:hAnsi="Verdana" w:cs="Arial"/>
          <w:color w:val="000000" w:themeColor="text1"/>
          <w:lang w:val="es-ES" w:eastAsia="es-ES"/>
        </w:rPr>
        <w:t>a</w:t>
      </w:r>
      <w:r w:rsidRPr="00A70DA4">
        <w:rPr>
          <w:rFonts w:ascii="Verdana" w:eastAsia="Calibri" w:hAnsi="Verdana" w:cs="Arial"/>
          <w:color w:val="000000" w:themeColor="text1"/>
          <w:lang w:val="es-ES" w:eastAsia="es-ES"/>
        </w:rPr>
        <w:t xml:space="preserve"> señor</w:t>
      </w:r>
      <w:r w:rsidR="00D207DB" w:rsidRPr="00A70DA4">
        <w:rPr>
          <w:rFonts w:ascii="Verdana" w:eastAsia="Calibri" w:hAnsi="Verdana" w:cs="Arial"/>
          <w:color w:val="000000" w:themeColor="text1"/>
          <w:lang w:val="es-ES" w:eastAsia="es-ES"/>
        </w:rPr>
        <w:t>a</w:t>
      </w:r>
      <w:r w:rsidRPr="00A70DA4">
        <w:rPr>
          <w:rFonts w:ascii="Verdana" w:eastAsia="Calibri" w:hAnsi="Verdana" w:cs="Arial"/>
          <w:color w:val="000000" w:themeColor="text1"/>
          <w:lang w:val="es-ES" w:eastAsia="es-ES"/>
        </w:rPr>
        <w:t xml:space="preserve"> </w:t>
      </w:r>
      <w:r w:rsidR="00D207DB" w:rsidRPr="00A70DA4">
        <w:rPr>
          <w:rFonts w:ascii="Verdana" w:eastAsia="Calibri" w:hAnsi="Verdana" w:cs="Arial"/>
          <w:color w:val="000000" w:themeColor="text1"/>
          <w:lang w:val="es-ES" w:eastAsia="es-ES"/>
        </w:rPr>
        <w:t>Fajardo</w:t>
      </w:r>
      <w:r w:rsidRPr="00A70DA4">
        <w:rPr>
          <w:rFonts w:ascii="Verdana" w:eastAsia="Calibri" w:hAnsi="Verdana" w:cs="Arial"/>
          <w:color w:val="000000" w:themeColor="text1"/>
          <w:lang w:val="es-ES" w:eastAsia="es-ES"/>
        </w:rPr>
        <w:t xml:space="preserve">: </w:t>
      </w:r>
    </w:p>
    <w:p w14:paraId="36F5EE6F" w14:textId="77777777" w:rsidR="00616235" w:rsidRPr="00A70DA4" w:rsidRDefault="00616235" w:rsidP="00616235">
      <w:pPr>
        <w:spacing w:after="0" w:line="276" w:lineRule="auto"/>
        <w:rPr>
          <w:rFonts w:ascii="Verdana" w:eastAsia="Times New Roman" w:hAnsi="Verdana" w:cs="Segoe UI"/>
          <w:highlight w:val="cyan"/>
          <w:lang w:eastAsia="es-CO"/>
        </w:rPr>
      </w:pPr>
    </w:p>
    <w:p w14:paraId="13C8F77C" w14:textId="77686A25" w:rsidR="00616235" w:rsidRPr="00A70DA4" w:rsidRDefault="00616235" w:rsidP="00616235">
      <w:pPr>
        <w:spacing w:after="0" w:line="276" w:lineRule="auto"/>
        <w:jc w:val="both"/>
        <w:rPr>
          <w:rFonts w:ascii="Verdana" w:eastAsia="Calibri" w:hAnsi="Verdana" w:cs="Arial"/>
          <w:lang w:val="es-ES" w:eastAsia="es-ES"/>
        </w:rPr>
      </w:pPr>
      <w:r w:rsidRPr="00A70DA4">
        <w:rPr>
          <w:rFonts w:ascii="Verdana" w:eastAsia="Calibri" w:hAnsi="Verdana" w:cs="Arial"/>
          <w:lang w:val="es-ES" w:eastAsia="es-ES"/>
        </w:rPr>
        <w:t>En ejercicio de la competencia otorgada por los artículos 3, numeral 5º, y 11, numeral 8º, del Decreto Ley 4170 de 2011,</w:t>
      </w:r>
      <w:r w:rsidRPr="00A70DA4">
        <w:rPr>
          <w:rFonts w:ascii="Verdana" w:eastAsia="Arial MT" w:hAnsi="Verdana" w:cs="Arial"/>
          <w:lang w:val="es-ES" w:eastAsia="es-ES"/>
        </w:rPr>
        <w:t xml:space="preserve"> </w:t>
      </w:r>
      <w:r w:rsidRPr="00A70DA4">
        <w:rPr>
          <w:rFonts w:ascii="Verdana" w:hAnsi="Verdana" w:cs="Arial"/>
        </w:rPr>
        <w:t xml:space="preserve">así como lo establecido en el artículo 4 de la Resolución 1707 de 2018 expedida por esta Entidad, </w:t>
      </w:r>
      <w:r w:rsidRPr="00A70DA4">
        <w:rPr>
          <w:rFonts w:ascii="Verdana" w:eastAsia="Calibri" w:hAnsi="Verdana" w:cs="Arial"/>
          <w:lang w:val="es-ES" w:eastAsia="es-ES"/>
        </w:rPr>
        <w:t xml:space="preserve">la Agencia Nacional de Contratación Pública – Colombia Compra Eficiente– responde su solicitud radicada el </w:t>
      </w:r>
      <w:r w:rsidR="006B7ED2" w:rsidRPr="00A70DA4">
        <w:rPr>
          <w:rFonts w:ascii="Verdana" w:eastAsia="Calibri" w:hAnsi="Verdana" w:cs="Arial"/>
          <w:lang w:val="es-ES" w:eastAsia="es-ES"/>
        </w:rPr>
        <w:t>27 de abril del 2026</w:t>
      </w:r>
      <w:r w:rsidRPr="00A70DA4">
        <w:rPr>
          <w:rFonts w:ascii="Verdana" w:eastAsia="Calibri" w:hAnsi="Verdana" w:cs="Arial"/>
          <w:lang w:val="es-ES" w:eastAsia="es-ES"/>
        </w:rPr>
        <w:t xml:space="preserve">, en la cual manifiesta lo siguiente: </w:t>
      </w:r>
    </w:p>
    <w:p w14:paraId="1FCB1DC0" w14:textId="77777777" w:rsidR="00616235" w:rsidRPr="00A70DA4" w:rsidRDefault="00616235" w:rsidP="00616235">
      <w:pPr>
        <w:spacing w:after="0" w:line="276" w:lineRule="auto"/>
        <w:jc w:val="both"/>
        <w:rPr>
          <w:rFonts w:ascii="Verdana" w:eastAsia="Calibri" w:hAnsi="Verdana" w:cs="Arial"/>
          <w:highlight w:val="cyan"/>
          <w:lang w:val="es-ES" w:eastAsia="es-ES"/>
        </w:rPr>
      </w:pPr>
    </w:p>
    <w:p w14:paraId="4A6453E4" w14:textId="77777777" w:rsidR="00BD1659" w:rsidRPr="00A70DA4" w:rsidRDefault="00616235" w:rsidP="00BD1659">
      <w:pPr>
        <w:spacing w:after="0" w:line="240" w:lineRule="auto"/>
        <w:ind w:left="709" w:right="709"/>
        <w:jc w:val="both"/>
        <w:rPr>
          <w:rFonts w:ascii="Verdana" w:eastAsia="Century Gothic" w:hAnsi="Verdana" w:cs="Arial"/>
          <w:sz w:val="20"/>
          <w:szCs w:val="20"/>
        </w:rPr>
      </w:pPr>
      <w:r w:rsidRPr="00A70DA4">
        <w:rPr>
          <w:rFonts w:ascii="Verdana" w:eastAsia="Century Gothic" w:hAnsi="Verdana" w:cs="Arial"/>
          <w:sz w:val="20"/>
          <w:szCs w:val="20"/>
          <w:lang w:val="es-ES"/>
        </w:rPr>
        <w:t xml:space="preserve">“[…] 1. </w:t>
      </w:r>
      <w:r w:rsidR="00BD1659" w:rsidRPr="00A70DA4">
        <w:rPr>
          <w:rFonts w:ascii="Verdana" w:eastAsia="Century Gothic" w:hAnsi="Verdana" w:cs="Arial"/>
          <w:sz w:val="20"/>
          <w:szCs w:val="20"/>
        </w:rPr>
        <w:t xml:space="preserve">Inicialmente agradecemos a Colombia Compra Eficiente indicar si, ¿Existe una lista taxativa de los conceptos que deben integrar los Gastos Generales (Administración) dentro del factor multiplicador? </w:t>
      </w:r>
    </w:p>
    <w:p w14:paraId="601AEB8C" w14:textId="77777777" w:rsidR="00BD1659" w:rsidRPr="00A70DA4" w:rsidRDefault="00BD1659" w:rsidP="00BD1659">
      <w:pPr>
        <w:spacing w:after="0" w:line="240" w:lineRule="auto"/>
        <w:ind w:left="709" w:right="709"/>
        <w:jc w:val="both"/>
        <w:rPr>
          <w:rFonts w:ascii="Verdana" w:eastAsia="Century Gothic" w:hAnsi="Verdana" w:cs="Arial"/>
          <w:sz w:val="20"/>
          <w:szCs w:val="20"/>
        </w:rPr>
      </w:pPr>
    </w:p>
    <w:p w14:paraId="25D5E857" w14:textId="77777777" w:rsidR="00BD1659" w:rsidRPr="00A70DA4" w:rsidRDefault="00BD1659" w:rsidP="00BD1659">
      <w:pPr>
        <w:spacing w:after="0" w:line="240" w:lineRule="auto"/>
        <w:ind w:left="709" w:right="709"/>
        <w:jc w:val="both"/>
        <w:rPr>
          <w:rFonts w:ascii="Verdana" w:eastAsia="Century Gothic" w:hAnsi="Verdana" w:cs="Arial"/>
          <w:sz w:val="20"/>
          <w:szCs w:val="20"/>
        </w:rPr>
      </w:pPr>
      <w:r w:rsidRPr="00A70DA4">
        <w:rPr>
          <w:rFonts w:ascii="Verdana" w:eastAsia="Century Gothic" w:hAnsi="Verdana" w:cs="Arial"/>
          <w:sz w:val="20"/>
          <w:szCs w:val="20"/>
        </w:rPr>
        <w:t xml:space="preserve">2. ¿Qué rubros técnicos o administrativos se consideran estrictamente parte del multiplicador y cuáles deberían manejarse de forma independiente? </w:t>
      </w:r>
    </w:p>
    <w:p w14:paraId="7FD23B5D" w14:textId="77777777" w:rsidR="00BD1659" w:rsidRPr="00A70DA4" w:rsidRDefault="00BD1659" w:rsidP="00BD1659">
      <w:pPr>
        <w:spacing w:after="0" w:line="240" w:lineRule="auto"/>
        <w:ind w:left="709" w:right="709"/>
        <w:jc w:val="both"/>
        <w:rPr>
          <w:rFonts w:ascii="Verdana" w:eastAsia="Century Gothic" w:hAnsi="Verdana" w:cs="Arial"/>
          <w:sz w:val="20"/>
          <w:szCs w:val="20"/>
        </w:rPr>
      </w:pPr>
    </w:p>
    <w:p w14:paraId="0B7F115E" w14:textId="06F964B1" w:rsidR="00BD1659" w:rsidRPr="00A70DA4" w:rsidRDefault="00BD1659" w:rsidP="00BD1659">
      <w:pPr>
        <w:spacing w:after="0" w:line="240" w:lineRule="auto"/>
        <w:ind w:left="709" w:right="709"/>
        <w:jc w:val="both"/>
        <w:rPr>
          <w:rFonts w:ascii="Verdana" w:eastAsia="Century Gothic" w:hAnsi="Verdana" w:cs="Arial"/>
          <w:sz w:val="20"/>
          <w:szCs w:val="20"/>
        </w:rPr>
      </w:pPr>
      <w:r w:rsidRPr="00A70DA4">
        <w:rPr>
          <w:rFonts w:ascii="Verdana" w:eastAsia="Century Gothic" w:hAnsi="Verdana" w:cs="Arial"/>
          <w:sz w:val="20"/>
          <w:szCs w:val="20"/>
        </w:rPr>
        <w:t xml:space="preserve">3. ¿Los impuestos y </w:t>
      </w:r>
      <w:r w:rsidR="001E3C7C" w:rsidRPr="00A70DA4">
        <w:rPr>
          <w:rFonts w:ascii="Verdana" w:eastAsia="Century Gothic" w:hAnsi="Verdana" w:cs="Arial"/>
          <w:sz w:val="20"/>
          <w:szCs w:val="20"/>
        </w:rPr>
        <w:t>estampillas</w:t>
      </w:r>
      <w:r w:rsidRPr="00A70DA4">
        <w:rPr>
          <w:rFonts w:ascii="Verdana" w:eastAsia="Century Gothic" w:hAnsi="Verdana" w:cs="Arial"/>
          <w:sz w:val="20"/>
          <w:szCs w:val="20"/>
        </w:rPr>
        <w:t xml:space="preserve"> pueden incluirse dentro de la discriminación del factor multiplicador? </w:t>
      </w:r>
    </w:p>
    <w:p w14:paraId="70EDA1FA" w14:textId="77777777" w:rsidR="00BD1659" w:rsidRPr="00A70DA4" w:rsidRDefault="00BD1659" w:rsidP="00BD1659">
      <w:pPr>
        <w:spacing w:after="0" w:line="240" w:lineRule="auto"/>
        <w:ind w:left="709" w:right="709"/>
        <w:jc w:val="both"/>
        <w:rPr>
          <w:rFonts w:ascii="Verdana" w:eastAsia="Century Gothic" w:hAnsi="Verdana" w:cs="Arial"/>
          <w:sz w:val="20"/>
          <w:szCs w:val="20"/>
        </w:rPr>
      </w:pPr>
    </w:p>
    <w:p w14:paraId="33ED76F5" w14:textId="77777777" w:rsidR="00BD1659" w:rsidRPr="00A70DA4" w:rsidRDefault="00BD1659" w:rsidP="00BD1659">
      <w:pPr>
        <w:spacing w:after="0" w:line="240" w:lineRule="auto"/>
        <w:ind w:left="709" w:right="709"/>
        <w:jc w:val="both"/>
        <w:rPr>
          <w:rFonts w:ascii="Verdana" w:eastAsia="Century Gothic" w:hAnsi="Verdana" w:cs="Arial"/>
          <w:sz w:val="20"/>
          <w:szCs w:val="20"/>
        </w:rPr>
      </w:pPr>
      <w:r w:rsidRPr="00A70DA4">
        <w:rPr>
          <w:rFonts w:ascii="Verdana" w:eastAsia="Century Gothic" w:hAnsi="Verdana" w:cs="Arial"/>
          <w:sz w:val="20"/>
          <w:szCs w:val="20"/>
        </w:rPr>
        <w:t xml:space="preserve">4. ¿Existen lineamientos actualizados sobre los porcentajes razonables de utilidad que deben aceptarse en la estructura de precios para servicios? </w:t>
      </w:r>
    </w:p>
    <w:p w14:paraId="780CBB67" w14:textId="77777777" w:rsidR="00BD1659" w:rsidRPr="00A70DA4" w:rsidRDefault="00BD1659" w:rsidP="00BD1659">
      <w:pPr>
        <w:spacing w:after="0" w:line="240" w:lineRule="auto"/>
        <w:ind w:left="709" w:right="709"/>
        <w:jc w:val="both"/>
        <w:rPr>
          <w:rFonts w:ascii="Verdana" w:eastAsia="Century Gothic" w:hAnsi="Verdana" w:cs="Arial"/>
          <w:sz w:val="20"/>
          <w:szCs w:val="20"/>
        </w:rPr>
      </w:pPr>
    </w:p>
    <w:p w14:paraId="5A6B26A6" w14:textId="77777777" w:rsidR="00BD1659" w:rsidRPr="00A70DA4" w:rsidRDefault="00BD1659" w:rsidP="00BD1659">
      <w:pPr>
        <w:spacing w:after="0" w:line="240" w:lineRule="auto"/>
        <w:ind w:left="709" w:right="709"/>
        <w:jc w:val="both"/>
        <w:rPr>
          <w:rFonts w:ascii="Verdana" w:eastAsia="Century Gothic" w:hAnsi="Verdana" w:cs="Arial"/>
          <w:sz w:val="20"/>
          <w:szCs w:val="20"/>
        </w:rPr>
      </w:pPr>
      <w:r w:rsidRPr="00A70DA4">
        <w:rPr>
          <w:rFonts w:ascii="Verdana" w:eastAsia="Century Gothic" w:hAnsi="Verdana" w:cs="Arial"/>
          <w:sz w:val="20"/>
          <w:szCs w:val="20"/>
        </w:rPr>
        <w:t xml:space="preserve">5. ¿Qué gastos no son permitidos incluir en el Factor Multiplicador? </w:t>
      </w:r>
    </w:p>
    <w:p w14:paraId="04A5E436" w14:textId="77777777" w:rsidR="00BD1659" w:rsidRPr="00A70DA4" w:rsidRDefault="00BD1659" w:rsidP="00BD1659">
      <w:pPr>
        <w:spacing w:after="0" w:line="240" w:lineRule="auto"/>
        <w:ind w:left="709" w:right="709"/>
        <w:jc w:val="both"/>
        <w:rPr>
          <w:rFonts w:ascii="Verdana" w:eastAsia="Century Gothic" w:hAnsi="Verdana" w:cs="Arial"/>
          <w:sz w:val="20"/>
          <w:szCs w:val="20"/>
        </w:rPr>
      </w:pPr>
    </w:p>
    <w:p w14:paraId="741C3C7B" w14:textId="5BB688AB" w:rsidR="00616235" w:rsidRPr="00A70DA4" w:rsidRDefault="00BD1659" w:rsidP="00BD1659">
      <w:pPr>
        <w:spacing w:after="0" w:line="240" w:lineRule="auto"/>
        <w:ind w:left="709" w:right="709"/>
        <w:jc w:val="both"/>
        <w:rPr>
          <w:rFonts w:ascii="Verdana" w:eastAsia="Century Gothic" w:hAnsi="Verdana" w:cs="Arial"/>
          <w:sz w:val="20"/>
          <w:szCs w:val="20"/>
        </w:rPr>
      </w:pPr>
      <w:r w:rsidRPr="00A70DA4">
        <w:rPr>
          <w:rFonts w:ascii="Verdana" w:eastAsia="Century Gothic" w:hAnsi="Verdana" w:cs="Arial"/>
          <w:sz w:val="20"/>
          <w:szCs w:val="20"/>
        </w:rPr>
        <w:t xml:space="preserve">6. En caso de que los impuestos y estampillas, no puedan ser incluidos en la estructuración del Factor Multiplicador, agradecemos indicar como pueden ser cobrados, si los mismos no hacen parte de la propuesta económica entregada. </w:t>
      </w:r>
      <w:r w:rsidR="00616235" w:rsidRPr="00A70DA4">
        <w:rPr>
          <w:rFonts w:ascii="Verdana" w:eastAsia="Century Gothic" w:hAnsi="Verdana" w:cs="Arial"/>
          <w:sz w:val="20"/>
          <w:szCs w:val="20"/>
        </w:rPr>
        <w:t>[…]”</w:t>
      </w:r>
    </w:p>
    <w:p w14:paraId="7A4938EF" w14:textId="77777777" w:rsidR="00616235" w:rsidRPr="00A70DA4" w:rsidRDefault="00616235" w:rsidP="00616235">
      <w:pPr>
        <w:spacing w:after="0"/>
        <w:jc w:val="both"/>
        <w:rPr>
          <w:rFonts w:ascii="Verdana" w:hAnsi="Verdana" w:cs="Arial"/>
          <w:highlight w:val="cyan"/>
          <w:lang w:val="es-ES"/>
        </w:rPr>
      </w:pPr>
    </w:p>
    <w:p w14:paraId="661A2B92" w14:textId="77777777" w:rsidR="00616235" w:rsidRPr="00A70DA4" w:rsidRDefault="00616235" w:rsidP="00616235">
      <w:pPr>
        <w:spacing w:after="120" w:line="276" w:lineRule="auto"/>
        <w:ind w:firstLine="709"/>
        <w:jc w:val="both"/>
        <w:rPr>
          <w:rFonts w:ascii="Verdana" w:eastAsia="Calibri" w:hAnsi="Verdana" w:cs="Arial"/>
          <w:color w:val="000000"/>
          <w:lang w:val="es-ES_tradnl" w:eastAsia="es-ES_tradnl"/>
        </w:rPr>
      </w:pPr>
      <w:r w:rsidRPr="00A70DA4">
        <w:rPr>
          <w:rFonts w:ascii="Verdana" w:eastAsia="Calibri" w:hAnsi="Verdana"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15067EE5" w14:textId="77777777" w:rsidR="00616235" w:rsidRPr="00A70DA4" w:rsidRDefault="00616235" w:rsidP="00616235">
      <w:pPr>
        <w:spacing w:after="0" w:line="276" w:lineRule="auto"/>
        <w:ind w:firstLine="709"/>
        <w:jc w:val="both"/>
        <w:rPr>
          <w:rFonts w:ascii="Verdana" w:eastAsia="Calibri" w:hAnsi="Verdana" w:cs="Arial"/>
          <w:color w:val="000000"/>
          <w:lang w:val="es-ES" w:eastAsia="es-ES"/>
        </w:rPr>
      </w:pPr>
      <w:r w:rsidRPr="00A70DA4">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353EDE86" w14:textId="77777777" w:rsidR="00616235" w:rsidRPr="00A70DA4" w:rsidRDefault="00616235" w:rsidP="00616235">
      <w:pPr>
        <w:spacing w:after="0" w:line="276" w:lineRule="auto"/>
        <w:jc w:val="both"/>
        <w:rPr>
          <w:rStyle w:val="Hipervnculo"/>
          <w:rFonts w:ascii="Verdana" w:hAnsi="Verdana"/>
          <w:u w:val="none"/>
          <w:lang w:val="es-ES"/>
        </w:rPr>
      </w:pPr>
    </w:p>
    <w:p w14:paraId="47EB9185" w14:textId="77777777" w:rsidR="00616235" w:rsidRPr="00A70DA4" w:rsidRDefault="00616235" w:rsidP="0061623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Arial"/>
          <w:b/>
          <w:bCs/>
        </w:rPr>
      </w:pPr>
      <w:r w:rsidRPr="00A70DA4">
        <w:rPr>
          <w:rFonts w:ascii="Verdana" w:eastAsia="Century Gothic" w:hAnsi="Verdana" w:cs="Arial"/>
          <w:b/>
          <w:bCs/>
        </w:rPr>
        <w:t>Problemas planteados:</w:t>
      </w:r>
    </w:p>
    <w:p w14:paraId="333A892A" w14:textId="77777777" w:rsidR="00616235" w:rsidRPr="00A70DA4" w:rsidRDefault="00616235" w:rsidP="00616235">
      <w:pPr>
        <w:spacing w:after="0" w:line="276" w:lineRule="auto"/>
        <w:jc w:val="both"/>
        <w:rPr>
          <w:rStyle w:val="Hipervnculo"/>
          <w:rFonts w:ascii="Verdana" w:hAnsi="Verdana" w:cs="Arial"/>
          <w:highlight w:val="cyan"/>
        </w:rPr>
      </w:pPr>
    </w:p>
    <w:p w14:paraId="67ACCEAC" w14:textId="2107DE01" w:rsidR="00616235" w:rsidRPr="00A70DA4" w:rsidRDefault="00616235" w:rsidP="00616235">
      <w:pPr>
        <w:spacing w:after="0" w:line="276" w:lineRule="auto"/>
        <w:jc w:val="both"/>
        <w:rPr>
          <w:rFonts w:ascii="Verdana" w:eastAsia="Century Gothic" w:hAnsi="Verdana" w:cs="Century Gothic"/>
          <w:color w:val="000000" w:themeColor="text1"/>
        </w:rPr>
      </w:pPr>
      <w:r w:rsidRPr="00A70DA4">
        <w:rPr>
          <w:rFonts w:ascii="Verdana" w:eastAsia="Century Gothic" w:hAnsi="Verdana" w:cs="Arial"/>
        </w:rPr>
        <w:t xml:space="preserve">De acuerdo con el contenido de su solicitud, esta Agencia resolverá </w:t>
      </w:r>
      <w:r w:rsidR="00D83480" w:rsidRPr="00A70DA4">
        <w:rPr>
          <w:rFonts w:ascii="Verdana" w:eastAsia="Century Gothic" w:hAnsi="Verdana" w:cs="Arial"/>
        </w:rPr>
        <w:t>el</w:t>
      </w:r>
      <w:r w:rsidRPr="00A70DA4">
        <w:rPr>
          <w:rFonts w:ascii="Verdana" w:eastAsia="Century Gothic" w:hAnsi="Verdana" w:cs="Arial"/>
        </w:rPr>
        <w:t xml:space="preserve"> siguiente problema</w:t>
      </w:r>
      <w:r w:rsidR="00D83480" w:rsidRPr="00A70DA4">
        <w:rPr>
          <w:rFonts w:ascii="Verdana" w:eastAsia="Century Gothic" w:hAnsi="Verdana" w:cs="Arial"/>
        </w:rPr>
        <w:t xml:space="preserve"> </w:t>
      </w:r>
      <w:r w:rsidRPr="00A70DA4">
        <w:rPr>
          <w:rFonts w:ascii="Verdana" w:eastAsia="Century Gothic" w:hAnsi="Verdana" w:cs="Arial"/>
        </w:rPr>
        <w:t xml:space="preserve">jurídico: </w:t>
      </w:r>
      <w:r w:rsidR="004830DA" w:rsidRPr="00A70DA4">
        <w:rPr>
          <w:rFonts w:ascii="Verdana" w:eastAsia="Century Gothic" w:hAnsi="Verdana" w:cs="Century Gothic"/>
        </w:rPr>
        <w:t>¿Cuáles son los parámetros para la estimación de precios</w:t>
      </w:r>
      <w:r w:rsidR="001856CB" w:rsidRPr="00A70DA4">
        <w:rPr>
          <w:rFonts w:ascii="Verdana" w:eastAsia="Century Gothic" w:hAnsi="Verdana" w:cs="Century Gothic"/>
        </w:rPr>
        <w:t xml:space="preserve"> </w:t>
      </w:r>
      <w:r w:rsidR="004830DA" w:rsidRPr="00A70DA4">
        <w:rPr>
          <w:rFonts w:ascii="Verdana" w:eastAsia="Century Gothic" w:hAnsi="Verdana" w:cs="Century Gothic"/>
        </w:rPr>
        <w:t>relacionados con el factor multiplicador?</w:t>
      </w:r>
      <w:r w:rsidR="00C50522" w:rsidRPr="00A70DA4">
        <w:rPr>
          <w:rFonts w:ascii="Verdana" w:eastAsia="Century Gothic" w:hAnsi="Verdana" w:cs="Century Gothic"/>
        </w:rPr>
        <w:t xml:space="preserve"> </w:t>
      </w:r>
    </w:p>
    <w:p w14:paraId="6B818216" w14:textId="77777777" w:rsidR="00616235" w:rsidRPr="00A70DA4" w:rsidRDefault="00616235" w:rsidP="00616235">
      <w:pPr>
        <w:spacing w:after="0" w:line="276" w:lineRule="auto"/>
        <w:jc w:val="both"/>
        <w:rPr>
          <w:rStyle w:val="Hipervnculo"/>
          <w:rFonts w:ascii="Verdana" w:hAnsi="Verdana" w:cs="Arial"/>
          <w:highlight w:val="cyan"/>
        </w:rPr>
      </w:pPr>
    </w:p>
    <w:p w14:paraId="62686B85" w14:textId="77777777" w:rsidR="00616235" w:rsidRPr="00A70DA4" w:rsidRDefault="00616235" w:rsidP="00616235">
      <w:pPr>
        <w:pStyle w:val="Prrafodelista"/>
        <w:widowControl w:val="0"/>
        <w:numPr>
          <w:ilvl w:val="0"/>
          <w:numId w:val="16"/>
        </w:numPr>
        <w:autoSpaceDE w:val="0"/>
        <w:autoSpaceDN w:val="0"/>
        <w:spacing w:after="0" w:line="276" w:lineRule="auto"/>
        <w:ind w:left="360"/>
        <w:contextualSpacing w:val="0"/>
        <w:jc w:val="both"/>
        <w:outlineLvl w:val="0"/>
        <w:rPr>
          <w:rFonts w:ascii="Verdana" w:eastAsia="Arial" w:hAnsi="Verdana" w:cs="Arial"/>
          <w:b/>
          <w:bCs/>
        </w:rPr>
      </w:pPr>
      <w:r w:rsidRPr="00A70DA4">
        <w:rPr>
          <w:rFonts w:ascii="Verdana" w:eastAsia="Arial" w:hAnsi="Verdana" w:cs="Arial"/>
          <w:b/>
          <w:bCs/>
        </w:rPr>
        <w:t>Respuesta:</w:t>
      </w:r>
    </w:p>
    <w:p w14:paraId="5AF1ABF3" w14:textId="77777777" w:rsidR="00616235" w:rsidRPr="00A70DA4" w:rsidRDefault="00616235" w:rsidP="00616235">
      <w:pPr>
        <w:spacing w:after="0" w:line="276" w:lineRule="auto"/>
        <w:rPr>
          <w:rFonts w:ascii="Verdana" w:eastAsia="Aptos" w:hAnsi="Verdana" w:cs="Arial"/>
          <w:highlight w:val="cy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16235" w:rsidRPr="00A70DA4" w14:paraId="22493682" w14:textId="77777777" w:rsidTr="008B2E4B">
        <w:tc>
          <w:tcPr>
            <w:tcW w:w="8828" w:type="dxa"/>
          </w:tcPr>
          <w:p w14:paraId="045E72EE" w14:textId="77777777" w:rsidR="00616235" w:rsidRPr="00A70DA4" w:rsidRDefault="00616235" w:rsidP="00301AF8">
            <w:pPr>
              <w:spacing w:after="120" w:line="276" w:lineRule="auto"/>
              <w:jc w:val="both"/>
              <w:rPr>
                <w:rFonts w:ascii="Verdana" w:hAnsi="Verdana" w:cs="Arial"/>
                <w:color w:val="000000" w:themeColor="text1"/>
              </w:rPr>
            </w:pPr>
            <w:bookmarkStart w:id="1" w:name="_Hlk171067516"/>
            <w:r w:rsidRPr="00A70DA4">
              <w:rPr>
                <w:rFonts w:ascii="Verdana" w:hAnsi="Verdana" w:cs="Arial"/>
                <w:color w:val="000000" w:themeColor="text1"/>
              </w:rPr>
              <w:t>En respuesta a los problemas antes planteados esta Subdirección manifiesta lo siguiente:</w:t>
            </w:r>
          </w:p>
          <w:p w14:paraId="00DC48FB" w14:textId="77777777" w:rsidR="00BC37FF" w:rsidRPr="00A70DA4" w:rsidRDefault="00616235" w:rsidP="00301AF8">
            <w:pPr>
              <w:spacing w:after="120" w:line="276" w:lineRule="auto"/>
              <w:ind w:firstLine="737"/>
              <w:jc w:val="both"/>
              <w:rPr>
                <w:rFonts w:ascii="Verdana" w:eastAsia="Calibri" w:hAnsi="Verdana" w:cs="Arial"/>
                <w:color w:val="000000" w:themeColor="text1"/>
                <w:lang w:eastAsia="es-CO"/>
              </w:rPr>
            </w:pPr>
            <w:r w:rsidRPr="00A70DA4">
              <w:rPr>
                <w:rFonts w:ascii="Verdana" w:eastAsia="Calibri" w:hAnsi="Verdana" w:cs="Arial"/>
                <w:i/>
                <w:color w:val="000000" w:themeColor="text1"/>
              </w:rPr>
              <w:t>En primer lugar</w:t>
            </w:r>
            <w:r w:rsidRPr="00A70DA4">
              <w:rPr>
                <w:rFonts w:ascii="Verdana" w:hAnsi="Verdana" w:cs="Arial"/>
              </w:rPr>
              <w:t xml:space="preserve">, debe señalarse </w:t>
            </w:r>
            <w:r w:rsidRPr="00A70DA4">
              <w:rPr>
                <w:rFonts w:ascii="Verdana" w:eastAsia="Calibri" w:hAnsi="Verdana" w:cs="Arial"/>
                <w:color w:val="000000" w:themeColor="text1"/>
              </w:rPr>
              <w:t xml:space="preserve">que </w:t>
            </w:r>
            <w:r w:rsidR="00E036DD" w:rsidRPr="00A70DA4">
              <w:rPr>
                <w:rFonts w:ascii="Verdana" w:eastAsia="Calibri" w:hAnsi="Verdana" w:cs="Arial"/>
                <w:color w:val="000000" w:themeColor="text1"/>
              </w:rPr>
              <w:t>l</w:t>
            </w:r>
            <w:r w:rsidR="00E036DD" w:rsidRPr="00A70DA4">
              <w:rPr>
                <w:rFonts w:ascii="Verdana" w:eastAsia="Calibri" w:hAnsi="Verdana" w:cs="Arial"/>
                <w:color w:val="000000" w:themeColor="text1"/>
                <w:lang w:eastAsia="es-CO"/>
              </w:rPr>
              <w:t>os sistemas de fijación de precios no son asuntos expresamente regulados en las disposiciones legales o reglamentarias que integran la normativa contractual del Estado. En ese sentido, las metodologías para la configuración del precio del contrato, que son determinantes para la elaboración de la propuesta económica, no proceden de la ley ni del reglamento, sino de la costumbre. Las entidades gozan de autonomía para la estructuración de las condiciones del negocio jurídico, determinando el sistema más apropiado para satisfacer los fines de la contratación y respetando los límites previstos en el ordenamiento. De ahí que cuenten con la discrecionalidad para disponer en los documentos del proceso la aplicación de determinadas metodologías, siempre que resulten adecuadas y proporcionales al objeto del contrato.</w:t>
            </w:r>
          </w:p>
          <w:p w14:paraId="1DE87EF5" w14:textId="77777777" w:rsidR="00CD0DA4" w:rsidRPr="00A70DA4" w:rsidRDefault="00CD0DA4" w:rsidP="00301AF8">
            <w:pPr>
              <w:spacing w:after="120" w:line="276" w:lineRule="auto"/>
              <w:ind w:firstLine="733"/>
              <w:jc w:val="both"/>
              <w:rPr>
                <w:rFonts w:ascii="Verdana" w:hAnsi="Verdana" w:cs="Arial"/>
              </w:rPr>
            </w:pPr>
            <w:r w:rsidRPr="00A70DA4">
              <w:rPr>
                <w:rFonts w:ascii="Verdana" w:hAnsi="Verdana" w:cs="Arial"/>
                <w:lang w:val="es-ES_tradnl"/>
              </w:rPr>
              <w:t>Considerando el tema de su consulta, se resalta que para la determinación de la presentación de ofertas en procesos de concurso de méritos es común y aceptada la utilización del mecanismo del factor multiplicador.</w:t>
            </w:r>
            <w:r w:rsidRPr="00A70DA4">
              <w:rPr>
                <w:rFonts w:ascii="Verdana" w:hAnsi="Verdana" w:cs="Arial"/>
              </w:rPr>
              <w:t xml:space="preserve"> Esta metodología también resulta razonable y común en la práctica de los contratos de interventoría, pues son una modalidad del contrato de consultoría. El factor multiplicador permite imputar al contrato los costos directos asociados a prestaciones laborales y sociales del personal vinculado con carácter exclusivo al proyecto, la utilidad del ingeniero y los costos de administración relacionados con el personal, afectando el valor parcial de la oferta por un factor multiplicador. De esta manera, solo suele incluir los costos directos e indirectos asociados al personal.</w:t>
            </w:r>
          </w:p>
          <w:p w14:paraId="79550081" w14:textId="77777777" w:rsidR="001447DF" w:rsidRPr="00A70DA4" w:rsidRDefault="001447DF" w:rsidP="00301AF8">
            <w:pPr>
              <w:snapToGrid w:val="0"/>
              <w:spacing w:before="120" w:after="120" w:line="276" w:lineRule="auto"/>
              <w:ind w:firstLine="709"/>
              <w:jc w:val="both"/>
              <w:rPr>
                <w:rFonts w:ascii="Verdana" w:eastAsia="Arial" w:hAnsi="Verdana" w:cs="Arial"/>
                <w:color w:val="000000"/>
                <w:kern w:val="2"/>
                <w14:ligatures w14:val="standardContextual"/>
              </w:rPr>
            </w:pPr>
            <w:r w:rsidRPr="00A70DA4">
              <w:rPr>
                <w:rFonts w:ascii="Verdana" w:eastAsia="Arial" w:hAnsi="Verdana" w:cs="Arial"/>
                <w:color w:val="000000"/>
                <w:kern w:val="2"/>
                <w14:ligatures w14:val="standardContextual"/>
              </w:rPr>
              <w:t xml:space="preserve">Ahora bien, los costos asociados al personal requerido para ejecutar el contrato son un aspecto que entra a determinar su precio, por lo que son un tema para considerar al hacer el ofrecimiento económico en la etapa de presentación de ofertas, con sujeción al mecanismo para determinar el precio que establezca la entidad en el pliego de condiciones. En ese sentido, cuando una entidad incorpora, por ejemplo, el mecanismo del factor multiplicador debe incluir las reglas para que estos sean considerados por los proponentes, </w:t>
            </w:r>
            <w:r w:rsidRPr="00A70DA4">
              <w:rPr>
                <w:rFonts w:ascii="Verdana" w:eastAsia="Arial" w:hAnsi="Verdana" w:cs="Arial"/>
                <w:color w:val="000000"/>
                <w:kern w:val="2"/>
                <w14:ligatures w14:val="standardContextual"/>
              </w:rPr>
              <w:lastRenderedPageBreak/>
              <w:t>de suerte que incluyan los costos asociados al personal para la ejecución del contrato en concordancia con el equipo de trabajo exigido, el cual debe atender unas condiciones y perfiles específicos establecidos en los Documentos del Proceso. Las reglas que discrecionalmente deben establecer las Entidades Estatales en los pliegos de condiciones para regular los mencionados aspectos son las que en últimas determinan qué tipo de contratación de personal es la que corresponde realizar al contratista para ejecutar el proyecto, así como la posibilidad de que los costos de dicha contratación–ya sea laboral o por prestación de servicios– se incorporen al precio del contrato, por la vía del factor multiplicador aplicado para hacer la oferta económica.</w:t>
            </w:r>
          </w:p>
          <w:p w14:paraId="37F39DFE" w14:textId="77777777" w:rsidR="004B3E18" w:rsidRPr="00A70DA4" w:rsidRDefault="004B3E18" w:rsidP="00301AF8">
            <w:pPr>
              <w:snapToGrid w:val="0"/>
              <w:spacing w:before="120" w:after="120" w:line="276" w:lineRule="auto"/>
              <w:ind w:firstLine="709"/>
              <w:jc w:val="both"/>
              <w:rPr>
                <w:rFonts w:ascii="Verdana" w:eastAsia="Calibri" w:hAnsi="Verdana" w:cs="Arial"/>
              </w:rPr>
            </w:pPr>
            <w:r w:rsidRPr="00A70DA4">
              <w:rPr>
                <w:rFonts w:ascii="Verdana" w:eastAsia="Calibri" w:hAnsi="Verdana" w:cs="Arial"/>
              </w:rPr>
              <w:t>Es de precisar que, en la verificación del cumplimiento de los costos y gastos asociados al contrato, no existe restricción alguna para poder elaborar un cuadro detallado que desglose los conceptos del factor multiplicador. Además, si se detectan omisiones, el cuadro podría ajustarse, siempre que se justifique y se cuente con la aprobación de la entidad. Por su parte, si la entidad solo definió el porcentaje del factor multiplicador sin detalle, la supervisión puede efectuar el seguimiento solicitando informes detallados sobre la ejecución de los gastos asociados al factor multiplicador. De cualquier modo, respecto a la reasignación de valores dentro del factor multiplicador, no se pueden trasladar saldos de un concepto a otro sin aprobación de la entidad. Por ejemplo, si queda saldo en prestaciones sociales, no puede destinarse a gastos administrativos o utilidad sin una modificación contractual.</w:t>
            </w:r>
          </w:p>
          <w:p w14:paraId="28C93859" w14:textId="77777777" w:rsidR="00803DE0" w:rsidRPr="00A70DA4" w:rsidRDefault="004B3E18" w:rsidP="00301AF8">
            <w:pPr>
              <w:snapToGrid w:val="0"/>
              <w:spacing w:before="120" w:after="120" w:line="276" w:lineRule="auto"/>
              <w:ind w:firstLine="709"/>
              <w:jc w:val="both"/>
              <w:rPr>
                <w:rFonts w:ascii="Verdana" w:eastAsia="Calibri" w:hAnsi="Verdana" w:cs="Arial"/>
                <w:color w:val="000000"/>
              </w:rPr>
            </w:pPr>
            <w:r w:rsidRPr="00A70DA4">
              <w:rPr>
                <w:rFonts w:ascii="Verdana" w:eastAsia="Calibri" w:hAnsi="Verdana" w:cs="Arial"/>
                <w:color w:val="000000"/>
              </w:rPr>
              <w:t>Así, los valores facturados deberán corresponder de manera estricta a los costos reales efectivamente causados, debidamente soportados y directamente relacionados con la ejecución contractual. Además, se deberá constatar que los porcentajes de los valores a reconocer hayan sido calculados conforme a lo estipulado en el contrato, y que guarden correspondencia con los costos efectivamente incurridos. En todo caso, como se indicó, no se podrán variar los porcentajes inicialmente pactados sin la correspondiente aprobación de la entidad y la modificación contractual si esta se considera viable de acuerdo con el análisis particular.</w:t>
            </w:r>
          </w:p>
          <w:p w14:paraId="241E9888" w14:textId="4248921B" w:rsidR="008B471B" w:rsidRPr="00A70DA4" w:rsidRDefault="008B471B" w:rsidP="00301AF8">
            <w:pPr>
              <w:snapToGrid w:val="0"/>
              <w:spacing w:before="120" w:after="120" w:line="276" w:lineRule="auto"/>
              <w:ind w:firstLine="709"/>
              <w:jc w:val="both"/>
              <w:rPr>
                <w:rFonts w:ascii="Verdana" w:eastAsia="Arial" w:hAnsi="Verdana" w:cs="Arial"/>
                <w:color w:val="000000"/>
                <w:kern w:val="2"/>
                <w14:ligatures w14:val="standardContextual"/>
              </w:rPr>
            </w:pPr>
            <w:r w:rsidRPr="00A70DA4">
              <w:rPr>
                <w:rFonts w:ascii="Verdana" w:eastAsia="Calibri" w:hAnsi="Verdana" w:cs="Arial"/>
                <w:color w:val="000000"/>
              </w:rPr>
              <w:t xml:space="preserve">En conclusión, cuando la Entidad Estatal haga uso del factor multiplicador, o metodologías similares, debe asegurarse de ejercer una buena vigilancia de la ejecución contractual, con el fin de poder realizar adecuadamente la auditoría de los costos del contrato para pagar sólo aquellos </w:t>
            </w:r>
            <w:r w:rsidRPr="00A70DA4">
              <w:rPr>
                <w:rFonts w:ascii="Verdana" w:eastAsia="Calibri" w:hAnsi="Verdana" w:cs="Arial"/>
                <w:color w:val="000000"/>
              </w:rPr>
              <w:lastRenderedPageBreak/>
              <w:t>que se hayan causado efectivamente. Por tanto, podrán verificarse los soportes contables, administrativos y financieros de la ejecución, ya que la Entidad Estatal sólo debe pagar aquellos costos que hubieran sido pagados por el contratista so pena de que se configure un enriquecimiento sin causa de su parte.</w:t>
            </w:r>
          </w:p>
          <w:p w14:paraId="6234E52F" w14:textId="7321F9AC" w:rsidR="00CD0DA4" w:rsidRPr="00A70DA4" w:rsidRDefault="00127E63" w:rsidP="00301AF8">
            <w:pPr>
              <w:spacing w:after="120" w:line="276" w:lineRule="auto"/>
              <w:ind w:firstLine="737"/>
              <w:jc w:val="both"/>
              <w:rPr>
                <w:rFonts w:ascii="Verdana" w:hAnsi="Verdana" w:cs="Arial"/>
              </w:rPr>
            </w:pPr>
            <w:r w:rsidRPr="00A70DA4">
              <w:rPr>
                <w:rFonts w:ascii="Verdana" w:hAnsi="Verdana" w:cs="Arial"/>
                <w:bCs/>
                <w:color w:val="000000" w:themeColor="text1"/>
              </w:rPr>
              <w:t>De cualquier modo, se reitera que 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lo anterior, previo concepto de sus órganos asesores, la solución de casos particulares corresponde a la entidad que debe adoptar la decisión correspondiente para atender las necesidades de la entidad pública.</w:t>
            </w:r>
          </w:p>
        </w:tc>
      </w:tr>
      <w:bookmarkEnd w:id="1"/>
    </w:tbl>
    <w:p w14:paraId="6DBCEB6C" w14:textId="77777777" w:rsidR="00616235" w:rsidRPr="00A70DA4" w:rsidRDefault="00616235" w:rsidP="00616235">
      <w:pPr>
        <w:widowControl w:val="0"/>
        <w:autoSpaceDE w:val="0"/>
        <w:autoSpaceDN w:val="0"/>
        <w:spacing w:after="0" w:line="276" w:lineRule="auto"/>
        <w:ind w:left="360" w:hanging="360"/>
        <w:outlineLvl w:val="0"/>
        <w:rPr>
          <w:rFonts w:ascii="Verdana" w:eastAsia="Arial" w:hAnsi="Verdana" w:cs="Arial"/>
          <w:b/>
          <w:bCs/>
          <w:highlight w:val="cyan"/>
        </w:rPr>
      </w:pPr>
    </w:p>
    <w:p w14:paraId="03A0720B" w14:textId="77777777" w:rsidR="00616235" w:rsidRPr="00A70DA4" w:rsidRDefault="00616235" w:rsidP="00616235">
      <w:pPr>
        <w:widowControl w:val="0"/>
        <w:autoSpaceDE w:val="0"/>
        <w:autoSpaceDN w:val="0"/>
        <w:spacing w:after="0" w:line="276" w:lineRule="auto"/>
        <w:ind w:left="360" w:hanging="360"/>
        <w:outlineLvl w:val="0"/>
        <w:rPr>
          <w:rFonts w:ascii="Verdana" w:eastAsia="Arial" w:hAnsi="Verdana" w:cs="Arial"/>
          <w:b/>
          <w:bCs/>
          <w:lang w:val="es-ES"/>
        </w:rPr>
      </w:pPr>
      <w:r w:rsidRPr="00A70DA4">
        <w:rPr>
          <w:rFonts w:ascii="Verdana" w:eastAsia="Arial" w:hAnsi="Verdana" w:cs="Arial"/>
          <w:b/>
          <w:bCs/>
          <w:lang w:val="es-ES"/>
        </w:rPr>
        <w:t>3. Razones de la respuesta:</w:t>
      </w:r>
    </w:p>
    <w:p w14:paraId="3D43C160" w14:textId="77777777" w:rsidR="00616235" w:rsidRPr="00A70DA4" w:rsidRDefault="00616235" w:rsidP="00616235">
      <w:pPr>
        <w:spacing w:after="0" w:line="276" w:lineRule="auto"/>
        <w:jc w:val="both"/>
        <w:rPr>
          <w:rFonts w:ascii="Verdana" w:eastAsia="Calibri" w:hAnsi="Verdana" w:cs="Arial"/>
          <w:lang w:val="es-ES"/>
        </w:rPr>
      </w:pPr>
    </w:p>
    <w:p w14:paraId="6B5E4E3F" w14:textId="77777777" w:rsidR="00616235" w:rsidRPr="00A70DA4" w:rsidRDefault="00616235" w:rsidP="00616235">
      <w:pPr>
        <w:spacing w:after="0" w:line="276" w:lineRule="auto"/>
        <w:jc w:val="both"/>
        <w:rPr>
          <w:rFonts w:ascii="Verdana" w:eastAsia="Calibri" w:hAnsi="Verdana" w:cs="Arial"/>
          <w:lang w:val="es-ES"/>
        </w:rPr>
      </w:pPr>
      <w:r w:rsidRPr="00A70DA4">
        <w:rPr>
          <w:rFonts w:ascii="Verdana" w:eastAsia="Calibri" w:hAnsi="Verdana" w:cs="Arial"/>
          <w:lang w:val="es-ES"/>
        </w:rPr>
        <w:t xml:space="preserve">La respuesta anterior se sustenta en las siguientes consideraciones: </w:t>
      </w:r>
    </w:p>
    <w:p w14:paraId="3B27AFCD" w14:textId="77777777" w:rsidR="002A0DD0" w:rsidRPr="00A70DA4" w:rsidRDefault="002A0DD0" w:rsidP="30821638">
      <w:pPr>
        <w:spacing w:after="0" w:line="240" w:lineRule="auto"/>
        <w:jc w:val="both"/>
        <w:rPr>
          <w:rFonts w:ascii="Verdana" w:eastAsia="Verdana" w:hAnsi="Verdana" w:cs="Verdana"/>
          <w:lang w:val="es-ES"/>
        </w:rPr>
      </w:pPr>
    </w:p>
    <w:p w14:paraId="2826EBE1" w14:textId="62C33BF7" w:rsidR="004000BD" w:rsidRPr="00A70DA4" w:rsidRDefault="004000BD" w:rsidP="004000BD">
      <w:pPr>
        <w:spacing w:after="120" w:line="276" w:lineRule="auto"/>
        <w:jc w:val="both"/>
        <w:rPr>
          <w:rFonts w:ascii="Verdana" w:eastAsia="Calibri" w:hAnsi="Verdana" w:cs="Arial"/>
          <w:color w:val="000000" w:themeColor="text1"/>
          <w:lang w:val="es-ES"/>
        </w:rPr>
      </w:pPr>
      <w:r w:rsidRPr="00A70DA4">
        <w:rPr>
          <w:rFonts w:ascii="Verdana" w:eastAsia="Calibri" w:hAnsi="Verdana" w:cs="Arial"/>
          <w:color w:val="000000" w:themeColor="text1"/>
          <w:lang w:val="es-ES"/>
        </w:rPr>
        <w:t xml:space="preserve">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 No hay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00A70DA4">
        <w:rPr>
          <w:rFonts w:ascii="Verdana" w:eastAsia="Calibri" w:hAnsi="Verdana" w:cs="Arial"/>
          <w:color w:val="000000" w:themeColor="text1"/>
          <w:lang w:val="es-ES"/>
        </w:rPr>
        <w:t>ii</w:t>
      </w:r>
      <w:proofErr w:type="spellEnd"/>
      <w:r w:rsidRPr="00A70DA4">
        <w:rPr>
          <w:rFonts w:ascii="Verdana" w:eastAsia="Calibri" w:hAnsi="Verdana" w:cs="Arial"/>
          <w:color w:val="000000" w:themeColor="text1"/>
          <w:lang w:val="es-ES"/>
        </w:rPr>
        <w:t xml:space="preserve">) el precio global –que equivale al monto total, por la realización integral del objeto del contrato, sin discriminar unidades–, y </w:t>
      </w:r>
      <w:proofErr w:type="spellStart"/>
      <w:r w:rsidRPr="00A70DA4">
        <w:rPr>
          <w:rFonts w:ascii="Verdana" w:eastAsia="Calibri" w:hAnsi="Verdana" w:cs="Arial"/>
          <w:color w:val="000000" w:themeColor="text1"/>
          <w:lang w:val="es-ES"/>
        </w:rPr>
        <w:t>iii</w:t>
      </w:r>
      <w:proofErr w:type="spellEnd"/>
      <w:r w:rsidRPr="00A70DA4">
        <w:rPr>
          <w:rFonts w:ascii="Verdana" w:eastAsia="Calibri" w:hAnsi="Verdana" w:cs="Arial"/>
          <w:color w:val="000000" w:themeColor="text1"/>
          <w:lang w:val="es-ES"/>
        </w:rPr>
        <w:t>) la administración delegada de recursos –en la que se distinguen los costos de inversión de los honorarios del administrador–.</w:t>
      </w:r>
    </w:p>
    <w:p w14:paraId="7833D5D3" w14:textId="77777777" w:rsidR="004000BD" w:rsidRPr="00A70DA4" w:rsidRDefault="004000BD" w:rsidP="004000BD">
      <w:pPr>
        <w:spacing w:after="120" w:line="276" w:lineRule="auto"/>
        <w:ind w:firstLine="709"/>
        <w:jc w:val="both"/>
        <w:rPr>
          <w:rFonts w:ascii="Verdana" w:eastAsia="Times New Roman" w:hAnsi="Verdana" w:cs="Arial"/>
          <w:bCs/>
          <w:lang w:val="es-ES_tradnl" w:eastAsia="es-CO"/>
        </w:rPr>
      </w:pPr>
      <w:r w:rsidRPr="00A70DA4">
        <w:rPr>
          <w:rFonts w:ascii="Verdana" w:eastAsia="Calibri" w:hAnsi="Verdana" w:cs="Arial"/>
          <w:lang w:val="es-ES"/>
        </w:rPr>
        <w:lastRenderedPageBreak/>
        <w:t>Por ello, las Entidades Estatales en la etapa previa a la contratación, es decir en la fase de planeación y, dependiendo de la tipología contractual, determinarán la metodología mediante la cual realizarán el cálculo del valor o precio del contrato apoyándose, entre otros aspectos, en la costumbre mercantil o el conocimiento impartido en ciencias como la ingeniería, de las que son propias los sistemas de precios unitarios y la metodología del factor multiplicador. Sin embargo, es preciso aclarar que estos sistemas de fijación de precios no son asuntos expresamente regulados en el conjunto de las disposiciones legales o reglamentarias que integran la normativa contractual del Estado, pues su justificación procede incluso de la formación universitaria que reciben los ingenieros, a quienes se les enseña esta metodología para elaborar las ofertas. En ese sentido, estas metodologías para la configuración del precio del contrato, que son determinantes para la elaboración de la propuesta económica, no proceden de la ley ni del reglamento, sino de la costumbre</w:t>
      </w:r>
      <w:r w:rsidRPr="00A70DA4">
        <w:rPr>
          <w:rFonts w:ascii="Verdana" w:eastAsia="Times New Roman" w:hAnsi="Verdana" w:cs="Arial"/>
          <w:vertAlign w:val="superscript"/>
          <w:lang w:val="es-ES_tradnl" w:eastAsia="es-CO"/>
        </w:rPr>
        <w:footnoteReference w:id="1"/>
      </w:r>
      <w:r w:rsidRPr="00A70DA4">
        <w:rPr>
          <w:rFonts w:ascii="Verdana" w:eastAsia="Times New Roman" w:hAnsi="Verdana" w:cs="Arial"/>
          <w:bCs/>
          <w:lang w:val="es-ES_tradnl" w:eastAsia="es-CO"/>
        </w:rPr>
        <w:t>.</w:t>
      </w:r>
    </w:p>
    <w:p w14:paraId="779EFD9B" w14:textId="77777777" w:rsidR="004000BD" w:rsidRPr="00A70DA4" w:rsidRDefault="004000BD" w:rsidP="004000BD">
      <w:pPr>
        <w:spacing w:after="120" w:line="276" w:lineRule="auto"/>
        <w:ind w:firstLine="709"/>
        <w:jc w:val="both"/>
        <w:rPr>
          <w:rFonts w:ascii="Verdana" w:eastAsia="Calibri" w:hAnsi="Verdana"/>
          <w:lang w:val="es-ES"/>
        </w:rPr>
      </w:pPr>
      <w:r w:rsidRPr="00A70DA4">
        <w:rPr>
          <w:rFonts w:ascii="Verdana" w:eastAsia="Calibri" w:hAnsi="Verdana"/>
          <w:lang w:val="es-ES"/>
        </w:rPr>
        <w:t>Conforme a lo anterior, el principal sustento para que las Entidades Estatales sujetas al Estatuto General de Contratación de la Administración Pública (EGCAP), como las excluidas de este, apliquen las referidas metodologías, es la autonomía de la que gozan para la estructuración de las condiciones del negocio jurídico, determinando el sistema más apropiado para satisfacer los fines de la contratación y respetando los límites previstos en el ordenamiento. De ahí que las entidades cuenten con la discrecionalidad para disponer en los documentos del proceso la aplicación de metodologías como el sistema de precios unitarios y el sistema del factor multiplicador, siempre que resulten adecuadas y proporcionales al objeto del contrato.</w:t>
      </w:r>
    </w:p>
    <w:p w14:paraId="29740A30" w14:textId="77777777" w:rsidR="004000BD" w:rsidRPr="00A70DA4" w:rsidRDefault="004000BD" w:rsidP="004000BD">
      <w:pPr>
        <w:spacing w:after="120" w:line="276" w:lineRule="auto"/>
        <w:ind w:firstLine="708"/>
        <w:jc w:val="both"/>
        <w:rPr>
          <w:rFonts w:ascii="Verdana" w:eastAsia="Calibri" w:hAnsi="Verdana" w:cs="Arial"/>
        </w:rPr>
      </w:pPr>
      <w:r w:rsidRPr="00A70DA4">
        <w:rPr>
          <w:rFonts w:ascii="Verdana" w:hAnsi="Verdana" w:cs="Arial"/>
          <w:lang w:val="es-ES_tradnl"/>
        </w:rPr>
        <w:t>Ahora bien, considerando el tema de su consulta, se resalta que para la determinación de los costos de los contratos de consultoría y la presentación de ofertas en procesos de concurso de méritos es común y aceptada la utilización del mecanismo del factor multiplicador.</w:t>
      </w:r>
      <w:r w:rsidRPr="00A70DA4">
        <w:rPr>
          <w:rFonts w:ascii="Verdana" w:hAnsi="Verdana" w:cs="Arial"/>
        </w:rPr>
        <w:t xml:space="preserve"> Esta metodología, al igual que el AIU, no se encuentra hoy día regulada en el ordenamiento jurídico, sin embargo, la misma estuvo en su momento reglamenta en el Decreto 1552 de 1983</w:t>
      </w:r>
      <w:r w:rsidRPr="00A70DA4">
        <w:rPr>
          <w:rStyle w:val="Refdenotaalpie"/>
          <w:rFonts w:ascii="Verdana" w:hAnsi="Verdana" w:cs="Arial"/>
        </w:rPr>
        <w:footnoteReference w:id="2"/>
      </w:r>
      <w:r w:rsidRPr="00A70DA4">
        <w:rPr>
          <w:rFonts w:ascii="Verdana" w:hAnsi="Verdana" w:cs="Arial"/>
        </w:rPr>
        <w:t xml:space="preserve">, norma </w:t>
      </w:r>
      <w:r w:rsidRPr="00A70DA4">
        <w:rPr>
          <w:rFonts w:ascii="Verdana" w:hAnsi="Verdana" w:cs="Arial"/>
        </w:rPr>
        <w:lastRenderedPageBreak/>
        <w:t>referente al desarrollo de proceso concursos para la selección de consultores, antes de la entrada en vigor de la Ley 80 de 1993.</w:t>
      </w:r>
      <w:r w:rsidRPr="00A70DA4">
        <w:rPr>
          <w:rFonts w:ascii="Verdana" w:eastAsia="Calibri" w:hAnsi="Verdana" w:cs="Arial"/>
          <w:lang w:val="es-ES"/>
        </w:rPr>
        <w:t xml:space="preserve"> El artículo 33 del Decreto 1522 de 1983 establecía que el costo total de contrato de consultoría debía </w:t>
      </w:r>
      <w:r w:rsidRPr="00A70DA4">
        <w:rPr>
          <w:rFonts w:ascii="Verdana" w:eastAsia="Calibri" w:hAnsi="Verdana" w:cs="Arial"/>
          <w:i/>
          <w:iCs/>
          <w:lang w:val="es-ES"/>
        </w:rPr>
        <w:t xml:space="preserve">“[…] </w:t>
      </w:r>
      <w:r w:rsidRPr="00A70DA4">
        <w:rPr>
          <w:rFonts w:ascii="Verdana" w:eastAsia="Calibri" w:hAnsi="Verdana" w:cs="Arial"/>
          <w:i/>
          <w:iCs/>
        </w:rPr>
        <w:t>cubrir íntegramente los costos directos derivados de la ejecución de la consultoría y el estimado de los indirectos y la utilidad del consultor”</w:t>
      </w:r>
      <w:r w:rsidRPr="00A70DA4">
        <w:rPr>
          <w:rStyle w:val="Refdenotaalpie"/>
          <w:rFonts w:ascii="Verdana" w:eastAsia="Calibri" w:hAnsi="Verdana" w:cs="Arial"/>
          <w:i/>
          <w:iCs/>
        </w:rPr>
        <w:footnoteReference w:id="3"/>
      </w:r>
      <w:r w:rsidRPr="00A70DA4">
        <w:rPr>
          <w:rFonts w:ascii="Verdana" w:eastAsia="Calibri" w:hAnsi="Verdana" w:cs="Arial"/>
        </w:rPr>
        <w:t xml:space="preserve">, mientras que el segundo inciso del artículo 34 señalaba </w:t>
      </w:r>
      <w:r w:rsidRPr="00A70DA4">
        <w:rPr>
          <w:rFonts w:ascii="Verdana" w:eastAsia="Calibri" w:hAnsi="Verdana" w:cs="Arial"/>
          <w:i/>
          <w:iCs/>
        </w:rPr>
        <w:t>“Para cubrir los costos de provisión laboral prestacional, los costos indirectos y la utilidad del consultor, podrá utilizarse el método del factor multiplicador. Este consiste en un factor que, aplicado a los costos directos de personal, arroja un monto que cubre los anteriormente mencionados”</w:t>
      </w:r>
      <w:r w:rsidRPr="00A70DA4">
        <w:rPr>
          <w:rStyle w:val="Refdenotaalpie"/>
          <w:rFonts w:ascii="Verdana" w:eastAsia="Calibri" w:hAnsi="Verdana" w:cs="Arial"/>
          <w:i/>
          <w:iCs/>
        </w:rPr>
        <w:footnoteReference w:id="4"/>
      </w:r>
      <w:r w:rsidRPr="00A70DA4">
        <w:rPr>
          <w:rFonts w:ascii="Verdana" w:eastAsia="Calibri" w:hAnsi="Verdana" w:cs="Arial"/>
          <w:i/>
          <w:iCs/>
        </w:rPr>
        <w:t xml:space="preserve">.  </w:t>
      </w:r>
    </w:p>
    <w:p w14:paraId="63B7960C" w14:textId="77777777" w:rsidR="004000BD" w:rsidRPr="00A70DA4" w:rsidRDefault="004000BD" w:rsidP="004000BD">
      <w:pPr>
        <w:spacing w:after="120" w:line="276" w:lineRule="auto"/>
        <w:ind w:firstLine="709"/>
        <w:jc w:val="both"/>
        <w:rPr>
          <w:rFonts w:ascii="Verdana" w:hAnsi="Verdana" w:cs="Arial"/>
        </w:rPr>
      </w:pPr>
      <w:r w:rsidRPr="00A70DA4">
        <w:rPr>
          <w:rFonts w:ascii="Verdana" w:eastAsia="Calibri" w:hAnsi="Verdana" w:cs="Arial"/>
        </w:rPr>
        <w:t xml:space="preserve">Esta normativa no se encuentra vigente al haber sido derogada por el Decreto 2326 de 1995, las disposiciones que hoy día regulan los concursos de méritos no establecen una regulación análoga a la de los artículos 33 y 34 del Decreto 1522 de 1993, que se refiera de manera detallada a la forma para determinar el valor de los contratos de consultoría. Sin embargo, su análisis ofrece ciertas claridades en torno a cómo se ha incorporado el sistema del factor multiplicador en la práctica contractual en vigencia de las Leyes 80 de 1993 y 1150 de 2007, reglamentadas en el Decreto 1082 de 2015, cuerpos normativos </w:t>
      </w:r>
      <w:r w:rsidRPr="00A70DA4">
        <w:rPr>
          <w:rFonts w:ascii="Verdana" w:eastAsia="Calibri" w:hAnsi="Verdana" w:cs="Arial"/>
        </w:rPr>
        <w:lastRenderedPageBreak/>
        <w:t>que si bien no se refieren de manera expresa al uso del factor multiplicador, tampoco restringen su uso en el marco de la discrecionalidad que les asiste a las Entidades Estatales para determinar el valor de los contratos estatales que desarrollan</w:t>
      </w:r>
      <w:r w:rsidRPr="00A70DA4">
        <w:rPr>
          <w:rStyle w:val="Refdenotaalpie"/>
          <w:rFonts w:ascii="Verdana" w:hAnsi="Verdana" w:cs="Arial"/>
        </w:rPr>
        <w:footnoteReference w:id="5"/>
      </w:r>
      <w:r w:rsidRPr="00A70DA4">
        <w:rPr>
          <w:rFonts w:ascii="Verdana" w:eastAsia="Calibri" w:hAnsi="Verdana" w:cs="Arial"/>
        </w:rPr>
        <w:t xml:space="preserve">. </w:t>
      </w:r>
    </w:p>
    <w:p w14:paraId="1504368F" w14:textId="77777777" w:rsidR="004000BD" w:rsidRPr="00A70DA4" w:rsidRDefault="004000BD" w:rsidP="004000BD">
      <w:pPr>
        <w:spacing w:after="120" w:line="276" w:lineRule="auto"/>
        <w:ind w:firstLine="709"/>
        <w:jc w:val="both"/>
        <w:rPr>
          <w:rFonts w:ascii="Verdana" w:eastAsia="Calibri" w:hAnsi="Verdana" w:cs="Arial"/>
          <w:lang w:val="es-ES"/>
        </w:rPr>
      </w:pPr>
      <w:r w:rsidRPr="00A70DA4">
        <w:rPr>
          <w:rFonts w:ascii="Verdana" w:hAnsi="Verdana" w:cs="Arial"/>
        </w:rPr>
        <w:t>De otra parte, en torno a la aplicación del factor multiplicador en contratos de interventoría, se estima que la misma resulta razonable y común en la práctica en tanto estos son una modalidad del contrato de consultoría, a luz de lo dispuesto en el artículo 32, numeral 2 de la Ley 80 de 1993 de 1993. No obstante, en la medida en que las Entidades Estatales gozan de discrecionalidad para determinar el valor del contrato, la forma de pago y la retribución del mismo, bien podrían optar por aplicar otras metodologías, por ejemplo, el AIU.</w:t>
      </w:r>
    </w:p>
    <w:p w14:paraId="5DADCA83" w14:textId="77777777" w:rsidR="004000BD" w:rsidRPr="00A70DA4" w:rsidRDefault="004000BD" w:rsidP="004000BD">
      <w:pPr>
        <w:spacing w:after="120" w:line="276" w:lineRule="auto"/>
        <w:ind w:firstLine="709"/>
        <w:jc w:val="both"/>
        <w:rPr>
          <w:rFonts w:ascii="Verdana" w:hAnsi="Verdana" w:cs="Arial"/>
        </w:rPr>
      </w:pPr>
      <w:r w:rsidRPr="00A70DA4">
        <w:rPr>
          <w:rFonts w:ascii="Verdana" w:hAnsi="Verdana" w:cs="Arial"/>
        </w:rPr>
        <w:t>De cualquier modo, la práctica contractual evidencia que el factor multiplicador es una metodología frecuente para establecer el precio en los contratos de interventoría. Esta metodología permite imputar al contrato los costos directos asociados a prestaciones laborales y sociales del personal vinculado con carácter exclusivo al proyecto, la utilidad del ingeniero y los costos de administración relacionados con el personal, afectando el valor parcial de la oferta por un factor multiplicador</w:t>
      </w:r>
      <w:r w:rsidRPr="00A70DA4">
        <w:rPr>
          <w:rStyle w:val="Refdenotaalpie"/>
          <w:rFonts w:ascii="Verdana" w:hAnsi="Verdana" w:cs="Arial"/>
        </w:rPr>
        <w:footnoteReference w:id="6"/>
      </w:r>
      <w:r w:rsidRPr="00A70DA4">
        <w:rPr>
          <w:rFonts w:ascii="Verdana" w:hAnsi="Verdana" w:cs="Arial"/>
        </w:rPr>
        <w:t xml:space="preserve">. De esta manera se obtiene un subtotal de costos directos a partir de la sumatoria de los valores correspondientes a los salarios del personal, incrementado a partir de su multiplicación por un factor que suele consistir en una cifra de dos dígitos, con una parte entera y otra decimal. Esto sin perjuicio de la incorporación de otros costos directos como viáticos, alquiler de equipos, oficinas, etc., cuya discriminación se exige de </w:t>
      </w:r>
      <w:r w:rsidRPr="00A70DA4">
        <w:rPr>
          <w:rFonts w:ascii="Verdana" w:hAnsi="Verdana" w:cs="Arial"/>
        </w:rPr>
        <w:lastRenderedPageBreak/>
        <w:t xml:space="preserve">manera separada de los costos de personal, para ser sumados al valor resultante la aplicación del factor multiplicador. </w:t>
      </w:r>
    </w:p>
    <w:p w14:paraId="6F3EF720" w14:textId="77777777" w:rsidR="004000BD" w:rsidRPr="00A70DA4" w:rsidRDefault="004000BD" w:rsidP="004000BD">
      <w:pPr>
        <w:spacing w:before="120" w:after="120" w:line="276" w:lineRule="auto"/>
        <w:ind w:firstLine="709"/>
        <w:jc w:val="both"/>
        <w:rPr>
          <w:rFonts w:ascii="Verdana" w:eastAsia="Arial" w:hAnsi="Verdana" w:cs="Arial"/>
          <w:color w:val="000000"/>
          <w:kern w:val="2"/>
          <w14:ligatures w14:val="standardContextual"/>
        </w:rPr>
      </w:pPr>
      <w:r w:rsidRPr="00A70DA4">
        <w:rPr>
          <w:rFonts w:ascii="Verdana" w:hAnsi="Verdana" w:cs="Arial"/>
        </w:rPr>
        <w:t xml:space="preserve">En este orden de ideas el factor multiplicador no está ligado a nivel normativo con el sistema de precios unitarios. Sin embargo, su metodología es de común utilización en contratos que optan por este, en la medida en que esta solo incluye los costos directos e indirectos asociados al </w:t>
      </w:r>
      <w:r w:rsidRPr="00A70DA4">
        <w:rPr>
          <w:rFonts w:ascii="Verdana" w:hAnsi="Verdana" w:cs="Arial"/>
          <w:i/>
          <w:iCs/>
        </w:rPr>
        <w:t>personal</w:t>
      </w:r>
      <w:r w:rsidRPr="00A70DA4">
        <w:rPr>
          <w:rFonts w:ascii="Verdana" w:hAnsi="Verdana" w:cs="Arial"/>
        </w:rPr>
        <w:t>, más no incluye los otros costos directos e indirectos en los que puede incurrir el contratista, por lo que deben incorporarse en el valor del contrato y en las propuestas económicas de manera separada a los costos de personal afectados por el factor multiplicador, ya sea mediante el sistema de precios unitarios o mediante partidas globales adicionales a las referentes al factor multiplicador.</w:t>
      </w:r>
    </w:p>
    <w:p w14:paraId="5D9B8A46" w14:textId="77777777" w:rsidR="004000BD" w:rsidRPr="00A70DA4" w:rsidRDefault="004000BD" w:rsidP="004000BD">
      <w:pPr>
        <w:snapToGrid w:val="0"/>
        <w:spacing w:before="120" w:after="120" w:line="276" w:lineRule="auto"/>
        <w:ind w:firstLine="709"/>
        <w:jc w:val="both"/>
        <w:rPr>
          <w:rFonts w:ascii="Verdana" w:hAnsi="Verdana" w:cs="Arial"/>
        </w:rPr>
      </w:pPr>
      <w:r w:rsidRPr="00A70DA4">
        <w:rPr>
          <w:rFonts w:ascii="Verdana" w:hAnsi="Verdana" w:cs="Arial"/>
        </w:rPr>
        <w:t xml:space="preserve">Es importante indicar que, en la medida en que ni el factor multiplicador ni otras metodologías se aplican en virtud de una normativa en particular, sino en atención a la discrecionalidad de las Entidades Estatales para establecer el valor y forma de pago de los contratos que celebran, así como de la autonomía de los proponentes para presentar sus ofertas en el marco de Procesos de Contratación, su aplicación no está limitada a un tipo contractual en específico o a sistema para la determinación del precio. </w:t>
      </w:r>
    </w:p>
    <w:p w14:paraId="33147ED1" w14:textId="77777777" w:rsidR="004000BD" w:rsidRPr="00A70DA4" w:rsidRDefault="004000BD" w:rsidP="004000BD">
      <w:pPr>
        <w:snapToGrid w:val="0"/>
        <w:spacing w:before="120" w:after="120" w:line="276" w:lineRule="auto"/>
        <w:ind w:firstLine="709"/>
        <w:jc w:val="both"/>
        <w:rPr>
          <w:rFonts w:ascii="Verdana" w:eastAsia="Arial" w:hAnsi="Verdana" w:cs="Arial"/>
          <w:color w:val="000000"/>
          <w:kern w:val="2"/>
          <w14:ligatures w14:val="standardContextual"/>
        </w:rPr>
      </w:pPr>
      <w:r w:rsidRPr="00A70DA4">
        <w:rPr>
          <w:rFonts w:ascii="Verdana" w:eastAsia="Arial" w:hAnsi="Verdana" w:cs="Arial"/>
          <w:color w:val="000000"/>
          <w:kern w:val="2"/>
          <w14:ligatures w14:val="standardContextual"/>
        </w:rPr>
        <w:t xml:space="preserve">Ahora bien, teniendo en cuenta lo expuesto en su consulta, los costos asociados al personal requerido para ejecutar el contrato son un aspecto que entra a determinar su precio, por lo que son un tema para considerar al hacer el ofrecimiento económico en la etapa de presentación de ofertas, con sujeción al mecanismo para determinar el precio que determine la entidad en el pliego de condiciones. En ese sentido, cuando una entidad incorpora, por ejemplo, el mecanismo del factor multiplicador debe incluir las reglas para que estos sean considerados por los proponentes, de suerte que incluyan los costos asociados al personal para la ejecución del contrato en concordancia con el equipo de trabajo exigido, el cual debe atender unas condiciones y perfiles específicos establecidos en los Documentos del Proceso. Las reglas que discrecionalmente deben establecer las Entidades Estatales en los pliegos de condiciones para regular los mencionados aspectos son las que en últimas determinan qué tipo de contratación de personal es la que corresponde realizar al contratista para ejecutar el proyecto, así como la posibilidad de que los costos de dicha contratación–ya sea laboral o por prestación de servicios–, se incorporen al </w:t>
      </w:r>
      <w:r w:rsidRPr="00A70DA4">
        <w:rPr>
          <w:rFonts w:ascii="Verdana" w:eastAsia="Arial" w:hAnsi="Verdana" w:cs="Arial"/>
          <w:color w:val="000000"/>
          <w:kern w:val="2"/>
          <w14:ligatures w14:val="standardContextual"/>
        </w:rPr>
        <w:lastRenderedPageBreak/>
        <w:t>precio del contrato, por la vía del factor multiplicador aplicado para hacer la oferta económica.</w:t>
      </w:r>
    </w:p>
    <w:p w14:paraId="3451D42B" w14:textId="77777777" w:rsidR="004000BD" w:rsidRPr="00A70DA4" w:rsidRDefault="004000BD" w:rsidP="004000BD">
      <w:pPr>
        <w:snapToGrid w:val="0"/>
        <w:spacing w:before="120" w:after="120" w:line="276" w:lineRule="auto"/>
        <w:ind w:firstLine="709"/>
        <w:jc w:val="both"/>
        <w:rPr>
          <w:rFonts w:ascii="Verdana" w:eastAsia="Arial" w:hAnsi="Verdana" w:cs="Arial"/>
          <w:color w:val="000000"/>
          <w:kern w:val="2"/>
          <w14:ligatures w14:val="standardContextual"/>
        </w:rPr>
      </w:pPr>
      <w:r w:rsidRPr="00A70DA4">
        <w:rPr>
          <w:rFonts w:ascii="Verdana" w:eastAsia="Calibri" w:hAnsi="Verdana" w:cs="Arial"/>
        </w:rPr>
        <w:t>Es de precisar que, en la verificación del cumplimiento de los costos y gastos asociados al contrato, no existe restricción alguna para poder elaborar un cuadro detallado que desglose los conceptos del factor multiplicador. Además, si se detectan omisiones, el cuadro podría ajustarse, siempre que se justifique y se cuente con la aprobación de la entidad. Por su parte, si la entidad solo definió el porcentaje del factor multiplicador sin detalle, la supervisión puede efectuar el seguimiento solicitando informes detallados sobre la ejecución de los gastos asociados al factor multiplicador. De cualquier modo, respecto a la reasignación de valores dentro del factor multiplicador, no se pueden trasladar saldos de un concepto a otro sin aprobación de la entidad. Por ejemplo, si queda saldo en prestaciones sociales, no puede destinarse a gastos administrativos o utilidad sin una modificación contractual.</w:t>
      </w:r>
    </w:p>
    <w:p w14:paraId="424550F5" w14:textId="77777777" w:rsidR="004000BD" w:rsidRPr="00A70DA4" w:rsidRDefault="004000BD" w:rsidP="004000BD">
      <w:pPr>
        <w:snapToGrid w:val="0"/>
        <w:spacing w:before="120" w:after="120" w:line="276" w:lineRule="auto"/>
        <w:ind w:firstLine="709"/>
        <w:jc w:val="both"/>
        <w:rPr>
          <w:rFonts w:ascii="Verdana" w:eastAsia="Calibri" w:hAnsi="Verdana" w:cs="Arial"/>
          <w:color w:val="000000"/>
        </w:rPr>
      </w:pPr>
      <w:r w:rsidRPr="00A70DA4">
        <w:rPr>
          <w:rFonts w:ascii="Verdana" w:eastAsia="Calibri" w:hAnsi="Verdana" w:cs="Arial"/>
        </w:rPr>
        <w:t xml:space="preserve">Por otra parte, es necesario que los costos sean correctamente documentados y justificados, así las cosas, se recomienda la presentación de facturas y comprobantes de pago que demuestren la ejecución de los mismos. </w:t>
      </w:r>
      <w:proofErr w:type="spellStart"/>
      <w:r w:rsidRPr="00A70DA4">
        <w:rPr>
          <w:rFonts w:ascii="Verdana" w:eastAsia="Arial" w:hAnsi="Verdana" w:cs="Arial"/>
          <w:color w:val="000000"/>
          <w:kern w:val="2"/>
          <w14:ligatures w14:val="standardContextual"/>
        </w:rPr>
        <w:t>Asi</w:t>
      </w:r>
      <w:proofErr w:type="spellEnd"/>
      <w:r w:rsidRPr="00A70DA4">
        <w:rPr>
          <w:rFonts w:ascii="Verdana" w:eastAsia="Arial" w:hAnsi="Verdana" w:cs="Arial"/>
          <w:color w:val="000000"/>
          <w:kern w:val="2"/>
          <w14:ligatures w14:val="standardContextual"/>
        </w:rPr>
        <w:t>, por ejemplo</w:t>
      </w:r>
      <w:r w:rsidRPr="00A70DA4">
        <w:rPr>
          <w:rFonts w:ascii="Verdana" w:eastAsia="Calibri" w:hAnsi="Verdana" w:cs="Arial"/>
          <w:color w:val="000000"/>
        </w:rPr>
        <w:t xml:space="preserve">, si el factor multiplicador se usa para determinar costos, el contratista debe demostrar el gasto de cada componente. Si ciertos costos no se generan (por ejemplo, si el personal no requiere prestaciones), el contrato debería modificarse para reducir el porcentaje correspondiente. Si la interventoría presentó un informe de proyección de gastos, pero este no fue parte del contrato, la entidad aún puede exigirle soportes de gastos reales. Si los costos directos (ejemplo: nómina, laboratorios, etc.) son menores a lo presupuestado, el saldo no ejecutado debería liberarse y no ser facturado sin justificación. </w:t>
      </w:r>
    </w:p>
    <w:p w14:paraId="783FB0F3" w14:textId="77777777" w:rsidR="004000BD" w:rsidRPr="00A70DA4" w:rsidRDefault="004000BD" w:rsidP="004000BD">
      <w:pPr>
        <w:snapToGrid w:val="0"/>
        <w:spacing w:before="120" w:after="120" w:line="276" w:lineRule="auto"/>
        <w:ind w:firstLine="709"/>
        <w:jc w:val="both"/>
        <w:rPr>
          <w:rFonts w:ascii="Verdana" w:eastAsia="Arial" w:hAnsi="Verdana" w:cs="Arial"/>
          <w:color w:val="000000"/>
          <w:kern w:val="2"/>
          <w14:ligatures w14:val="standardContextual"/>
        </w:rPr>
      </w:pPr>
      <w:r w:rsidRPr="00A70DA4">
        <w:rPr>
          <w:rFonts w:ascii="Verdana" w:eastAsia="Calibri" w:hAnsi="Verdana" w:cs="Arial"/>
          <w:color w:val="000000"/>
        </w:rPr>
        <w:t xml:space="preserve">Así, los valores facturados deberán corresponder de manera estricta a los costos reales efectivamente causados, debidamente soportados y directamente relacionados con la ejecución contractual. Además, se deberá constatar que los porcentajes de los valores a reconocer hayan sido calculados conforme a lo estipulado en el contrato, y que guarden correspondencia con los costos efectivamente incurridos. En todo caso, como se indicó, no se podrán variar los porcentajes inicialmente pactados sin la correspondiente aprobación de la entidad y la modificación contractual si esta se considera viable de acuerdo con el análisis particular. </w:t>
      </w:r>
    </w:p>
    <w:p w14:paraId="3E745456" w14:textId="77777777" w:rsidR="004000BD" w:rsidRPr="00A70DA4" w:rsidRDefault="004000BD" w:rsidP="004000BD">
      <w:pPr>
        <w:snapToGrid w:val="0"/>
        <w:spacing w:before="120" w:after="120" w:line="276" w:lineRule="auto"/>
        <w:ind w:firstLine="709"/>
        <w:jc w:val="both"/>
        <w:rPr>
          <w:rFonts w:ascii="Verdana" w:eastAsia="Calibri" w:hAnsi="Verdana" w:cs="Arial"/>
          <w:color w:val="000000"/>
        </w:rPr>
      </w:pPr>
      <w:r w:rsidRPr="00A70DA4">
        <w:rPr>
          <w:rFonts w:ascii="Verdana" w:eastAsia="Calibri" w:hAnsi="Verdana" w:cs="Arial"/>
          <w:color w:val="000000"/>
        </w:rPr>
        <w:lastRenderedPageBreak/>
        <w:t>En conclusión, cuando la Entidad Estatal haga uso del factor multiplicador, o metodologías similares, debe asegurarse de ejercer una buena vigilancia de la ejecución contractual, con el fin de poder realizar adecuadamente la auditoría de los costos del contrato para pagar sólo aquellos que se hayan causado efectivamente. Por tanto, podrán verificarse los soportes contables, administrativos y financieros de la ejecución, ya que la Entidad Estatal sólo debe pagar aquellos costos que hubieran sido pagados por el contratista so pena de que se configure un enriquecimiento sin causa de su parte.</w:t>
      </w:r>
    </w:p>
    <w:p w14:paraId="0FD43D0A" w14:textId="77777777" w:rsidR="004000BD" w:rsidRPr="00A70DA4" w:rsidRDefault="004000BD" w:rsidP="004000BD">
      <w:pPr>
        <w:snapToGrid w:val="0"/>
        <w:spacing w:before="120" w:after="120" w:line="276" w:lineRule="auto"/>
        <w:ind w:firstLine="708"/>
        <w:jc w:val="both"/>
        <w:rPr>
          <w:rFonts w:ascii="Verdana" w:eastAsia="Arial" w:hAnsi="Verdana" w:cs="Arial"/>
          <w:color w:val="000000"/>
          <w:kern w:val="2"/>
          <w14:ligatures w14:val="standardContextual"/>
        </w:rPr>
      </w:pPr>
      <w:r w:rsidRPr="00A70DA4">
        <w:rPr>
          <w:rFonts w:ascii="Verdana" w:eastAsia="Arial" w:hAnsi="Verdana" w:cs="Arial"/>
          <w:color w:val="000000"/>
          <w:kern w:val="2"/>
          <w14:ligatures w14:val="standardContextual"/>
        </w:rPr>
        <w:t xml:space="preserve">Sin perjuicio de lo anterior, se resalta que la aplicación de las metodologías fijadas para determinar el precio y presentar la oferta económica en el marco de los procesos dependen de lo que se estipule en los Documentos del Proceso y en el clausulado del contrato. En cada caso, la entidad deberá determinar la metodología que resulte apropiada para establecer los costos asociados al personal. Los mecanismos que se pacten podrán suponer la verificación de los costos que efectivamente asuma el contratista frente al personal, de conformidad con lo estipulado en su oferta. </w:t>
      </w:r>
    </w:p>
    <w:p w14:paraId="5C365B48" w14:textId="77777777" w:rsidR="004000BD" w:rsidRPr="00A70DA4" w:rsidRDefault="004000BD" w:rsidP="004000BD">
      <w:pPr>
        <w:spacing w:after="120" w:line="276" w:lineRule="auto"/>
        <w:ind w:firstLine="709"/>
        <w:jc w:val="both"/>
        <w:rPr>
          <w:rFonts w:ascii="Verdana" w:hAnsi="Verdana" w:cs="Arial"/>
          <w:lang w:val="es-ES"/>
        </w:rPr>
      </w:pPr>
      <w:r w:rsidRPr="00A70DA4">
        <w:rPr>
          <w:rFonts w:ascii="Verdana" w:hAnsi="Verdana" w:cs="Arial"/>
          <w:lang w:val="es-ES"/>
        </w:rPr>
        <w:t xml:space="preserve">Por lo demás, frente a las responsabilidades del oferente en la estructuración de la oferta, tal y como fue señalado en concepto C-1613 del 22 de diciembre de 2025, es necesario tener en cuenta que el deber de planeación no es privativo de las entidades públicas, por lo que también se extiende a los interesados en el proceso de selección. Al respecto, la Subsección A de la Sección Tercera del Consejo de Estado –en Sentencia del 21 de febrero de 2025, </w:t>
      </w:r>
      <w:proofErr w:type="spellStart"/>
      <w:r w:rsidRPr="00A70DA4">
        <w:rPr>
          <w:rFonts w:ascii="Verdana" w:hAnsi="Verdana" w:cs="Arial"/>
          <w:lang w:val="es-ES"/>
        </w:rPr>
        <w:t>Exp</w:t>
      </w:r>
      <w:proofErr w:type="spellEnd"/>
      <w:r w:rsidRPr="00A70DA4">
        <w:rPr>
          <w:rFonts w:ascii="Verdana" w:hAnsi="Verdana" w:cs="Arial"/>
          <w:lang w:val="es-ES"/>
        </w:rPr>
        <w:t>. 71583, con ponencia del Consejero Fernando Alexei Pardo Flórez– explica que “El deber de planeación, y las cargas de advertencia y previsión, propias de la autonomía privada de la voluntad, impiden que la contratista obtenga reconocimientos económicos derivados de fallas en la estructuración del negocio que debieron ser advertidas desde la fase de formación del acuerdo de voluntades […]”.</w:t>
      </w:r>
    </w:p>
    <w:p w14:paraId="2C58D145" w14:textId="77777777" w:rsidR="004000BD" w:rsidRPr="00A70DA4" w:rsidRDefault="004000BD" w:rsidP="004000BD">
      <w:pPr>
        <w:spacing w:after="120" w:line="276" w:lineRule="auto"/>
        <w:ind w:firstLine="709"/>
        <w:jc w:val="both"/>
        <w:rPr>
          <w:rFonts w:ascii="Verdana" w:hAnsi="Verdana" w:cs="Arial"/>
          <w:lang w:val="es-ES"/>
        </w:rPr>
      </w:pPr>
      <w:r w:rsidRPr="00A70DA4">
        <w:rPr>
          <w:rFonts w:ascii="Verdana" w:hAnsi="Verdana" w:cs="Arial"/>
          <w:lang w:val="es-ES"/>
        </w:rPr>
        <w:t xml:space="preserve">Es decir, si existían inquietudes sobre los componentes del factor multiplicador, los interesados tuvieron la oportunidad de formular observaciones para aclarar sus dudas. En este sentido, el artículo 24.2 del Estatuto General de Contratación de la Administración Pública dispone que “En los procesos contractuales los interesados tendrán oportunidad de conocer y controvertir los informes, conceptos y decisiones que se rindan o adopten, para lo cual se establecerán etapas que permitan el conocimiento de dichas actuaciones y </w:t>
      </w:r>
      <w:r w:rsidRPr="00A70DA4">
        <w:rPr>
          <w:rFonts w:ascii="Verdana" w:hAnsi="Verdana" w:cs="Arial"/>
          <w:lang w:val="es-ES"/>
        </w:rPr>
        <w:lastRenderedPageBreak/>
        <w:t>otorguen la posibilidad de expresar observaciones”. Así, los proponentes pueden observar tanto el proyecto de pliego como el pliego de condiciones definitivo con el propósito de esclarecer aspectos del proceso.</w:t>
      </w:r>
    </w:p>
    <w:p w14:paraId="6660FE0F" w14:textId="77777777" w:rsidR="004000BD" w:rsidRPr="00A70DA4" w:rsidRDefault="004000BD" w:rsidP="004000BD">
      <w:pPr>
        <w:spacing w:after="120" w:line="276" w:lineRule="auto"/>
        <w:ind w:firstLine="709"/>
        <w:jc w:val="both"/>
        <w:rPr>
          <w:rFonts w:ascii="Verdana" w:hAnsi="Verdana" w:cs="Arial"/>
          <w:lang w:val="es-MX"/>
        </w:rPr>
      </w:pPr>
      <w:r w:rsidRPr="00A70DA4">
        <w:rPr>
          <w:rFonts w:ascii="Verdana" w:hAnsi="Verdana" w:cs="Arial"/>
          <w:lang w:val="es-MX"/>
        </w:rPr>
        <w:t xml:space="preserve">En este contexto, bajo el criterio de que “nadie puede beneficiarse de su propia culpa”, se restringe a los contratistas la posibilidad de solicitar reconocimientos económicos derivados de fallas de planeación que debieron advertir a la entidad contratante antes del perfeccionamiento del contrato. Si bien el parágrafo del artículo 40 de la Ley 80 de 1993 dispone que “Los contratos no podrán adicionarse en más del cincuenta por ciento (50%) de su valor inicial, expresado éste en salarios mínimos legales mensuales”, el Estado no se encuentra obligado a reestructurar el porcentaje ni los componentes del factor multiplicador, pues las modificaciones contractuales no son un derecho del contratista. </w:t>
      </w:r>
    </w:p>
    <w:p w14:paraId="46B5A0F4" w14:textId="6100AA0F" w:rsidR="00EE79EF" w:rsidRPr="00A70DA4" w:rsidRDefault="00EE79EF" w:rsidP="00A64FA1">
      <w:pPr>
        <w:snapToGrid w:val="0"/>
        <w:spacing w:before="120" w:after="120" w:line="276" w:lineRule="auto"/>
        <w:ind w:firstLine="709"/>
        <w:jc w:val="both"/>
        <w:rPr>
          <w:rFonts w:ascii="Verdana" w:eastAsia="Arial" w:hAnsi="Verdana" w:cs="Arial"/>
          <w:color w:val="000000"/>
          <w:kern w:val="2"/>
          <w14:ligatures w14:val="standardContextual"/>
        </w:rPr>
      </w:pPr>
      <w:r w:rsidRPr="00A70DA4">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0EC7ABF" w14:textId="77777777" w:rsidR="00EE79EF" w:rsidRPr="00A70DA4" w:rsidRDefault="00EE79EF" w:rsidP="00EE79EF">
      <w:pPr>
        <w:spacing w:after="0" w:line="276" w:lineRule="auto"/>
        <w:ind w:firstLine="708"/>
        <w:jc w:val="both"/>
        <w:rPr>
          <w:rFonts w:ascii="Verdana" w:eastAsia="Calibri" w:hAnsi="Verdana" w:cs="Arial"/>
          <w:bCs/>
          <w:color w:val="000000" w:themeColor="text1"/>
        </w:rPr>
      </w:pPr>
      <w:r w:rsidRPr="00A70DA4">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53267BE3" w14:textId="77777777" w:rsidR="00385C84" w:rsidRPr="00A70DA4" w:rsidRDefault="00385C84" w:rsidP="00B7559C">
      <w:pPr>
        <w:widowControl w:val="0"/>
        <w:autoSpaceDE w:val="0"/>
        <w:autoSpaceDN w:val="0"/>
        <w:spacing w:after="0" w:line="276" w:lineRule="auto"/>
        <w:jc w:val="both"/>
        <w:rPr>
          <w:rFonts w:ascii="Verdana" w:hAnsi="Verdana" w:cs="Arial"/>
          <w:lang w:eastAsia="es-ES"/>
        </w:rPr>
      </w:pPr>
    </w:p>
    <w:p w14:paraId="066BA18A" w14:textId="77777777" w:rsidR="00385C84" w:rsidRPr="00A70DA4" w:rsidRDefault="00385C84" w:rsidP="00385C84">
      <w:pPr>
        <w:pStyle w:val="Prrafodelista"/>
        <w:numPr>
          <w:ilvl w:val="0"/>
          <w:numId w:val="18"/>
        </w:numPr>
        <w:tabs>
          <w:tab w:val="left" w:pos="142"/>
          <w:tab w:val="left" w:pos="284"/>
        </w:tabs>
        <w:spacing w:after="0" w:line="276" w:lineRule="auto"/>
        <w:ind w:left="360"/>
        <w:contextualSpacing w:val="0"/>
        <w:jc w:val="both"/>
        <w:rPr>
          <w:rFonts w:ascii="Verdana" w:eastAsia="Century Gothic" w:hAnsi="Verdana" w:cs="Century Gothic"/>
          <w:b/>
          <w:bCs/>
        </w:rPr>
      </w:pPr>
      <w:r w:rsidRPr="00A70DA4">
        <w:rPr>
          <w:rFonts w:ascii="Verdana" w:eastAsia="Century Gothic" w:hAnsi="Verdana" w:cs="Century Gothic"/>
          <w:b/>
          <w:bCs/>
        </w:rPr>
        <w:t>Referencias normativas, jurisprudenciales y otras fuentes:</w:t>
      </w:r>
    </w:p>
    <w:p w14:paraId="6A20D816" w14:textId="77777777" w:rsidR="00385C84" w:rsidRPr="00A70DA4" w:rsidRDefault="00385C84" w:rsidP="00385C84">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85C84" w:rsidRPr="00A70DA4" w14:paraId="1F28E4B5" w14:textId="77777777" w:rsidTr="008B2E4B">
        <w:trPr>
          <w:trHeight w:val="870"/>
        </w:trPr>
        <w:tc>
          <w:tcPr>
            <w:tcW w:w="8647" w:type="dxa"/>
          </w:tcPr>
          <w:p w14:paraId="75DE94FE" w14:textId="77777777" w:rsidR="001B2E11" w:rsidRPr="00A70DA4" w:rsidRDefault="001B2E11" w:rsidP="001B2E11">
            <w:pPr>
              <w:pStyle w:val="Prrafodelista"/>
              <w:numPr>
                <w:ilvl w:val="0"/>
                <w:numId w:val="17"/>
              </w:numPr>
              <w:spacing w:before="120" w:after="120"/>
              <w:contextualSpacing w:val="0"/>
              <w:jc w:val="both"/>
              <w:rPr>
                <w:rFonts w:ascii="Verdana" w:eastAsia="Calibri" w:hAnsi="Verdana" w:cs="Arial"/>
              </w:rPr>
            </w:pPr>
            <w:r w:rsidRPr="00A70DA4">
              <w:rPr>
                <w:rFonts w:ascii="Verdana" w:hAnsi="Verdana" w:cs="Arial"/>
              </w:rPr>
              <w:lastRenderedPageBreak/>
              <w:t>Ley 80 de 1993, artículo 32.</w:t>
            </w:r>
          </w:p>
          <w:p w14:paraId="7706B9B9" w14:textId="77777777" w:rsidR="001B2E11" w:rsidRPr="00A70DA4" w:rsidRDefault="001B2E11" w:rsidP="001B2E11">
            <w:pPr>
              <w:pStyle w:val="Prrafodelista"/>
              <w:numPr>
                <w:ilvl w:val="0"/>
                <w:numId w:val="17"/>
              </w:numPr>
              <w:spacing w:before="120" w:after="120"/>
              <w:contextualSpacing w:val="0"/>
              <w:jc w:val="both"/>
              <w:rPr>
                <w:rFonts w:ascii="Verdana" w:eastAsia="Calibri" w:hAnsi="Verdana" w:cs="Arial"/>
              </w:rPr>
            </w:pPr>
            <w:r w:rsidRPr="00A70DA4">
              <w:rPr>
                <w:rFonts w:ascii="Verdana" w:eastAsia="Calibri" w:hAnsi="Verdana" w:cs="Arial"/>
              </w:rPr>
              <w:t>Código Civil, Artículo 1849.</w:t>
            </w:r>
          </w:p>
          <w:p w14:paraId="486D3793" w14:textId="4D1DC648" w:rsidR="00C42041" w:rsidRPr="00A70DA4" w:rsidRDefault="001B2E11" w:rsidP="00826530">
            <w:pPr>
              <w:pStyle w:val="Prrafodelista"/>
              <w:numPr>
                <w:ilvl w:val="0"/>
                <w:numId w:val="17"/>
              </w:numPr>
              <w:spacing w:before="120" w:after="120"/>
              <w:contextualSpacing w:val="0"/>
              <w:jc w:val="both"/>
              <w:rPr>
                <w:rFonts w:ascii="Verdana" w:eastAsia="Calibri" w:hAnsi="Verdana"/>
              </w:rPr>
            </w:pPr>
            <w:r w:rsidRPr="00A70DA4">
              <w:rPr>
                <w:rFonts w:ascii="Verdana" w:hAnsi="Verdana"/>
              </w:rPr>
              <w:t xml:space="preserve">Decreto 1082 de 2015 </w:t>
            </w:r>
            <w:r w:rsidRPr="00A70DA4">
              <w:rPr>
                <w:rFonts w:ascii="Verdana" w:eastAsia="Calibri" w:hAnsi="Verdana"/>
              </w:rPr>
              <w:t>el artículo 2.2.1.1.2.1.1.</w:t>
            </w:r>
          </w:p>
          <w:p w14:paraId="0C1064DA" w14:textId="364E03F6" w:rsidR="004F26F9" w:rsidRPr="00A70DA4" w:rsidRDefault="004F26F9" w:rsidP="00826530">
            <w:pPr>
              <w:pStyle w:val="Prrafodelista"/>
              <w:numPr>
                <w:ilvl w:val="0"/>
                <w:numId w:val="17"/>
              </w:numPr>
              <w:spacing w:before="120" w:after="120"/>
              <w:contextualSpacing w:val="0"/>
              <w:jc w:val="both"/>
              <w:rPr>
                <w:rFonts w:ascii="Verdana" w:eastAsia="Calibri" w:hAnsi="Verdana"/>
              </w:rPr>
            </w:pPr>
            <w:r w:rsidRPr="00A70DA4">
              <w:rPr>
                <w:rFonts w:ascii="Verdana" w:eastAsia="Aptos" w:hAnsi="Verdana" w:cs="Times New Roman"/>
              </w:rPr>
              <w:t>Ley 2126 de 2021, artículo 23.</w:t>
            </w:r>
          </w:p>
          <w:p w14:paraId="0157E8AD" w14:textId="77777777" w:rsidR="001B2E11" w:rsidRPr="00A70DA4" w:rsidRDefault="001B2E11" w:rsidP="001B2E11">
            <w:pPr>
              <w:pStyle w:val="Prrafodelista"/>
              <w:numPr>
                <w:ilvl w:val="0"/>
                <w:numId w:val="17"/>
              </w:numPr>
              <w:spacing w:before="120" w:after="120"/>
              <w:contextualSpacing w:val="0"/>
              <w:jc w:val="both"/>
              <w:rPr>
                <w:rFonts w:ascii="Verdana" w:hAnsi="Verdana" w:cs="Arial"/>
              </w:rPr>
            </w:pPr>
            <w:r w:rsidRPr="00A70DA4">
              <w:rPr>
                <w:rFonts w:ascii="Verdana" w:hAnsi="Verdana" w:cs="Arial"/>
              </w:rPr>
              <w:t>Consejo de Estado, Sección Tercera, Subsección A sentencia de 19 de julio de 2018, M.P. Marta Nubia Velázquez Rico, Rad. 2013-01826(57.576)</w:t>
            </w:r>
          </w:p>
          <w:p w14:paraId="32239231" w14:textId="77777777" w:rsidR="00385C84" w:rsidRPr="00A70DA4" w:rsidRDefault="001B2E11" w:rsidP="001B2E11">
            <w:pPr>
              <w:pStyle w:val="Prrafodelista"/>
              <w:numPr>
                <w:ilvl w:val="0"/>
                <w:numId w:val="17"/>
              </w:numPr>
              <w:spacing w:before="120" w:after="120"/>
              <w:contextualSpacing w:val="0"/>
              <w:jc w:val="both"/>
              <w:rPr>
                <w:rFonts w:ascii="Verdana" w:hAnsi="Verdana" w:cs="Arial"/>
              </w:rPr>
            </w:pPr>
            <w:r w:rsidRPr="00A70DA4">
              <w:rPr>
                <w:rFonts w:ascii="Verdana" w:eastAsia="Calibri" w:hAnsi="Verdana" w:cs="Arial"/>
                <w:lang w:eastAsia="es-ES"/>
              </w:rPr>
              <w:t xml:space="preserve">Consejo de Estado. Sección Tercera. Subsección B. Sentencia del 29 de febrero de 2012. </w:t>
            </w:r>
            <w:proofErr w:type="spellStart"/>
            <w:r w:rsidRPr="00A70DA4">
              <w:rPr>
                <w:rFonts w:ascii="Verdana" w:eastAsia="Calibri" w:hAnsi="Verdana" w:cs="Arial"/>
                <w:lang w:eastAsia="es-ES"/>
              </w:rPr>
              <w:t>Exp</w:t>
            </w:r>
            <w:proofErr w:type="spellEnd"/>
            <w:r w:rsidRPr="00A70DA4">
              <w:rPr>
                <w:rFonts w:ascii="Verdana" w:eastAsia="Calibri" w:hAnsi="Verdana" w:cs="Arial"/>
                <w:lang w:eastAsia="es-ES"/>
              </w:rPr>
              <w:t>. 16371, C.P. Danilo Rojas Betancourth.</w:t>
            </w:r>
          </w:p>
          <w:p w14:paraId="3B834140" w14:textId="7F637895" w:rsidR="00C42041" w:rsidRPr="00A70DA4" w:rsidRDefault="00C42041" w:rsidP="001B2E11">
            <w:pPr>
              <w:pStyle w:val="Prrafodelista"/>
              <w:numPr>
                <w:ilvl w:val="0"/>
                <w:numId w:val="17"/>
              </w:numPr>
              <w:spacing w:before="120" w:after="120"/>
              <w:contextualSpacing w:val="0"/>
              <w:jc w:val="both"/>
              <w:rPr>
                <w:rFonts w:ascii="Verdana" w:hAnsi="Verdana" w:cs="Arial"/>
              </w:rPr>
            </w:pPr>
            <w:r w:rsidRPr="00A70DA4">
              <w:rPr>
                <w:rFonts w:ascii="Verdana" w:hAnsi="Verdana" w:cs="Arial"/>
              </w:rPr>
              <w:t>Corte Constitucional, Sentencia C-221 de 22 de mayo de 2019.</w:t>
            </w:r>
            <w:r w:rsidRPr="00A70DA4">
              <w:rPr>
                <w:rFonts w:ascii="Verdana" w:hAnsi="Verdana"/>
              </w:rPr>
              <w:t xml:space="preserve"> </w:t>
            </w:r>
            <w:r w:rsidRPr="00A70DA4">
              <w:rPr>
                <w:rFonts w:ascii="Verdana" w:hAnsi="Verdana" w:cs="Arial"/>
              </w:rPr>
              <w:t>M.P. Carlos Bernal Pulido.</w:t>
            </w:r>
          </w:p>
          <w:p w14:paraId="638FCFEF" w14:textId="2615D99A" w:rsidR="00C42041" w:rsidRPr="00A70DA4" w:rsidRDefault="00C42041" w:rsidP="001B2E11">
            <w:pPr>
              <w:pStyle w:val="Prrafodelista"/>
              <w:numPr>
                <w:ilvl w:val="0"/>
                <w:numId w:val="17"/>
              </w:numPr>
              <w:spacing w:before="120" w:after="120"/>
              <w:contextualSpacing w:val="0"/>
              <w:jc w:val="both"/>
              <w:rPr>
                <w:rFonts w:ascii="Verdana" w:hAnsi="Verdana" w:cs="Arial"/>
              </w:rPr>
            </w:pPr>
            <w:r w:rsidRPr="00A70DA4">
              <w:rPr>
                <w:rFonts w:ascii="Verdana" w:hAnsi="Verdana" w:cs="Arial"/>
              </w:rPr>
              <w:t>Corte Constitucional. Sentencia C-768 de 23 de septiembre de 2010. M.P.: Juan Carlos Henao Pérez.</w:t>
            </w:r>
          </w:p>
        </w:tc>
      </w:tr>
    </w:tbl>
    <w:p w14:paraId="7EDAC845" w14:textId="77777777" w:rsidR="00385C84" w:rsidRPr="00A70DA4" w:rsidRDefault="00385C84" w:rsidP="00385C84">
      <w:pPr>
        <w:widowControl w:val="0"/>
        <w:autoSpaceDE w:val="0"/>
        <w:autoSpaceDN w:val="0"/>
        <w:spacing w:after="0" w:line="276" w:lineRule="auto"/>
        <w:jc w:val="both"/>
        <w:rPr>
          <w:rFonts w:ascii="Verdana" w:hAnsi="Verdana" w:cs="Arial"/>
          <w:highlight w:val="cyan"/>
        </w:rPr>
      </w:pPr>
    </w:p>
    <w:p w14:paraId="2A41FB13" w14:textId="77777777" w:rsidR="00385C84" w:rsidRPr="00A70DA4" w:rsidRDefault="00385C84" w:rsidP="00385C84">
      <w:pPr>
        <w:pStyle w:val="Prrafodelista"/>
        <w:numPr>
          <w:ilvl w:val="0"/>
          <w:numId w:val="18"/>
        </w:numPr>
        <w:tabs>
          <w:tab w:val="left" w:pos="142"/>
          <w:tab w:val="left" w:pos="284"/>
        </w:tabs>
        <w:spacing w:after="0" w:line="276" w:lineRule="auto"/>
        <w:ind w:left="0" w:firstLine="0"/>
        <w:contextualSpacing w:val="0"/>
        <w:jc w:val="both"/>
        <w:rPr>
          <w:rFonts w:ascii="Verdana" w:eastAsia="Century Gothic" w:hAnsi="Verdana" w:cs="Arial"/>
          <w:b/>
          <w:bCs/>
        </w:rPr>
      </w:pPr>
      <w:r w:rsidRPr="00A70DA4">
        <w:rPr>
          <w:rFonts w:ascii="Verdana" w:eastAsia="Century Gothic" w:hAnsi="Verdana" w:cs="Arial"/>
          <w:b/>
          <w:bCs/>
        </w:rPr>
        <w:t>Doctrina de la Agencia Nacional de Contratación Pública:</w:t>
      </w:r>
    </w:p>
    <w:p w14:paraId="4049D30E" w14:textId="77777777" w:rsidR="00385C84" w:rsidRPr="00A70DA4" w:rsidRDefault="00385C84" w:rsidP="00385C84">
      <w:pPr>
        <w:widowControl w:val="0"/>
        <w:autoSpaceDE w:val="0"/>
        <w:autoSpaceDN w:val="0"/>
        <w:spacing w:after="0" w:line="276" w:lineRule="auto"/>
        <w:jc w:val="both"/>
        <w:rPr>
          <w:rFonts w:ascii="Verdana" w:hAnsi="Verdana" w:cs="Arial"/>
          <w:highlight w:val="cyan"/>
        </w:rPr>
      </w:pPr>
    </w:p>
    <w:p w14:paraId="46FDA200" w14:textId="3AF1CC94" w:rsidR="00C02BE5" w:rsidRPr="00A70DA4" w:rsidRDefault="00C02BE5" w:rsidP="00C02BE5">
      <w:pPr>
        <w:spacing w:after="0" w:line="276" w:lineRule="auto"/>
        <w:contextualSpacing/>
        <w:jc w:val="both"/>
        <w:rPr>
          <w:rStyle w:val="normaltextrun"/>
          <w:rFonts w:ascii="Verdana" w:hAnsi="Verdana" w:cs="Arial"/>
          <w:color w:val="000000" w:themeColor="text1"/>
          <w:shd w:val="clear" w:color="auto" w:fill="FFFFFF"/>
          <w:lang w:val="es-ES"/>
        </w:rPr>
      </w:pPr>
      <w:r w:rsidRPr="00A70DA4">
        <w:rPr>
          <w:rStyle w:val="normaltextrun"/>
          <w:rFonts w:ascii="Verdana" w:hAnsi="Verdana" w:cs="Arial"/>
          <w:color w:val="000000" w:themeColor="text1"/>
          <w:shd w:val="clear" w:color="auto" w:fill="FFFFFF"/>
          <w:lang w:val="es-ES"/>
        </w:rPr>
        <w:t>La Agencia Nacional de Contratación Pública – Colombia Compra Eficiente se ha referido</w:t>
      </w:r>
      <w:r w:rsidRPr="00A70DA4">
        <w:rPr>
          <w:rFonts w:ascii="Verdana" w:hAnsi="Verdana" w:cs="Arial"/>
        </w:rPr>
        <w:t xml:space="preserve"> a </w:t>
      </w:r>
      <w:r w:rsidRPr="00A70DA4">
        <w:rPr>
          <w:rFonts w:ascii="Verdana" w:hAnsi="Verdana" w:cs="Arial"/>
          <w:shd w:val="clear" w:color="auto" w:fill="FFFFFF"/>
          <w:lang w:val="es-ES"/>
        </w:rPr>
        <w:t>la determinación del precio o valor en los contratos estatales en los conceptos</w:t>
      </w:r>
      <w:r w:rsidRPr="00A70DA4">
        <w:rPr>
          <w:rFonts w:ascii="Verdana" w:hAnsi="Verdana" w:cs="Calibri"/>
          <w:shd w:val="clear" w:color="auto" w:fill="FFFFFF"/>
        </w:rPr>
        <w:t xml:space="preserve"> </w:t>
      </w:r>
      <w:r w:rsidRPr="00A70DA4">
        <w:rPr>
          <w:rFonts w:ascii="Verdana" w:hAnsi="Verdana" w:cs="Arial"/>
          <w:shd w:val="clear" w:color="auto" w:fill="FFFFFF"/>
          <w:lang w:val="es-ES"/>
        </w:rPr>
        <w:t>C-064 del 28 de febrero de 2020, C-150 del 18 de marzo de 2020, C-075 del 26 de marzo de 2020, C-180 del 13 de abril de 2020, C-344 del 26 de mayo de 2020, C-765 del 7 de enero de 2021, C-411 del 17 de agosto de 2021, C-650 del 22 de diciembre de 2021, C-238 del 27 de abril de 2022, C-432 del 13 de julio de 2022, C-590 del 20 de septiembre de 2022, C-716 del 15 de noviembre de 2022, C-114 del 4 de mayo de 2023, C-198 del 16 de junio de 2023, C-250 del 31 de julio de 2023 , C-288 del 14 de julio de 2023, C-167 del 23 de julio de 2024, C-1018 del 6 de enero de 2025 y C-212 del 28 de marzo de 2025, C-577 de 2025, C-1613 del 22 de diciembre de 2025 y C-</w:t>
      </w:r>
      <w:r w:rsidR="00E658EA" w:rsidRPr="00A70DA4">
        <w:rPr>
          <w:rFonts w:ascii="Verdana" w:hAnsi="Verdana" w:cs="Arial"/>
          <w:shd w:val="clear" w:color="auto" w:fill="FFFFFF"/>
          <w:lang w:val="es-ES"/>
        </w:rPr>
        <w:t>212 del 04 de marzo del 2026</w:t>
      </w:r>
      <w:r w:rsidRPr="00A70DA4">
        <w:rPr>
          <w:rFonts w:ascii="Verdana" w:hAnsi="Verdana" w:cs="Arial"/>
          <w:shd w:val="clear" w:color="auto" w:fill="FFFFFF"/>
          <w:lang w:val="es-ES"/>
        </w:rPr>
        <w:t xml:space="preserve">, </w:t>
      </w:r>
      <w:r w:rsidRPr="00A70DA4">
        <w:rPr>
          <w:rFonts w:ascii="Verdana" w:eastAsia="Calibri" w:hAnsi="Verdana" w:cs="Arial"/>
          <w:lang w:val="es-ES" w:eastAsia="es-ES"/>
        </w:rPr>
        <w:t xml:space="preserve">entre otros. </w:t>
      </w:r>
      <w:r w:rsidRPr="00A70DA4">
        <w:rPr>
          <w:rFonts w:ascii="Verdana" w:hAnsi="Verdana" w:cs="Arial"/>
          <w:color w:val="000000" w:themeColor="text1"/>
          <w:shd w:val="clear" w:color="auto" w:fill="FFFFFF"/>
          <w:lang w:val="es-ES"/>
        </w:rPr>
        <w:t xml:space="preserve">Estos </w:t>
      </w:r>
      <w:r w:rsidRPr="00A70DA4">
        <w:rPr>
          <w:rStyle w:val="normaltextrun"/>
          <w:rFonts w:ascii="Verdana" w:hAnsi="Verdana" w:cs="Arial"/>
          <w:color w:val="000000" w:themeColor="text1"/>
          <w:shd w:val="clear" w:color="auto" w:fill="FFFFFF"/>
          <w:lang w:val="es-ES"/>
        </w:rPr>
        <w:t xml:space="preserve">se encuentran disponibles para consulta en el Sistema de relatoría de la Agencia, al cual puede accederse a través del siguiente enlace: </w:t>
      </w:r>
      <w:hyperlink r:id="rId13" w:history="1">
        <w:r w:rsidRPr="00A70DA4">
          <w:rPr>
            <w:rStyle w:val="Hipervnculo"/>
            <w:rFonts w:ascii="Verdana" w:hAnsi="Verdana" w:cs="Arial"/>
            <w:shd w:val="clear" w:color="auto" w:fill="FFFFFF"/>
            <w:lang w:val="es-ES"/>
          </w:rPr>
          <w:t>https://relatoria.colombiacompra.gov.co/busqueda/conceptos</w:t>
        </w:r>
      </w:hyperlink>
      <w:r w:rsidRPr="00A70DA4">
        <w:rPr>
          <w:rStyle w:val="Hipervnculo"/>
          <w:rFonts w:ascii="Verdana" w:hAnsi="Verdana"/>
          <w:lang w:val="es-ES"/>
        </w:rPr>
        <w:t>.</w:t>
      </w:r>
      <w:r w:rsidRPr="00A70DA4">
        <w:rPr>
          <w:rStyle w:val="normaltextrun"/>
          <w:rFonts w:ascii="Verdana" w:hAnsi="Verdana" w:cs="Arial"/>
          <w:color w:val="000000" w:themeColor="text1"/>
          <w:shd w:val="clear" w:color="auto" w:fill="FFFFFF"/>
          <w:lang w:val="es-ES"/>
        </w:rPr>
        <w:t xml:space="preserve"> </w:t>
      </w:r>
    </w:p>
    <w:p w14:paraId="5DD4E110" w14:textId="77777777" w:rsidR="000F719B" w:rsidRPr="00A70DA4" w:rsidRDefault="000F719B" w:rsidP="000F719B">
      <w:pPr>
        <w:widowControl w:val="0"/>
        <w:autoSpaceDE w:val="0"/>
        <w:autoSpaceDN w:val="0"/>
        <w:spacing w:after="0" w:line="276" w:lineRule="auto"/>
        <w:jc w:val="both"/>
        <w:rPr>
          <w:rStyle w:val="normaltextrun"/>
          <w:rFonts w:ascii="Verdana" w:hAnsi="Verdana" w:cs="Arial"/>
          <w:shd w:val="clear" w:color="auto" w:fill="FFFFFF"/>
          <w:lang w:val="es-ES"/>
        </w:rPr>
      </w:pPr>
    </w:p>
    <w:p w14:paraId="033F046D" w14:textId="77777777" w:rsidR="000F719B" w:rsidRPr="00A70DA4" w:rsidRDefault="00385C84" w:rsidP="000F719B">
      <w:pPr>
        <w:widowControl w:val="0"/>
        <w:autoSpaceDE w:val="0"/>
        <w:autoSpaceDN w:val="0"/>
        <w:spacing w:after="0" w:line="276" w:lineRule="auto"/>
        <w:jc w:val="both"/>
        <w:rPr>
          <w:rFonts w:ascii="Verdana" w:hAnsi="Verdana"/>
        </w:rPr>
      </w:pPr>
      <w:r w:rsidRPr="00A70DA4">
        <w:rPr>
          <w:rFonts w:ascii="Verdana" w:hAnsi="Verdana" w:cs="Arial"/>
        </w:rPr>
        <w:t xml:space="preserve">La sostenibilidad no es una opción, es una obligación. Por ello, la Agencia Nacional de Contratación Pública –Colombia Compra Eficiente– te invita a </w:t>
      </w:r>
      <w:r w:rsidRPr="00A70DA4">
        <w:rPr>
          <w:rFonts w:ascii="Verdana" w:hAnsi="Verdana" w:cs="Arial"/>
        </w:rPr>
        <w:lastRenderedPageBreak/>
        <w:t xml:space="preserve">realizar el </w:t>
      </w:r>
      <w:r w:rsidRPr="00A70DA4">
        <w:rPr>
          <w:rFonts w:ascii="Verdana" w:hAnsi="Verdana" w:cs="Arial"/>
          <w:b/>
          <w:bCs/>
        </w:rPr>
        <w:t>Curso de Contratación Pública Sostenible y Socialmente Responsable</w:t>
      </w:r>
      <w:r w:rsidRPr="00A70DA4">
        <w:rPr>
          <w:rFonts w:ascii="Verdana"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A70DA4">
        <w:rPr>
          <w:rFonts w:ascii="Verdana" w:hAnsi="Verdana" w:cs="Arial"/>
        </w:rPr>
        <w:br/>
      </w:r>
      <w:hyperlink r:id="rId14" w:tgtFrame="_new" w:history="1">
        <w:r w:rsidRPr="00A70DA4">
          <w:rPr>
            <w:rStyle w:val="Hipervnculo"/>
            <w:rFonts w:ascii="Verdana" w:hAnsi="Verdana" w:cs="Arial"/>
          </w:rPr>
          <w:t>https://formacionvirtual.colombiacompra.gov.co/mod/page/view.php?id=3718</w:t>
        </w:r>
      </w:hyperlink>
    </w:p>
    <w:p w14:paraId="52DE8DE3" w14:textId="77777777" w:rsidR="000F719B" w:rsidRPr="00A70DA4" w:rsidRDefault="000F719B" w:rsidP="000F719B">
      <w:pPr>
        <w:widowControl w:val="0"/>
        <w:autoSpaceDE w:val="0"/>
        <w:autoSpaceDN w:val="0"/>
        <w:spacing w:after="0" w:line="276" w:lineRule="auto"/>
        <w:jc w:val="both"/>
        <w:rPr>
          <w:rFonts w:ascii="Verdana" w:hAnsi="Verdana"/>
        </w:rPr>
      </w:pPr>
    </w:p>
    <w:p w14:paraId="4127ACA5" w14:textId="2399805F" w:rsidR="00385C84" w:rsidRPr="00A70DA4" w:rsidRDefault="00385C84" w:rsidP="000F719B">
      <w:pPr>
        <w:widowControl w:val="0"/>
        <w:autoSpaceDE w:val="0"/>
        <w:autoSpaceDN w:val="0"/>
        <w:spacing w:after="0" w:line="276" w:lineRule="auto"/>
        <w:jc w:val="both"/>
        <w:rPr>
          <w:rFonts w:ascii="Verdana" w:hAnsi="Verdana"/>
        </w:rPr>
      </w:pPr>
      <w:r w:rsidRPr="00A70DA4">
        <w:rPr>
          <w:rFonts w:ascii="Verdana" w:hAnsi="Verdana" w:cs="Arial"/>
        </w:rPr>
        <w:t xml:space="preserve">De otro lado, te contamos que esta Agencia ha da un paso decisivo en la estandarización y modernización del </w:t>
      </w:r>
      <w:r w:rsidRPr="00A70DA4">
        <w:rPr>
          <w:rFonts w:ascii="Verdana" w:hAnsi="Verdana" w:cs="Arial"/>
          <w:b/>
          <w:bCs/>
        </w:rPr>
        <w:t>sector  social</w:t>
      </w:r>
      <w:r w:rsidRPr="00A70DA4">
        <w:rPr>
          <w:rFonts w:ascii="Verdana" w:hAnsi="Verdana" w:cs="Arial"/>
        </w:rPr>
        <w:t xml:space="preserve"> con la expedición de las </w:t>
      </w:r>
      <w:r w:rsidRPr="00A70DA4">
        <w:rPr>
          <w:rFonts w:ascii="Verdana" w:hAnsi="Verdana" w:cs="Arial"/>
          <w:b/>
          <w:bCs/>
        </w:rPr>
        <w:t>Resoluciones 539, 540, 541, 952 y 953 de 2025</w:t>
      </w:r>
      <w:r w:rsidRPr="00A70DA4">
        <w:rPr>
          <w:rFonts w:ascii="Verdana" w:hAnsi="Verdana" w:cs="Arial"/>
        </w:rPr>
        <w:t xml:space="preserve">, </w:t>
      </w:r>
      <w:r w:rsidRPr="00A70DA4">
        <w:rPr>
          <w:rFonts w:ascii="Verdana" w:hAnsi="Verdana" w:cs="Arial"/>
          <w:b/>
          <w:bCs/>
        </w:rPr>
        <w:t>mediante las cuales adoptó Documentos Tipo</w:t>
      </w:r>
      <w:r w:rsidRPr="00A70DA4">
        <w:rPr>
          <w:rFonts w:ascii="Verdana" w:hAnsi="Verdana" w:cs="Arial"/>
        </w:rPr>
        <w:t xml:space="preserve"> para las modalidades de selección de</w:t>
      </w:r>
      <w:r w:rsidRPr="00A70DA4">
        <w:rPr>
          <w:rFonts w:ascii="Verdana" w:hAnsi="Verdana" w:cs="Arial"/>
          <w:b/>
          <w:bCs/>
        </w:rPr>
        <w:t xml:space="preserve"> licitación pública (versión 2), selección abreviada de menor cuantía, mínima cuantía, consultoría e interventoría</w:t>
      </w:r>
      <w:r w:rsidRPr="00A70DA4">
        <w:rPr>
          <w:rFonts w:ascii="Verdana"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A70DA4">
          <w:rPr>
            <w:rStyle w:val="Hipervnculo"/>
            <w:rFonts w:ascii="Verdana" w:hAnsi="Verdana" w:cs="Arial"/>
          </w:rPr>
          <w:t>https://www.colombiacompra.gov.co/normativa-y-relatoria/documentos-tipo</w:t>
        </w:r>
      </w:hyperlink>
    </w:p>
    <w:p w14:paraId="011CC632" w14:textId="77777777" w:rsidR="000F719B" w:rsidRPr="00A70DA4" w:rsidRDefault="000F719B" w:rsidP="000F719B">
      <w:pPr>
        <w:widowControl w:val="0"/>
        <w:autoSpaceDE w:val="0"/>
        <w:autoSpaceDN w:val="0"/>
        <w:spacing w:after="0" w:line="276" w:lineRule="auto"/>
        <w:jc w:val="both"/>
        <w:rPr>
          <w:rFonts w:ascii="Verdana" w:hAnsi="Verdana" w:cs="Arial"/>
          <w:shd w:val="clear" w:color="auto" w:fill="FFFFFF"/>
        </w:rPr>
      </w:pPr>
    </w:p>
    <w:p w14:paraId="2A17085D" w14:textId="77777777" w:rsidR="00385C84" w:rsidRPr="00A70DA4" w:rsidRDefault="00385C84" w:rsidP="00385C84">
      <w:pPr>
        <w:spacing w:after="120" w:line="276" w:lineRule="auto"/>
        <w:jc w:val="both"/>
        <w:rPr>
          <w:rFonts w:ascii="Verdana" w:hAnsi="Verdana" w:cs="Arial"/>
        </w:rPr>
      </w:pPr>
      <w:r w:rsidRPr="00A70DA4">
        <w:rPr>
          <w:rFonts w:ascii="Verdana" w:hAnsi="Verdana" w:cs="Arial"/>
        </w:rPr>
        <w:t xml:space="preserve">Si quieres conocer más sobre la aplicación de Documentos Tipo puedes consultar la última versión de la </w:t>
      </w:r>
      <w:r w:rsidRPr="00A70DA4">
        <w:rPr>
          <w:rFonts w:ascii="Verdana" w:hAnsi="Verdana" w:cs="Arial"/>
          <w:b/>
          <w:bCs/>
        </w:rPr>
        <w:t>Guía para la comprensión e implementación de los Documentos Tipo de obra pública de infraestructura de transporte</w:t>
      </w:r>
      <w:r w:rsidRPr="00A70DA4">
        <w:rPr>
          <w:rFonts w:ascii="Verdana"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A70DA4">
        <w:rPr>
          <w:rFonts w:ascii="Verdana" w:hAnsi="Verdana" w:cs="Arial"/>
        </w:rPr>
        <w:br/>
      </w:r>
      <w:hyperlink r:id="rId16" w:tgtFrame="_new" w:history="1">
        <w:r w:rsidRPr="00A70DA4">
          <w:rPr>
            <w:rStyle w:val="Hipervnculo"/>
            <w:rFonts w:ascii="Verdana" w:hAnsi="Verdana" w:cs="Arial"/>
          </w:rPr>
          <w:t>https://www.colombiacompra.gov.co/archivos/manual/guia-para-la-comprension-e-implementacion-de-los-documentos-tipo-de-obra-publica-de-infraestructura-de-transporte-bajo-las-diferentes-modalidades-de-contratacion-vigentes</w:t>
        </w:r>
      </w:hyperlink>
    </w:p>
    <w:p w14:paraId="7193A5BA" w14:textId="77777777" w:rsidR="00385C84" w:rsidRPr="00A70DA4" w:rsidRDefault="00385C84" w:rsidP="00385C84">
      <w:pPr>
        <w:spacing w:after="0" w:line="276" w:lineRule="auto"/>
        <w:jc w:val="both"/>
        <w:rPr>
          <w:rFonts w:ascii="Verdana" w:hAnsi="Verdana" w:cs="Arial"/>
        </w:rPr>
      </w:pPr>
      <w:r w:rsidRPr="00A70DA4">
        <w:rPr>
          <w:rFonts w:ascii="Verdana" w:hAnsi="Verdana" w:cs="Arial"/>
        </w:rPr>
        <w:t xml:space="preserve">Por último, lo invitamos a seguirnos en las redes sociales en las cuales se difunde información institucional: </w:t>
      </w:r>
    </w:p>
    <w:p w14:paraId="4849C66F" w14:textId="77777777" w:rsidR="00385C84" w:rsidRPr="00A70DA4" w:rsidRDefault="00385C84" w:rsidP="00385C84">
      <w:pPr>
        <w:spacing w:after="0" w:line="276" w:lineRule="auto"/>
        <w:jc w:val="both"/>
        <w:rPr>
          <w:rFonts w:ascii="Verdana" w:hAnsi="Verdana" w:cs="Arial"/>
        </w:rPr>
      </w:pPr>
    </w:p>
    <w:p w14:paraId="514E5F86" w14:textId="77777777" w:rsidR="00385C84" w:rsidRPr="00A70DA4" w:rsidRDefault="00385C84" w:rsidP="00385C84">
      <w:pPr>
        <w:spacing w:after="0" w:line="276" w:lineRule="auto"/>
        <w:jc w:val="both"/>
        <w:rPr>
          <w:rFonts w:ascii="Verdana" w:hAnsi="Verdana" w:cs="Arial"/>
        </w:rPr>
      </w:pPr>
      <w:r w:rsidRPr="00A70DA4">
        <w:rPr>
          <w:rFonts w:ascii="Verdana" w:hAnsi="Verdana" w:cs="Arial"/>
        </w:rPr>
        <w:t xml:space="preserve">Twitter: </w:t>
      </w:r>
      <w:r w:rsidRPr="00A70DA4">
        <w:rPr>
          <w:rStyle w:val="Hipervnculo"/>
          <w:rFonts w:ascii="Verdana" w:hAnsi="Verdana" w:cs="Arial"/>
          <w:color w:val="4472C4" w:themeColor="accent1"/>
        </w:rPr>
        <w:t>@colombiacompra</w:t>
      </w:r>
      <w:r w:rsidRPr="00A70DA4">
        <w:rPr>
          <w:rFonts w:ascii="Verdana" w:hAnsi="Verdana" w:cs="Arial"/>
          <w:color w:val="4472C4" w:themeColor="accent1"/>
        </w:rPr>
        <w:t xml:space="preserve"> </w:t>
      </w:r>
    </w:p>
    <w:p w14:paraId="46B3714B" w14:textId="77777777" w:rsidR="00385C84" w:rsidRPr="00A70DA4" w:rsidRDefault="00385C84" w:rsidP="00385C84">
      <w:pPr>
        <w:spacing w:after="0" w:line="276" w:lineRule="auto"/>
        <w:jc w:val="both"/>
        <w:rPr>
          <w:rFonts w:ascii="Verdana" w:hAnsi="Verdana" w:cs="Arial"/>
        </w:rPr>
      </w:pPr>
      <w:r w:rsidRPr="00A70DA4">
        <w:rPr>
          <w:rFonts w:ascii="Verdana" w:hAnsi="Verdana" w:cs="Arial"/>
        </w:rPr>
        <w:t xml:space="preserve">Facebook: </w:t>
      </w:r>
      <w:proofErr w:type="spellStart"/>
      <w:r w:rsidRPr="00A70DA4">
        <w:rPr>
          <w:rStyle w:val="Hipervnculo"/>
          <w:rFonts w:ascii="Verdana" w:hAnsi="Verdana" w:cs="Arial"/>
          <w:color w:val="4472C4" w:themeColor="accent1"/>
        </w:rPr>
        <w:t>ColombiaCompraEficiente</w:t>
      </w:r>
      <w:proofErr w:type="spellEnd"/>
    </w:p>
    <w:p w14:paraId="6D0E2D60" w14:textId="77777777" w:rsidR="00385C84" w:rsidRPr="00A70DA4" w:rsidRDefault="00385C84" w:rsidP="00385C84">
      <w:pPr>
        <w:spacing w:after="0" w:line="276" w:lineRule="auto"/>
        <w:jc w:val="both"/>
        <w:rPr>
          <w:rStyle w:val="Hipervnculo"/>
          <w:rFonts w:ascii="Verdana" w:hAnsi="Verdana" w:cs="Arial"/>
          <w:color w:val="4472C4" w:themeColor="accent1"/>
        </w:rPr>
      </w:pPr>
      <w:r w:rsidRPr="00A70DA4">
        <w:rPr>
          <w:rFonts w:ascii="Verdana" w:hAnsi="Verdana" w:cs="Arial"/>
        </w:rPr>
        <w:lastRenderedPageBreak/>
        <w:t xml:space="preserve">LinkedIn: </w:t>
      </w:r>
      <w:r w:rsidRPr="00A70DA4">
        <w:rPr>
          <w:rStyle w:val="Hipervnculo"/>
          <w:rFonts w:ascii="Verdana" w:hAnsi="Verdana" w:cs="Arial"/>
          <w:color w:val="4472C4" w:themeColor="accent1"/>
        </w:rPr>
        <w:t>Agencia Nacional de Contratación Pública - Colombia Compra Eficiente</w:t>
      </w:r>
      <w:r w:rsidRPr="00A70DA4">
        <w:rPr>
          <w:rFonts w:ascii="Verdana" w:hAnsi="Verdana" w:cs="Arial"/>
          <w:color w:val="4472C4" w:themeColor="accent1"/>
        </w:rPr>
        <w:t xml:space="preserve"> </w:t>
      </w:r>
      <w:r w:rsidRPr="00A70DA4">
        <w:rPr>
          <w:rFonts w:ascii="Verdana" w:hAnsi="Verdana" w:cs="Arial"/>
        </w:rPr>
        <w:t xml:space="preserve">Instagram: </w:t>
      </w:r>
      <w:r w:rsidRPr="00A70DA4">
        <w:rPr>
          <w:rStyle w:val="Hipervnculo"/>
          <w:rFonts w:ascii="Verdana" w:hAnsi="Verdana" w:cs="Arial"/>
          <w:color w:val="4472C4" w:themeColor="accent1"/>
        </w:rPr>
        <w:t>@colombiacompraeficiente_cce</w:t>
      </w:r>
    </w:p>
    <w:p w14:paraId="53EFA1A0" w14:textId="77777777" w:rsidR="00385C84" w:rsidRPr="00A70DA4" w:rsidRDefault="00385C84" w:rsidP="00385C84">
      <w:pPr>
        <w:spacing w:after="0" w:line="276" w:lineRule="auto"/>
        <w:jc w:val="both"/>
        <w:rPr>
          <w:rStyle w:val="Hipervnculo"/>
          <w:rFonts w:ascii="Verdana" w:hAnsi="Verdana" w:cs="Arial"/>
          <w:color w:val="4472C4" w:themeColor="accent1"/>
        </w:rPr>
      </w:pPr>
    </w:p>
    <w:p w14:paraId="2B186ABE" w14:textId="77777777" w:rsidR="00385C84" w:rsidRPr="00A70DA4" w:rsidRDefault="00385C84" w:rsidP="00385C84">
      <w:pPr>
        <w:widowControl w:val="0"/>
        <w:autoSpaceDE w:val="0"/>
        <w:autoSpaceDN w:val="0"/>
        <w:spacing w:after="0" w:line="276" w:lineRule="auto"/>
        <w:jc w:val="both"/>
        <w:rPr>
          <w:rFonts w:ascii="Verdana" w:hAnsi="Verdana" w:cs="Arial"/>
          <w:lang w:val="es-ES_tradnl"/>
        </w:rPr>
      </w:pPr>
      <w:r w:rsidRPr="00A70DA4">
        <w:rPr>
          <w:rFonts w:ascii="Verdana" w:hAnsi="Verdana" w:cs="Arial"/>
        </w:rPr>
        <w:t xml:space="preserve">Este concepto tiene el alcance previsto en el artículo 28 del Código de Procedimiento Administrativo y de lo Contencioso Administrativo </w:t>
      </w:r>
      <w:r w:rsidRPr="00A70DA4">
        <w:rPr>
          <w:rFonts w:ascii="Verdana" w:hAnsi="Verdana" w:cs="Arial"/>
          <w:lang w:val="es-ES_tradnl"/>
        </w:rPr>
        <w:t>y las expresiones aquí utilizadas con mayúscula inicial deben ser entendidas con el significado que les otorga el artículo 2.2.1.1.1.3.1. del Decreto 1082 de 2015.</w:t>
      </w:r>
    </w:p>
    <w:p w14:paraId="62C3B8EA" w14:textId="77777777" w:rsidR="00385C84" w:rsidRPr="00A70DA4" w:rsidRDefault="00385C84" w:rsidP="00385C84">
      <w:pPr>
        <w:widowControl w:val="0"/>
        <w:autoSpaceDE w:val="0"/>
        <w:autoSpaceDN w:val="0"/>
        <w:spacing w:after="0" w:line="276" w:lineRule="auto"/>
        <w:jc w:val="both"/>
        <w:rPr>
          <w:rFonts w:ascii="Verdana" w:hAnsi="Verdana" w:cs="Arial"/>
        </w:rPr>
      </w:pPr>
    </w:p>
    <w:p w14:paraId="0999C433" w14:textId="77777777" w:rsidR="00385C84" w:rsidRPr="00A70DA4" w:rsidRDefault="00385C84" w:rsidP="00385C84">
      <w:pPr>
        <w:spacing w:after="0" w:line="276" w:lineRule="auto"/>
        <w:jc w:val="both"/>
        <w:rPr>
          <w:rFonts w:ascii="Verdana" w:hAnsi="Verdana" w:cs="Arial"/>
          <w:lang w:eastAsia="es-CO"/>
        </w:rPr>
      </w:pPr>
      <w:r w:rsidRPr="00A70DA4">
        <w:rPr>
          <w:rFonts w:ascii="Verdana" w:eastAsia="Times New Roman" w:hAnsi="Verdana" w:cs="Arial"/>
          <w:lang w:eastAsia="es-CO"/>
        </w:rPr>
        <w:t>Atentamente,</w:t>
      </w:r>
      <w:r w:rsidRPr="00A70DA4">
        <w:rPr>
          <w:rFonts w:ascii="Verdana" w:hAnsi="Verdana" w:cs="Arial"/>
          <w:lang w:eastAsia="es-CO"/>
        </w:rPr>
        <w:t xml:space="preserve"> </w:t>
      </w:r>
    </w:p>
    <w:p w14:paraId="6B088E2C" w14:textId="453BB561" w:rsidR="00385C84" w:rsidRPr="00A70DA4" w:rsidRDefault="00CA394E" w:rsidP="00385C84">
      <w:pPr>
        <w:spacing w:line="276" w:lineRule="auto"/>
        <w:jc w:val="center"/>
        <w:rPr>
          <w:rFonts w:ascii="Verdana" w:hAnsi="Verdana" w:cs="Arial"/>
          <w:color w:val="000000"/>
          <w:sz w:val="16"/>
          <w:szCs w:val="16"/>
          <w:lang w:val="es-ES_tradnl" w:eastAsia="es-CO"/>
        </w:rPr>
      </w:pPr>
      <w:r w:rsidRPr="00A70DA4">
        <w:rPr>
          <w:rFonts w:ascii="Verdana" w:hAnsi="Verdana"/>
          <w:noProof/>
        </w:rPr>
        <w:drawing>
          <wp:inline distT="0" distB="0" distL="0" distR="0" wp14:anchorId="1EAA21AF" wp14:editId="7FDAE913">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85C84" w:rsidRPr="00A70DA4" w14:paraId="39C1D21B" w14:textId="77777777" w:rsidTr="008B2E4B">
        <w:trPr>
          <w:trHeight w:val="315"/>
        </w:trPr>
        <w:tc>
          <w:tcPr>
            <w:tcW w:w="893" w:type="dxa"/>
            <w:vAlign w:val="center"/>
            <w:hideMark/>
          </w:tcPr>
          <w:p w14:paraId="42433049" w14:textId="77777777" w:rsidR="00385C84" w:rsidRPr="00A70DA4" w:rsidRDefault="00385C84" w:rsidP="008B2E4B">
            <w:pPr>
              <w:contextualSpacing/>
              <w:rPr>
                <w:rFonts w:ascii="Verdana" w:hAnsi="Verdana" w:cs="Arial"/>
                <w:sz w:val="16"/>
                <w:szCs w:val="16"/>
                <w:lang w:val="es-ES" w:eastAsia="es-ES"/>
              </w:rPr>
            </w:pPr>
            <w:r w:rsidRPr="00A70DA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6A03591" w14:textId="77777777" w:rsidR="00385C84" w:rsidRPr="00A70DA4" w:rsidRDefault="00385C84" w:rsidP="008B2E4B">
            <w:pPr>
              <w:contextualSpacing/>
              <w:rPr>
                <w:rFonts w:ascii="Verdana" w:eastAsia="Arial" w:hAnsi="Verdana" w:cs="Arial"/>
                <w:sz w:val="16"/>
                <w:szCs w:val="16"/>
              </w:rPr>
            </w:pPr>
            <w:r w:rsidRPr="00A70DA4">
              <w:rPr>
                <w:rFonts w:ascii="Verdana" w:eastAsia="Arial" w:hAnsi="Verdana" w:cs="Arial"/>
                <w:sz w:val="16"/>
                <w:szCs w:val="16"/>
              </w:rPr>
              <w:t>Ana María Ortiz Ballesteros</w:t>
            </w:r>
          </w:p>
          <w:p w14:paraId="6B33B55E" w14:textId="77777777" w:rsidR="00385C84" w:rsidRPr="00A70DA4" w:rsidRDefault="00385C84" w:rsidP="008B2E4B">
            <w:pPr>
              <w:contextualSpacing/>
              <w:rPr>
                <w:rFonts w:ascii="Verdana" w:eastAsia="Arial" w:hAnsi="Verdana" w:cs="Arial"/>
                <w:sz w:val="16"/>
                <w:szCs w:val="16"/>
              </w:rPr>
            </w:pPr>
            <w:r w:rsidRPr="00A70DA4">
              <w:rPr>
                <w:rStyle w:val="normaltextrun"/>
                <w:rFonts w:ascii="Verdana" w:eastAsia="Arial" w:hAnsi="Verdana" w:cs="Arial"/>
                <w:sz w:val="16"/>
                <w:szCs w:val="16"/>
              </w:rPr>
              <w:t>C</w:t>
            </w:r>
            <w:r w:rsidRPr="00A70DA4">
              <w:rPr>
                <w:rStyle w:val="normaltextrun"/>
                <w:rFonts w:ascii="Verdana" w:hAnsi="Verdana"/>
                <w:sz w:val="16"/>
                <w:szCs w:val="16"/>
              </w:rPr>
              <w:t>ontratista</w:t>
            </w:r>
            <w:r w:rsidRPr="00A70DA4">
              <w:rPr>
                <w:rStyle w:val="normaltextrun"/>
                <w:rFonts w:ascii="Verdana" w:eastAsia="Arial" w:hAnsi="Verdana" w:cs="Arial"/>
                <w:sz w:val="16"/>
                <w:szCs w:val="16"/>
              </w:rPr>
              <w:t xml:space="preserve"> de la Subdirección de Gestión Contractual</w:t>
            </w:r>
          </w:p>
        </w:tc>
      </w:tr>
      <w:tr w:rsidR="00385C84" w:rsidRPr="00A70DA4" w14:paraId="00CBC18D" w14:textId="77777777" w:rsidTr="008B2E4B">
        <w:trPr>
          <w:trHeight w:val="330"/>
        </w:trPr>
        <w:tc>
          <w:tcPr>
            <w:tcW w:w="893" w:type="dxa"/>
            <w:vAlign w:val="center"/>
            <w:hideMark/>
          </w:tcPr>
          <w:p w14:paraId="5BA6327E" w14:textId="77777777" w:rsidR="00385C84" w:rsidRPr="00A70DA4" w:rsidRDefault="00385C84" w:rsidP="008B2E4B">
            <w:pPr>
              <w:contextualSpacing/>
              <w:rPr>
                <w:rFonts w:ascii="Verdana" w:hAnsi="Verdana" w:cs="Arial"/>
                <w:sz w:val="16"/>
                <w:szCs w:val="16"/>
                <w:lang w:val="es-ES" w:eastAsia="es-ES"/>
              </w:rPr>
            </w:pPr>
            <w:r w:rsidRPr="00A70DA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1EC0011" w14:textId="77777777" w:rsidR="00385C84" w:rsidRPr="00A70DA4" w:rsidRDefault="00385C84" w:rsidP="008B2E4B">
            <w:pPr>
              <w:pStyle w:val="paragraph"/>
              <w:spacing w:before="0" w:beforeAutospacing="0" w:after="0" w:afterAutospacing="0"/>
              <w:contextualSpacing/>
              <w:textAlignment w:val="baseline"/>
              <w:rPr>
                <w:rFonts w:ascii="Verdana" w:hAnsi="Verdana" w:cs="Arial"/>
                <w:sz w:val="16"/>
                <w:szCs w:val="16"/>
              </w:rPr>
            </w:pPr>
            <w:r w:rsidRPr="00A70DA4">
              <w:rPr>
                <w:rFonts w:ascii="Verdana" w:hAnsi="Verdana" w:cs="Arial"/>
                <w:sz w:val="16"/>
                <w:szCs w:val="16"/>
              </w:rPr>
              <w:t xml:space="preserve">Adriana </w:t>
            </w:r>
            <w:proofErr w:type="spellStart"/>
            <w:r w:rsidRPr="00A70DA4">
              <w:rPr>
                <w:rFonts w:ascii="Verdana" w:hAnsi="Verdana" w:cs="Arial"/>
                <w:sz w:val="16"/>
                <w:szCs w:val="16"/>
              </w:rPr>
              <w:t>Katerine</w:t>
            </w:r>
            <w:proofErr w:type="spellEnd"/>
            <w:r w:rsidRPr="00A70DA4">
              <w:rPr>
                <w:rFonts w:ascii="Verdana" w:hAnsi="Verdana" w:cs="Arial"/>
                <w:sz w:val="16"/>
                <w:szCs w:val="16"/>
              </w:rPr>
              <w:t xml:space="preserve"> López Rodríguez</w:t>
            </w:r>
          </w:p>
          <w:p w14:paraId="25CB3C0F" w14:textId="77777777" w:rsidR="00385C84" w:rsidRPr="00A70DA4" w:rsidRDefault="00385C84" w:rsidP="008B2E4B">
            <w:pPr>
              <w:pStyle w:val="paragraph"/>
              <w:spacing w:before="0" w:beforeAutospacing="0" w:after="0" w:afterAutospacing="0"/>
              <w:contextualSpacing/>
              <w:textAlignment w:val="baseline"/>
              <w:rPr>
                <w:rFonts w:ascii="Verdana" w:hAnsi="Verdana" w:cs="Arial"/>
                <w:sz w:val="16"/>
                <w:szCs w:val="16"/>
              </w:rPr>
            </w:pPr>
            <w:r w:rsidRPr="00A70DA4">
              <w:rPr>
                <w:rStyle w:val="normaltextrun"/>
                <w:rFonts w:ascii="Verdana" w:eastAsia="Arial" w:hAnsi="Verdana" w:cs="Arial"/>
                <w:sz w:val="16"/>
                <w:szCs w:val="16"/>
              </w:rPr>
              <w:t>C</w:t>
            </w:r>
            <w:r w:rsidRPr="00A70DA4">
              <w:rPr>
                <w:rStyle w:val="normaltextrun"/>
                <w:rFonts w:ascii="Verdana" w:hAnsi="Verdana"/>
                <w:sz w:val="16"/>
                <w:szCs w:val="16"/>
              </w:rPr>
              <w:t>ontratista</w:t>
            </w:r>
            <w:r w:rsidRPr="00A70DA4">
              <w:rPr>
                <w:rStyle w:val="normaltextrun"/>
                <w:rFonts w:ascii="Verdana" w:eastAsia="Arial" w:hAnsi="Verdana" w:cs="Arial"/>
                <w:sz w:val="16"/>
                <w:szCs w:val="16"/>
              </w:rPr>
              <w:t xml:space="preserve"> de la Subdirección de Gestión Contractual</w:t>
            </w:r>
          </w:p>
        </w:tc>
      </w:tr>
      <w:tr w:rsidR="00385C84" w:rsidRPr="00A70DA4" w14:paraId="36533740" w14:textId="77777777" w:rsidTr="008B2E4B">
        <w:trPr>
          <w:trHeight w:val="300"/>
        </w:trPr>
        <w:tc>
          <w:tcPr>
            <w:tcW w:w="893" w:type="dxa"/>
            <w:vAlign w:val="center"/>
          </w:tcPr>
          <w:p w14:paraId="23CCF73F" w14:textId="77777777" w:rsidR="00385C84" w:rsidRPr="00A70DA4" w:rsidRDefault="00385C84" w:rsidP="008B2E4B">
            <w:pPr>
              <w:contextualSpacing/>
              <w:rPr>
                <w:rFonts w:ascii="Verdana" w:hAnsi="Verdana" w:cs="Arial"/>
                <w:sz w:val="16"/>
                <w:szCs w:val="16"/>
                <w:lang w:val="es-ES" w:eastAsia="es-ES"/>
              </w:rPr>
            </w:pPr>
            <w:r w:rsidRPr="00A70DA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935E822" w14:textId="77777777" w:rsidR="00385C84" w:rsidRPr="00A70DA4" w:rsidRDefault="00385C84" w:rsidP="008B2E4B">
            <w:pPr>
              <w:contextualSpacing/>
              <w:rPr>
                <w:rFonts w:ascii="Verdana" w:eastAsia="Calibri" w:hAnsi="Verdana" w:cs="Arial"/>
                <w:sz w:val="16"/>
                <w:szCs w:val="16"/>
                <w:lang w:val="pt-BR" w:eastAsia="es-ES"/>
              </w:rPr>
            </w:pPr>
            <w:r w:rsidRPr="00A70DA4">
              <w:rPr>
                <w:rFonts w:ascii="Verdana" w:eastAsia="Calibri" w:hAnsi="Verdana" w:cs="Arial"/>
                <w:sz w:val="16"/>
                <w:szCs w:val="16"/>
                <w:lang w:val="pt-BR" w:eastAsia="es-ES"/>
              </w:rPr>
              <w:t xml:space="preserve">Carolina Quintero </w:t>
            </w:r>
            <w:proofErr w:type="spellStart"/>
            <w:r w:rsidRPr="00A70DA4">
              <w:rPr>
                <w:rFonts w:ascii="Verdana" w:eastAsia="Calibri" w:hAnsi="Verdana" w:cs="Arial"/>
                <w:sz w:val="16"/>
                <w:szCs w:val="16"/>
                <w:lang w:val="pt-BR" w:eastAsia="es-ES"/>
              </w:rPr>
              <w:t>Gacharná</w:t>
            </w:r>
            <w:proofErr w:type="spellEnd"/>
          </w:p>
          <w:p w14:paraId="741720D3" w14:textId="77777777" w:rsidR="00385C84" w:rsidRPr="00A70DA4" w:rsidRDefault="00385C84" w:rsidP="008B2E4B">
            <w:pPr>
              <w:contextualSpacing/>
              <w:rPr>
                <w:rFonts w:ascii="Verdana" w:eastAsia="Calibri" w:hAnsi="Verdana" w:cs="Arial"/>
                <w:sz w:val="16"/>
                <w:szCs w:val="16"/>
                <w:lang w:val="pt-BR" w:eastAsia="es-ES"/>
              </w:rPr>
            </w:pPr>
            <w:r w:rsidRPr="00A70DA4">
              <w:rPr>
                <w:rFonts w:ascii="Verdana" w:eastAsia="Calibri" w:hAnsi="Verdana" w:cs="Arial"/>
                <w:sz w:val="16"/>
                <w:szCs w:val="16"/>
                <w:lang w:eastAsia="es-ES"/>
              </w:rPr>
              <w:t>Subdirectora</w:t>
            </w:r>
            <w:r w:rsidRPr="00A70DA4">
              <w:rPr>
                <w:rFonts w:ascii="Verdana" w:eastAsia="Calibri" w:hAnsi="Verdana" w:cs="Arial"/>
                <w:sz w:val="16"/>
                <w:szCs w:val="16"/>
                <w:lang w:val="pt-BR" w:eastAsia="es-ES"/>
              </w:rPr>
              <w:t xml:space="preserve"> de Gestión Contractual ANCP – CCE</w:t>
            </w:r>
          </w:p>
        </w:tc>
      </w:tr>
    </w:tbl>
    <w:p w14:paraId="773A1871" w14:textId="77777777" w:rsidR="00385C84" w:rsidRPr="00A70DA4" w:rsidRDefault="00385C84" w:rsidP="30821638">
      <w:pPr>
        <w:spacing w:after="0" w:line="240" w:lineRule="auto"/>
        <w:textAlignment w:val="baseline"/>
        <w:rPr>
          <w:rFonts w:ascii="Verdana" w:eastAsia="Verdana" w:hAnsi="Verdana" w:cs="Verdana"/>
          <w:lang w:eastAsia="es-CO"/>
        </w:rPr>
      </w:pPr>
    </w:p>
    <w:p w14:paraId="69BC4D14" w14:textId="724A22C5" w:rsidR="00C15139" w:rsidRPr="00A70DA4" w:rsidRDefault="00C15139" w:rsidP="30821638">
      <w:pPr>
        <w:spacing w:after="0" w:line="240" w:lineRule="auto"/>
        <w:textAlignment w:val="baseline"/>
        <w:rPr>
          <w:rFonts w:ascii="Verdana" w:eastAsia="Verdana" w:hAnsi="Verdana" w:cs="Verdana"/>
          <w:lang w:eastAsia="es-CO"/>
        </w:rPr>
      </w:pPr>
      <w:r w:rsidRPr="00A70DA4">
        <w:rPr>
          <w:rFonts w:ascii="Verdana" w:eastAsia="Verdana" w:hAnsi="Verdana" w:cs="Verdana"/>
          <w:lang w:eastAsia="es-CO"/>
        </w:rPr>
        <w:t> </w:t>
      </w:r>
      <w:bookmarkEnd w:id="0"/>
    </w:p>
    <w:sectPr w:rsidR="00C15139" w:rsidRPr="00A70DA4"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D08D41" w14:textId="77777777" w:rsidR="00F33D7A" w:rsidRDefault="00F33D7A" w:rsidP="004A1847">
      <w:pPr>
        <w:spacing w:after="0" w:line="240" w:lineRule="auto"/>
      </w:pPr>
      <w:r>
        <w:separator/>
      </w:r>
    </w:p>
  </w:endnote>
  <w:endnote w:type="continuationSeparator" w:id="0">
    <w:p w14:paraId="5B15C6F9" w14:textId="77777777" w:rsidR="00F33D7A" w:rsidRDefault="00F33D7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F00EB2" w14:textId="77777777" w:rsidR="00F33D7A" w:rsidRDefault="00F33D7A" w:rsidP="004A1847">
      <w:pPr>
        <w:spacing w:after="0" w:line="240" w:lineRule="auto"/>
      </w:pPr>
      <w:r>
        <w:separator/>
      </w:r>
    </w:p>
  </w:footnote>
  <w:footnote w:type="continuationSeparator" w:id="0">
    <w:p w14:paraId="02EBD5A5" w14:textId="77777777" w:rsidR="00F33D7A" w:rsidRDefault="00F33D7A" w:rsidP="004A1847">
      <w:pPr>
        <w:spacing w:after="0" w:line="240" w:lineRule="auto"/>
      </w:pPr>
      <w:r>
        <w:continuationSeparator/>
      </w:r>
    </w:p>
  </w:footnote>
  <w:footnote w:id="1">
    <w:p w14:paraId="305B8480" w14:textId="77777777" w:rsidR="004000BD" w:rsidRPr="00167C84" w:rsidRDefault="004000BD" w:rsidP="004000BD">
      <w:pPr>
        <w:pStyle w:val="Textonotapie"/>
        <w:ind w:firstLine="709"/>
        <w:contextualSpacing/>
        <w:jc w:val="both"/>
        <w:rPr>
          <w:rFonts w:ascii="Verdana" w:hAnsi="Verdana" w:cs="Arial"/>
          <w:color w:val="000000" w:themeColor="text1"/>
          <w:sz w:val="16"/>
          <w:szCs w:val="16"/>
          <w:lang w:val="es-ES"/>
        </w:rPr>
      </w:pPr>
      <w:r w:rsidRPr="00167C84">
        <w:rPr>
          <w:rStyle w:val="Refdenotaalpie"/>
          <w:rFonts w:ascii="Verdana" w:hAnsi="Verdana" w:cs="Arial"/>
          <w:color w:val="000000" w:themeColor="text1"/>
          <w:sz w:val="16"/>
          <w:szCs w:val="16"/>
        </w:rPr>
        <w:footnoteRef/>
      </w:r>
      <w:r w:rsidRPr="00167C84">
        <w:rPr>
          <w:rFonts w:ascii="Verdana" w:hAnsi="Verdana" w:cs="Arial"/>
          <w:color w:val="000000" w:themeColor="text1"/>
          <w:sz w:val="16"/>
          <w:szCs w:val="16"/>
        </w:rPr>
        <w:t xml:space="preserve"> </w:t>
      </w:r>
      <w:r w:rsidRPr="004779A0">
        <w:rPr>
          <w:rFonts w:ascii="Verdana" w:hAnsi="Verdana" w:cs="Arial"/>
          <w:color w:val="000000" w:themeColor="text1"/>
          <w:sz w:val="16"/>
          <w:szCs w:val="16"/>
        </w:rPr>
        <w:t xml:space="preserve">MARÍN CORTÉS, Fabian G., El precio. Serie: Las Cláusulas del Contrato Estatal, Ed. Jurídica Sánchez R. Bogotá, 2012. </w:t>
      </w:r>
      <w:r w:rsidRPr="00167C84">
        <w:rPr>
          <w:rFonts w:ascii="Verdana" w:hAnsi="Verdana" w:cs="Arial"/>
          <w:color w:val="000000" w:themeColor="text1"/>
          <w:sz w:val="16"/>
          <w:szCs w:val="16"/>
          <w:lang w:val="es-ES"/>
        </w:rPr>
        <w:t>pp. 64-65.</w:t>
      </w:r>
    </w:p>
  </w:footnote>
  <w:footnote w:id="2">
    <w:p w14:paraId="41F6EAF5" w14:textId="77777777" w:rsidR="004000BD" w:rsidRPr="00167C84" w:rsidRDefault="004000BD" w:rsidP="004000BD">
      <w:pPr>
        <w:pStyle w:val="Textonotapie"/>
        <w:ind w:firstLine="708"/>
        <w:contextualSpacing/>
        <w:jc w:val="both"/>
        <w:rPr>
          <w:rFonts w:ascii="Verdana" w:hAnsi="Verdana" w:cs="Arial"/>
          <w:sz w:val="16"/>
          <w:szCs w:val="16"/>
        </w:rPr>
      </w:pPr>
      <w:r w:rsidRPr="00167C84">
        <w:rPr>
          <w:rStyle w:val="Refdenotaalpie"/>
          <w:rFonts w:ascii="Verdana" w:hAnsi="Verdana" w:cs="Arial"/>
          <w:sz w:val="16"/>
          <w:szCs w:val="16"/>
        </w:rPr>
        <w:footnoteRef/>
      </w:r>
      <w:r w:rsidRPr="00167C84">
        <w:rPr>
          <w:rFonts w:ascii="Verdana" w:hAnsi="Verdana" w:cs="Arial"/>
          <w:sz w:val="16"/>
          <w:szCs w:val="16"/>
        </w:rPr>
        <w:t xml:space="preserve"> El factor multiplicador se encontraba regulado en los artículos 33, 34 y 35 del Decreto 1522 de 1983, “Por el cual se dictan normas sobre registro de proponentes y concurso de méritos”. No obstante, este reglamento fue posteriormente derogado por el Decreto 2326 de 1995, "Por el cual se reglamenta la Ley 80 de 1993 en cuanto a los Concursos para la selección de consultores de diseño, planos, anteproyectos y proyectos arquitectónicos, se hace una adición al Decreto 1584 de 1994 y se dictan otras disposiciones".</w:t>
      </w:r>
    </w:p>
  </w:footnote>
  <w:footnote w:id="3">
    <w:p w14:paraId="38A08548" w14:textId="77777777" w:rsidR="004000BD" w:rsidRPr="00167C84" w:rsidRDefault="004000BD" w:rsidP="004000BD">
      <w:pPr>
        <w:pStyle w:val="Textonotapie"/>
        <w:ind w:firstLine="708"/>
        <w:contextualSpacing/>
        <w:jc w:val="both"/>
        <w:rPr>
          <w:rFonts w:ascii="Verdana" w:hAnsi="Verdana"/>
          <w:sz w:val="16"/>
          <w:szCs w:val="16"/>
        </w:rPr>
      </w:pPr>
      <w:r w:rsidRPr="00167C84">
        <w:rPr>
          <w:rStyle w:val="Refdenotaalpie"/>
          <w:rFonts w:ascii="Verdana" w:hAnsi="Verdana"/>
          <w:sz w:val="16"/>
          <w:szCs w:val="16"/>
        </w:rPr>
        <w:footnoteRef/>
      </w:r>
      <w:r w:rsidRPr="00167C84">
        <w:rPr>
          <w:rFonts w:ascii="Verdana" w:hAnsi="Verdana"/>
          <w:sz w:val="16"/>
          <w:szCs w:val="16"/>
        </w:rPr>
        <w:t xml:space="preserve">Decreto 1523 de 1983: “Artículo 33. Costo del contrato de consultoría.  El costo total del contrato debe cubrir íntegramente los costos directos derivados de la ejecución de la consultoría y el estimado de los indirectos y la utilidad del consultor. </w:t>
      </w:r>
    </w:p>
    <w:p w14:paraId="0125F18D" w14:textId="77777777" w:rsidR="004000BD" w:rsidRPr="00167C84" w:rsidRDefault="004000BD" w:rsidP="004000BD">
      <w:pPr>
        <w:pStyle w:val="Textonotapie"/>
        <w:ind w:firstLine="708"/>
        <w:contextualSpacing/>
        <w:jc w:val="both"/>
        <w:rPr>
          <w:rFonts w:ascii="Verdana" w:hAnsi="Verdana"/>
          <w:sz w:val="16"/>
          <w:szCs w:val="16"/>
        </w:rPr>
      </w:pPr>
      <w:r w:rsidRPr="00167C84">
        <w:rPr>
          <w:rFonts w:ascii="Verdana" w:hAnsi="Verdana"/>
          <w:sz w:val="16"/>
          <w:szCs w:val="16"/>
        </w:rPr>
        <w:t xml:space="preserve">Para definir el costo del contrato, los de operación del consultor se clasificarán así: </w:t>
      </w:r>
    </w:p>
    <w:p w14:paraId="27B07242" w14:textId="77777777" w:rsidR="004000BD" w:rsidRPr="00167C84" w:rsidRDefault="004000BD" w:rsidP="004000BD">
      <w:pPr>
        <w:pStyle w:val="Textonotapie"/>
        <w:ind w:firstLine="708"/>
        <w:contextualSpacing/>
        <w:jc w:val="both"/>
        <w:rPr>
          <w:rFonts w:ascii="Verdana" w:hAnsi="Verdana"/>
          <w:sz w:val="16"/>
          <w:szCs w:val="16"/>
        </w:rPr>
      </w:pPr>
      <w:r w:rsidRPr="00167C84">
        <w:rPr>
          <w:rFonts w:ascii="Verdana" w:hAnsi="Verdana"/>
          <w:sz w:val="16"/>
          <w:szCs w:val="16"/>
        </w:rPr>
        <w:t xml:space="preserve">Costos directos del personal del proyecto. Los cuales están constituidos por los salarios del personal profesional, técnico y auxiliar asignado para ejecutar labores directamente en el contrato. </w:t>
      </w:r>
    </w:p>
    <w:p w14:paraId="371C251F" w14:textId="77777777" w:rsidR="004000BD" w:rsidRPr="00167C84" w:rsidRDefault="004000BD" w:rsidP="004000BD">
      <w:pPr>
        <w:pStyle w:val="Textonotapie"/>
        <w:ind w:firstLine="708"/>
        <w:contextualSpacing/>
        <w:jc w:val="both"/>
        <w:rPr>
          <w:rFonts w:ascii="Verdana" w:hAnsi="Verdana"/>
          <w:sz w:val="16"/>
          <w:szCs w:val="16"/>
        </w:rPr>
      </w:pPr>
      <w:r w:rsidRPr="00167C84">
        <w:rPr>
          <w:rFonts w:ascii="Verdana" w:hAnsi="Verdana"/>
          <w:sz w:val="16"/>
          <w:szCs w:val="16"/>
        </w:rPr>
        <w:t xml:space="preserve">El personal aquí incluido debe tener vinculación laboral con el consultor; sus prestaciones sociales o laborales se presentarán en forma separada y se cubrirán con el factor multiplicador cuando se utilice este sistema de cálculo. </w:t>
      </w:r>
    </w:p>
    <w:p w14:paraId="4DC8DEC1" w14:textId="77777777" w:rsidR="004000BD" w:rsidRPr="00167C84" w:rsidRDefault="004000BD" w:rsidP="004000BD">
      <w:pPr>
        <w:pStyle w:val="Textonotapie"/>
        <w:ind w:firstLine="708"/>
        <w:contextualSpacing/>
        <w:jc w:val="both"/>
        <w:rPr>
          <w:rFonts w:ascii="Verdana" w:hAnsi="Verdana"/>
          <w:sz w:val="16"/>
          <w:szCs w:val="16"/>
        </w:rPr>
      </w:pPr>
      <w:r w:rsidRPr="00167C84">
        <w:rPr>
          <w:rFonts w:ascii="Verdana" w:hAnsi="Verdana"/>
          <w:sz w:val="16"/>
          <w:szCs w:val="16"/>
        </w:rPr>
        <w:t xml:space="preserve">Otros costos directos. En estos costos se incluyen el de otros insumos requeridos para la ejecución del contrato, tales como honorarios por servicios pagados por el consultor, gastos de viaje, acarreos y transportes, alquiler de equipos, suministros de material y los insumos que se presupuesten como necesarios para la normal ejecución del a contrato. </w:t>
      </w:r>
    </w:p>
    <w:p w14:paraId="2E167505" w14:textId="77777777" w:rsidR="004000BD" w:rsidRPr="00167C84" w:rsidRDefault="004000BD" w:rsidP="004000BD">
      <w:pPr>
        <w:pStyle w:val="Textonotapie"/>
        <w:ind w:firstLine="708"/>
        <w:contextualSpacing/>
        <w:jc w:val="both"/>
        <w:rPr>
          <w:rFonts w:ascii="Verdana" w:hAnsi="Verdana"/>
          <w:sz w:val="16"/>
          <w:szCs w:val="16"/>
        </w:rPr>
      </w:pPr>
      <w:r w:rsidRPr="00167C84">
        <w:rPr>
          <w:rFonts w:ascii="Verdana" w:hAnsi="Verdana"/>
          <w:sz w:val="16"/>
          <w:szCs w:val="16"/>
        </w:rPr>
        <w:t xml:space="preserve">Costos indirectos. Corresponden a aquellos gastos que tiene la organización del consultor para poder ofrecer la disponibilidad de su servicio. </w:t>
      </w:r>
    </w:p>
    <w:p w14:paraId="2E9411AA" w14:textId="77777777" w:rsidR="004000BD" w:rsidRPr="00167C84" w:rsidRDefault="004000BD" w:rsidP="004000BD">
      <w:pPr>
        <w:pStyle w:val="Textonotapie"/>
        <w:ind w:firstLine="708"/>
        <w:contextualSpacing/>
        <w:jc w:val="both"/>
        <w:rPr>
          <w:rFonts w:ascii="Verdana" w:hAnsi="Verdana"/>
          <w:sz w:val="16"/>
          <w:szCs w:val="16"/>
        </w:rPr>
      </w:pPr>
      <w:r w:rsidRPr="00167C84">
        <w:rPr>
          <w:rFonts w:ascii="Verdana" w:hAnsi="Verdana"/>
          <w:sz w:val="16"/>
          <w:szCs w:val="16"/>
        </w:rPr>
        <w:t>Utilidad. Es el beneficio económico que recibe el consultor por ejecutar el contrato”.</w:t>
      </w:r>
    </w:p>
  </w:footnote>
  <w:footnote w:id="4">
    <w:p w14:paraId="0176803A" w14:textId="77777777" w:rsidR="004000BD" w:rsidRPr="00167C84" w:rsidRDefault="004000BD" w:rsidP="004000BD">
      <w:pPr>
        <w:pStyle w:val="Textonotapie"/>
        <w:ind w:firstLine="708"/>
        <w:contextualSpacing/>
        <w:jc w:val="both"/>
        <w:rPr>
          <w:rFonts w:ascii="Verdana" w:hAnsi="Verdana"/>
          <w:sz w:val="16"/>
          <w:szCs w:val="16"/>
        </w:rPr>
      </w:pPr>
      <w:r w:rsidRPr="00167C84">
        <w:rPr>
          <w:rStyle w:val="Refdenotaalpie"/>
          <w:rFonts w:ascii="Verdana" w:hAnsi="Verdana"/>
          <w:sz w:val="16"/>
          <w:szCs w:val="16"/>
        </w:rPr>
        <w:footnoteRef/>
      </w:r>
      <w:r w:rsidRPr="00167C84">
        <w:rPr>
          <w:rFonts w:ascii="Verdana" w:hAnsi="Verdana"/>
          <w:sz w:val="16"/>
          <w:szCs w:val="16"/>
        </w:rPr>
        <w:t xml:space="preserve"> Decreto 1523 de 1983: “Artículo 34. Factores y criterios sobre costos de la consultoría. En el cálculo de los costos directos se tendrá como guía, cuando éstas existan, las tarifas que con aprobación del Gobierno se hayan determinado por las asociaciones que tengan el carácter de cuerpo consultivo del mismo o, en defecto de aquellas, por las tarifas que determine la entidad delegada para tal efecto por el Gobierno. </w:t>
      </w:r>
    </w:p>
    <w:p w14:paraId="3A21DFE7" w14:textId="77777777" w:rsidR="004000BD" w:rsidRPr="00167C84" w:rsidRDefault="004000BD" w:rsidP="004000BD">
      <w:pPr>
        <w:pStyle w:val="Textonotapie"/>
        <w:ind w:firstLine="708"/>
        <w:contextualSpacing/>
        <w:jc w:val="both"/>
        <w:rPr>
          <w:rFonts w:ascii="Verdana" w:hAnsi="Verdana"/>
          <w:sz w:val="16"/>
          <w:szCs w:val="16"/>
        </w:rPr>
      </w:pPr>
      <w:r w:rsidRPr="00167C84">
        <w:rPr>
          <w:rFonts w:ascii="Verdana" w:hAnsi="Verdana"/>
          <w:sz w:val="16"/>
          <w:szCs w:val="16"/>
        </w:rPr>
        <w:t xml:space="preserve">Para cubrir los costos de provisión laboral prestacional, los costos indirectos y la utilidad del consultor, podrá utilizarse el método del factor multiplicador. Este consiste en un factor que, aplicado a los costos directos de personal, arroja un monto que cubre los anteriormente mencionados. Adicionalmente, podrá reconocerse hasta un diez por ciento (10%) de los otros costos directos para cubrir los gastos de administración de los mismos. </w:t>
      </w:r>
    </w:p>
    <w:p w14:paraId="4097688D" w14:textId="77777777" w:rsidR="004000BD" w:rsidRPr="00167C84" w:rsidRDefault="004000BD" w:rsidP="004000BD">
      <w:pPr>
        <w:pStyle w:val="Textonotapie"/>
        <w:ind w:firstLine="708"/>
        <w:contextualSpacing/>
        <w:jc w:val="both"/>
        <w:rPr>
          <w:rFonts w:ascii="Verdana" w:hAnsi="Verdana"/>
          <w:sz w:val="16"/>
          <w:szCs w:val="16"/>
        </w:rPr>
      </w:pPr>
      <w:r w:rsidRPr="00167C84">
        <w:rPr>
          <w:rFonts w:ascii="Verdana" w:hAnsi="Verdana"/>
          <w:sz w:val="16"/>
          <w:szCs w:val="16"/>
        </w:rPr>
        <w:t xml:space="preserve">La entidad contratante podrá utilizar otros métodos técnicos que reflejen, sobre base cierta, el costo del contrato”.  </w:t>
      </w:r>
    </w:p>
  </w:footnote>
  <w:footnote w:id="5">
    <w:p w14:paraId="0B92C10B" w14:textId="77777777" w:rsidR="004000BD" w:rsidRPr="00167C84" w:rsidRDefault="004000BD" w:rsidP="004000BD">
      <w:pPr>
        <w:pStyle w:val="Textonotapie"/>
        <w:ind w:firstLine="708"/>
        <w:contextualSpacing/>
        <w:jc w:val="both"/>
        <w:rPr>
          <w:rFonts w:ascii="Verdana" w:hAnsi="Verdana" w:cs="Arial"/>
          <w:sz w:val="16"/>
          <w:szCs w:val="16"/>
          <w:lang w:val="es-ES"/>
        </w:rPr>
      </w:pPr>
      <w:r w:rsidRPr="00167C84">
        <w:rPr>
          <w:rStyle w:val="Refdenotaalpie"/>
          <w:rFonts w:ascii="Verdana" w:hAnsi="Verdana" w:cs="Arial"/>
          <w:sz w:val="16"/>
          <w:szCs w:val="16"/>
        </w:rPr>
        <w:footnoteRef/>
      </w:r>
      <w:r w:rsidRPr="00167C84">
        <w:rPr>
          <w:rFonts w:ascii="Verdana" w:hAnsi="Verdana" w:cs="Arial"/>
          <w:sz w:val="16"/>
          <w:szCs w:val="16"/>
        </w:rPr>
        <w:t xml:space="preserve">Frente a ello, esta Agencia en respuesta a consulta del 27 de septiembre de 2017, indicó, </w:t>
      </w:r>
      <w:r w:rsidRPr="00167C84">
        <w:rPr>
          <w:rFonts w:ascii="Verdana" w:eastAsia="Calibri" w:hAnsi="Verdana" w:cs="Arial"/>
          <w:sz w:val="16"/>
          <w:szCs w:val="16"/>
        </w:rPr>
        <w:t>«</w:t>
      </w:r>
      <w:r w:rsidRPr="00167C84">
        <w:rPr>
          <w:rFonts w:ascii="Verdana" w:hAnsi="Verdana" w:cs="Arial"/>
          <w:sz w:val="16"/>
          <w:szCs w:val="16"/>
        </w:rPr>
        <w:t>en los concursos de méritos no es obligatorio aplicar el factor multiplicador debido a que no existe norma vigente que lo haya previsto de manera expresa en la forma de pago de los contratos de consultoría y/o interventoría. Pero es viable jurídicamente utilizar el factor multiplicador como fórmula para la determinación de los costos del contrato, caso en el cual, el contratista debe demostrar el gasto de todos los componentes de costo que se tuvieron en cuenta para determinarlo</w:t>
      </w:r>
      <w:r w:rsidRPr="00167C84">
        <w:rPr>
          <w:rFonts w:ascii="Verdana" w:eastAsia="Calibri" w:hAnsi="Verdana" w:cs="Arial"/>
          <w:sz w:val="16"/>
          <w:szCs w:val="16"/>
        </w:rPr>
        <w:t>»</w:t>
      </w:r>
      <w:r w:rsidRPr="00167C84">
        <w:rPr>
          <w:rFonts w:ascii="Verdana" w:hAnsi="Verdana" w:cs="Arial"/>
          <w:sz w:val="16"/>
          <w:szCs w:val="16"/>
        </w:rPr>
        <w:t xml:space="preserve"> </w:t>
      </w:r>
      <w:r w:rsidRPr="00167C84">
        <w:rPr>
          <w:rFonts w:ascii="Verdana" w:hAnsi="Verdana" w:cs="Arial"/>
          <w:sz w:val="16"/>
          <w:szCs w:val="16"/>
          <w:lang w:val="es-ES"/>
        </w:rPr>
        <w:t xml:space="preserve">Radicación: Respuesta a consulta #4201714000006240 Temas: Contrato de consultoría Tipo de asunto consultado: Cómo se aplica y evalúa el factor multiplicador. Este concepto a su vez fue reiterado en los conceptos </w:t>
      </w:r>
    </w:p>
  </w:footnote>
  <w:footnote w:id="6">
    <w:p w14:paraId="180471FB" w14:textId="77777777" w:rsidR="004000BD" w:rsidRPr="00167C84" w:rsidRDefault="004000BD" w:rsidP="004000BD">
      <w:pPr>
        <w:pStyle w:val="Textonotapie"/>
        <w:ind w:firstLine="708"/>
        <w:contextualSpacing/>
        <w:jc w:val="both"/>
        <w:rPr>
          <w:rFonts w:ascii="Verdana" w:hAnsi="Verdana" w:cs="Arial"/>
          <w:sz w:val="16"/>
          <w:szCs w:val="16"/>
          <w:lang w:val="es-ES"/>
        </w:rPr>
      </w:pPr>
      <w:r w:rsidRPr="00167C84">
        <w:rPr>
          <w:rStyle w:val="Refdenotaalpie"/>
          <w:rFonts w:ascii="Verdana" w:hAnsi="Verdana" w:cs="Arial"/>
          <w:sz w:val="16"/>
          <w:szCs w:val="16"/>
        </w:rPr>
        <w:footnoteRef/>
      </w:r>
      <w:r w:rsidRPr="00167C84">
        <w:rPr>
          <w:rFonts w:ascii="Verdana" w:hAnsi="Verdana" w:cs="Arial"/>
          <w:sz w:val="16"/>
          <w:szCs w:val="16"/>
        </w:rPr>
        <w:t xml:space="preserve">Frente a ello, esta Agencia en respuesta a consulta del 27 de septiembre de 2017, indicó, </w:t>
      </w:r>
      <w:r w:rsidRPr="00167C84">
        <w:rPr>
          <w:rFonts w:ascii="Verdana" w:eastAsia="Calibri" w:hAnsi="Verdana" w:cs="Arial"/>
          <w:sz w:val="16"/>
          <w:szCs w:val="16"/>
        </w:rPr>
        <w:t>«</w:t>
      </w:r>
      <w:r w:rsidRPr="00167C84">
        <w:rPr>
          <w:rFonts w:ascii="Verdana" w:hAnsi="Verdana" w:cs="Arial"/>
          <w:sz w:val="16"/>
          <w:szCs w:val="16"/>
        </w:rPr>
        <w:t>en los concursos de méritos no es obligatorio aplicar el factor multiplicador debido a que no existe norma vigente que lo haya previsto de manera expresa en la forma de pago de los contratos de consultoría y/o interventoría. Pero es viable jurídicamente utilizar el factor multiplicador como fórmula para la determinación de los costos del contrato, caso en el cual, el contratista debe demostrar el gasto de todos los componentes de costo que se tuvieron en cuenta para determinarlo</w:t>
      </w:r>
      <w:r w:rsidRPr="00167C84">
        <w:rPr>
          <w:rFonts w:ascii="Verdana" w:eastAsia="Calibri" w:hAnsi="Verdana" w:cs="Arial"/>
          <w:sz w:val="16"/>
          <w:szCs w:val="16"/>
        </w:rPr>
        <w:t>»</w:t>
      </w:r>
      <w:r w:rsidRPr="00167C84">
        <w:rPr>
          <w:rFonts w:ascii="Verdana" w:hAnsi="Verdana" w:cs="Arial"/>
          <w:sz w:val="16"/>
          <w:szCs w:val="16"/>
        </w:rPr>
        <w:t xml:space="preserve"> </w:t>
      </w:r>
      <w:r w:rsidRPr="00167C84">
        <w:rPr>
          <w:rFonts w:ascii="Verdana" w:hAnsi="Verdana" w:cs="Arial"/>
          <w:sz w:val="16"/>
          <w:szCs w:val="16"/>
          <w:lang w:val="es-ES"/>
        </w:rPr>
        <w:t>Radicación: Respuesta a consulta #4201714000006240 Temas: Contrato de consultoría Tipo de asunto consultado: Cómo se aplica y evalúa el factor multiplicador.</w:t>
      </w:r>
    </w:p>
    <w:p w14:paraId="7D955963" w14:textId="77777777" w:rsidR="004000BD" w:rsidRPr="00167C84" w:rsidRDefault="004000BD" w:rsidP="004000BD">
      <w:pPr>
        <w:pStyle w:val="Textonotapie"/>
        <w:ind w:firstLine="708"/>
        <w:contextualSpacing/>
        <w:jc w:val="both"/>
        <w:rPr>
          <w:rFonts w:ascii="Verdana" w:hAnsi="Verdana" w:cs="Arial"/>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3244075"/>
    <w:multiLevelType w:val="hybridMultilevel"/>
    <w:tmpl w:val="99FC0930"/>
    <w:lvl w:ilvl="0" w:tplc="6DD292B4">
      <w:start w:val="4"/>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489201040">
    <w:abstractNumId w:val="0"/>
  </w:num>
  <w:num w:numId="17" w16cid:durableId="1542086715">
    <w:abstractNumId w:val="9"/>
  </w:num>
  <w:num w:numId="18" w16cid:durableId="17234823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1FDE"/>
    <w:rsid w:val="00016F78"/>
    <w:rsid w:val="00046945"/>
    <w:rsid w:val="00052FE9"/>
    <w:rsid w:val="00054EFF"/>
    <w:rsid w:val="00057DF8"/>
    <w:rsid w:val="00061B2A"/>
    <w:rsid w:val="00072A5C"/>
    <w:rsid w:val="00076B33"/>
    <w:rsid w:val="00082362"/>
    <w:rsid w:val="000966E4"/>
    <w:rsid w:val="000A2275"/>
    <w:rsid w:val="000A683E"/>
    <w:rsid w:val="000B17FE"/>
    <w:rsid w:val="000B19B9"/>
    <w:rsid w:val="000D0334"/>
    <w:rsid w:val="000D5DA7"/>
    <w:rsid w:val="000E452B"/>
    <w:rsid w:val="000F6486"/>
    <w:rsid w:val="000F719B"/>
    <w:rsid w:val="001103ED"/>
    <w:rsid w:val="00116940"/>
    <w:rsid w:val="00125105"/>
    <w:rsid w:val="00125B4F"/>
    <w:rsid w:val="00127233"/>
    <w:rsid w:val="00127E63"/>
    <w:rsid w:val="00140461"/>
    <w:rsid w:val="001447DF"/>
    <w:rsid w:val="00147AD0"/>
    <w:rsid w:val="0015699B"/>
    <w:rsid w:val="00174138"/>
    <w:rsid w:val="001856CB"/>
    <w:rsid w:val="001A33BF"/>
    <w:rsid w:val="001B2E11"/>
    <w:rsid w:val="001D2433"/>
    <w:rsid w:val="001E197A"/>
    <w:rsid w:val="001E3C7C"/>
    <w:rsid w:val="001E4177"/>
    <w:rsid w:val="001E4B21"/>
    <w:rsid w:val="001F0B24"/>
    <w:rsid w:val="001F7DC6"/>
    <w:rsid w:val="0020124A"/>
    <w:rsid w:val="00207BFF"/>
    <w:rsid w:val="0022400B"/>
    <w:rsid w:val="002421BB"/>
    <w:rsid w:val="0025796E"/>
    <w:rsid w:val="002707A2"/>
    <w:rsid w:val="00290803"/>
    <w:rsid w:val="002951A0"/>
    <w:rsid w:val="002962BC"/>
    <w:rsid w:val="002A093D"/>
    <w:rsid w:val="002A0DD0"/>
    <w:rsid w:val="002A49AC"/>
    <w:rsid w:val="002A64FD"/>
    <w:rsid w:val="002C53B0"/>
    <w:rsid w:val="002C7A84"/>
    <w:rsid w:val="002E2BF8"/>
    <w:rsid w:val="002E4FD9"/>
    <w:rsid w:val="00301AF8"/>
    <w:rsid w:val="0030657A"/>
    <w:rsid w:val="00322A85"/>
    <w:rsid w:val="00324168"/>
    <w:rsid w:val="00330834"/>
    <w:rsid w:val="003448F4"/>
    <w:rsid w:val="00365552"/>
    <w:rsid w:val="00374F5E"/>
    <w:rsid w:val="00377E3E"/>
    <w:rsid w:val="00385C84"/>
    <w:rsid w:val="0039380B"/>
    <w:rsid w:val="00397301"/>
    <w:rsid w:val="003A779E"/>
    <w:rsid w:val="003C5205"/>
    <w:rsid w:val="003D0F4D"/>
    <w:rsid w:val="003D127C"/>
    <w:rsid w:val="003D5B0D"/>
    <w:rsid w:val="003E0499"/>
    <w:rsid w:val="003E25C7"/>
    <w:rsid w:val="003E4F80"/>
    <w:rsid w:val="003E6439"/>
    <w:rsid w:val="003F3941"/>
    <w:rsid w:val="004000BD"/>
    <w:rsid w:val="00406575"/>
    <w:rsid w:val="00414C74"/>
    <w:rsid w:val="0041721A"/>
    <w:rsid w:val="00420700"/>
    <w:rsid w:val="0042722E"/>
    <w:rsid w:val="0044528D"/>
    <w:rsid w:val="00466E39"/>
    <w:rsid w:val="004814FB"/>
    <w:rsid w:val="004830DA"/>
    <w:rsid w:val="0048756B"/>
    <w:rsid w:val="004A1847"/>
    <w:rsid w:val="004A305D"/>
    <w:rsid w:val="004B3E18"/>
    <w:rsid w:val="004F21C4"/>
    <w:rsid w:val="004F26F9"/>
    <w:rsid w:val="004F685F"/>
    <w:rsid w:val="00545A99"/>
    <w:rsid w:val="005566E8"/>
    <w:rsid w:val="005621CC"/>
    <w:rsid w:val="005648E8"/>
    <w:rsid w:val="00574867"/>
    <w:rsid w:val="00591460"/>
    <w:rsid w:val="005A65E0"/>
    <w:rsid w:val="005B52E4"/>
    <w:rsid w:val="005C3777"/>
    <w:rsid w:val="005C3CFA"/>
    <w:rsid w:val="005C5CDC"/>
    <w:rsid w:val="005C5CDD"/>
    <w:rsid w:val="005D12C9"/>
    <w:rsid w:val="005D1D75"/>
    <w:rsid w:val="005D476C"/>
    <w:rsid w:val="005F050C"/>
    <w:rsid w:val="00616235"/>
    <w:rsid w:val="006200BF"/>
    <w:rsid w:val="006219F8"/>
    <w:rsid w:val="00624226"/>
    <w:rsid w:val="006302F7"/>
    <w:rsid w:val="00646B9F"/>
    <w:rsid w:val="00665D70"/>
    <w:rsid w:val="006900D9"/>
    <w:rsid w:val="006B7ED2"/>
    <w:rsid w:val="00706C16"/>
    <w:rsid w:val="007340C3"/>
    <w:rsid w:val="0075235A"/>
    <w:rsid w:val="00756841"/>
    <w:rsid w:val="007608BD"/>
    <w:rsid w:val="007649AB"/>
    <w:rsid w:val="00771D0C"/>
    <w:rsid w:val="007772F2"/>
    <w:rsid w:val="007833AC"/>
    <w:rsid w:val="007B268C"/>
    <w:rsid w:val="007B7171"/>
    <w:rsid w:val="007C0C0F"/>
    <w:rsid w:val="007C3DC2"/>
    <w:rsid w:val="007E5497"/>
    <w:rsid w:val="007F5AE5"/>
    <w:rsid w:val="007F6DE7"/>
    <w:rsid w:val="00803DE0"/>
    <w:rsid w:val="00806F5F"/>
    <w:rsid w:val="00820278"/>
    <w:rsid w:val="008258C9"/>
    <w:rsid w:val="00826530"/>
    <w:rsid w:val="00827C2D"/>
    <w:rsid w:val="00844AE9"/>
    <w:rsid w:val="00867F95"/>
    <w:rsid w:val="008843B6"/>
    <w:rsid w:val="00891928"/>
    <w:rsid w:val="008A446D"/>
    <w:rsid w:val="008B25F1"/>
    <w:rsid w:val="008B471B"/>
    <w:rsid w:val="008C3B36"/>
    <w:rsid w:val="008D180B"/>
    <w:rsid w:val="008D4CBE"/>
    <w:rsid w:val="008E7EED"/>
    <w:rsid w:val="008F0EA7"/>
    <w:rsid w:val="008F1E9B"/>
    <w:rsid w:val="00923EEF"/>
    <w:rsid w:val="009419F9"/>
    <w:rsid w:val="00952181"/>
    <w:rsid w:val="0095685E"/>
    <w:rsid w:val="00961B09"/>
    <w:rsid w:val="00965334"/>
    <w:rsid w:val="0097093E"/>
    <w:rsid w:val="00976A54"/>
    <w:rsid w:val="009A0DFA"/>
    <w:rsid w:val="009A1C6F"/>
    <w:rsid w:val="009B2D26"/>
    <w:rsid w:val="009C71FA"/>
    <w:rsid w:val="009C72E7"/>
    <w:rsid w:val="009C7F7E"/>
    <w:rsid w:val="009D3058"/>
    <w:rsid w:val="009F3A13"/>
    <w:rsid w:val="00A122D3"/>
    <w:rsid w:val="00A14468"/>
    <w:rsid w:val="00A14DF6"/>
    <w:rsid w:val="00A17F13"/>
    <w:rsid w:val="00A20739"/>
    <w:rsid w:val="00A23AF9"/>
    <w:rsid w:val="00A26E93"/>
    <w:rsid w:val="00A33C78"/>
    <w:rsid w:val="00A4155D"/>
    <w:rsid w:val="00A64FA1"/>
    <w:rsid w:val="00A70DA4"/>
    <w:rsid w:val="00AA0AB4"/>
    <w:rsid w:val="00AA7E73"/>
    <w:rsid w:val="00AB0ADB"/>
    <w:rsid w:val="00AE065F"/>
    <w:rsid w:val="00B00C0E"/>
    <w:rsid w:val="00B01B1A"/>
    <w:rsid w:val="00B0381D"/>
    <w:rsid w:val="00B04E79"/>
    <w:rsid w:val="00B44A47"/>
    <w:rsid w:val="00B557A5"/>
    <w:rsid w:val="00B72CD3"/>
    <w:rsid w:val="00B72FFF"/>
    <w:rsid w:val="00B7559C"/>
    <w:rsid w:val="00B86FC0"/>
    <w:rsid w:val="00BA03CF"/>
    <w:rsid w:val="00BB2DFB"/>
    <w:rsid w:val="00BB67D2"/>
    <w:rsid w:val="00BC30EB"/>
    <w:rsid w:val="00BC37FF"/>
    <w:rsid w:val="00BC3D36"/>
    <w:rsid w:val="00BD1659"/>
    <w:rsid w:val="00BD54A6"/>
    <w:rsid w:val="00BD66FA"/>
    <w:rsid w:val="00BD7F72"/>
    <w:rsid w:val="00BF1139"/>
    <w:rsid w:val="00BF12BF"/>
    <w:rsid w:val="00BF7425"/>
    <w:rsid w:val="00C01E90"/>
    <w:rsid w:val="00C02BE5"/>
    <w:rsid w:val="00C04FB3"/>
    <w:rsid w:val="00C11D8B"/>
    <w:rsid w:val="00C15139"/>
    <w:rsid w:val="00C330EB"/>
    <w:rsid w:val="00C4179C"/>
    <w:rsid w:val="00C42041"/>
    <w:rsid w:val="00C4228A"/>
    <w:rsid w:val="00C50522"/>
    <w:rsid w:val="00C50D69"/>
    <w:rsid w:val="00C5365C"/>
    <w:rsid w:val="00C74C24"/>
    <w:rsid w:val="00C754BE"/>
    <w:rsid w:val="00C76B1C"/>
    <w:rsid w:val="00C84383"/>
    <w:rsid w:val="00C8767B"/>
    <w:rsid w:val="00C925AC"/>
    <w:rsid w:val="00CA276A"/>
    <w:rsid w:val="00CA394E"/>
    <w:rsid w:val="00CB6357"/>
    <w:rsid w:val="00CC1B26"/>
    <w:rsid w:val="00CD0DA4"/>
    <w:rsid w:val="00CE0C21"/>
    <w:rsid w:val="00CF7785"/>
    <w:rsid w:val="00D0012B"/>
    <w:rsid w:val="00D07CA7"/>
    <w:rsid w:val="00D207DB"/>
    <w:rsid w:val="00D25BF6"/>
    <w:rsid w:val="00D31A50"/>
    <w:rsid w:val="00D361FD"/>
    <w:rsid w:val="00D37279"/>
    <w:rsid w:val="00D423A0"/>
    <w:rsid w:val="00D423A2"/>
    <w:rsid w:val="00D44E26"/>
    <w:rsid w:val="00D520D8"/>
    <w:rsid w:val="00D63AC2"/>
    <w:rsid w:val="00D7383B"/>
    <w:rsid w:val="00D7788A"/>
    <w:rsid w:val="00D80A11"/>
    <w:rsid w:val="00D83480"/>
    <w:rsid w:val="00DA231B"/>
    <w:rsid w:val="00DA2B72"/>
    <w:rsid w:val="00DB32E4"/>
    <w:rsid w:val="00DC39FC"/>
    <w:rsid w:val="00DE013F"/>
    <w:rsid w:val="00DF5254"/>
    <w:rsid w:val="00E02524"/>
    <w:rsid w:val="00E036DD"/>
    <w:rsid w:val="00E16408"/>
    <w:rsid w:val="00E20894"/>
    <w:rsid w:val="00E245AB"/>
    <w:rsid w:val="00E2477A"/>
    <w:rsid w:val="00E2764C"/>
    <w:rsid w:val="00E27F2E"/>
    <w:rsid w:val="00E50AFE"/>
    <w:rsid w:val="00E56945"/>
    <w:rsid w:val="00E658EA"/>
    <w:rsid w:val="00E65FA1"/>
    <w:rsid w:val="00E75C92"/>
    <w:rsid w:val="00E771DC"/>
    <w:rsid w:val="00E8048D"/>
    <w:rsid w:val="00E83548"/>
    <w:rsid w:val="00E8772A"/>
    <w:rsid w:val="00E90F6B"/>
    <w:rsid w:val="00E92C27"/>
    <w:rsid w:val="00EA0E3D"/>
    <w:rsid w:val="00EB21DD"/>
    <w:rsid w:val="00EC2853"/>
    <w:rsid w:val="00EC38A7"/>
    <w:rsid w:val="00ED333C"/>
    <w:rsid w:val="00EE1AA8"/>
    <w:rsid w:val="00EE79EF"/>
    <w:rsid w:val="00F024D4"/>
    <w:rsid w:val="00F10844"/>
    <w:rsid w:val="00F23FEA"/>
    <w:rsid w:val="00F31EDC"/>
    <w:rsid w:val="00F33D7A"/>
    <w:rsid w:val="00F462B3"/>
    <w:rsid w:val="00F5664F"/>
    <w:rsid w:val="00F666C4"/>
    <w:rsid w:val="00F75363"/>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6F53050A"/>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16235"/>
    <w:rPr>
      <w:rFonts w:ascii="Geomanist Light" w:hAnsi="Geomanist Light"/>
      <w:lang w:val="es-ES"/>
    </w:rPr>
  </w:style>
  <w:style w:type="character" w:customStyle="1" w:styleId="s15">
    <w:name w:val="s15"/>
    <w:basedOn w:val="Fuentedeprrafopredeter"/>
    <w:rsid w:val="00616235"/>
  </w:style>
  <w:style w:type="paragraph" w:styleId="Textoindependiente">
    <w:name w:val="Body Text"/>
    <w:basedOn w:val="Normal"/>
    <w:link w:val="TextoindependienteCar"/>
    <w:uiPriority w:val="99"/>
    <w:unhideWhenUsed/>
    <w:rsid w:val="00616235"/>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616235"/>
    <w:rPr>
      <w:rFonts w:eastAsiaTheme="minorEastAsia"/>
      <w:lang w:eastAsia="es-CO"/>
    </w:rPr>
  </w:style>
  <w:style w:type="paragraph" w:customStyle="1" w:styleId="Appelnotedebasde">
    <w:name w:val="Appel note de bas de..."/>
    <w:basedOn w:val="Normal"/>
    <w:link w:val="Refdenotaalpie"/>
    <w:uiPriority w:val="99"/>
    <w:rsid w:val="00EE79EF"/>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recepcion@gavinco.com"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E8C8D23-629C-4C35-BED7-1DFC543FA074}"/>
</file>

<file path=customXml/itemProps2.xml><?xml version="1.0" encoding="utf-8"?>
<ds:datastoreItem xmlns:ds="http://schemas.openxmlformats.org/officeDocument/2006/customXml" ds:itemID="{2A7C8165-AA69-42A3-9887-1A051FCB73C8}">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17</Pages>
  <Words>5547</Words>
  <Characters>30514</Characters>
  <Application>Microsoft Office Word</Application>
  <DocSecurity>0</DocSecurity>
  <Lines>254</Lines>
  <Paragraphs>71</Paragraphs>
  <ScaleCrop>false</ScaleCrop>
  <Company/>
  <LinksUpToDate>false</LinksUpToDate>
  <CharactersWithSpaces>35990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María Ortiz Ballesteros</cp:lastModifiedBy>
  <cp:revision>21</cp:revision>
  <cp:lastPrinted>2023-01-10T21:18:00Z</cp:lastPrinted>
  <dcterms:created xsi:type="dcterms:W3CDTF">2026-06-05T18:14:00Z</dcterms:created>
  <dcterms:modified xsi:type="dcterms:W3CDTF">2026-06-05T18:24:00Z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y fmtid="{D5CDD505-2E9C-101B-9397-08002B2CF9AE}" pid="4" name="MSIP_Label_79c9bbd4-2155-4c05-a8cb-143fc41f09a9_Enabled">
    <vt:lpwstr>true</vt:lpwstr>
  </property>
  <property fmtid="{D5CDD505-2E9C-101B-9397-08002B2CF9AE}" pid="5" name="MSIP_Label_79c9bbd4-2155-4c05-a8cb-143fc41f09a9_SetDate">
    <vt:lpwstr>2026-06-05T18:14:16Z</vt:lpwstr>
  </property>
  <property fmtid="{D5CDD505-2E9C-101B-9397-08002B2CF9AE}" pid="6" name="MSIP_Label_79c9bbd4-2155-4c05-a8cb-143fc41f09a9_Method">
    <vt:lpwstr>Standard</vt:lpwstr>
  </property>
  <property fmtid="{D5CDD505-2E9C-101B-9397-08002B2CF9AE}" pid="7" name="MSIP_Label_79c9bbd4-2155-4c05-a8cb-143fc41f09a9_Name">
    <vt:lpwstr>defa4170-0d19-0005-0004-bc88714345d2</vt:lpwstr>
  </property>
  <property fmtid="{D5CDD505-2E9C-101B-9397-08002B2CF9AE}" pid="8" name="MSIP_Label_79c9bbd4-2155-4c05-a8cb-143fc41f09a9_SiteId">
    <vt:lpwstr>33fa6907-21c6-4126-aa66-bcbed95361bb</vt:lpwstr>
  </property>
  <property fmtid="{D5CDD505-2E9C-101B-9397-08002B2CF9AE}" pid="9" name="MSIP_Label_79c9bbd4-2155-4c05-a8cb-143fc41f09a9_ActionId">
    <vt:lpwstr>6a55afe0-e03d-47b9-aaf9-41625f128488</vt:lpwstr>
  </property>
  <property fmtid="{D5CDD505-2E9C-101B-9397-08002B2CF9AE}" pid="10" name="MSIP_Label_79c9bbd4-2155-4c05-a8cb-143fc41f09a9_ContentBits">
    <vt:lpwstr>0</vt:lpwstr>
  </property>
  <property fmtid="{D5CDD505-2E9C-101B-9397-08002B2CF9AE}" pid="11" name="MSIP_Label_79c9bbd4-2155-4c05-a8cb-143fc41f09a9_Tag">
    <vt:lpwstr>10, 3, 0, 1</vt:lpwstr>
  </property>
</Properties>
</file>