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77777777" w:rsidR="00F51D39" w:rsidRPr="004C046B" w:rsidRDefault="00F51D39" w:rsidP="00F51D39">
      <w:pPr>
        <w:spacing w:after="0" w:line="240" w:lineRule="auto"/>
        <w:contextualSpacing/>
        <w:jc w:val="both"/>
        <w:rPr>
          <w:rFonts w:ascii="Verdana" w:eastAsia="Calibri" w:hAnsi="Verdana" w:cs="Arial"/>
          <w:b/>
          <w:bCs/>
          <w:lang w:eastAsia="es-ES"/>
        </w:rPr>
      </w:pPr>
      <w:bookmarkStart w:id="0" w:name="_Hlk230693044"/>
      <w:r>
        <w:rPr>
          <w:rFonts w:ascii="Verdana" w:eastAsia="Calibri" w:hAnsi="Verdana" w:cs="Arial"/>
          <w:b/>
          <w:bCs/>
          <w:lang w:eastAsia="es-ES"/>
        </w:rPr>
        <w:t>DECRETO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N.°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La insuficiencia del Decreto 392 de 2018 fue constatada judicialmente. La Sección Quinta del Consejo de Estado, mediante sentencia de acción de cumplimiento del 12 de diciembre de 2024, radicación n.°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Pr>
          <w:rFonts w:ascii="Verdana" w:eastAsia="Calibri" w:hAnsi="Verdana" w:cs="Arial"/>
          <w:sz w:val="20"/>
          <w:szCs w:val="20"/>
          <w:lang w:eastAsia="es-ES"/>
        </w:rPr>
        <w:lastRenderedPageBreak/>
        <w:t>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PcD, los documentos están dispuestos en el artículo 2.2.1.2.4.2.7.4, el cual 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 El término de tres (3) </w:t>
      </w:r>
      <w:proofErr w:type="gramStart"/>
      <w:r>
        <w:rPr>
          <w:rFonts w:ascii="Verdana" w:eastAsia="Calibri" w:hAnsi="Verdana" w:cs="Arial"/>
          <w:sz w:val="20"/>
          <w:szCs w:val="20"/>
          <w:lang w:eastAsia="es-ES"/>
        </w:rPr>
        <w:t>meses aquí mencionado</w:t>
      </w:r>
      <w:proofErr w:type="gramEnd"/>
      <w:r>
        <w:rPr>
          <w:rFonts w:ascii="Verdana" w:eastAsia="Calibri" w:hAnsi="Verdana" w:cs="Arial"/>
          <w:sz w:val="20"/>
          <w:szCs w:val="20"/>
          <w:lang w:eastAsia="es-ES"/>
        </w:rPr>
        <w:t xml:space="preserve"> es diferente al término de un (1) año mencionado en el artículo 2.2.1.2.4.2.6 respecto de los emprendimientos y empresas de PcD.</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Para efectos de determinar el número mínimo de PcD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PcD a las plantas de personal de posibles proveedores, debe ser a través de contrato laboral con dedicación exclusiva, cuya definición le corresponde al Ministerio del Trabajo. Por otra parte, los documentos para acreditar la otra condición que es ser emprendimiento o empresa de PcD son los indicados en el artículo 2.2.1.2.4.2.6 y no los del artículo 2.2.1.2.4.2.7.4.</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PcD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Estos criterios aplican exclusivamente para el primer sujeto del sistema, es decir, los emprendimientos y empresas de PcD, y no para los empleadores de PcD.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C938F17"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43E54D82"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EDB3A49"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4B57D5FD"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3B93217"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Documentos tipo ‒ Principio de inalterabilidad ‒ Régimen de transición ‒ Actualización ‒ Colombia Compra Eficiente</w:t>
      </w:r>
    </w:p>
    <w:p w14:paraId="72C35466"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A89C82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 </w:t>
      </w:r>
    </w:p>
    <w:p w14:paraId="22D0B78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3C1D2F00"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Contratos de prestación de servicios ‒ personas con discapacidad ‒ Carácter potestativo ‒ Contratación directa</w:t>
      </w:r>
    </w:p>
    <w:p w14:paraId="46A0E9F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263D8AB2"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 la inclusión de PcD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Pr>
          <w:rFonts w:ascii="Verdana" w:eastAsia="Calibri" w:hAnsi="Verdana" w:cs="Arial"/>
          <w:sz w:val="20"/>
          <w:szCs w:val="20"/>
          <w:lang w:eastAsia="es-ES"/>
        </w:rPr>
        <w:lastRenderedPageBreak/>
        <w:t>esta medida a través del SECOP, evaluando pertinencia, duración, objeto y nivel de especialización de cada contrato.</w:t>
      </w:r>
    </w:p>
    <w:p w14:paraId="21FE84D7"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C3AEC18"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Compatibilidad ‒ Incentivos MiPymes ‒ Empresas de mujeres ‒ Criterio de desempate ‒ Ley 2069 de 2020</w:t>
      </w:r>
    </w:p>
    <w:p w14:paraId="3B803334"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0392D9A" w14:textId="2EF6FF3B"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PcD, no a los emprendimientos y empresas de PcD, dicha norma exige que al menos el 10% de la nómina esté en condición de discapacidad y opera únicamente cuando hay empate entre dos o más ofertas.</w:t>
      </w:r>
    </w:p>
    <w:p w14:paraId="57D85E89" w14:textId="6D1DD6DF" w:rsidR="00D415B4" w:rsidRDefault="00D415B4" w:rsidP="00F51D39">
      <w:pPr>
        <w:spacing w:after="0" w:line="240" w:lineRule="auto"/>
        <w:contextualSpacing/>
        <w:jc w:val="both"/>
        <w:rPr>
          <w:rFonts w:ascii="Verdana" w:eastAsia="Calibri" w:hAnsi="Verdana" w:cs="Arial"/>
          <w:sz w:val="20"/>
          <w:szCs w:val="20"/>
          <w:lang w:eastAsia="es-ES"/>
        </w:rPr>
      </w:pPr>
    </w:p>
    <w:p w14:paraId="44736C04"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7512BCD1" w14:textId="2D26E41C" w:rsidR="00D415B4" w:rsidRDefault="00D415B4" w:rsidP="00F51D39">
      <w:pPr>
        <w:spacing w:after="0" w:line="240" w:lineRule="auto"/>
        <w:contextualSpacing/>
        <w:jc w:val="both"/>
        <w:rPr>
          <w:rFonts w:ascii="Verdana" w:eastAsia="Calibri" w:hAnsi="Verdana" w:cs="Arial"/>
          <w:sz w:val="20"/>
          <w:szCs w:val="20"/>
          <w:lang w:eastAsia="es-ES"/>
        </w:rPr>
      </w:pPr>
    </w:p>
    <w:p w14:paraId="0F0215F8" w14:textId="1DA2D18A" w:rsidR="00D415B4" w:rsidRDefault="00D415B4" w:rsidP="00F51D39">
      <w:pPr>
        <w:spacing w:after="0" w:line="240" w:lineRule="auto"/>
        <w:contextualSpacing/>
        <w:jc w:val="both"/>
        <w:rPr>
          <w:rFonts w:ascii="Verdana" w:eastAsia="Calibri" w:hAnsi="Verdana" w:cs="Arial"/>
          <w:sz w:val="20"/>
          <w:szCs w:val="20"/>
          <w:lang w:eastAsia="es-ES"/>
        </w:rPr>
      </w:pPr>
    </w:p>
    <w:p w14:paraId="5FAD3EA9" w14:textId="2F63DC66" w:rsidR="00D415B4" w:rsidRDefault="00D415B4" w:rsidP="00F51D39">
      <w:pPr>
        <w:spacing w:after="0" w:line="240" w:lineRule="auto"/>
        <w:contextualSpacing/>
        <w:jc w:val="both"/>
        <w:rPr>
          <w:rFonts w:ascii="Verdana" w:eastAsia="Calibri" w:hAnsi="Verdana" w:cs="Arial"/>
          <w:sz w:val="20"/>
          <w:szCs w:val="20"/>
          <w:lang w:eastAsia="es-ES"/>
        </w:rPr>
      </w:pPr>
    </w:p>
    <w:p w14:paraId="6A065B1F" w14:textId="643DAB2A" w:rsidR="00D415B4" w:rsidRDefault="00D415B4" w:rsidP="00F51D39">
      <w:pPr>
        <w:spacing w:after="0" w:line="240" w:lineRule="auto"/>
        <w:contextualSpacing/>
        <w:jc w:val="both"/>
        <w:rPr>
          <w:rFonts w:ascii="Verdana" w:eastAsia="Calibri" w:hAnsi="Verdana" w:cs="Arial"/>
          <w:sz w:val="20"/>
          <w:szCs w:val="20"/>
          <w:lang w:eastAsia="es-ES"/>
        </w:rPr>
      </w:pPr>
    </w:p>
    <w:p w14:paraId="635D5478" w14:textId="1BF82B74" w:rsidR="00D415B4" w:rsidRDefault="00D415B4" w:rsidP="00F51D39">
      <w:pPr>
        <w:spacing w:after="0" w:line="240" w:lineRule="auto"/>
        <w:contextualSpacing/>
        <w:jc w:val="both"/>
        <w:rPr>
          <w:rFonts w:ascii="Verdana" w:eastAsia="Calibri" w:hAnsi="Verdana" w:cs="Arial"/>
          <w:sz w:val="20"/>
          <w:szCs w:val="20"/>
          <w:lang w:eastAsia="es-ES"/>
        </w:rPr>
      </w:pPr>
    </w:p>
    <w:p w14:paraId="259D8AEC"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6E171418"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4A31B7EF"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3211697E" w14:textId="49C781A4" w:rsidR="00D415B4" w:rsidRDefault="00D415B4" w:rsidP="00F51D39">
      <w:pPr>
        <w:spacing w:after="0" w:line="240" w:lineRule="auto"/>
        <w:contextualSpacing/>
        <w:jc w:val="both"/>
        <w:rPr>
          <w:rFonts w:ascii="Verdana" w:eastAsia="Calibri" w:hAnsi="Verdana" w:cs="Arial"/>
          <w:sz w:val="20"/>
          <w:szCs w:val="20"/>
          <w:lang w:eastAsia="es-ES"/>
        </w:rPr>
      </w:pPr>
    </w:p>
    <w:p w14:paraId="2BB20350"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19C9960B"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0E7BC407"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7575A996"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69E8BA6D" w14:textId="2F60642A" w:rsidR="00D415B4" w:rsidRDefault="00D415B4" w:rsidP="00F51D39">
      <w:pPr>
        <w:spacing w:after="0" w:line="240" w:lineRule="auto"/>
        <w:contextualSpacing/>
        <w:jc w:val="both"/>
        <w:rPr>
          <w:rFonts w:ascii="Verdana" w:eastAsia="Calibri" w:hAnsi="Verdana" w:cs="Arial"/>
          <w:sz w:val="20"/>
          <w:szCs w:val="20"/>
          <w:lang w:eastAsia="es-ES"/>
        </w:rPr>
      </w:pPr>
    </w:p>
    <w:p w14:paraId="0ADCFEEC"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4D4BB91C"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18B0AF03"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49DB25EE"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12ED8E6C"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6F89A468"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3D2C5913" w14:textId="42AE1F15" w:rsidR="00D415B4" w:rsidRDefault="00D415B4" w:rsidP="00F51D39">
      <w:pPr>
        <w:spacing w:after="0" w:line="240" w:lineRule="auto"/>
        <w:contextualSpacing/>
        <w:jc w:val="both"/>
        <w:rPr>
          <w:rFonts w:ascii="Verdana" w:eastAsia="Calibri" w:hAnsi="Verdana" w:cs="Arial"/>
          <w:sz w:val="20"/>
          <w:szCs w:val="20"/>
          <w:lang w:eastAsia="es-ES"/>
        </w:rPr>
      </w:pPr>
    </w:p>
    <w:p w14:paraId="6F4BC727"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077F8717" w14:textId="77777777" w:rsidR="00D415B4" w:rsidRDefault="00D415B4" w:rsidP="00F51D39">
      <w:pPr>
        <w:spacing w:after="0" w:line="240" w:lineRule="auto"/>
        <w:contextualSpacing/>
        <w:jc w:val="both"/>
        <w:rPr>
          <w:rFonts w:ascii="Verdana" w:eastAsia="Calibri" w:hAnsi="Verdana" w:cs="Arial"/>
          <w:sz w:val="20"/>
          <w:szCs w:val="20"/>
          <w:lang w:eastAsia="es-ES"/>
        </w:rPr>
      </w:pPr>
    </w:p>
    <w:p w14:paraId="1A903351" w14:textId="77777777" w:rsidR="00D415B4" w:rsidRPr="00206556" w:rsidRDefault="00D415B4" w:rsidP="00F51D39">
      <w:pPr>
        <w:spacing w:after="0" w:line="240" w:lineRule="auto"/>
        <w:contextualSpacing/>
        <w:jc w:val="both"/>
        <w:rPr>
          <w:rFonts w:ascii="Verdana" w:eastAsia="Calibri" w:hAnsi="Verdana" w:cs="Arial"/>
          <w:sz w:val="20"/>
          <w:szCs w:val="20"/>
          <w:lang w:eastAsia="es-ES"/>
        </w:rPr>
      </w:pPr>
    </w:p>
    <w:p w14:paraId="6346A6EC" w14:textId="77777777" w:rsidR="008E0DBD" w:rsidRDefault="008E0DBD" w:rsidP="001B064E">
      <w:pPr>
        <w:spacing w:after="0"/>
        <w:rPr>
          <w:rFonts w:ascii="Verdana" w:hAnsi="Verdana"/>
        </w:rPr>
      </w:pPr>
    </w:p>
    <w:p w14:paraId="62D221C9" w14:textId="1070C97B" w:rsidR="001B064E" w:rsidRPr="00777292" w:rsidRDefault="008E0DBD" w:rsidP="001B064E">
      <w:pPr>
        <w:spacing w:after="0"/>
        <w:rPr>
          <w:rFonts w:ascii="Verdana" w:hAnsi="Verdana"/>
          <w:lang w:val="es-ES_tradnl"/>
        </w:rPr>
      </w:pPr>
      <w:r w:rsidRPr="001241F3">
        <w:rPr>
          <w:rFonts w:ascii="Verdana" w:eastAsia="Calibri" w:hAnsi="Verdana" w:cs="Arial"/>
          <w:noProof/>
          <w:lang w:eastAsia="es-ES"/>
        </w:rPr>
        <w:lastRenderedPageBreak/>
        <w:drawing>
          <wp:anchor distT="0" distB="0" distL="114300" distR="114300" simplePos="0" relativeHeight="251659264" behindDoc="1" locked="0" layoutInCell="1" allowOverlap="1" wp14:anchorId="6F804A9A" wp14:editId="51EE3E9C">
            <wp:simplePos x="0" y="0"/>
            <wp:positionH relativeFrom="margin">
              <wp:align>right</wp:align>
            </wp:positionH>
            <wp:positionV relativeFrom="paragraph">
              <wp:posOffset>7951</wp:posOffset>
            </wp:positionV>
            <wp:extent cx="2479040" cy="953770"/>
            <wp:effectExtent l="0" t="0" r="0" b="0"/>
            <wp:wrapSquare wrapText="bothSides"/>
            <wp:docPr id="181573698" name="Imagen 1"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73698" name="Imagen 1" descr="Interfaz de usuario gráfica, 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79040" cy="953770"/>
                    </a:xfrm>
                    <a:prstGeom prst="rect">
                      <a:avLst/>
                    </a:prstGeom>
                  </pic:spPr>
                </pic:pic>
              </a:graphicData>
            </a:graphic>
            <wp14:sizeRelH relativeFrom="page">
              <wp14:pctWidth>0</wp14:pctWidth>
            </wp14:sizeRelH>
            <wp14:sizeRelV relativeFrom="page">
              <wp14:pctHeight>0</wp14:pctHeight>
            </wp14:sizeRelV>
          </wp:anchor>
        </w:drawing>
      </w:r>
      <w:r w:rsidR="00C55E3E" w:rsidRPr="00C55E3E">
        <w:rPr>
          <w:rFonts w:ascii="Verdana" w:hAnsi="Verdana"/>
        </w:rPr>
        <w:t xml:space="preserve">Bogotá D.C., 05 de </w:t>
      </w:r>
      <w:r w:rsidRPr="00C55E3E">
        <w:rPr>
          <w:rFonts w:ascii="Verdana" w:hAnsi="Verdana"/>
        </w:rPr>
        <w:t>junio</w:t>
      </w:r>
      <w:r w:rsidR="00C55E3E" w:rsidRPr="00C55E3E">
        <w:rPr>
          <w:rFonts w:ascii="Verdana" w:hAnsi="Verdana"/>
        </w:rPr>
        <w:t xml:space="preserve"> de 2026</w:t>
      </w:r>
    </w:p>
    <w:p w14:paraId="5DF4E0A1" w14:textId="0CEA37F1" w:rsidR="008D5774" w:rsidRPr="00777292" w:rsidRDefault="008D5774" w:rsidP="008D5774">
      <w:pPr>
        <w:spacing w:after="0"/>
        <w:rPr>
          <w:rFonts w:ascii="Verdana" w:hAnsi="Verdana"/>
          <w:lang w:val="es-ES_tradnl"/>
        </w:rPr>
      </w:pPr>
    </w:p>
    <w:p w14:paraId="165A5F33" w14:textId="04C53974" w:rsidR="008D5774" w:rsidRPr="00777292" w:rsidRDefault="008D5774" w:rsidP="008D5774">
      <w:pPr>
        <w:spacing w:after="0" w:line="240" w:lineRule="auto"/>
        <w:rPr>
          <w:rFonts w:ascii="Verdana" w:hAnsi="Verdana"/>
          <w:lang w:val="es-ES"/>
        </w:rPr>
      </w:pPr>
      <w:bookmarkStart w:id="1" w:name="_Hlk143780582"/>
      <w:r>
        <w:rPr>
          <w:rFonts w:ascii="Verdana" w:eastAsia="Calibri" w:hAnsi="Verdana" w:cs="Arial"/>
          <w:lang w:val="es-ES" w:eastAsia="es-ES"/>
        </w:rPr>
        <w:t>Señora</w:t>
      </w:r>
    </w:p>
    <w:p w14:paraId="2402F1C9" w14:textId="75A479A8" w:rsidR="008D5774" w:rsidRPr="006B694D" w:rsidRDefault="00D415B4" w:rsidP="008D5774">
      <w:pPr>
        <w:spacing w:after="0"/>
        <w:rPr>
          <w:rFonts w:ascii="Verdana" w:eastAsia="Calibri" w:hAnsi="Verdana" w:cs="Arial"/>
          <w:b/>
          <w:bCs/>
          <w:lang w:val="es-ES" w:eastAsia="es-ES"/>
        </w:rPr>
      </w:pPr>
      <w:r>
        <w:rPr>
          <w:rFonts w:ascii="Verdana" w:eastAsia="Calibri" w:hAnsi="Verdana" w:cs="Arial"/>
          <w:b/>
          <w:bCs/>
          <w:lang w:val="es-ES" w:eastAsia="es-ES"/>
        </w:rPr>
        <w:t xml:space="preserve">Nicole Remedios Ortiz Ochoa </w:t>
      </w:r>
    </w:p>
    <w:p w14:paraId="161EFC6C" w14:textId="411B4EA2" w:rsidR="008D5774" w:rsidRPr="006B694D" w:rsidRDefault="00D415B4" w:rsidP="008D5774">
      <w:pPr>
        <w:spacing w:after="0"/>
        <w:rPr>
          <w:rStyle w:val="Hipervnculo"/>
          <w:rFonts w:ascii="Verdana" w:hAnsi="Verdana"/>
          <w:color w:val="ED7D31" w:themeColor="accent2"/>
        </w:rPr>
      </w:pPr>
      <w:r>
        <w:rPr>
          <w:rFonts w:ascii="Verdana" w:hAnsi="Verdana"/>
        </w:rPr>
        <w:t>Nicole.ortizprofesional@gmail.com</w:t>
      </w:r>
    </w:p>
    <w:p w14:paraId="61203DA3" w14:textId="6EDA639B" w:rsidR="001B6C7C" w:rsidRPr="00777292" w:rsidRDefault="00127F4E" w:rsidP="001B6C7C">
      <w:pPr>
        <w:spacing w:after="0"/>
        <w:rPr>
          <w:rFonts w:ascii="Verdana" w:eastAsia="Calibri" w:hAnsi="Verdana" w:cs="Arial"/>
          <w:lang w:eastAsia="es-ES"/>
        </w:rPr>
      </w:pPr>
      <w:r>
        <w:rPr>
          <w:rFonts w:ascii="Verdana" w:eastAsia="Calibri" w:hAnsi="Verdana" w:cs="Arial"/>
          <w:lang w:eastAsia="es-ES"/>
        </w:rPr>
        <w:t>Bogotá, Cundinamarca</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3BE4D917" w:rsidR="001B6C7C" w:rsidRPr="00777292" w:rsidRDefault="001B6C7C">
            <w:pPr>
              <w:jc w:val="both"/>
              <w:rPr>
                <w:rFonts w:ascii="Verdana" w:eastAsia="Calibri" w:hAnsi="Verdana" w:cs="Arial"/>
                <w:b/>
                <w:bCs/>
                <w:lang w:eastAsia="es-ES"/>
              </w:rPr>
            </w:pPr>
            <w:r>
              <w:rPr>
                <w:rFonts w:ascii="Verdana" w:eastAsia="Calibri" w:hAnsi="Verdana" w:cs="Arial"/>
                <w:b/>
                <w:bCs/>
                <w:lang w:eastAsia="es-ES"/>
              </w:rPr>
              <w:t>Concepto C-698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Pr>
                <w:rFonts w:ascii="Verdana" w:eastAsia="Calibri" w:hAnsi="Verdana" w:cs="Arial"/>
                <w:b/>
                <w:lang w:eastAsia="es-ES_tradnl"/>
              </w:rPr>
              <w:t>Tema:</w:t>
            </w:r>
            <w:r>
              <w:rPr>
                <w:rFonts w:ascii="Verdana" w:eastAsia="Calibri" w:hAnsi="Verdana" w:cs="Arial"/>
                <w:lang w:eastAsia="es-ES_tradnl"/>
              </w:rPr>
              <w:t xml:space="preserve">                   </w:t>
            </w:r>
          </w:p>
        </w:tc>
        <w:tc>
          <w:tcPr>
            <w:tcW w:w="6100" w:type="dxa"/>
          </w:tcPr>
          <w:p w14:paraId="34C0CDD8" w14:textId="6E7B4908" w:rsidR="005727BE" w:rsidRPr="00777292" w:rsidRDefault="00D37910" w:rsidP="00C55E3E">
            <w:pPr>
              <w:contextualSpacing/>
              <w:jc w:val="both"/>
              <w:rPr>
                <w:rFonts w:ascii="Verdana" w:eastAsia="Calibri" w:hAnsi="Verdana" w:cs="Arial"/>
                <w:lang w:eastAsia="es-ES"/>
              </w:rPr>
            </w:pPr>
            <w:r>
              <w:rPr>
                <w:rFonts w:ascii="Verdana" w:eastAsia="Calibri" w:hAnsi="Verdana" w:cs="Arial"/>
                <w:lang w:eastAsia="es-ES"/>
              </w:rPr>
              <w:t xml:space="preserve">DECRETO 0287 DE 2026 ‒ Sistema Integral de Preferencias ‒ Contratación pública inclusiva ‒ Personas con discapacidad / DECRETO 0287 DE 2026 ‒ Antecedentes normativos ‒ Decreto 392 de 2018 ‒ Omisiones reglamentarias ‒ Sentencia de acción de cumplimiento / DECRETO 0287 DE 2026 ‒ Sujetos del sistema ‒ Emprendimientos y empresas de personas con discapacidad ‒ Empleadores de personas con discapacidad ‒ Definición y diferenciación / DECRETO 0287 DE 2026 ‒ Puntaje adicional del 2% ‒ No acumulabilidad ‒ Acreditación simultánea de condiciones ‒ Modalidades de selección aplicables / DECRETO 0287 DE 2026 ‒ Puntaje adicional del 2% ‒ Vinculación de personas con discapacidad ‒ Planillas de seguridad social ‒ Período de tres meses ‒ Vinculaciones recientes </w:t>
            </w: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Pr>
                <w:rFonts w:ascii="Verdana" w:eastAsia="Calibri" w:hAnsi="Verdana" w:cs="Arial"/>
                <w:b/>
                <w:lang w:eastAsia="es-ES_tradnl"/>
              </w:rPr>
              <w:t>Radicación:</w:t>
            </w:r>
            <w:r>
              <w:rPr>
                <w:rFonts w:ascii="Verdana" w:eastAsia="Calibri" w:hAnsi="Verdana" w:cs="Arial"/>
                <w:lang w:eastAsia="es-ES_tradnl"/>
              </w:rPr>
              <w:t xml:space="preserve">               </w:t>
            </w:r>
          </w:p>
        </w:tc>
        <w:tc>
          <w:tcPr>
            <w:tcW w:w="6100" w:type="dxa"/>
          </w:tcPr>
          <w:p w14:paraId="7EDDA735" w14:textId="3262DB30" w:rsidR="00D37910" w:rsidRPr="00777292" w:rsidRDefault="00D37910" w:rsidP="00D37910">
            <w:pPr>
              <w:jc w:val="both"/>
              <w:rPr>
                <w:rFonts w:ascii="Verdana" w:eastAsia="Calibri" w:hAnsi="Verdana" w:cs="Arial"/>
                <w:lang w:eastAsia="es-ES_tradnl"/>
              </w:rPr>
            </w:pPr>
            <w:r>
              <w:rPr>
                <w:rFonts w:ascii="Verdana" w:eastAsia="Calibri" w:hAnsi="Verdana" w:cs="Arial"/>
                <w:lang w:eastAsia="es-ES_tradnl"/>
              </w:rPr>
              <w:t>Respuesta a consulta con radicado No.</w:t>
            </w:r>
            <w:r>
              <w:rPr>
                <w:rFonts w:ascii="Roboto" w:hAnsi="Roboto"/>
                <w:color w:val="242424"/>
                <w:sz w:val="27"/>
                <w:szCs w:val="27"/>
                <w:shd w:val="clear" w:color="auto" w:fill="FFFFFF"/>
              </w:rPr>
              <w:t xml:space="preserve"> </w:t>
            </w:r>
            <w:r>
              <w:rPr>
                <w:rFonts w:ascii="Verdana" w:eastAsia="Calibri" w:hAnsi="Verdana" w:cs="Arial"/>
                <w:lang w:eastAsia="es-ES_tradnl"/>
              </w:rPr>
              <w:t>1_2026_04_27_005731</w:t>
            </w:r>
          </w:p>
        </w:tc>
      </w:tr>
    </w:tbl>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521686E1" w:rsidR="008D5774" w:rsidRPr="00206556" w:rsidRDefault="008D5774" w:rsidP="008D5774">
      <w:pPr>
        <w:spacing w:after="0" w:line="276" w:lineRule="auto"/>
        <w:jc w:val="both"/>
        <w:rPr>
          <w:rFonts w:ascii="Verdana" w:eastAsia="Calibri" w:hAnsi="Verdana" w:cs="Arial"/>
          <w:lang w:val="es-ES" w:eastAsia="es-ES"/>
        </w:rPr>
      </w:pPr>
      <w:r>
        <w:rPr>
          <w:rFonts w:ascii="Verdana" w:eastAsia="Calibri" w:hAnsi="Verdana" w:cs="Arial"/>
          <w:lang w:val="es-ES" w:eastAsia="es-ES"/>
        </w:rPr>
        <w:t>Estimada señora Ortiz,</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Pr>
          <w:rFonts w:ascii="Verdana" w:eastAsia="Calibri" w:hAnsi="Verdana" w:cs="Arial"/>
          <w:lang w:val="es-ES" w:eastAsia="es-ES"/>
        </w:rPr>
        <w:tab/>
      </w:r>
    </w:p>
    <w:p w14:paraId="3426E35D" w14:textId="049F958A" w:rsidR="008D5774" w:rsidRPr="00206556" w:rsidRDefault="008D5774" w:rsidP="008D5774">
      <w:pPr>
        <w:spacing w:after="0" w:line="276" w:lineRule="auto"/>
        <w:jc w:val="both"/>
        <w:rPr>
          <w:rFonts w:ascii="Verdana" w:eastAsia="Calibri" w:hAnsi="Verdana" w:cs="Arial"/>
          <w:lang w:val="es-ES" w:eastAsia="es-ES"/>
        </w:rPr>
      </w:pPr>
      <w:r>
        <w:rPr>
          <w:rFonts w:ascii="Verdana" w:eastAsia="Calibri" w:hAnsi="Verdana" w:cs="Arial"/>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lang w:val="es-ES"/>
        </w:rPr>
        <w:t xml:space="preserve">así como lo establecido en la Resolución 469 de 2025 expedida por esta Entidad, </w:t>
      </w:r>
      <w:r>
        <w:rPr>
          <w:rFonts w:ascii="Verdana" w:eastAsia="Calibri" w:hAnsi="Verdana" w:cs="Arial"/>
          <w:lang w:val="es-ES" w:eastAsia="es-ES"/>
        </w:rPr>
        <w:t xml:space="preserve">la Agencia Nacional de Contratación Pública – Colombia Compra Eficiente– responde su solicitud de consulta de fecha 21 de abril de 2026, en la cual manifiesta lo siguiente: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44438A17" w14:textId="77777777" w:rsidR="00C55E3E" w:rsidRDefault="00377CDF" w:rsidP="00D415B4">
      <w:pPr>
        <w:spacing w:before="120" w:after="120" w:line="240" w:lineRule="auto"/>
        <w:ind w:left="709" w:right="709"/>
        <w:contextualSpacing/>
        <w:jc w:val="both"/>
        <w:rPr>
          <w:rFonts w:ascii="Verdana" w:eastAsia="Century Gothic" w:hAnsi="Verdana" w:cs="Century Gothic"/>
          <w:sz w:val="20"/>
          <w:szCs w:val="20"/>
        </w:rPr>
      </w:pPr>
      <w:r>
        <w:rPr>
          <w:rFonts w:ascii="Verdana" w:eastAsia="Century Gothic" w:hAnsi="Verdana" w:cs="Century Gothic"/>
          <w:sz w:val="20"/>
          <w:szCs w:val="20"/>
        </w:rPr>
        <w:t>“…se solicita de manera respetuosa a COLOMBIA COMPRA EFICIENTE aclarar si para efectos de la obtención del puntaje adicional, ¿es suficiente</w:t>
      </w:r>
    </w:p>
    <w:p w14:paraId="478A61D4" w14:textId="77777777" w:rsidR="00C55E3E" w:rsidRDefault="00C55E3E" w:rsidP="00D415B4">
      <w:pPr>
        <w:spacing w:before="120" w:after="120" w:line="240" w:lineRule="auto"/>
        <w:ind w:left="709" w:right="709"/>
        <w:contextualSpacing/>
        <w:jc w:val="both"/>
        <w:rPr>
          <w:rFonts w:ascii="Verdana" w:eastAsia="Century Gothic" w:hAnsi="Verdana" w:cs="Century Gothic"/>
          <w:sz w:val="20"/>
          <w:szCs w:val="20"/>
        </w:rPr>
      </w:pPr>
    </w:p>
    <w:p w14:paraId="4C2608BC" w14:textId="77777777" w:rsidR="00C55E3E" w:rsidRDefault="00C55E3E" w:rsidP="00D415B4">
      <w:pPr>
        <w:spacing w:before="120" w:after="120" w:line="240" w:lineRule="auto"/>
        <w:ind w:left="709" w:right="709"/>
        <w:contextualSpacing/>
        <w:jc w:val="both"/>
        <w:rPr>
          <w:rFonts w:ascii="Verdana" w:eastAsia="Century Gothic" w:hAnsi="Verdana" w:cs="Century Gothic"/>
          <w:sz w:val="20"/>
          <w:szCs w:val="20"/>
        </w:rPr>
      </w:pPr>
    </w:p>
    <w:p w14:paraId="63CA1B98" w14:textId="77777777" w:rsidR="00C55E3E" w:rsidRDefault="00C55E3E" w:rsidP="00D415B4">
      <w:pPr>
        <w:spacing w:before="120" w:after="120" w:line="240" w:lineRule="auto"/>
        <w:ind w:left="709" w:right="709"/>
        <w:contextualSpacing/>
        <w:jc w:val="both"/>
        <w:rPr>
          <w:rFonts w:ascii="Verdana" w:eastAsia="Century Gothic" w:hAnsi="Verdana" w:cs="Century Gothic"/>
          <w:sz w:val="20"/>
          <w:szCs w:val="20"/>
        </w:rPr>
      </w:pPr>
    </w:p>
    <w:p w14:paraId="07A0E538" w14:textId="5B918749" w:rsidR="008D5774" w:rsidRPr="00D415B4" w:rsidRDefault="00377CDF" w:rsidP="00D415B4">
      <w:pPr>
        <w:spacing w:before="120" w:after="120" w:line="240" w:lineRule="auto"/>
        <w:ind w:left="709" w:right="709"/>
        <w:contextualSpacing/>
        <w:jc w:val="both"/>
        <w:rPr>
          <w:rFonts w:ascii="Verdana" w:eastAsia="Century Gothic" w:hAnsi="Verdana" w:cs="Century Gothic"/>
          <w:sz w:val="20"/>
          <w:szCs w:val="20"/>
        </w:rPr>
      </w:pPr>
      <w:r>
        <w:rPr>
          <w:rFonts w:ascii="Verdana" w:eastAsia="Century Gothic" w:hAnsi="Verdana" w:cs="Century Gothic"/>
          <w:sz w:val="20"/>
          <w:szCs w:val="20"/>
        </w:rPr>
        <w:lastRenderedPageBreak/>
        <w:t>que el oferente acredite alguna de las opciones  previstas en el artículo 2.2.1.2.4.2.6, o adicionalmente debe cumplir con las condiciones establecidos en la tabla que indica el artículo 2.2.1.2.4.2.7.4 para que le sea reconocido dicho puntaje?</w:t>
      </w:r>
      <w:r>
        <w:rPr>
          <w:rFonts w:ascii="Verdana" w:eastAsia="Calibri" w:hAnsi="Verdana" w:cs="Arial"/>
          <w:sz w:val="20"/>
          <w:szCs w:val="20"/>
          <w:lang w:val="es-ES" w:eastAsia="es-ES"/>
        </w:rPr>
        <w:t xml:space="preserve">” </w:t>
      </w:r>
      <w:r>
        <w:rPr>
          <w:rFonts w:ascii="Verdana" w:hAnsi="Verdana"/>
          <w:sz w:val="20"/>
          <w:szCs w:val="20"/>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525FA4B" w14:textId="77777777" w:rsidR="009502B2" w:rsidRPr="00206556" w:rsidRDefault="009502B2" w:rsidP="00D415B4">
      <w:pPr>
        <w:spacing w:after="0" w:line="276" w:lineRule="auto"/>
        <w:jc w:val="both"/>
        <w:rPr>
          <w:rFonts w:ascii="Verdana" w:eastAsia="Calibri" w:hAnsi="Verdana" w:cs="Arial"/>
          <w:lang w:val="es-ES" w:eastAsia="es-ES"/>
        </w:rPr>
      </w:pPr>
    </w:p>
    <w:p w14:paraId="0FD0DFCB" w14:textId="7B9B3613" w:rsidR="008D5774" w:rsidRDefault="008D5774" w:rsidP="00D415B4">
      <w:pPr>
        <w:tabs>
          <w:tab w:val="left" w:pos="142"/>
          <w:tab w:val="left" w:pos="284"/>
        </w:tabs>
        <w:spacing w:after="0" w:line="276" w:lineRule="auto"/>
        <w:contextualSpacing/>
        <w:jc w:val="both"/>
        <w:rPr>
          <w:rFonts w:ascii="Verdana" w:eastAsia="Century Gothic" w:hAnsi="Verdana" w:cs="Century Gothic"/>
          <w:b/>
          <w:lang w:val="es-ES"/>
        </w:rPr>
      </w:pPr>
      <w:r>
        <w:rPr>
          <w:rFonts w:ascii="Verdana" w:eastAsia="Century Gothic" w:hAnsi="Verdana" w:cs="Century Gothic"/>
          <w:b/>
          <w:lang w:val="es-ES"/>
        </w:rPr>
        <w:t>1. Problema planteado:</w:t>
      </w:r>
    </w:p>
    <w:p w14:paraId="594207E4" w14:textId="77777777" w:rsidR="00D415B4" w:rsidRDefault="00D415B4" w:rsidP="00D415B4">
      <w:pPr>
        <w:tabs>
          <w:tab w:val="left" w:pos="142"/>
          <w:tab w:val="left" w:pos="284"/>
        </w:tabs>
        <w:spacing w:after="0" w:line="276" w:lineRule="auto"/>
        <w:contextualSpacing/>
        <w:jc w:val="both"/>
        <w:rPr>
          <w:rFonts w:ascii="Verdana" w:eastAsia="Century Gothic" w:hAnsi="Verdana" w:cs="Century Gothic"/>
          <w:b/>
          <w:lang w:val="es-ES"/>
        </w:rPr>
      </w:pPr>
    </w:p>
    <w:p w14:paraId="36A1C5B1" w14:textId="2132C697" w:rsidR="00D415B4" w:rsidRPr="00D415B4" w:rsidRDefault="005727BE" w:rsidP="00D415B4">
      <w:pPr>
        <w:tabs>
          <w:tab w:val="left" w:pos="142"/>
          <w:tab w:val="left" w:pos="284"/>
        </w:tabs>
        <w:spacing w:after="0" w:line="276" w:lineRule="auto"/>
        <w:contextualSpacing/>
        <w:jc w:val="both"/>
        <w:rPr>
          <w:rFonts w:ascii="Verdana" w:eastAsia="Century Gothic" w:hAnsi="Verdana" w:cs="Century Gothic"/>
          <w:bCs/>
          <w:lang w:val="es-ES"/>
        </w:rPr>
      </w:pPr>
      <w:r>
        <w:rPr>
          <w:rFonts w:ascii="Verdana" w:eastAsia="Century Gothic" w:hAnsi="Verdana" w:cs="Century Gothic"/>
          <w:bCs/>
          <w:lang w:val="es-ES"/>
        </w:rPr>
        <w:t>¿</w:t>
      </w:r>
      <w:r w:rsidR="00D415B4">
        <w:rPr>
          <w:rFonts w:ascii="Verdana" w:eastAsia="Century Gothic" w:hAnsi="Verdana" w:cs="Century Gothic"/>
          <w:bCs/>
          <w:lang w:val="es-ES"/>
        </w:rPr>
        <w:t>Para la obtención del puntaje adicional previsto en el Decreto 287 de 2026 es suficiente acreditar alguna de las condiciones establecidas en el artículo 2?2.1.2.4.2.6, o también deben cumplirse las condiciones previstas en el artículo 2.2.1.2.4.2.7.4 para el reconocimiento de dicho puntaje?</w:t>
      </w:r>
    </w:p>
    <w:p w14:paraId="47BFE32D" w14:textId="77777777" w:rsidR="009502B2" w:rsidRPr="009502B2" w:rsidRDefault="009502B2" w:rsidP="008D5774">
      <w:pPr>
        <w:spacing w:after="0" w:line="276" w:lineRule="auto"/>
        <w:jc w:val="both"/>
        <w:rPr>
          <w:rFonts w:ascii="Verdana" w:eastAsia="Century Gothic" w:hAnsi="Verdana" w:cs="Century Gothic"/>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3912F2A4" w14:textId="77777777" w:rsidR="005510BC" w:rsidRPr="00073658" w:rsidRDefault="005510BC" w:rsidP="00AD17AD">
            <w:pPr>
              <w:spacing w:before="120" w:after="120" w:line="276" w:lineRule="auto"/>
              <w:jc w:val="both"/>
              <w:rPr>
                <w:rFonts w:ascii="Verdana" w:eastAsia="Calibri" w:hAnsi="Verdana" w:cs="Arial"/>
              </w:rPr>
            </w:pPr>
            <w:r>
              <w:rPr>
                <w:rFonts w:ascii="Verdana" w:eastAsia="Calibri" w:hAnsi="Verdana" w:cs="Arial"/>
              </w:rPr>
              <w:t>En atención al problema jurídico planteado, para acceder al puntaje adicional del dos por ciento (2%) previsto en el Decreto 0287 de 2026 es suficiente que el proponente acredite alguna de las dos condiciones que la norma contempla, sin que sea necesario cumplir simultáneamente lo dispuesto en el artículo 2.2.1.2.4.2.6. y en el artículo 2.2.1.2.4.2.7.4. del Decreto 1082 de 2015 (modificado). Ello obedece a que estas dos disposiciones no establecen requisitos acumulativos para un mismo proponente, sino que regulan sujetos distintos: el artículo 2.2.1.2.4.2.6. fija las condiciones y los documentos de los emprendimientos y empresas de personas con discapacidad (en adelante, PcD), mientras que el artículo 2.2.1.2.4.2.7.4. fija las condiciones y los documentos de los empleadores de PcD.</w:t>
            </w:r>
          </w:p>
          <w:p w14:paraId="26F33FF7"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En consecuencia, el proponente obtiene el puntaje acreditando una sola de las siguientes calidades: (i) ser emprendimiento o empresa de PcD, caso en el cual aporta los documentos del artículo 2.2.1.2.4.2.6. según la categoría que invoque; o (ii) ser empleador de PcD, caso en el cual aporta los documentos del artículo 2.2.1.2.4.2.7.4., esto es, la acreditación del número </w:t>
            </w:r>
            <w:r>
              <w:rPr>
                <w:rFonts w:ascii="Verdana" w:eastAsia="Calibri" w:hAnsi="Verdana" w:cs="Arial"/>
              </w:rPr>
              <w:lastRenderedPageBreak/>
              <w:t>mínimo de trabajadores con discapacidad previsto en la tabla de dicho artículo y los certificados de aportes a seguridad social de los tres (3) meses anteriores a la presentación de la oferta, entre otros. Por tratarse de sujetos diferenciados, los documentos del artículo 2.2.1.2.4.2.7.4. no son exigibles a los emprendimientos y empresas de PcD, ni los del artículo 2.2.1.2.4.2.6. a los empleadores de PcD.</w:t>
            </w:r>
          </w:p>
          <w:p w14:paraId="5CE9BE05"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Finalmente, debe precisarse que, aun cuando un mismo proponente llegue a acreditar simultáneamente las dos calidades, el puntaje a otorgar por este criterio será siempre único y total del dos por ciento (2%), sin que las condiciones acreditadas sean acumulables ni sumables para efectos de la evaluación de la oferta, conforme lo dispone expresamente el artículo 2.2.1.2.4.2.7.4. del Decreto 0287 de 2026. Este puntaje aplica únicamente en entidades regidas por el </w:t>
            </w:r>
            <w:r>
              <w:rPr>
                <w:rFonts w:ascii="Verdana" w:hAnsi="Verdana"/>
              </w:rPr>
              <w:t>Estatuto General de Contratación Pública</w:t>
            </w:r>
            <w:r>
              <w:rPr>
                <w:rFonts w:ascii="Verdana" w:eastAsia="Calibri" w:hAnsi="Verdana" w:cs="Arial"/>
              </w:rPr>
              <w:t>, en las modalidades de licitación pública y concurso de méritos.</w:t>
            </w: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77777777" w:rsidR="005510BC" w:rsidRPr="00206556" w:rsidRDefault="005510BC" w:rsidP="005510BC">
      <w:pPr>
        <w:spacing w:after="120" w:line="276" w:lineRule="auto"/>
        <w:jc w:val="both"/>
        <w:rPr>
          <w:rFonts w:ascii="Verdana" w:hAnsi="Verdana"/>
        </w:rPr>
      </w:pPr>
      <w:r>
        <w:rPr>
          <w:rFonts w:ascii="Verdana" w:eastAsia="Calibri" w:hAnsi="Verdana" w:cs="Arial"/>
          <w:lang w:val="es-ES"/>
        </w:rPr>
        <w:t xml:space="preserve">(i) </w:t>
      </w:r>
      <w:r>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Pr>
          <w:rFonts w:ascii="Verdana" w:eastAsia="Times New Roman" w:hAnsi="Verdana" w:cs="Times New Roman"/>
        </w:rPr>
        <w:t>El fundamento del Sistema de Preferencias para PcD en la contratación pública es el principio de igualdad real y efectiva consagrado en el artículo 13 de la Constitución Política de 1991</w:t>
      </w:r>
      <w:r>
        <w:rPr>
          <w:rStyle w:val="Refdenotaalpie"/>
          <w:rFonts w:ascii="Verdana" w:eastAsia="Times New Roman" w:hAnsi="Verdana" w:cs="Times New Roman"/>
        </w:rPr>
        <w:footnoteReference w:id="1"/>
      </w:r>
      <w:r>
        <w:rPr>
          <w:rFonts w:ascii="Verdana" w:eastAsia="Times New Roman" w:hAnsi="Verdana" w:cs="Times New Roman"/>
        </w:rPr>
        <w:t xml:space="preserve">, que impone al Estado el deber positivo de adoptar </w:t>
      </w:r>
      <w:r>
        <w:rPr>
          <w:rFonts w:ascii="Verdana" w:eastAsia="Times New Roman" w:hAnsi="Verdana" w:cs="Times New Roman"/>
          <w:i/>
          <w:iCs/>
        </w:rPr>
        <w:t>acciones afirmativas</w:t>
      </w:r>
      <w:r>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w:t>
      </w:r>
      <w:r>
        <w:rPr>
          <w:rFonts w:ascii="Verdana" w:eastAsia="Times New Roman" w:hAnsi="Verdana" w:cs="Times New Roman"/>
        </w:rPr>
        <w:lastRenderedPageBreak/>
        <w:t>refuerzan este mandato al ordenar políticas de integración social y ubicación laboral para las PcD</w:t>
      </w:r>
      <w:r>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Pr>
          <w:rStyle w:val="Refdenotaalpie"/>
          <w:rFonts w:ascii="Verdana" w:eastAsia="Times New Roman" w:hAnsi="Verdana" w:cs="Times New Roman"/>
        </w:rPr>
        <w:footnoteReference w:id="3"/>
      </w:r>
      <w:r>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Pr>
          <w:rStyle w:val="Refdenotaalpie"/>
          <w:rFonts w:ascii="Verdana" w:eastAsia="Times New Roman" w:hAnsi="Verdana" w:cs="Times New Roman"/>
        </w:rPr>
        <w:footnoteReference w:id="4"/>
      </w:r>
      <w:r>
        <w:rPr>
          <w:rFonts w:ascii="Verdana" w:eastAsia="Times New Roman" w:hAnsi="Verdana" w:cs="Times New Roman"/>
        </w:rPr>
        <w:t xml:space="preserve"> ordena eliminar progresivamente la discriminación en la prestación de servicios, incluido el empleo. El Convenio 159 de la OIT</w:t>
      </w:r>
      <w:r>
        <w:rPr>
          <w:rStyle w:val="Refdenotaalpie"/>
          <w:rFonts w:ascii="Verdana" w:eastAsia="Times New Roman" w:hAnsi="Verdana" w:cs="Times New Roman"/>
        </w:rPr>
        <w:footnoteReference w:id="5"/>
      </w:r>
      <w:r>
        <w:rPr>
          <w:rFonts w:ascii="Verdana" w:eastAsia="Times New Roman" w:hAnsi="Verdana" w:cs="Times New Roman"/>
        </w:rPr>
        <w:t xml:space="preserve"> exige medidas orientadas a garantizar la igualdad de oportunidades de todas las categorías de PcD en materia de empleo.</w:t>
      </w:r>
    </w:p>
    <w:p w14:paraId="5165B87A" w14:textId="77777777" w:rsidR="005510BC" w:rsidRPr="00206556" w:rsidRDefault="005510BC" w:rsidP="005510BC">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Pr>
          <w:rStyle w:val="Refdenotaalpie"/>
          <w:rFonts w:ascii="Verdana" w:eastAsia="Times New Roman" w:hAnsi="Verdana" w:cs="Times New Roman"/>
        </w:rPr>
        <w:footnoteReference w:id="6"/>
      </w:r>
      <w:r>
        <w:rPr>
          <w:rFonts w:ascii="Verdana" w:eastAsia="Times New Roman" w:hAnsi="Verdana" w:cs="Times New Roman"/>
        </w:rPr>
        <w:t>.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4662F524" w14:textId="77777777" w:rsidR="005510BC" w:rsidRPr="00206556" w:rsidRDefault="005510BC" w:rsidP="005510BC">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 xml:space="preserve">La Ley Estatutaria 1618 de 2013 representó un salto cualitativo en el marco jurídico de protección de las PcD, al definir a estas como </w:t>
      </w:r>
      <w:r>
        <w:rPr>
          <w:rFonts w:ascii="Verdana" w:eastAsia="Times New Roman" w:hAnsi="Verdana" w:cs="Times New Roman"/>
          <w:i/>
          <w:iCs/>
        </w:rPr>
        <w:t xml:space="preserve">"aquellas personas que </w:t>
      </w:r>
      <w:r>
        <w:rPr>
          <w:rFonts w:ascii="Verdana" w:eastAsia="Times New Roman" w:hAnsi="Verdana" w:cs="Times New Roman"/>
          <w:i/>
          <w:iCs/>
        </w:rPr>
        <w:lastRenderedPageBreak/>
        <w:t>tengan deficiencias físicas, mentales, intelectuales o sensoriales a mediano y largo plazo que, al interactuar con diversas barreras incluyendo las actitudinales, puedan impedir su participación plena y efectiva en la sociedad, en igualdad de condiciones con las demás"</w:t>
      </w:r>
      <w:r>
        <w:rPr>
          <w:rStyle w:val="Refdenotaalpie"/>
          <w:rFonts w:ascii="Verdana" w:eastAsia="Times New Roman" w:hAnsi="Verdana" w:cs="Times New Roman"/>
          <w:i/>
          <w:iCs/>
        </w:rPr>
        <w:footnoteReference w:id="7"/>
      </w:r>
      <w:r>
        <w:rPr>
          <w:rFonts w:ascii="Verdana" w:eastAsia="Times New Roman" w:hAnsi="Verdana" w:cs="Times New Roman"/>
          <w:i/>
          <w:iCs/>
        </w:rPr>
        <w:t>.</w:t>
      </w:r>
      <w:r>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Pr>
          <w:rStyle w:val="Refdenotaalpie"/>
          <w:rFonts w:ascii="Verdana" w:eastAsia="Times New Roman" w:hAnsi="Verdana" w:cs="Times New Roman"/>
        </w:rPr>
        <w:footnoteReference w:id="8"/>
      </w:r>
      <w:r>
        <w:rPr>
          <w:rFonts w:ascii="Verdana" w:eastAsia="Times New Roman" w:hAnsi="Verdana" w:cs="Times New Roman"/>
        </w:rPr>
        <w:t xml:space="preserve">. Este último mandato fue especialmente significativo porque introdujo el concepto de </w:t>
      </w:r>
      <w:r>
        <w:rPr>
          <w:rFonts w:ascii="Verdana" w:eastAsia="Times New Roman" w:hAnsi="Verdana" w:cs="Times New Roman"/>
          <w:i/>
          <w:iCs/>
        </w:rPr>
        <w:t>"sistema de preferencias"</w:t>
      </w:r>
      <w:r>
        <w:rPr>
          <w:rFonts w:ascii="Verdana" w:eastAsia="Times New Roman" w:hAnsi="Verdana" w:cs="Times New Roman"/>
        </w:rPr>
        <w:t xml:space="preserve">, que por definición no puede reducirse a una sola </w:t>
      </w:r>
      <w:proofErr w:type="gramStart"/>
      <w:r>
        <w:rPr>
          <w:rFonts w:ascii="Verdana" w:eastAsia="Times New Roman" w:hAnsi="Verdana" w:cs="Times New Roman"/>
        </w:rPr>
        <w:t>medida</w:t>
      </w:r>
      <w:proofErr w:type="gramEnd"/>
      <w:r>
        <w:rPr>
          <w:rFonts w:ascii="Verdana" w:eastAsia="Times New Roman" w:hAnsi="Verdana" w:cs="Times New Roman"/>
        </w:rPr>
        <w:t xml:space="preserve"> sino que implica un conjunto estructurado de instrumentos que actúen en las distintas fases del proceso contractual.</w:t>
      </w:r>
    </w:p>
    <w:p w14:paraId="485E28D1" w14:textId="796F3B94" w:rsidR="005510BC" w:rsidRPr="00A420A9" w:rsidRDefault="005510BC" w:rsidP="00960D60">
      <w:pPr>
        <w:spacing w:after="120" w:line="276" w:lineRule="auto"/>
        <w:ind w:firstLine="709"/>
        <w:jc w:val="both"/>
        <w:rPr>
          <w:rFonts w:ascii="Verdana" w:hAnsi="Verdana"/>
        </w:rPr>
      </w:pPr>
      <w:r>
        <w:rPr>
          <w:rFonts w:ascii="Verdana" w:hAnsi="Verdana"/>
        </w:rPr>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34CE263B" w14:textId="7EEB223E" w:rsidR="005510BC" w:rsidRDefault="005510BC" w:rsidP="00960D60">
      <w:pPr>
        <w:spacing w:after="120" w:line="276" w:lineRule="auto"/>
        <w:ind w:firstLine="709"/>
        <w:jc w:val="both"/>
        <w:rPr>
          <w:rFonts w:ascii="Verdana" w:hAnsi="Verdana"/>
        </w:rPr>
      </w:pPr>
      <w:r>
        <w:rPr>
          <w:rFonts w:ascii="Verdana" w:hAnsi="Verdana"/>
        </w:rPr>
        <w:t xml:space="preserve">La insuficiencia del Decreto 392 de 2018 fue constatada judicialmente. La Sección Quinta del Consejo de Estado, mediante sentencia de acción de cumplimiento del 12 de diciembre de 2024, radicación n.° 05001-23-33-000-2024-00847-01, M.P. Omar Joaquín Barreto Suárez, declaró el incumplimiento del Gobierno Nacional del artículo 62 de la Ley 1996 de 2019, que ordenaba reglamentar las medidas del artículo 13 de la Ley 1618 de 2013, y ordenó </w:t>
      </w:r>
      <w:r>
        <w:rPr>
          <w:rFonts w:ascii="Verdana" w:hAnsi="Verdana"/>
        </w:rPr>
        <w:lastRenderedPageBreak/>
        <w:t>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39D7BE6" w14:textId="77777777" w:rsidR="005510BC" w:rsidRDefault="005510BC" w:rsidP="005510BC">
      <w:pPr>
        <w:spacing w:after="120" w:line="276" w:lineRule="auto"/>
        <w:ind w:firstLine="709"/>
        <w:jc w:val="both"/>
        <w:rPr>
          <w:rFonts w:ascii="Verdana" w:hAnsi="Verdana"/>
        </w:rPr>
      </w:pPr>
      <w:r>
        <w:rPr>
          <w:rFonts w:ascii="Verdana" w:hAnsi="Verdana"/>
        </w:rPr>
        <w:t xml:space="preserve">En cumplimiento de esa decisión fue expedido el Decreto 0287 de 2026, el cual, como se indicó en la respuesta, establece un Sistema Integral de Preferencias compuesto por cinco medidas afirmativas que actúan en todas las fases del proceso contractual, planeación, selección, adjudicación y ejecución, y que benefician a dos sujetos diferenciados: los emprendimientos y empresas de PcD y los empleadores de PcD. A continuación, se desarrolla el alcance de cada aspecto del sistema planteado en los problemas jurídicos. </w:t>
      </w:r>
    </w:p>
    <w:p w14:paraId="2BA717EC" w14:textId="77777777" w:rsidR="005510BC" w:rsidRPr="00E727F0" w:rsidRDefault="005510BC" w:rsidP="005510BC">
      <w:pPr>
        <w:spacing w:after="120" w:line="276" w:lineRule="auto"/>
        <w:ind w:firstLine="708"/>
        <w:jc w:val="both"/>
        <w:rPr>
          <w:rFonts w:ascii="Verdana" w:hAnsi="Verdana"/>
        </w:rPr>
      </w:pPr>
      <w:r>
        <w:rPr>
          <w:rFonts w:ascii="Verdana" w:hAnsi="Verdana"/>
        </w:rPr>
        <w:t xml:space="preserve">(ii) </w:t>
      </w:r>
      <w:r>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Pr>
          <w:rFonts w:ascii="Verdana" w:eastAsia="Times New Roman" w:hAnsi="Verdana" w:cs="Times New Roman"/>
        </w:rPr>
        <w:t xml:space="preserve">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w:t>
      </w:r>
      <w:r>
        <w:rPr>
          <w:rFonts w:ascii="Verdana" w:eastAsia="Times New Roman" w:hAnsi="Verdana" w:cs="Times New Roman"/>
        </w:rPr>
        <w:lastRenderedPageBreak/>
        <w:t>equivale a 20 puntos adicionales, ventaja que puede ser determinante en escenarios de puntuaciones cercanas.</w:t>
      </w:r>
    </w:p>
    <w:p w14:paraId="4D3C6E2B" w14:textId="1D8D9332" w:rsidR="005510BC" w:rsidRPr="00D22B7C" w:rsidRDefault="005510BC" w:rsidP="00960D60">
      <w:pPr>
        <w:spacing w:after="120" w:line="276" w:lineRule="auto"/>
        <w:ind w:firstLine="709"/>
        <w:jc w:val="both"/>
        <w:rPr>
          <w:rFonts w:ascii="Verdana" w:hAnsi="Verdana"/>
        </w:rPr>
      </w:pPr>
      <w:r>
        <w:rPr>
          <w:rFonts w:ascii="Verdana" w:eastAsia="Times New Roman" w:hAnsi="Verdana" w:cs="Times New Roman"/>
        </w:rPr>
        <w:t>(iii) En cuanto a la exigencia del número mínimo de PcD vinculadas y la acreditación mediante planillas de seguridad social, el artículo 2.2.1.2.4.2.7.4. del Decreto 0287 de 2026 establece que para acceder al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960D60"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b/>
                <w:bCs/>
                <w:sz w:val="20"/>
                <w:szCs w:val="20"/>
              </w:rPr>
              <w:t>Número mínimo de trabajadores con discapacidad requerido</w:t>
            </w:r>
          </w:p>
        </w:tc>
      </w:tr>
      <w:tr w:rsidR="005510BC" w:rsidRPr="00960D60"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2</w:t>
            </w:r>
          </w:p>
        </w:tc>
      </w:tr>
      <w:tr w:rsidR="005510BC" w:rsidRPr="00960D60"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3</w:t>
            </w:r>
          </w:p>
        </w:tc>
      </w:tr>
      <w:tr w:rsidR="005510BC" w:rsidRPr="00960D60"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4</w:t>
            </w:r>
          </w:p>
        </w:tc>
      </w:tr>
      <w:tr w:rsidR="005510BC" w:rsidRPr="00960D60"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5</w:t>
            </w:r>
          </w:p>
        </w:tc>
      </w:tr>
      <w:tr w:rsidR="005510BC" w:rsidRPr="00960D60"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7</w:t>
            </w:r>
          </w:p>
        </w:tc>
      </w:tr>
      <w:tr w:rsidR="005510BC" w:rsidRPr="00960D60"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10</w:t>
            </w:r>
          </w:p>
        </w:tc>
      </w:tr>
      <w:tr w:rsidR="005510BC" w:rsidRPr="00960D60"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12</w:t>
            </w:r>
          </w:p>
        </w:tc>
      </w:tr>
      <w:tr w:rsidR="005510BC" w:rsidRPr="00960D60"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14</w:t>
            </w:r>
          </w:p>
        </w:tc>
      </w:tr>
      <w:tr w:rsidR="005510BC" w:rsidRPr="00960D60"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16</w:t>
            </w:r>
          </w:p>
        </w:tc>
      </w:tr>
      <w:tr w:rsidR="005510BC" w:rsidRPr="00960D60"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Por cada 100 trabajadores adicionales, se suman 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Pr>
          <w:rFonts w:ascii="Verdana" w:eastAsia="Times New Roman" w:hAnsi="Verdana" w:cs="Times New Roman"/>
        </w:rPr>
        <w:t xml:space="preserve">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w:t>
      </w:r>
      <w:r>
        <w:rPr>
          <w:rFonts w:ascii="Verdana" w:eastAsia="Times New Roman" w:hAnsi="Verdana" w:cs="Times New Roman"/>
        </w:rPr>
        <w:lastRenderedPageBreak/>
        <w:t>se trate de un proponente plural, se tomará en cuenta únicamente la planta de personal del integrante con mayor participación porcentual en el consorcio o unión temporal, sin que se exija el aporte de experiencia.</w:t>
      </w:r>
    </w:p>
    <w:p w14:paraId="34B9593A" w14:textId="77777777" w:rsidR="005510BC" w:rsidRPr="00D22B7C" w:rsidRDefault="005510BC" w:rsidP="005510BC">
      <w:pPr>
        <w:spacing w:after="120" w:line="276" w:lineRule="auto"/>
        <w:ind w:firstLine="709"/>
        <w:jc w:val="both"/>
        <w:rPr>
          <w:rFonts w:ascii="Verdana" w:hAnsi="Verdana"/>
        </w:rPr>
      </w:pPr>
      <w:r>
        <w:rPr>
          <w:rFonts w:ascii="Verdana" w:eastAsia="Times New Roman" w:hAnsi="Verdana" w:cs="Times New Roman"/>
        </w:rPr>
        <w:t>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certificado que expide el Ministerio del Trabajo, entre otros documentos.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p>
    <w:p w14:paraId="4CE21EAF" w14:textId="118618DD" w:rsidR="005510BC" w:rsidRDefault="005510BC" w:rsidP="00960D60">
      <w:pPr>
        <w:spacing w:after="120" w:line="276" w:lineRule="auto"/>
        <w:ind w:firstLine="708"/>
        <w:jc w:val="both"/>
        <w:rPr>
          <w:rFonts w:ascii="Verdana" w:eastAsia="Times New Roman" w:hAnsi="Verdana" w:cs="Times New Roman"/>
        </w:rPr>
      </w:pPr>
      <w:r>
        <w:rPr>
          <w:rFonts w:ascii="Verdana" w:eastAsia="Times New Roman" w:hAnsi="Verdana" w:cs="Times New Roman"/>
        </w:rPr>
        <w:t>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19C00794" w14:textId="77777777" w:rsidR="005510BC" w:rsidRDefault="005510BC" w:rsidP="005510BC">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Es importante precisar que la vinculación de PcD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 entre otros; cuando se trata de un emprendimiento o </w:t>
      </w:r>
      <w:r>
        <w:rPr>
          <w:rFonts w:ascii="Verdana" w:eastAsia="Times New Roman" w:hAnsi="Verdana" w:cs="Times New Roman"/>
        </w:rPr>
        <w:lastRenderedPageBreak/>
        <w:t xml:space="preserve">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Pr>
          <w:rFonts w:ascii="Verdana" w:eastAsia="Times New Roman" w:hAnsi="Verdana" w:cs="Times New Roman"/>
        </w:rPr>
        <w:t>meses aquí mencionado</w:t>
      </w:r>
      <w:proofErr w:type="gramEnd"/>
      <w:r>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76EF70BC" w14:textId="77777777" w:rsidR="005510BC" w:rsidRPr="00D22B7C" w:rsidRDefault="005510BC" w:rsidP="005510BC">
      <w:pPr>
        <w:spacing w:after="120" w:line="276" w:lineRule="auto"/>
        <w:ind w:firstLine="709"/>
        <w:jc w:val="both"/>
        <w:rPr>
          <w:rFonts w:ascii="Verdana" w:hAnsi="Verdana"/>
        </w:rPr>
      </w:pPr>
      <w:r>
        <w:rPr>
          <w:rFonts w:ascii="Verdana" w:hAnsi="Verdana"/>
        </w:rPr>
        <w:t>(iv) En relación, al ámbito de aplicación del puntaje adicional del 2%, el artículo 2.2.1.2.4.2.7.4. del Decreto 0287 de 2026 establece este puntaje exclusivamente en los procedimientos de licitación pública y concurso de méritos, para entidades regidas por el Estatuto General de Contratación Pública.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de selección; y la contratación directa tiene su propia medida afirmativa a través de los contratos de prestación de servicios con PcD.</w:t>
      </w:r>
    </w:p>
    <w:p w14:paraId="12A1F08A" w14:textId="133F09E6" w:rsidR="00A32143" w:rsidRPr="00670CFB" w:rsidRDefault="00A32143" w:rsidP="00A32143">
      <w:pPr>
        <w:spacing w:line="278" w:lineRule="auto"/>
        <w:ind w:firstLine="708"/>
        <w:jc w:val="both"/>
        <w:rPr>
          <w:rFonts w:ascii="Verdana" w:hAnsi="Verdana"/>
        </w:rPr>
      </w:pPr>
      <w:r>
        <w:rPr>
          <w:rFonts w:ascii="Verdana" w:hAnsi="Verdana"/>
        </w:rPr>
        <w:t>(V) Por último, es pertinente señalar que esta Agencia expidió la Circular Externa No. 003 del 12 de mayo de 2026, mediante la cual se impartieron orientaciones para la correcta aplicación del Decreto 287 de 2026, dirigidas a las entidades estatales con independencia de su régimen de contratación, a los patrimonios autónomos constituidos por entidades estatales y a los particulares que ejecuten recursos públicos. En consecuencia, las consideraciones expuestas en el presente concepto deben entenderse en armonía con los lineamientos contenidos en la referida circular, la cual se encuentra disponible para consulta en el portal institucional de la Agencia Nacional de Contratación Pública – Colombia Compra Eficiente.</w:t>
      </w:r>
    </w:p>
    <w:p w14:paraId="78BD1F62"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w:t>
      </w:r>
      <w:r>
        <w:rPr>
          <w:rFonts w:ascii="Verdana" w:hAnsi="Verdana"/>
        </w:rPr>
        <w:lastRenderedPageBreak/>
        <w:t>ciclo contractual, desde la planeación hasta la ejecución, con consecuencias jurídicas concretas frente a su inobservancia y con un horizonte claro de inclusión laboral efectiva y progresiva de esta población.</w:t>
      </w:r>
    </w:p>
    <w:p w14:paraId="0A69F894" w14:textId="77777777" w:rsidR="005510BC" w:rsidRPr="00206556" w:rsidRDefault="005510BC" w:rsidP="005510BC">
      <w:pPr>
        <w:spacing w:after="0" w:line="276" w:lineRule="auto"/>
        <w:jc w:val="both"/>
        <w:rPr>
          <w:rFonts w:ascii="Verdana" w:eastAsia="Calibri" w:hAnsi="Verdana" w:cs="Arial"/>
          <w:lang w:val="es-ES"/>
        </w:rPr>
      </w:pP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0287 de 2026. Por el cual se modifican los artículos 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Consejo de Estado. Sala de lo Contencioso Administrativo, Sección </w:t>
            </w:r>
            <w:r>
              <w:rPr>
                <w:rFonts w:ascii="Verdana" w:eastAsia="Arial MT" w:hAnsi="Verdana" w:cs="Arial"/>
                <w:lang w:eastAsia="es-ES" w:bidi="es-ES"/>
              </w:rPr>
              <w:lastRenderedPageBreak/>
              <w:t>Quinta. Sentencia de acción de cumplimiento del 12 de diciembre de 2024. Rad. n.°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3DF3B5C" w14:textId="77777777" w:rsidR="005510BC" w:rsidRDefault="005510BC" w:rsidP="005510BC">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5. Doctrina de la Agencia Nacional de Contratación Pública:</w:t>
      </w:r>
    </w:p>
    <w:p w14:paraId="75F4F75C" w14:textId="77777777"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p>
    <w:p w14:paraId="51C27470" w14:textId="77777777" w:rsidR="005510BC" w:rsidRPr="00206556" w:rsidRDefault="005510BC" w:rsidP="005510BC">
      <w:pPr>
        <w:spacing w:after="0" w:line="276" w:lineRule="auto"/>
        <w:jc w:val="both"/>
        <w:rPr>
          <w:rFonts w:ascii="Verdana" w:hAnsi="Verdana"/>
          <w:color w:val="ED7D31" w:themeColor="accent2"/>
          <w:lang w:val="es-ES"/>
        </w:rPr>
      </w:pPr>
      <w:r>
        <w:rPr>
          <w:rFonts w:ascii="Verdana" w:eastAsia="Calibri" w:hAnsi="Verdana" w:cs="Arial"/>
          <w:lang w:val="es-ES"/>
        </w:rPr>
        <w:t xml:space="preserve">La Agencia Nacional de Contratación Pública – Colombia Compra Eficiente se ha referido </w:t>
      </w:r>
      <w:r>
        <w:rPr>
          <w:rFonts w:ascii="Verdana" w:hAnsi="Verdana" w:cs="Arial"/>
          <w:shd w:val="clear" w:color="auto" w:fill="FFFFFF"/>
          <w:lang w:val="es-ES"/>
        </w:rPr>
        <w:t>sobre el alcance del Decreto 0287 de 2026 en este concepto</w:t>
      </w:r>
      <w:r>
        <w:rPr>
          <w:rFonts w:ascii="Verdana" w:eastAsia="Calibri" w:hAnsi="Verdana" w:cs="Arial"/>
          <w:lang w:val="es-ES_tradnl" w:eastAsia="es-ES"/>
        </w:rPr>
        <w:t>.</w:t>
      </w:r>
      <w:r>
        <w:rPr>
          <w:rFonts w:ascii="Verdana" w:hAnsi="Verdana" w:cs="Arial"/>
          <w:shd w:val="clear" w:color="auto" w:fill="FFFFFF"/>
          <w:lang w:val="es-ES"/>
        </w:rPr>
        <w:t xml:space="preserve"> Este</w:t>
      </w:r>
      <w:r>
        <w:rPr>
          <w:rFonts w:ascii="Verdana" w:hAnsi="Verdana"/>
          <w:lang w:val="es-ES"/>
        </w:rPr>
        <w:t xml:space="preserve"> y otros se encuentran disponibles para consulta en el Sistema de relatoría de la Agencia, al cual se puede acceder a través del siguiente enlace:</w:t>
      </w:r>
      <w:r>
        <w:rPr>
          <w:rFonts w:ascii="Verdana" w:hAnsi="Verdana" w:cs="Arial"/>
          <w:shd w:val="clear" w:color="auto" w:fill="FFFFFF"/>
          <w:lang w:val="es-ES"/>
        </w:rPr>
        <w:t xml:space="preserve"> </w:t>
      </w:r>
      <w:hyperlink r:id="rId12" w:history="1">
        <w:r>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w:t>
      </w:r>
      <w:r>
        <w:rPr>
          <w:rFonts w:ascii="Verdana" w:hAnsi="Verdana" w:cs="Arial"/>
          <w:shd w:val="clear" w:color="auto" w:fill="FFFFFF"/>
        </w:rPr>
        <w:lastRenderedPageBreak/>
        <w:t xml:space="preserve">públicos, proveedores, servidores públicos v para generar mayor valor público. Accede al curso y aprende como implementar criterios sociales y ambientales en las diferentes etapas del proceso de contratación: </w:t>
      </w:r>
      <w:hyperlink r:id="rId13" w:history="1">
        <w:r>
          <w:rPr>
            <w:rStyle w:val="Hipervnculo"/>
            <w:rFonts w:ascii="Verdana" w:hAnsi="Verdana" w:cs="Arial"/>
            <w:shd w:val="clear" w:color="auto" w:fill="FFFFFF"/>
          </w:rPr>
          <w:t>https://formacionvirtual.colombiacompra.gov.co/mod/page/view.php?id=3718</w:t>
        </w:r>
      </w:hyperlink>
      <w:r>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Pr>
          <w:rFonts w:ascii="Verdana" w:hAnsi="Verdana" w:cs="Arial"/>
          <w:shd w:val="clear" w:color="auto" w:fill="FFFFFF"/>
        </w:rPr>
        <w:t>Además</w:t>
      </w:r>
      <w:proofErr w:type="gramEnd"/>
      <w:r>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Twitter: </w:t>
      </w:r>
      <w:r>
        <w:rPr>
          <w:rStyle w:val="Hipervnculo"/>
          <w:rFonts w:ascii="Verdana" w:hAnsi="Verdana"/>
          <w:lang w:val="es-ES"/>
        </w:rPr>
        <w:t>@colombiacompra</w:t>
      </w:r>
      <w:r>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Facebook:</w:t>
      </w:r>
      <w:r>
        <w:rPr>
          <w:rStyle w:val="Hipervnculo"/>
          <w:rFonts w:ascii="Verdana" w:hAnsi="Verdana"/>
          <w:lang w:val="es-ES"/>
        </w:rPr>
        <w:t xml:space="preserve"> ColombiaCompraEficiente</w:t>
      </w:r>
    </w:p>
    <w:p w14:paraId="1CA81020"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LinkedIn: </w:t>
      </w:r>
      <w:r>
        <w:rPr>
          <w:rStyle w:val="Hipervnculo"/>
          <w:rFonts w:ascii="Verdana" w:hAnsi="Verdana"/>
          <w:lang w:val="es-ES"/>
        </w:rPr>
        <w:t>Agencia Nacional de Contratación Pública - Colombia Compra Eficiente</w:t>
      </w:r>
      <w:r>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Instagram: </w:t>
      </w:r>
      <w:r>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Pr>
          <w:rFonts w:ascii="Verdana" w:eastAsia="Times New Roman" w:hAnsi="Verdana" w:cs="Arial"/>
          <w:lang w:val="es-ES" w:eastAsia="es-CO"/>
        </w:rPr>
        <w:t>Atentamente,</w:t>
      </w:r>
      <w:r>
        <w:rPr>
          <w:rFonts w:ascii="Verdana" w:hAnsi="Verdana" w:cs="Arial"/>
          <w:lang w:val="es-ES" w:eastAsia="es-CO"/>
        </w:rPr>
        <w:t xml:space="preserve"> </w:t>
      </w:r>
    </w:p>
    <w:p w14:paraId="13C0EB0F" w14:textId="7454D40A" w:rsidR="00A754B1" w:rsidRPr="00206556" w:rsidRDefault="00BA68A7"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75578BB3" wp14:editId="0B93C3F2">
            <wp:extent cx="3771900" cy="1400175"/>
            <wp:effectExtent l="0" t="0" r="0" b="9525"/>
            <wp:docPr id="16174182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418248" name="Imagen 1617418248"/>
                    <pic:cNvPicPr/>
                  </pic:nvPicPr>
                  <pic:blipFill>
                    <a:blip r:embed="rId15">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Elaboró:         </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eastAsia="es-ES"/>
              </w:rPr>
              <w:t xml:space="preserve">Contratista </w:t>
            </w:r>
            <w:r>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Revisó: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1347AD69" w:rsidR="00670CFB" w:rsidRPr="00206556" w:rsidRDefault="00D415B4"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Alejandro Raúl Sarmiento Cantillo </w:t>
            </w:r>
          </w:p>
          <w:p w14:paraId="5605EA66" w14:textId="2A6AE47D" w:rsidR="00D415B4" w:rsidRPr="00D415B4" w:rsidRDefault="00D415B4" w:rsidP="00D415B4">
            <w:pPr>
              <w:autoSpaceDE w:val="0"/>
              <w:autoSpaceDN w:val="0"/>
              <w:adjustRightInd w:val="0"/>
              <w:spacing w:after="0" w:line="276" w:lineRule="auto"/>
              <w:rPr>
                <w:rFonts w:ascii="Verdana" w:eastAsia="Calibri" w:hAnsi="Verdana" w:cs="Arial"/>
                <w:sz w:val="16"/>
                <w:szCs w:val="16"/>
              </w:rPr>
            </w:pPr>
            <w:r>
              <w:rPr>
                <w:rFonts w:ascii="Verdana" w:eastAsia="Calibri" w:hAnsi="Verdana" w:cs="Arial"/>
                <w:sz w:val="16"/>
                <w:szCs w:val="16"/>
              </w:rPr>
              <w:t>Gestor Código T1 Grado15 Subdirección de</w:t>
            </w:r>
          </w:p>
          <w:p w14:paraId="53BA1B20" w14:textId="3BFE3561" w:rsidR="00670CFB" w:rsidRPr="00D415B4" w:rsidRDefault="00D415B4" w:rsidP="00D415B4">
            <w:pPr>
              <w:autoSpaceDE w:val="0"/>
              <w:autoSpaceDN w:val="0"/>
              <w:adjustRightInd w:val="0"/>
              <w:spacing w:after="0" w:line="276" w:lineRule="auto"/>
              <w:rPr>
                <w:rFonts w:ascii="Verdana" w:eastAsia="Calibri" w:hAnsi="Verdana" w:cs="Arial"/>
                <w:sz w:val="16"/>
                <w:szCs w:val="16"/>
              </w:rPr>
            </w:pPr>
            <w:r>
              <w:rPr>
                <w:rFonts w:ascii="Verdana" w:eastAsia="Calibri" w:hAnsi="Verdana" w:cs="Arial"/>
                <w:sz w:val="16"/>
                <w:szCs w:val="16"/>
              </w:rPr>
              <w:t>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Aprobó: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Subdirectora de Gestión Contractual ANCP – CCE</w:t>
            </w:r>
          </w:p>
        </w:tc>
      </w:tr>
      <w:bookmarkEnd w:id="1"/>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bookmarkEnd w:id="0"/>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85853" w14:textId="77777777" w:rsidR="000641D9" w:rsidRDefault="000641D9" w:rsidP="004A1847">
      <w:pPr>
        <w:spacing w:after="0" w:line="240" w:lineRule="auto"/>
      </w:pPr>
      <w:r>
        <w:separator/>
      </w:r>
    </w:p>
  </w:endnote>
  <w:endnote w:type="continuationSeparator" w:id="0">
    <w:p w14:paraId="48671D77" w14:textId="77777777" w:rsidR="000641D9" w:rsidRDefault="000641D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72160" w14:textId="77777777" w:rsidR="000641D9" w:rsidRDefault="000641D9" w:rsidP="004A1847">
      <w:pPr>
        <w:spacing w:after="0" w:line="240" w:lineRule="auto"/>
      </w:pPr>
      <w:r>
        <w:separator/>
      </w:r>
    </w:p>
  </w:footnote>
  <w:footnote w:type="continuationSeparator" w:id="0">
    <w:p w14:paraId="5F23DD7B" w14:textId="77777777" w:rsidR="000641D9" w:rsidRDefault="000641D9" w:rsidP="004A1847">
      <w:pPr>
        <w:spacing w:after="0" w:line="240" w:lineRule="auto"/>
      </w:pPr>
      <w:r>
        <w:continuationSeparator/>
      </w:r>
    </w:p>
  </w:footnote>
  <w:footnote w:id="1">
    <w:p w14:paraId="1714CFA3"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46E5890" w14:textId="77777777" w:rsidR="005510BC" w:rsidRPr="00206556" w:rsidRDefault="005510BC" w:rsidP="005510BC">
      <w:pPr>
        <w:spacing w:after="80" w:line="240" w:lineRule="auto"/>
        <w:ind w:firstLine="708"/>
        <w:jc w:val="both"/>
        <w:rPr>
          <w:rFonts w:ascii="Verdana" w:hAnsi="Verdana"/>
          <w:sz w:val="16"/>
          <w:szCs w:val="16"/>
        </w:rPr>
      </w:pPr>
    </w:p>
  </w:footnote>
  <w:footnote w:id="2">
    <w:p w14:paraId="68485690"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5510BC">
      <w:pPr>
        <w:pStyle w:val="Textonotapie"/>
        <w:ind w:firstLine="708"/>
        <w:jc w:val="both"/>
        <w:rPr>
          <w:rFonts w:ascii="Verdana" w:hAnsi="Verdana"/>
          <w:sz w:val="16"/>
          <w:szCs w:val="16"/>
          <w:lang w:val="es-ES"/>
        </w:rPr>
      </w:pPr>
    </w:p>
  </w:footnote>
  <w:footnote w:id="3">
    <w:p w14:paraId="0AFA833E"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7898830" w14:textId="77777777" w:rsidR="005510BC" w:rsidRPr="00206556" w:rsidRDefault="005510BC" w:rsidP="005510BC">
      <w:pPr>
        <w:spacing w:after="80" w:line="240" w:lineRule="auto"/>
        <w:ind w:firstLine="708"/>
        <w:jc w:val="both"/>
        <w:rPr>
          <w:rFonts w:ascii="Verdana" w:hAnsi="Verdana"/>
          <w:sz w:val="16"/>
          <w:szCs w:val="16"/>
        </w:rPr>
      </w:pPr>
    </w:p>
  </w:footnote>
  <w:footnote w:id="4">
    <w:p w14:paraId="023A68CA"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5510BC">
      <w:pPr>
        <w:pStyle w:val="Textonotapie"/>
        <w:ind w:firstLine="708"/>
        <w:jc w:val="both"/>
        <w:rPr>
          <w:rFonts w:ascii="Verdana" w:hAnsi="Verdana"/>
          <w:sz w:val="16"/>
          <w:szCs w:val="16"/>
          <w:lang w:val="es-ES"/>
        </w:rPr>
      </w:pPr>
    </w:p>
  </w:footnote>
  <w:footnote w:id="5">
    <w:p w14:paraId="534B91EE" w14:textId="77777777" w:rsidR="005510BC" w:rsidRPr="00206556" w:rsidRDefault="005510BC" w:rsidP="005510BC">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152A2E9B" w14:textId="77777777" w:rsidR="005510BC" w:rsidRPr="00206556" w:rsidRDefault="005510BC" w:rsidP="005510BC">
      <w:pPr>
        <w:pStyle w:val="Textonotapie"/>
        <w:ind w:firstLine="708"/>
        <w:jc w:val="both"/>
        <w:rPr>
          <w:rFonts w:ascii="Verdana" w:hAnsi="Verdana"/>
          <w:sz w:val="16"/>
          <w:szCs w:val="16"/>
          <w:lang w:val="es-ES"/>
        </w:rPr>
      </w:pPr>
    </w:p>
  </w:footnote>
  <w:footnote w:id="6">
    <w:p w14:paraId="0E4AAD4E"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1E73744" w14:textId="77777777" w:rsidR="005510BC" w:rsidRPr="00206556" w:rsidRDefault="005510BC" w:rsidP="005510BC">
      <w:pPr>
        <w:pStyle w:val="Textonotapie"/>
        <w:ind w:firstLine="708"/>
        <w:rPr>
          <w:rFonts w:ascii="Verdana" w:hAnsi="Verdana"/>
          <w:sz w:val="16"/>
          <w:szCs w:val="16"/>
          <w:lang w:val="es-ES"/>
        </w:rPr>
      </w:pPr>
    </w:p>
  </w:footnote>
  <w:footnote w:id="7">
    <w:p w14:paraId="7E4012CD"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B1E4046" w14:textId="77777777" w:rsidR="005510BC" w:rsidRPr="00206556" w:rsidRDefault="005510BC" w:rsidP="005510BC">
      <w:pPr>
        <w:pStyle w:val="Textonotapie"/>
        <w:ind w:firstLine="708"/>
        <w:rPr>
          <w:rFonts w:ascii="Verdana" w:hAnsi="Verdana"/>
          <w:sz w:val="16"/>
          <w:szCs w:val="16"/>
          <w:lang w:val="es-ES"/>
        </w:rPr>
      </w:pP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  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EDC0769"/>
    <w:multiLevelType w:val="multilevel"/>
    <w:tmpl w:val="05328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4"/>
  </w:num>
  <w:num w:numId="14" w16cid:durableId="895897244">
    <w:abstractNumId w:val="15"/>
  </w:num>
  <w:num w:numId="15" w16cid:durableId="390349800">
    <w:abstractNumId w:val="11"/>
  </w:num>
  <w:num w:numId="16" w16cid:durableId="153255849">
    <w:abstractNumId w:val="10"/>
  </w:num>
  <w:num w:numId="17" w16cid:durableId="1245649885">
    <w:abstractNumId w:val="1"/>
  </w:num>
  <w:num w:numId="18" w16cid:durableId="15107562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41D9"/>
    <w:rsid w:val="0006693F"/>
    <w:rsid w:val="00070BF4"/>
    <w:rsid w:val="00073658"/>
    <w:rsid w:val="00080209"/>
    <w:rsid w:val="00082362"/>
    <w:rsid w:val="000834DD"/>
    <w:rsid w:val="000916EA"/>
    <w:rsid w:val="00092965"/>
    <w:rsid w:val="00094252"/>
    <w:rsid w:val="000A38E9"/>
    <w:rsid w:val="000A5E13"/>
    <w:rsid w:val="000A683E"/>
    <w:rsid w:val="000A72A9"/>
    <w:rsid w:val="000A7D46"/>
    <w:rsid w:val="000B19B9"/>
    <w:rsid w:val="000B4D47"/>
    <w:rsid w:val="000B6F89"/>
    <w:rsid w:val="000C0C33"/>
    <w:rsid w:val="000C7411"/>
    <w:rsid w:val="000D0334"/>
    <w:rsid w:val="000D2F32"/>
    <w:rsid w:val="000D4B26"/>
    <w:rsid w:val="000D5C2D"/>
    <w:rsid w:val="000D5DA7"/>
    <w:rsid w:val="000E7C7B"/>
    <w:rsid w:val="000F1443"/>
    <w:rsid w:val="000F280A"/>
    <w:rsid w:val="000F3D1E"/>
    <w:rsid w:val="000F6486"/>
    <w:rsid w:val="00103BFE"/>
    <w:rsid w:val="001068E1"/>
    <w:rsid w:val="00112DCB"/>
    <w:rsid w:val="00115970"/>
    <w:rsid w:val="00116940"/>
    <w:rsid w:val="00117A5A"/>
    <w:rsid w:val="001228DC"/>
    <w:rsid w:val="00124C21"/>
    <w:rsid w:val="00125105"/>
    <w:rsid w:val="0012666F"/>
    <w:rsid w:val="00127233"/>
    <w:rsid w:val="00127F4E"/>
    <w:rsid w:val="00134886"/>
    <w:rsid w:val="001406B4"/>
    <w:rsid w:val="00142035"/>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B0"/>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7249"/>
    <w:rsid w:val="0035753C"/>
    <w:rsid w:val="00363F8D"/>
    <w:rsid w:val="00366AAB"/>
    <w:rsid w:val="00373B36"/>
    <w:rsid w:val="00374F5E"/>
    <w:rsid w:val="00377CDF"/>
    <w:rsid w:val="00377E3E"/>
    <w:rsid w:val="00395FD0"/>
    <w:rsid w:val="003974B1"/>
    <w:rsid w:val="003A613F"/>
    <w:rsid w:val="003A779E"/>
    <w:rsid w:val="003B1810"/>
    <w:rsid w:val="003B4D9D"/>
    <w:rsid w:val="003C3B8B"/>
    <w:rsid w:val="003C64A5"/>
    <w:rsid w:val="003D0F4D"/>
    <w:rsid w:val="003D15AD"/>
    <w:rsid w:val="003D37EE"/>
    <w:rsid w:val="003D3EB2"/>
    <w:rsid w:val="003D45B0"/>
    <w:rsid w:val="003D5B0D"/>
    <w:rsid w:val="003E0499"/>
    <w:rsid w:val="003E4F80"/>
    <w:rsid w:val="003E6439"/>
    <w:rsid w:val="003E67A6"/>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C0811"/>
    <w:rsid w:val="004D6D8D"/>
    <w:rsid w:val="004D7F56"/>
    <w:rsid w:val="004E19DC"/>
    <w:rsid w:val="004E7B1E"/>
    <w:rsid w:val="004F21C4"/>
    <w:rsid w:val="004F244F"/>
    <w:rsid w:val="004F2BF5"/>
    <w:rsid w:val="004F5ED9"/>
    <w:rsid w:val="004F685F"/>
    <w:rsid w:val="00502309"/>
    <w:rsid w:val="00516F85"/>
    <w:rsid w:val="005179DF"/>
    <w:rsid w:val="005259F2"/>
    <w:rsid w:val="0053070B"/>
    <w:rsid w:val="00534597"/>
    <w:rsid w:val="00536F7E"/>
    <w:rsid w:val="005510BC"/>
    <w:rsid w:val="005541CB"/>
    <w:rsid w:val="005562C3"/>
    <w:rsid w:val="005566E8"/>
    <w:rsid w:val="00556BFA"/>
    <w:rsid w:val="005608AE"/>
    <w:rsid w:val="005727BE"/>
    <w:rsid w:val="00574867"/>
    <w:rsid w:val="00577188"/>
    <w:rsid w:val="00580FC8"/>
    <w:rsid w:val="00591460"/>
    <w:rsid w:val="00594718"/>
    <w:rsid w:val="005A65E0"/>
    <w:rsid w:val="005A7A1B"/>
    <w:rsid w:val="005C13BA"/>
    <w:rsid w:val="005C3777"/>
    <w:rsid w:val="005C56B5"/>
    <w:rsid w:val="005C5CDC"/>
    <w:rsid w:val="005C6779"/>
    <w:rsid w:val="005D288C"/>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900D9"/>
    <w:rsid w:val="00690862"/>
    <w:rsid w:val="006A64D0"/>
    <w:rsid w:val="006A66C8"/>
    <w:rsid w:val="006A7374"/>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5772"/>
    <w:rsid w:val="00885CED"/>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0DBD"/>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63F6"/>
    <w:rsid w:val="009419F9"/>
    <w:rsid w:val="009502B2"/>
    <w:rsid w:val="0095685E"/>
    <w:rsid w:val="00960D60"/>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4CA5"/>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840"/>
    <w:rsid w:val="00A21CA3"/>
    <w:rsid w:val="00A23AF9"/>
    <w:rsid w:val="00A300AA"/>
    <w:rsid w:val="00A31841"/>
    <w:rsid w:val="00A32143"/>
    <w:rsid w:val="00A33C78"/>
    <w:rsid w:val="00A420A9"/>
    <w:rsid w:val="00A42C60"/>
    <w:rsid w:val="00A500F1"/>
    <w:rsid w:val="00A51816"/>
    <w:rsid w:val="00A52C8E"/>
    <w:rsid w:val="00A54668"/>
    <w:rsid w:val="00A57140"/>
    <w:rsid w:val="00A709D2"/>
    <w:rsid w:val="00A754B1"/>
    <w:rsid w:val="00A8025C"/>
    <w:rsid w:val="00A87C26"/>
    <w:rsid w:val="00A925AD"/>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752F"/>
    <w:rsid w:val="00B53C1C"/>
    <w:rsid w:val="00B5706D"/>
    <w:rsid w:val="00B6113F"/>
    <w:rsid w:val="00B72CD3"/>
    <w:rsid w:val="00B72FFF"/>
    <w:rsid w:val="00B75E25"/>
    <w:rsid w:val="00B902B6"/>
    <w:rsid w:val="00B9043C"/>
    <w:rsid w:val="00B94F8F"/>
    <w:rsid w:val="00BA1EA8"/>
    <w:rsid w:val="00BA3D9C"/>
    <w:rsid w:val="00BA68A7"/>
    <w:rsid w:val="00BB1DB6"/>
    <w:rsid w:val="00BC1B89"/>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27931"/>
    <w:rsid w:val="00C330EB"/>
    <w:rsid w:val="00C34A82"/>
    <w:rsid w:val="00C44188"/>
    <w:rsid w:val="00C47291"/>
    <w:rsid w:val="00C50D69"/>
    <w:rsid w:val="00C5146A"/>
    <w:rsid w:val="00C5365C"/>
    <w:rsid w:val="00C53B15"/>
    <w:rsid w:val="00C55E3E"/>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660"/>
    <w:rsid w:val="00D37910"/>
    <w:rsid w:val="00D415B4"/>
    <w:rsid w:val="00D423A2"/>
    <w:rsid w:val="00D44E26"/>
    <w:rsid w:val="00D520D8"/>
    <w:rsid w:val="00D63AC2"/>
    <w:rsid w:val="00D7383B"/>
    <w:rsid w:val="00D7788A"/>
    <w:rsid w:val="00D851ED"/>
    <w:rsid w:val="00D9033C"/>
    <w:rsid w:val="00D92301"/>
    <w:rsid w:val="00DA1940"/>
    <w:rsid w:val="00DA231B"/>
    <w:rsid w:val="00DA71B3"/>
    <w:rsid w:val="00DC051E"/>
    <w:rsid w:val="00DC39FC"/>
    <w:rsid w:val="00DC7D55"/>
    <w:rsid w:val="00DD24B2"/>
    <w:rsid w:val="00DE6C8E"/>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23FEA"/>
    <w:rsid w:val="00F31EDC"/>
    <w:rsid w:val="00F32723"/>
    <w:rsid w:val="00F33CF5"/>
    <w:rsid w:val="00F37985"/>
    <w:rsid w:val="00F41C3E"/>
    <w:rsid w:val="00F462B3"/>
    <w:rsid w:val="00F47458"/>
    <w:rsid w:val="00F5119A"/>
    <w:rsid w:val="00F51D39"/>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10183662">
      <w:bodyDiv w:val="1"/>
      <w:marLeft w:val="0"/>
      <w:marRight w:val="0"/>
      <w:marTop w:val="0"/>
      <w:marBottom w:val="0"/>
      <w:divBdr>
        <w:top w:val="none" w:sz="0" w:space="0" w:color="auto"/>
        <w:left w:val="none" w:sz="0" w:space="0" w:color="auto"/>
        <w:bottom w:val="none" w:sz="0" w:space="0" w:color="auto"/>
        <w:right w:val="none" w:sz="0" w:space="0" w:color="auto"/>
      </w:divBdr>
      <w:divsChild>
        <w:div w:id="1115979248">
          <w:marLeft w:val="0"/>
          <w:marRight w:val="0"/>
          <w:marTop w:val="0"/>
          <w:marBottom w:val="0"/>
          <w:divBdr>
            <w:top w:val="none" w:sz="0" w:space="0" w:color="auto"/>
            <w:left w:val="none" w:sz="0" w:space="0" w:color="auto"/>
            <w:bottom w:val="none" w:sz="0" w:space="0" w:color="auto"/>
            <w:right w:val="none" w:sz="0" w:space="0" w:color="auto"/>
          </w:divBdr>
          <w:divsChild>
            <w:div w:id="534586462">
              <w:marLeft w:val="0"/>
              <w:marRight w:val="0"/>
              <w:marTop w:val="0"/>
              <w:marBottom w:val="0"/>
              <w:divBdr>
                <w:top w:val="none" w:sz="0" w:space="0" w:color="auto"/>
                <w:left w:val="none" w:sz="0" w:space="0" w:color="auto"/>
                <w:bottom w:val="none" w:sz="0" w:space="0" w:color="auto"/>
                <w:right w:val="none" w:sz="0" w:space="0" w:color="auto"/>
              </w:divBdr>
              <w:divsChild>
                <w:div w:id="1972711121">
                  <w:marLeft w:val="0"/>
                  <w:marRight w:val="0"/>
                  <w:marTop w:val="0"/>
                  <w:marBottom w:val="0"/>
                  <w:divBdr>
                    <w:top w:val="none" w:sz="0" w:space="0" w:color="auto"/>
                    <w:left w:val="none" w:sz="0" w:space="0" w:color="auto"/>
                    <w:bottom w:val="none" w:sz="0" w:space="0" w:color="auto"/>
                    <w:right w:val="none" w:sz="0" w:space="0" w:color="auto"/>
                  </w:divBdr>
                  <w:divsChild>
                    <w:div w:id="783618552">
                      <w:marLeft w:val="0"/>
                      <w:marRight w:val="0"/>
                      <w:marTop w:val="0"/>
                      <w:marBottom w:val="0"/>
                      <w:divBdr>
                        <w:top w:val="none" w:sz="0" w:space="0" w:color="auto"/>
                        <w:left w:val="none" w:sz="0" w:space="0" w:color="auto"/>
                        <w:bottom w:val="none" w:sz="0" w:space="0" w:color="auto"/>
                        <w:right w:val="none" w:sz="0" w:space="0" w:color="auto"/>
                      </w:divBdr>
                      <w:divsChild>
                        <w:div w:id="1644503414">
                          <w:marLeft w:val="0"/>
                          <w:marRight w:val="0"/>
                          <w:marTop w:val="0"/>
                          <w:marBottom w:val="0"/>
                          <w:divBdr>
                            <w:top w:val="none" w:sz="0" w:space="0" w:color="auto"/>
                            <w:left w:val="none" w:sz="0" w:space="0" w:color="auto"/>
                            <w:bottom w:val="none" w:sz="0" w:space="0" w:color="auto"/>
                            <w:right w:val="none" w:sz="0" w:space="0" w:color="auto"/>
                          </w:divBdr>
                          <w:divsChild>
                            <w:div w:id="1623419293">
                              <w:marLeft w:val="0"/>
                              <w:marRight w:val="0"/>
                              <w:marTop w:val="0"/>
                              <w:marBottom w:val="0"/>
                              <w:divBdr>
                                <w:top w:val="none" w:sz="0" w:space="0" w:color="auto"/>
                                <w:left w:val="none" w:sz="0" w:space="0" w:color="auto"/>
                                <w:bottom w:val="none" w:sz="0" w:space="0" w:color="auto"/>
                                <w:right w:val="none" w:sz="0" w:space="0" w:color="auto"/>
                              </w:divBdr>
                              <w:divsChild>
                                <w:div w:id="7976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94692339">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0974869">
      <w:bodyDiv w:val="1"/>
      <w:marLeft w:val="0"/>
      <w:marRight w:val="0"/>
      <w:marTop w:val="0"/>
      <w:marBottom w:val="0"/>
      <w:divBdr>
        <w:top w:val="none" w:sz="0" w:space="0" w:color="auto"/>
        <w:left w:val="none" w:sz="0" w:space="0" w:color="auto"/>
        <w:bottom w:val="none" w:sz="0" w:space="0" w:color="auto"/>
        <w:right w:val="none" w:sz="0" w:space="0" w:color="auto"/>
      </w:divBdr>
      <w:divsChild>
        <w:div w:id="1404647611">
          <w:marLeft w:val="0"/>
          <w:marRight w:val="0"/>
          <w:marTop w:val="240"/>
          <w:marBottom w:val="0"/>
          <w:divBdr>
            <w:top w:val="none" w:sz="0" w:space="0" w:color="auto"/>
            <w:left w:val="none" w:sz="0" w:space="0" w:color="auto"/>
            <w:bottom w:val="none" w:sz="0" w:space="0" w:color="auto"/>
            <w:right w:val="none" w:sz="0" w:space="0" w:color="auto"/>
          </w:divBdr>
        </w:div>
        <w:div w:id="70470492">
          <w:marLeft w:val="0"/>
          <w:marRight w:val="0"/>
          <w:marTop w:val="240"/>
          <w:marBottom w:val="0"/>
          <w:divBdr>
            <w:top w:val="none" w:sz="0" w:space="0" w:color="auto"/>
            <w:left w:val="none" w:sz="0" w:space="0" w:color="auto"/>
            <w:bottom w:val="none" w:sz="0" w:space="0" w:color="auto"/>
            <w:right w:val="none" w:sz="0" w:space="0" w:color="auto"/>
          </w:divBdr>
        </w:div>
      </w:divsChild>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08221846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7331548">
      <w:bodyDiv w:val="1"/>
      <w:marLeft w:val="0"/>
      <w:marRight w:val="0"/>
      <w:marTop w:val="0"/>
      <w:marBottom w:val="0"/>
      <w:divBdr>
        <w:top w:val="none" w:sz="0" w:space="0" w:color="auto"/>
        <w:left w:val="none" w:sz="0" w:space="0" w:color="auto"/>
        <w:bottom w:val="none" w:sz="0" w:space="0" w:color="auto"/>
        <w:right w:val="none" w:sz="0" w:space="0" w:color="auto"/>
      </w:divBdr>
      <w:divsChild>
        <w:div w:id="37899448">
          <w:marLeft w:val="0"/>
          <w:marRight w:val="0"/>
          <w:marTop w:val="240"/>
          <w:marBottom w:val="0"/>
          <w:divBdr>
            <w:top w:val="none" w:sz="0" w:space="0" w:color="auto"/>
            <w:left w:val="none" w:sz="0" w:space="0" w:color="auto"/>
            <w:bottom w:val="none" w:sz="0" w:space="0" w:color="auto"/>
            <w:right w:val="none" w:sz="0" w:space="0" w:color="auto"/>
          </w:divBdr>
        </w:div>
        <w:div w:id="1618021105">
          <w:marLeft w:val="0"/>
          <w:marRight w:val="0"/>
          <w:marTop w:val="240"/>
          <w:marBottom w:val="0"/>
          <w:divBdr>
            <w:top w:val="none" w:sz="0" w:space="0" w:color="auto"/>
            <w:left w:val="none" w:sz="0" w:space="0" w:color="auto"/>
            <w:bottom w:val="none" w:sz="0" w:space="0" w:color="auto"/>
            <w:right w:val="none" w:sz="0" w:space="0" w:color="auto"/>
          </w:divBdr>
        </w:div>
      </w:divsChild>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1876044635">
      <w:bodyDiv w:val="1"/>
      <w:marLeft w:val="0"/>
      <w:marRight w:val="0"/>
      <w:marTop w:val="0"/>
      <w:marBottom w:val="0"/>
      <w:divBdr>
        <w:top w:val="none" w:sz="0" w:space="0" w:color="auto"/>
        <w:left w:val="none" w:sz="0" w:space="0" w:color="auto"/>
        <w:bottom w:val="none" w:sz="0" w:space="0" w:color="auto"/>
        <w:right w:val="none" w:sz="0" w:space="0" w:color="auto"/>
      </w:divBdr>
      <w:divsChild>
        <w:div w:id="1581402430">
          <w:marLeft w:val="0"/>
          <w:marRight w:val="0"/>
          <w:marTop w:val="0"/>
          <w:marBottom w:val="0"/>
          <w:divBdr>
            <w:top w:val="none" w:sz="0" w:space="0" w:color="auto"/>
            <w:left w:val="none" w:sz="0" w:space="0" w:color="auto"/>
            <w:bottom w:val="none" w:sz="0" w:space="0" w:color="auto"/>
            <w:right w:val="none" w:sz="0" w:space="0" w:color="auto"/>
          </w:divBdr>
          <w:divsChild>
            <w:div w:id="1221668342">
              <w:marLeft w:val="0"/>
              <w:marRight w:val="0"/>
              <w:marTop w:val="0"/>
              <w:marBottom w:val="0"/>
              <w:divBdr>
                <w:top w:val="none" w:sz="0" w:space="0" w:color="auto"/>
                <w:left w:val="none" w:sz="0" w:space="0" w:color="auto"/>
                <w:bottom w:val="none" w:sz="0" w:space="0" w:color="auto"/>
                <w:right w:val="none" w:sz="0" w:space="0" w:color="auto"/>
              </w:divBdr>
              <w:divsChild>
                <w:div w:id="1930846667">
                  <w:marLeft w:val="0"/>
                  <w:marRight w:val="0"/>
                  <w:marTop w:val="0"/>
                  <w:marBottom w:val="0"/>
                  <w:divBdr>
                    <w:top w:val="none" w:sz="0" w:space="0" w:color="auto"/>
                    <w:left w:val="none" w:sz="0" w:space="0" w:color="auto"/>
                    <w:bottom w:val="none" w:sz="0" w:space="0" w:color="auto"/>
                    <w:right w:val="none" w:sz="0" w:space="0" w:color="auto"/>
                  </w:divBdr>
                  <w:divsChild>
                    <w:div w:id="1265455703">
                      <w:marLeft w:val="0"/>
                      <w:marRight w:val="0"/>
                      <w:marTop w:val="0"/>
                      <w:marBottom w:val="0"/>
                      <w:divBdr>
                        <w:top w:val="none" w:sz="0" w:space="0" w:color="auto"/>
                        <w:left w:val="none" w:sz="0" w:space="0" w:color="auto"/>
                        <w:bottom w:val="none" w:sz="0" w:space="0" w:color="auto"/>
                        <w:right w:val="none" w:sz="0" w:space="0" w:color="auto"/>
                      </w:divBdr>
                      <w:divsChild>
                        <w:div w:id="148984696">
                          <w:marLeft w:val="0"/>
                          <w:marRight w:val="0"/>
                          <w:marTop w:val="0"/>
                          <w:marBottom w:val="0"/>
                          <w:divBdr>
                            <w:top w:val="none" w:sz="0" w:space="0" w:color="auto"/>
                            <w:left w:val="none" w:sz="0" w:space="0" w:color="auto"/>
                            <w:bottom w:val="none" w:sz="0" w:space="0" w:color="auto"/>
                            <w:right w:val="none" w:sz="0" w:space="0" w:color="auto"/>
                          </w:divBdr>
                          <w:divsChild>
                            <w:div w:id="1688215885">
                              <w:marLeft w:val="0"/>
                              <w:marRight w:val="0"/>
                              <w:marTop w:val="0"/>
                              <w:marBottom w:val="0"/>
                              <w:divBdr>
                                <w:top w:val="none" w:sz="0" w:space="0" w:color="auto"/>
                                <w:left w:val="none" w:sz="0" w:space="0" w:color="auto"/>
                                <w:bottom w:val="none" w:sz="0" w:space="0" w:color="auto"/>
                                <w:right w:val="none" w:sz="0" w:space="0" w:color="auto"/>
                              </w:divBdr>
                              <w:divsChild>
                                <w:div w:id="33295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E827F10-0E86-4D79-9102-378E0480E9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18</Pages>
  <Words>6030</Words>
  <Characters>33165</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2026-06-17T13:37:00Z</dcterms:created>
  <dcterms:modified xsi:type="dcterms:W3CDTF">2026-06-17T17:08:00Z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