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E9FD5" w14:textId="77777777" w:rsidR="00277DDE" w:rsidRPr="00366F89" w:rsidRDefault="00277DDE" w:rsidP="00277DDE">
      <w:pPr>
        <w:spacing w:after="0" w:line="240" w:lineRule="auto"/>
        <w:contextualSpacing/>
        <w:jc w:val="both"/>
        <w:rPr>
          <w:rFonts w:ascii="Verdana" w:eastAsia="Calibri" w:hAnsi="Verdana" w:cs="Arial"/>
          <w:b/>
          <w:bCs/>
          <w:lang w:val="es-MX" w:eastAsia="es-ES_tradnl"/>
          <w14:ligatures w14:val="standardContextual"/>
        </w:rPr>
      </w:pPr>
      <w:bookmarkStart w:id="0" w:name="_Hlk143780582"/>
      <w:r w:rsidRPr="00366F89">
        <w:rPr>
          <w:rFonts w:ascii="Verdana" w:eastAsia="Calibri" w:hAnsi="Verdana" w:cs="Arial"/>
          <w:b/>
          <w:bCs/>
          <w:lang w:val="es-MX" w:eastAsia="es-ES_tradnl"/>
          <w14:ligatures w14:val="standardContextual"/>
        </w:rPr>
        <w:t>DETERMINACIÓN DEL VALOR DEL CONTRATO – Etapa de planeación – Metodologías – Factores que inciden</w:t>
      </w:r>
    </w:p>
    <w:p w14:paraId="7D466EBD" w14:textId="77777777" w:rsidR="00277DDE" w:rsidRPr="00366F89" w:rsidRDefault="00277DDE" w:rsidP="00277DDE">
      <w:pPr>
        <w:spacing w:after="0" w:line="240" w:lineRule="auto"/>
        <w:contextualSpacing/>
        <w:jc w:val="both"/>
        <w:rPr>
          <w:rFonts w:ascii="Verdana" w:eastAsia="Calibri" w:hAnsi="Verdana" w:cs="Arial"/>
          <w:b/>
          <w:bCs/>
          <w:lang w:val="es-MX" w:eastAsia="es-ES_tradnl"/>
          <w14:ligatures w14:val="standardContextual"/>
        </w:rPr>
      </w:pPr>
    </w:p>
    <w:p w14:paraId="121349FE" w14:textId="77777777" w:rsidR="00277DDE" w:rsidRPr="00366F89" w:rsidRDefault="00277DDE" w:rsidP="00277DDE">
      <w:pPr>
        <w:spacing w:after="0" w:line="240" w:lineRule="auto"/>
        <w:jc w:val="both"/>
        <w:rPr>
          <w:rFonts w:ascii="Verdana" w:eastAsia="Times New Roman" w:hAnsi="Verdana" w:cs="Arial"/>
          <w:noProof/>
          <w:sz w:val="20"/>
          <w:szCs w:val="20"/>
          <w:lang w:val="es-ES_tradnl" w:eastAsia="es-ES_tradnl"/>
          <w14:ligatures w14:val="standardContextual"/>
        </w:rPr>
      </w:pPr>
      <w:r w:rsidRPr="00366F89">
        <w:rPr>
          <w:rFonts w:ascii="Verdana" w:eastAsia="Times New Roman" w:hAnsi="Verdana" w:cs="Arial"/>
          <w:noProof/>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090A4D19" w14:textId="77777777" w:rsidR="00277DDE" w:rsidRPr="00366F89" w:rsidRDefault="00277DDE" w:rsidP="00277DDE">
      <w:pPr>
        <w:spacing w:after="0" w:line="240" w:lineRule="auto"/>
        <w:jc w:val="both"/>
        <w:rPr>
          <w:rFonts w:ascii="Verdana" w:eastAsia="Geomanist Light" w:hAnsi="Verdana" w:cs="Arial"/>
          <w:b/>
          <w:bCs/>
          <w:color w:val="000000" w:themeColor="text1"/>
          <w:sz w:val="20"/>
          <w:szCs w:val="20"/>
          <w:lang w:val="es-MX"/>
        </w:rPr>
      </w:pPr>
    </w:p>
    <w:p w14:paraId="6B3C77EB" w14:textId="77777777" w:rsidR="00277DDE" w:rsidRPr="00366F89" w:rsidRDefault="00277DDE" w:rsidP="00277DDE">
      <w:pPr>
        <w:spacing w:after="0" w:line="240" w:lineRule="auto"/>
        <w:contextualSpacing/>
        <w:jc w:val="both"/>
        <w:rPr>
          <w:rFonts w:ascii="Verdana" w:eastAsia="Calibri" w:hAnsi="Verdana" w:cs="Arial"/>
          <w:b/>
          <w:bCs/>
          <w:lang w:val="es-MX" w:eastAsia="es-ES_tradnl"/>
          <w14:ligatures w14:val="standardContextual"/>
        </w:rPr>
      </w:pPr>
      <w:r w:rsidRPr="00366F89">
        <w:rPr>
          <w:rFonts w:ascii="Verdana" w:eastAsia="Calibri" w:hAnsi="Verdana" w:cs="Arial"/>
          <w:b/>
          <w:bCs/>
          <w:lang w:val="es-MX" w:eastAsia="es-ES_tradnl"/>
          <w14:ligatures w14:val="standardContextual"/>
        </w:rPr>
        <w:t>SISTEMA DE FACTOR MULTIPLICADOR – Noción – Costos directos –Imputables al contrato</w:t>
      </w:r>
    </w:p>
    <w:p w14:paraId="09D16949" w14:textId="77777777" w:rsidR="00277DDE" w:rsidRPr="00366F89" w:rsidRDefault="00277DDE" w:rsidP="00277DDE">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41C0D330" w14:textId="77777777" w:rsidR="00277DDE" w:rsidRPr="00366F89" w:rsidRDefault="00277DDE" w:rsidP="00277DDE">
      <w:pPr>
        <w:spacing w:after="0" w:line="240" w:lineRule="auto"/>
        <w:jc w:val="both"/>
        <w:rPr>
          <w:rFonts w:ascii="Verdana" w:eastAsia="Geomanist Light" w:hAnsi="Verdana" w:cs="Arial"/>
          <w:lang w:val="es-MX"/>
        </w:rPr>
      </w:pPr>
      <w:r w:rsidRPr="00366F89">
        <w:rPr>
          <w:rFonts w:ascii="Verdana" w:eastAsia="Times New Roman" w:hAnsi="Verdana" w:cs="Arial"/>
          <w:noProof/>
          <w:sz w:val="20"/>
          <w:szCs w:val="20"/>
          <w:lang w:val="es-ES_tradnl" w:eastAsia="es-ES_tradnl"/>
          <w14:ligatures w14:val="standardContextual"/>
        </w:rPr>
        <w:t>[…]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1D729EB9" w14:textId="77777777" w:rsidR="00277DDE" w:rsidRPr="00366F89" w:rsidRDefault="00277DDE" w:rsidP="00277DDE">
      <w:pPr>
        <w:spacing w:after="0" w:line="240" w:lineRule="auto"/>
        <w:rPr>
          <w:rFonts w:ascii="Verdana" w:eastAsia="Aptos" w:hAnsi="Verdana" w:cs="Times New Roman"/>
          <w:sz w:val="20"/>
          <w:szCs w:val="20"/>
        </w:rPr>
      </w:pPr>
    </w:p>
    <w:p w14:paraId="513FE138" w14:textId="77777777" w:rsidR="00277DDE" w:rsidRPr="00366F89" w:rsidRDefault="00277DDE" w:rsidP="00277DDE">
      <w:pPr>
        <w:spacing w:after="0" w:line="240" w:lineRule="auto"/>
        <w:rPr>
          <w:rFonts w:ascii="Verdana" w:eastAsia="Aptos" w:hAnsi="Verdana" w:cs="Times New Roman"/>
          <w:sz w:val="20"/>
          <w:szCs w:val="20"/>
        </w:rPr>
      </w:pPr>
    </w:p>
    <w:p w14:paraId="1AAFFC29" w14:textId="77777777" w:rsidR="00277DDE" w:rsidRPr="00366F89" w:rsidRDefault="00277DDE" w:rsidP="00277DDE">
      <w:pPr>
        <w:spacing w:after="0" w:line="240" w:lineRule="auto"/>
        <w:rPr>
          <w:rFonts w:ascii="Verdana" w:eastAsia="Aptos" w:hAnsi="Verdana" w:cs="Times New Roman"/>
          <w:sz w:val="20"/>
          <w:szCs w:val="20"/>
        </w:rPr>
      </w:pPr>
    </w:p>
    <w:p w14:paraId="6C696A10" w14:textId="77777777" w:rsidR="00277DDE" w:rsidRPr="00366F89" w:rsidRDefault="00277DDE" w:rsidP="00277DDE">
      <w:pPr>
        <w:spacing w:after="0" w:line="240" w:lineRule="auto"/>
        <w:rPr>
          <w:rFonts w:ascii="Verdana" w:eastAsia="Aptos" w:hAnsi="Verdana" w:cs="Times New Roman"/>
          <w:sz w:val="20"/>
          <w:szCs w:val="20"/>
        </w:rPr>
      </w:pPr>
    </w:p>
    <w:p w14:paraId="2316D85B" w14:textId="77777777" w:rsidR="00277DDE" w:rsidRPr="00366F89" w:rsidRDefault="00277DDE" w:rsidP="00277DDE">
      <w:pPr>
        <w:spacing w:after="0" w:line="240" w:lineRule="auto"/>
        <w:rPr>
          <w:rFonts w:ascii="Verdana" w:eastAsia="Aptos" w:hAnsi="Verdana" w:cs="Times New Roman"/>
          <w:sz w:val="20"/>
          <w:szCs w:val="20"/>
        </w:rPr>
      </w:pPr>
    </w:p>
    <w:p w14:paraId="3E76EE4E" w14:textId="77777777" w:rsidR="00277DDE" w:rsidRPr="00366F89" w:rsidRDefault="00277DDE" w:rsidP="00277DDE">
      <w:pPr>
        <w:spacing w:after="0" w:line="240" w:lineRule="auto"/>
        <w:rPr>
          <w:rFonts w:ascii="Verdana" w:eastAsia="Aptos" w:hAnsi="Verdana" w:cs="Times New Roman"/>
          <w:sz w:val="20"/>
          <w:szCs w:val="20"/>
        </w:rPr>
      </w:pPr>
    </w:p>
    <w:p w14:paraId="73A0F89B" w14:textId="77777777" w:rsidR="00277DDE" w:rsidRPr="00366F89" w:rsidRDefault="00277DDE" w:rsidP="00277DDE">
      <w:pPr>
        <w:spacing w:after="0" w:line="240" w:lineRule="auto"/>
        <w:rPr>
          <w:rFonts w:ascii="Verdana" w:eastAsia="Aptos" w:hAnsi="Verdana" w:cs="Times New Roman"/>
          <w:sz w:val="20"/>
          <w:szCs w:val="20"/>
        </w:rPr>
      </w:pPr>
    </w:p>
    <w:p w14:paraId="016E3D16" w14:textId="77777777" w:rsidR="00277DDE" w:rsidRPr="00366F89" w:rsidRDefault="00277DDE" w:rsidP="00277DDE">
      <w:pPr>
        <w:spacing w:after="0" w:line="240" w:lineRule="auto"/>
        <w:rPr>
          <w:rFonts w:ascii="Verdana" w:eastAsia="Aptos" w:hAnsi="Verdana" w:cs="Times New Roman"/>
          <w:sz w:val="20"/>
          <w:szCs w:val="20"/>
        </w:rPr>
      </w:pPr>
    </w:p>
    <w:p w14:paraId="7D2A2252" w14:textId="77777777" w:rsidR="00277DDE" w:rsidRPr="00366F89" w:rsidRDefault="00277DDE" w:rsidP="00277DDE">
      <w:pPr>
        <w:spacing w:after="0" w:line="240" w:lineRule="auto"/>
        <w:rPr>
          <w:rFonts w:ascii="Verdana" w:eastAsia="Aptos" w:hAnsi="Verdana" w:cs="Times New Roman"/>
          <w:sz w:val="20"/>
          <w:szCs w:val="20"/>
        </w:rPr>
      </w:pPr>
    </w:p>
    <w:p w14:paraId="54739FDF" w14:textId="77777777" w:rsidR="00277DDE" w:rsidRPr="00366F89" w:rsidRDefault="00277DDE" w:rsidP="00277DDE">
      <w:pPr>
        <w:spacing w:after="0" w:line="240" w:lineRule="auto"/>
        <w:rPr>
          <w:rFonts w:ascii="Verdana" w:eastAsia="Aptos" w:hAnsi="Verdana" w:cs="Times New Roman"/>
          <w:sz w:val="20"/>
          <w:szCs w:val="20"/>
        </w:rPr>
      </w:pPr>
    </w:p>
    <w:p w14:paraId="72C90B98" w14:textId="77777777" w:rsidR="00277DDE" w:rsidRPr="00366F89" w:rsidRDefault="00277DDE" w:rsidP="00277DDE">
      <w:pPr>
        <w:spacing w:after="0" w:line="240" w:lineRule="auto"/>
        <w:rPr>
          <w:rFonts w:ascii="Verdana" w:eastAsia="Aptos" w:hAnsi="Verdana" w:cs="Times New Roman"/>
          <w:sz w:val="20"/>
          <w:szCs w:val="20"/>
        </w:rPr>
      </w:pPr>
    </w:p>
    <w:p w14:paraId="25CEC167" w14:textId="6953CFBD" w:rsidR="00277DDE" w:rsidRPr="00366F89" w:rsidRDefault="00277DDE" w:rsidP="00277DDE">
      <w:pPr>
        <w:spacing w:after="0" w:line="240" w:lineRule="auto"/>
        <w:jc w:val="both"/>
        <w:rPr>
          <w:rFonts w:ascii="Verdana" w:eastAsia="Calibri" w:hAnsi="Verdana" w:cs="Arial"/>
          <w:lang w:val="es-ES"/>
        </w:rPr>
      </w:pPr>
      <w:r w:rsidRPr="00366F89">
        <w:rPr>
          <w:rFonts w:ascii="Verdana" w:eastAsia="Geomanist Light" w:hAnsi="Verdana" w:cs="Arial"/>
          <w:lang w:val="es-MX"/>
        </w:rPr>
        <w:lastRenderedPageBreak/>
        <w:t>Bogotá D.C., </w:t>
      </w:r>
      <w:r w:rsidR="00930C78">
        <w:rPr>
          <w:rFonts w:ascii="Verdana" w:eastAsia="Geomanist Light" w:hAnsi="Verdana" w:cs="Arial"/>
          <w:lang w:val="es-MX"/>
        </w:rPr>
        <w:t>02 de junio de 2026</w:t>
      </w:r>
    </w:p>
    <w:p w14:paraId="07DE5793" w14:textId="77777777" w:rsidR="00277DDE" w:rsidRPr="00366F89" w:rsidRDefault="00277DDE" w:rsidP="00277DDE">
      <w:pPr>
        <w:spacing w:after="0" w:line="240" w:lineRule="auto"/>
        <w:jc w:val="both"/>
        <w:rPr>
          <w:rFonts w:ascii="Verdana" w:eastAsia="Calibri" w:hAnsi="Verdana" w:cs="Arial"/>
          <w:lang w:val="es-ES"/>
        </w:rPr>
      </w:pPr>
    </w:p>
    <w:p w14:paraId="77D25CFE" w14:textId="0F9CAF94" w:rsidR="00277DDE" w:rsidRPr="00366F89" w:rsidRDefault="008C2522" w:rsidP="00277DDE">
      <w:pPr>
        <w:spacing w:after="0" w:line="240" w:lineRule="auto"/>
        <w:jc w:val="right"/>
        <w:rPr>
          <w:rFonts w:ascii="Verdana" w:eastAsia="Calibri" w:hAnsi="Verdana" w:cs="Arial"/>
          <w:lang w:val="es-ES"/>
        </w:rPr>
      </w:pPr>
      <w:r w:rsidRPr="008C2522">
        <w:rPr>
          <w:rFonts w:ascii="Verdana" w:eastAsia="Calibri" w:hAnsi="Verdana" w:cs="Arial"/>
          <w:lang w:val="es-ES"/>
        </w:rPr>
        <w:drawing>
          <wp:inline distT="0" distB="0" distL="0" distR="0" wp14:anchorId="09088C4C" wp14:editId="27FAF6AF">
            <wp:extent cx="2448267" cy="676369"/>
            <wp:effectExtent l="0" t="0" r="9525" b="9525"/>
            <wp:docPr id="13821526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152687" name=""/>
                    <pic:cNvPicPr/>
                  </pic:nvPicPr>
                  <pic:blipFill>
                    <a:blip r:embed="rId10"/>
                    <a:stretch>
                      <a:fillRect/>
                    </a:stretch>
                  </pic:blipFill>
                  <pic:spPr>
                    <a:xfrm>
                      <a:off x="0" y="0"/>
                      <a:ext cx="2448267" cy="676369"/>
                    </a:xfrm>
                    <a:prstGeom prst="rect">
                      <a:avLst/>
                    </a:prstGeom>
                  </pic:spPr>
                </pic:pic>
              </a:graphicData>
            </a:graphic>
          </wp:inline>
        </w:drawing>
      </w:r>
    </w:p>
    <w:p w14:paraId="5C467E1F" w14:textId="77777777" w:rsidR="00277DDE" w:rsidRPr="00366F89" w:rsidRDefault="00277DDE" w:rsidP="00277DDE">
      <w:pPr>
        <w:spacing w:after="0" w:line="240" w:lineRule="auto"/>
        <w:jc w:val="both"/>
        <w:rPr>
          <w:rFonts w:ascii="Verdana" w:eastAsia="Calibri" w:hAnsi="Verdana" w:cs="Arial"/>
          <w:lang w:val="es-ES" w:eastAsia="es-ES"/>
        </w:rPr>
      </w:pPr>
      <w:r w:rsidRPr="00366F89">
        <w:rPr>
          <w:rFonts w:ascii="Verdana" w:eastAsia="Calibri" w:hAnsi="Verdana" w:cs="Arial"/>
          <w:lang w:val="es-ES" w:eastAsia="es-ES"/>
        </w:rPr>
        <w:t>Señor</w:t>
      </w:r>
    </w:p>
    <w:p w14:paraId="1761633A" w14:textId="77777777" w:rsidR="00277DDE" w:rsidRPr="00366F89" w:rsidRDefault="00277DDE" w:rsidP="00277DDE">
      <w:pPr>
        <w:spacing w:after="0" w:line="240" w:lineRule="auto"/>
        <w:rPr>
          <w:rFonts w:ascii="Verdana" w:eastAsia="Calibri" w:hAnsi="Verdana" w:cs="Arial"/>
          <w:b/>
          <w:lang w:val="es-ES" w:eastAsia="es-ES"/>
        </w:rPr>
      </w:pPr>
      <w:r w:rsidRPr="00366F89">
        <w:rPr>
          <w:rFonts w:ascii="Verdana" w:eastAsia="Calibri" w:hAnsi="Verdana" w:cs="Arial"/>
          <w:b/>
          <w:lang w:val="es-ES" w:eastAsia="es-ES"/>
        </w:rPr>
        <w:t>Juan Sebastián Olaya Perdomo</w:t>
      </w:r>
    </w:p>
    <w:p w14:paraId="0E285422" w14:textId="77777777" w:rsidR="00277DDE" w:rsidRPr="00366F89" w:rsidRDefault="00277DDE" w:rsidP="00277DDE">
      <w:pPr>
        <w:spacing w:after="0" w:line="240" w:lineRule="auto"/>
        <w:rPr>
          <w:rFonts w:ascii="Verdana" w:hAnsi="Verdana"/>
        </w:rPr>
      </w:pPr>
      <w:hyperlink r:id="rId11" w:history="1">
        <w:r w:rsidRPr="00366F89">
          <w:rPr>
            <w:rStyle w:val="Hipervnculo"/>
            <w:rFonts w:ascii="Verdana" w:hAnsi="Verdana"/>
          </w:rPr>
          <w:t>juanseolaya@gmail.com</w:t>
        </w:r>
      </w:hyperlink>
      <w:r w:rsidRPr="00366F89">
        <w:rPr>
          <w:rFonts w:ascii="Verdana" w:hAnsi="Verdana"/>
        </w:rPr>
        <w:t xml:space="preserve">  </w:t>
      </w:r>
    </w:p>
    <w:p w14:paraId="3C304856" w14:textId="77777777" w:rsidR="00277DDE" w:rsidRPr="00366F89" w:rsidRDefault="00277DDE" w:rsidP="00277DDE">
      <w:pPr>
        <w:spacing w:after="0" w:line="240" w:lineRule="auto"/>
        <w:rPr>
          <w:rFonts w:ascii="Verdana" w:eastAsia="Calibri" w:hAnsi="Verdana" w:cs="Arial"/>
          <w:b/>
          <w:bCs/>
          <w:lang w:val="es-ES" w:eastAsia="es-ES"/>
        </w:rPr>
      </w:pPr>
      <w:r w:rsidRPr="00366F89">
        <w:rPr>
          <w:rFonts w:ascii="Verdana" w:eastAsia="Calibri" w:hAnsi="Verdana" w:cs="Arial"/>
          <w:lang w:val="es-ES" w:eastAsia="es-ES"/>
        </w:rPr>
        <w:t>Cali, Valle del Cauca</w:t>
      </w:r>
    </w:p>
    <w:p w14:paraId="2353D69F" w14:textId="77777777" w:rsidR="00277DDE" w:rsidRPr="00366F89" w:rsidRDefault="00277DDE" w:rsidP="00277DDE">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77DDE" w:rsidRPr="00366F89" w14:paraId="5EDB69A0" w14:textId="77777777" w:rsidTr="00015DF7">
        <w:trPr>
          <w:trHeight w:val="308"/>
        </w:trPr>
        <w:tc>
          <w:tcPr>
            <w:tcW w:w="2689" w:type="dxa"/>
          </w:tcPr>
          <w:p w14:paraId="625D6142" w14:textId="77777777" w:rsidR="00277DDE" w:rsidRPr="00366F89" w:rsidRDefault="00277DDE" w:rsidP="00015DF7">
            <w:pPr>
              <w:jc w:val="both"/>
              <w:rPr>
                <w:rFonts w:ascii="Verdana" w:eastAsia="Calibri" w:hAnsi="Verdana" w:cs="Arial"/>
                <w:b/>
                <w:bCs/>
                <w:lang w:val="es-ES_tradnl" w:eastAsia="es-ES_tradnl"/>
              </w:rPr>
            </w:pPr>
          </w:p>
        </w:tc>
        <w:tc>
          <w:tcPr>
            <w:tcW w:w="6100" w:type="dxa"/>
          </w:tcPr>
          <w:p w14:paraId="33691677" w14:textId="77777777" w:rsidR="00277DDE" w:rsidRPr="00366F89" w:rsidRDefault="00277DDE" w:rsidP="00015DF7">
            <w:pPr>
              <w:jc w:val="both"/>
              <w:rPr>
                <w:rFonts w:ascii="Verdana" w:eastAsia="Calibri" w:hAnsi="Verdana" w:cs="Arial"/>
                <w:b/>
                <w:bCs/>
                <w:lang w:val="es-ES" w:eastAsia="es-ES"/>
              </w:rPr>
            </w:pPr>
            <w:r w:rsidRPr="00366F89">
              <w:rPr>
                <w:rFonts w:ascii="Verdana" w:eastAsia="Calibri" w:hAnsi="Verdana" w:cs="Arial"/>
                <w:b/>
                <w:bCs/>
                <w:lang w:val="es-ES" w:eastAsia="es-ES"/>
              </w:rPr>
              <w:t>Concepto C-699 de 2026</w:t>
            </w:r>
          </w:p>
          <w:p w14:paraId="618FA5E0" w14:textId="77777777" w:rsidR="00277DDE" w:rsidRPr="00366F89" w:rsidRDefault="00277DDE" w:rsidP="00015DF7">
            <w:pPr>
              <w:jc w:val="both"/>
              <w:rPr>
                <w:rFonts w:ascii="Verdana" w:eastAsia="Calibri" w:hAnsi="Verdana" w:cs="Arial"/>
                <w:b/>
                <w:bCs/>
                <w:lang w:val="es-ES" w:eastAsia="es-ES"/>
              </w:rPr>
            </w:pPr>
          </w:p>
        </w:tc>
      </w:tr>
      <w:tr w:rsidR="00277DDE" w:rsidRPr="00366F89" w14:paraId="743214F7" w14:textId="77777777" w:rsidTr="00015DF7">
        <w:trPr>
          <w:trHeight w:val="884"/>
        </w:trPr>
        <w:tc>
          <w:tcPr>
            <w:tcW w:w="2689" w:type="dxa"/>
          </w:tcPr>
          <w:p w14:paraId="22700481" w14:textId="77777777" w:rsidR="00277DDE" w:rsidRPr="00366F89" w:rsidRDefault="00277DDE" w:rsidP="00015DF7">
            <w:pPr>
              <w:jc w:val="both"/>
              <w:rPr>
                <w:rFonts w:ascii="Verdana" w:eastAsia="Calibri" w:hAnsi="Verdana" w:cs="Arial"/>
                <w:lang w:val="es-ES_tradnl" w:eastAsia="es-ES_tradnl"/>
              </w:rPr>
            </w:pPr>
            <w:r w:rsidRPr="00366F89">
              <w:rPr>
                <w:rFonts w:ascii="Verdana" w:eastAsia="Calibri" w:hAnsi="Verdana" w:cs="Arial"/>
                <w:b/>
                <w:lang w:val="es-ES_tradnl" w:eastAsia="es-ES_tradnl"/>
              </w:rPr>
              <w:t>Temas:</w:t>
            </w:r>
            <w:r w:rsidRPr="00366F89">
              <w:rPr>
                <w:rFonts w:ascii="Verdana" w:eastAsia="Calibri" w:hAnsi="Verdana" w:cs="Arial"/>
                <w:lang w:val="es-ES_tradnl" w:eastAsia="es-ES_tradnl"/>
              </w:rPr>
              <w:t xml:space="preserve">                   </w:t>
            </w:r>
          </w:p>
        </w:tc>
        <w:tc>
          <w:tcPr>
            <w:tcW w:w="6100" w:type="dxa"/>
          </w:tcPr>
          <w:p w14:paraId="3E69997D" w14:textId="77777777" w:rsidR="00277DDE" w:rsidRPr="00366F89" w:rsidRDefault="00277DDE" w:rsidP="00015DF7">
            <w:pPr>
              <w:spacing w:line="276" w:lineRule="auto"/>
              <w:jc w:val="both"/>
              <w:rPr>
                <w:rFonts w:ascii="Verdana" w:eastAsia="Calibri" w:hAnsi="Verdana" w:cs="Arial"/>
                <w:lang w:val="es-ES" w:eastAsia="es-ES"/>
              </w:rPr>
            </w:pPr>
            <w:r w:rsidRPr="00366F89">
              <w:rPr>
                <w:rFonts w:ascii="Verdana" w:eastAsia="Calibri" w:hAnsi="Verdana" w:cs="Arial"/>
                <w:lang w:val="es-ES" w:eastAsia="es-ES"/>
              </w:rPr>
              <w:t>DETERMINACIÓN DEL VALOR DEL CONTRATO – Etapa de planeación – Metodologías – Factores que inciden /</w:t>
            </w:r>
            <w:r w:rsidRPr="00366F89">
              <w:rPr>
                <w:rFonts w:ascii="Verdana" w:hAnsi="Verdana"/>
              </w:rPr>
              <w:t xml:space="preserve"> </w:t>
            </w:r>
            <w:r w:rsidRPr="00366F89">
              <w:rPr>
                <w:rFonts w:ascii="Verdana" w:eastAsia="Calibri" w:hAnsi="Verdana" w:cs="Arial"/>
                <w:lang w:val="es-ES" w:eastAsia="es-ES"/>
              </w:rPr>
              <w:t>SISTEMA DE FACTOR MULTIPLICADOR – Noción – Costos directos –Imputables al contrato</w:t>
            </w:r>
          </w:p>
        </w:tc>
      </w:tr>
    </w:tbl>
    <w:p w14:paraId="405B4FA7" w14:textId="77777777" w:rsidR="00277DDE" w:rsidRPr="00366F89" w:rsidRDefault="00277DDE" w:rsidP="00277DDE">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77DDE" w:rsidRPr="00366F89" w14:paraId="166673F0" w14:textId="77777777" w:rsidTr="00015DF7">
        <w:tc>
          <w:tcPr>
            <w:tcW w:w="2689" w:type="dxa"/>
          </w:tcPr>
          <w:p w14:paraId="0A0B8054" w14:textId="77777777" w:rsidR="00277DDE" w:rsidRPr="00366F89" w:rsidRDefault="00277DDE" w:rsidP="00015DF7">
            <w:pPr>
              <w:jc w:val="both"/>
              <w:rPr>
                <w:rFonts w:ascii="Verdana" w:eastAsia="Calibri" w:hAnsi="Verdana" w:cs="Arial"/>
                <w:b/>
                <w:lang w:val="es-ES_tradnl" w:eastAsia="es-ES_tradnl"/>
              </w:rPr>
            </w:pPr>
            <w:r w:rsidRPr="00366F89">
              <w:rPr>
                <w:rFonts w:ascii="Verdana" w:eastAsia="Calibri" w:hAnsi="Verdana" w:cs="Arial"/>
                <w:b/>
                <w:lang w:val="es-ES_tradnl" w:eastAsia="es-ES_tradnl"/>
              </w:rPr>
              <w:t>Radicación:</w:t>
            </w:r>
            <w:r w:rsidRPr="00366F89">
              <w:rPr>
                <w:rFonts w:ascii="Verdana" w:eastAsia="Calibri" w:hAnsi="Verdana" w:cs="Arial"/>
                <w:lang w:val="es-ES_tradnl" w:eastAsia="es-ES_tradnl"/>
              </w:rPr>
              <w:t xml:space="preserve">               </w:t>
            </w:r>
          </w:p>
        </w:tc>
        <w:tc>
          <w:tcPr>
            <w:tcW w:w="6100" w:type="dxa"/>
          </w:tcPr>
          <w:p w14:paraId="7646D501" w14:textId="77777777" w:rsidR="00277DDE" w:rsidRPr="00366F89" w:rsidRDefault="00277DDE" w:rsidP="00015DF7">
            <w:pPr>
              <w:jc w:val="both"/>
              <w:rPr>
                <w:rFonts w:ascii="Verdana" w:eastAsia="Calibri" w:hAnsi="Verdana" w:cs="Arial"/>
                <w:lang w:val="es-ES_tradnl" w:eastAsia="es-ES_tradnl"/>
              </w:rPr>
            </w:pPr>
            <w:r w:rsidRPr="00366F89">
              <w:rPr>
                <w:rFonts w:ascii="Verdana" w:eastAsia="Calibri" w:hAnsi="Verdana" w:cs="Arial"/>
                <w:lang w:val="es-ES_tradnl" w:eastAsia="es-ES_tradnl"/>
              </w:rPr>
              <w:t>Respuesta a consulta con radicado No. 1_2026_04_28_005735</w:t>
            </w:r>
          </w:p>
        </w:tc>
      </w:tr>
    </w:tbl>
    <w:p w14:paraId="737A794E" w14:textId="77777777" w:rsidR="00277DDE" w:rsidRPr="00366F89" w:rsidRDefault="00277DDE" w:rsidP="00277DDE">
      <w:pPr>
        <w:spacing w:after="0" w:line="240" w:lineRule="auto"/>
        <w:jc w:val="both"/>
        <w:rPr>
          <w:rFonts w:ascii="Verdana" w:eastAsia="Calibri" w:hAnsi="Verdana" w:cs="Arial"/>
          <w:lang w:val="es-ES_tradnl" w:eastAsia="es-ES_tradnl"/>
        </w:rPr>
      </w:pPr>
    </w:p>
    <w:p w14:paraId="3C8C8B3D" w14:textId="77777777" w:rsidR="00277DDE" w:rsidRPr="00366F89" w:rsidRDefault="00277DDE" w:rsidP="00277DDE">
      <w:pPr>
        <w:spacing w:after="0" w:line="240" w:lineRule="auto"/>
        <w:jc w:val="both"/>
        <w:rPr>
          <w:rFonts w:ascii="Verdana" w:eastAsia="Calibri" w:hAnsi="Verdana" w:cs="Arial"/>
          <w:lang w:val="es-ES_tradnl" w:eastAsia="es-ES_tradnl"/>
        </w:rPr>
      </w:pPr>
    </w:p>
    <w:p w14:paraId="76C67E32" w14:textId="77777777" w:rsidR="00277DDE" w:rsidRPr="00366F89" w:rsidRDefault="00277DDE" w:rsidP="00277DDE">
      <w:pPr>
        <w:spacing w:after="0" w:line="276" w:lineRule="auto"/>
        <w:jc w:val="both"/>
        <w:rPr>
          <w:rFonts w:ascii="Verdana" w:eastAsia="Calibri" w:hAnsi="Verdana" w:cs="Arial"/>
          <w:lang w:val="es-ES" w:eastAsia="es-ES"/>
        </w:rPr>
      </w:pPr>
      <w:r w:rsidRPr="00366F89">
        <w:rPr>
          <w:rFonts w:ascii="Verdana" w:eastAsia="Calibri" w:hAnsi="Verdana" w:cs="Arial"/>
          <w:lang w:val="es-ES" w:eastAsia="es-ES"/>
        </w:rPr>
        <w:t xml:space="preserve">Estimado Señor Olaya: </w:t>
      </w:r>
    </w:p>
    <w:p w14:paraId="37E4389A" w14:textId="77777777" w:rsidR="00277DDE" w:rsidRPr="00366F89" w:rsidRDefault="00277DDE" w:rsidP="00277DDE">
      <w:pPr>
        <w:tabs>
          <w:tab w:val="left" w:pos="3768"/>
        </w:tabs>
        <w:spacing w:after="0" w:line="276" w:lineRule="auto"/>
        <w:jc w:val="both"/>
        <w:rPr>
          <w:rFonts w:ascii="Verdana" w:eastAsia="Calibri" w:hAnsi="Verdana" w:cs="Arial"/>
          <w:lang w:val="es-ES" w:eastAsia="es-ES"/>
        </w:rPr>
      </w:pPr>
    </w:p>
    <w:p w14:paraId="495C5046" w14:textId="77777777" w:rsidR="00277DDE" w:rsidRPr="00366F89" w:rsidRDefault="00277DDE" w:rsidP="00277DDE">
      <w:pPr>
        <w:spacing w:after="0" w:line="276" w:lineRule="auto"/>
        <w:jc w:val="both"/>
        <w:rPr>
          <w:rFonts w:ascii="Verdana" w:eastAsia="Calibri" w:hAnsi="Verdana" w:cs="Arial"/>
          <w:lang w:val="es-ES" w:eastAsia="es-ES"/>
        </w:rPr>
      </w:pPr>
      <w:r w:rsidRPr="00366F89">
        <w:rPr>
          <w:rFonts w:ascii="Verdana" w:eastAsia="Calibri" w:hAnsi="Verdana" w:cs="Arial"/>
          <w:lang w:val="es-ES" w:eastAsia="es-ES"/>
        </w:rPr>
        <w:t>En ejercicio de la competencia otorgada por los artículos 3, numeral 5º, y 11, numeral 8º, del Decreto Ley 4170 de 2011,</w:t>
      </w:r>
      <w:r w:rsidRPr="00366F89">
        <w:rPr>
          <w:rFonts w:ascii="Verdana" w:eastAsia="Arial MT" w:hAnsi="Verdana" w:cs="Arial MT"/>
          <w:lang w:val="es-ES" w:eastAsia="es-ES"/>
        </w:rPr>
        <w:t xml:space="preserve"> </w:t>
      </w:r>
      <w:r w:rsidRPr="00366F89">
        <w:rPr>
          <w:rFonts w:ascii="Verdana" w:eastAsia="Aptos" w:hAnsi="Verdana" w:cs="Arial"/>
        </w:rPr>
        <w:t xml:space="preserve">así como lo establecido en el artículo 4 de la Resolución 1707 de 2018 expedida por esta Entidad, </w:t>
      </w:r>
      <w:r w:rsidRPr="00366F89">
        <w:rPr>
          <w:rFonts w:ascii="Verdana" w:eastAsia="Calibri" w:hAnsi="Verdana" w:cs="Arial"/>
          <w:lang w:val="es-ES" w:eastAsia="es-ES"/>
        </w:rPr>
        <w:t xml:space="preserve">la Agencia Nacional de Contratación Pública – Colombia Compra Eficiente– responde su petición del 28 de abril de 2026, en la que realiza la siguiente consulta: </w:t>
      </w:r>
    </w:p>
    <w:p w14:paraId="75806F95" w14:textId="77777777" w:rsidR="00277DDE" w:rsidRPr="00366F89" w:rsidRDefault="00277DDE" w:rsidP="00277DDE">
      <w:pPr>
        <w:spacing w:after="0" w:line="276" w:lineRule="auto"/>
        <w:jc w:val="both"/>
        <w:rPr>
          <w:rFonts w:ascii="Verdana" w:eastAsia="Calibri" w:hAnsi="Verdana" w:cs="Arial"/>
          <w:lang w:val="es-ES" w:eastAsia="es-ES"/>
        </w:rPr>
      </w:pPr>
    </w:p>
    <w:p w14:paraId="5B45A562" w14:textId="77777777" w:rsidR="00277DDE" w:rsidRPr="00366F89" w:rsidRDefault="00277DDE" w:rsidP="00277DDE">
      <w:pPr>
        <w:spacing w:after="0" w:line="240" w:lineRule="auto"/>
        <w:ind w:left="709" w:right="709"/>
        <w:jc w:val="both"/>
        <w:rPr>
          <w:rFonts w:ascii="Verdana" w:eastAsia="Calibri" w:hAnsi="Verdana" w:cs="Arial"/>
          <w:sz w:val="20"/>
          <w:szCs w:val="20"/>
          <w:lang w:val="es-MX"/>
        </w:rPr>
      </w:pPr>
      <w:r w:rsidRPr="00366F89">
        <w:rPr>
          <w:rFonts w:ascii="Verdana" w:eastAsia="Calibri" w:hAnsi="Verdana" w:cs="Arial"/>
          <w:sz w:val="20"/>
          <w:szCs w:val="20"/>
          <w:lang w:val="es-MX"/>
        </w:rPr>
        <w:t xml:space="preserve">“1. ¿En </w:t>
      </w:r>
      <w:proofErr w:type="gramStart"/>
      <w:r w:rsidRPr="00366F89">
        <w:rPr>
          <w:rFonts w:ascii="Verdana" w:eastAsia="Calibri" w:hAnsi="Verdana" w:cs="Arial"/>
          <w:sz w:val="20"/>
          <w:szCs w:val="20"/>
          <w:lang w:val="es-MX"/>
        </w:rPr>
        <w:t>las mínima cuantía</w:t>
      </w:r>
      <w:proofErr w:type="gramEnd"/>
      <w:r w:rsidRPr="00366F89">
        <w:rPr>
          <w:rFonts w:ascii="Verdana" w:eastAsia="Calibri" w:hAnsi="Verdana" w:cs="Arial"/>
          <w:sz w:val="20"/>
          <w:szCs w:val="20"/>
          <w:lang w:val="es-MX"/>
        </w:rPr>
        <w:t xml:space="preserve"> cuyo objeto es la prestación de servicios de interventoría o consultoría de naturaleza intelectual –no asociada a obra pública de infraestructura–, resulta obligatoria la aplicación del Factor Multiplicador como metodología de estructuración del presupuesto y del formulario de oferta económica? 2. ¿Puede una entidad estatal adoptar, en un proceso de mínima cuantía para contratos de consultoría o interventoría de servicios intelectuales, la metodología de Valor Mensual Fijo todo incluido, siempre que en los pliegos de condiciones se establezca expresamente que dicho valor debe incluir la totalidad de las cargas laborales, aportes al Sistema General de Seguridad Social y parafiscales del personal ofertado?4. En caso de que la respuesta a la pregunta anterior </w:t>
      </w:r>
      <w:r w:rsidRPr="00366F89">
        <w:rPr>
          <w:rFonts w:ascii="Verdana" w:eastAsia="Calibri" w:hAnsi="Verdana" w:cs="Arial"/>
          <w:sz w:val="20"/>
          <w:szCs w:val="20"/>
          <w:lang w:val="es-MX"/>
        </w:rPr>
        <w:lastRenderedPageBreak/>
        <w:t xml:space="preserve">sea afirmativa, ¿qué salvaguardas mínimas recomienda CCE incorporar en la invitación y contrato para garantizar el cumplimiento de las obligaciones laborales del contratista cuando se prescinde del FM?” </w:t>
      </w:r>
      <w:r w:rsidRPr="00366F89">
        <w:rPr>
          <w:rFonts w:ascii="Verdana" w:eastAsia="Calibri" w:hAnsi="Verdana" w:cs="Arial"/>
          <w:lang w:val="es-MX"/>
        </w:rPr>
        <w:t>[</w:t>
      </w:r>
      <w:r w:rsidRPr="00366F89">
        <w:rPr>
          <w:rFonts w:ascii="Verdana" w:eastAsia="Calibri" w:hAnsi="Verdana" w:cs="Arial"/>
          <w:sz w:val="20"/>
          <w:szCs w:val="20"/>
          <w:lang w:val="es-MX"/>
        </w:rPr>
        <w:t xml:space="preserve">sic] </w:t>
      </w:r>
    </w:p>
    <w:p w14:paraId="19E67CFE" w14:textId="77777777" w:rsidR="00277DDE" w:rsidRPr="00366F89" w:rsidRDefault="00277DDE" w:rsidP="00277DDE">
      <w:pPr>
        <w:spacing w:after="0" w:line="276" w:lineRule="auto"/>
        <w:jc w:val="both"/>
        <w:rPr>
          <w:rFonts w:ascii="Verdana" w:eastAsia="Calibri" w:hAnsi="Verdana" w:cs="Arial"/>
          <w:lang w:val="es-ES" w:eastAsia="es-ES"/>
        </w:rPr>
      </w:pPr>
    </w:p>
    <w:p w14:paraId="3A55CE54" w14:textId="77777777" w:rsidR="00277DDE" w:rsidRPr="00366F89" w:rsidRDefault="00277DDE" w:rsidP="00277DDE">
      <w:pPr>
        <w:spacing w:after="120" w:line="276" w:lineRule="auto"/>
        <w:jc w:val="both"/>
        <w:rPr>
          <w:rFonts w:ascii="Verdana" w:eastAsia="Calibri" w:hAnsi="Verdana" w:cs="Arial"/>
          <w:lang w:val="es-ES" w:eastAsia="es-ES"/>
        </w:rPr>
      </w:pPr>
      <w:r w:rsidRPr="00366F8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8D92CE2" w14:textId="77777777" w:rsidR="00277DDE" w:rsidRPr="00366F89" w:rsidRDefault="00277DDE" w:rsidP="00277DDE">
      <w:pPr>
        <w:spacing w:after="0" w:line="276" w:lineRule="auto"/>
        <w:ind w:firstLine="709"/>
        <w:jc w:val="both"/>
        <w:rPr>
          <w:rFonts w:ascii="Verdana" w:eastAsia="Calibri" w:hAnsi="Verdana" w:cs="Arial"/>
          <w:lang w:val="es-ES" w:eastAsia="es-ES"/>
        </w:rPr>
      </w:pPr>
      <w:r w:rsidRPr="00366F8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E9B8EB4" w14:textId="77777777" w:rsidR="00277DDE" w:rsidRPr="00366F89" w:rsidRDefault="00277DDE" w:rsidP="00277DDE">
      <w:pPr>
        <w:spacing w:after="0" w:line="276" w:lineRule="auto"/>
        <w:ind w:firstLine="709"/>
        <w:jc w:val="both"/>
        <w:rPr>
          <w:rFonts w:ascii="Verdana" w:eastAsia="Calibri" w:hAnsi="Verdana" w:cs="Arial"/>
          <w:lang w:val="es-ES" w:eastAsia="es-ES"/>
        </w:rPr>
      </w:pPr>
    </w:p>
    <w:p w14:paraId="00BE5680" w14:textId="77777777" w:rsidR="00277DDE" w:rsidRPr="00366F89" w:rsidRDefault="00277DDE" w:rsidP="00277DDE">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366F89">
        <w:rPr>
          <w:rFonts w:ascii="Verdana" w:eastAsia="Arial" w:hAnsi="Verdana" w:cs="Arial"/>
          <w:b/>
          <w:bCs/>
          <w:lang w:val="es-ES"/>
        </w:rPr>
        <w:t>1. Problema planteado:</w:t>
      </w:r>
    </w:p>
    <w:p w14:paraId="21092E70" w14:textId="77777777" w:rsidR="00277DDE" w:rsidRPr="00366F89" w:rsidRDefault="00277DDE" w:rsidP="00277DDE">
      <w:pPr>
        <w:tabs>
          <w:tab w:val="left" w:pos="426"/>
        </w:tabs>
        <w:spacing w:after="0" w:line="276" w:lineRule="auto"/>
        <w:jc w:val="both"/>
        <w:rPr>
          <w:rFonts w:ascii="Verdana" w:eastAsia="Century Gothic" w:hAnsi="Verdana" w:cs="Century Gothic"/>
          <w:lang w:val="es-ES"/>
        </w:rPr>
      </w:pPr>
    </w:p>
    <w:p w14:paraId="78475288" w14:textId="77777777" w:rsidR="00277DDE" w:rsidRPr="00366F89" w:rsidRDefault="00277DDE" w:rsidP="00277DDE">
      <w:pPr>
        <w:spacing w:after="0" w:line="276" w:lineRule="auto"/>
        <w:jc w:val="both"/>
        <w:rPr>
          <w:rFonts w:ascii="Verdana" w:eastAsia="Century Gothic" w:hAnsi="Verdana" w:cs="Century Gothic"/>
        </w:rPr>
      </w:pPr>
      <w:r w:rsidRPr="00366F89">
        <w:rPr>
          <w:rFonts w:ascii="Verdana" w:eastAsia="Century Gothic" w:hAnsi="Verdana" w:cs="Century Gothic"/>
        </w:rPr>
        <w:t xml:space="preserve">De acuerdo con el contenido de su solicitud, le informamos que la misma se resolverá desde los siguientes </w:t>
      </w:r>
      <w:bookmarkStart w:id="1" w:name="_Hlk171070029"/>
      <w:r w:rsidRPr="00366F89">
        <w:rPr>
          <w:rFonts w:ascii="Verdana" w:eastAsia="Century Gothic" w:hAnsi="Verdana" w:cs="Century Gothic"/>
        </w:rPr>
        <w:t xml:space="preserve">interrogantes: i) ¿Cuáles son los parámetros que deben observar las Entidades Estatales para estimar el precio de sus contratos?; y, </w:t>
      </w:r>
      <w:proofErr w:type="spellStart"/>
      <w:r w:rsidRPr="00366F89">
        <w:rPr>
          <w:rFonts w:ascii="Verdana" w:eastAsia="Century Gothic" w:hAnsi="Verdana" w:cs="Century Gothic"/>
        </w:rPr>
        <w:t>ii</w:t>
      </w:r>
      <w:proofErr w:type="spellEnd"/>
      <w:r w:rsidRPr="00366F89">
        <w:rPr>
          <w:rFonts w:ascii="Verdana" w:eastAsia="Century Gothic" w:hAnsi="Verdana" w:cs="Century Gothic"/>
        </w:rPr>
        <w:t>) ¿Qué es el factor multiplicador, cuáles son los conceptos que comprende y es compatible su exigencia en contratos de interventoría?</w:t>
      </w:r>
    </w:p>
    <w:p w14:paraId="63361A90" w14:textId="77777777" w:rsidR="00277DDE" w:rsidRPr="00366F89" w:rsidRDefault="00277DDE" w:rsidP="00277DDE">
      <w:pPr>
        <w:spacing w:after="0" w:line="276" w:lineRule="auto"/>
        <w:jc w:val="both"/>
        <w:rPr>
          <w:rFonts w:ascii="Verdana" w:hAnsi="Verdana"/>
        </w:rPr>
      </w:pPr>
    </w:p>
    <w:bookmarkEnd w:id="1"/>
    <w:p w14:paraId="2DA5DECE" w14:textId="77777777" w:rsidR="00277DDE" w:rsidRPr="00366F89" w:rsidRDefault="00277DDE" w:rsidP="00277DDE">
      <w:pPr>
        <w:widowControl w:val="0"/>
        <w:autoSpaceDE w:val="0"/>
        <w:autoSpaceDN w:val="0"/>
        <w:spacing w:before="1" w:after="0" w:line="240" w:lineRule="auto"/>
        <w:jc w:val="both"/>
        <w:outlineLvl w:val="0"/>
        <w:rPr>
          <w:rFonts w:ascii="Verdana" w:eastAsia="Arial" w:hAnsi="Verdana" w:cs="Arial"/>
          <w:b/>
          <w:bCs/>
          <w:lang w:val="es-ES"/>
        </w:rPr>
      </w:pPr>
      <w:r w:rsidRPr="00366F89">
        <w:rPr>
          <w:rFonts w:ascii="Verdana" w:eastAsia="Arial" w:hAnsi="Verdana" w:cs="Arial"/>
          <w:b/>
          <w:bCs/>
          <w:lang w:val="es-ES"/>
        </w:rPr>
        <w:t>2. Respuesta:</w:t>
      </w:r>
    </w:p>
    <w:p w14:paraId="4F614C2B" w14:textId="77777777" w:rsidR="00277DDE" w:rsidRPr="00366F89" w:rsidRDefault="00277DDE" w:rsidP="00277DDE">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77DDE" w:rsidRPr="00366F89" w14:paraId="08847C98" w14:textId="77777777" w:rsidTr="00015DF7">
        <w:tc>
          <w:tcPr>
            <w:tcW w:w="8828" w:type="dxa"/>
          </w:tcPr>
          <w:p w14:paraId="62B3E476" w14:textId="77777777" w:rsidR="00277DDE" w:rsidRPr="00366F89" w:rsidRDefault="00277DDE" w:rsidP="00015DF7">
            <w:pPr>
              <w:spacing w:line="276" w:lineRule="auto"/>
              <w:jc w:val="both"/>
              <w:rPr>
                <w:rFonts w:ascii="Verdana" w:eastAsia="Century Gothic" w:hAnsi="Verdana" w:cs="Century Gothic"/>
              </w:rPr>
            </w:pPr>
            <w:bookmarkStart w:id="2" w:name="_Hlk171067516"/>
            <w:r w:rsidRPr="00366F89">
              <w:rPr>
                <w:rFonts w:ascii="Verdana" w:eastAsia="Geomanist Light" w:hAnsi="Verdana" w:cs="Arial"/>
                <w:color w:val="000000"/>
                <w:lang w:val="es-MX"/>
              </w:rPr>
              <w:t xml:space="preserve">i) </w:t>
            </w:r>
            <w:r w:rsidRPr="00366F89">
              <w:rPr>
                <w:rFonts w:ascii="Verdana" w:eastAsia="Century Gothic" w:hAnsi="Verdana" w:cs="Century Gothic"/>
              </w:rPr>
              <w:t xml:space="preserve">Sobre el particular se precisa que, desde la fase de planeación –etapa precontractual– las Entidades Estatales deben calcular el presupuesto oficial, mediante la realización de un análisis del sector –que incluye el estudio del </w:t>
            </w:r>
            <w:r w:rsidRPr="00366F89">
              <w:rPr>
                <w:rFonts w:ascii="Verdana" w:eastAsia="Century Gothic" w:hAnsi="Verdana" w:cs="Century Gothic"/>
              </w:rPr>
              <w:lastRenderedPageBreak/>
              <w:t>mercado– y definir la metodología con la cual estructurarán el precio del contrato. En ese sentido, y atendiendo a que los sistemas de fijación de precios no son asuntos expresamente regulados en las disposiciones legales o reglamentarias que integran la normativa contractual del Estado, estas</w:t>
            </w:r>
            <w:r w:rsidRPr="00366F89">
              <w:rPr>
                <w:rFonts w:ascii="Verdana" w:eastAsia="Aptos" w:hAnsi="Verdana" w:cs="Times New Roman"/>
              </w:rPr>
              <w:t xml:space="preserve"> </w:t>
            </w:r>
            <w:r w:rsidRPr="00366F89">
              <w:rPr>
                <w:rFonts w:ascii="Verdana" w:eastAsia="Century Gothic" w:hAnsi="Verdana" w:cs="Century Gothic"/>
              </w:rPr>
              <w:t xml:space="preserve">no proceden de la ley ni del reglamento, sino de la costumbre. </w:t>
            </w:r>
          </w:p>
          <w:p w14:paraId="2A5070B7" w14:textId="77777777" w:rsidR="00277DDE" w:rsidRPr="00366F89" w:rsidRDefault="00277DDE" w:rsidP="00015DF7">
            <w:pPr>
              <w:spacing w:before="120" w:line="276" w:lineRule="auto"/>
              <w:jc w:val="both"/>
              <w:rPr>
                <w:rFonts w:ascii="Verdana" w:eastAsia="Century Gothic" w:hAnsi="Verdana" w:cs="Century Gothic"/>
              </w:rPr>
            </w:pPr>
            <w:r w:rsidRPr="00366F89">
              <w:rPr>
                <w:rFonts w:ascii="Verdana" w:eastAsia="Century Gothic" w:hAnsi="Verdana" w:cs="Century Gothic"/>
              </w:rPr>
              <w:tab/>
              <w:t>De ahí que, las Entidades Estatales en la etapa previa a la contratación, es decir en la fase de planeación y, dependiendo de la tipología contractual, determinarán la metodología mediante la cual realizarán el cálculo del valor o precio del contrato, apoyándose entre otros aspectos, en la costumbre mercantil o el conocimiento impartido en ciertas ciencias como la ingeniería.</w:t>
            </w:r>
          </w:p>
          <w:p w14:paraId="6B00DAE5" w14:textId="77777777" w:rsidR="00277DDE" w:rsidRPr="00366F89" w:rsidRDefault="00277DDE" w:rsidP="00015DF7">
            <w:pPr>
              <w:snapToGrid w:val="0"/>
              <w:spacing w:line="276" w:lineRule="auto"/>
              <w:contextualSpacing/>
              <w:jc w:val="both"/>
              <w:rPr>
                <w:rFonts w:ascii="Verdana" w:eastAsia="Geomanist Light" w:hAnsi="Verdana" w:cs="Arial"/>
                <w:color w:val="000000"/>
                <w:lang w:val="es-MX"/>
              </w:rPr>
            </w:pPr>
          </w:p>
          <w:p w14:paraId="1ADA68CC" w14:textId="77777777" w:rsidR="00277DDE" w:rsidRPr="00366F89" w:rsidRDefault="00277DDE" w:rsidP="00015DF7">
            <w:pPr>
              <w:spacing w:line="276" w:lineRule="auto"/>
              <w:jc w:val="both"/>
              <w:rPr>
                <w:rFonts w:ascii="Verdana" w:eastAsia="Century Gothic" w:hAnsi="Verdana" w:cs="Century Gothic"/>
              </w:rPr>
            </w:pPr>
            <w:proofErr w:type="spellStart"/>
            <w:r w:rsidRPr="00366F89">
              <w:rPr>
                <w:rFonts w:ascii="Verdana" w:eastAsia="Geomanist Light" w:hAnsi="Verdana" w:cs="Arial"/>
                <w:color w:val="000000"/>
                <w:lang w:val="es-MX"/>
              </w:rPr>
              <w:t>ii</w:t>
            </w:r>
            <w:proofErr w:type="spellEnd"/>
            <w:r w:rsidRPr="00366F89">
              <w:rPr>
                <w:rFonts w:ascii="Verdana" w:eastAsia="Geomanist Light" w:hAnsi="Verdana" w:cs="Arial"/>
                <w:color w:val="000000"/>
                <w:lang w:val="es-MX"/>
              </w:rPr>
              <w:t>)</w:t>
            </w:r>
            <w:r w:rsidRPr="00366F89">
              <w:rPr>
                <w:rFonts w:ascii="Verdana" w:eastAsia="Century Gothic" w:hAnsi="Verdana" w:cs="Century Gothic"/>
              </w:rPr>
              <w:t xml:space="preserve"> El factor multiplicador es un sistema que permite imputar al contrato los costos directos asociados a las prestaciones laborales y sociales del personal vinculado con carácter exclusivo al proyecto, así como conceptos asociados a prestaciones sociales, la utilidad del ingeniero y los costos de administración. De esta manera se obtiene un subtotal de costos directos a partir de la sumatoria de los valores correspondientes a los salarios del personal, incrementando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47F31946" w14:textId="77777777" w:rsidR="00277DDE" w:rsidRPr="00366F89" w:rsidRDefault="00277DDE" w:rsidP="00015DF7">
            <w:pPr>
              <w:spacing w:before="120" w:line="276" w:lineRule="auto"/>
              <w:ind w:firstLine="709"/>
              <w:jc w:val="both"/>
              <w:rPr>
                <w:rFonts w:ascii="Verdana" w:eastAsia="Aptos" w:hAnsi="Verdana" w:cs="Arial"/>
              </w:rPr>
            </w:pPr>
            <w:r w:rsidRPr="00366F89">
              <w:rPr>
                <w:rFonts w:ascii="Verdana" w:eastAsia="Times New Roman" w:hAnsi="Verdana" w:cs="Arial"/>
                <w:bCs/>
                <w:lang w:val="es-ES_tradnl" w:eastAsia="es-CO"/>
              </w:rPr>
              <w:t>Así pues, el factor multiplicador</w:t>
            </w:r>
            <w:r w:rsidRPr="00366F89">
              <w:rPr>
                <w:rFonts w:ascii="Verdana" w:eastAsia="Aptos" w:hAnsi="Verdana" w:cs="Arial"/>
              </w:rPr>
              <w:t xml:space="preserve"> solo suele incluir los costos directos e indirectos asociados al personal, y no aquellos costos en los que pueda incurrir el contratista –</w:t>
            </w:r>
            <w:r w:rsidRPr="00366F89">
              <w:rPr>
                <w:rFonts w:ascii="Verdana" w:eastAsia="Aptos" w:hAnsi="Verdana" w:cs="Arial"/>
                <w:i/>
                <w:iCs/>
              </w:rPr>
              <w:t>v.g. insumos requeridos para la ejecución del contrato, transporte, acarreos, alquiler de equipos, etc.–,</w:t>
            </w:r>
            <w:r w:rsidRPr="00366F89">
              <w:rPr>
                <w:rFonts w:ascii="Verdana" w:eastAsia="Aptos" w:hAnsi="Verdana" w:cs="Arial"/>
              </w:rPr>
              <w:t xml:space="preserve"> ni tampoco los costos indirectos diferentes a los del personal, los cuales también podrían presentarse de acuerdo con el objeto del contrato, por lo que deben incorporarse en el valor de este y en las propuestas económicas de manera separada a los costos de personal afectados por el factor multiplicador. Por ello, en torno a la aplicación del factor multiplicador en contratos de interventoría, se estima que esto resulta razonable y común en la práctica, en tanto estos son una modalidad del contrato de consultoría de acuerdo con lo dispuesto en el numeral 2, del artículo 32 de la Ley 80 de 1993. </w:t>
            </w:r>
          </w:p>
          <w:p w14:paraId="541D70FD" w14:textId="77777777" w:rsidR="00277DDE" w:rsidRPr="00366F89" w:rsidRDefault="00277DDE" w:rsidP="00015DF7">
            <w:pPr>
              <w:spacing w:before="120" w:line="276" w:lineRule="auto"/>
              <w:ind w:firstLine="709"/>
              <w:jc w:val="both"/>
              <w:rPr>
                <w:rFonts w:ascii="Verdana" w:eastAsia="Aptos" w:hAnsi="Verdana" w:cs="Arial"/>
              </w:rPr>
            </w:pPr>
            <w:r w:rsidRPr="00366F89">
              <w:rPr>
                <w:rFonts w:ascii="Verdana" w:eastAsia="Aptos" w:hAnsi="Verdana" w:cs="Arial"/>
              </w:rPr>
              <w:lastRenderedPageBreak/>
              <w:t>Finalmente se precisa, que el análisis sobre la estructuración de un proceso de contratación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bookmarkEnd w:id="2"/>
    </w:tbl>
    <w:p w14:paraId="5DAC8F29" w14:textId="77777777" w:rsidR="00277DDE" w:rsidRPr="00366F89" w:rsidRDefault="00277DDE" w:rsidP="00277DDE">
      <w:pPr>
        <w:widowControl w:val="0"/>
        <w:autoSpaceDE w:val="0"/>
        <w:autoSpaceDN w:val="0"/>
        <w:spacing w:before="1" w:after="0" w:line="240" w:lineRule="auto"/>
        <w:ind w:left="360" w:hanging="360"/>
        <w:outlineLvl w:val="0"/>
        <w:rPr>
          <w:rFonts w:ascii="Verdana" w:eastAsia="Arial" w:hAnsi="Verdana" w:cs="Arial"/>
          <w:b/>
        </w:rPr>
      </w:pPr>
    </w:p>
    <w:p w14:paraId="3FFCFDB9" w14:textId="77777777" w:rsidR="00277DDE" w:rsidRPr="00366F89" w:rsidRDefault="00277DDE" w:rsidP="00277DDE">
      <w:pPr>
        <w:widowControl w:val="0"/>
        <w:autoSpaceDE w:val="0"/>
        <w:autoSpaceDN w:val="0"/>
        <w:spacing w:before="1" w:after="0" w:line="240" w:lineRule="auto"/>
        <w:ind w:left="360" w:hanging="360"/>
        <w:outlineLvl w:val="0"/>
        <w:rPr>
          <w:rFonts w:ascii="Verdana" w:eastAsia="Arial" w:hAnsi="Verdana" w:cs="Arial"/>
          <w:b/>
          <w:bCs/>
          <w:lang w:val="es-ES"/>
        </w:rPr>
      </w:pPr>
      <w:r w:rsidRPr="00366F89">
        <w:rPr>
          <w:rFonts w:ascii="Verdana" w:eastAsia="Arial" w:hAnsi="Verdana" w:cs="Arial"/>
          <w:b/>
          <w:bCs/>
          <w:lang w:val="es-ES"/>
        </w:rPr>
        <w:t>3. Razones de la respuesta</w:t>
      </w:r>
    </w:p>
    <w:p w14:paraId="679E7646" w14:textId="77777777" w:rsidR="00277DDE" w:rsidRPr="00366F89" w:rsidRDefault="00277DDE" w:rsidP="00277DDE">
      <w:pPr>
        <w:spacing w:after="0" w:line="276" w:lineRule="auto"/>
        <w:jc w:val="both"/>
        <w:rPr>
          <w:rFonts w:ascii="Verdana" w:eastAsia="Calibri" w:hAnsi="Verdana" w:cs="Arial"/>
          <w:lang w:val="es-ES"/>
        </w:rPr>
      </w:pPr>
    </w:p>
    <w:p w14:paraId="452C53FD" w14:textId="77777777" w:rsidR="00277DDE" w:rsidRPr="00366F89" w:rsidRDefault="00277DDE" w:rsidP="00277DDE">
      <w:pPr>
        <w:spacing w:after="0" w:line="276" w:lineRule="auto"/>
        <w:jc w:val="both"/>
        <w:rPr>
          <w:rFonts w:ascii="Verdana" w:eastAsia="Calibri" w:hAnsi="Verdana" w:cs="Arial"/>
          <w:lang w:val="es-ES"/>
        </w:rPr>
      </w:pPr>
      <w:r w:rsidRPr="00366F89">
        <w:rPr>
          <w:rFonts w:ascii="Verdana" w:eastAsia="Calibri" w:hAnsi="Verdana" w:cs="Arial"/>
          <w:lang w:val="es-ES"/>
        </w:rPr>
        <w:t xml:space="preserve">Las respuestas anteriores se sustentan en las siguientes consideraciones: </w:t>
      </w:r>
    </w:p>
    <w:p w14:paraId="509EF4B7" w14:textId="77777777" w:rsidR="00277DDE" w:rsidRPr="00366F89" w:rsidRDefault="00277DDE" w:rsidP="00277DDE">
      <w:pPr>
        <w:spacing w:after="0" w:line="276" w:lineRule="auto"/>
        <w:jc w:val="both"/>
        <w:rPr>
          <w:rFonts w:ascii="Verdana" w:eastAsia="Calibri" w:hAnsi="Verdana" w:cs="Arial"/>
          <w:lang w:val="es-ES"/>
        </w:rPr>
      </w:pPr>
    </w:p>
    <w:p w14:paraId="7D1EE838" w14:textId="77777777" w:rsidR="00277DDE" w:rsidRPr="00366F89" w:rsidRDefault="00277DDE" w:rsidP="00277DDE">
      <w:pPr>
        <w:pStyle w:val="Sinespaciado"/>
        <w:spacing w:after="120" w:line="276" w:lineRule="auto"/>
        <w:jc w:val="both"/>
        <w:rPr>
          <w:rFonts w:ascii="Verdana" w:eastAsia="Calibri" w:hAnsi="Verdana" w:cs="Arial"/>
          <w:lang w:val="es-ES"/>
        </w:rPr>
      </w:pPr>
      <w:r w:rsidRPr="00366F89">
        <w:rPr>
          <w:rFonts w:ascii="Verdana" w:eastAsia="Calibri" w:hAnsi="Verdana" w:cs="Arial"/>
          <w:lang w:val="es-ES"/>
        </w:rPr>
        <w:t xml:space="preserve">De manera preliminar debe precisarse que, desde la fase de planeación –etapa precontractual– las Entidades Estatales deben calcular el presupuesto oficial, mediante la realización de un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25BFA115" w14:textId="77777777" w:rsidR="00277DDE" w:rsidRPr="00366F89" w:rsidRDefault="00277DDE" w:rsidP="00277DDE">
      <w:pPr>
        <w:pStyle w:val="Sinespaciado"/>
        <w:spacing w:after="120" w:line="276" w:lineRule="auto"/>
        <w:ind w:firstLine="708"/>
        <w:jc w:val="both"/>
        <w:rPr>
          <w:rFonts w:ascii="Verdana" w:eastAsia="Calibri" w:hAnsi="Verdana" w:cs="Arial"/>
          <w:lang w:val="es-ES"/>
        </w:rPr>
      </w:pPr>
      <w:r w:rsidRPr="00366F89">
        <w:rPr>
          <w:rFonts w:ascii="Verdana" w:eastAsia="Calibri" w:hAnsi="Verdana" w:cs="Arial"/>
          <w:lang w:val="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366F89">
        <w:rPr>
          <w:rFonts w:ascii="Verdana" w:eastAsia="Calibri" w:hAnsi="Verdana" w:cs="Arial"/>
          <w:lang w:val="es-ES"/>
        </w:rPr>
        <w:t>ii</w:t>
      </w:r>
      <w:proofErr w:type="spellEnd"/>
      <w:r w:rsidRPr="00366F89">
        <w:rPr>
          <w:rFonts w:ascii="Verdana" w:eastAsia="Calibri" w:hAnsi="Verdana" w:cs="Arial"/>
          <w:lang w:val="es-ES"/>
        </w:rPr>
        <w:t xml:space="preserve">) el precio global –que equivale al monto total, por la realización integral del objeto del contrato, sin discriminar unidades–, y </w:t>
      </w:r>
      <w:proofErr w:type="spellStart"/>
      <w:r w:rsidRPr="00366F89">
        <w:rPr>
          <w:rFonts w:ascii="Verdana" w:eastAsia="Calibri" w:hAnsi="Verdana" w:cs="Arial"/>
          <w:lang w:val="es-ES"/>
        </w:rPr>
        <w:t>iii</w:t>
      </w:r>
      <w:proofErr w:type="spellEnd"/>
      <w:r w:rsidRPr="00366F89">
        <w:rPr>
          <w:rFonts w:ascii="Verdana" w:eastAsia="Calibri" w:hAnsi="Verdana" w:cs="Arial"/>
          <w:lang w:val="es-ES"/>
        </w:rPr>
        <w:t>) la administración delegada de recursos –en la que se distinguen los costos de inversión de los honorarios del administrador–.</w:t>
      </w:r>
    </w:p>
    <w:p w14:paraId="43937C78" w14:textId="77777777" w:rsidR="00277DDE" w:rsidRPr="00366F89" w:rsidRDefault="00277DDE" w:rsidP="00277DDE">
      <w:pPr>
        <w:pStyle w:val="Sinespaciado"/>
        <w:spacing w:after="120" w:line="276" w:lineRule="auto"/>
        <w:jc w:val="both"/>
        <w:rPr>
          <w:rFonts w:ascii="Verdana" w:eastAsia="Calibri" w:hAnsi="Verdana" w:cs="Arial"/>
          <w:lang w:val="es-ES"/>
        </w:rPr>
      </w:pPr>
      <w:r w:rsidRPr="00366F89">
        <w:rPr>
          <w:rFonts w:ascii="Verdana" w:eastAsia="Calibri" w:hAnsi="Verdana" w:cs="Arial"/>
          <w:lang w:val="es-ES"/>
        </w:rPr>
        <w:lastRenderedPageBreak/>
        <w:tab/>
        <w:t xml:space="preserve">En ese sentido, como se indicó, las Entidades Estatales en la etapa previa a la contratación, es decir en la fase de planeación y, dependiendo de la tipología contractual, determinarán la metodología mediante la cual realizarán el cálculo del valor o precio del contrato, apoyándose entre otros aspectos, en la costumbre mercantil o el conocimiento impartido en ciertas ciencias como la ingeniería, de la que es propio el factor multiplicador. </w:t>
      </w:r>
    </w:p>
    <w:p w14:paraId="0C1AD945" w14:textId="77777777" w:rsidR="00277DDE" w:rsidRPr="00366F89" w:rsidRDefault="00277DDE" w:rsidP="00277DDE">
      <w:pPr>
        <w:pStyle w:val="Sinespaciado"/>
        <w:spacing w:after="120" w:line="276" w:lineRule="auto"/>
        <w:jc w:val="both"/>
        <w:rPr>
          <w:rFonts w:ascii="Verdana" w:eastAsia="Calibri" w:hAnsi="Verdana" w:cs="Arial"/>
          <w:lang w:val="es-ES"/>
        </w:rPr>
      </w:pPr>
      <w:r w:rsidRPr="00366F89">
        <w:rPr>
          <w:rFonts w:ascii="Verdana" w:eastAsia="Calibri" w:hAnsi="Verdana" w:cs="Arial"/>
          <w:lang w:val="es-ES"/>
        </w:rPr>
        <w:tab/>
        <w:t>Sobre este último, esto es, el factor multiplicador, se aclara que corresponde a una metodología que permite imputar al contrato los costos directos asociados al prestaciones laborales y sociales del personal vinculado con carácter exclusivo al proyecto, la utilidad del ingeniero y los costos de administración asociados al personal, afectando el valor parcial de la oferta por un factor multiplicador</w:t>
      </w:r>
      <w:r w:rsidRPr="00366F89">
        <w:rPr>
          <w:rStyle w:val="Refdenotaalpie"/>
          <w:rFonts w:ascii="Verdana" w:hAnsi="Verdana" w:cs="Arial"/>
        </w:rPr>
        <w:footnoteReference w:id="1"/>
      </w:r>
      <w:r w:rsidRPr="00366F89">
        <w:rPr>
          <w:rFonts w:ascii="Verdana" w:hAnsi="Verdana" w:cs="Arial"/>
        </w:rPr>
        <w:t>.</w:t>
      </w:r>
      <w:r w:rsidRPr="00366F89">
        <w:rPr>
          <w:rFonts w:ascii="Verdana" w:hAnsi="Verdana"/>
        </w:rPr>
        <w:t xml:space="preserve"> </w:t>
      </w:r>
      <w:r w:rsidRPr="00366F89">
        <w:rPr>
          <w:rFonts w:ascii="Verdana" w:hAnsi="Verdana" w:cs="Arial"/>
        </w:rPr>
        <w:t xml:space="preserve">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w:t>
      </w:r>
      <w:proofErr w:type="spellStart"/>
      <w:r w:rsidRPr="00366F89">
        <w:rPr>
          <w:rFonts w:ascii="Verdana" w:hAnsi="Verdana" w:cs="Arial"/>
        </w:rPr>
        <w:t>etc</w:t>
      </w:r>
      <w:proofErr w:type="spellEnd"/>
      <w:r w:rsidRPr="00366F89">
        <w:rPr>
          <w:rFonts w:ascii="Verdana" w:hAnsi="Verdana" w:cs="Arial"/>
        </w:rPr>
        <w:t>, cuya discriminación se exige de manera separada de los costos de personal, para ser sumados al valor resultante la aplicación del factor multiplicador.</w:t>
      </w:r>
    </w:p>
    <w:p w14:paraId="7D0DDF17" w14:textId="77777777" w:rsidR="00277DDE" w:rsidRPr="00366F89" w:rsidRDefault="00277DDE" w:rsidP="00277DDE">
      <w:pPr>
        <w:pStyle w:val="Sinespaciado"/>
        <w:spacing w:after="120" w:line="276" w:lineRule="auto"/>
        <w:ind w:firstLine="708"/>
        <w:jc w:val="both"/>
        <w:rPr>
          <w:rFonts w:ascii="Verdana" w:hAnsi="Verdana"/>
        </w:rPr>
      </w:pPr>
      <w:r w:rsidRPr="00366F89">
        <w:rPr>
          <w:rFonts w:ascii="Verdana" w:eastAsia="Times New Roman" w:hAnsi="Verdana" w:cs="Arial"/>
          <w:bCs/>
          <w:lang w:val="es-ES_tradnl" w:eastAsia="es-CO"/>
        </w:rPr>
        <w:t>Así pues, el factor multiplicador</w:t>
      </w:r>
      <w:r w:rsidRPr="00366F89">
        <w:rPr>
          <w:rFonts w:ascii="Verdana" w:hAnsi="Verdana" w:cs="Arial"/>
        </w:rPr>
        <w:t xml:space="preserve"> solo suele incluir los costos directos e indirectos asociados al personal, y no aquellos costos en los que pueda incurrir el contratista –</w:t>
      </w:r>
      <w:r w:rsidRPr="00366F89">
        <w:rPr>
          <w:rFonts w:ascii="Verdana" w:hAnsi="Verdana" w:cs="Arial"/>
          <w:i/>
          <w:iCs/>
        </w:rPr>
        <w:t>v.g. insumos requeridos para la ejecución del contrato, transporte, acarreos, alquiler de equipos, etc.–,</w:t>
      </w:r>
      <w:r w:rsidRPr="00366F89">
        <w:rPr>
          <w:rFonts w:ascii="Verdana" w:hAnsi="Verdana"/>
        </w:rPr>
        <w:t xml:space="preserve"> ni tampoco los costos indirectos diferentes a los del personal, los cuales también podrían presentarse de acuerdo con el objeto del contrato, por lo que deben incorporarse en el valor de este y en las propuestas económicas de manera separada a los costos de personal afectados por el factor multiplicador.</w:t>
      </w:r>
      <w:r w:rsidRPr="00366F89">
        <w:rPr>
          <w:rFonts w:ascii="Verdana" w:hAnsi="Verdana" w:cs="Arial"/>
        </w:rPr>
        <w:t xml:space="preserve"> Por ello, en torno a la aplicación del factor multiplicador en contratos de interventoría, se estima que esto resulta razonable </w:t>
      </w:r>
      <w:r w:rsidRPr="00366F89">
        <w:rPr>
          <w:rFonts w:ascii="Verdana" w:hAnsi="Verdana" w:cs="Arial"/>
        </w:rPr>
        <w:lastRenderedPageBreak/>
        <w:t xml:space="preserve">y común en la práctica, en tanto estos son una modalidad del contrato de consultoría de acuerdo con lo dispuesto en el numeral 2, del artículo 32 de la Ley 80 de 1993. </w:t>
      </w:r>
    </w:p>
    <w:p w14:paraId="183469F2" w14:textId="77777777" w:rsidR="00277DDE" w:rsidRPr="00366F89" w:rsidRDefault="00277DDE" w:rsidP="00277DDE">
      <w:pPr>
        <w:pStyle w:val="Sinespaciado"/>
        <w:spacing w:after="120" w:line="276" w:lineRule="auto"/>
        <w:ind w:firstLine="708"/>
        <w:jc w:val="both"/>
        <w:rPr>
          <w:rFonts w:ascii="Verdana" w:eastAsia="Times New Roman" w:hAnsi="Verdana" w:cs="Arial"/>
          <w:bCs/>
          <w:lang w:val="es-ES_tradnl" w:eastAsia="es-CO"/>
        </w:rPr>
      </w:pPr>
      <w:r w:rsidRPr="00366F89">
        <w:rPr>
          <w:rFonts w:ascii="Verdana" w:eastAsia="Calibri" w:hAnsi="Verdana" w:cs="Arial"/>
          <w:lang w:val="es-ES"/>
        </w:rPr>
        <w:t>Ahora bien, es preciso aclarar, que el factor multiplicador no se encuentra expresamente regulado en el conjunto de disposiciones legales o reglamentarias que integran la normativa contractual del Estado, pues la justificación de esta metodología o forma de cotizar el precio, se reitera, procede incluso, de la formación universitaria que reciben los ingenieros, a quienes se les enseña este método para elaborar las ofertas. De esta forma, esta metodología para la configuración del precio del contrato, determinante para la elaboración de la propuesta económica, no procede de la ley ni del reglamento, sino de la costumbre</w:t>
      </w:r>
      <w:r w:rsidRPr="00366F89">
        <w:rPr>
          <w:rFonts w:ascii="Verdana" w:eastAsia="Times New Roman" w:hAnsi="Verdana" w:cs="Arial"/>
          <w:vertAlign w:val="superscript"/>
          <w:lang w:val="es-ES_tradnl" w:eastAsia="es-CO"/>
        </w:rPr>
        <w:footnoteReference w:id="2"/>
      </w:r>
      <w:r w:rsidRPr="00366F89">
        <w:rPr>
          <w:rFonts w:ascii="Verdana" w:eastAsia="Times New Roman" w:hAnsi="Verdana" w:cs="Arial"/>
          <w:bCs/>
          <w:lang w:val="es-ES_tradnl" w:eastAsia="es-CO"/>
        </w:rPr>
        <w:t>.</w:t>
      </w:r>
    </w:p>
    <w:p w14:paraId="2DD134AB" w14:textId="77777777" w:rsidR="00277DDE" w:rsidRPr="00366F89" w:rsidRDefault="00277DDE" w:rsidP="00277DDE">
      <w:pPr>
        <w:pStyle w:val="Sinespaciado"/>
        <w:spacing w:after="120" w:line="276" w:lineRule="auto"/>
        <w:ind w:firstLine="708"/>
        <w:jc w:val="both"/>
        <w:rPr>
          <w:rFonts w:ascii="Verdana" w:eastAsia="Times New Roman" w:hAnsi="Verdana" w:cs="Arial"/>
          <w:bCs/>
          <w:lang w:val="es-ES_tradnl" w:eastAsia="es-CO"/>
        </w:rPr>
      </w:pPr>
      <w:r w:rsidRPr="00366F89">
        <w:rPr>
          <w:rFonts w:ascii="Verdana" w:eastAsia="Times New Roman" w:hAnsi="Verdana" w:cs="Arial"/>
          <w:bCs/>
          <w:lang w:val="es-ES_tradnl" w:eastAsia="es-CO"/>
        </w:rPr>
        <w:t xml:space="preserve">De ahí que, </w:t>
      </w:r>
      <w:r w:rsidRPr="00366F89">
        <w:rPr>
          <w:rFonts w:ascii="Verdana" w:hAnsi="Verdana" w:cs="Arial"/>
        </w:rPr>
        <w:t>al no devenir la aplicación del factor multiplicador de una normativa en particular sino de la discrecionalidad de las Entidades Estatales para establecer el valor y forma de pago de los contratos que celebran, así como de la autonomía de los proponentes para presentar sus ofertas en el marco de un proceso de contratación, su aplicación no está limitada a un tipo contractual en específico o a un sistema para la determinación del precio</w:t>
      </w:r>
      <w:r w:rsidRPr="00366F89">
        <w:rPr>
          <w:rFonts w:ascii="Verdana" w:eastAsia="Times New Roman" w:hAnsi="Verdana" w:cs="Arial"/>
          <w:bCs/>
          <w:lang w:val="es-ES_tradnl" w:eastAsia="es-CO"/>
        </w:rPr>
        <w:t>, por lo que estima esta Agencia que, la Entidad Estatal debe incluir en sus estudios previos la razón por la cual determinó la viabilidad o conveniencia de usar tal metodología.</w:t>
      </w:r>
    </w:p>
    <w:p w14:paraId="4DDE5019" w14:textId="77777777" w:rsidR="00277DDE" w:rsidRPr="00366F89" w:rsidRDefault="00277DDE" w:rsidP="00277DDE">
      <w:pPr>
        <w:pStyle w:val="Sinespaciado"/>
        <w:spacing w:after="120" w:line="276" w:lineRule="auto"/>
        <w:ind w:firstLine="708"/>
        <w:jc w:val="both"/>
        <w:rPr>
          <w:rFonts w:ascii="Verdana" w:eastAsia="Times New Roman" w:hAnsi="Verdana" w:cs="Arial"/>
          <w:lang w:val="es-ES" w:eastAsia="es-CO"/>
        </w:rPr>
      </w:pPr>
      <w:r w:rsidRPr="7FBE3990">
        <w:rPr>
          <w:rFonts w:ascii="Verdana" w:eastAsia="Times New Roman" w:hAnsi="Verdana" w:cs="Arial"/>
          <w:lang w:val="es-ES" w:eastAsia="es-CO"/>
        </w:rPr>
        <w:t>En ese orden, corresponderá a las Entidades Estatales establecer las reglas para su aplicación, con el propósito de dar a conocer los aspectos que deben tenerse en cuenta a la hora de configurar las ofertas. A partir de tales reglas, la entidad podrá exigir un desglose de determinados factores imputables a costos directos, realizar una tasación del factor multiplicador, y en general., establecer parámetros que garanticen el desarrollo de principios de la función administrativa y de la gestión fiscal, dentro de los cuales se encuentra el principio de economía, postulado este, que exige la optimización de los recursos públicos.</w:t>
      </w:r>
    </w:p>
    <w:p w14:paraId="64B3AFF6" w14:textId="77777777" w:rsidR="00277DDE" w:rsidRPr="00366F89" w:rsidRDefault="00277DDE" w:rsidP="00277DDE">
      <w:pPr>
        <w:spacing w:before="120" w:after="0" w:line="276" w:lineRule="auto"/>
        <w:ind w:firstLine="708"/>
        <w:jc w:val="both"/>
        <w:textAlignment w:val="baseline"/>
        <w:rPr>
          <w:rFonts w:ascii="Verdana" w:eastAsia="Times New Roman" w:hAnsi="Verdana" w:cs="Arial"/>
          <w:lang w:val="es-ES" w:eastAsia="es-CO"/>
        </w:rPr>
      </w:pPr>
      <w:r w:rsidRPr="00366F89">
        <w:rPr>
          <w:rFonts w:ascii="Verdana" w:eastAsia="Times New Roman" w:hAnsi="Verdana" w:cs="Arial"/>
          <w:lang w:val="es-ES" w:eastAsia="es-CO"/>
        </w:rPr>
        <w:t xml:space="preserve">Bajo esta órbita, se aclara que los proponentes al momento de estructurar sus ofertas tienen la obligación, respecto del proceso de selección, de conocer las normas que lo rigen, sus características, condiciones de ejecución del contrato y riesgos previsibles. Esto, en razón a que, mediante la presentación </w:t>
      </w:r>
      <w:r w:rsidRPr="00366F89">
        <w:rPr>
          <w:rFonts w:ascii="Verdana" w:eastAsia="Times New Roman" w:hAnsi="Verdana" w:cs="Arial"/>
          <w:lang w:val="es-ES" w:eastAsia="es-CO"/>
        </w:rPr>
        <w:lastRenderedPageBreak/>
        <w:t>de la oferta se pone en contexto a la entidad contratante frente a una serie de documentos que en conjunto conforman un acervo probatorio, de los requisitos que se pretenden hacer valer y que permiten determinar, entre varias ofertas, la que represente la mejor condición de elegibilidad.</w:t>
      </w:r>
    </w:p>
    <w:p w14:paraId="5C726B40" w14:textId="77777777" w:rsidR="00277DDE" w:rsidRPr="00366F89" w:rsidRDefault="00277DDE" w:rsidP="00277DDE">
      <w:pPr>
        <w:spacing w:before="120" w:after="120" w:line="276" w:lineRule="auto"/>
        <w:jc w:val="both"/>
        <w:textAlignment w:val="baseline"/>
        <w:rPr>
          <w:rFonts w:ascii="Verdana" w:eastAsia="Times New Roman" w:hAnsi="Verdana" w:cs="Arial"/>
          <w:bCs/>
          <w:lang w:val="es-ES_tradnl" w:eastAsia="es-CO"/>
        </w:rPr>
      </w:pPr>
      <w:r w:rsidRPr="00366F89">
        <w:rPr>
          <w:rFonts w:ascii="Verdana" w:eastAsia="Times New Roman" w:hAnsi="Verdana" w:cs="Arial"/>
          <w:bCs/>
          <w:lang w:val="es-ES_tradnl" w:eastAsia="es-CO"/>
        </w:rPr>
        <w:tab/>
      </w:r>
      <w:r w:rsidRPr="00366F89">
        <w:rPr>
          <w:rFonts w:ascii="Verdana" w:eastAsia="Times New Roman" w:hAnsi="Verdana" w:cs="Arial"/>
          <w:lang w:val="es-ES" w:eastAsia="es-CO"/>
        </w:rPr>
        <w:t xml:space="preserve">Los requisitos de los proponentes, que se hacen valer por medio de la oferta en su integridad, pueden ser entendidos en tres cales: i) </w:t>
      </w:r>
      <w:r w:rsidRPr="00366F89">
        <w:rPr>
          <w:rFonts w:ascii="Verdana" w:eastAsia="Times New Roman" w:hAnsi="Verdana" w:cs="Arial"/>
          <w:i/>
          <w:iCs/>
          <w:lang w:val="es-ES" w:eastAsia="es-CO"/>
        </w:rPr>
        <w:t xml:space="preserve">subjetivos, </w:t>
      </w:r>
      <w:r w:rsidRPr="00366F89">
        <w:rPr>
          <w:rFonts w:ascii="Verdana" w:eastAsia="Times New Roman" w:hAnsi="Verdana" w:cs="Arial"/>
          <w:lang w:val="es-ES" w:eastAsia="es-CO"/>
        </w:rPr>
        <w:t xml:space="preserve">que atienden a las calidades, capacidades, idoneidad y condiciones de los oferentes; </w:t>
      </w:r>
      <w:proofErr w:type="spellStart"/>
      <w:r w:rsidRPr="00366F89">
        <w:rPr>
          <w:rFonts w:ascii="Verdana" w:eastAsia="Times New Roman" w:hAnsi="Verdana" w:cs="Arial"/>
          <w:lang w:val="es-ES" w:eastAsia="es-CO"/>
        </w:rPr>
        <w:t>ii</w:t>
      </w:r>
      <w:proofErr w:type="spellEnd"/>
      <w:r w:rsidRPr="00366F89">
        <w:rPr>
          <w:rFonts w:ascii="Verdana" w:eastAsia="Times New Roman" w:hAnsi="Verdana" w:cs="Arial"/>
          <w:lang w:val="es-ES" w:eastAsia="es-CO"/>
        </w:rPr>
        <w:t xml:space="preserve">) </w:t>
      </w:r>
      <w:r w:rsidRPr="00366F89">
        <w:rPr>
          <w:rFonts w:ascii="Verdana" w:eastAsia="Times New Roman" w:hAnsi="Verdana" w:cs="Arial"/>
          <w:i/>
          <w:iCs/>
          <w:lang w:val="es-ES" w:eastAsia="es-CO"/>
        </w:rPr>
        <w:t xml:space="preserve">objetivos </w:t>
      </w:r>
      <w:r w:rsidRPr="00366F89">
        <w:rPr>
          <w:rFonts w:ascii="Verdana" w:eastAsia="Times New Roman" w:hAnsi="Verdana" w:cs="Arial"/>
          <w:lang w:val="es-ES" w:eastAsia="es-CO"/>
        </w:rPr>
        <w:t xml:space="preserve">que se refieren a aspectos técnicos, económicos, presupuestales, etc., que permiten ponderar las ofertas en su real y efectiva dimensión; y </w:t>
      </w:r>
      <w:proofErr w:type="spellStart"/>
      <w:r w:rsidRPr="00366F89">
        <w:rPr>
          <w:rFonts w:ascii="Verdana" w:eastAsia="Times New Roman" w:hAnsi="Verdana" w:cs="Arial"/>
          <w:lang w:val="es-ES" w:eastAsia="es-CO"/>
        </w:rPr>
        <w:t>iii</w:t>
      </w:r>
      <w:proofErr w:type="spellEnd"/>
      <w:r w:rsidRPr="00366F89">
        <w:rPr>
          <w:rFonts w:ascii="Verdana" w:eastAsia="Times New Roman" w:hAnsi="Verdana" w:cs="Arial"/>
          <w:lang w:val="es-ES" w:eastAsia="es-CO"/>
        </w:rPr>
        <w:t xml:space="preserve">) </w:t>
      </w:r>
      <w:r w:rsidRPr="00366F89">
        <w:rPr>
          <w:rFonts w:ascii="Verdana" w:eastAsia="Times New Roman" w:hAnsi="Verdana" w:cs="Arial"/>
          <w:i/>
          <w:iCs/>
          <w:lang w:val="es-ES" w:eastAsia="es-CO"/>
        </w:rPr>
        <w:t xml:space="preserve">formales </w:t>
      </w:r>
      <w:r w:rsidRPr="00366F89">
        <w:rPr>
          <w:rFonts w:ascii="Verdana" w:eastAsia="Times New Roman" w:hAnsi="Verdana" w:cs="Arial"/>
          <w:lang w:val="es-ES" w:eastAsia="es-CO"/>
        </w:rPr>
        <w:t xml:space="preserve">que se atienden a la instrumentalización y protocolización de los actos </w:t>
      </w:r>
    </w:p>
    <w:p w14:paraId="2C894BE5" w14:textId="77777777" w:rsidR="00277DDE" w:rsidRPr="00366F89" w:rsidRDefault="00277DDE" w:rsidP="00277DDE">
      <w:pPr>
        <w:pStyle w:val="Sinespaciado"/>
        <w:spacing w:after="120" w:line="276" w:lineRule="auto"/>
        <w:ind w:firstLine="708"/>
        <w:jc w:val="both"/>
        <w:rPr>
          <w:rFonts w:ascii="Verdana" w:hAnsi="Verdana" w:cs="Arial"/>
        </w:rPr>
      </w:pPr>
      <w:r w:rsidRPr="00366F89">
        <w:rPr>
          <w:rFonts w:ascii="Verdana" w:hAnsi="Verdana" w:cs="Arial"/>
        </w:rPr>
        <w:t>Finalmente se precisa, que el análisis sobre la estructuración de un proceso de contratación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2A315B45" w14:textId="77777777" w:rsidR="00277DDE" w:rsidRPr="00366F89" w:rsidRDefault="00277DDE" w:rsidP="00277DDE">
      <w:pPr>
        <w:widowControl w:val="0"/>
        <w:autoSpaceDE w:val="0"/>
        <w:autoSpaceDN w:val="0"/>
        <w:spacing w:before="120" w:after="0" w:line="276" w:lineRule="auto"/>
        <w:ind w:firstLine="709"/>
        <w:jc w:val="both"/>
        <w:rPr>
          <w:rFonts w:ascii="Verdana" w:eastAsia="Calibri" w:hAnsi="Verdana" w:cs="Arial"/>
        </w:rPr>
      </w:pPr>
      <w:r w:rsidRPr="00366F89">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287400E" w14:textId="77777777" w:rsidR="00277DDE" w:rsidRPr="00366F89" w:rsidRDefault="00277DDE" w:rsidP="00277DDE">
      <w:pPr>
        <w:spacing w:after="0" w:line="276" w:lineRule="auto"/>
        <w:jc w:val="both"/>
        <w:rPr>
          <w:rFonts w:ascii="Verdana" w:eastAsia="Calibri" w:hAnsi="Verdana" w:cs="Arial"/>
          <w:lang w:val="es-ES" w:eastAsia="es-CO"/>
        </w:rPr>
      </w:pPr>
    </w:p>
    <w:p w14:paraId="59B138B1" w14:textId="77777777" w:rsidR="00277DDE" w:rsidRPr="00366F89" w:rsidRDefault="00277DDE" w:rsidP="00277DDE">
      <w:pPr>
        <w:widowControl w:val="0"/>
        <w:autoSpaceDE w:val="0"/>
        <w:autoSpaceDN w:val="0"/>
        <w:spacing w:before="1" w:after="0" w:line="240" w:lineRule="auto"/>
        <w:outlineLvl w:val="0"/>
        <w:rPr>
          <w:rFonts w:ascii="Verdana" w:eastAsia="Arial" w:hAnsi="Verdana" w:cs="Arial"/>
          <w:b/>
          <w:bCs/>
          <w:lang w:val="es-ES"/>
        </w:rPr>
      </w:pPr>
      <w:r w:rsidRPr="00366F89">
        <w:rPr>
          <w:rFonts w:ascii="Verdana" w:eastAsia="Arial" w:hAnsi="Verdana" w:cs="Arial"/>
          <w:b/>
          <w:bCs/>
          <w:lang w:val="es-ES"/>
        </w:rPr>
        <w:t>4.Referencias normativas, jurisprudenciales y otras fuentes:</w:t>
      </w:r>
    </w:p>
    <w:p w14:paraId="7ED8D5CF" w14:textId="77777777" w:rsidR="00277DDE" w:rsidRPr="00366F89" w:rsidRDefault="00277DDE" w:rsidP="00277DDE">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7DDE" w:rsidRPr="00366F89" w14:paraId="753319FD" w14:textId="77777777" w:rsidTr="00015DF7">
        <w:trPr>
          <w:trHeight w:val="870"/>
        </w:trPr>
        <w:tc>
          <w:tcPr>
            <w:tcW w:w="8647" w:type="dxa"/>
          </w:tcPr>
          <w:p w14:paraId="5F8F5B89" w14:textId="77777777" w:rsidR="00277DDE" w:rsidRPr="00366F89" w:rsidRDefault="00277DDE" w:rsidP="00277DDE">
            <w:pPr>
              <w:pStyle w:val="Prrafodelista"/>
              <w:numPr>
                <w:ilvl w:val="0"/>
                <w:numId w:val="1"/>
              </w:numPr>
              <w:spacing w:line="240" w:lineRule="auto"/>
              <w:jc w:val="both"/>
              <w:rPr>
                <w:rFonts w:ascii="Verdana" w:eastAsia="Geomanist Light" w:hAnsi="Verdana" w:cs="Arial"/>
                <w:color w:val="000000" w:themeColor="text1"/>
                <w:lang w:val="es-MX"/>
              </w:rPr>
            </w:pPr>
            <w:r w:rsidRPr="00366F89">
              <w:rPr>
                <w:rFonts w:ascii="Verdana" w:eastAsia="Geomanist Light" w:hAnsi="Verdana" w:cs="Arial"/>
                <w:color w:val="000000" w:themeColor="text1"/>
                <w:lang w:val="es-MX"/>
              </w:rPr>
              <w:t>Ley 80 de 1993. Artículo 32.</w:t>
            </w:r>
          </w:p>
          <w:p w14:paraId="19B781FF" w14:textId="77777777" w:rsidR="00277DDE" w:rsidRPr="00366F89" w:rsidRDefault="00277DDE" w:rsidP="00277DDE">
            <w:pPr>
              <w:pStyle w:val="Prrafodelista"/>
              <w:numPr>
                <w:ilvl w:val="0"/>
                <w:numId w:val="1"/>
              </w:numPr>
              <w:spacing w:line="240" w:lineRule="auto"/>
              <w:jc w:val="both"/>
              <w:rPr>
                <w:rFonts w:ascii="Verdana" w:eastAsia="Geomanist Light" w:hAnsi="Verdana" w:cs="Arial"/>
                <w:color w:val="000000" w:themeColor="text1"/>
                <w:lang w:val="es-MX"/>
              </w:rPr>
            </w:pPr>
            <w:r w:rsidRPr="00366F89">
              <w:rPr>
                <w:rFonts w:ascii="Verdana" w:eastAsia="Geomanist Light" w:hAnsi="Verdana" w:cs="Arial"/>
                <w:color w:val="000000" w:themeColor="text1"/>
                <w:lang w:val="es-MX"/>
              </w:rPr>
              <w:t>Decreto 1082 de 2015. Artículo 2.2.1.1.2.1.1</w:t>
            </w:r>
          </w:p>
          <w:p w14:paraId="3002C457" w14:textId="77777777" w:rsidR="00277DDE" w:rsidRPr="00366F89" w:rsidRDefault="00277DDE" w:rsidP="00277DDE">
            <w:pPr>
              <w:pStyle w:val="Prrafodelista"/>
              <w:numPr>
                <w:ilvl w:val="0"/>
                <w:numId w:val="1"/>
              </w:numPr>
              <w:spacing w:line="240" w:lineRule="auto"/>
              <w:jc w:val="both"/>
              <w:rPr>
                <w:rFonts w:ascii="Verdana" w:eastAsia="Geomanist Light" w:hAnsi="Verdana" w:cs="Arial"/>
                <w:color w:val="000000" w:themeColor="text1"/>
                <w:lang w:val="es-MX"/>
              </w:rPr>
            </w:pPr>
            <w:r w:rsidRPr="00366F89">
              <w:rPr>
                <w:rFonts w:ascii="Verdana" w:eastAsia="Geomanist Light" w:hAnsi="Verdana" w:cs="Arial"/>
                <w:color w:val="000000" w:themeColor="text1"/>
                <w:lang w:val="es-MX"/>
              </w:rPr>
              <w:t xml:space="preserve">MARÍN CORTÉS, Fabian G., El precio. Serie: Las Cláusulas del Contrato Estatal, Ed. Jurídica Sánchez R. Bogotá, 2012. </w:t>
            </w:r>
          </w:p>
        </w:tc>
      </w:tr>
    </w:tbl>
    <w:p w14:paraId="4478FDB0" w14:textId="77777777" w:rsidR="00277DDE" w:rsidRPr="00366F89" w:rsidRDefault="00277DDE" w:rsidP="00277DDE">
      <w:pPr>
        <w:widowControl w:val="0"/>
        <w:autoSpaceDE w:val="0"/>
        <w:autoSpaceDN w:val="0"/>
        <w:spacing w:after="0" w:line="276" w:lineRule="auto"/>
        <w:jc w:val="both"/>
        <w:rPr>
          <w:rFonts w:ascii="Verdana" w:eastAsia="Aptos" w:hAnsi="Verdana" w:cs="Arial"/>
        </w:rPr>
      </w:pPr>
    </w:p>
    <w:p w14:paraId="70A92FA9" w14:textId="77777777" w:rsidR="00277DDE" w:rsidRPr="00366F89" w:rsidRDefault="00277DDE" w:rsidP="00277DDE">
      <w:pPr>
        <w:widowControl w:val="0"/>
        <w:autoSpaceDE w:val="0"/>
        <w:autoSpaceDN w:val="0"/>
        <w:spacing w:before="1" w:after="0" w:line="276" w:lineRule="auto"/>
        <w:outlineLvl w:val="0"/>
        <w:rPr>
          <w:rFonts w:ascii="Verdana" w:eastAsia="Arial" w:hAnsi="Verdana" w:cs="Arial"/>
          <w:b/>
          <w:bCs/>
          <w:lang w:val="es-ES"/>
        </w:rPr>
      </w:pPr>
      <w:r w:rsidRPr="00366F89">
        <w:rPr>
          <w:rFonts w:ascii="Verdana" w:eastAsia="Arial" w:hAnsi="Verdana" w:cs="Arial"/>
          <w:b/>
          <w:bCs/>
          <w:lang w:val="es-ES"/>
        </w:rPr>
        <w:t>5. Doctrina de la Agencia Nacional de Contratación Pública:</w:t>
      </w:r>
    </w:p>
    <w:p w14:paraId="259667B9" w14:textId="77777777" w:rsidR="00277DDE" w:rsidRPr="00366F89" w:rsidRDefault="00277DDE" w:rsidP="00277DDE">
      <w:pPr>
        <w:widowControl w:val="0"/>
        <w:autoSpaceDE w:val="0"/>
        <w:autoSpaceDN w:val="0"/>
        <w:spacing w:after="0" w:line="276" w:lineRule="auto"/>
        <w:jc w:val="both"/>
        <w:rPr>
          <w:rFonts w:ascii="Verdana" w:eastAsia="Aptos" w:hAnsi="Verdana" w:cs="Arial"/>
        </w:rPr>
      </w:pPr>
    </w:p>
    <w:p w14:paraId="1615EB77" w14:textId="77777777" w:rsidR="00277DDE" w:rsidRPr="00366F89" w:rsidRDefault="00277DDE" w:rsidP="00277DDE">
      <w:pPr>
        <w:jc w:val="both"/>
        <w:rPr>
          <w:rFonts w:ascii="Verdana" w:hAnsi="Verdana" w:cs="Arial"/>
          <w:shd w:val="clear" w:color="auto" w:fill="FFFFFF"/>
          <w:lang w:val="es-ES"/>
        </w:rPr>
      </w:pPr>
      <w:r w:rsidRPr="00366F89">
        <w:rPr>
          <w:rStyle w:val="normaltextrun"/>
          <w:rFonts w:ascii="Verdana" w:hAnsi="Verdana" w:cs="Arial"/>
          <w:color w:val="000000" w:themeColor="text1"/>
          <w:shd w:val="clear" w:color="auto" w:fill="FFFFFF"/>
          <w:lang w:val="es-ES"/>
        </w:rPr>
        <w:t xml:space="preserve">La Agencia Nacional de Contratación Pública – Colombia Compra Eficiente </w:t>
      </w:r>
      <w:r w:rsidRPr="00366F89">
        <w:rPr>
          <w:rFonts w:ascii="Verdana" w:eastAsia="Calibri" w:hAnsi="Verdana" w:cs="Arial"/>
          <w:lang w:val="es-ES_tradnl" w:eastAsia="es-ES_tradnl"/>
        </w:rPr>
        <w:t>se ha pronunciado sobre la determinación del precio o valor en los contratos estatales se pronunció esta Subdirección en los conceptos 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y C-288 del 14 de julio de 2023, C-167 del 27 de julio de 2024, C-212 del 04 de marzo de 2026, entre otros</w:t>
      </w:r>
      <w:r w:rsidRPr="00366F89">
        <w:rPr>
          <w:rFonts w:ascii="Verdana" w:eastAsia="Calibri" w:hAnsi="Verdana" w:cs="Arial"/>
          <w:bCs/>
          <w:shd w:val="clear" w:color="auto" w:fill="FFFFFF"/>
          <w:lang w:val="es-ES"/>
        </w:rPr>
        <w:t xml:space="preserve">En tal sentido, recoge los conceptos expuestos, sin perjuicio de otras consideraciones. </w:t>
      </w:r>
      <w:r w:rsidRPr="00366F89">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366F89">
          <w:rPr>
            <w:rFonts w:ascii="Verdana" w:eastAsia="Aptos" w:hAnsi="Verdana" w:cs="Arial"/>
            <w:u w:val="single"/>
            <w:shd w:val="clear" w:color="auto" w:fill="FFFFFF"/>
            <w:lang w:val="es-ES"/>
          </w:rPr>
          <w:t>https://relatoria.colombiacompra.gov.co/</w:t>
        </w:r>
      </w:hyperlink>
      <w:r w:rsidRPr="00366F89">
        <w:rPr>
          <w:rFonts w:ascii="Verdana" w:eastAsia="Aptos" w:hAnsi="Verdana" w:cs="Arial"/>
          <w:shd w:val="clear" w:color="auto" w:fill="FFFFFF"/>
          <w:lang w:val="es-ES"/>
        </w:rPr>
        <w:t xml:space="preserve">. </w:t>
      </w:r>
    </w:p>
    <w:p w14:paraId="61F7041A" w14:textId="77777777" w:rsidR="00277DDE" w:rsidRPr="00366F89" w:rsidRDefault="00277DDE" w:rsidP="00277DDE">
      <w:pPr>
        <w:spacing w:before="120" w:after="120" w:line="276" w:lineRule="auto"/>
        <w:ind w:firstLine="709"/>
        <w:jc w:val="both"/>
        <w:rPr>
          <w:rFonts w:ascii="Verdana" w:eastAsia="Aptos" w:hAnsi="Verdana" w:cs="Times New Roman"/>
        </w:rPr>
      </w:pPr>
      <w:r w:rsidRPr="00366F89">
        <w:rPr>
          <w:rFonts w:ascii="Verdana" w:eastAsia="Aptos" w:hAnsi="Verdana" w:cs="Times New Roman"/>
        </w:rPr>
        <w:t xml:space="preserve">La sostenibilidad no es una opción, es una obligación. Por ello, la Agencia Nacional de Contratación Pública –Colombia Compra Eficiente– te invita a realizar el </w:t>
      </w:r>
      <w:r w:rsidRPr="00366F89">
        <w:rPr>
          <w:rFonts w:ascii="Verdana" w:eastAsia="Aptos" w:hAnsi="Verdana" w:cs="Times New Roman"/>
          <w:b/>
          <w:bCs/>
        </w:rPr>
        <w:t>Curso de Contratación Pública Sostenible y Socialmente Responsable</w:t>
      </w:r>
      <w:r w:rsidRPr="00366F89">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66F89">
        <w:rPr>
          <w:rFonts w:ascii="Verdana" w:eastAsia="Aptos" w:hAnsi="Verdana" w:cs="Times New Roman"/>
        </w:rPr>
        <w:br/>
      </w:r>
      <w:hyperlink r:id="rId13" w:tgtFrame="_new" w:history="1">
        <w:r w:rsidRPr="00366F89">
          <w:rPr>
            <w:rFonts w:ascii="Verdana" w:eastAsia="Aptos" w:hAnsi="Verdana" w:cs="Times New Roman"/>
            <w:u w:val="single"/>
          </w:rPr>
          <w:t>https://formacionvirtual.colombiacompra.gov.co/mod/page/view.php?id=3718</w:t>
        </w:r>
      </w:hyperlink>
    </w:p>
    <w:p w14:paraId="5C654B69" w14:textId="77777777" w:rsidR="00277DDE" w:rsidRPr="00366F89" w:rsidRDefault="00277DDE" w:rsidP="00277DDE">
      <w:pPr>
        <w:spacing w:line="276" w:lineRule="auto"/>
        <w:ind w:firstLine="708"/>
        <w:jc w:val="both"/>
        <w:rPr>
          <w:rFonts w:ascii="Verdana" w:eastAsia="Aptos" w:hAnsi="Verdana" w:cs="Times New Roman"/>
        </w:rPr>
      </w:pPr>
      <w:r w:rsidRPr="00366F89">
        <w:rPr>
          <w:rFonts w:ascii="Verdana" w:eastAsia="Aptos" w:hAnsi="Verdana" w:cs="Times New Roman"/>
        </w:rPr>
        <w:t xml:space="preserve">De otro lado, te contamos que esta Agencia ha da un paso decisivo en la estandarización y modernización del </w:t>
      </w:r>
      <w:r w:rsidRPr="00366F89">
        <w:rPr>
          <w:rFonts w:ascii="Verdana" w:eastAsia="Aptos" w:hAnsi="Verdana" w:cs="Times New Roman"/>
          <w:b/>
          <w:bCs/>
        </w:rPr>
        <w:t>sector  social</w:t>
      </w:r>
      <w:r w:rsidRPr="00366F89">
        <w:rPr>
          <w:rFonts w:ascii="Verdana" w:eastAsia="Aptos" w:hAnsi="Verdana" w:cs="Times New Roman"/>
        </w:rPr>
        <w:t xml:space="preserve"> con la expedición de las </w:t>
      </w:r>
      <w:r w:rsidRPr="00366F89">
        <w:rPr>
          <w:rFonts w:ascii="Verdana" w:eastAsia="Aptos" w:hAnsi="Verdana" w:cs="Times New Roman"/>
          <w:b/>
          <w:bCs/>
        </w:rPr>
        <w:t>Resoluciones 539, 540, 541, 952 y 953 de 2025</w:t>
      </w:r>
      <w:r w:rsidRPr="00366F89">
        <w:rPr>
          <w:rFonts w:ascii="Verdana" w:eastAsia="Aptos" w:hAnsi="Verdana" w:cs="Times New Roman"/>
        </w:rPr>
        <w:t xml:space="preserve">, </w:t>
      </w:r>
      <w:r w:rsidRPr="00366F89">
        <w:rPr>
          <w:rFonts w:ascii="Verdana" w:eastAsia="Aptos" w:hAnsi="Verdana" w:cs="Times New Roman"/>
          <w:b/>
          <w:bCs/>
        </w:rPr>
        <w:t>mediante las cuales adoptó Documentos Tipo</w:t>
      </w:r>
      <w:r w:rsidRPr="00366F89">
        <w:rPr>
          <w:rFonts w:ascii="Verdana" w:eastAsia="Aptos" w:hAnsi="Verdana" w:cs="Times New Roman"/>
        </w:rPr>
        <w:t xml:space="preserve"> para las modalidades de selección de</w:t>
      </w:r>
      <w:r w:rsidRPr="00366F89">
        <w:rPr>
          <w:rFonts w:ascii="Verdana" w:eastAsia="Aptos" w:hAnsi="Verdana" w:cs="Times New Roman"/>
          <w:b/>
          <w:bCs/>
        </w:rPr>
        <w:t xml:space="preserve"> licitación pública (versión 2), selección abreviada de menor cuantía, mínima cuantía, consultoría e interventoría</w:t>
      </w:r>
      <w:r w:rsidRPr="00366F89">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66F89">
          <w:rPr>
            <w:rFonts w:ascii="Verdana" w:eastAsia="Aptos" w:hAnsi="Verdana" w:cs="Times New Roman"/>
            <w:u w:val="single"/>
          </w:rPr>
          <w:t>https://www.colombiacompra.gov.co/normativa-y-relatoria/documentos-tipo</w:t>
        </w:r>
      </w:hyperlink>
    </w:p>
    <w:p w14:paraId="350ADF8D" w14:textId="77777777" w:rsidR="00277DDE" w:rsidRPr="00366F89" w:rsidRDefault="00277DDE" w:rsidP="00277DDE">
      <w:pPr>
        <w:spacing w:after="0" w:line="276" w:lineRule="auto"/>
        <w:ind w:firstLine="708"/>
        <w:jc w:val="both"/>
        <w:rPr>
          <w:rFonts w:ascii="Verdana" w:eastAsia="Aptos" w:hAnsi="Verdana" w:cs="Times New Roman"/>
        </w:rPr>
      </w:pPr>
      <w:r w:rsidRPr="00366F89">
        <w:rPr>
          <w:rFonts w:ascii="Verdana" w:eastAsia="Aptos" w:hAnsi="Verdana" w:cs="Times New Roman"/>
        </w:rPr>
        <w:lastRenderedPageBreak/>
        <w:t xml:space="preserve">Si quieres conocer más sobre la aplicación de Documentos Tipo puedes consultar la última versión de la </w:t>
      </w:r>
      <w:r w:rsidRPr="00366F89">
        <w:rPr>
          <w:rFonts w:ascii="Verdana" w:eastAsia="Aptos" w:hAnsi="Verdana" w:cs="Times New Roman"/>
          <w:b/>
          <w:bCs/>
        </w:rPr>
        <w:t>Guía para la comprensión e implementación de los Documentos Tipo de obra pública de infraestructura de transporte</w:t>
      </w:r>
      <w:r w:rsidRPr="00366F89">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66F89">
        <w:rPr>
          <w:rFonts w:ascii="Verdana" w:eastAsia="Aptos" w:hAnsi="Verdana" w:cs="Times New Roman"/>
        </w:rPr>
        <w:br/>
      </w:r>
      <w:hyperlink r:id="rId15" w:tgtFrame="_new" w:history="1">
        <w:r w:rsidRPr="00366F89">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7D2EE6FB" w14:textId="77777777" w:rsidR="00277DDE" w:rsidRPr="00366F89" w:rsidRDefault="00277DDE" w:rsidP="00277DDE">
      <w:pPr>
        <w:spacing w:before="120" w:after="0" w:line="276" w:lineRule="auto"/>
        <w:ind w:firstLine="708"/>
        <w:jc w:val="both"/>
        <w:rPr>
          <w:rFonts w:ascii="Verdana" w:eastAsia="Aptos" w:hAnsi="Verdana" w:cs="Times New Roman"/>
        </w:rPr>
      </w:pPr>
      <w:r w:rsidRPr="00366F89">
        <w:rPr>
          <w:rFonts w:ascii="Verdana" w:eastAsia="Aptos" w:hAnsi="Verdana" w:cs="Times New Roman"/>
        </w:rPr>
        <w:t xml:space="preserve">Por último, lo invitamos a seguirnos en las redes sociales en las cuales se difunde información institucional: </w:t>
      </w:r>
    </w:p>
    <w:p w14:paraId="0B602552" w14:textId="77777777" w:rsidR="00277DDE" w:rsidRPr="00366F89" w:rsidRDefault="00277DDE" w:rsidP="00277DDE">
      <w:pPr>
        <w:spacing w:after="0" w:line="276" w:lineRule="auto"/>
        <w:jc w:val="both"/>
        <w:rPr>
          <w:rFonts w:ascii="Verdana" w:eastAsia="Aptos" w:hAnsi="Verdana" w:cs="Times New Roman"/>
        </w:rPr>
      </w:pPr>
    </w:p>
    <w:p w14:paraId="02847144" w14:textId="77777777" w:rsidR="00277DDE" w:rsidRPr="00366F89" w:rsidRDefault="00277DDE" w:rsidP="00277DDE">
      <w:pPr>
        <w:spacing w:after="0" w:line="276" w:lineRule="auto"/>
        <w:jc w:val="both"/>
        <w:rPr>
          <w:rFonts w:ascii="Verdana" w:eastAsia="Aptos" w:hAnsi="Verdana" w:cs="Times New Roman"/>
        </w:rPr>
      </w:pPr>
      <w:r w:rsidRPr="00366F89">
        <w:rPr>
          <w:rFonts w:ascii="Verdana" w:eastAsia="Aptos" w:hAnsi="Verdana" w:cs="Times New Roman"/>
        </w:rPr>
        <w:t xml:space="preserve">Twitter: </w:t>
      </w:r>
      <w:r w:rsidRPr="00366F89">
        <w:rPr>
          <w:rFonts w:ascii="Verdana" w:eastAsia="Aptos" w:hAnsi="Verdana" w:cs="Arial"/>
          <w:u w:val="single"/>
          <w:shd w:val="clear" w:color="auto" w:fill="FFFFFF"/>
          <w:lang w:val="es-ES"/>
        </w:rPr>
        <w:t>@colombiacompra</w:t>
      </w:r>
      <w:r w:rsidRPr="00366F89">
        <w:rPr>
          <w:rFonts w:ascii="Verdana" w:eastAsia="Aptos" w:hAnsi="Verdana" w:cs="Times New Roman"/>
        </w:rPr>
        <w:t xml:space="preserve"> </w:t>
      </w:r>
    </w:p>
    <w:p w14:paraId="2DF9F334" w14:textId="77777777" w:rsidR="00277DDE" w:rsidRPr="00366F89" w:rsidRDefault="00277DDE" w:rsidP="00277DDE">
      <w:pPr>
        <w:spacing w:after="0" w:line="276" w:lineRule="auto"/>
        <w:jc w:val="both"/>
        <w:rPr>
          <w:rFonts w:ascii="Verdana" w:eastAsia="Aptos" w:hAnsi="Verdana" w:cs="Times New Roman"/>
        </w:rPr>
      </w:pPr>
      <w:r w:rsidRPr="00366F89">
        <w:rPr>
          <w:rFonts w:ascii="Verdana" w:eastAsia="Aptos" w:hAnsi="Verdana" w:cs="Times New Roman"/>
        </w:rPr>
        <w:t xml:space="preserve">Facebook: </w:t>
      </w:r>
      <w:proofErr w:type="spellStart"/>
      <w:r w:rsidRPr="00366F89">
        <w:rPr>
          <w:rFonts w:ascii="Verdana" w:eastAsia="Aptos" w:hAnsi="Verdana" w:cs="Arial"/>
          <w:u w:val="single"/>
          <w:shd w:val="clear" w:color="auto" w:fill="FFFFFF"/>
          <w:lang w:val="es-ES"/>
        </w:rPr>
        <w:t>ColombiaCompraEficiente</w:t>
      </w:r>
      <w:proofErr w:type="spellEnd"/>
    </w:p>
    <w:p w14:paraId="68F3DFE4" w14:textId="77777777" w:rsidR="00277DDE" w:rsidRPr="00366F89" w:rsidRDefault="00277DDE" w:rsidP="00277DDE">
      <w:pPr>
        <w:spacing w:after="0" w:line="276" w:lineRule="auto"/>
        <w:jc w:val="both"/>
        <w:rPr>
          <w:rFonts w:ascii="Verdana" w:eastAsia="Aptos" w:hAnsi="Verdana" w:cs="Times New Roman"/>
        </w:rPr>
      </w:pPr>
      <w:r w:rsidRPr="00366F89">
        <w:rPr>
          <w:rFonts w:ascii="Verdana" w:eastAsia="Aptos" w:hAnsi="Verdana" w:cs="Times New Roman"/>
        </w:rPr>
        <w:t xml:space="preserve">LinkedIn: </w:t>
      </w:r>
      <w:r w:rsidRPr="00366F89">
        <w:rPr>
          <w:rFonts w:ascii="Verdana" w:eastAsia="Aptos" w:hAnsi="Verdana" w:cs="Arial"/>
          <w:u w:val="single"/>
          <w:shd w:val="clear" w:color="auto" w:fill="FFFFFF"/>
          <w:lang w:val="es-ES"/>
        </w:rPr>
        <w:t>Agencia Nacional de Contratación Pública - Colombia Compra Eficiente</w:t>
      </w:r>
      <w:r w:rsidRPr="00366F89">
        <w:rPr>
          <w:rFonts w:ascii="Verdana" w:eastAsia="Aptos" w:hAnsi="Verdana" w:cs="Times New Roman"/>
        </w:rPr>
        <w:t xml:space="preserve"> Instagram: </w:t>
      </w:r>
      <w:r w:rsidRPr="00366F89">
        <w:rPr>
          <w:rFonts w:ascii="Verdana" w:eastAsia="Aptos" w:hAnsi="Verdana" w:cs="Arial"/>
          <w:u w:val="single"/>
          <w:shd w:val="clear" w:color="auto" w:fill="FFFFFF"/>
          <w:lang w:val="es-ES"/>
        </w:rPr>
        <w:t>@colombiacompraeficiente_cce</w:t>
      </w:r>
    </w:p>
    <w:p w14:paraId="6EE1220A" w14:textId="77777777" w:rsidR="00277DDE" w:rsidRPr="00366F89" w:rsidRDefault="00277DDE" w:rsidP="00277DDE">
      <w:pPr>
        <w:widowControl w:val="0"/>
        <w:autoSpaceDE w:val="0"/>
        <w:autoSpaceDN w:val="0"/>
        <w:spacing w:after="0" w:line="276" w:lineRule="auto"/>
        <w:jc w:val="both"/>
        <w:rPr>
          <w:rFonts w:ascii="Verdana" w:eastAsia="Aptos" w:hAnsi="Verdana" w:cs="Arial"/>
        </w:rPr>
      </w:pPr>
    </w:p>
    <w:p w14:paraId="4DE3CF45" w14:textId="77777777" w:rsidR="00277DDE" w:rsidRPr="00366F89" w:rsidRDefault="00277DDE" w:rsidP="00277DDE">
      <w:pPr>
        <w:widowControl w:val="0"/>
        <w:autoSpaceDE w:val="0"/>
        <w:autoSpaceDN w:val="0"/>
        <w:spacing w:after="0" w:line="276" w:lineRule="auto"/>
        <w:jc w:val="both"/>
        <w:rPr>
          <w:rFonts w:ascii="Verdana" w:eastAsia="Aptos" w:hAnsi="Verdana" w:cs="Arial"/>
          <w:lang w:val="es-ES_tradnl"/>
        </w:rPr>
      </w:pPr>
      <w:r w:rsidRPr="00366F89">
        <w:rPr>
          <w:rFonts w:ascii="Verdana" w:eastAsia="Aptos" w:hAnsi="Verdana" w:cs="Arial"/>
        </w:rPr>
        <w:t xml:space="preserve">Este concepto tiene el alcance previsto en el artículo 28 del Código de Procedimiento Administrativo y de lo Contencioso Administrativo </w:t>
      </w:r>
      <w:r w:rsidRPr="00366F89">
        <w:rPr>
          <w:rFonts w:ascii="Verdana" w:eastAsia="Aptos" w:hAnsi="Verdana" w:cs="Arial"/>
          <w:lang w:val="es-ES_tradnl"/>
        </w:rPr>
        <w:t>y las expresiones aquí utilizadas con mayúscula inicial deben ser entendidas con el significado que les otorga el artículo 2.2.1.1.1.3.1. del Decreto 1082 de 2015.</w:t>
      </w:r>
    </w:p>
    <w:p w14:paraId="37936ACD" w14:textId="77777777" w:rsidR="00277DDE" w:rsidRPr="00366F89" w:rsidRDefault="00277DDE" w:rsidP="00277DDE">
      <w:pPr>
        <w:widowControl w:val="0"/>
        <w:autoSpaceDE w:val="0"/>
        <w:autoSpaceDN w:val="0"/>
        <w:spacing w:after="0" w:line="276" w:lineRule="auto"/>
        <w:jc w:val="both"/>
        <w:rPr>
          <w:rFonts w:ascii="Verdana" w:eastAsia="Aptos" w:hAnsi="Verdana" w:cs="Arial"/>
        </w:rPr>
      </w:pPr>
    </w:p>
    <w:p w14:paraId="2D75010E" w14:textId="77777777" w:rsidR="00277DDE" w:rsidRPr="00366F89" w:rsidRDefault="00277DDE" w:rsidP="00277DDE">
      <w:pPr>
        <w:spacing w:after="0" w:line="276" w:lineRule="auto"/>
        <w:rPr>
          <w:rFonts w:ascii="Verdana" w:eastAsia="Aptos" w:hAnsi="Verdana" w:cs="Arial"/>
          <w:lang w:eastAsia="es-CO"/>
        </w:rPr>
      </w:pPr>
      <w:r w:rsidRPr="00366F89">
        <w:rPr>
          <w:rFonts w:ascii="Verdana" w:eastAsia="Times New Roman" w:hAnsi="Verdana" w:cs="Arial"/>
          <w:lang w:eastAsia="es-CO"/>
        </w:rPr>
        <w:t>Atentamente,</w:t>
      </w:r>
      <w:r w:rsidRPr="00366F89">
        <w:rPr>
          <w:rFonts w:ascii="Verdana" w:eastAsia="Aptos" w:hAnsi="Verdana" w:cs="Arial"/>
          <w:lang w:eastAsia="es-CO"/>
        </w:rPr>
        <w:t xml:space="preserve"> </w:t>
      </w:r>
    </w:p>
    <w:p w14:paraId="7CB653F8" w14:textId="77777777" w:rsidR="00277DDE" w:rsidRPr="00366F89" w:rsidRDefault="00277DDE" w:rsidP="00277DDE">
      <w:pPr>
        <w:spacing w:after="0" w:line="276" w:lineRule="auto"/>
        <w:jc w:val="center"/>
        <w:rPr>
          <w:rFonts w:ascii="Verdana" w:eastAsia="Aptos" w:hAnsi="Verdana" w:cs="Arial"/>
          <w:lang w:val="es-ES_tradnl" w:eastAsia="es-CO"/>
        </w:rPr>
      </w:pPr>
    </w:p>
    <w:p w14:paraId="79C041C8" w14:textId="3B39D7A5" w:rsidR="00277DDE" w:rsidRPr="00366F89" w:rsidRDefault="008B0C20" w:rsidP="00277DDE">
      <w:pPr>
        <w:spacing w:after="0" w:line="276" w:lineRule="auto"/>
        <w:jc w:val="center"/>
        <w:rPr>
          <w:rFonts w:ascii="Verdana" w:eastAsia="Aptos" w:hAnsi="Verdana" w:cs="Arial"/>
          <w:lang w:val="es-ES_tradnl" w:eastAsia="es-CO"/>
        </w:rPr>
      </w:pPr>
      <w:r>
        <w:rPr>
          <w:noProof/>
        </w:rPr>
        <w:drawing>
          <wp:inline distT="0" distB="0" distL="0" distR="0" wp14:anchorId="3512B347" wp14:editId="29747892">
            <wp:extent cx="3257550" cy="1390650"/>
            <wp:effectExtent l="0" t="0" r="0" b="0"/>
            <wp:docPr id="16063160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7550" cy="139065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277DDE" w:rsidRPr="00366F89" w14:paraId="68C48640" w14:textId="77777777" w:rsidTr="00015DF7">
        <w:trPr>
          <w:trHeight w:val="286"/>
        </w:trPr>
        <w:tc>
          <w:tcPr>
            <w:tcW w:w="901" w:type="dxa"/>
            <w:vAlign w:val="center"/>
            <w:hideMark/>
          </w:tcPr>
          <w:p w14:paraId="5FA89D0D"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lastRenderedPageBreak/>
              <w:t>Elaboró:</w:t>
            </w:r>
          </w:p>
        </w:tc>
        <w:tc>
          <w:tcPr>
            <w:tcW w:w="4344" w:type="dxa"/>
            <w:tcBorders>
              <w:top w:val="nil"/>
              <w:left w:val="nil"/>
              <w:bottom w:val="dotted" w:sz="4" w:space="0" w:color="7F7F7F"/>
              <w:right w:val="nil"/>
            </w:tcBorders>
            <w:vAlign w:val="center"/>
            <w:hideMark/>
          </w:tcPr>
          <w:p w14:paraId="629DDE40"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Nasly Yeana Mosquera Rivas</w:t>
            </w:r>
          </w:p>
          <w:p w14:paraId="5D6437FB"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Analista T2–06 de la Subdirección de Gestión Contractual</w:t>
            </w:r>
          </w:p>
        </w:tc>
      </w:tr>
      <w:tr w:rsidR="00277DDE" w:rsidRPr="00366F89" w14:paraId="03F8F53B" w14:textId="77777777" w:rsidTr="00015DF7">
        <w:trPr>
          <w:trHeight w:val="299"/>
        </w:trPr>
        <w:tc>
          <w:tcPr>
            <w:tcW w:w="901" w:type="dxa"/>
            <w:vAlign w:val="center"/>
          </w:tcPr>
          <w:p w14:paraId="565F3EEF"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1EFE3011" w14:textId="77777777" w:rsidR="00277DDE" w:rsidRPr="00366F89" w:rsidRDefault="00277DDE" w:rsidP="00015DF7">
            <w:pPr>
              <w:rPr>
                <w:rFonts w:ascii="Verdana" w:eastAsia="Aptos" w:hAnsi="Verdana" w:cs="Arial"/>
                <w:sz w:val="14"/>
                <w:szCs w:val="14"/>
                <w:lang w:eastAsia="es-ES"/>
              </w:rPr>
            </w:pPr>
            <w:r>
              <w:rPr>
                <w:rFonts w:ascii="Verdana" w:eastAsia="Aptos" w:hAnsi="Verdana" w:cs="Arial"/>
                <w:sz w:val="14"/>
                <w:szCs w:val="14"/>
                <w:lang w:eastAsia="es-ES"/>
              </w:rPr>
              <w:t>Juan David Cárdenas Cabeza</w:t>
            </w:r>
          </w:p>
          <w:p w14:paraId="1886BC78"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Contratista de la Subdirección de Gestión Contractual</w:t>
            </w:r>
          </w:p>
        </w:tc>
      </w:tr>
      <w:tr w:rsidR="00277DDE" w:rsidRPr="00366F89" w14:paraId="21DBF314" w14:textId="77777777" w:rsidTr="00015DF7">
        <w:trPr>
          <w:trHeight w:val="272"/>
        </w:trPr>
        <w:tc>
          <w:tcPr>
            <w:tcW w:w="901" w:type="dxa"/>
            <w:vAlign w:val="center"/>
            <w:hideMark/>
          </w:tcPr>
          <w:p w14:paraId="00E47D4D"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8A7B489"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Carolina Quintero Gacharná</w:t>
            </w:r>
          </w:p>
          <w:p w14:paraId="34C5C323" w14:textId="77777777" w:rsidR="00277DDE" w:rsidRPr="00366F89" w:rsidRDefault="00277DDE" w:rsidP="00015DF7">
            <w:pPr>
              <w:rPr>
                <w:rFonts w:ascii="Verdana" w:eastAsia="Aptos" w:hAnsi="Verdana" w:cs="Arial"/>
                <w:sz w:val="14"/>
                <w:szCs w:val="14"/>
                <w:lang w:eastAsia="es-ES"/>
              </w:rPr>
            </w:pPr>
            <w:r w:rsidRPr="00366F89">
              <w:rPr>
                <w:rFonts w:ascii="Verdana" w:eastAsia="Aptos" w:hAnsi="Verdana" w:cs="Arial"/>
                <w:sz w:val="14"/>
                <w:szCs w:val="14"/>
                <w:lang w:eastAsia="es-ES"/>
              </w:rPr>
              <w:t>Subdirectora de Gestión Contractual ANCP – CCE</w:t>
            </w:r>
          </w:p>
        </w:tc>
      </w:tr>
    </w:tbl>
    <w:p w14:paraId="0E09062F" w14:textId="77777777" w:rsidR="00277DDE" w:rsidRPr="00366F89" w:rsidRDefault="00277DDE" w:rsidP="00277DDE">
      <w:pPr>
        <w:spacing w:after="0" w:line="240" w:lineRule="auto"/>
        <w:rPr>
          <w:rFonts w:ascii="Verdana" w:eastAsia="Times New Roman" w:hAnsi="Verdana" w:cs="Arial"/>
          <w:sz w:val="24"/>
          <w:szCs w:val="24"/>
          <w:lang w:eastAsia="es-ES"/>
        </w:rPr>
      </w:pPr>
    </w:p>
    <w:p w14:paraId="0B3EEA3B" w14:textId="77777777" w:rsidR="00277DDE" w:rsidRPr="00366F89" w:rsidRDefault="00277DDE" w:rsidP="00277DDE">
      <w:pPr>
        <w:rPr>
          <w:rFonts w:ascii="Verdana" w:eastAsia="Aptos" w:hAnsi="Verdana" w:cs="Times New Roman"/>
        </w:rPr>
      </w:pPr>
    </w:p>
    <w:p w14:paraId="07AC92E8" w14:textId="77777777" w:rsidR="00277DDE" w:rsidRPr="00366F89" w:rsidRDefault="00277DDE" w:rsidP="00277DDE">
      <w:pPr>
        <w:rPr>
          <w:rFonts w:ascii="Verdana" w:hAnsi="Verdana"/>
        </w:rPr>
      </w:pPr>
    </w:p>
    <w:p w14:paraId="028C8DF9" w14:textId="0A8B14B7" w:rsidR="00277DDE" w:rsidRPr="000E2B93" w:rsidRDefault="00277DDE" w:rsidP="00277DDE">
      <w:pPr>
        <w:spacing w:after="0" w:line="240" w:lineRule="auto"/>
        <w:textAlignment w:val="baseline"/>
        <w:rPr>
          <w:rFonts w:ascii="Verdana" w:eastAsia="Verdana" w:hAnsi="Verdana" w:cs="Verdana"/>
          <w:lang w:eastAsia="es-CO"/>
        </w:rPr>
      </w:pPr>
      <w:r w:rsidRPr="00366F89">
        <w:rPr>
          <w:rFonts w:ascii="Verdana" w:eastAsia="Verdana" w:hAnsi="Verdana" w:cs="Verdana"/>
          <w:lang w:eastAsia="es-CO"/>
        </w:rPr>
        <w:t> </w:t>
      </w:r>
      <w:bookmarkEnd w:id="0"/>
    </w:p>
    <w:sectPr w:rsidR="00277DDE" w:rsidRPr="000E2B93" w:rsidSect="00277DDE">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044C8" w14:textId="77777777" w:rsidR="00063E06" w:rsidRDefault="00063E06" w:rsidP="00277DDE">
      <w:pPr>
        <w:spacing w:after="0" w:line="240" w:lineRule="auto"/>
      </w:pPr>
      <w:r>
        <w:separator/>
      </w:r>
    </w:p>
  </w:endnote>
  <w:endnote w:type="continuationSeparator" w:id="0">
    <w:p w14:paraId="53CF479B" w14:textId="77777777" w:rsidR="00063E06" w:rsidRDefault="00063E06" w:rsidP="00277D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A4405" w14:textId="77777777" w:rsidR="00277DDE" w:rsidRDefault="00277DDE">
    <w:pPr>
      <w:pStyle w:val="Piedepgina"/>
    </w:pPr>
  </w:p>
  <w:p w14:paraId="1DE05141" w14:textId="77777777" w:rsidR="00277DDE" w:rsidRPr="00174B77" w:rsidRDefault="00277DDE"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199F17F" w14:textId="77777777" w:rsidR="00277DDE" w:rsidRDefault="00277DDE"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9D26888" w14:textId="77777777" w:rsidR="00277DDE" w:rsidRPr="00E41027" w:rsidRDefault="00277DDE"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801099E" w14:textId="77777777" w:rsidR="00277DDE" w:rsidRDefault="00277DDE"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FE07F" w14:textId="77777777" w:rsidR="00063E06" w:rsidRDefault="00063E06" w:rsidP="00277DDE">
      <w:pPr>
        <w:spacing w:after="0" w:line="240" w:lineRule="auto"/>
      </w:pPr>
      <w:r>
        <w:separator/>
      </w:r>
    </w:p>
  </w:footnote>
  <w:footnote w:type="continuationSeparator" w:id="0">
    <w:p w14:paraId="7D751A4F" w14:textId="77777777" w:rsidR="00063E06" w:rsidRDefault="00063E06" w:rsidP="00277DDE">
      <w:pPr>
        <w:spacing w:after="0" w:line="240" w:lineRule="auto"/>
      </w:pPr>
      <w:r>
        <w:continuationSeparator/>
      </w:r>
    </w:p>
  </w:footnote>
  <w:footnote w:id="1">
    <w:p w14:paraId="342423CA" w14:textId="77777777" w:rsidR="00277DDE" w:rsidRPr="00817B60" w:rsidRDefault="00277DDE" w:rsidP="00277DDE">
      <w:pPr>
        <w:pStyle w:val="Textonotapie"/>
        <w:jc w:val="both"/>
        <w:rPr>
          <w:rFonts w:ascii="Verdana" w:hAnsi="Verdana" w:cs="Arial"/>
          <w:sz w:val="18"/>
          <w:szCs w:val="18"/>
          <w:lang w:val="es-ES"/>
        </w:rPr>
      </w:pPr>
      <w:r w:rsidRPr="00817B60">
        <w:rPr>
          <w:rStyle w:val="Refdenotaalpie"/>
          <w:rFonts w:ascii="Verdana" w:hAnsi="Verdana" w:cs="Arial"/>
          <w:sz w:val="18"/>
          <w:szCs w:val="18"/>
        </w:rPr>
        <w:footnoteRef/>
      </w:r>
      <w:r w:rsidRPr="00817B60">
        <w:rPr>
          <w:rFonts w:ascii="Verdana" w:hAnsi="Verdana" w:cs="Arial"/>
          <w:sz w:val="18"/>
          <w:szCs w:val="18"/>
        </w:rPr>
        <w:t xml:space="preserve">Frente a ello, esta Agencia en respuesta a consulta del 27 de septiembre de 2017, indicó, </w:t>
      </w:r>
      <w:r w:rsidRPr="00817B60">
        <w:rPr>
          <w:rFonts w:ascii="Verdana" w:eastAsia="Calibri" w:hAnsi="Verdana" w:cs="Arial"/>
          <w:sz w:val="18"/>
          <w:szCs w:val="18"/>
        </w:rPr>
        <w:t>«</w:t>
      </w:r>
      <w:r w:rsidRPr="00817B60">
        <w:rPr>
          <w:rFonts w:ascii="Verdana" w:hAnsi="Verdana" w:cs="Arial"/>
          <w:sz w:val="18"/>
          <w:szCs w:val="18"/>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817B60">
        <w:rPr>
          <w:rFonts w:ascii="Verdana" w:eastAsia="Calibri" w:hAnsi="Verdana" w:cs="Arial"/>
          <w:sz w:val="18"/>
          <w:szCs w:val="18"/>
        </w:rPr>
        <w:t>»</w:t>
      </w:r>
      <w:r w:rsidRPr="00817B60">
        <w:rPr>
          <w:rFonts w:ascii="Verdana" w:hAnsi="Verdana" w:cs="Arial"/>
          <w:sz w:val="18"/>
          <w:szCs w:val="18"/>
        </w:rPr>
        <w:t xml:space="preserve"> </w:t>
      </w:r>
      <w:r w:rsidRPr="00817B60">
        <w:rPr>
          <w:rFonts w:ascii="Verdana" w:hAnsi="Verdana" w:cs="Arial"/>
          <w:sz w:val="18"/>
          <w:szCs w:val="18"/>
          <w:lang w:val="es-ES"/>
        </w:rPr>
        <w:t>Radicación: Respuesta a consulta #4201714000006240 Temas: Contrato de consultoría Tipo de asunto consultado: Cómo se aplica y evalúa el factor multiplicador.</w:t>
      </w:r>
    </w:p>
    <w:p w14:paraId="697DDB9D" w14:textId="77777777" w:rsidR="00277DDE" w:rsidRPr="00817B60" w:rsidRDefault="00277DDE" w:rsidP="00277DDE">
      <w:pPr>
        <w:pStyle w:val="Textonotapie"/>
        <w:ind w:firstLine="708"/>
        <w:jc w:val="both"/>
        <w:rPr>
          <w:rFonts w:ascii="Verdana" w:hAnsi="Verdana" w:cs="Arial"/>
          <w:sz w:val="18"/>
          <w:szCs w:val="18"/>
          <w:lang w:val="es-ES"/>
        </w:rPr>
      </w:pPr>
    </w:p>
  </w:footnote>
  <w:footnote w:id="2">
    <w:p w14:paraId="1C5F1112" w14:textId="77777777" w:rsidR="00277DDE" w:rsidRPr="00817B60" w:rsidRDefault="00277DDE" w:rsidP="00277DDE">
      <w:pPr>
        <w:pStyle w:val="Textonotapie"/>
        <w:ind w:firstLine="708"/>
        <w:jc w:val="both"/>
        <w:rPr>
          <w:rFonts w:ascii="Verdana" w:hAnsi="Verdana" w:cs="Arial"/>
          <w:color w:val="000000" w:themeColor="text1"/>
          <w:sz w:val="18"/>
          <w:szCs w:val="18"/>
          <w:lang w:val="es-ES"/>
        </w:rPr>
      </w:pPr>
      <w:r w:rsidRPr="00817B60">
        <w:rPr>
          <w:rStyle w:val="Refdenotaalpie"/>
          <w:rFonts w:ascii="Verdana" w:hAnsi="Verdana" w:cs="Arial"/>
          <w:color w:val="000000" w:themeColor="text1"/>
          <w:sz w:val="18"/>
          <w:szCs w:val="18"/>
        </w:rPr>
        <w:footnoteRef/>
      </w:r>
      <w:r w:rsidRPr="00817B60">
        <w:rPr>
          <w:rFonts w:ascii="Verdana" w:hAnsi="Verdana" w:cs="Arial"/>
          <w:color w:val="000000" w:themeColor="text1"/>
          <w:sz w:val="18"/>
          <w:szCs w:val="18"/>
        </w:rPr>
        <w:t xml:space="preserve"> MARÍN CORTÉS, Fabian G., El precio. Serie: Las Cláusulas del Contrato Estatal, Ed. Jurídica Sánchez R. Bogotá, 2012. </w:t>
      </w:r>
      <w:r w:rsidRPr="00817B60">
        <w:rPr>
          <w:rFonts w:ascii="Verdana" w:hAnsi="Verdana" w:cs="Arial"/>
          <w:color w:val="000000" w:themeColor="text1"/>
          <w:sz w:val="18"/>
          <w:szCs w:val="18"/>
          <w:lang w:val="es-ES"/>
        </w:rPr>
        <w:t>pp. 64-65.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E9CC2" w14:textId="77777777" w:rsidR="00277DDE" w:rsidRDefault="00277DDE"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45EE925" wp14:editId="1822FA66">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0ECD940" wp14:editId="6957169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F708150" w14:textId="77777777" w:rsidR="00277DDE" w:rsidRDefault="00277DDE">
    <w:pPr>
      <w:pStyle w:val="Encabezado"/>
    </w:pPr>
  </w:p>
  <w:p w14:paraId="7A1DB4CC" w14:textId="77777777" w:rsidR="00277DDE" w:rsidRPr="004A305D" w:rsidRDefault="00277DDE" w:rsidP="00B01B1A">
    <w:pPr>
      <w:spacing w:after="0" w:line="120" w:lineRule="auto"/>
      <w:rPr>
        <w:rFonts w:ascii="Century Gothic" w:eastAsia="Geo" w:hAnsi="Century Gothic" w:cs="Geo"/>
        <w:sz w:val="16"/>
        <w:szCs w:val="16"/>
        <w:lang w:eastAsia="es-CO"/>
      </w:rPr>
    </w:pPr>
  </w:p>
  <w:p w14:paraId="60ADF509" w14:textId="77777777" w:rsidR="00277DDE" w:rsidRDefault="00277DDE" w:rsidP="00844AE9">
    <w:pPr>
      <w:spacing w:after="0" w:line="240" w:lineRule="auto"/>
      <w:rPr>
        <w:rFonts w:ascii="Verdana" w:hAnsi="Verdana"/>
        <w:sz w:val="24"/>
        <w:szCs w:val="24"/>
      </w:rPr>
    </w:pPr>
  </w:p>
  <w:p w14:paraId="0C9E4F16" w14:textId="77777777" w:rsidR="00277DDE" w:rsidRPr="00C925AC" w:rsidRDefault="00277DDE" w:rsidP="00844AE9">
    <w:pPr>
      <w:spacing w:after="0" w:line="240" w:lineRule="auto"/>
      <w:rPr>
        <w:rFonts w:ascii="Verdana" w:hAnsi="Verdana"/>
        <w:sz w:val="24"/>
        <w:szCs w:val="24"/>
      </w:rPr>
    </w:pPr>
  </w:p>
  <w:p w14:paraId="304CB94A" w14:textId="77777777" w:rsidR="00277DDE" w:rsidRPr="00C925AC" w:rsidRDefault="00277DD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DDE"/>
    <w:rsid w:val="00063E06"/>
    <w:rsid w:val="0024721C"/>
    <w:rsid w:val="00277DDE"/>
    <w:rsid w:val="00381663"/>
    <w:rsid w:val="008B0C20"/>
    <w:rsid w:val="008C2522"/>
    <w:rsid w:val="00930C78"/>
    <w:rsid w:val="00A975C0"/>
    <w:rsid w:val="00CE24B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98A5B"/>
  <w15:chartTrackingRefBased/>
  <w15:docId w15:val="{09D1607A-3D5C-4475-8CD4-E8D969443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DDE"/>
    <w:pPr>
      <w:spacing w:line="259" w:lineRule="auto"/>
    </w:pPr>
    <w:rPr>
      <w:kern w:val="0"/>
      <w:sz w:val="22"/>
      <w:szCs w:val="22"/>
      <w14:ligatures w14:val="none"/>
    </w:rPr>
  </w:style>
  <w:style w:type="paragraph" w:styleId="Ttulo1">
    <w:name w:val="heading 1"/>
    <w:basedOn w:val="Normal"/>
    <w:next w:val="Normal"/>
    <w:link w:val="Ttulo1Car"/>
    <w:uiPriority w:val="9"/>
    <w:qFormat/>
    <w:rsid w:val="00277D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77D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77DD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77DD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77DD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77DD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77DD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77DD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77DD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77DD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77DD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77DD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77DD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77DD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77DD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77DD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77DD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77DDE"/>
    <w:rPr>
      <w:rFonts w:eastAsiaTheme="majorEastAsia" w:cstheme="majorBidi"/>
      <w:color w:val="272727" w:themeColor="text1" w:themeTint="D8"/>
    </w:rPr>
  </w:style>
  <w:style w:type="paragraph" w:styleId="Ttulo">
    <w:name w:val="Title"/>
    <w:basedOn w:val="Normal"/>
    <w:next w:val="Normal"/>
    <w:link w:val="TtuloCar"/>
    <w:uiPriority w:val="10"/>
    <w:qFormat/>
    <w:rsid w:val="00277D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77DD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77DD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77DD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77DDE"/>
    <w:pPr>
      <w:spacing w:before="160"/>
      <w:jc w:val="center"/>
    </w:pPr>
    <w:rPr>
      <w:i/>
      <w:iCs/>
      <w:color w:val="404040" w:themeColor="text1" w:themeTint="BF"/>
    </w:rPr>
  </w:style>
  <w:style w:type="character" w:customStyle="1" w:styleId="CitaCar">
    <w:name w:val="Cita Car"/>
    <w:basedOn w:val="Fuentedeprrafopredeter"/>
    <w:link w:val="Cita"/>
    <w:uiPriority w:val="29"/>
    <w:rsid w:val="00277DDE"/>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277DDE"/>
    <w:pPr>
      <w:ind w:left="720"/>
      <w:contextualSpacing/>
    </w:pPr>
  </w:style>
  <w:style w:type="character" w:styleId="nfasisintenso">
    <w:name w:val="Intense Emphasis"/>
    <w:basedOn w:val="Fuentedeprrafopredeter"/>
    <w:uiPriority w:val="21"/>
    <w:qFormat/>
    <w:rsid w:val="00277DDE"/>
    <w:rPr>
      <w:i/>
      <w:iCs/>
      <w:color w:val="0F4761" w:themeColor="accent1" w:themeShade="BF"/>
    </w:rPr>
  </w:style>
  <w:style w:type="paragraph" w:styleId="Citadestacada">
    <w:name w:val="Intense Quote"/>
    <w:basedOn w:val="Normal"/>
    <w:next w:val="Normal"/>
    <w:link w:val="CitadestacadaCar"/>
    <w:uiPriority w:val="30"/>
    <w:qFormat/>
    <w:rsid w:val="00277D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77DDE"/>
    <w:rPr>
      <w:i/>
      <w:iCs/>
      <w:color w:val="0F4761" w:themeColor="accent1" w:themeShade="BF"/>
    </w:rPr>
  </w:style>
  <w:style w:type="character" w:styleId="Referenciaintensa">
    <w:name w:val="Intense Reference"/>
    <w:basedOn w:val="Fuentedeprrafopredeter"/>
    <w:uiPriority w:val="32"/>
    <w:qFormat/>
    <w:rsid w:val="00277DDE"/>
    <w:rPr>
      <w:b/>
      <w:bCs/>
      <w:smallCaps/>
      <w:color w:val="0F4761" w:themeColor="accent1" w:themeShade="BF"/>
      <w:spacing w:val="5"/>
    </w:rPr>
  </w:style>
  <w:style w:type="paragraph" w:styleId="Encabezado">
    <w:name w:val="header"/>
    <w:basedOn w:val="Normal"/>
    <w:link w:val="EncabezadoCar"/>
    <w:uiPriority w:val="99"/>
    <w:unhideWhenUsed/>
    <w:rsid w:val="00277DD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7DDE"/>
    <w:rPr>
      <w:kern w:val="0"/>
      <w:sz w:val="22"/>
      <w:szCs w:val="22"/>
      <w14:ligatures w14:val="none"/>
    </w:rPr>
  </w:style>
  <w:style w:type="paragraph" w:styleId="Piedepgina">
    <w:name w:val="footer"/>
    <w:basedOn w:val="Normal"/>
    <w:link w:val="PiedepginaCar"/>
    <w:uiPriority w:val="99"/>
    <w:unhideWhenUsed/>
    <w:rsid w:val="00277DD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7DDE"/>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77DD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77DDE"/>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77DDE"/>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277DDE"/>
    <w:rPr>
      <w:vertAlign w:val="superscript"/>
    </w:rPr>
  </w:style>
  <w:style w:type="character" w:customStyle="1" w:styleId="normaltextrun">
    <w:name w:val="normaltextrun"/>
    <w:basedOn w:val="Fuentedeprrafopredeter"/>
    <w:rsid w:val="00277DDE"/>
  </w:style>
  <w:style w:type="table" w:styleId="Tablaconcuadrcula">
    <w:name w:val="Table Grid"/>
    <w:basedOn w:val="Tablanormal"/>
    <w:uiPriority w:val="39"/>
    <w:qFormat/>
    <w:rsid w:val="00277DD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77DDE"/>
    <w:rPr>
      <w:color w:val="0000FF"/>
      <w:u w:val="single"/>
    </w:rPr>
  </w:style>
  <w:style w:type="paragraph" w:customStyle="1" w:styleId="Appelnotedebasde">
    <w:name w:val="Appel note de bas de..."/>
    <w:basedOn w:val="Normal"/>
    <w:link w:val="Refdenotaalpie"/>
    <w:rsid w:val="00277DDE"/>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277DD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77DDE"/>
  </w:style>
  <w:style w:type="paragraph" w:styleId="Sinespaciado">
    <w:name w:val="No Spacing"/>
    <w:uiPriority w:val="1"/>
    <w:qFormat/>
    <w:rsid w:val="00277DDE"/>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52FDBD-B25B-49A5-A8F8-A2C87E4B6A4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63B80B81-23F5-4796-96BE-71F4BD66D3D5}">
  <ds:schemaRefs>
    <ds:schemaRef ds:uri="http://schemas.microsoft.com/sharepoint/v3/contenttype/forms"/>
  </ds:schemaRefs>
</ds:datastoreItem>
</file>

<file path=customXml/itemProps3.xml><?xml version="1.0" encoding="utf-8"?>
<ds:datastoreItem xmlns:ds="http://schemas.openxmlformats.org/officeDocument/2006/customXml" ds:itemID="{097EA5B2-4E8C-4966-A5AE-80B326FE56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11</Pages>
  <Words>3479</Words>
  <Characters>19139</Characters>
  <Application>Microsoft Office Word</Application>
  <DocSecurity>0</DocSecurity>
  <Lines>159</Lines>
  <Paragraphs>45</Paragraphs>
  <ScaleCrop>false</ScaleCrop>
  <Company/>
  <LinksUpToDate>false</LinksUpToDate>
  <CharactersWithSpaces>22573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5</cp:revision>
  <dcterms:created xsi:type="dcterms:W3CDTF">2026-06-02T15:04:00Z</dcterms:created>
  <dcterms:modified xsi:type="dcterms:W3CDTF">2026-06-02T15:06:00Z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