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57183356" w:rsidR="00F51D39" w:rsidRPr="004C046B" w:rsidRDefault="00544464" w:rsidP="00F51D39">
      <w:pPr>
        <w:spacing w:after="0" w:line="240" w:lineRule="auto"/>
        <w:contextualSpacing/>
        <w:jc w:val="both"/>
        <w:rPr>
          <w:rFonts w:ascii="Verdana" w:eastAsia="Calibri" w:hAnsi="Verdana" w:cs="Arial"/>
          <w:b/>
          <w:bCs/>
          <w:lang w:eastAsia="es-ES"/>
        </w:rPr>
      </w:pPr>
      <w:bookmarkStart w:id="0" w:name="_Hlk230693044"/>
      <w:r>
        <w:rPr>
          <w:rFonts w:ascii="Verdana" w:eastAsia="Calibri" w:hAnsi="Verdana" w:cs="Arial"/>
          <w:b/>
          <w:bCs/>
          <w:lang w:eastAsia="es-ES"/>
        </w:rPr>
        <w:t>D</w:t>
      </w:r>
      <w:r w:rsidR="00F51D39">
        <w:rPr>
          <w:rFonts w:ascii="Verdana" w:eastAsia="Calibri" w:hAnsi="Verdana" w:cs="Arial"/>
          <w:b/>
          <w:bCs/>
          <w:lang w:eastAsia="es-ES"/>
        </w:rPr>
        <w:t>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N.°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Pr>
          <w:rFonts w:ascii="Verdana" w:eastAsia="Calibri" w:hAnsi="Verdana" w:cs="Arial"/>
          <w:sz w:val="20"/>
          <w:szCs w:val="20"/>
          <w:lang w:eastAsia="es-ES"/>
        </w:rPr>
        <w:lastRenderedPageBreak/>
        <w:t>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Ahora bien, la documentación para la acreditación de las condiciones bajo las cuales se otorga el puntaje depende del sujeto de que se trate, en la condición de empleador de PcD, los documentos están dispuestos en el artículo 2.2.1.2.4.2.7.4, el cual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meses aquí mencionado es diferente al término de un (1) año mencionado en el artículo 2.2.1.2.4.2.6 respecto de los emprendimientos y empresas de PcD.</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Para efectos de determinar el número mínimo de PcD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PcD a las plantas de personal de posibles proveedores, debe ser a través de contrato laboral con dedicación exclusiva, cuya definición le corresponde al Ministerio del Trabajo. Por otra parte, los documentos para acreditar la otra condición que es ser emprendimiento o empresa de PcD son los indicados en el artículo 2.2.1.2.4.2.6 y no los del artículo 2.2.1.2.4.2.7.4.</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PcD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Estos criterios aplican exclusivamente para el primer sujeto del sistema, es decir, los emprendimientos y empresas de PcD, y no para los empleadores de PcD.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 la inclusión de PcD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Pr>
          <w:rFonts w:ascii="Verdana" w:eastAsia="Calibri" w:hAnsi="Verdana" w:cs="Arial"/>
          <w:sz w:val="20"/>
          <w:szCs w:val="20"/>
          <w:lang w:eastAsia="es-ES"/>
        </w:rPr>
        <w:lastRenderedPageBreak/>
        <w:t>esta medida a través del SECOP, evaluando pertinencia, duración, objeto y nivel de especialización de cada contrato.</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PcD, no a los emprendimientos y empresas de PcD, dicha norma exige que al menos el 10% de la nómina esté en condición de discapacidad y opera únicamente cuando hay empate entre dos o más ofertas.</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PcD,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PcD: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Entidades de régimen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PcD.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ii)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75C6C21E" w14:textId="77777777" w:rsidR="00960D60" w:rsidRDefault="00960D60" w:rsidP="001B064E">
      <w:pPr>
        <w:spacing w:after="0"/>
        <w:rPr>
          <w:rFonts w:ascii="Verdana" w:hAnsi="Verdana"/>
          <w:lang w:val="es-ES_tradnl"/>
        </w:rPr>
      </w:pPr>
    </w:p>
    <w:p w14:paraId="62D221C9" w14:textId="1010C9BF" w:rsidR="001B064E" w:rsidRPr="00777292" w:rsidRDefault="00544464" w:rsidP="001B064E">
      <w:pPr>
        <w:spacing w:after="0"/>
        <w:rPr>
          <w:rFonts w:ascii="Verdana" w:hAnsi="Verdana"/>
          <w:lang w:val="es-ES_tradnl"/>
        </w:rPr>
      </w:pPr>
      <w:r w:rsidRPr="00544464">
        <w:rPr>
          <w:rFonts w:ascii="Verdana" w:hAnsi="Verdana"/>
          <w:noProof/>
        </w:rPr>
        <w:lastRenderedPageBreak/>
        <w:drawing>
          <wp:anchor distT="0" distB="0" distL="114300" distR="114300" simplePos="0" relativeHeight="251658240" behindDoc="1" locked="0" layoutInCell="1" allowOverlap="1" wp14:anchorId="1685508D" wp14:editId="56764F65">
            <wp:simplePos x="0" y="0"/>
            <wp:positionH relativeFrom="column">
              <wp:posOffset>3708400</wp:posOffset>
            </wp:positionH>
            <wp:positionV relativeFrom="paragraph">
              <wp:posOffset>49530</wp:posOffset>
            </wp:positionV>
            <wp:extent cx="2384425" cy="702945"/>
            <wp:effectExtent l="0" t="0" r="0" b="1905"/>
            <wp:wrapTight wrapText="bothSides">
              <wp:wrapPolygon edited="0">
                <wp:start x="0" y="0"/>
                <wp:lineTo x="0" y="21073"/>
                <wp:lineTo x="21399" y="21073"/>
                <wp:lineTo x="21399" y="0"/>
                <wp:lineTo x="0" y="0"/>
              </wp:wrapPolygon>
            </wp:wrapTight>
            <wp:docPr id="9064347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43477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84425" cy="702945"/>
                    </a:xfrm>
                    <a:prstGeom prst="rect">
                      <a:avLst/>
                    </a:prstGeom>
                  </pic:spPr>
                </pic:pic>
              </a:graphicData>
            </a:graphic>
            <wp14:sizeRelH relativeFrom="page">
              <wp14:pctWidth>0</wp14:pctWidth>
            </wp14:sizeRelH>
            <wp14:sizeRelV relativeFrom="page">
              <wp14:pctHeight>0</wp14:pctHeight>
            </wp14:sizeRelV>
          </wp:anchor>
        </w:drawing>
      </w:r>
      <w:r w:rsidR="00143FFF">
        <w:rPr>
          <w:rFonts w:ascii="Verdana" w:hAnsi="Verdana"/>
        </w:rPr>
        <w:t>Bogotá D.C., 09 de junio de 2026</w:t>
      </w:r>
    </w:p>
    <w:p w14:paraId="5DF4E0A1" w14:textId="5525EAFB" w:rsidR="008D5774" w:rsidRPr="00777292" w:rsidRDefault="008D5774" w:rsidP="008D5774">
      <w:pPr>
        <w:spacing w:after="0"/>
        <w:rPr>
          <w:rFonts w:ascii="Verdana" w:hAnsi="Verdana"/>
          <w:lang w:val="es-ES_tradnl"/>
        </w:rPr>
      </w:pPr>
    </w:p>
    <w:p w14:paraId="165A5F33" w14:textId="6FCAD463" w:rsidR="008D5774" w:rsidRPr="00777292" w:rsidRDefault="008D5774" w:rsidP="008D5774">
      <w:pPr>
        <w:spacing w:after="0" w:line="240" w:lineRule="auto"/>
        <w:rPr>
          <w:rFonts w:ascii="Verdana" w:hAnsi="Verdana"/>
          <w:lang w:val="es-ES"/>
        </w:rPr>
      </w:pPr>
      <w:bookmarkStart w:id="1" w:name="_Hlk143780582"/>
      <w:r>
        <w:rPr>
          <w:rFonts w:ascii="Verdana" w:eastAsia="Calibri" w:hAnsi="Verdana" w:cs="Arial"/>
          <w:lang w:val="es-ES" w:eastAsia="es-ES"/>
        </w:rPr>
        <w:t>Señora</w:t>
      </w:r>
    </w:p>
    <w:p w14:paraId="2402F1C9" w14:textId="0462908B" w:rsidR="008D5774" w:rsidRPr="006B694D" w:rsidRDefault="00127F4E" w:rsidP="008D5774">
      <w:pPr>
        <w:spacing w:after="0"/>
        <w:rPr>
          <w:rFonts w:ascii="Verdana" w:eastAsia="Calibri" w:hAnsi="Verdana" w:cs="Arial"/>
          <w:b/>
          <w:bCs/>
          <w:lang w:val="es-ES" w:eastAsia="es-ES"/>
        </w:rPr>
      </w:pPr>
      <w:r>
        <w:rPr>
          <w:rFonts w:ascii="Verdana" w:eastAsia="Calibri" w:hAnsi="Verdana" w:cs="Arial"/>
          <w:b/>
          <w:bCs/>
          <w:lang w:val="es-ES" w:eastAsia="es-ES"/>
        </w:rPr>
        <w:t>Sara Alvarado</w:t>
      </w:r>
    </w:p>
    <w:p w14:paraId="161EFC6C" w14:textId="65528AF4" w:rsidR="008D5774" w:rsidRPr="006B694D" w:rsidRDefault="00127F4E" w:rsidP="008D5774">
      <w:pPr>
        <w:spacing w:after="0"/>
        <w:rPr>
          <w:rStyle w:val="Hipervnculo"/>
          <w:rFonts w:ascii="Verdana" w:hAnsi="Verdana"/>
          <w:color w:val="ED7D31" w:themeColor="accent2"/>
        </w:rPr>
      </w:pPr>
      <w:r>
        <w:rPr>
          <w:rFonts w:ascii="Verdana" w:hAnsi="Verdana"/>
        </w:rPr>
        <w:t>ing.saito@hotmail.com</w:t>
      </w:r>
    </w:p>
    <w:p w14:paraId="61203DA3" w14:textId="6DA5E360" w:rsidR="001B6C7C" w:rsidRPr="00777292" w:rsidRDefault="000E7552" w:rsidP="001B6C7C">
      <w:pPr>
        <w:spacing w:after="0"/>
        <w:rPr>
          <w:rFonts w:ascii="Verdana" w:eastAsia="Calibri" w:hAnsi="Verdana" w:cs="Arial"/>
          <w:lang w:eastAsia="es-ES"/>
        </w:rPr>
      </w:pPr>
      <w:r>
        <w:rPr>
          <w:rFonts w:ascii="Verdana" w:eastAsia="Calibri" w:hAnsi="Verdana" w:cs="Arial"/>
          <w:lang w:eastAsia="es-ES"/>
        </w:rPr>
        <w:t>Bogotá, Cundinamarca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11723C28" w:rsidR="001B6C7C" w:rsidRPr="00777292" w:rsidRDefault="001B6C7C">
            <w:pPr>
              <w:jc w:val="both"/>
              <w:rPr>
                <w:rFonts w:ascii="Verdana" w:eastAsia="Calibri" w:hAnsi="Verdana" w:cs="Arial"/>
                <w:b/>
                <w:bCs/>
                <w:lang w:eastAsia="es-ES"/>
              </w:rPr>
            </w:pPr>
            <w:r>
              <w:rPr>
                <w:rFonts w:ascii="Verdana" w:eastAsia="Calibri" w:hAnsi="Verdana" w:cs="Arial"/>
                <w:b/>
                <w:bCs/>
                <w:lang w:eastAsia="es-ES"/>
              </w:rPr>
              <w:t>Concepto C-</w:t>
            </w:r>
            <w:r w:rsidR="000E7552">
              <w:rPr>
                <w:rFonts w:ascii="Verdana" w:eastAsia="Calibri" w:hAnsi="Verdana" w:cs="Arial"/>
                <w:b/>
                <w:bCs/>
                <w:lang w:eastAsia="es-ES"/>
              </w:rPr>
              <w:t>703</w:t>
            </w:r>
            <w:r>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Pr>
                <w:rFonts w:ascii="Verdana" w:eastAsia="Calibri" w:hAnsi="Verdana" w:cs="Arial"/>
                <w:b/>
                <w:lang w:eastAsia="es-ES_tradnl"/>
              </w:rPr>
              <w:t>Tema:</w:t>
            </w:r>
            <w:r>
              <w:rPr>
                <w:rFonts w:ascii="Verdana" w:eastAsia="Calibri" w:hAnsi="Verdana" w:cs="Arial"/>
                <w:lang w:eastAsia="es-ES_tradnl"/>
              </w:rPr>
              <w:t xml:space="preserve">                   </w:t>
            </w:r>
          </w:p>
        </w:tc>
        <w:tc>
          <w:tcPr>
            <w:tcW w:w="6100" w:type="dxa"/>
          </w:tcPr>
          <w:p w14:paraId="07B71920" w14:textId="77777777" w:rsidR="00D37910" w:rsidRDefault="00D37910" w:rsidP="00D37910">
            <w:pPr>
              <w:contextualSpacing/>
              <w:jc w:val="both"/>
              <w:rPr>
                <w:rFonts w:ascii="Verdana" w:eastAsia="Calibri" w:hAnsi="Verdana" w:cs="Arial"/>
                <w:lang w:eastAsia="es-ES"/>
              </w:rPr>
            </w:pPr>
            <w:r>
              <w:rPr>
                <w:rFonts w:ascii="Verdana" w:eastAsia="Calibri" w:hAnsi="Verdana" w:cs="Arial"/>
                <w:lang w:eastAsia="es-ES"/>
              </w:rPr>
              <w:t xml:space="preserve">DECRETO 0287 DE 2026 ‒ Sistema Integral de Preferencias ‒ Contratación pública inclusiva ‒ Personas con discapacidad / DECRETO 0287 DE 2026 ‒ Antecedentes normativos ‒ Decreto 392 de 2018 ‒ Omisiones reglamentarias ‒ Sentencia de acción de cumplimiento / DECRETO 0287 DE 2026 ‒ Sujetos del sistema ‒ Emprendimientos y empresas de personas con discapacidad ‒ Empleadores de personas con discapacidad ‒ Definición y diferenciación / DECRETO 0287 DE 2026 ‒ Puntaje adicional del 2% ‒ No acumulabilidad ‒ Acreditación simultánea de condiciones ‒ Modalidades de selección aplicables / DECRETO 0287 DE 2026 ‒ Puntaje adicional del 2% ‒ Vinculación de personas con discapacidad ‒ Planillas de seguridad social ‒ Período de tres meses ‒ Vinculaciones recientes / DECRETO 0287 DE 2026 ‒ Criterios habilitantes diferenciales ‒ Ajustados ‒ Obligatoriedad ‒ Proporcionalidad ‒ Proponentes plurales ‒ Consorcios y uniones temporales / DECRETO 0287 DE 2026 ‒ Condiciones especiales de ejecución ‒ Subcontratación inclusiva ‒ Integración del equipo de trabajo ‒ Obligatoriedad ‒ Justificación de omisión / DECRETO 0287 DE 2026 ‒ Documentos tipo ‒ Principio de inalterabilidad ‒ Régimen de transición ‒ Actualización ‒ Colombia Compra Eficiente / DECRETO 0287 DE 2026 ‒ Contratos de prestación de servicios ‒ personas con discapacidad ‒ Carácter potestativo ‒ Contratación directa / DECRETO 0287 DE 2026 ‒ Puntaje adicional del 2% ‒ Compatibilidad ‒ Incentivos MiPymes ‒ Empresas de mujeres ‒ Criterio de desempate ‒ Ley 2069 de 2020 / DECRETO 0287 DE 2026 ‒ Compras públicas accesibles ‒ Obligación transversal ‒ Ausencia de normas técnicas ‒ Ficha </w:t>
            </w:r>
            <w:r>
              <w:rPr>
                <w:rFonts w:ascii="Verdana" w:eastAsia="Calibri" w:hAnsi="Verdana" w:cs="Arial"/>
                <w:lang w:eastAsia="es-ES"/>
              </w:rPr>
              <w:lastRenderedPageBreak/>
              <w:t>técnica de accesibilidad ‒ Categorías de discapacidad /</w:t>
            </w:r>
            <w:r>
              <w:t xml:space="preserve"> </w:t>
            </w:r>
            <w:r>
              <w:rPr>
                <w:rFonts w:ascii="Verdana" w:eastAsia="Calibri" w:hAnsi="Verdana" w:cs="Arial"/>
                <w:lang w:eastAsia="es-ES"/>
              </w:rPr>
              <w:t>DECRETO 0287 DE 2026 ‒ Ejecución contractual ‒ Permanencia de condiciones ‒ Reducción de personas con discapacidad vinculadas ‒ Incumplimiento contractual / DECRETO 0287 DE 2026 ‒ Entidades de régimen especial ‒ Aplicación / DECRETO 0287 DE 2026 ‒ Vigencia ‒ Derogatoria ‒ Decreto 392 de 2018 ‒ Régimen de transición ‒ Resolución de apertura</w:t>
            </w:r>
          </w:p>
          <w:p w14:paraId="34C0CDD8" w14:textId="7D0BA071" w:rsidR="00D37910" w:rsidRPr="00777292" w:rsidRDefault="00D37910"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Pr>
                <w:rFonts w:ascii="Verdana" w:eastAsia="Calibri" w:hAnsi="Verdana" w:cs="Arial"/>
                <w:b/>
                <w:lang w:eastAsia="es-ES_tradnl"/>
              </w:rPr>
              <w:lastRenderedPageBreak/>
              <w:t>Radicación:</w:t>
            </w:r>
            <w:r>
              <w:rPr>
                <w:rFonts w:ascii="Verdana" w:eastAsia="Calibri" w:hAnsi="Verdana" w:cs="Arial"/>
                <w:lang w:eastAsia="es-ES_tradnl"/>
              </w:rPr>
              <w:t xml:space="preserve">               </w:t>
            </w:r>
          </w:p>
        </w:tc>
        <w:tc>
          <w:tcPr>
            <w:tcW w:w="6100" w:type="dxa"/>
          </w:tcPr>
          <w:p w14:paraId="7EDDA735" w14:textId="584252E7" w:rsidR="00D37910" w:rsidRPr="00777292" w:rsidRDefault="00D37910" w:rsidP="00D37910">
            <w:pPr>
              <w:jc w:val="both"/>
              <w:rPr>
                <w:rFonts w:ascii="Verdana" w:eastAsia="Calibri" w:hAnsi="Verdana" w:cs="Arial"/>
                <w:lang w:eastAsia="es-ES_tradnl"/>
              </w:rPr>
            </w:pPr>
            <w:r>
              <w:rPr>
                <w:rFonts w:ascii="Verdana" w:eastAsia="Calibri" w:hAnsi="Verdana" w:cs="Arial"/>
                <w:lang w:eastAsia="es-ES_tradnl"/>
              </w:rPr>
              <w:t xml:space="preserve">Respuesta a consulta con radicado </w:t>
            </w:r>
            <w:r w:rsidR="0092065E">
              <w:rPr>
                <w:rFonts w:ascii="Verdana" w:eastAsia="Calibri" w:hAnsi="Verdana" w:cs="Arial"/>
                <w:lang w:eastAsia="es-ES_tradnl"/>
              </w:rPr>
              <w:t xml:space="preserve">No. </w:t>
            </w:r>
            <w:r w:rsidR="0092065E" w:rsidRPr="000E7552">
              <w:rPr>
                <w:rFonts w:ascii="Verdana" w:eastAsia="Calibri" w:hAnsi="Verdana" w:cs="Arial"/>
                <w:lang w:eastAsia="es-ES_tradnl"/>
              </w:rPr>
              <w:t>1</w:t>
            </w:r>
            <w:r w:rsidR="000E7552" w:rsidRPr="000E7552">
              <w:rPr>
                <w:rFonts w:ascii="Verdana" w:eastAsia="Calibri" w:hAnsi="Verdana" w:cs="Arial"/>
                <w:lang w:eastAsia="es-ES_tradnl"/>
              </w:rPr>
              <w:t>_2026_04_28_005789</w:t>
            </w:r>
            <w:r w:rsidR="000E7552">
              <w:rPr>
                <w:rFonts w:ascii="Verdana" w:eastAsia="Calibri" w:hAnsi="Verdana" w:cs="Arial"/>
                <w:lang w:eastAsia="es-ES_tradnl"/>
              </w:rPr>
              <w:t xml:space="preserve"> y </w:t>
            </w:r>
            <w:r w:rsidR="000E7552" w:rsidRPr="000E7552">
              <w:rPr>
                <w:rFonts w:ascii="Verdana" w:eastAsia="Calibri" w:hAnsi="Verdana" w:cs="Arial"/>
                <w:lang w:eastAsia="es-ES_tradnl"/>
              </w:rPr>
              <w:t>1_2026_04_28_005791</w:t>
            </w:r>
            <w:r w:rsidR="000E7552">
              <w:rPr>
                <w:rFonts w:ascii="Verdana" w:eastAsia="Calibri" w:hAnsi="Verdana" w:cs="Arial"/>
                <w:lang w:eastAsia="es-ES_tradnl"/>
              </w:rPr>
              <w:t xml:space="preserve"> (</w:t>
            </w:r>
            <w:r w:rsidR="0092065E">
              <w:rPr>
                <w:rFonts w:ascii="Verdana" w:eastAsia="Calibri" w:hAnsi="Verdana" w:cs="Arial"/>
                <w:lang w:eastAsia="es-ES_tradnl"/>
              </w:rPr>
              <w:t>acumulada)</w:t>
            </w:r>
          </w:p>
        </w:tc>
      </w:tr>
    </w:tbl>
    <w:p w14:paraId="7B20ECE9" w14:textId="77777777"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503A8360"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t>Estimado señor</w:t>
      </w:r>
      <w:r w:rsidR="000E7552">
        <w:rPr>
          <w:rFonts w:ascii="Verdana" w:eastAsia="Calibri" w:hAnsi="Verdana" w:cs="Arial"/>
          <w:lang w:val="es-ES" w:eastAsia="es-ES"/>
        </w:rPr>
        <w:t>a</w:t>
      </w:r>
      <w:r>
        <w:rPr>
          <w:rFonts w:ascii="Verdana" w:eastAsia="Calibri" w:hAnsi="Verdana" w:cs="Arial"/>
          <w:lang w:val="es-ES" w:eastAsia="es-ES"/>
        </w:rPr>
        <w:t xml:space="preserve"> </w:t>
      </w:r>
      <w:r w:rsidR="000E7552">
        <w:rPr>
          <w:rFonts w:ascii="Verdana" w:eastAsia="Calibri" w:hAnsi="Verdana" w:cs="Arial"/>
          <w:lang w:val="es-ES" w:eastAsia="es-ES"/>
        </w:rPr>
        <w:t>Alvarado</w:t>
      </w:r>
      <w:r>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3426E35D" w14:textId="6BDC5947" w:rsidR="008D5774" w:rsidRPr="00206556" w:rsidRDefault="008D5774" w:rsidP="008D5774">
      <w:pPr>
        <w:spacing w:after="0" w:line="276" w:lineRule="auto"/>
        <w:jc w:val="both"/>
        <w:rPr>
          <w:rFonts w:ascii="Verdana" w:eastAsia="Calibri" w:hAnsi="Verdana" w:cs="Arial"/>
          <w:lang w:val="es-ES" w:eastAsia="es-ES"/>
        </w:rPr>
      </w:pPr>
      <w:r>
        <w:rPr>
          <w:rFonts w:ascii="Verdana" w:eastAsia="Calibri" w:hAnsi="Verdana" w:cs="Arial"/>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lang w:val="es-ES"/>
        </w:rPr>
        <w:t xml:space="preserve">así como lo establecido en la Resolución 469 de 2025 expedida por esta Entidad, </w:t>
      </w:r>
      <w:r>
        <w:rPr>
          <w:rFonts w:ascii="Verdana" w:eastAsia="Calibri" w:hAnsi="Verdana" w:cs="Arial"/>
          <w:lang w:val="es-ES" w:eastAsia="es-ES"/>
        </w:rPr>
        <w:t>la Agencia Nacional de Contratación Pública – Colombia Compra Eficiente– responde su solicitud de consulta de fecha 2</w:t>
      </w:r>
      <w:r w:rsidR="000E7552">
        <w:rPr>
          <w:rFonts w:ascii="Verdana" w:eastAsia="Calibri" w:hAnsi="Verdana" w:cs="Arial"/>
          <w:lang w:val="es-ES" w:eastAsia="es-ES"/>
        </w:rPr>
        <w:t>8</w:t>
      </w:r>
      <w:r>
        <w:rPr>
          <w:rFonts w:ascii="Verdana" w:eastAsia="Calibri" w:hAnsi="Verdana" w:cs="Arial"/>
          <w:lang w:val="es-ES" w:eastAsia="es-ES"/>
        </w:rPr>
        <w:t xml:space="preserve"> de abril de 2026, en la cual manifiesta lo siguiente: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07A0E538" w14:textId="66CD6F76" w:rsidR="008D5774" w:rsidRPr="000E7552" w:rsidRDefault="00377CDF" w:rsidP="000E7552">
      <w:pPr>
        <w:spacing w:before="120" w:after="120" w:line="240" w:lineRule="auto"/>
        <w:ind w:left="709" w:right="709"/>
        <w:contextualSpacing/>
        <w:jc w:val="both"/>
        <w:rPr>
          <w:rFonts w:ascii="Verdana" w:eastAsia="Calibri" w:hAnsi="Verdana" w:cs="Arial"/>
          <w:sz w:val="20"/>
          <w:szCs w:val="20"/>
          <w:lang w:val="es-ES" w:eastAsia="es-ES"/>
        </w:rPr>
      </w:pPr>
      <w:r>
        <w:rPr>
          <w:rFonts w:ascii="Verdana" w:eastAsia="Century Gothic" w:hAnsi="Verdana" w:cs="Century Gothic"/>
          <w:sz w:val="20"/>
          <w:szCs w:val="20"/>
        </w:rPr>
        <w:t>“</w:t>
      </w:r>
      <w:r w:rsidR="000E7552" w:rsidRPr="000E7552">
        <w:rPr>
          <w:rFonts w:ascii="Verdana" w:eastAsia="Century Gothic" w:hAnsi="Verdana" w:cs="Century Gothic"/>
          <w:sz w:val="20"/>
          <w:szCs w:val="20"/>
        </w:rPr>
        <w:t xml:space="preserve">1. Se informe si, durante la expedición del Decreto 0287 de 2026, se evaluó el impacto diferencial de esta medida en micro y pequeñas empresas. 2. Se indique si existen lineamientos o criterios que permitan una aplicación proporcional del artículo 2.2.1.2.4.2.7.4 para empresas con plantas de personal reducidas. 3. Se estudie la posibilidad de ajustar o reglamentar de manera diferenciada este criterio para micro y pequeñas empresas, teniendo en cuenta su capacidad económica y operativa. 4. Se informe </w:t>
      </w:r>
      <w:proofErr w:type="spellStart"/>
      <w:r w:rsidR="000E7552" w:rsidRPr="000E7552">
        <w:rPr>
          <w:rFonts w:ascii="Verdana" w:eastAsia="Century Gothic" w:hAnsi="Verdana" w:cs="Century Gothic"/>
          <w:sz w:val="20"/>
          <w:szCs w:val="20"/>
        </w:rPr>
        <w:t>cul</w:t>
      </w:r>
      <w:proofErr w:type="spellEnd"/>
      <w:r w:rsidR="000E7552" w:rsidRPr="000E7552">
        <w:rPr>
          <w:rFonts w:ascii="Verdana" w:eastAsia="Century Gothic" w:hAnsi="Verdana" w:cs="Century Gothic"/>
          <w:sz w:val="20"/>
          <w:szCs w:val="20"/>
        </w:rPr>
        <w:t xml:space="preserve"> es la entidad competente para promover modificaciones a esta regulación.”</w:t>
      </w:r>
      <w:r w:rsidR="009502B2">
        <w:rPr>
          <w:rFonts w:ascii="Verdana" w:eastAsia="Calibri" w:hAnsi="Verdana" w:cs="Arial"/>
          <w:sz w:val="20"/>
          <w:szCs w:val="20"/>
          <w:lang w:val="es-ES" w:eastAsia="es-ES"/>
        </w:rPr>
        <w:t xml:space="preserve">.” </w:t>
      </w:r>
      <w:r w:rsidR="009502B2">
        <w:rPr>
          <w:rFonts w:ascii="Verdana" w:hAnsi="Verdana"/>
          <w:sz w:val="20"/>
          <w:szCs w:val="20"/>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Default="008D5774" w:rsidP="008D5774">
      <w:pPr>
        <w:spacing w:after="0" w:line="276" w:lineRule="auto"/>
        <w:ind w:firstLine="709"/>
        <w:jc w:val="both"/>
        <w:rPr>
          <w:rFonts w:ascii="Verdana" w:eastAsia="Calibri" w:hAnsi="Verdana" w:cs="Arial"/>
          <w:lang w:val="es-ES" w:eastAsia="es-ES"/>
        </w:rPr>
      </w:pPr>
    </w:p>
    <w:p w14:paraId="0839449B" w14:textId="77777777" w:rsidR="009502B2" w:rsidRDefault="009502B2" w:rsidP="008D5774">
      <w:pPr>
        <w:spacing w:after="0" w:line="276" w:lineRule="auto"/>
        <w:ind w:firstLine="709"/>
        <w:jc w:val="both"/>
        <w:rPr>
          <w:rFonts w:ascii="Verdana" w:eastAsia="Calibri" w:hAnsi="Verdana" w:cs="Arial"/>
          <w:lang w:val="es-ES" w:eastAsia="es-ES"/>
        </w:rPr>
      </w:pPr>
    </w:p>
    <w:p w14:paraId="4470CF1D" w14:textId="77777777" w:rsidR="009502B2" w:rsidRDefault="009502B2" w:rsidP="008D5774">
      <w:pPr>
        <w:spacing w:after="0" w:line="276" w:lineRule="auto"/>
        <w:ind w:firstLine="709"/>
        <w:jc w:val="both"/>
        <w:rPr>
          <w:rFonts w:ascii="Verdana" w:eastAsia="Calibri" w:hAnsi="Verdana" w:cs="Arial"/>
          <w:lang w:val="es-ES" w:eastAsia="es-ES"/>
        </w:rPr>
      </w:pPr>
    </w:p>
    <w:p w14:paraId="7525FA4B" w14:textId="77777777" w:rsidR="009502B2" w:rsidRPr="00206556" w:rsidRDefault="009502B2"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Pr>
          <w:rFonts w:ascii="Verdana" w:eastAsia="Century Gothic" w:hAnsi="Verdana" w:cs="Century Gothic"/>
          <w:b/>
          <w:lang w:val="es-ES"/>
        </w:rPr>
        <w:lastRenderedPageBreak/>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0FD0DFCB" w14:textId="4F1161B0" w:rsidR="008D5774" w:rsidRDefault="008D5774" w:rsidP="008D5774">
      <w:pPr>
        <w:spacing w:after="0" w:line="276" w:lineRule="auto"/>
        <w:jc w:val="both"/>
        <w:rPr>
          <w:rFonts w:ascii="Verdana" w:eastAsia="Century Gothic" w:hAnsi="Verdana" w:cs="Century Gothic"/>
        </w:rPr>
      </w:pPr>
      <w:r>
        <w:rPr>
          <w:rFonts w:ascii="Verdana" w:eastAsia="Century Gothic" w:hAnsi="Verdana" w:cs="Century Gothic"/>
          <w:lang w:val="es-ES"/>
        </w:rPr>
        <w:t xml:space="preserve">De acuerdo con el contenido de su solicitud, esta Agencia resolverá el siguiente problema jurídico: </w:t>
      </w:r>
      <w:proofErr w:type="gramStart"/>
      <w:r w:rsidR="000E7552" w:rsidRPr="000E7552">
        <w:rPr>
          <w:rFonts w:ascii="Verdana" w:eastAsia="Century Gothic" w:hAnsi="Verdana" w:cs="Century Gothic"/>
        </w:rPr>
        <w:t>¿El sistema de puntaje adicional previsto en el artículo 2.</w:t>
      </w:r>
      <w:proofErr w:type="gramEnd"/>
      <w:r w:rsidR="000E7552" w:rsidRPr="000E7552">
        <w:rPr>
          <w:rFonts w:ascii="Verdana" w:eastAsia="Century Gothic" w:hAnsi="Verdana" w:cs="Century Gothic"/>
        </w:rPr>
        <w:t xml:space="preserve">2.1.2.4.2.7.4 del Decreto 287 de 2026 contempla criterios diferenciales o mecanismos de aplicación proporcional para las micro y pequeñas empresas y, en caso contrario, </w:t>
      </w:r>
      <w:proofErr w:type="gramStart"/>
      <w:r w:rsidR="000E7552" w:rsidRPr="000E7552">
        <w:rPr>
          <w:rFonts w:ascii="Verdana" w:eastAsia="Century Gothic" w:hAnsi="Verdana" w:cs="Century Gothic"/>
        </w:rPr>
        <w:t>cuál es la autoridad competente para promover modificaciones a dicha regulación?</w:t>
      </w:r>
      <w:proofErr w:type="gramEnd"/>
    </w:p>
    <w:p w14:paraId="47BFE32D" w14:textId="77777777" w:rsidR="009502B2" w:rsidRPr="009502B2" w:rsidRDefault="009502B2" w:rsidP="008D5774">
      <w:pPr>
        <w:spacing w:after="0" w:line="276" w:lineRule="auto"/>
        <w:jc w:val="both"/>
        <w:rPr>
          <w:rFonts w:ascii="Verdana" w:eastAsia="Century Gothic" w:hAnsi="Verdana" w:cs="Century Gothic"/>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2BE82928" w14:textId="2D4190B2" w:rsidR="000E7552" w:rsidRDefault="005510BC" w:rsidP="00AD17AD">
            <w:pPr>
              <w:spacing w:before="120" w:after="120" w:line="276" w:lineRule="auto"/>
              <w:jc w:val="both"/>
              <w:rPr>
                <w:rFonts w:ascii="Verdana" w:eastAsia="Calibri" w:hAnsi="Verdana" w:cs="Arial"/>
              </w:rPr>
            </w:pPr>
            <w:r>
              <w:rPr>
                <w:rFonts w:ascii="Verdana" w:eastAsia="Calibri" w:hAnsi="Verdana" w:cs="Arial"/>
              </w:rPr>
              <w:t xml:space="preserve">(i) frente a la evaluación del impacto diferencial en micro y pequeñas empresas durante la expedición del decreto, debe indicarse que el Decreto 287 de 2026 fue expedido por el Gobierno Nacional en cumplimiento </w:t>
            </w:r>
            <w:r w:rsidR="0005065E">
              <w:rPr>
                <w:rFonts w:ascii="Verdana" w:eastAsia="Calibri" w:hAnsi="Verdana" w:cs="Arial"/>
              </w:rPr>
              <w:t xml:space="preserve">de la orden dada por el Consejo de Estado, Sección Quinta de la Sala de lo Contencioso Administrativo, mediante sentencia de acción de cumplimiento del 12 de diciembre de 2024, radicación </w:t>
            </w:r>
            <w:proofErr w:type="spellStart"/>
            <w:r w:rsidR="0005065E">
              <w:rPr>
                <w:rFonts w:ascii="Verdana" w:eastAsia="Calibri" w:hAnsi="Verdana" w:cs="Arial"/>
              </w:rPr>
              <w:t>N.°</w:t>
            </w:r>
            <w:proofErr w:type="spellEnd"/>
            <w:r w:rsidR="0005065E">
              <w:rPr>
                <w:rFonts w:ascii="Verdana" w:eastAsia="Calibri" w:hAnsi="Verdana" w:cs="Arial"/>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0005065E">
              <w:rPr>
                <w:rFonts w:ascii="Verdana" w:eastAsia="Calibri" w:hAnsi="Verdana" w:cs="Arial"/>
              </w:rPr>
              <w:t>PcD</w:t>
            </w:r>
            <w:proofErr w:type="spellEnd"/>
            <w:r w:rsidR="0005065E">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r w:rsidR="000E7552">
              <w:rPr>
                <w:rFonts w:ascii="Verdana" w:eastAsia="Calibri" w:hAnsi="Verdana" w:cs="Arial"/>
              </w:rPr>
              <w:t xml:space="preserve"> </w:t>
            </w:r>
            <w:r w:rsidR="0005065E">
              <w:rPr>
                <w:rFonts w:ascii="Verdana" w:eastAsia="Calibri" w:hAnsi="Verdana" w:cs="Arial"/>
              </w:rPr>
              <w:t>S</w:t>
            </w:r>
            <w:r w:rsidR="000E7552">
              <w:rPr>
                <w:rFonts w:ascii="Verdana" w:eastAsia="Calibri" w:hAnsi="Verdana" w:cs="Arial"/>
              </w:rPr>
              <w:t xml:space="preserve">eguidamente </w:t>
            </w:r>
            <w:r>
              <w:rPr>
                <w:rFonts w:ascii="Verdana" w:eastAsia="Calibri" w:hAnsi="Verdana" w:cs="Arial"/>
              </w:rPr>
              <w:t xml:space="preserve">en la memoria justificativa del decreto y en los estudios de la Subdirección de Estudios de Mercado y Abastecimiento </w:t>
            </w:r>
            <w:r>
              <w:rPr>
                <w:rFonts w:ascii="Verdana" w:eastAsia="Calibri" w:hAnsi="Verdana" w:cs="Arial"/>
              </w:rPr>
              <w:lastRenderedPageBreak/>
              <w:t xml:space="preserve">Estratégico que le sirvieron de base sí se contemplaron las capacidades de las empresas de menor tamaño, como se explica más adelante. </w:t>
            </w:r>
          </w:p>
          <w:p w14:paraId="042BA6D3" w14:textId="77777777" w:rsidR="000E7552" w:rsidRDefault="000E7552" w:rsidP="00AD17AD">
            <w:pPr>
              <w:spacing w:before="120" w:after="120" w:line="276" w:lineRule="auto"/>
              <w:jc w:val="both"/>
              <w:rPr>
                <w:rFonts w:ascii="Verdana" w:eastAsia="Calibri" w:hAnsi="Verdana" w:cs="Arial"/>
              </w:rPr>
            </w:pPr>
            <w:r>
              <w:rPr>
                <w:rFonts w:ascii="Verdana" w:eastAsia="Calibri" w:hAnsi="Verdana" w:cs="Arial"/>
              </w:rPr>
              <w:t xml:space="preserve">      </w:t>
            </w:r>
            <w:r w:rsidR="005510BC">
              <w:rPr>
                <w:rFonts w:ascii="Verdana" w:eastAsia="Calibri" w:hAnsi="Verdana" w:cs="Arial"/>
              </w:rPr>
              <w:t>(</w:t>
            </w:r>
            <w:proofErr w:type="spellStart"/>
            <w:r w:rsidR="005510BC">
              <w:rPr>
                <w:rFonts w:ascii="Verdana" w:eastAsia="Calibri" w:hAnsi="Verdana" w:cs="Arial"/>
              </w:rPr>
              <w:t>ii</w:t>
            </w:r>
            <w:proofErr w:type="spellEnd"/>
            <w:r w:rsidR="005510BC">
              <w:rPr>
                <w:rFonts w:ascii="Verdana" w:eastAsia="Calibri" w:hAnsi="Verdana" w:cs="Arial"/>
              </w:rPr>
              <w:t xml:space="preserve">) En cuanto a la aplicación proporcional del artículo 2.2.1.2.4.2.7.4. para empresas con plantas de personal reducidas, la proporcionalidad ya se encuentra incorporada en la propia norma: la tabla que define el número mínimo de trabajadores con discapacidad requerido para acceder al puntaje está escalonada según el tamaño de la planta de personal de la empresa y desde el Decreto 392 de 2018 contempló a las empresas con plantas desde un (1) trabajador, de manera que el Decreto 287 de 2026, en garantía del principio de progresividad, amplió su impacto en términos de razonabilidad con las capacidades de cada empresa. </w:t>
            </w:r>
          </w:p>
          <w:p w14:paraId="059D81AE" w14:textId="77777777" w:rsidR="000E7552" w:rsidRDefault="000E7552" w:rsidP="00AD17AD">
            <w:pPr>
              <w:spacing w:before="120" w:after="120" w:line="276" w:lineRule="auto"/>
              <w:jc w:val="both"/>
              <w:rPr>
                <w:rFonts w:ascii="Verdana" w:eastAsia="Calibri" w:hAnsi="Verdana" w:cs="Arial"/>
              </w:rPr>
            </w:pPr>
            <w:r>
              <w:rPr>
                <w:rFonts w:ascii="Verdana" w:eastAsia="Calibri" w:hAnsi="Verdana" w:cs="Arial"/>
              </w:rPr>
              <w:t xml:space="preserve">       </w:t>
            </w:r>
            <w:r w:rsidR="005510BC">
              <w:rPr>
                <w:rFonts w:ascii="Verdana" w:eastAsia="Calibri" w:hAnsi="Verdana" w:cs="Arial"/>
              </w:rPr>
              <w:t>(</w:t>
            </w:r>
            <w:proofErr w:type="spellStart"/>
            <w:r w:rsidR="005510BC">
              <w:rPr>
                <w:rFonts w:ascii="Verdana" w:eastAsia="Calibri" w:hAnsi="Verdana" w:cs="Arial"/>
              </w:rPr>
              <w:t>iii</w:t>
            </w:r>
            <w:proofErr w:type="spellEnd"/>
            <w:r w:rsidR="005510BC">
              <w:rPr>
                <w:rFonts w:ascii="Verdana" w:eastAsia="Calibri" w:hAnsi="Verdana" w:cs="Arial"/>
              </w:rPr>
              <w:t xml:space="preserve">) Respecto de la posibilidad de ajustar o reglamentar de manera diferenciada este criterio, se trata de una decisión de política regulatoria que excede la competencia de esta Agencia y corresponde al Gobierno Nacional en ejercicio de su potestad reglamentaria. </w:t>
            </w:r>
          </w:p>
          <w:p w14:paraId="2A0CA2A9" w14:textId="77777777" w:rsidR="000E7552" w:rsidRDefault="000E7552" w:rsidP="00AD17AD">
            <w:pPr>
              <w:spacing w:before="120" w:after="120" w:line="276" w:lineRule="auto"/>
              <w:jc w:val="both"/>
              <w:rPr>
                <w:rFonts w:ascii="Verdana" w:eastAsia="Calibri" w:hAnsi="Verdana" w:cs="Arial"/>
              </w:rPr>
            </w:pPr>
          </w:p>
          <w:p w14:paraId="3912F2A1" w14:textId="5625FD4E" w:rsidR="005510BC" w:rsidRPr="00073658" w:rsidRDefault="000E7552" w:rsidP="00AD17AD">
            <w:pPr>
              <w:spacing w:before="120" w:after="120" w:line="276" w:lineRule="auto"/>
              <w:jc w:val="both"/>
              <w:rPr>
                <w:rFonts w:ascii="Verdana" w:eastAsia="Calibri" w:hAnsi="Verdana" w:cs="Arial"/>
              </w:rPr>
            </w:pPr>
            <w:r>
              <w:rPr>
                <w:rFonts w:ascii="Verdana" w:eastAsia="Calibri" w:hAnsi="Verdana" w:cs="Arial"/>
              </w:rPr>
              <w:t xml:space="preserve">      </w:t>
            </w:r>
            <w:r w:rsidR="005510BC">
              <w:rPr>
                <w:rFonts w:ascii="Verdana" w:eastAsia="Calibri" w:hAnsi="Verdana" w:cs="Arial"/>
              </w:rPr>
              <w:t>(</w:t>
            </w:r>
            <w:proofErr w:type="spellStart"/>
            <w:r w:rsidR="005510BC">
              <w:rPr>
                <w:rFonts w:ascii="Verdana" w:eastAsia="Calibri" w:hAnsi="Verdana" w:cs="Arial"/>
              </w:rPr>
              <w:t>iv</w:t>
            </w:r>
            <w:proofErr w:type="spellEnd"/>
            <w:r w:rsidR="005510BC">
              <w:rPr>
                <w:rFonts w:ascii="Verdana" w:eastAsia="Calibri" w:hAnsi="Verdana" w:cs="Arial"/>
              </w:rPr>
              <w:t>) Finalmente, la entidad competente para promover modificaciones a esta regulación es el Gobierno Nacional, sin perjuicio de que esta Agencia, como ente rector del sistema de compras y contratación pública, interprete y oriente su aplicación y proponga, en el marco de sus funciones, los ajustes técnicos a que haya lugar. A continuación se desarrollan estas respuestas.</w:t>
            </w:r>
          </w:p>
          <w:p w14:paraId="59BB8292" w14:textId="0E6F4F30" w:rsidR="005510BC" w:rsidRPr="00670CFB" w:rsidRDefault="005510BC" w:rsidP="00AD17AD">
            <w:pPr>
              <w:spacing w:before="120" w:after="120" w:line="276" w:lineRule="auto"/>
              <w:ind w:firstLine="709"/>
              <w:jc w:val="both"/>
              <w:rPr>
                <w:rFonts w:ascii="Verdana" w:eastAsia="Calibri" w:hAnsi="Verdana" w:cs="Arial"/>
              </w:rPr>
            </w:pP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Pr>
          <w:rFonts w:ascii="Verdana" w:eastAsia="Calibri" w:hAnsi="Verdana" w:cs="Arial"/>
          <w:lang w:val="es-ES"/>
        </w:rPr>
        <w:t xml:space="preserve">(i) </w:t>
      </w:r>
      <w:r>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Pr>
          <w:rFonts w:ascii="Verdana" w:eastAsia="Times New Roman" w:hAnsi="Verdana" w:cs="Times New Roman"/>
        </w:rPr>
        <w:t xml:space="preserve">El fundamento del Sistema de Preferencias para PcD en la contratación pública es el principio de igualdad real </w:t>
      </w:r>
      <w:r>
        <w:rPr>
          <w:rFonts w:ascii="Verdana" w:eastAsia="Times New Roman" w:hAnsi="Verdana" w:cs="Times New Roman"/>
        </w:rPr>
        <w:lastRenderedPageBreak/>
        <w:t>y efectiva consagrado en el artículo 13 de la Constitución Política de 1991</w:t>
      </w:r>
      <w:r>
        <w:rPr>
          <w:rStyle w:val="Refdenotaalpie"/>
          <w:rFonts w:ascii="Verdana" w:eastAsia="Times New Roman" w:hAnsi="Verdana" w:cs="Times New Roman"/>
        </w:rPr>
        <w:footnoteReference w:id="1"/>
      </w:r>
      <w:r>
        <w:rPr>
          <w:rFonts w:ascii="Verdana" w:eastAsia="Times New Roman" w:hAnsi="Verdana" w:cs="Times New Roman"/>
        </w:rPr>
        <w:t xml:space="preserve">, que impone al Estado el deber positivo de adoptar </w:t>
      </w:r>
      <w:r>
        <w:rPr>
          <w:rFonts w:ascii="Verdana" w:eastAsia="Times New Roman" w:hAnsi="Verdana" w:cs="Times New Roman"/>
          <w:i/>
          <w:iCs/>
        </w:rPr>
        <w:t>acciones afirmativas</w:t>
      </w:r>
      <w:r>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Pr>
          <w:rStyle w:val="Refdenotaalpie"/>
          <w:rFonts w:ascii="Verdana" w:eastAsia="Times New Roman" w:hAnsi="Verdana" w:cs="Times New Roman"/>
        </w:rPr>
        <w:footnoteReference w:id="3"/>
      </w:r>
      <w:r>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Pr>
          <w:rStyle w:val="Refdenotaalpie"/>
          <w:rFonts w:ascii="Verdana" w:eastAsia="Times New Roman" w:hAnsi="Verdana" w:cs="Times New Roman"/>
        </w:rPr>
        <w:footnoteReference w:id="4"/>
      </w:r>
      <w:r>
        <w:rPr>
          <w:rFonts w:ascii="Verdana" w:eastAsia="Times New Roman" w:hAnsi="Verdana" w:cs="Times New Roman"/>
        </w:rPr>
        <w:t xml:space="preserve"> ordena eliminar progresivamente la discriminación en la prestación de servicios, incluido el empleo. El Convenio 159 de la OIT</w:t>
      </w:r>
      <w:r>
        <w:rPr>
          <w:rStyle w:val="Refdenotaalpie"/>
          <w:rFonts w:ascii="Verdana" w:eastAsia="Times New Roman" w:hAnsi="Verdana" w:cs="Times New Roman"/>
        </w:rPr>
        <w:footnoteReference w:id="5"/>
      </w:r>
      <w:r>
        <w:rPr>
          <w:rFonts w:ascii="Verdana" w:eastAsia="Times New Roman" w:hAnsi="Verdana" w:cs="Times New Roman"/>
        </w:rPr>
        <w:t xml:space="preserve"> exige medidas orientadas a garantizar la igualdad de oportunidades de todas las categorías de PcD en materia de empleo.</w:t>
      </w:r>
    </w:p>
    <w:p w14:paraId="5165B87A"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Pr>
          <w:rStyle w:val="Refdenotaalpie"/>
          <w:rFonts w:ascii="Verdana" w:eastAsia="Times New Roman" w:hAnsi="Verdana" w:cs="Times New Roman"/>
        </w:rPr>
        <w:footnoteReference w:id="6"/>
      </w:r>
      <w:r>
        <w:rPr>
          <w:rFonts w:ascii="Verdana" w:eastAsia="Times New Roman" w:hAnsi="Verdana" w:cs="Times New Roman"/>
        </w:rPr>
        <w:t xml:space="preserve">. Esta norma vinculó por primera vez la contratación pública con la inclusión laboral de las </w:t>
      </w:r>
      <w:r>
        <w:rPr>
          <w:rFonts w:ascii="Verdana" w:eastAsia="Times New Roman" w:hAnsi="Verdana" w:cs="Times New Roman"/>
        </w:rPr>
        <w:lastRenderedPageBreak/>
        <w:t>PcD, pero su alcance era limitado: una preferencia residual aplicable solo en caso de empate, que beneficiaba únicamente a los empleadores de PcD sin considerar a las propias PcD como proponentes directos.</w:t>
      </w:r>
    </w:p>
    <w:p w14:paraId="4662F524" w14:textId="77777777" w:rsidR="005510BC" w:rsidRPr="00206556" w:rsidRDefault="005510BC" w:rsidP="005510BC">
      <w:pPr>
        <w:spacing w:after="120" w:line="276" w:lineRule="auto"/>
        <w:jc w:val="both"/>
        <w:rPr>
          <w:rFonts w:ascii="Verdana" w:hAnsi="Verdana"/>
        </w:rPr>
      </w:pPr>
      <w:r>
        <w:rPr>
          <w:rFonts w:ascii="Verdana" w:eastAsia="Times New Roman" w:hAnsi="Verdana" w:cs="Times New Roman"/>
          <w:b/>
          <w:bCs/>
        </w:rPr>
        <w:t xml:space="preserve">       </w:t>
      </w:r>
      <w:r>
        <w:rPr>
          <w:rFonts w:ascii="Verdana" w:eastAsia="Times New Roman" w:hAnsi="Verdana" w:cs="Times New Roman"/>
        </w:rPr>
        <w:t xml:space="preserve">La Ley Estatutaria 1618 de 2013 representó un salto cualitativo en el marco jurídico de protección de las PcD, al definir a estas como </w:t>
      </w:r>
      <w:r>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Pr>
          <w:rStyle w:val="Refdenotaalpie"/>
          <w:rFonts w:ascii="Verdana" w:eastAsia="Times New Roman" w:hAnsi="Verdana" w:cs="Times New Roman"/>
          <w:i/>
          <w:iCs/>
        </w:rPr>
        <w:footnoteReference w:id="7"/>
      </w:r>
      <w:r>
        <w:rPr>
          <w:rFonts w:ascii="Verdana" w:eastAsia="Times New Roman" w:hAnsi="Verdana" w:cs="Times New Roman"/>
          <w:i/>
          <w:iCs/>
        </w:rPr>
        <w:t>.</w:t>
      </w:r>
      <w:r>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Pr>
          <w:rStyle w:val="Refdenotaalpie"/>
          <w:rFonts w:ascii="Verdana" w:eastAsia="Times New Roman" w:hAnsi="Verdana" w:cs="Times New Roman"/>
        </w:rPr>
        <w:footnoteReference w:id="8"/>
      </w:r>
      <w:r>
        <w:rPr>
          <w:rFonts w:ascii="Verdana" w:eastAsia="Times New Roman" w:hAnsi="Verdana" w:cs="Times New Roman"/>
        </w:rPr>
        <w:t xml:space="preserve">. Este último mandato fue especialmente significativo porque introdujo el concepto de </w:t>
      </w:r>
      <w:r>
        <w:rPr>
          <w:rFonts w:ascii="Verdana" w:eastAsia="Times New Roman" w:hAnsi="Verdana" w:cs="Times New Roman"/>
          <w:i/>
          <w:iCs/>
        </w:rPr>
        <w:t>"sistema de preferencias"</w:t>
      </w:r>
      <w:r>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485E28D1" w14:textId="796F3B94" w:rsidR="005510BC" w:rsidRPr="00A420A9" w:rsidRDefault="005510BC" w:rsidP="00960D60">
      <w:pPr>
        <w:spacing w:after="120" w:line="276" w:lineRule="auto"/>
        <w:ind w:firstLine="709"/>
        <w:jc w:val="both"/>
        <w:rPr>
          <w:rFonts w:ascii="Verdana" w:hAnsi="Verdana"/>
        </w:rPr>
      </w:pPr>
      <w:r>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34CE263B" w14:textId="7EEB223E" w:rsidR="005510BC" w:rsidRDefault="005510BC" w:rsidP="00960D60">
      <w:pPr>
        <w:spacing w:after="120" w:line="276" w:lineRule="auto"/>
        <w:ind w:firstLine="709"/>
        <w:jc w:val="both"/>
        <w:rPr>
          <w:rFonts w:ascii="Verdana" w:hAnsi="Verdana"/>
        </w:rPr>
      </w:pPr>
      <w:r>
        <w:rPr>
          <w:rFonts w:ascii="Verdana" w:hAnsi="Verdana"/>
        </w:rPr>
        <w:lastRenderedPageBreak/>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639D7BE6" w14:textId="77777777" w:rsidR="005510BC" w:rsidRDefault="005510BC" w:rsidP="005510BC">
      <w:pPr>
        <w:spacing w:after="120" w:line="276" w:lineRule="auto"/>
        <w:ind w:firstLine="709"/>
        <w:jc w:val="both"/>
        <w:rPr>
          <w:rFonts w:ascii="Verdana" w:hAnsi="Verdana"/>
        </w:rPr>
      </w:pPr>
      <w:r>
        <w:rPr>
          <w:rFonts w:ascii="Verdana" w:hAnsi="Verdana"/>
        </w:rPr>
        <w:t xml:space="preserve">En cumplimiento de esa decisión fue expedido el Decreto 0287 de 2026, el cual, como se indicó en la respuesta, establece un Sistema Integral de Preferencias compuesto por cinco medidas afirmativas que actúan en todas las fases del proceso contractual, planeación, selección, adjudicación y ejecución, y que benefician a dos sujetos diferenciados: los emprendimientos y empresas de PcD y los empleadores de PcD.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Pr>
          <w:rFonts w:ascii="Verdana" w:hAnsi="Verdana"/>
        </w:rPr>
        <w:t xml:space="preserve">(ii) </w:t>
      </w:r>
      <w:r>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Pr>
          <w:rFonts w:ascii="Verdana" w:eastAsia="Times New Roman" w:hAnsi="Verdana" w:cs="Times New Roman"/>
        </w:rPr>
        <w:t xml:space="preserve">Esta decisión normativa responde a una razón de diseño del sistema: el 2% ya incorpora el estímulo suficiente para promover la inclusión de PcD, y permitir su acumulación distorsionaría la evaluación de las ofertas en perjuicio </w:t>
      </w:r>
      <w:r>
        <w:rPr>
          <w:rFonts w:ascii="Verdana" w:eastAsia="Times New Roman" w:hAnsi="Verdana" w:cs="Times New Roman"/>
        </w:rPr>
        <w:lastRenderedPageBreak/>
        <w:t>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D3C6E2B" w14:textId="1D8D9332" w:rsidR="005510BC" w:rsidRPr="00D22B7C" w:rsidRDefault="005510BC" w:rsidP="00960D60">
      <w:pPr>
        <w:spacing w:after="120" w:line="276" w:lineRule="auto"/>
        <w:ind w:firstLine="709"/>
        <w:jc w:val="both"/>
        <w:rPr>
          <w:rFonts w:ascii="Verdana" w:hAnsi="Verdana"/>
        </w:rPr>
      </w:pPr>
      <w:r>
        <w:rPr>
          <w:rFonts w:ascii="Verdana" w:eastAsia="Times New Roman" w:hAnsi="Verdana" w:cs="Times New Roman"/>
        </w:rPr>
        <w:t>(iii) En cuanto a la exigencia del número mínimo de PcD vinculadas y la acreditación mediante planillas de seguridad social, el artículo 2.2.1.2.4.2.7.4. del Decreto 0287 de 2026 establece que para acceder al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960D60"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b/>
                <w:bCs/>
                <w:sz w:val="20"/>
                <w:szCs w:val="20"/>
              </w:rPr>
              <w:t>Número mínimo de trabajadores con discapacidad requerido</w:t>
            </w:r>
          </w:p>
        </w:tc>
      </w:tr>
      <w:tr w:rsidR="005510BC" w:rsidRPr="00960D60"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2</w:t>
            </w:r>
          </w:p>
        </w:tc>
      </w:tr>
      <w:tr w:rsidR="005510BC" w:rsidRPr="00960D60"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3</w:t>
            </w:r>
          </w:p>
        </w:tc>
      </w:tr>
      <w:tr w:rsidR="005510BC" w:rsidRPr="00960D60"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4</w:t>
            </w:r>
          </w:p>
        </w:tc>
      </w:tr>
      <w:tr w:rsidR="005510BC" w:rsidRPr="00960D60"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5</w:t>
            </w:r>
          </w:p>
        </w:tc>
      </w:tr>
      <w:tr w:rsidR="005510BC" w:rsidRPr="00960D60"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7</w:t>
            </w:r>
          </w:p>
        </w:tc>
      </w:tr>
      <w:tr w:rsidR="005510BC" w:rsidRPr="00960D60"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10</w:t>
            </w:r>
          </w:p>
        </w:tc>
      </w:tr>
      <w:tr w:rsidR="005510BC" w:rsidRPr="00960D60"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12</w:t>
            </w:r>
          </w:p>
        </w:tc>
      </w:tr>
      <w:tr w:rsidR="005510BC" w:rsidRPr="00960D60"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14</w:t>
            </w:r>
          </w:p>
        </w:tc>
      </w:tr>
      <w:tr w:rsidR="005510BC" w:rsidRPr="00960D60"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16</w:t>
            </w:r>
          </w:p>
        </w:tc>
      </w:tr>
      <w:tr w:rsidR="005510BC" w:rsidRPr="00960D60"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960D60" w:rsidRDefault="005510BC" w:rsidP="00960D60">
            <w:pPr>
              <w:spacing w:after="0"/>
              <w:jc w:val="center"/>
              <w:rPr>
                <w:rFonts w:ascii="Verdana" w:hAnsi="Verdana"/>
                <w:sz w:val="20"/>
                <w:szCs w:val="20"/>
              </w:rPr>
            </w:pPr>
            <w:r>
              <w:rPr>
                <w:rFonts w:ascii="Verdana" w:eastAsia="Times New Roman" w:hAnsi="Verdana" w:cs="Times New Roman"/>
                <w:sz w:val="20"/>
                <w:szCs w:val="20"/>
              </w:rPr>
              <w:t>Por cada 100 trabajadores adicionales, se suman 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lastRenderedPageBreak/>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14:paraId="34B9593A" w14:textId="77777777" w:rsidR="005510BC" w:rsidRPr="00D22B7C" w:rsidRDefault="005510BC" w:rsidP="005510BC">
      <w:pPr>
        <w:spacing w:after="120" w:line="276" w:lineRule="auto"/>
        <w:ind w:firstLine="709"/>
        <w:jc w:val="both"/>
        <w:rPr>
          <w:rFonts w:ascii="Verdana" w:hAnsi="Verdana"/>
        </w:rPr>
      </w:pPr>
      <w:r>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del Trabajo, entre otros documentos.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p>
    <w:p w14:paraId="4CE21EAF" w14:textId="118618DD" w:rsidR="005510BC" w:rsidRDefault="005510BC" w:rsidP="00960D60">
      <w:pPr>
        <w:spacing w:after="120" w:line="276" w:lineRule="auto"/>
        <w:ind w:firstLine="708"/>
        <w:jc w:val="both"/>
        <w:rPr>
          <w:rFonts w:ascii="Verdana" w:eastAsia="Times New Roman" w:hAnsi="Verdana" w:cs="Times New Roman"/>
        </w:rPr>
      </w:pPr>
      <w:r>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19C00794" w14:textId="77777777" w:rsidR="005510BC" w:rsidRDefault="005510BC" w:rsidP="005510BC">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Es importante precisar que la vinculación de PcD a las plantas de personal debe realizarse mediante contrato laboral con dedicación exclusiva, cuya definición le corresponde al Ministerio del Trabajo. Adicionalmente, debe </w:t>
      </w:r>
      <w:r>
        <w:rPr>
          <w:rFonts w:ascii="Verdana" w:eastAsia="Times New Roman" w:hAnsi="Verdana" w:cs="Times New Roman"/>
        </w:rPr>
        <w:lastRenderedPageBreak/>
        <w:t>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 entre otros;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meses aquí mencionado es diferente al término de un (1) año exigido en el artículo 2.2.1.2.4.2.6. para la acreditación de las condiciones de los emprendimientos y empresas de PcD,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Pr>
          <w:rFonts w:ascii="Verdana" w:hAnsi="Verdana"/>
        </w:rPr>
        <w:t>(iv) En relación, al ámbito de aplicación del puntaje adicional del 2%, el artículo 2.2.1.2.4.2.7.4. del Decreto 0287 de 2026 establece este puntaje exclusivamente en los procedimientos de licitación pública y concurso de méritos, para entidades regidas por el Estatuto General de Contratación Pública.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de selección; y la contratación directa tiene su propia medida afirmativa a través de los contratos de prestación de servicios con PcD.</w:t>
      </w:r>
    </w:p>
    <w:p w14:paraId="5AC4D06F" w14:textId="77777777" w:rsidR="005510BC" w:rsidRPr="00206556" w:rsidRDefault="005510BC" w:rsidP="005510BC">
      <w:pPr>
        <w:spacing w:after="120" w:line="276" w:lineRule="auto"/>
        <w:ind w:firstLine="709"/>
        <w:jc w:val="both"/>
        <w:rPr>
          <w:rFonts w:ascii="Verdana" w:hAnsi="Verdana"/>
          <w:sz w:val="20"/>
          <w:szCs w:val="20"/>
        </w:rPr>
      </w:pPr>
      <w:r>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Pr>
          <w:rFonts w:ascii="Verdana" w:hAnsi="Verdana"/>
        </w:rPr>
        <w:t xml:space="preserve">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w:t>
      </w:r>
      <w:r>
        <w:rPr>
          <w:rFonts w:ascii="Verdana" w:hAnsi="Verdana"/>
        </w:rPr>
        <w:lastRenderedPageBreak/>
        <w:t>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Pr>
          <w:rFonts w:ascii="Verdana" w:hAnsi="Verdana"/>
        </w:rPr>
        <w:t>(vi) En cuanto a los criterios habilitantes diferenciales y los proponentes plurales, 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PcD con domicilio en el territorio nacional. Esta medida no aplica en mínima cuantía ni en contratación directa, y está prevista exclusivamente para el Sujeto 1 del sistema, es decir, los emprendimientos y empresas de PcD, y no para los empleadores de PcD. Su establecimiento es obligatorio para la entidad contratante, pero el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Pr>
          <w:rStyle w:val="Refdenotaalpie"/>
          <w:rFonts w:ascii="Verdana" w:hAnsi="Verdana"/>
        </w:rPr>
        <w:footnoteReference w:id="9"/>
      </w:r>
      <w:r>
        <w:rPr>
          <w:rFonts w:ascii="Verdana" w:hAnsi="Verdana"/>
        </w:rPr>
        <w:t xml:space="preserve">. 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 sin que se ponga en riesgo el cumplimiento contractual. En cuanto a los proponentes plurales, la medida aplica cuando al menos uno de sus integrantes cumple las condiciones del artículo 2.2.1.2.4.2.6. con una participación no inferior al 10% en el consorcio o unión temporal, debiendo aportar la experiencia requerida en </w:t>
      </w:r>
      <w:r>
        <w:rPr>
          <w:rFonts w:ascii="Verdana" w:hAnsi="Verdana"/>
        </w:rPr>
        <w:lastRenderedPageBreak/>
        <w:t>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Pr>
          <w:rFonts w:ascii="Verdana" w:hAnsi="Verdana"/>
        </w:rPr>
        <w:t>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PcD.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33743DB1" w14:textId="5B54A394" w:rsidR="005510BC" w:rsidRPr="00206556" w:rsidRDefault="005510BC" w:rsidP="00960D60">
      <w:pPr>
        <w:spacing w:after="120" w:line="276" w:lineRule="auto"/>
        <w:ind w:firstLine="709"/>
        <w:jc w:val="both"/>
        <w:rPr>
          <w:rFonts w:ascii="Verdana" w:hAnsi="Verdana"/>
        </w:rPr>
      </w:pPr>
      <w:r>
        <w:rPr>
          <w:rFonts w:ascii="Verdana" w:hAnsi="Verdana"/>
        </w:rPr>
        <w:t>(vii)</w:t>
      </w:r>
      <w:r>
        <w:t xml:space="preserve"> </w:t>
      </w:r>
      <w:r>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siguientes condiciones especiales de ejecución": la subcontratación inclusiva, que exige priorizar a PcD o a emprendimientos y empresas de PcD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priorización no implica exclusividad; el contratista puede contratar otros proveedores, pero debe procurar que las PcD y sus empresas tengan preferencia cuando existan en el mercado. El incumplimiento injustificado puede constituir </w:t>
      </w:r>
      <w:r>
        <w:rPr>
          <w:rFonts w:ascii="Verdana" w:hAnsi="Verdana"/>
        </w:rPr>
        <w:lastRenderedPageBreak/>
        <w:t xml:space="preserve">causal de incumplimiento contractual, verificable por el supervisor o interventor con cada solicitud de pago. </w:t>
      </w:r>
    </w:p>
    <w:p w14:paraId="0D6F8399" w14:textId="77777777" w:rsidR="005510BC" w:rsidRPr="00206556" w:rsidRDefault="005510BC" w:rsidP="005510BC">
      <w:pPr>
        <w:spacing w:after="120" w:line="276" w:lineRule="auto"/>
        <w:ind w:firstLine="709"/>
        <w:jc w:val="both"/>
        <w:rPr>
          <w:rFonts w:ascii="Verdana" w:hAnsi="Verdana"/>
        </w:rPr>
      </w:pPr>
      <w:r>
        <w:rPr>
          <w:rFonts w:ascii="Verdana" w:hAnsi="Verdana"/>
        </w:rPr>
        <w:t>(viii) Sobre la compatibilidad con MiPymes y empresas de mujeres, y la distinción con el criterio de desempate. El parágrafo 2 del artículo 2.2.1.2.4.2.7.4. del Decreto 0287 de 2026 establece que el puntaje adicional "</w:t>
      </w:r>
      <w:r>
        <w:rPr>
          <w:rFonts w:ascii="Verdana" w:hAnsi="Verdana"/>
          <w:i/>
          <w:iCs/>
        </w:rPr>
        <w:t>no excluye la aplicación de incentivos contractuales ni de criterios diferenciales en favor de las MiPymes y/o los emprendimientos y empresas de mujeres".</w:t>
      </w:r>
      <w:r>
        <w:rPr>
          <w:rFonts w:ascii="Verdana" w:hAnsi="Verdana"/>
        </w:rPr>
        <w:t xml:space="preserve"> Del mismo modo, el parágrafo 2 del artículo 2.2.1.2.4.2.7.3.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antes de la adjudicación; el criterio de desempate, regulado por el artículo 35, numeral 3, de la Ley 2069 de 2020 beneficia exclusivamente a los empleadores de PcD, no a los emprendimientos y empresas de PcD, y exige que al menos el 10% de la nómina esté en condición de discapacidad, operando solo cuando hay empate entre dos o más ofertas. La aplicación del criterio de desempate cuando es un proponente plural indica que el integrante con su nómina con PcD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Pr>
          <w:rFonts w:ascii="Verdana" w:hAnsi="Verdana"/>
        </w:rPr>
        <w:t xml:space="preserve">(ix)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w:t>
      </w:r>
      <w:r>
        <w:rPr>
          <w:rFonts w:ascii="Verdana" w:hAnsi="Verdana"/>
        </w:rPr>
        <w:lastRenderedPageBreak/>
        <w:t>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PcD para cumplir el objeto, acordar los ajustes razonables necesarios, evaluar la no exigencia de garantías, que no son obligatorias para esta tipología, e indicar en el SECOP que el contrato corresponde a esta medida afirmativa. En ningún caso la medida autoriza funciones permanentes ni genera subordinación laboral. La Corte Constitucional ha reconocido que las PcD gozan de estabilidad ocupacional reforzada</w:t>
      </w:r>
      <w:r>
        <w:rPr>
          <w:rStyle w:val="Refdenotaalpie"/>
          <w:rFonts w:ascii="Verdana" w:hAnsi="Verdana"/>
        </w:rPr>
        <w:footnoteReference w:id="11"/>
      </w:r>
      <w:r>
        <w:rPr>
          <w:rFonts w:ascii="Verdana" w:hAnsi="Verdana"/>
        </w:rPr>
        <w:t>, que aplica en el marco de estos contratos sin que ello genere relación laboral. El fundamento cuantitativo de la medida es elocuente: según datos del SECOP en el año 2024 se celebraron 747.942 contratos de prestación de servicios por un valor de $16 billones de pesos, universo que representa una oportunidad concreta de inclusión laboral de las PcD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Pr>
          <w:rFonts w:ascii="Verdana" w:hAnsi="Verdana"/>
        </w:rPr>
        <w:t xml:space="preserve">(x) En cuanto a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PcD,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w:t>
      </w:r>
      <w:r>
        <w:rPr>
          <w:rFonts w:ascii="Verdana" w:hAnsi="Verdana"/>
        </w:rPr>
        <w:lastRenderedPageBreak/>
        <w:t>accesibilidad para ese contrato específico. Los principios guía son los de accesibilidad universal, diseño universal y ajustes razonables, conforme a la Ley 1346 de 2009 y la Ley 1618 de 2013, la cual define los ajustes razonables como las modificaciones y adaptaciones necesarias que no impongan una carga desproporcionada, para garantizar a las PcD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Pr>
          <w:rFonts w:ascii="Verdana" w:hAnsi="Verdana"/>
        </w:rPr>
        <w:t>(xi) Sobre las consecuencias de la reducción de PcD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p>
    <w:p w14:paraId="24927FC9" w14:textId="77777777" w:rsidR="005510BC" w:rsidRPr="00206556" w:rsidRDefault="005510BC" w:rsidP="005510BC">
      <w:pPr>
        <w:spacing w:after="0" w:line="276" w:lineRule="auto"/>
        <w:ind w:firstLine="708"/>
        <w:jc w:val="both"/>
        <w:rPr>
          <w:rFonts w:ascii="Verdana" w:hAnsi="Verdana"/>
        </w:rPr>
      </w:pPr>
      <w:r>
        <w:rPr>
          <w:rFonts w:ascii="Verdana" w:hAnsi="Verdana"/>
        </w:rPr>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Pr>
          <w:rFonts w:ascii="Verdana" w:hAnsi="Verdana"/>
          <w:sz w:val="20"/>
          <w:szCs w:val="20"/>
        </w:rPr>
        <w:t>"la inobservancia de estas medidas y el incumplimiento injustificado en la reducción del número de trabajadores con discapacidad de la planta de personal acreditado para obtener el puntaje adicional podrá constituir causal de incumplimiento contractual y se tramitará conforme a la normatividad vigente".</w:t>
      </w:r>
    </w:p>
    <w:p w14:paraId="76D92CD4" w14:textId="77777777" w:rsidR="005510BC" w:rsidRPr="00206556" w:rsidRDefault="005510BC" w:rsidP="005510BC">
      <w:pPr>
        <w:spacing w:after="200"/>
        <w:ind w:firstLine="708"/>
        <w:jc w:val="both"/>
        <w:rPr>
          <w:rFonts w:ascii="Verdana" w:hAnsi="Verdana"/>
        </w:rPr>
      </w:pPr>
      <w:r>
        <w:rPr>
          <w:rFonts w:ascii="Verdana" w:hAnsi="Verdana"/>
        </w:rPr>
        <w:t>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PcD,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PcD: la norma busca estabilidad real y no meramente nominal, de modo que el contratista debe adoptar las medidas de permanencia compatibles con el ordenamiento laboral vigente.</w:t>
      </w:r>
    </w:p>
    <w:p w14:paraId="0499C934"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(xii) 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w:t>
      </w:r>
      <w:r>
        <w:rPr>
          <w:rFonts w:ascii="Verdana" w:hAnsi="Verdana"/>
        </w:rPr>
        <w:lastRenderedPageBreak/>
        <w:t>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Pr>
          <w:rFonts w:ascii="Verdana" w:hAnsi="Verdana"/>
        </w:rPr>
        <w:t>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sometidas al Estatuto General de Contratación Pública 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w:t>
      </w:r>
      <w:r>
        <w:rPr>
          <w:rFonts w:ascii="Verdana" w:hAnsi="Verdana"/>
        </w:rPr>
        <w:lastRenderedPageBreak/>
        <w:t>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del Estatuto General de Contratación Pública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Como ya se indicó anteriormente, este puntaje es único y no acumulable: aunque el proponente acredite ambas condiciones simultáneamente, el puntaje máximo a otorgar es siempre el 2%, sin que las condiciones sean sumables. Aplica únicamente en entidades sometidas al Estatuto General de Contratación Pública,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w:t>
      </w:r>
      <w:r>
        <w:rPr>
          <w:rFonts w:ascii="Verdana" w:hAnsi="Verdana"/>
        </w:rPr>
        <w:lastRenderedPageBreak/>
        <w:t>se demuestre fuerza mayor o caso fortuito, y en todo caso respetando el derecho a la estabilidad laboral reforzada de las PcD.</w:t>
      </w:r>
    </w:p>
    <w:p w14:paraId="45285651" w14:textId="77777777" w:rsidR="005510BC" w:rsidRPr="00670CFB" w:rsidRDefault="005510BC" w:rsidP="005510BC">
      <w:pPr>
        <w:spacing w:after="120" w:line="276" w:lineRule="auto"/>
        <w:ind w:firstLine="709"/>
        <w:jc w:val="both"/>
        <w:rPr>
          <w:rFonts w:ascii="Verdana" w:hAnsi="Verdana"/>
        </w:rPr>
      </w:pPr>
      <w:r>
        <w:rPr>
          <w:rFonts w:ascii="Verdana" w:hAnsi="Verdana"/>
        </w:rPr>
        <w:t>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w:t>
      </w:r>
      <w:r>
        <w:rPr>
          <w:rFonts w:ascii="Verdana" w:hAnsi="Verdana"/>
        </w:rPr>
        <w:lastRenderedPageBreak/>
        <w:t>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Pr>
          <w:rFonts w:ascii="Verdana" w:hAnsi="Verdana"/>
        </w:rPr>
        <w:t>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los que se adquieran bienes, obras o servicios.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E71F0A1" w14:textId="78B67B8B" w:rsidR="005510BC" w:rsidRPr="00206556" w:rsidRDefault="005510BC" w:rsidP="00C7158D">
      <w:pPr>
        <w:spacing w:before="120" w:after="120" w:line="276" w:lineRule="auto"/>
        <w:ind w:firstLine="708"/>
        <w:jc w:val="both"/>
        <w:rPr>
          <w:rFonts w:ascii="Verdana" w:hAnsi="Verdana"/>
        </w:rPr>
      </w:pPr>
      <w:r>
        <w:rPr>
          <w:rFonts w:ascii="Verdana" w:hAnsi="Verdana"/>
        </w:rPr>
        <w:t xml:space="preserve">Conviene precisar, en relación con las inquietudes planteadas, que el régimen del puntaje adicional ya prevé un tratamiento proporcional según el tamaño empresarial. En efecto, la tabla del artículo 2.2.1.2.4.2.7.4. del Decreto 1082 de 2015 (modificado por el Decreto 287 de 2026) fija el número mínimo de trabajadores con discapacidad que debe tener vinculados el proponente para acceder al puntaje, escalonándolo de acuerdo con el tamaño de la planta de </w:t>
      </w:r>
      <w:r>
        <w:rPr>
          <w:rFonts w:ascii="Verdana" w:hAnsi="Verdana"/>
        </w:rPr>
        <w:lastRenderedPageBreak/>
        <w:t>personal, e incorporando los mínimos exigidos por la Ley 2466 de 2025 (Reforma Laboral). Desde el Decreto 392 de 2018 la tabla incluyó a las empresas con plantas de personal desde un (1) trabajador, por lo cual el Decreto 287 de 2026, en aras de garantizar el principio de progresividad en la garantía de derechos de las personas con discapacidad, las contempló ampliando su impacto en términos de razonabilidad con sus capacidades. Por ello, las micro y pequeñas empresas, para hacerse acreedoras al puntaje, deben regirse por la tabla dispuesta en el decreto, sin que sea posible acreditar el número mínimo de personas con discapacidad por una vía distinta, como el porcentaje del 10% de la nómina previsto para el criterio de desempate del artículo 35, numeral 3, de la Ley 2069 de 2020, que es un instrumento jurídicamente diferente y no extensible al puntaje adicional.</w:t>
      </w:r>
    </w:p>
    <w:p w14:paraId="0A69F894" w14:textId="5BD0BB49" w:rsidR="005510BC" w:rsidRPr="00544464" w:rsidRDefault="005510BC" w:rsidP="00544464">
      <w:pPr>
        <w:spacing w:before="120" w:after="120" w:line="276" w:lineRule="auto"/>
        <w:ind w:firstLine="708"/>
        <w:jc w:val="both"/>
        <w:rPr>
          <w:rFonts w:ascii="Verdana" w:hAnsi="Verdana"/>
        </w:rPr>
      </w:pPr>
      <w:r>
        <w:rPr>
          <w:rFonts w:ascii="Verdana" w:hAnsi="Verdana"/>
        </w:rPr>
        <w:t>Ahora bien, el Decreto 287 de 2026 fue expedido por el Gobierno Nacional en ejercicio de su potestad reglamentaria, en cumplimiento de la orden impartida por la Sección Quinta del Consejo de Estado mediante sentencia de acción de cumplimiento del 12 de diciembre de 2024 (Rad. 05001-23-33-000-2024-00847-01) y de lo dispuesto en el artículo 62 de la Ley 1996 de 2019 y el artículo 13 de la Ley Estatutaria 1618 de 2013. En consecuencia, la evaluación del impacto previo a su expedición, así como la decisión de ajustar o reglamentar de manera diferenciada el criterio para micro y pequeñas empresas, corresponde al Gobierno Nacional, que es la autoridad competente para promover modificaciones a esta regulación. Esta Agencia, como ente rector del sistema de compras y contratación pública en virtud de los numerales 2 y 5 del artículo 3 del Decreto Ley 4170 de 2011, tiene a su cargo la interpretación y orientación sobre la aplicación de las normas de carácter general, la expedición de circulares externas y la incorporación de las medidas en los instrumentos a su cargo, pero carece de competencia para modificar el contenido del decreto. Sin perjuicio de lo anterior, esta Agencia podrá, en el marco de sus funciones, formular las recomendaciones técnicas que estime pertinentes a las autoridades con iniciativa reglamentaria.</w:t>
      </w: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lastRenderedPageBreak/>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lo Contencioso Administrativo, Sección Quinta. Sentencia de acción de cumplimiento del 12 de diciembre de 2024. Rad. n.°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lastRenderedPageBreak/>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75F4F75C" w14:textId="06F76455"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r>
        <w:rPr>
          <w:rFonts w:ascii="Verdana" w:eastAsia="Century Gothic" w:hAnsi="Verdana" w:cs="Century Gothic"/>
          <w:b/>
          <w:lang w:val="es-ES"/>
        </w:rPr>
        <w:t>5. Doctrina de la Agencia Nacional de Contratación Pública:</w:t>
      </w:r>
    </w:p>
    <w:p w14:paraId="51C27470" w14:textId="77777777" w:rsidR="005510BC" w:rsidRPr="00206556" w:rsidRDefault="005510BC" w:rsidP="005510BC">
      <w:pPr>
        <w:spacing w:after="0" w:line="276" w:lineRule="auto"/>
        <w:jc w:val="both"/>
        <w:rPr>
          <w:rFonts w:ascii="Verdana" w:hAnsi="Verdana"/>
          <w:color w:val="ED7D31" w:themeColor="accent2"/>
          <w:lang w:val="es-ES"/>
        </w:rPr>
      </w:pPr>
      <w:r>
        <w:rPr>
          <w:rFonts w:ascii="Verdana" w:eastAsia="Calibri" w:hAnsi="Verdana" w:cs="Arial"/>
          <w:lang w:val="es-ES"/>
        </w:rPr>
        <w:t xml:space="preserve">La Agencia Nacional de Contratación Pública – Colombia Compra Eficiente se ha referido </w:t>
      </w:r>
      <w:r>
        <w:rPr>
          <w:rFonts w:ascii="Verdana" w:hAnsi="Verdana" w:cs="Arial"/>
          <w:shd w:val="clear" w:color="auto" w:fill="FFFFFF"/>
          <w:lang w:val="es-ES"/>
        </w:rPr>
        <w:t>sobre el alcance del Decreto 0287 de 2026 en este concepto</w:t>
      </w:r>
      <w:r>
        <w:rPr>
          <w:rFonts w:ascii="Verdana" w:eastAsia="Calibri" w:hAnsi="Verdana" w:cs="Arial"/>
          <w:lang w:val="es-ES_tradnl" w:eastAsia="es-ES"/>
        </w:rPr>
        <w:t>.</w:t>
      </w:r>
      <w:r>
        <w:rPr>
          <w:rFonts w:ascii="Verdana" w:hAnsi="Verdana" w:cs="Arial"/>
          <w:shd w:val="clear" w:color="auto" w:fill="FFFFFF"/>
          <w:lang w:val="es-ES"/>
        </w:rPr>
        <w:t xml:space="preserve"> Este</w:t>
      </w:r>
      <w:r>
        <w:rPr>
          <w:rFonts w:ascii="Verdana" w:hAnsi="Verdana"/>
          <w:lang w:val="es-ES"/>
        </w:rPr>
        <w:t xml:space="preserve"> y otros se encuentran disponibles para consulta en el Sistema de relatoría de la Agencia, al cual se puede acceder a través del siguiente enlace:</w:t>
      </w:r>
      <w:r>
        <w:rPr>
          <w:rFonts w:ascii="Verdana" w:hAnsi="Verdana" w:cs="Arial"/>
          <w:shd w:val="clear" w:color="auto" w:fill="FFFFFF"/>
          <w:lang w:val="es-ES"/>
        </w:rPr>
        <w:t xml:space="preserve"> </w:t>
      </w:r>
      <w:hyperlink r:id="rId12" w:history="1">
        <w:r>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Pr>
            <w:rStyle w:val="Hipervnculo"/>
            <w:rFonts w:ascii="Verdana" w:hAnsi="Verdana" w:cs="Arial"/>
            <w:shd w:val="clear" w:color="auto" w:fill="FFFFFF"/>
          </w:rPr>
          <w:t>https://formacionvirtual.colombiacompra.gov.co/mod/page/view.php?id=3718</w:t>
        </w:r>
      </w:hyperlink>
      <w:r>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w:t>
      </w:r>
      <w:r>
        <w:rPr>
          <w:rFonts w:ascii="Verdana" w:hAnsi="Verdana" w:cs="Arial"/>
          <w:shd w:val="clear" w:color="auto" w:fill="FFFFFF"/>
        </w:rPr>
        <w:lastRenderedPageBreak/>
        <w:t xml:space="preserve">y sostenibles en sectores estratégicos como educación, salud, cultura, recreación, deporte, institucional y vivienda. Consulta y descarga los documentos aquí: </w:t>
      </w:r>
      <w:hyperlink r:id="rId14" w:history="1">
        <w:r>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Twitter: </w:t>
      </w:r>
      <w:r>
        <w:rPr>
          <w:rStyle w:val="Hipervnculo"/>
          <w:rFonts w:ascii="Verdana" w:hAnsi="Verdana"/>
          <w:lang w:val="es-ES"/>
        </w:rPr>
        <w:t>@colombiacompra</w:t>
      </w:r>
      <w:r>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Facebook:</w:t>
      </w:r>
      <w:r>
        <w:rPr>
          <w:rStyle w:val="Hipervnculo"/>
          <w:rFonts w:ascii="Verdana" w:hAnsi="Verdana"/>
          <w:lang w:val="es-ES"/>
        </w:rPr>
        <w:t xml:space="preserve"> ColombiaCompraEficiente</w:t>
      </w:r>
    </w:p>
    <w:p w14:paraId="1CA81020"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LinkedIn: </w:t>
      </w:r>
      <w:r>
        <w:rPr>
          <w:rStyle w:val="Hipervnculo"/>
          <w:rFonts w:ascii="Verdana" w:hAnsi="Verdana"/>
          <w:lang w:val="es-ES"/>
        </w:rPr>
        <w:t>Agencia Nacional de Contratación Pública - Colombia Compra Eficiente</w:t>
      </w:r>
      <w:r>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Pr>
          <w:rFonts w:ascii="Verdana" w:hAnsi="Verdana" w:cs="Arial"/>
          <w:shd w:val="clear" w:color="auto" w:fill="FFFFFF"/>
        </w:rPr>
        <w:t xml:space="preserve">Instagram: </w:t>
      </w:r>
      <w:r>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Pr>
          <w:rFonts w:ascii="Verdana" w:eastAsia="Times New Roman" w:hAnsi="Verdana" w:cs="Arial"/>
          <w:lang w:val="es-ES" w:eastAsia="es-CO"/>
        </w:rPr>
        <w:t>Atentamente,</w:t>
      </w:r>
      <w:r>
        <w:rPr>
          <w:rFonts w:ascii="Verdana" w:hAnsi="Verdana" w:cs="Arial"/>
          <w:lang w:val="es-ES" w:eastAsia="es-CO"/>
        </w:rPr>
        <w:t xml:space="preserve"> </w:t>
      </w:r>
    </w:p>
    <w:p w14:paraId="13C0EB0F" w14:textId="6971BA08" w:rsidR="00A754B1" w:rsidRPr="00206556" w:rsidRDefault="00544464"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4AFAB12D" wp14:editId="4FEBEC06">
            <wp:extent cx="2759102" cy="770890"/>
            <wp:effectExtent l="0" t="0" r="3175" b="0"/>
            <wp:docPr id="601819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81989" name="Imagen 1" descr="Text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97244" cy="781547"/>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Elaboró:         </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eastAsia="es-ES"/>
              </w:rPr>
              <w:t xml:space="preserve">Contratista </w:t>
            </w:r>
            <w:r>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Revisó: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19AEA2F" w14:textId="77777777" w:rsidR="00C7158D" w:rsidRPr="00206556" w:rsidRDefault="00C7158D" w:rsidP="00C7158D">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Alejandro Raúl Sarmiento Cantillo </w:t>
            </w:r>
          </w:p>
          <w:p w14:paraId="1F16E617" w14:textId="77777777" w:rsidR="00C7158D" w:rsidRPr="00D415B4" w:rsidRDefault="00C7158D" w:rsidP="00C7158D">
            <w:pPr>
              <w:autoSpaceDE w:val="0"/>
              <w:autoSpaceDN w:val="0"/>
              <w:adjustRightInd w:val="0"/>
              <w:spacing w:after="0" w:line="276" w:lineRule="auto"/>
              <w:rPr>
                <w:rFonts w:ascii="Verdana" w:eastAsia="Calibri" w:hAnsi="Verdana" w:cs="Arial"/>
                <w:sz w:val="16"/>
                <w:szCs w:val="16"/>
              </w:rPr>
            </w:pPr>
            <w:r w:rsidRPr="00D415B4">
              <w:rPr>
                <w:rFonts w:ascii="Verdana" w:eastAsia="Calibri" w:hAnsi="Verdana" w:cs="Arial"/>
                <w:sz w:val="16"/>
                <w:szCs w:val="16"/>
              </w:rPr>
              <w:t>Gestor Código T1 Grado15 Subdirección de</w:t>
            </w:r>
          </w:p>
          <w:p w14:paraId="4F030FDF" w14:textId="44DA0FCE" w:rsidR="00A754B1" w:rsidRPr="00206556" w:rsidRDefault="00C7158D" w:rsidP="00C7158D">
            <w:pPr>
              <w:spacing w:after="0" w:line="240" w:lineRule="auto"/>
              <w:textAlignment w:val="baseline"/>
              <w:rPr>
                <w:rFonts w:ascii="Verdana" w:eastAsia="Times New Roman" w:hAnsi="Verdana" w:cs="Times New Roman"/>
                <w:sz w:val="16"/>
                <w:szCs w:val="16"/>
                <w:lang w:eastAsia="es-CO"/>
              </w:rPr>
            </w:pPr>
            <w:r w:rsidRPr="00D415B4">
              <w:rPr>
                <w:rFonts w:ascii="Verdana" w:eastAsia="Calibri" w:hAnsi="Verdana" w:cs="Arial"/>
                <w:sz w:val="16"/>
                <w:szCs w:val="16"/>
              </w:rPr>
              <w:t>Gestión Contractual</w:t>
            </w:r>
            <w:r w:rsidRPr="00206556">
              <w:rPr>
                <w:rFonts w:ascii="Verdana" w:eastAsia="Times New Roman" w:hAnsi="Verdana" w:cs="Times New Roman"/>
                <w:sz w:val="16"/>
                <w:szCs w:val="16"/>
                <w:lang w:eastAsia="es-CO"/>
              </w:rPr>
              <w:t xml:space="preserve"> </w:t>
            </w: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val="es-MX" w:eastAsia="es-CO"/>
              </w:rPr>
              <w:t>Aprobó:</w:t>
            </w:r>
            <w:r>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Pr>
                <w:rFonts w:ascii="Verdana" w:eastAsia="Times New Roman" w:hAnsi="Verdana" w:cs="Arial"/>
                <w:sz w:val="16"/>
                <w:szCs w:val="16"/>
                <w:lang w:eastAsia="es-ES"/>
              </w:rPr>
              <w:t>Subdirectora de Gestión Contractual ANCP – CCE</w:t>
            </w:r>
          </w:p>
        </w:tc>
      </w:tr>
      <w:bookmarkEnd w:id="1"/>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bookmarkEnd w:id="0"/>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856BF" w14:textId="77777777" w:rsidR="006B68E1" w:rsidRDefault="006B68E1" w:rsidP="004A1847">
      <w:pPr>
        <w:spacing w:after="0" w:line="240" w:lineRule="auto"/>
      </w:pPr>
      <w:r>
        <w:separator/>
      </w:r>
    </w:p>
  </w:endnote>
  <w:endnote w:type="continuationSeparator" w:id="0">
    <w:p w14:paraId="4E63D650" w14:textId="77777777" w:rsidR="006B68E1" w:rsidRDefault="006B68E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2CE01" w14:textId="77777777" w:rsidR="006B68E1" w:rsidRDefault="006B68E1" w:rsidP="004A1847">
      <w:pPr>
        <w:spacing w:after="0" w:line="240" w:lineRule="auto"/>
      </w:pPr>
      <w:r>
        <w:separator/>
      </w:r>
    </w:p>
  </w:footnote>
  <w:footnote w:type="continuationSeparator" w:id="0">
    <w:p w14:paraId="4DFDA73C" w14:textId="77777777" w:rsidR="006B68E1" w:rsidRDefault="006B68E1" w:rsidP="004A1847">
      <w:pPr>
        <w:spacing w:after="0" w:line="240" w:lineRule="auto"/>
      </w:pPr>
      <w:r>
        <w:continuationSeparator/>
      </w:r>
    </w:p>
  </w:footnote>
  <w:footnote w:id="1">
    <w:p w14:paraId="36DC1C85" w14:textId="353EDA62" w:rsidR="0005065E" w:rsidRPr="0005065E" w:rsidRDefault="005510BC" w:rsidP="0005065E">
      <w:pPr>
        <w:spacing w:after="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footnote>
  <w:footnote w:id="2">
    <w:p w14:paraId="68485690" w14:textId="77777777" w:rsidR="005510BC" w:rsidRPr="00206556" w:rsidRDefault="005510BC" w:rsidP="0005065E">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05065E">
      <w:pPr>
        <w:pStyle w:val="Textonotapie"/>
        <w:ind w:firstLine="708"/>
        <w:jc w:val="both"/>
        <w:rPr>
          <w:rFonts w:ascii="Verdana" w:hAnsi="Verdana"/>
          <w:sz w:val="16"/>
          <w:szCs w:val="16"/>
          <w:lang w:val="es-ES"/>
        </w:rPr>
      </w:pPr>
    </w:p>
  </w:footnote>
  <w:footnote w:id="3">
    <w:p w14:paraId="47898830" w14:textId="61BD7DE4" w:rsidR="005510BC" w:rsidRPr="0005065E" w:rsidRDefault="005510BC" w:rsidP="0005065E">
      <w:pPr>
        <w:spacing w:after="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footnote>
  <w:footnote w:id="4">
    <w:p w14:paraId="023A68CA" w14:textId="77777777" w:rsidR="005510BC" w:rsidRPr="00206556" w:rsidRDefault="005510BC" w:rsidP="0005065E">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05065E">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05065E">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05065E">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05065E">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05065E">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  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313BF"/>
    <w:rsid w:val="00042A91"/>
    <w:rsid w:val="00046945"/>
    <w:rsid w:val="00046C5F"/>
    <w:rsid w:val="0005065E"/>
    <w:rsid w:val="00053563"/>
    <w:rsid w:val="000542B4"/>
    <w:rsid w:val="00055B9D"/>
    <w:rsid w:val="00060428"/>
    <w:rsid w:val="00061B2A"/>
    <w:rsid w:val="0006693F"/>
    <w:rsid w:val="00070BF4"/>
    <w:rsid w:val="00073658"/>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C2D"/>
    <w:rsid w:val="000D5DA7"/>
    <w:rsid w:val="000E7552"/>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27F4E"/>
    <w:rsid w:val="00134886"/>
    <w:rsid w:val="001406B4"/>
    <w:rsid w:val="00142035"/>
    <w:rsid w:val="00143FFF"/>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249"/>
    <w:rsid w:val="0035753C"/>
    <w:rsid w:val="00363F8D"/>
    <w:rsid w:val="00366AAB"/>
    <w:rsid w:val="00373B36"/>
    <w:rsid w:val="00374F5E"/>
    <w:rsid w:val="00377CDF"/>
    <w:rsid w:val="00377E3E"/>
    <w:rsid w:val="00395FD0"/>
    <w:rsid w:val="003974B1"/>
    <w:rsid w:val="003A613F"/>
    <w:rsid w:val="003A779E"/>
    <w:rsid w:val="003B1810"/>
    <w:rsid w:val="003B4D9D"/>
    <w:rsid w:val="003C3B8B"/>
    <w:rsid w:val="003C64A5"/>
    <w:rsid w:val="003D0F4D"/>
    <w:rsid w:val="003D15AD"/>
    <w:rsid w:val="003D37EE"/>
    <w:rsid w:val="003D3EB2"/>
    <w:rsid w:val="003D45B0"/>
    <w:rsid w:val="003D5B0D"/>
    <w:rsid w:val="003E0499"/>
    <w:rsid w:val="003E4F80"/>
    <w:rsid w:val="003E6439"/>
    <w:rsid w:val="003E67A6"/>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44F"/>
    <w:rsid w:val="004F2BF5"/>
    <w:rsid w:val="004F5ED9"/>
    <w:rsid w:val="004F685F"/>
    <w:rsid w:val="00502309"/>
    <w:rsid w:val="00511EE2"/>
    <w:rsid w:val="00516F85"/>
    <w:rsid w:val="005179DF"/>
    <w:rsid w:val="005259F2"/>
    <w:rsid w:val="0053070B"/>
    <w:rsid w:val="00534597"/>
    <w:rsid w:val="00536F7E"/>
    <w:rsid w:val="00544464"/>
    <w:rsid w:val="005510BC"/>
    <w:rsid w:val="005541CB"/>
    <w:rsid w:val="005562C3"/>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6A7B"/>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900D9"/>
    <w:rsid w:val="00690862"/>
    <w:rsid w:val="006A64D0"/>
    <w:rsid w:val="006A66C8"/>
    <w:rsid w:val="006A7374"/>
    <w:rsid w:val="006B68E1"/>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5772"/>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8F4F02"/>
    <w:rsid w:val="00900AB5"/>
    <w:rsid w:val="00900DB0"/>
    <w:rsid w:val="009032C3"/>
    <w:rsid w:val="0090530F"/>
    <w:rsid w:val="0091370F"/>
    <w:rsid w:val="00917748"/>
    <w:rsid w:val="0092065E"/>
    <w:rsid w:val="00920D56"/>
    <w:rsid w:val="00923EEF"/>
    <w:rsid w:val="009252BB"/>
    <w:rsid w:val="00925CA2"/>
    <w:rsid w:val="009363F6"/>
    <w:rsid w:val="009419F9"/>
    <w:rsid w:val="009502B2"/>
    <w:rsid w:val="0095685E"/>
    <w:rsid w:val="00960D60"/>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4CA5"/>
    <w:rsid w:val="009C71FA"/>
    <w:rsid w:val="009C72E7"/>
    <w:rsid w:val="009C7F7E"/>
    <w:rsid w:val="009D044C"/>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66FB"/>
    <w:rsid w:val="00B4752F"/>
    <w:rsid w:val="00B53C1C"/>
    <w:rsid w:val="00B5706D"/>
    <w:rsid w:val="00B6113F"/>
    <w:rsid w:val="00B72CD3"/>
    <w:rsid w:val="00B72FFF"/>
    <w:rsid w:val="00B75E25"/>
    <w:rsid w:val="00B902B6"/>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4188"/>
    <w:rsid w:val="00C47291"/>
    <w:rsid w:val="00C50D69"/>
    <w:rsid w:val="00C5146A"/>
    <w:rsid w:val="00C5365C"/>
    <w:rsid w:val="00C53B15"/>
    <w:rsid w:val="00C622DE"/>
    <w:rsid w:val="00C62EF1"/>
    <w:rsid w:val="00C63846"/>
    <w:rsid w:val="00C654FA"/>
    <w:rsid w:val="00C704B7"/>
    <w:rsid w:val="00C7158D"/>
    <w:rsid w:val="00C71DE4"/>
    <w:rsid w:val="00C754BE"/>
    <w:rsid w:val="00C75BA3"/>
    <w:rsid w:val="00C76B1C"/>
    <w:rsid w:val="00C76B5F"/>
    <w:rsid w:val="00C820EF"/>
    <w:rsid w:val="00C824BD"/>
    <w:rsid w:val="00C831EC"/>
    <w:rsid w:val="00C91D70"/>
    <w:rsid w:val="00C925AC"/>
    <w:rsid w:val="00C93DAC"/>
    <w:rsid w:val="00C95F94"/>
    <w:rsid w:val="00CA0621"/>
    <w:rsid w:val="00CA2E8A"/>
    <w:rsid w:val="00CB0A50"/>
    <w:rsid w:val="00CB44F3"/>
    <w:rsid w:val="00CB6357"/>
    <w:rsid w:val="00CC1B26"/>
    <w:rsid w:val="00CC29BA"/>
    <w:rsid w:val="00CE2A60"/>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2F5"/>
    <w:rsid w:val="00D37660"/>
    <w:rsid w:val="00D37910"/>
    <w:rsid w:val="00D423A2"/>
    <w:rsid w:val="00D44E26"/>
    <w:rsid w:val="00D520D8"/>
    <w:rsid w:val="00D63AC2"/>
    <w:rsid w:val="00D7383B"/>
    <w:rsid w:val="00D7788A"/>
    <w:rsid w:val="00D851ED"/>
    <w:rsid w:val="00D9033C"/>
    <w:rsid w:val="00D92301"/>
    <w:rsid w:val="00DA1940"/>
    <w:rsid w:val="00DA231B"/>
    <w:rsid w:val="00DA71B3"/>
    <w:rsid w:val="00DC051E"/>
    <w:rsid w:val="00DC39FC"/>
    <w:rsid w:val="00DC7D55"/>
    <w:rsid w:val="00DD24B2"/>
    <w:rsid w:val="00DE6C8E"/>
    <w:rsid w:val="00DF021B"/>
    <w:rsid w:val="00DF1C4B"/>
    <w:rsid w:val="00DF32B2"/>
    <w:rsid w:val="00DF3D9A"/>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37985"/>
    <w:rsid w:val="00F41C3E"/>
    <w:rsid w:val="00F43A08"/>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10183662">
      <w:bodyDiv w:val="1"/>
      <w:marLeft w:val="0"/>
      <w:marRight w:val="0"/>
      <w:marTop w:val="0"/>
      <w:marBottom w:val="0"/>
      <w:divBdr>
        <w:top w:val="none" w:sz="0" w:space="0" w:color="auto"/>
        <w:left w:val="none" w:sz="0" w:space="0" w:color="auto"/>
        <w:bottom w:val="none" w:sz="0" w:space="0" w:color="auto"/>
        <w:right w:val="none" w:sz="0" w:space="0" w:color="auto"/>
      </w:divBdr>
      <w:divsChild>
        <w:div w:id="1115979248">
          <w:marLeft w:val="0"/>
          <w:marRight w:val="0"/>
          <w:marTop w:val="0"/>
          <w:marBottom w:val="0"/>
          <w:divBdr>
            <w:top w:val="none" w:sz="0" w:space="0" w:color="auto"/>
            <w:left w:val="none" w:sz="0" w:space="0" w:color="auto"/>
            <w:bottom w:val="none" w:sz="0" w:space="0" w:color="auto"/>
            <w:right w:val="none" w:sz="0" w:space="0" w:color="auto"/>
          </w:divBdr>
          <w:divsChild>
            <w:div w:id="534586462">
              <w:marLeft w:val="0"/>
              <w:marRight w:val="0"/>
              <w:marTop w:val="0"/>
              <w:marBottom w:val="0"/>
              <w:divBdr>
                <w:top w:val="none" w:sz="0" w:space="0" w:color="auto"/>
                <w:left w:val="none" w:sz="0" w:space="0" w:color="auto"/>
                <w:bottom w:val="none" w:sz="0" w:space="0" w:color="auto"/>
                <w:right w:val="none" w:sz="0" w:space="0" w:color="auto"/>
              </w:divBdr>
              <w:divsChild>
                <w:div w:id="1972711121">
                  <w:marLeft w:val="0"/>
                  <w:marRight w:val="0"/>
                  <w:marTop w:val="0"/>
                  <w:marBottom w:val="0"/>
                  <w:divBdr>
                    <w:top w:val="none" w:sz="0" w:space="0" w:color="auto"/>
                    <w:left w:val="none" w:sz="0" w:space="0" w:color="auto"/>
                    <w:bottom w:val="none" w:sz="0" w:space="0" w:color="auto"/>
                    <w:right w:val="none" w:sz="0" w:space="0" w:color="auto"/>
                  </w:divBdr>
                  <w:divsChild>
                    <w:div w:id="783618552">
                      <w:marLeft w:val="0"/>
                      <w:marRight w:val="0"/>
                      <w:marTop w:val="0"/>
                      <w:marBottom w:val="0"/>
                      <w:divBdr>
                        <w:top w:val="none" w:sz="0" w:space="0" w:color="auto"/>
                        <w:left w:val="none" w:sz="0" w:space="0" w:color="auto"/>
                        <w:bottom w:val="none" w:sz="0" w:space="0" w:color="auto"/>
                        <w:right w:val="none" w:sz="0" w:space="0" w:color="auto"/>
                      </w:divBdr>
                      <w:divsChild>
                        <w:div w:id="1644503414">
                          <w:marLeft w:val="0"/>
                          <w:marRight w:val="0"/>
                          <w:marTop w:val="0"/>
                          <w:marBottom w:val="0"/>
                          <w:divBdr>
                            <w:top w:val="none" w:sz="0" w:space="0" w:color="auto"/>
                            <w:left w:val="none" w:sz="0" w:space="0" w:color="auto"/>
                            <w:bottom w:val="none" w:sz="0" w:space="0" w:color="auto"/>
                            <w:right w:val="none" w:sz="0" w:space="0" w:color="auto"/>
                          </w:divBdr>
                          <w:divsChild>
                            <w:div w:id="1623419293">
                              <w:marLeft w:val="0"/>
                              <w:marRight w:val="0"/>
                              <w:marTop w:val="0"/>
                              <w:marBottom w:val="0"/>
                              <w:divBdr>
                                <w:top w:val="none" w:sz="0" w:space="0" w:color="auto"/>
                                <w:left w:val="none" w:sz="0" w:space="0" w:color="auto"/>
                                <w:bottom w:val="none" w:sz="0" w:space="0" w:color="auto"/>
                                <w:right w:val="none" w:sz="0" w:space="0" w:color="auto"/>
                              </w:divBdr>
                              <w:divsChild>
                                <w:div w:id="79764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0974869">
      <w:bodyDiv w:val="1"/>
      <w:marLeft w:val="0"/>
      <w:marRight w:val="0"/>
      <w:marTop w:val="0"/>
      <w:marBottom w:val="0"/>
      <w:divBdr>
        <w:top w:val="none" w:sz="0" w:space="0" w:color="auto"/>
        <w:left w:val="none" w:sz="0" w:space="0" w:color="auto"/>
        <w:bottom w:val="none" w:sz="0" w:space="0" w:color="auto"/>
        <w:right w:val="none" w:sz="0" w:space="0" w:color="auto"/>
      </w:divBdr>
      <w:divsChild>
        <w:div w:id="1404647611">
          <w:marLeft w:val="0"/>
          <w:marRight w:val="0"/>
          <w:marTop w:val="240"/>
          <w:marBottom w:val="0"/>
          <w:divBdr>
            <w:top w:val="none" w:sz="0" w:space="0" w:color="auto"/>
            <w:left w:val="none" w:sz="0" w:space="0" w:color="auto"/>
            <w:bottom w:val="none" w:sz="0" w:space="0" w:color="auto"/>
            <w:right w:val="none" w:sz="0" w:space="0" w:color="auto"/>
          </w:divBdr>
        </w:div>
        <w:div w:id="70470492">
          <w:marLeft w:val="0"/>
          <w:marRight w:val="0"/>
          <w:marTop w:val="240"/>
          <w:marBottom w:val="0"/>
          <w:divBdr>
            <w:top w:val="none" w:sz="0" w:space="0" w:color="auto"/>
            <w:left w:val="none" w:sz="0" w:space="0" w:color="auto"/>
            <w:bottom w:val="none" w:sz="0" w:space="0" w:color="auto"/>
            <w:right w:val="none" w:sz="0" w:space="0" w:color="auto"/>
          </w:divBdr>
        </w:div>
      </w:divsChild>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37331548">
      <w:bodyDiv w:val="1"/>
      <w:marLeft w:val="0"/>
      <w:marRight w:val="0"/>
      <w:marTop w:val="0"/>
      <w:marBottom w:val="0"/>
      <w:divBdr>
        <w:top w:val="none" w:sz="0" w:space="0" w:color="auto"/>
        <w:left w:val="none" w:sz="0" w:space="0" w:color="auto"/>
        <w:bottom w:val="none" w:sz="0" w:space="0" w:color="auto"/>
        <w:right w:val="none" w:sz="0" w:space="0" w:color="auto"/>
      </w:divBdr>
      <w:divsChild>
        <w:div w:id="37899448">
          <w:marLeft w:val="0"/>
          <w:marRight w:val="0"/>
          <w:marTop w:val="240"/>
          <w:marBottom w:val="0"/>
          <w:divBdr>
            <w:top w:val="none" w:sz="0" w:space="0" w:color="auto"/>
            <w:left w:val="none" w:sz="0" w:space="0" w:color="auto"/>
            <w:bottom w:val="none" w:sz="0" w:space="0" w:color="auto"/>
            <w:right w:val="none" w:sz="0" w:space="0" w:color="auto"/>
          </w:divBdr>
        </w:div>
        <w:div w:id="1618021105">
          <w:marLeft w:val="0"/>
          <w:marRight w:val="0"/>
          <w:marTop w:val="240"/>
          <w:marBottom w:val="0"/>
          <w:divBdr>
            <w:top w:val="none" w:sz="0" w:space="0" w:color="auto"/>
            <w:left w:val="none" w:sz="0" w:space="0" w:color="auto"/>
            <w:bottom w:val="none" w:sz="0" w:space="0" w:color="auto"/>
            <w:right w:val="none" w:sz="0" w:space="0" w:color="auto"/>
          </w:divBdr>
        </w:div>
      </w:divsChild>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1876044635">
      <w:bodyDiv w:val="1"/>
      <w:marLeft w:val="0"/>
      <w:marRight w:val="0"/>
      <w:marTop w:val="0"/>
      <w:marBottom w:val="0"/>
      <w:divBdr>
        <w:top w:val="none" w:sz="0" w:space="0" w:color="auto"/>
        <w:left w:val="none" w:sz="0" w:space="0" w:color="auto"/>
        <w:bottom w:val="none" w:sz="0" w:space="0" w:color="auto"/>
        <w:right w:val="none" w:sz="0" w:space="0" w:color="auto"/>
      </w:divBdr>
      <w:divsChild>
        <w:div w:id="1581402430">
          <w:marLeft w:val="0"/>
          <w:marRight w:val="0"/>
          <w:marTop w:val="0"/>
          <w:marBottom w:val="0"/>
          <w:divBdr>
            <w:top w:val="none" w:sz="0" w:space="0" w:color="auto"/>
            <w:left w:val="none" w:sz="0" w:space="0" w:color="auto"/>
            <w:bottom w:val="none" w:sz="0" w:space="0" w:color="auto"/>
            <w:right w:val="none" w:sz="0" w:space="0" w:color="auto"/>
          </w:divBdr>
          <w:divsChild>
            <w:div w:id="1221668342">
              <w:marLeft w:val="0"/>
              <w:marRight w:val="0"/>
              <w:marTop w:val="0"/>
              <w:marBottom w:val="0"/>
              <w:divBdr>
                <w:top w:val="none" w:sz="0" w:space="0" w:color="auto"/>
                <w:left w:val="none" w:sz="0" w:space="0" w:color="auto"/>
                <w:bottom w:val="none" w:sz="0" w:space="0" w:color="auto"/>
                <w:right w:val="none" w:sz="0" w:space="0" w:color="auto"/>
              </w:divBdr>
              <w:divsChild>
                <w:div w:id="1930846667">
                  <w:marLeft w:val="0"/>
                  <w:marRight w:val="0"/>
                  <w:marTop w:val="0"/>
                  <w:marBottom w:val="0"/>
                  <w:divBdr>
                    <w:top w:val="none" w:sz="0" w:space="0" w:color="auto"/>
                    <w:left w:val="none" w:sz="0" w:space="0" w:color="auto"/>
                    <w:bottom w:val="none" w:sz="0" w:space="0" w:color="auto"/>
                    <w:right w:val="none" w:sz="0" w:space="0" w:color="auto"/>
                  </w:divBdr>
                  <w:divsChild>
                    <w:div w:id="1265455703">
                      <w:marLeft w:val="0"/>
                      <w:marRight w:val="0"/>
                      <w:marTop w:val="0"/>
                      <w:marBottom w:val="0"/>
                      <w:divBdr>
                        <w:top w:val="none" w:sz="0" w:space="0" w:color="auto"/>
                        <w:left w:val="none" w:sz="0" w:space="0" w:color="auto"/>
                        <w:bottom w:val="none" w:sz="0" w:space="0" w:color="auto"/>
                        <w:right w:val="none" w:sz="0" w:space="0" w:color="auto"/>
                      </w:divBdr>
                      <w:divsChild>
                        <w:div w:id="148984696">
                          <w:marLeft w:val="0"/>
                          <w:marRight w:val="0"/>
                          <w:marTop w:val="0"/>
                          <w:marBottom w:val="0"/>
                          <w:divBdr>
                            <w:top w:val="none" w:sz="0" w:space="0" w:color="auto"/>
                            <w:left w:val="none" w:sz="0" w:space="0" w:color="auto"/>
                            <w:bottom w:val="none" w:sz="0" w:space="0" w:color="auto"/>
                            <w:right w:val="none" w:sz="0" w:space="0" w:color="auto"/>
                          </w:divBdr>
                          <w:divsChild>
                            <w:div w:id="1688215885">
                              <w:marLeft w:val="0"/>
                              <w:marRight w:val="0"/>
                              <w:marTop w:val="0"/>
                              <w:marBottom w:val="0"/>
                              <w:divBdr>
                                <w:top w:val="none" w:sz="0" w:space="0" w:color="auto"/>
                                <w:left w:val="none" w:sz="0" w:space="0" w:color="auto"/>
                                <w:bottom w:val="none" w:sz="0" w:space="0" w:color="auto"/>
                                <w:right w:val="none" w:sz="0" w:space="0" w:color="auto"/>
                              </w:divBdr>
                              <w:divsChild>
                                <w:div w:id="33295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CCB3A-267E-4207-A54F-42E106A8CF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31</Pages>
  <Words>11081</Words>
  <Characters>60951</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2026-06-09T17:21:00Z</dcterms:created>
  <dcterms:modified xsi:type="dcterms:W3CDTF">2026-06-17T17:28:00Z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