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366E8" w14:textId="77777777" w:rsidR="00C158B5" w:rsidRPr="00893C18" w:rsidRDefault="00C158B5" w:rsidP="00C158B5">
      <w:pPr>
        <w:snapToGrid w:val="0"/>
        <w:contextualSpacing/>
        <w:jc w:val="both"/>
        <w:rPr>
          <w:rFonts w:ascii="Verdana" w:eastAsia="Calibri" w:hAnsi="Verdana" w:cs="Arial"/>
          <w:b/>
          <w:bCs/>
          <w:lang w:val="es-ES" w:eastAsia="es-ES"/>
        </w:rPr>
      </w:pPr>
      <w:bookmarkStart w:id="0" w:name="_Hlk143780582"/>
      <w:r w:rsidRPr="00893C18">
        <w:rPr>
          <w:rFonts w:ascii="Verdana" w:eastAsia="Calibri" w:hAnsi="Verdana" w:cs="Arial"/>
          <w:b/>
          <w:bCs/>
          <w:lang w:val="es-ES" w:eastAsia="es-ES"/>
        </w:rPr>
        <w:t>SARLAFT ‒ Marco jurídico – Definición</w:t>
      </w:r>
    </w:p>
    <w:p w14:paraId="750FA30D" w14:textId="77777777" w:rsidR="00C158B5" w:rsidRPr="00893C18" w:rsidRDefault="00C158B5" w:rsidP="00C158B5">
      <w:pPr>
        <w:snapToGrid w:val="0"/>
        <w:spacing w:after="0" w:line="240" w:lineRule="auto"/>
        <w:contextualSpacing/>
        <w:jc w:val="both"/>
        <w:rPr>
          <w:rFonts w:ascii="Verdana" w:eastAsia="Calibri" w:hAnsi="Verdana" w:cs="Arial"/>
          <w:b/>
          <w:bCs/>
          <w:sz w:val="20"/>
          <w:szCs w:val="20"/>
          <w:lang w:val="es-ES" w:eastAsia="es-ES"/>
        </w:rPr>
      </w:pPr>
    </w:p>
    <w:p w14:paraId="73EF2294" w14:textId="77777777" w:rsidR="00C158B5" w:rsidRDefault="00C158B5" w:rsidP="00C158B5">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893C18">
        <w:rPr>
          <w:rFonts w:ascii="Verdana" w:eastAsia="Calibri" w:hAnsi="Verdana" w:cs="Arial"/>
          <w:color w:val="000000" w:themeColor="text1"/>
          <w:sz w:val="20"/>
          <w:szCs w:val="20"/>
        </w:rPr>
        <w:t>ii</w:t>
      </w:r>
      <w:proofErr w:type="spellEnd"/>
      <w:r w:rsidRPr="00893C18">
        <w:rPr>
          <w:rFonts w:ascii="Verdana" w:eastAsia="Calibri" w:hAnsi="Verdana" w:cs="Arial"/>
          <w:color w:val="000000" w:themeColor="text1"/>
          <w:sz w:val="20"/>
          <w:szCs w:val="20"/>
        </w:rPr>
        <w:t xml:space="preserve">) canalizar recursos hacia la </w:t>
      </w:r>
      <w:proofErr w:type="spellStart"/>
      <w:r w:rsidRPr="00893C18">
        <w:rPr>
          <w:rFonts w:ascii="Verdana" w:eastAsia="Calibri" w:hAnsi="Verdana" w:cs="Arial"/>
          <w:color w:val="000000" w:themeColor="text1"/>
          <w:sz w:val="20"/>
          <w:szCs w:val="20"/>
        </w:rPr>
        <w:t>realización</w:t>
      </w:r>
      <w:proofErr w:type="spellEnd"/>
      <w:r w:rsidRPr="00893C18">
        <w:rPr>
          <w:rFonts w:ascii="Verdana" w:eastAsia="Calibri" w:hAnsi="Verdana" w:cs="Arial"/>
          <w:color w:val="000000" w:themeColor="text1"/>
          <w:sz w:val="20"/>
          <w:szCs w:val="20"/>
        </w:rPr>
        <w:t xml:space="preserve"> de actividades terroristas. Con este fin, en desarrollo de los dispuesto en los artículos 102 y subsiguientes del Decreto Ley 663 de 1993, Estatuto Orgánico del Sistema Financiero, así como lo dispuesto en el artículo 22 de la Ley 964 de 2005, la Superintendencia determina los criterios y </w:t>
      </w:r>
      <w:proofErr w:type="spellStart"/>
      <w:r w:rsidRPr="00893C18">
        <w:rPr>
          <w:rFonts w:ascii="Verdana" w:eastAsia="Calibri" w:hAnsi="Verdana" w:cs="Arial"/>
          <w:color w:val="000000" w:themeColor="text1"/>
          <w:sz w:val="20"/>
          <w:szCs w:val="20"/>
        </w:rPr>
        <w:t>parámetros</w:t>
      </w:r>
      <w:proofErr w:type="spellEnd"/>
      <w:r w:rsidRPr="00893C18">
        <w:rPr>
          <w:rFonts w:ascii="Verdana" w:eastAsia="Calibri" w:hAnsi="Verdana" w:cs="Arial"/>
          <w:color w:val="000000" w:themeColor="text1"/>
          <w:sz w:val="20"/>
          <w:szCs w:val="20"/>
        </w:rPr>
        <w:t xml:space="preserve"> mínimos que las entidades vigiladas deben atender en el diseño, </w:t>
      </w:r>
      <w:proofErr w:type="spellStart"/>
      <w:r w:rsidRPr="00893C18">
        <w:rPr>
          <w:rFonts w:ascii="Verdana" w:eastAsia="Calibri" w:hAnsi="Verdana" w:cs="Arial"/>
          <w:color w:val="000000" w:themeColor="text1"/>
          <w:sz w:val="20"/>
          <w:szCs w:val="20"/>
        </w:rPr>
        <w:t>implementación</w:t>
      </w:r>
      <w:proofErr w:type="spellEnd"/>
      <w:r w:rsidRPr="00893C18">
        <w:rPr>
          <w:rFonts w:ascii="Verdana" w:eastAsia="Calibri" w:hAnsi="Verdana" w:cs="Arial"/>
          <w:color w:val="000000" w:themeColor="text1"/>
          <w:sz w:val="20"/>
          <w:szCs w:val="20"/>
        </w:rPr>
        <w:t xml:space="preserve"> y funcionamiento del mencionado sistema. </w:t>
      </w:r>
    </w:p>
    <w:p w14:paraId="380E8785" w14:textId="77777777" w:rsidR="00C158B5" w:rsidRPr="00893C18" w:rsidRDefault="00C158B5" w:rsidP="00C158B5">
      <w:pPr>
        <w:snapToGrid w:val="0"/>
        <w:spacing w:after="0" w:line="240" w:lineRule="auto"/>
        <w:contextualSpacing/>
        <w:jc w:val="both"/>
        <w:rPr>
          <w:rFonts w:ascii="Verdana" w:eastAsia="Calibri" w:hAnsi="Verdana" w:cs="Arial"/>
          <w:color w:val="000000" w:themeColor="text1"/>
          <w:sz w:val="20"/>
          <w:szCs w:val="20"/>
        </w:rPr>
      </w:pPr>
    </w:p>
    <w:p w14:paraId="2071C79E" w14:textId="77777777" w:rsidR="00C158B5" w:rsidRPr="00893C18" w:rsidRDefault="00C158B5" w:rsidP="00C158B5">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xml:space="preserve">Bajo dicho marco, las entidades deben implementar sistemas para prevenir el riesgo de que se introduzcan al sistema financiero recursos provenientes de actividades relacionadas con el lavado de activos y/o </w:t>
      </w:r>
      <w:proofErr w:type="spellStart"/>
      <w:r w:rsidRPr="00893C18">
        <w:rPr>
          <w:rFonts w:ascii="Verdana" w:eastAsia="Calibri" w:hAnsi="Verdana" w:cs="Arial"/>
          <w:color w:val="000000" w:themeColor="text1"/>
          <w:sz w:val="20"/>
          <w:szCs w:val="20"/>
        </w:rPr>
        <w:t>financiación</w:t>
      </w:r>
      <w:proofErr w:type="spellEnd"/>
      <w:r w:rsidRPr="00893C18">
        <w:rPr>
          <w:rFonts w:ascii="Verdana" w:eastAsia="Calibri" w:hAnsi="Verdana" w:cs="Arial"/>
          <w:color w:val="000000" w:themeColor="text1"/>
          <w:sz w:val="20"/>
          <w:szCs w:val="20"/>
        </w:rPr>
        <w:t xml:space="preserve"> del terrorismo (LA/FT), así como detectar y reportar las operaciones cuyo propósito sea dar apariencia de legalidad a operaciones vinculadas al LA/FT.</w:t>
      </w:r>
    </w:p>
    <w:p w14:paraId="4803CB1E" w14:textId="77777777" w:rsidR="00C158B5" w:rsidRDefault="00C158B5" w:rsidP="00C158B5">
      <w:pPr>
        <w:spacing w:after="0"/>
        <w:rPr>
          <w:rFonts w:ascii="Verdana" w:hAnsi="Verdana"/>
          <w:lang w:val="es-ES"/>
        </w:rPr>
      </w:pPr>
    </w:p>
    <w:p w14:paraId="6477729D" w14:textId="77777777" w:rsidR="00C158B5" w:rsidRPr="00893C18" w:rsidRDefault="00C158B5" w:rsidP="00C158B5">
      <w:pPr>
        <w:snapToGrid w:val="0"/>
        <w:contextualSpacing/>
        <w:jc w:val="both"/>
        <w:rPr>
          <w:rFonts w:ascii="Verdana" w:eastAsia="Calibri" w:hAnsi="Verdana" w:cs="Arial"/>
          <w:b/>
          <w:bCs/>
          <w:lang w:val="es-ES" w:eastAsia="es-ES"/>
        </w:rPr>
      </w:pPr>
      <w:r w:rsidRPr="00893C18">
        <w:rPr>
          <w:rFonts w:ascii="Verdana" w:eastAsia="Calibri" w:hAnsi="Verdana" w:cs="Arial"/>
          <w:b/>
          <w:bCs/>
          <w:lang w:val="es-ES" w:eastAsia="es-ES"/>
        </w:rPr>
        <w:t>RÉGIMEN DE INHABILIDADES E INCOMPATIBILIDADES – Reserva legal</w:t>
      </w:r>
    </w:p>
    <w:p w14:paraId="5574D86F" w14:textId="77777777" w:rsidR="00C158B5" w:rsidRPr="00893C18" w:rsidRDefault="00C158B5" w:rsidP="00C158B5">
      <w:pPr>
        <w:snapToGrid w:val="0"/>
        <w:spacing w:after="0" w:line="240" w:lineRule="auto"/>
        <w:contextualSpacing/>
        <w:jc w:val="both"/>
        <w:rPr>
          <w:rFonts w:ascii="Verdana" w:eastAsia="Calibri" w:hAnsi="Verdana" w:cs="Arial"/>
          <w:b/>
          <w:bCs/>
          <w:sz w:val="20"/>
          <w:szCs w:val="20"/>
          <w:lang w:val="es-ES" w:eastAsia="es-ES"/>
        </w:rPr>
      </w:pPr>
    </w:p>
    <w:p w14:paraId="7EA00DA3" w14:textId="77777777" w:rsidR="00C158B5" w:rsidRDefault="00C158B5" w:rsidP="00C158B5">
      <w:pPr>
        <w:snapToGrid w:val="0"/>
        <w:spacing w:after="0" w:line="240" w:lineRule="auto"/>
        <w:contextualSpacing/>
        <w:jc w:val="both"/>
        <w:rPr>
          <w:rFonts w:ascii="Verdana" w:hAnsi="Verdana"/>
          <w:sz w:val="20"/>
          <w:szCs w:val="20"/>
        </w:rPr>
      </w:pPr>
      <w:r w:rsidRPr="00893C18">
        <w:rPr>
          <w:rFonts w:ascii="Verdana" w:eastAsia="Calibri" w:hAnsi="Verdana" w:cs="Arial"/>
          <w:color w:val="000000" w:themeColor="text1"/>
          <w:sz w:val="20"/>
          <w:szCs w:val="20"/>
          <w:lang w:val="es-ES_tradnl"/>
        </w:rPr>
        <w:t xml:space="preserve">Por un lado, </w:t>
      </w:r>
      <w:r w:rsidRPr="00893C18">
        <w:rPr>
          <w:rFonts w:ascii="Verdana" w:hAnsi="Verdana"/>
          <w:sz w:val="20"/>
          <w:szCs w:val="20"/>
        </w:rPr>
        <w:t xml:space="preserve">es necesario tener en cuenta que el carácter reconocidamente taxativo y restrictivo de </w:t>
      </w:r>
      <w:r w:rsidRPr="00893C18">
        <w:rPr>
          <w:rFonts w:ascii="Verdana" w:hAnsi="Verdana"/>
          <w:i/>
          <w:iCs/>
          <w:sz w:val="20"/>
          <w:szCs w:val="20"/>
        </w:rPr>
        <w:t>régimen de inhabilidades</w:t>
      </w:r>
      <w:r w:rsidRPr="00893C18">
        <w:rPr>
          <w:rFonts w:ascii="Verdana" w:hAnsi="Verdana"/>
          <w:sz w:val="20"/>
          <w:szCs w:val="20"/>
        </w:rPr>
        <w:t xml:space="preserve"> obedece a la necesidad de salvaguardar el interés general inherente en la contratación pública, de forma que implique el menor sacrificio posible al derecho de igualdad y de reconocimiento de la personalidad jurídica de quienes aspiran a contratar con el Estado. 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  </w:t>
      </w:r>
    </w:p>
    <w:p w14:paraId="1415C4CC" w14:textId="77777777" w:rsidR="00C158B5" w:rsidRDefault="00C158B5" w:rsidP="00C158B5">
      <w:pPr>
        <w:snapToGrid w:val="0"/>
        <w:spacing w:after="0" w:line="240" w:lineRule="auto"/>
        <w:contextualSpacing/>
        <w:jc w:val="both"/>
        <w:rPr>
          <w:rFonts w:ascii="Verdana" w:hAnsi="Verdana"/>
          <w:sz w:val="20"/>
          <w:szCs w:val="20"/>
        </w:rPr>
      </w:pPr>
    </w:p>
    <w:p w14:paraId="285134E8" w14:textId="74D20936" w:rsidR="00C158B5" w:rsidRPr="00C158B5" w:rsidRDefault="00C158B5" w:rsidP="00C158B5">
      <w:pPr>
        <w:snapToGrid w:val="0"/>
        <w:contextualSpacing/>
        <w:jc w:val="both"/>
        <w:rPr>
          <w:rFonts w:ascii="Verdana" w:eastAsia="Calibri" w:hAnsi="Verdana" w:cs="Arial"/>
          <w:b/>
          <w:bCs/>
          <w:lang w:val="es-ES" w:eastAsia="es-ES"/>
        </w:rPr>
      </w:pPr>
      <w:r w:rsidRPr="00C158B5">
        <w:rPr>
          <w:rFonts w:ascii="Verdana" w:eastAsia="Calibri" w:hAnsi="Verdana" w:cs="Arial"/>
          <w:b/>
          <w:bCs/>
          <w:lang w:val="es-ES" w:eastAsia="es-ES"/>
        </w:rPr>
        <w:t>REPORTE EN LISTAS RESTRICTIVAS – Medidas y alcance</w:t>
      </w:r>
    </w:p>
    <w:p w14:paraId="4E678112" w14:textId="77777777" w:rsidR="00C158B5" w:rsidRPr="00893C18" w:rsidRDefault="00C158B5" w:rsidP="00C158B5">
      <w:pPr>
        <w:snapToGrid w:val="0"/>
        <w:spacing w:after="0" w:line="240" w:lineRule="auto"/>
        <w:contextualSpacing/>
        <w:jc w:val="both"/>
        <w:rPr>
          <w:rFonts w:ascii="Verdana" w:eastAsia="Calibri" w:hAnsi="Verdana" w:cs="Arial"/>
          <w:b/>
          <w:bCs/>
          <w:sz w:val="20"/>
          <w:szCs w:val="20"/>
          <w:lang w:val="es-ES" w:eastAsia="es-ES"/>
        </w:rPr>
      </w:pPr>
    </w:p>
    <w:p w14:paraId="73CF72BE" w14:textId="77777777" w:rsidR="00C158B5" w:rsidRDefault="00C158B5" w:rsidP="00C158B5">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xml:space="preserve">[…] las entidades deben implementar sistemas para prevenir el riesgo de que se introduzcan al sistema financiero recursos provenientes de actividades relacionadas con el lavado de activos y/o </w:t>
      </w:r>
      <w:proofErr w:type="spellStart"/>
      <w:r w:rsidRPr="00893C18">
        <w:rPr>
          <w:rFonts w:ascii="Verdana" w:eastAsia="Calibri" w:hAnsi="Verdana" w:cs="Arial"/>
          <w:color w:val="000000" w:themeColor="text1"/>
          <w:sz w:val="20"/>
          <w:szCs w:val="20"/>
        </w:rPr>
        <w:t>financiación</w:t>
      </w:r>
      <w:proofErr w:type="spellEnd"/>
      <w:r w:rsidRPr="00893C18">
        <w:rPr>
          <w:rFonts w:ascii="Verdana" w:eastAsia="Calibri" w:hAnsi="Verdana" w:cs="Arial"/>
          <w:color w:val="000000" w:themeColor="text1"/>
          <w:sz w:val="20"/>
          <w:szCs w:val="20"/>
        </w:rPr>
        <w:t xml:space="preserve"> del terrorismo (LA/FT), así como detectar y reportar las operaciones cuyo propósito sea dar apariencia de legalidad a operaciones vinculadas al LA/FT.</w:t>
      </w:r>
    </w:p>
    <w:p w14:paraId="7871CFBE" w14:textId="77777777" w:rsidR="00C158B5" w:rsidRPr="00893C18" w:rsidRDefault="00C158B5" w:rsidP="00C158B5">
      <w:pPr>
        <w:snapToGrid w:val="0"/>
        <w:spacing w:after="0" w:line="240" w:lineRule="auto"/>
        <w:contextualSpacing/>
        <w:jc w:val="both"/>
        <w:rPr>
          <w:rFonts w:ascii="Verdana" w:eastAsia="Calibri" w:hAnsi="Verdana" w:cs="Arial"/>
          <w:color w:val="000000" w:themeColor="text1"/>
          <w:sz w:val="20"/>
          <w:szCs w:val="20"/>
        </w:rPr>
      </w:pPr>
    </w:p>
    <w:p w14:paraId="413B9B71" w14:textId="77777777" w:rsidR="00C158B5" w:rsidRPr="00893C18" w:rsidRDefault="00C158B5" w:rsidP="00C158B5">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lastRenderedPageBreak/>
        <w:t>En particular, para prevenir el riesgo de corrupción y de delitos derivados de la celebración de contratos estatales, la Sala de Consulta y Servicio Civil del Consejo de Estado explica que las entidades –tanto las sometidas como exceptuadas de la Ley 80 de 1993– tienen las siguientes opciones: “(i) En los estudios previos que sustentan la contratación: a) tipificar, estimar y asignar los riesgos para prevenir actos de corrupción; b) contemplar las medidas tendientes a verificar las calidades de los proponentes o futuros contratistas; (</w:t>
      </w:r>
      <w:proofErr w:type="spellStart"/>
      <w:r w:rsidRPr="00893C18">
        <w:rPr>
          <w:rFonts w:ascii="Verdana" w:eastAsia="Calibri" w:hAnsi="Verdana" w:cs="Arial"/>
          <w:color w:val="000000" w:themeColor="text1"/>
          <w:sz w:val="20"/>
          <w:szCs w:val="20"/>
        </w:rPr>
        <w:t>ii</w:t>
      </w:r>
      <w:proofErr w:type="spellEnd"/>
      <w:r w:rsidRPr="00893C18">
        <w:rPr>
          <w:rFonts w:ascii="Verdana" w:eastAsia="Calibri" w:hAnsi="Verdana" w:cs="Arial"/>
          <w:color w:val="000000" w:themeColor="text1"/>
          <w:sz w:val="20"/>
          <w:szCs w:val="20"/>
        </w:rPr>
        <w:t>) En los pliegos de condiciones y como parte integrante de la oferta: a) exigir la suscripción de “pactos o compromisos de integridad” y de la “declaración de origen de fondos”; b) identificar plenamente al proponente y verificar los datos pertinentes, de acuerdo con la prerrogativa de la entidad, y c) señalar expresamente que uno de los riesgos asociados al contrato es el de corrupción, el cual se relaciona directamente con el riesgo financiero y, en consecuencia, exigir garantías suficientes que permitan mantener cubierta a la entidad en relación con este riesgo; (</w:t>
      </w:r>
      <w:proofErr w:type="spellStart"/>
      <w:r w:rsidRPr="00893C18">
        <w:rPr>
          <w:rFonts w:ascii="Verdana" w:eastAsia="Calibri" w:hAnsi="Verdana" w:cs="Arial"/>
          <w:color w:val="000000" w:themeColor="text1"/>
          <w:sz w:val="20"/>
          <w:szCs w:val="20"/>
        </w:rPr>
        <w:t>iii</w:t>
      </w:r>
      <w:proofErr w:type="spellEnd"/>
      <w:r w:rsidRPr="00893C18">
        <w:rPr>
          <w:rFonts w:ascii="Verdana" w:eastAsia="Calibri" w:hAnsi="Verdana" w:cs="Arial"/>
          <w:color w:val="000000" w:themeColor="text1"/>
          <w:sz w:val="20"/>
          <w:szCs w:val="20"/>
        </w:rPr>
        <w:t>) En las cláusulas contractuales: a) incorporar la obligación a cargo del contratista de reportar periódicamente su información societaria, financiera y comercial, así como la modificación del estado de los mencionados riesgos; 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c) estipular multas en los términos expuestos en este concepto”.</w:t>
      </w:r>
    </w:p>
    <w:p w14:paraId="79D8962B" w14:textId="77777777" w:rsidR="00C158B5" w:rsidRDefault="00C158B5" w:rsidP="00C158B5">
      <w:pPr>
        <w:snapToGrid w:val="0"/>
        <w:spacing w:after="0" w:line="240" w:lineRule="auto"/>
        <w:contextualSpacing/>
        <w:jc w:val="both"/>
        <w:rPr>
          <w:rFonts w:ascii="Verdana" w:hAnsi="Verdana"/>
          <w:sz w:val="20"/>
          <w:szCs w:val="20"/>
        </w:rPr>
      </w:pPr>
    </w:p>
    <w:p w14:paraId="5D3814F5" w14:textId="77777777" w:rsidR="00C158B5" w:rsidRPr="00893C18" w:rsidRDefault="00C158B5" w:rsidP="00C158B5">
      <w:pPr>
        <w:snapToGrid w:val="0"/>
        <w:spacing w:after="0" w:line="240" w:lineRule="auto"/>
        <w:contextualSpacing/>
        <w:jc w:val="both"/>
        <w:rPr>
          <w:rFonts w:ascii="Verdana" w:hAnsi="Verdana"/>
          <w:sz w:val="20"/>
          <w:szCs w:val="20"/>
        </w:rPr>
      </w:pPr>
      <w:r w:rsidRPr="00893C18">
        <w:rPr>
          <w:rFonts w:ascii="Verdana" w:eastAsia="Calibri" w:hAnsi="Verdana" w:cs="Arial"/>
          <w:b/>
          <w:bCs/>
          <w:sz w:val="20"/>
          <w:szCs w:val="20"/>
          <w:lang w:val="es-ES" w:eastAsia="es-ES"/>
        </w:rPr>
        <w:t xml:space="preserve"> </w:t>
      </w:r>
    </w:p>
    <w:p w14:paraId="2C366312" w14:textId="77777777" w:rsidR="00C158B5" w:rsidRDefault="00C158B5" w:rsidP="00BE3E00">
      <w:pPr>
        <w:spacing w:after="0"/>
        <w:rPr>
          <w:rFonts w:ascii="Verdana" w:hAnsi="Verdana"/>
          <w:lang w:val="es-ES"/>
        </w:rPr>
      </w:pPr>
    </w:p>
    <w:p w14:paraId="04ABA464" w14:textId="77777777" w:rsidR="00C158B5" w:rsidRDefault="00C158B5" w:rsidP="00BE3E00">
      <w:pPr>
        <w:spacing w:after="0"/>
        <w:rPr>
          <w:rFonts w:ascii="Verdana" w:hAnsi="Verdana"/>
          <w:lang w:val="es-ES"/>
        </w:rPr>
      </w:pPr>
    </w:p>
    <w:p w14:paraId="4DE114F5" w14:textId="77777777" w:rsidR="00C158B5" w:rsidRDefault="00C158B5" w:rsidP="00BE3E00">
      <w:pPr>
        <w:spacing w:after="0"/>
        <w:rPr>
          <w:rFonts w:ascii="Verdana" w:hAnsi="Verdana"/>
          <w:lang w:val="es-ES"/>
        </w:rPr>
      </w:pPr>
    </w:p>
    <w:p w14:paraId="15F6E98A" w14:textId="77777777" w:rsidR="00C158B5" w:rsidRDefault="00C158B5" w:rsidP="00BE3E00">
      <w:pPr>
        <w:spacing w:after="0"/>
        <w:rPr>
          <w:rFonts w:ascii="Verdana" w:hAnsi="Verdana"/>
          <w:lang w:val="es-ES"/>
        </w:rPr>
      </w:pPr>
    </w:p>
    <w:p w14:paraId="4B94D472" w14:textId="77777777" w:rsidR="00C158B5" w:rsidRDefault="00C158B5" w:rsidP="00BE3E00">
      <w:pPr>
        <w:spacing w:after="0"/>
        <w:rPr>
          <w:rFonts w:ascii="Verdana" w:hAnsi="Verdana"/>
          <w:lang w:val="es-ES"/>
        </w:rPr>
      </w:pPr>
    </w:p>
    <w:p w14:paraId="4B6A0F4D" w14:textId="77777777" w:rsidR="00C158B5" w:rsidRDefault="00C158B5" w:rsidP="00BE3E00">
      <w:pPr>
        <w:spacing w:after="0"/>
        <w:rPr>
          <w:rFonts w:ascii="Verdana" w:hAnsi="Verdana"/>
          <w:lang w:val="es-ES"/>
        </w:rPr>
      </w:pPr>
    </w:p>
    <w:p w14:paraId="4726AED2" w14:textId="77777777" w:rsidR="00C158B5" w:rsidRDefault="00C158B5" w:rsidP="00BE3E00">
      <w:pPr>
        <w:spacing w:after="0"/>
        <w:rPr>
          <w:rFonts w:ascii="Verdana" w:hAnsi="Verdana"/>
          <w:lang w:val="es-ES"/>
        </w:rPr>
      </w:pPr>
    </w:p>
    <w:p w14:paraId="4A4F0121" w14:textId="77777777" w:rsidR="00C158B5" w:rsidRDefault="00C158B5" w:rsidP="00BE3E00">
      <w:pPr>
        <w:spacing w:after="0"/>
        <w:rPr>
          <w:rFonts w:ascii="Verdana" w:hAnsi="Verdana"/>
          <w:lang w:val="es-ES"/>
        </w:rPr>
      </w:pPr>
    </w:p>
    <w:p w14:paraId="7E81AA95" w14:textId="77777777" w:rsidR="00C158B5" w:rsidRDefault="00C158B5" w:rsidP="00BE3E00">
      <w:pPr>
        <w:spacing w:after="0"/>
        <w:rPr>
          <w:rFonts w:ascii="Verdana" w:hAnsi="Verdana"/>
          <w:lang w:val="es-ES"/>
        </w:rPr>
      </w:pPr>
    </w:p>
    <w:p w14:paraId="18F9D52A" w14:textId="77777777" w:rsidR="00C158B5" w:rsidRDefault="00C158B5" w:rsidP="00BE3E00">
      <w:pPr>
        <w:spacing w:after="0"/>
        <w:rPr>
          <w:rFonts w:ascii="Verdana" w:hAnsi="Verdana"/>
          <w:lang w:val="es-ES"/>
        </w:rPr>
      </w:pPr>
    </w:p>
    <w:p w14:paraId="3DAACFC5" w14:textId="77777777" w:rsidR="00C158B5" w:rsidRDefault="00C158B5" w:rsidP="00BE3E00">
      <w:pPr>
        <w:spacing w:after="0"/>
        <w:rPr>
          <w:rFonts w:ascii="Verdana" w:hAnsi="Verdana"/>
          <w:lang w:val="es-ES"/>
        </w:rPr>
      </w:pPr>
    </w:p>
    <w:p w14:paraId="38D2A53E" w14:textId="77777777" w:rsidR="00C158B5" w:rsidRDefault="00C158B5" w:rsidP="00BE3E00">
      <w:pPr>
        <w:spacing w:after="0"/>
        <w:rPr>
          <w:rFonts w:ascii="Verdana" w:hAnsi="Verdana"/>
          <w:lang w:val="es-ES"/>
        </w:rPr>
      </w:pPr>
    </w:p>
    <w:p w14:paraId="7462689B" w14:textId="77777777" w:rsidR="00C158B5" w:rsidRDefault="00C158B5" w:rsidP="00BE3E00">
      <w:pPr>
        <w:spacing w:after="0"/>
        <w:rPr>
          <w:rFonts w:ascii="Verdana" w:hAnsi="Verdana"/>
          <w:lang w:val="es-ES"/>
        </w:rPr>
      </w:pPr>
    </w:p>
    <w:p w14:paraId="7616E2BF" w14:textId="77777777" w:rsidR="00C158B5" w:rsidRDefault="00C158B5" w:rsidP="00BE3E00">
      <w:pPr>
        <w:spacing w:after="0"/>
        <w:rPr>
          <w:rFonts w:ascii="Verdana" w:hAnsi="Verdana"/>
          <w:lang w:val="es-ES"/>
        </w:rPr>
      </w:pPr>
    </w:p>
    <w:p w14:paraId="6220A26D" w14:textId="77777777" w:rsidR="00C158B5" w:rsidRDefault="00C158B5" w:rsidP="00BE3E00">
      <w:pPr>
        <w:spacing w:after="0"/>
        <w:rPr>
          <w:rFonts w:ascii="Verdana" w:hAnsi="Verdana"/>
          <w:lang w:val="es-ES"/>
        </w:rPr>
      </w:pPr>
    </w:p>
    <w:p w14:paraId="4FEFC58D" w14:textId="77777777" w:rsidR="00C158B5" w:rsidRDefault="00C158B5" w:rsidP="00BE3E00">
      <w:pPr>
        <w:spacing w:after="0"/>
        <w:rPr>
          <w:rFonts w:ascii="Verdana" w:hAnsi="Verdana"/>
          <w:lang w:val="es-ES"/>
        </w:rPr>
      </w:pPr>
    </w:p>
    <w:p w14:paraId="4430F56D" w14:textId="77777777" w:rsidR="00C158B5" w:rsidRDefault="00C158B5" w:rsidP="00BE3E00">
      <w:pPr>
        <w:spacing w:after="0"/>
        <w:rPr>
          <w:rFonts w:ascii="Verdana" w:hAnsi="Verdana"/>
          <w:lang w:val="es-ES"/>
        </w:rPr>
      </w:pPr>
    </w:p>
    <w:p w14:paraId="41B5C4DF" w14:textId="77777777" w:rsidR="00C158B5" w:rsidRDefault="00C158B5" w:rsidP="00BE3E00">
      <w:pPr>
        <w:spacing w:after="0"/>
        <w:rPr>
          <w:rFonts w:ascii="Verdana" w:hAnsi="Verdana"/>
          <w:lang w:val="es-ES"/>
        </w:rPr>
      </w:pPr>
    </w:p>
    <w:p w14:paraId="2BF6B9A3" w14:textId="5868DE95" w:rsidR="00BE3E00" w:rsidRPr="00753106" w:rsidRDefault="00070A0E" w:rsidP="00BE3E00">
      <w:pPr>
        <w:spacing w:after="0"/>
        <w:rPr>
          <w:rFonts w:ascii="Verdana" w:hAnsi="Verdana"/>
          <w:lang w:val="es-ES"/>
        </w:rPr>
      </w:pPr>
      <w:r>
        <w:rPr>
          <w:rFonts w:ascii="Verdana" w:eastAsia="Calibri" w:hAnsi="Verdana" w:cs="Arial"/>
          <w:noProof/>
          <w:color w:val="000000" w:themeColor="text1"/>
          <w:lang w:val="es-ES" w:eastAsia="es-ES"/>
        </w:rPr>
        <w:lastRenderedPageBreak/>
        <w:drawing>
          <wp:anchor distT="0" distB="0" distL="114300" distR="114300" simplePos="0" relativeHeight="251661313" behindDoc="0" locked="0" layoutInCell="1" allowOverlap="1" wp14:anchorId="34A57473" wp14:editId="236353BF">
            <wp:simplePos x="0" y="0"/>
            <wp:positionH relativeFrom="column">
              <wp:posOffset>3499679</wp:posOffset>
            </wp:positionH>
            <wp:positionV relativeFrom="paragraph">
              <wp:posOffset>451</wp:posOffset>
            </wp:positionV>
            <wp:extent cx="2021205" cy="578278"/>
            <wp:effectExtent l="0" t="0" r="0" b="6350"/>
            <wp:wrapSquare wrapText="bothSides"/>
            <wp:docPr id="419545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45574" name="Picture 419545574"/>
                    <pic:cNvPicPr/>
                  </pic:nvPicPr>
                  <pic:blipFill>
                    <a:blip r:embed="rId10">
                      <a:extLst>
                        <a:ext uri="{28A0092B-C50C-407E-A947-70E740481C1C}">
                          <a14:useLocalDpi xmlns:a14="http://schemas.microsoft.com/office/drawing/2010/main" val="0"/>
                        </a:ext>
                      </a:extLst>
                    </a:blip>
                    <a:stretch>
                      <a:fillRect/>
                    </a:stretch>
                  </pic:blipFill>
                  <pic:spPr>
                    <a:xfrm>
                      <a:off x="0" y="0"/>
                      <a:ext cx="2033409" cy="581770"/>
                    </a:xfrm>
                    <a:prstGeom prst="rect">
                      <a:avLst/>
                    </a:prstGeom>
                  </pic:spPr>
                </pic:pic>
              </a:graphicData>
            </a:graphic>
            <wp14:sizeRelH relativeFrom="page">
              <wp14:pctWidth>0</wp14:pctWidth>
            </wp14:sizeRelH>
            <wp14:sizeRelV relativeFrom="page">
              <wp14:pctHeight>0</wp14:pctHeight>
            </wp14:sizeRelV>
          </wp:anchor>
        </w:drawing>
      </w:r>
      <w:r w:rsidR="00BE3E00" w:rsidRPr="00753106">
        <w:rPr>
          <w:rFonts w:ascii="Verdana" w:hAnsi="Verdana"/>
          <w:lang w:val="es-ES"/>
        </w:rPr>
        <w:t xml:space="preserve">Bogotá D.C., </w:t>
      </w:r>
      <w:r w:rsidR="007562A0">
        <w:rPr>
          <w:rFonts w:ascii="Verdana" w:hAnsi="Verdana"/>
          <w:lang w:val="es-ES"/>
        </w:rPr>
        <w:t>09 de junio de 2026</w:t>
      </w:r>
      <w:r w:rsidR="00BE3E00" w:rsidRPr="00753106">
        <w:rPr>
          <w:rFonts w:ascii="Verdana" w:hAnsi="Verdana"/>
          <w:lang w:val="es-ES"/>
        </w:rPr>
        <w:tab/>
      </w:r>
    </w:p>
    <w:p w14:paraId="333C614E" w14:textId="5C42EEB3" w:rsidR="00BE3E00" w:rsidRPr="00753106" w:rsidRDefault="00BE3E00" w:rsidP="00BE3E00">
      <w:pPr>
        <w:spacing w:after="0"/>
        <w:rPr>
          <w:rFonts w:ascii="Verdana" w:hAnsi="Verdana"/>
          <w:lang w:val="es-ES"/>
        </w:rPr>
      </w:pPr>
    </w:p>
    <w:p w14:paraId="2E6DC4EE" w14:textId="2C53EF53" w:rsidR="00BE3E00" w:rsidRPr="00753106" w:rsidRDefault="00BE3E00" w:rsidP="00BE3E00">
      <w:pPr>
        <w:spacing w:after="0" w:line="240"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Doctora</w:t>
      </w:r>
    </w:p>
    <w:p w14:paraId="44289EE6" w14:textId="07AD4CBE" w:rsidR="00BE3E00" w:rsidRPr="00753106" w:rsidRDefault="00070A0E" w:rsidP="00BE3E00">
      <w:pPr>
        <w:spacing w:after="0" w:line="240" w:lineRule="auto"/>
        <w:jc w:val="both"/>
        <w:rPr>
          <w:rFonts w:ascii="Verdana" w:eastAsia="Calibri" w:hAnsi="Verdana" w:cs="Arial"/>
          <w:b/>
          <w:bCs/>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62337" behindDoc="0" locked="0" layoutInCell="1" allowOverlap="1" wp14:anchorId="27778F95" wp14:editId="355D540B">
            <wp:simplePos x="0" y="0"/>
            <wp:positionH relativeFrom="column">
              <wp:posOffset>3499485</wp:posOffset>
            </wp:positionH>
            <wp:positionV relativeFrom="paragraph">
              <wp:posOffset>36195</wp:posOffset>
            </wp:positionV>
            <wp:extent cx="2021205" cy="554355"/>
            <wp:effectExtent l="0" t="0" r="0" b="4445"/>
            <wp:wrapSquare wrapText="bothSides"/>
            <wp:docPr id="1273794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94915" name="Picture 1273794915"/>
                    <pic:cNvPicPr/>
                  </pic:nvPicPr>
                  <pic:blipFill>
                    <a:blip r:embed="rId11">
                      <a:extLst>
                        <a:ext uri="{28A0092B-C50C-407E-A947-70E740481C1C}">
                          <a14:useLocalDpi xmlns:a14="http://schemas.microsoft.com/office/drawing/2010/main" val="0"/>
                        </a:ext>
                      </a:extLst>
                    </a:blip>
                    <a:stretch>
                      <a:fillRect/>
                    </a:stretch>
                  </pic:blipFill>
                  <pic:spPr>
                    <a:xfrm>
                      <a:off x="0" y="0"/>
                      <a:ext cx="2021205" cy="554355"/>
                    </a:xfrm>
                    <a:prstGeom prst="rect">
                      <a:avLst/>
                    </a:prstGeom>
                  </pic:spPr>
                </pic:pic>
              </a:graphicData>
            </a:graphic>
            <wp14:sizeRelH relativeFrom="page">
              <wp14:pctWidth>0</wp14:pctWidth>
            </wp14:sizeRelH>
            <wp14:sizeRelV relativeFrom="page">
              <wp14:pctHeight>0</wp14:pctHeight>
            </wp14:sizeRelV>
          </wp:anchor>
        </w:drawing>
      </w:r>
      <w:r w:rsidR="00BE3E00" w:rsidRPr="00753106">
        <w:rPr>
          <w:rFonts w:ascii="Verdana" w:eastAsia="Calibri" w:hAnsi="Verdana" w:cs="Arial"/>
          <w:b/>
          <w:bCs/>
          <w:color w:val="000000" w:themeColor="text1"/>
          <w:lang w:val="es-ES" w:eastAsia="es-ES"/>
        </w:rPr>
        <w:t xml:space="preserve">Lady </w:t>
      </w:r>
      <w:proofErr w:type="spellStart"/>
      <w:r w:rsidR="00BE3E00" w:rsidRPr="00753106">
        <w:rPr>
          <w:rFonts w:ascii="Verdana" w:eastAsia="Calibri" w:hAnsi="Verdana" w:cs="Arial"/>
          <w:b/>
          <w:bCs/>
          <w:color w:val="000000" w:themeColor="text1"/>
          <w:lang w:val="es-ES" w:eastAsia="es-ES"/>
        </w:rPr>
        <w:t>Laiton</w:t>
      </w:r>
      <w:proofErr w:type="spellEnd"/>
      <w:r w:rsidR="00BE3E00" w:rsidRPr="00753106">
        <w:rPr>
          <w:rFonts w:ascii="Verdana" w:eastAsia="Calibri" w:hAnsi="Verdana" w:cs="Arial"/>
          <w:b/>
          <w:bCs/>
          <w:color w:val="000000" w:themeColor="text1"/>
          <w:lang w:val="es-ES" w:eastAsia="es-ES"/>
        </w:rPr>
        <w:t xml:space="preserve"> Linares </w:t>
      </w:r>
    </w:p>
    <w:p w14:paraId="6564BF7C" w14:textId="4FD70A27" w:rsidR="00BE3E00" w:rsidRPr="00753106" w:rsidRDefault="00BE3E00" w:rsidP="00BE3E00">
      <w:pPr>
        <w:spacing w:after="0" w:line="240"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 xml:space="preserve">Jefe Oficina Asesora de Planeación </w:t>
      </w:r>
    </w:p>
    <w:p w14:paraId="6512E165" w14:textId="77777777" w:rsidR="00BE3E00" w:rsidRPr="00753106" w:rsidRDefault="00BE3E00" w:rsidP="00BE3E00">
      <w:pPr>
        <w:spacing w:after="0" w:line="240" w:lineRule="auto"/>
        <w:rPr>
          <w:rFonts w:ascii="Verdana" w:eastAsia="Calibri" w:hAnsi="Verdana" w:cs="Arial"/>
          <w:color w:val="000000" w:themeColor="text1"/>
          <w:lang w:val="es-ES" w:eastAsia="es-ES_tradnl"/>
        </w:rPr>
      </w:pPr>
      <w:r w:rsidRPr="00753106">
        <w:rPr>
          <w:rFonts w:ascii="Verdana" w:eastAsia="Calibri" w:hAnsi="Verdana" w:cs="Arial"/>
          <w:color w:val="000000" w:themeColor="text1"/>
          <w:lang w:val="es-ES" w:eastAsia="es-ES_tradnl"/>
        </w:rPr>
        <w:t>Secretaría de Desarrollo Económico</w:t>
      </w:r>
    </w:p>
    <w:p w14:paraId="205DC85E" w14:textId="77777777" w:rsidR="00BE3E00" w:rsidRPr="00753106" w:rsidRDefault="00BE3E00" w:rsidP="00BE3E00">
      <w:pPr>
        <w:spacing w:after="0" w:line="240" w:lineRule="auto"/>
        <w:rPr>
          <w:rFonts w:ascii="Verdana" w:eastAsia="Calibri" w:hAnsi="Verdana" w:cs="Arial"/>
          <w:color w:val="000000" w:themeColor="text1"/>
          <w:lang w:val="es-ES" w:eastAsia="es-ES_tradnl"/>
        </w:rPr>
      </w:pPr>
      <w:r w:rsidRPr="00753106">
        <w:rPr>
          <w:rFonts w:ascii="Verdana" w:eastAsia="Calibri" w:hAnsi="Verdana" w:cs="Arial"/>
          <w:color w:val="000000" w:themeColor="text1"/>
          <w:lang w:val="es-ES" w:eastAsia="es-ES_tradnl"/>
        </w:rPr>
        <w:t>Bogotá D.C.</w:t>
      </w:r>
    </w:p>
    <w:p w14:paraId="48DC8E79" w14:textId="77777777" w:rsidR="00BE3E00" w:rsidRPr="00753106" w:rsidRDefault="00BE3E00" w:rsidP="00BE3E00">
      <w:pPr>
        <w:spacing w:after="0" w:line="240" w:lineRule="auto"/>
        <w:rPr>
          <w:rFonts w:ascii="Verdana" w:eastAsia="Calibri" w:hAnsi="Verdana" w:cs="Arial"/>
          <w:b/>
          <w:bCs/>
          <w:color w:val="000000" w:themeColor="text1"/>
          <w:lang w:val="es-ES" w:eastAsia="es-ES_tradnl"/>
        </w:rPr>
      </w:pP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BE3E00" w:rsidRPr="00753106" w14:paraId="49E85763" w14:textId="77777777" w:rsidTr="00B25C04">
        <w:trPr>
          <w:gridAfter w:val="1"/>
          <w:wAfter w:w="4179" w:type="dxa"/>
          <w:trHeight w:val="304"/>
        </w:trPr>
        <w:tc>
          <w:tcPr>
            <w:tcW w:w="2689" w:type="dxa"/>
          </w:tcPr>
          <w:p w14:paraId="50528701" w14:textId="77777777" w:rsidR="00BE3E00" w:rsidRPr="00753106" w:rsidRDefault="00BE3E00" w:rsidP="00B25C04">
            <w:pPr>
              <w:jc w:val="both"/>
              <w:rPr>
                <w:rFonts w:ascii="Verdana" w:eastAsia="Calibri" w:hAnsi="Verdana" w:cs="Arial"/>
                <w:b/>
                <w:bCs/>
                <w:color w:val="000000" w:themeColor="text1"/>
                <w:lang w:val="es-ES" w:eastAsia="es-ES_tradnl"/>
              </w:rPr>
            </w:pPr>
          </w:p>
        </w:tc>
        <w:tc>
          <w:tcPr>
            <w:tcW w:w="6100" w:type="dxa"/>
          </w:tcPr>
          <w:p w14:paraId="09122368" w14:textId="77777777" w:rsidR="00BE3E00" w:rsidRPr="00753106" w:rsidRDefault="00BE3E00" w:rsidP="00B25C04">
            <w:pPr>
              <w:jc w:val="both"/>
              <w:rPr>
                <w:rFonts w:ascii="Verdana" w:eastAsia="Calibri" w:hAnsi="Verdana" w:cs="Arial"/>
                <w:b/>
                <w:bCs/>
                <w:color w:val="000000" w:themeColor="text1"/>
                <w:lang w:val="es-ES" w:eastAsia="es-ES"/>
              </w:rPr>
            </w:pPr>
            <w:r w:rsidRPr="00753106">
              <w:rPr>
                <w:rFonts w:ascii="Verdana" w:eastAsia="Calibri" w:hAnsi="Verdana" w:cs="Arial"/>
                <w:b/>
                <w:bCs/>
                <w:color w:val="000000" w:themeColor="text1"/>
                <w:lang w:val="es-ES" w:eastAsia="es-ES"/>
              </w:rPr>
              <w:t>Concepto C-707 de 2026</w:t>
            </w:r>
          </w:p>
          <w:p w14:paraId="17E511CB" w14:textId="77777777" w:rsidR="00BE3E00" w:rsidRPr="00753106" w:rsidRDefault="00BE3E00" w:rsidP="00B25C04">
            <w:pPr>
              <w:jc w:val="both"/>
              <w:rPr>
                <w:rFonts w:ascii="Verdana" w:eastAsia="Calibri" w:hAnsi="Verdana" w:cs="Arial"/>
                <w:b/>
                <w:bCs/>
                <w:color w:val="000000" w:themeColor="text1"/>
                <w:lang w:val="es-ES" w:eastAsia="es-ES"/>
              </w:rPr>
            </w:pPr>
          </w:p>
        </w:tc>
      </w:tr>
      <w:tr w:rsidR="00BE3E00" w:rsidRPr="00753106" w14:paraId="50BA413B" w14:textId="77777777" w:rsidTr="00B25C04">
        <w:trPr>
          <w:trHeight w:val="884"/>
        </w:trPr>
        <w:tc>
          <w:tcPr>
            <w:tcW w:w="2689" w:type="dxa"/>
          </w:tcPr>
          <w:p w14:paraId="716D451B" w14:textId="77777777" w:rsidR="00BE3E00" w:rsidRPr="00753106" w:rsidRDefault="00BE3E00" w:rsidP="00B25C04">
            <w:pPr>
              <w:jc w:val="both"/>
              <w:rPr>
                <w:rFonts w:ascii="Verdana" w:eastAsia="Calibri" w:hAnsi="Verdana" w:cs="Arial"/>
                <w:color w:val="000000" w:themeColor="text1"/>
                <w:lang w:val="es-ES" w:eastAsia="es-ES_tradnl"/>
              </w:rPr>
            </w:pPr>
            <w:r w:rsidRPr="00753106">
              <w:rPr>
                <w:rFonts w:ascii="Verdana" w:eastAsia="Calibri" w:hAnsi="Verdana" w:cs="Arial"/>
                <w:b/>
                <w:color w:val="000000" w:themeColor="text1"/>
                <w:lang w:val="es-ES" w:eastAsia="es-ES_tradnl"/>
              </w:rPr>
              <w:t>Temas:</w:t>
            </w:r>
            <w:r w:rsidRPr="00753106">
              <w:rPr>
                <w:rFonts w:ascii="Verdana" w:eastAsia="Calibri" w:hAnsi="Verdana" w:cs="Arial"/>
                <w:color w:val="000000" w:themeColor="text1"/>
                <w:lang w:val="es-ES" w:eastAsia="es-ES_tradnl"/>
              </w:rPr>
              <w:t xml:space="preserve">                   </w:t>
            </w:r>
          </w:p>
        </w:tc>
        <w:tc>
          <w:tcPr>
            <w:tcW w:w="6100" w:type="dxa"/>
          </w:tcPr>
          <w:p w14:paraId="08011C57" w14:textId="3FE3CB86" w:rsidR="00BE3E00" w:rsidRPr="00753106" w:rsidRDefault="00BE3E00" w:rsidP="00B25C04">
            <w:pPr>
              <w:spacing w:line="276" w:lineRule="auto"/>
              <w:jc w:val="both"/>
              <w:rPr>
                <w:rFonts w:ascii="Verdana" w:eastAsia="Calibri" w:hAnsi="Verdana" w:cs="Arial"/>
                <w:lang w:val="es-ES" w:eastAsia="es-ES"/>
              </w:rPr>
            </w:pPr>
            <w:r w:rsidRPr="00753106">
              <w:rPr>
                <w:rFonts w:ascii="Verdana" w:eastAsia="Calibri" w:hAnsi="Verdana" w:cs="Arial"/>
                <w:lang w:val="es-ES" w:eastAsia="es-ES"/>
              </w:rPr>
              <w:t>SARLAFT ‒ Marco jurídico – Definición / RÉGIMEN DE INHABILIDADES E INCOMPATIBILIDADES – Reserva legal / REPORTE EN LISTAS RESTRICTIVAS – Medidas y alcance</w:t>
            </w:r>
          </w:p>
          <w:p w14:paraId="2DA8EF14" w14:textId="77777777" w:rsidR="00BE3E00" w:rsidRPr="00753106" w:rsidRDefault="00BE3E00" w:rsidP="00B25C04">
            <w:pPr>
              <w:spacing w:line="276" w:lineRule="auto"/>
              <w:jc w:val="both"/>
              <w:rPr>
                <w:rFonts w:ascii="Verdana" w:eastAsia="Calibri" w:hAnsi="Verdana" w:cs="Arial"/>
                <w:color w:val="000000" w:themeColor="text1"/>
                <w:lang w:val="es-ES" w:eastAsia="es-ES"/>
              </w:rPr>
            </w:pPr>
          </w:p>
        </w:tc>
        <w:tc>
          <w:tcPr>
            <w:tcW w:w="4179" w:type="dxa"/>
          </w:tcPr>
          <w:p w14:paraId="44E891F4" w14:textId="77777777" w:rsidR="00BE3E00" w:rsidRPr="00753106" w:rsidRDefault="00BE3E00" w:rsidP="00B25C04">
            <w:pPr>
              <w:spacing w:line="276" w:lineRule="auto"/>
              <w:jc w:val="both"/>
              <w:rPr>
                <w:rFonts w:ascii="Verdana" w:eastAsia="Calibri" w:hAnsi="Verdana" w:cs="Arial"/>
                <w:b/>
                <w:bCs/>
                <w:color w:val="000000" w:themeColor="text1"/>
                <w:lang w:val="es-ES" w:eastAsia="es-ES"/>
              </w:rPr>
            </w:pPr>
          </w:p>
          <w:p w14:paraId="2934269E" w14:textId="77777777" w:rsidR="00BE3E00" w:rsidRPr="00753106" w:rsidRDefault="00BE3E00" w:rsidP="00B25C04">
            <w:pPr>
              <w:rPr>
                <w:rFonts w:ascii="Verdana" w:hAnsi="Verdana"/>
                <w:lang w:val="es-ES"/>
              </w:rPr>
            </w:pPr>
          </w:p>
        </w:tc>
      </w:tr>
      <w:tr w:rsidR="00BE3E00" w:rsidRPr="00753106" w14:paraId="2917E7A8" w14:textId="77777777" w:rsidTr="00B25C04">
        <w:trPr>
          <w:gridAfter w:val="1"/>
          <w:wAfter w:w="4179" w:type="dxa"/>
        </w:trPr>
        <w:tc>
          <w:tcPr>
            <w:tcW w:w="2689" w:type="dxa"/>
          </w:tcPr>
          <w:p w14:paraId="1465595D" w14:textId="77777777" w:rsidR="00BE3E00" w:rsidRPr="00753106" w:rsidRDefault="00BE3E00" w:rsidP="00B25C04">
            <w:pPr>
              <w:jc w:val="both"/>
              <w:rPr>
                <w:rFonts w:ascii="Verdana" w:eastAsia="Calibri" w:hAnsi="Verdana" w:cs="Arial"/>
                <w:b/>
                <w:color w:val="000000" w:themeColor="text1"/>
                <w:lang w:val="es-ES" w:eastAsia="es-ES_tradnl"/>
              </w:rPr>
            </w:pPr>
            <w:r w:rsidRPr="00753106">
              <w:rPr>
                <w:rFonts w:ascii="Verdana" w:eastAsia="Calibri" w:hAnsi="Verdana" w:cs="Arial"/>
                <w:b/>
                <w:color w:val="000000" w:themeColor="text1"/>
                <w:lang w:val="es-ES" w:eastAsia="es-ES_tradnl"/>
              </w:rPr>
              <w:t>Radicación:</w:t>
            </w:r>
            <w:r w:rsidRPr="00753106">
              <w:rPr>
                <w:rFonts w:ascii="Verdana" w:eastAsia="Calibri" w:hAnsi="Verdana" w:cs="Arial"/>
                <w:color w:val="000000" w:themeColor="text1"/>
                <w:lang w:val="es-ES" w:eastAsia="es-ES_tradnl"/>
              </w:rPr>
              <w:t xml:space="preserve">               </w:t>
            </w:r>
          </w:p>
        </w:tc>
        <w:tc>
          <w:tcPr>
            <w:tcW w:w="6100" w:type="dxa"/>
          </w:tcPr>
          <w:p w14:paraId="0F2211F7" w14:textId="77777777" w:rsidR="00BE3E00" w:rsidRPr="00753106" w:rsidRDefault="00BE3E00" w:rsidP="00B25C04">
            <w:pPr>
              <w:jc w:val="both"/>
              <w:rPr>
                <w:rFonts w:ascii="Verdana" w:eastAsia="Calibri" w:hAnsi="Verdana" w:cs="Arial"/>
                <w:color w:val="000000" w:themeColor="text1"/>
                <w:lang w:val="es-ES" w:eastAsia="es-ES_tradnl"/>
              </w:rPr>
            </w:pPr>
            <w:r w:rsidRPr="00753106">
              <w:rPr>
                <w:rFonts w:ascii="Verdana" w:eastAsia="Calibri" w:hAnsi="Verdana" w:cs="Arial"/>
                <w:color w:val="000000" w:themeColor="text1"/>
                <w:lang w:val="es-ES" w:eastAsia="es-ES_tradnl"/>
              </w:rPr>
              <w:t>Respuesta a consultas con radicados No. 1_2026_04_28_005804 y 1_2026_04_29_005823 (acumuladas)</w:t>
            </w:r>
          </w:p>
        </w:tc>
      </w:tr>
    </w:tbl>
    <w:p w14:paraId="151ED0FB" w14:textId="77777777" w:rsidR="00BE3E00" w:rsidRPr="00753106" w:rsidRDefault="00BE3E00" w:rsidP="00BE3E00">
      <w:pPr>
        <w:spacing w:after="0" w:line="276" w:lineRule="auto"/>
        <w:jc w:val="both"/>
        <w:rPr>
          <w:rFonts w:ascii="Verdana" w:eastAsia="Calibri" w:hAnsi="Verdana" w:cs="Arial"/>
          <w:color w:val="000000" w:themeColor="text1"/>
          <w:lang w:val="es-ES" w:eastAsia="es-ES_tradnl"/>
        </w:rPr>
      </w:pPr>
    </w:p>
    <w:p w14:paraId="5A43E275" w14:textId="77777777" w:rsidR="00BE3E00" w:rsidRPr="00753106" w:rsidRDefault="00BE3E00" w:rsidP="00BE3E00">
      <w:pPr>
        <w:spacing w:after="0" w:line="276" w:lineRule="auto"/>
        <w:jc w:val="both"/>
        <w:rPr>
          <w:rFonts w:ascii="Verdana" w:eastAsia="Calibri" w:hAnsi="Verdana" w:cs="Arial"/>
          <w:color w:val="000000" w:themeColor="text1"/>
          <w:lang w:val="es-ES" w:eastAsia="es-ES_tradnl"/>
        </w:rPr>
      </w:pPr>
    </w:p>
    <w:p w14:paraId="795381F6" w14:textId="77777777" w:rsidR="00BE3E00" w:rsidRPr="00753106" w:rsidRDefault="00BE3E00" w:rsidP="00BE3E00">
      <w:pPr>
        <w:spacing w:after="0" w:line="276"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 xml:space="preserve">Estimada Doctora Linares: </w:t>
      </w:r>
    </w:p>
    <w:p w14:paraId="13ADA3F2" w14:textId="77777777" w:rsidR="00BE3E00" w:rsidRPr="00753106" w:rsidRDefault="00BE3E00" w:rsidP="00BE3E00">
      <w:pPr>
        <w:tabs>
          <w:tab w:val="left" w:pos="3768"/>
        </w:tabs>
        <w:spacing w:after="0" w:line="276"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ab/>
      </w:r>
    </w:p>
    <w:p w14:paraId="07772BD9" w14:textId="77777777" w:rsidR="00BE3E00" w:rsidRPr="00753106" w:rsidRDefault="00BE3E00" w:rsidP="00BE3E00">
      <w:pPr>
        <w:spacing w:after="0" w:line="276"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En ejercicio de la competencia otorgada por los artículos 3, numeral 5º, y 11, numeral 8º, del Decreto Ley 4170 de 2011,</w:t>
      </w:r>
      <w:r w:rsidRPr="00753106">
        <w:rPr>
          <w:rFonts w:ascii="Verdana" w:eastAsia="Arial MT" w:hAnsi="Verdana" w:cs="Arial MT"/>
          <w:color w:val="000000" w:themeColor="text1"/>
          <w:lang w:val="es-ES" w:eastAsia="es-ES"/>
        </w:rPr>
        <w:t xml:space="preserve"> </w:t>
      </w:r>
      <w:r w:rsidRPr="00753106">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29 de abril de 2026, en la cual manifiesta lo siguiente:</w:t>
      </w:r>
      <w:r w:rsidRPr="00753106">
        <w:rPr>
          <w:rFonts w:ascii="Verdana" w:eastAsia="Calibri" w:hAnsi="Verdana" w:cs="Arial"/>
          <w:color w:val="000000" w:themeColor="text1"/>
          <w:lang w:val="es-ES" w:eastAsia="es-ES"/>
        </w:rPr>
        <w:t xml:space="preserve"> </w:t>
      </w:r>
    </w:p>
    <w:p w14:paraId="01D9C867" w14:textId="77777777" w:rsidR="00BE3E00" w:rsidRPr="00753106" w:rsidRDefault="00BE3E00" w:rsidP="00BE3E00">
      <w:pPr>
        <w:spacing w:after="0" w:line="276" w:lineRule="auto"/>
        <w:jc w:val="both"/>
        <w:rPr>
          <w:rFonts w:ascii="Verdana" w:eastAsia="Calibri" w:hAnsi="Verdana" w:cs="Arial"/>
          <w:color w:val="000000" w:themeColor="text1"/>
          <w:lang w:val="es-ES" w:eastAsia="es-ES"/>
        </w:rPr>
      </w:pPr>
    </w:p>
    <w:p w14:paraId="1AE9BD1C" w14:textId="77777777" w:rsidR="00BE3E00" w:rsidRPr="00753106" w:rsidRDefault="00BE3E00" w:rsidP="00BE3E00">
      <w:pPr>
        <w:spacing w:after="0" w:line="240" w:lineRule="auto"/>
        <w:ind w:left="709" w:right="709"/>
        <w:contextualSpacing/>
        <w:jc w:val="both"/>
        <w:rPr>
          <w:rFonts w:ascii="Verdana" w:eastAsia="Century Gothic" w:hAnsi="Verdana" w:cs="Century Gothic"/>
          <w:i/>
          <w:iCs/>
          <w:color w:val="000000" w:themeColor="text1"/>
          <w:sz w:val="20"/>
          <w:szCs w:val="20"/>
          <w:lang w:val="es-ES"/>
        </w:rPr>
      </w:pPr>
      <w:r w:rsidRPr="00753106">
        <w:rPr>
          <w:rFonts w:ascii="Verdana" w:eastAsia="Century Gothic" w:hAnsi="Verdana" w:cs="Century Gothic"/>
          <w:i/>
          <w:iCs/>
          <w:color w:val="000000" w:themeColor="text1"/>
          <w:sz w:val="20"/>
          <w:szCs w:val="20"/>
          <w:lang w:val="es-ES"/>
        </w:rPr>
        <w:t xml:space="preserve">“[…] </w:t>
      </w:r>
      <w:r w:rsidRPr="00753106">
        <w:rPr>
          <w:rFonts w:ascii="Verdana" w:eastAsia="Century Gothic" w:hAnsi="Verdana" w:cs="Century Gothic"/>
          <w:i/>
          <w:iCs/>
          <w:color w:val="000000" w:themeColor="text1"/>
          <w:sz w:val="20"/>
          <w:szCs w:val="20"/>
          <w:lang w:val="es-ES"/>
        </w:rPr>
        <w:fldChar w:fldCharType="begin"/>
      </w:r>
      <w:r w:rsidRPr="00753106">
        <w:rPr>
          <w:rFonts w:ascii="Verdana" w:eastAsia="Century Gothic" w:hAnsi="Verdana" w:cs="Century Gothic"/>
          <w:i/>
          <w:iCs/>
          <w:color w:val="000000" w:themeColor="text1"/>
          <w:sz w:val="20"/>
          <w:szCs w:val="20"/>
          <w:lang w:val="es-ES"/>
        </w:rPr>
        <w:instrText xml:space="preserve"> INCLUDEPICTURE "/Users/anamariabonilla/Library/Group Containers/UBF8T346G9.ms/WebArchiveCopyPasteTempFiles/com.microsoft.Word/page1image28657072" \* MERGEFORMATINET </w:instrText>
      </w:r>
      <w:r w:rsidRPr="00753106">
        <w:rPr>
          <w:rFonts w:ascii="Verdana" w:eastAsia="Century Gothic" w:hAnsi="Verdana" w:cs="Century Gothic"/>
          <w:i/>
          <w:iCs/>
          <w:color w:val="000000" w:themeColor="text1"/>
          <w:sz w:val="20"/>
          <w:szCs w:val="20"/>
          <w:lang w:val="es-ES"/>
        </w:rPr>
        <w:fldChar w:fldCharType="separate"/>
      </w:r>
      <w:r w:rsidRPr="00753106">
        <w:rPr>
          <w:rFonts w:ascii="Verdana" w:eastAsia="Century Gothic" w:hAnsi="Verdana" w:cs="Century Gothic"/>
          <w:i/>
          <w:iCs/>
          <w:noProof/>
          <w:color w:val="000000" w:themeColor="text1"/>
          <w:sz w:val="20"/>
          <w:szCs w:val="20"/>
          <w:lang w:val="es-ES"/>
        </w:rPr>
        <w:drawing>
          <wp:inline distT="0" distB="0" distL="0" distR="0" wp14:anchorId="6588F440" wp14:editId="520F25B9">
            <wp:extent cx="5612130" cy="152400"/>
            <wp:effectExtent l="0" t="0" r="1270" b="0"/>
            <wp:docPr id="1994760025" name="Picture 12" descr="page1image2865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1image286570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2400"/>
                    </a:xfrm>
                    <a:prstGeom prst="rect">
                      <a:avLst/>
                    </a:prstGeom>
                    <a:noFill/>
                    <a:ln>
                      <a:noFill/>
                    </a:ln>
                  </pic:spPr>
                </pic:pic>
              </a:graphicData>
            </a:graphic>
          </wp:inline>
        </w:drawing>
      </w:r>
      <w:r w:rsidRPr="00753106">
        <w:rPr>
          <w:rFonts w:ascii="Verdana" w:eastAsia="Century Gothic" w:hAnsi="Verdana" w:cs="Century Gothic"/>
          <w:i/>
          <w:iCs/>
          <w:color w:val="000000" w:themeColor="text1"/>
          <w:sz w:val="20"/>
          <w:szCs w:val="20"/>
          <w:lang w:val="es-ES"/>
        </w:rPr>
        <w:fldChar w:fldCharType="end"/>
      </w:r>
    </w:p>
    <w:p w14:paraId="14089CAA" w14:textId="77777777" w:rsidR="00BE3E00" w:rsidRPr="00753106" w:rsidRDefault="00BE3E00" w:rsidP="00BE3E00">
      <w:pPr>
        <w:spacing w:after="0" w:line="240" w:lineRule="auto"/>
        <w:ind w:left="709" w:right="709"/>
        <w:contextualSpacing/>
        <w:jc w:val="both"/>
        <w:rPr>
          <w:rFonts w:ascii="Verdana" w:eastAsia="Century Gothic" w:hAnsi="Verdana" w:cs="Century Gothic"/>
          <w:i/>
          <w:iCs/>
          <w:color w:val="000000" w:themeColor="text1"/>
          <w:sz w:val="20"/>
          <w:szCs w:val="20"/>
          <w:lang w:val="es-ES"/>
        </w:rPr>
      </w:pPr>
      <w:r w:rsidRPr="00753106">
        <w:rPr>
          <w:rFonts w:ascii="Verdana" w:eastAsia="Century Gothic" w:hAnsi="Verdana" w:cs="Century Gothic"/>
          <w:i/>
          <w:iCs/>
          <w:color w:val="000000" w:themeColor="text1"/>
          <w:sz w:val="20"/>
          <w:szCs w:val="20"/>
          <w:lang w:val="es-ES"/>
        </w:rPr>
        <w:t xml:space="preserve">En este contexto, respetuosamente solicitamos brindar claridad frente a los siguientes aspectos: </w:t>
      </w:r>
    </w:p>
    <w:p w14:paraId="296EE6CC" w14:textId="77777777" w:rsidR="00BE3E00" w:rsidRPr="00753106" w:rsidRDefault="00BE3E00" w:rsidP="00BE3E00">
      <w:pPr>
        <w:spacing w:after="0" w:line="240" w:lineRule="auto"/>
        <w:ind w:left="709" w:right="709"/>
        <w:contextualSpacing/>
        <w:jc w:val="both"/>
        <w:rPr>
          <w:rFonts w:ascii="Verdana" w:eastAsia="Century Gothic" w:hAnsi="Verdana" w:cs="Century Gothic"/>
          <w:i/>
          <w:iCs/>
          <w:color w:val="000000" w:themeColor="text1"/>
          <w:sz w:val="20"/>
          <w:szCs w:val="20"/>
          <w:lang w:val="es-ES"/>
        </w:rPr>
      </w:pPr>
    </w:p>
    <w:p w14:paraId="1E98ED10" w14:textId="77777777" w:rsidR="00BE3E00" w:rsidRPr="00753106" w:rsidRDefault="00BE3E00" w:rsidP="00BE3E00">
      <w:pPr>
        <w:spacing w:after="0" w:line="240" w:lineRule="auto"/>
        <w:ind w:left="709" w:right="709"/>
        <w:contextualSpacing/>
        <w:jc w:val="both"/>
        <w:rPr>
          <w:rFonts w:ascii="Verdana" w:eastAsia="Century Gothic" w:hAnsi="Verdana" w:cs="Century Gothic"/>
          <w:i/>
          <w:iCs/>
          <w:color w:val="000000" w:themeColor="text1"/>
          <w:sz w:val="20"/>
          <w:szCs w:val="20"/>
          <w:lang w:val="es-ES"/>
        </w:rPr>
      </w:pPr>
      <w:r w:rsidRPr="00753106">
        <w:rPr>
          <w:rFonts w:ascii="Verdana" w:eastAsia="Century Gothic" w:hAnsi="Verdana" w:cs="Century Gothic"/>
          <w:b/>
          <w:bCs/>
          <w:i/>
          <w:iCs/>
          <w:color w:val="000000" w:themeColor="text1"/>
          <w:sz w:val="20"/>
          <w:szCs w:val="20"/>
          <w:lang w:val="es-ES"/>
        </w:rPr>
        <w:t xml:space="preserve">a. </w:t>
      </w:r>
      <w:proofErr w:type="spellStart"/>
      <w:r w:rsidRPr="00753106">
        <w:rPr>
          <w:rFonts w:ascii="Verdana" w:eastAsia="Century Gothic" w:hAnsi="Verdana" w:cs="Century Gothic"/>
          <w:b/>
          <w:bCs/>
          <w:i/>
          <w:iCs/>
          <w:color w:val="000000" w:themeColor="text1"/>
          <w:sz w:val="20"/>
          <w:szCs w:val="20"/>
          <w:lang w:val="es-ES"/>
        </w:rPr>
        <w:t>Actuación</w:t>
      </w:r>
      <w:proofErr w:type="spellEnd"/>
      <w:r w:rsidRPr="00753106">
        <w:rPr>
          <w:rFonts w:ascii="Verdana" w:eastAsia="Century Gothic" w:hAnsi="Verdana" w:cs="Century Gothic"/>
          <w:b/>
          <w:bCs/>
          <w:i/>
          <w:iCs/>
          <w:color w:val="000000" w:themeColor="text1"/>
          <w:sz w:val="20"/>
          <w:szCs w:val="20"/>
          <w:lang w:val="es-ES"/>
        </w:rPr>
        <w:t xml:space="preserve"> frente a coincidencias en listas vinculantes. </w:t>
      </w:r>
    </w:p>
    <w:p w14:paraId="6BCB4731" w14:textId="77777777" w:rsidR="00BE3E00" w:rsidRPr="00753106" w:rsidRDefault="00BE3E00" w:rsidP="00BE3E00">
      <w:pPr>
        <w:spacing w:after="0" w:line="240" w:lineRule="auto"/>
        <w:ind w:left="709" w:right="709"/>
        <w:contextualSpacing/>
        <w:jc w:val="both"/>
        <w:rPr>
          <w:rFonts w:ascii="Verdana" w:eastAsia="Century Gothic" w:hAnsi="Verdana" w:cs="Century Gothic"/>
          <w:i/>
          <w:iCs/>
          <w:color w:val="000000" w:themeColor="text1"/>
          <w:sz w:val="20"/>
          <w:szCs w:val="20"/>
          <w:lang w:val="es-ES"/>
        </w:rPr>
      </w:pPr>
      <w:r w:rsidRPr="00753106">
        <w:rPr>
          <w:rFonts w:ascii="Verdana" w:eastAsia="Century Gothic" w:hAnsi="Verdana" w:cs="Century Gothic"/>
          <w:i/>
          <w:iCs/>
          <w:color w:val="000000" w:themeColor="text1"/>
          <w:sz w:val="20"/>
          <w:szCs w:val="20"/>
          <w:lang w:val="es-ES"/>
        </w:rPr>
        <w:t xml:space="preserve">En el marco de un proceso contractual, cuando una entidad pública, como resultado de la aplicación de medidas de debida diligencia, identifica que una contraparte presenta coincidencias en listas vinculantes (por ejemplo, listas del Consejo de Seguridad de Naciones Unidas): </w:t>
      </w:r>
    </w:p>
    <w:p w14:paraId="70770E78" w14:textId="77777777" w:rsidR="00BE3E00" w:rsidRPr="00753106" w:rsidRDefault="00BE3E00" w:rsidP="00BE3E00">
      <w:pPr>
        <w:spacing w:after="0" w:line="240" w:lineRule="auto"/>
        <w:ind w:left="709" w:right="709"/>
        <w:contextualSpacing/>
        <w:jc w:val="both"/>
        <w:rPr>
          <w:rFonts w:ascii="Verdana" w:eastAsia="Century Gothic" w:hAnsi="Verdana" w:cs="Century Gothic"/>
          <w:b/>
          <w:bCs/>
          <w:i/>
          <w:iCs/>
          <w:color w:val="000000" w:themeColor="text1"/>
          <w:sz w:val="20"/>
          <w:szCs w:val="20"/>
          <w:lang w:val="es-ES"/>
        </w:rPr>
      </w:pPr>
      <w:r w:rsidRPr="00753106">
        <w:rPr>
          <w:rFonts w:ascii="Verdana" w:eastAsia="Century Gothic" w:hAnsi="Verdana" w:cs="Century Gothic"/>
          <w:b/>
          <w:bCs/>
          <w:i/>
          <w:iCs/>
          <w:color w:val="000000" w:themeColor="text1"/>
          <w:sz w:val="20"/>
          <w:szCs w:val="20"/>
          <w:lang w:val="es-ES"/>
        </w:rPr>
        <w:t>¿</w:t>
      </w:r>
      <w:proofErr w:type="spellStart"/>
      <w:r w:rsidRPr="00753106">
        <w:rPr>
          <w:rFonts w:ascii="Verdana" w:eastAsia="Century Gothic" w:hAnsi="Verdana" w:cs="Century Gothic"/>
          <w:b/>
          <w:bCs/>
          <w:i/>
          <w:iCs/>
          <w:color w:val="000000" w:themeColor="text1"/>
          <w:sz w:val="20"/>
          <w:szCs w:val="20"/>
          <w:lang w:val="es-ES"/>
        </w:rPr>
        <w:t>Cuál</w:t>
      </w:r>
      <w:proofErr w:type="spellEnd"/>
      <w:r w:rsidRPr="00753106">
        <w:rPr>
          <w:rFonts w:ascii="Verdana" w:eastAsia="Century Gothic" w:hAnsi="Verdana" w:cs="Century Gothic"/>
          <w:b/>
          <w:bCs/>
          <w:i/>
          <w:iCs/>
          <w:color w:val="000000" w:themeColor="text1"/>
          <w:sz w:val="20"/>
          <w:szCs w:val="20"/>
          <w:lang w:val="es-ES"/>
        </w:rPr>
        <w:t xml:space="preserve"> es la </w:t>
      </w:r>
      <w:proofErr w:type="spellStart"/>
      <w:r w:rsidRPr="00753106">
        <w:rPr>
          <w:rFonts w:ascii="Verdana" w:eastAsia="Century Gothic" w:hAnsi="Verdana" w:cs="Century Gothic"/>
          <w:b/>
          <w:bCs/>
          <w:i/>
          <w:iCs/>
          <w:color w:val="000000" w:themeColor="text1"/>
          <w:sz w:val="20"/>
          <w:szCs w:val="20"/>
          <w:lang w:val="es-ES"/>
        </w:rPr>
        <w:t>actuación</w:t>
      </w:r>
      <w:proofErr w:type="spellEnd"/>
      <w:r w:rsidRPr="00753106">
        <w:rPr>
          <w:rFonts w:ascii="Verdana" w:eastAsia="Century Gothic" w:hAnsi="Verdana" w:cs="Century Gothic"/>
          <w:b/>
          <w:bCs/>
          <w:i/>
          <w:iCs/>
          <w:color w:val="000000" w:themeColor="text1"/>
          <w:sz w:val="20"/>
          <w:szCs w:val="20"/>
          <w:lang w:val="es-ES"/>
        </w:rPr>
        <w:t xml:space="preserve"> que debe adelantar la entidad pública? </w:t>
      </w:r>
    </w:p>
    <w:p w14:paraId="2273128C" w14:textId="77777777" w:rsidR="00BE3E00" w:rsidRPr="00753106" w:rsidRDefault="00BE3E00" w:rsidP="00BE3E00">
      <w:pPr>
        <w:pStyle w:val="ListParagraph"/>
        <w:spacing w:after="0" w:line="240" w:lineRule="auto"/>
        <w:ind w:left="709" w:right="709"/>
        <w:jc w:val="both"/>
        <w:rPr>
          <w:rFonts w:ascii="Verdana" w:eastAsia="Century Gothic" w:hAnsi="Verdana" w:cs="Century Gothic"/>
          <w:i/>
          <w:iCs/>
          <w:color w:val="000000" w:themeColor="text1"/>
          <w:sz w:val="20"/>
          <w:szCs w:val="20"/>
        </w:rPr>
      </w:pPr>
      <w:r w:rsidRPr="00753106">
        <w:rPr>
          <w:rFonts w:ascii="Verdana" w:eastAsia="Century Gothic" w:hAnsi="Verdana" w:cs="Century Gothic"/>
          <w:i/>
          <w:iCs/>
          <w:color w:val="000000" w:themeColor="text1"/>
          <w:sz w:val="20"/>
          <w:szCs w:val="20"/>
        </w:rPr>
        <w:lastRenderedPageBreak/>
        <w:t xml:space="preserve">1. ¿Debe abstenerse de continuar el proceso contractual o existe </w:t>
      </w:r>
      <w:proofErr w:type="spellStart"/>
      <w:r w:rsidRPr="00753106">
        <w:rPr>
          <w:rFonts w:ascii="Verdana" w:eastAsia="Century Gothic" w:hAnsi="Verdana" w:cs="Century Gothic"/>
          <w:i/>
          <w:iCs/>
          <w:color w:val="000000" w:themeColor="text1"/>
          <w:sz w:val="20"/>
          <w:szCs w:val="20"/>
        </w:rPr>
        <w:t>algún</w:t>
      </w:r>
      <w:proofErr w:type="spellEnd"/>
      <w:r w:rsidRPr="00753106">
        <w:rPr>
          <w:rFonts w:ascii="Verdana" w:eastAsia="Century Gothic" w:hAnsi="Verdana" w:cs="Century Gothic"/>
          <w:i/>
          <w:iCs/>
          <w:color w:val="000000" w:themeColor="text1"/>
          <w:sz w:val="20"/>
          <w:szCs w:val="20"/>
        </w:rPr>
        <w:t xml:space="preserve"> procedimiento </w:t>
      </w:r>
      <w:proofErr w:type="spellStart"/>
      <w:r w:rsidRPr="00753106">
        <w:rPr>
          <w:rFonts w:ascii="Verdana" w:eastAsia="Century Gothic" w:hAnsi="Verdana" w:cs="Century Gothic"/>
          <w:i/>
          <w:iCs/>
          <w:color w:val="000000" w:themeColor="text1"/>
          <w:sz w:val="20"/>
          <w:szCs w:val="20"/>
        </w:rPr>
        <w:t>específico</w:t>
      </w:r>
      <w:proofErr w:type="spellEnd"/>
      <w:r w:rsidRPr="00753106">
        <w:rPr>
          <w:rFonts w:ascii="Verdana" w:eastAsia="Century Gothic" w:hAnsi="Verdana" w:cs="Century Gothic"/>
          <w:i/>
          <w:iCs/>
          <w:color w:val="000000" w:themeColor="text1"/>
          <w:sz w:val="20"/>
          <w:szCs w:val="20"/>
        </w:rPr>
        <w:t xml:space="preserve"> que deba surtirse previamente? </w:t>
      </w:r>
    </w:p>
    <w:p w14:paraId="339B4F90" w14:textId="77777777" w:rsidR="00BE3E00" w:rsidRPr="00753106" w:rsidRDefault="00BE3E00" w:rsidP="00BE3E00">
      <w:pPr>
        <w:pStyle w:val="ListParagraph"/>
        <w:spacing w:after="0" w:line="240" w:lineRule="auto"/>
        <w:ind w:left="709" w:right="709"/>
        <w:jc w:val="both"/>
        <w:rPr>
          <w:rFonts w:ascii="Verdana" w:eastAsia="Times New Roman" w:hAnsi="Verdana" w:cs="Times New Roman"/>
          <w:i/>
          <w:iCs/>
          <w:color w:val="212121"/>
          <w:sz w:val="20"/>
          <w:szCs w:val="20"/>
        </w:rPr>
      </w:pPr>
      <w:r w:rsidRPr="00753106">
        <w:rPr>
          <w:rFonts w:ascii="Verdana" w:eastAsia="Times New Roman" w:hAnsi="Verdana" w:cs="Times New Roman"/>
          <w:i/>
          <w:iCs/>
          <w:color w:val="212121"/>
          <w:sz w:val="20"/>
          <w:szCs w:val="20"/>
        </w:rPr>
        <w:t>2. ¿</w:t>
      </w:r>
      <w:proofErr w:type="spellStart"/>
      <w:r w:rsidRPr="00753106">
        <w:rPr>
          <w:rFonts w:ascii="Verdana" w:eastAsia="Times New Roman" w:hAnsi="Verdana" w:cs="Times New Roman"/>
          <w:i/>
          <w:iCs/>
          <w:color w:val="212121"/>
          <w:sz w:val="20"/>
          <w:szCs w:val="20"/>
        </w:rPr>
        <w:t>Cómo</w:t>
      </w:r>
      <w:proofErr w:type="spellEnd"/>
      <w:r w:rsidRPr="00753106">
        <w:rPr>
          <w:rFonts w:ascii="Verdana" w:eastAsia="Times New Roman" w:hAnsi="Verdana" w:cs="Times New Roman"/>
          <w:i/>
          <w:iCs/>
          <w:color w:val="212121"/>
          <w:sz w:val="20"/>
          <w:szCs w:val="20"/>
        </w:rPr>
        <w:t xml:space="preserve"> se articula esta </w:t>
      </w:r>
      <w:proofErr w:type="spellStart"/>
      <w:r w:rsidRPr="00753106">
        <w:rPr>
          <w:rFonts w:ascii="Verdana" w:eastAsia="Times New Roman" w:hAnsi="Verdana" w:cs="Times New Roman"/>
          <w:i/>
          <w:iCs/>
          <w:color w:val="212121"/>
          <w:sz w:val="20"/>
          <w:szCs w:val="20"/>
        </w:rPr>
        <w:t>situación</w:t>
      </w:r>
      <w:proofErr w:type="spellEnd"/>
      <w:r w:rsidRPr="00753106">
        <w:rPr>
          <w:rFonts w:ascii="Verdana" w:eastAsia="Times New Roman" w:hAnsi="Verdana" w:cs="Times New Roman"/>
          <w:i/>
          <w:iCs/>
          <w:color w:val="212121"/>
          <w:sz w:val="20"/>
          <w:szCs w:val="20"/>
        </w:rPr>
        <w:t xml:space="preserve"> con las obligaciones derivadas del artículo 20 de la Ley 1121 de 2006? </w:t>
      </w:r>
    </w:p>
    <w:p w14:paraId="684824D2" w14:textId="77777777" w:rsidR="00BE3E00" w:rsidRPr="00753106" w:rsidRDefault="00BE3E00" w:rsidP="00BE3E00">
      <w:pPr>
        <w:pStyle w:val="ListParagraph"/>
        <w:spacing w:after="0" w:line="240" w:lineRule="auto"/>
        <w:ind w:left="709" w:right="709"/>
        <w:jc w:val="both"/>
        <w:rPr>
          <w:rFonts w:ascii="Verdana" w:eastAsia="Times New Roman" w:hAnsi="Verdana" w:cs="Times New Roman"/>
          <w:i/>
          <w:iCs/>
          <w:sz w:val="20"/>
          <w:szCs w:val="20"/>
        </w:rPr>
      </w:pPr>
    </w:p>
    <w:p w14:paraId="32B98081"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Arial"/>
          <w:b/>
          <w:bCs/>
          <w:i/>
          <w:iCs/>
          <w:color w:val="212121"/>
          <w:sz w:val="20"/>
          <w:szCs w:val="20"/>
          <w:lang w:val="es-ES"/>
        </w:rPr>
        <w:t xml:space="preserve">b. </w:t>
      </w:r>
      <w:proofErr w:type="spellStart"/>
      <w:r w:rsidRPr="00753106">
        <w:rPr>
          <w:rFonts w:ascii="Verdana" w:eastAsia="Times New Roman" w:hAnsi="Verdana" w:cs="Arial"/>
          <w:b/>
          <w:bCs/>
          <w:i/>
          <w:iCs/>
          <w:color w:val="212121"/>
          <w:sz w:val="20"/>
          <w:szCs w:val="20"/>
          <w:lang w:val="es-ES"/>
        </w:rPr>
        <w:t>Actuación</w:t>
      </w:r>
      <w:proofErr w:type="spellEnd"/>
      <w:r w:rsidRPr="00753106">
        <w:rPr>
          <w:rFonts w:ascii="Verdana" w:eastAsia="Times New Roman" w:hAnsi="Verdana" w:cs="Arial"/>
          <w:b/>
          <w:bCs/>
          <w:i/>
          <w:iCs/>
          <w:color w:val="212121"/>
          <w:sz w:val="20"/>
          <w:szCs w:val="20"/>
          <w:lang w:val="es-ES"/>
        </w:rPr>
        <w:t xml:space="preserve"> frente a coincidencias en listas restrictivas (ejemplo: OFAC): </w:t>
      </w:r>
      <w:r w:rsidRPr="00753106">
        <w:rPr>
          <w:rFonts w:ascii="Verdana" w:eastAsia="Times New Roman" w:hAnsi="Verdana" w:cs="Times New Roman"/>
          <w:i/>
          <w:iCs/>
          <w:color w:val="212121"/>
          <w:sz w:val="20"/>
          <w:szCs w:val="20"/>
          <w:lang w:val="es-ES"/>
        </w:rPr>
        <w:t xml:space="preserve">Cuando la coincidencia se presenta en listas restrictivas (como OFAC u otras de </w:t>
      </w:r>
      <w:proofErr w:type="spellStart"/>
      <w:r w:rsidRPr="00753106">
        <w:rPr>
          <w:rFonts w:ascii="Verdana" w:eastAsia="Times New Roman" w:hAnsi="Verdana" w:cs="Times New Roman"/>
          <w:i/>
          <w:iCs/>
          <w:color w:val="212121"/>
          <w:sz w:val="20"/>
          <w:szCs w:val="20"/>
          <w:lang w:val="es-ES"/>
        </w:rPr>
        <w:t>carácter</w:t>
      </w:r>
      <w:proofErr w:type="spellEnd"/>
      <w:r w:rsidRPr="00753106">
        <w:rPr>
          <w:rFonts w:ascii="Verdana" w:eastAsia="Times New Roman" w:hAnsi="Verdana" w:cs="Times New Roman"/>
          <w:i/>
          <w:iCs/>
          <w:color w:val="212121"/>
          <w:sz w:val="20"/>
          <w:szCs w:val="20"/>
          <w:lang w:val="es-ES"/>
        </w:rPr>
        <w:t xml:space="preserve"> internacional no vinculante): </w:t>
      </w:r>
    </w:p>
    <w:p w14:paraId="1183A424"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1. </w:t>
      </w:r>
      <w:r w:rsidRPr="00753106">
        <w:rPr>
          <w:rFonts w:ascii="Verdana" w:eastAsia="Times New Roman" w:hAnsi="Verdana" w:cs="Times New Roman"/>
          <w:i/>
          <w:iCs/>
          <w:color w:val="212121"/>
          <w:sz w:val="20"/>
          <w:szCs w:val="20"/>
          <w:lang w:val="es-ES"/>
        </w:rPr>
        <w:t xml:space="preserve">¿Qué tipo de </w:t>
      </w:r>
      <w:proofErr w:type="spellStart"/>
      <w:r w:rsidRPr="00753106">
        <w:rPr>
          <w:rFonts w:ascii="Verdana" w:eastAsia="Times New Roman" w:hAnsi="Verdana" w:cs="Times New Roman"/>
          <w:i/>
          <w:iCs/>
          <w:color w:val="212121"/>
          <w:sz w:val="20"/>
          <w:szCs w:val="20"/>
          <w:lang w:val="es-ES"/>
        </w:rPr>
        <w:t>análisis</w:t>
      </w:r>
      <w:proofErr w:type="spellEnd"/>
      <w:r w:rsidRPr="00753106">
        <w:rPr>
          <w:rFonts w:ascii="Verdana" w:eastAsia="Times New Roman" w:hAnsi="Verdana" w:cs="Times New Roman"/>
          <w:i/>
          <w:iCs/>
          <w:color w:val="212121"/>
          <w:sz w:val="20"/>
          <w:szCs w:val="20"/>
          <w:lang w:val="es-ES"/>
        </w:rPr>
        <w:t xml:space="preserve"> debe adelantar la entidad en el marco del principio de debida diligencia? </w:t>
      </w:r>
    </w:p>
    <w:p w14:paraId="023CB34D"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2. </w:t>
      </w:r>
      <w:r w:rsidRPr="00753106">
        <w:rPr>
          <w:rFonts w:ascii="Verdana" w:eastAsia="Times New Roman" w:hAnsi="Verdana" w:cs="Times New Roman"/>
          <w:i/>
          <w:iCs/>
          <w:color w:val="212121"/>
          <w:sz w:val="20"/>
          <w:szCs w:val="20"/>
          <w:lang w:val="es-ES"/>
        </w:rPr>
        <w:t xml:space="preserve">¿Es procedente continuar el proceso contractual bajo un </w:t>
      </w:r>
      <w:proofErr w:type="spellStart"/>
      <w:r w:rsidRPr="00753106">
        <w:rPr>
          <w:rFonts w:ascii="Verdana" w:eastAsia="Times New Roman" w:hAnsi="Verdana" w:cs="Times New Roman"/>
          <w:i/>
          <w:iCs/>
          <w:color w:val="212121"/>
          <w:sz w:val="20"/>
          <w:szCs w:val="20"/>
          <w:lang w:val="es-ES"/>
        </w:rPr>
        <w:t>análisis</w:t>
      </w:r>
      <w:proofErr w:type="spellEnd"/>
      <w:r w:rsidRPr="00753106">
        <w:rPr>
          <w:rFonts w:ascii="Verdana" w:eastAsia="Times New Roman" w:hAnsi="Verdana" w:cs="Times New Roman"/>
          <w:i/>
          <w:iCs/>
          <w:color w:val="212121"/>
          <w:sz w:val="20"/>
          <w:szCs w:val="20"/>
          <w:lang w:val="es-ES"/>
        </w:rPr>
        <w:t xml:space="preserve"> de riesgo o se configura una causal objetiva de </w:t>
      </w:r>
      <w:proofErr w:type="spellStart"/>
      <w:r w:rsidRPr="00753106">
        <w:rPr>
          <w:rFonts w:ascii="Verdana" w:eastAsia="Times New Roman" w:hAnsi="Verdana" w:cs="Times New Roman"/>
          <w:i/>
          <w:iCs/>
          <w:color w:val="212121"/>
          <w:sz w:val="20"/>
          <w:szCs w:val="20"/>
          <w:lang w:val="es-ES"/>
        </w:rPr>
        <w:t>exclusión</w:t>
      </w:r>
      <w:proofErr w:type="spellEnd"/>
      <w:r w:rsidRPr="00753106">
        <w:rPr>
          <w:rFonts w:ascii="Verdana" w:eastAsia="Times New Roman" w:hAnsi="Verdana" w:cs="Times New Roman"/>
          <w:i/>
          <w:iCs/>
          <w:color w:val="212121"/>
          <w:sz w:val="20"/>
          <w:szCs w:val="20"/>
          <w:lang w:val="es-ES"/>
        </w:rPr>
        <w:t xml:space="preserve">? </w:t>
      </w:r>
    </w:p>
    <w:p w14:paraId="6DB7499E"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color w:val="212121"/>
          <w:sz w:val="20"/>
          <w:szCs w:val="20"/>
          <w:lang w:val="es-ES"/>
        </w:rPr>
      </w:pPr>
      <w:r w:rsidRPr="00753106">
        <w:rPr>
          <w:rFonts w:ascii="Verdana" w:eastAsia="Times New Roman" w:hAnsi="Verdana" w:cs="Times New Roman"/>
          <w:i/>
          <w:iCs/>
          <w:sz w:val="20"/>
          <w:szCs w:val="20"/>
          <w:lang w:val="es-ES"/>
        </w:rPr>
        <w:t xml:space="preserve">3. </w:t>
      </w:r>
      <w:r w:rsidRPr="00753106">
        <w:rPr>
          <w:rFonts w:ascii="Verdana" w:eastAsia="Times New Roman" w:hAnsi="Verdana" w:cs="Times New Roman"/>
          <w:i/>
          <w:iCs/>
          <w:color w:val="212121"/>
          <w:sz w:val="20"/>
          <w:szCs w:val="20"/>
          <w:lang w:val="es-ES"/>
        </w:rPr>
        <w:t>¿Qué criterios recomienda Colombia Compra Eficiente para soportar la toma de decisiones en estos casos?</w:t>
      </w:r>
    </w:p>
    <w:p w14:paraId="2B901888" w14:textId="77777777" w:rsidR="00BE3E00" w:rsidRPr="00753106" w:rsidRDefault="00BE3E00" w:rsidP="00BE3E00">
      <w:pPr>
        <w:spacing w:after="0" w:line="240" w:lineRule="auto"/>
        <w:ind w:right="709"/>
        <w:contextualSpacing/>
        <w:jc w:val="both"/>
        <w:rPr>
          <w:rFonts w:ascii="Verdana" w:eastAsia="Times New Roman" w:hAnsi="Verdana" w:cs="Times New Roman"/>
          <w:i/>
          <w:iCs/>
          <w:color w:val="212121"/>
          <w:sz w:val="20"/>
          <w:szCs w:val="20"/>
          <w:lang w:val="es-ES"/>
        </w:rPr>
      </w:pPr>
    </w:p>
    <w:p w14:paraId="5209D3A0"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color w:val="212121"/>
          <w:sz w:val="20"/>
          <w:szCs w:val="20"/>
          <w:lang w:val="es-ES"/>
        </w:rPr>
      </w:pPr>
      <w:r w:rsidRPr="00753106">
        <w:rPr>
          <w:rFonts w:ascii="Verdana" w:eastAsia="Times New Roman" w:hAnsi="Verdana" w:cs="Times New Roman"/>
          <w:b/>
          <w:bCs/>
          <w:i/>
          <w:iCs/>
          <w:color w:val="212121"/>
          <w:sz w:val="20"/>
          <w:szCs w:val="20"/>
          <w:lang w:val="es-ES"/>
        </w:rPr>
        <w:t xml:space="preserve">c. Alcance del deber de debida diligencia en contratación pública: </w:t>
      </w:r>
    </w:p>
    <w:p w14:paraId="5E088022"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color w:val="212121"/>
          <w:sz w:val="20"/>
          <w:szCs w:val="20"/>
          <w:lang w:val="es-ES"/>
        </w:rPr>
      </w:pPr>
      <w:r w:rsidRPr="00753106">
        <w:rPr>
          <w:rFonts w:ascii="Verdana" w:eastAsia="Times New Roman" w:hAnsi="Verdana" w:cs="Times New Roman"/>
          <w:i/>
          <w:iCs/>
          <w:color w:val="212121"/>
          <w:sz w:val="20"/>
          <w:szCs w:val="20"/>
          <w:lang w:val="es-ES"/>
        </w:rPr>
        <w:t xml:space="preserve">1. ¿Qué fuentes de información deben consultar las entidades públicas para el adecuado conocimiento de sus contrapartes en todas las etapas del proceso contractual? </w:t>
      </w:r>
    </w:p>
    <w:p w14:paraId="07287E7C"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2. ¿Colombia compra eficiente tiene lineamiento o </w:t>
      </w:r>
      <w:proofErr w:type="spellStart"/>
      <w:r w:rsidRPr="00753106">
        <w:rPr>
          <w:rFonts w:ascii="Verdana" w:eastAsia="Times New Roman" w:hAnsi="Verdana" w:cs="Times New Roman"/>
          <w:i/>
          <w:iCs/>
          <w:sz w:val="20"/>
          <w:szCs w:val="20"/>
          <w:lang w:val="es-ES"/>
        </w:rPr>
        <w:t>guía</w:t>
      </w:r>
      <w:proofErr w:type="spellEnd"/>
      <w:r w:rsidRPr="00753106">
        <w:rPr>
          <w:rFonts w:ascii="Verdana" w:eastAsia="Times New Roman" w:hAnsi="Verdana" w:cs="Times New Roman"/>
          <w:i/>
          <w:iCs/>
          <w:sz w:val="20"/>
          <w:szCs w:val="20"/>
          <w:lang w:val="es-ES"/>
        </w:rPr>
        <w:t xml:space="preserve"> </w:t>
      </w:r>
      <w:proofErr w:type="spellStart"/>
      <w:r w:rsidRPr="00753106">
        <w:rPr>
          <w:rFonts w:ascii="Verdana" w:eastAsia="Times New Roman" w:hAnsi="Verdana" w:cs="Times New Roman"/>
          <w:i/>
          <w:iCs/>
          <w:sz w:val="20"/>
          <w:szCs w:val="20"/>
          <w:lang w:val="es-ES"/>
        </w:rPr>
        <w:t>específica</w:t>
      </w:r>
      <w:proofErr w:type="spellEnd"/>
      <w:r w:rsidRPr="00753106">
        <w:rPr>
          <w:rFonts w:ascii="Verdana" w:eastAsia="Times New Roman" w:hAnsi="Verdana" w:cs="Times New Roman"/>
          <w:i/>
          <w:iCs/>
          <w:sz w:val="20"/>
          <w:szCs w:val="20"/>
          <w:lang w:val="es-ES"/>
        </w:rPr>
        <w:t xml:space="preserve"> sobre la </w:t>
      </w:r>
      <w:proofErr w:type="spellStart"/>
      <w:r w:rsidRPr="00753106">
        <w:rPr>
          <w:rFonts w:ascii="Verdana" w:eastAsia="Times New Roman" w:hAnsi="Verdana" w:cs="Times New Roman"/>
          <w:i/>
          <w:iCs/>
          <w:sz w:val="20"/>
          <w:szCs w:val="20"/>
          <w:lang w:val="es-ES"/>
        </w:rPr>
        <w:t>prevención</w:t>
      </w:r>
      <w:proofErr w:type="spellEnd"/>
      <w:r w:rsidRPr="00753106">
        <w:rPr>
          <w:rFonts w:ascii="Verdana" w:eastAsia="Times New Roman" w:hAnsi="Verdana" w:cs="Times New Roman"/>
          <w:i/>
          <w:iCs/>
          <w:sz w:val="20"/>
          <w:szCs w:val="20"/>
          <w:lang w:val="es-ES"/>
        </w:rPr>
        <w:t xml:space="preserve"> del riesgo LA/FT/FP? </w:t>
      </w:r>
    </w:p>
    <w:p w14:paraId="3788FE44"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3. ¿</w:t>
      </w:r>
      <w:proofErr w:type="spellStart"/>
      <w:r w:rsidRPr="00753106">
        <w:rPr>
          <w:rFonts w:ascii="Verdana" w:eastAsia="Times New Roman" w:hAnsi="Verdana" w:cs="Times New Roman"/>
          <w:i/>
          <w:iCs/>
          <w:sz w:val="20"/>
          <w:szCs w:val="20"/>
          <w:lang w:val="es-ES"/>
        </w:rPr>
        <w:t>Cuál</w:t>
      </w:r>
      <w:proofErr w:type="spellEnd"/>
      <w:r w:rsidRPr="00753106">
        <w:rPr>
          <w:rFonts w:ascii="Verdana" w:eastAsia="Times New Roman" w:hAnsi="Verdana" w:cs="Times New Roman"/>
          <w:i/>
          <w:iCs/>
          <w:sz w:val="20"/>
          <w:szCs w:val="20"/>
          <w:lang w:val="es-ES"/>
        </w:rPr>
        <w:t xml:space="preserve"> es el alcance y las consecuencias </w:t>
      </w:r>
      <w:proofErr w:type="spellStart"/>
      <w:r w:rsidRPr="00753106">
        <w:rPr>
          <w:rFonts w:ascii="Verdana" w:eastAsia="Times New Roman" w:hAnsi="Verdana" w:cs="Times New Roman"/>
          <w:i/>
          <w:iCs/>
          <w:sz w:val="20"/>
          <w:szCs w:val="20"/>
          <w:lang w:val="es-ES"/>
        </w:rPr>
        <w:t>jurídicas</w:t>
      </w:r>
      <w:proofErr w:type="spellEnd"/>
      <w:r w:rsidRPr="00753106">
        <w:rPr>
          <w:rFonts w:ascii="Verdana" w:eastAsia="Times New Roman" w:hAnsi="Verdana" w:cs="Times New Roman"/>
          <w:i/>
          <w:iCs/>
          <w:sz w:val="20"/>
          <w:szCs w:val="20"/>
          <w:lang w:val="es-ES"/>
        </w:rPr>
        <w:t xml:space="preserve"> derivadas de la aplicación de </w:t>
      </w:r>
      <w:proofErr w:type="spellStart"/>
      <w:r w:rsidRPr="00753106">
        <w:rPr>
          <w:rFonts w:ascii="Verdana" w:eastAsia="Times New Roman" w:hAnsi="Verdana" w:cs="Times New Roman"/>
          <w:i/>
          <w:iCs/>
          <w:sz w:val="20"/>
          <w:szCs w:val="20"/>
          <w:lang w:val="es-ES"/>
        </w:rPr>
        <w:t>cláusulas</w:t>
      </w:r>
      <w:proofErr w:type="spellEnd"/>
      <w:r w:rsidRPr="00753106">
        <w:rPr>
          <w:rFonts w:ascii="Verdana" w:eastAsia="Times New Roman" w:hAnsi="Verdana" w:cs="Times New Roman"/>
          <w:i/>
          <w:iCs/>
          <w:sz w:val="20"/>
          <w:szCs w:val="20"/>
          <w:lang w:val="es-ES"/>
        </w:rPr>
        <w:t xml:space="preserve"> contractuales en materia de </w:t>
      </w:r>
      <w:proofErr w:type="spellStart"/>
      <w:r w:rsidRPr="00753106">
        <w:rPr>
          <w:rFonts w:ascii="Verdana" w:eastAsia="Times New Roman" w:hAnsi="Verdana" w:cs="Times New Roman"/>
          <w:i/>
          <w:iCs/>
          <w:sz w:val="20"/>
          <w:szCs w:val="20"/>
          <w:lang w:val="es-ES"/>
        </w:rPr>
        <w:t>prevención</w:t>
      </w:r>
      <w:proofErr w:type="spellEnd"/>
      <w:r w:rsidRPr="00753106">
        <w:rPr>
          <w:rFonts w:ascii="Verdana" w:eastAsia="Times New Roman" w:hAnsi="Verdana" w:cs="Times New Roman"/>
          <w:i/>
          <w:iCs/>
          <w:sz w:val="20"/>
          <w:szCs w:val="20"/>
          <w:lang w:val="es-ES"/>
        </w:rPr>
        <w:t xml:space="preserve"> del riesgo de LA/FT/FP, cuando se identifiquen coincidencias en listas vinculantes o restrictivas en el marco del proceso contractual? </w:t>
      </w:r>
    </w:p>
    <w:p w14:paraId="1D8F386B"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4. ¿</w:t>
      </w:r>
      <w:proofErr w:type="spellStart"/>
      <w:r w:rsidRPr="00753106">
        <w:rPr>
          <w:rFonts w:ascii="Verdana" w:eastAsia="Times New Roman" w:hAnsi="Verdana" w:cs="Times New Roman"/>
          <w:i/>
          <w:iCs/>
          <w:sz w:val="20"/>
          <w:szCs w:val="20"/>
          <w:lang w:val="es-ES"/>
        </w:rPr>
        <w:t>Cuáles</w:t>
      </w:r>
      <w:proofErr w:type="spellEnd"/>
      <w:r w:rsidRPr="00753106">
        <w:rPr>
          <w:rFonts w:ascii="Verdana" w:eastAsia="Times New Roman" w:hAnsi="Verdana" w:cs="Times New Roman"/>
          <w:i/>
          <w:iCs/>
          <w:sz w:val="20"/>
          <w:szCs w:val="20"/>
          <w:lang w:val="es-ES"/>
        </w:rPr>
        <w:t xml:space="preserve"> son las </w:t>
      </w:r>
      <w:proofErr w:type="spellStart"/>
      <w:r w:rsidRPr="00753106">
        <w:rPr>
          <w:rFonts w:ascii="Verdana" w:eastAsia="Times New Roman" w:hAnsi="Verdana" w:cs="Times New Roman"/>
          <w:i/>
          <w:iCs/>
          <w:sz w:val="20"/>
          <w:szCs w:val="20"/>
          <w:lang w:val="es-ES"/>
        </w:rPr>
        <w:t>señales</w:t>
      </w:r>
      <w:proofErr w:type="spellEnd"/>
      <w:r w:rsidRPr="00753106">
        <w:rPr>
          <w:rFonts w:ascii="Verdana" w:eastAsia="Times New Roman" w:hAnsi="Verdana" w:cs="Times New Roman"/>
          <w:i/>
          <w:iCs/>
          <w:sz w:val="20"/>
          <w:szCs w:val="20"/>
          <w:lang w:val="es-ES"/>
        </w:rPr>
        <w:t xml:space="preserve"> de alerta que las entidades públicas </w:t>
      </w:r>
      <w:proofErr w:type="spellStart"/>
      <w:r w:rsidRPr="00753106">
        <w:rPr>
          <w:rFonts w:ascii="Verdana" w:eastAsia="Times New Roman" w:hAnsi="Verdana" w:cs="Times New Roman"/>
          <w:i/>
          <w:iCs/>
          <w:sz w:val="20"/>
          <w:szCs w:val="20"/>
          <w:lang w:val="es-ES"/>
        </w:rPr>
        <w:t>deberían</w:t>
      </w:r>
      <w:proofErr w:type="spellEnd"/>
      <w:r w:rsidRPr="00753106">
        <w:rPr>
          <w:rFonts w:ascii="Verdana" w:eastAsia="Times New Roman" w:hAnsi="Verdana" w:cs="Times New Roman"/>
          <w:i/>
          <w:iCs/>
          <w:sz w:val="20"/>
          <w:szCs w:val="20"/>
          <w:lang w:val="es-ES"/>
        </w:rPr>
        <w:t xml:space="preserve"> tener en cuenta para la </w:t>
      </w:r>
      <w:proofErr w:type="spellStart"/>
      <w:r w:rsidRPr="00753106">
        <w:rPr>
          <w:rFonts w:ascii="Verdana" w:eastAsia="Times New Roman" w:hAnsi="Verdana" w:cs="Times New Roman"/>
          <w:i/>
          <w:iCs/>
          <w:sz w:val="20"/>
          <w:szCs w:val="20"/>
          <w:lang w:val="es-ES"/>
        </w:rPr>
        <w:t>gestión</w:t>
      </w:r>
      <w:proofErr w:type="spellEnd"/>
      <w:r w:rsidRPr="00753106">
        <w:rPr>
          <w:rFonts w:ascii="Verdana" w:eastAsia="Times New Roman" w:hAnsi="Verdana" w:cs="Times New Roman"/>
          <w:i/>
          <w:iCs/>
          <w:sz w:val="20"/>
          <w:szCs w:val="20"/>
          <w:lang w:val="es-ES"/>
        </w:rPr>
        <w:t xml:space="preserve"> del riesgo de LA/FT/FP en el marco de la contratación estatal y la debida diligencia de sus contrapartes? </w:t>
      </w:r>
    </w:p>
    <w:p w14:paraId="1A741FD0"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p>
    <w:p w14:paraId="73F53837"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b/>
          <w:bCs/>
          <w:i/>
          <w:iCs/>
          <w:sz w:val="20"/>
          <w:szCs w:val="20"/>
          <w:lang w:val="es-ES"/>
        </w:rPr>
        <w:t xml:space="preserve">d. Interoperabilidad y acceso a información pública </w:t>
      </w:r>
    </w:p>
    <w:p w14:paraId="217A8507"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1. </w:t>
      </w:r>
      <w:r w:rsidRPr="00753106">
        <w:rPr>
          <w:rFonts w:ascii="Verdana" w:hAnsi="Verdana"/>
          <w:i/>
          <w:iCs/>
          <w:sz w:val="20"/>
          <w:szCs w:val="20"/>
          <w:lang w:val="es-ES"/>
        </w:rPr>
        <w:t xml:space="preserve">¿Qué mecanismos o herramientas ha desarrollado el Gobierno Nacional, en el marco de sus competencias, para facilitar a las entidades públicas el acceso a información relevante </w:t>
      </w:r>
      <w:r w:rsidRPr="00753106">
        <w:rPr>
          <w:rFonts w:ascii="Verdana" w:eastAsia="Times New Roman" w:hAnsi="Verdana" w:cs="Times New Roman"/>
          <w:i/>
          <w:iCs/>
          <w:sz w:val="20"/>
          <w:szCs w:val="20"/>
          <w:lang w:val="es-ES"/>
        </w:rPr>
        <w:t xml:space="preserve">que permita fortalecer la </w:t>
      </w:r>
      <w:proofErr w:type="spellStart"/>
      <w:r w:rsidRPr="00753106">
        <w:rPr>
          <w:rFonts w:ascii="Verdana" w:eastAsia="Times New Roman" w:hAnsi="Verdana" w:cs="Times New Roman"/>
          <w:i/>
          <w:iCs/>
          <w:sz w:val="20"/>
          <w:szCs w:val="20"/>
          <w:lang w:val="es-ES"/>
        </w:rPr>
        <w:t>gestión</w:t>
      </w:r>
      <w:proofErr w:type="spellEnd"/>
      <w:r w:rsidRPr="00753106">
        <w:rPr>
          <w:rFonts w:ascii="Verdana" w:eastAsia="Times New Roman" w:hAnsi="Verdana" w:cs="Times New Roman"/>
          <w:i/>
          <w:iCs/>
          <w:sz w:val="20"/>
          <w:szCs w:val="20"/>
          <w:lang w:val="es-ES"/>
        </w:rPr>
        <w:t xml:space="preserve"> del riesgo de LA/FT/FP en contratación? </w:t>
      </w:r>
    </w:p>
    <w:p w14:paraId="744E1882" w14:textId="77777777" w:rsidR="00BE3E00" w:rsidRPr="00753106" w:rsidRDefault="00BE3E00" w:rsidP="00BE3E00">
      <w:pPr>
        <w:spacing w:after="0" w:line="240" w:lineRule="auto"/>
        <w:ind w:left="709" w:right="709"/>
        <w:contextualSpacing/>
        <w:jc w:val="both"/>
        <w:rPr>
          <w:rFonts w:ascii="Verdana" w:hAnsi="Verdana"/>
          <w:i/>
          <w:iCs/>
          <w:sz w:val="20"/>
          <w:szCs w:val="20"/>
          <w:lang w:val="es-ES"/>
        </w:rPr>
      </w:pPr>
    </w:p>
    <w:p w14:paraId="730F318E" w14:textId="77777777" w:rsidR="00BE3E00" w:rsidRPr="00753106" w:rsidRDefault="00BE3E00" w:rsidP="00BE3E00">
      <w:pPr>
        <w:spacing w:after="0" w:line="240" w:lineRule="auto"/>
        <w:ind w:left="709" w:right="709"/>
        <w:contextualSpacing/>
        <w:jc w:val="both"/>
        <w:rPr>
          <w:rFonts w:ascii="Verdana" w:eastAsia="Times New Roman" w:hAnsi="Verdana" w:cs="Times New Roman"/>
          <w:b/>
          <w:bCs/>
          <w:i/>
          <w:iCs/>
          <w:sz w:val="20"/>
          <w:szCs w:val="20"/>
          <w:lang w:val="es-ES"/>
        </w:rPr>
      </w:pPr>
      <w:r w:rsidRPr="00753106">
        <w:rPr>
          <w:rFonts w:ascii="Verdana" w:eastAsia="Times New Roman" w:hAnsi="Verdana" w:cs="Times New Roman"/>
          <w:b/>
          <w:bCs/>
          <w:i/>
          <w:iCs/>
          <w:sz w:val="20"/>
          <w:szCs w:val="20"/>
          <w:lang w:val="es-ES"/>
        </w:rPr>
        <w:t xml:space="preserve">e. </w:t>
      </w:r>
      <w:proofErr w:type="spellStart"/>
      <w:r w:rsidRPr="00753106">
        <w:rPr>
          <w:rFonts w:ascii="Verdana" w:eastAsia="Times New Roman" w:hAnsi="Verdana" w:cs="Times New Roman"/>
          <w:b/>
          <w:bCs/>
          <w:i/>
          <w:iCs/>
          <w:sz w:val="20"/>
          <w:szCs w:val="20"/>
          <w:lang w:val="es-ES"/>
        </w:rPr>
        <w:t>Armonización</w:t>
      </w:r>
      <w:proofErr w:type="spellEnd"/>
      <w:r w:rsidRPr="00753106">
        <w:rPr>
          <w:rFonts w:ascii="Verdana" w:eastAsia="Times New Roman" w:hAnsi="Verdana" w:cs="Times New Roman"/>
          <w:b/>
          <w:bCs/>
          <w:i/>
          <w:iCs/>
          <w:sz w:val="20"/>
          <w:szCs w:val="20"/>
          <w:lang w:val="es-ES"/>
        </w:rPr>
        <w:t xml:space="preserve"> entre la </w:t>
      </w:r>
      <w:proofErr w:type="spellStart"/>
      <w:r w:rsidRPr="00753106">
        <w:rPr>
          <w:rFonts w:ascii="Verdana" w:eastAsia="Times New Roman" w:hAnsi="Verdana" w:cs="Times New Roman"/>
          <w:b/>
          <w:bCs/>
          <w:i/>
          <w:iCs/>
          <w:sz w:val="20"/>
          <w:szCs w:val="20"/>
          <w:lang w:val="es-ES"/>
        </w:rPr>
        <w:t>gestión</w:t>
      </w:r>
      <w:proofErr w:type="spellEnd"/>
      <w:r w:rsidRPr="00753106">
        <w:rPr>
          <w:rFonts w:ascii="Verdana" w:eastAsia="Times New Roman" w:hAnsi="Verdana" w:cs="Times New Roman"/>
          <w:b/>
          <w:bCs/>
          <w:i/>
          <w:iCs/>
          <w:sz w:val="20"/>
          <w:szCs w:val="20"/>
          <w:lang w:val="es-ES"/>
        </w:rPr>
        <w:t xml:space="preserve"> del riesgo LA/FT/FP y los principios de la contratación estatal </w:t>
      </w:r>
    </w:p>
    <w:p w14:paraId="28ECF804"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Teniendo en cuenta las situaciones previamente descritas, en particular aquellas relacionadas con la </w:t>
      </w:r>
      <w:proofErr w:type="spellStart"/>
      <w:r w:rsidRPr="00753106">
        <w:rPr>
          <w:rFonts w:ascii="Verdana" w:eastAsia="Times New Roman" w:hAnsi="Verdana" w:cs="Times New Roman"/>
          <w:i/>
          <w:iCs/>
          <w:sz w:val="20"/>
          <w:szCs w:val="20"/>
          <w:lang w:val="es-ES"/>
        </w:rPr>
        <w:t>identificación</w:t>
      </w:r>
      <w:proofErr w:type="spellEnd"/>
      <w:r w:rsidRPr="00753106">
        <w:rPr>
          <w:rFonts w:ascii="Verdana" w:eastAsia="Times New Roman" w:hAnsi="Verdana" w:cs="Times New Roman"/>
          <w:i/>
          <w:iCs/>
          <w:sz w:val="20"/>
          <w:szCs w:val="20"/>
          <w:lang w:val="es-ES"/>
        </w:rPr>
        <w:t xml:space="preserve"> de coincidencias en listas, la aplicación de medidas de debida diligencia y el acceso a información para el conocimiento de las contrapartes, resulta necesario precisar la forma en que estas actuaciones deben integrarse dentro del régimen de contratación estatal. </w:t>
      </w:r>
    </w:p>
    <w:p w14:paraId="25F38CCB"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En este sentido, y considerando lo dispuesto en la Ley 80 de 1993, especialmente en lo relacionado con los principios de transparencia, selección objetiva y pluralidad de oferentes, así como las obligaciones en </w:t>
      </w:r>
      <w:r w:rsidRPr="00753106">
        <w:rPr>
          <w:rFonts w:ascii="Verdana" w:eastAsia="Times New Roman" w:hAnsi="Verdana" w:cs="Times New Roman"/>
          <w:i/>
          <w:iCs/>
          <w:sz w:val="20"/>
          <w:szCs w:val="20"/>
          <w:lang w:val="es-ES"/>
        </w:rPr>
        <w:lastRenderedPageBreak/>
        <w:t xml:space="preserve">materia de integridad y debida diligencia previstas en la Ley  2195 de 2022 y el Decreto 1122 de 2024, respetuosamente solicitamos se sirvan indicar: </w:t>
      </w:r>
    </w:p>
    <w:p w14:paraId="0B6D0B56"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1. ¿</w:t>
      </w:r>
      <w:proofErr w:type="spellStart"/>
      <w:r w:rsidRPr="00753106">
        <w:rPr>
          <w:rFonts w:ascii="Verdana" w:eastAsia="Times New Roman" w:hAnsi="Verdana" w:cs="Times New Roman"/>
          <w:i/>
          <w:iCs/>
          <w:sz w:val="20"/>
          <w:szCs w:val="20"/>
          <w:lang w:val="es-ES"/>
        </w:rPr>
        <w:t>Cómo</w:t>
      </w:r>
      <w:proofErr w:type="spellEnd"/>
      <w:r w:rsidRPr="00753106">
        <w:rPr>
          <w:rFonts w:ascii="Verdana" w:eastAsia="Times New Roman" w:hAnsi="Verdana" w:cs="Times New Roman"/>
          <w:i/>
          <w:iCs/>
          <w:sz w:val="20"/>
          <w:szCs w:val="20"/>
          <w:lang w:val="es-ES"/>
        </w:rPr>
        <w:t xml:space="preserve"> deben las entidades públicas armonizar la aplicación de medidas de </w:t>
      </w:r>
      <w:proofErr w:type="spellStart"/>
      <w:r w:rsidRPr="00753106">
        <w:rPr>
          <w:rFonts w:ascii="Verdana" w:eastAsia="Times New Roman" w:hAnsi="Verdana" w:cs="Times New Roman"/>
          <w:i/>
          <w:iCs/>
          <w:sz w:val="20"/>
          <w:szCs w:val="20"/>
          <w:lang w:val="es-ES"/>
        </w:rPr>
        <w:t>gestión</w:t>
      </w:r>
      <w:proofErr w:type="spellEnd"/>
      <w:r w:rsidRPr="00753106">
        <w:rPr>
          <w:rFonts w:ascii="Verdana" w:eastAsia="Times New Roman" w:hAnsi="Verdana" w:cs="Times New Roman"/>
          <w:i/>
          <w:iCs/>
          <w:sz w:val="20"/>
          <w:szCs w:val="20"/>
          <w:lang w:val="es-ES"/>
        </w:rPr>
        <w:t xml:space="preserve"> del riesgo LA/FT/FP, bajo un enfoque basado en riesgos (EBR), con el cumplimiento de los principios de la contratación estatal, en especial la selección objetiva y la pluralidad de oferentes? </w:t>
      </w:r>
    </w:p>
    <w:p w14:paraId="71588F92"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2. ¿En </w:t>
      </w:r>
      <w:proofErr w:type="spellStart"/>
      <w:r w:rsidRPr="00753106">
        <w:rPr>
          <w:rFonts w:ascii="Verdana" w:eastAsia="Times New Roman" w:hAnsi="Verdana" w:cs="Times New Roman"/>
          <w:i/>
          <w:iCs/>
          <w:sz w:val="20"/>
          <w:szCs w:val="20"/>
          <w:lang w:val="es-ES"/>
        </w:rPr>
        <w:t>que</w:t>
      </w:r>
      <w:proofErr w:type="spellEnd"/>
      <w:r w:rsidRPr="00753106">
        <w:rPr>
          <w:rFonts w:ascii="Verdana" w:eastAsia="Times New Roman" w:hAnsi="Verdana" w:cs="Times New Roman"/>
          <w:i/>
          <w:iCs/>
          <w:sz w:val="20"/>
          <w:szCs w:val="20"/>
          <w:lang w:val="es-ES"/>
        </w:rPr>
        <w:t xml:space="preserve">́ medida los resultados derivados de la debida diligencia (incluyendo la </w:t>
      </w:r>
      <w:proofErr w:type="spellStart"/>
      <w:r w:rsidRPr="00753106">
        <w:rPr>
          <w:rFonts w:ascii="Verdana" w:eastAsia="Times New Roman" w:hAnsi="Verdana" w:cs="Times New Roman"/>
          <w:i/>
          <w:iCs/>
          <w:sz w:val="20"/>
          <w:szCs w:val="20"/>
          <w:lang w:val="es-ES"/>
        </w:rPr>
        <w:t>identificación</w:t>
      </w:r>
      <w:proofErr w:type="spellEnd"/>
      <w:r w:rsidRPr="00753106">
        <w:rPr>
          <w:rFonts w:ascii="Verdana" w:eastAsia="Times New Roman" w:hAnsi="Verdana" w:cs="Times New Roman"/>
          <w:i/>
          <w:iCs/>
          <w:sz w:val="20"/>
          <w:szCs w:val="20"/>
          <w:lang w:val="es-ES"/>
        </w:rPr>
        <w:t xml:space="preserve"> de riesgos asociados a LA/FT/FP) pueden ser incorporados como fundamento para la toma de decisiones dentro del proceso contractual, sin vulnerar los principios de igualdad, transparencia y libre concurrencia? </w:t>
      </w:r>
    </w:p>
    <w:p w14:paraId="6D88D01E"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 xml:space="preserve">3. ¿Qué criterios </w:t>
      </w:r>
      <w:proofErr w:type="spellStart"/>
      <w:r w:rsidRPr="00753106">
        <w:rPr>
          <w:rFonts w:ascii="Verdana" w:eastAsia="Times New Roman" w:hAnsi="Verdana" w:cs="Times New Roman"/>
          <w:i/>
          <w:iCs/>
          <w:sz w:val="20"/>
          <w:szCs w:val="20"/>
          <w:lang w:val="es-ES"/>
        </w:rPr>
        <w:t>jurídicos</w:t>
      </w:r>
      <w:proofErr w:type="spellEnd"/>
      <w:r w:rsidRPr="00753106">
        <w:rPr>
          <w:rFonts w:ascii="Verdana" w:eastAsia="Times New Roman" w:hAnsi="Verdana" w:cs="Times New Roman"/>
          <w:i/>
          <w:iCs/>
          <w:sz w:val="20"/>
          <w:szCs w:val="20"/>
          <w:lang w:val="es-ES"/>
        </w:rPr>
        <w:t xml:space="preserve"> y </w:t>
      </w:r>
      <w:proofErr w:type="spellStart"/>
      <w:r w:rsidRPr="00753106">
        <w:rPr>
          <w:rFonts w:ascii="Verdana" w:eastAsia="Times New Roman" w:hAnsi="Verdana" w:cs="Times New Roman"/>
          <w:i/>
          <w:iCs/>
          <w:sz w:val="20"/>
          <w:szCs w:val="20"/>
          <w:lang w:val="es-ES"/>
        </w:rPr>
        <w:t>técnicos</w:t>
      </w:r>
      <w:proofErr w:type="spellEnd"/>
      <w:r w:rsidRPr="00753106">
        <w:rPr>
          <w:rFonts w:ascii="Verdana" w:eastAsia="Times New Roman" w:hAnsi="Verdana" w:cs="Times New Roman"/>
          <w:i/>
          <w:iCs/>
          <w:sz w:val="20"/>
          <w:szCs w:val="20"/>
          <w:lang w:val="es-ES"/>
        </w:rPr>
        <w:t xml:space="preserve"> deben observar las entidades para motivar decisiones como la no </w:t>
      </w:r>
      <w:proofErr w:type="spellStart"/>
      <w:r w:rsidRPr="00753106">
        <w:rPr>
          <w:rFonts w:ascii="Verdana" w:eastAsia="Times New Roman" w:hAnsi="Verdana" w:cs="Times New Roman"/>
          <w:i/>
          <w:iCs/>
          <w:sz w:val="20"/>
          <w:szCs w:val="20"/>
          <w:lang w:val="es-ES"/>
        </w:rPr>
        <w:t>adjudicación</w:t>
      </w:r>
      <w:proofErr w:type="spellEnd"/>
      <w:r w:rsidRPr="00753106">
        <w:rPr>
          <w:rFonts w:ascii="Verdana" w:eastAsia="Times New Roman" w:hAnsi="Verdana" w:cs="Times New Roman"/>
          <w:i/>
          <w:iCs/>
          <w:sz w:val="20"/>
          <w:szCs w:val="20"/>
          <w:lang w:val="es-ES"/>
        </w:rPr>
        <w:t xml:space="preserve">, rechazo de ofertas o </w:t>
      </w:r>
      <w:proofErr w:type="spellStart"/>
      <w:r w:rsidRPr="00753106">
        <w:rPr>
          <w:rFonts w:ascii="Verdana" w:eastAsia="Times New Roman" w:hAnsi="Verdana" w:cs="Times New Roman"/>
          <w:i/>
          <w:iCs/>
          <w:sz w:val="20"/>
          <w:szCs w:val="20"/>
          <w:lang w:val="es-ES"/>
        </w:rPr>
        <w:t>terminación</w:t>
      </w:r>
      <w:proofErr w:type="spellEnd"/>
      <w:r w:rsidRPr="00753106">
        <w:rPr>
          <w:rFonts w:ascii="Verdana" w:eastAsia="Times New Roman" w:hAnsi="Verdana" w:cs="Times New Roman"/>
          <w:i/>
          <w:iCs/>
          <w:sz w:val="20"/>
          <w:szCs w:val="20"/>
          <w:lang w:val="es-ES"/>
        </w:rPr>
        <w:t xml:space="preserve"> de procesos contractuales, cuando estas se fundamenten en </w:t>
      </w:r>
      <w:proofErr w:type="spellStart"/>
      <w:r w:rsidRPr="00753106">
        <w:rPr>
          <w:rFonts w:ascii="Verdana" w:eastAsia="Times New Roman" w:hAnsi="Verdana" w:cs="Times New Roman"/>
          <w:i/>
          <w:iCs/>
          <w:sz w:val="20"/>
          <w:szCs w:val="20"/>
          <w:lang w:val="es-ES"/>
        </w:rPr>
        <w:t>análisis</w:t>
      </w:r>
      <w:proofErr w:type="spellEnd"/>
      <w:r w:rsidRPr="00753106">
        <w:rPr>
          <w:rFonts w:ascii="Verdana" w:eastAsia="Times New Roman" w:hAnsi="Verdana" w:cs="Times New Roman"/>
          <w:i/>
          <w:iCs/>
          <w:sz w:val="20"/>
          <w:szCs w:val="20"/>
          <w:lang w:val="es-ES"/>
        </w:rPr>
        <w:t xml:space="preserve"> de riesgo LA/FT/FP? </w:t>
      </w:r>
    </w:p>
    <w:p w14:paraId="34A5074F" w14:textId="77777777" w:rsidR="00BE3E00" w:rsidRPr="00753106" w:rsidRDefault="00BE3E00" w:rsidP="00BE3E00">
      <w:pPr>
        <w:spacing w:after="0" w:line="240" w:lineRule="auto"/>
        <w:ind w:left="709" w:right="709"/>
        <w:contextualSpacing/>
        <w:jc w:val="both"/>
        <w:rPr>
          <w:rFonts w:ascii="Verdana" w:eastAsia="Times New Roman" w:hAnsi="Verdana" w:cs="Times New Roman"/>
          <w:i/>
          <w:iCs/>
          <w:sz w:val="20"/>
          <w:szCs w:val="20"/>
          <w:lang w:val="es-ES"/>
        </w:rPr>
      </w:pPr>
      <w:r w:rsidRPr="00753106">
        <w:rPr>
          <w:rFonts w:ascii="Verdana" w:eastAsia="Times New Roman" w:hAnsi="Verdana" w:cs="Times New Roman"/>
          <w:i/>
          <w:iCs/>
          <w:sz w:val="20"/>
          <w:szCs w:val="20"/>
          <w:lang w:val="es-ES"/>
        </w:rPr>
        <w:t>4. ¿</w:t>
      </w:r>
      <w:proofErr w:type="spellStart"/>
      <w:r w:rsidRPr="00753106">
        <w:rPr>
          <w:rFonts w:ascii="Verdana" w:eastAsia="Times New Roman" w:hAnsi="Verdana" w:cs="Times New Roman"/>
          <w:i/>
          <w:iCs/>
          <w:sz w:val="20"/>
          <w:szCs w:val="20"/>
          <w:lang w:val="es-ES"/>
        </w:rPr>
        <w:t>Cómo</w:t>
      </w:r>
      <w:proofErr w:type="spellEnd"/>
      <w:r w:rsidRPr="00753106">
        <w:rPr>
          <w:rFonts w:ascii="Verdana" w:eastAsia="Times New Roman" w:hAnsi="Verdana" w:cs="Times New Roman"/>
          <w:i/>
          <w:iCs/>
          <w:sz w:val="20"/>
          <w:szCs w:val="20"/>
          <w:lang w:val="es-ES"/>
        </w:rPr>
        <w:t xml:space="preserve"> se delimita el alcance del enfoque basado en riesgos en la contratación pública, de manera que no se configure como una barrera de acceso injustificada ni como una </w:t>
      </w:r>
      <w:proofErr w:type="spellStart"/>
      <w:r w:rsidRPr="00753106">
        <w:rPr>
          <w:rFonts w:ascii="Verdana" w:eastAsia="Times New Roman" w:hAnsi="Verdana" w:cs="Times New Roman"/>
          <w:i/>
          <w:iCs/>
          <w:sz w:val="20"/>
          <w:szCs w:val="20"/>
          <w:lang w:val="es-ES"/>
        </w:rPr>
        <w:t>limitación</w:t>
      </w:r>
      <w:proofErr w:type="spellEnd"/>
      <w:r w:rsidRPr="00753106">
        <w:rPr>
          <w:rFonts w:ascii="Verdana" w:eastAsia="Times New Roman" w:hAnsi="Verdana" w:cs="Times New Roman"/>
          <w:i/>
          <w:iCs/>
          <w:sz w:val="20"/>
          <w:szCs w:val="20"/>
          <w:lang w:val="es-ES"/>
        </w:rPr>
        <w:t xml:space="preserve"> indebida a la </w:t>
      </w:r>
      <w:proofErr w:type="spellStart"/>
      <w:r w:rsidRPr="00753106">
        <w:rPr>
          <w:rFonts w:ascii="Verdana" w:eastAsia="Times New Roman" w:hAnsi="Verdana" w:cs="Times New Roman"/>
          <w:i/>
          <w:iCs/>
          <w:sz w:val="20"/>
          <w:szCs w:val="20"/>
          <w:lang w:val="es-ES"/>
        </w:rPr>
        <w:t>participación</w:t>
      </w:r>
      <w:proofErr w:type="spellEnd"/>
      <w:r w:rsidRPr="00753106">
        <w:rPr>
          <w:rFonts w:ascii="Verdana" w:eastAsia="Times New Roman" w:hAnsi="Verdana" w:cs="Times New Roman"/>
          <w:i/>
          <w:iCs/>
          <w:sz w:val="20"/>
          <w:szCs w:val="20"/>
          <w:lang w:val="es-ES"/>
        </w:rPr>
        <w:t xml:space="preserve"> de oferentes? […]”</w:t>
      </w:r>
    </w:p>
    <w:p w14:paraId="3A1637A5" w14:textId="77777777" w:rsidR="00BE3E00" w:rsidRPr="00753106" w:rsidRDefault="00BE3E00" w:rsidP="00BE3E00">
      <w:pPr>
        <w:spacing w:after="0"/>
        <w:ind w:left="709" w:right="709"/>
        <w:jc w:val="both"/>
        <w:rPr>
          <w:rFonts w:ascii="Verdana" w:eastAsia="Century Gothic" w:hAnsi="Verdana" w:cs="Century Gothic"/>
          <w:i/>
          <w:iCs/>
          <w:color w:val="000000" w:themeColor="text1"/>
          <w:sz w:val="20"/>
          <w:szCs w:val="20"/>
          <w:lang w:val="es-ES"/>
        </w:rPr>
      </w:pPr>
    </w:p>
    <w:p w14:paraId="01617589" w14:textId="77777777" w:rsidR="00BE3E00" w:rsidRPr="00753106" w:rsidRDefault="00BE3E00" w:rsidP="00BE3E00">
      <w:pPr>
        <w:spacing w:after="0" w:line="276" w:lineRule="auto"/>
        <w:contextualSpacing/>
        <w:jc w:val="both"/>
        <w:rPr>
          <w:rFonts w:ascii="Verdana" w:eastAsia="Calibri" w:hAnsi="Verdana" w:cs="Arial"/>
          <w:color w:val="000000" w:themeColor="text1"/>
          <w:szCs w:val="24"/>
          <w:lang w:val="es-ES" w:eastAsia="es-ES_tradnl"/>
        </w:rPr>
      </w:pPr>
      <w:r w:rsidRPr="00753106">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53106">
        <w:rPr>
          <w:rFonts w:ascii="Verdana" w:eastAsia="Calibri" w:hAnsi="Verdana" w:cs="Arial"/>
          <w:color w:val="000000" w:themeColor="text1"/>
          <w:szCs w:val="24"/>
          <w:lang w:val="es-ES" w:eastAsia="es-ES_tradnl"/>
        </w:rPr>
        <w:tab/>
      </w:r>
    </w:p>
    <w:p w14:paraId="12E6ABEA" w14:textId="77777777" w:rsidR="00BE3E00" w:rsidRPr="00753106" w:rsidRDefault="00BE3E00" w:rsidP="00BE3E00">
      <w:pPr>
        <w:spacing w:before="120" w:after="120" w:line="276" w:lineRule="auto"/>
        <w:ind w:firstLine="709"/>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365DEAC1" w14:textId="77777777" w:rsidR="00BE3E00" w:rsidRPr="00753106" w:rsidRDefault="00BE3E00" w:rsidP="00BE3E00">
      <w:pPr>
        <w:spacing w:after="0" w:line="276" w:lineRule="auto"/>
        <w:jc w:val="both"/>
        <w:rPr>
          <w:rFonts w:ascii="Verdana" w:eastAsia="Calibri" w:hAnsi="Verdana" w:cs="Arial"/>
          <w:color w:val="000000" w:themeColor="text1"/>
          <w:lang w:val="es-ES" w:eastAsia="es-ES"/>
        </w:rPr>
      </w:pPr>
    </w:p>
    <w:p w14:paraId="4C03BCAD" w14:textId="77777777" w:rsidR="00BE3E00" w:rsidRPr="00753106" w:rsidRDefault="00BE3E00" w:rsidP="00BE3E00">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Problema planteado:</w:t>
      </w:r>
    </w:p>
    <w:p w14:paraId="466A10D0" w14:textId="77777777" w:rsidR="00BE3E00" w:rsidRPr="00753106" w:rsidRDefault="00BE3E00" w:rsidP="00BE3E00">
      <w:pPr>
        <w:tabs>
          <w:tab w:val="left" w:pos="426"/>
        </w:tabs>
        <w:spacing w:after="0" w:line="276" w:lineRule="auto"/>
        <w:jc w:val="both"/>
        <w:rPr>
          <w:rFonts w:ascii="Verdana" w:eastAsia="Century Gothic" w:hAnsi="Verdana" w:cs="Century Gothic"/>
          <w:color w:val="000000" w:themeColor="text1"/>
          <w:lang w:val="es-ES"/>
        </w:rPr>
      </w:pPr>
    </w:p>
    <w:p w14:paraId="6E13DED7" w14:textId="77777777" w:rsidR="00BE3E00" w:rsidRPr="00753106" w:rsidRDefault="00BE3E00" w:rsidP="00BE3E00">
      <w:pPr>
        <w:spacing w:after="0" w:line="276" w:lineRule="auto"/>
        <w:jc w:val="both"/>
        <w:rPr>
          <w:rFonts w:ascii="Verdana" w:eastAsia="Century Gothic" w:hAnsi="Verdana" w:cs="Century Gothic"/>
          <w:color w:val="000000" w:themeColor="text1"/>
          <w:lang w:val="es-ES"/>
        </w:rPr>
      </w:pPr>
      <w:r w:rsidRPr="00753106">
        <w:rPr>
          <w:rFonts w:ascii="Verdana" w:eastAsia="Century Gothic" w:hAnsi="Verdana" w:cs="Century Gothic"/>
          <w:color w:val="000000" w:themeColor="text1"/>
          <w:lang w:val="es-ES"/>
        </w:rPr>
        <w:lastRenderedPageBreak/>
        <w:t xml:space="preserve">De acuerdo con el contenido de su solicitud, esta Agencia resolverá los siguientes problemas jurídicos: </w:t>
      </w:r>
      <w:r w:rsidRPr="00753106">
        <w:rPr>
          <w:rFonts w:ascii="Verdana" w:eastAsia="Century Gothic" w:hAnsi="Verdana" w:cs="Century Gothic"/>
          <w:lang w:val="es-ES"/>
        </w:rPr>
        <w:t xml:space="preserve">¿cuáles es el alcance de los mecanismos, instrumentos y metodologías que pueden implementar las Entidades Estatales con respecto a los riesgos </w:t>
      </w:r>
      <w:r w:rsidRPr="00753106">
        <w:rPr>
          <w:rFonts w:ascii="Verdana" w:eastAsia="Century Gothic" w:hAnsi="Verdana" w:cs="Century Gothic"/>
          <w:i/>
          <w:iCs/>
          <w:lang w:val="es-ES"/>
        </w:rPr>
        <w:t>LA/FT/FP</w:t>
      </w:r>
      <w:r w:rsidRPr="00753106">
        <w:rPr>
          <w:rFonts w:ascii="Verdana" w:eastAsia="Century Gothic" w:hAnsi="Verdana" w:cs="Century Gothic"/>
          <w:lang w:val="es-ES"/>
        </w:rPr>
        <w:t xml:space="preserve"> y listas restrictivas en el marco de sus procesos de contratación? </w:t>
      </w:r>
    </w:p>
    <w:p w14:paraId="0B58D1CC" w14:textId="77777777" w:rsidR="00BE3E00" w:rsidRPr="00753106" w:rsidRDefault="00BE3E00" w:rsidP="00BE3E00">
      <w:pPr>
        <w:spacing w:after="0" w:line="276" w:lineRule="auto"/>
        <w:jc w:val="both"/>
        <w:rPr>
          <w:rFonts w:ascii="Verdana" w:eastAsia="Calibri" w:hAnsi="Verdana" w:cs="Arial"/>
          <w:color w:val="000000" w:themeColor="text1"/>
          <w:lang w:val="es-ES"/>
        </w:rPr>
      </w:pPr>
    </w:p>
    <w:p w14:paraId="697543F7" w14:textId="77777777" w:rsidR="00BE3E00" w:rsidRPr="00753106" w:rsidRDefault="00BE3E00" w:rsidP="00BE3E0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Respuesta:</w:t>
      </w:r>
    </w:p>
    <w:p w14:paraId="52BD5829" w14:textId="77777777" w:rsidR="00BE3E00" w:rsidRPr="00753106" w:rsidRDefault="00BE3E00" w:rsidP="00BE3E00">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E3E00" w:rsidRPr="00753106" w14:paraId="44846637" w14:textId="77777777" w:rsidTr="00B25C04">
        <w:tc>
          <w:tcPr>
            <w:tcW w:w="8828" w:type="dxa"/>
          </w:tcPr>
          <w:p w14:paraId="44EBF948" w14:textId="77777777" w:rsidR="00BE3E00" w:rsidRPr="00753106" w:rsidRDefault="00BE3E00" w:rsidP="00B25C04">
            <w:pPr>
              <w:spacing w:before="120" w:after="120" w:line="276" w:lineRule="auto"/>
              <w:jc w:val="both"/>
              <w:rPr>
                <w:rFonts w:ascii="Verdana" w:eastAsia="Calibri" w:hAnsi="Verdana" w:cs="Arial"/>
                <w:color w:val="000000" w:themeColor="text1"/>
                <w:lang w:val="es-ES"/>
              </w:rPr>
            </w:pPr>
            <w:r w:rsidRPr="00753106">
              <w:rPr>
                <w:rFonts w:ascii="Verdana" w:eastAsia="Times New Roman" w:hAnsi="Verdana" w:cs="Arial"/>
                <w:color w:val="000000"/>
                <w:lang w:val="es-ES" w:eastAsia="es-ES_tradnl"/>
              </w:rPr>
              <w:t>Conforme a la interpretación general de las normas del sistema de compras y contratación pública, l</w:t>
            </w:r>
            <w:r w:rsidRPr="00753106">
              <w:rPr>
                <w:rFonts w:ascii="Verdana" w:eastAsia="Calibri" w:hAnsi="Verdana" w:cs="Arial"/>
                <w:color w:val="000000" w:themeColor="text1"/>
                <w:lang w:val="es-ES"/>
              </w:rPr>
              <w:t xml:space="preserve">a debida diligencia o verificación en listas vinculantes, restrictivas y no restrictivas es una acción fundamental al interior de todos los sistemas de gestión del riesgo de lavado de activos y financiación del terrorismo, pues se configura en la etapa de conocimiento del proveedor, así como en la vinculación del extremo contractual, satisfaciendo la necesidad de salvaguardar el interés general inherente en la contratación pública, de forma que implique el menor sacrificio posible al derecho de igualdad y al reconocimiento de la personalidad jurídica de quienes aspiran a contratar con el Estado. </w:t>
            </w:r>
          </w:p>
          <w:p w14:paraId="2BC71793" w14:textId="77777777" w:rsidR="00BE3E00" w:rsidRPr="00753106" w:rsidRDefault="00BE3E00" w:rsidP="00B25C04">
            <w:pPr>
              <w:spacing w:after="120" w:line="276" w:lineRule="auto"/>
              <w:ind w:firstLine="708"/>
              <w:jc w:val="both"/>
              <w:rPr>
                <w:rFonts w:ascii="Verdana" w:hAnsi="Verdana" w:cs="Arial"/>
                <w:color w:val="000000" w:themeColor="text1"/>
                <w:lang w:val="es-ES"/>
              </w:rPr>
            </w:pPr>
            <w:r w:rsidRPr="00753106">
              <w:rPr>
                <w:rFonts w:ascii="Verdana" w:hAnsi="Verdana"/>
                <w:lang w:val="es-ES"/>
              </w:rPr>
              <w:t xml:space="preserve">El carácter reconocidamente taxativo y restrictivo supone que las entidades no pueden establecer en el pliego de condiciones causales de inhabilidad o incompatibilidad no previstas en la Constitución o en la ley, ni siquiera haciéndolas pasar como causa para rechazar los ofrecimientos realizados. De forma similar, </w:t>
            </w:r>
            <w:r w:rsidRPr="00753106">
              <w:rPr>
                <w:rFonts w:ascii="Verdana" w:hAnsi="Verdana" w:cs="Arial"/>
                <w:color w:val="000000" w:themeColor="text1"/>
                <w:lang w:val="es-ES"/>
              </w:rPr>
              <w:t>dado que la terminación unilateral tiene regulación especial en los artículos 17 y 45 del EGCAP, estas causales aplicables son de interpretación restrictiva. Ya que ninguna de las causales de terminación unilateral o las potestades excepcionales establecidas en la Ley 80 de 1993 se relaciona con los controles derivados del SARLAFT o la inclusión en listas restrictivas internacionales, el ejercicio de la autonomía de la voluntad no permite a las entidades adicionar causales para estos supuestos.</w:t>
            </w:r>
          </w:p>
          <w:p w14:paraId="0FE022C5" w14:textId="77777777" w:rsidR="00BE3E00" w:rsidRPr="00753106" w:rsidRDefault="00BE3E00" w:rsidP="00B25C04">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Sin embargo, el alcance, oportunidad y metodología para el análisis del riesgo de lavado de activos y de la financiación del terrorismo en el marco de los procesos regidos por el EGCAP debe seguir</w:t>
            </w:r>
            <w:r w:rsidRPr="00753106">
              <w:rPr>
                <w:rFonts w:ascii="Verdana" w:eastAsia="Calibri" w:hAnsi="Verdana" w:cs="Arial"/>
                <w:i/>
                <w:iCs/>
                <w:lang w:val="es-ES"/>
              </w:rPr>
              <w:t xml:space="preserve"> las condiciones referidas por la Sala de Consulta y Servicio Civil en el Concepto del 27 de agosto de 2015</w:t>
            </w:r>
            <w:r w:rsidRPr="00753106">
              <w:rPr>
                <w:rFonts w:ascii="Verdana" w:eastAsia="Calibri" w:hAnsi="Verdana" w:cs="Arial"/>
                <w:lang w:val="es-ES"/>
              </w:rPr>
              <w:t xml:space="preserve">. Respecto al riesgo de corrupción, sumado a las medidas previstas en el artículo 9 del EGCAP y de la Ley 1150 de 2007, siempre que se configure el supuesto </w:t>
            </w:r>
            <w:r w:rsidRPr="00753106">
              <w:rPr>
                <w:rFonts w:ascii="Verdana" w:eastAsia="Calibri" w:hAnsi="Verdana" w:cs="Arial"/>
                <w:lang w:val="es-ES"/>
              </w:rPr>
              <w:lastRenderedPageBreak/>
              <w:t xml:space="preserve">de la inhabilidad del literal j) del artículo 8.1 de la Ley 80 de 1993, podrá aplicarse la causal de terminación unilateral del artículo 44.1 </w:t>
            </w:r>
            <w:r w:rsidRPr="00753106">
              <w:rPr>
                <w:rFonts w:ascii="Verdana" w:eastAsia="Calibri" w:hAnsi="Verdana" w:cs="Arial"/>
                <w:i/>
                <w:iCs/>
                <w:lang w:val="es-ES"/>
              </w:rPr>
              <w:t>ibidem</w:t>
            </w:r>
            <w:r w:rsidRPr="00753106">
              <w:rPr>
                <w:rFonts w:ascii="Verdana" w:eastAsia="Calibri" w:hAnsi="Verdana" w:cs="Arial"/>
                <w:lang w:val="es-ES"/>
              </w:rPr>
              <w:t>.</w:t>
            </w:r>
          </w:p>
          <w:p w14:paraId="24A2942B" w14:textId="77777777" w:rsidR="00BE3E00" w:rsidRPr="00753106" w:rsidRDefault="00BE3E00" w:rsidP="00B25C04">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Las entidades pueden, dentro del marco definido por el Consejo de Estado, incorporar en los estudios previos la tipificación de los riesgos de 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0C1AFCBB" w14:textId="77777777" w:rsidR="00BE3E00" w:rsidRPr="00753106" w:rsidRDefault="00BE3E00" w:rsidP="00B25C04">
            <w:pPr>
              <w:spacing w:after="120" w:line="276" w:lineRule="auto"/>
              <w:ind w:firstLine="708"/>
              <w:jc w:val="both"/>
              <w:rPr>
                <w:rFonts w:ascii="Verdana" w:eastAsia="Calibri" w:hAnsi="Verdana" w:cs="Arial"/>
                <w:lang w:val="es-ES"/>
              </w:rPr>
            </w:pPr>
            <w:r w:rsidRPr="00753106">
              <w:rPr>
                <w:rFonts w:ascii="Verdana" w:eastAsia="Calibri" w:hAnsi="Verdana" w:cs="Arial"/>
                <w:lang w:val="es-ES"/>
              </w:rPr>
              <w:t>Con lo anterior, la entidad puede determinar acciones y metodologías oportunas y apropiadas que resultan acordes con el principio de legalidad y de selección objetiva, pues las medidas establecidas por el Consejo de Estado incluyen la tipificación previa de los riesgos de corrupción y LA/FT; la consagración expresa de mecanismos de verificación en los documentos del proceso, como es el caso de exigir declaraciones de origen lícito de fondos, de beneficiario final o la suscripción de pactos de integridad; y la incorporación en el contrato de cláusulas para la gestión de dichos riesgos, como las condiciones resolutorias de carácter convencional que pueden pactar las partes con sustento en el principio de buena fe y el artículo 3 de la Ley 80 de 1993.</w:t>
            </w:r>
          </w:p>
          <w:p w14:paraId="025E53E0" w14:textId="0A107CF5" w:rsidR="00BE3E00" w:rsidRPr="00753106" w:rsidRDefault="00BE3E00" w:rsidP="00B25C04">
            <w:pPr>
              <w:spacing w:after="120" w:line="276" w:lineRule="auto"/>
              <w:ind w:firstLine="708"/>
              <w:jc w:val="both"/>
              <w:rPr>
                <w:rFonts w:ascii="Verdana" w:hAnsi="Verdana"/>
                <w:lang w:val="es-ES"/>
              </w:rPr>
            </w:pPr>
            <w:r w:rsidRPr="00753106">
              <w:rPr>
                <w:rFonts w:ascii="Verdana" w:eastAsia="Calibri" w:hAnsi="Verdana" w:cs="Arial"/>
                <w:lang w:val="es-ES"/>
              </w:rPr>
              <w:t>Finalmente,</w:t>
            </w:r>
            <w:r w:rsidR="007247E0">
              <w:rPr>
                <w:rFonts w:ascii="Verdana" w:eastAsia="Calibri" w:hAnsi="Verdana" w:cs="Arial"/>
                <w:lang w:val="es-ES"/>
              </w:rPr>
              <w:t xml:space="preserve"> </w:t>
            </w:r>
            <w:r w:rsidRPr="00753106">
              <w:rPr>
                <w:rFonts w:ascii="Verdana" w:eastAsia="Calibri" w:hAnsi="Verdana" w:cs="Arial"/>
                <w:lang w:val="es-ES"/>
              </w:rPr>
              <w:t>es importante resaltar que Colombia Compra Eficiente señaló en los Conceptos 415140001639 del 17 de junio de 2019, C-001</w:t>
            </w:r>
            <w:r w:rsidRPr="00753106">
              <w:rPr>
                <w:rFonts w:ascii="Verdana" w:eastAsia="Calibri" w:hAnsi="Verdana"/>
                <w:lang w:val="es-ES"/>
              </w:rPr>
              <w:t xml:space="preserve"> del 15 de enero de 2020, C-230 del 16 de abril de 2020, C-684 del 24 de noviembre de 2020, C-958 del 13 de febrero de 2023, </w:t>
            </w:r>
            <w:r w:rsidRPr="00753106">
              <w:rPr>
                <w:rFonts w:ascii="Verdana" w:eastAsia="Calibri" w:hAnsi="Verdana" w:cs="Arial"/>
                <w:lang w:val="es-ES"/>
              </w:rPr>
              <w:t>C–279 del 27 de marzo de 2025, C-1080 del 16 de septiembre de 2025 y C-1449 del 19 de noviembre de 2025</w:t>
            </w:r>
            <w:r w:rsidRPr="00753106">
              <w:rPr>
                <w:rFonts w:ascii="Verdana" w:eastAsia="Calibri" w:hAnsi="Verdana"/>
                <w:lang w:val="es-ES"/>
              </w:rPr>
              <w:t xml:space="preserve"> </w:t>
            </w:r>
            <w:r w:rsidRPr="00753106">
              <w:rPr>
                <w:rFonts w:ascii="Verdana" w:eastAsia="Calibri" w:hAnsi="Verdana"/>
                <w:lang w:val="es-ES"/>
              </w:rPr>
              <w:lastRenderedPageBreak/>
              <w:t xml:space="preserve">que la inclusión en la Lista Clinton o los controles del SARLAFT no derivan inhabilidades o incompatibilidades, y que estás no pueden camuflarse como causales de rechazo en los pliegos de condiciones o documentos equivalentes. Asimismo, </w:t>
            </w:r>
            <w:r w:rsidRPr="00753106">
              <w:rPr>
                <w:rFonts w:ascii="Verdana" w:eastAsia="Calibri" w:hAnsi="Verdana" w:cs="Arial"/>
                <w:lang w:val="es-ES"/>
              </w:rPr>
              <w:t>se ha pronunciado sobre las causales de rechazo y la terminación unilateral frente al riesgo de lavado de activos en los conceptos C-419 del 27 de octubre de 2023 y C-494 del 12 de noviembre de 2024</w:t>
            </w:r>
            <w:r w:rsidRPr="00753106">
              <w:rPr>
                <w:rFonts w:ascii="Verdana" w:eastAsia="Calibri" w:hAnsi="Verdana"/>
                <w:lang w:val="es-ES"/>
              </w:rPr>
              <w:t>. Sin perjuicio de lo anterior, esta Agencia no ha emitido circulares, guías o manuales específicos que determinen lineamientos sobre la consulta de listas restrictivas en el marco de procedimientos de compliance o debida diligencia en materia de contratación estatal.</w:t>
            </w:r>
          </w:p>
          <w:p w14:paraId="77C465DA" w14:textId="77777777" w:rsidR="00BE3E00" w:rsidRPr="00753106" w:rsidRDefault="00BE3E00" w:rsidP="00B25C04">
            <w:pPr>
              <w:widowControl w:val="0"/>
              <w:autoSpaceDE w:val="0"/>
              <w:autoSpaceDN w:val="0"/>
              <w:spacing w:before="120" w:after="120" w:line="276" w:lineRule="auto"/>
              <w:ind w:firstLine="708"/>
              <w:jc w:val="both"/>
              <w:rPr>
                <w:rFonts w:ascii="Verdana" w:eastAsia="Arial" w:hAnsi="Verdana" w:cs="Arial"/>
                <w:color w:val="000000"/>
                <w:lang w:val="es-ES"/>
              </w:rPr>
            </w:pPr>
            <w:r w:rsidRPr="00753106">
              <w:rPr>
                <w:rStyle w:val="s15"/>
                <w:rFonts w:ascii="Verdana" w:hAnsi="Verdana"/>
                <w:color w:val="000000"/>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w:t>
            </w:r>
            <w:r w:rsidRPr="00753106">
              <w:rPr>
                <w:rStyle w:val="apple-converted-space"/>
                <w:rFonts w:ascii="Verdana" w:hAnsi="Verdana"/>
                <w:color w:val="000000"/>
                <w:lang w:val="es-ES"/>
              </w:rPr>
              <w:t> </w:t>
            </w:r>
            <w:r w:rsidRPr="00753106">
              <w:rPr>
                <w:rStyle w:val="s15"/>
                <w:rFonts w:ascii="Verdana" w:hAnsi="Verdana"/>
                <w:color w:val="000000"/>
                <w:lang w:val="es-ES"/>
              </w:rPr>
              <w:t>Por lo anterior, previo</w:t>
            </w:r>
            <w:r w:rsidRPr="00753106">
              <w:rPr>
                <w:rStyle w:val="apple-converted-space"/>
                <w:rFonts w:ascii="Verdana" w:hAnsi="Verdana"/>
                <w:color w:val="000000"/>
                <w:lang w:val="es-ES"/>
              </w:rPr>
              <w:t> </w:t>
            </w:r>
            <w:r w:rsidRPr="00753106">
              <w:rPr>
                <w:rStyle w:val="s15"/>
                <w:rFonts w:ascii="Verdana" w:hAnsi="Verdana"/>
                <w:color w:val="000000"/>
                <w:lang w:val="es-ES"/>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6522CDD" w14:textId="77777777" w:rsidR="00BE3E00" w:rsidRPr="00753106" w:rsidRDefault="00BE3E00" w:rsidP="00BE3E00">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398FEECE" w14:textId="77777777" w:rsidR="00BE3E00" w:rsidRPr="00753106" w:rsidRDefault="00BE3E00" w:rsidP="00BE3E0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Razones de la respuesta:</w:t>
      </w:r>
    </w:p>
    <w:p w14:paraId="61C92A7A" w14:textId="77777777" w:rsidR="00BE3E00" w:rsidRPr="00753106" w:rsidRDefault="00BE3E00" w:rsidP="00BE3E00">
      <w:pPr>
        <w:spacing w:after="0" w:line="276" w:lineRule="auto"/>
        <w:jc w:val="both"/>
        <w:rPr>
          <w:rFonts w:ascii="Verdana" w:eastAsia="Calibri" w:hAnsi="Verdana" w:cs="Arial"/>
          <w:color w:val="000000" w:themeColor="text1"/>
          <w:lang w:val="es-ES"/>
        </w:rPr>
      </w:pPr>
    </w:p>
    <w:p w14:paraId="7D6F7BC2" w14:textId="77777777" w:rsidR="00BE3E00" w:rsidRPr="00753106" w:rsidRDefault="00BE3E00" w:rsidP="00BE3E00">
      <w:pPr>
        <w:spacing w:after="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Lo anterior se sustenta en las siguientes consideraciones: </w:t>
      </w:r>
    </w:p>
    <w:p w14:paraId="38EBC1D4" w14:textId="77777777" w:rsidR="00BE3E00" w:rsidRPr="00753106" w:rsidRDefault="00BE3E00" w:rsidP="00BE3E00">
      <w:pPr>
        <w:spacing w:after="0" w:line="276" w:lineRule="auto"/>
        <w:jc w:val="both"/>
        <w:rPr>
          <w:rFonts w:ascii="Verdana" w:eastAsia="Calibri" w:hAnsi="Verdana" w:cs="Arial"/>
          <w:lang w:val="es-ES"/>
        </w:rPr>
      </w:pPr>
    </w:p>
    <w:p w14:paraId="4777C1B3" w14:textId="77777777" w:rsidR="00BE3E00" w:rsidRPr="00753106" w:rsidRDefault="00BE3E00" w:rsidP="00BE3E00">
      <w:pPr>
        <w:spacing w:after="120" w:line="276" w:lineRule="auto"/>
        <w:jc w:val="both"/>
        <w:rPr>
          <w:rFonts w:ascii="Verdana" w:eastAsia="Calibri" w:hAnsi="Verdana" w:cs="Arial"/>
          <w:color w:val="000000" w:themeColor="text1"/>
          <w:lang w:val="es-ES"/>
        </w:rPr>
      </w:pPr>
      <w:r w:rsidRPr="00753106">
        <w:rPr>
          <w:rFonts w:ascii="Verdana" w:eastAsia="Calibri" w:hAnsi="Verdana" w:cs="Arial"/>
          <w:lang w:val="es-ES"/>
        </w:rPr>
        <w:t>i.</w:t>
      </w:r>
      <w:r w:rsidRPr="00753106">
        <w:rPr>
          <w:rFonts w:ascii="Verdana" w:eastAsia="Calibri" w:hAnsi="Verdana" w:cs="Arial"/>
          <w:color w:val="000000" w:themeColor="text1"/>
          <w:lang w:val="es-ES"/>
        </w:rPr>
        <w:t xml:space="preserve"> La debida diligencia o verificación en listas vinculantes, restrictivas y no restrictivas es una acción fundamental al interior de todos los </w:t>
      </w:r>
      <w:r w:rsidRPr="00753106">
        <w:rPr>
          <w:rFonts w:ascii="Verdana" w:eastAsia="Calibri" w:hAnsi="Verdana" w:cs="Arial"/>
          <w:i/>
          <w:iCs/>
          <w:color w:val="000000" w:themeColor="text1"/>
          <w:lang w:val="es-ES"/>
        </w:rPr>
        <w:t>sistemas de gestión del riesgo de lavado de activos y financiación del terrorismo</w:t>
      </w:r>
      <w:r w:rsidRPr="00753106">
        <w:rPr>
          <w:rFonts w:ascii="Verdana" w:eastAsia="Calibri" w:hAnsi="Verdana" w:cs="Arial"/>
          <w:color w:val="000000" w:themeColor="text1"/>
          <w:lang w:val="es-ES"/>
        </w:rPr>
        <w:t>, pues se configura en la etapa de conocimiento del proveedor, así como en la vinculación del extremo contractual, satisfaciendo la necesidad de salvaguardar el interés general inherente en la contratación pública, de forma que implique el menor sacrificio posible al derecho de igualdad y al reconocimiento de la personalidad jurídica de quienes aspiran a contratar con el Estado.</w:t>
      </w:r>
    </w:p>
    <w:p w14:paraId="584EC824" w14:textId="77777777" w:rsidR="00BE3E00" w:rsidRPr="00753106" w:rsidRDefault="00BE3E00" w:rsidP="00BE3E00">
      <w:pPr>
        <w:spacing w:after="120" w:line="276" w:lineRule="auto"/>
        <w:ind w:firstLine="709"/>
        <w:jc w:val="both"/>
        <w:rPr>
          <w:rFonts w:ascii="Verdana" w:eastAsia="Calibri" w:hAnsi="Verdana" w:cs="Arial"/>
          <w:color w:val="000000" w:themeColor="text1"/>
          <w:lang w:val="es-ES"/>
        </w:rPr>
      </w:pPr>
      <w:r w:rsidRPr="00753106">
        <w:rPr>
          <w:rFonts w:ascii="Verdana" w:hAnsi="Verdana" w:cs="Arial"/>
          <w:color w:val="000000" w:themeColor="text1"/>
          <w:lang w:val="es-ES"/>
        </w:rPr>
        <w:t xml:space="preserve">Con respecto </w:t>
      </w:r>
      <w:r w:rsidRPr="00753106">
        <w:rPr>
          <w:rFonts w:ascii="Verdana" w:hAnsi="Verdana"/>
          <w:lang w:val="es-ES"/>
        </w:rPr>
        <w:t>al riesgo de lavado de activos en los procesos de contratación</w:t>
      </w:r>
      <w:r w:rsidRPr="00753106">
        <w:rPr>
          <w:rFonts w:ascii="Verdana" w:hAnsi="Verdana"/>
          <w:i/>
          <w:iCs/>
          <w:lang w:val="es-ES"/>
        </w:rPr>
        <w:t xml:space="preserve">, </w:t>
      </w:r>
      <w:r w:rsidRPr="00753106">
        <w:rPr>
          <w:rFonts w:ascii="Verdana" w:eastAsia="Calibri" w:hAnsi="Verdana" w:cs="Arial"/>
          <w:color w:val="000000" w:themeColor="text1"/>
          <w:lang w:val="es-ES"/>
        </w:rPr>
        <w:t xml:space="preserve">la Ley 526 de 1999, modificada por las Leyes 1121 de 2006, 1621 </w:t>
      </w:r>
      <w:r w:rsidRPr="00753106">
        <w:rPr>
          <w:rFonts w:ascii="Verdana" w:eastAsia="Calibri" w:hAnsi="Verdana" w:cs="Arial"/>
          <w:color w:val="000000" w:themeColor="text1"/>
          <w:lang w:val="es-ES"/>
        </w:rPr>
        <w:lastRenderedPageBreak/>
        <w:t xml:space="preserve">de 2012 y 1762 de 2015, creó la </w:t>
      </w:r>
      <w:bookmarkStart w:id="1" w:name="_Hlk56670371"/>
      <w:r w:rsidRPr="00753106">
        <w:rPr>
          <w:rFonts w:ascii="Verdana" w:eastAsia="Calibri" w:hAnsi="Verdana" w:cs="Arial"/>
          <w:color w:val="000000" w:themeColor="text1"/>
          <w:lang w:val="es-ES"/>
        </w:rPr>
        <w:t>Unidad de Información y Análisis Financiero</w:t>
      </w:r>
      <w:bookmarkEnd w:id="1"/>
      <w:r w:rsidRPr="00753106">
        <w:rPr>
          <w:rFonts w:ascii="Verdana" w:eastAsia="Calibri" w:hAnsi="Verdana" w:cs="Arial"/>
          <w:color w:val="000000" w:themeColor="text1"/>
          <w:lang w:val="es-ES"/>
        </w:rPr>
        <w:t xml:space="preserve"> –UIAF– adscrita al Ministerio de Hacienda y Crédito Público, con el propósito de detectar prácticas asociadas con el lavado de activos, financiación del terrorismo y las conductas relacionadas con la defraudación en materia aduanera. Adicionalmente, el artículo 2 del Decreto 1497 de 2002, actualmente compilado en el Decreto Único Reglamentario 1068 de 2015 del sector Hacienda y Crédito Público, dispuso que las entidades públicas y privadas, incluso, las pertenecientes a sectores diferentes al financiero, asegurador y bursátil, están obligadas reportar operaciones sospechosas a la UIAF. </w:t>
      </w:r>
    </w:p>
    <w:p w14:paraId="6160FE4B"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Dentro de este contexto,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753106">
        <w:rPr>
          <w:rFonts w:ascii="Verdana" w:eastAsia="Calibri" w:hAnsi="Verdana" w:cs="Arial"/>
          <w:color w:val="000000" w:themeColor="text1"/>
          <w:lang w:val="es-ES"/>
        </w:rPr>
        <w:t>ii</w:t>
      </w:r>
      <w:proofErr w:type="spellEnd"/>
      <w:r w:rsidRPr="00753106">
        <w:rPr>
          <w:rFonts w:ascii="Verdana" w:eastAsia="Calibri" w:hAnsi="Verdana" w:cs="Arial"/>
          <w:color w:val="000000" w:themeColor="text1"/>
          <w:lang w:val="es-ES"/>
        </w:rPr>
        <w:t>) canalizar recursos hacia la realización de actividades terroristas. Con este fin, en desarrollo de los dispuesto en los artículos 102 y subsiguientes del Decreto Ley 663 de 1993, Estatuto Orgánico del Sistema Financiero, así como lo dispuesto en el artículo 22 de la Ley 964 de 2005, la Superintendencia determina los criterios y parámetros mínimos que las entidades vigiladas deben atender en el diseño, implementación y funcionamiento del mencionado sistema</w:t>
      </w:r>
      <w:r w:rsidRPr="00753106">
        <w:rPr>
          <w:rStyle w:val="FootnoteReference"/>
          <w:rFonts w:ascii="Verdana" w:eastAsia="Calibri" w:hAnsi="Verdana" w:cs="Arial"/>
          <w:color w:val="000000" w:themeColor="text1"/>
          <w:lang w:val="es-ES"/>
        </w:rPr>
        <w:footnoteReference w:id="2"/>
      </w:r>
      <w:r w:rsidRPr="00753106">
        <w:rPr>
          <w:rFonts w:ascii="Verdana" w:eastAsia="Calibri" w:hAnsi="Verdana" w:cs="Arial"/>
          <w:color w:val="000000" w:themeColor="text1"/>
          <w:lang w:val="es-ES"/>
        </w:rPr>
        <w:t xml:space="preserve">. </w:t>
      </w:r>
    </w:p>
    <w:p w14:paraId="61086EB1" w14:textId="77777777" w:rsidR="00BE3E00" w:rsidRPr="00753106" w:rsidRDefault="00BE3E00" w:rsidP="00BE3E00">
      <w:pPr>
        <w:spacing w:before="120"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Bajo dicho marco, las entidades deben implementar sistemas para prevenir el riesgo de que se introduzcan al sistema financiero recursos provenientes de actividades relacionadas con el lavado de activos y/o financiación del terrorismo (LA/FT), así como detectar y reportar las operaciones cuyo propósito sea dar apariencia de legalidad a operaciones vinculadas al LA/FT.</w:t>
      </w:r>
    </w:p>
    <w:p w14:paraId="1B8B6846" w14:textId="77777777" w:rsidR="00BE3E00" w:rsidRPr="00753106" w:rsidRDefault="00BE3E00" w:rsidP="00BE3E00">
      <w:pPr>
        <w:spacing w:before="120"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En particular, para prevenir el riesgo de corrupción y de delitos derivados de la celebración de contratos estatales, esta Agencia ha señalado que las entidades contratantes –tanto las sometidas como exceptuadas de la Ley 80 de </w:t>
      </w:r>
      <w:r w:rsidRPr="00753106">
        <w:rPr>
          <w:rFonts w:ascii="Verdana" w:eastAsia="Calibri" w:hAnsi="Verdana" w:cs="Arial"/>
          <w:color w:val="000000" w:themeColor="text1"/>
          <w:lang w:val="es-ES"/>
        </w:rPr>
        <w:lastRenderedPageBreak/>
        <w:t xml:space="preserve">1993– cuentan con las siguientes opciones, conforme a los parámetros fijados por la </w:t>
      </w:r>
      <w:bookmarkStart w:id="2" w:name="_Hlk148964958"/>
      <w:r w:rsidRPr="00753106">
        <w:rPr>
          <w:rFonts w:ascii="Verdana" w:eastAsia="Calibri" w:hAnsi="Verdana" w:cs="Arial"/>
          <w:color w:val="000000" w:themeColor="text1"/>
          <w:lang w:val="es-ES"/>
        </w:rPr>
        <w:t>Sala de Consulta y Servicio Civil del Consejo de Estado</w:t>
      </w:r>
      <w:bookmarkEnd w:id="2"/>
      <w:r w:rsidRPr="00753106">
        <w:rPr>
          <w:rFonts w:ascii="Verdana" w:eastAsia="Calibri" w:hAnsi="Verdana" w:cs="Arial"/>
          <w:color w:val="000000" w:themeColor="text1"/>
          <w:lang w:val="es-ES"/>
        </w:rPr>
        <w:t xml:space="preserve">: </w:t>
      </w:r>
    </w:p>
    <w:p w14:paraId="4E2C1574"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p>
    <w:p w14:paraId="0C3FDCAF" w14:textId="77777777" w:rsidR="00BE3E00" w:rsidRPr="00753106" w:rsidRDefault="00BE3E00" w:rsidP="00BE3E00">
      <w:pPr>
        <w:spacing w:after="12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1. En los </w:t>
      </w:r>
      <w:r w:rsidRPr="00753106">
        <w:rPr>
          <w:rFonts w:ascii="Verdana" w:eastAsia="Calibri" w:hAnsi="Verdana" w:cs="Arial"/>
          <w:i/>
          <w:iCs/>
          <w:color w:val="000000" w:themeColor="text1"/>
          <w:lang w:val="es-ES"/>
        </w:rPr>
        <w:t>estudios previos</w:t>
      </w:r>
      <w:r w:rsidRPr="00753106">
        <w:rPr>
          <w:rFonts w:ascii="Verdana" w:eastAsia="Calibri" w:hAnsi="Verdana" w:cs="Arial"/>
          <w:color w:val="000000" w:themeColor="text1"/>
          <w:lang w:val="es-ES"/>
        </w:rPr>
        <w:t xml:space="preserve"> que sustentan la contratación: </w:t>
      </w:r>
    </w:p>
    <w:p w14:paraId="0901DB60" w14:textId="77777777" w:rsidR="00BE3E00" w:rsidRPr="00753106" w:rsidRDefault="00BE3E00" w:rsidP="00D10120">
      <w:pPr>
        <w:snapToGrid w:val="0"/>
        <w:spacing w:after="0" w:line="276" w:lineRule="auto"/>
        <w:ind w:firstLine="709"/>
        <w:contextualSpacing/>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a) Tipificar, estimar y asignar los riesgos para prevenir actos de corrupción; </w:t>
      </w:r>
    </w:p>
    <w:p w14:paraId="2749B563" w14:textId="77777777" w:rsidR="00BE3E00" w:rsidRPr="00753106" w:rsidRDefault="00BE3E00" w:rsidP="00D10120">
      <w:pPr>
        <w:snapToGrid w:val="0"/>
        <w:spacing w:after="0" w:line="276" w:lineRule="auto"/>
        <w:ind w:firstLine="709"/>
        <w:contextualSpacing/>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b) Contemplar las medidas tendientes a verificar las calidades de los proponentes o futuros contratistas;</w:t>
      </w:r>
    </w:p>
    <w:p w14:paraId="51C063B1"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p>
    <w:p w14:paraId="5CBD5723" w14:textId="77777777" w:rsidR="00BE3E00" w:rsidRPr="00753106" w:rsidRDefault="00BE3E00" w:rsidP="00BE3E00">
      <w:pPr>
        <w:spacing w:after="12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2. En los pliegos de condiciones y como parte integrante de la oferta: </w:t>
      </w:r>
    </w:p>
    <w:p w14:paraId="66C4D1BF" w14:textId="77777777" w:rsidR="00BE3E00" w:rsidRPr="00753106" w:rsidRDefault="00BE3E00" w:rsidP="00D10120">
      <w:pPr>
        <w:snapToGrid w:val="0"/>
        <w:spacing w:after="0" w:line="276" w:lineRule="auto"/>
        <w:ind w:firstLine="709"/>
        <w:contextualSpacing/>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a) Exigir la suscripción de “pactos o compromisos de integridad” y de la “declaración de origen de fondos”; </w:t>
      </w:r>
    </w:p>
    <w:p w14:paraId="27AF8C24" w14:textId="77777777" w:rsidR="00BE3E00" w:rsidRPr="00753106" w:rsidRDefault="00BE3E00" w:rsidP="00D10120">
      <w:pPr>
        <w:snapToGrid w:val="0"/>
        <w:spacing w:after="0" w:line="276" w:lineRule="auto"/>
        <w:ind w:firstLine="709"/>
        <w:contextualSpacing/>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b) Identificar plenamente al proponente y verificar los datos pertinentes, de acuerdo con la prerrogativa de la entidad, y </w:t>
      </w:r>
    </w:p>
    <w:p w14:paraId="14A00F4E" w14:textId="77777777" w:rsidR="00BE3E00" w:rsidRPr="00753106" w:rsidRDefault="00BE3E00" w:rsidP="00D10120">
      <w:pPr>
        <w:snapToGrid w:val="0"/>
        <w:spacing w:after="0" w:line="276" w:lineRule="auto"/>
        <w:ind w:firstLine="709"/>
        <w:contextualSpacing/>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c) Señalar expresamente que uno de los riesgos asociados al contrato es el de corrupción, el cual se relaciona directamente con el riesgo financiero y, en consecuencia, exigir garantías suficientes que permitan mantener cubierta a la entidad en relación con este riesgo;</w:t>
      </w:r>
    </w:p>
    <w:p w14:paraId="5B77EF16"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p>
    <w:p w14:paraId="231C1156"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3. En las cláusulas contractuales: </w:t>
      </w:r>
    </w:p>
    <w:p w14:paraId="06D1CAC4"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a) Incorporar la obligación a cargo del contratista de reportar periódicamente su información societaria, financiera y comercial, así como la modificación del estado de los mencionados riesgos; </w:t>
      </w:r>
    </w:p>
    <w:p w14:paraId="5E29F965" w14:textId="77777777" w:rsidR="00D10120" w:rsidRDefault="00BE3E00" w:rsidP="00D1012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y</w:t>
      </w:r>
    </w:p>
    <w:p w14:paraId="2A28F211" w14:textId="6DAE98D4" w:rsidR="00BE3E00" w:rsidRPr="00753106" w:rsidRDefault="00BE3E00" w:rsidP="00D1012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c) Estipular multas en los términos expuestos en este concepto</w:t>
      </w:r>
      <w:r w:rsidRPr="00753106">
        <w:rPr>
          <w:rStyle w:val="FootnoteReference"/>
          <w:rFonts w:ascii="Verdana" w:eastAsia="Calibri" w:hAnsi="Verdana" w:cs="Arial"/>
          <w:color w:val="000000" w:themeColor="text1"/>
          <w:lang w:val="es-ES"/>
        </w:rPr>
        <w:footnoteReference w:id="3"/>
      </w:r>
      <w:r w:rsidRPr="00753106">
        <w:rPr>
          <w:rFonts w:ascii="Verdana" w:eastAsia="Calibri" w:hAnsi="Verdana" w:cs="Arial"/>
          <w:color w:val="000000" w:themeColor="text1"/>
          <w:lang w:val="es-ES"/>
        </w:rPr>
        <w:t>.</w:t>
      </w:r>
    </w:p>
    <w:p w14:paraId="7FDB4140" w14:textId="77777777" w:rsidR="00BE3E00" w:rsidRPr="00753106" w:rsidRDefault="00BE3E00" w:rsidP="00BE3E00">
      <w:pPr>
        <w:spacing w:after="0" w:line="276" w:lineRule="auto"/>
        <w:ind w:left="709" w:right="709"/>
        <w:jc w:val="both"/>
        <w:rPr>
          <w:rFonts w:ascii="Verdana" w:eastAsia="Calibri" w:hAnsi="Verdana" w:cs="Arial"/>
          <w:color w:val="000000" w:themeColor="text1"/>
          <w:lang w:val="es-ES"/>
        </w:rPr>
      </w:pPr>
    </w:p>
    <w:p w14:paraId="1963349B" w14:textId="77777777" w:rsidR="00BE3E00" w:rsidRPr="00753106" w:rsidRDefault="00BE3E00" w:rsidP="00BE3E00">
      <w:pPr>
        <w:spacing w:after="120" w:line="276" w:lineRule="auto"/>
        <w:ind w:firstLine="709"/>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lastRenderedPageBreak/>
        <w:t xml:space="preserve">En virtud de lo anterior, puede concluirse que el SARLAFT constituye una </w:t>
      </w:r>
      <w:r w:rsidRPr="00753106">
        <w:rPr>
          <w:rFonts w:ascii="Verdana" w:eastAsia="Calibri" w:hAnsi="Verdana" w:cs="Arial"/>
          <w:i/>
          <w:iCs/>
          <w:color w:val="000000" w:themeColor="text1"/>
          <w:lang w:val="es-ES"/>
        </w:rPr>
        <w:t>política de manejo del riesgo</w:t>
      </w:r>
      <w:r w:rsidRPr="00753106">
        <w:rPr>
          <w:rFonts w:ascii="Verdana" w:eastAsia="Calibri" w:hAnsi="Verdana" w:cs="Arial"/>
          <w:color w:val="000000" w:themeColor="text1"/>
          <w:lang w:val="es-ES"/>
        </w:rPr>
        <w:t xml:space="preserve">, en el marco de los procesos de debida diligencia, la cual hace referencia a una validación establecida en la gestión interna del riesgo crítico de la organización, donde se busca el aseguramiento en las relaciones contractuales con sus contrapartes. Dicho aseguramiento se busca en materia de prevención de los riesgos asociados al lavado de activos, financiación del terrorismo y la proliferación de armas de destrucción masiva, donde las compañías están expuestas a los riesgos de reputación, legales, operacionales y de contagio que afectarían ostensiblemente cualquier organización y la continuidad en la ejecución de una actividad contractual. </w:t>
      </w:r>
    </w:p>
    <w:p w14:paraId="0DE5D7A2"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Sin perjuicio de otras medidas que adopte la entidad que adelanta el proceso de selección, el alcance, oportunidad y metodología para el análisis de los riesgos en comento en el marco de los procesos de contratación pública debe seguir</w:t>
      </w:r>
      <w:r w:rsidRPr="00753106">
        <w:rPr>
          <w:rFonts w:ascii="Verdana" w:eastAsia="Calibri" w:hAnsi="Verdana" w:cs="Arial"/>
          <w:i/>
          <w:iCs/>
          <w:lang w:val="es-ES"/>
        </w:rPr>
        <w:t xml:space="preserve"> las condiciones antes referidas por la Sala de Consulta y Servicio Civil en el Concepto del 27 de agosto de 2015</w:t>
      </w:r>
      <w:r w:rsidRPr="00753106">
        <w:rPr>
          <w:rFonts w:ascii="Verdana" w:eastAsia="Calibri" w:hAnsi="Verdana" w:cs="Arial"/>
          <w:lang w:val="es-ES"/>
        </w:rPr>
        <w:t xml:space="preserve">. Sin embargo, y en atención a su consulta, es importante resaltar que ninguna de las medidas que sugiere el Consejo de Estado incluye la consagración de causales de rechazo con tintes habilitantes, ni la posibilidad de terminar unilateralmente los contratos o ejercer facultades exorbitantes. Respecto al riesgo de corrupción, sumado a las medidas previstas en el artículo 9 del EGCAP y de la Ley 1150 de 2007, siempre que se configure el supuesto de la inhabilidad del literal j) del artículo 8.1 de la Ley 80 de 1993, podrá aplicarse la causal de terminación unilateral del artículo 44.1 </w:t>
      </w:r>
      <w:r w:rsidRPr="00753106">
        <w:rPr>
          <w:rFonts w:ascii="Verdana" w:eastAsia="Calibri" w:hAnsi="Verdana" w:cs="Arial"/>
          <w:i/>
          <w:iCs/>
          <w:lang w:val="es-ES"/>
        </w:rPr>
        <w:t>ibidem</w:t>
      </w:r>
      <w:r w:rsidRPr="00753106">
        <w:rPr>
          <w:rFonts w:ascii="Verdana" w:eastAsia="Calibri" w:hAnsi="Verdana" w:cs="Arial"/>
          <w:lang w:val="es-ES"/>
        </w:rPr>
        <w:t xml:space="preserve">. </w:t>
      </w:r>
    </w:p>
    <w:p w14:paraId="458E139B" w14:textId="77777777" w:rsidR="00BE3E00" w:rsidRPr="00753106" w:rsidRDefault="00BE3E00" w:rsidP="00BE3E00">
      <w:pPr>
        <w:spacing w:after="120" w:line="276" w:lineRule="auto"/>
        <w:ind w:firstLine="709"/>
        <w:jc w:val="both"/>
        <w:rPr>
          <w:rFonts w:ascii="Verdana" w:hAnsi="Verdana" w:cs="Arial"/>
          <w:color w:val="000000" w:themeColor="text1"/>
          <w:lang w:val="es-ES"/>
        </w:rPr>
      </w:pPr>
      <w:r w:rsidRPr="00753106">
        <w:rPr>
          <w:rFonts w:ascii="Verdana" w:eastAsia="Calibri" w:hAnsi="Verdana" w:cs="Arial"/>
          <w:lang w:val="es-ES"/>
        </w:rPr>
        <w:t>E</w:t>
      </w:r>
      <w:r w:rsidRPr="00753106">
        <w:rPr>
          <w:rFonts w:ascii="Verdana" w:hAnsi="Verdana"/>
          <w:lang w:val="es-ES"/>
        </w:rPr>
        <w:t xml:space="preserve">l carácter reconocidamente taxativo y restrictivo de régimen de inhabilidades implica que las entidades públicas no pueden establecer en el pliego de condiciones causales de inhabilidad o incompatibilidad no previstas en la Constitución o en la ley. En consecuencia, al tratarse de una materia que tiene reserva legal, no es posible que una entidad establezca nuevas causales que afecten la capacidad para contratar con el Estado que se encuentren relacionadas con el tema objeto de consulta, ni siquiera haciéndolas pasar como causa para rechazar los ofrecimientos realizados. </w:t>
      </w:r>
    </w:p>
    <w:p w14:paraId="7692EC29" w14:textId="77777777" w:rsidR="00BE3E00" w:rsidRPr="00753106" w:rsidRDefault="00BE3E00" w:rsidP="00BE3E00">
      <w:pPr>
        <w:spacing w:after="120" w:line="276" w:lineRule="auto"/>
        <w:ind w:firstLine="709"/>
        <w:jc w:val="both"/>
        <w:rPr>
          <w:rFonts w:ascii="Verdana" w:hAnsi="Verdana" w:cs="Arial"/>
          <w:color w:val="000000" w:themeColor="text1"/>
          <w:lang w:val="es-ES"/>
        </w:rPr>
      </w:pPr>
      <w:r w:rsidRPr="00753106">
        <w:rPr>
          <w:rFonts w:ascii="Verdana" w:hAnsi="Verdana"/>
          <w:lang w:val="es-ES"/>
        </w:rPr>
        <w:t xml:space="preserve">Tampoco podrán proceder a la terminación unilateral del contrato con ocasión a la inclusión del contratista en listas restrictivas, teniendo en cuenta que este supuesto no fue contemplado en </w:t>
      </w:r>
      <w:r w:rsidRPr="00753106">
        <w:rPr>
          <w:rFonts w:ascii="Verdana" w:hAnsi="Verdana" w:cs="Arial"/>
          <w:color w:val="000000" w:themeColor="text1"/>
          <w:lang w:val="es-ES"/>
        </w:rPr>
        <w:t xml:space="preserve">los artículos 17 y 45 del EGCAP. El artículo 17 de la Ley 80 de 1993 establece expresamente que la terminación unilateral de contrato procede: i) cuando las exigencias del servicio público lo </w:t>
      </w:r>
      <w:r w:rsidRPr="00753106">
        <w:rPr>
          <w:rFonts w:ascii="Verdana" w:hAnsi="Verdana" w:cs="Arial"/>
          <w:color w:val="000000" w:themeColor="text1"/>
          <w:lang w:val="es-ES"/>
        </w:rPr>
        <w:lastRenderedPageBreak/>
        <w:t xml:space="preserve">requieran o la situación de orden público lo imponga;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por muerte o incapacidad física permanente del contratista, si es persona natural, o por disolución de la persona jurídica del contratista;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xml:space="preserve">) por interdicción judicial o declaración de quiebra del contratista; y </w:t>
      </w:r>
      <w:proofErr w:type="spellStart"/>
      <w:r w:rsidRPr="00753106">
        <w:rPr>
          <w:rFonts w:ascii="Verdana" w:hAnsi="Verdana" w:cs="Arial"/>
          <w:color w:val="000000" w:themeColor="text1"/>
          <w:lang w:val="es-ES"/>
        </w:rPr>
        <w:t>iv</w:t>
      </w:r>
      <w:proofErr w:type="spellEnd"/>
      <w:r w:rsidRPr="00753106">
        <w:rPr>
          <w:rFonts w:ascii="Verdana" w:hAnsi="Verdana" w:cs="Arial"/>
          <w:color w:val="000000" w:themeColor="text1"/>
          <w:lang w:val="es-ES"/>
        </w:rPr>
        <w:t xml:space="preserve">) por cesación de pagos, concurso de acreedores o embargos judiciales del contratista que afecten de manera grave el cumplimiento del contrato. </w:t>
      </w:r>
    </w:p>
    <w:p w14:paraId="7D7ACC57" w14:textId="77777777" w:rsidR="00BE3E00" w:rsidRPr="00753106" w:rsidRDefault="00BE3E00" w:rsidP="00BE3E0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se celebren contra expresa prohibición constitucional o legal y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se declaren nulos los actos administrativos en que se fundamenten.</w:t>
      </w:r>
    </w:p>
    <w:p w14:paraId="6AFE11BA" w14:textId="77777777" w:rsidR="00BE3E00" w:rsidRPr="00753106" w:rsidRDefault="00BE3E00" w:rsidP="00BE3E00">
      <w:pPr>
        <w:spacing w:before="120" w:after="120" w:line="276" w:lineRule="auto"/>
        <w:ind w:firstLine="708"/>
        <w:jc w:val="both"/>
        <w:rPr>
          <w:rFonts w:ascii="Verdana" w:hAnsi="Verdana" w:cs="Arial"/>
          <w:color w:val="000000" w:themeColor="text1"/>
          <w:lang w:val="es-ES"/>
        </w:rPr>
      </w:pPr>
      <w:r w:rsidRPr="00753106">
        <w:rPr>
          <w:rFonts w:ascii="Verdana" w:hAnsi="Verdana" w:cs="Arial"/>
          <w:color w:val="000000" w:themeColor="text1"/>
          <w:lang w:val="es-ES"/>
        </w:rPr>
        <w:t xml:space="preserve">En efecto, en lo atinente a la terminación unilateral del contrato, si bien la ley otorga a las entidades públicas la potestad de actuar en ejercicio de una facultad exorbitante, les impone el cumplimiento de presupuestos de forzosa aplicación y a la vez restringe la medida a los eventos previstos en la misma. Efectivamente, para declarar la terminación unilateral se requiere i) que la manifestación de la voluntad de la administración se materialice en un acto administrativo,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que dicho acto debe ser el resultado de un análisis soportado en la realidad del contrato, es decir, debe estar debidamente motivado y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que la causal que se alegue en la decisión se encuentre enmarcada en los eventos que la ley ha dispuesto.</w:t>
      </w:r>
    </w:p>
    <w:p w14:paraId="2FFAEA9B" w14:textId="77777777" w:rsidR="00BE3E00" w:rsidRPr="00753106" w:rsidRDefault="00BE3E00" w:rsidP="00BE3E0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De esta forma, tanto el artículo 17 de la Ley 80 de 1993, como los numerales 1, 2, y 4 del artículo 44, en concordancia con el inciso segundo de artículo 45 del Estatuto General de Contratación de la Administración Pública (EGCAP), establecen expresamente los eventos en los cuales procede la </w:t>
      </w:r>
      <w:r w:rsidRPr="00753106">
        <w:rPr>
          <w:rFonts w:ascii="Verdana" w:hAnsi="Verdana" w:cs="Arial"/>
          <w:i/>
          <w:iCs/>
          <w:color w:val="000000" w:themeColor="text1"/>
          <w:lang w:val="es-ES"/>
        </w:rPr>
        <w:lastRenderedPageBreak/>
        <w:t>terminación unilateral</w:t>
      </w:r>
      <w:r w:rsidRPr="00753106">
        <w:rPr>
          <w:rFonts w:ascii="Verdana" w:hAnsi="Verdana" w:cs="Arial"/>
          <w:color w:val="000000" w:themeColor="text1"/>
          <w:lang w:val="es-ES"/>
        </w:rPr>
        <w:t xml:space="preserve"> del contrato</w:t>
      </w:r>
      <w:r w:rsidRPr="00753106">
        <w:rPr>
          <w:rStyle w:val="FootnoteReference"/>
          <w:rFonts w:ascii="Verdana" w:hAnsi="Verdana" w:cs="Arial"/>
          <w:color w:val="000000" w:themeColor="text1"/>
          <w:lang w:val="es-ES"/>
        </w:rPr>
        <w:footnoteReference w:id="4"/>
      </w:r>
      <w:r w:rsidRPr="00753106">
        <w:rPr>
          <w:rFonts w:ascii="Verdana" w:hAnsi="Verdana" w:cs="Arial"/>
          <w:color w:val="000000" w:themeColor="text1"/>
          <w:lang w:val="es-ES"/>
        </w:rPr>
        <w:t xml:space="preserve">. Adicionalmente, el inciso primero del artículo 13 de la Ley 80 de 1993 dispone que “Los contratos que celebren las entidades a que se refiere el artículo 2o. del presente estatuto se regirán por las disposiciones comerciales y civiles pertinentes, salvo en las materias particularmente reguladas en esta ley”. En consecuencia, dado que la terminación unilateral tiene regulación especial en los artículos 17 y 45 del EGCAP, las causales aplicables son de </w:t>
      </w:r>
      <w:r w:rsidRPr="00753106">
        <w:rPr>
          <w:rFonts w:ascii="Verdana" w:hAnsi="Verdana" w:cs="Arial"/>
          <w:i/>
          <w:iCs/>
          <w:color w:val="000000" w:themeColor="text1"/>
          <w:lang w:val="es-ES"/>
        </w:rPr>
        <w:t>interpretación restrictiva</w:t>
      </w:r>
      <w:r w:rsidRPr="00753106">
        <w:rPr>
          <w:rFonts w:ascii="Verdana" w:hAnsi="Verdana" w:cs="Arial"/>
          <w:color w:val="000000" w:themeColor="text1"/>
          <w:lang w:val="es-ES"/>
        </w:rPr>
        <w:t xml:space="preserve">. </w:t>
      </w:r>
    </w:p>
    <w:p w14:paraId="480714A6" w14:textId="77777777" w:rsidR="00BE3E00" w:rsidRPr="00753106" w:rsidRDefault="00BE3E00" w:rsidP="00BE3E0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En lo relacionado con las cláusulas excepcionales al derecho común de terminación, interpretación y modificación unilaterales, el numeral 2 del mencionado artículo 14 regula su ejercicio en atención al tipo de contrato de que se trate. La exposición de motivos de la Ley 80 de 1993 establece que la administración debe estar dotada de mecanismos eficaces, así fueren excepcionales, que contribuyan a la adecuada realización de la finalidad contractual y de los fines estatales</w:t>
      </w:r>
      <w:r w:rsidRPr="00753106">
        <w:rPr>
          <w:rStyle w:val="FootnoteReference"/>
          <w:rFonts w:ascii="Verdana" w:hAnsi="Verdana" w:cs="Arial"/>
          <w:color w:val="000000" w:themeColor="text1"/>
          <w:lang w:val="es-ES"/>
        </w:rPr>
        <w:footnoteReference w:id="5"/>
      </w:r>
      <w:r w:rsidRPr="00753106">
        <w:rPr>
          <w:rFonts w:ascii="Verdana" w:hAnsi="Verdana" w:cs="Arial"/>
          <w:color w:val="000000" w:themeColor="text1"/>
          <w:lang w:val="es-ES"/>
        </w:rPr>
        <w:t>. Es por eso que cuando se presenten circunstancias que amenacen la paralización de los servicios, las entidades públicas pueden tomar medidas que conduzcan a garantizar la continua y adecuada prestación del servicio, con fundamento en la prevalencia del interés público sobre el particular. En este sentido, los motivos aducidos por la Entidad Estatal para ejercer las cláusulas excepcionales deben ser graves, ya que no cualquier hecho puede provocarla pues son inescindibles al interés general, sin que se pueda desconocer las compensaciones e indemnizaciones a que tendrán derecho las personas objeto de tales medidas, traducida en la contraprestación necesaria para mantener la igualdad contractual.</w:t>
      </w:r>
    </w:p>
    <w:p w14:paraId="52B00410" w14:textId="77777777" w:rsidR="00BE3E00" w:rsidRPr="00753106" w:rsidRDefault="00BE3E00" w:rsidP="00BE3E00">
      <w:pPr>
        <w:spacing w:after="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Ya que ninguna de las causales de terminación unilateral establecidas en la Ley 80 de 1993 se relaciona con los controles derivados del SARLAFT</w:t>
      </w:r>
      <w:r w:rsidRPr="00753106">
        <w:rPr>
          <w:rStyle w:val="FootnoteReference"/>
          <w:rFonts w:ascii="Verdana" w:hAnsi="Verdana" w:cs="Arial"/>
          <w:color w:val="000000" w:themeColor="text1"/>
          <w:lang w:val="es-ES"/>
        </w:rPr>
        <w:footnoteReference w:id="6"/>
      </w:r>
      <w:r w:rsidRPr="00753106">
        <w:rPr>
          <w:rFonts w:ascii="Verdana" w:hAnsi="Verdana" w:cs="Arial"/>
          <w:color w:val="000000" w:themeColor="text1"/>
          <w:lang w:val="es-ES"/>
        </w:rPr>
        <w:t xml:space="preserve"> y que </w:t>
      </w:r>
      <w:r w:rsidRPr="00753106">
        <w:rPr>
          <w:rFonts w:ascii="Verdana" w:hAnsi="Verdana" w:cs="Arial"/>
          <w:color w:val="000000" w:themeColor="text1"/>
          <w:lang w:val="es-ES"/>
        </w:rPr>
        <w:lastRenderedPageBreak/>
        <w:t xml:space="preserve">las potestades exorbitantes de las entidades públicas se rigen por el principio de legalidad, el ejercicio de la autonomía de la voluntad no les permite adicionar causales o supuestos </w:t>
      </w:r>
      <w:r w:rsidRPr="00753106">
        <w:rPr>
          <w:rFonts w:ascii="Verdana" w:eastAsia="Calibri" w:hAnsi="Verdana" w:cs="Arial"/>
          <w:color w:val="000000" w:themeColor="text1"/>
          <w:lang w:val="es-ES"/>
        </w:rPr>
        <w:t>que no contempló la norma.</w:t>
      </w:r>
    </w:p>
    <w:p w14:paraId="4598B8E6" w14:textId="77777777" w:rsidR="00BE3E00" w:rsidRPr="00753106" w:rsidRDefault="00BE3E00" w:rsidP="00BE3E00">
      <w:pPr>
        <w:spacing w:after="0" w:line="276" w:lineRule="auto"/>
        <w:ind w:firstLine="709"/>
        <w:jc w:val="both"/>
        <w:rPr>
          <w:rFonts w:ascii="Verdana" w:hAnsi="Verdana" w:cs="Arial"/>
          <w:color w:val="000000" w:themeColor="text1"/>
          <w:lang w:val="es-ES"/>
        </w:rPr>
      </w:pPr>
    </w:p>
    <w:p w14:paraId="0EFA164A" w14:textId="77777777" w:rsidR="00BE3E00" w:rsidRPr="00753106" w:rsidRDefault="00BE3E00" w:rsidP="00BE3E00">
      <w:pPr>
        <w:spacing w:after="120" w:line="276" w:lineRule="auto"/>
        <w:jc w:val="both"/>
        <w:rPr>
          <w:rFonts w:ascii="Verdana" w:hAnsi="Verdana" w:cs="Arial"/>
          <w:color w:val="000000" w:themeColor="text1"/>
          <w:lang w:val="es-ES"/>
        </w:rPr>
      </w:pP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Con respecto a la consulta en listas, </w:t>
      </w:r>
      <w:r w:rsidRPr="00753106">
        <w:rPr>
          <w:rFonts w:ascii="Verdana" w:eastAsia="Calibri" w:hAnsi="Verdana" w:cs="Arial"/>
          <w:lang w:val="es-ES"/>
        </w:rPr>
        <w:t xml:space="preserve">es importante aclarar que aquellas de orden nacional, como es el caso del Boletín de Responsables Fiscales de la Contraloría, la página de consulta de la Procuraduría General de la Nación o la consulta de antecedentes penales, son fuentes de información que sirven a las entidades para la verificación de las causales de inhabilidad ya tipificadas en la ley. En efecto, consultarlas es parte del deber de verificación de la capacidad jurídica del proponente. Las listas no generan per se la inhabilidad, pues su fuente es legal, sino que constituyen un instrumento de verificación de la capacidad jurídica en los procesos de contratación estatal. </w:t>
      </w:r>
    </w:p>
    <w:p w14:paraId="2B35DA58"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Por su parte, las denominadas listas restrictivas internacionales, como es el caso de OFAC</w:t>
      </w:r>
      <w:r w:rsidRPr="00753106">
        <w:rPr>
          <w:rStyle w:val="FootnoteReference"/>
          <w:rFonts w:ascii="Verdana" w:eastAsia="Calibri" w:hAnsi="Verdana" w:cs="Arial"/>
          <w:lang w:val="es-ES"/>
        </w:rPr>
        <w:footnoteReference w:id="7"/>
      </w:r>
      <w:r w:rsidRPr="00753106">
        <w:rPr>
          <w:rFonts w:ascii="Verdana" w:eastAsia="Calibri" w:hAnsi="Verdana" w:cs="Arial"/>
          <w:lang w:val="es-ES"/>
        </w:rPr>
        <w:t xml:space="preserve">, ONU o UE, pueden ser mecanismos de consulta de información que activen deberes de diligencia adicionales en cabeza de las entidades contratantes. Como lo precisó esta Agencia en el concepto C-1449 de 2025, el alcance de la consulta en dichas listas no genera inhabilidad ni justifica la terminación unilateral del contrato, pero puede activar verificaciones adicionales. </w:t>
      </w:r>
    </w:p>
    <w:p w14:paraId="4C06240E"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 xml:space="preserve">En efecto, las entidades pueden, dentro del marco definido por el Consejo de Estado, incorporar en los estudios previos la tipificación de los riesgos de </w:t>
      </w:r>
      <w:r w:rsidRPr="00753106">
        <w:rPr>
          <w:rFonts w:ascii="Verdana" w:eastAsia="Calibri" w:hAnsi="Verdana" w:cs="Arial"/>
          <w:lang w:val="es-ES"/>
        </w:rPr>
        <w:lastRenderedPageBreak/>
        <w:t>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22A20EDF"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Con lo anterior, la entidad puede determinar acciones y metodologías oportunas y apropiadas que son acordes con el principio de legalidad y de selección objetiva, pues las medidas establecidas por el Consejo de Estado incluyen la tipificación previa de los riesgos de corrupción y LA/FT; la consagración expresa de mecanismos de verificación en los documentos del proceso, como es el caso de exigir declaraciones de origen lícito de fondos, de beneficiario final o la suscripción de pactos de integridad; y la incorporación en el contrato de cláusulas para la gestión de dichos riesgos, como las condiciones resolutorias de carácter convencional que pueden pactar las partes con sustento en el principio de buena fe y el artículo 3 de la Ley 80 de 1993. Adicionalmente, tanto la postura de esta Agencia como del Consejo de Estado es clara en que la consulta de listas restrictivas puede activar medidas de debida diligencia en el marco de lo establecido por la entidad, sin que esto implique la potestad de incluir causales de terminación unilateral, de inhabilidad o de rechazo que afecten la capacidad para contratar con el Estado y no hayan sido previstas en la Constitución o en la ley.</w:t>
      </w:r>
    </w:p>
    <w:p w14:paraId="3E213610" w14:textId="77777777" w:rsidR="00BE3E00" w:rsidRPr="00753106" w:rsidRDefault="00BE3E00" w:rsidP="00BE3E00">
      <w:pPr>
        <w:spacing w:after="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Lo anterior también es aplicable en el caso de las entidades que se encuentren vigiladas por la Superintendencia Financiera, en el sentido que no podrán determinar causales de inhabilidad o rechazo relacionadas con el tema objeto de consulta, sin que el supuesto haya sido contemplado por la ley. </w:t>
      </w:r>
      <w:r w:rsidRPr="00753106">
        <w:rPr>
          <w:rFonts w:ascii="Verdana" w:hAnsi="Verdana" w:cs="Arial"/>
          <w:color w:val="000000" w:themeColor="text1"/>
          <w:lang w:val="es-ES"/>
        </w:rPr>
        <w:lastRenderedPageBreak/>
        <w:t xml:space="preserve">Corresponderá a cada una de estas entidades analizar el marco jurídico aplicable al caso concreto y determinar si existe alguna causal o restricción que pueda dar lugar a limitar la participación de proponentes que hayan sido incluidos en las listas referidas. Por otra parte, las entidades deberán determinar si la inclusión en este tipo de listas supone el incumplimiento de otros requisitos, por ejemplo, relacionados con la capacidad financiera o jurídica de los proponentes, caso en el cual podría ocasionar el rechazo de sus ofertas con base en el incumplimiento de los requisitos habilitantes exigidos. </w:t>
      </w:r>
    </w:p>
    <w:p w14:paraId="1B23CE5E" w14:textId="77777777" w:rsidR="00BE3E00" w:rsidRPr="00753106" w:rsidRDefault="00BE3E00" w:rsidP="00BE3E00">
      <w:pPr>
        <w:spacing w:after="0" w:line="276" w:lineRule="auto"/>
        <w:ind w:firstLine="709"/>
        <w:jc w:val="both"/>
        <w:rPr>
          <w:rFonts w:ascii="Verdana" w:eastAsia="Calibri" w:hAnsi="Verdana" w:cs="Arial"/>
          <w:lang w:val="es-ES"/>
        </w:rPr>
      </w:pPr>
    </w:p>
    <w:p w14:paraId="47B0BBB9" w14:textId="77777777" w:rsidR="00BE3E00" w:rsidRPr="00753106" w:rsidRDefault="00BE3E00" w:rsidP="00BE3E00">
      <w:pPr>
        <w:spacing w:line="276" w:lineRule="auto"/>
        <w:jc w:val="both"/>
        <w:rPr>
          <w:rFonts w:ascii="Verdana" w:eastAsia="Calibri" w:hAnsi="Verdana" w:cs="Arial"/>
          <w:color w:val="000000" w:themeColor="text1"/>
          <w:lang w:val="es-ES"/>
        </w:rPr>
      </w:pPr>
      <w:proofErr w:type="spellStart"/>
      <w:r w:rsidRPr="00753106">
        <w:rPr>
          <w:rFonts w:ascii="Verdana" w:eastAsia="Calibri" w:hAnsi="Verdana" w:cs="Arial"/>
          <w:lang w:val="es-ES"/>
        </w:rPr>
        <w:t>iii</w:t>
      </w:r>
      <w:proofErr w:type="spellEnd"/>
      <w:r w:rsidRPr="00753106">
        <w:rPr>
          <w:rFonts w:ascii="Verdana" w:eastAsia="Calibri" w:hAnsi="Verdana" w:cs="Arial"/>
          <w:lang w:val="es-ES"/>
        </w:rPr>
        <w:t>. Teniendo en cuenta que su consulta menciona expresamente el caso de OFAC, es necesario resaltar que l</w:t>
      </w:r>
      <w:r w:rsidRPr="00753106">
        <w:rPr>
          <w:rFonts w:ascii="Verdana" w:eastAsia="Calibri" w:hAnsi="Verdana" w:cs="Arial"/>
          <w:color w:val="000000" w:themeColor="text1"/>
          <w:lang w:val="es-ES"/>
        </w:rPr>
        <w:t xml:space="preserve">a Lista Clinton fue creada a través de la Orden Ejecutiva 12.978 del 21 de octubre de 1995. Su objetivo es obstaculizar las actividades de empresas en las que el narcotráfico tengan algún interés económico. Es elaborada por la Oficina de Control de Bienes Extranjeros –Office </w:t>
      </w:r>
      <w:proofErr w:type="spellStart"/>
      <w:r w:rsidRPr="00753106">
        <w:rPr>
          <w:rFonts w:ascii="Verdana" w:eastAsia="Calibri" w:hAnsi="Verdana" w:cs="Arial"/>
          <w:color w:val="000000" w:themeColor="text1"/>
          <w:lang w:val="es-ES"/>
        </w:rPr>
        <w:t>of</w:t>
      </w:r>
      <w:proofErr w:type="spellEnd"/>
      <w:r w:rsidRPr="00753106">
        <w:rPr>
          <w:rFonts w:ascii="Verdana" w:eastAsia="Calibri" w:hAnsi="Verdana" w:cs="Arial"/>
          <w:color w:val="000000" w:themeColor="text1"/>
          <w:lang w:val="es-ES"/>
        </w:rPr>
        <w:t xml:space="preserve"> </w:t>
      </w:r>
      <w:proofErr w:type="spellStart"/>
      <w:r w:rsidRPr="00753106">
        <w:rPr>
          <w:rFonts w:ascii="Verdana" w:eastAsia="Calibri" w:hAnsi="Verdana" w:cs="Arial"/>
          <w:color w:val="000000" w:themeColor="text1"/>
          <w:lang w:val="es-ES"/>
        </w:rPr>
        <w:t>Foreign</w:t>
      </w:r>
      <w:proofErr w:type="spellEnd"/>
      <w:r w:rsidRPr="00753106">
        <w:rPr>
          <w:rFonts w:ascii="Verdana" w:eastAsia="Calibri" w:hAnsi="Verdana" w:cs="Arial"/>
          <w:color w:val="000000" w:themeColor="text1"/>
          <w:lang w:val="es-ES"/>
        </w:rPr>
        <w:t xml:space="preserve"> </w:t>
      </w:r>
      <w:proofErr w:type="spellStart"/>
      <w:r w:rsidRPr="00753106">
        <w:rPr>
          <w:rFonts w:ascii="Verdana" w:eastAsia="Calibri" w:hAnsi="Verdana" w:cs="Arial"/>
          <w:color w:val="000000" w:themeColor="text1"/>
          <w:lang w:val="es-ES"/>
        </w:rPr>
        <w:t>Assets</w:t>
      </w:r>
      <w:proofErr w:type="spellEnd"/>
      <w:r w:rsidRPr="00753106">
        <w:rPr>
          <w:rFonts w:ascii="Verdana" w:eastAsia="Calibri" w:hAnsi="Verdana" w:cs="Arial"/>
          <w:color w:val="000000" w:themeColor="text1"/>
          <w:lang w:val="es-ES"/>
        </w:rPr>
        <w:t xml:space="preserve"> Control (OFAC)– del Departamento del Tesoro de los Estados Unidos, y hace parte de las medidas tomadas por este país en la guerra contra los carteles de la droga y el lavado de activos. En efecto, quien se encuentre dentro de la Lista se encuentra vetado de tener relaciones comerciales con cualquier empresa de ese país. </w:t>
      </w:r>
    </w:p>
    <w:p w14:paraId="621E7E4C" w14:textId="77777777" w:rsidR="00BE3E00" w:rsidRPr="00753106" w:rsidRDefault="00BE3E00" w:rsidP="00BE3E00">
      <w:pPr>
        <w:spacing w:before="120"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De hecho, pese a que las personas colombianas incluidas en la lista no incurren en un delito dentro del territorio nacional, tendrán vetada toda transacción y relación con el sistema financiero. Esto es congruente con lo dispuesto en el artículo 102 del Decreto Ley 663 de 1993, modificado por la Ley 1121 de 2006, según el cual: </w:t>
      </w:r>
    </w:p>
    <w:p w14:paraId="46E01E7F" w14:textId="77777777" w:rsidR="00BE3E00" w:rsidRPr="00753106" w:rsidRDefault="00BE3E00" w:rsidP="00BE3E00">
      <w:pPr>
        <w:spacing w:before="120" w:after="0" w:line="240" w:lineRule="auto"/>
        <w:ind w:left="709" w:right="709"/>
        <w:jc w:val="both"/>
        <w:rPr>
          <w:rFonts w:ascii="Verdana" w:eastAsia="Calibri" w:hAnsi="Verdana" w:cs="Arial"/>
          <w:color w:val="000000" w:themeColor="text1"/>
          <w:sz w:val="21"/>
          <w:szCs w:val="21"/>
          <w:lang w:val="es-ES"/>
        </w:rPr>
      </w:pPr>
      <w:r w:rsidRPr="00753106">
        <w:rPr>
          <w:rFonts w:ascii="Verdana" w:eastAsia="Calibri" w:hAnsi="Verdana" w:cs="Arial"/>
          <w:color w:val="000000" w:themeColor="text1"/>
          <w:sz w:val="21"/>
          <w:szCs w:val="21"/>
          <w:lang w:val="es-ES"/>
        </w:rPr>
        <w:t xml:space="preserve">“Las instituciones sometidas al control y vigilancia de la Superintendencia Financiera, o quien haga sus veces, estarán obligadas a adoptar medidas de control apropiadas y suficientes, orientadas a evitar que en la realización de sus operaciones puedan ser utilizadas como instrumento para el ocultamiento, manejo, inversión o aprovechamiento en cualquier forma de dinero u otros bienes provenientes de actividades delictivas o destinados a su financiación, o para dar apariencia de legalidad a las actividades delictivas o a las transacciones y fondos vinculados con las mismas”. </w:t>
      </w:r>
    </w:p>
    <w:p w14:paraId="1EFED5C4" w14:textId="77777777" w:rsidR="00BE3E00" w:rsidRPr="00753106" w:rsidRDefault="00BE3E00" w:rsidP="00BE3E00">
      <w:pPr>
        <w:spacing w:after="0" w:line="240" w:lineRule="auto"/>
        <w:ind w:left="709" w:right="709"/>
        <w:jc w:val="both"/>
        <w:rPr>
          <w:rFonts w:ascii="Verdana" w:eastAsia="Calibri" w:hAnsi="Verdana" w:cs="Arial"/>
          <w:color w:val="000000" w:themeColor="text1"/>
          <w:sz w:val="21"/>
          <w:szCs w:val="21"/>
          <w:lang w:val="es-ES"/>
        </w:rPr>
      </w:pPr>
    </w:p>
    <w:p w14:paraId="315B7BB3"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Sobre la aplicación de la orden ejecutiva emitida por los EE.UU que da lugar a la creación de la Lista Clinton, la Corte Constitucional ha sostenido que:</w:t>
      </w:r>
    </w:p>
    <w:p w14:paraId="1DA53E0C"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p>
    <w:p w14:paraId="674A18CA" w14:textId="77777777" w:rsidR="00BE3E00" w:rsidRPr="00753106" w:rsidRDefault="00BE3E00" w:rsidP="00BE3E00">
      <w:pPr>
        <w:spacing w:line="240" w:lineRule="auto"/>
        <w:ind w:left="709" w:right="709"/>
        <w:jc w:val="both"/>
        <w:rPr>
          <w:rFonts w:ascii="Verdana" w:eastAsia="Calibri" w:hAnsi="Verdana" w:cs="Arial"/>
          <w:color w:val="000000" w:themeColor="text1"/>
          <w:sz w:val="21"/>
          <w:szCs w:val="21"/>
          <w:lang w:val="es-ES"/>
        </w:rPr>
      </w:pPr>
      <w:r w:rsidRPr="00753106">
        <w:rPr>
          <w:rFonts w:ascii="Verdana" w:eastAsia="Calibri" w:hAnsi="Verdana" w:cs="Arial"/>
          <w:color w:val="000000" w:themeColor="text1"/>
          <w:sz w:val="21"/>
          <w:szCs w:val="21"/>
          <w:lang w:val="es-ES"/>
        </w:rPr>
        <w:lastRenderedPageBreak/>
        <w:t>“[…] la Orden Ejecutiva No. 12.978, no constituye una decisión judicial o administrativa propia de alguna autoridad del orden nacional sino que, por el contrario, es una decisión autónoma de un gobierno extranjero (EE.UU).</w:t>
      </w:r>
    </w:p>
    <w:p w14:paraId="20A5F3B2" w14:textId="77777777" w:rsidR="00BE3E00" w:rsidRPr="00753106" w:rsidRDefault="00BE3E00" w:rsidP="00BE3E00">
      <w:pPr>
        <w:spacing w:before="120" w:line="240" w:lineRule="auto"/>
        <w:ind w:left="709" w:right="709"/>
        <w:jc w:val="both"/>
        <w:rPr>
          <w:rFonts w:ascii="Verdana" w:eastAsia="Calibri" w:hAnsi="Verdana" w:cs="Arial"/>
          <w:color w:val="000000" w:themeColor="text1"/>
          <w:sz w:val="21"/>
          <w:szCs w:val="21"/>
          <w:lang w:val="es-ES"/>
        </w:rPr>
      </w:pPr>
      <w:r w:rsidRPr="00753106">
        <w:rPr>
          <w:rFonts w:ascii="Verdana" w:eastAsia="Calibri" w:hAnsi="Verdana" w:cs="Arial"/>
          <w:color w:val="000000" w:themeColor="text1"/>
          <w:sz w:val="21"/>
          <w:szCs w:val="21"/>
          <w:lang w:val="es-ES"/>
        </w:rPr>
        <w:t>Por esta razón, dicha orden en sí misma considerada no tiene efectos vinculantes en el Estado Colombiano y no puede aplicarse coercitivamente como una norma jurídica al interior del país. Sin embargo, para la Corte es claro que las consecuencias de su incumplimiento por parte de la banca nacional, dada las relaciones comerciales ineludibles que ésta mantiene con la banca norteamericana, puede acarrear una grave alteración en la solidez del mercado financiero colombiano, por lo cual la decisión de las instituciones financieras de negar el acceso a este sistema de la(s) persona(s) que aparezcan incluidas en la Lista Clinton, constituye en realidad una causal objetiva justificada.</w:t>
      </w:r>
    </w:p>
    <w:p w14:paraId="1982C63D" w14:textId="77777777" w:rsidR="00BE3E00" w:rsidRPr="00753106" w:rsidRDefault="00BE3E00" w:rsidP="00BE3E00">
      <w:pPr>
        <w:spacing w:before="120" w:after="0" w:line="240" w:lineRule="auto"/>
        <w:ind w:left="709" w:right="709"/>
        <w:jc w:val="both"/>
        <w:rPr>
          <w:rFonts w:ascii="Verdana" w:eastAsia="Calibri" w:hAnsi="Verdana" w:cs="Arial"/>
          <w:color w:val="000000" w:themeColor="text1"/>
          <w:sz w:val="21"/>
          <w:szCs w:val="21"/>
          <w:lang w:val="es-ES"/>
        </w:rPr>
      </w:pPr>
      <w:r w:rsidRPr="00753106">
        <w:rPr>
          <w:rFonts w:ascii="Verdana" w:eastAsia="Calibri" w:hAnsi="Verdana" w:cs="Arial"/>
          <w:color w:val="000000" w:themeColor="text1"/>
          <w:sz w:val="21"/>
          <w:szCs w:val="21"/>
          <w:lang w:val="es-ES"/>
        </w:rPr>
        <w:t>Dentro de este contexto, en aplicación a las políticas de prevención del lavado de activos a que hacen referencia la Ley 526 de 1999, el Decreto 1497 de 2002 y la Circular Externa 046 de 2002 (Superintendencia Bancaria), la Lista Clinton debe considerarse como un elemento de valoración probatoria que puede ser tenido en cuenta por las instituciones financieras al momento de evaluar el acceso de los particulares a la prestación de los servicios financieros. Máxime si dichas instituciones están directamente comprometidas a nivel nacional e internacional en las políticas de control y erradicación al lavado de activos”</w:t>
      </w:r>
      <w:r w:rsidRPr="00753106">
        <w:rPr>
          <w:rStyle w:val="FootnoteReference"/>
          <w:rFonts w:ascii="Verdana" w:eastAsia="Calibri" w:hAnsi="Verdana" w:cs="Arial"/>
          <w:color w:val="000000" w:themeColor="text1"/>
          <w:sz w:val="21"/>
          <w:szCs w:val="21"/>
          <w:lang w:val="es-ES"/>
        </w:rPr>
        <w:footnoteReference w:id="8"/>
      </w:r>
      <w:r w:rsidRPr="00753106">
        <w:rPr>
          <w:rFonts w:ascii="Verdana" w:eastAsia="Calibri" w:hAnsi="Verdana" w:cs="Arial"/>
          <w:color w:val="000000" w:themeColor="text1"/>
          <w:sz w:val="21"/>
          <w:szCs w:val="21"/>
          <w:lang w:val="es-ES"/>
        </w:rPr>
        <w:t>.</w:t>
      </w:r>
    </w:p>
    <w:p w14:paraId="48FBCC14" w14:textId="77777777" w:rsidR="00BE3E00" w:rsidRPr="00753106" w:rsidRDefault="00BE3E00" w:rsidP="00BE3E00">
      <w:pPr>
        <w:spacing w:after="0" w:line="276" w:lineRule="auto"/>
        <w:ind w:firstLine="708"/>
        <w:jc w:val="both"/>
        <w:rPr>
          <w:rFonts w:ascii="Verdana" w:eastAsia="Calibri" w:hAnsi="Verdana" w:cs="Arial"/>
          <w:color w:val="000000" w:themeColor="text1"/>
          <w:lang w:val="es-ES"/>
        </w:rPr>
      </w:pPr>
    </w:p>
    <w:p w14:paraId="7ED104C3" w14:textId="77777777" w:rsidR="00BE3E00" w:rsidRPr="00753106" w:rsidRDefault="00BE3E00" w:rsidP="00BE3E00">
      <w:pPr>
        <w:spacing w:after="0" w:line="276" w:lineRule="auto"/>
        <w:ind w:firstLine="708"/>
        <w:jc w:val="both"/>
        <w:rPr>
          <w:rFonts w:ascii="Verdana" w:eastAsia="Calibri" w:hAnsi="Verdana" w:cs="Arial"/>
          <w:i/>
          <w:iCs/>
          <w:color w:val="000000" w:themeColor="text1"/>
          <w:lang w:val="es-ES"/>
        </w:rPr>
      </w:pPr>
      <w:r w:rsidRPr="00753106">
        <w:rPr>
          <w:rFonts w:ascii="Verdana" w:eastAsia="Calibri" w:hAnsi="Verdana" w:cs="Arial"/>
          <w:color w:val="000000" w:themeColor="text1"/>
          <w:lang w:val="es-ES"/>
        </w:rPr>
        <w:t xml:space="preserve">Al respecto, conforme al anexo de la Circular Conjunta 034 de 2011 de la Procuraduría General de la Nación, la Auditoría General de la Nación y la Contraloría General de Santander, cabe destacar que la Orden Ejecutiva 12.798 del Gobierno de Estados Unidos no rige en Colombia. Dado que carece de fuerza vinculante en nuestro ordenamiento jurídico, y en virtud de las razones expuestas anteriormente, esta Agencia ha sostenido que la inclusión en dicha lista </w:t>
      </w:r>
      <w:r w:rsidRPr="00753106">
        <w:rPr>
          <w:rFonts w:ascii="Verdana" w:eastAsia="Calibri" w:hAnsi="Verdana" w:cs="Arial"/>
          <w:i/>
          <w:iCs/>
          <w:color w:val="000000" w:themeColor="text1"/>
          <w:lang w:val="es-ES"/>
        </w:rPr>
        <w:t xml:space="preserve">no genera inhabilidad o incompatibilidad para contratar con el Estado ni puede ser considerada como una causal de terminación unilateral. </w:t>
      </w:r>
    </w:p>
    <w:p w14:paraId="33B0A374" w14:textId="77777777" w:rsidR="00BE3E00" w:rsidRPr="00753106" w:rsidRDefault="00BE3E00" w:rsidP="00BE3E00">
      <w:pPr>
        <w:spacing w:after="0" w:line="276" w:lineRule="auto"/>
        <w:ind w:firstLine="708"/>
        <w:jc w:val="both"/>
        <w:rPr>
          <w:rFonts w:ascii="Verdana" w:eastAsia="Calibri" w:hAnsi="Verdana" w:cs="Arial"/>
          <w:i/>
          <w:iCs/>
          <w:color w:val="000000" w:themeColor="text1"/>
          <w:lang w:val="es-ES"/>
        </w:rPr>
      </w:pPr>
    </w:p>
    <w:p w14:paraId="1A7B614D" w14:textId="77777777" w:rsidR="00BE3E00" w:rsidRPr="00753106" w:rsidRDefault="00BE3E00" w:rsidP="00BE3E00">
      <w:pPr>
        <w:spacing w:after="120" w:line="276" w:lineRule="auto"/>
        <w:jc w:val="both"/>
        <w:rPr>
          <w:rStyle w:val="normaltextrun"/>
          <w:rFonts w:ascii="Verdana" w:hAnsi="Verdana" w:cs="Arial"/>
          <w:shd w:val="clear" w:color="auto" w:fill="FFFFFF"/>
          <w:lang w:val="es-ES"/>
        </w:rPr>
      </w:pPr>
      <w:proofErr w:type="spellStart"/>
      <w:r w:rsidRPr="00753106">
        <w:rPr>
          <w:rFonts w:ascii="Verdana" w:eastAsia="Calibri" w:hAnsi="Verdana" w:cs="Arial"/>
          <w:lang w:val="es-ES"/>
        </w:rPr>
        <w:t>iv</w:t>
      </w:r>
      <w:proofErr w:type="spellEnd"/>
      <w:r w:rsidRPr="00753106">
        <w:rPr>
          <w:rFonts w:ascii="Verdana" w:eastAsia="Calibri" w:hAnsi="Verdana" w:cs="Arial"/>
          <w:lang w:val="es-ES"/>
        </w:rPr>
        <w:t xml:space="preserve">. Finalmente, con respecto a los lineamientos y conceptos expedidos por esta Agencia, se aclara que </w:t>
      </w:r>
      <w:r w:rsidRPr="00753106">
        <w:rPr>
          <w:rStyle w:val="normaltextrun"/>
          <w:rFonts w:ascii="Verdana" w:hAnsi="Verdana" w:cs="Arial"/>
          <w:color w:val="000000" w:themeColor="text1"/>
          <w:shd w:val="clear" w:color="auto" w:fill="FFFFFF"/>
          <w:lang w:val="es-ES"/>
        </w:rPr>
        <w:t>Colombia Compra Eficiente señaló e</w:t>
      </w:r>
      <w:r w:rsidRPr="00753106">
        <w:rPr>
          <w:rStyle w:val="normaltextrun"/>
          <w:rFonts w:ascii="Verdana" w:hAnsi="Verdana" w:cs="Arial"/>
          <w:shd w:val="clear" w:color="auto" w:fill="FFFFFF"/>
          <w:lang w:val="es-ES"/>
        </w:rPr>
        <w:t xml:space="preserve">n los conceptos con radicados 415140001639 del 17 de junio de 2019, C-001 del 15 de enero de </w:t>
      </w:r>
      <w:r w:rsidRPr="00753106">
        <w:rPr>
          <w:rStyle w:val="normaltextrun"/>
          <w:rFonts w:ascii="Verdana" w:hAnsi="Verdana" w:cs="Arial"/>
          <w:shd w:val="clear" w:color="auto" w:fill="FFFFFF"/>
          <w:lang w:val="es-ES"/>
        </w:rPr>
        <w:lastRenderedPageBreak/>
        <w:t xml:space="preserve">2020, C-230 del 16 de abril de 2020, C-684 del 24 de noviembre de 2020, C-958 del 13 de febrero de 2023, </w:t>
      </w:r>
      <w:r w:rsidRPr="00753106">
        <w:rPr>
          <w:rFonts w:ascii="Verdana" w:eastAsia="Calibri" w:hAnsi="Verdana" w:cs="Arial"/>
          <w:lang w:val="es-ES" w:eastAsia="es-ES"/>
        </w:rPr>
        <w:t>C–279 del 27 de marzo de 2025, C-1080 del 16 de septiembre de 2025 y C-1449 del 19 de noviembre de 2025</w:t>
      </w:r>
      <w:r w:rsidRPr="00753106">
        <w:rPr>
          <w:rStyle w:val="normaltextrun"/>
          <w:rFonts w:ascii="Verdana" w:hAnsi="Verdana" w:cs="Arial"/>
          <w:shd w:val="clear" w:color="auto" w:fill="FFFFFF"/>
          <w:lang w:val="es-ES"/>
        </w:rPr>
        <w:t xml:space="preserve"> que la inclusión en la Lista Clinton o los controles del SARLAFT no derivan inhabilidades o incompatibilidades, y que estás no pueden camuflarse como causales de rechazo en los pliegos de condiciones o documentos equivalentes. Asimismo, </w:t>
      </w:r>
      <w:r w:rsidRPr="00753106">
        <w:rPr>
          <w:rFonts w:ascii="Verdana" w:hAnsi="Verdana" w:cs="Arial"/>
          <w:shd w:val="clear" w:color="auto" w:fill="FFFFFF"/>
          <w:lang w:val="es-ES"/>
        </w:rPr>
        <w:t>se ha pronunciado sobre las causales de rechazo y la terminación unilateral frente al riesgo de lavado de activos en los conceptos C-419 del 27 de octubre de 2023 y C-494 del 12 de noviembre de 2024</w:t>
      </w:r>
      <w:r w:rsidRPr="00753106">
        <w:rPr>
          <w:rStyle w:val="normaltextrun"/>
          <w:rFonts w:ascii="Verdana" w:hAnsi="Verdana" w:cs="Arial"/>
          <w:shd w:val="clear" w:color="auto" w:fill="FFFFFF"/>
          <w:lang w:val="es-ES"/>
        </w:rPr>
        <w:t>.</w:t>
      </w:r>
    </w:p>
    <w:p w14:paraId="0A507761"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Style w:val="normaltextrun"/>
          <w:rFonts w:ascii="Verdana" w:hAnsi="Verdana" w:cs="Arial"/>
          <w:shd w:val="clear" w:color="auto" w:fill="FFFFFF"/>
          <w:lang w:val="es-ES"/>
        </w:rPr>
        <w:t xml:space="preserve">Esta Agencia no ha emitido circulares, guías o manuales específicos que determinen lineamientos sobre la consulta de listas restrictivas en el marco de procedimientos de compliance o debida diligencia en materia de contratación estatal. Si embargo, de los conceptos emitidos por la entidad, se resalta que </w:t>
      </w:r>
      <w:r w:rsidRPr="00753106">
        <w:rPr>
          <w:rFonts w:ascii="Verdana" w:hAnsi="Verdana" w:cs="Arial"/>
          <w:shd w:val="clear" w:color="auto" w:fill="FFFFFF"/>
          <w:lang w:val="es-ES"/>
        </w:rPr>
        <w:t xml:space="preserve">la consulta de dichas listas constituye una buena práctica de gestión del riesgo, frente a lo cual las entidades pueden adoptar las acciones fijadas por el Consejo de Estado que fueron antes referidas, sin que ello implique la facultad de incorporar </w:t>
      </w:r>
      <w:r w:rsidRPr="00753106">
        <w:rPr>
          <w:rFonts w:ascii="Verdana" w:eastAsia="Calibri" w:hAnsi="Verdana" w:cs="Arial"/>
          <w:lang w:val="es-ES"/>
        </w:rPr>
        <w:t xml:space="preserve">causales de rechazo con tintes habilitantes o la posibilidad de terminar unilateralmente los contratos. </w:t>
      </w:r>
    </w:p>
    <w:p w14:paraId="4C0084C0" w14:textId="77777777" w:rsidR="00BE3E00" w:rsidRPr="00753106" w:rsidRDefault="00BE3E00" w:rsidP="00BE3E00">
      <w:pPr>
        <w:spacing w:after="120" w:line="276" w:lineRule="auto"/>
        <w:ind w:firstLine="709"/>
        <w:jc w:val="both"/>
        <w:rPr>
          <w:rFonts w:ascii="Verdana" w:eastAsia="Calibri" w:hAnsi="Verdana" w:cs="Arial"/>
          <w:lang w:val="es-ES"/>
        </w:rPr>
      </w:pPr>
      <w:r w:rsidRPr="00753106">
        <w:rPr>
          <w:rFonts w:ascii="Verdana" w:eastAsia="Calibri" w:hAnsi="Verdana" w:cs="Arial"/>
          <w:bCs/>
          <w:color w:val="000000" w:themeColor="text1"/>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4AF1A2A6" w14:textId="77777777" w:rsidR="00BE3E00" w:rsidRPr="00753106" w:rsidRDefault="00BE3E00" w:rsidP="00BE3E00">
      <w:pPr>
        <w:spacing w:after="0" w:line="276" w:lineRule="auto"/>
        <w:ind w:firstLine="708"/>
        <w:jc w:val="both"/>
        <w:rPr>
          <w:rFonts w:ascii="Verdana" w:eastAsia="Calibri" w:hAnsi="Verdana" w:cs="Arial"/>
          <w:bCs/>
          <w:color w:val="000000" w:themeColor="text1"/>
          <w:lang w:val="es-ES"/>
        </w:rPr>
      </w:pPr>
      <w:r w:rsidRPr="00753106">
        <w:rPr>
          <w:rFonts w:ascii="Verdana" w:eastAsia="Calibri" w:hAnsi="Verdana" w:cs="Arial"/>
          <w:bCs/>
          <w:color w:val="000000" w:themeColor="text1"/>
          <w:lang w:val="es-ES"/>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753106">
        <w:rPr>
          <w:rFonts w:ascii="Verdana" w:eastAsia="Calibri" w:hAnsi="Verdana" w:cs="Arial"/>
          <w:bCs/>
          <w:color w:val="000000" w:themeColor="text1"/>
          <w:lang w:val="es-ES"/>
        </w:rPr>
        <w:lastRenderedPageBreak/>
        <w:t>gestión contractual, sin que sea atribución de Colombia Compra Eficiente validar sus actuaciones.</w:t>
      </w:r>
    </w:p>
    <w:p w14:paraId="32F99F89" w14:textId="77777777" w:rsidR="00BE3E00" w:rsidRPr="00753106" w:rsidRDefault="00BE3E00" w:rsidP="00BE3E00">
      <w:pPr>
        <w:spacing w:after="0" w:line="276" w:lineRule="auto"/>
        <w:ind w:firstLine="708"/>
        <w:jc w:val="both"/>
        <w:rPr>
          <w:rFonts w:ascii="Verdana" w:hAnsi="Verdana" w:cs="Arial"/>
          <w:lang w:val="es-ES"/>
        </w:rPr>
      </w:pPr>
    </w:p>
    <w:p w14:paraId="2D6A0D75" w14:textId="77777777" w:rsidR="00BE3E00" w:rsidRPr="00753106" w:rsidRDefault="00BE3E00" w:rsidP="00BE3E0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Referencias normativas, jurisprudenciales y otras fuentes:</w:t>
      </w:r>
    </w:p>
    <w:p w14:paraId="58930E4E" w14:textId="77777777" w:rsidR="00BE3E00" w:rsidRPr="00753106" w:rsidRDefault="00BE3E00" w:rsidP="00BE3E00">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E3E00" w:rsidRPr="00753106" w14:paraId="2D91F3ED" w14:textId="77777777" w:rsidTr="00B25C04">
        <w:trPr>
          <w:trHeight w:val="870"/>
        </w:trPr>
        <w:tc>
          <w:tcPr>
            <w:tcW w:w="8647" w:type="dxa"/>
          </w:tcPr>
          <w:p w14:paraId="1C98A725"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80 de 1993, artículos 8, 13, 17, 44 y 45.</w:t>
            </w:r>
          </w:p>
          <w:p w14:paraId="275103FE"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Decreto Ley 663 de 1993, Estatuto Orgánico del Sistema Financiero, artículos 102 y subsiguientes.</w:t>
            </w:r>
          </w:p>
          <w:p w14:paraId="6A130109"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964 de 2005, artículo 22.</w:t>
            </w:r>
          </w:p>
          <w:p w14:paraId="761BA755"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526 de 1999, modificada por las Leyes 1121 de 2006, 1621 de 2012 y 1762 de 2015.</w:t>
            </w:r>
          </w:p>
          <w:p w14:paraId="1DEF6BC1"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Decreto 1497 de 2002, actualmente compilado en el Decreto Único Reglamentario 1068 de 2015 del sector Hacienda y Crédito Público, artículo 2.</w:t>
            </w:r>
          </w:p>
          <w:p w14:paraId="050598F8"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hAnsi="Verdana" w:cs="Arial"/>
                <w:lang w:val="es-ES"/>
              </w:rPr>
              <w:t>Consejo De Estado. Sala de Consulta y Servicio Civil. Concepto del 27 de agosto de 2015. Rad. 2.264. C.P. Álvaro Namén Vargas.</w:t>
            </w:r>
          </w:p>
          <w:p w14:paraId="42CA0B01"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hAnsi="Verdana" w:cs="Arial"/>
                <w:color w:val="000000" w:themeColor="text1"/>
                <w:lang w:val="es-ES"/>
              </w:rPr>
              <w:t>Corte Constitucional. Sentencia T-468 de 2003. M.P. Rodrigo Escobar Gil.</w:t>
            </w:r>
          </w:p>
          <w:p w14:paraId="5C1505F2" w14:textId="77777777" w:rsidR="00BE3E00" w:rsidRPr="00753106" w:rsidRDefault="00BE3E00" w:rsidP="00B25C04">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hAnsi="Verdana"/>
                <w:lang w:val="es-ES"/>
              </w:rPr>
              <w:t xml:space="preserve">Superintendencia Financiera, </w:t>
            </w:r>
            <w:r w:rsidRPr="00753106">
              <w:rPr>
                <w:rFonts w:ascii="Verdana" w:hAnsi="Verdana" w:cs="Arial"/>
                <w:lang w:val="es-ES" w:eastAsia="es-CO"/>
              </w:rPr>
              <w:t>Capítulo IV, Titulo IV, Parte I de la Circular Básica Jurídica, Instrucciones relativas a la Administración del Riesgo de Lavado de Activos y de la Financiación del Terrorismo.</w:t>
            </w:r>
          </w:p>
        </w:tc>
      </w:tr>
    </w:tbl>
    <w:p w14:paraId="53478ADC" w14:textId="77777777" w:rsidR="00BE3E00" w:rsidRPr="00753106" w:rsidRDefault="00BE3E00" w:rsidP="00BE3E00">
      <w:pPr>
        <w:widowControl w:val="0"/>
        <w:autoSpaceDE w:val="0"/>
        <w:autoSpaceDN w:val="0"/>
        <w:spacing w:after="0" w:line="276" w:lineRule="auto"/>
        <w:jc w:val="both"/>
        <w:rPr>
          <w:rFonts w:ascii="Verdana" w:hAnsi="Verdana" w:cs="Arial"/>
          <w:color w:val="000000" w:themeColor="text1"/>
          <w:lang w:val="es-ES"/>
        </w:rPr>
      </w:pPr>
    </w:p>
    <w:p w14:paraId="7AA709DD" w14:textId="77777777" w:rsidR="00BE3E00" w:rsidRPr="00753106" w:rsidRDefault="00BE3E00" w:rsidP="00BE3E0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Doctrina de la Agencia Nacional de Contratación Pública:</w:t>
      </w:r>
    </w:p>
    <w:p w14:paraId="75324B5C" w14:textId="77777777" w:rsidR="00BE3E00" w:rsidRPr="00753106" w:rsidRDefault="00BE3E00" w:rsidP="00BE3E00">
      <w:pPr>
        <w:widowControl w:val="0"/>
        <w:autoSpaceDE w:val="0"/>
        <w:autoSpaceDN w:val="0"/>
        <w:spacing w:after="0" w:line="276" w:lineRule="auto"/>
        <w:jc w:val="both"/>
        <w:rPr>
          <w:rFonts w:ascii="Verdana" w:hAnsi="Verdana" w:cs="Arial"/>
          <w:color w:val="000000" w:themeColor="text1"/>
          <w:lang w:val="es-ES"/>
        </w:rPr>
      </w:pPr>
    </w:p>
    <w:p w14:paraId="2581EDCD" w14:textId="77777777" w:rsidR="00BE3E00" w:rsidRPr="00753106" w:rsidRDefault="00BE3E00" w:rsidP="00BE3E00">
      <w:pPr>
        <w:jc w:val="both"/>
        <w:rPr>
          <w:rStyle w:val="normaltextrun"/>
          <w:rFonts w:ascii="Verdana" w:eastAsia="Calibri" w:hAnsi="Verdana" w:cs="Arial"/>
          <w:b/>
          <w:bCs/>
          <w:color w:val="000000" w:themeColor="text1"/>
          <w:lang w:val="es-ES" w:eastAsia="es-ES"/>
        </w:rPr>
      </w:pPr>
      <w:r w:rsidRPr="00753106">
        <w:rPr>
          <w:rStyle w:val="normaltextrun"/>
          <w:rFonts w:ascii="Verdana" w:hAnsi="Verdana" w:cs="Arial"/>
          <w:color w:val="000000" w:themeColor="text1"/>
          <w:shd w:val="clear" w:color="auto" w:fill="FFFFFF"/>
          <w:lang w:val="es-ES"/>
        </w:rPr>
        <w:t>La Agencia Nacional de Contratación Pública – Colombia Compra Eficiente señaló e</w:t>
      </w:r>
      <w:r w:rsidRPr="00753106">
        <w:rPr>
          <w:rStyle w:val="normaltextrun"/>
          <w:rFonts w:ascii="Verdana" w:hAnsi="Verdana" w:cs="Arial"/>
          <w:shd w:val="clear" w:color="auto" w:fill="FFFFFF"/>
          <w:lang w:val="es-ES"/>
        </w:rPr>
        <w:t xml:space="preserve">n los Conceptos 415140001639 del 17 de junio de 2019, C-001 del 15 de enero de 2020, C-230 del 16 de abril de 2020, C-684 del 24 de noviembre de 2020, C-958 del 13 de febrero de 2023, </w:t>
      </w:r>
      <w:r w:rsidRPr="00753106">
        <w:rPr>
          <w:rFonts w:ascii="Verdana" w:eastAsia="Calibri" w:hAnsi="Verdana" w:cs="Arial"/>
          <w:lang w:val="es-ES" w:eastAsia="es-ES"/>
        </w:rPr>
        <w:t xml:space="preserve">C–279 del 27 de marzo de 2025, </w:t>
      </w:r>
      <w:r w:rsidRPr="00753106">
        <w:rPr>
          <w:rFonts w:ascii="Verdana" w:eastAsia="Calibri" w:hAnsi="Verdana" w:cs="Arial"/>
          <w:color w:val="000000" w:themeColor="text1"/>
          <w:lang w:val="es-ES" w:eastAsia="es-ES"/>
        </w:rPr>
        <w:t xml:space="preserve">C-1449 del 19 de noviembre de </w:t>
      </w:r>
      <w:r w:rsidRPr="00753106">
        <w:rPr>
          <w:rStyle w:val="normaltextrun"/>
          <w:rFonts w:ascii="Verdana" w:hAnsi="Verdana"/>
          <w:shd w:val="clear" w:color="auto" w:fill="FFFFFF"/>
          <w:lang w:val="es-ES"/>
        </w:rPr>
        <w:t xml:space="preserve">2025, y C-718 del 29 de mayo de 2026  </w:t>
      </w:r>
      <w:r w:rsidRPr="00753106">
        <w:rPr>
          <w:rStyle w:val="normaltextrun"/>
          <w:rFonts w:ascii="Verdana" w:hAnsi="Verdana" w:cs="Arial"/>
          <w:shd w:val="clear" w:color="auto" w:fill="FFFFFF"/>
          <w:lang w:val="es-ES"/>
        </w:rPr>
        <w:t xml:space="preserve">que la inclusión en la Lista Clinton o los controles del SARLAFT no derivan inhabilidades o incompatibilidades, y que estás no pueden camuflarse como causales de rechazo en los pliegos de condiciones o documentos equivalentes. Asimismo, </w:t>
      </w:r>
      <w:r w:rsidRPr="00753106">
        <w:rPr>
          <w:rFonts w:ascii="Verdana" w:hAnsi="Verdana" w:cs="Arial"/>
          <w:shd w:val="clear" w:color="auto" w:fill="FFFFFF"/>
          <w:lang w:val="es-ES"/>
        </w:rPr>
        <w:t xml:space="preserve">se ha pronunciado sobre las causales de rechazo y la terminación unilateral frente al </w:t>
      </w:r>
      <w:r w:rsidRPr="00753106">
        <w:rPr>
          <w:rFonts w:ascii="Verdana" w:hAnsi="Verdana" w:cs="Arial"/>
          <w:shd w:val="clear" w:color="auto" w:fill="FFFFFF"/>
          <w:lang w:val="es-ES"/>
        </w:rPr>
        <w:lastRenderedPageBreak/>
        <w:t>riesgo de lavado de activos en los Conceptos C-419 del 27 de octubre de 2023 y C-494 del 12 de noviembre de 2024</w:t>
      </w:r>
      <w:r w:rsidRPr="00753106">
        <w:rPr>
          <w:rStyle w:val="normaltextrun"/>
          <w:rFonts w:ascii="Verdana" w:hAnsi="Verdana" w:cs="Arial"/>
          <w:shd w:val="clear" w:color="auto" w:fill="FFFFFF"/>
          <w:lang w:val="es-ES"/>
        </w:rPr>
        <w:t>. Estos y otros conceptos se encuentran disponibles para consulta en el Sistema de relatoría de la Agencia</w:t>
      </w:r>
      <w:r w:rsidRPr="00753106">
        <w:rPr>
          <w:rFonts w:ascii="Verdana" w:hAnsi="Verdana"/>
          <w:lang w:val="es-ES"/>
        </w:rPr>
        <w:t>, al cual puede accederse a través del siguiente enlace:</w:t>
      </w:r>
      <w:r w:rsidRPr="00753106">
        <w:rPr>
          <w:rStyle w:val="normaltextrun"/>
          <w:rFonts w:ascii="Verdana" w:hAnsi="Verdana" w:cs="Arial"/>
          <w:shd w:val="clear" w:color="auto" w:fill="FFFFFF"/>
          <w:lang w:val="es-ES"/>
        </w:rPr>
        <w:t xml:space="preserve"> </w:t>
      </w:r>
      <w:hyperlink r:id="rId13" w:history="1">
        <w:r w:rsidRPr="00753106">
          <w:rPr>
            <w:rStyle w:val="Hyperlink"/>
            <w:rFonts w:ascii="Verdana" w:hAnsi="Verdana" w:cs="Arial"/>
            <w:shd w:val="clear" w:color="auto" w:fill="FFFFFF"/>
            <w:lang w:val="es-ES"/>
          </w:rPr>
          <w:t>https://relatoria.colombiacompra.gov.co/busqueda/conceptos</w:t>
        </w:r>
      </w:hyperlink>
      <w:r w:rsidRPr="00753106">
        <w:rPr>
          <w:rStyle w:val="normaltextrun"/>
          <w:rFonts w:ascii="Verdana" w:hAnsi="Verdana" w:cs="Arial"/>
          <w:shd w:val="clear" w:color="auto" w:fill="FFFFFF"/>
          <w:lang w:val="es-ES"/>
        </w:rPr>
        <w:t>.</w:t>
      </w:r>
      <w:r w:rsidRPr="00753106">
        <w:rPr>
          <w:rStyle w:val="normaltextrun"/>
          <w:rFonts w:ascii="Verdana" w:hAnsi="Verdana" w:cs="Arial"/>
          <w:color w:val="FF0000"/>
          <w:shd w:val="clear" w:color="auto" w:fill="FFFFFF"/>
          <w:lang w:val="es-ES"/>
        </w:rPr>
        <w:t xml:space="preserve"> </w:t>
      </w:r>
    </w:p>
    <w:p w14:paraId="048CA22D" w14:textId="77777777" w:rsidR="00BE3E00" w:rsidRPr="00753106" w:rsidRDefault="00BE3E00" w:rsidP="00BE3E00">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22363D84" w14:textId="77777777" w:rsidR="00BE3E00" w:rsidRPr="00753106" w:rsidRDefault="00BE3E00" w:rsidP="00BE3E00">
      <w:pPr>
        <w:spacing w:after="0" w:line="276" w:lineRule="auto"/>
        <w:jc w:val="both"/>
        <w:rPr>
          <w:rFonts w:ascii="Verdana" w:hAnsi="Verdana"/>
          <w:lang w:val="es-ES"/>
        </w:rPr>
      </w:pPr>
      <w:r w:rsidRPr="00753106">
        <w:rPr>
          <w:rFonts w:ascii="Verdana" w:hAnsi="Verdana"/>
          <w:lang w:val="es-ES"/>
        </w:rPr>
        <w:t xml:space="preserve">Por último, lo invitamos a seguirnos en las redes sociales en las cuales se difunde información institucional: </w:t>
      </w:r>
    </w:p>
    <w:p w14:paraId="15E2A807" w14:textId="77777777" w:rsidR="00BE3E00" w:rsidRPr="00753106" w:rsidRDefault="00BE3E00" w:rsidP="00BE3E00">
      <w:pPr>
        <w:spacing w:after="0" w:line="276" w:lineRule="auto"/>
        <w:jc w:val="both"/>
        <w:rPr>
          <w:rFonts w:ascii="Verdana" w:hAnsi="Verdana"/>
          <w:lang w:val="es-ES"/>
        </w:rPr>
      </w:pPr>
    </w:p>
    <w:p w14:paraId="3354DB6D" w14:textId="77777777" w:rsidR="00BE3E00" w:rsidRPr="00753106" w:rsidRDefault="00BE3E00" w:rsidP="00BE3E00">
      <w:pPr>
        <w:spacing w:after="0" w:line="276" w:lineRule="auto"/>
        <w:jc w:val="both"/>
        <w:rPr>
          <w:rFonts w:ascii="Verdana" w:hAnsi="Verdana"/>
          <w:lang w:val="es-ES"/>
        </w:rPr>
      </w:pPr>
      <w:r w:rsidRPr="00753106">
        <w:rPr>
          <w:rFonts w:ascii="Verdana" w:hAnsi="Verdana"/>
          <w:lang w:val="es-ES"/>
        </w:rPr>
        <w:t xml:space="preserve">Twitter: </w:t>
      </w:r>
      <w:r w:rsidRPr="00753106">
        <w:rPr>
          <w:rStyle w:val="Hyperlink"/>
          <w:rFonts w:ascii="Verdana" w:hAnsi="Verdana" w:cs="Arial"/>
          <w:shd w:val="clear" w:color="auto" w:fill="FFFFFF"/>
          <w:lang w:val="es-ES"/>
        </w:rPr>
        <w:t>@colombiacompra</w:t>
      </w:r>
      <w:r w:rsidRPr="00753106">
        <w:rPr>
          <w:rFonts w:ascii="Verdana" w:hAnsi="Verdana"/>
          <w:color w:val="4472C4" w:themeColor="accent1"/>
          <w:lang w:val="es-ES"/>
        </w:rPr>
        <w:t xml:space="preserve"> </w:t>
      </w:r>
    </w:p>
    <w:p w14:paraId="5972B7FE" w14:textId="77777777" w:rsidR="00BE3E00" w:rsidRPr="00753106" w:rsidRDefault="00BE3E00" w:rsidP="00BE3E00">
      <w:pPr>
        <w:spacing w:after="0" w:line="276" w:lineRule="auto"/>
        <w:jc w:val="both"/>
        <w:rPr>
          <w:rFonts w:ascii="Verdana" w:hAnsi="Verdana"/>
          <w:lang w:val="es-ES"/>
        </w:rPr>
      </w:pPr>
      <w:r w:rsidRPr="00753106">
        <w:rPr>
          <w:rFonts w:ascii="Verdana" w:hAnsi="Verdana"/>
          <w:lang w:val="es-ES"/>
        </w:rPr>
        <w:t xml:space="preserve">Facebook: </w:t>
      </w:r>
      <w:proofErr w:type="spellStart"/>
      <w:r w:rsidRPr="00753106">
        <w:rPr>
          <w:rStyle w:val="Hyperlink"/>
          <w:rFonts w:ascii="Verdana" w:hAnsi="Verdana" w:cs="Arial"/>
          <w:shd w:val="clear" w:color="auto" w:fill="FFFFFF"/>
          <w:lang w:val="es-ES"/>
        </w:rPr>
        <w:t>ColombiaCompraEficiente</w:t>
      </w:r>
      <w:proofErr w:type="spellEnd"/>
    </w:p>
    <w:p w14:paraId="21096B7C" w14:textId="77777777" w:rsidR="00BE3E00" w:rsidRPr="00753106" w:rsidRDefault="00BE3E00" w:rsidP="00BE3E00">
      <w:pPr>
        <w:spacing w:after="0" w:line="276" w:lineRule="auto"/>
        <w:jc w:val="both"/>
        <w:rPr>
          <w:rFonts w:ascii="Verdana" w:hAnsi="Verdana"/>
          <w:lang w:val="es-ES"/>
        </w:rPr>
      </w:pPr>
      <w:r w:rsidRPr="00753106">
        <w:rPr>
          <w:rFonts w:ascii="Verdana" w:hAnsi="Verdana"/>
          <w:lang w:val="es-ES"/>
        </w:rPr>
        <w:t xml:space="preserve">LinkedIn: </w:t>
      </w:r>
      <w:r w:rsidRPr="00753106">
        <w:rPr>
          <w:rStyle w:val="Hyperlink"/>
          <w:rFonts w:ascii="Verdana" w:hAnsi="Verdana" w:cs="Arial"/>
          <w:shd w:val="clear" w:color="auto" w:fill="FFFFFF"/>
          <w:lang w:val="es-ES"/>
        </w:rPr>
        <w:t xml:space="preserve">Agencia Nacional de Contratación Pública - Colombia Compra Eficiente </w:t>
      </w:r>
      <w:r w:rsidRPr="00753106">
        <w:rPr>
          <w:rFonts w:ascii="Verdana" w:hAnsi="Verdana"/>
          <w:lang w:val="es-ES"/>
        </w:rPr>
        <w:t xml:space="preserve">Instagram: </w:t>
      </w:r>
      <w:r w:rsidRPr="00753106">
        <w:rPr>
          <w:rStyle w:val="Hyperlink"/>
          <w:rFonts w:ascii="Verdana" w:hAnsi="Verdana" w:cs="Arial"/>
          <w:shd w:val="clear" w:color="auto" w:fill="FFFFFF"/>
          <w:lang w:val="es-ES"/>
        </w:rPr>
        <w:t>@colombiacompraeficiente_cce</w:t>
      </w:r>
    </w:p>
    <w:p w14:paraId="016D3038" w14:textId="77777777" w:rsidR="00BE3E00" w:rsidRPr="00753106" w:rsidRDefault="00BE3E00" w:rsidP="00BE3E00">
      <w:pPr>
        <w:widowControl w:val="0"/>
        <w:autoSpaceDE w:val="0"/>
        <w:autoSpaceDN w:val="0"/>
        <w:spacing w:after="0" w:line="276" w:lineRule="auto"/>
        <w:jc w:val="both"/>
        <w:rPr>
          <w:rFonts w:ascii="Verdana" w:hAnsi="Verdana" w:cs="Arial"/>
          <w:color w:val="000000" w:themeColor="text1"/>
          <w:lang w:val="es-ES"/>
        </w:rPr>
      </w:pPr>
    </w:p>
    <w:p w14:paraId="54DF8259" w14:textId="77777777" w:rsidR="00BE3E00" w:rsidRPr="00753106" w:rsidRDefault="00BE3E00" w:rsidP="00BE3E00">
      <w:pPr>
        <w:widowControl w:val="0"/>
        <w:autoSpaceDE w:val="0"/>
        <w:autoSpaceDN w:val="0"/>
        <w:spacing w:after="0" w:line="276" w:lineRule="auto"/>
        <w:jc w:val="both"/>
        <w:rPr>
          <w:rFonts w:ascii="Verdana" w:hAnsi="Verdana" w:cs="Arial"/>
          <w:color w:val="000000" w:themeColor="text1"/>
          <w:lang w:val="es-ES"/>
        </w:rPr>
      </w:pPr>
      <w:r w:rsidRPr="00753106">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D987E68" w14:textId="77777777" w:rsidR="00BE3E00" w:rsidRPr="00753106" w:rsidRDefault="00BE3E00" w:rsidP="00BE3E00">
      <w:pPr>
        <w:widowControl w:val="0"/>
        <w:autoSpaceDE w:val="0"/>
        <w:autoSpaceDN w:val="0"/>
        <w:spacing w:after="0" w:line="276" w:lineRule="auto"/>
        <w:jc w:val="both"/>
        <w:rPr>
          <w:rFonts w:ascii="Verdana" w:hAnsi="Verdana" w:cs="Arial"/>
          <w:color w:val="000000" w:themeColor="text1"/>
          <w:lang w:val="es-ES"/>
        </w:rPr>
      </w:pPr>
    </w:p>
    <w:p w14:paraId="7E361433" w14:textId="3659AF7C" w:rsidR="00BE3E00" w:rsidRPr="00753106" w:rsidRDefault="00BE3E00" w:rsidP="00BE3E00">
      <w:pPr>
        <w:spacing w:after="0" w:line="276" w:lineRule="auto"/>
        <w:rPr>
          <w:rFonts w:ascii="Verdana" w:hAnsi="Verdana" w:cs="Arial"/>
          <w:color w:val="000000" w:themeColor="text1"/>
          <w:lang w:val="es-ES" w:eastAsia="es-CO"/>
        </w:rPr>
      </w:pPr>
      <w:r w:rsidRPr="00753106">
        <w:rPr>
          <w:rFonts w:ascii="Verdana" w:eastAsia="Times New Roman" w:hAnsi="Verdana" w:cs="Arial"/>
          <w:color w:val="000000" w:themeColor="text1"/>
          <w:lang w:val="es-ES" w:eastAsia="es-CO"/>
        </w:rPr>
        <w:t>Atentamente,</w:t>
      </w:r>
      <w:r w:rsidRPr="00753106">
        <w:rPr>
          <w:rFonts w:ascii="Verdana" w:hAnsi="Verdana" w:cs="Arial"/>
          <w:color w:val="000000" w:themeColor="text1"/>
          <w:lang w:val="es-ES" w:eastAsia="es-CO"/>
        </w:rPr>
        <w:t xml:space="preserve"> </w:t>
      </w:r>
    </w:p>
    <w:p w14:paraId="7BB1E01C" w14:textId="0CD03BEB" w:rsidR="00BE3E00" w:rsidRPr="00753106" w:rsidRDefault="00C158B5" w:rsidP="00BE3E00">
      <w:pPr>
        <w:spacing w:line="276" w:lineRule="auto"/>
        <w:rPr>
          <w:lang w:val="es-ES"/>
        </w:rPr>
      </w:pPr>
      <w:r w:rsidRPr="002C3AD6">
        <w:rPr>
          <w:rFonts w:ascii="Century Gothic" w:hAnsi="Century Gothic"/>
          <w:noProof/>
        </w:rPr>
        <w:drawing>
          <wp:anchor distT="0" distB="0" distL="114300" distR="114300" simplePos="0" relativeHeight="251660289" behindDoc="0" locked="0" layoutInCell="1" allowOverlap="1" wp14:anchorId="2B976384" wp14:editId="01A61B51">
            <wp:simplePos x="0" y="0"/>
            <wp:positionH relativeFrom="column">
              <wp:posOffset>1156677</wp:posOffset>
            </wp:positionH>
            <wp:positionV relativeFrom="paragraph">
              <wp:posOffset>7375</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E3E00" w:rsidRPr="00753106" w14:paraId="221F16B2" w14:textId="77777777" w:rsidTr="00B25C04">
        <w:trPr>
          <w:trHeight w:val="315"/>
        </w:trPr>
        <w:tc>
          <w:tcPr>
            <w:tcW w:w="893" w:type="dxa"/>
            <w:vAlign w:val="center"/>
            <w:hideMark/>
          </w:tcPr>
          <w:p w14:paraId="71EF8E7A" w14:textId="77777777" w:rsidR="00BE3E00" w:rsidRPr="00753106" w:rsidRDefault="00BE3E00" w:rsidP="00B25C04">
            <w:pPr>
              <w:contextualSpacing/>
              <w:rPr>
                <w:rFonts w:ascii="Verdana" w:hAnsi="Verdana" w:cs="Arial"/>
                <w:sz w:val="15"/>
                <w:szCs w:val="15"/>
                <w:lang w:val="es-ES" w:eastAsia="es-ES"/>
              </w:rPr>
            </w:pPr>
            <w:r w:rsidRPr="00753106">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0E39C55A" w14:textId="77777777" w:rsidR="00BE3E00" w:rsidRPr="00753106" w:rsidRDefault="00BE3E00" w:rsidP="00B25C04">
            <w:pPr>
              <w:contextualSpacing/>
              <w:rPr>
                <w:rFonts w:ascii="Verdana" w:eastAsia="Arial" w:hAnsi="Verdana" w:cs="Arial"/>
                <w:color w:val="000000" w:themeColor="text1"/>
                <w:sz w:val="15"/>
                <w:szCs w:val="15"/>
                <w:lang w:val="es-ES"/>
              </w:rPr>
            </w:pPr>
            <w:r w:rsidRPr="00753106">
              <w:rPr>
                <w:rFonts w:ascii="Verdana" w:eastAsia="Arial" w:hAnsi="Verdana" w:cs="Arial"/>
                <w:color w:val="000000" w:themeColor="text1"/>
                <w:sz w:val="15"/>
                <w:szCs w:val="15"/>
                <w:lang w:val="es-ES"/>
              </w:rPr>
              <w:t>Anamaría Bonilla Prieto</w:t>
            </w:r>
          </w:p>
          <w:p w14:paraId="5954B7E1" w14:textId="77777777" w:rsidR="00BE3E00" w:rsidRPr="00753106" w:rsidRDefault="00BE3E00" w:rsidP="00B25C04">
            <w:pPr>
              <w:contextualSpacing/>
              <w:rPr>
                <w:rFonts w:ascii="Verdana" w:eastAsia="Arial" w:hAnsi="Verdana" w:cs="Arial"/>
                <w:sz w:val="15"/>
                <w:szCs w:val="15"/>
                <w:lang w:val="es-ES"/>
              </w:rPr>
            </w:pPr>
            <w:r w:rsidRPr="00753106">
              <w:rPr>
                <w:rStyle w:val="normaltextrun"/>
                <w:rFonts w:ascii="Verdana" w:eastAsia="Arial" w:hAnsi="Verdana" w:cs="Arial"/>
                <w:color w:val="000000" w:themeColor="text1"/>
                <w:sz w:val="15"/>
                <w:szCs w:val="15"/>
                <w:lang w:val="es-ES"/>
              </w:rPr>
              <w:t xml:space="preserve">Contratista de la Subdirección </w:t>
            </w:r>
            <w:r w:rsidRPr="00753106">
              <w:rPr>
                <w:rStyle w:val="normaltextrun"/>
                <w:rFonts w:ascii="Verdana" w:eastAsia="Arial" w:hAnsi="Verdana" w:cs="Arial"/>
                <w:sz w:val="15"/>
                <w:szCs w:val="15"/>
                <w:lang w:val="es-ES"/>
              </w:rPr>
              <w:t>de Gestión Contractual</w:t>
            </w:r>
          </w:p>
        </w:tc>
      </w:tr>
      <w:tr w:rsidR="00BE3E00" w:rsidRPr="00753106" w14:paraId="0FDF7244" w14:textId="77777777" w:rsidTr="00B25C04">
        <w:trPr>
          <w:trHeight w:val="330"/>
        </w:trPr>
        <w:tc>
          <w:tcPr>
            <w:tcW w:w="893" w:type="dxa"/>
            <w:vAlign w:val="center"/>
            <w:hideMark/>
          </w:tcPr>
          <w:p w14:paraId="1DB669FB" w14:textId="77777777" w:rsidR="00BE3E00" w:rsidRPr="00753106" w:rsidRDefault="00BE3E00" w:rsidP="00B25C04">
            <w:pPr>
              <w:contextualSpacing/>
              <w:rPr>
                <w:rFonts w:ascii="Verdana" w:hAnsi="Verdana" w:cs="Arial"/>
                <w:sz w:val="15"/>
                <w:szCs w:val="15"/>
                <w:lang w:val="es-ES" w:eastAsia="es-ES"/>
              </w:rPr>
            </w:pPr>
            <w:r w:rsidRPr="00753106">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A0C8850" w14:textId="77777777" w:rsidR="00BE3E00" w:rsidRPr="00753106" w:rsidRDefault="00BE3E00" w:rsidP="00B25C04">
            <w:pPr>
              <w:contextualSpacing/>
              <w:rPr>
                <w:rFonts w:ascii="Verdana" w:eastAsia="Arial" w:hAnsi="Verdana" w:cs="Arial"/>
                <w:color w:val="000000" w:themeColor="text1"/>
                <w:sz w:val="15"/>
                <w:szCs w:val="15"/>
                <w:lang w:val="es-ES"/>
              </w:rPr>
            </w:pPr>
            <w:r w:rsidRPr="00753106">
              <w:rPr>
                <w:rFonts w:ascii="Verdana" w:eastAsia="Arial" w:hAnsi="Verdana" w:cs="Arial"/>
                <w:color w:val="000000" w:themeColor="text1"/>
                <w:sz w:val="15"/>
                <w:szCs w:val="15"/>
                <w:lang w:val="es-ES"/>
              </w:rPr>
              <w:t>Alejandro Sarmiento Cantillo</w:t>
            </w:r>
          </w:p>
          <w:p w14:paraId="4DD665DD" w14:textId="77777777" w:rsidR="00BE3E00" w:rsidRPr="00753106" w:rsidRDefault="00BE3E00" w:rsidP="00B25C04">
            <w:pPr>
              <w:pStyle w:val="paragraph"/>
              <w:spacing w:before="0" w:beforeAutospacing="0" w:after="0" w:afterAutospacing="0"/>
              <w:contextualSpacing/>
              <w:textAlignment w:val="baseline"/>
              <w:rPr>
                <w:rFonts w:ascii="Verdana" w:hAnsi="Verdana" w:cs="Segoe UI"/>
                <w:sz w:val="15"/>
                <w:szCs w:val="15"/>
                <w:lang w:val="es-ES"/>
              </w:rPr>
            </w:pPr>
            <w:r w:rsidRPr="00753106">
              <w:rPr>
                <w:rFonts w:ascii="Verdana" w:eastAsia="Arial" w:hAnsi="Verdana" w:cs="Arial"/>
                <w:color w:val="000000" w:themeColor="text1"/>
                <w:sz w:val="15"/>
                <w:szCs w:val="15"/>
                <w:lang w:val="es-ES"/>
              </w:rPr>
              <w:t>Gestor T1 – 15 de la Subdirección de Gestión Contractual</w:t>
            </w:r>
            <w:r w:rsidRPr="00753106">
              <w:rPr>
                <w:rFonts w:ascii="Verdana" w:hAnsi="Verdana" w:cs="Segoe UI"/>
                <w:sz w:val="15"/>
                <w:szCs w:val="15"/>
                <w:lang w:val="es-ES"/>
              </w:rPr>
              <w:t> </w:t>
            </w:r>
          </w:p>
          <w:p w14:paraId="350EB26B" w14:textId="77777777" w:rsidR="00BE3E00" w:rsidRPr="00753106" w:rsidRDefault="00BE3E00" w:rsidP="00B25C04">
            <w:pPr>
              <w:pStyle w:val="paragraph"/>
              <w:spacing w:before="0" w:beforeAutospacing="0" w:after="0" w:afterAutospacing="0"/>
              <w:contextualSpacing/>
              <w:textAlignment w:val="baseline"/>
              <w:rPr>
                <w:rFonts w:ascii="Verdana" w:hAnsi="Verdana" w:cs="Segoe UI"/>
                <w:sz w:val="15"/>
                <w:szCs w:val="15"/>
                <w:lang w:val="es-ES"/>
              </w:rPr>
            </w:pPr>
          </w:p>
        </w:tc>
      </w:tr>
      <w:tr w:rsidR="00BE3E00" w:rsidRPr="00753106" w14:paraId="656A7007" w14:textId="77777777" w:rsidTr="00B25C04">
        <w:trPr>
          <w:trHeight w:val="300"/>
        </w:trPr>
        <w:tc>
          <w:tcPr>
            <w:tcW w:w="893" w:type="dxa"/>
            <w:vAlign w:val="center"/>
          </w:tcPr>
          <w:p w14:paraId="0A2F4172" w14:textId="77777777" w:rsidR="00BE3E00" w:rsidRPr="00753106" w:rsidRDefault="00BE3E00" w:rsidP="00B25C04">
            <w:pPr>
              <w:contextualSpacing/>
              <w:rPr>
                <w:rFonts w:ascii="Verdana" w:hAnsi="Verdana" w:cs="Arial"/>
                <w:sz w:val="15"/>
                <w:szCs w:val="15"/>
                <w:lang w:val="es-ES" w:eastAsia="es-ES"/>
              </w:rPr>
            </w:pPr>
            <w:r w:rsidRPr="00753106">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1EE625E" w14:textId="77777777" w:rsidR="00BE3E00" w:rsidRPr="00753106" w:rsidRDefault="00BE3E00" w:rsidP="00B25C04">
            <w:pPr>
              <w:contextualSpacing/>
              <w:rPr>
                <w:rFonts w:ascii="Verdana" w:eastAsia="Calibri" w:hAnsi="Verdana" w:cs="Arial"/>
                <w:sz w:val="16"/>
                <w:szCs w:val="16"/>
                <w:lang w:val="es-ES" w:eastAsia="es-ES"/>
              </w:rPr>
            </w:pPr>
            <w:r w:rsidRPr="00753106">
              <w:rPr>
                <w:rFonts w:ascii="Verdana" w:eastAsia="Calibri" w:hAnsi="Verdana" w:cs="Arial"/>
                <w:sz w:val="16"/>
                <w:szCs w:val="16"/>
                <w:lang w:val="es-ES" w:eastAsia="es-ES"/>
              </w:rPr>
              <w:t>Carolina Quintero Gacharná</w:t>
            </w:r>
          </w:p>
          <w:p w14:paraId="41409394" w14:textId="77777777" w:rsidR="00BE3E00" w:rsidRPr="00753106" w:rsidRDefault="00BE3E00" w:rsidP="00B25C04">
            <w:pPr>
              <w:contextualSpacing/>
              <w:rPr>
                <w:rFonts w:ascii="Verdana" w:eastAsia="Calibri" w:hAnsi="Verdana" w:cs="Arial"/>
                <w:sz w:val="15"/>
                <w:szCs w:val="15"/>
                <w:lang w:val="es-ES" w:eastAsia="es-ES"/>
              </w:rPr>
            </w:pPr>
            <w:r w:rsidRPr="00753106">
              <w:rPr>
                <w:rFonts w:ascii="Verdana" w:eastAsia="Calibri" w:hAnsi="Verdana" w:cs="Arial"/>
                <w:sz w:val="16"/>
                <w:szCs w:val="16"/>
                <w:lang w:val="es-ES" w:eastAsia="es-ES"/>
              </w:rPr>
              <w:t>Subdirectora de Gestión Contractual ANCP – CCE</w:t>
            </w:r>
          </w:p>
        </w:tc>
      </w:tr>
      <w:bookmarkEnd w:id="0"/>
    </w:tbl>
    <w:p w14:paraId="3F589F86" w14:textId="5C7298CA" w:rsidR="00BE3E00" w:rsidRPr="00753106" w:rsidRDefault="00BE3E00" w:rsidP="00BE3E00">
      <w:pPr>
        <w:rPr>
          <w:lang w:val="es-ES"/>
        </w:rPr>
      </w:pPr>
    </w:p>
    <w:p w14:paraId="45ECAF7F" w14:textId="77777777" w:rsidR="00BE3E00" w:rsidRPr="00753106" w:rsidRDefault="00BE3E00" w:rsidP="00BE3E00">
      <w:pPr>
        <w:rPr>
          <w:lang w:val="es-ES"/>
        </w:rPr>
      </w:pPr>
    </w:p>
    <w:p w14:paraId="2415707B" w14:textId="77777777" w:rsidR="00BE3E00" w:rsidRPr="00753106" w:rsidRDefault="00BE3E00" w:rsidP="00BE3E00">
      <w:pPr>
        <w:rPr>
          <w:lang w:val="es-ES"/>
        </w:rPr>
      </w:pPr>
    </w:p>
    <w:p w14:paraId="0F293BF4" w14:textId="787A6E0C" w:rsidR="00127233" w:rsidRPr="00753106" w:rsidRDefault="00127233" w:rsidP="00BE3E00">
      <w:pPr>
        <w:rPr>
          <w:lang w:val="es-ES"/>
        </w:rPr>
      </w:pPr>
    </w:p>
    <w:sectPr w:rsidR="00127233" w:rsidRPr="00753106"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16DEF" w14:textId="77777777" w:rsidR="001D532A" w:rsidRDefault="001D532A" w:rsidP="004A1847">
      <w:pPr>
        <w:spacing w:after="0" w:line="240" w:lineRule="auto"/>
      </w:pPr>
      <w:r>
        <w:separator/>
      </w:r>
    </w:p>
  </w:endnote>
  <w:endnote w:type="continuationSeparator" w:id="0">
    <w:p w14:paraId="60EE90D7" w14:textId="77777777" w:rsidR="001D532A" w:rsidRDefault="001D532A" w:rsidP="004A1847">
      <w:pPr>
        <w:spacing w:after="0" w:line="240" w:lineRule="auto"/>
      </w:pPr>
      <w:r>
        <w:continuationSeparator/>
      </w:r>
    </w:p>
  </w:endnote>
  <w:endnote w:type="continuationNotice" w:id="1">
    <w:p w14:paraId="58E2F97F" w14:textId="77777777" w:rsidR="001D532A" w:rsidRDefault="001D5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BAFDB" w14:textId="77777777" w:rsidR="001D532A" w:rsidRDefault="001D532A" w:rsidP="004A1847">
      <w:pPr>
        <w:spacing w:after="0" w:line="240" w:lineRule="auto"/>
      </w:pPr>
      <w:r>
        <w:separator/>
      </w:r>
    </w:p>
  </w:footnote>
  <w:footnote w:type="continuationSeparator" w:id="0">
    <w:p w14:paraId="649B8AE3" w14:textId="77777777" w:rsidR="001D532A" w:rsidRDefault="001D532A" w:rsidP="004A1847">
      <w:pPr>
        <w:spacing w:after="0" w:line="240" w:lineRule="auto"/>
      </w:pPr>
      <w:r>
        <w:continuationSeparator/>
      </w:r>
    </w:p>
  </w:footnote>
  <w:footnote w:type="continuationNotice" w:id="1">
    <w:p w14:paraId="3920017E" w14:textId="77777777" w:rsidR="001D532A" w:rsidRDefault="001D532A">
      <w:pPr>
        <w:spacing w:after="0" w:line="240" w:lineRule="auto"/>
      </w:pPr>
    </w:p>
  </w:footnote>
  <w:footnote w:id="2">
    <w:p w14:paraId="5E1F6487" w14:textId="77777777" w:rsidR="00BE3E00" w:rsidRPr="005916FD" w:rsidRDefault="00BE3E00" w:rsidP="00BE3E00">
      <w:pPr>
        <w:pStyle w:val="FootnoteText"/>
        <w:snapToGrid w:val="0"/>
        <w:ind w:firstLine="708"/>
        <w:contextualSpacing/>
        <w:jc w:val="both"/>
        <w:rPr>
          <w:rFonts w:ascii="Verdana" w:hAnsi="Verdana"/>
          <w:sz w:val="15"/>
          <w:szCs w:val="15"/>
          <w:lang w:val="es-ES"/>
        </w:rPr>
      </w:pPr>
      <w:r w:rsidRPr="005916FD">
        <w:rPr>
          <w:rStyle w:val="FootnoteReference"/>
          <w:rFonts w:ascii="Verdana" w:hAnsi="Verdana"/>
          <w:sz w:val="15"/>
          <w:szCs w:val="15"/>
        </w:rPr>
        <w:footnoteRef/>
      </w:r>
      <w:r w:rsidRPr="005916FD">
        <w:rPr>
          <w:rFonts w:ascii="Verdana" w:hAnsi="Verdana"/>
          <w:sz w:val="15"/>
          <w:szCs w:val="15"/>
        </w:rPr>
        <w:t xml:space="preserve"> Superintendencia Financiera, </w:t>
      </w:r>
      <w:r w:rsidRPr="005916FD">
        <w:rPr>
          <w:rFonts w:ascii="Verdana" w:hAnsi="Verdana" w:cs="Arial"/>
          <w:sz w:val="15"/>
          <w:szCs w:val="15"/>
          <w:lang w:eastAsia="es-CO"/>
        </w:rPr>
        <w:t>Capítulo IV, Titulo IV, Parte I de la Circular Básica Jurídica, Instrucciones relativas a la Administración del Riesgo de Lavado de Activos y de la Financiación del Terrorismo.</w:t>
      </w:r>
    </w:p>
  </w:footnote>
  <w:footnote w:id="3">
    <w:p w14:paraId="756069C7" w14:textId="77777777" w:rsidR="00BE3E00" w:rsidRPr="005916FD" w:rsidRDefault="00BE3E00" w:rsidP="00BE3E00">
      <w:pPr>
        <w:pStyle w:val="FootnoteText"/>
        <w:snapToGrid w:val="0"/>
        <w:ind w:firstLine="708"/>
        <w:contextualSpacing/>
        <w:jc w:val="both"/>
        <w:rPr>
          <w:rFonts w:ascii="Verdana" w:hAnsi="Verdana" w:cs="Arial"/>
          <w:sz w:val="15"/>
          <w:szCs w:val="15"/>
        </w:rPr>
      </w:pPr>
      <w:r w:rsidRPr="005916FD">
        <w:rPr>
          <w:rStyle w:val="FootnoteReference"/>
          <w:rFonts w:ascii="Verdana" w:hAnsi="Verdana" w:cs="Arial"/>
          <w:sz w:val="15"/>
          <w:szCs w:val="15"/>
        </w:rPr>
        <w:footnoteRef/>
      </w:r>
      <w:r w:rsidRPr="005916FD">
        <w:rPr>
          <w:rFonts w:ascii="Verdana" w:hAnsi="Verdana" w:cs="Arial"/>
          <w:sz w:val="15"/>
          <w:szCs w:val="15"/>
        </w:rPr>
        <w:t xml:space="preserve"> CONSEJO DE ESTADO. Sala de Consulta y Servicio Civil. Concepto del 27 de agosto de 2015. Rad. 2.264. C.P. Álvaro Namén Vargas.</w:t>
      </w:r>
    </w:p>
  </w:footnote>
  <w:footnote w:id="4">
    <w:p w14:paraId="0EC6F63A" w14:textId="77777777" w:rsidR="00BE3E00" w:rsidRPr="005916FD" w:rsidRDefault="00BE3E00" w:rsidP="00BE3E00">
      <w:pPr>
        <w:pStyle w:val="FootnoteText"/>
        <w:snapToGrid w:val="0"/>
        <w:ind w:firstLine="708"/>
        <w:contextualSpacing/>
        <w:jc w:val="both"/>
        <w:rPr>
          <w:rFonts w:ascii="Verdana" w:hAnsi="Verdana"/>
          <w:sz w:val="15"/>
          <w:szCs w:val="15"/>
          <w:lang w:val="es-CO"/>
        </w:rPr>
      </w:pPr>
      <w:r w:rsidRPr="005916FD">
        <w:rPr>
          <w:rStyle w:val="FootnoteReference"/>
          <w:rFonts w:ascii="Verdana" w:hAnsi="Verdana"/>
          <w:sz w:val="15"/>
          <w:szCs w:val="15"/>
        </w:rPr>
        <w:footnoteRef/>
      </w:r>
      <w:r w:rsidRPr="005916FD">
        <w:rPr>
          <w:rFonts w:ascii="Verdana" w:hAnsi="Verdana"/>
          <w:sz w:val="15"/>
          <w:szCs w:val="15"/>
        </w:rPr>
        <w:t xml:space="preserve"> El artículo 17 de la Ley 80 de 1993 establece las siguientes causales: i) cuando las exigencias del servicio público lo requieran o la situación de orden público lo imponga; ii) por muerte o incapacidad física permanente del contratista, si es persona natural, o por disolución de la persona jurídica del contratista; iii) por interdicción judicial o declaración de quiebra del contratista; y iv)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ii) se celebren contra expresa prohibición constitucional o legal y iii) se declaren nulos los actos administrativos en que se fundamenten.</w:t>
      </w:r>
    </w:p>
  </w:footnote>
  <w:footnote w:id="5">
    <w:p w14:paraId="01E0B729" w14:textId="77777777" w:rsidR="00BE3E00" w:rsidRPr="00C879B0" w:rsidRDefault="00BE3E00" w:rsidP="00BE3E00">
      <w:pPr>
        <w:spacing w:after="0"/>
        <w:ind w:firstLine="708"/>
        <w:jc w:val="both"/>
        <w:rPr>
          <w:rFonts w:ascii="Verdana" w:hAnsi="Verdana" w:cs="Arial"/>
          <w:color w:val="000000" w:themeColor="text1"/>
          <w:sz w:val="15"/>
          <w:szCs w:val="15"/>
        </w:rPr>
      </w:pPr>
      <w:r w:rsidRPr="00C879B0">
        <w:rPr>
          <w:rStyle w:val="FootnoteReference"/>
          <w:rFonts w:ascii="Verdana" w:hAnsi="Verdana" w:cs="Arial"/>
          <w:color w:val="000000" w:themeColor="text1"/>
          <w:sz w:val="15"/>
          <w:szCs w:val="15"/>
        </w:rPr>
        <w:footnoteRef/>
      </w:r>
      <w:r w:rsidRPr="00C879B0">
        <w:rPr>
          <w:rFonts w:ascii="Verdana" w:hAnsi="Verdana" w:cs="Arial"/>
          <w:color w:val="000000" w:themeColor="text1"/>
          <w:sz w:val="15"/>
          <w:szCs w:val="15"/>
        </w:rPr>
        <w:t xml:space="preserve"> Diario Oficial No. 41.094 de 28 de octubre de 1993.</w:t>
      </w:r>
    </w:p>
  </w:footnote>
  <w:footnote w:id="6">
    <w:p w14:paraId="24DF5A31" w14:textId="77777777" w:rsidR="00BE3E00" w:rsidRPr="005916FD" w:rsidRDefault="00BE3E00" w:rsidP="00BE3E00">
      <w:pPr>
        <w:snapToGrid w:val="0"/>
        <w:spacing w:after="0" w:line="240" w:lineRule="auto"/>
        <w:ind w:firstLine="708"/>
        <w:contextualSpacing/>
        <w:jc w:val="both"/>
        <w:rPr>
          <w:rFonts w:ascii="Verdana" w:hAnsi="Verdana" w:cs="Arial"/>
          <w:color w:val="000000" w:themeColor="text1"/>
          <w:sz w:val="15"/>
          <w:szCs w:val="15"/>
          <w:lang w:val="es-ES"/>
        </w:rPr>
      </w:pPr>
      <w:r w:rsidRPr="005916FD">
        <w:rPr>
          <w:rStyle w:val="FootnoteReference"/>
          <w:rFonts w:ascii="Verdana" w:hAnsi="Verdana"/>
          <w:sz w:val="15"/>
          <w:szCs w:val="15"/>
        </w:rPr>
        <w:footnoteRef/>
      </w:r>
      <w:r w:rsidRPr="005916FD">
        <w:rPr>
          <w:rFonts w:ascii="Verdana" w:hAnsi="Verdana"/>
          <w:sz w:val="15"/>
          <w:szCs w:val="15"/>
        </w:rPr>
        <w:t xml:space="preserve"> </w:t>
      </w:r>
      <w:r w:rsidRPr="005916FD">
        <w:rPr>
          <w:rFonts w:ascii="Verdana" w:hAnsi="Verdana" w:cs="Arial"/>
          <w:color w:val="000000" w:themeColor="text1"/>
          <w:sz w:val="15"/>
          <w:szCs w:val="15"/>
          <w:lang w:val="es-ES"/>
        </w:rPr>
        <w:t xml:space="preserve">El artículo 17 de la Ley 80 de 1993 establece expresamente en que eventos procede la terminación unilateral del contrato. Al efecto, la norma establece las siguientes causales: i) cuando las exigencias del servicio público lo requieran o la situación de orden público lo imponga; </w:t>
      </w:r>
      <w:proofErr w:type="spellStart"/>
      <w:r w:rsidRPr="005916FD">
        <w:rPr>
          <w:rFonts w:ascii="Verdana" w:hAnsi="Verdana" w:cs="Arial"/>
          <w:color w:val="000000" w:themeColor="text1"/>
          <w:sz w:val="15"/>
          <w:szCs w:val="15"/>
          <w:lang w:val="es-ES"/>
        </w:rPr>
        <w:t>ii</w:t>
      </w:r>
      <w:proofErr w:type="spellEnd"/>
      <w:r w:rsidRPr="005916FD">
        <w:rPr>
          <w:rFonts w:ascii="Verdana" w:hAnsi="Verdana" w:cs="Arial"/>
          <w:color w:val="000000" w:themeColor="text1"/>
          <w:sz w:val="15"/>
          <w:szCs w:val="15"/>
          <w:lang w:val="es-ES"/>
        </w:rPr>
        <w:t xml:space="preserve">) por muerte o incapacidad física permanente del contratista, si es persona natural, o por disolución de la persona jurídica del contratista; </w:t>
      </w:r>
      <w:proofErr w:type="spellStart"/>
      <w:r w:rsidRPr="005916FD">
        <w:rPr>
          <w:rFonts w:ascii="Verdana" w:hAnsi="Verdana" w:cs="Arial"/>
          <w:color w:val="000000" w:themeColor="text1"/>
          <w:sz w:val="15"/>
          <w:szCs w:val="15"/>
          <w:lang w:val="es-ES"/>
        </w:rPr>
        <w:t>iii</w:t>
      </w:r>
      <w:proofErr w:type="spellEnd"/>
      <w:r w:rsidRPr="005916FD">
        <w:rPr>
          <w:rFonts w:ascii="Verdana" w:hAnsi="Verdana" w:cs="Arial"/>
          <w:color w:val="000000" w:themeColor="text1"/>
          <w:sz w:val="15"/>
          <w:szCs w:val="15"/>
          <w:lang w:val="es-ES"/>
        </w:rPr>
        <w:t xml:space="preserve">) por interdicción judicial o declaración de quiebra del contratista; y </w:t>
      </w:r>
      <w:proofErr w:type="spellStart"/>
      <w:r w:rsidRPr="005916FD">
        <w:rPr>
          <w:rFonts w:ascii="Verdana" w:hAnsi="Verdana" w:cs="Arial"/>
          <w:color w:val="000000" w:themeColor="text1"/>
          <w:sz w:val="15"/>
          <w:szCs w:val="15"/>
          <w:lang w:val="es-ES"/>
        </w:rPr>
        <w:t>iv</w:t>
      </w:r>
      <w:proofErr w:type="spellEnd"/>
      <w:r w:rsidRPr="005916FD">
        <w:rPr>
          <w:rFonts w:ascii="Verdana" w:hAnsi="Verdana" w:cs="Arial"/>
          <w:color w:val="000000" w:themeColor="text1"/>
          <w:sz w:val="15"/>
          <w:szCs w:val="15"/>
          <w:lang w:val="es-ES"/>
        </w:rPr>
        <w:t xml:space="preserve">)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w:t>
      </w:r>
      <w:proofErr w:type="spellStart"/>
      <w:r w:rsidRPr="005916FD">
        <w:rPr>
          <w:rFonts w:ascii="Verdana" w:hAnsi="Verdana" w:cs="Arial"/>
          <w:color w:val="000000" w:themeColor="text1"/>
          <w:sz w:val="15"/>
          <w:szCs w:val="15"/>
          <w:lang w:val="es-ES"/>
        </w:rPr>
        <w:t>ii</w:t>
      </w:r>
      <w:proofErr w:type="spellEnd"/>
      <w:r w:rsidRPr="005916FD">
        <w:rPr>
          <w:rFonts w:ascii="Verdana" w:hAnsi="Verdana" w:cs="Arial"/>
          <w:color w:val="000000" w:themeColor="text1"/>
          <w:sz w:val="15"/>
          <w:szCs w:val="15"/>
          <w:lang w:val="es-ES"/>
        </w:rPr>
        <w:t xml:space="preserve">) se celebren contra expresa prohibición constitucional o legal y </w:t>
      </w:r>
      <w:proofErr w:type="spellStart"/>
      <w:r w:rsidRPr="005916FD">
        <w:rPr>
          <w:rFonts w:ascii="Verdana" w:hAnsi="Verdana" w:cs="Arial"/>
          <w:color w:val="000000" w:themeColor="text1"/>
          <w:sz w:val="15"/>
          <w:szCs w:val="15"/>
          <w:lang w:val="es-ES"/>
        </w:rPr>
        <w:t>iii</w:t>
      </w:r>
      <w:proofErr w:type="spellEnd"/>
      <w:r w:rsidRPr="005916FD">
        <w:rPr>
          <w:rFonts w:ascii="Verdana" w:hAnsi="Verdana" w:cs="Arial"/>
          <w:color w:val="000000" w:themeColor="text1"/>
          <w:sz w:val="15"/>
          <w:szCs w:val="15"/>
          <w:lang w:val="es-ES"/>
        </w:rPr>
        <w:t>) se declaren nulos los actos administrativos en que se fundamenten.</w:t>
      </w:r>
    </w:p>
    <w:p w14:paraId="2793C96B" w14:textId="77777777" w:rsidR="00BE3E00" w:rsidRPr="005916FD" w:rsidRDefault="00BE3E00" w:rsidP="00BE3E00">
      <w:pPr>
        <w:snapToGrid w:val="0"/>
        <w:spacing w:after="0" w:line="240" w:lineRule="auto"/>
        <w:ind w:firstLine="708"/>
        <w:contextualSpacing/>
        <w:jc w:val="both"/>
        <w:rPr>
          <w:rFonts w:ascii="Verdana" w:hAnsi="Verdana" w:cs="Arial"/>
          <w:color w:val="000000" w:themeColor="text1"/>
          <w:sz w:val="15"/>
          <w:szCs w:val="15"/>
          <w:lang w:val="es-ES"/>
        </w:rPr>
      </w:pPr>
      <w:r w:rsidRPr="005916FD">
        <w:rPr>
          <w:rFonts w:ascii="Verdana" w:hAnsi="Verdana" w:cs="Arial"/>
          <w:color w:val="000000" w:themeColor="text1"/>
          <w:sz w:val="15"/>
          <w:szCs w:val="15"/>
          <w:lang w:val="es-ES"/>
        </w:rPr>
        <w:t>Ninguna de las causales de terminación unilateral mencionadas en el párrafo precedente se relaciona con los controles derivados d</w:t>
      </w:r>
      <w:r w:rsidRPr="005916FD">
        <w:rPr>
          <w:rFonts w:ascii="Verdana" w:eastAsia="Calibri" w:hAnsi="Verdana" w:cs="Arial"/>
          <w:color w:val="000000" w:themeColor="text1"/>
          <w:sz w:val="15"/>
          <w:szCs w:val="15"/>
          <w:lang w:val="es-ES"/>
        </w:rPr>
        <w:t>el SARLAFT. Dado que las potestades exorbitantes de las entidades públicas se rigen por el principio de legalidad, el ejercicio de la autonomía de la voluntad no permite adicionar los supuestos planteados con el supuesto objeto de consulta. Lo anterior teniendo en cuenta que el artículo 13, inciso primero, de la Ley 80 de 1993 dispone que “Los contratos que celebren las entidades a que se refiere el artículo 2o. del presente estatuto se regirán por las disposiciones comerciales y civiles pertinentes, salvo en las materias particularmente reguladas en esta ley”.</w:t>
      </w:r>
      <w:r w:rsidRPr="005916FD">
        <w:rPr>
          <w:rFonts w:ascii="Verdana" w:hAnsi="Verdana" w:cs="Arial"/>
          <w:color w:val="000000" w:themeColor="text1"/>
          <w:sz w:val="15"/>
          <w:szCs w:val="15"/>
          <w:lang w:val="es-ES"/>
        </w:rPr>
        <w:t xml:space="preserve"> En consecuencia, dado que la terminación unilateral tiene regulación especial en los artículos 17 y 45 del EGCAP, las causales aplicables son de interpretación restrictiva.</w:t>
      </w:r>
    </w:p>
  </w:footnote>
  <w:footnote w:id="7">
    <w:p w14:paraId="6BA2E084" w14:textId="77777777" w:rsidR="00BE3E00" w:rsidRPr="005916FD" w:rsidRDefault="00BE3E00" w:rsidP="00BE3E00">
      <w:pPr>
        <w:snapToGrid w:val="0"/>
        <w:spacing w:after="0" w:line="240" w:lineRule="auto"/>
        <w:ind w:firstLine="708"/>
        <w:contextualSpacing/>
        <w:jc w:val="both"/>
        <w:rPr>
          <w:rFonts w:ascii="Verdana" w:eastAsia="Calibri" w:hAnsi="Verdana" w:cs="Arial"/>
          <w:i/>
          <w:iCs/>
          <w:color w:val="000000" w:themeColor="text1"/>
          <w:sz w:val="15"/>
          <w:szCs w:val="15"/>
          <w:lang w:val="es-ES"/>
        </w:rPr>
      </w:pPr>
      <w:r w:rsidRPr="005916FD">
        <w:rPr>
          <w:rStyle w:val="FootnoteReference"/>
          <w:rFonts w:ascii="Verdana" w:hAnsi="Verdana"/>
          <w:sz w:val="15"/>
          <w:szCs w:val="15"/>
        </w:rPr>
        <w:footnoteRef/>
      </w:r>
      <w:r w:rsidRPr="005916FD">
        <w:rPr>
          <w:rFonts w:ascii="Verdana" w:hAnsi="Verdana"/>
          <w:sz w:val="15"/>
          <w:szCs w:val="15"/>
        </w:rPr>
        <w:t xml:space="preserve"> </w:t>
      </w:r>
      <w:r w:rsidRPr="005916FD">
        <w:rPr>
          <w:rFonts w:ascii="Verdana" w:eastAsia="Calibri" w:hAnsi="Verdana" w:cs="Arial"/>
          <w:color w:val="000000" w:themeColor="text1"/>
          <w:sz w:val="15"/>
          <w:szCs w:val="15"/>
          <w:lang w:val="es-ES"/>
        </w:rPr>
        <w:t xml:space="preserve">Al respecto, conforme al anexo de la Circular Conjunta 034 de 2011 de la Procuraduría General de la Nación, la Auditoría General de la Nación y la Contraloría General de Santander, cabe destacar que la Orden Ejecutiva 12.798 del Gobierno de Estados Unidos no rige en Colombia. Dado que carece de fuerza vinculante en nuestro ordenamiento jurídico, esta Agencia ha sostenido que la inclusión en dicha lista </w:t>
      </w:r>
      <w:r w:rsidRPr="005916FD">
        <w:rPr>
          <w:rFonts w:ascii="Verdana" w:eastAsia="Calibri" w:hAnsi="Verdana" w:cs="Arial"/>
          <w:i/>
          <w:iCs/>
          <w:color w:val="000000" w:themeColor="text1"/>
          <w:sz w:val="15"/>
          <w:szCs w:val="15"/>
          <w:lang w:val="es-ES"/>
        </w:rPr>
        <w:t xml:space="preserve">no genera inhabilidad o incompatibilidad para contratar con el Estado ni puede ser considerada como una causal de terminación unilateral. </w:t>
      </w:r>
    </w:p>
    <w:p w14:paraId="628C0F34" w14:textId="77777777" w:rsidR="00BE3E00" w:rsidRPr="005916FD" w:rsidRDefault="00BE3E00" w:rsidP="00BE3E00">
      <w:pPr>
        <w:pStyle w:val="FootnoteText"/>
        <w:snapToGrid w:val="0"/>
        <w:contextualSpacing/>
        <w:rPr>
          <w:rFonts w:ascii="Verdana" w:hAnsi="Verdana"/>
          <w:sz w:val="15"/>
          <w:szCs w:val="15"/>
          <w:lang w:val="es-ES"/>
        </w:rPr>
      </w:pPr>
    </w:p>
  </w:footnote>
  <w:footnote w:id="8">
    <w:p w14:paraId="3230236B" w14:textId="77777777" w:rsidR="00BE3E00" w:rsidRPr="00C879B0" w:rsidRDefault="00BE3E00" w:rsidP="00BE3E00">
      <w:pPr>
        <w:pStyle w:val="FootnoteText"/>
        <w:ind w:firstLine="708"/>
        <w:jc w:val="both"/>
        <w:rPr>
          <w:rFonts w:ascii="Verdana" w:hAnsi="Verdana" w:cs="Arial"/>
          <w:color w:val="000000" w:themeColor="text1"/>
          <w:sz w:val="15"/>
          <w:szCs w:val="15"/>
          <w:lang w:val="pt-BR"/>
        </w:rPr>
      </w:pPr>
      <w:r w:rsidRPr="00C879B0">
        <w:rPr>
          <w:rStyle w:val="FootnoteReference"/>
          <w:rFonts w:ascii="Verdana" w:hAnsi="Verdana" w:cs="Arial"/>
          <w:color w:val="000000" w:themeColor="text1"/>
          <w:sz w:val="15"/>
          <w:szCs w:val="15"/>
        </w:rPr>
        <w:footnoteRef/>
      </w:r>
      <w:r w:rsidRPr="00C879B0">
        <w:rPr>
          <w:rFonts w:ascii="Verdana" w:hAnsi="Verdana" w:cs="Arial"/>
          <w:color w:val="000000" w:themeColor="text1"/>
          <w:sz w:val="15"/>
          <w:szCs w:val="15"/>
          <w:lang w:val="pt-BR"/>
        </w:rPr>
        <w:t xml:space="preserve"> CORTE CONSTITUCIONAL. Sentencia T-468 de 2003. M.P. Rodrigo Escobar Gil.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12.3pt;height:12.3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A0E"/>
    <w:rsid w:val="00082362"/>
    <w:rsid w:val="000A683E"/>
    <w:rsid w:val="000B19B9"/>
    <w:rsid w:val="000D0334"/>
    <w:rsid w:val="000D5DA7"/>
    <w:rsid w:val="000F6486"/>
    <w:rsid w:val="00116940"/>
    <w:rsid w:val="00125105"/>
    <w:rsid w:val="00127233"/>
    <w:rsid w:val="0015699B"/>
    <w:rsid w:val="00182B7C"/>
    <w:rsid w:val="001A33BF"/>
    <w:rsid w:val="001D532A"/>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2E6D6E"/>
    <w:rsid w:val="0030657A"/>
    <w:rsid w:val="00322A85"/>
    <w:rsid w:val="00324168"/>
    <w:rsid w:val="00330834"/>
    <w:rsid w:val="003448F4"/>
    <w:rsid w:val="00374F5E"/>
    <w:rsid w:val="00377E3E"/>
    <w:rsid w:val="003976E7"/>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247E0"/>
    <w:rsid w:val="007340C3"/>
    <w:rsid w:val="0075235A"/>
    <w:rsid w:val="00753106"/>
    <w:rsid w:val="007562A0"/>
    <w:rsid w:val="00756841"/>
    <w:rsid w:val="007649AB"/>
    <w:rsid w:val="00771D0C"/>
    <w:rsid w:val="007833AC"/>
    <w:rsid w:val="007B268C"/>
    <w:rsid w:val="007B7171"/>
    <w:rsid w:val="007C0C0F"/>
    <w:rsid w:val="007C3DC2"/>
    <w:rsid w:val="007E4214"/>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42EBE"/>
    <w:rsid w:val="0095685E"/>
    <w:rsid w:val="00961B09"/>
    <w:rsid w:val="00965334"/>
    <w:rsid w:val="0097093E"/>
    <w:rsid w:val="009A0DFA"/>
    <w:rsid w:val="009A1C6F"/>
    <w:rsid w:val="009B2D26"/>
    <w:rsid w:val="009B7A42"/>
    <w:rsid w:val="009C71FA"/>
    <w:rsid w:val="009C72E7"/>
    <w:rsid w:val="009C7F7E"/>
    <w:rsid w:val="009D3058"/>
    <w:rsid w:val="009D6144"/>
    <w:rsid w:val="009F3A13"/>
    <w:rsid w:val="00A122D3"/>
    <w:rsid w:val="00A14468"/>
    <w:rsid w:val="00A17F13"/>
    <w:rsid w:val="00A20739"/>
    <w:rsid w:val="00A23AF9"/>
    <w:rsid w:val="00A33C78"/>
    <w:rsid w:val="00AB0ADB"/>
    <w:rsid w:val="00B00C0E"/>
    <w:rsid w:val="00B01B1A"/>
    <w:rsid w:val="00B0381D"/>
    <w:rsid w:val="00B44A47"/>
    <w:rsid w:val="00B55206"/>
    <w:rsid w:val="00B72CD3"/>
    <w:rsid w:val="00B72FFF"/>
    <w:rsid w:val="00BC3D36"/>
    <w:rsid w:val="00BD54A6"/>
    <w:rsid w:val="00BD7F72"/>
    <w:rsid w:val="00BE3E00"/>
    <w:rsid w:val="00BF7425"/>
    <w:rsid w:val="00C04FB3"/>
    <w:rsid w:val="00C11D8B"/>
    <w:rsid w:val="00C15139"/>
    <w:rsid w:val="00C158B5"/>
    <w:rsid w:val="00C330EB"/>
    <w:rsid w:val="00C50D69"/>
    <w:rsid w:val="00C5365C"/>
    <w:rsid w:val="00C73FB7"/>
    <w:rsid w:val="00C754BE"/>
    <w:rsid w:val="00C76B1C"/>
    <w:rsid w:val="00C925AC"/>
    <w:rsid w:val="00CB6357"/>
    <w:rsid w:val="00CC1B26"/>
    <w:rsid w:val="00D10120"/>
    <w:rsid w:val="00D176CE"/>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4295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1"/>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BE3E00"/>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1"/>
    <w:qFormat/>
    <w:locked/>
    <w:rsid w:val="00BE3E00"/>
    <w:rPr>
      <w:rFonts w:ascii="Geomanist Light" w:hAnsi="Geomanist Light"/>
      <w:lang w:val="es-ES"/>
    </w:rPr>
  </w:style>
  <w:style w:type="character" w:customStyle="1" w:styleId="s15">
    <w:name w:val="s15"/>
    <w:basedOn w:val="DefaultParagraphFont"/>
    <w:rsid w:val="00BE3E00"/>
  </w:style>
  <w:style w:type="character" w:customStyle="1" w:styleId="apple-converted-space">
    <w:name w:val="apple-converted-space"/>
    <w:basedOn w:val="DefaultParagraphFont"/>
    <w:rsid w:val="00BE3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89386-17A8-4EEE-8D50-7913965A2D7D}"/>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20</Pages>
  <Words>6576</Words>
  <Characters>37486</Characters>
  <Application>Microsoft Office Word</Application>
  <DocSecurity>0</DocSecurity>
  <Lines>312</Lines>
  <Paragraphs>87</Paragraphs>
  <ScaleCrop>false</ScaleCrop>
  <Company/>
  <LinksUpToDate>false</LinksUpToDate>
  <CharactersWithSpaces>43975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6</cp:revision>
  <cp:lastPrinted>2023-01-10T21:18:00Z</cp:lastPrinted>
  <dcterms:created xsi:type="dcterms:W3CDTF">2026-06-19T21:51:00Z</dcterms:created>
  <dcterms:modified xsi:type="dcterms:W3CDTF">2026-06-19T21:58:00Z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