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D2817" w14:textId="77777777" w:rsidR="004B2F8D" w:rsidRPr="006B5889" w:rsidRDefault="006B0D02" w:rsidP="004B2F8D">
      <w:pPr>
        <w:snapToGrid w:val="0"/>
        <w:contextualSpacing/>
        <w:jc w:val="both"/>
        <w:rPr>
          <w:rFonts w:ascii="Verdana" w:eastAsia="Calibri" w:hAnsi="Verdana" w:cs="Arial"/>
          <w:b/>
          <w:bCs/>
          <w:lang w:val="es-ES" w:eastAsia="es-ES"/>
        </w:rPr>
      </w:pPr>
      <w:bookmarkStart w:id="0" w:name="_Hlk143780582"/>
      <w:r w:rsidRPr="006B5889">
        <w:rPr>
          <w:rFonts w:ascii="Verdana" w:hAnsi="Verdana"/>
          <w:b/>
          <w:bCs/>
        </w:rPr>
        <w:t xml:space="preserve">ENTIDADES DE RÉGIMEN ESPECIAL – Procedimientos contractuales – </w:t>
      </w:r>
      <w:r w:rsidR="004B2F8D" w:rsidRPr="006B5889">
        <w:rPr>
          <w:rFonts w:ascii="Verdana" w:eastAsia="Calibri" w:hAnsi="Verdana" w:cs="Arial"/>
          <w:b/>
          <w:bCs/>
          <w:lang w:val="es-ES" w:eastAsia="es-ES"/>
        </w:rPr>
        <w:t>Justificación – Criterios de clasificación</w:t>
      </w:r>
    </w:p>
    <w:p w14:paraId="14B566CD" w14:textId="77777777" w:rsidR="006B0D02" w:rsidRPr="006B5889" w:rsidRDefault="006B0D02" w:rsidP="006B0D02">
      <w:pPr>
        <w:spacing w:after="0"/>
        <w:rPr>
          <w:rFonts w:ascii="Verdana" w:hAnsi="Verdana"/>
          <w:b/>
          <w:bCs/>
          <w:sz w:val="20"/>
          <w:szCs w:val="20"/>
        </w:rPr>
      </w:pPr>
    </w:p>
    <w:p w14:paraId="0E35942D" w14:textId="77777777" w:rsidR="006B0D02" w:rsidRPr="006B5889" w:rsidRDefault="006B0D02" w:rsidP="004B2F8D">
      <w:pPr>
        <w:spacing w:after="0" w:line="240" w:lineRule="auto"/>
        <w:jc w:val="both"/>
        <w:rPr>
          <w:rFonts w:ascii="Verdana" w:hAnsi="Verdana"/>
          <w:sz w:val="20"/>
          <w:szCs w:val="20"/>
        </w:rPr>
      </w:pPr>
      <w:r w:rsidRPr="006B5889">
        <w:rPr>
          <w:rFonts w:ascii="Verdana" w:hAnsi="Verdana"/>
          <w:sz w:val="20"/>
          <w:szCs w:val="20"/>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388243B0" w14:textId="77777777" w:rsidR="006B0D02" w:rsidRPr="006B5889" w:rsidRDefault="006B0D02" w:rsidP="004B2F8D">
      <w:pPr>
        <w:spacing w:after="0" w:line="240" w:lineRule="auto"/>
        <w:jc w:val="both"/>
        <w:rPr>
          <w:rFonts w:ascii="Verdana" w:hAnsi="Verdana"/>
          <w:sz w:val="20"/>
          <w:szCs w:val="20"/>
        </w:rPr>
      </w:pPr>
    </w:p>
    <w:p w14:paraId="07322FAC" w14:textId="2B5B91AF" w:rsidR="004B2F8D" w:rsidRPr="006B5889" w:rsidRDefault="004B2F8D" w:rsidP="004B2F8D">
      <w:pPr>
        <w:spacing w:after="0" w:line="240" w:lineRule="auto"/>
        <w:jc w:val="both"/>
        <w:rPr>
          <w:rFonts w:ascii="Verdana" w:hAnsi="Verdana"/>
          <w:sz w:val="20"/>
          <w:szCs w:val="20"/>
        </w:rPr>
      </w:pPr>
      <w:r w:rsidRPr="006B5889">
        <w:rPr>
          <w:rFonts w:ascii="Verdana" w:eastAsia="Times New Roman" w:hAnsi="Verdana" w:cs="Arial"/>
          <w:sz w:val="20"/>
          <w:szCs w:val="20"/>
          <w:lang w:val="es-ES" w:eastAsia="es-ES"/>
          <w14:ligatures w14:val="standardContextual"/>
        </w:rPr>
        <w:t>[…]</w:t>
      </w:r>
    </w:p>
    <w:p w14:paraId="7B65AAC4" w14:textId="77777777" w:rsidR="004B2F8D" w:rsidRPr="006B5889" w:rsidRDefault="004B2F8D" w:rsidP="004B2F8D">
      <w:pPr>
        <w:spacing w:after="0" w:line="240" w:lineRule="auto"/>
        <w:jc w:val="both"/>
        <w:rPr>
          <w:rFonts w:ascii="Verdana" w:hAnsi="Verdana"/>
          <w:sz w:val="20"/>
          <w:szCs w:val="20"/>
        </w:rPr>
      </w:pPr>
    </w:p>
    <w:p w14:paraId="582478C3" w14:textId="77777777" w:rsidR="00DD4F5A" w:rsidRPr="006B5889" w:rsidRDefault="00DD4F5A" w:rsidP="004B2F8D">
      <w:pPr>
        <w:snapToGrid w:val="0"/>
        <w:spacing w:after="0" w:line="240" w:lineRule="auto"/>
        <w:contextualSpacing/>
        <w:jc w:val="both"/>
        <w:rPr>
          <w:rFonts w:ascii="Verdana" w:hAnsi="Verdana" w:cs="Arial"/>
          <w:sz w:val="20"/>
          <w:szCs w:val="20"/>
        </w:rPr>
      </w:pPr>
      <w:r w:rsidRPr="006B5889">
        <w:rPr>
          <w:rFonts w:ascii="Verdana" w:hAnsi="Verdana" w:cs="Arial"/>
          <w:sz w:val="20"/>
          <w:szCs w:val="20"/>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p>
    <w:p w14:paraId="61320CDE" w14:textId="77777777" w:rsidR="00DD4F5A" w:rsidRPr="006B5889" w:rsidRDefault="00DD4F5A" w:rsidP="006B0D02">
      <w:pPr>
        <w:spacing w:after="0"/>
        <w:jc w:val="both"/>
        <w:rPr>
          <w:rFonts w:ascii="Verdana" w:hAnsi="Verdana"/>
          <w:sz w:val="20"/>
          <w:szCs w:val="20"/>
        </w:rPr>
      </w:pPr>
    </w:p>
    <w:p w14:paraId="501B3212" w14:textId="77777777" w:rsidR="00972486" w:rsidRPr="006B5889" w:rsidRDefault="00972486" w:rsidP="00972486">
      <w:pPr>
        <w:spacing w:after="0" w:line="240" w:lineRule="auto"/>
        <w:jc w:val="both"/>
        <w:rPr>
          <w:rFonts w:ascii="Verdana" w:eastAsia="Calibri" w:hAnsi="Verdana" w:cs="Arial"/>
          <w:b/>
          <w:lang w:val="es-ES"/>
        </w:rPr>
      </w:pPr>
      <w:r w:rsidRPr="006B5889">
        <w:rPr>
          <w:rFonts w:ascii="Verdana" w:eastAsia="Calibri" w:hAnsi="Verdana" w:cs="Arial"/>
          <w:b/>
          <w:lang w:val="es-ES"/>
        </w:rPr>
        <w:t>ENTIDADES EXCEPTUADAS – Aplicación de normas de derecho público</w:t>
      </w:r>
    </w:p>
    <w:p w14:paraId="3E5CAE23" w14:textId="77777777" w:rsidR="00972486" w:rsidRPr="006B5889" w:rsidRDefault="00972486" w:rsidP="00972486">
      <w:pPr>
        <w:spacing w:after="0" w:line="240" w:lineRule="auto"/>
        <w:jc w:val="both"/>
        <w:rPr>
          <w:rFonts w:ascii="Verdana" w:eastAsia="Calibri" w:hAnsi="Verdana" w:cs="Arial"/>
          <w:b/>
          <w:sz w:val="20"/>
          <w:szCs w:val="20"/>
          <w:lang w:val="es-ES"/>
        </w:rPr>
      </w:pPr>
    </w:p>
    <w:p w14:paraId="04914724" w14:textId="77777777" w:rsidR="00972486" w:rsidRPr="006B5889" w:rsidRDefault="00972486" w:rsidP="00972486">
      <w:pPr>
        <w:spacing w:after="0" w:line="240" w:lineRule="auto"/>
        <w:jc w:val="both"/>
        <w:rPr>
          <w:rFonts w:ascii="Verdana" w:eastAsia="Calibri" w:hAnsi="Verdana" w:cs="Arial"/>
          <w:bCs/>
          <w:sz w:val="20"/>
          <w:szCs w:val="20"/>
        </w:rPr>
      </w:pPr>
      <w:r w:rsidRPr="006B5889">
        <w:rPr>
          <w:rFonts w:ascii="Verdana" w:eastAsia="Calibri" w:hAnsi="Verdana" w:cs="Arial"/>
          <w:bCs/>
          <w:sz w:val="20"/>
          <w:szCs w:val="20"/>
        </w:rPr>
        <w:t xml:space="preserve">[…] aunque tenga una influencia limitada, las </w:t>
      </w:r>
      <w:r w:rsidRPr="006B5889">
        <w:rPr>
          <w:rFonts w:ascii="Verdana" w:eastAsia="Calibri" w:hAnsi="Verdana" w:cs="Arial"/>
          <w:bCs/>
          <w:i/>
          <w:iCs/>
          <w:sz w:val="20"/>
          <w:szCs w:val="20"/>
        </w:rPr>
        <w:t>entidades del régimen exceptuado</w:t>
      </w:r>
      <w:r w:rsidRPr="006B5889">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6B5889">
        <w:rPr>
          <w:rFonts w:ascii="Verdana" w:eastAsia="Calibri" w:hAnsi="Verdana" w:cs="Arial"/>
          <w:color w:val="000000"/>
          <w:sz w:val="20"/>
          <w:szCs w:val="20"/>
          <w:lang w:val="es-ES_tradnl"/>
        </w:rPr>
        <w:t>.</w:t>
      </w:r>
    </w:p>
    <w:p w14:paraId="2300D647" w14:textId="77777777" w:rsidR="00CC1D32" w:rsidRPr="006B5889" w:rsidRDefault="00CC1D32" w:rsidP="00AF5F5C">
      <w:pPr>
        <w:spacing w:after="0"/>
        <w:jc w:val="both"/>
        <w:rPr>
          <w:rFonts w:ascii="Verdana" w:eastAsia="Arial" w:hAnsi="Verdana" w:cs="Arial"/>
          <w:b/>
        </w:rPr>
      </w:pPr>
    </w:p>
    <w:p w14:paraId="1981C02C" w14:textId="2856BF97" w:rsidR="00AF5F5C" w:rsidRPr="006B5889" w:rsidRDefault="00AF5F5C" w:rsidP="00AF5F5C">
      <w:pPr>
        <w:spacing w:after="0"/>
        <w:jc w:val="both"/>
        <w:rPr>
          <w:rFonts w:ascii="Verdana" w:hAnsi="Verdana" w:cs="Arial"/>
          <w:b/>
          <w:bCs/>
          <w:lang w:val="es-ES_tradnl" w:eastAsia="es-ES" w:bidi="es-ES"/>
        </w:rPr>
      </w:pPr>
      <w:r w:rsidRPr="006B5889">
        <w:rPr>
          <w:rFonts w:ascii="Verdana" w:eastAsia="Arial" w:hAnsi="Verdana" w:cs="Arial"/>
          <w:b/>
          <w:lang w:val="es-ES"/>
        </w:rPr>
        <w:t>PRINCIPIO DE PUBLICIDAD – Concepto – Fundamento axiológico – Fundamento constitucional</w:t>
      </w:r>
      <w:r w:rsidRPr="006B5889">
        <w:rPr>
          <w:rFonts w:ascii="Verdana" w:hAnsi="Verdana" w:cs="Arial"/>
          <w:b/>
          <w:bCs/>
          <w:lang w:val="es-ES_tradnl" w:eastAsia="es-ES" w:bidi="es-ES"/>
        </w:rPr>
        <w:t xml:space="preserve"> </w:t>
      </w:r>
    </w:p>
    <w:p w14:paraId="21B62995" w14:textId="77777777" w:rsidR="00AF5F5C" w:rsidRPr="006B5889" w:rsidRDefault="00AF5F5C" w:rsidP="00AF5F5C">
      <w:pPr>
        <w:spacing w:after="0" w:line="240" w:lineRule="auto"/>
        <w:jc w:val="both"/>
        <w:rPr>
          <w:rFonts w:ascii="Verdana" w:hAnsi="Verdana" w:cs="Arial"/>
          <w:b/>
          <w:bCs/>
          <w:sz w:val="20"/>
          <w:szCs w:val="20"/>
          <w:lang w:val="es-ES_tradnl" w:eastAsia="es-ES" w:bidi="es-ES"/>
        </w:rPr>
      </w:pPr>
    </w:p>
    <w:p w14:paraId="64660B8C" w14:textId="77777777" w:rsidR="00AF5F5C" w:rsidRPr="006B5889" w:rsidRDefault="00AF5F5C" w:rsidP="00AF5F5C">
      <w:pPr>
        <w:spacing w:after="0" w:line="240" w:lineRule="auto"/>
        <w:jc w:val="both"/>
        <w:rPr>
          <w:rFonts w:ascii="Verdana" w:eastAsia="Times New Roman" w:hAnsi="Verdana" w:cs="Arial"/>
          <w:sz w:val="20"/>
          <w:szCs w:val="20"/>
          <w:lang w:val="es-ES" w:eastAsia="es-ES"/>
          <w14:ligatures w14:val="standardContextual"/>
        </w:rPr>
      </w:pPr>
      <w:r w:rsidRPr="006B5889">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6B5889">
        <w:rPr>
          <w:rFonts w:ascii="Verdana" w:eastAsia="Times New Roman" w:hAnsi="Verdana" w:cs="Arial"/>
          <w:i/>
          <w:iCs/>
          <w:sz w:val="20"/>
          <w:szCs w:val="20"/>
          <w:lang w:val="es-ES" w:eastAsia="es-ES"/>
          <w14:ligatures w14:val="standardContextual"/>
        </w:rPr>
        <w:t>publicidad</w:t>
      </w:r>
      <w:r w:rsidRPr="006B5889">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w:t>
      </w:r>
      <w:r w:rsidRPr="006B5889">
        <w:rPr>
          <w:rFonts w:ascii="Verdana" w:eastAsia="Times New Roman" w:hAnsi="Verdana" w:cs="Arial"/>
          <w:sz w:val="20"/>
          <w:szCs w:val="20"/>
          <w:lang w:val="es-ES" w:eastAsia="es-ES"/>
          <w14:ligatures w14:val="standardContextual"/>
        </w:rPr>
        <w:lastRenderedPageBreak/>
        <w:t xml:space="preserve">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39D5F292" w14:textId="77777777" w:rsidR="00AF5F5C" w:rsidRPr="006B5889" w:rsidRDefault="00AF5F5C" w:rsidP="00AF5F5C">
      <w:pPr>
        <w:spacing w:after="0" w:line="240" w:lineRule="auto"/>
        <w:jc w:val="both"/>
        <w:rPr>
          <w:rFonts w:ascii="Verdana" w:eastAsia="Times New Roman" w:hAnsi="Verdana" w:cs="Arial"/>
          <w:sz w:val="20"/>
          <w:szCs w:val="20"/>
          <w:lang w:val="es-ES" w:eastAsia="es-ES"/>
          <w14:ligatures w14:val="standardContextual"/>
        </w:rPr>
      </w:pPr>
    </w:p>
    <w:p w14:paraId="5FC7966A" w14:textId="77777777" w:rsidR="00AF5F5C" w:rsidRPr="006B5889" w:rsidRDefault="00AF5F5C" w:rsidP="00AF5F5C">
      <w:pPr>
        <w:spacing w:after="0" w:line="240" w:lineRule="auto"/>
        <w:jc w:val="both"/>
        <w:rPr>
          <w:rFonts w:ascii="Verdana" w:eastAsia="Times New Roman" w:hAnsi="Verdana" w:cs="Arial"/>
          <w:sz w:val="20"/>
          <w:szCs w:val="20"/>
          <w:lang w:val="es-ES" w:eastAsia="es-ES"/>
          <w14:ligatures w14:val="standardContextual"/>
        </w:rPr>
      </w:pPr>
      <w:r w:rsidRPr="006B5889">
        <w:rPr>
          <w:rFonts w:ascii="Verdana" w:eastAsia="Times New Roman" w:hAnsi="Verdana" w:cs="Arial"/>
          <w:sz w:val="20"/>
          <w:szCs w:val="20"/>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06E25660" w14:textId="77777777" w:rsidR="00AF5F5C" w:rsidRPr="006B5889" w:rsidRDefault="00AF5F5C" w:rsidP="00AF5F5C">
      <w:pPr>
        <w:spacing w:after="0"/>
        <w:jc w:val="both"/>
        <w:rPr>
          <w:rFonts w:ascii="Verdana" w:hAnsi="Verdana" w:cs="Arial"/>
          <w:b/>
          <w:bCs/>
          <w:lang w:val="es-ES" w:eastAsia="es-ES" w:bidi="es-ES"/>
        </w:rPr>
      </w:pPr>
    </w:p>
    <w:p w14:paraId="341849A3" w14:textId="77777777" w:rsidR="00AF5F5C" w:rsidRPr="006B5889" w:rsidRDefault="00AF5F5C" w:rsidP="00AF5F5C">
      <w:pPr>
        <w:spacing w:after="0"/>
        <w:jc w:val="both"/>
        <w:rPr>
          <w:rFonts w:ascii="Verdana" w:hAnsi="Verdana" w:cs="Arial"/>
          <w:b/>
          <w:bCs/>
          <w:lang w:val="es-ES_tradnl" w:eastAsia="es-ES" w:bidi="es-ES"/>
        </w:rPr>
      </w:pPr>
      <w:r w:rsidRPr="006B5889">
        <w:rPr>
          <w:rFonts w:ascii="Verdana" w:hAnsi="Verdana" w:cs="Arial"/>
          <w:b/>
          <w:bCs/>
          <w:lang w:val="es-ES_tradnl" w:eastAsia="es-ES" w:bidi="es-ES"/>
        </w:rPr>
        <w:t xml:space="preserve">PRINCIPIO DE PUBLICIDAD – SECOP – Documentos del proceso – Deber de publicación </w:t>
      </w:r>
    </w:p>
    <w:p w14:paraId="22CDC4DD" w14:textId="77777777" w:rsidR="00AF5F5C" w:rsidRPr="006B5889" w:rsidRDefault="00AF5F5C" w:rsidP="00AF5F5C">
      <w:pPr>
        <w:spacing w:after="0"/>
        <w:jc w:val="both"/>
        <w:rPr>
          <w:rFonts w:ascii="Verdana" w:hAnsi="Verdana"/>
          <w:b/>
        </w:rPr>
      </w:pPr>
    </w:p>
    <w:p w14:paraId="4B06132C" w14:textId="77777777" w:rsidR="00AF5F5C" w:rsidRPr="006B5889" w:rsidRDefault="00AF5F5C" w:rsidP="00AF5F5C">
      <w:pPr>
        <w:spacing w:after="0" w:line="240" w:lineRule="auto"/>
        <w:jc w:val="both"/>
        <w:rPr>
          <w:rFonts w:ascii="Verdana" w:eastAsia="Times New Roman" w:hAnsi="Verdana" w:cs="Arial"/>
          <w:sz w:val="20"/>
          <w:szCs w:val="20"/>
          <w:lang w:val="es-ES_tradnl" w:eastAsia="es-ES_tradnl"/>
          <w14:ligatures w14:val="standardContextual"/>
        </w:rPr>
      </w:pPr>
      <w:r w:rsidRPr="006B5889">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431A645D" w14:textId="77777777" w:rsidR="00AF5F5C" w:rsidRPr="006B5889" w:rsidRDefault="00AF5F5C" w:rsidP="00AF5F5C">
      <w:pPr>
        <w:tabs>
          <w:tab w:val="left" w:pos="709"/>
        </w:tabs>
        <w:spacing w:after="0" w:line="240" w:lineRule="auto"/>
        <w:jc w:val="both"/>
        <w:rPr>
          <w:rFonts w:ascii="Verdana" w:hAnsi="Verdana" w:cs="Arial"/>
          <w:sz w:val="20"/>
          <w:szCs w:val="20"/>
          <w:shd w:val="clear" w:color="auto" w:fill="FFFFFF"/>
        </w:rPr>
      </w:pPr>
    </w:p>
    <w:p w14:paraId="66891468" w14:textId="77777777" w:rsidR="00AF5F5C" w:rsidRPr="006B5889" w:rsidRDefault="00AF5F5C" w:rsidP="00AF5F5C">
      <w:pPr>
        <w:tabs>
          <w:tab w:val="left" w:pos="709"/>
        </w:tabs>
        <w:spacing w:after="0" w:line="240" w:lineRule="auto"/>
        <w:jc w:val="both"/>
        <w:rPr>
          <w:rFonts w:ascii="Verdana" w:hAnsi="Verdana" w:cs="Arial"/>
          <w:sz w:val="20"/>
          <w:szCs w:val="20"/>
          <w:shd w:val="clear" w:color="auto" w:fill="FFFFFF"/>
        </w:rPr>
      </w:pPr>
      <w:r w:rsidRPr="006B5889">
        <w:rPr>
          <w:rFonts w:ascii="Verdana" w:hAnsi="Verdana" w:cs="Arial"/>
          <w:sz w:val="20"/>
          <w:szCs w:val="20"/>
          <w:shd w:val="clear" w:color="auto" w:fill="FFFFFF"/>
        </w:rPr>
        <w:t xml:space="preserve">La expresión </w:t>
      </w:r>
      <w:r w:rsidRPr="006B5889">
        <w:rPr>
          <w:rFonts w:ascii="Verdana" w:hAnsi="Verdana" w:cs="Arial"/>
          <w:i/>
          <w:iCs/>
          <w:sz w:val="20"/>
          <w:szCs w:val="20"/>
          <w:shd w:val="clear" w:color="auto" w:fill="FFFFFF"/>
        </w:rPr>
        <w:t xml:space="preserve">Documentos del Proceso </w:t>
      </w:r>
      <w:r w:rsidRPr="006B5889">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6B5889">
        <w:rPr>
          <w:rFonts w:ascii="Verdana" w:hAnsi="Verdana" w:cs="Arial"/>
          <w:i/>
          <w:iCs/>
          <w:sz w:val="20"/>
          <w:szCs w:val="20"/>
          <w:shd w:val="clear" w:color="auto" w:fill="FFFFFF"/>
        </w:rPr>
        <w:t>y cualquier otro documento expedido por la Entidad Estatal durante el Proceso de Contratación</w:t>
      </w:r>
      <w:r w:rsidRPr="006B5889">
        <w:rPr>
          <w:rFonts w:ascii="Verdana" w:hAnsi="Verdana" w:cs="Arial"/>
          <w:sz w:val="20"/>
          <w:szCs w:val="20"/>
          <w:shd w:val="clear" w:color="auto" w:fill="FFFFFF"/>
        </w:rPr>
        <w:t>”. [Énfasis fuera de texto]</w:t>
      </w:r>
    </w:p>
    <w:p w14:paraId="33E0C4B4" w14:textId="77777777" w:rsidR="00AF5F5C" w:rsidRPr="006B5889" w:rsidRDefault="00AF5F5C" w:rsidP="00AF5F5C">
      <w:pPr>
        <w:tabs>
          <w:tab w:val="left" w:pos="709"/>
        </w:tabs>
        <w:spacing w:after="0" w:line="240" w:lineRule="auto"/>
        <w:jc w:val="both"/>
        <w:rPr>
          <w:rFonts w:ascii="Verdana" w:hAnsi="Verdana" w:cs="Arial"/>
          <w:sz w:val="20"/>
          <w:szCs w:val="20"/>
          <w:shd w:val="clear" w:color="auto" w:fill="FFFFFF"/>
        </w:rPr>
      </w:pPr>
    </w:p>
    <w:p w14:paraId="50E70EF2" w14:textId="77777777" w:rsidR="00AF5F5C" w:rsidRPr="006B5889" w:rsidRDefault="00AF5F5C" w:rsidP="00AF5F5C">
      <w:pPr>
        <w:tabs>
          <w:tab w:val="left" w:pos="709"/>
        </w:tabs>
        <w:spacing w:after="0" w:line="240" w:lineRule="auto"/>
        <w:jc w:val="both"/>
        <w:rPr>
          <w:rFonts w:ascii="Verdana" w:hAnsi="Verdana" w:cs="Arial"/>
          <w:sz w:val="20"/>
          <w:szCs w:val="20"/>
          <w:shd w:val="clear" w:color="auto" w:fill="FFFFFF"/>
        </w:rPr>
      </w:pPr>
      <w:r w:rsidRPr="006B5889">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6B5889">
        <w:rPr>
          <w:rFonts w:ascii="Verdana" w:hAnsi="Verdana" w:cs="Arial"/>
          <w:i/>
          <w:iCs/>
          <w:sz w:val="20"/>
          <w:szCs w:val="20"/>
          <w:shd w:val="clear" w:color="auto" w:fill="FFFFFF"/>
        </w:rPr>
        <w:t>Ibidem</w:t>
      </w:r>
      <w:r w:rsidRPr="006B5889">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4B3546C9" w14:textId="77777777" w:rsidR="00AF5F5C" w:rsidRPr="006B5889" w:rsidRDefault="00AF5F5C" w:rsidP="00AF5F5C">
      <w:pPr>
        <w:tabs>
          <w:tab w:val="left" w:pos="709"/>
        </w:tabs>
        <w:spacing w:after="0" w:line="240" w:lineRule="auto"/>
        <w:jc w:val="both"/>
        <w:rPr>
          <w:rFonts w:ascii="Verdana" w:hAnsi="Verdana" w:cs="Arial"/>
          <w:sz w:val="20"/>
          <w:szCs w:val="20"/>
          <w:shd w:val="clear" w:color="auto" w:fill="FFFFFF"/>
        </w:rPr>
      </w:pPr>
    </w:p>
    <w:p w14:paraId="55E963EF" w14:textId="77777777" w:rsidR="00AF5F5C" w:rsidRPr="006B5889" w:rsidRDefault="00AF5F5C" w:rsidP="00AF5F5C">
      <w:pPr>
        <w:tabs>
          <w:tab w:val="left" w:pos="709"/>
        </w:tabs>
        <w:spacing w:after="0" w:line="240" w:lineRule="auto"/>
        <w:jc w:val="both"/>
        <w:rPr>
          <w:rFonts w:ascii="Verdana" w:hAnsi="Verdana" w:cs="Arial"/>
          <w:sz w:val="20"/>
          <w:szCs w:val="20"/>
          <w:shd w:val="clear" w:color="auto" w:fill="FFFFFF"/>
        </w:rPr>
      </w:pPr>
      <w:r w:rsidRPr="006B5889">
        <w:rPr>
          <w:rFonts w:ascii="Verdana" w:hAnsi="Verdana" w:cs="Arial"/>
          <w:sz w:val="20"/>
          <w:szCs w:val="20"/>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w:t>
      </w:r>
      <w:r w:rsidRPr="006B5889">
        <w:rPr>
          <w:rFonts w:ascii="Verdana" w:hAnsi="Verdana" w:cs="Arial"/>
          <w:sz w:val="20"/>
          <w:szCs w:val="20"/>
          <w:shd w:val="clear" w:color="auto" w:fill="FFFFFF"/>
        </w:rPr>
        <w:lastRenderedPageBreak/>
        <w:t>sujeto distinto a la entidad, salvo la oferta, la cual se incluye expresamente en el referido artículo 2.2.1.1.1.3.</w:t>
      </w:r>
    </w:p>
    <w:p w14:paraId="75ABBCA2" w14:textId="77777777" w:rsidR="00AF5F5C" w:rsidRPr="006B5889" w:rsidRDefault="00AF5F5C" w:rsidP="00AF5F5C">
      <w:pPr>
        <w:spacing w:after="0"/>
        <w:jc w:val="both"/>
        <w:rPr>
          <w:rFonts w:ascii="Verdana" w:hAnsi="Verdana"/>
          <w:b/>
        </w:rPr>
      </w:pPr>
    </w:p>
    <w:p w14:paraId="587099DF" w14:textId="77777777" w:rsidR="00AF5F5C" w:rsidRPr="006B5889" w:rsidRDefault="00AF5F5C" w:rsidP="00AF5F5C">
      <w:pPr>
        <w:spacing w:after="0"/>
        <w:jc w:val="both"/>
        <w:rPr>
          <w:rFonts w:ascii="Verdana" w:hAnsi="Verdana" w:cs="Arial"/>
          <w:b/>
          <w:bCs/>
          <w:lang w:eastAsia="es-ES" w:bidi="es-ES"/>
        </w:rPr>
      </w:pPr>
      <w:r w:rsidRPr="006B5889">
        <w:rPr>
          <w:rFonts w:ascii="Verdana" w:hAnsi="Verdana" w:cs="Arial"/>
          <w:b/>
          <w:bCs/>
          <w:lang w:eastAsia="es-ES" w:bidi="es-ES"/>
        </w:rPr>
        <w:t xml:space="preserve">ENTIDADES CON RÉGIMEN ESPECIAL – Deber de publicar en SECOP – Artículo 53 Ley 2195 de 2022 </w:t>
      </w:r>
    </w:p>
    <w:p w14:paraId="72CBE623" w14:textId="77777777" w:rsidR="00AF5F5C" w:rsidRPr="006B5889" w:rsidRDefault="00AF5F5C" w:rsidP="00AF5F5C">
      <w:pPr>
        <w:spacing w:after="0"/>
        <w:jc w:val="both"/>
        <w:rPr>
          <w:rFonts w:ascii="Verdana" w:hAnsi="Verdana" w:cs="Arial"/>
          <w:b/>
          <w:bCs/>
          <w:sz w:val="20"/>
          <w:szCs w:val="20"/>
          <w:lang w:eastAsia="es-ES" w:bidi="es-ES"/>
        </w:rPr>
      </w:pPr>
    </w:p>
    <w:p w14:paraId="1348BCA9" w14:textId="77777777" w:rsidR="00AF5F5C" w:rsidRPr="006B5889" w:rsidRDefault="00AF5F5C" w:rsidP="00AF5F5C">
      <w:pPr>
        <w:tabs>
          <w:tab w:val="left" w:pos="709"/>
        </w:tabs>
        <w:spacing w:after="0" w:line="240" w:lineRule="auto"/>
        <w:jc w:val="both"/>
        <w:rPr>
          <w:rFonts w:ascii="Verdana" w:eastAsia="Calibri" w:hAnsi="Verdana" w:cs="Arial"/>
          <w:color w:val="000000"/>
          <w:sz w:val="20"/>
          <w:szCs w:val="20"/>
        </w:rPr>
      </w:pPr>
      <w:r w:rsidRPr="006B5889">
        <w:rPr>
          <w:rFonts w:ascii="Verdana" w:hAnsi="Verdana" w:cs="Arial"/>
          <w:sz w:val="20"/>
          <w:szCs w:val="20"/>
          <w:shd w:val="clear" w:color="auto" w:fill="FFFFFF"/>
        </w:rPr>
        <w:t xml:space="preserve">[…] </w:t>
      </w:r>
      <w:r w:rsidRPr="006B5889">
        <w:rPr>
          <w:rFonts w:ascii="Verdana" w:eastAsia="Calibri" w:hAnsi="Verdana" w:cs="Arial"/>
          <w:color w:val="000000"/>
          <w:sz w:val="20"/>
          <w:szCs w:val="2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687A6141" w14:textId="77777777" w:rsidR="00AF5F5C" w:rsidRPr="006B5889" w:rsidRDefault="00AF5F5C" w:rsidP="00AF5F5C">
      <w:pPr>
        <w:tabs>
          <w:tab w:val="left" w:pos="709"/>
        </w:tabs>
        <w:spacing w:after="0" w:line="240" w:lineRule="auto"/>
        <w:jc w:val="both"/>
        <w:rPr>
          <w:rFonts w:ascii="Verdana" w:eastAsia="Calibri" w:hAnsi="Verdana" w:cs="Arial"/>
          <w:color w:val="000000"/>
          <w:sz w:val="20"/>
          <w:szCs w:val="20"/>
        </w:rPr>
      </w:pPr>
    </w:p>
    <w:p w14:paraId="39F1EDDB" w14:textId="77777777" w:rsidR="00AF5F5C" w:rsidRPr="006B5889" w:rsidRDefault="00AF5F5C" w:rsidP="00AF5F5C">
      <w:pPr>
        <w:spacing w:after="0" w:line="240" w:lineRule="auto"/>
        <w:jc w:val="both"/>
        <w:rPr>
          <w:rFonts w:ascii="Verdana" w:eastAsia="Calibri" w:hAnsi="Verdana" w:cs="Arial"/>
          <w:color w:val="000000"/>
          <w:sz w:val="20"/>
          <w:szCs w:val="20"/>
        </w:rPr>
      </w:pPr>
      <w:r w:rsidRPr="006B5889">
        <w:rPr>
          <w:rFonts w:ascii="Verdana" w:eastAsia="Calibri" w:hAnsi="Verdana" w:cs="Arial"/>
          <w:color w:val="000000"/>
          <w:sz w:val="20"/>
          <w:szCs w:val="2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67C1CFA2" w14:textId="77777777" w:rsidR="00AF5F5C" w:rsidRPr="006B5889" w:rsidRDefault="00AF5F5C" w:rsidP="30821638">
      <w:pPr>
        <w:spacing w:after="0"/>
        <w:rPr>
          <w:rFonts w:ascii="Verdana" w:eastAsia="Verdana" w:hAnsi="Verdana" w:cs="Verdana"/>
        </w:rPr>
      </w:pPr>
    </w:p>
    <w:p w14:paraId="7CA404F5" w14:textId="77777777" w:rsidR="00AF5F5C" w:rsidRPr="006B5889" w:rsidRDefault="00AF5F5C" w:rsidP="30821638">
      <w:pPr>
        <w:spacing w:after="0"/>
        <w:rPr>
          <w:rFonts w:ascii="Verdana" w:eastAsia="Verdana" w:hAnsi="Verdana" w:cs="Verdana"/>
        </w:rPr>
      </w:pPr>
    </w:p>
    <w:p w14:paraId="3E8AD4DA" w14:textId="77777777" w:rsidR="004F4DD7" w:rsidRPr="006B5889" w:rsidRDefault="004F4DD7" w:rsidP="30821638">
      <w:pPr>
        <w:spacing w:after="0"/>
        <w:rPr>
          <w:rFonts w:ascii="Verdana" w:eastAsia="Verdana" w:hAnsi="Verdana" w:cs="Verdana"/>
        </w:rPr>
      </w:pPr>
    </w:p>
    <w:p w14:paraId="02302C11" w14:textId="77777777" w:rsidR="004F4DD7" w:rsidRPr="006B5889" w:rsidRDefault="004F4DD7" w:rsidP="30821638">
      <w:pPr>
        <w:spacing w:after="0"/>
        <w:rPr>
          <w:rFonts w:ascii="Verdana" w:eastAsia="Verdana" w:hAnsi="Verdana" w:cs="Verdana"/>
        </w:rPr>
      </w:pPr>
    </w:p>
    <w:p w14:paraId="4DFF56DC" w14:textId="77777777" w:rsidR="004F4DD7" w:rsidRPr="006B5889" w:rsidRDefault="004F4DD7" w:rsidP="30821638">
      <w:pPr>
        <w:spacing w:after="0"/>
        <w:rPr>
          <w:rFonts w:ascii="Verdana" w:eastAsia="Verdana" w:hAnsi="Verdana" w:cs="Verdana"/>
        </w:rPr>
      </w:pPr>
    </w:p>
    <w:p w14:paraId="33640101" w14:textId="77777777" w:rsidR="00AC59F5" w:rsidRPr="006B5889" w:rsidRDefault="00AC59F5" w:rsidP="30821638">
      <w:pPr>
        <w:spacing w:after="0"/>
        <w:rPr>
          <w:rFonts w:ascii="Verdana" w:eastAsia="Verdana" w:hAnsi="Verdana" w:cs="Verdana"/>
        </w:rPr>
      </w:pPr>
    </w:p>
    <w:p w14:paraId="4729C6EE" w14:textId="77777777" w:rsidR="00AC59F5" w:rsidRPr="006B5889" w:rsidRDefault="00AC59F5" w:rsidP="30821638">
      <w:pPr>
        <w:spacing w:after="0"/>
        <w:rPr>
          <w:rFonts w:ascii="Verdana" w:eastAsia="Verdana" w:hAnsi="Verdana" w:cs="Verdana"/>
        </w:rPr>
      </w:pPr>
    </w:p>
    <w:p w14:paraId="1E95D94E" w14:textId="77777777" w:rsidR="00AC59F5" w:rsidRPr="006B5889" w:rsidRDefault="00AC59F5" w:rsidP="30821638">
      <w:pPr>
        <w:spacing w:after="0"/>
        <w:rPr>
          <w:rFonts w:ascii="Verdana" w:eastAsia="Verdana" w:hAnsi="Verdana" w:cs="Verdana"/>
        </w:rPr>
      </w:pPr>
    </w:p>
    <w:p w14:paraId="1F680049" w14:textId="77777777" w:rsidR="00AC59F5" w:rsidRPr="006B5889" w:rsidRDefault="00AC59F5" w:rsidP="30821638">
      <w:pPr>
        <w:spacing w:after="0"/>
        <w:rPr>
          <w:rFonts w:ascii="Verdana" w:eastAsia="Verdana" w:hAnsi="Verdana" w:cs="Verdana"/>
        </w:rPr>
      </w:pPr>
    </w:p>
    <w:p w14:paraId="69019882" w14:textId="77777777" w:rsidR="00AC59F5" w:rsidRPr="006B5889" w:rsidRDefault="00AC59F5" w:rsidP="30821638">
      <w:pPr>
        <w:spacing w:after="0"/>
        <w:rPr>
          <w:rFonts w:ascii="Verdana" w:eastAsia="Verdana" w:hAnsi="Verdana" w:cs="Verdana"/>
        </w:rPr>
      </w:pPr>
    </w:p>
    <w:p w14:paraId="4E4B6427" w14:textId="77777777" w:rsidR="00AC59F5" w:rsidRPr="006B5889" w:rsidRDefault="00AC59F5" w:rsidP="30821638">
      <w:pPr>
        <w:spacing w:after="0"/>
        <w:rPr>
          <w:rFonts w:ascii="Verdana" w:eastAsia="Verdana" w:hAnsi="Verdana" w:cs="Verdana"/>
        </w:rPr>
      </w:pPr>
    </w:p>
    <w:p w14:paraId="749CD428" w14:textId="77777777" w:rsidR="00AC59F5" w:rsidRPr="006B5889" w:rsidRDefault="00AC59F5" w:rsidP="30821638">
      <w:pPr>
        <w:spacing w:after="0"/>
        <w:rPr>
          <w:rFonts w:ascii="Verdana" w:eastAsia="Verdana" w:hAnsi="Verdana" w:cs="Verdana"/>
        </w:rPr>
      </w:pPr>
    </w:p>
    <w:p w14:paraId="43281D8C" w14:textId="77777777" w:rsidR="00AC59F5" w:rsidRPr="006B5889" w:rsidRDefault="00AC59F5" w:rsidP="30821638">
      <w:pPr>
        <w:spacing w:after="0"/>
        <w:rPr>
          <w:rFonts w:ascii="Verdana" w:eastAsia="Verdana" w:hAnsi="Verdana" w:cs="Verdana"/>
        </w:rPr>
      </w:pPr>
    </w:p>
    <w:p w14:paraId="121FEFEA" w14:textId="77777777" w:rsidR="004779C8" w:rsidRDefault="004779C8" w:rsidP="30821638">
      <w:pPr>
        <w:spacing w:after="0"/>
        <w:rPr>
          <w:rFonts w:ascii="Verdana" w:eastAsia="Verdana" w:hAnsi="Verdana" w:cs="Verdana"/>
        </w:rPr>
      </w:pPr>
    </w:p>
    <w:p w14:paraId="1468C46D" w14:textId="5CD6CEB1" w:rsidR="00C15139" w:rsidRDefault="00C15139" w:rsidP="30821638">
      <w:pPr>
        <w:spacing w:after="0"/>
        <w:rPr>
          <w:rFonts w:ascii="Verdana" w:hAnsi="Verdana"/>
        </w:rPr>
      </w:pPr>
      <w:r w:rsidRPr="006B5889">
        <w:rPr>
          <w:rFonts w:ascii="Verdana" w:eastAsia="Verdana" w:hAnsi="Verdana" w:cs="Verdana"/>
        </w:rPr>
        <w:lastRenderedPageBreak/>
        <w:t xml:space="preserve">Bogotá D.C., </w:t>
      </w:r>
      <w:r w:rsidR="00AC0B6A">
        <w:rPr>
          <w:rFonts w:ascii="Verdana" w:eastAsia="Verdana" w:hAnsi="Verdana" w:cs="Verdana"/>
        </w:rPr>
        <w:t>10 de junio del 2026</w:t>
      </w:r>
      <w:r w:rsidRPr="006B5889">
        <w:rPr>
          <w:rFonts w:ascii="Verdana" w:hAnsi="Verdana"/>
        </w:rPr>
        <w:tab/>
      </w:r>
      <w:r w:rsidRPr="006B5889">
        <w:rPr>
          <w:rFonts w:ascii="Verdana" w:hAnsi="Verdana"/>
        </w:rPr>
        <w:br/>
      </w:r>
    </w:p>
    <w:p w14:paraId="2FBEC213" w14:textId="3C5345E0" w:rsidR="005A6FEE" w:rsidRDefault="005A6FEE" w:rsidP="005A6FEE">
      <w:pPr>
        <w:spacing w:after="0"/>
        <w:jc w:val="right"/>
        <w:rPr>
          <w:rFonts w:ascii="Verdana" w:hAnsi="Verdana"/>
        </w:rPr>
      </w:pPr>
      <w:r w:rsidRPr="005A6FEE">
        <w:rPr>
          <w:rFonts w:ascii="Verdana" w:hAnsi="Verdana"/>
        </w:rPr>
        <w:drawing>
          <wp:inline distT="0" distB="0" distL="0" distR="0" wp14:anchorId="61AC6D87" wp14:editId="4A45AF4D">
            <wp:extent cx="2819400" cy="819150"/>
            <wp:effectExtent l="0" t="0" r="0" b="0"/>
            <wp:docPr id="12769673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967365" name=""/>
                    <pic:cNvPicPr/>
                  </pic:nvPicPr>
                  <pic:blipFill>
                    <a:blip r:embed="rId11"/>
                    <a:stretch>
                      <a:fillRect/>
                    </a:stretch>
                  </pic:blipFill>
                  <pic:spPr>
                    <a:xfrm>
                      <a:off x="0" y="0"/>
                      <a:ext cx="2819800" cy="819266"/>
                    </a:xfrm>
                    <a:prstGeom prst="rect">
                      <a:avLst/>
                    </a:prstGeom>
                  </pic:spPr>
                </pic:pic>
              </a:graphicData>
            </a:graphic>
          </wp:inline>
        </w:drawing>
      </w:r>
    </w:p>
    <w:p w14:paraId="48D44B46" w14:textId="4BA5C238" w:rsidR="00BF5B37" w:rsidRPr="006B5889" w:rsidRDefault="004435AB" w:rsidP="00BF5B37">
      <w:pPr>
        <w:spacing w:after="0" w:line="240" w:lineRule="auto"/>
        <w:rPr>
          <w:rFonts w:ascii="Verdana" w:hAnsi="Verdana"/>
        </w:rPr>
      </w:pPr>
      <w:r w:rsidRPr="006B5889">
        <w:rPr>
          <w:rFonts w:ascii="Verdana" w:eastAsia="Calibri" w:hAnsi="Verdana" w:cs="Arial"/>
          <w:color w:val="000000" w:themeColor="text1"/>
          <w:lang w:val="es-ES" w:eastAsia="es-ES"/>
        </w:rPr>
        <w:t>Señor</w:t>
      </w:r>
      <w:r w:rsidR="00BF5B37" w:rsidRPr="006B5889">
        <w:rPr>
          <w:rFonts w:ascii="Verdana" w:eastAsia="Calibri" w:hAnsi="Verdana" w:cs="Arial"/>
          <w:color w:val="000000" w:themeColor="text1"/>
          <w:lang w:val="es-ES" w:eastAsia="es-ES"/>
        </w:rPr>
        <w:t>:</w:t>
      </w:r>
    </w:p>
    <w:p w14:paraId="13588B08" w14:textId="44E1977B" w:rsidR="00BF5B37" w:rsidRPr="006B5889" w:rsidRDefault="004435AB" w:rsidP="00BF5B37">
      <w:pPr>
        <w:spacing w:after="0" w:line="240" w:lineRule="auto"/>
        <w:jc w:val="both"/>
        <w:rPr>
          <w:rFonts w:ascii="Verdana" w:eastAsia="Calibri" w:hAnsi="Verdana" w:cs="Arial"/>
          <w:b/>
          <w:bCs/>
          <w:color w:val="000000" w:themeColor="text1"/>
          <w:lang w:eastAsia="es-ES"/>
        </w:rPr>
      </w:pPr>
      <w:r w:rsidRPr="006B5889">
        <w:rPr>
          <w:rFonts w:ascii="Verdana" w:eastAsia="Calibri" w:hAnsi="Verdana" w:cs="Arial"/>
          <w:b/>
          <w:bCs/>
          <w:color w:val="000000" w:themeColor="text1"/>
          <w:lang w:eastAsia="es-ES"/>
        </w:rPr>
        <w:t>Carlos Artuto Moreno Cifuentes</w:t>
      </w:r>
    </w:p>
    <w:p w14:paraId="14761489" w14:textId="3960ED4C" w:rsidR="00BF5B37" w:rsidRPr="006B5889" w:rsidRDefault="00884724" w:rsidP="00BF5B37">
      <w:pPr>
        <w:spacing w:after="0" w:line="240" w:lineRule="auto"/>
        <w:rPr>
          <w:rFonts w:ascii="Verdana" w:hAnsi="Verdana"/>
        </w:rPr>
      </w:pPr>
      <w:hyperlink r:id="rId12" w:history="1">
        <w:r w:rsidRPr="006B5889">
          <w:rPr>
            <w:rStyle w:val="Hipervnculo"/>
            <w:rFonts w:ascii="Verdana" w:hAnsi="Verdana"/>
          </w:rPr>
          <w:t>secop@sociedadcctv.com</w:t>
        </w:r>
      </w:hyperlink>
    </w:p>
    <w:p w14:paraId="10B48AEC" w14:textId="2126FCB2" w:rsidR="00BF5B37" w:rsidRPr="00CB58BF" w:rsidRDefault="000B1D23" w:rsidP="00BF5B37">
      <w:pPr>
        <w:spacing w:after="0" w:line="240" w:lineRule="auto"/>
        <w:rPr>
          <w:rFonts w:ascii="Verdana" w:eastAsia="Calibri" w:hAnsi="Verdana" w:cs="Arial"/>
          <w:b/>
          <w:bCs/>
          <w:color w:val="000000" w:themeColor="text1"/>
          <w:lang w:val="es-ES_tradnl" w:eastAsia="es-ES_tradnl"/>
        </w:rPr>
      </w:pPr>
      <w:r w:rsidRPr="006B5889">
        <w:rPr>
          <w:rFonts w:ascii="Verdana" w:eastAsia="Calibri" w:hAnsi="Verdana" w:cs="Arial"/>
          <w:color w:val="000000" w:themeColor="text1"/>
          <w:lang w:val="es-ES_tradnl" w:eastAsia="es-ES"/>
        </w:rPr>
        <w:t xml:space="preserve">Tocancipá, Cundinamarca </w:t>
      </w:r>
    </w:p>
    <w:p w14:paraId="23AB2CDD" w14:textId="77777777" w:rsidR="00921B98" w:rsidRPr="006B5889" w:rsidRDefault="00921B98" w:rsidP="00BF5B37">
      <w:pPr>
        <w:spacing w:after="0" w:line="240" w:lineRule="auto"/>
        <w:rPr>
          <w:rFonts w:ascii="Verdana" w:eastAsia="Calibri" w:hAnsi="Verdana" w:cs="Arial"/>
          <w:b/>
          <w:bCs/>
          <w:color w:val="000000" w:themeColor="text1"/>
          <w:highlight w:val="cyan"/>
          <w:lang w:val="es-ES_tradnl" w:eastAsia="es-ES_tradnl"/>
        </w:rPr>
      </w:pPr>
    </w:p>
    <w:p w14:paraId="79422DD0" w14:textId="687BE869" w:rsidR="00BF5B37" w:rsidRPr="006B5889" w:rsidRDefault="00BF5B37" w:rsidP="00BF5B37">
      <w:pPr>
        <w:spacing w:after="0" w:line="240" w:lineRule="auto"/>
        <w:rPr>
          <w:rFonts w:ascii="Verdana" w:eastAsia="Calibri" w:hAnsi="Verdana" w:cs="Arial"/>
          <w:b/>
          <w:bCs/>
          <w:color w:val="000000" w:themeColor="text1"/>
          <w:lang w:val="es-ES_tradnl" w:eastAsia="es-ES_tradnl"/>
        </w:rPr>
      </w:pPr>
      <w:r w:rsidRPr="006B5889">
        <w:rPr>
          <w:rFonts w:ascii="Verdana" w:eastAsia="Calibri" w:hAnsi="Verdana" w:cs="Arial"/>
          <w:b/>
          <w:bCs/>
          <w:color w:val="000000" w:themeColor="text1"/>
          <w:lang w:val="es-ES_tradnl" w:eastAsia="es-ES_tradnl"/>
        </w:rPr>
        <w:t xml:space="preserve">                                   Concepto C</w:t>
      </w:r>
      <w:r w:rsidR="00CE4375" w:rsidRPr="006B5889">
        <w:rPr>
          <w:rFonts w:ascii="Verdana" w:eastAsia="Calibri" w:hAnsi="Verdana" w:cs="Arial"/>
          <w:b/>
          <w:bCs/>
          <w:color w:val="000000" w:themeColor="text1"/>
          <w:lang w:val="es-ES_tradnl" w:eastAsia="es-ES_tradnl"/>
        </w:rPr>
        <w:t>-</w:t>
      </w:r>
      <w:r w:rsidR="009016E7" w:rsidRPr="006B5889">
        <w:rPr>
          <w:rFonts w:ascii="Verdana" w:eastAsia="Calibri" w:hAnsi="Verdana" w:cs="Arial"/>
          <w:b/>
          <w:bCs/>
          <w:color w:val="000000" w:themeColor="text1"/>
          <w:lang w:val="es-ES_tradnl" w:eastAsia="es-ES_tradnl"/>
        </w:rPr>
        <w:t xml:space="preserve">708 </w:t>
      </w:r>
      <w:r w:rsidRPr="006B5889">
        <w:rPr>
          <w:rFonts w:ascii="Verdana" w:eastAsia="Calibri" w:hAnsi="Verdana" w:cs="Arial"/>
          <w:b/>
          <w:bCs/>
          <w:color w:val="000000" w:themeColor="text1"/>
          <w:lang w:val="es-ES_tradnl" w:eastAsia="es-ES_tradnl"/>
        </w:rPr>
        <w:t>del 2026</w:t>
      </w:r>
    </w:p>
    <w:p w14:paraId="7AE47999" w14:textId="77777777" w:rsidR="00BF5B37" w:rsidRPr="006B5889" w:rsidRDefault="00BF5B37" w:rsidP="00BF5B37">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F5B37" w:rsidRPr="006B5889" w14:paraId="5A113F07" w14:textId="77777777" w:rsidTr="00BC1A34">
        <w:trPr>
          <w:trHeight w:val="884"/>
        </w:trPr>
        <w:tc>
          <w:tcPr>
            <w:tcW w:w="2689" w:type="dxa"/>
          </w:tcPr>
          <w:p w14:paraId="2A19D84C" w14:textId="77777777" w:rsidR="00BF5B37" w:rsidRPr="006B5889" w:rsidRDefault="00BF5B37" w:rsidP="00BC1A34">
            <w:pPr>
              <w:jc w:val="both"/>
              <w:rPr>
                <w:rFonts w:ascii="Verdana" w:eastAsia="Calibri" w:hAnsi="Verdana" w:cs="Arial"/>
                <w:color w:val="000000" w:themeColor="text1"/>
                <w:highlight w:val="cyan"/>
                <w:lang w:val="es-ES_tradnl" w:eastAsia="es-ES_tradnl"/>
              </w:rPr>
            </w:pPr>
            <w:r w:rsidRPr="006B5889">
              <w:rPr>
                <w:rFonts w:ascii="Verdana" w:eastAsia="Calibri" w:hAnsi="Verdana" w:cs="Arial"/>
                <w:b/>
                <w:color w:val="000000" w:themeColor="text1"/>
                <w:lang w:val="es-ES_tradnl" w:eastAsia="es-ES_tradnl"/>
              </w:rPr>
              <w:t>Temas:</w:t>
            </w:r>
            <w:r w:rsidRPr="006B5889">
              <w:rPr>
                <w:rFonts w:ascii="Verdana" w:eastAsia="Calibri" w:hAnsi="Verdana" w:cs="Arial"/>
                <w:color w:val="000000" w:themeColor="text1"/>
                <w:lang w:val="es-ES_tradnl" w:eastAsia="es-ES_tradnl"/>
              </w:rPr>
              <w:t xml:space="preserve">                   </w:t>
            </w:r>
          </w:p>
        </w:tc>
        <w:tc>
          <w:tcPr>
            <w:tcW w:w="6100" w:type="dxa"/>
          </w:tcPr>
          <w:p w14:paraId="071188D2" w14:textId="52F0959B" w:rsidR="0021190F" w:rsidRPr="006B5889" w:rsidRDefault="0021190F" w:rsidP="00BC1A34">
            <w:pPr>
              <w:jc w:val="both"/>
              <w:rPr>
                <w:rFonts w:ascii="Verdana" w:eastAsia="Calibri" w:hAnsi="Verdana" w:cs="Arial"/>
                <w:lang w:eastAsia="es-ES"/>
              </w:rPr>
            </w:pPr>
            <w:r w:rsidRPr="006B5889">
              <w:rPr>
                <w:rFonts w:ascii="Verdana" w:eastAsia="Calibri" w:hAnsi="Verdana" w:cs="Arial"/>
                <w:lang w:val="es-ES" w:eastAsia="es-ES"/>
              </w:rPr>
              <w:t xml:space="preserve">ENTIDADES DE RÉGIMEN ESPECIAL – Procedimientos contractuales – Justificación – Criterios de clasificación / </w:t>
            </w:r>
            <w:r w:rsidR="00B86979" w:rsidRPr="006B5889">
              <w:rPr>
                <w:rFonts w:ascii="Verdana" w:eastAsia="Calibri" w:hAnsi="Verdana" w:cs="Arial"/>
                <w:lang w:val="es-ES" w:eastAsia="es-ES"/>
              </w:rPr>
              <w:t xml:space="preserve">ENTIDADES EXCEPTUADAS – Aplicación de normas de derecho público </w:t>
            </w:r>
            <w:r w:rsidR="00AC59F5" w:rsidRPr="006B5889">
              <w:rPr>
                <w:rFonts w:ascii="Verdana" w:eastAsia="Calibri" w:hAnsi="Verdana" w:cs="Arial"/>
                <w:lang w:val="es-ES" w:eastAsia="es-ES"/>
              </w:rPr>
              <w:t>/ PRINCIPIO DE PUBLICIDAD – Concepto – Fundamento axiológico – Fundamento constitucional / PRINCIPIO DE PUBLICIDAD – SECOP – Documentos del proceso – Deber de publicación /</w:t>
            </w:r>
            <w:r w:rsidR="00AC59F5" w:rsidRPr="006B5889">
              <w:rPr>
                <w:rFonts w:ascii="Verdana" w:hAnsi="Verdana"/>
              </w:rPr>
              <w:t xml:space="preserve"> </w:t>
            </w:r>
            <w:r w:rsidR="00AC59F5" w:rsidRPr="006B5889">
              <w:rPr>
                <w:rFonts w:ascii="Verdana" w:eastAsia="Calibri" w:hAnsi="Verdana" w:cs="Arial"/>
                <w:lang w:val="es-ES" w:eastAsia="es-ES"/>
              </w:rPr>
              <w:t>ENTIDADES CON RÉGIMEN ESPECIAL – Deber de publicar en SECOP – Artículo 53 Ley 2195 de 2022</w:t>
            </w:r>
          </w:p>
          <w:p w14:paraId="530DF8DE" w14:textId="7B64C6ED" w:rsidR="00AF5F5C" w:rsidRPr="006B5889" w:rsidRDefault="00AF5F5C" w:rsidP="00AC59F5">
            <w:pPr>
              <w:jc w:val="both"/>
              <w:rPr>
                <w:rFonts w:ascii="Verdana" w:eastAsia="Calibri" w:hAnsi="Verdana" w:cs="Arial"/>
                <w:highlight w:val="cyan"/>
                <w:lang w:eastAsia="es-ES"/>
              </w:rPr>
            </w:pPr>
          </w:p>
        </w:tc>
      </w:tr>
      <w:tr w:rsidR="00BF5B37" w:rsidRPr="006B5889" w14:paraId="4817AB28" w14:textId="77777777" w:rsidTr="00BC1A34">
        <w:tc>
          <w:tcPr>
            <w:tcW w:w="2689" w:type="dxa"/>
          </w:tcPr>
          <w:p w14:paraId="62ABDC56" w14:textId="77777777" w:rsidR="00BF5B37" w:rsidRPr="006B5889" w:rsidRDefault="00BF5B37" w:rsidP="00BC1A34">
            <w:pPr>
              <w:jc w:val="both"/>
              <w:rPr>
                <w:rFonts w:ascii="Verdana" w:eastAsia="Calibri" w:hAnsi="Verdana" w:cs="Arial"/>
                <w:b/>
                <w:color w:val="000000" w:themeColor="text1"/>
                <w:lang w:val="es-ES_tradnl" w:eastAsia="es-ES_tradnl"/>
              </w:rPr>
            </w:pPr>
            <w:r w:rsidRPr="006B5889">
              <w:rPr>
                <w:rFonts w:ascii="Verdana" w:eastAsia="Calibri" w:hAnsi="Verdana" w:cs="Arial"/>
                <w:b/>
                <w:color w:val="000000" w:themeColor="text1"/>
                <w:lang w:val="es-ES_tradnl" w:eastAsia="es-ES_tradnl"/>
              </w:rPr>
              <w:t>Radicación:</w:t>
            </w:r>
            <w:r w:rsidRPr="006B5889">
              <w:rPr>
                <w:rFonts w:ascii="Verdana" w:eastAsia="Calibri" w:hAnsi="Verdana" w:cs="Arial"/>
                <w:color w:val="000000" w:themeColor="text1"/>
                <w:lang w:val="es-ES_tradnl" w:eastAsia="es-ES_tradnl"/>
              </w:rPr>
              <w:t xml:space="preserve">               </w:t>
            </w:r>
          </w:p>
        </w:tc>
        <w:tc>
          <w:tcPr>
            <w:tcW w:w="6100" w:type="dxa"/>
          </w:tcPr>
          <w:p w14:paraId="7630C58D" w14:textId="43BFECFA" w:rsidR="00BF5B37" w:rsidRPr="006B5889" w:rsidRDefault="00BF5B37" w:rsidP="00BC1A34">
            <w:pPr>
              <w:jc w:val="both"/>
              <w:rPr>
                <w:rFonts w:ascii="Verdana" w:eastAsia="Calibri" w:hAnsi="Verdana" w:cs="Arial"/>
                <w:color w:val="000000" w:themeColor="text1"/>
                <w:lang w:eastAsia="es-ES_tradnl"/>
              </w:rPr>
            </w:pPr>
            <w:r w:rsidRPr="006B5889">
              <w:rPr>
                <w:rFonts w:ascii="Verdana" w:eastAsia="Calibri" w:hAnsi="Verdana" w:cs="Arial"/>
                <w:color w:val="000000" w:themeColor="text1"/>
                <w:lang w:val="es-ES_tradnl" w:eastAsia="es-ES_tradnl"/>
              </w:rPr>
              <w:t>Respuesta a consulta con radicado No.</w:t>
            </w:r>
            <w:r w:rsidRPr="006B5889">
              <w:rPr>
                <w:rFonts w:ascii="Verdana" w:hAnsi="Verdana"/>
              </w:rPr>
              <w:t xml:space="preserve"> </w:t>
            </w:r>
            <w:r w:rsidR="00C35450" w:rsidRPr="006B5889">
              <w:rPr>
                <w:rFonts w:ascii="Verdana" w:hAnsi="Verdana"/>
              </w:rPr>
              <w:t>1_2026_04_28_005762</w:t>
            </w:r>
          </w:p>
        </w:tc>
      </w:tr>
    </w:tbl>
    <w:p w14:paraId="4F0DFDF7" w14:textId="77777777" w:rsidR="00BF5B37" w:rsidRPr="006B5889" w:rsidRDefault="00BF5B37" w:rsidP="00BF5B37">
      <w:pPr>
        <w:spacing w:after="0" w:line="276" w:lineRule="auto"/>
        <w:jc w:val="both"/>
        <w:rPr>
          <w:rFonts w:ascii="Verdana" w:eastAsia="Calibri" w:hAnsi="Verdana" w:cs="Arial"/>
          <w:color w:val="000000" w:themeColor="text1"/>
          <w:highlight w:val="cyan"/>
          <w:lang w:val="es-ES" w:eastAsia="es-ES"/>
        </w:rPr>
      </w:pPr>
    </w:p>
    <w:p w14:paraId="66D4BDCD" w14:textId="6AE01875" w:rsidR="00BF5B37" w:rsidRPr="006B5889" w:rsidRDefault="00BF5B37" w:rsidP="00BF5B37">
      <w:pPr>
        <w:spacing w:after="0" w:line="276" w:lineRule="auto"/>
        <w:jc w:val="both"/>
        <w:rPr>
          <w:rFonts w:ascii="Verdana" w:eastAsia="Calibri" w:hAnsi="Verdana" w:cs="Arial"/>
          <w:color w:val="000000" w:themeColor="text1"/>
          <w:lang w:val="es-ES" w:eastAsia="es-ES"/>
        </w:rPr>
      </w:pPr>
      <w:r w:rsidRPr="006B5889">
        <w:rPr>
          <w:rFonts w:ascii="Verdana" w:eastAsia="Calibri" w:hAnsi="Verdana" w:cs="Arial"/>
          <w:color w:val="000000" w:themeColor="text1"/>
          <w:lang w:val="es-ES" w:eastAsia="es-ES"/>
        </w:rPr>
        <w:t xml:space="preserve">Estimado </w:t>
      </w:r>
      <w:r w:rsidR="000B1D23" w:rsidRPr="006B5889">
        <w:rPr>
          <w:rFonts w:ascii="Verdana" w:eastAsia="Calibri" w:hAnsi="Verdana" w:cs="Arial"/>
          <w:color w:val="000000" w:themeColor="text1"/>
          <w:lang w:val="es-ES" w:eastAsia="es-ES"/>
        </w:rPr>
        <w:t>señor</w:t>
      </w:r>
      <w:r w:rsidRPr="006B5889">
        <w:rPr>
          <w:rFonts w:ascii="Verdana" w:eastAsia="Calibri" w:hAnsi="Verdana" w:cs="Arial"/>
          <w:color w:val="000000" w:themeColor="text1"/>
          <w:lang w:val="es-ES" w:eastAsia="es-ES"/>
        </w:rPr>
        <w:t xml:space="preserve"> </w:t>
      </w:r>
      <w:r w:rsidR="000B1D23" w:rsidRPr="006B5889">
        <w:rPr>
          <w:rFonts w:ascii="Verdana" w:eastAsia="Calibri" w:hAnsi="Verdana" w:cs="Arial"/>
          <w:color w:val="000000" w:themeColor="text1"/>
          <w:lang w:val="es-ES" w:eastAsia="es-ES"/>
        </w:rPr>
        <w:t>Moreno</w:t>
      </w:r>
      <w:r w:rsidRPr="006B5889">
        <w:rPr>
          <w:rFonts w:ascii="Verdana" w:eastAsia="Calibri" w:hAnsi="Verdana" w:cs="Arial"/>
          <w:color w:val="000000" w:themeColor="text1"/>
          <w:lang w:val="es-ES" w:eastAsia="es-ES"/>
        </w:rPr>
        <w:t xml:space="preserve">: </w:t>
      </w:r>
    </w:p>
    <w:p w14:paraId="0A824FD8" w14:textId="77777777" w:rsidR="00BF5B37" w:rsidRPr="006B5889" w:rsidRDefault="00BF5B37" w:rsidP="00BF5B37">
      <w:pPr>
        <w:spacing w:after="0" w:line="276" w:lineRule="auto"/>
        <w:rPr>
          <w:rFonts w:ascii="Verdana" w:eastAsia="Times New Roman" w:hAnsi="Verdana" w:cs="Segoe UI"/>
          <w:highlight w:val="cyan"/>
          <w:lang w:eastAsia="es-CO"/>
        </w:rPr>
      </w:pPr>
    </w:p>
    <w:p w14:paraId="443DDA4D" w14:textId="61C20CB7" w:rsidR="00BF5B37" w:rsidRPr="006B5889" w:rsidRDefault="00BF5B37" w:rsidP="00BF5B37">
      <w:pPr>
        <w:spacing w:after="0" w:line="276" w:lineRule="auto"/>
        <w:jc w:val="both"/>
        <w:rPr>
          <w:rFonts w:ascii="Verdana" w:eastAsia="Calibri" w:hAnsi="Verdana" w:cs="Arial"/>
          <w:lang w:val="es-ES" w:eastAsia="es-ES"/>
        </w:rPr>
      </w:pPr>
      <w:r w:rsidRPr="006B5889">
        <w:rPr>
          <w:rFonts w:ascii="Verdana" w:eastAsia="Calibri" w:hAnsi="Verdana" w:cs="Arial"/>
          <w:lang w:val="es-ES" w:eastAsia="es-ES"/>
        </w:rPr>
        <w:t>En ejercicio de la competencia otorgada por los artículos 3, numeral 5º, y 11, numeral 8º, del Decreto Ley 4170 de 2011,</w:t>
      </w:r>
      <w:r w:rsidRPr="006B5889">
        <w:rPr>
          <w:rFonts w:ascii="Verdana" w:eastAsia="Arial MT" w:hAnsi="Verdana" w:cs="Arial"/>
          <w:lang w:val="es-ES" w:eastAsia="es-ES"/>
        </w:rPr>
        <w:t xml:space="preserve"> </w:t>
      </w:r>
      <w:r w:rsidRPr="006B5889">
        <w:rPr>
          <w:rFonts w:ascii="Verdana" w:hAnsi="Verdana" w:cs="Arial"/>
        </w:rPr>
        <w:t xml:space="preserve">así como lo establecido en el artículo 4 de la Resolución 1707 de 2018 expedida por esta Entidad, </w:t>
      </w:r>
      <w:r w:rsidRPr="006B5889">
        <w:rPr>
          <w:rFonts w:ascii="Verdana" w:eastAsia="Calibri" w:hAnsi="Verdana" w:cs="Arial"/>
          <w:lang w:val="es-ES" w:eastAsia="es-ES"/>
        </w:rPr>
        <w:t xml:space="preserve">la Agencia Nacional de Contratación Pública – Colombia Compra Eficiente– responde su solicitud radicada el </w:t>
      </w:r>
      <w:r w:rsidR="00890AE8" w:rsidRPr="006B5889">
        <w:rPr>
          <w:rFonts w:ascii="Verdana" w:eastAsia="Calibri" w:hAnsi="Verdana" w:cs="Arial"/>
          <w:lang w:val="es-ES" w:eastAsia="es-ES"/>
        </w:rPr>
        <w:t>28 de abril del 2026</w:t>
      </w:r>
      <w:r w:rsidRPr="006B5889">
        <w:rPr>
          <w:rFonts w:ascii="Verdana" w:eastAsia="Calibri" w:hAnsi="Verdana" w:cs="Arial"/>
          <w:lang w:val="es-ES" w:eastAsia="es-ES"/>
        </w:rPr>
        <w:t xml:space="preserve">, en la cual manifiesta lo siguiente: </w:t>
      </w:r>
    </w:p>
    <w:p w14:paraId="13EC84BB" w14:textId="77777777" w:rsidR="00BF5B37" w:rsidRPr="006B5889" w:rsidRDefault="00BF5B37" w:rsidP="00BF5B37">
      <w:pPr>
        <w:spacing w:after="0" w:line="276" w:lineRule="auto"/>
        <w:jc w:val="both"/>
        <w:rPr>
          <w:rFonts w:ascii="Verdana" w:eastAsia="Calibri" w:hAnsi="Verdana" w:cs="Arial"/>
          <w:highlight w:val="cyan"/>
          <w:lang w:val="es-ES" w:eastAsia="es-ES"/>
        </w:rPr>
      </w:pPr>
    </w:p>
    <w:p w14:paraId="456CC76F" w14:textId="77777777" w:rsidR="00014727" w:rsidRPr="006B5889" w:rsidRDefault="00BF5B37" w:rsidP="00014727">
      <w:pPr>
        <w:spacing w:after="0" w:line="240" w:lineRule="auto"/>
        <w:ind w:left="709" w:right="709"/>
        <w:jc w:val="both"/>
        <w:rPr>
          <w:rFonts w:ascii="Verdana" w:eastAsia="Century Gothic" w:hAnsi="Verdana" w:cs="Arial"/>
          <w:sz w:val="20"/>
          <w:szCs w:val="20"/>
          <w:lang w:val="es-ES"/>
        </w:rPr>
      </w:pPr>
      <w:r w:rsidRPr="006B5889">
        <w:rPr>
          <w:rFonts w:ascii="Verdana" w:eastAsia="Century Gothic" w:hAnsi="Verdana" w:cs="Arial"/>
          <w:sz w:val="20"/>
          <w:szCs w:val="20"/>
          <w:lang w:val="es-ES"/>
        </w:rPr>
        <w:t xml:space="preserve">“[…] </w:t>
      </w:r>
      <w:r w:rsidR="00014727" w:rsidRPr="006B5889">
        <w:rPr>
          <w:rFonts w:ascii="Verdana" w:eastAsia="Century Gothic" w:hAnsi="Verdana" w:cs="Arial"/>
          <w:sz w:val="20"/>
          <w:szCs w:val="20"/>
          <w:lang w:val="es-ES"/>
        </w:rPr>
        <w:t xml:space="preserve">1. </w:t>
      </w:r>
      <w:r w:rsidR="00DD1D2D" w:rsidRPr="006B5889">
        <w:rPr>
          <w:rFonts w:ascii="Verdana" w:eastAsia="Century Gothic" w:hAnsi="Verdana" w:cs="Arial"/>
          <w:sz w:val="20"/>
          <w:szCs w:val="20"/>
          <w:lang w:val="es-ES"/>
        </w:rPr>
        <w:t xml:space="preserve">¿Una entidad estatal cuyo régimen jurídico contractual sea de derecho privado o un régimen especial puede, por decisión propia consignada en su manual interno de contratación, adoptar como procedimientos de selección las modalidades reguladas en el Estatuto General de Contratación de la Administración Pública (verbigracia, </w:t>
      </w:r>
      <w:r w:rsidR="00DD1D2D" w:rsidRPr="006B5889">
        <w:rPr>
          <w:rFonts w:ascii="Verdana" w:eastAsia="Century Gothic" w:hAnsi="Verdana" w:cs="Arial"/>
          <w:sz w:val="20"/>
          <w:szCs w:val="20"/>
          <w:lang w:val="es-ES"/>
        </w:rPr>
        <w:lastRenderedPageBreak/>
        <w:t>selección abreviada por subasta inversa, licitación pública, concurso de méritos, mínima cuantía)?</w:t>
      </w:r>
    </w:p>
    <w:p w14:paraId="20CEF90F" w14:textId="77777777" w:rsidR="00014727" w:rsidRPr="006B5889" w:rsidRDefault="00014727" w:rsidP="00014727">
      <w:pPr>
        <w:spacing w:after="0" w:line="240" w:lineRule="auto"/>
        <w:ind w:left="709" w:right="709"/>
        <w:jc w:val="both"/>
        <w:rPr>
          <w:rFonts w:ascii="Verdana" w:eastAsia="Century Gothic" w:hAnsi="Verdana" w:cs="Arial"/>
          <w:sz w:val="20"/>
          <w:szCs w:val="20"/>
          <w:lang w:val="es-ES"/>
        </w:rPr>
      </w:pPr>
    </w:p>
    <w:p w14:paraId="4F845D40" w14:textId="7CFAF74F" w:rsidR="00BF5B37" w:rsidRPr="006B5889" w:rsidRDefault="00014727" w:rsidP="00014727">
      <w:pPr>
        <w:spacing w:after="0" w:line="240" w:lineRule="auto"/>
        <w:ind w:left="709" w:right="709"/>
        <w:jc w:val="both"/>
        <w:rPr>
          <w:rFonts w:ascii="Verdana" w:eastAsia="Century Gothic" w:hAnsi="Verdana" w:cs="Arial"/>
          <w:sz w:val="20"/>
          <w:szCs w:val="20"/>
        </w:rPr>
      </w:pPr>
      <w:r w:rsidRPr="006B5889">
        <w:rPr>
          <w:rFonts w:ascii="Verdana" w:eastAsia="Century Gothic" w:hAnsi="Verdana" w:cs="Arial"/>
          <w:sz w:val="20"/>
          <w:szCs w:val="20"/>
          <w:lang w:val="es-ES"/>
        </w:rPr>
        <w:t xml:space="preserve">2. </w:t>
      </w:r>
      <w:r w:rsidRPr="006B5889">
        <w:rPr>
          <w:rFonts w:ascii="Verdana" w:eastAsia="Century Gothic" w:hAnsi="Verdana" w:cs="Arial"/>
          <w:sz w:val="20"/>
          <w:szCs w:val="20"/>
        </w:rPr>
        <w:t>En caso afirmativo, ¿la adopción voluntaria de dichas modalidades en el manual interno modifica el régimen contractual de la entidad o, por el contrario, las modalidades operan únicamente como procedimientos de selección al interior del régimen especial, conservando este último plenamente sus efectos sustanciales?</w:t>
      </w:r>
    </w:p>
    <w:p w14:paraId="54B0DB8E" w14:textId="77777777" w:rsidR="00014727" w:rsidRPr="006B5889" w:rsidRDefault="00014727" w:rsidP="00014727">
      <w:pPr>
        <w:spacing w:after="0" w:line="240" w:lineRule="auto"/>
        <w:ind w:left="709" w:right="709"/>
        <w:jc w:val="both"/>
        <w:rPr>
          <w:rFonts w:ascii="Verdana" w:eastAsia="Century Gothic" w:hAnsi="Verdana" w:cs="Arial"/>
          <w:sz w:val="20"/>
          <w:szCs w:val="20"/>
        </w:rPr>
      </w:pPr>
    </w:p>
    <w:p w14:paraId="795C7A36" w14:textId="5002BD9D" w:rsidR="00014727" w:rsidRPr="006B5889" w:rsidRDefault="00014727" w:rsidP="00014727">
      <w:pPr>
        <w:spacing w:after="0" w:line="240" w:lineRule="auto"/>
        <w:ind w:left="709" w:right="709"/>
        <w:jc w:val="both"/>
        <w:rPr>
          <w:rFonts w:ascii="Verdana" w:eastAsia="Century Gothic" w:hAnsi="Verdana" w:cs="Arial"/>
          <w:sz w:val="20"/>
          <w:szCs w:val="20"/>
        </w:rPr>
      </w:pPr>
      <w:r w:rsidRPr="006B5889">
        <w:rPr>
          <w:rFonts w:ascii="Verdana" w:eastAsia="Century Gothic" w:hAnsi="Verdana" w:cs="Arial"/>
          <w:sz w:val="20"/>
          <w:szCs w:val="20"/>
        </w:rPr>
        <w:t>3. ¿Existen requisitos, condiciones o limitaciones que CCE haya identificado en relación con la adopción de modalidades del EGCAP por parte de entidades de régimen especial (por ejemplo, en cuanto al deber de garantizar los principios de selección objetiva, publicidad, transparencia, debido proceso y libre concurrencia)?</w:t>
      </w:r>
    </w:p>
    <w:p w14:paraId="1A26961F" w14:textId="77777777" w:rsidR="00014727" w:rsidRPr="006B5889" w:rsidRDefault="00014727" w:rsidP="00014727">
      <w:pPr>
        <w:spacing w:after="0" w:line="240" w:lineRule="auto"/>
        <w:ind w:left="709" w:right="709"/>
        <w:jc w:val="both"/>
        <w:rPr>
          <w:rFonts w:ascii="Verdana" w:eastAsia="Century Gothic" w:hAnsi="Verdana" w:cs="Arial"/>
          <w:sz w:val="20"/>
          <w:szCs w:val="20"/>
        </w:rPr>
      </w:pPr>
    </w:p>
    <w:p w14:paraId="71A9ECAD" w14:textId="58DA9FD6" w:rsidR="00014727" w:rsidRPr="006B5889" w:rsidRDefault="00014727" w:rsidP="00014727">
      <w:pPr>
        <w:spacing w:after="0" w:line="240" w:lineRule="auto"/>
        <w:ind w:left="709" w:right="709"/>
        <w:jc w:val="both"/>
        <w:rPr>
          <w:rFonts w:ascii="Verdana" w:eastAsia="Century Gothic" w:hAnsi="Verdana" w:cs="Arial"/>
          <w:sz w:val="20"/>
          <w:szCs w:val="20"/>
        </w:rPr>
      </w:pPr>
      <w:r w:rsidRPr="006B5889">
        <w:rPr>
          <w:rFonts w:ascii="Verdana" w:eastAsia="Century Gothic" w:hAnsi="Verdana" w:cs="Arial"/>
          <w:sz w:val="20"/>
          <w:szCs w:val="20"/>
        </w:rPr>
        <w:t>4. ¿Cuál es la posición de CCE respecto a la habilitación, en SECOP II, de los módulos transaccionales correspondientes a las modalidades del EGCAP cuando una entidad de régimen especial las haya adoptado válidamente en su manual interno de contratación? En particular: ¿es procedente que la entidad utilice dichos módulos transaccionales (incluida la subasta de prueba), o debe restringirse exclusivamente al módulo de “Régimen Especial”?</w:t>
      </w:r>
    </w:p>
    <w:p w14:paraId="72FFCA9A" w14:textId="77777777" w:rsidR="00014727" w:rsidRPr="006B5889" w:rsidRDefault="00014727" w:rsidP="00014727">
      <w:pPr>
        <w:spacing w:after="0" w:line="240" w:lineRule="auto"/>
        <w:ind w:left="709" w:right="709"/>
        <w:jc w:val="both"/>
        <w:rPr>
          <w:rFonts w:ascii="Verdana" w:eastAsia="Century Gothic" w:hAnsi="Verdana" w:cs="Arial"/>
          <w:sz w:val="20"/>
          <w:szCs w:val="20"/>
        </w:rPr>
      </w:pPr>
    </w:p>
    <w:p w14:paraId="2BDDF8F7" w14:textId="3C0141E1" w:rsidR="00014727" w:rsidRPr="006B5889" w:rsidRDefault="00014727" w:rsidP="00014727">
      <w:pPr>
        <w:spacing w:after="0" w:line="240" w:lineRule="auto"/>
        <w:ind w:left="709" w:right="709"/>
        <w:jc w:val="both"/>
        <w:rPr>
          <w:rFonts w:ascii="Verdana" w:eastAsia="Century Gothic" w:hAnsi="Verdana" w:cs="Arial"/>
          <w:sz w:val="20"/>
          <w:szCs w:val="20"/>
        </w:rPr>
      </w:pPr>
      <w:r w:rsidRPr="006B5889">
        <w:rPr>
          <w:rFonts w:ascii="Verdana" w:eastAsia="Century Gothic" w:hAnsi="Verdana" w:cs="Arial"/>
          <w:sz w:val="20"/>
          <w:szCs w:val="20"/>
        </w:rPr>
        <w:t xml:space="preserve">5. </w:t>
      </w:r>
      <w:r w:rsidR="00C20527" w:rsidRPr="006B5889">
        <w:rPr>
          <w:rFonts w:ascii="Verdana" w:eastAsia="Century Gothic" w:hAnsi="Verdana" w:cs="Arial"/>
          <w:sz w:val="20"/>
          <w:szCs w:val="20"/>
        </w:rPr>
        <w:t>Si CCE considera que las entidades de régimen especial únicamente deben utilizar el módulo de “Régimen Especial” —aun cuando hayan adoptado modalidades del EGCAP en su manual interno—, ¿cuál es el fundamento normativo de dicha restricción y de qué manera se concilia con la autonomía de configuración procedimental que la jurisprudencia y la doctrina han reconocido a las entidades sometidas a regímenes especiales?</w:t>
      </w:r>
    </w:p>
    <w:p w14:paraId="41BED173" w14:textId="77777777" w:rsidR="00C20527" w:rsidRPr="006B5889" w:rsidRDefault="00C20527" w:rsidP="00014727">
      <w:pPr>
        <w:spacing w:after="0" w:line="240" w:lineRule="auto"/>
        <w:ind w:left="709" w:right="709"/>
        <w:jc w:val="both"/>
        <w:rPr>
          <w:rFonts w:ascii="Verdana" w:eastAsia="Century Gothic" w:hAnsi="Verdana" w:cs="Arial"/>
          <w:sz w:val="20"/>
          <w:szCs w:val="20"/>
        </w:rPr>
      </w:pPr>
    </w:p>
    <w:p w14:paraId="5AD932DC" w14:textId="42381356" w:rsidR="00C20527" w:rsidRPr="006B5889" w:rsidRDefault="00C20527" w:rsidP="00014727">
      <w:pPr>
        <w:spacing w:after="0" w:line="240" w:lineRule="auto"/>
        <w:ind w:left="709" w:right="709"/>
        <w:jc w:val="both"/>
        <w:rPr>
          <w:rFonts w:ascii="Verdana" w:eastAsia="Century Gothic" w:hAnsi="Verdana" w:cs="Arial"/>
          <w:sz w:val="20"/>
          <w:szCs w:val="20"/>
        </w:rPr>
      </w:pPr>
      <w:r w:rsidRPr="006B5889">
        <w:rPr>
          <w:rFonts w:ascii="Verdana" w:eastAsia="Century Gothic" w:hAnsi="Verdana" w:cs="Arial"/>
          <w:sz w:val="20"/>
          <w:szCs w:val="20"/>
        </w:rPr>
        <w:t>6. ¿Cuál es el procedimiento formal que debe seguir una entidad de régimen especial ante CCE para solicitar la activación de un módulo transaccional distinto al de “Régimen Especial”, indicando las áreas competentes, los soportes documentales que deben adjuntarse y los criterios de decisión aplicables? ¿Dicha decisión debe adoptarse mediante acto administrativo motivado o se trata de una actuación de soporte técnico?</w:t>
      </w:r>
    </w:p>
    <w:p w14:paraId="46097AD0" w14:textId="77777777" w:rsidR="00C20527" w:rsidRPr="006B5889" w:rsidRDefault="00C20527" w:rsidP="00014727">
      <w:pPr>
        <w:spacing w:after="0" w:line="240" w:lineRule="auto"/>
        <w:ind w:left="709" w:right="709"/>
        <w:jc w:val="both"/>
        <w:rPr>
          <w:rFonts w:ascii="Verdana" w:eastAsia="Century Gothic" w:hAnsi="Verdana" w:cs="Arial"/>
          <w:sz w:val="20"/>
          <w:szCs w:val="20"/>
        </w:rPr>
      </w:pPr>
    </w:p>
    <w:p w14:paraId="1285D85F" w14:textId="3DE9F590" w:rsidR="00014727" w:rsidRPr="006B5889" w:rsidRDefault="00C20527" w:rsidP="00C20527">
      <w:pPr>
        <w:spacing w:after="0" w:line="240" w:lineRule="auto"/>
        <w:ind w:left="709" w:right="709"/>
        <w:jc w:val="both"/>
        <w:rPr>
          <w:rFonts w:ascii="Verdana" w:eastAsia="Century Gothic" w:hAnsi="Verdana" w:cs="Arial"/>
          <w:sz w:val="20"/>
          <w:szCs w:val="20"/>
        </w:rPr>
      </w:pPr>
      <w:r w:rsidRPr="006B5889">
        <w:rPr>
          <w:rFonts w:ascii="Verdana" w:eastAsia="Century Gothic" w:hAnsi="Verdana" w:cs="Arial"/>
          <w:sz w:val="20"/>
          <w:szCs w:val="20"/>
        </w:rPr>
        <w:t xml:space="preserve">7. Para efectos de la integridad estadística de la información de la contratación pública, ¿cómo recomienda CCE que se reporte en el sistema una contratación adelantada por una entidad de régimen especial bajo una modalidad procedimental adoptada del EGCAP, de manera que se preserve tanto la transparencia del proceso como la correcta clasificación de la entidad y de su régimen? </w:t>
      </w:r>
      <w:r w:rsidRPr="006B5889">
        <w:rPr>
          <w:rFonts w:ascii="Verdana" w:eastAsia="Century Gothic" w:hAnsi="Verdana" w:cs="Arial"/>
          <w:sz w:val="20"/>
          <w:szCs w:val="20"/>
          <w:lang w:val="es-ES"/>
        </w:rPr>
        <w:t>[…]”</w:t>
      </w:r>
    </w:p>
    <w:p w14:paraId="77D31D44" w14:textId="77777777" w:rsidR="00014727" w:rsidRPr="006B5889" w:rsidRDefault="00014727" w:rsidP="00014727">
      <w:pPr>
        <w:spacing w:after="0" w:line="240" w:lineRule="auto"/>
        <w:ind w:left="709" w:right="709"/>
        <w:jc w:val="both"/>
        <w:rPr>
          <w:rFonts w:ascii="Verdana" w:eastAsia="Century Gothic" w:hAnsi="Verdana" w:cs="Arial"/>
          <w:sz w:val="20"/>
          <w:szCs w:val="20"/>
          <w:lang w:val="es-ES"/>
        </w:rPr>
      </w:pPr>
    </w:p>
    <w:p w14:paraId="23FA39CB" w14:textId="77777777" w:rsidR="00BF5B37" w:rsidRPr="006B5889" w:rsidRDefault="00BF5B37" w:rsidP="00BF5B37">
      <w:pPr>
        <w:spacing w:after="120" w:line="276" w:lineRule="auto"/>
        <w:ind w:firstLine="709"/>
        <w:jc w:val="both"/>
        <w:rPr>
          <w:rFonts w:ascii="Verdana" w:eastAsia="Calibri" w:hAnsi="Verdana" w:cs="Arial"/>
          <w:color w:val="000000"/>
          <w:lang w:val="es-ES_tradnl" w:eastAsia="es-ES_tradnl"/>
        </w:rPr>
      </w:pPr>
      <w:r w:rsidRPr="006B5889">
        <w:rPr>
          <w:rFonts w:ascii="Verdana" w:eastAsia="Calibri" w:hAnsi="Verdana" w:cs="Arial"/>
          <w:color w:val="000000"/>
          <w:lang w:val="es-ES" w:eastAsia="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5187D68B" w14:textId="77777777" w:rsidR="00BF5B37" w:rsidRPr="006B5889" w:rsidRDefault="00BF5B37" w:rsidP="00BF5B37">
      <w:pPr>
        <w:spacing w:after="0" w:line="276" w:lineRule="auto"/>
        <w:ind w:firstLine="709"/>
        <w:jc w:val="both"/>
        <w:rPr>
          <w:rFonts w:ascii="Verdana" w:eastAsia="Calibri" w:hAnsi="Verdana" w:cs="Arial"/>
          <w:color w:val="000000"/>
          <w:lang w:val="es-ES" w:eastAsia="es-ES"/>
        </w:rPr>
      </w:pPr>
      <w:r w:rsidRPr="006B5889">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33E7C5E" w14:textId="77777777" w:rsidR="00BF5B37" w:rsidRPr="006B5889" w:rsidRDefault="00BF5B37" w:rsidP="00BF5B37">
      <w:pPr>
        <w:spacing w:after="0" w:line="276" w:lineRule="auto"/>
        <w:jc w:val="both"/>
        <w:rPr>
          <w:rStyle w:val="Hipervnculo"/>
          <w:rFonts w:ascii="Verdana" w:hAnsi="Verdana"/>
          <w:highlight w:val="cyan"/>
          <w:lang w:val="es-ES"/>
        </w:rPr>
      </w:pPr>
    </w:p>
    <w:p w14:paraId="6F36153C" w14:textId="6D904F8D" w:rsidR="00BF5B37" w:rsidRPr="006B5889" w:rsidRDefault="00BF5B37" w:rsidP="00C21CF4">
      <w:pPr>
        <w:pStyle w:val="Prrafodelista"/>
        <w:numPr>
          <w:ilvl w:val="0"/>
          <w:numId w:val="17"/>
        </w:numPr>
        <w:spacing w:after="0" w:line="240" w:lineRule="auto"/>
        <w:jc w:val="both"/>
        <w:rPr>
          <w:rFonts w:ascii="Verdana" w:eastAsia="Verdana" w:hAnsi="Verdana" w:cs="Verdana"/>
        </w:rPr>
      </w:pPr>
      <w:r w:rsidRPr="006B5889">
        <w:rPr>
          <w:rFonts w:ascii="Verdana" w:eastAsia="Century Gothic" w:hAnsi="Verdana" w:cs="Arial"/>
          <w:b/>
          <w:bCs/>
        </w:rPr>
        <w:t>Problemas planteados:</w:t>
      </w:r>
    </w:p>
    <w:p w14:paraId="08D99F01" w14:textId="77777777" w:rsidR="00BF5B37" w:rsidRPr="006B5889" w:rsidRDefault="00BF5B37" w:rsidP="00BF5B37">
      <w:pPr>
        <w:spacing w:after="0" w:line="240" w:lineRule="auto"/>
        <w:jc w:val="both"/>
        <w:rPr>
          <w:rFonts w:ascii="Verdana" w:eastAsia="Verdana" w:hAnsi="Verdana" w:cs="Verdana"/>
          <w:highlight w:val="cyan"/>
          <w:lang w:val="es-MX"/>
        </w:rPr>
      </w:pPr>
    </w:p>
    <w:p w14:paraId="1FB594C0" w14:textId="30985612" w:rsidR="00BF5B37" w:rsidRPr="006B5889" w:rsidRDefault="00BF5B37" w:rsidP="00C21CF4">
      <w:pPr>
        <w:pStyle w:val="TableParagraph"/>
        <w:spacing w:line="276" w:lineRule="auto"/>
        <w:jc w:val="both"/>
        <w:rPr>
          <w:rFonts w:ascii="Verdana" w:eastAsia="Century Gothic" w:hAnsi="Verdana" w:cs="Century Gothic"/>
        </w:rPr>
      </w:pPr>
      <w:r w:rsidRPr="006B5889">
        <w:rPr>
          <w:rFonts w:ascii="Verdana" w:eastAsia="Century Gothic" w:hAnsi="Verdana" w:cs="Century Gothic"/>
        </w:rPr>
        <w:t xml:space="preserve">De acuerdo con el contenido de su solicitud, esta Agencia resolverá </w:t>
      </w:r>
      <w:r w:rsidR="00BC675C" w:rsidRPr="006B5889">
        <w:rPr>
          <w:rFonts w:ascii="Verdana" w:eastAsia="Century Gothic" w:hAnsi="Verdana" w:cs="Century Gothic"/>
        </w:rPr>
        <w:t>los</w:t>
      </w:r>
      <w:r w:rsidRPr="006B5889">
        <w:rPr>
          <w:rFonts w:ascii="Verdana" w:eastAsia="Century Gothic" w:hAnsi="Verdana" w:cs="Century Gothic"/>
        </w:rPr>
        <w:t xml:space="preserve"> siguiente</w:t>
      </w:r>
      <w:r w:rsidR="00BC675C" w:rsidRPr="006B5889">
        <w:rPr>
          <w:rFonts w:ascii="Verdana" w:eastAsia="Century Gothic" w:hAnsi="Verdana" w:cs="Century Gothic"/>
        </w:rPr>
        <w:t>s</w:t>
      </w:r>
      <w:r w:rsidRPr="006B5889">
        <w:rPr>
          <w:rFonts w:ascii="Verdana" w:eastAsia="Century Gothic" w:hAnsi="Verdana" w:cs="Century Gothic"/>
        </w:rPr>
        <w:t xml:space="preserve"> problema</w:t>
      </w:r>
      <w:r w:rsidR="00BC675C" w:rsidRPr="006B5889">
        <w:rPr>
          <w:rFonts w:ascii="Verdana" w:eastAsia="Century Gothic" w:hAnsi="Verdana" w:cs="Century Gothic"/>
        </w:rPr>
        <w:t>s</w:t>
      </w:r>
      <w:r w:rsidRPr="006B5889">
        <w:rPr>
          <w:rFonts w:ascii="Verdana" w:eastAsia="Century Gothic" w:hAnsi="Verdana" w:cs="Century Gothic"/>
        </w:rPr>
        <w:t xml:space="preserve"> jurídico</w:t>
      </w:r>
      <w:r w:rsidR="00BC675C" w:rsidRPr="006B5889">
        <w:rPr>
          <w:rFonts w:ascii="Verdana" w:eastAsia="Century Gothic" w:hAnsi="Verdana" w:cs="Century Gothic"/>
        </w:rPr>
        <w:t>s</w:t>
      </w:r>
      <w:r w:rsidRPr="006B5889">
        <w:rPr>
          <w:rFonts w:ascii="Verdana" w:eastAsia="Century Gothic" w:hAnsi="Verdana" w:cs="Century Gothic"/>
        </w:rPr>
        <w:t xml:space="preserve">: </w:t>
      </w:r>
      <w:r w:rsidR="00231663" w:rsidRPr="006B5889">
        <w:rPr>
          <w:rFonts w:ascii="Verdana" w:eastAsia="Century Gothic" w:hAnsi="Verdana" w:cs="Century Gothic"/>
          <w:lang w:val="es-CO"/>
        </w:rPr>
        <w:t xml:space="preserve">i) </w:t>
      </w:r>
      <w:r w:rsidR="00C21CF4" w:rsidRPr="006B5889">
        <w:rPr>
          <w:rFonts w:ascii="Verdana" w:eastAsia="Century Gothic" w:hAnsi="Verdana" w:cs="Century Gothic"/>
        </w:rPr>
        <w:t xml:space="preserve">¿Es jurídicamente viable que una Entidad Estatal exceptuada del Estatuto General de Contratación de la Administración Pública incorpore en su reglamento interno </w:t>
      </w:r>
      <w:r w:rsidR="00294299" w:rsidRPr="006B5889">
        <w:rPr>
          <w:rFonts w:ascii="Verdana" w:eastAsia="Century Gothic" w:hAnsi="Verdana" w:cs="Century Gothic"/>
        </w:rPr>
        <w:t>o en sus manuales de</w:t>
      </w:r>
      <w:r w:rsidR="00C21CF4" w:rsidRPr="006B5889">
        <w:rPr>
          <w:rFonts w:ascii="Verdana" w:eastAsia="Century Gothic" w:hAnsi="Verdana" w:cs="Century Gothic"/>
        </w:rPr>
        <w:t xml:space="preserve"> contratación las modalidades de selección de contratistas reguladas en dicho Estatuto?; </w:t>
      </w:r>
      <w:r w:rsidR="00E52BCA" w:rsidRPr="006B5889">
        <w:rPr>
          <w:rFonts w:ascii="Verdana" w:eastAsia="Century Gothic" w:hAnsi="Verdana" w:cs="Century Gothic"/>
        </w:rPr>
        <w:t xml:space="preserve">y </w:t>
      </w:r>
      <w:r w:rsidR="00A524A8" w:rsidRPr="006B5889">
        <w:rPr>
          <w:rFonts w:ascii="Verdana" w:eastAsia="Century Gothic" w:hAnsi="Verdana" w:cs="Century Gothic"/>
          <w:lang w:val="es-CO"/>
        </w:rPr>
        <w:t>ii)</w:t>
      </w:r>
      <w:r w:rsidR="00E52BCA" w:rsidRPr="006B5889">
        <w:rPr>
          <w:rFonts w:ascii="Verdana" w:eastAsia="Century Gothic" w:hAnsi="Verdana" w:cs="Century Gothic"/>
          <w:lang w:val="es-CO"/>
        </w:rPr>
        <w:t xml:space="preserve"> ¿Qué requisitos, condiciones o limitaciones ha identificado la CCE en relación con la adopción de modalidades del EGCAP por parte de entidades de régimen especial, particularmente en lo que concierne a la observancia de los principios de selección objetiva, publicidad, transparencia, debido proceso y libre concurrencia?</w:t>
      </w:r>
      <w:r w:rsidR="009B4F74" w:rsidRPr="006B5889">
        <w:rPr>
          <w:rFonts w:ascii="Verdana" w:eastAsia="Century Gothic" w:hAnsi="Verdana" w:cs="Century Gothic"/>
          <w:lang w:val="es-CO"/>
        </w:rPr>
        <w:t xml:space="preserve">; iii) </w:t>
      </w:r>
      <w:r w:rsidR="001304A0" w:rsidRPr="006B5889">
        <w:rPr>
          <w:rFonts w:ascii="Verdana" w:eastAsia="Century Gothic" w:hAnsi="Verdana" w:cs="Century Gothic"/>
          <w:lang w:val="es-CO"/>
        </w:rPr>
        <w:t xml:space="preserve">¿Qué lineamientos deben cumplir las entidades </w:t>
      </w:r>
      <w:r w:rsidR="005E0A6E" w:rsidRPr="006B5889">
        <w:rPr>
          <w:rFonts w:ascii="Verdana" w:eastAsia="Century Gothic" w:hAnsi="Verdana" w:cs="Century Gothic"/>
          <w:lang w:val="es-CO"/>
        </w:rPr>
        <w:t>exceptuadas</w:t>
      </w:r>
      <w:r w:rsidR="001304A0" w:rsidRPr="006B5889">
        <w:rPr>
          <w:rFonts w:ascii="Verdana" w:eastAsia="Century Gothic" w:hAnsi="Verdana" w:cs="Century Gothic"/>
          <w:lang w:val="es-CO"/>
        </w:rPr>
        <w:t xml:space="preserve"> en la </w:t>
      </w:r>
      <w:r w:rsidR="000C3A61" w:rsidRPr="006B5889">
        <w:rPr>
          <w:rFonts w:ascii="Verdana" w:eastAsia="Century Gothic" w:hAnsi="Verdana" w:cs="Century Gothic"/>
          <w:lang w:val="es-CO"/>
        </w:rPr>
        <w:t>publicación</w:t>
      </w:r>
      <w:r w:rsidR="001304A0" w:rsidRPr="006B5889">
        <w:rPr>
          <w:rFonts w:ascii="Verdana" w:eastAsia="Century Gothic" w:hAnsi="Verdana" w:cs="Century Gothic"/>
          <w:lang w:val="es-CO"/>
        </w:rPr>
        <w:t xml:space="preserve"> de su gestión contractual a través del SECOP</w:t>
      </w:r>
      <w:r w:rsidR="000F7E7F" w:rsidRPr="006B5889">
        <w:rPr>
          <w:rFonts w:ascii="Verdana" w:eastAsia="Century Gothic" w:hAnsi="Verdana" w:cs="Century Gothic"/>
          <w:lang w:val="es-CO"/>
        </w:rPr>
        <w:t>?</w:t>
      </w:r>
    </w:p>
    <w:p w14:paraId="141843BF" w14:textId="77777777" w:rsidR="00BF5B37" w:rsidRPr="006B5889" w:rsidRDefault="00BF5B37" w:rsidP="00BF5B37">
      <w:pPr>
        <w:spacing w:after="0" w:line="240" w:lineRule="auto"/>
        <w:jc w:val="both"/>
        <w:rPr>
          <w:rFonts w:ascii="Verdana" w:eastAsia="Verdana" w:hAnsi="Verdana" w:cs="Verdana"/>
          <w:highlight w:val="cyan"/>
          <w:lang w:val="es-ES"/>
        </w:rPr>
      </w:pPr>
    </w:p>
    <w:p w14:paraId="01EBC07F" w14:textId="469D0D59" w:rsidR="00BF5B37" w:rsidRPr="006B5889" w:rsidRDefault="00BF5B37" w:rsidP="00C21CF4">
      <w:pPr>
        <w:pStyle w:val="Prrafodelista"/>
        <w:widowControl w:val="0"/>
        <w:numPr>
          <w:ilvl w:val="0"/>
          <w:numId w:val="17"/>
        </w:numPr>
        <w:autoSpaceDE w:val="0"/>
        <w:autoSpaceDN w:val="0"/>
        <w:spacing w:after="0" w:line="276" w:lineRule="auto"/>
        <w:jc w:val="both"/>
        <w:outlineLvl w:val="0"/>
        <w:rPr>
          <w:rFonts w:ascii="Verdana" w:eastAsia="Arial" w:hAnsi="Verdana" w:cs="Arial"/>
          <w:b/>
          <w:bCs/>
        </w:rPr>
      </w:pPr>
      <w:r w:rsidRPr="006B5889">
        <w:rPr>
          <w:rFonts w:ascii="Verdana" w:eastAsia="Arial" w:hAnsi="Verdana" w:cs="Arial"/>
          <w:b/>
          <w:bCs/>
        </w:rPr>
        <w:t>Respuesta:</w:t>
      </w:r>
    </w:p>
    <w:p w14:paraId="4C446DE6" w14:textId="77777777" w:rsidR="00BF5B37" w:rsidRPr="006B5889" w:rsidRDefault="00BF5B37" w:rsidP="00BF5B37">
      <w:pPr>
        <w:spacing w:after="0" w:line="276" w:lineRule="auto"/>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F5B37" w:rsidRPr="006B5889" w14:paraId="6D934CA6" w14:textId="77777777" w:rsidTr="00BC1A34">
        <w:tc>
          <w:tcPr>
            <w:tcW w:w="8828" w:type="dxa"/>
          </w:tcPr>
          <w:p w14:paraId="7838FF5F" w14:textId="1F08C04A" w:rsidR="00BF5B37" w:rsidRPr="006B5889" w:rsidRDefault="00BF5B37" w:rsidP="00BC1A34">
            <w:pPr>
              <w:spacing w:after="120" w:line="276" w:lineRule="auto"/>
              <w:jc w:val="both"/>
              <w:rPr>
                <w:rFonts w:ascii="Verdana" w:hAnsi="Verdana" w:cs="Arial"/>
                <w:color w:val="000000" w:themeColor="text1"/>
              </w:rPr>
            </w:pPr>
            <w:bookmarkStart w:id="1" w:name="_Hlk171067516"/>
            <w:r w:rsidRPr="006B5889">
              <w:rPr>
                <w:rFonts w:ascii="Verdana" w:hAnsi="Verdana" w:cs="Arial"/>
                <w:color w:val="000000" w:themeColor="text1"/>
              </w:rPr>
              <w:lastRenderedPageBreak/>
              <w:t xml:space="preserve">En respuesta a </w:t>
            </w:r>
            <w:r w:rsidR="00E52BCA" w:rsidRPr="006B5889">
              <w:rPr>
                <w:rFonts w:ascii="Verdana" w:hAnsi="Verdana" w:cs="Arial"/>
                <w:color w:val="000000" w:themeColor="text1"/>
              </w:rPr>
              <w:t xml:space="preserve">los </w:t>
            </w:r>
            <w:r w:rsidRPr="006B5889">
              <w:rPr>
                <w:rFonts w:ascii="Verdana" w:hAnsi="Verdana" w:cs="Arial"/>
                <w:color w:val="000000" w:themeColor="text1"/>
              </w:rPr>
              <w:t>problema</w:t>
            </w:r>
            <w:r w:rsidR="00E52BCA" w:rsidRPr="006B5889">
              <w:rPr>
                <w:rFonts w:ascii="Verdana" w:hAnsi="Verdana" w:cs="Arial"/>
                <w:color w:val="000000" w:themeColor="text1"/>
              </w:rPr>
              <w:t>s</w:t>
            </w:r>
            <w:r w:rsidRPr="006B5889">
              <w:rPr>
                <w:rFonts w:ascii="Verdana" w:hAnsi="Verdana" w:cs="Arial"/>
                <w:color w:val="000000" w:themeColor="text1"/>
              </w:rPr>
              <w:t xml:space="preserve"> antes planteado esta Subdirección manifiesta lo siguiente:</w:t>
            </w:r>
          </w:p>
          <w:p w14:paraId="3AD6C084" w14:textId="72E6473E" w:rsidR="00DA50B2" w:rsidRPr="006B5889" w:rsidRDefault="001453D1" w:rsidP="00DA50B2">
            <w:pPr>
              <w:pStyle w:val="Textoindependiente"/>
              <w:ind w:firstLine="709"/>
              <w:jc w:val="both"/>
              <w:rPr>
                <w:rFonts w:ascii="Verdana" w:hAnsi="Verdana"/>
              </w:rPr>
            </w:pPr>
            <w:r w:rsidRPr="006B5889">
              <w:rPr>
                <w:rFonts w:ascii="Verdana" w:hAnsi="Verdana"/>
              </w:rPr>
              <w:t xml:space="preserve">En </w:t>
            </w:r>
            <w:r w:rsidRPr="006B5889">
              <w:rPr>
                <w:rFonts w:ascii="Verdana" w:hAnsi="Verdana"/>
                <w:i/>
                <w:iCs/>
              </w:rPr>
              <w:t>primer lugar,</w:t>
            </w:r>
            <w:r w:rsidRPr="006B5889">
              <w:rPr>
                <w:rFonts w:ascii="Verdana" w:hAnsi="Verdana"/>
              </w:rPr>
              <w:t xml:space="preserve"> resulta </w:t>
            </w:r>
            <w:r w:rsidR="00EA7206" w:rsidRPr="006B5889">
              <w:rPr>
                <w:rFonts w:ascii="Verdana" w:hAnsi="Verdana"/>
              </w:rPr>
              <w:t xml:space="preserve">necesario </w:t>
            </w:r>
            <w:r w:rsidRPr="006B5889">
              <w:rPr>
                <w:rFonts w:ascii="Verdana" w:hAnsi="Verdana"/>
              </w:rPr>
              <w:t>indicar</w:t>
            </w:r>
            <w:r w:rsidR="0092106D" w:rsidRPr="006B5889">
              <w:rPr>
                <w:rFonts w:ascii="Verdana" w:hAnsi="Verdana"/>
              </w:rPr>
              <w:t xml:space="preserve"> que l</w:t>
            </w:r>
            <w:r w:rsidRPr="006B5889">
              <w:rPr>
                <w:rFonts w:ascii="Verdana" w:hAnsi="Verdana"/>
              </w:rPr>
              <w:t xml:space="preserve">as </w:t>
            </w:r>
            <w:r w:rsidR="001C1EB0" w:rsidRPr="006B5889">
              <w:rPr>
                <w:rFonts w:ascii="Verdana" w:hAnsi="Verdana"/>
              </w:rPr>
              <w:t>E</w:t>
            </w:r>
            <w:r w:rsidRPr="006B5889">
              <w:rPr>
                <w:rFonts w:ascii="Verdana" w:hAnsi="Verdana"/>
              </w:rPr>
              <w:t xml:space="preserve">ntidades </w:t>
            </w:r>
            <w:r w:rsidR="001C1EB0" w:rsidRPr="006B5889">
              <w:rPr>
                <w:rFonts w:ascii="Verdana" w:hAnsi="Verdana"/>
              </w:rPr>
              <w:t>E</w:t>
            </w:r>
            <w:r w:rsidRPr="006B5889">
              <w:rPr>
                <w:rFonts w:ascii="Verdana" w:hAnsi="Verdana"/>
              </w:rPr>
              <w:t>statales exceptuadas del Estatuto General de Contratación de la Administración Pública</w:t>
            </w:r>
            <w:r w:rsidR="00AB1B86" w:rsidRPr="006B5889">
              <w:rPr>
                <w:rFonts w:ascii="Verdana" w:hAnsi="Verdana"/>
              </w:rPr>
              <w:t xml:space="preserve"> </w:t>
            </w:r>
            <w:r w:rsidRPr="006B5889">
              <w:rPr>
                <w:rFonts w:ascii="Verdana" w:hAnsi="Verdana"/>
              </w:rPr>
              <w:t>se rigen por sus propios regímenes especiales de contratación, los cuales les confieren un amplio margen de autonomía para diseñar y estructurar sus procedimientos contractuales. En ejercicio de esa libertad de configuración, dichas entidades pueden incorporar en sus reglamentos internos o manuales de contratación las modalidades de selección previstas en el EGCAP —tales como la licitación pública, la selección abreviada, el concurso de méritos o la contratación directa—, no como una obligación legal, sino como una decisión voluntaria orientada precisamente a adoptar medidas adicionales que fortalezcan el debido cumplimiento de sus obligaciones contractuales, eleven los estándares de transparencia en sus procesos de selección y refuercen las garantías de los proponentes y contratistas.</w:t>
            </w:r>
          </w:p>
          <w:p w14:paraId="13D70F02" w14:textId="77777777" w:rsidR="00B014B2" w:rsidRPr="006B5889" w:rsidRDefault="001453D1" w:rsidP="00B014B2">
            <w:pPr>
              <w:pStyle w:val="Textoindependiente"/>
              <w:ind w:firstLine="709"/>
              <w:jc w:val="both"/>
              <w:rPr>
                <w:rFonts w:ascii="Verdana" w:hAnsi="Verdana"/>
              </w:rPr>
            </w:pPr>
            <w:r w:rsidRPr="006B5889">
              <w:rPr>
                <w:rFonts w:ascii="Verdana" w:hAnsi="Verdana"/>
              </w:rPr>
              <w:t>No obstante, dicha libertad no es absoluta. Su ejercicio encuentra límites en el ordenamiento constitucional y legal, de manera que, independientemente del régimen jurídico que gobierne a la entidad, esta debe respetar en todo caso los principios de la función administrativa y de la gestión fiscal consagrados en los artículos 209 y 267 de la Constitución Política, esto es, los principios de igualdad, moralidad, eficacia, economía, celeridad, imparcialidad, publicidad, transparencia, responsabilidad y control. En consecuencia, la incorporación de modalidades del EGCAP en el manual de contratación de una entidad de régimen especial no puede convertirse en un mecanismo que desnaturalice dichos principios ni que restrinja injustificadamente la participación de los oferentes.</w:t>
            </w:r>
          </w:p>
          <w:p w14:paraId="40E71E7B" w14:textId="318E82E6" w:rsidR="00B014B2" w:rsidRPr="006B5889" w:rsidRDefault="00B014B2" w:rsidP="00B014B2">
            <w:pPr>
              <w:pStyle w:val="Textoindependiente"/>
              <w:ind w:firstLine="709"/>
              <w:jc w:val="both"/>
              <w:rPr>
                <w:rFonts w:ascii="Verdana" w:hAnsi="Verdana"/>
              </w:rPr>
            </w:pPr>
            <w:r w:rsidRPr="006B5889">
              <w:rPr>
                <w:rFonts w:ascii="Verdana" w:hAnsi="Verdana" w:cs="Arial"/>
              </w:rPr>
              <w:t xml:space="preserve">En </w:t>
            </w:r>
            <w:r w:rsidRPr="006B5889">
              <w:rPr>
                <w:rFonts w:ascii="Verdana" w:hAnsi="Verdana" w:cs="Arial"/>
                <w:i/>
                <w:iCs/>
              </w:rPr>
              <w:t>según lugar</w:t>
            </w:r>
            <w:r w:rsidRPr="006B5889">
              <w:rPr>
                <w:rFonts w:ascii="Verdana" w:hAnsi="Verdana" w:cs="Arial"/>
              </w:rPr>
              <w:t>, es preciso indicar por un lado que, conforme a las funciones legalmente asignadas a Colombia Compra Eficiente —CCE— mediante el Decreto Ley 4170 de 2011, no es competencia de esta Agencia realizar análisis, seguimiento o control a las Entidades Estatales Exceptuadas del EGCAP. Por tanto, la CCE no ha adelantado pronunciamientos vinculantes ni ha emitido lineamientos específicos de supervisión frente a la gestión contractual de dichas entidades.</w:t>
            </w:r>
          </w:p>
          <w:p w14:paraId="7D89351D" w14:textId="77777777" w:rsidR="00B014B2" w:rsidRPr="006B5889" w:rsidRDefault="00B014B2" w:rsidP="00B014B2">
            <w:pPr>
              <w:pStyle w:val="Textoindependiente"/>
              <w:ind w:firstLine="709"/>
              <w:jc w:val="both"/>
              <w:rPr>
                <w:rFonts w:ascii="Verdana" w:hAnsi="Verdana" w:cs="Arial"/>
              </w:rPr>
            </w:pPr>
            <w:r w:rsidRPr="006B5889">
              <w:rPr>
                <w:rFonts w:ascii="Verdana" w:hAnsi="Verdana" w:cs="Arial"/>
              </w:rPr>
              <w:t xml:space="preserve">Sin perjuicio de lo anterior, y en el marco de su función orientadora, la CCE ha señalado de manera general que cuando una entidad de régimen </w:t>
            </w:r>
            <w:r w:rsidRPr="006B5889">
              <w:rPr>
                <w:rFonts w:ascii="Verdana" w:hAnsi="Verdana" w:cs="Arial"/>
              </w:rPr>
              <w:lastRenderedPageBreak/>
              <w:t>especial decide voluntariamente adoptar las modalidades de selección del EGCAP, debe hacerlo de forma coherente e integral, garantizando que su aplicación respete los principios estructurales que sustentan cada modalidad, entre ellos: (a) la selección objetiva, entendida como la escogencia del ofrecimiento más favorable a la entidad y a los fines que ella busca, con independencia de consideraciones subjetivas; (b) la publicidad, que implica la difusión oportuna y suficiente de las condiciones del proceso; (c) la transparencia, que exige reglas claras, completas y verificables desde el inicio del proceso; (d) el debido proceso, que garantiza el derecho de los proponentes a conocer las reglas, a controvertir las decisiones y a ser tratados en condiciones de igualdad; y (e) la libre concurrencia, que prohíbe las restricciones injustificadas a la participación de potenciales oferentes.</w:t>
            </w:r>
          </w:p>
          <w:p w14:paraId="13C790F9" w14:textId="77777777" w:rsidR="00B014B2" w:rsidRPr="006B5889" w:rsidRDefault="00B014B2" w:rsidP="00B014B2">
            <w:pPr>
              <w:pStyle w:val="Textoindependiente"/>
              <w:ind w:firstLine="709"/>
              <w:jc w:val="both"/>
              <w:rPr>
                <w:rFonts w:ascii="Verdana" w:hAnsi="Verdana" w:cs="Arial"/>
              </w:rPr>
            </w:pPr>
            <w:r w:rsidRPr="006B5889">
              <w:rPr>
                <w:rFonts w:ascii="Verdana" w:hAnsi="Verdana" w:cs="Arial"/>
              </w:rPr>
              <w:t>La adopción parcial, fragmentada o selectiva de las modalidades del EGCAP, sin observar los principios que les son inherentes, podría comprometer la validez de los procesos adelantados y generar responsabilidades para los servidores públicos o particulares que ejerzan funciones contractuales al interior de la entidad.</w:t>
            </w:r>
          </w:p>
          <w:p w14:paraId="1C5392D3" w14:textId="7CA0BCF4" w:rsidR="007362B8" w:rsidRPr="006B5889" w:rsidRDefault="00395A4B" w:rsidP="007362B8">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sz w:val="22"/>
                <w:szCs w:val="22"/>
              </w:rPr>
              <w:t>E</w:t>
            </w:r>
            <w:r w:rsidR="005E0A6E" w:rsidRPr="006B5889">
              <w:rPr>
                <w:rFonts w:ascii="Verdana" w:hAnsi="Verdana" w:cs="Arial"/>
                <w:sz w:val="22"/>
                <w:szCs w:val="22"/>
              </w:rPr>
              <w:t xml:space="preserve">n cuanto </w:t>
            </w:r>
            <w:r w:rsidR="00894AD2" w:rsidRPr="006B5889">
              <w:rPr>
                <w:rFonts w:ascii="Verdana" w:hAnsi="Verdana" w:cs="Arial"/>
                <w:sz w:val="22"/>
                <w:szCs w:val="22"/>
              </w:rPr>
              <w:t xml:space="preserve">a los lineamientos </w:t>
            </w:r>
            <w:r w:rsidR="00DF666C" w:rsidRPr="006B5889">
              <w:rPr>
                <w:rFonts w:ascii="Verdana" w:hAnsi="Verdana" w:cs="Arial"/>
                <w:sz w:val="22"/>
                <w:szCs w:val="22"/>
              </w:rPr>
              <w:t>para</w:t>
            </w:r>
            <w:r w:rsidR="00894AD2" w:rsidRPr="006B5889">
              <w:rPr>
                <w:rFonts w:ascii="Verdana" w:hAnsi="Verdana" w:cs="Arial"/>
                <w:sz w:val="22"/>
                <w:szCs w:val="22"/>
              </w:rPr>
              <w:t xml:space="preserve"> tener en cuenta </w:t>
            </w:r>
            <w:r w:rsidRPr="006B5889">
              <w:rPr>
                <w:rFonts w:ascii="Verdana" w:hAnsi="Verdana" w:cs="Arial"/>
                <w:sz w:val="22"/>
                <w:szCs w:val="22"/>
              </w:rPr>
              <w:t xml:space="preserve">frente a la publicación de la </w:t>
            </w:r>
            <w:r w:rsidRPr="006B5889">
              <w:rPr>
                <w:rFonts w:ascii="Verdana" w:eastAsia="Century Gothic" w:hAnsi="Verdana" w:cs="Century Gothic"/>
                <w:sz w:val="22"/>
                <w:szCs w:val="22"/>
              </w:rPr>
              <w:t xml:space="preserve">gestión contractual de estas entidades a través del SECOP, debe señalarse que </w:t>
            </w:r>
            <w:r w:rsidR="007362B8" w:rsidRPr="006B5889">
              <w:rPr>
                <w:rFonts w:ascii="Verdana" w:hAnsi="Verdana" w:cs="Segoe UI"/>
                <w:sz w:val="22"/>
                <w:szCs w:val="22"/>
              </w:rPr>
              <w:t xml:space="preserve">la Ley 2195 de 2022 impuso a las entidades con régimen contractual excepcional la obligación de publicar en SECOP II todos los documentos asociados a su actividad contractual, incluyendo información generada en las etapas precontractual, contractual y postcontractual. Para facilitar el cumplimiento de este deber de publicidad, la Agencia Nacional de Contratación Pública - Colombia Compra Eficiente dispuso dos módulos en SECOP II para estas entidades: 1) </w:t>
            </w:r>
            <w:r w:rsidR="007362B8" w:rsidRPr="006B5889">
              <w:rPr>
                <w:rFonts w:ascii="Verdana" w:hAnsi="Verdana" w:cs="Arial"/>
                <w:bCs/>
                <w:sz w:val="22"/>
                <w:szCs w:val="22"/>
              </w:rPr>
              <w:t xml:space="preserve">Contratación Régimen Especial (con ofertas), el cual permite a las entidades gestionar sus procesos competitivos de contratación de manera transaccional, es decir, que a través de este módulo las entidades estatales pueden estructurar el proceso de contratación, recibir ofertas de los proveedores, generar el contrato de electrónico y realizar la gestión contractual y; 2) Contratación Régimen Especial (sin ofertas) el cual permite a las entidades gestionar sus procesos de selección directos y estructurar los procesos de contratación, publicar documentos generados por fuera de la plataforma y realizar la gestión contractual en línea. </w:t>
            </w:r>
          </w:p>
          <w:p w14:paraId="4B5FA996" w14:textId="77777777" w:rsidR="003D3E50" w:rsidRPr="006B5889" w:rsidRDefault="003D3E50" w:rsidP="003D3E50">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bCs/>
                <w:sz w:val="22"/>
                <w:szCs w:val="22"/>
              </w:rPr>
              <w:lastRenderedPageBreak/>
              <w:t xml:space="preserve">Así las cosas, las entidades exceptuadas, para cumplir con el deber de publicidad que les asiste podrán elegir cualquiera de las siguientes opciones: 1. Firmar el contrato electrónicamente, es decir, realizar un uso transaccional de la plataforma. 2. Firmar el contrato en físico y publicar los documentos de ejecución en la etapa precontractual del SECOP II, es decir, realizar un uso publicitario de la plataforma. 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este caso, no será posible firmar el contrato de forma manuscrita y posteriormente cargarlo. Por lo cual, a efectos de determinar la fecha exacta en que se suscribió el contrato, a efectos de la aplicación de la restricción de la Ley de Garantías Electorales se aplicará lo explicado anteriormente. </w:t>
            </w:r>
          </w:p>
          <w:p w14:paraId="60AA25EA" w14:textId="77777777" w:rsidR="001A7414" w:rsidRPr="006B5889" w:rsidRDefault="001A7414" w:rsidP="001A7414">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bCs/>
                <w:sz w:val="22"/>
                <w:szCs w:val="22"/>
              </w:rPr>
              <w:t xml:space="preserve">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 </w:t>
            </w:r>
          </w:p>
          <w:p w14:paraId="1AED4862" w14:textId="7E5957C5" w:rsidR="003F0C9D" w:rsidRPr="006B5889" w:rsidRDefault="002F4083" w:rsidP="001A7414">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color w:val="000000" w:themeColor="text1"/>
                <w:sz w:val="22"/>
                <w:szCs w:val="22"/>
                <w:lang w:eastAsia="es-ES_tradnl"/>
              </w:rPr>
              <w:t>R</w:t>
            </w:r>
            <w:r w:rsidR="003F0C9D" w:rsidRPr="006B5889">
              <w:rPr>
                <w:rFonts w:ascii="Verdana" w:hAnsi="Verdana" w:cs="Arial"/>
                <w:color w:val="000000" w:themeColor="text1"/>
                <w:sz w:val="22"/>
                <w:szCs w:val="22"/>
                <w:lang w:eastAsia="es-ES_tradnl"/>
              </w:rPr>
              <w:t xml:space="preserve">especto de los interrogantes Nro. 4, 5, 6 y 7 de la consulta, se indica que la Subdirección de Información y Desarrollo Tecnológico emitió la respuesta correspondiente, la cual se anexa al presente concepto. Para su adecuada visualización, se recomienda utilizar un aplicativo de lectura de archivos PDF, como Adobe Reader, que permite la descarga y apertura de los documentos adjuntos. En caso de presentar inconvenientes con la visualización de los anexos, se ha dispuesto un enlace adicional que facilita el acceso a la información. </w:t>
            </w:r>
            <w:hyperlink r:id="rId13">
              <w:r w:rsidR="003F0C9D" w:rsidRPr="006B5889">
                <w:rPr>
                  <w:rStyle w:val="Hipervnculo"/>
                  <w:rFonts w:ascii="Verdana" w:eastAsia="Verdana" w:hAnsi="Verdana" w:cs="Verdana"/>
                  <w:sz w:val="22"/>
                  <w:szCs w:val="22"/>
                </w:rPr>
                <w:t>instructivo</w:t>
              </w:r>
            </w:hyperlink>
          </w:p>
          <w:p w14:paraId="3A6270EF" w14:textId="77777777" w:rsidR="00BF5B37" w:rsidRPr="006B5889" w:rsidRDefault="00BF5B37" w:rsidP="00BC1A34">
            <w:pPr>
              <w:pStyle w:val="Textoindependiente"/>
              <w:ind w:firstLine="709"/>
              <w:jc w:val="both"/>
              <w:rPr>
                <w:rFonts w:ascii="Verdana" w:hAnsi="Verdana" w:cs="Arial"/>
              </w:rPr>
            </w:pPr>
            <w:r w:rsidRPr="006B5889">
              <w:rPr>
                <w:rStyle w:val="s15"/>
                <w:rFonts w:ascii="Verdana" w:hAnsi="Verdana"/>
                <w:color w:val="000000"/>
              </w:rPr>
              <w:t xml:space="preserve">Al margen de la explicación precedente, debe advertirse que el análisis requerido para resolver problemas específicos en torno a la gestión contractual </w:t>
            </w:r>
            <w:r w:rsidRPr="006B5889">
              <w:rPr>
                <w:rStyle w:val="s15"/>
                <w:rFonts w:ascii="Verdana" w:hAnsi="Verdana"/>
                <w:color w:val="000000"/>
              </w:rPr>
              <w:lastRenderedPageBreak/>
              <w:t>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46F0759D" w14:textId="77777777" w:rsidR="00BF5B37" w:rsidRPr="006B5889" w:rsidRDefault="00BF5B37" w:rsidP="00BF5B37">
      <w:pPr>
        <w:widowControl w:val="0"/>
        <w:autoSpaceDE w:val="0"/>
        <w:autoSpaceDN w:val="0"/>
        <w:spacing w:after="0" w:line="276" w:lineRule="auto"/>
        <w:ind w:left="360" w:hanging="360"/>
        <w:outlineLvl w:val="0"/>
        <w:rPr>
          <w:rFonts w:ascii="Verdana" w:eastAsia="Arial" w:hAnsi="Verdana" w:cs="Arial"/>
          <w:b/>
          <w:bCs/>
          <w:highlight w:val="cyan"/>
        </w:rPr>
      </w:pPr>
    </w:p>
    <w:p w14:paraId="11DCE4E0" w14:textId="77777777" w:rsidR="00BF5B37" w:rsidRPr="006B5889" w:rsidRDefault="00BF5B37" w:rsidP="00BF5B37">
      <w:pPr>
        <w:widowControl w:val="0"/>
        <w:autoSpaceDE w:val="0"/>
        <w:autoSpaceDN w:val="0"/>
        <w:spacing w:after="0" w:line="276" w:lineRule="auto"/>
        <w:ind w:left="360" w:hanging="360"/>
        <w:outlineLvl w:val="0"/>
        <w:rPr>
          <w:rFonts w:ascii="Verdana" w:eastAsia="Arial" w:hAnsi="Verdana" w:cs="Arial"/>
          <w:b/>
          <w:bCs/>
          <w:lang w:val="es-ES"/>
        </w:rPr>
      </w:pPr>
      <w:r w:rsidRPr="006B5889">
        <w:rPr>
          <w:rFonts w:ascii="Verdana" w:eastAsia="Arial" w:hAnsi="Verdana" w:cs="Arial"/>
          <w:b/>
          <w:bCs/>
          <w:lang w:val="es-ES"/>
        </w:rPr>
        <w:t>3. Razones de la respuesta:</w:t>
      </w:r>
    </w:p>
    <w:p w14:paraId="62451ADF" w14:textId="77777777" w:rsidR="00BF5B37" w:rsidRPr="006B5889" w:rsidRDefault="00BF5B37" w:rsidP="00BF5B37">
      <w:pPr>
        <w:spacing w:after="0" w:line="276" w:lineRule="auto"/>
        <w:jc w:val="both"/>
        <w:rPr>
          <w:rFonts w:ascii="Verdana" w:eastAsia="Calibri" w:hAnsi="Verdana" w:cs="Arial"/>
          <w:lang w:val="es-ES"/>
        </w:rPr>
      </w:pPr>
    </w:p>
    <w:p w14:paraId="1024D161" w14:textId="77777777" w:rsidR="00BF5B37" w:rsidRPr="006B5889" w:rsidRDefault="00BF5B37" w:rsidP="00BF5B37">
      <w:pPr>
        <w:spacing w:after="0" w:line="276" w:lineRule="auto"/>
        <w:jc w:val="both"/>
        <w:rPr>
          <w:rFonts w:ascii="Verdana" w:eastAsia="Calibri" w:hAnsi="Verdana" w:cs="Arial"/>
          <w:lang w:val="es-ES"/>
        </w:rPr>
      </w:pPr>
      <w:r w:rsidRPr="006B5889">
        <w:rPr>
          <w:rFonts w:ascii="Verdana" w:eastAsia="Calibri" w:hAnsi="Verdana" w:cs="Arial"/>
          <w:lang w:val="es-ES"/>
        </w:rPr>
        <w:t xml:space="preserve">La respuesta anterior se sustenta en las siguientes consideraciones: </w:t>
      </w:r>
    </w:p>
    <w:p w14:paraId="70D74E5F" w14:textId="77777777" w:rsidR="002A0DD0" w:rsidRPr="006B5889" w:rsidRDefault="002A0DD0" w:rsidP="30821638">
      <w:pPr>
        <w:spacing w:after="0" w:line="240" w:lineRule="auto"/>
        <w:jc w:val="both"/>
        <w:rPr>
          <w:rFonts w:ascii="Verdana" w:eastAsia="Verdana" w:hAnsi="Verdana" w:cs="Verdana"/>
          <w:lang w:val="es-ES"/>
        </w:rPr>
      </w:pPr>
    </w:p>
    <w:p w14:paraId="1E95EBC3" w14:textId="4A0163A0" w:rsidR="00FC01F8" w:rsidRPr="006B5889" w:rsidRDefault="00FC01F8" w:rsidP="00FC01F8">
      <w:pPr>
        <w:spacing w:after="120" w:line="276" w:lineRule="auto"/>
        <w:jc w:val="both"/>
        <w:rPr>
          <w:rFonts w:ascii="Verdana" w:hAnsi="Verdana" w:cs="Arial"/>
          <w:lang w:val="es-ES"/>
        </w:rPr>
      </w:pPr>
      <w:r w:rsidRPr="006B5889">
        <w:rPr>
          <w:rFonts w:ascii="Verdana" w:hAnsi="Verdana" w:cs="Arial"/>
          <w:lang w:val="es-ES"/>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B5889">
        <w:rPr>
          <w:rFonts w:ascii="Verdana" w:hAnsi="Verdana" w:cs="Arial"/>
          <w:i/>
          <w:iCs/>
          <w:lang w:val="es-ES"/>
        </w:rPr>
        <w:t>entidades estatales</w:t>
      </w:r>
      <w:r w:rsidRPr="006B5889">
        <w:rPr>
          <w:rFonts w:ascii="Verdana" w:hAnsi="Verdana" w:cs="Arial"/>
          <w:lang w:val="es-ES"/>
        </w:rPr>
        <w:t xml:space="preserve">, esto es, aquellas previstas en los literales a) y b) del numeral 1 del artículo 2 </w:t>
      </w:r>
      <w:r w:rsidRPr="006B5889">
        <w:rPr>
          <w:rFonts w:ascii="Verdana" w:hAnsi="Verdana" w:cs="Arial"/>
          <w:i/>
          <w:iCs/>
          <w:lang w:val="es-ES"/>
        </w:rPr>
        <w:t>ibidem</w:t>
      </w:r>
      <w:r w:rsidRPr="006B5889">
        <w:rPr>
          <w:rFonts w:ascii="Verdana" w:hAnsi="Verdana" w:cs="Arial"/>
          <w:lang w:val="es-ES"/>
        </w:rPr>
        <w:t xml:space="preserve">. La norma citada define la competencia contractual en los siguientes términos: </w:t>
      </w:r>
    </w:p>
    <w:p w14:paraId="788262FD" w14:textId="77777777" w:rsidR="00FC01F8" w:rsidRPr="006B5889" w:rsidRDefault="00FC01F8" w:rsidP="00FC01F8">
      <w:pPr>
        <w:spacing w:after="120" w:line="276" w:lineRule="auto"/>
        <w:ind w:firstLine="708"/>
        <w:jc w:val="both"/>
        <w:rPr>
          <w:rFonts w:ascii="Verdana" w:hAnsi="Verdana" w:cs="Arial"/>
          <w:lang w:val="es-ES"/>
        </w:rPr>
      </w:pPr>
      <w:r w:rsidRPr="006B5889">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D1C8B3B" w14:textId="77777777" w:rsidR="00FC01F8" w:rsidRPr="006B5889" w:rsidRDefault="00FC01F8" w:rsidP="00FC01F8">
      <w:pPr>
        <w:spacing w:after="120" w:line="276" w:lineRule="auto"/>
        <w:ind w:firstLine="708"/>
        <w:jc w:val="both"/>
        <w:rPr>
          <w:rFonts w:ascii="Verdana" w:hAnsi="Verdana" w:cs="Arial"/>
          <w:lang w:val="es-ES"/>
        </w:rPr>
      </w:pPr>
      <w:r w:rsidRPr="006B5889">
        <w:rPr>
          <w:rFonts w:ascii="Verdana" w:hAnsi="Verdana" w:cs="Arial"/>
          <w:lang w:val="es-ES"/>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w:t>
      </w:r>
      <w:r w:rsidRPr="006B5889">
        <w:rPr>
          <w:rFonts w:ascii="Verdana" w:hAnsi="Verdana" w:cs="Arial"/>
          <w:lang w:val="es-ES"/>
        </w:rPr>
        <w:lastRenderedPageBreak/>
        <w:t>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6B5889">
        <w:rPr>
          <w:rStyle w:val="Refdenotaalpie"/>
          <w:rFonts w:ascii="Verdana" w:hAnsi="Verdana" w:cs="Arial"/>
          <w:lang w:val="es-ES"/>
        </w:rPr>
        <w:footnoteReference w:id="1"/>
      </w:r>
      <w:r w:rsidRPr="006B5889">
        <w:rPr>
          <w:rFonts w:ascii="Verdana" w:hAnsi="Verdana" w:cs="Arial"/>
          <w:lang w:val="es-ES"/>
        </w:rPr>
        <w:t xml:space="preserve">. </w:t>
      </w:r>
    </w:p>
    <w:p w14:paraId="0B163213" w14:textId="77777777" w:rsidR="00FC01F8" w:rsidRPr="006B5889" w:rsidRDefault="00FC01F8" w:rsidP="00FC01F8">
      <w:pPr>
        <w:spacing w:after="0" w:line="276" w:lineRule="auto"/>
        <w:ind w:firstLine="709"/>
        <w:jc w:val="both"/>
        <w:rPr>
          <w:rFonts w:ascii="Verdana" w:hAnsi="Verdana" w:cs="Arial"/>
          <w:bCs/>
          <w:lang w:val="es-MX"/>
        </w:rPr>
      </w:pPr>
      <w:r w:rsidRPr="006B5889">
        <w:rPr>
          <w:rFonts w:ascii="Verdana" w:hAnsi="Verdana" w:cs="Arial"/>
          <w:lang w:val="es-ES"/>
        </w:rPr>
        <w:t xml:space="preserve">Para las entidades de los párrafos anteriores, sin perjuicio de las excepciones puntales a la aplicación del EGCAP, los procesos de selección se rigen por el artículo 2 de la Ley 1150 de 2007. El </w:t>
      </w:r>
      <w:r w:rsidRPr="006B5889">
        <w:rPr>
          <w:rFonts w:ascii="Verdana" w:hAnsi="Verdana" w:cs="Arial"/>
          <w:bCs/>
          <w:lang w:val="es-MX"/>
        </w:rPr>
        <w:t xml:space="preserve">numeral uno, inciso primero, dispone que “La escogencia del contratista se efectuará por </w:t>
      </w:r>
      <w:r w:rsidRPr="006B5889">
        <w:rPr>
          <w:rFonts w:ascii="Verdana" w:hAnsi="Verdana" w:cs="Arial"/>
          <w:bCs/>
          <w:i/>
          <w:iCs/>
          <w:lang w:val="es-MX"/>
        </w:rPr>
        <w:t>regla general</w:t>
      </w:r>
      <w:r w:rsidRPr="006B5889">
        <w:rPr>
          <w:rFonts w:ascii="Verdana" w:hAnsi="Verdana" w:cs="Arial"/>
          <w:bCs/>
          <w:lang w:val="es-MX"/>
        </w:rPr>
        <w:t xml:space="preserve"> a través de licitación pública, con las </w:t>
      </w:r>
      <w:r w:rsidRPr="006B5889">
        <w:rPr>
          <w:rFonts w:ascii="Verdana" w:hAnsi="Verdana" w:cs="Arial"/>
          <w:bCs/>
          <w:i/>
          <w:iCs/>
          <w:lang w:val="es-MX"/>
        </w:rPr>
        <w:t>excepciones</w:t>
      </w:r>
      <w:r w:rsidRPr="006B5889">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B5889">
        <w:rPr>
          <w:rFonts w:ascii="Verdana" w:hAnsi="Verdana" w:cs="Arial"/>
          <w:bCs/>
          <w:vertAlign w:val="superscript"/>
          <w:lang w:val="es-MX"/>
        </w:rPr>
        <w:footnoteReference w:id="2"/>
      </w:r>
      <w:r w:rsidRPr="006B5889">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B5889">
        <w:rPr>
          <w:rFonts w:ascii="Verdana" w:hAnsi="Verdana" w:cs="Arial"/>
          <w:bCs/>
          <w:vertAlign w:val="superscript"/>
          <w:lang w:val="es-MX"/>
        </w:rPr>
        <w:footnoteReference w:id="3"/>
      </w:r>
      <w:r w:rsidRPr="006B5889">
        <w:rPr>
          <w:rFonts w:ascii="Verdana" w:hAnsi="Verdana" w:cs="Arial"/>
          <w:bCs/>
          <w:lang w:val="es-MX"/>
        </w:rPr>
        <w:t>.</w:t>
      </w:r>
    </w:p>
    <w:p w14:paraId="6D8BBBFF" w14:textId="77777777" w:rsidR="00FC01F8" w:rsidRPr="006B5889" w:rsidRDefault="00FC01F8" w:rsidP="00FC01F8">
      <w:pPr>
        <w:spacing w:after="0" w:line="276" w:lineRule="auto"/>
        <w:ind w:firstLine="709"/>
        <w:jc w:val="both"/>
        <w:rPr>
          <w:rFonts w:ascii="Verdana" w:hAnsi="Verdana" w:cs="Arial"/>
          <w:bCs/>
          <w:lang w:val="es-MX"/>
        </w:rPr>
      </w:pPr>
    </w:p>
    <w:p w14:paraId="24B80F36" w14:textId="77777777" w:rsidR="00FC01F8" w:rsidRPr="006B5889" w:rsidRDefault="00FC01F8" w:rsidP="00FC01F8">
      <w:pPr>
        <w:spacing w:after="120" w:line="276" w:lineRule="auto"/>
        <w:jc w:val="both"/>
        <w:rPr>
          <w:rFonts w:ascii="Verdana" w:hAnsi="Verdana" w:cs="Arial"/>
          <w:bCs/>
          <w:lang w:val="es-MX"/>
        </w:rPr>
      </w:pPr>
      <w:r w:rsidRPr="006B5889">
        <w:rPr>
          <w:rFonts w:ascii="Verdana" w:hAnsi="Verdana" w:cs="Arial"/>
          <w:bCs/>
        </w:rPr>
        <w:t xml:space="preserve">ii. Pese a lo anterior, no resulta extraño que el sistema de compras públicas se apoye en normas de derecho civil y comercial, ya que la figura del contrato es transversal a todo el ordenamiento jurídico. Respecto a las </w:t>
      </w:r>
      <w:r w:rsidRPr="006B5889">
        <w:rPr>
          <w:rFonts w:ascii="Verdana" w:hAnsi="Verdana" w:cs="Arial"/>
          <w:bCs/>
          <w:i/>
          <w:iCs/>
        </w:rPr>
        <w:t>entidades sometidas a la Ley 80 de 1993</w:t>
      </w:r>
      <w:r w:rsidRPr="006B5889">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442C61E9" w14:textId="77777777" w:rsidR="00FC01F8" w:rsidRPr="006B5889" w:rsidRDefault="00FC01F8" w:rsidP="00FC01F8">
      <w:pPr>
        <w:spacing w:after="120" w:line="276" w:lineRule="auto"/>
        <w:ind w:firstLine="708"/>
        <w:jc w:val="both"/>
        <w:rPr>
          <w:rFonts w:ascii="Verdana" w:hAnsi="Verdana" w:cs="Arial"/>
          <w:bCs/>
        </w:rPr>
      </w:pPr>
      <w:r w:rsidRPr="006B5889">
        <w:rPr>
          <w:rFonts w:ascii="Verdana" w:hAnsi="Verdana" w:cs="Arial"/>
          <w:bCs/>
        </w:rPr>
        <w:t xml:space="preserve">No obstante, aunque tenga una influencia limitada, las </w:t>
      </w:r>
      <w:r w:rsidRPr="006B5889">
        <w:rPr>
          <w:rFonts w:ascii="Verdana" w:hAnsi="Verdana" w:cs="Arial"/>
          <w:bCs/>
          <w:i/>
          <w:iCs/>
        </w:rPr>
        <w:t>entidades del régimen exceptuado</w:t>
      </w:r>
      <w:r w:rsidRPr="006B5889">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w:t>
      </w:r>
      <w:r w:rsidRPr="006B5889">
        <w:rPr>
          <w:rFonts w:ascii="Verdana" w:hAnsi="Verdana" w:cs="Arial"/>
          <w:bCs/>
        </w:rPr>
        <w:lastRenderedPageBreak/>
        <w:t>régimen de inhabilidades e incompatibilidades previsto legalmente para la contratación estatal”.</w:t>
      </w:r>
    </w:p>
    <w:p w14:paraId="75B4F292" w14:textId="77777777" w:rsidR="00FC01F8" w:rsidRPr="006B5889" w:rsidRDefault="00FC01F8" w:rsidP="00FC01F8">
      <w:pPr>
        <w:spacing w:after="0" w:line="276" w:lineRule="auto"/>
        <w:ind w:firstLine="709"/>
        <w:jc w:val="both"/>
        <w:rPr>
          <w:rFonts w:ascii="Verdana" w:hAnsi="Verdana" w:cs="Arial"/>
          <w:bCs/>
        </w:rPr>
      </w:pPr>
      <w:r w:rsidRPr="006B5889">
        <w:rPr>
          <w:rFonts w:ascii="Verdana" w:hAnsi="Verdana" w:cs="Arial"/>
          <w:bCs/>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w:t>
      </w:r>
      <w:r w:rsidRPr="006B5889">
        <w:rPr>
          <w:rFonts w:ascii="Verdana" w:hAnsi="Verdana" w:cs="Arial"/>
          <w:bCs/>
          <w:vertAlign w:val="superscript"/>
        </w:rPr>
        <w:footnoteReference w:id="4"/>
      </w:r>
      <w:r w:rsidRPr="006B5889">
        <w:rPr>
          <w:rFonts w:ascii="Verdana" w:hAnsi="Verdana" w:cs="Arial"/>
          <w:bCs/>
        </w:rPr>
        <w:t>.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6B5889">
        <w:rPr>
          <w:rFonts w:ascii="Verdana" w:hAnsi="Verdana" w:cs="Arial"/>
          <w:bCs/>
          <w:vertAlign w:val="superscript"/>
        </w:rPr>
        <w:footnoteReference w:id="5"/>
      </w:r>
      <w:r w:rsidRPr="006B5889">
        <w:rPr>
          <w:rFonts w:ascii="Verdana" w:hAnsi="Verdana" w:cs="Arial"/>
          <w:bCs/>
        </w:rPr>
        <w:t>.</w:t>
      </w:r>
    </w:p>
    <w:p w14:paraId="39CABD75" w14:textId="77777777" w:rsidR="00FC01F8" w:rsidRPr="006B5889" w:rsidRDefault="00FC01F8" w:rsidP="00FC01F8">
      <w:pPr>
        <w:spacing w:after="0" w:line="276" w:lineRule="auto"/>
        <w:ind w:firstLine="709"/>
        <w:jc w:val="both"/>
        <w:rPr>
          <w:rFonts w:ascii="Verdana" w:hAnsi="Verdana" w:cs="Arial"/>
          <w:bCs/>
        </w:rPr>
      </w:pPr>
    </w:p>
    <w:p w14:paraId="31D2F311" w14:textId="77777777" w:rsidR="00FC01F8" w:rsidRPr="006B5889" w:rsidRDefault="00FC01F8" w:rsidP="00FC01F8">
      <w:pPr>
        <w:tabs>
          <w:tab w:val="left" w:pos="426"/>
        </w:tabs>
        <w:spacing w:line="276" w:lineRule="auto"/>
        <w:jc w:val="both"/>
        <w:rPr>
          <w:rFonts w:ascii="Verdana" w:eastAsia="Calibri" w:hAnsi="Verdana" w:cs="Arial"/>
          <w:b/>
          <w:bCs/>
          <w:color w:val="000000" w:themeColor="text1"/>
          <w:lang w:val="es-ES"/>
        </w:rPr>
      </w:pPr>
      <w:r w:rsidRPr="006B5889">
        <w:rPr>
          <w:rFonts w:ascii="Verdana" w:hAnsi="Verdana" w:cs="Arial"/>
          <w:bCs/>
        </w:rPr>
        <w:t xml:space="preserve">iii. </w:t>
      </w:r>
      <w:r w:rsidRPr="006B5889">
        <w:rPr>
          <w:rFonts w:ascii="Verdana" w:eastAsia="Calibri" w:hAnsi="Verdana" w:cs="Arial"/>
          <w:color w:val="000000" w:themeColor="text1"/>
          <w:lang w:val="es-ES"/>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04C3AA8C" w14:textId="77777777" w:rsidR="00FC01F8" w:rsidRPr="006B5889" w:rsidRDefault="00FC01F8" w:rsidP="00FC01F8">
      <w:pPr>
        <w:spacing w:before="120" w:after="120" w:line="276" w:lineRule="auto"/>
        <w:jc w:val="both"/>
        <w:rPr>
          <w:rFonts w:ascii="Verdana" w:eastAsia="Calibri" w:hAnsi="Verdana" w:cs="Arial"/>
          <w:color w:val="000000" w:themeColor="text1"/>
          <w:lang w:val="es-ES"/>
        </w:rPr>
      </w:pPr>
      <w:r w:rsidRPr="006B5889">
        <w:rPr>
          <w:rFonts w:ascii="Verdana" w:eastAsia="Calibri" w:hAnsi="Verdana" w:cs="Arial"/>
          <w:color w:val="000000" w:themeColor="text1"/>
          <w:lang w:val="es-ES_tradnl"/>
        </w:rPr>
        <w:tab/>
      </w:r>
      <w:r w:rsidRPr="006B5889">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w:t>
      </w:r>
      <w:r w:rsidRPr="006B5889">
        <w:rPr>
          <w:rFonts w:ascii="Verdana" w:eastAsia="Calibri" w:hAnsi="Verdana" w:cs="Arial"/>
          <w:color w:val="000000" w:themeColor="text1"/>
          <w:lang w:val="es-ES"/>
        </w:rPr>
        <w:lastRenderedPageBreak/>
        <w:t>aquellas que contratan con un régimen distinto a las Leyes 80 de 1993 y 1150 de 2007</w:t>
      </w:r>
      <w:r w:rsidRPr="006B5889">
        <w:rPr>
          <w:rStyle w:val="Refdenotaalpie"/>
          <w:rFonts w:ascii="Verdana" w:eastAsia="Calibri" w:hAnsi="Verdana" w:cs="Arial"/>
          <w:color w:val="000000" w:themeColor="text1"/>
          <w:lang w:val="es-ES"/>
        </w:rPr>
        <w:footnoteReference w:id="6"/>
      </w:r>
      <w:r w:rsidRPr="006B5889">
        <w:rPr>
          <w:rFonts w:ascii="Verdana" w:eastAsia="Calibri" w:hAnsi="Verdana" w:cs="Arial"/>
          <w:color w:val="000000" w:themeColor="text1"/>
          <w:lang w:val="es-ES"/>
        </w:rPr>
        <w:t>.</w:t>
      </w:r>
    </w:p>
    <w:p w14:paraId="61726864" w14:textId="77777777" w:rsidR="00FC01F8" w:rsidRPr="006B5889" w:rsidRDefault="00FC01F8" w:rsidP="00FC01F8">
      <w:pPr>
        <w:spacing w:after="0" w:line="276" w:lineRule="auto"/>
        <w:jc w:val="both"/>
        <w:rPr>
          <w:rFonts w:ascii="Verdana" w:eastAsia="Calibri" w:hAnsi="Verdana" w:cs="Arial"/>
          <w:color w:val="000000" w:themeColor="text1"/>
          <w:lang w:val="es-ES"/>
        </w:rPr>
      </w:pPr>
      <w:r w:rsidRPr="006B5889">
        <w:rPr>
          <w:rFonts w:ascii="Verdana" w:eastAsia="Calibri" w:hAnsi="Verdana" w:cs="Arial"/>
          <w:color w:val="000000" w:themeColor="text1"/>
          <w:lang w:val="es-ES_tradnl"/>
        </w:rPr>
        <w:tab/>
      </w:r>
      <w:r w:rsidRPr="006B5889">
        <w:rPr>
          <w:rFonts w:ascii="Verdana" w:eastAsia="Calibri" w:hAnsi="Verdana" w:cs="Arial"/>
          <w:color w:val="000000" w:themeColor="text1"/>
          <w:lang w:val="es-ES"/>
        </w:rPr>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7D1BB29F" w14:textId="77777777" w:rsidR="00FC01F8" w:rsidRPr="006B5889" w:rsidRDefault="00FC01F8" w:rsidP="00FC01F8">
      <w:pPr>
        <w:spacing w:after="0" w:line="276" w:lineRule="auto"/>
        <w:jc w:val="both"/>
        <w:rPr>
          <w:rFonts w:ascii="Verdana" w:eastAsia="Calibri" w:hAnsi="Verdana" w:cs="Arial"/>
          <w:color w:val="000000" w:themeColor="text1"/>
          <w:lang w:val="es-ES"/>
        </w:rPr>
      </w:pPr>
    </w:p>
    <w:p w14:paraId="2AA065FD" w14:textId="77777777" w:rsidR="00FC01F8" w:rsidRPr="006B5889" w:rsidRDefault="00FC01F8" w:rsidP="00FC01F8">
      <w:pPr>
        <w:spacing w:line="240" w:lineRule="auto"/>
        <w:ind w:left="709" w:right="709"/>
        <w:jc w:val="both"/>
        <w:rPr>
          <w:rFonts w:ascii="Verdana" w:eastAsia="Calibri" w:hAnsi="Verdana" w:cs="Arial"/>
          <w:color w:val="000000" w:themeColor="text1"/>
          <w:sz w:val="20"/>
          <w:szCs w:val="20"/>
          <w:lang w:val="es-ES_tradnl"/>
        </w:rPr>
      </w:pPr>
      <w:r w:rsidRPr="006B5889">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67567DC" w14:textId="77777777" w:rsidR="00FC01F8" w:rsidRPr="006B5889" w:rsidRDefault="00FC01F8" w:rsidP="00FC01F8">
      <w:pPr>
        <w:spacing w:line="240" w:lineRule="auto"/>
        <w:ind w:left="709" w:right="709"/>
        <w:jc w:val="both"/>
        <w:rPr>
          <w:rFonts w:ascii="Verdana" w:eastAsia="Calibri" w:hAnsi="Verdana" w:cs="Arial"/>
          <w:color w:val="000000" w:themeColor="text1"/>
          <w:sz w:val="20"/>
          <w:szCs w:val="20"/>
          <w:lang w:val="es-ES"/>
        </w:rPr>
      </w:pPr>
      <w:r w:rsidRPr="006B5889">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11E51AB" w14:textId="77777777" w:rsidR="00FC01F8" w:rsidRPr="006B5889" w:rsidRDefault="00FC01F8" w:rsidP="00FC01F8">
      <w:pPr>
        <w:spacing w:after="0" w:line="240" w:lineRule="auto"/>
        <w:ind w:left="709" w:right="709"/>
        <w:jc w:val="both"/>
        <w:rPr>
          <w:rFonts w:ascii="Verdana" w:eastAsia="Calibri" w:hAnsi="Verdana" w:cs="Arial"/>
          <w:color w:val="000000" w:themeColor="text1"/>
          <w:sz w:val="20"/>
          <w:szCs w:val="20"/>
          <w:lang w:val="es-ES_tradnl"/>
        </w:rPr>
      </w:pPr>
      <w:r w:rsidRPr="006B5889">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6B5889">
        <w:rPr>
          <w:rStyle w:val="Refdenotaalpie"/>
          <w:rFonts w:ascii="Verdana" w:eastAsia="Calibri" w:hAnsi="Verdana" w:cs="Arial"/>
          <w:color w:val="000000" w:themeColor="text1"/>
          <w:sz w:val="20"/>
          <w:szCs w:val="20"/>
          <w:lang w:val="es-ES_tradnl"/>
        </w:rPr>
        <w:footnoteReference w:id="7"/>
      </w:r>
      <w:r w:rsidRPr="006B5889">
        <w:rPr>
          <w:rFonts w:ascii="Verdana" w:eastAsia="Calibri" w:hAnsi="Verdana" w:cs="Arial"/>
          <w:color w:val="000000" w:themeColor="text1"/>
          <w:sz w:val="20"/>
          <w:szCs w:val="20"/>
          <w:lang w:val="es-ES_tradnl"/>
        </w:rPr>
        <w:t>.</w:t>
      </w:r>
    </w:p>
    <w:p w14:paraId="432FD26E" w14:textId="77777777" w:rsidR="00FC01F8" w:rsidRPr="006B5889" w:rsidRDefault="00FC01F8" w:rsidP="00FC01F8">
      <w:pPr>
        <w:spacing w:after="0" w:line="276" w:lineRule="auto"/>
        <w:ind w:left="709" w:right="709"/>
        <w:jc w:val="both"/>
        <w:rPr>
          <w:rFonts w:ascii="Verdana" w:eastAsia="Calibri" w:hAnsi="Verdana" w:cs="Arial"/>
          <w:color w:val="000000" w:themeColor="text1"/>
          <w:lang w:val="es-ES_tradnl"/>
        </w:rPr>
      </w:pPr>
    </w:p>
    <w:p w14:paraId="1CA8A07A" w14:textId="77777777" w:rsidR="00FC01F8" w:rsidRPr="006B5889" w:rsidRDefault="00FC01F8" w:rsidP="00FC01F8">
      <w:pPr>
        <w:spacing w:line="276" w:lineRule="auto"/>
        <w:ind w:firstLine="708"/>
        <w:jc w:val="both"/>
        <w:rPr>
          <w:rFonts w:ascii="Verdana" w:eastAsia="Calibri" w:hAnsi="Verdana" w:cs="Arial"/>
          <w:color w:val="000000" w:themeColor="text1"/>
          <w:lang w:val="es-ES_tradnl"/>
        </w:rPr>
      </w:pPr>
      <w:r w:rsidRPr="006B5889">
        <w:rPr>
          <w:rFonts w:ascii="Verdana" w:eastAsia="Calibri" w:hAnsi="Verdana" w:cs="Arial"/>
          <w:color w:val="000000" w:themeColor="text1"/>
          <w:lang w:val="es-ES_tradnl"/>
        </w:rPr>
        <w:lastRenderedPageBreak/>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0C212BFC" w14:textId="77777777" w:rsidR="00FC01F8" w:rsidRPr="006B5889" w:rsidRDefault="00FC01F8" w:rsidP="00FC01F8">
      <w:pPr>
        <w:spacing w:before="120" w:after="120" w:line="276" w:lineRule="auto"/>
        <w:ind w:firstLine="708"/>
        <w:jc w:val="both"/>
        <w:rPr>
          <w:rFonts w:ascii="Verdana" w:eastAsia="Calibri" w:hAnsi="Verdana" w:cs="Arial"/>
          <w:color w:val="000000" w:themeColor="text1"/>
          <w:lang w:val="es-ES"/>
        </w:rPr>
      </w:pPr>
      <w:r w:rsidRPr="006B5889">
        <w:rPr>
          <w:rFonts w:ascii="Verdana" w:eastAsia="Calibri" w:hAnsi="Verdana" w:cs="Arial"/>
          <w:color w:val="000000" w:themeColor="text1"/>
          <w:lang w:val="es-ES"/>
        </w:rPr>
        <w:t>Asimismo,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los proveedores de la entidad y analizar el sector económico de los oferentes, entre otras.</w:t>
      </w:r>
    </w:p>
    <w:p w14:paraId="6FA116D8" w14:textId="77777777" w:rsidR="00FC01F8" w:rsidRPr="006B5889" w:rsidRDefault="00FC01F8" w:rsidP="00FC01F8">
      <w:pPr>
        <w:spacing w:line="276" w:lineRule="auto"/>
        <w:ind w:firstLine="709"/>
        <w:jc w:val="both"/>
        <w:rPr>
          <w:rFonts w:ascii="Verdana" w:eastAsia="Calibri" w:hAnsi="Verdana" w:cs="Arial"/>
          <w:color w:val="000000" w:themeColor="text1"/>
          <w:lang w:val="es-ES"/>
        </w:rPr>
      </w:pPr>
      <w:r w:rsidRPr="006B5889">
        <w:rPr>
          <w:rFonts w:ascii="Verdana" w:eastAsia="Calibri" w:hAnsi="Verdana" w:cs="Arial"/>
          <w:color w:val="000000" w:themeColor="text1"/>
          <w:lang w:val="es-ES"/>
        </w:rPr>
        <w:t>Además, debe tenerse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empresas sociales del Estado. De modo que si una Entidad sujeta al régimen especial requiere sancionar o dar por terminado el contrato, por regla general, debe acudir al juez competente.</w:t>
      </w:r>
    </w:p>
    <w:p w14:paraId="11F6546F" w14:textId="2914FD6F" w:rsidR="00FC01F8" w:rsidRPr="006B5889" w:rsidRDefault="00FC01F8" w:rsidP="00FC01F8">
      <w:pPr>
        <w:spacing w:before="120" w:line="276" w:lineRule="auto"/>
        <w:ind w:firstLine="709"/>
        <w:jc w:val="both"/>
        <w:rPr>
          <w:rFonts w:ascii="Verdana" w:eastAsia="Calibri" w:hAnsi="Verdana" w:cs="Arial"/>
          <w:color w:val="000000" w:themeColor="text1"/>
          <w:lang w:val="es-ES"/>
        </w:rPr>
      </w:pPr>
      <w:r w:rsidRPr="006B5889">
        <w:rPr>
          <w:rFonts w:ascii="Verdana" w:eastAsia="Calibri" w:hAnsi="Verdana" w:cs="Arial"/>
          <w:color w:val="000000" w:themeColor="text1"/>
          <w:lang w:val="es-ES"/>
        </w:rPr>
        <w:t xml:space="preserve">Como se explicó, el hecho de que algunas </w:t>
      </w:r>
      <w:r w:rsidR="00D1233A" w:rsidRPr="006B5889">
        <w:rPr>
          <w:rFonts w:ascii="Verdana" w:eastAsia="Calibri" w:hAnsi="Verdana" w:cs="Arial"/>
          <w:color w:val="000000" w:themeColor="text1"/>
          <w:lang w:val="es-ES"/>
        </w:rPr>
        <w:t>E</w:t>
      </w:r>
      <w:r w:rsidRPr="006B5889">
        <w:rPr>
          <w:rFonts w:ascii="Verdana" w:eastAsia="Calibri" w:hAnsi="Verdana" w:cs="Arial"/>
          <w:color w:val="000000" w:themeColor="text1"/>
          <w:lang w:val="es-ES"/>
        </w:rPr>
        <w:t xml:space="preserve">ntidades </w:t>
      </w:r>
      <w:r w:rsidR="00D1233A" w:rsidRPr="006B5889">
        <w:rPr>
          <w:rFonts w:ascii="Verdana" w:eastAsia="Calibri" w:hAnsi="Verdana" w:cs="Arial"/>
          <w:color w:val="000000" w:themeColor="text1"/>
          <w:lang w:val="es-ES"/>
        </w:rPr>
        <w:t>E</w:t>
      </w:r>
      <w:r w:rsidRPr="006B5889">
        <w:rPr>
          <w:rFonts w:ascii="Verdana" w:eastAsia="Calibri" w:hAnsi="Verdana" w:cs="Arial"/>
          <w:color w:val="000000" w:themeColor="text1"/>
          <w:lang w:val="es-ES"/>
        </w:rPr>
        <w:t xml:space="preserv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 y de aplicar los </w:t>
      </w:r>
      <w:r w:rsidRPr="006B5889">
        <w:rPr>
          <w:rFonts w:ascii="Verdana" w:eastAsia="Calibri" w:hAnsi="Verdana" w:cs="Arial"/>
          <w:color w:val="000000" w:themeColor="text1"/>
          <w:lang w:val="es-ES"/>
        </w:rPr>
        <w:lastRenderedPageBreak/>
        <w:t>documentos tipo expedidos por esta Agencia en los casos definidos en el artículo 56 ibidem</w:t>
      </w:r>
      <w:r w:rsidRPr="006B5889">
        <w:rPr>
          <w:rStyle w:val="Refdenotaalpie"/>
          <w:rFonts w:ascii="Verdana" w:eastAsia="Calibri" w:hAnsi="Verdana" w:cs="Arial"/>
          <w:color w:val="000000" w:themeColor="text1"/>
          <w:lang w:val="es-ES"/>
        </w:rPr>
        <w:footnoteReference w:id="8"/>
      </w:r>
      <w:r w:rsidRPr="006B5889">
        <w:rPr>
          <w:rFonts w:ascii="Verdana" w:eastAsia="Calibri" w:hAnsi="Verdana" w:cs="Arial"/>
          <w:color w:val="000000" w:themeColor="text1"/>
          <w:lang w:val="es-ES"/>
        </w:rPr>
        <w:t xml:space="preserve">. </w:t>
      </w:r>
    </w:p>
    <w:p w14:paraId="3211D275" w14:textId="2EA33B10" w:rsidR="00FC01F8" w:rsidRPr="006B5889" w:rsidRDefault="00FC01F8" w:rsidP="00FC01F8">
      <w:pPr>
        <w:spacing w:before="120" w:line="276" w:lineRule="auto"/>
        <w:ind w:firstLine="709"/>
        <w:jc w:val="both"/>
        <w:rPr>
          <w:rFonts w:ascii="Verdana" w:eastAsia="Calibri" w:hAnsi="Verdana" w:cs="Arial"/>
          <w:color w:val="000000" w:themeColor="text1"/>
          <w:lang w:val="es-ES_tradnl"/>
        </w:rPr>
      </w:pPr>
      <w:r w:rsidRPr="006B5889">
        <w:rPr>
          <w:rFonts w:ascii="Verdana" w:eastAsia="Calibri" w:hAnsi="Verdana" w:cs="Arial"/>
          <w:color w:val="000000" w:themeColor="text1"/>
          <w:lang w:val="es-ES_tradnl"/>
        </w:rPr>
        <w:t xml:space="preserve">Adicionalmente, las </w:t>
      </w:r>
      <w:r w:rsidR="00C21230" w:rsidRPr="006B5889">
        <w:rPr>
          <w:rFonts w:ascii="Verdana" w:eastAsia="Calibri" w:hAnsi="Verdana" w:cs="Arial"/>
          <w:color w:val="000000" w:themeColor="text1"/>
          <w:lang w:val="es-ES_tradnl"/>
        </w:rPr>
        <w:t>E</w:t>
      </w:r>
      <w:r w:rsidRPr="006B5889">
        <w:rPr>
          <w:rFonts w:ascii="Verdana" w:eastAsia="Calibri" w:hAnsi="Verdana" w:cs="Arial"/>
          <w:color w:val="000000" w:themeColor="text1"/>
          <w:lang w:val="es-ES_tradnl"/>
        </w:rPr>
        <w:t xml:space="preserve">ntidades </w:t>
      </w:r>
      <w:r w:rsidR="00C21230" w:rsidRPr="006B5889">
        <w:rPr>
          <w:rFonts w:ascii="Verdana" w:eastAsia="Calibri" w:hAnsi="Verdana" w:cs="Arial"/>
          <w:color w:val="000000" w:themeColor="text1"/>
          <w:lang w:val="es-ES_tradnl"/>
        </w:rPr>
        <w:t>Es</w:t>
      </w:r>
      <w:r w:rsidRPr="006B5889">
        <w:rPr>
          <w:rFonts w:ascii="Verdana" w:eastAsia="Calibri" w:hAnsi="Verdana" w:cs="Arial"/>
          <w:color w:val="000000" w:themeColor="text1"/>
          <w:lang w:val="es-ES_tradnl"/>
        </w:rPr>
        <w:t>tatales que, por disposición legal, cuentan con un régimen especial</w:t>
      </w:r>
      <w:r w:rsidRPr="006B5889">
        <w:rPr>
          <w:rStyle w:val="Refdenotaalpie"/>
          <w:rFonts w:ascii="Verdana" w:eastAsia="Calibri" w:hAnsi="Verdana" w:cs="Arial"/>
          <w:color w:val="000000" w:themeColor="text1"/>
          <w:lang w:val="es-ES_tradnl"/>
        </w:rPr>
        <w:footnoteReference w:id="9"/>
      </w:r>
      <w:r w:rsidRPr="006B5889">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6B5889">
        <w:rPr>
          <w:rStyle w:val="Refdenotaalpie"/>
          <w:rFonts w:ascii="Verdana" w:eastAsia="Calibri" w:hAnsi="Verdana" w:cs="Arial"/>
          <w:color w:val="000000" w:themeColor="text1"/>
          <w:lang w:val="es-ES_tradnl"/>
        </w:rPr>
        <w:footnoteReference w:id="10"/>
      </w:r>
      <w:r w:rsidRPr="006B5889">
        <w:rPr>
          <w:rFonts w:ascii="Verdana" w:eastAsia="Calibri" w:hAnsi="Verdana" w:cs="Arial"/>
          <w:color w:val="000000" w:themeColor="text1"/>
          <w:lang w:val="es-ES_tradnl"/>
        </w:rPr>
        <w:t xml:space="preserve">– pueden expedir un reglamento interno de contratación –comúnmente denominado </w:t>
      </w:r>
      <w:r w:rsidRPr="006B5889">
        <w:rPr>
          <w:rFonts w:ascii="Verdana" w:eastAsia="Calibri" w:hAnsi="Verdana" w:cs="Arial"/>
          <w:i/>
          <w:color w:val="000000" w:themeColor="text1"/>
          <w:lang w:val="es-ES_tradnl"/>
        </w:rPr>
        <w:t>manual de contratación</w:t>
      </w:r>
      <w:r w:rsidRPr="006B5889">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70C3ABD1" w14:textId="13B12AF2" w:rsidR="00FC01F8" w:rsidRPr="006B5889" w:rsidRDefault="00FC01F8" w:rsidP="00FC01F8">
      <w:pPr>
        <w:spacing w:before="120" w:after="0" w:line="276" w:lineRule="auto"/>
        <w:ind w:firstLine="709"/>
        <w:jc w:val="both"/>
        <w:rPr>
          <w:rFonts w:ascii="Verdana" w:eastAsia="Calibri" w:hAnsi="Verdana" w:cs="Arial"/>
          <w:color w:val="000000" w:themeColor="text1"/>
          <w:lang w:val="es-ES"/>
        </w:rPr>
      </w:pPr>
      <w:r w:rsidRPr="006B5889">
        <w:rPr>
          <w:rFonts w:ascii="Verdana" w:eastAsia="Calibri" w:hAnsi="Verdana" w:cs="Arial"/>
          <w:color w:val="000000" w:themeColor="text1"/>
          <w:lang w:val="es-ES"/>
        </w:rPr>
        <w:t xml:space="preserve">Sin embargo, la libertad de configuración reglamentaria de las </w:t>
      </w:r>
      <w:r w:rsidR="00610C8C" w:rsidRPr="006B5889">
        <w:rPr>
          <w:rFonts w:ascii="Verdana" w:eastAsia="Calibri" w:hAnsi="Verdana" w:cs="Arial"/>
          <w:color w:val="000000" w:themeColor="text1"/>
          <w:lang w:val="es-ES"/>
        </w:rPr>
        <w:t>E</w:t>
      </w:r>
      <w:r w:rsidRPr="006B5889">
        <w:rPr>
          <w:rFonts w:ascii="Verdana" w:eastAsia="Calibri" w:hAnsi="Verdana" w:cs="Arial"/>
          <w:color w:val="000000" w:themeColor="text1"/>
          <w:lang w:val="es-ES"/>
        </w:rPr>
        <w:t xml:space="preserve">ntidades </w:t>
      </w:r>
      <w:r w:rsidR="00610C8C" w:rsidRPr="006B5889">
        <w:rPr>
          <w:rFonts w:ascii="Verdana" w:eastAsia="Calibri" w:hAnsi="Verdana" w:cs="Arial"/>
          <w:color w:val="000000" w:themeColor="text1"/>
          <w:lang w:val="es-ES"/>
        </w:rPr>
        <w:t>E</w:t>
      </w:r>
      <w:r w:rsidRPr="006B5889">
        <w:rPr>
          <w:rFonts w:ascii="Verdana" w:eastAsia="Calibri" w:hAnsi="Verdana" w:cs="Arial"/>
          <w:color w:val="000000" w:themeColor="text1"/>
          <w:lang w:val="es-ES"/>
        </w:rPr>
        <w:t xml:space="preserv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w:t>
      </w:r>
      <w:r w:rsidRPr="006B5889">
        <w:rPr>
          <w:rFonts w:ascii="Verdana" w:eastAsia="Calibri" w:hAnsi="Verdana" w:cs="Arial"/>
          <w:color w:val="000000" w:themeColor="text1"/>
          <w:lang w:val="es-ES"/>
        </w:rPr>
        <w:lastRenderedPageBreak/>
        <w:t>validez del contrato, ii) sanciones, sin perjuicio de las que pueden pactar de acuerdo con las normas civiles y comerciales, iii) procedimientos para su imposición, iv)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006B5889">
        <w:rPr>
          <w:rStyle w:val="Refdenotaalpie"/>
          <w:rFonts w:ascii="Verdana" w:eastAsia="Calibri" w:hAnsi="Verdana" w:cs="Arial"/>
          <w:color w:val="000000" w:themeColor="text1"/>
          <w:lang w:val="es-ES"/>
        </w:rPr>
        <w:footnoteReference w:id="11"/>
      </w:r>
      <w:r w:rsidRPr="006B5889">
        <w:rPr>
          <w:rFonts w:ascii="Verdana" w:eastAsia="Calibri" w:hAnsi="Verdana" w:cs="Arial"/>
          <w:color w:val="000000" w:themeColor="text1"/>
          <w:lang w:val="es-ES"/>
        </w:rPr>
        <w:t>.</w:t>
      </w:r>
    </w:p>
    <w:p w14:paraId="1DA35E8C" w14:textId="77777777" w:rsidR="00FC01F8" w:rsidRPr="006B5889" w:rsidRDefault="00FC01F8" w:rsidP="00FC01F8">
      <w:pPr>
        <w:spacing w:after="0" w:line="276" w:lineRule="auto"/>
        <w:ind w:firstLine="709"/>
        <w:jc w:val="both"/>
        <w:rPr>
          <w:rFonts w:ascii="Verdana" w:eastAsia="Calibri" w:hAnsi="Verdana" w:cs="Arial"/>
          <w:color w:val="000000" w:themeColor="text1"/>
          <w:lang w:val="es-ES"/>
        </w:rPr>
      </w:pPr>
    </w:p>
    <w:p w14:paraId="3E22331B" w14:textId="77777777" w:rsidR="00142EE0" w:rsidRPr="006B5889" w:rsidRDefault="00FC01F8" w:rsidP="00142EE0">
      <w:pPr>
        <w:spacing w:after="120" w:line="276" w:lineRule="auto"/>
        <w:jc w:val="both"/>
        <w:rPr>
          <w:rFonts w:ascii="Verdana" w:hAnsi="Verdana" w:cs="Arial"/>
          <w:bCs/>
        </w:rPr>
      </w:pPr>
      <w:r w:rsidRPr="006B5889">
        <w:rPr>
          <w:rFonts w:ascii="Verdana" w:hAnsi="Verdana" w:cs="Arial"/>
          <w:bCs/>
        </w:rPr>
        <w:t xml:space="preserve">iv. Ahora bien, el fundamento del régimen exceptuado suele obedecer a razones constitucionales y de política pública orientadas a la eficiencia y al interés general. Entre los supuestos identificados por la doctrina se encuentran: la necesidad de facilitar condiciones de competencia económica, la flexibilidad en la ejecución de funciones administrativas altamente técnicas o sensibles, o el desarrollo de finalidades públicas específicas mediante gestión empresarial. En virtud de estas particularidades, sus procedimientos contractuales se rigen, en </w:t>
      </w:r>
      <w:r w:rsidRPr="006B5889">
        <w:rPr>
          <w:rFonts w:ascii="Verdana" w:hAnsi="Verdana" w:cs="Arial"/>
          <w:bCs/>
        </w:rPr>
        <w:lastRenderedPageBreak/>
        <w:t xml:space="preserve">principio, por la normativa especial que les es propia y por el manual de contratación que la entidad expida en ejercicio de su potestad reglamentaria, el cual constituye un acto administrativo con vocación de permanencia. Dicho instrumento permite estructurar los procedimientos internos de selección, los requisitos de participación, los criterios de evaluación y la ejecución contractual, con el fin de garantizar objetividad, igualdad de oportunidades y protección al patrimonio público. </w:t>
      </w:r>
    </w:p>
    <w:p w14:paraId="6AA32B47" w14:textId="77777777" w:rsidR="00142EE0" w:rsidRPr="006B5889" w:rsidRDefault="00FC01F8" w:rsidP="00142EE0">
      <w:pPr>
        <w:spacing w:after="120" w:line="276" w:lineRule="auto"/>
        <w:ind w:firstLine="708"/>
        <w:jc w:val="both"/>
        <w:rPr>
          <w:rFonts w:ascii="Verdana" w:hAnsi="Verdana" w:cs="Arial"/>
          <w:bCs/>
        </w:rPr>
      </w:pPr>
      <w:r w:rsidRPr="006B5889">
        <w:rPr>
          <w:rFonts w:ascii="Verdana" w:hAnsi="Verdana" w:cs="Arial"/>
          <w:bCs/>
        </w:rPr>
        <w:t xml:space="preserve">Ahora bien, existe un ámbito de aplicación obligatorio del EGCAP cuando la entidad exceptuada actúa en concurrencia con una entidad sometida al régimen general, en desarrollo de contratos o convenios interadministrativos o de cualquier otra naturaleza que involucren bienes, obras o servicios regulados por normativa de orden público contractual. En estos casos, la regulación general debe prevalecer para garantizar uniformidad procedimental y evitar la elusión del marco común de la contratación estatal. </w:t>
      </w:r>
    </w:p>
    <w:p w14:paraId="380F2982" w14:textId="77777777" w:rsidR="00142EE0" w:rsidRPr="006B5889" w:rsidRDefault="00FC01F8" w:rsidP="00142EE0">
      <w:pPr>
        <w:spacing w:after="120" w:line="276" w:lineRule="auto"/>
        <w:ind w:firstLine="708"/>
        <w:jc w:val="both"/>
        <w:rPr>
          <w:rFonts w:ascii="Verdana" w:hAnsi="Verdana" w:cs="Arial"/>
          <w:bCs/>
        </w:rPr>
      </w:pPr>
      <w:r w:rsidRPr="006B5889">
        <w:rPr>
          <w:rFonts w:ascii="Verdana" w:hAnsi="Verdana" w:cs="Arial"/>
          <w:bCs/>
        </w:rPr>
        <w:t xml:space="preserve">Esto ha sido reforzado por el artículo 56 de la Ley 2195 de 2022, el cual tiene por objeto prevenir mecanismos que desconocieran los principios de transparencia y selección objetiva, asegurando que, frente a este tipo de relaciones contractuales, se aplique el régimen de la Ley 80 de 1993 y de la Ley 1150 de 2007, con independencia de que alguno de los sujetos intervinientes cuente con un régimen contractual especial. </w:t>
      </w:r>
    </w:p>
    <w:p w14:paraId="58F32F9D" w14:textId="668FDC9C" w:rsidR="00FC01F8" w:rsidRPr="006B5889" w:rsidRDefault="00FC01F8" w:rsidP="00142EE0">
      <w:pPr>
        <w:spacing w:after="120" w:line="276" w:lineRule="auto"/>
        <w:ind w:firstLine="708"/>
        <w:jc w:val="both"/>
        <w:rPr>
          <w:rFonts w:ascii="Verdana" w:hAnsi="Verdana" w:cs="Arial"/>
          <w:bCs/>
        </w:rPr>
      </w:pPr>
      <w:r w:rsidRPr="006B5889">
        <w:rPr>
          <w:rFonts w:ascii="Verdana" w:hAnsi="Verdana" w:cs="Arial"/>
          <w:bCs/>
        </w:rPr>
        <w:t>En consecuencia, resulta procedente afirmar que la utilización del manual de contratación institucional se circunscribe a aquellos supuestos en donde:</w:t>
      </w:r>
    </w:p>
    <w:p w14:paraId="0476887C" w14:textId="77777777" w:rsidR="00FC01F8" w:rsidRPr="006B5889" w:rsidRDefault="00FC01F8" w:rsidP="00FC01F8">
      <w:pPr>
        <w:spacing w:after="0" w:line="276" w:lineRule="auto"/>
        <w:jc w:val="both"/>
        <w:rPr>
          <w:rFonts w:ascii="Verdana" w:hAnsi="Verdana" w:cs="Arial"/>
          <w:bCs/>
        </w:rPr>
      </w:pPr>
    </w:p>
    <w:p w14:paraId="60BA7FF0" w14:textId="77777777" w:rsidR="001E2592" w:rsidRPr="006B5889" w:rsidRDefault="00FC01F8" w:rsidP="00FC01F8">
      <w:pPr>
        <w:pStyle w:val="Prrafodelista"/>
        <w:numPr>
          <w:ilvl w:val="0"/>
          <w:numId w:val="20"/>
        </w:numPr>
        <w:spacing w:after="0" w:line="276" w:lineRule="auto"/>
        <w:jc w:val="both"/>
        <w:rPr>
          <w:rFonts w:ascii="Verdana" w:hAnsi="Verdana" w:cs="Arial"/>
          <w:bCs/>
        </w:rPr>
      </w:pPr>
      <w:r w:rsidRPr="006B5889">
        <w:rPr>
          <w:rFonts w:ascii="Verdana" w:hAnsi="Verdana" w:cs="Arial"/>
          <w:bCs/>
        </w:rPr>
        <w:t xml:space="preserve"> La entidad actúa exclusivamente dentro del marco de su régimen contractual especial.</w:t>
      </w:r>
    </w:p>
    <w:p w14:paraId="14F09FF0" w14:textId="77777777" w:rsidR="001E2592" w:rsidRPr="006B5889" w:rsidRDefault="00FC01F8" w:rsidP="00FC01F8">
      <w:pPr>
        <w:pStyle w:val="Prrafodelista"/>
        <w:numPr>
          <w:ilvl w:val="0"/>
          <w:numId w:val="20"/>
        </w:numPr>
        <w:spacing w:after="0" w:line="276" w:lineRule="auto"/>
        <w:jc w:val="both"/>
        <w:rPr>
          <w:rFonts w:ascii="Verdana" w:hAnsi="Verdana" w:cs="Arial"/>
          <w:bCs/>
        </w:rPr>
      </w:pPr>
      <w:r w:rsidRPr="006B5889">
        <w:rPr>
          <w:rFonts w:ascii="Verdana" w:hAnsi="Verdana" w:cs="Arial"/>
          <w:bCs/>
        </w:rPr>
        <w:t>No existe una disposición legal que remita al EGCAP o imponga la adopción de determinadas reglas propias de este.</w:t>
      </w:r>
    </w:p>
    <w:p w14:paraId="7A9867EF" w14:textId="77777777" w:rsidR="001E2592" w:rsidRPr="006B5889" w:rsidRDefault="00FC01F8" w:rsidP="00FC01F8">
      <w:pPr>
        <w:pStyle w:val="Prrafodelista"/>
        <w:numPr>
          <w:ilvl w:val="0"/>
          <w:numId w:val="20"/>
        </w:numPr>
        <w:spacing w:after="0" w:line="276" w:lineRule="auto"/>
        <w:jc w:val="both"/>
        <w:rPr>
          <w:rFonts w:ascii="Verdana" w:hAnsi="Verdana" w:cs="Arial"/>
          <w:bCs/>
        </w:rPr>
      </w:pPr>
      <w:r w:rsidRPr="006B5889">
        <w:rPr>
          <w:rFonts w:ascii="Verdana" w:hAnsi="Verdana" w:cs="Arial"/>
          <w:bCs/>
        </w:rPr>
        <w:t>No se afecta una materia reservada al legislador.</w:t>
      </w:r>
    </w:p>
    <w:p w14:paraId="786F630B" w14:textId="2F4163A4" w:rsidR="00FC01F8" w:rsidRPr="006B5889" w:rsidRDefault="00FC01F8" w:rsidP="00FC01F8">
      <w:pPr>
        <w:pStyle w:val="Prrafodelista"/>
        <w:numPr>
          <w:ilvl w:val="0"/>
          <w:numId w:val="20"/>
        </w:numPr>
        <w:spacing w:after="0" w:line="276" w:lineRule="auto"/>
        <w:jc w:val="both"/>
        <w:rPr>
          <w:rFonts w:ascii="Verdana" w:hAnsi="Verdana" w:cs="Arial"/>
          <w:bCs/>
        </w:rPr>
      </w:pPr>
      <w:r w:rsidRPr="006B5889">
        <w:rPr>
          <w:rFonts w:ascii="Verdana" w:hAnsi="Verdana" w:cs="Arial"/>
          <w:bCs/>
        </w:rPr>
        <w:t>Se garantizan plenamente los principios que rigen la administración pública y la gestión fiscal.</w:t>
      </w:r>
    </w:p>
    <w:p w14:paraId="64379AA6" w14:textId="77777777" w:rsidR="00FC01F8" w:rsidRPr="006B5889" w:rsidRDefault="00FC01F8" w:rsidP="00FC01F8">
      <w:pPr>
        <w:spacing w:after="0" w:line="276" w:lineRule="auto"/>
        <w:jc w:val="both"/>
        <w:rPr>
          <w:rFonts w:ascii="Verdana" w:hAnsi="Verdana" w:cs="Arial"/>
          <w:bCs/>
        </w:rPr>
      </w:pPr>
    </w:p>
    <w:p w14:paraId="4434C3AC" w14:textId="77777777" w:rsidR="00FC01F8" w:rsidRPr="006B5889" w:rsidRDefault="00FC01F8" w:rsidP="007C5A2A">
      <w:pPr>
        <w:spacing w:after="0" w:line="276" w:lineRule="auto"/>
        <w:ind w:firstLine="708"/>
        <w:jc w:val="both"/>
        <w:rPr>
          <w:rFonts w:ascii="Verdana" w:hAnsi="Verdana" w:cs="Arial"/>
          <w:bCs/>
        </w:rPr>
      </w:pPr>
      <w:r w:rsidRPr="006B5889">
        <w:rPr>
          <w:rFonts w:ascii="Verdana" w:hAnsi="Verdana" w:cs="Arial"/>
          <w:bCs/>
        </w:rPr>
        <w:t>En contrapartida, la aplicación del EGCAP resulta obligatoria cuando:</w:t>
      </w:r>
    </w:p>
    <w:p w14:paraId="37437081" w14:textId="77777777" w:rsidR="00FC01F8" w:rsidRPr="006B5889" w:rsidRDefault="00FC01F8" w:rsidP="00FC01F8">
      <w:pPr>
        <w:spacing w:after="0" w:line="276" w:lineRule="auto"/>
        <w:jc w:val="both"/>
        <w:rPr>
          <w:rFonts w:ascii="Verdana" w:hAnsi="Verdana" w:cs="Arial"/>
          <w:bCs/>
        </w:rPr>
      </w:pPr>
    </w:p>
    <w:p w14:paraId="66F63255" w14:textId="77777777" w:rsidR="001E2592" w:rsidRPr="006B5889" w:rsidRDefault="00FC01F8" w:rsidP="00FC01F8">
      <w:pPr>
        <w:pStyle w:val="Prrafodelista"/>
        <w:numPr>
          <w:ilvl w:val="0"/>
          <w:numId w:val="21"/>
        </w:numPr>
        <w:spacing w:after="0" w:line="276" w:lineRule="auto"/>
        <w:jc w:val="both"/>
        <w:rPr>
          <w:rFonts w:ascii="Verdana" w:hAnsi="Verdana" w:cs="Arial"/>
          <w:bCs/>
        </w:rPr>
      </w:pPr>
      <w:r w:rsidRPr="006B5889">
        <w:rPr>
          <w:rFonts w:ascii="Verdana" w:hAnsi="Verdana" w:cs="Arial"/>
          <w:bCs/>
        </w:rPr>
        <w:t>La ley así lo dispone para el caso concreto.</w:t>
      </w:r>
    </w:p>
    <w:p w14:paraId="5314BA21" w14:textId="77777777" w:rsidR="001E2592" w:rsidRPr="006B5889" w:rsidRDefault="00FC01F8" w:rsidP="00FC01F8">
      <w:pPr>
        <w:pStyle w:val="Prrafodelista"/>
        <w:numPr>
          <w:ilvl w:val="0"/>
          <w:numId w:val="21"/>
        </w:numPr>
        <w:spacing w:after="0" w:line="276" w:lineRule="auto"/>
        <w:jc w:val="both"/>
        <w:rPr>
          <w:rFonts w:ascii="Verdana" w:hAnsi="Verdana" w:cs="Arial"/>
          <w:bCs/>
        </w:rPr>
      </w:pPr>
      <w:r w:rsidRPr="006B5889">
        <w:rPr>
          <w:rFonts w:ascii="Verdana" w:hAnsi="Verdana" w:cs="Arial"/>
          <w:bCs/>
        </w:rPr>
        <w:lastRenderedPageBreak/>
        <w:t>La entidad exceptuada actúa coordinadamente con sujetos sometidos al régimen general.</w:t>
      </w:r>
    </w:p>
    <w:p w14:paraId="30FFE5C5" w14:textId="25C6B4D9" w:rsidR="00FC01F8" w:rsidRPr="006B5889" w:rsidRDefault="00FC01F8" w:rsidP="00FC01F8">
      <w:pPr>
        <w:pStyle w:val="Prrafodelista"/>
        <w:numPr>
          <w:ilvl w:val="0"/>
          <w:numId w:val="21"/>
        </w:numPr>
        <w:spacing w:after="0" w:line="276" w:lineRule="auto"/>
        <w:jc w:val="both"/>
        <w:rPr>
          <w:rFonts w:ascii="Verdana" w:hAnsi="Verdana" w:cs="Arial"/>
          <w:bCs/>
        </w:rPr>
      </w:pPr>
      <w:r w:rsidRPr="006B5889">
        <w:rPr>
          <w:rFonts w:ascii="Verdana" w:hAnsi="Verdana" w:cs="Arial"/>
          <w:bCs/>
        </w:rPr>
        <w:t>El objeto contractual requiere procedimientos o instrumentos previstos en el EGCAP que resultan de cumplimiento imperativo.</w:t>
      </w:r>
    </w:p>
    <w:p w14:paraId="641E8FF4" w14:textId="77777777" w:rsidR="00FC01F8" w:rsidRPr="006B5889" w:rsidRDefault="00FC01F8" w:rsidP="00FC01F8">
      <w:pPr>
        <w:spacing w:after="0" w:line="276" w:lineRule="auto"/>
        <w:jc w:val="both"/>
        <w:rPr>
          <w:rFonts w:ascii="Verdana" w:hAnsi="Verdana" w:cs="Arial"/>
          <w:bCs/>
        </w:rPr>
      </w:pPr>
    </w:p>
    <w:p w14:paraId="30E16155" w14:textId="63082B87" w:rsidR="00761E2B" w:rsidRPr="006B5889" w:rsidRDefault="007833E3" w:rsidP="00761E2B">
      <w:pPr>
        <w:spacing w:after="120" w:line="276" w:lineRule="auto"/>
        <w:jc w:val="both"/>
        <w:rPr>
          <w:rFonts w:ascii="Verdana" w:eastAsia="Times New Roman" w:hAnsi="Verdana" w:cs="Arial"/>
          <w:lang w:val="es-ES" w:eastAsia="es-ES"/>
          <w14:ligatures w14:val="standardContextual"/>
        </w:rPr>
      </w:pPr>
      <w:r w:rsidRPr="006B5889">
        <w:rPr>
          <w:rFonts w:ascii="Verdana" w:eastAsia="Times New Roman" w:hAnsi="Verdana" w:cs="Arial"/>
          <w:lang w:val="es-ES" w:eastAsia="es-ES"/>
          <w14:ligatures w14:val="standardContextual"/>
        </w:rPr>
        <w:t xml:space="preserve">v. </w:t>
      </w:r>
      <w:r w:rsidR="00761E2B" w:rsidRPr="006B5889">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00761E2B" w:rsidRPr="006B5889">
        <w:rPr>
          <w:rFonts w:ascii="Verdana" w:eastAsia="Times New Roman" w:hAnsi="Verdana" w:cs="Arial"/>
          <w:i/>
          <w:iCs/>
          <w:lang w:val="es-ES" w:eastAsia="es-ES"/>
          <w14:ligatures w14:val="standardContextual"/>
        </w:rPr>
        <w:t>publicidad</w:t>
      </w:r>
      <w:r w:rsidR="00761E2B" w:rsidRPr="006B5889">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00761E2B" w:rsidRPr="006B5889">
        <w:rPr>
          <w:rFonts w:ascii="Verdana" w:eastAsia="Times New Roman" w:hAnsi="Verdana" w:cs="Arial"/>
          <w:vertAlign w:val="superscript"/>
          <w:lang w:val="es-ES" w:eastAsia="es-ES"/>
          <w14:ligatures w14:val="standardContextual"/>
        </w:rPr>
        <w:footnoteReference w:id="12"/>
      </w:r>
      <w:r w:rsidR="00761E2B" w:rsidRPr="006B5889">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515FC2DC" w14:textId="77777777" w:rsidR="00761E2B" w:rsidRPr="006B5889" w:rsidRDefault="00761E2B" w:rsidP="00761E2B">
      <w:pPr>
        <w:spacing w:before="120" w:after="120" w:line="276" w:lineRule="auto"/>
        <w:ind w:firstLine="708"/>
        <w:jc w:val="both"/>
        <w:rPr>
          <w:rFonts w:ascii="Verdana" w:eastAsia="Times New Roman" w:hAnsi="Verdana" w:cs="Arial"/>
          <w:lang w:val="es-ES" w:eastAsia="es-ES"/>
          <w14:ligatures w14:val="standardContextual"/>
        </w:rPr>
      </w:pPr>
      <w:r w:rsidRPr="006B5889">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61C3489D" w14:textId="77777777" w:rsidR="00761E2B" w:rsidRPr="006B5889" w:rsidRDefault="00761E2B" w:rsidP="00761E2B">
      <w:pPr>
        <w:spacing w:before="120" w:after="120" w:line="276" w:lineRule="auto"/>
        <w:ind w:firstLine="709"/>
        <w:jc w:val="both"/>
        <w:rPr>
          <w:rFonts w:ascii="Verdana" w:eastAsia="Times New Roman" w:hAnsi="Verdana" w:cs="Arial"/>
          <w:lang w:val="es-ES_tradnl" w:eastAsia="es-ES_tradnl"/>
          <w14:ligatures w14:val="standardContextual"/>
        </w:rPr>
      </w:pPr>
      <w:r w:rsidRPr="006B5889">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6B5889">
        <w:rPr>
          <w:rFonts w:ascii="Verdana" w:eastAsia="Times New Roman" w:hAnsi="Verdana" w:cs="Arial"/>
          <w:vertAlign w:val="superscript"/>
          <w:lang w:val="es-ES_tradnl" w:eastAsia="es-ES_tradnl"/>
          <w14:ligatures w14:val="standardContextual"/>
        </w:rPr>
        <w:footnoteReference w:id="13"/>
      </w:r>
      <w:r w:rsidRPr="006B5889">
        <w:rPr>
          <w:rFonts w:ascii="Verdana" w:eastAsia="Times New Roman" w:hAnsi="Verdana" w:cs="Arial"/>
          <w:lang w:val="es-ES_tradnl" w:eastAsia="es-ES_tradnl"/>
          <w14:ligatures w14:val="standardContextual"/>
        </w:rPr>
        <w:t>.</w:t>
      </w:r>
    </w:p>
    <w:p w14:paraId="1BC58EF2" w14:textId="77777777" w:rsidR="00761E2B" w:rsidRPr="006B5889" w:rsidRDefault="00761E2B" w:rsidP="00761E2B">
      <w:pPr>
        <w:spacing w:before="120" w:after="120" w:line="276" w:lineRule="auto"/>
        <w:ind w:firstLine="709"/>
        <w:jc w:val="both"/>
        <w:rPr>
          <w:rFonts w:ascii="Verdana" w:eastAsia="Times New Roman" w:hAnsi="Verdana" w:cs="Arial"/>
          <w:lang w:val="es-ES" w:eastAsia="es-ES"/>
          <w14:ligatures w14:val="standardContextual"/>
        </w:rPr>
      </w:pPr>
      <w:r w:rsidRPr="006B5889">
        <w:rPr>
          <w:rFonts w:ascii="Verdana" w:eastAsia="Times New Roman" w:hAnsi="Verdana" w:cs="Arial"/>
          <w:lang w:val="es-ES" w:eastAsia="es-ES"/>
          <w14:ligatures w14:val="standardContextual"/>
        </w:rPr>
        <w:lastRenderedPageBreak/>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6B5889">
        <w:rPr>
          <w:rFonts w:ascii="Verdana" w:eastAsia="Times New Roman" w:hAnsi="Verdana" w:cs="Arial"/>
          <w:vertAlign w:val="superscript"/>
          <w:lang w:val="es-ES" w:eastAsia="es-ES"/>
          <w14:ligatures w14:val="standardContextual"/>
        </w:rPr>
        <w:footnoteReference w:id="14"/>
      </w:r>
      <w:r w:rsidRPr="006B5889">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0509A093" w14:textId="77777777" w:rsidR="00761E2B" w:rsidRPr="006B5889" w:rsidRDefault="00761E2B" w:rsidP="00761E2B">
      <w:pPr>
        <w:spacing w:before="120" w:after="120" w:line="276" w:lineRule="auto"/>
        <w:ind w:firstLine="709"/>
        <w:jc w:val="both"/>
        <w:rPr>
          <w:rFonts w:ascii="Verdana" w:eastAsia="Times New Roman" w:hAnsi="Verdana" w:cs="Arial"/>
          <w:lang w:val="es-ES_tradnl" w:eastAsia="es-ES_tradnl"/>
          <w14:ligatures w14:val="standardContextual"/>
        </w:rPr>
      </w:pPr>
      <w:r w:rsidRPr="006B5889">
        <w:rPr>
          <w:rFonts w:ascii="Verdana" w:eastAsia="Times New Roman" w:hAnsi="Verdana" w:cs="Arial"/>
          <w:lang w:val="es-ES_tradnl" w:eastAsia="es-ES_tradnl"/>
          <w14:ligatures w14:val="standardContextual"/>
        </w:rPr>
        <w:t>La Ley Estatutaria citada establece, en el literal e) del artículo 9, que los sujetos obligados, que son todas las entidades públicas</w:t>
      </w:r>
      <w:r w:rsidRPr="006B5889">
        <w:rPr>
          <w:rFonts w:ascii="Verdana" w:eastAsia="Times New Roman" w:hAnsi="Verdana" w:cs="Arial"/>
          <w:vertAlign w:val="superscript"/>
          <w:lang w:val="es-ES_tradnl" w:eastAsia="es-ES_tradnl"/>
          <w14:ligatures w14:val="standardContextual"/>
        </w:rPr>
        <w:footnoteReference w:id="15"/>
      </w:r>
      <w:r w:rsidRPr="006B5889">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6B5889">
        <w:rPr>
          <w:rFonts w:ascii="Verdana" w:eastAsia="Times New Roman" w:hAnsi="Verdana" w:cs="Arial"/>
          <w:vertAlign w:val="superscript"/>
          <w:lang w:val="es-ES_tradnl" w:eastAsia="es-ES_tradnl"/>
          <w14:ligatures w14:val="standardContextual"/>
        </w:rPr>
        <w:footnoteReference w:id="16"/>
      </w:r>
      <w:r w:rsidRPr="006B5889">
        <w:rPr>
          <w:rFonts w:ascii="Verdana" w:eastAsia="Times New Roman" w:hAnsi="Verdana" w:cs="Arial"/>
          <w:lang w:val="es-ES_tradnl" w:eastAsia="es-ES_tradnl"/>
          <w14:ligatures w14:val="standardContextual"/>
        </w:rPr>
        <w:t xml:space="preserve">, el cual dispuso que la publicación </w:t>
      </w:r>
      <w:r w:rsidRPr="006B5889">
        <w:rPr>
          <w:rFonts w:ascii="Verdana" w:eastAsia="Times New Roman" w:hAnsi="Verdana" w:cs="Arial"/>
          <w:lang w:val="es-ES_tradnl" w:eastAsia="es-ES_tradnl"/>
          <w14:ligatures w14:val="standardContextual"/>
        </w:rPr>
        <w:lastRenderedPageBreak/>
        <w:t>de la información contractual de los sujetos obligados, que contratan con cargo a recursos públicos, debe hacerse en el SECOP.</w:t>
      </w:r>
    </w:p>
    <w:p w14:paraId="5D61E5E4" w14:textId="77777777" w:rsidR="00761E2B" w:rsidRPr="006B5889" w:rsidRDefault="00761E2B" w:rsidP="00761E2B">
      <w:pPr>
        <w:spacing w:before="120" w:after="120" w:line="276" w:lineRule="auto"/>
        <w:ind w:firstLine="709"/>
        <w:jc w:val="both"/>
        <w:rPr>
          <w:rFonts w:ascii="Verdana" w:eastAsia="Times New Roman" w:hAnsi="Verdana" w:cs="Arial"/>
          <w:lang w:val="es-ES_tradnl" w:eastAsia="es-ES_tradnl"/>
          <w14:ligatures w14:val="standardContextual"/>
        </w:rPr>
      </w:pPr>
      <w:r w:rsidRPr="006B5889">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0FBD4867" w14:textId="77777777" w:rsidR="00761E2B" w:rsidRPr="006B5889" w:rsidRDefault="00761E2B" w:rsidP="00761E2B">
      <w:pPr>
        <w:spacing w:before="120" w:after="120" w:line="276" w:lineRule="auto"/>
        <w:ind w:firstLine="709"/>
        <w:jc w:val="both"/>
        <w:rPr>
          <w:rFonts w:ascii="Verdana" w:eastAsia="Times New Roman" w:hAnsi="Verdana" w:cs="Arial"/>
          <w:lang w:val="es-ES_tradnl" w:eastAsia="es-ES_tradnl"/>
          <w14:ligatures w14:val="standardContextual"/>
        </w:rPr>
      </w:pPr>
      <w:r w:rsidRPr="006B5889">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6B5889">
        <w:rPr>
          <w:rFonts w:ascii="Verdana" w:eastAsia="Times New Roman" w:hAnsi="Verdana" w:cs="Arial"/>
          <w:vertAlign w:val="superscript"/>
          <w:lang w:val="es-ES_tradnl" w:eastAsia="es-ES_tradnl"/>
          <w14:ligatures w14:val="standardContextual"/>
        </w:rPr>
        <w:footnoteReference w:id="17"/>
      </w:r>
      <w:r w:rsidRPr="006B5889">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6B8F5276" w14:textId="77777777" w:rsidR="00761E2B" w:rsidRPr="006B5889" w:rsidRDefault="00761E2B" w:rsidP="00761E2B">
      <w:pPr>
        <w:tabs>
          <w:tab w:val="left" w:pos="709"/>
        </w:tabs>
        <w:spacing w:before="120" w:after="0" w:line="276" w:lineRule="auto"/>
        <w:ind w:firstLine="709"/>
        <w:jc w:val="both"/>
        <w:rPr>
          <w:rFonts w:ascii="Verdana" w:hAnsi="Verdana" w:cs="Arial"/>
          <w:shd w:val="clear" w:color="auto" w:fill="FFFFFF"/>
        </w:rPr>
      </w:pPr>
      <w:r w:rsidRPr="006B5889">
        <w:rPr>
          <w:rFonts w:ascii="Verdana" w:hAnsi="Verdana" w:cs="Arial"/>
          <w:shd w:val="clear" w:color="auto" w:fill="FFFFFF"/>
        </w:rPr>
        <w:t xml:space="preserve">La expresión </w:t>
      </w:r>
      <w:r w:rsidRPr="006B5889">
        <w:rPr>
          <w:rFonts w:ascii="Verdana" w:hAnsi="Verdana" w:cs="Arial"/>
          <w:i/>
          <w:iCs/>
          <w:shd w:val="clear" w:color="auto" w:fill="FFFFFF"/>
        </w:rPr>
        <w:t xml:space="preserve">Documentos del Proceso </w:t>
      </w:r>
      <w:r w:rsidRPr="006B5889">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6B5889">
        <w:rPr>
          <w:rFonts w:ascii="Verdana" w:hAnsi="Verdana" w:cs="Arial"/>
          <w:i/>
          <w:iCs/>
          <w:shd w:val="clear" w:color="auto" w:fill="FFFFFF"/>
        </w:rPr>
        <w:t>y cualquier otro documento expedido por la Entidad Estatal durante el Proceso de Contratación</w:t>
      </w:r>
      <w:r w:rsidRPr="006B5889">
        <w:rPr>
          <w:rFonts w:ascii="Verdana" w:hAnsi="Verdana" w:cs="Arial"/>
          <w:shd w:val="clear" w:color="auto" w:fill="FFFFFF"/>
        </w:rPr>
        <w:t>”. [Énfasis fuera de texto]</w:t>
      </w:r>
    </w:p>
    <w:p w14:paraId="745B57CC" w14:textId="77777777" w:rsidR="00761E2B" w:rsidRPr="006B5889" w:rsidRDefault="00761E2B" w:rsidP="00761E2B">
      <w:pPr>
        <w:tabs>
          <w:tab w:val="left" w:pos="709"/>
        </w:tabs>
        <w:spacing w:before="120" w:after="0" w:line="276" w:lineRule="auto"/>
        <w:ind w:firstLine="709"/>
        <w:jc w:val="both"/>
        <w:rPr>
          <w:rFonts w:ascii="Verdana" w:hAnsi="Verdana" w:cs="Arial"/>
          <w:shd w:val="clear" w:color="auto" w:fill="FFFFFF"/>
        </w:rPr>
      </w:pPr>
      <w:r w:rsidRPr="006B5889">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6B5889">
        <w:rPr>
          <w:rFonts w:ascii="Verdana" w:hAnsi="Verdana" w:cs="Arial"/>
          <w:i/>
          <w:iCs/>
          <w:shd w:val="clear" w:color="auto" w:fill="FFFFFF"/>
        </w:rPr>
        <w:t>Ibidem</w:t>
      </w:r>
      <w:r w:rsidRPr="006B5889">
        <w:rPr>
          <w:rFonts w:ascii="Verdana" w:hAnsi="Verdana" w:cs="Arial"/>
          <w:shd w:val="clear" w:color="auto" w:fill="FFFFFF"/>
        </w:rPr>
        <w:t xml:space="preserve"> recoge en la noción de Documentos del Proceso “cualquier otro documento expedido por la Entidad Estatal durante el Proceso de Contratación”. </w:t>
      </w:r>
    </w:p>
    <w:p w14:paraId="6F4432B4" w14:textId="77777777" w:rsidR="00761E2B" w:rsidRPr="006B5889" w:rsidRDefault="00761E2B" w:rsidP="00761E2B">
      <w:pPr>
        <w:tabs>
          <w:tab w:val="left" w:pos="709"/>
        </w:tabs>
        <w:spacing w:before="120" w:after="0" w:line="276" w:lineRule="auto"/>
        <w:ind w:firstLine="709"/>
        <w:jc w:val="both"/>
        <w:rPr>
          <w:rFonts w:ascii="Verdana" w:hAnsi="Verdana" w:cs="Arial"/>
          <w:shd w:val="clear" w:color="auto" w:fill="FFFFFF"/>
        </w:rPr>
      </w:pPr>
      <w:r w:rsidRPr="006B5889">
        <w:rPr>
          <w:rFonts w:ascii="Verdana" w:hAnsi="Verdana" w:cs="Arial"/>
          <w:shd w:val="clear" w:color="auto" w:fill="FFFFFF"/>
        </w:rPr>
        <w:lastRenderedPageBreak/>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65A1E80" w14:textId="77777777" w:rsidR="00761E2B" w:rsidRPr="006B5889" w:rsidRDefault="00761E2B" w:rsidP="00761E2B">
      <w:pPr>
        <w:tabs>
          <w:tab w:val="left" w:pos="709"/>
        </w:tabs>
        <w:spacing w:before="120" w:after="120" w:line="276" w:lineRule="auto"/>
        <w:ind w:firstLine="709"/>
        <w:jc w:val="both"/>
        <w:rPr>
          <w:rFonts w:ascii="Verdana" w:hAnsi="Verdana" w:cs="Arial"/>
          <w:shd w:val="clear" w:color="auto" w:fill="FFFFFF"/>
        </w:rPr>
      </w:pPr>
      <w:r w:rsidRPr="006B5889">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postcontractual deberán publicarse en SECOP dentro de los tres (3) días siguientes a su expedición, para cumplir el deber de publicidad regulado por el artículo 2.2.1.1.1.7.1. del Decreto 1082 de 2015.</w:t>
      </w:r>
    </w:p>
    <w:p w14:paraId="6A50D8C2" w14:textId="77777777" w:rsidR="00761E2B" w:rsidRPr="006B5889" w:rsidRDefault="00761E2B" w:rsidP="00761E2B">
      <w:pPr>
        <w:tabs>
          <w:tab w:val="left" w:pos="709"/>
        </w:tabs>
        <w:spacing w:before="120" w:after="120" w:line="276" w:lineRule="auto"/>
        <w:ind w:firstLine="709"/>
        <w:jc w:val="both"/>
        <w:rPr>
          <w:rFonts w:ascii="Verdana" w:hAnsi="Verdana" w:cs="Arial"/>
          <w:shd w:val="clear" w:color="auto" w:fill="FFFFFF"/>
        </w:rPr>
      </w:pPr>
      <w:r w:rsidRPr="006B5889">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6B5889">
        <w:rPr>
          <w:rFonts w:ascii="Verdana" w:hAnsi="Verdana" w:cs="Arial"/>
          <w:shd w:val="clear" w:color="auto" w:fill="FFFFFF"/>
          <w:vertAlign w:val="superscript"/>
        </w:rPr>
        <w:footnoteReference w:id="18"/>
      </w:r>
      <w:r w:rsidRPr="006B5889">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3A987686" w14:textId="77777777" w:rsidR="00761E2B" w:rsidRPr="006B5889" w:rsidRDefault="00761E2B" w:rsidP="00761E2B">
      <w:pPr>
        <w:tabs>
          <w:tab w:val="left" w:pos="709"/>
        </w:tabs>
        <w:spacing w:before="120" w:after="120" w:line="276" w:lineRule="auto"/>
        <w:ind w:firstLine="709"/>
        <w:jc w:val="both"/>
        <w:rPr>
          <w:rFonts w:ascii="Verdana" w:hAnsi="Verdana" w:cs="Arial"/>
          <w:shd w:val="clear" w:color="auto" w:fill="FFFFFF"/>
        </w:rPr>
      </w:pPr>
      <w:r w:rsidRPr="006B5889">
        <w:rPr>
          <w:rFonts w:ascii="Verdana" w:hAnsi="Verdana" w:cs="Arial"/>
          <w:shd w:val="clear" w:color="auto" w:fill="FFFFFF"/>
        </w:rPr>
        <w:t xml:space="preserve">En cambio, el SECOP II, es una plataforma transaccional que permite gestionar en línea los procedimientos de contratación, con cuentas y usuarios </w:t>
      </w:r>
      <w:r w:rsidRPr="006B5889">
        <w:rPr>
          <w:rFonts w:ascii="Verdana" w:hAnsi="Verdana" w:cs="Arial"/>
          <w:shd w:val="clear" w:color="auto" w:fill="FFFFFF"/>
        </w:rPr>
        <w:lastRenderedPageBreak/>
        <w:t>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0607C9AD" w14:textId="77777777" w:rsidR="00761E2B" w:rsidRPr="006B5889" w:rsidRDefault="00761E2B" w:rsidP="00761E2B">
      <w:pPr>
        <w:spacing w:after="120" w:line="276" w:lineRule="auto"/>
        <w:ind w:firstLine="709"/>
        <w:jc w:val="both"/>
        <w:rPr>
          <w:rFonts w:ascii="Verdana" w:eastAsia="Calibri" w:hAnsi="Verdana" w:cs="Arial"/>
          <w:lang w:val="es-ES"/>
        </w:rPr>
      </w:pPr>
      <w:r w:rsidRPr="006B5889">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73D0A0E6" w14:textId="77777777" w:rsidR="00761E2B" w:rsidRPr="006B5889" w:rsidRDefault="00761E2B" w:rsidP="00761E2B">
      <w:pPr>
        <w:tabs>
          <w:tab w:val="left" w:pos="709"/>
        </w:tabs>
        <w:spacing w:before="120" w:after="120" w:line="276" w:lineRule="auto"/>
        <w:ind w:firstLine="709"/>
        <w:jc w:val="both"/>
        <w:rPr>
          <w:rFonts w:ascii="Verdana" w:eastAsia="Calibri" w:hAnsi="Verdana" w:cs="Arial"/>
          <w:color w:val="000000"/>
        </w:rPr>
      </w:pPr>
      <w:r w:rsidRPr="006B5889">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En tal sentido, </w:t>
      </w:r>
      <w:r w:rsidRPr="006B5889">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w:t>
      </w:r>
    </w:p>
    <w:p w14:paraId="25B99A75" w14:textId="77777777" w:rsidR="00761E2B" w:rsidRPr="006B5889" w:rsidRDefault="00761E2B" w:rsidP="00761E2B">
      <w:pPr>
        <w:tabs>
          <w:tab w:val="left" w:pos="709"/>
        </w:tabs>
        <w:spacing w:before="120" w:after="0" w:line="276" w:lineRule="auto"/>
        <w:ind w:firstLine="709"/>
        <w:jc w:val="both"/>
        <w:rPr>
          <w:rFonts w:ascii="Verdana" w:eastAsia="Calibri" w:hAnsi="Verdana" w:cs="Arial"/>
          <w:color w:val="000000"/>
        </w:rPr>
      </w:pPr>
      <w:r w:rsidRPr="006B5889">
        <w:rPr>
          <w:rFonts w:ascii="Verdana" w:eastAsia="Calibri" w:hAnsi="Verdana" w:cs="Arial"/>
          <w:color w:val="000000"/>
        </w:rPr>
        <w:t>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205B03B5" w14:textId="77777777" w:rsidR="00761E2B" w:rsidRPr="006B5889" w:rsidRDefault="00761E2B" w:rsidP="00761E2B">
      <w:pPr>
        <w:spacing w:after="0" w:line="276" w:lineRule="auto"/>
        <w:ind w:firstLine="567"/>
        <w:jc w:val="both"/>
        <w:rPr>
          <w:rFonts w:ascii="Verdana" w:eastAsia="Times New Roman" w:hAnsi="Verdana" w:cs="Arial"/>
          <w:bCs/>
          <w:lang w:eastAsia="x-none"/>
        </w:rPr>
      </w:pPr>
    </w:p>
    <w:p w14:paraId="5EA9F52B" w14:textId="007C808A" w:rsidR="00761E2B" w:rsidRPr="006B5889" w:rsidRDefault="00761E2B" w:rsidP="00761E2B">
      <w:pPr>
        <w:spacing w:after="120" w:line="276" w:lineRule="auto"/>
        <w:jc w:val="both"/>
        <w:rPr>
          <w:rFonts w:ascii="Verdana" w:eastAsia="Calibri" w:hAnsi="Verdana" w:cs="Arial"/>
          <w:lang w:val="es-ES_tradnl"/>
        </w:rPr>
      </w:pPr>
      <w:r w:rsidRPr="006B5889">
        <w:rPr>
          <w:rFonts w:ascii="Verdana" w:hAnsi="Verdana" w:cs="Arial"/>
          <w:bCs/>
          <w:color w:val="000000" w:themeColor="text1"/>
        </w:rPr>
        <w:lastRenderedPageBreak/>
        <w:t>vi)</w:t>
      </w:r>
      <w:r w:rsidRPr="006B5889">
        <w:rPr>
          <w:rFonts w:ascii="Verdana" w:eastAsia="Times New Roman" w:hAnsi="Verdana" w:cs="Times New Roman"/>
          <w:b/>
          <w:bCs/>
          <w:sz w:val="24"/>
          <w:szCs w:val="24"/>
          <w:lang w:eastAsia="es-CO"/>
        </w:rPr>
        <w:t xml:space="preserve"> </w:t>
      </w:r>
      <w:r w:rsidR="00457B62" w:rsidRPr="006B5889">
        <w:rPr>
          <w:rFonts w:ascii="Verdana" w:eastAsia="Times New Roman" w:hAnsi="Verdana" w:cs="Arial"/>
          <w:bCs/>
          <w:lang w:eastAsia="x-none"/>
        </w:rPr>
        <w:t xml:space="preserve">Por último, </w:t>
      </w:r>
      <w:r w:rsidRPr="006B5889">
        <w:rPr>
          <w:rFonts w:ascii="Verdana" w:eastAsia="Times New Roman" w:hAnsi="Verdana" w:cs="Arial"/>
          <w:bCs/>
          <w:lang w:eastAsia="x-none"/>
        </w:rPr>
        <w:t>resulta relevante considerar las particularidades del Sistema Electrónico para la Contratación Pública –SECOP II–</w:t>
      </w:r>
      <w:r w:rsidRPr="006B5889">
        <w:rPr>
          <w:rFonts w:ascii="Verdana" w:eastAsia="Calibri" w:hAnsi="Verdana" w:cs="Arial"/>
          <w:lang w:val="es-ES_tradnl"/>
        </w:rPr>
        <w:t>, el cual tiene dispuesto dos módulos para las entidades estatales con régimen especial, los cuales son:</w:t>
      </w:r>
    </w:p>
    <w:p w14:paraId="392F5839" w14:textId="77777777" w:rsidR="00761E2B" w:rsidRPr="006B5889" w:rsidRDefault="00761E2B" w:rsidP="00761E2B">
      <w:pPr>
        <w:numPr>
          <w:ilvl w:val="0"/>
          <w:numId w:val="19"/>
        </w:numPr>
        <w:spacing w:line="276" w:lineRule="auto"/>
        <w:jc w:val="both"/>
        <w:rPr>
          <w:rFonts w:ascii="Verdana" w:eastAsia="Calibri" w:hAnsi="Verdana" w:cs="Arial"/>
          <w:u w:val="single"/>
          <w:lang w:val="es-MX"/>
        </w:rPr>
      </w:pPr>
      <w:r w:rsidRPr="006B5889">
        <w:rPr>
          <w:rFonts w:ascii="Verdana" w:eastAsia="Calibri" w:hAnsi="Verdana" w:cs="Arial"/>
          <w:b/>
          <w:bCs/>
          <w:lang w:val="es-MX"/>
        </w:rPr>
        <w:t>Contratación Régimen Especial (con ofertas)</w:t>
      </w:r>
      <w:r w:rsidRPr="006B5889">
        <w:rPr>
          <w:rFonts w:ascii="Verdana" w:eastAsia="Calibri" w:hAnsi="Verdana" w:cs="Arial"/>
          <w:iCs/>
          <w:vertAlign w:val="superscript"/>
          <w:lang w:val="es-ES"/>
        </w:rPr>
        <w:footnoteReference w:id="19"/>
      </w:r>
      <w:r w:rsidRPr="006B5889">
        <w:rPr>
          <w:rFonts w:ascii="Verdana" w:eastAsia="Calibri" w:hAnsi="Verdana" w:cs="Arial"/>
          <w:b/>
          <w:bCs/>
          <w:lang w:val="es-MX"/>
        </w:rPr>
        <w:t>:</w:t>
      </w:r>
      <w:r w:rsidRPr="006B5889">
        <w:rPr>
          <w:rFonts w:ascii="Verdana" w:eastAsia="Calibri" w:hAnsi="Verdana" w:cs="Arial"/>
          <w:lang w:val="es-MX"/>
        </w:rPr>
        <w:t xml:space="preserve"> Permite a las entidades gestionar sus procesos competitivos de contratación. Mediante este módulo las entidades pueden adelantar el proceso de contratación de manera transaccional, es decir, que a través de este módulo las entidades estatales pueden estructurar el proceso de contratación, recibir ofertas de los proveedores, generar el contrato de electrónico y realizar la gestión contractual. </w:t>
      </w:r>
    </w:p>
    <w:p w14:paraId="6858683C" w14:textId="77777777" w:rsidR="00761E2B" w:rsidRPr="006B5889" w:rsidRDefault="00761E2B" w:rsidP="00761E2B">
      <w:pPr>
        <w:numPr>
          <w:ilvl w:val="0"/>
          <w:numId w:val="19"/>
        </w:numPr>
        <w:spacing w:line="276" w:lineRule="auto"/>
        <w:jc w:val="both"/>
        <w:rPr>
          <w:rFonts w:ascii="Verdana" w:eastAsia="Calibri" w:hAnsi="Verdana" w:cs="Arial"/>
          <w:u w:val="single"/>
          <w:lang w:val="es-MX"/>
        </w:rPr>
      </w:pPr>
      <w:r w:rsidRPr="006B5889">
        <w:rPr>
          <w:rFonts w:ascii="Verdana" w:eastAsia="Calibri" w:hAnsi="Verdana" w:cs="Arial"/>
          <w:b/>
          <w:bCs/>
          <w:lang w:val="es-MX"/>
        </w:rPr>
        <w:t>Contratación Régimen Especial (sin ofertas)</w:t>
      </w:r>
      <w:r w:rsidRPr="006B5889">
        <w:rPr>
          <w:rFonts w:ascii="Verdana" w:eastAsia="Calibri" w:hAnsi="Verdana" w:cs="Arial"/>
          <w:iCs/>
          <w:vertAlign w:val="superscript"/>
          <w:lang w:val="es-ES"/>
        </w:rPr>
        <w:footnoteReference w:id="20"/>
      </w:r>
      <w:r w:rsidRPr="006B5889">
        <w:rPr>
          <w:rFonts w:ascii="Verdana" w:eastAsia="Calibri" w:hAnsi="Verdana" w:cs="Arial"/>
          <w:b/>
          <w:bCs/>
          <w:lang w:val="es-MX"/>
        </w:rPr>
        <w:t>:</w:t>
      </w:r>
      <w:r w:rsidRPr="006B5889">
        <w:rPr>
          <w:rFonts w:ascii="Verdana" w:eastAsia="Calibri" w:hAnsi="Verdana" w:cs="Arial"/>
          <w:lang w:val="es-MX"/>
        </w:rPr>
        <w:t xml:space="preserve"> Este módulo permite a las entidades gestionar sus procesos de selección directos. Asimismo, este módulo permite estructurar los procesos de contratación, publicar documentos generados por fuera de la plataforma y realizar la gestión contractual en línea. </w:t>
      </w:r>
    </w:p>
    <w:p w14:paraId="22A3A45C" w14:textId="77777777" w:rsidR="00761E2B" w:rsidRPr="006B5889" w:rsidRDefault="00761E2B" w:rsidP="00761E2B">
      <w:pPr>
        <w:spacing w:line="276" w:lineRule="auto"/>
        <w:ind w:firstLine="567"/>
        <w:jc w:val="both"/>
        <w:rPr>
          <w:rFonts w:ascii="Verdana" w:eastAsia="Calibri" w:hAnsi="Verdana" w:cs="Arial"/>
          <w:iCs/>
          <w:lang w:val="es-ES"/>
        </w:rPr>
      </w:pPr>
      <w:r w:rsidRPr="006B5889">
        <w:rPr>
          <w:rFonts w:ascii="Verdana" w:eastAsia="Calibri" w:hAnsi="Verdana" w:cs="Arial"/>
          <w:iCs/>
          <w:lang w:val="es-ES"/>
        </w:rPr>
        <w:t xml:space="preserve">Ahora bien, </w:t>
      </w:r>
      <w:bookmarkStart w:id="2" w:name="_Hlk109112150"/>
      <w:r w:rsidRPr="006B5889">
        <w:rPr>
          <w:rFonts w:ascii="Verdana" w:eastAsia="Calibri" w:hAnsi="Verdana" w:cs="Arial"/>
          <w:iCs/>
          <w:lang w:val="es-ES"/>
        </w:rPr>
        <w:t>dado que el artículo 53 de la Ley 2195 de 2022 no cambió la forma en que se perfeccionan los contratos suscritos por estas entidades exceptuadas, para cumplir con el deber de publicidad que les asiste, estas podrán elegir cualquiera de las siguientes opciones:</w:t>
      </w:r>
    </w:p>
    <w:p w14:paraId="7AE519BC" w14:textId="77777777" w:rsidR="00761E2B" w:rsidRPr="006B5889" w:rsidRDefault="00761E2B" w:rsidP="00761E2B">
      <w:pPr>
        <w:numPr>
          <w:ilvl w:val="0"/>
          <w:numId w:val="18"/>
        </w:numPr>
        <w:spacing w:line="276" w:lineRule="auto"/>
        <w:jc w:val="both"/>
        <w:rPr>
          <w:rFonts w:ascii="Verdana" w:eastAsia="Calibri" w:hAnsi="Verdana" w:cs="Arial"/>
          <w:iCs/>
          <w:lang w:val="es-ES"/>
        </w:rPr>
      </w:pPr>
      <w:r w:rsidRPr="006B5889">
        <w:rPr>
          <w:rFonts w:ascii="Verdana" w:eastAsia="Calibri" w:hAnsi="Verdana" w:cs="Arial"/>
          <w:lang w:val="es-ES"/>
        </w:rPr>
        <w:t>Firmar</w:t>
      </w:r>
      <w:r w:rsidRPr="006B5889">
        <w:rPr>
          <w:rFonts w:ascii="Verdana" w:eastAsia="Calibri" w:hAnsi="Verdana" w:cs="Arial"/>
          <w:lang w:val="es-MX"/>
        </w:rPr>
        <w:t xml:space="preserve"> el contrato electrónicamente, es decir, realizar un uso transaccional de la plataforma.</w:t>
      </w:r>
    </w:p>
    <w:p w14:paraId="421949F7" w14:textId="77777777" w:rsidR="00761E2B" w:rsidRPr="006B5889" w:rsidRDefault="00761E2B" w:rsidP="00761E2B">
      <w:pPr>
        <w:numPr>
          <w:ilvl w:val="0"/>
          <w:numId w:val="18"/>
        </w:numPr>
        <w:spacing w:line="276" w:lineRule="auto"/>
        <w:jc w:val="both"/>
        <w:rPr>
          <w:rFonts w:ascii="Verdana" w:eastAsia="Calibri" w:hAnsi="Verdana" w:cs="Arial"/>
          <w:lang w:val="es-MX"/>
        </w:rPr>
      </w:pPr>
      <w:r w:rsidRPr="006B5889">
        <w:rPr>
          <w:rFonts w:ascii="Verdana" w:eastAsia="Calibri" w:hAnsi="Verdana" w:cs="Arial"/>
          <w:lang w:val="es-MX"/>
        </w:rPr>
        <w:t>Firmar el contrato en físico y publicar los documentos de ejecución en la etapa precontractual del SECOP II, es decir, realizar un uso publicitario de la plataforma.</w:t>
      </w:r>
    </w:p>
    <w:p w14:paraId="5F376E8E" w14:textId="49A5B4E0" w:rsidR="00761E2B" w:rsidRPr="006B5889" w:rsidRDefault="00761E2B" w:rsidP="00761E2B">
      <w:pPr>
        <w:spacing w:line="276" w:lineRule="auto"/>
        <w:ind w:firstLine="567"/>
        <w:jc w:val="both"/>
        <w:rPr>
          <w:rFonts w:ascii="Verdana" w:eastAsia="Calibri" w:hAnsi="Verdana" w:cs="Arial"/>
        </w:rPr>
      </w:pPr>
      <w:r w:rsidRPr="006B5889">
        <w:rPr>
          <w:rFonts w:ascii="Verdana" w:eastAsia="Calibri" w:hAnsi="Verdana" w:cs="Arial"/>
        </w:rPr>
        <w:t xml:space="preserve">En el primer caso, si la entidad opta por hacer uso de la plataforma de manera transaccional (firmando el contrato electrónicamente), deberá utilizar el </w:t>
      </w:r>
      <w:r w:rsidRPr="006B5889">
        <w:rPr>
          <w:rFonts w:ascii="Verdana" w:eastAsia="Calibri" w:hAnsi="Verdana" w:cs="Arial"/>
        </w:rPr>
        <w:lastRenderedPageBreak/>
        <w:t xml:space="preserve">módulo de “Contratación Régimen Especial”, estructurar el proceso de contratación, generar el contrato electrónico y realizar la gestión contractual en línea a través de la plataforma. En este caso, no será posible firmar el contrato de forma manuscrita y posteriormente cargarlo. </w:t>
      </w:r>
    </w:p>
    <w:p w14:paraId="6814405F" w14:textId="77777777" w:rsidR="00916C79" w:rsidRPr="006B5889" w:rsidRDefault="00761E2B" w:rsidP="00916C79">
      <w:pPr>
        <w:spacing w:line="276" w:lineRule="auto"/>
        <w:ind w:firstLine="567"/>
        <w:jc w:val="both"/>
        <w:rPr>
          <w:rFonts w:ascii="Verdana" w:eastAsia="Calibri" w:hAnsi="Verdana" w:cs="Arial"/>
        </w:rPr>
      </w:pPr>
      <w:r w:rsidRPr="006B5889">
        <w:rPr>
          <w:rFonts w:ascii="Verdana" w:eastAsia="Calibri" w:hAnsi="Verdana" w:cs="Arial"/>
        </w:rPr>
        <w:t>En el segundo caso, si decide utilizar el SECOP II como herramienta de publicidad, deberá crear el proceso de contratación en el SECOP II mediante el módulo “</w:t>
      </w:r>
      <w:r w:rsidRPr="006B5889">
        <w:rPr>
          <w:rFonts w:ascii="Verdana" w:eastAsia="Calibri" w:hAnsi="Verdana" w:cs="Arial"/>
          <w:i/>
          <w:iCs/>
        </w:rPr>
        <w:t>Contratación Régimen Especial (sin ofertas)”</w:t>
      </w:r>
      <w:r w:rsidRPr="006B5889">
        <w:rPr>
          <w:rFonts w:ascii="Verdana" w:eastAsia="Calibri" w:hAnsi="Verdana" w:cs="Arial"/>
        </w:rPr>
        <w:t>,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w:t>
      </w:r>
      <w:r w:rsidRPr="006B5889">
        <w:rPr>
          <w:rFonts w:ascii="Verdana" w:eastAsia="Calibri" w:hAnsi="Verdana" w:cs="Arial"/>
          <w:i/>
          <w:iCs/>
        </w:rPr>
        <w:t>Finalizar</w:t>
      </w:r>
      <w:r w:rsidRPr="006B5889">
        <w:rPr>
          <w:rFonts w:ascii="Verdana" w:eastAsia="Calibri" w:hAnsi="Verdana" w:cs="Arial"/>
        </w:rPr>
        <w:t>” después de publicar el proceso, en tanto que la plataforma cierra el expediente y no permite la publicación posterior de ningún otro documento.</w:t>
      </w:r>
      <w:bookmarkEnd w:id="2"/>
    </w:p>
    <w:p w14:paraId="30B461D8" w14:textId="38B7390C" w:rsidR="00916C79" w:rsidRPr="006B5889" w:rsidRDefault="00761E2B" w:rsidP="00916C79">
      <w:pPr>
        <w:spacing w:line="276" w:lineRule="auto"/>
        <w:ind w:firstLine="567"/>
        <w:jc w:val="both"/>
        <w:rPr>
          <w:rFonts w:ascii="Verdana" w:eastAsia="Calibri" w:hAnsi="Verdana" w:cs="Arial"/>
        </w:rPr>
      </w:pPr>
      <w:r w:rsidRPr="006B5889">
        <w:rPr>
          <w:rFonts w:ascii="Verdana" w:eastAsia="Calibri" w:hAnsi="Verdana" w:cs="Arial"/>
        </w:rPr>
        <w:t>No obstante, es importante resaltar que el uso de la plataforma SECOP II para fines netamente publicitarios, solo es una opción para aquellas entidades exceptuadas del Estatuto General de Contratación de la Administración Pública, mediante el módulo “Contratación Régimen Especial (sin ofertas)”. Lo cual excluye la posibilidad de que las entidades sometidas al Estatuto General de Contratación utilicen el SECOP II con fines netamente publicitarios, sino que están obligadas a tranzar por dicha plataforma.</w:t>
      </w:r>
      <w:r w:rsidRPr="006B5889">
        <w:rPr>
          <w:rFonts w:ascii="Verdana" w:eastAsia="Times New Roman" w:hAnsi="Verdana" w:cs="Arial"/>
          <w:bCs/>
          <w:lang w:eastAsia="x-none"/>
        </w:rPr>
        <w:t xml:space="preserve"> </w:t>
      </w:r>
    </w:p>
    <w:p w14:paraId="1A5975EE" w14:textId="2E91F6C3" w:rsidR="004223A2" w:rsidRPr="006B5889" w:rsidRDefault="00622611" w:rsidP="00916C79">
      <w:pPr>
        <w:spacing w:after="0" w:line="276" w:lineRule="auto"/>
        <w:ind w:firstLine="567"/>
        <w:jc w:val="both"/>
        <w:rPr>
          <w:rFonts w:ascii="Verdana" w:eastAsia="Times New Roman" w:hAnsi="Verdana" w:cs="Arial"/>
          <w:bCs/>
          <w:lang w:eastAsia="x-none"/>
        </w:rPr>
      </w:pPr>
      <w:r w:rsidRPr="006B5889">
        <w:rPr>
          <w:rFonts w:ascii="Verdana" w:eastAsia="Times New Roman" w:hAnsi="Verdana" w:cs="Arial"/>
          <w:bCs/>
          <w:lang w:eastAsia="x-none"/>
        </w:rPr>
        <w:t xml:space="preserve">De lo expuesto y de cara a la consulta elevada debe tenerse de presente </w:t>
      </w:r>
      <w:r w:rsidR="004223A2" w:rsidRPr="006B5889">
        <w:rPr>
          <w:rFonts w:ascii="Verdana" w:hAnsi="Verdana"/>
        </w:rPr>
        <w:t>que las Entidades Estatales exceptuadas del Estatuto General de Contratación de la Administración Pública se rigen por sus propios regímenes especiales de contratación, los cuales les confieren un amplio margen de autonomía para diseñar y estructurar sus procedimientos contractuales. En ejercicio de esa libertad de configuración, dichas entidades pueden incorporar en sus reglamentos internos o manuales de contratación las modalidades de selección previstas en el EGCAP —tales como la licitación pública, la selección abreviada, el concurso de méritos o la contratación directa—, no como una obligación legal, sino como una decisión voluntaria orientada precisamente a adoptar medidas adicionales que fortalezcan el debido cumplimiento de sus obligaciones contractuales, eleven los estándares de transparencia en sus procesos de selección y refuercen las garantías de los proponentes y contratistas.</w:t>
      </w:r>
    </w:p>
    <w:p w14:paraId="750DECA5" w14:textId="77777777" w:rsidR="004223A2" w:rsidRPr="006B5889" w:rsidRDefault="004223A2" w:rsidP="004223A2">
      <w:pPr>
        <w:pStyle w:val="Textoindependiente"/>
        <w:ind w:firstLine="709"/>
        <w:jc w:val="both"/>
        <w:rPr>
          <w:rFonts w:ascii="Verdana" w:hAnsi="Verdana"/>
        </w:rPr>
      </w:pPr>
      <w:r w:rsidRPr="006B5889">
        <w:rPr>
          <w:rFonts w:ascii="Verdana" w:hAnsi="Verdana"/>
        </w:rPr>
        <w:lastRenderedPageBreak/>
        <w:t>No obstante, dicha libertad no es absoluta. Su ejercicio encuentra límites en el ordenamiento constitucional y legal, de manera que, independientemente del régimen jurídico que gobierne a la entidad, esta debe respetar en todo caso los principios de la función administrativa y de la gestión fiscal consagrados en los artículos 209 y 267 de la Constitución Política, esto es, los principios de igualdad, moralidad, eficacia, economía, celeridad, imparcialidad, publicidad, transparencia, responsabilidad y control. En consecuencia, la incorporación de modalidades del EGCAP en el manual de contratación de una entidad de régimen especial no puede convertirse en un mecanismo que desnaturalice dichos principios ni que restrinja injustificadamente la participación de los oferentes.</w:t>
      </w:r>
    </w:p>
    <w:p w14:paraId="323C7732" w14:textId="4158B50D" w:rsidR="004223A2" w:rsidRPr="006B5889" w:rsidRDefault="004223A2" w:rsidP="004223A2">
      <w:pPr>
        <w:pStyle w:val="Textoindependiente"/>
        <w:ind w:firstLine="709"/>
        <w:jc w:val="both"/>
        <w:rPr>
          <w:rFonts w:ascii="Verdana" w:hAnsi="Verdana"/>
        </w:rPr>
      </w:pPr>
      <w:r w:rsidRPr="006B5889">
        <w:rPr>
          <w:rFonts w:ascii="Verdana" w:hAnsi="Verdana" w:cs="Arial"/>
        </w:rPr>
        <w:t>En armonía con lo anterior, es preciso indicar por un lado que, conforme a las funciones legalmente asignadas a Colombia Compra Eficiente —CCE— mediante el Decreto Ley 4170 de 2011, no es competencia de esta Agencia realizar análisis, seguimiento o control a las Entidades Estatales Exceptuadas del EGCAP. Por tanto, la CCE no ha adelantado pronunciamientos vinculantes ni ha emitido lineamientos específicos de supervisión frente a la gestión contractual de dichas entidades.</w:t>
      </w:r>
    </w:p>
    <w:p w14:paraId="54B57960" w14:textId="77777777" w:rsidR="004223A2" w:rsidRPr="006B5889" w:rsidRDefault="004223A2" w:rsidP="004223A2">
      <w:pPr>
        <w:pStyle w:val="Textoindependiente"/>
        <w:ind w:firstLine="709"/>
        <w:jc w:val="both"/>
        <w:rPr>
          <w:rFonts w:ascii="Verdana" w:hAnsi="Verdana" w:cs="Arial"/>
        </w:rPr>
      </w:pPr>
      <w:r w:rsidRPr="006B5889">
        <w:rPr>
          <w:rFonts w:ascii="Verdana" w:hAnsi="Verdana" w:cs="Arial"/>
        </w:rPr>
        <w:t>Sin perjuicio de lo anterior, y en el marco de su función orientadora, la CCE ha señalado de manera general que cuando una entidad de régimen especial decide voluntariamente adoptar las modalidades de selección del EGCAP, debe hacerlo de forma coherente e integral, garantizando que su aplicación respete los principios estructurales que sustentan cada modalidad, entre ellos: (a) la selección objetiva, entendida como la escogencia del ofrecimiento más favorable a la entidad y a los fines que ella busca, con independencia de consideraciones subjetivas; (b) la publicidad, que implica la difusión oportuna y suficiente de las condiciones del proceso; (c) la transparencia, que exige reglas claras, completas y verificables desde el inicio del proceso; (d) el debido proceso, que garantiza el derecho de los proponentes a conocer las reglas, a controvertir las decisiones y a ser tratados en condiciones de igualdad; y (e) la libre concurrencia, que prohíbe las restricciones injustificadas a la participación de potenciales oferentes.</w:t>
      </w:r>
    </w:p>
    <w:p w14:paraId="50FE4B44" w14:textId="77777777" w:rsidR="004223A2" w:rsidRPr="006B5889" w:rsidRDefault="004223A2" w:rsidP="004223A2">
      <w:pPr>
        <w:pStyle w:val="Textoindependiente"/>
        <w:ind w:firstLine="709"/>
        <w:jc w:val="both"/>
        <w:rPr>
          <w:rFonts w:ascii="Verdana" w:hAnsi="Verdana" w:cs="Arial"/>
        </w:rPr>
      </w:pPr>
      <w:r w:rsidRPr="006B5889">
        <w:rPr>
          <w:rFonts w:ascii="Verdana" w:hAnsi="Verdana" w:cs="Arial"/>
        </w:rPr>
        <w:t xml:space="preserve">La adopción parcial, fragmentada o selectiva de las modalidades del EGCAP, sin observar los principios que les son inherentes, podría comprometer la validez de los procesos adelantados y generar responsabilidades para los </w:t>
      </w:r>
      <w:r w:rsidRPr="006B5889">
        <w:rPr>
          <w:rFonts w:ascii="Verdana" w:hAnsi="Verdana" w:cs="Arial"/>
        </w:rPr>
        <w:lastRenderedPageBreak/>
        <w:t>servidores públicos o particulares que ejerzan funciones contractuales al interior de la entidad.</w:t>
      </w:r>
    </w:p>
    <w:p w14:paraId="469A3F0D" w14:textId="77777777" w:rsidR="004223A2" w:rsidRPr="006B5889" w:rsidRDefault="004223A2" w:rsidP="004223A2">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sz w:val="22"/>
          <w:szCs w:val="22"/>
        </w:rPr>
        <w:t xml:space="preserve">En cuanto a los lineamientos para tener en cuenta frente a la publicación de la </w:t>
      </w:r>
      <w:r w:rsidRPr="006B5889">
        <w:rPr>
          <w:rFonts w:ascii="Verdana" w:eastAsia="Century Gothic" w:hAnsi="Verdana" w:cs="Century Gothic"/>
          <w:sz w:val="22"/>
          <w:szCs w:val="22"/>
        </w:rPr>
        <w:t xml:space="preserve">gestión contractual de estas entidades a través del SECOP, debe señalarse que </w:t>
      </w:r>
      <w:r w:rsidRPr="006B5889">
        <w:rPr>
          <w:rFonts w:ascii="Verdana" w:hAnsi="Verdana" w:cs="Segoe UI"/>
          <w:sz w:val="22"/>
          <w:szCs w:val="22"/>
        </w:rPr>
        <w:t xml:space="preserve">la Ley 2195 de 2022 impuso a las entidades con régimen contractual excepcional la obligación de publicar en SECOP II todos los documentos asociados a su actividad contractual, incluyendo información generada en las etapas precontractual, contractual y postcontractual. Para facilitar el cumplimiento de este deber de publicidad, la Agencia Nacional de Contratación Pública - Colombia Compra Eficiente dispuso dos módulos en SECOP II para estas entidades: 1) </w:t>
      </w:r>
      <w:r w:rsidRPr="006B5889">
        <w:rPr>
          <w:rFonts w:ascii="Verdana" w:hAnsi="Verdana" w:cs="Arial"/>
          <w:bCs/>
          <w:sz w:val="22"/>
          <w:szCs w:val="22"/>
        </w:rPr>
        <w:t xml:space="preserve">Contratación Régimen Especial (con ofertas), el cual permite a las entidades gestionar sus procesos competitivos de contratación de manera transaccional, es decir, que a través de este módulo las entidades estatales pueden estructurar el proceso de contratación, recibir ofertas de los proveedores, generar el contrato de electrónico y realizar la gestión contractual y; 2) Contratación Régimen Especial (sin ofertas) el cual permite a las entidades gestionar sus procesos de selección directos y estructurar los procesos de contratación, publicar documentos generados por fuera de la plataforma y realizar la gestión contractual en línea. </w:t>
      </w:r>
    </w:p>
    <w:p w14:paraId="2671BD47" w14:textId="77777777" w:rsidR="004223A2" w:rsidRPr="006B5889" w:rsidRDefault="004223A2" w:rsidP="004223A2">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bCs/>
          <w:sz w:val="22"/>
          <w:szCs w:val="22"/>
        </w:rPr>
        <w:t xml:space="preserve">Así las cosas, las entidades exceptuadas, para cumplir con el deber de publicidad que les asiste podrán elegir cualquiera de las siguientes opciones: 1. Firmar el contrato electrónicamente, es decir, realizar un uso transaccional de la plataforma. 2. Firmar el contrato en físico y publicar los documentos de ejecución en la etapa precontractual del SECOP II, es decir, realizar un uso publicitario de la plataforma. 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este caso, no será posible firmar el contrato de forma manuscrita y posteriormente cargarlo. Por lo cual, a efectos de determinar la fecha exacta en que se suscribió el contrato, a efectos de la aplicación de la restricción de la Ley de Garantías Electorales se aplicará lo explicado anteriormente. </w:t>
      </w:r>
    </w:p>
    <w:p w14:paraId="716EB66F" w14:textId="46E191D3" w:rsidR="0051384C" w:rsidRPr="006B5889" w:rsidRDefault="004223A2" w:rsidP="005E3489">
      <w:pPr>
        <w:pStyle w:val="NormalWeb"/>
        <w:spacing w:before="0" w:beforeAutospacing="0" w:after="120" w:afterAutospacing="0" w:line="276" w:lineRule="auto"/>
        <w:ind w:firstLine="709"/>
        <w:jc w:val="both"/>
        <w:rPr>
          <w:rFonts w:ascii="Verdana" w:hAnsi="Verdana" w:cs="Arial"/>
          <w:bCs/>
          <w:sz w:val="22"/>
          <w:szCs w:val="22"/>
        </w:rPr>
      </w:pPr>
      <w:r w:rsidRPr="006B5889">
        <w:rPr>
          <w:rFonts w:ascii="Verdana" w:hAnsi="Verdana" w:cs="Arial"/>
          <w:bCs/>
          <w:sz w:val="22"/>
          <w:szCs w:val="22"/>
        </w:rPr>
        <w:t xml:space="preserve">En el segundo caso, si decide utilizar el SECOP II como herramienta de publicidad, deberá crear el proceso de contratación en el SECOP II mediante el </w:t>
      </w:r>
      <w:r w:rsidRPr="006B5889">
        <w:rPr>
          <w:rFonts w:ascii="Verdana" w:hAnsi="Verdana" w:cs="Arial"/>
          <w:bCs/>
          <w:sz w:val="22"/>
          <w:szCs w:val="22"/>
        </w:rPr>
        <w:lastRenderedPageBreak/>
        <w:t xml:space="preserve">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 </w:t>
      </w:r>
    </w:p>
    <w:p w14:paraId="7DD24CD2" w14:textId="7F2B51D8" w:rsidR="007C5A2A" w:rsidRPr="006B5889" w:rsidRDefault="00B61CBC" w:rsidP="007107E0">
      <w:pPr>
        <w:spacing w:after="120" w:line="276" w:lineRule="auto"/>
        <w:jc w:val="both"/>
        <w:rPr>
          <w:rFonts w:ascii="Verdana" w:eastAsia="Times New Roman" w:hAnsi="Verdana" w:cs="Arial"/>
          <w:color w:val="000000" w:themeColor="text1"/>
          <w:lang w:eastAsia="es-ES_tradnl"/>
        </w:rPr>
      </w:pPr>
      <w:r w:rsidRPr="006B5889">
        <w:rPr>
          <w:rFonts w:ascii="Verdana" w:eastAsia="Calibri" w:hAnsi="Verdana" w:cs="Arial"/>
          <w:color w:val="000000" w:themeColor="text1"/>
          <w:lang w:val="es-ES" w:eastAsia="es-ES"/>
        </w:rPr>
        <w:t xml:space="preserve">vii) </w:t>
      </w:r>
      <w:r w:rsidR="00D14373" w:rsidRPr="006B5889">
        <w:rPr>
          <w:rFonts w:ascii="Verdana" w:eastAsia="Times New Roman" w:hAnsi="Verdana" w:cs="Arial"/>
          <w:color w:val="000000" w:themeColor="text1"/>
          <w:lang w:eastAsia="es-ES_tradnl"/>
        </w:rPr>
        <w:t>Respecto</w:t>
      </w:r>
      <w:r w:rsidRPr="006B5889">
        <w:rPr>
          <w:rFonts w:ascii="Verdana" w:eastAsia="Times New Roman" w:hAnsi="Verdana" w:cs="Arial"/>
          <w:color w:val="000000" w:themeColor="text1"/>
          <w:lang w:eastAsia="es-ES_tradnl"/>
        </w:rPr>
        <w:t xml:space="preserve"> de los interrogantes Nro. 4</w:t>
      </w:r>
      <w:r w:rsidR="00297CAA" w:rsidRPr="006B5889">
        <w:rPr>
          <w:rFonts w:ascii="Verdana" w:eastAsia="Times New Roman" w:hAnsi="Verdana" w:cs="Arial"/>
          <w:color w:val="000000" w:themeColor="text1"/>
          <w:lang w:eastAsia="es-ES_tradnl"/>
        </w:rPr>
        <w:t>, 5, 6 y 7 de la consulta</w:t>
      </w:r>
      <w:r w:rsidRPr="006B5889">
        <w:rPr>
          <w:rFonts w:ascii="Verdana" w:eastAsia="Times New Roman" w:hAnsi="Verdana" w:cs="Arial"/>
          <w:color w:val="000000" w:themeColor="text1"/>
          <w:lang w:eastAsia="es-ES_tradnl"/>
        </w:rPr>
        <w:t xml:space="preserve">, se indica que la Subdirección de Información y Desarrollo Tecnológico emitió la respuesta correspondiente, la cual se anexa al presente concepto. Para su adecuada visualización, se recomienda utilizar un aplicativo de lectura de archivos PDF, como Adobe Reader, que permite la descarga y apertura de los documentos adjuntos. En caso de presentar inconvenientes con la visualización de los anexos, se ha dispuesto un enlace adicional que facilita el acceso a la información. </w:t>
      </w:r>
      <w:hyperlink r:id="rId14">
        <w:r w:rsidRPr="006B5889">
          <w:rPr>
            <w:rStyle w:val="Hipervnculo"/>
            <w:rFonts w:ascii="Verdana" w:eastAsia="Verdana" w:hAnsi="Verdana" w:cs="Verdana"/>
          </w:rPr>
          <w:t>instructivo</w:t>
        </w:r>
      </w:hyperlink>
    </w:p>
    <w:p w14:paraId="0385783C" w14:textId="365BEFAE" w:rsidR="00FC01F8" w:rsidRPr="006B5889" w:rsidRDefault="0019216B" w:rsidP="00FC01F8">
      <w:pPr>
        <w:widowControl w:val="0"/>
        <w:autoSpaceDE w:val="0"/>
        <w:autoSpaceDN w:val="0"/>
        <w:spacing w:after="0" w:line="276" w:lineRule="auto"/>
        <w:jc w:val="both"/>
        <w:rPr>
          <w:rFonts w:ascii="Verdana" w:hAnsi="Verdana" w:cs="Arial"/>
          <w:lang w:eastAsia="es-ES"/>
        </w:rPr>
      </w:pPr>
      <w:r w:rsidRPr="006B5889">
        <w:rPr>
          <w:rFonts w:ascii="Verdana" w:hAnsi="Verdana" w:cs="Arial"/>
          <w:lang w:eastAsia="es-ES"/>
        </w:rPr>
        <w:t>v</w:t>
      </w:r>
      <w:r w:rsidR="005F7EF1" w:rsidRPr="006B5889">
        <w:rPr>
          <w:rFonts w:ascii="Verdana" w:hAnsi="Verdana" w:cs="Arial"/>
          <w:lang w:eastAsia="es-ES"/>
        </w:rPr>
        <w:t>i</w:t>
      </w:r>
      <w:r w:rsidRPr="006B5889">
        <w:rPr>
          <w:rFonts w:ascii="Verdana" w:hAnsi="Verdana" w:cs="Arial"/>
          <w:lang w:eastAsia="es-ES"/>
        </w:rPr>
        <w:t>i</w:t>
      </w:r>
      <w:r w:rsidR="00B61CBC" w:rsidRPr="006B5889">
        <w:rPr>
          <w:rFonts w:ascii="Verdana" w:hAnsi="Verdana" w:cs="Arial"/>
          <w:lang w:eastAsia="es-ES"/>
        </w:rPr>
        <w:t>i</w:t>
      </w:r>
      <w:r w:rsidR="00FC01F8" w:rsidRPr="006B5889">
        <w:rPr>
          <w:rFonts w:ascii="Verdana" w:hAnsi="Verdana" w:cs="Arial"/>
          <w:lang w:eastAsia="es-ES"/>
        </w:rPr>
        <w:t xml:space="preserve">. Al margen de la explicación precedente debe advertirse que el análisis requerido para resolver problemas específicos en torno a </w:t>
      </w:r>
      <w:r w:rsidR="00FC01F8" w:rsidRPr="006B5889">
        <w:rPr>
          <w:rFonts w:ascii="Verdana" w:eastAsia="Calibri" w:hAnsi="Verdana" w:cs="Arial"/>
          <w:bCs/>
          <w:color w:val="000000" w:themeColor="text1"/>
        </w:rPr>
        <w:t>la contratación de las entidades estatales</w:t>
      </w:r>
      <w:r w:rsidR="00FC01F8" w:rsidRPr="006B5889">
        <w:rPr>
          <w:rFonts w:ascii="Verdana" w:hAnsi="Verdana" w:cs="Arial"/>
          <w:lang w:eastAsia="es-ES"/>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2623B30" w14:textId="77777777" w:rsidR="00FC01F8" w:rsidRPr="006B5889" w:rsidRDefault="00FC01F8" w:rsidP="00FC01F8">
      <w:pPr>
        <w:spacing w:before="120" w:after="0" w:line="276" w:lineRule="auto"/>
        <w:ind w:firstLine="709"/>
        <w:jc w:val="both"/>
        <w:rPr>
          <w:rFonts w:ascii="Verdana" w:hAnsi="Verdana" w:cs="Arial"/>
          <w:lang w:eastAsia="es-ES"/>
        </w:rPr>
      </w:pPr>
      <w:r w:rsidRPr="006B5889">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1E38E7B" w14:textId="77777777" w:rsidR="005E3489" w:rsidRPr="006B5889" w:rsidRDefault="005E3489" w:rsidP="005E3489">
      <w:pPr>
        <w:spacing w:after="0" w:line="276" w:lineRule="auto"/>
        <w:ind w:firstLine="709"/>
        <w:jc w:val="both"/>
        <w:rPr>
          <w:rFonts w:ascii="Verdana" w:eastAsia="Times New Roman" w:hAnsi="Verdana" w:cs="Arial"/>
          <w:color w:val="000000" w:themeColor="text1"/>
          <w:lang w:eastAsia="es-ES_tradnl"/>
        </w:rPr>
      </w:pPr>
    </w:p>
    <w:p w14:paraId="41DE02A3" w14:textId="77777777" w:rsidR="005E3489" w:rsidRPr="006B5889" w:rsidRDefault="005E3489" w:rsidP="005E3489">
      <w:pPr>
        <w:pStyle w:val="Prrafodelista"/>
        <w:numPr>
          <w:ilvl w:val="0"/>
          <w:numId w:val="23"/>
        </w:numPr>
        <w:tabs>
          <w:tab w:val="left" w:pos="142"/>
          <w:tab w:val="left" w:pos="284"/>
        </w:tabs>
        <w:spacing w:after="0" w:line="276" w:lineRule="auto"/>
        <w:jc w:val="both"/>
        <w:rPr>
          <w:rFonts w:ascii="Verdana" w:eastAsia="Century Gothic" w:hAnsi="Verdana" w:cs="Century Gothic"/>
          <w:b/>
          <w:bCs/>
        </w:rPr>
      </w:pPr>
      <w:r w:rsidRPr="006B5889">
        <w:rPr>
          <w:rFonts w:ascii="Verdana" w:eastAsia="Century Gothic" w:hAnsi="Verdana" w:cs="Century Gothic"/>
          <w:b/>
          <w:bCs/>
        </w:rPr>
        <w:t>Referencias normativas, jurisprudenciales y otras fuentes:</w:t>
      </w:r>
    </w:p>
    <w:p w14:paraId="7D180E17" w14:textId="77777777" w:rsidR="005E3489" w:rsidRPr="006B5889" w:rsidRDefault="005E3489" w:rsidP="005E348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3489" w:rsidRPr="006B5889" w14:paraId="25DE4D9A" w14:textId="77777777" w:rsidTr="00BC1A34">
        <w:trPr>
          <w:trHeight w:val="870"/>
        </w:trPr>
        <w:tc>
          <w:tcPr>
            <w:tcW w:w="8647" w:type="dxa"/>
          </w:tcPr>
          <w:p w14:paraId="1EE17142" w14:textId="6C04E5B3" w:rsidR="005E3489" w:rsidRPr="006B5889" w:rsidRDefault="005E3489" w:rsidP="005E3489">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6B5889">
              <w:rPr>
                <w:rFonts w:ascii="Verdana" w:eastAsia="Arial MT" w:hAnsi="Verdana" w:cs="Arial"/>
                <w:lang w:val="es-ES" w:eastAsia="es-ES" w:bidi="es-ES"/>
              </w:rPr>
              <w:t xml:space="preserve">Constitución Política, artículos </w:t>
            </w:r>
            <w:r w:rsidR="00916C79" w:rsidRPr="006B5889">
              <w:rPr>
                <w:rFonts w:ascii="Verdana" w:eastAsia="Arial MT" w:hAnsi="Verdana" w:cs="Arial"/>
                <w:lang w:val="es-ES" w:eastAsia="es-ES" w:bidi="es-ES"/>
              </w:rPr>
              <w:t>74, 150 y 209</w:t>
            </w:r>
          </w:p>
          <w:p w14:paraId="5811F2D7" w14:textId="77777777" w:rsidR="009B4E95" w:rsidRPr="006B5889" w:rsidRDefault="009B4E95" w:rsidP="005E3489">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6B5889">
              <w:rPr>
                <w:rFonts w:ascii="Verdana" w:eastAsia="Arial MT" w:hAnsi="Verdana" w:cs="Arial"/>
                <w:lang w:val="es-ES" w:eastAsia="es-ES" w:bidi="es-ES"/>
              </w:rPr>
              <w:t>Ley 80 de 1993</w:t>
            </w:r>
          </w:p>
          <w:p w14:paraId="2CEA2FA4" w14:textId="1FDF9681" w:rsidR="00127936" w:rsidRPr="006B5889" w:rsidRDefault="00550F1E" w:rsidP="00127936">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6B5889">
              <w:rPr>
                <w:rFonts w:ascii="Verdana" w:hAnsi="Verdana" w:cs="Arial"/>
                <w:lang w:val="es-ES"/>
              </w:rPr>
              <w:t>Ley 1150 de 2007</w:t>
            </w:r>
            <w:r w:rsidR="00127936" w:rsidRPr="006B5889">
              <w:rPr>
                <w:rFonts w:ascii="Verdana" w:eastAsia="Arial MT" w:hAnsi="Verdana" w:cs="Arial"/>
                <w:lang w:val="es-ES" w:eastAsia="es-ES" w:bidi="es-ES"/>
              </w:rPr>
              <w:t xml:space="preserve"> </w:t>
            </w:r>
          </w:p>
          <w:p w14:paraId="7296E22D" w14:textId="4D390773" w:rsidR="00127936" w:rsidRPr="006B5889" w:rsidRDefault="00127936" w:rsidP="00127936">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6B5889">
              <w:rPr>
                <w:rFonts w:ascii="Verdana" w:eastAsia="Arial MT" w:hAnsi="Verdana" w:cs="Arial"/>
                <w:lang w:val="es-ES" w:eastAsia="es-ES" w:bidi="es-ES"/>
              </w:rPr>
              <w:t>L</w:t>
            </w:r>
            <w:r w:rsidRPr="006B5889">
              <w:rPr>
                <w:rFonts w:ascii="Verdana" w:hAnsi="Verdana" w:cs="Arial"/>
                <w:lang w:val="es-ES"/>
              </w:rPr>
              <w:t>ey 1957 de 2019</w:t>
            </w:r>
          </w:p>
          <w:p w14:paraId="2611A499" w14:textId="77777777" w:rsidR="003E4E6D" w:rsidRPr="006B5889" w:rsidRDefault="002A0208" w:rsidP="003E4E6D">
            <w:pPr>
              <w:widowControl w:val="0"/>
              <w:numPr>
                <w:ilvl w:val="0"/>
                <w:numId w:val="22"/>
              </w:numPr>
              <w:autoSpaceDE w:val="0"/>
              <w:autoSpaceDN w:val="0"/>
              <w:spacing w:after="120" w:line="276" w:lineRule="auto"/>
              <w:jc w:val="both"/>
              <w:rPr>
                <w:rFonts w:ascii="Verdana" w:hAnsi="Verdana" w:cs="Arial"/>
                <w:lang w:val="es-ES"/>
              </w:rPr>
            </w:pPr>
            <w:r w:rsidRPr="006B5889">
              <w:rPr>
                <w:rFonts w:ascii="Verdana" w:eastAsia="Calibri" w:hAnsi="Verdana" w:cs="Arial"/>
                <w:color w:val="000000" w:themeColor="text1"/>
                <w:lang w:val="es-ES"/>
              </w:rPr>
              <w:t xml:space="preserve">Ley 2195 de </w:t>
            </w:r>
            <w:r w:rsidR="003E4E6D" w:rsidRPr="006B5889">
              <w:rPr>
                <w:rFonts w:ascii="Verdana" w:eastAsia="Calibri" w:hAnsi="Verdana" w:cs="Arial"/>
                <w:color w:val="000000" w:themeColor="text1"/>
                <w:lang w:val="es-ES"/>
              </w:rPr>
              <w:t>2022</w:t>
            </w:r>
          </w:p>
          <w:p w14:paraId="4AF84048" w14:textId="1B083CCF" w:rsidR="003E4E6D" w:rsidRPr="006B5889" w:rsidRDefault="003E4E6D" w:rsidP="003E4E6D">
            <w:pPr>
              <w:widowControl w:val="0"/>
              <w:numPr>
                <w:ilvl w:val="0"/>
                <w:numId w:val="22"/>
              </w:numPr>
              <w:autoSpaceDE w:val="0"/>
              <w:autoSpaceDN w:val="0"/>
              <w:spacing w:after="120" w:line="276" w:lineRule="auto"/>
              <w:jc w:val="both"/>
              <w:rPr>
                <w:rFonts w:ascii="Verdana" w:hAnsi="Verdana" w:cs="Arial"/>
                <w:lang w:val="es-ES"/>
              </w:rPr>
            </w:pPr>
            <w:r w:rsidRPr="006B5889">
              <w:rPr>
                <w:rFonts w:ascii="Verdana" w:eastAsia="Times New Roman" w:hAnsi="Verdana" w:cs="Arial"/>
                <w:lang w:val="es-ES" w:eastAsia="es-ES"/>
                <w14:ligatures w14:val="standardContextual"/>
              </w:rPr>
              <w:t>Ley 1712 de 2014</w:t>
            </w:r>
          </w:p>
          <w:p w14:paraId="76EABE70" w14:textId="77777777" w:rsidR="003E1039" w:rsidRPr="006B5889" w:rsidRDefault="003E1039" w:rsidP="005E3489">
            <w:pPr>
              <w:numPr>
                <w:ilvl w:val="0"/>
                <w:numId w:val="22"/>
              </w:numPr>
              <w:spacing w:after="120" w:line="276" w:lineRule="auto"/>
              <w:jc w:val="both"/>
              <w:rPr>
                <w:rFonts w:ascii="Verdana" w:hAnsi="Verdana" w:cs="Arial"/>
                <w:lang w:val="es-ES"/>
              </w:rPr>
            </w:pPr>
            <w:r w:rsidRPr="006B5889">
              <w:rPr>
                <w:rFonts w:ascii="Verdana" w:eastAsia="Times New Roman" w:hAnsi="Verdana" w:cs="Arial"/>
                <w:lang w:val="es-ES_tradnl" w:eastAsia="es-ES_tradnl"/>
                <w14:ligatures w14:val="standardContextual"/>
              </w:rPr>
              <w:t>Decreto 1082 de 2015</w:t>
            </w:r>
            <w:r w:rsidRPr="006B5889">
              <w:rPr>
                <w:rFonts w:ascii="Verdana" w:eastAsia="Times New Roman" w:hAnsi="Verdana" w:cs="Arial"/>
                <w:lang w:val="es-ES_tradnl" w:eastAsia="es-ES_tradnl"/>
              </w:rPr>
              <w:t xml:space="preserve"> </w:t>
            </w:r>
          </w:p>
          <w:p w14:paraId="55C1038D" w14:textId="77777777" w:rsidR="005E3489" w:rsidRPr="00A328A5" w:rsidRDefault="00710918" w:rsidP="005E3489">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6B5889">
              <w:rPr>
                <w:rFonts w:ascii="Verdana" w:hAnsi="Verdana" w:cs="Arial"/>
              </w:rPr>
              <w:t>CONSEJO DE ESTADO. Sección Tercera. Radicado No. 45.607 del 24 de octubre de 2016. Consejera Ponente: María Nubia Velásquez Rico.</w:t>
            </w:r>
          </w:p>
          <w:p w14:paraId="7B74E68B" w14:textId="33011A54" w:rsidR="00A328A5" w:rsidRDefault="00A328A5" w:rsidP="005E3489">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A328A5">
              <w:rPr>
                <w:rFonts w:ascii="Verdana" w:eastAsia="Arial MT" w:hAnsi="Verdana" w:cs="Arial"/>
                <w:lang w:val="es-ES" w:eastAsia="es-ES" w:bidi="es-ES"/>
              </w:rPr>
              <w:t>Consejo de Estado. Sección Tercera. Subsección C. Sentencia del 8 de abril de 2014. Exp. 25.801 C.P. Enrique Gil Botero</w:t>
            </w:r>
            <w:r w:rsidR="00332DC3">
              <w:rPr>
                <w:rFonts w:ascii="Verdana" w:eastAsia="Arial MT" w:hAnsi="Verdana" w:cs="Arial"/>
                <w:lang w:val="es-ES" w:eastAsia="es-ES" w:bidi="es-ES"/>
              </w:rPr>
              <w:t>.</w:t>
            </w:r>
          </w:p>
          <w:p w14:paraId="78E592CF" w14:textId="58D5EBB5" w:rsidR="00332DC3" w:rsidRPr="006B5889" w:rsidRDefault="00332DC3" w:rsidP="005E3489">
            <w:pPr>
              <w:widowControl w:val="0"/>
              <w:numPr>
                <w:ilvl w:val="0"/>
                <w:numId w:val="22"/>
              </w:numPr>
              <w:autoSpaceDE w:val="0"/>
              <w:autoSpaceDN w:val="0"/>
              <w:spacing w:after="120" w:line="276" w:lineRule="auto"/>
              <w:jc w:val="both"/>
              <w:rPr>
                <w:rFonts w:ascii="Verdana" w:eastAsia="Arial MT" w:hAnsi="Verdana" w:cs="Arial"/>
                <w:lang w:val="es-ES" w:eastAsia="es-ES" w:bidi="es-ES"/>
              </w:rPr>
            </w:pPr>
            <w:r w:rsidRPr="00332DC3">
              <w:rPr>
                <w:rFonts w:ascii="Verdana" w:eastAsia="Arial MT" w:hAnsi="Verdana" w:cs="Arial"/>
                <w:lang w:val="es-ES" w:eastAsia="es-ES" w:bidi="es-ES"/>
              </w:rPr>
              <w:t>Corte Constitucional. Sentencia C‒274 de 9 de mayo de 2013. M.P. María Victoria Calle Correa.</w:t>
            </w:r>
            <w:r>
              <w:rPr>
                <w:rFonts w:ascii="Verdana" w:eastAsia="Arial MT" w:hAnsi="Verdana" w:cs="Arial"/>
                <w:lang w:val="es-ES" w:eastAsia="es-ES" w:bidi="es-ES"/>
              </w:rPr>
              <w:t xml:space="preserve"> </w:t>
            </w:r>
          </w:p>
          <w:p w14:paraId="5849E4E0" w14:textId="76CC8A52" w:rsidR="0017705B" w:rsidRPr="006B5889" w:rsidRDefault="001134A3" w:rsidP="006B5889">
            <w:pPr>
              <w:widowControl w:val="0"/>
              <w:numPr>
                <w:ilvl w:val="0"/>
                <w:numId w:val="22"/>
              </w:numPr>
              <w:autoSpaceDE w:val="0"/>
              <w:autoSpaceDN w:val="0"/>
              <w:spacing w:after="120" w:line="276" w:lineRule="auto"/>
              <w:jc w:val="both"/>
              <w:rPr>
                <w:rFonts w:ascii="Verdana" w:eastAsia="Arial MT" w:hAnsi="Verdana" w:cs="Arial"/>
                <w:lang w:eastAsia="es-ES" w:bidi="es-ES"/>
              </w:rPr>
            </w:pPr>
            <w:r w:rsidRPr="006B5889">
              <w:rPr>
                <w:rFonts w:ascii="Verdana" w:eastAsia="Arial MT" w:hAnsi="Verdana" w:cs="Arial"/>
                <w:lang w:eastAsia="es-ES" w:bidi="es-ES"/>
              </w:rPr>
              <w:t xml:space="preserve">Guía para la Gestión Contractual de Entidades Estatales con Régimen Especial. Disponible en: </w:t>
            </w:r>
            <w:hyperlink r:id="rId15" w:history="1">
              <w:r w:rsidR="003F522E" w:rsidRPr="006B5889">
                <w:rPr>
                  <w:rStyle w:val="Hipervnculo"/>
                  <w:rFonts w:ascii="Verdana" w:eastAsia="Arial MT" w:hAnsi="Verdana" w:cs="Arial"/>
                  <w:lang w:eastAsia="es-ES" w:bidi="es-ES"/>
                </w:rPr>
                <w:t>Guía para la Gestión Contractual de Entidades Estatales con Régimen Especial</w:t>
              </w:r>
            </w:hyperlink>
            <w:r w:rsidR="003F522E" w:rsidRPr="006B5889">
              <w:rPr>
                <w:rFonts w:ascii="Verdana" w:eastAsia="Arial MT" w:hAnsi="Verdana" w:cs="Arial"/>
                <w:lang w:eastAsia="es-ES" w:bidi="es-ES"/>
              </w:rPr>
              <w:t xml:space="preserve"> </w:t>
            </w:r>
          </w:p>
        </w:tc>
      </w:tr>
    </w:tbl>
    <w:p w14:paraId="5C53D9D2" w14:textId="77777777" w:rsidR="005E3489" w:rsidRPr="006B5889" w:rsidRDefault="005E3489" w:rsidP="005E3489">
      <w:pPr>
        <w:widowControl w:val="0"/>
        <w:autoSpaceDE w:val="0"/>
        <w:autoSpaceDN w:val="0"/>
        <w:spacing w:after="0" w:line="276" w:lineRule="auto"/>
        <w:jc w:val="both"/>
        <w:rPr>
          <w:rFonts w:ascii="Verdana" w:hAnsi="Verdana" w:cs="Arial"/>
        </w:rPr>
      </w:pPr>
    </w:p>
    <w:p w14:paraId="17D83511" w14:textId="77777777" w:rsidR="005E3489" w:rsidRPr="006B5889" w:rsidRDefault="005E3489" w:rsidP="005E3489">
      <w:pPr>
        <w:pStyle w:val="Prrafodelista"/>
        <w:numPr>
          <w:ilvl w:val="0"/>
          <w:numId w:val="23"/>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B5889">
        <w:rPr>
          <w:rFonts w:ascii="Verdana" w:eastAsia="Century Gothic" w:hAnsi="Verdana" w:cs="Century Gothic"/>
          <w:b/>
          <w:bCs/>
        </w:rPr>
        <w:t>Doctrina de la Agencia Nacional de Contratación Pública:</w:t>
      </w:r>
    </w:p>
    <w:p w14:paraId="5C78969B" w14:textId="77777777" w:rsidR="005E3489" w:rsidRPr="006B5889" w:rsidRDefault="005E3489" w:rsidP="005E3489">
      <w:pPr>
        <w:widowControl w:val="0"/>
        <w:autoSpaceDE w:val="0"/>
        <w:autoSpaceDN w:val="0"/>
        <w:spacing w:after="0" w:line="276" w:lineRule="auto"/>
        <w:jc w:val="both"/>
        <w:rPr>
          <w:rFonts w:ascii="Verdana" w:hAnsi="Verdana" w:cs="Arial"/>
        </w:rPr>
      </w:pPr>
    </w:p>
    <w:p w14:paraId="1E112790" w14:textId="2DEC9D1B" w:rsidR="00E00671" w:rsidRPr="006B5889" w:rsidRDefault="005E3489" w:rsidP="00E00671">
      <w:pPr>
        <w:shd w:val="clear" w:color="auto" w:fill="FFFFFF"/>
        <w:spacing w:after="120" w:line="276" w:lineRule="auto"/>
        <w:jc w:val="both"/>
        <w:rPr>
          <w:rFonts w:ascii="Verdana" w:hAnsi="Verdana" w:cs="Arial"/>
          <w:shd w:val="clear" w:color="auto" w:fill="FFFFFF"/>
        </w:rPr>
      </w:pPr>
      <w:r w:rsidRPr="006B5889">
        <w:rPr>
          <w:rFonts w:ascii="Verdana" w:hAnsi="Verdana" w:cs="Arial"/>
          <w:shd w:val="clear" w:color="auto" w:fill="FFFFFF"/>
          <w:lang w:val="es-ES_tradnl"/>
        </w:rPr>
        <w:t>En relación con</w:t>
      </w:r>
      <w:r w:rsidRPr="006B5889">
        <w:rPr>
          <w:rFonts w:ascii="Verdana" w:hAnsi="Verdana" w:cs="Arial"/>
          <w:shd w:val="clear" w:color="auto" w:fill="FFFFFF"/>
        </w:rPr>
        <w:t xml:space="preserve"> los principios de publicidad y de acceso a la información pública en la contratación estatal, y sobre </w:t>
      </w:r>
      <w:r w:rsidRPr="006B5889">
        <w:rPr>
          <w:rFonts w:ascii="Verdana" w:hAnsi="Verdana" w:cs="Arial"/>
          <w:shd w:val="clear" w:color="auto" w:fill="FFFFFF"/>
          <w:lang w:val="es-ES"/>
        </w:rPr>
        <w:t xml:space="preserve">los fundamentos normativos del deber de publicar la documentación contractual en las plataformas SECOP I y SECOP II, en conceptos como el </w:t>
      </w:r>
      <w:r w:rsidRPr="006B5889">
        <w:rPr>
          <w:rFonts w:ascii="Verdana" w:hAnsi="Verdana" w:cs="Arial"/>
          <w:shd w:val="clear" w:color="auto" w:fill="FFFFFF"/>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w:t>
      </w:r>
      <w:r w:rsidRPr="006B5889">
        <w:rPr>
          <w:rFonts w:ascii="Verdana" w:hAnsi="Verdana" w:cs="Arial"/>
          <w:shd w:val="clear" w:color="auto" w:fill="FFFFFF"/>
        </w:rPr>
        <w:lastRenderedPageBreak/>
        <w:t>135 del 28 de marzo de 2022, C-332 del 24 de mayo de 2022, C-337 del 25 de mayo de 2022, C-355 del 2 de junio de 2022</w:t>
      </w:r>
      <w:r w:rsidR="00880E5C" w:rsidRPr="006B5889">
        <w:rPr>
          <w:rFonts w:ascii="Verdana" w:hAnsi="Verdana" w:cs="Arial"/>
          <w:shd w:val="clear" w:color="auto" w:fill="FFFFFF"/>
        </w:rPr>
        <w:t xml:space="preserve">, </w:t>
      </w:r>
      <w:r w:rsidRPr="006B5889">
        <w:rPr>
          <w:rFonts w:ascii="Verdana" w:hAnsi="Verdana" w:cs="Arial"/>
          <w:shd w:val="clear" w:color="auto" w:fill="FFFFFF"/>
        </w:rPr>
        <w:t>C-379 del 22 de junio de 202</w:t>
      </w:r>
      <w:r w:rsidR="00880E5C" w:rsidRPr="006B5889">
        <w:rPr>
          <w:rFonts w:ascii="Verdana" w:hAnsi="Verdana" w:cs="Arial"/>
          <w:shd w:val="clear" w:color="auto" w:fill="FFFFFF"/>
        </w:rPr>
        <w:t xml:space="preserve">2 y C-208 del </w:t>
      </w:r>
      <w:r w:rsidR="004003E1" w:rsidRPr="006B5889">
        <w:rPr>
          <w:rFonts w:ascii="Verdana" w:hAnsi="Verdana" w:cs="Arial"/>
          <w:shd w:val="clear" w:color="auto" w:fill="FFFFFF"/>
        </w:rPr>
        <w:t xml:space="preserve">23 de marzo del </w:t>
      </w:r>
      <w:r w:rsidR="00880E5C" w:rsidRPr="006B5889">
        <w:rPr>
          <w:rFonts w:ascii="Verdana" w:hAnsi="Verdana" w:cs="Arial"/>
          <w:shd w:val="clear" w:color="auto" w:fill="FFFFFF"/>
        </w:rPr>
        <w:t>2026</w:t>
      </w:r>
      <w:r w:rsidRPr="006B5889">
        <w:rPr>
          <w:rFonts w:ascii="Verdana" w:hAnsi="Verdana" w:cs="Arial"/>
          <w:shd w:val="clear" w:color="auto" w:fill="FFFFFF"/>
          <w:lang w:val="es-ES_tradnl"/>
        </w:rPr>
        <w:t>.</w:t>
      </w:r>
      <w:r w:rsidR="001B3750" w:rsidRPr="006B5889">
        <w:rPr>
          <w:rFonts w:ascii="Verdana" w:hAnsi="Verdana" w:cs="Arial"/>
          <w:shd w:val="clear" w:color="auto" w:fill="FFFFFF"/>
          <w:lang w:val="es-ES_tradnl"/>
        </w:rPr>
        <w:t xml:space="preserve"> </w:t>
      </w:r>
      <w:r w:rsidR="0060694F" w:rsidRPr="006B5889">
        <w:rPr>
          <w:rFonts w:ascii="Verdana" w:hAnsi="Verdana" w:cs="Arial"/>
          <w:shd w:val="clear" w:color="auto" w:fill="FFFFFF"/>
        </w:rPr>
        <w:t xml:space="preserve">Estos y otros </w:t>
      </w:r>
      <w:r w:rsidR="0060694F" w:rsidRPr="006B5889">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6" w:history="1">
        <w:r w:rsidR="0060694F" w:rsidRPr="006B5889">
          <w:rPr>
            <w:rStyle w:val="Hipervnculo"/>
            <w:rFonts w:ascii="Verdana" w:hAnsi="Verdana" w:cs="Arial"/>
            <w:shd w:val="clear" w:color="auto" w:fill="FFFFFF"/>
          </w:rPr>
          <w:t>https://relatoria.colombiacompra.gov.co/busqueda/conceptos</w:t>
        </w:r>
      </w:hyperlink>
      <w:r w:rsidR="0060694F" w:rsidRPr="006B5889">
        <w:rPr>
          <w:rStyle w:val="normaltextrun"/>
          <w:rFonts w:ascii="Verdana" w:hAnsi="Verdana" w:cs="Arial"/>
          <w:shd w:val="clear" w:color="auto" w:fill="FFFFFF"/>
        </w:rPr>
        <w:t xml:space="preserve">. </w:t>
      </w:r>
      <w:r w:rsidR="0060694F" w:rsidRPr="006B5889">
        <w:rPr>
          <w:rStyle w:val="normaltextrun"/>
          <w:rFonts w:ascii="Verdana" w:hAnsi="Verdana" w:cs="Arial"/>
          <w:color w:val="FF0000"/>
          <w:shd w:val="clear" w:color="auto" w:fill="FFFFFF"/>
          <w:lang w:val="es-ES"/>
        </w:rPr>
        <w:t xml:space="preserve"> </w:t>
      </w:r>
    </w:p>
    <w:p w14:paraId="51C67FA1" w14:textId="77777777" w:rsidR="00E00671" w:rsidRPr="006B5889" w:rsidRDefault="005E3489" w:rsidP="00E00671">
      <w:pPr>
        <w:shd w:val="clear" w:color="auto" w:fill="FFFFFF"/>
        <w:spacing w:after="120" w:line="276" w:lineRule="auto"/>
        <w:jc w:val="both"/>
        <w:rPr>
          <w:rFonts w:ascii="Verdana" w:hAnsi="Verdana"/>
        </w:rPr>
      </w:pPr>
      <w:r w:rsidRPr="006B5889">
        <w:rPr>
          <w:rFonts w:ascii="Verdana" w:hAnsi="Verdana"/>
        </w:rPr>
        <w:t xml:space="preserve">La sostenibilidad no es una opción, es una obligación. Por ello, la Agencia Nacional de Contratación Pública –Colombia Compra Eficiente– te invita a realizar el </w:t>
      </w:r>
      <w:r w:rsidRPr="006B5889">
        <w:rPr>
          <w:rFonts w:ascii="Verdana" w:hAnsi="Verdana"/>
          <w:b/>
          <w:bCs/>
        </w:rPr>
        <w:t>Curso de Contratación Pública Sostenible y Socialmente Responsable</w:t>
      </w:r>
      <w:r w:rsidRPr="006B5889">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B5889">
        <w:rPr>
          <w:rFonts w:ascii="Verdana" w:hAnsi="Verdana"/>
        </w:rPr>
        <w:br/>
      </w:r>
      <w:hyperlink r:id="rId17" w:tgtFrame="_new" w:history="1">
        <w:r w:rsidRPr="006B5889">
          <w:rPr>
            <w:rStyle w:val="Hipervnculo"/>
            <w:rFonts w:ascii="Verdana" w:hAnsi="Verdana"/>
          </w:rPr>
          <w:t>https://formacionvirtual.colombiacompra.gov.co/mod/page/view.php?id=3718</w:t>
        </w:r>
      </w:hyperlink>
    </w:p>
    <w:p w14:paraId="1AF72E94" w14:textId="2E06B124" w:rsidR="005E3489" w:rsidRPr="006B5889" w:rsidRDefault="005E3489" w:rsidP="00E00671">
      <w:pPr>
        <w:shd w:val="clear" w:color="auto" w:fill="FFFFFF"/>
        <w:spacing w:after="120" w:line="276" w:lineRule="auto"/>
        <w:jc w:val="both"/>
        <w:rPr>
          <w:rFonts w:ascii="Verdana" w:hAnsi="Verdana" w:cs="Arial"/>
          <w:shd w:val="clear" w:color="auto" w:fill="FFFFFF"/>
        </w:rPr>
      </w:pPr>
      <w:r w:rsidRPr="006B5889">
        <w:rPr>
          <w:rFonts w:ascii="Verdana" w:hAnsi="Verdana"/>
        </w:rPr>
        <w:t xml:space="preserve">De otro lado, te contamos que esta Agencia ha da un paso decisivo en la estandarización y modernización del </w:t>
      </w:r>
      <w:r w:rsidRPr="006B5889">
        <w:rPr>
          <w:rFonts w:ascii="Verdana" w:hAnsi="Verdana"/>
          <w:b/>
          <w:bCs/>
        </w:rPr>
        <w:t>sector  social</w:t>
      </w:r>
      <w:r w:rsidRPr="006B5889">
        <w:rPr>
          <w:rFonts w:ascii="Verdana" w:hAnsi="Verdana"/>
        </w:rPr>
        <w:t xml:space="preserve"> con la expedición de las </w:t>
      </w:r>
      <w:r w:rsidRPr="006B5889">
        <w:rPr>
          <w:rFonts w:ascii="Verdana" w:hAnsi="Verdana"/>
          <w:b/>
          <w:bCs/>
        </w:rPr>
        <w:t>Resoluciones 539, 540, 541, 952 y 953 de 2025</w:t>
      </w:r>
      <w:r w:rsidRPr="006B5889">
        <w:rPr>
          <w:rFonts w:ascii="Verdana" w:hAnsi="Verdana"/>
        </w:rPr>
        <w:t xml:space="preserve">, </w:t>
      </w:r>
      <w:r w:rsidRPr="006B5889">
        <w:rPr>
          <w:rFonts w:ascii="Verdana" w:hAnsi="Verdana"/>
          <w:b/>
          <w:bCs/>
        </w:rPr>
        <w:t>mediante las cuales adoptó Documentos Tipo</w:t>
      </w:r>
      <w:r w:rsidRPr="006B5889">
        <w:rPr>
          <w:rFonts w:ascii="Verdana" w:hAnsi="Verdana"/>
        </w:rPr>
        <w:t xml:space="preserve"> para las modalidades de selección de</w:t>
      </w:r>
      <w:r w:rsidRPr="006B5889">
        <w:rPr>
          <w:rFonts w:ascii="Verdana" w:hAnsi="Verdana"/>
          <w:b/>
          <w:bCs/>
        </w:rPr>
        <w:t xml:space="preserve"> licitación pública (versión 2), selección abreviada de menor cuantía, mínima cuantía, consultoría e interventoría</w:t>
      </w:r>
      <w:r w:rsidRPr="006B5889">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6B5889">
          <w:rPr>
            <w:rStyle w:val="Hipervnculo"/>
            <w:rFonts w:ascii="Verdana" w:hAnsi="Verdana"/>
          </w:rPr>
          <w:t>https://www.colombiacompra.gov.co/normativa-y-relatoria/documentos-tipo</w:t>
        </w:r>
      </w:hyperlink>
    </w:p>
    <w:p w14:paraId="1F565584" w14:textId="77777777" w:rsidR="005E3489" w:rsidRPr="006B5889" w:rsidRDefault="005E3489" w:rsidP="005E3489">
      <w:pPr>
        <w:spacing w:after="0" w:line="276" w:lineRule="auto"/>
        <w:jc w:val="both"/>
        <w:rPr>
          <w:rFonts w:ascii="Verdana" w:hAnsi="Verdana"/>
        </w:rPr>
      </w:pPr>
      <w:r w:rsidRPr="006B5889">
        <w:rPr>
          <w:rFonts w:ascii="Verdana" w:hAnsi="Verdana"/>
        </w:rPr>
        <w:t xml:space="preserve">Si quieres conocer más sobre la aplicación de Documentos Tipo puedes consultar la última versión de la </w:t>
      </w:r>
      <w:r w:rsidRPr="006B5889">
        <w:rPr>
          <w:rFonts w:ascii="Verdana" w:hAnsi="Verdana"/>
          <w:b/>
          <w:bCs/>
        </w:rPr>
        <w:t>Guía para la comprensión e implementación de los Documentos Tipo de obra pública de infraestructura de transporte</w:t>
      </w:r>
      <w:r w:rsidRPr="006B5889">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B5889">
        <w:rPr>
          <w:rFonts w:ascii="Verdana" w:hAnsi="Verdana"/>
        </w:rPr>
        <w:br/>
      </w:r>
      <w:hyperlink r:id="rId19" w:tgtFrame="_new" w:history="1">
        <w:r w:rsidRPr="006B5889">
          <w:rPr>
            <w:rStyle w:val="Hipervnculo"/>
            <w:rFonts w:ascii="Verdana" w:hAnsi="Verdana"/>
          </w:rPr>
          <w:t>Guía para la comprensión e implementación de los Documentos Tipo de obra pública de infraestructura de transporte</w:t>
        </w:r>
      </w:hyperlink>
    </w:p>
    <w:p w14:paraId="4E1B7322" w14:textId="77777777" w:rsidR="005E3489" w:rsidRPr="006B5889" w:rsidRDefault="005E3489" w:rsidP="005E3489">
      <w:pPr>
        <w:spacing w:after="0" w:line="276" w:lineRule="auto"/>
        <w:jc w:val="both"/>
        <w:rPr>
          <w:rFonts w:ascii="Verdana" w:hAnsi="Verdana"/>
        </w:rPr>
      </w:pPr>
    </w:p>
    <w:p w14:paraId="0E1CB273" w14:textId="77777777" w:rsidR="005E3489" w:rsidRPr="006B5889" w:rsidRDefault="005E3489" w:rsidP="005E3489">
      <w:pPr>
        <w:spacing w:after="0" w:line="276" w:lineRule="auto"/>
        <w:jc w:val="both"/>
        <w:rPr>
          <w:rFonts w:ascii="Verdana" w:hAnsi="Verdana"/>
        </w:rPr>
      </w:pPr>
      <w:r w:rsidRPr="006B5889">
        <w:rPr>
          <w:rFonts w:ascii="Verdana" w:hAnsi="Verdana"/>
        </w:rPr>
        <w:t xml:space="preserve">Por último, lo invitamos a seguirnos en las redes sociales en las cuales se difunde información institucional: </w:t>
      </w:r>
    </w:p>
    <w:p w14:paraId="7DF6AA1C" w14:textId="77777777" w:rsidR="005E3489" w:rsidRPr="006B5889" w:rsidRDefault="005E3489" w:rsidP="005E3489">
      <w:pPr>
        <w:spacing w:after="0" w:line="276" w:lineRule="auto"/>
        <w:jc w:val="both"/>
        <w:rPr>
          <w:rFonts w:ascii="Verdana" w:hAnsi="Verdana"/>
        </w:rPr>
      </w:pPr>
    </w:p>
    <w:p w14:paraId="7AE8E72F" w14:textId="77777777" w:rsidR="005E3489" w:rsidRPr="006B5889" w:rsidRDefault="005E3489" w:rsidP="005E3489">
      <w:pPr>
        <w:spacing w:after="0" w:line="276" w:lineRule="auto"/>
        <w:jc w:val="both"/>
        <w:rPr>
          <w:rFonts w:ascii="Verdana" w:hAnsi="Verdana"/>
        </w:rPr>
      </w:pPr>
      <w:r w:rsidRPr="006B5889">
        <w:rPr>
          <w:rFonts w:ascii="Verdana" w:hAnsi="Verdana"/>
        </w:rPr>
        <w:t xml:space="preserve">Twitter: </w:t>
      </w:r>
      <w:r w:rsidRPr="006B5889">
        <w:rPr>
          <w:rStyle w:val="Hipervnculo"/>
          <w:rFonts w:ascii="Verdana" w:hAnsi="Verdana"/>
          <w:color w:val="4472C4" w:themeColor="accent1"/>
        </w:rPr>
        <w:t>@colombiacompra</w:t>
      </w:r>
      <w:r w:rsidRPr="006B5889">
        <w:rPr>
          <w:rFonts w:ascii="Verdana" w:hAnsi="Verdana"/>
          <w:color w:val="4472C4" w:themeColor="accent1"/>
        </w:rPr>
        <w:t xml:space="preserve"> </w:t>
      </w:r>
    </w:p>
    <w:p w14:paraId="53F9EF62" w14:textId="77777777" w:rsidR="005E3489" w:rsidRPr="006B5889" w:rsidRDefault="005E3489" w:rsidP="005E3489">
      <w:pPr>
        <w:spacing w:after="0" w:line="276" w:lineRule="auto"/>
        <w:jc w:val="both"/>
        <w:rPr>
          <w:rFonts w:ascii="Verdana" w:hAnsi="Verdana"/>
        </w:rPr>
      </w:pPr>
      <w:r w:rsidRPr="006B5889">
        <w:rPr>
          <w:rFonts w:ascii="Verdana" w:hAnsi="Verdana"/>
        </w:rPr>
        <w:t xml:space="preserve">Facebook: </w:t>
      </w:r>
      <w:r w:rsidRPr="006B5889">
        <w:rPr>
          <w:rStyle w:val="Hipervnculo"/>
          <w:rFonts w:ascii="Verdana" w:hAnsi="Verdana"/>
          <w:color w:val="4472C4" w:themeColor="accent1"/>
        </w:rPr>
        <w:t>ColombiaCompraEficiente</w:t>
      </w:r>
    </w:p>
    <w:p w14:paraId="36615F70" w14:textId="77777777" w:rsidR="005E3489" w:rsidRPr="006B5889" w:rsidRDefault="005E3489" w:rsidP="005E3489">
      <w:pPr>
        <w:spacing w:after="0" w:line="276" w:lineRule="auto"/>
        <w:jc w:val="both"/>
        <w:rPr>
          <w:rStyle w:val="Hipervnculo"/>
          <w:rFonts w:ascii="Verdana" w:hAnsi="Verdana"/>
          <w:color w:val="4472C4" w:themeColor="accent1"/>
        </w:rPr>
      </w:pPr>
      <w:r w:rsidRPr="006B5889">
        <w:rPr>
          <w:rFonts w:ascii="Verdana" w:hAnsi="Verdana"/>
        </w:rPr>
        <w:t xml:space="preserve">LinkedIn: </w:t>
      </w:r>
      <w:r w:rsidRPr="006B5889">
        <w:rPr>
          <w:rStyle w:val="Hipervnculo"/>
          <w:rFonts w:ascii="Verdana" w:hAnsi="Verdana"/>
          <w:color w:val="4472C4" w:themeColor="accent1"/>
        </w:rPr>
        <w:t>Agencia Nacional de Contratación Pública - Colombia Compra Eficiente</w:t>
      </w:r>
      <w:r w:rsidRPr="006B5889">
        <w:rPr>
          <w:rFonts w:ascii="Verdana" w:hAnsi="Verdana"/>
          <w:color w:val="4472C4" w:themeColor="accent1"/>
        </w:rPr>
        <w:t xml:space="preserve"> </w:t>
      </w:r>
      <w:r w:rsidRPr="006B5889">
        <w:rPr>
          <w:rFonts w:ascii="Verdana" w:hAnsi="Verdana"/>
        </w:rPr>
        <w:t xml:space="preserve">Instagram: </w:t>
      </w:r>
      <w:r w:rsidRPr="006B5889">
        <w:rPr>
          <w:rStyle w:val="Hipervnculo"/>
          <w:rFonts w:ascii="Verdana" w:hAnsi="Verdana"/>
          <w:color w:val="4472C4" w:themeColor="accent1"/>
        </w:rPr>
        <w:t>@colombiacompraeficiente_cce</w:t>
      </w:r>
    </w:p>
    <w:p w14:paraId="5097278D" w14:textId="77777777" w:rsidR="005E3489" w:rsidRPr="006B5889" w:rsidRDefault="005E3489" w:rsidP="005E3489">
      <w:pPr>
        <w:spacing w:after="0" w:line="276" w:lineRule="auto"/>
        <w:jc w:val="both"/>
        <w:rPr>
          <w:rStyle w:val="Hipervnculo"/>
          <w:rFonts w:ascii="Verdana" w:hAnsi="Verdana"/>
          <w:color w:val="4472C4" w:themeColor="accent1"/>
        </w:rPr>
      </w:pPr>
    </w:p>
    <w:p w14:paraId="51D51A39" w14:textId="77777777" w:rsidR="005E3489" w:rsidRPr="006B5889" w:rsidRDefault="005E3489" w:rsidP="005E3489">
      <w:pPr>
        <w:widowControl w:val="0"/>
        <w:autoSpaceDE w:val="0"/>
        <w:autoSpaceDN w:val="0"/>
        <w:spacing w:after="0" w:line="276" w:lineRule="auto"/>
        <w:jc w:val="both"/>
        <w:rPr>
          <w:rFonts w:ascii="Verdana" w:hAnsi="Verdana" w:cs="Arial"/>
          <w:lang w:val="es-ES_tradnl"/>
        </w:rPr>
      </w:pPr>
      <w:r w:rsidRPr="006B5889">
        <w:rPr>
          <w:rFonts w:ascii="Verdana" w:hAnsi="Verdana" w:cs="Arial"/>
        </w:rPr>
        <w:t xml:space="preserve">Este concepto tiene el alcance previsto en el artículo 28 del Código de Procedimiento Administrativo y de lo Contencioso Administrativo </w:t>
      </w:r>
      <w:r w:rsidRPr="006B5889">
        <w:rPr>
          <w:rFonts w:ascii="Verdana" w:hAnsi="Verdana" w:cs="Arial"/>
          <w:lang w:val="es-ES_tradnl"/>
        </w:rPr>
        <w:t>y las expresiones aquí utilizadas con mayúscula inicial deben ser entendidas con el significado que les otorga el artículo 2.2.1.1.1.3.1. del Decreto 1082 de 2015.</w:t>
      </w:r>
    </w:p>
    <w:p w14:paraId="775BD9EA" w14:textId="77777777" w:rsidR="005E3489" w:rsidRPr="006B5889" w:rsidRDefault="005E3489" w:rsidP="005E3489">
      <w:pPr>
        <w:widowControl w:val="0"/>
        <w:autoSpaceDE w:val="0"/>
        <w:autoSpaceDN w:val="0"/>
        <w:spacing w:after="0" w:line="276" w:lineRule="auto"/>
        <w:jc w:val="both"/>
        <w:rPr>
          <w:rFonts w:ascii="Verdana" w:hAnsi="Verdana" w:cs="Arial"/>
        </w:rPr>
      </w:pPr>
    </w:p>
    <w:p w14:paraId="19C3E4B7" w14:textId="77777777" w:rsidR="005E3489" w:rsidRPr="006B5889" w:rsidRDefault="005E3489" w:rsidP="005E3489">
      <w:pPr>
        <w:spacing w:after="0" w:line="276" w:lineRule="auto"/>
        <w:rPr>
          <w:rFonts w:ascii="Verdana" w:hAnsi="Verdana" w:cs="Arial"/>
          <w:lang w:eastAsia="es-CO"/>
        </w:rPr>
      </w:pPr>
      <w:r w:rsidRPr="006B5889">
        <w:rPr>
          <w:rFonts w:ascii="Verdana" w:eastAsia="Times New Roman" w:hAnsi="Verdana" w:cs="Arial"/>
          <w:lang w:eastAsia="es-CO"/>
        </w:rPr>
        <w:t>Atentamente,</w:t>
      </w:r>
      <w:r w:rsidRPr="006B5889">
        <w:rPr>
          <w:rFonts w:ascii="Verdana" w:hAnsi="Verdana" w:cs="Arial"/>
          <w:lang w:eastAsia="es-CO"/>
        </w:rPr>
        <w:t xml:space="preserve"> </w:t>
      </w:r>
    </w:p>
    <w:p w14:paraId="0B29F9F4" w14:textId="40128EBA" w:rsidR="005E3489" w:rsidRPr="006B5889" w:rsidRDefault="00AE716E" w:rsidP="005E3489">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22FA4FA3" wp14:editId="77CDE06D">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0"/>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3489" w:rsidRPr="006B5889" w14:paraId="221F5A3D" w14:textId="77777777" w:rsidTr="00BC1A34">
        <w:trPr>
          <w:trHeight w:val="315"/>
        </w:trPr>
        <w:tc>
          <w:tcPr>
            <w:tcW w:w="893" w:type="dxa"/>
            <w:vAlign w:val="center"/>
            <w:hideMark/>
          </w:tcPr>
          <w:p w14:paraId="6466C554" w14:textId="77777777" w:rsidR="005E3489" w:rsidRPr="006B5889" w:rsidRDefault="005E3489" w:rsidP="00BC1A34">
            <w:pPr>
              <w:contextualSpacing/>
              <w:rPr>
                <w:rFonts w:ascii="Verdana" w:hAnsi="Verdana" w:cs="Arial"/>
                <w:sz w:val="16"/>
                <w:szCs w:val="16"/>
                <w:lang w:val="es-ES" w:eastAsia="es-ES"/>
              </w:rPr>
            </w:pPr>
            <w:r w:rsidRPr="006B588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AD107D" w14:textId="77777777" w:rsidR="005E3489" w:rsidRPr="006B5889" w:rsidRDefault="005E3489" w:rsidP="00BC1A34">
            <w:pPr>
              <w:contextualSpacing/>
              <w:rPr>
                <w:rFonts w:ascii="Verdana" w:eastAsia="Arial" w:hAnsi="Verdana" w:cs="Arial"/>
                <w:sz w:val="16"/>
                <w:szCs w:val="16"/>
              </w:rPr>
            </w:pPr>
            <w:r w:rsidRPr="006B5889">
              <w:rPr>
                <w:rFonts w:ascii="Verdana" w:eastAsia="Arial" w:hAnsi="Verdana" w:cs="Arial"/>
                <w:sz w:val="16"/>
                <w:szCs w:val="16"/>
              </w:rPr>
              <w:t>Ana María Ortiz Ballesteros</w:t>
            </w:r>
          </w:p>
          <w:p w14:paraId="6B5E779B" w14:textId="77777777" w:rsidR="005E3489" w:rsidRPr="006B5889" w:rsidRDefault="005E3489" w:rsidP="00BC1A34">
            <w:pPr>
              <w:contextualSpacing/>
              <w:rPr>
                <w:rFonts w:ascii="Verdana" w:eastAsia="Arial" w:hAnsi="Verdana" w:cs="Arial"/>
                <w:sz w:val="16"/>
                <w:szCs w:val="16"/>
              </w:rPr>
            </w:pPr>
            <w:r w:rsidRPr="006B5889">
              <w:rPr>
                <w:rStyle w:val="normaltextrun"/>
                <w:rFonts w:ascii="Verdana" w:eastAsia="Arial" w:hAnsi="Verdana" w:cs="Arial"/>
                <w:sz w:val="16"/>
                <w:szCs w:val="16"/>
              </w:rPr>
              <w:t>C</w:t>
            </w:r>
            <w:r w:rsidRPr="006B5889">
              <w:rPr>
                <w:rStyle w:val="normaltextrun"/>
                <w:rFonts w:ascii="Verdana" w:hAnsi="Verdana"/>
                <w:sz w:val="16"/>
                <w:szCs w:val="16"/>
              </w:rPr>
              <w:t>ontratista</w:t>
            </w:r>
            <w:r w:rsidRPr="006B5889">
              <w:rPr>
                <w:rStyle w:val="normaltextrun"/>
                <w:rFonts w:ascii="Verdana" w:eastAsia="Arial" w:hAnsi="Verdana" w:cs="Arial"/>
                <w:sz w:val="16"/>
                <w:szCs w:val="16"/>
              </w:rPr>
              <w:t xml:space="preserve"> de la Subdirección de Gestión Contractual</w:t>
            </w:r>
          </w:p>
        </w:tc>
      </w:tr>
      <w:tr w:rsidR="005E3489" w:rsidRPr="006B5889" w14:paraId="74C50988" w14:textId="77777777" w:rsidTr="00BC1A34">
        <w:trPr>
          <w:trHeight w:val="330"/>
        </w:trPr>
        <w:tc>
          <w:tcPr>
            <w:tcW w:w="893" w:type="dxa"/>
            <w:vAlign w:val="center"/>
            <w:hideMark/>
          </w:tcPr>
          <w:p w14:paraId="27D5A36A" w14:textId="77777777" w:rsidR="005E3489" w:rsidRPr="006B5889" w:rsidRDefault="005E3489" w:rsidP="00BC1A34">
            <w:pPr>
              <w:contextualSpacing/>
              <w:rPr>
                <w:rFonts w:ascii="Verdana" w:hAnsi="Verdana" w:cs="Arial"/>
                <w:sz w:val="16"/>
                <w:szCs w:val="16"/>
                <w:lang w:val="es-ES" w:eastAsia="es-ES"/>
              </w:rPr>
            </w:pPr>
            <w:r w:rsidRPr="006B588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EAD766" w14:textId="77777777" w:rsidR="005E3489" w:rsidRPr="006B5889" w:rsidRDefault="005E3489" w:rsidP="00BC1A34">
            <w:pPr>
              <w:pStyle w:val="paragraph"/>
              <w:spacing w:before="0" w:beforeAutospacing="0" w:after="0" w:afterAutospacing="0"/>
              <w:contextualSpacing/>
              <w:textAlignment w:val="baseline"/>
              <w:rPr>
                <w:rFonts w:ascii="Verdana" w:hAnsi="Verdana" w:cs="Arial"/>
                <w:sz w:val="16"/>
                <w:szCs w:val="16"/>
              </w:rPr>
            </w:pPr>
            <w:r w:rsidRPr="006B5889">
              <w:rPr>
                <w:rFonts w:ascii="Verdana" w:hAnsi="Verdana" w:cs="Arial"/>
                <w:sz w:val="16"/>
                <w:szCs w:val="16"/>
              </w:rPr>
              <w:t>Diana Lucia Saavedra Castañeda</w:t>
            </w:r>
          </w:p>
          <w:p w14:paraId="51563F3E" w14:textId="77777777" w:rsidR="005E3489" w:rsidRPr="006B5889" w:rsidRDefault="005E3489" w:rsidP="00BC1A34">
            <w:pPr>
              <w:pStyle w:val="paragraph"/>
              <w:spacing w:before="0" w:beforeAutospacing="0" w:after="0" w:afterAutospacing="0"/>
              <w:contextualSpacing/>
              <w:textAlignment w:val="baseline"/>
              <w:rPr>
                <w:rFonts w:ascii="Verdana" w:hAnsi="Verdana" w:cs="Arial"/>
                <w:sz w:val="16"/>
                <w:szCs w:val="16"/>
              </w:rPr>
            </w:pPr>
            <w:r w:rsidRPr="006B5889">
              <w:rPr>
                <w:rStyle w:val="normaltextrun"/>
                <w:rFonts w:ascii="Verdana" w:eastAsia="Arial" w:hAnsi="Verdana" w:cs="Arial"/>
                <w:sz w:val="16"/>
                <w:szCs w:val="16"/>
              </w:rPr>
              <w:t>C</w:t>
            </w:r>
            <w:r w:rsidRPr="006B5889">
              <w:rPr>
                <w:rStyle w:val="normaltextrun"/>
                <w:rFonts w:ascii="Verdana" w:hAnsi="Verdana"/>
                <w:sz w:val="16"/>
                <w:szCs w:val="16"/>
              </w:rPr>
              <w:t>ontratista</w:t>
            </w:r>
            <w:r w:rsidRPr="006B5889">
              <w:rPr>
                <w:rStyle w:val="normaltextrun"/>
                <w:rFonts w:ascii="Verdana" w:eastAsia="Arial" w:hAnsi="Verdana" w:cs="Arial"/>
                <w:sz w:val="16"/>
                <w:szCs w:val="16"/>
              </w:rPr>
              <w:t xml:space="preserve"> de la Subdirección de Gestión Contractual</w:t>
            </w:r>
          </w:p>
        </w:tc>
      </w:tr>
      <w:tr w:rsidR="005E3489" w:rsidRPr="006B5889" w14:paraId="3BC48C37" w14:textId="77777777" w:rsidTr="00BC1A34">
        <w:trPr>
          <w:trHeight w:val="300"/>
        </w:trPr>
        <w:tc>
          <w:tcPr>
            <w:tcW w:w="893" w:type="dxa"/>
            <w:vAlign w:val="center"/>
          </w:tcPr>
          <w:p w14:paraId="460BA8B5" w14:textId="77777777" w:rsidR="005E3489" w:rsidRPr="006B5889" w:rsidRDefault="005E3489" w:rsidP="00BC1A34">
            <w:pPr>
              <w:contextualSpacing/>
              <w:rPr>
                <w:rFonts w:ascii="Verdana" w:hAnsi="Verdana" w:cs="Arial"/>
                <w:sz w:val="16"/>
                <w:szCs w:val="16"/>
                <w:lang w:val="es-ES" w:eastAsia="es-ES"/>
              </w:rPr>
            </w:pPr>
            <w:r w:rsidRPr="006B588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53FCCC" w14:textId="77777777" w:rsidR="005E3489" w:rsidRPr="006B5889" w:rsidRDefault="005E3489" w:rsidP="00BC1A34">
            <w:pPr>
              <w:contextualSpacing/>
              <w:rPr>
                <w:rFonts w:ascii="Verdana" w:eastAsia="Calibri" w:hAnsi="Verdana" w:cs="Arial"/>
                <w:sz w:val="16"/>
                <w:szCs w:val="16"/>
                <w:lang w:val="pt-BR" w:eastAsia="es-ES"/>
              </w:rPr>
            </w:pPr>
            <w:r w:rsidRPr="006B5889">
              <w:rPr>
                <w:rFonts w:ascii="Verdana" w:eastAsia="Calibri" w:hAnsi="Verdana" w:cs="Arial"/>
                <w:sz w:val="16"/>
                <w:szCs w:val="16"/>
                <w:lang w:val="pt-BR" w:eastAsia="es-ES"/>
              </w:rPr>
              <w:t>Carolina Quintero Gacharná</w:t>
            </w:r>
          </w:p>
          <w:p w14:paraId="5915FE2B" w14:textId="77777777" w:rsidR="005E3489" w:rsidRPr="006B5889" w:rsidRDefault="005E3489" w:rsidP="00BC1A34">
            <w:pPr>
              <w:contextualSpacing/>
              <w:rPr>
                <w:rFonts w:ascii="Verdana" w:eastAsia="Calibri" w:hAnsi="Verdana" w:cs="Arial"/>
                <w:sz w:val="16"/>
                <w:szCs w:val="16"/>
                <w:lang w:val="pt-BR" w:eastAsia="es-ES"/>
              </w:rPr>
            </w:pPr>
            <w:r w:rsidRPr="006B5889">
              <w:rPr>
                <w:rFonts w:ascii="Verdana" w:eastAsia="Calibri" w:hAnsi="Verdana" w:cs="Arial"/>
                <w:sz w:val="16"/>
                <w:szCs w:val="16"/>
                <w:lang w:eastAsia="es-ES"/>
              </w:rPr>
              <w:t>Subdirectora</w:t>
            </w:r>
            <w:r w:rsidRPr="006B5889">
              <w:rPr>
                <w:rFonts w:ascii="Verdana" w:eastAsia="Calibri" w:hAnsi="Verdana" w:cs="Arial"/>
                <w:sz w:val="16"/>
                <w:szCs w:val="16"/>
                <w:lang w:val="pt-BR" w:eastAsia="es-ES"/>
              </w:rPr>
              <w:t xml:space="preserve"> de Gestión Contractual ANCP – CCE</w:t>
            </w:r>
          </w:p>
        </w:tc>
      </w:tr>
      <w:tr w:rsidR="005E3489" w:rsidRPr="006B5889" w14:paraId="180C54CA" w14:textId="77777777" w:rsidTr="00BC1A34">
        <w:trPr>
          <w:trHeight w:val="300"/>
        </w:trPr>
        <w:tc>
          <w:tcPr>
            <w:tcW w:w="893" w:type="dxa"/>
            <w:vAlign w:val="center"/>
          </w:tcPr>
          <w:p w14:paraId="7E43F697" w14:textId="77777777" w:rsidR="005E3489" w:rsidRPr="006B5889" w:rsidRDefault="005E3489" w:rsidP="00BC1A34">
            <w:pPr>
              <w:contextualSpacing/>
              <w:rPr>
                <w:rFonts w:ascii="Verdana" w:hAnsi="Verdana" w:cs="Arial"/>
                <w:sz w:val="16"/>
                <w:szCs w:val="16"/>
                <w:lang w:val="es-ES" w:eastAsia="es-ES"/>
              </w:rPr>
            </w:pPr>
            <w:r w:rsidRPr="006B5889">
              <w:rPr>
                <w:rFonts w:ascii="Verdana" w:hAnsi="Verdana" w:cs="Arial"/>
                <w:sz w:val="16"/>
                <w:szCs w:val="16"/>
                <w:lang w:val="es-ES" w:eastAsia="es-ES"/>
              </w:rPr>
              <w:t>Anexó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057EC2E" w14:textId="77777777" w:rsidR="005E3489" w:rsidRPr="006B5889" w:rsidRDefault="005E3489" w:rsidP="00BC1A34">
            <w:pPr>
              <w:contextualSpacing/>
              <w:jc w:val="both"/>
              <w:rPr>
                <w:rFonts w:ascii="Verdana" w:eastAsia="Calibri" w:hAnsi="Verdana" w:cs="Arial"/>
                <w:sz w:val="16"/>
                <w:szCs w:val="16"/>
                <w:lang w:eastAsia="es-ES"/>
              </w:rPr>
            </w:pPr>
            <w:r w:rsidRPr="006B5889">
              <w:rPr>
                <w:rFonts w:ascii="Verdana" w:eastAsia="Calibri" w:hAnsi="Verdana" w:cs="Arial"/>
                <w:sz w:val="16"/>
                <w:szCs w:val="16"/>
                <w:lang w:eastAsia="es-ES"/>
              </w:rPr>
              <w:t>Respuesta Subdirección de Información y Desarrollo Tecnológico</w:t>
            </w:r>
          </w:p>
        </w:tc>
      </w:tr>
    </w:tbl>
    <w:p w14:paraId="69BC4D14" w14:textId="69B16D14" w:rsidR="00C15139" w:rsidRPr="006B5889" w:rsidRDefault="00C15139" w:rsidP="30821638">
      <w:pPr>
        <w:spacing w:after="0" w:line="240" w:lineRule="auto"/>
        <w:textAlignment w:val="baseline"/>
        <w:rPr>
          <w:rFonts w:ascii="Verdana" w:eastAsia="Verdana" w:hAnsi="Verdana" w:cs="Verdana"/>
          <w:lang w:eastAsia="es-CO"/>
        </w:rPr>
      </w:pPr>
      <w:r w:rsidRPr="006B5889">
        <w:rPr>
          <w:rFonts w:ascii="Verdana" w:eastAsia="Verdana" w:hAnsi="Verdana" w:cs="Verdana"/>
          <w:lang w:eastAsia="es-CO"/>
        </w:rPr>
        <w:t> </w:t>
      </w:r>
      <w:bookmarkEnd w:id="0"/>
    </w:p>
    <w:sectPr w:rsidR="00C15139" w:rsidRPr="006B5889"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64975" w14:textId="77777777" w:rsidR="005B4667" w:rsidRDefault="005B4667" w:rsidP="004A1847">
      <w:pPr>
        <w:spacing w:after="0" w:line="240" w:lineRule="auto"/>
      </w:pPr>
      <w:r>
        <w:separator/>
      </w:r>
    </w:p>
  </w:endnote>
  <w:endnote w:type="continuationSeparator" w:id="0">
    <w:p w14:paraId="40D365DC" w14:textId="77777777" w:rsidR="005B4667" w:rsidRDefault="005B466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9508D" w14:textId="77777777" w:rsidR="005B4667" w:rsidRDefault="005B4667" w:rsidP="004A1847">
      <w:pPr>
        <w:spacing w:after="0" w:line="240" w:lineRule="auto"/>
      </w:pPr>
      <w:r>
        <w:separator/>
      </w:r>
    </w:p>
  </w:footnote>
  <w:footnote w:type="continuationSeparator" w:id="0">
    <w:p w14:paraId="496F63F3" w14:textId="77777777" w:rsidR="005B4667" w:rsidRDefault="005B4667" w:rsidP="004A1847">
      <w:pPr>
        <w:spacing w:after="0" w:line="240" w:lineRule="auto"/>
      </w:pPr>
      <w:r>
        <w:continuationSeparator/>
      </w:r>
    </w:p>
  </w:footnote>
  <w:footnote w:id="1">
    <w:p w14:paraId="5BFE73EC" w14:textId="77777777" w:rsidR="00FC01F8" w:rsidRPr="006B5889" w:rsidRDefault="00FC01F8" w:rsidP="006B5889">
      <w:pPr>
        <w:pStyle w:val="Textonotapie"/>
        <w:ind w:firstLine="708"/>
        <w:jc w:val="both"/>
        <w:rPr>
          <w:rFonts w:ascii="Verdana" w:hAnsi="Verdana"/>
          <w:sz w:val="18"/>
          <w:szCs w:val="18"/>
        </w:rPr>
      </w:pPr>
      <w:r w:rsidRPr="006B5889">
        <w:rPr>
          <w:rStyle w:val="Refdenotaalpie"/>
          <w:rFonts w:ascii="Verdana" w:hAnsi="Verdana"/>
          <w:sz w:val="18"/>
          <w:szCs w:val="18"/>
        </w:rPr>
        <w:footnoteRef/>
      </w:r>
      <w:r w:rsidRPr="006B5889">
        <w:rPr>
          <w:rFonts w:ascii="Verdana" w:hAnsi="Verdana"/>
          <w:sz w:val="18"/>
          <w:szCs w:val="18"/>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4BB20159" w14:textId="77777777" w:rsidR="00FC01F8" w:rsidRPr="006B5889" w:rsidRDefault="00FC01F8" w:rsidP="006B5889">
      <w:pPr>
        <w:pStyle w:val="Textonotapie"/>
        <w:ind w:firstLine="708"/>
        <w:jc w:val="both"/>
        <w:rPr>
          <w:rFonts w:ascii="Verdana" w:hAnsi="Verdana"/>
          <w:sz w:val="18"/>
          <w:szCs w:val="18"/>
        </w:rPr>
      </w:pPr>
      <w:r w:rsidRPr="006B5889">
        <w:rPr>
          <w:rFonts w:ascii="Verdana" w:hAnsi="Verdana"/>
          <w:sz w:val="18"/>
          <w:szCs w:val="18"/>
        </w:rPr>
        <w:t>[…]</w:t>
      </w:r>
    </w:p>
    <w:p w14:paraId="06EA914C" w14:textId="77777777" w:rsidR="00FC01F8" w:rsidRPr="006B5889" w:rsidRDefault="00FC01F8" w:rsidP="006B5889">
      <w:pPr>
        <w:pStyle w:val="Textonotapie"/>
        <w:ind w:firstLine="708"/>
        <w:jc w:val="both"/>
        <w:rPr>
          <w:rFonts w:ascii="Verdana" w:hAnsi="Verdana"/>
          <w:sz w:val="18"/>
          <w:szCs w:val="18"/>
        </w:rPr>
      </w:pPr>
      <w:r w:rsidRPr="006B5889">
        <w:rPr>
          <w:rFonts w:ascii="Verdana" w:hAnsi="Verdana"/>
          <w:sz w:val="18"/>
          <w:szCs w:val="18"/>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6FD4BB8A" w14:textId="77777777" w:rsidR="00FC01F8" w:rsidRDefault="00FC01F8" w:rsidP="006B5889">
      <w:pPr>
        <w:pStyle w:val="Textonotapie"/>
        <w:ind w:firstLine="708"/>
        <w:jc w:val="both"/>
        <w:rPr>
          <w:rFonts w:ascii="Verdana" w:hAnsi="Verdana"/>
          <w:sz w:val="18"/>
          <w:szCs w:val="18"/>
        </w:rPr>
      </w:pPr>
      <w:r w:rsidRPr="006B5889">
        <w:rPr>
          <w:rFonts w:ascii="Verdana" w:hAnsi="Verdana"/>
          <w:sz w:val="18"/>
          <w:szCs w:val="18"/>
        </w:rPr>
        <w:t>En todo caso, el Presidente de la República podrá celebrar contratos a nombre de la Nación”.</w:t>
      </w:r>
    </w:p>
    <w:p w14:paraId="0B6D382E" w14:textId="77777777" w:rsidR="00BB783A" w:rsidRPr="006B5889" w:rsidRDefault="00BB783A" w:rsidP="006B5889">
      <w:pPr>
        <w:pStyle w:val="Textonotapie"/>
        <w:ind w:firstLine="708"/>
        <w:jc w:val="both"/>
        <w:rPr>
          <w:rFonts w:ascii="Verdana" w:hAnsi="Verdana"/>
          <w:sz w:val="18"/>
          <w:szCs w:val="18"/>
        </w:rPr>
      </w:pPr>
    </w:p>
  </w:footnote>
  <w:footnote w:id="2">
    <w:p w14:paraId="4F2BA068" w14:textId="77777777" w:rsidR="00FC01F8" w:rsidRDefault="00FC01F8" w:rsidP="006B5889">
      <w:pPr>
        <w:pStyle w:val="Textonotapie"/>
        <w:ind w:firstLine="708"/>
        <w:jc w:val="both"/>
        <w:rPr>
          <w:rFonts w:ascii="Verdana" w:hAnsi="Verdana" w:cs="Arial"/>
          <w:sz w:val="18"/>
          <w:szCs w:val="18"/>
        </w:rPr>
      </w:pPr>
      <w:r w:rsidRPr="006B5889">
        <w:rPr>
          <w:rStyle w:val="Refdenotaalpie"/>
          <w:rFonts w:ascii="Verdana" w:hAnsi="Verdana" w:cs="Arial"/>
          <w:sz w:val="18"/>
          <w:szCs w:val="18"/>
        </w:rPr>
        <w:footnoteRef/>
      </w:r>
      <w:r w:rsidRPr="006B5889">
        <w:rPr>
          <w:rFonts w:ascii="Verdana" w:hAnsi="Verdana" w:cs="Arial"/>
          <w:sz w:val="18"/>
          <w:szCs w:val="18"/>
        </w:rPr>
        <w:t xml:space="preserve"> El inciso primero de norma disponía que, conforme al principio de transparencia, “</w:t>
      </w:r>
      <w:r w:rsidRPr="006B5889">
        <w:rPr>
          <w:rFonts w:ascii="Verdana" w:hAnsi="Verdana" w:cs="Arial"/>
          <w:i/>
          <w:iCs/>
          <w:sz w:val="18"/>
          <w:szCs w:val="18"/>
        </w:rPr>
        <w:t>La escogencia del contratista se efectuará siempre a través de licitación o concurso públicos</w:t>
      </w:r>
      <w:r w:rsidRPr="006B5889">
        <w:rPr>
          <w:rFonts w:ascii="Verdana" w:hAnsi="Verdana" w:cs="Arial"/>
          <w:sz w:val="18"/>
          <w:szCs w:val="18"/>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p w14:paraId="3AC76B09" w14:textId="77777777" w:rsidR="00BB783A" w:rsidRPr="006B5889" w:rsidRDefault="00BB783A" w:rsidP="006B5889">
      <w:pPr>
        <w:pStyle w:val="Textonotapie"/>
        <w:ind w:firstLine="708"/>
        <w:jc w:val="both"/>
        <w:rPr>
          <w:rFonts w:ascii="Verdana" w:hAnsi="Verdana" w:cs="Arial"/>
          <w:sz w:val="18"/>
          <w:szCs w:val="18"/>
        </w:rPr>
      </w:pPr>
    </w:p>
  </w:footnote>
  <w:footnote w:id="3">
    <w:p w14:paraId="57B5989C" w14:textId="77777777" w:rsidR="00FC01F8" w:rsidRPr="006B5889" w:rsidRDefault="00FC01F8" w:rsidP="006B5889">
      <w:pPr>
        <w:pStyle w:val="Textonotapie"/>
        <w:ind w:firstLine="708"/>
        <w:jc w:val="both"/>
        <w:rPr>
          <w:rFonts w:ascii="Verdana" w:hAnsi="Verdana" w:cs="Arial"/>
          <w:sz w:val="18"/>
          <w:szCs w:val="18"/>
        </w:rPr>
      </w:pPr>
      <w:r w:rsidRPr="006B5889">
        <w:rPr>
          <w:rStyle w:val="Refdenotaalpie"/>
          <w:rFonts w:ascii="Verdana" w:hAnsi="Verdana" w:cs="Arial"/>
          <w:sz w:val="18"/>
          <w:szCs w:val="18"/>
        </w:rPr>
        <w:footnoteRef/>
      </w:r>
      <w:r w:rsidRPr="006B5889">
        <w:rPr>
          <w:rFonts w:ascii="Verdana" w:hAnsi="Verdana" w:cs="Arial"/>
          <w:sz w:val="18"/>
          <w:szCs w:val="18"/>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w:t>
      </w:r>
      <w:proofErr w:type="gramStart"/>
      <w:r w:rsidRPr="006B5889">
        <w:rPr>
          <w:rFonts w:ascii="Verdana" w:hAnsi="Verdana" w:cs="Arial"/>
          <w:sz w:val="18"/>
          <w:szCs w:val="18"/>
        </w:rPr>
        <w:t>pública,</w:t>
      </w:r>
      <w:proofErr w:type="gramEnd"/>
      <w:r w:rsidRPr="006B5889">
        <w:rPr>
          <w:rFonts w:ascii="Verdana" w:hAnsi="Verdana" w:cs="Arial"/>
          <w:sz w:val="18"/>
          <w:szCs w:val="18"/>
        </w:rPr>
        <w:t xml:space="preserve">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6B5889">
        <w:rPr>
          <w:rFonts w:ascii="Verdana" w:hAnsi="Verdana" w:cs="Arial"/>
          <w:i/>
          <w:iCs/>
          <w:sz w:val="18"/>
          <w:szCs w:val="18"/>
        </w:rPr>
        <w:t>Presentación de la oferta de manera dinámica</w:t>
      </w:r>
      <w:r w:rsidRPr="006B5889">
        <w:rPr>
          <w:rFonts w:ascii="Verdana" w:hAnsi="Verdana" w:cs="Arial"/>
          <w:sz w:val="18"/>
          <w:szCs w:val="18"/>
        </w:rPr>
        <w:t xml:space="preserve">). Es decir, que ante la ausencia de una causal concreta para un determinado evento específico, la selección debe asumir la que el ordenamiento jurídico regula como licitación pública. Por eso es </w:t>
      </w:r>
      <w:proofErr w:type="gramStart"/>
      <w:r w:rsidRPr="006B5889">
        <w:rPr>
          <w:rFonts w:ascii="Verdana" w:hAnsi="Verdana" w:cs="Arial"/>
          <w:sz w:val="18"/>
          <w:szCs w:val="18"/>
        </w:rPr>
        <w:t>que</w:t>
      </w:r>
      <w:proofErr w:type="gramEnd"/>
      <w:r w:rsidRPr="006B5889">
        <w:rPr>
          <w:rFonts w:ascii="Verdana" w:hAnsi="Verdana" w:cs="Arial"/>
          <w:sz w:val="18"/>
          <w:szCs w:val="18"/>
        </w:rPr>
        <w:t xml:space="preserv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6CAC88E9" w14:textId="77777777" w:rsidR="00FC01F8" w:rsidRDefault="00FC01F8" w:rsidP="006B5889">
      <w:pPr>
        <w:pStyle w:val="Textonotapie"/>
        <w:ind w:firstLine="708"/>
        <w:jc w:val="both"/>
        <w:rPr>
          <w:rFonts w:ascii="Verdana" w:hAnsi="Verdana" w:cs="Arial"/>
          <w:sz w:val="18"/>
          <w:szCs w:val="18"/>
        </w:rPr>
      </w:pPr>
      <w:r w:rsidRPr="006B5889">
        <w:rPr>
          <w:rStyle w:val="Refdenotaalpie"/>
          <w:rFonts w:ascii="Verdana" w:hAnsi="Verdana" w:cs="Arial"/>
          <w:sz w:val="18"/>
          <w:szCs w:val="18"/>
        </w:rPr>
        <w:footnoteRef/>
      </w:r>
      <w:r w:rsidRPr="006B5889">
        <w:rPr>
          <w:rFonts w:ascii="Verdana" w:hAnsi="Verdana" w:cs="Arial"/>
          <w:sz w:val="18"/>
          <w:szCs w:val="18"/>
        </w:rPr>
        <w:t xml:space="preserve"> JOJOA BOLAÑOS, Alexander. Los regímenes exceptuados en los contratos estatales. Bogotá: Grupo Editorial Ibáñez, 2012. p. 89.</w:t>
      </w:r>
    </w:p>
    <w:p w14:paraId="1D14D012" w14:textId="77777777" w:rsidR="008C1F00" w:rsidRPr="006B5889" w:rsidRDefault="008C1F00" w:rsidP="006B5889">
      <w:pPr>
        <w:pStyle w:val="Textonotapie"/>
        <w:ind w:firstLine="708"/>
        <w:jc w:val="both"/>
        <w:rPr>
          <w:rFonts w:ascii="Verdana" w:hAnsi="Verdana" w:cs="Arial"/>
          <w:sz w:val="18"/>
          <w:szCs w:val="18"/>
        </w:rPr>
      </w:pPr>
    </w:p>
  </w:footnote>
  <w:footnote w:id="5">
    <w:p w14:paraId="3A28317B" w14:textId="2B29ABCF" w:rsidR="00171864" w:rsidRPr="006B5889" w:rsidRDefault="00FC01F8" w:rsidP="008C1F00">
      <w:pPr>
        <w:pStyle w:val="Textonotapie"/>
        <w:ind w:firstLine="708"/>
        <w:jc w:val="both"/>
        <w:rPr>
          <w:rFonts w:ascii="Verdana" w:hAnsi="Verdana" w:cs="Arial"/>
          <w:sz w:val="18"/>
          <w:szCs w:val="18"/>
        </w:rPr>
      </w:pPr>
      <w:r w:rsidRPr="006B5889">
        <w:rPr>
          <w:rStyle w:val="Refdenotaalpie"/>
          <w:rFonts w:ascii="Verdana" w:hAnsi="Verdana" w:cs="Arial"/>
          <w:sz w:val="18"/>
          <w:szCs w:val="18"/>
        </w:rPr>
        <w:footnoteRef/>
      </w:r>
      <w:r w:rsidRPr="006B5889">
        <w:rPr>
          <w:rFonts w:ascii="Verdana" w:hAnsi="Verdana" w:cs="Arial"/>
          <w:sz w:val="18"/>
          <w:szCs w:val="18"/>
        </w:rPr>
        <w:t xml:space="preserve"> BARRETO MORENO, Antonio Alejandro. El derecho de la compra pública: estudio jurídico de un mercado imperfecto. Bogotá: Legis, 2019. pp. 281 y ss.</w:t>
      </w:r>
    </w:p>
  </w:footnote>
  <w:footnote w:id="6">
    <w:p w14:paraId="44BFDA1D" w14:textId="77777777" w:rsidR="00FC01F8" w:rsidRDefault="00FC01F8"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3845605C" w14:textId="77777777" w:rsidR="008C1F00" w:rsidRPr="006B5889" w:rsidRDefault="008C1F00" w:rsidP="006B5889">
      <w:pPr>
        <w:pStyle w:val="Textonotapie"/>
        <w:ind w:firstLine="709"/>
        <w:jc w:val="both"/>
        <w:rPr>
          <w:rFonts w:ascii="Verdana" w:hAnsi="Verdana" w:cs="Arial"/>
          <w:color w:val="000000" w:themeColor="text1"/>
          <w:sz w:val="18"/>
          <w:szCs w:val="18"/>
        </w:rPr>
      </w:pPr>
    </w:p>
  </w:footnote>
  <w:footnote w:id="7">
    <w:p w14:paraId="0F1F5CA9" w14:textId="77777777" w:rsidR="00FC01F8" w:rsidRPr="006B5889" w:rsidRDefault="00FC01F8"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CONSEJO DE ESTADO. Sección Tercera. Radicado No. 45.607 del 24 de octubre de 2016. Consejera Ponente: María Nubia Velásquez Rico.</w:t>
      </w:r>
    </w:p>
  </w:footnote>
  <w:footnote w:id="8">
    <w:p w14:paraId="413275DE" w14:textId="77777777" w:rsidR="00FC01F8" w:rsidRDefault="00FC01F8"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6B5889">
          <w:rPr>
            <w:rStyle w:val="Hipervnculo"/>
            <w:rFonts w:ascii="Verdana" w:hAnsi="Verdana" w:cs="Arial"/>
            <w:sz w:val="18"/>
            <w:szCs w:val="18"/>
          </w:rPr>
          <w:t>https://recyt.fecyt.es/index.php/RAP/article/view/67033</w:t>
        </w:r>
      </w:hyperlink>
      <w:r w:rsidRPr="006B5889">
        <w:rPr>
          <w:rFonts w:ascii="Verdana" w:hAnsi="Verdana" w:cs="Arial"/>
          <w:color w:val="000000" w:themeColor="text1"/>
          <w:sz w:val="18"/>
          <w:szCs w:val="18"/>
        </w:rPr>
        <w:t>.</w:t>
      </w:r>
    </w:p>
    <w:p w14:paraId="6B7A1399" w14:textId="77777777" w:rsidR="008C1F00" w:rsidRPr="006B5889" w:rsidRDefault="008C1F00" w:rsidP="006B5889">
      <w:pPr>
        <w:pStyle w:val="Textonotapie"/>
        <w:ind w:firstLine="709"/>
        <w:jc w:val="both"/>
        <w:rPr>
          <w:rFonts w:ascii="Verdana" w:hAnsi="Verdana" w:cs="Arial"/>
          <w:color w:val="000000" w:themeColor="text1"/>
          <w:sz w:val="18"/>
          <w:szCs w:val="18"/>
        </w:rPr>
      </w:pPr>
    </w:p>
  </w:footnote>
  <w:footnote w:id="9">
    <w:p w14:paraId="47E0A183" w14:textId="77777777" w:rsidR="00FC01F8" w:rsidRDefault="00FC01F8" w:rsidP="006B5889">
      <w:pPr>
        <w:pStyle w:val="Textonotapie"/>
        <w:ind w:firstLine="708"/>
        <w:jc w:val="both"/>
        <w:rPr>
          <w:rFonts w:ascii="Verdana" w:hAnsi="Verdana" w:cs="Arial"/>
          <w:color w:val="000000" w:themeColor="text1"/>
          <w:sz w:val="18"/>
          <w:szCs w:val="18"/>
          <w:lang w:val="es-ES"/>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w:t>
      </w:r>
      <w:r w:rsidRPr="006B5889">
        <w:rPr>
          <w:rFonts w:ascii="Verdana" w:hAnsi="Verdana" w:cs="Arial"/>
          <w:color w:val="000000" w:themeColor="text1"/>
          <w:sz w:val="18"/>
          <w:szCs w:val="18"/>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p w14:paraId="7C9C30E2" w14:textId="77777777" w:rsidR="008C1F00" w:rsidRPr="006B5889" w:rsidRDefault="008C1F00" w:rsidP="006B5889">
      <w:pPr>
        <w:pStyle w:val="Textonotapie"/>
        <w:ind w:firstLine="708"/>
        <w:jc w:val="both"/>
        <w:rPr>
          <w:rFonts w:ascii="Verdana" w:hAnsi="Verdana" w:cs="Arial"/>
          <w:color w:val="000000" w:themeColor="text1"/>
          <w:sz w:val="18"/>
          <w:szCs w:val="18"/>
          <w:lang w:val="es-ES"/>
        </w:rPr>
      </w:pPr>
    </w:p>
  </w:footnote>
  <w:footnote w:id="10">
    <w:p w14:paraId="0FA0EC98" w14:textId="77777777" w:rsidR="00FC01F8" w:rsidRPr="006B5889" w:rsidRDefault="00FC01F8" w:rsidP="006B5889">
      <w:pPr>
        <w:pStyle w:val="Textonotapie"/>
        <w:ind w:firstLine="709"/>
        <w:jc w:val="both"/>
        <w:rPr>
          <w:rFonts w:ascii="Verdana" w:hAnsi="Verdana" w:cs="Arial"/>
          <w:color w:val="000000" w:themeColor="text1"/>
          <w:sz w:val="18"/>
          <w:szCs w:val="18"/>
          <w:lang w:val="es-ES"/>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w:t>
      </w:r>
      <w:r w:rsidRPr="006B5889">
        <w:rPr>
          <w:rFonts w:ascii="Verdana" w:hAnsi="Verdana" w:cs="Arial"/>
          <w:color w:val="000000" w:themeColor="text1"/>
          <w:sz w:val="18"/>
          <w:szCs w:val="18"/>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p w14:paraId="6AEBED87" w14:textId="77777777" w:rsidR="00152FB9" w:rsidRPr="006B5889" w:rsidRDefault="00152FB9" w:rsidP="006B5889">
      <w:pPr>
        <w:pStyle w:val="Textonotapie"/>
        <w:ind w:firstLine="709"/>
        <w:jc w:val="both"/>
        <w:rPr>
          <w:rFonts w:ascii="Verdana" w:hAnsi="Verdana" w:cs="Arial"/>
          <w:color w:val="000000" w:themeColor="text1"/>
          <w:sz w:val="18"/>
          <w:szCs w:val="18"/>
          <w:lang w:val="es-ES"/>
        </w:rPr>
      </w:pPr>
    </w:p>
  </w:footnote>
  <w:footnote w:id="11">
    <w:p w14:paraId="2BA13A11" w14:textId="77777777" w:rsidR="00FC01F8" w:rsidRPr="006B5889" w:rsidRDefault="00FC01F8"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633D7684" w14:textId="77777777" w:rsidR="00FC01F8" w:rsidRPr="006B5889" w:rsidRDefault="00FC01F8"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47F885B6" w14:textId="77777777" w:rsidR="00FC01F8" w:rsidRPr="006B5889" w:rsidRDefault="00FC01F8"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242E7634" w14:textId="77777777" w:rsidR="00FC01F8" w:rsidRPr="006B5889" w:rsidRDefault="00FC01F8"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25796FA0" w14:textId="77777777" w:rsidR="00FC01F8" w:rsidRPr="006B5889" w:rsidRDefault="00FC01F8"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 xml:space="preserve">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 (Consejo de Estado. Sección Tercera. Subsección C. Sentencia del 8 de abril de 2014. Exp. 25.801 C.P. Enrique Gil Botero). </w:t>
      </w:r>
    </w:p>
  </w:footnote>
  <w:footnote w:id="12">
    <w:p w14:paraId="14FE00CE" w14:textId="77777777" w:rsidR="00761E2B" w:rsidRDefault="00761E2B" w:rsidP="006B5889">
      <w:pPr>
        <w:pStyle w:val="Textonotapie"/>
        <w:ind w:firstLine="709"/>
        <w:jc w:val="both"/>
        <w:rPr>
          <w:rFonts w:ascii="Verdana" w:hAnsi="Verdana" w:cs="Arial"/>
          <w:sz w:val="18"/>
          <w:szCs w:val="18"/>
          <w:lang w:val="es-ES"/>
        </w:rPr>
      </w:pPr>
      <w:r w:rsidRPr="006B5889">
        <w:rPr>
          <w:rStyle w:val="Refdenotaalpie"/>
          <w:rFonts w:ascii="Verdana" w:hAnsi="Verdana" w:cs="Arial"/>
          <w:sz w:val="18"/>
          <w:szCs w:val="18"/>
        </w:rPr>
        <w:footnoteRef/>
      </w:r>
      <w:r w:rsidRPr="006B5889">
        <w:rPr>
          <w:rFonts w:ascii="Verdana" w:hAnsi="Verdana" w:cs="Arial"/>
          <w:sz w:val="18"/>
          <w:szCs w:val="18"/>
        </w:rPr>
        <w:t xml:space="preserve"> </w:t>
      </w:r>
      <w:r w:rsidRPr="006B5889">
        <w:rPr>
          <w:rFonts w:ascii="Verdana" w:hAnsi="Verdana" w:cs="Arial"/>
          <w:sz w:val="18"/>
          <w:szCs w:val="18"/>
          <w:lang w:val="es-ES"/>
        </w:rPr>
        <w:t>BOBBIO, Norberto. Democracia y secreto. México: Fondo de Cultura Económica, 2013. p. 27.</w:t>
      </w:r>
    </w:p>
    <w:p w14:paraId="397CACBE" w14:textId="77777777" w:rsidR="008C1F00" w:rsidRPr="006B5889" w:rsidRDefault="008C1F00" w:rsidP="006B5889">
      <w:pPr>
        <w:pStyle w:val="Textonotapie"/>
        <w:ind w:firstLine="709"/>
        <w:jc w:val="both"/>
        <w:rPr>
          <w:rFonts w:ascii="Verdana" w:hAnsi="Verdana" w:cs="Arial"/>
          <w:sz w:val="18"/>
          <w:szCs w:val="18"/>
          <w:lang w:val="es-ES"/>
        </w:rPr>
      </w:pPr>
    </w:p>
  </w:footnote>
  <w:footnote w:id="13">
    <w:p w14:paraId="6F71A916"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670B16B"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Lo anterior, sin perjuicio de las publicaciones previstas en el numeral 3 del artículo 30 de la Ley 80 de 1993.</w:t>
      </w:r>
    </w:p>
    <w:p w14:paraId="5C533C99"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 xml:space="preserve">Con el fin de materializar los objetivos a que se refiere el inciso anterior, el Gobierno Nacional desarrollará el Sistema Electrónico para la Contratación Pública, Secop, el cual: </w:t>
      </w:r>
    </w:p>
    <w:p w14:paraId="004894A0"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w:t>
      </w:r>
    </w:p>
    <w:p w14:paraId="7B7A65D5" w14:textId="77777777" w:rsidR="00761E2B" w:rsidRDefault="00761E2B"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 xml:space="preserve">c) Contará con la información oficial de la contratación realizada con dineros públicos, para lo cual establecerá los patrones a que haya lugar y se encargará de su difusión a través de canales electrónico”. </w:t>
      </w:r>
    </w:p>
    <w:p w14:paraId="17D53DA7" w14:textId="77777777" w:rsidR="008C1F00" w:rsidRPr="006B5889" w:rsidRDefault="008C1F00" w:rsidP="006B5889">
      <w:pPr>
        <w:pStyle w:val="Textonotapie"/>
        <w:ind w:firstLine="709"/>
        <w:jc w:val="both"/>
        <w:rPr>
          <w:rFonts w:ascii="Verdana" w:hAnsi="Verdana" w:cs="Arial"/>
          <w:color w:val="000000" w:themeColor="text1"/>
          <w:sz w:val="18"/>
          <w:szCs w:val="18"/>
        </w:rPr>
      </w:pPr>
    </w:p>
  </w:footnote>
  <w:footnote w:id="14">
    <w:p w14:paraId="21A1A6ED" w14:textId="77777777" w:rsidR="00761E2B" w:rsidRDefault="00761E2B"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1C756EE2" w14:textId="77777777" w:rsidR="008C1F00" w:rsidRPr="006B5889" w:rsidRDefault="008C1F00" w:rsidP="006B5889">
      <w:pPr>
        <w:pStyle w:val="Textonotapie"/>
        <w:ind w:firstLine="709"/>
        <w:jc w:val="both"/>
        <w:rPr>
          <w:rFonts w:ascii="Verdana" w:hAnsi="Verdana" w:cs="Arial"/>
          <w:color w:val="000000" w:themeColor="text1"/>
          <w:sz w:val="18"/>
          <w:szCs w:val="18"/>
          <w:lang w:val="es-CO"/>
        </w:rPr>
      </w:pPr>
    </w:p>
  </w:footnote>
  <w:footnote w:id="15">
    <w:p w14:paraId="518D8E6A"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Style w:val="Refdenotaalpie"/>
          <w:rFonts w:ascii="Verdana" w:hAnsi="Verdana" w:cs="Arial"/>
          <w:color w:val="000000" w:themeColor="text1"/>
          <w:sz w:val="18"/>
          <w:szCs w:val="18"/>
        </w:rPr>
        <w:footnoteRef/>
      </w:r>
      <w:r w:rsidRPr="006B5889">
        <w:rPr>
          <w:rFonts w:ascii="Verdana" w:hAnsi="Verdana" w:cs="Arial"/>
          <w:color w:val="000000" w:themeColor="text1"/>
          <w:sz w:val="18"/>
          <w:szCs w:val="18"/>
        </w:rPr>
        <w:t xml:space="preserve"> Ley 1712 de 2014: “Artículo 5. Ámbito de aplicación. Las disposiciones de esta ley serán aplicables a las siguientes personas en calidad de sujetos obligados: </w:t>
      </w:r>
    </w:p>
    <w:p w14:paraId="3E9D5AD0"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Fonts w:ascii="Verdana" w:hAnsi="Verdana" w:cs="Arial"/>
          <w:color w:val="000000" w:themeColor="text1"/>
          <w:sz w:val="18"/>
          <w:szCs w:val="18"/>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5B1C364" w14:textId="77777777" w:rsidR="00761E2B" w:rsidRPr="006B5889" w:rsidRDefault="00761E2B" w:rsidP="006B5889">
      <w:pPr>
        <w:pStyle w:val="Textonotapie"/>
        <w:ind w:firstLine="709"/>
        <w:jc w:val="both"/>
        <w:rPr>
          <w:rFonts w:ascii="Verdana" w:hAnsi="Verdana" w:cs="Arial"/>
          <w:color w:val="000000" w:themeColor="text1"/>
          <w:sz w:val="18"/>
          <w:szCs w:val="18"/>
          <w:lang w:val="es-CO"/>
        </w:rPr>
      </w:pPr>
    </w:p>
  </w:footnote>
  <w:footnote w:id="16">
    <w:p w14:paraId="7FA1A765" w14:textId="77777777" w:rsidR="00761E2B" w:rsidRPr="006B5889" w:rsidRDefault="00761E2B" w:rsidP="006B5889">
      <w:pPr>
        <w:pStyle w:val="Textonotapie"/>
        <w:ind w:firstLine="709"/>
        <w:jc w:val="both"/>
        <w:rPr>
          <w:rFonts w:ascii="Verdana" w:hAnsi="Verdana" w:cs="Arial"/>
          <w:color w:val="000000" w:themeColor="text1"/>
          <w:sz w:val="18"/>
          <w:szCs w:val="18"/>
        </w:rPr>
      </w:pPr>
      <w:r w:rsidRPr="006B5889">
        <w:rPr>
          <w:rFonts w:ascii="Verdana" w:eastAsia="Times New Roman" w:hAnsi="Verdana" w:cs="Arial"/>
          <w:color w:val="000000" w:themeColor="text1"/>
          <w:sz w:val="18"/>
          <w:szCs w:val="18"/>
          <w:vertAlign w:val="superscript"/>
          <w:lang w:val="es-ES" w:eastAsia="es-ES"/>
        </w:rPr>
        <w:footnoteRef/>
      </w:r>
      <w:r w:rsidRPr="006B5889">
        <w:rPr>
          <w:rFonts w:ascii="Verdana" w:eastAsia="Times New Roman" w:hAnsi="Verdana" w:cs="Arial"/>
          <w:color w:val="000000" w:themeColor="text1"/>
          <w:sz w:val="18"/>
          <w:szCs w:val="18"/>
          <w:vertAlign w:val="superscript"/>
          <w:lang w:val="es-ES" w:eastAsia="es-ES"/>
        </w:rPr>
        <w:t xml:space="preserve"> </w:t>
      </w:r>
      <w:r w:rsidRPr="006B5889">
        <w:rPr>
          <w:rFonts w:ascii="Verdana" w:hAnsi="Verdana" w:cs="Arial"/>
          <w:color w:val="000000" w:themeColor="text1"/>
          <w:sz w:val="18"/>
          <w:szCs w:val="18"/>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79FC63F" w14:textId="77777777" w:rsidR="00761E2B" w:rsidRPr="006B5889" w:rsidRDefault="00761E2B" w:rsidP="006B5889">
      <w:pPr>
        <w:pStyle w:val="Textonotapie"/>
        <w:ind w:firstLine="709"/>
        <w:jc w:val="both"/>
        <w:rPr>
          <w:rFonts w:ascii="Verdana" w:eastAsia="Times New Roman" w:hAnsi="Verdana" w:cs="Arial"/>
          <w:color w:val="000000" w:themeColor="text1"/>
          <w:sz w:val="18"/>
          <w:szCs w:val="18"/>
          <w:lang w:val="es-ES" w:eastAsia="es-ES"/>
        </w:rPr>
      </w:pPr>
      <w:r w:rsidRPr="006B5889">
        <w:rPr>
          <w:rFonts w:ascii="Verdana" w:hAnsi="Verdana" w:cs="Arial"/>
          <w:color w:val="000000" w:themeColor="text1"/>
          <w:sz w:val="18"/>
          <w:szCs w:val="18"/>
        </w:rPr>
        <w:t>[…].</w:t>
      </w:r>
    </w:p>
    <w:p w14:paraId="47856921" w14:textId="77777777" w:rsidR="00761E2B" w:rsidRDefault="00761E2B" w:rsidP="006B5889">
      <w:pPr>
        <w:pStyle w:val="Textonotapie"/>
        <w:ind w:firstLine="709"/>
        <w:jc w:val="both"/>
        <w:rPr>
          <w:rFonts w:ascii="Verdana" w:eastAsia="Times New Roman" w:hAnsi="Verdana" w:cs="Arial"/>
          <w:color w:val="000000" w:themeColor="text1"/>
          <w:sz w:val="18"/>
          <w:szCs w:val="18"/>
          <w:lang w:val="es-ES" w:eastAsia="es-ES"/>
        </w:rPr>
      </w:pPr>
      <w:r w:rsidRPr="006B5889">
        <w:rPr>
          <w:rFonts w:ascii="Verdana" w:eastAsia="Times New Roman" w:hAnsi="Verdana" w:cs="Arial"/>
          <w:color w:val="000000" w:themeColor="text1"/>
          <w:sz w:val="18"/>
          <w:szCs w:val="18"/>
          <w:lang w:val="es-ES" w:eastAsia="es-ES"/>
        </w:rPr>
        <w:t xml:space="preserve">Los sujetos obligados que contratan con recursos públicos y recursos </w:t>
      </w:r>
      <w:proofErr w:type="gramStart"/>
      <w:r w:rsidRPr="006B5889">
        <w:rPr>
          <w:rFonts w:ascii="Verdana" w:eastAsia="Times New Roman" w:hAnsi="Verdana" w:cs="Arial"/>
          <w:color w:val="000000" w:themeColor="text1"/>
          <w:sz w:val="18"/>
          <w:szCs w:val="18"/>
          <w:lang w:val="es-ES" w:eastAsia="es-ES"/>
        </w:rPr>
        <w:t>privados,</w:t>
      </w:r>
      <w:proofErr w:type="gramEnd"/>
      <w:r w:rsidRPr="006B5889">
        <w:rPr>
          <w:rFonts w:ascii="Verdana" w:eastAsia="Times New Roman" w:hAnsi="Verdana" w:cs="Arial"/>
          <w:color w:val="000000" w:themeColor="text1"/>
          <w:sz w:val="18"/>
          <w:szCs w:val="18"/>
          <w:lang w:val="es-ES" w:eastAsia="es-ES"/>
        </w:rPr>
        <w:t xml:space="preserve"> deben publicar la información de su gestión contractual con cargo a recursos públicos en el Sistema Electrónico para la Contratación Pública [SECOP]”.</w:t>
      </w:r>
    </w:p>
    <w:p w14:paraId="034D2FCD" w14:textId="77777777" w:rsidR="008C1F00" w:rsidRPr="006B5889" w:rsidRDefault="008C1F00" w:rsidP="006B5889">
      <w:pPr>
        <w:pStyle w:val="Textonotapie"/>
        <w:ind w:firstLine="709"/>
        <w:jc w:val="both"/>
        <w:rPr>
          <w:rFonts w:ascii="Verdana" w:eastAsia="Times New Roman" w:hAnsi="Verdana" w:cs="Arial"/>
          <w:color w:val="000000" w:themeColor="text1"/>
          <w:sz w:val="18"/>
          <w:szCs w:val="18"/>
          <w:lang w:val="es-ES" w:eastAsia="es-ES"/>
        </w:rPr>
      </w:pPr>
    </w:p>
  </w:footnote>
  <w:footnote w:id="17">
    <w:p w14:paraId="641EF5C5" w14:textId="77777777" w:rsidR="00761E2B" w:rsidRPr="006B5889" w:rsidRDefault="00761E2B" w:rsidP="006B5889">
      <w:pPr>
        <w:pStyle w:val="Textonotapie"/>
        <w:ind w:firstLine="709"/>
        <w:jc w:val="both"/>
        <w:rPr>
          <w:rFonts w:ascii="Verdana" w:hAnsi="Verdana" w:cs="Arial"/>
          <w:color w:val="000000"/>
          <w:sz w:val="18"/>
          <w:szCs w:val="18"/>
        </w:rPr>
      </w:pPr>
      <w:r w:rsidRPr="006B5889">
        <w:rPr>
          <w:rStyle w:val="Refdenotaalpie"/>
          <w:rFonts w:ascii="Verdana" w:hAnsi="Verdana" w:cs="Arial"/>
          <w:color w:val="000000"/>
          <w:sz w:val="18"/>
          <w:szCs w:val="18"/>
        </w:rPr>
        <w:footnoteRef/>
      </w:r>
      <w:r w:rsidRPr="006B5889">
        <w:rPr>
          <w:rFonts w:ascii="Verdana" w:hAnsi="Verdana" w:cs="Arial"/>
          <w:color w:val="000000"/>
          <w:sz w:val="18"/>
          <w:szCs w:val="18"/>
        </w:rPr>
        <w:t xml:space="preserve"> C</w:t>
      </w:r>
      <w:r w:rsidRPr="006B5889">
        <w:rPr>
          <w:rFonts w:ascii="Verdana" w:eastAsia="Times New Roman" w:hAnsi="Verdana" w:cs="Arial"/>
          <w:color w:val="000000"/>
          <w:sz w:val="18"/>
          <w:szCs w:val="18"/>
          <w:lang w:val="es-ES" w:eastAsia="es-ES"/>
        </w:rPr>
        <w:t>orte Constitucional. Sentencia C‒274 de 9 de mayo de 2013. M.P. Mar</w:t>
      </w:r>
      <w:r w:rsidRPr="006B5889">
        <w:rPr>
          <w:rFonts w:ascii="Verdana" w:eastAsia="Times New Roman" w:hAnsi="Verdana" w:cs="Century Gothic"/>
          <w:color w:val="000000"/>
          <w:sz w:val="18"/>
          <w:szCs w:val="18"/>
          <w:lang w:val="es-ES" w:eastAsia="es-ES"/>
        </w:rPr>
        <w:t>í</w:t>
      </w:r>
      <w:r w:rsidRPr="006B5889">
        <w:rPr>
          <w:rFonts w:ascii="Verdana" w:eastAsia="Times New Roman" w:hAnsi="Verdana" w:cs="Arial"/>
          <w:color w:val="000000"/>
          <w:sz w:val="18"/>
          <w:szCs w:val="18"/>
          <w:lang w:val="es-ES" w:eastAsia="es-ES"/>
        </w:rPr>
        <w:t xml:space="preserve">a Victoria Calle Correa. </w:t>
      </w:r>
    </w:p>
  </w:footnote>
  <w:footnote w:id="18">
    <w:p w14:paraId="12C77E28" w14:textId="77777777" w:rsidR="00761E2B" w:rsidRDefault="00761E2B" w:rsidP="006B5889">
      <w:pPr>
        <w:pStyle w:val="Textonotapie"/>
        <w:ind w:firstLine="709"/>
        <w:jc w:val="both"/>
        <w:rPr>
          <w:rFonts w:ascii="Verdana" w:hAnsi="Verdana" w:cs="Arial"/>
          <w:color w:val="000000"/>
          <w:sz w:val="18"/>
          <w:szCs w:val="18"/>
        </w:rPr>
      </w:pPr>
      <w:r w:rsidRPr="006B5889">
        <w:rPr>
          <w:rStyle w:val="Refdenotaalpie"/>
          <w:rFonts w:ascii="Verdana" w:hAnsi="Verdana" w:cs="Arial"/>
          <w:color w:val="000000"/>
          <w:sz w:val="18"/>
          <w:szCs w:val="18"/>
        </w:rPr>
        <w:footnoteRef/>
      </w:r>
      <w:r w:rsidRPr="006B5889">
        <w:rPr>
          <w:rFonts w:ascii="Verdana" w:hAnsi="Verdana" w:cs="Arial"/>
          <w:color w:val="000000"/>
          <w:sz w:val="18"/>
          <w:szCs w:val="18"/>
        </w:rPr>
        <w:t xml:space="preserve"> Decreto 4170 de 2011: “Artículo 3. Funciones: La Agencia Nacional de Contratación Pública –Colombia Compra Eficiente– ejercerá las siguientes funciones: [...]</w:t>
      </w:r>
    </w:p>
    <w:p w14:paraId="0F570B44" w14:textId="77777777" w:rsidR="008C1F00" w:rsidRPr="006B5889" w:rsidRDefault="008C1F00" w:rsidP="006B5889">
      <w:pPr>
        <w:pStyle w:val="Textonotapie"/>
        <w:ind w:firstLine="709"/>
        <w:jc w:val="both"/>
        <w:rPr>
          <w:rFonts w:ascii="Verdana" w:hAnsi="Verdana" w:cs="Arial"/>
          <w:color w:val="000000"/>
          <w:sz w:val="18"/>
          <w:szCs w:val="18"/>
        </w:rPr>
      </w:pPr>
    </w:p>
    <w:p w14:paraId="0A3F741D" w14:textId="77777777" w:rsidR="00761E2B" w:rsidRPr="006B5889" w:rsidRDefault="00761E2B" w:rsidP="006B5889">
      <w:pPr>
        <w:pStyle w:val="Textonotapie"/>
        <w:ind w:firstLine="709"/>
        <w:jc w:val="both"/>
        <w:rPr>
          <w:rFonts w:ascii="Verdana" w:hAnsi="Verdana" w:cs="Arial"/>
          <w:color w:val="000000"/>
          <w:sz w:val="18"/>
          <w:szCs w:val="18"/>
        </w:rPr>
      </w:pPr>
      <w:r w:rsidRPr="006B5889">
        <w:rPr>
          <w:rFonts w:ascii="Verdana" w:hAnsi="Verdana" w:cs="Arial"/>
          <w:color w:val="000000"/>
          <w:sz w:val="18"/>
          <w:szCs w:val="18"/>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19">
    <w:p w14:paraId="7AB571B5" w14:textId="1D5FDE4E" w:rsidR="00F30964" w:rsidRPr="006B5889" w:rsidRDefault="00761E2B" w:rsidP="006B5889">
      <w:pPr>
        <w:pStyle w:val="Textonotapie"/>
        <w:ind w:firstLine="709"/>
        <w:jc w:val="both"/>
        <w:rPr>
          <w:rFonts w:ascii="Verdana" w:hAnsi="Verdana"/>
          <w:sz w:val="18"/>
          <w:szCs w:val="18"/>
        </w:rPr>
      </w:pPr>
      <w:r w:rsidRPr="006B5889">
        <w:rPr>
          <w:rStyle w:val="Refdenotaalpie"/>
          <w:rFonts w:ascii="Verdana" w:hAnsi="Verdana" w:cs="Arial"/>
          <w:sz w:val="18"/>
          <w:szCs w:val="18"/>
        </w:rPr>
        <w:footnoteRef/>
      </w:r>
      <w:r w:rsidRPr="006B5889">
        <w:rPr>
          <w:rFonts w:ascii="Verdana" w:hAnsi="Verdana" w:cs="Arial"/>
          <w:sz w:val="18"/>
          <w:szCs w:val="18"/>
        </w:rPr>
        <w:t xml:space="preserve"> En el siguiente link se puede consultar la Guía para gestionar o publicar los procesos de Régimen Especial con oferta en el SECOP II:  </w:t>
      </w:r>
      <w:hyperlink r:id="rId2" w:history="1">
        <w:r w:rsidR="006B5889" w:rsidRPr="006B5889">
          <w:rPr>
            <w:rStyle w:val="Hipervnculo"/>
            <w:rFonts w:ascii="Verdana" w:hAnsi="Verdana"/>
            <w:sz w:val="18"/>
            <w:szCs w:val="18"/>
          </w:rPr>
          <w:t>https://www.colombiacompra.gov.co/archivos/manual/guia-de-procedimiento-de-configuracion-de-la-cuenta-de-proveedor-del-sistema-electronico-para-la-contratacion-publica-secop-ii-2</w:t>
        </w:r>
      </w:hyperlink>
      <w:r w:rsidR="006B5889" w:rsidRPr="006B5889">
        <w:rPr>
          <w:rFonts w:ascii="Verdana" w:hAnsi="Verdana"/>
          <w:sz w:val="18"/>
          <w:szCs w:val="18"/>
        </w:rPr>
        <w:t xml:space="preserve"> </w:t>
      </w:r>
    </w:p>
    <w:p w14:paraId="01429267" w14:textId="77777777" w:rsidR="006B5889" w:rsidRPr="006B5889" w:rsidRDefault="006B5889" w:rsidP="006B5889">
      <w:pPr>
        <w:pStyle w:val="Textonotapie"/>
        <w:ind w:firstLine="709"/>
        <w:jc w:val="both"/>
        <w:rPr>
          <w:rFonts w:ascii="Verdana" w:hAnsi="Verdana" w:cs="Arial"/>
          <w:color w:val="0000FF"/>
          <w:sz w:val="18"/>
          <w:szCs w:val="18"/>
          <w:u w:val="single"/>
        </w:rPr>
      </w:pPr>
    </w:p>
  </w:footnote>
  <w:footnote w:id="20">
    <w:p w14:paraId="72623A1E" w14:textId="6B1C6CA5" w:rsidR="00761E2B" w:rsidRPr="007E0F7A" w:rsidRDefault="00761E2B" w:rsidP="006B5889">
      <w:pPr>
        <w:pStyle w:val="Textonotapie"/>
        <w:ind w:firstLine="709"/>
        <w:jc w:val="both"/>
        <w:rPr>
          <w:rFonts w:ascii="Verdana" w:hAnsi="Verdana" w:cs="Arial"/>
          <w:sz w:val="14"/>
          <w:szCs w:val="14"/>
        </w:rPr>
      </w:pPr>
      <w:r w:rsidRPr="006B5889">
        <w:rPr>
          <w:rStyle w:val="Refdenotaalpie"/>
          <w:rFonts w:ascii="Verdana" w:hAnsi="Verdana" w:cs="Arial"/>
          <w:sz w:val="18"/>
          <w:szCs w:val="18"/>
        </w:rPr>
        <w:footnoteRef/>
      </w:r>
      <w:r w:rsidRPr="006B5889">
        <w:rPr>
          <w:rFonts w:ascii="Verdana" w:hAnsi="Verdana" w:cs="Arial"/>
          <w:sz w:val="18"/>
          <w:szCs w:val="18"/>
        </w:rPr>
        <w:t xml:space="preserve"> En el siguiente </w:t>
      </w:r>
      <w:proofErr w:type="gramStart"/>
      <w:r w:rsidRPr="006B5889">
        <w:rPr>
          <w:rFonts w:ascii="Verdana" w:hAnsi="Verdana" w:cs="Arial"/>
          <w:sz w:val="18"/>
          <w:szCs w:val="18"/>
        </w:rPr>
        <w:t>link</w:t>
      </w:r>
      <w:proofErr w:type="gramEnd"/>
      <w:r w:rsidRPr="006B5889">
        <w:rPr>
          <w:rFonts w:ascii="Verdana" w:hAnsi="Verdana" w:cs="Arial"/>
          <w:sz w:val="18"/>
          <w:szCs w:val="18"/>
        </w:rPr>
        <w:t xml:space="preserve"> se puede consultar la Guía para gestionar o publicar los procesos de Régimen Especial sin oferta en el SECOP II:   </w:t>
      </w:r>
      <w:hyperlink r:id="rId3" w:history="1">
        <w:r w:rsidR="00E86327" w:rsidRPr="006B5889">
          <w:rPr>
            <w:rStyle w:val="Hipervnculo"/>
            <w:rFonts w:ascii="Verdana" w:hAnsi="Verdana"/>
            <w:sz w:val="18"/>
            <w:szCs w:val="18"/>
          </w:rPr>
          <w:t>https://www.colombiacompra.gov.co/archivos/manual/creacion-de-procesos-de-contratacion-en-secop-ii-regimen-especial-sin-ofertas-uso-transaccional-y-de-publicidad</w:t>
        </w:r>
      </w:hyperlink>
      <w:r w:rsidR="00E86327">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1E4309D"/>
    <w:multiLevelType w:val="hybridMultilevel"/>
    <w:tmpl w:val="B0E2594A"/>
    <w:lvl w:ilvl="0" w:tplc="008E945A">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EB52EE"/>
    <w:multiLevelType w:val="hybridMultilevel"/>
    <w:tmpl w:val="83C49B4C"/>
    <w:lvl w:ilvl="0" w:tplc="CCAEA2D6">
      <w:start w:val="1"/>
      <w:numFmt w:val="decimal"/>
      <w:lvlText w:val="%1."/>
      <w:lvlJc w:val="left"/>
      <w:pPr>
        <w:ind w:left="479" w:hanging="360"/>
      </w:pPr>
      <w:rPr>
        <w:rFonts w:eastAsia="Century Gothic" w:cs="Arial" w:hint="default"/>
        <w:b/>
      </w:rPr>
    </w:lvl>
    <w:lvl w:ilvl="1" w:tplc="240A0019" w:tentative="1">
      <w:start w:val="1"/>
      <w:numFmt w:val="lowerLetter"/>
      <w:lvlText w:val="%2."/>
      <w:lvlJc w:val="left"/>
      <w:pPr>
        <w:ind w:left="1199" w:hanging="360"/>
      </w:pPr>
    </w:lvl>
    <w:lvl w:ilvl="2" w:tplc="240A001B" w:tentative="1">
      <w:start w:val="1"/>
      <w:numFmt w:val="lowerRoman"/>
      <w:lvlText w:val="%3."/>
      <w:lvlJc w:val="right"/>
      <w:pPr>
        <w:ind w:left="1919" w:hanging="180"/>
      </w:pPr>
    </w:lvl>
    <w:lvl w:ilvl="3" w:tplc="240A000F" w:tentative="1">
      <w:start w:val="1"/>
      <w:numFmt w:val="decimal"/>
      <w:lvlText w:val="%4."/>
      <w:lvlJc w:val="left"/>
      <w:pPr>
        <w:ind w:left="2639" w:hanging="360"/>
      </w:pPr>
    </w:lvl>
    <w:lvl w:ilvl="4" w:tplc="240A0019" w:tentative="1">
      <w:start w:val="1"/>
      <w:numFmt w:val="lowerLetter"/>
      <w:lvlText w:val="%5."/>
      <w:lvlJc w:val="left"/>
      <w:pPr>
        <w:ind w:left="3359" w:hanging="360"/>
      </w:pPr>
    </w:lvl>
    <w:lvl w:ilvl="5" w:tplc="240A001B" w:tentative="1">
      <w:start w:val="1"/>
      <w:numFmt w:val="lowerRoman"/>
      <w:lvlText w:val="%6."/>
      <w:lvlJc w:val="right"/>
      <w:pPr>
        <w:ind w:left="4079" w:hanging="180"/>
      </w:pPr>
    </w:lvl>
    <w:lvl w:ilvl="6" w:tplc="240A000F" w:tentative="1">
      <w:start w:val="1"/>
      <w:numFmt w:val="decimal"/>
      <w:lvlText w:val="%7."/>
      <w:lvlJc w:val="left"/>
      <w:pPr>
        <w:ind w:left="4799" w:hanging="360"/>
      </w:pPr>
    </w:lvl>
    <w:lvl w:ilvl="7" w:tplc="240A0019" w:tentative="1">
      <w:start w:val="1"/>
      <w:numFmt w:val="lowerLetter"/>
      <w:lvlText w:val="%8."/>
      <w:lvlJc w:val="left"/>
      <w:pPr>
        <w:ind w:left="5519" w:hanging="360"/>
      </w:pPr>
    </w:lvl>
    <w:lvl w:ilvl="8" w:tplc="240A001B" w:tentative="1">
      <w:start w:val="1"/>
      <w:numFmt w:val="lowerRoman"/>
      <w:lvlText w:val="%9."/>
      <w:lvlJc w:val="right"/>
      <w:pPr>
        <w:ind w:left="6239"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4327BB"/>
    <w:multiLevelType w:val="hybridMultilevel"/>
    <w:tmpl w:val="D2C420A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B4E6CD1"/>
    <w:multiLevelType w:val="hybridMultilevel"/>
    <w:tmpl w:val="7CAEA120"/>
    <w:lvl w:ilvl="0" w:tplc="4086ADE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0F82114"/>
    <w:multiLevelType w:val="hybridMultilevel"/>
    <w:tmpl w:val="B6C06020"/>
    <w:lvl w:ilvl="0" w:tplc="2F4CFC7C">
      <w:start w:val="1"/>
      <w:numFmt w:val="decimal"/>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9"/>
  </w:num>
  <w:num w:numId="7" w16cid:durableId="1946422806">
    <w:abstractNumId w:val="7"/>
  </w:num>
  <w:num w:numId="8" w16cid:durableId="152644682">
    <w:abstractNumId w:val="18"/>
  </w:num>
  <w:num w:numId="9" w16cid:durableId="1317221377">
    <w:abstractNumId w:val="9"/>
  </w:num>
  <w:num w:numId="10" w16cid:durableId="1471245386">
    <w:abstractNumId w:val="17"/>
  </w:num>
  <w:num w:numId="11" w16cid:durableId="289172385">
    <w:abstractNumId w:val="10"/>
  </w:num>
  <w:num w:numId="12" w16cid:durableId="1470781324">
    <w:abstractNumId w:val="2"/>
  </w:num>
  <w:num w:numId="13" w16cid:durableId="1512908409">
    <w:abstractNumId w:val="4"/>
  </w:num>
  <w:num w:numId="14" w16cid:durableId="895897244">
    <w:abstractNumId w:val="20"/>
  </w:num>
  <w:num w:numId="15" w16cid:durableId="390349800">
    <w:abstractNumId w:val="16"/>
  </w:num>
  <w:num w:numId="16" w16cid:durableId="1489201040">
    <w:abstractNumId w:val="0"/>
  </w:num>
  <w:num w:numId="17" w16cid:durableId="228930081">
    <w:abstractNumId w:val="6"/>
  </w:num>
  <w:num w:numId="18" w16cid:durableId="2088308480">
    <w:abstractNumId w:val="14"/>
  </w:num>
  <w:num w:numId="19" w16cid:durableId="1630158988">
    <w:abstractNumId w:val="1"/>
  </w:num>
  <w:num w:numId="20" w16cid:durableId="1415012098">
    <w:abstractNumId w:val="13"/>
  </w:num>
  <w:num w:numId="21" w16cid:durableId="1282491160">
    <w:abstractNumId w:val="11"/>
  </w:num>
  <w:num w:numId="22" w16cid:durableId="679089576">
    <w:abstractNumId w:val="12"/>
  </w:num>
  <w:num w:numId="23" w16cid:durableId="4105403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D5A"/>
    <w:rsid w:val="00014727"/>
    <w:rsid w:val="00016F78"/>
    <w:rsid w:val="00022C8D"/>
    <w:rsid w:val="00031446"/>
    <w:rsid w:val="00046945"/>
    <w:rsid w:val="000550BE"/>
    <w:rsid w:val="00061B2A"/>
    <w:rsid w:val="00082362"/>
    <w:rsid w:val="00083EA6"/>
    <w:rsid w:val="000A683E"/>
    <w:rsid w:val="000B19B9"/>
    <w:rsid w:val="000B1D23"/>
    <w:rsid w:val="000C3A61"/>
    <w:rsid w:val="000D0334"/>
    <w:rsid w:val="000D5DA7"/>
    <w:rsid w:val="000F0AEC"/>
    <w:rsid w:val="000F6486"/>
    <w:rsid w:val="000F70C0"/>
    <w:rsid w:val="000F7E7F"/>
    <w:rsid w:val="00112B83"/>
    <w:rsid w:val="001134A3"/>
    <w:rsid w:val="001168B8"/>
    <w:rsid w:val="00116940"/>
    <w:rsid w:val="00120E26"/>
    <w:rsid w:val="00125105"/>
    <w:rsid w:val="00125EF0"/>
    <w:rsid w:val="00127233"/>
    <w:rsid w:val="00127936"/>
    <w:rsid w:val="001304A0"/>
    <w:rsid w:val="00142EE0"/>
    <w:rsid w:val="001453D1"/>
    <w:rsid w:val="00152FB9"/>
    <w:rsid w:val="0015699B"/>
    <w:rsid w:val="0016374F"/>
    <w:rsid w:val="0017003A"/>
    <w:rsid w:val="00171864"/>
    <w:rsid w:val="00173E7A"/>
    <w:rsid w:val="0017705B"/>
    <w:rsid w:val="0019216B"/>
    <w:rsid w:val="001954C9"/>
    <w:rsid w:val="001A33BF"/>
    <w:rsid w:val="001A49C5"/>
    <w:rsid w:val="001A7414"/>
    <w:rsid w:val="001A7A33"/>
    <w:rsid w:val="001B3750"/>
    <w:rsid w:val="001C1EB0"/>
    <w:rsid w:val="001D13D0"/>
    <w:rsid w:val="001D1C7C"/>
    <w:rsid w:val="001E2592"/>
    <w:rsid w:val="001E4177"/>
    <w:rsid w:val="001F0B24"/>
    <w:rsid w:val="001F5743"/>
    <w:rsid w:val="001F7DC6"/>
    <w:rsid w:val="002051E9"/>
    <w:rsid w:val="0021190F"/>
    <w:rsid w:val="0022400B"/>
    <w:rsid w:val="00231663"/>
    <w:rsid w:val="002421BB"/>
    <w:rsid w:val="0025796E"/>
    <w:rsid w:val="0026627A"/>
    <w:rsid w:val="002707A2"/>
    <w:rsid w:val="002743FB"/>
    <w:rsid w:val="00284887"/>
    <w:rsid w:val="00285F5A"/>
    <w:rsid w:val="00286D54"/>
    <w:rsid w:val="00294299"/>
    <w:rsid w:val="002951A0"/>
    <w:rsid w:val="002962BC"/>
    <w:rsid w:val="00297CAA"/>
    <w:rsid w:val="002A0208"/>
    <w:rsid w:val="002A093D"/>
    <w:rsid w:val="002A0DD0"/>
    <w:rsid w:val="002A49AC"/>
    <w:rsid w:val="002A64FD"/>
    <w:rsid w:val="002B13F5"/>
    <w:rsid w:val="002C7A84"/>
    <w:rsid w:val="002E2BF8"/>
    <w:rsid w:val="002E4FD9"/>
    <w:rsid w:val="002F4083"/>
    <w:rsid w:val="0030657A"/>
    <w:rsid w:val="00315F9B"/>
    <w:rsid w:val="00322A85"/>
    <w:rsid w:val="00324168"/>
    <w:rsid w:val="00330834"/>
    <w:rsid w:val="00332DC3"/>
    <w:rsid w:val="003448F4"/>
    <w:rsid w:val="00363CCB"/>
    <w:rsid w:val="0037178F"/>
    <w:rsid w:val="00374F5E"/>
    <w:rsid w:val="00377E3E"/>
    <w:rsid w:val="00395A4B"/>
    <w:rsid w:val="003A779E"/>
    <w:rsid w:val="003B7094"/>
    <w:rsid w:val="003D0F4D"/>
    <w:rsid w:val="003D3E50"/>
    <w:rsid w:val="003D5B0D"/>
    <w:rsid w:val="003E0499"/>
    <w:rsid w:val="003E1039"/>
    <w:rsid w:val="003E4E6D"/>
    <w:rsid w:val="003E4F80"/>
    <w:rsid w:val="003E6439"/>
    <w:rsid w:val="003F0C9D"/>
    <w:rsid w:val="003F3941"/>
    <w:rsid w:val="003F522E"/>
    <w:rsid w:val="004003E1"/>
    <w:rsid w:val="00406575"/>
    <w:rsid w:val="00414C74"/>
    <w:rsid w:val="004223A2"/>
    <w:rsid w:val="0042722E"/>
    <w:rsid w:val="004435AB"/>
    <w:rsid w:val="0044528D"/>
    <w:rsid w:val="00457B62"/>
    <w:rsid w:val="00466E39"/>
    <w:rsid w:val="00472815"/>
    <w:rsid w:val="004779C8"/>
    <w:rsid w:val="00480603"/>
    <w:rsid w:val="004A1847"/>
    <w:rsid w:val="004A2D21"/>
    <w:rsid w:val="004A305D"/>
    <w:rsid w:val="004B2F8D"/>
    <w:rsid w:val="004E0000"/>
    <w:rsid w:val="004E4C09"/>
    <w:rsid w:val="004F21C4"/>
    <w:rsid w:val="004F4DD7"/>
    <w:rsid w:val="004F685F"/>
    <w:rsid w:val="004F7028"/>
    <w:rsid w:val="0051384C"/>
    <w:rsid w:val="00550130"/>
    <w:rsid w:val="00550F1E"/>
    <w:rsid w:val="005566E8"/>
    <w:rsid w:val="00574867"/>
    <w:rsid w:val="0058004B"/>
    <w:rsid w:val="00591460"/>
    <w:rsid w:val="005A65E0"/>
    <w:rsid w:val="005A6FEE"/>
    <w:rsid w:val="005B4667"/>
    <w:rsid w:val="005C3777"/>
    <w:rsid w:val="005C5CDC"/>
    <w:rsid w:val="005D476C"/>
    <w:rsid w:val="005E0A6E"/>
    <w:rsid w:val="005E3489"/>
    <w:rsid w:val="005E5FAD"/>
    <w:rsid w:val="005F7EF1"/>
    <w:rsid w:val="0060694F"/>
    <w:rsid w:val="00610C8C"/>
    <w:rsid w:val="006200BF"/>
    <w:rsid w:val="006219F8"/>
    <w:rsid w:val="00622611"/>
    <w:rsid w:val="006302F7"/>
    <w:rsid w:val="00646B9F"/>
    <w:rsid w:val="00665D70"/>
    <w:rsid w:val="006900D9"/>
    <w:rsid w:val="00697FFA"/>
    <w:rsid w:val="006B0D02"/>
    <w:rsid w:val="006B5889"/>
    <w:rsid w:val="006C4F9B"/>
    <w:rsid w:val="00706C16"/>
    <w:rsid w:val="007107E0"/>
    <w:rsid w:val="00710918"/>
    <w:rsid w:val="007231C0"/>
    <w:rsid w:val="007340C3"/>
    <w:rsid w:val="007362B8"/>
    <w:rsid w:val="00743579"/>
    <w:rsid w:val="00747453"/>
    <w:rsid w:val="0075235A"/>
    <w:rsid w:val="00756841"/>
    <w:rsid w:val="00761E2B"/>
    <w:rsid w:val="007649AB"/>
    <w:rsid w:val="00771D0C"/>
    <w:rsid w:val="00772289"/>
    <w:rsid w:val="0077458D"/>
    <w:rsid w:val="00783054"/>
    <w:rsid w:val="007833AC"/>
    <w:rsid w:val="007833E3"/>
    <w:rsid w:val="00783EFF"/>
    <w:rsid w:val="00784534"/>
    <w:rsid w:val="007925CC"/>
    <w:rsid w:val="007A0051"/>
    <w:rsid w:val="007B268C"/>
    <w:rsid w:val="007B7171"/>
    <w:rsid w:val="007C0C0F"/>
    <w:rsid w:val="007C3DC2"/>
    <w:rsid w:val="007C5A2A"/>
    <w:rsid w:val="007E01F2"/>
    <w:rsid w:val="007E5497"/>
    <w:rsid w:val="00806F5F"/>
    <w:rsid w:val="00820278"/>
    <w:rsid w:val="008258C9"/>
    <w:rsid w:val="00844AE9"/>
    <w:rsid w:val="008457DE"/>
    <w:rsid w:val="00863734"/>
    <w:rsid w:val="00867F95"/>
    <w:rsid w:val="00880E5C"/>
    <w:rsid w:val="00883055"/>
    <w:rsid w:val="008843B6"/>
    <w:rsid w:val="00884724"/>
    <w:rsid w:val="00890AE8"/>
    <w:rsid w:val="00891928"/>
    <w:rsid w:val="00894AD2"/>
    <w:rsid w:val="008A446D"/>
    <w:rsid w:val="008B25F1"/>
    <w:rsid w:val="008C1F00"/>
    <w:rsid w:val="008D180B"/>
    <w:rsid w:val="008E65C2"/>
    <w:rsid w:val="008F0EA7"/>
    <w:rsid w:val="009016E7"/>
    <w:rsid w:val="00916C79"/>
    <w:rsid w:val="0092106D"/>
    <w:rsid w:val="00921B98"/>
    <w:rsid w:val="00923EEF"/>
    <w:rsid w:val="009419F9"/>
    <w:rsid w:val="00943499"/>
    <w:rsid w:val="0095685E"/>
    <w:rsid w:val="00961B09"/>
    <w:rsid w:val="00965334"/>
    <w:rsid w:val="0097093E"/>
    <w:rsid w:val="00972486"/>
    <w:rsid w:val="00972E3E"/>
    <w:rsid w:val="009770CF"/>
    <w:rsid w:val="009A0DFA"/>
    <w:rsid w:val="009A1C6F"/>
    <w:rsid w:val="009A52DE"/>
    <w:rsid w:val="009B2D26"/>
    <w:rsid w:val="009B4E95"/>
    <w:rsid w:val="009B4F74"/>
    <w:rsid w:val="009C71FA"/>
    <w:rsid w:val="009C72E7"/>
    <w:rsid w:val="009C7F7E"/>
    <w:rsid w:val="009D3058"/>
    <w:rsid w:val="009E4B14"/>
    <w:rsid w:val="009F3A13"/>
    <w:rsid w:val="00A122D3"/>
    <w:rsid w:val="00A13341"/>
    <w:rsid w:val="00A14468"/>
    <w:rsid w:val="00A17F13"/>
    <w:rsid w:val="00A20739"/>
    <w:rsid w:val="00A23AF9"/>
    <w:rsid w:val="00A328A5"/>
    <w:rsid w:val="00A33C78"/>
    <w:rsid w:val="00A524A8"/>
    <w:rsid w:val="00A630AF"/>
    <w:rsid w:val="00A73265"/>
    <w:rsid w:val="00A8369D"/>
    <w:rsid w:val="00A84AE6"/>
    <w:rsid w:val="00AB0ADB"/>
    <w:rsid w:val="00AB1B86"/>
    <w:rsid w:val="00AC0B6A"/>
    <w:rsid w:val="00AC0EDA"/>
    <w:rsid w:val="00AC59F5"/>
    <w:rsid w:val="00AD33DF"/>
    <w:rsid w:val="00AE716E"/>
    <w:rsid w:val="00AF5F5C"/>
    <w:rsid w:val="00B00C0E"/>
    <w:rsid w:val="00B014B2"/>
    <w:rsid w:val="00B01B1A"/>
    <w:rsid w:val="00B0381D"/>
    <w:rsid w:val="00B14463"/>
    <w:rsid w:val="00B14759"/>
    <w:rsid w:val="00B201D9"/>
    <w:rsid w:val="00B30817"/>
    <w:rsid w:val="00B34953"/>
    <w:rsid w:val="00B44A47"/>
    <w:rsid w:val="00B519C1"/>
    <w:rsid w:val="00B5761F"/>
    <w:rsid w:val="00B61CBC"/>
    <w:rsid w:val="00B72CD3"/>
    <w:rsid w:val="00B72FFF"/>
    <w:rsid w:val="00B86979"/>
    <w:rsid w:val="00BA2197"/>
    <w:rsid w:val="00BB00B4"/>
    <w:rsid w:val="00BB783A"/>
    <w:rsid w:val="00BC17CC"/>
    <w:rsid w:val="00BC1A34"/>
    <w:rsid w:val="00BC3D36"/>
    <w:rsid w:val="00BC675C"/>
    <w:rsid w:val="00BD54A6"/>
    <w:rsid w:val="00BD7F72"/>
    <w:rsid w:val="00BF0E2F"/>
    <w:rsid w:val="00BF5B37"/>
    <w:rsid w:val="00BF7425"/>
    <w:rsid w:val="00C04FB3"/>
    <w:rsid w:val="00C11D8B"/>
    <w:rsid w:val="00C15139"/>
    <w:rsid w:val="00C20527"/>
    <w:rsid w:val="00C21230"/>
    <w:rsid w:val="00C21CF4"/>
    <w:rsid w:val="00C30199"/>
    <w:rsid w:val="00C330EB"/>
    <w:rsid w:val="00C35450"/>
    <w:rsid w:val="00C50A30"/>
    <w:rsid w:val="00C50D69"/>
    <w:rsid w:val="00C5365C"/>
    <w:rsid w:val="00C754BE"/>
    <w:rsid w:val="00C76B1C"/>
    <w:rsid w:val="00C925AC"/>
    <w:rsid w:val="00CB58BF"/>
    <w:rsid w:val="00CB6357"/>
    <w:rsid w:val="00CC1B26"/>
    <w:rsid w:val="00CC1D32"/>
    <w:rsid w:val="00CE4375"/>
    <w:rsid w:val="00D1233A"/>
    <w:rsid w:val="00D14373"/>
    <w:rsid w:val="00D21415"/>
    <w:rsid w:val="00D361FD"/>
    <w:rsid w:val="00D423A2"/>
    <w:rsid w:val="00D44E26"/>
    <w:rsid w:val="00D520D8"/>
    <w:rsid w:val="00D53E71"/>
    <w:rsid w:val="00D63AC2"/>
    <w:rsid w:val="00D7383B"/>
    <w:rsid w:val="00D7502A"/>
    <w:rsid w:val="00D7788A"/>
    <w:rsid w:val="00D80A1C"/>
    <w:rsid w:val="00D97265"/>
    <w:rsid w:val="00DA231B"/>
    <w:rsid w:val="00DA50B2"/>
    <w:rsid w:val="00DC39FC"/>
    <w:rsid w:val="00DD1D2D"/>
    <w:rsid w:val="00DD4F5A"/>
    <w:rsid w:val="00DF5254"/>
    <w:rsid w:val="00DF666C"/>
    <w:rsid w:val="00E00671"/>
    <w:rsid w:val="00E02524"/>
    <w:rsid w:val="00E16408"/>
    <w:rsid w:val="00E20894"/>
    <w:rsid w:val="00E2348E"/>
    <w:rsid w:val="00E245AB"/>
    <w:rsid w:val="00E2764C"/>
    <w:rsid w:val="00E27F2E"/>
    <w:rsid w:val="00E435FD"/>
    <w:rsid w:val="00E4402E"/>
    <w:rsid w:val="00E50AFE"/>
    <w:rsid w:val="00E52BCA"/>
    <w:rsid w:val="00E75C92"/>
    <w:rsid w:val="00E771DC"/>
    <w:rsid w:val="00E86327"/>
    <w:rsid w:val="00E8772A"/>
    <w:rsid w:val="00E90F6B"/>
    <w:rsid w:val="00E92C27"/>
    <w:rsid w:val="00E93D61"/>
    <w:rsid w:val="00EA0E3D"/>
    <w:rsid w:val="00EA7206"/>
    <w:rsid w:val="00EB2A63"/>
    <w:rsid w:val="00EC201E"/>
    <w:rsid w:val="00EC38A7"/>
    <w:rsid w:val="00ED7161"/>
    <w:rsid w:val="00EE0932"/>
    <w:rsid w:val="00EE1AA8"/>
    <w:rsid w:val="00EE455E"/>
    <w:rsid w:val="00F02B23"/>
    <w:rsid w:val="00F21FF1"/>
    <w:rsid w:val="00F23FEA"/>
    <w:rsid w:val="00F2426C"/>
    <w:rsid w:val="00F27F03"/>
    <w:rsid w:val="00F30964"/>
    <w:rsid w:val="00F311F9"/>
    <w:rsid w:val="00F31EDC"/>
    <w:rsid w:val="00F462B3"/>
    <w:rsid w:val="00F50C4D"/>
    <w:rsid w:val="00F5664F"/>
    <w:rsid w:val="00F5740D"/>
    <w:rsid w:val="00F64ABD"/>
    <w:rsid w:val="00F666C4"/>
    <w:rsid w:val="00F76AFC"/>
    <w:rsid w:val="00F82C1C"/>
    <w:rsid w:val="00FA47C0"/>
    <w:rsid w:val="00FB5DD1"/>
    <w:rsid w:val="00FC01F8"/>
    <w:rsid w:val="00FC2B5D"/>
    <w:rsid w:val="00FF1449"/>
    <w:rsid w:val="00FF7963"/>
    <w:rsid w:val="01FE212B"/>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6A3CBF28"/>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CA68699-1122-4A3A-AD7E-B608C7DC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F5B37"/>
    <w:rPr>
      <w:rFonts w:ascii="Geomanist Light" w:hAnsi="Geomanist Light"/>
      <w:lang w:val="es-ES"/>
    </w:rPr>
  </w:style>
  <w:style w:type="character" w:customStyle="1" w:styleId="s15">
    <w:name w:val="s15"/>
    <w:basedOn w:val="Fuentedeprrafopredeter"/>
    <w:rsid w:val="00BF5B37"/>
  </w:style>
  <w:style w:type="paragraph" w:styleId="Textoindependiente">
    <w:name w:val="Body Text"/>
    <w:basedOn w:val="Normal"/>
    <w:link w:val="TextoindependienteCar"/>
    <w:uiPriority w:val="99"/>
    <w:unhideWhenUsed/>
    <w:rsid w:val="00BF5B3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BF5B37"/>
    <w:rPr>
      <w:rFonts w:eastAsiaTheme="minorEastAsia"/>
      <w:lang w:eastAsia="es-CO"/>
    </w:rPr>
  </w:style>
  <w:style w:type="paragraph" w:customStyle="1" w:styleId="TableParagraph">
    <w:name w:val="Table Paragraph"/>
    <w:basedOn w:val="Normal"/>
    <w:uiPriority w:val="1"/>
    <w:qFormat/>
    <w:rsid w:val="00BF5B37"/>
    <w:pPr>
      <w:widowControl w:val="0"/>
      <w:autoSpaceDE w:val="0"/>
      <w:autoSpaceDN w:val="0"/>
      <w:spacing w:after="0" w:line="208" w:lineRule="exact"/>
      <w:ind w:left="119"/>
    </w:pPr>
    <w:rPr>
      <w:rFonts w:ascii="Calibri" w:eastAsia="Calibri" w:hAnsi="Calibri" w:cs="Calibri"/>
      <w:lang w:val="es-ES"/>
    </w:rPr>
  </w:style>
  <w:style w:type="paragraph" w:customStyle="1" w:styleId="Appelnotedebasde">
    <w:name w:val="Appel note de bas de..."/>
    <w:basedOn w:val="Normal"/>
    <w:link w:val="Refdenotaalpie"/>
    <w:uiPriority w:val="99"/>
    <w:rsid w:val="00FC01F8"/>
    <w:pPr>
      <w:spacing w:line="240" w:lineRule="exact"/>
    </w:pPr>
    <w:rPr>
      <w:vertAlign w:val="superscript"/>
    </w:rPr>
  </w:style>
  <w:style w:type="character" w:customStyle="1" w:styleId="NormalWebCar">
    <w:name w:val="Normal (Web) Car"/>
    <w:link w:val="NormalWeb"/>
    <w:uiPriority w:val="99"/>
    <w:locked/>
    <w:rsid w:val="007362B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 TargetMode="External"/><Relationship Id="rId18" Type="http://schemas.openxmlformats.org/officeDocument/2006/relationships/hyperlink" Target="https://www.colombiacompra.gov.co/normativa-y-relatoria/documentos-tipo"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secop@sociedadcctv.com" TargetMode="External"/><Relationship Id="rId17" Type="http://schemas.openxmlformats.org/officeDocument/2006/relationships/hyperlink" Target="https://formacionvirtual.colombiacompra.gov.co/mod/page/view.php?id=3718"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archivos/manual/guia-para-la-gestion-contractual-de-entidades-estatales-con-regimen-especial"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creacion-de-procesos-de-contratacion-en-secop-ii-regimen-especial-sin-ofertas-uso-transaccional-y-de-publicidad" TargetMode="External"/><Relationship Id="rId2" Type="http://schemas.openxmlformats.org/officeDocument/2006/relationships/hyperlink" Target="https://www.colombiacompra.gov.co/archivos/manual/guia-de-procedimiento-de-configuracion-de-la-cuenta-de-proveedor-del-sistema-electronico-para-la-contratacion-publica-secop-ii-2" TargetMode="External"/><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5E57491-CA5A-4E89-9CC3-52521E4B1C1C}">
  <ds:schemaRefs>
    <ds:schemaRef ds:uri="http://schemas.openxmlformats.org/officeDocument/2006/bibliography"/>
  </ds:schemaRefs>
</ds:datastoreItem>
</file>

<file path=customXml/itemProps2.xml><?xml version="1.0" encoding="utf-8"?>
<ds:datastoreItem xmlns:ds="http://schemas.openxmlformats.org/officeDocument/2006/customXml" ds:itemID="{8C844701-7293-427C-9102-71920F2E937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31</Pages>
  <Words>10246</Words>
  <Characters>56356</Characters>
  <Application>Microsoft Office Word</Application>
  <DocSecurity>0</DocSecurity>
  <Lines>469</Lines>
  <Paragraphs>132</Paragraphs>
  <ScaleCrop>false</ScaleCrop>
  <Company/>
  <LinksUpToDate>false</LinksUpToDate>
  <CharactersWithSpaces>66470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39</cp:revision>
  <cp:lastPrinted>2023-01-10T21:18:00Z</cp:lastPrinted>
  <dcterms:created xsi:type="dcterms:W3CDTF">2026-06-10T23:10:00Z</dcterms:created>
  <dcterms:modified xsi:type="dcterms:W3CDTF">2026-06-11T01:37:00Z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2026-06-11T01:36:30Z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738db9c9-fd10-491d-b457-8cd79a925a04</vt:lpwstr>
  </property>
  <property fmtid="{D5CDD505-2E9C-101B-9397-08002B2CF9AE}" pid="10" name="MSIP_Label_79c9bbd4-2155-4c05-a8cb-143fc41f09a9_ContentBits">
    <vt:lpwstr>0</vt:lpwstr>
  </property>
  <property fmtid="{D5CDD505-2E9C-101B-9397-08002B2CF9AE}" pid="11" name="MSIP_Label_79c9bbd4-2155-4c05-a8cb-143fc41f09a9_Tag">
    <vt:lpwstr>10, 3, 0, 1</vt:lpwstr>
  </property>
</Properties>
</file>