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792338" w14:textId="77777777" w:rsidR="00DB7B50" w:rsidRPr="00716A9A" w:rsidRDefault="00DB7B50" w:rsidP="00DB7B50">
      <w:pPr>
        <w:spacing w:after="0" w:line="240" w:lineRule="auto"/>
        <w:jc w:val="both"/>
        <w:rPr>
          <w:rFonts w:ascii="Verdana" w:eastAsia="Calibri" w:hAnsi="Verdana" w:cs="Arial"/>
          <w:b/>
          <w:color w:val="000000" w:themeColor="text1"/>
          <w:lang w:val="es-ES"/>
        </w:rPr>
      </w:pPr>
      <w:r w:rsidRPr="00716A9A">
        <w:rPr>
          <w:rFonts w:ascii="Verdana" w:eastAsia="Calibri" w:hAnsi="Verdana" w:cs="Arial"/>
          <w:b/>
          <w:color w:val="000000" w:themeColor="text1"/>
          <w:lang w:val="es-ES"/>
        </w:rPr>
        <w:t xml:space="preserve">RÉGIMEN DE INHABILIDADES E INCOMPATIBILIDADES – Definición </w:t>
      </w:r>
    </w:p>
    <w:p w14:paraId="0048F2DE" w14:textId="77777777" w:rsidR="00DB7B50" w:rsidRPr="00716A9A" w:rsidRDefault="00DB7B50" w:rsidP="00DB7B50">
      <w:pPr>
        <w:spacing w:after="0" w:line="240" w:lineRule="auto"/>
        <w:jc w:val="both"/>
        <w:rPr>
          <w:rFonts w:ascii="Verdana" w:eastAsia="Calibri" w:hAnsi="Verdana" w:cs="Arial"/>
          <w:b/>
          <w:color w:val="000000" w:themeColor="text1"/>
          <w:sz w:val="20"/>
          <w:szCs w:val="20"/>
          <w:lang w:val="es-ES"/>
        </w:rPr>
      </w:pPr>
    </w:p>
    <w:p w14:paraId="0999D8C3" w14:textId="77777777" w:rsidR="00DB7B50" w:rsidRPr="00716A9A" w:rsidRDefault="00DB7B50" w:rsidP="00DB7B50">
      <w:pPr>
        <w:spacing w:after="0" w:line="240" w:lineRule="auto"/>
        <w:jc w:val="both"/>
        <w:rPr>
          <w:rFonts w:ascii="Verdana" w:eastAsia="Calibri" w:hAnsi="Verdana" w:cs="Arial"/>
          <w:b/>
          <w:color w:val="000000" w:themeColor="text1"/>
          <w:sz w:val="20"/>
          <w:szCs w:val="20"/>
          <w:lang w:val="es-ES"/>
        </w:rPr>
      </w:pPr>
      <w:r w:rsidRPr="00716A9A">
        <w:rPr>
          <w:rFonts w:ascii="Verdana" w:hAnsi="Verdana" w:cs="Arial"/>
          <w:color w:val="000000" w:themeColor="text1"/>
          <w:sz w:val="20"/>
          <w:szCs w:val="20"/>
        </w:rPr>
        <w:t>Las inhabilidades e incompatibilidades son circunstancias establecidas por la Constitución o la ley que impiden la posibilidad de que ciertas personas sean elegidas o designadas en un cargo público o puedan celebrar contratos con el Estado, con el objetivo de garantizar la idoneidad, imparcialidad, probidad, transparencia y moralidad de la gestión pública.  El régimen de inhabilidades e incompatibilidades para contratar con el Estado es un conjunto de restricciones establecidas por el constituyente o por el legislador que afectan directamente la capacidad de las personas para establecer una relación jurídica contractual con el Estado, que pueden resultar de condenas, sanciones o situaciones previamente establecidas por el ordenamiento jurídico. Estas restricciones o limitaciones que afectan la capacidad jurídica de las personas para contratar realizan los principios de la función administrativa, consagrados en el artículo 209 de la Constitución Política, con especial énfasis en el de moralidad.</w:t>
      </w:r>
    </w:p>
    <w:p w14:paraId="6E1D6776" w14:textId="77777777" w:rsidR="00DB7B50" w:rsidRPr="00716A9A" w:rsidRDefault="00DB7B50" w:rsidP="00DB7B50">
      <w:pPr>
        <w:spacing w:after="0" w:line="240" w:lineRule="auto"/>
        <w:jc w:val="both"/>
        <w:rPr>
          <w:rFonts w:ascii="Verdana" w:eastAsia="Calibri" w:hAnsi="Verdana" w:cs="Arial"/>
          <w:b/>
          <w:color w:val="000000" w:themeColor="text1"/>
          <w:lang w:val="es-ES"/>
        </w:rPr>
      </w:pPr>
    </w:p>
    <w:p w14:paraId="7917120A" w14:textId="77777777" w:rsidR="00DB7B50" w:rsidRPr="00716A9A" w:rsidRDefault="00DB7B50" w:rsidP="00DB7B50">
      <w:pPr>
        <w:spacing w:after="0" w:line="240" w:lineRule="auto"/>
        <w:jc w:val="both"/>
        <w:rPr>
          <w:rFonts w:ascii="Verdana" w:eastAsia="Calibri" w:hAnsi="Verdana" w:cs="Arial"/>
          <w:b/>
          <w:lang w:val="es-ES"/>
        </w:rPr>
      </w:pPr>
      <w:r w:rsidRPr="00716A9A">
        <w:rPr>
          <w:rFonts w:ascii="Verdana" w:eastAsia="Calibri" w:hAnsi="Verdana" w:cs="Arial"/>
          <w:b/>
          <w:lang w:val="es-ES"/>
        </w:rPr>
        <w:t xml:space="preserve">RÉGIMEN DE INHABILIDADES E INCOMPATIBILIDADES – Taxatividad – Interpretación restrictiva </w:t>
      </w:r>
    </w:p>
    <w:p w14:paraId="051C0831" w14:textId="77777777" w:rsidR="00DB7B50" w:rsidRPr="00716A9A" w:rsidRDefault="00DB7B50" w:rsidP="00DB7B50">
      <w:pPr>
        <w:spacing w:after="0" w:line="240" w:lineRule="auto"/>
        <w:jc w:val="both"/>
        <w:rPr>
          <w:rFonts w:ascii="Verdana" w:eastAsia="Calibri" w:hAnsi="Verdana" w:cs="Arial"/>
          <w:b/>
          <w:lang w:val="es-ES"/>
        </w:rPr>
      </w:pPr>
    </w:p>
    <w:p w14:paraId="1F72EB56" w14:textId="77777777" w:rsidR="00DB7B50" w:rsidRPr="00716A9A" w:rsidRDefault="00DB7B50" w:rsidP="00DB7B50">
      <w:pPr>
        <w:spacing w:after="0" w:line="240" w:lineRule="auto"/>
        <w:jc w:val="both"/>
        <w:rPr>
          <w:rFonts w:ascii="Verdana" w:eastAsia="Calibri" w:hAnsi="Verdana" w:cs="Arial"/>
          <w:b/>
          <w:sz w:val="20"/>
          <w:szCs w:val="20"/>
          <w:lang w:val="es-ES"/>
        </w:rPr>
      </w:pPr>
      <w:r w:rsidRPr="00716A9A">
        <w:rPr>
          <w:rFonts w:ascii="Verdana" w:eastAsia="Calibri" w:hAnsi="Verdana" w:cs="Arial"/>
          <w:bCs/>
          <w:sz w:val="20"/>
          <w:szCs w:val="20"/>
          <w:lang w:val="es-ES"/>
        </w:rPr>
        <w:t xml:space="preserve">[…] </w:t>
      </w:r>
      <w:r w:rsidRPr="00716A9A">
        <w:rPr>
          <w:rFonts w:ascii="Verdana" w:eastAsia="Calibri" w:hAnsi="Verdana" w:cs="Arial"/>
          <w:sz w:val="20"/>
          <w:szCs w:val="20"/>
          <w:lang w:val="es-ES_tradnl"/>
        </w:rPr>
        <w:t xml:space="preserve">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716A9A">
        <w:rPr>
          <w:rFonts w:ascii="Verdana" w:eastAsia="Calibri" w:hAnsi="Verdana" w:cs="Arial"/>
          <w:i/>
          <w:iCs/>
          <w:sz w:val="20"/>
          <w:szCs w:val="20"/>
          <w:lang w:val="es-ES_tradnl"/>
        </w:rPr>
        <w:t xml:space="preserve">restrictiva, </w:t>
      </w:r>
      <w:r w:rsidRPr="00716A9A">
        <w:rPr>
          <w:rFonts w:ascii="Verdana" w:eastAsia="Calibri" w:hAnsi="Verdana" w:cs="Arial"/>
          <w:sz w:val="20"/>
          <w:szCs w:val="20"/>
          <w:lang w:val="es-ES_tradnl"/>
        </w:rPr>
        <w:t>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14:paraId="16BB0A2D" w14:textId="77777777" w:rsidR="00DB7B50" w:rsidRPr="00716A9A" w:rsidRDefault="00DB7B50" w:rsidP="00DB7B50">
      <w:pPr>
        <w:spacing w:after="0"/>
        <w:rPr>
          <w:rFonts w:ascii="Verdana" w:hAnsi="Verdana"/>
          <w:lang w:val="es-ES"/>
        </w:rPr>
      </w:pPr>
    </w:p>
    <w:p w14:paraId="20822236" w14:textId="77777777" w:rsidR="00DB7B50" w:rsidRPr="00716A9A" w:rsidRDefault="00DB7B50" w:rsidP="00DB7B50">
      <w:pPr>
        <w:spacing w:after="0" w:line="240" w:lineRule="auto"/>
        <w:jc w:val="both"/>
        <w:rPr>
          <w:rFonts w:ascii="Verdana" w:eastAsia="Calibri" w:hAnsi="Verdana" w:cs="Arial"/>
          <w:b/>
          <w:bCs/>
          <w:kern w:val="2"/>
          <w14:ligatures w14:val="standardContextual"/>
        </w:rPr>
      </w:pPr>
      <w:r w:rsidRPr="00716A9A">
        <w:rPr>
          <w:rFonts w:ascii="Verdana" w:eastAsia="Calibri" w:hAnsi="Verdana" w:cs="Arial"/>
          <w:b/>
          <w:lang w:val="es-ES"/>
        </w:rPr>
        <w:t xml:space="preserve">RÉGIMEN DE INHABILIDADES E INCOMPATIBILIDADES </w:t>
      </w:r>
      <w:r w:rsidRPr="00716A9A">
        <w:rPr>
          <w:rFonts w:ascii="Verdana" w:eastAsia="Calibri" w:hAnsi="Verdana" w:cs="Arial"/>
          <w:b/>
          <w:bCs/>
          <w:kern w:val="2"/>
          <w14:ligatures w14:val="standardContextual"/>
        </w:rPr>
        <w:t xml:space="preserve">– Clasificación – Sanción – Proceso sancionatorio – Requisito – Condiciones personales </w:t>
      </w:r>
    </w:p>
    <w:p w14:paraId="3B673E7F" w14:textId="77777777" w:rsidR="00DB7B50" w:rsidRPr="00716A9A" w:rsidRDefault="00DB7B50" w:rsidP="00DB7B50">
      <w:pPr>
        <w:spacing w:after="0" w:line="240" w:lineRule="auto"/>
        <w:jc w:val="both"/>
        <w:rPr>
          <w:rFonts w:ascii="Verdana" w:eastAsia="Calibri" w:hAnsi="Verdana" w:cs="Arial"/>
          <w:b/>
          <w:bCs/>
          <w:kern w:val="2"/>
          <w14:ligatures w14:val="standardContextual"/>
        </w:rPr>
      </w:pPr>
    </w:p>
    <w:p w14:paraId="02D54F8E" w14:textId="77777777" w:rsidR="00DB7B50" w:rsidRPr="00716A9A" w:rsidRDefault="00DB7B50" w:rsidP="00DB7B50">
      <w:pPr>
        <w:spacing w:after="0" w:line="240" w:lineRule="auto"/>
        <w:jc w:val="both"/>
        <w:rPr>
          <w:rFonts w:ascii="Verdana" w:hAnsi="Verdana" w:cs="Arial"/>
          <w:color w:val="000000" w:themeColor="text1"/>
          <w:sz w:val="20"/>
          <w:szCs w:val="20"/>
        </w:rPr>
      </w:pPr>
      <w:r w:rsidRPr="00716A9A">
        <w:rPr>
          <w:rFonts w:ascii="Verdana" w:eastAsia="Calibri" w:hAnsi="Verdana" w:cs="Arial"/>
          <w:kern w:val="2"/>
          <w14:ligatures w14:val="standardContextual"/>
        </w:rPr>
        <w:t xml:space="preserve">[…] </w:t>
      </w:r>
      <w:r w:rsidRPr="00716A9A">
        <w:rPr>
          <w:rFonts w:ascii="Verdana" w:hAnsi="Verdana" w:cs="Arial"/>
          <w:color w:val="000000" w:themeColor="text1"/>
          <w:sz w:val="20"/>
          <w:szCs w:val="20"/>
        </w:rPr>
        <w:t>Conviene también distinguir las fuentes de las inhabilidades, las cuales han sido clasificadas en dos (2) grupos: i) inhabilidades-sanción y ii)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p>
    <w:p w14:paraId="4C599DA7" w14:textId="77777777" w:rsidR="00DB7B50" w:rsidRPr="00716A9A" w:rsidRDefault="00DB7B50" w:rsidP="00DB7B50">
      <w:pPr>
        <w:spacing w:after="0" w:line="240" w:lineRule="auto"/>
        <w:jc w:val="both"/>
        <w:rPr>
          <w:rFonts w:ascii="Verdana" w:hAnsi="Verdana" w:cs="Arial"/>
          <w:color w:val="000000" w:themeColor="text1"/>
          <w:sz w:val="20"/>
          <w:szCs w:val="20"/>
        </w:rPr>
      </w:pPr>
    </w:p>
    <w:p w14:paraId="2501E9D0" w14:textId="77777777" w:rsidR="00DB7B50" w:rsidRPr="00716A9A" w:rsidRDefault="00DB7B50" w:rsidP="00DB7B50">
      <w:pPr>
        <w:spacing w:after="0" w:line="240" w:lineRule="auto"/>
        <w:jc w:val="both"/>
        <w:rPr>
          <w:rFonts w:ascii="Verdana" w:eastAsia="Calibri" w:hAnsi="Verdana" w:cs="Arial"/>
          <w:b/>
          <w:bCs/>
          <w:color w:val="000000"/>
          <w:kern w:val="2"/>
          <w:sz w:val="20"/>
          <w:szCs w:val="20"/>
          <w14:ligatures w14:val="standardContextual"/>
        </w:rPr>
      </w:pPr>
      <w:r w:rsidRPr="00716A9A">
        <w:rPr>
          <w:rFonts w:ascii="Verdana" w:hAnsi="Verdana" w:cs="Arial"/>
          <w:color w:val="000000" w:themeColor="text1"/>
          <w:sz w:val="20"/>
          <w:szCs w:val="20"/>
        </w:rPr>
        <w:t xml:space="preserve">A manera de ejemplo, en materia contractual, los literales c), d) y j) del numeral 1 del artículo 8 de la Ley 80 de 1993 establecen inhabilidades-sanción, porque la prohibición para contratar con el Estado en esos eventos es una consecuencia de una declaratoria de responsabilidad que surge luego de un proceso sancionatorio –administrativo, disciplinario o penal–; mientras que las inhabilidades de los literales f), g) y h) del literal </w:t>
      </w:r>
      <w:r w:rsidRPr="00716A9A">
        <w:rPr>
          <w:rFonts w:ascii="Verdana" w:hAnsi="Verdana" w:cs="Arial"/>
          <w:color w:val="000000" w:themeColor="text1"/>
          <w:sz w:val="20"/>
          <w:szCs w:val="20"/>
        </w:rPr>
        <w:lastRenderedPageBreak/>
        <w:t>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p>
    <w:p w14:paraId="55738862" w14:textId="77777777" w:rsidR="00DB7B50" w:rsidRPr="00716A9A" w:rsidRDefault="00DB7B50" w:rsidP="00DB7B50">
      <w:pPr>
        <w:spacing w:after="0" w:line="240" w:lineRule="auto"/>
        <w:jc w:val="both"/>
        <w:rPr>
          <w:rFonts w:ascii="Verdana" w:eastAsia="Calibri" w:hAnsi="Verdana" w:cs="Arial"/>
          <w:color w:val="000000" w:themeColor="text1"/>
          <w:sz w:val="20"/>
          <w:szCs w:val="20"/>
          <w:lang w:val="es-ES_tradnl" w:eastAsia="es-ES_tradnl"/>
        </w:rPr>
      </w:pPr>
    </w:p>
    <w:p w14:paraId="4C43FDCE" w14:textId="77777777" w:rsidR="00DB7B50" w:rsidRPr="00716A9A" w:rsidRDefault="00DB7B50" w:rsidP="00DB7B50">
      <w:pPr>
        <w:spacing w:after="0" w:line="240" w:lineRule="auto"/>
        <w:jc w:val="both"/>
        <w:rPr>
          <w:rFonts w:ascii="Verdana" w:hAnsi="Verdana" w:cs="Arial"/>
          <w:b/>
          <w:color w:val="000000" w:themeColor="text1"/>
        </w:rPr>
      </w:pPr>
      <w:r w:rsidRPr="00716A9A">
        <w:rPr>
          <w:rFonts w:ascii="Verdana" w:hAnsi="Verdana" w:cs="Arial"/>
          <w:b/>
          <w:color w:val="000000" w:themeColor="text1"/>
        </w:rPr>
        <w:t>INHABILIDADES E INCOMPATIBILIDADES – Ley 80 de 1993 – Artículo 8, literal d) – Sanción disciplinaria – Inhabilidad para contratar -Aplicación</w:t>
      </w:r>
    </w:p>
    <w:p w14:paraId="676C9862" w14:textId="77777777" w:rsidR="00DB7B50" w:rsidRPr="00716A9A" w:rsidRDefault="00DB7B50" w:rsidP="00DB7B50">
      <w:pPr>
        <w:spacing w:after="0"/>
        <w:jc w:val="both"/>
        <w:rPr>
          <w:rFonts w:ascii="Verdana" w:hAnsi="Verdana"/>
          <w:b/>
          <w:bCs/>
          <w:color w:val="ED7D31" w:themeColor="accent2"/>
        </w:rPr>
      </w:pPr>
    </w:p>
    <w:p w14:paraId="4C1ECB8E" w14:textId="77777777" w:rsidR="00DB7B50" w:rsidRPr="00716A9A" w:rsidRDefault="00DB7B50" w:rsidP="00DB7B50">
      <w:pPr>
        <w:spacing w:after="0" w:line="240" w:lineRule="auto"/>
        <w:jc w:val="both"/>
        <w:rPr>
          <w:rFonts w:ascii="Verdana" w:eastAsia="Verdana" w:hAnsi="Verdana" w:cs="Verdana"/>
          <w:sz w:val="20"/>
          <w:szCs w:val="20"/>
          <w:lang w:val="es-ES"/>
        </w:rPr>
      </w:pPr>
      <w:r w:rsidRPr="00716A9A">
        <w:rPr>
          <w:rFonts w:ascii="Verdana" w:eastAsia="Verdana" w:hAnsi="Verdana" w:cs="Verdana"/>
          <w:sz w:val="20"/>
          <w:szCs w:val="20"/>
          <w:lang w:val="es-ES"/>
        </w:rPr>
        <w:t>[…] resulta necesario realizar una distinción entre la inhabilidad para contratar con el estado y la inhabilidad general que apareja la destitución. La primera hace parte del régimen de inhabilidades e incompatibilidades para contratar con el Estado previsto en el artículo 8-1 de la Ley 80 de 1993, particularmente lo dispuesto en su literal d), el cual regula las inhabilidades derivadas de sanciones disciplinarias. Dicha inhabilidad está dirigida a dos grupos de personas, en primer lugar, quienes hayan sido condenados por sentencia judicial a la pena accesoria de interdicción de derechos y funciones públicas, y la segunda, quienes hayan sido sancionados disciplinariamente con destitución cuando incurre en faltas gravísimas, especialmente aquellas que afectan principios como la moralidad, la legalidad, la imparcialidad o la eficiencia administrativa.</w:t>
      </w:r>
    </w:p>
    <w:p w14:paraId="5473EC43" w14:textId="77777777" w:rsidR="00DB7B50" w:rsidRPr="00716A9A" w:rsidRDefault="00DB7B50" w:rsidP="00DB7B50">
      <w:pPr>
        <w:spacing w:after="0" w:line="240" w:lineRule="auto"/>
        <w:jc w:val="both"/>
        <w:rPr>
          <w:rFonts w:ascii="Verdana" w:eastAsia="Verdana" w:hAnsi="Verdana" w:cs="Verdana"/>
          <w:sz w:val="20"/>
          <w:szCs w:val="20"/>
          <w:lang w:val="es-ES"/>
        </w:rPr>
      </w:pPr>
    </w:p>
    <w:p w14:paraId="7E3BB2D5" w14:textId="77777777" w:rsidR="00DB7B50" w:rsidRPr="00716A9A" w:rsidRDefault="00DB7B50" w:rsidP="00DB7B50">
      <w:pPr>
        <w:spacing w:after="0" w:line="240" w:lineRule="auto"/>
        <w:jc w:val="both"/>
        <w:rPr>
          <w:rFonts w:ascii="Verdana" w:eastAsia="Verdana" w:hAnsi="Verdana" w:cs="Verdana"/>
          <w:sz w:val="20"/>
          <w:szCs w:val="20"/>
          <w:lang w:val="es-ES"/>
        </w:rPr>
      </w:pPr>
      <w:r w:rsidRPr="00716A9A">
        <w:rPr>
          <w:rFonts w:ascii="Verdana" w:eastAsia="Verdana" w:hAnsi="Verdana" w:cs="Verdana"/>
          <w:sz w:val="20"/>
          <w:szCs w:val="20"/>
          <w:lang w:val="es-ES"/>
        </w:rPr>
        <w:t>De conformidad con el mencionado artículo, se indica que, se encuentran inhabilitadas para participar en procesos de selección y para celebrar contratos con las entidades estatales aquellas personas naturales o jurídicas que hayan sido sancionadas disciplinariamente con destitución, mientras subsistan los efectos jurídicos de dicha sanción. Esta inhabilidad, tiene como fundamento la protección de los principios de moralidad, transparencia y responsabilidad que rigen la contratación estatal, en la medida en que busca excluir temporalmente del vínculo contractual con el Estado a quienes, en ejercicio de funciones públicas o con ocasión de ellas, hayan incurrido en faltas disciplinarias y que por su gravedad ameritaron una sanción impuesta en el marco del ejercicio de la potestad disciplinaria del Estado, conforme al Código General Disciplinario regulado por la Ley 1952 de 2019. […]</w:t>
      </w:r>
    </w:p>
    <w:p w14:paraId="5348962E" w14:textId="77777777" w:rsidR="00DB7B50" w:rsidRPr="00716A9A" w:rsidRDefault="00DB7B50" w:rsidP="00DB7B50">
      <w:pPr>
        <w:spacing w:after="0"/>
        <w:jc w:val="both"/>
        <w:rPr>
          <w:rFonts w:ascii="Verdana" w:eastAsia="Verdana" w:hAnsi="Verdana" w:cs="Verdana"/>
          <w:color w:val="ED7D31" w:themeColor="accent2"/>
          <w:sz w:val="20"/>
          <w:szCs w:val="20"/>
          <w:lang w:val="es-ES"/>
        </w:rPr>
      </w:pPr>
    </w:p>
    <w:p w14:paraId="22B645D8" w14:textId="77777777" w:rsidR="00DB7B50" w:rsidRPr="00716A9A" w:rsidRDefault="00DB7B50" w:rsidP="00DB7B50">
      <w:pPr>
        <w:spacing w:after="0" w:line="240" w:lineRule="auto"/>
        <w:jc w:val="both"/>
        <w:rPr>
          <w:rFonts w:ascii="Verdana" w:eastAsia="Calibri" w:hAnsi="Verdana" w:cs="Arial"/>
          <w:b/>
          <w:bCs/>
          <w:color w:val="000000"/>
          <w:kern w:val="2"/>
          <w14:ligatures w14:val="standardContextual"/>
        </w:rPr>
      </w:pPr>
      <w:r w:rsidRPr="00716A9A">
        <w:rPr>
          <w:rFonts w:ascii="Verdana" w:eastAsia="Calibri" w:hAnsi="Verdana" w:cs="Arial"/>
          <w:b/>
          <w:bCs/>
          <w:color w:val="000000"/>
          <w:kern w:val="2"/>
          <w14:ligatures w14:val="standardContextual"/>
        </w:rPr>
        <w:t>REPRESENTANTES LEGALES DE PERSONAS JURÍDICAS – Condenados o Sancionados – No Extiende Efectos Inhabilidad Artículo 8, numeral 1, literal d)</w:t>
      </w:r>
    </w:p>
    <w:p w14:paraId="45A22EDC" w14:textId="77777777" w:rsidR="00DB7B50" w:rsidRPr="00716A9A" w:rsidRDefault="00DB7B50" w:rsidP="00DB7B50">
      <w:pPr>
        <w:spacing w:after="0" w:line="240" w:lineRule="auto"/>
        <w:jc w:val="both"/>
        <w:rPr>
          <w:rFonts w:ascii="Verdana" w:eastAsia="Calibri" w:hAnsi="Verdana" w:cs="Arial"/>
          <w:b/>
          <w:bCs/>
          <w:color w:val="000000"/>
          <w:kern w:val="2"/>
          <w14:ligatures w14:val="standardContextual"/>
        </w:rPr>
      </w:pPr>
    </w:p>
    <w:p w14:paraId="79EC7B05" w14:textId="77777777" w:rsidR="00DB7B50" w:rsidRPr="00716A9A" w:rsidRDefault="00DB7B50" w:rsidP="00DB7B50">
      <w:pPr>
        <w:spacing w:after="0" w:line="240" w:lineRule="auto"/>
        <w:jc w:val="both"/>
        <w:rPr>
          <w:rFonts w:ascii="Verdana" w:eastAsia="Calibri" w:hAnsi="Verdana" w:cs="Arial"/>
          <w:color w:val="000000"/>
          <w:kern w:val="2"/>
          <w:sz w:val="20"/>
          <w:szCs w:val="20"/>
          <w14:ligatures w14:val="standardContextual"/>
        </w:rPr>
      </w:pPr>
      <w:r w:rsidRPr="00716A9A">
        <w:rPr>
          <w:rFonts w:ascii="Verdana" w:eastAsia="Calibri" w:hAnsi="Verdana" w:cs="Arial"/>
          <w:color w:val="000000"/>
          <w:kern w:val="2"/>
          <w:sz w:val="20"/>
          <w:szCs w:val="20"/>
          <w14:ligatures w14:val="standardContextual"/>
        </w:rPr>
        <w:t xml:space="preserve">[…] verificado el régimen de inhabilidades e incompatibilidades contenido en la Ley 80 de 1993, no se identifica alguna causal que limite la capacidad jurídica de aquellas personas jurídicas que pretendan contratar con el Estado, y su representante legal hubiese sido condenado o sancionado mediante sentencia judicial de naturaleza penal o </w:t>
      </w:r>
      <w:r w:rsidRPr="00716A9A">
        <w:rPr>
          <w:rFonts w:ascii="Verdana" w:eastAsia="Calibri" w:hAnsi="Verdana" w:cs="Arial"/>
          <w:color w:val="000000"/>
          <w:kern w:val="2"/>
          <w:sz w:val="20"/>
          <w:szCs w:val="20"/>
          <w14:ligatures w14:val="standardContextual"/>
        </w:rPr>
        <w:lastRenderedPageBreak/>
        <w:t>administrativa. Sobre todo, cuando en la exposición de las consideraciones del presente concepto se puso de presente la exigencia en cabeza del operador jurídico de observar el principio de interpretación restrictiva del régimen de inhabilidades e incompatibilidades vigentes en Colombia, que consiste en que tales disposiciones deben interpretarse de forma estricta, literal y restringida, sin extender su alcance más allá de lo que expresamente dispone la norma.</w:t>
      </w:r>
    </w:p>
    <w:p w14:paraId="00386B80" w14:textId="77777777" w:rsidR="00DB7B50" w:rsidRPr="00716A9A" w:rsidRDefault="00DB7B50" w:rsidP="00DB7B50">
      <w:pPr>
        <w:spacing w:after="0" w:line="240" w:lineRule="auto"/>
        <w:jc w:val="both"/>
        <w:rPr>
          <w:rFonts w:ascii="Verdana" w:eastAsia="Calibri" w:hAnsi="Verdana" w:cs="Arial"/>
          <w:color w:val="000000"/>
          <w:kern w:val="2"/>
          <w:sz w:val="20"/>
          <w:szCs w:val="20"/>
          <w14:ligatures w14:val="standardContextual"/>
        </w:rPr>
      </w:pPr>
    </w:p>
    <w:p w14:paraId="0F80CA92" w14:textId="77777777" w:rsidR="00DB7B50" w:rsidRPr="00716A9A" w:rsidRDefault="00DB7B50" w:rsidP="00DB7B50">
      <w:pPr>
        <w:spacing w:after="0" w:line="240" w:lineRule="auto"/>
        <w:jc w:val="both"/>
        <w:rPr>
          <w:rFonts w:ascii="Verdana" w:eastAsia="Calibri" w:hAnsi="Verdana" w:cs="Arial"/>
          <w:color w:val="000000"/>
          <w:kern w:val="2"/>
          <w:sz w:val="20"/>
          <w:szCs w:val="20"/>
          <w14:ligatures w14:val="standardContextual"/>
        </w:rPr>
      </w:pPr>
      <w:r w:rsidRPr="00716A9A">
        <w:rPr>
          <w:rFonts w:ascii="Verdana" w:eastAsia="Calibri" w:hAnsi="Verdana" w:cs="Arial"/>
          <w:color w:val="000000"/>
          <w:kern w:val="2"/>
          <w:sz w:val="20"/>
          <w:szCs w:val="20"/>
          <w14:ligatures w14:val="standardContextual"/>
        </w:rPr>
        <w:t>Dicho esto, al no admitirse analogías ni interpretaciones extensivas, no se puede aplicar por semejanza tal limitación a las personas jurídicas que ostenten representantes legales condenados o sancionados, dado que dicha situación no se encuentra expresamente en la disposición estudiada, en procura de salvaguardar la seguridad jurídica y el principio de legalidad en materia de contratación pública. […]</w:t>
      </w:r>
    </w:p>
    <w:p w14:paraId="5AE7F7F0"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101FA38A"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28D199A9"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0C00A889"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104E55D5"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283F797D"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2624713A"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5F18761D"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487831A4"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46154B20"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39EFEFB4"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44CBA781"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53E5D4E8"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3325A857"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46B7E633"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18070F24"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61DC9F09"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67CDF6A2"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637B80F0"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140E5A19"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05A31B92"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5D656324"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15993146"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31041210" w14:textId="77777777" w:rsidR="00DB7B50" w:rsidRDefault="00DB7B50" w:rsidP="00DB7B50">
      <w:pPr>
        <w:spacing w:after="0"/>
        <w:rPr>
          <w:rFonts w:ascii="Verdana" w:eastAsia="Calibri" w:hAnsi="Verdana" w:cs="Arial"/>
          <w:color w:val="000000"/>
          <w:kern w:val="2"/>
          <w:sz w:val="20"/>
          <w:szCs w:val="20"/>
          <w14:ligatures w14:val="standardContextual"/>
        </w:rPr>
      </w:pPr>
    </w:p>
    <w:p w14:paraId="0435BC2B" w14:textId="77777777" w:rsidR="00DB7B50" w:rsidRDefault="00DB7B50" w:rsidP="00DB7B50">
      <w:pPr>
        <w:spacing w:after="0"/>
        <w:rPr>
          <w:rFonts w:ascii="Verdana" w:eastAsia="Calibri" w:hAnsi="Verdana" w:cs="Arial"/>
          <w:color w:val="000000"/>
          <w:kern w:val="2"/>
          <w:sz w:val="20"/>
          <w:szCs w:val="20"/>
          <w14:ligatures w14:val="standardContextual"/>
        </w:rPr>
      </w:pPr>
    </w:p>
    <w:p w14:paraId="1C80749F"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0706B7AE"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27C13F5E"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3BA8B29E"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51D93D73" w14:textId="77777777" w:rsidR="00DB7B50" w:rsidRPr="00716A9A" w:rsidRDefault="00DB7B50" w:rsidP="00DB7B50">
      <w:pPr>
        <w:spacing w:after="0"/>
        <w:rPr>
          <w:rFonts w:ascii="Verdana" w:eastAsia="Calibri" w:hAnsi="Verdana" w:cs="Arial"/>
          <w:color w:val="000000"/>
          <w:kern w:val="2"/>
          <w:sz w:val="20"/>
          <w:szCs w:val="20"/>
          <w14:ligatures w14:val="standardContextual"/>
        </w:rPr>
      </w:pPr>
    </w:p>
    <w:p w14:paraId="064449F6" w14:textId="77777777" w:rsidR="00DB7B50" w:rsidRDefault="00DB7B50" w:rsidP="00DB7B50">
      <w:pPr>
        <w:spacing w:after="0"/>
        <w:rPr>
          <w:rFonts w:ascii="Verdana" w:hAnsi="Verdana"/>
        </w:rPr>
      </w:pPr>
    </w:p>
    <w:p w14:paraId="170EAAF3" w14:textId="4DD265F4" w:rsidR="00DB7B50" w:rsidRPr="00716A9A" w:rsidRDefault="00A11CE5" w:rsidP="00DB7B50">
      <w:pPr>
        <w:spacing w:after="0"/>
        <w:rPr>
          <w:rFonts w:ascii="Verdana" w:hAnsi="Verdana"/>
        </w:rPr>
      </w:pPr>
      <w:r w:rsidRPr="00A11CE5">
        <w:rPr>
          <w:rFonts w:ascii="Verdana" w:eastAsia="Calibri" w:hAnsi="Verdana" w:cs="Arial"/>
          <w:lang w:val="es-ES" w:eastAsia="es-ES"/>
        </w:rPr>
        <w:lastRenderedPageBreak/>
        <w:drawing>
          <wp:anchor distT="0" distB="0" distL="114300" distR="114300" simplePos="0" relativeHeight="251660288" behindDoc="1" locked="0" layoutInCell="1" allowOverlap="1" wp14:anchorId="38C461FC" wp14:editId="1B9E12DE">
            <wp:simplePos x="0" y="0"/>
            <wp:positionH relativeFrom="margin">
              <wp:align>right</wp:align>
            </wp:positionH>
            <wp:positionV relativeFrom="paragraph">
              <wp:posOffset>157480</wp:posOffset>
            </wp:positionV>
            <wp:extent cx="2305050" cy="647700"/>
            <wp:effectExtent l="0" t="0" r="0" b="0"/>
            <wp:wrapNone/>
            <wp:docPr id="97342962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429627" name=""/>
                    <pic:cNvPicPr/>
                  </pic:nvPicPr>
                  <pic:blipFill>
                    <a:blip r:embed="rId10">
                      <a:extLst>
                        <a:ext uri="{28A0092B-C50C-407E-A947-70E740481C1C}">
                          <a14:useLocalDpi xmlns:a14="http://schemas.microsoft.com/office/drawing/2010/main" val="0"/>
                        </a:ext>
                      </a:extLst>
                    </a:blip>
                    <a:stretch>
                      <a:fillRect/>
                    </a:stretch>
                  </pic:blipFill>
                  <pic:spPr>
                    <a:xfrm>
                      <a:off x="0" y="0"/>
                      <a:ext cx="2305050" cy="647700"/>
                    </a:xfrm>
                    <a:prstGeom prst="rect">
                      <a:avLst/>
                    </a:prstGeom>
                  </pic:spPr>
                </pic:pic>
              </a:graphicData>
            </a:graphic>
          </wp:anchor>
        </w:drawing>
      </w:r>
      <w:r w:rsidR="00DB7B50" w:rsidRPr="00716A9A">
        <w:rPr>
          <w:rFonts w:ascii="Verdana" w:hAnsi="Verdana"/>
        </w:rPr>
        <w:t xml:space="preserve">Bogotá D.C., </w:t>
      </w:r>
      <w:r>
        <w:rPr>
          <w:rFonts w:ascii="Verdana" w:hAnsi="Verdana"/>
        </w:rPr>
        <w:t>09 Junio 2026</w:t>
      </w:r>
    </w:p>
    <w:p w14:paraId="28C0EAD8" w14:textId="77777777" w:rsidR="00DB7B50" w:rsidRPr="00716A9A" w:rsidRDefault="00DB7B50" w:rsidP="00DB7B50">
      <w:pPr>
        <w:spacing w:after="0"/>
        <w:rPr>
          <w:rFonts w:ascii="Verdana" w:hAnsi="Verdana"/>
          <w:lang w:val="es-ES"/>
        </w:rPr>
      </w:pPr>
    </w:p>
    <w:p w14:paraId="0BFE2DA6" w14:textId="5A857B27" w:rsidR="00DB7B50" w:rsidRPr="00716A9A" w:rsidRDefault="00DB7B50" w:rsidP="00DB7B50">
      <w:pPr>
        <w:spacing w:after="0" w:line="240" w:lineRule="auto"/>
        <w:rPr>
          <w:rFonts w:ascii="Verdana" w:hAnsi="Verdana"/>
          <w:lang w:val="es-ES"/>
        </w:rPr>
      </w:pPr>
      <w:r w:rsidRPr="00716A9A">
        <w:rPr>
          <w:rFonts w:ascii="Verdana" w:eastAsia="Calibri" w:hAnsi="Verdana" w:cs="Arial"/>
          <w:lang w:val="es-ES" w:eastAsia="es-ES"/>
        </w:rPr>
        <w:t>Señor</w:t>
      </w:r>
    </w:p>
    <w:p w14:paraId="3129F03A" w14:textId="77777777" w:rsidR="00DB7B50" w:rsidRPr="00716A9A" w:rsidRDefault="00DB7B50" w:rsidP="00DB7B50">
      <w:pPr>
        <w:spacing w:after="0"/>
        <w:rPr>
          <w:rFonts w:ascii="Verdana" w:eastAsia="Calibri" w:hAnsi="Verdana" w:cs="Arial"/>
          <w:b/>
          <w:bCs/>
          <w:lang w:eastAsia="es-ES"/>
        </w:rPr>
      </w:pPr>
      <w:r w:rsidRPr="00716A9A">
        <w:rPr>
          <w:rFonts w:ascii="Verdana" w:eastAsia="Calibri" w:hAnsi="Verdana" w:cs="Arial"/>
          <w:b/>
          <w:bCs/>
          <w:lang w:eastAsia="es-ES"/>
        </w:rPr>
        <w:t>Jacobo Giraldo Bedoya</w:t>
      </w:r>
    </w:p>
    <w:p w14:paraId="30F1C061" w14:textId="77777777" w:rsidR="00DB7B50" w:rsidRPr="00716A9A" w:rsidRDefault="00DB7B50" w:rsidP="00DB7B50">
      <w:pPr>
        <w:tabs>
          <w:tab w:val="center" w:pos="4419"/>
        </w:tabs>
        <w:spacing w:after="0"/>
        <w:rPr>
          <w:rFonts w:ascii="Verdana" w:eastAsia="Calibri" w:hAnsi="Verdana" w:cs="Arial"/>
          <w:color w:val="7030A0"/>
          <w:lang w:eastAsia="es-ES"/>
        </w:rPr>
      </w:pPr>
      <w:hyperlink r:id="rId11" w:history="1">
        <w:r w:rsidRPr="00716A9A">
          <w:rPr>
            <w:rStyle w:val="Hipervnculo"/>
            <w:rFonts w:ascii="Verdana" w:hAnsi="Verdana"/>
          </w:rPr>
          <w:t>jacondegiraldo2@gmail.com</w:t>
        </w:r>
      </w:hyperlink>
      <w:r w:rsidRPr="00716A9A">
        <w:rPr>
          <w:rFonts w:ascii="Verdana" w:hAnsi="Verdana"/>
        </w:rPr>
        <w:t xml:space="preserve"> </w:t>
      </w:r>
      <w:r w:rsidRPr="00716A9A">
        <w:rPr>
          <w:rFonts w:ascii="Verdana" w:eastAsia="Calibri" w:hAnsi="Verdana" w:cs="Arial"/>
          <w:color w:val="7030A0"/>
          <w:lang w:eastAsia="es-ES"/>
        </w:rPr>
        <w:t xml:space="preserve"> </w:t>
      </w:r>
    </w:p>
    <w:p w14:paraId="456E24E0" w14:textId="77777777" w:rsidR="00DB7B50" w:rsidRPr="00716A9A" w:rsidRDefault="00DB7B50" w:rsidP="00DB7B50">
      <w:pPr>
        <w:spacing w:after="0"/>
        <w:rPr>
          <w:rFonts w:ascii="Verdana" w:eastAsia="Calibri" w:hAnsi="Verdana" w:cs="Arial"/>
          <w:lang w:val="es-ES" w:eastAsia="es-ES"/>
        </w:rPr>
      </w:pPr>
      <w:r w:rsidRPr="00716A9A">
        <w:rPr>
          <w:rFonts w:ascii="Verdana" w:eastAsia="Calibri" w:hAnsi="Verdana" w:cs="Arial"/>
          <w:lang w:eastAsia="es-ES"/>
        </w:rPr>
        <w:t>Bogotá D.C</w:t>
      </w:r>
    </w:p>
    <w:p w14:paraId="2D8984D6" w14:textId="77777777" w:rsidR="00DB7B50" w:rsidRPr="00716A9A" w:rsidRDefault="00DB7B50" w:rsidP="00DB7B50">
      <w:pPr>
        <w:spacing w:after="0" w:line="240" w:lineRule="auto"/>
        <w:rPr>
          <w:rFonts w:ascii="Verdana" w:eastAsia="Calibri" w:hAnsi="Verdana" w:cs="Arial"/>
          <w:b/>
          <w:bCs/>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DB7B50" w:rsidRPr="00716A9A" w14:paraId="3B436447" w14:textId="77777777" w:rsidTr="00137E3C">
        <w:trPr>
          <w:trHeight w:val="300"/>
        </w:trPr>
        <w:tc>
          <w:tcPr>
            <w:tcW w:w="2410" w:type="dxa"/>
          </w:tcPr>
          <w:p w14:paraId="0FB9C8F5" w14:textId="77777777" w:rsidR="00DB7B50" w:rsidRPr="00716A9A" w:rsidRDefault="00DB7B50" w:rsidP="00137E3C">
            <w:pPr>
              <w:ind w:left="-142"/>
              <w:jc w:val="both"/>
              <w:rPr>
                <w:rFonts w:ascii="Verdana" w:eastAsia="Calibri" w:hAnsi="Verdana" w:cs="Arial"/>
                <w:b/>
                <w:bCs/>
                <w:lang w:val="es-ES" w:eastAsia="es-ES_tradnl"/>
              </w:rPr>
            </w:pPr>
          </w:p>
        </w:tc>
        <w:tc>
          <w:tcPr>
            <w:tcW w:w="6100" w:type="dxa"/>
          </w:tcPr>
          <w:p w14:paraId="655F0FDB" w14:textId="77777777" w:rsidR="00DB7B50" w:rsidRPr="00716A9A" w:rsidRDefault="00DB7B50" w:rsidP="00137E3C">
            <w:pPr>
              <w:ind w:left="3"/>
              <w:jc w:val="both"/>
              <w:rPr>
                <w:rFonts w:ascii="Verdana" w:eastAsia="Calibri" w:hAnsi="Verdana" w:cs="Arial"/>
                <w:b/>
                <w:bCs/>
                <w:lang w:val="es-ES" w:eastAsia="es-ES"/>
              </w:rPr>
            </w:pPr>
            <w:r w:rsidRPr="00716A9A">
              <w:rPr>
                <w:rFonts w:ascii="Verdana" w:eastAsia="Calibri" w:hAnsi="Verdana" w:cs="Arial"/>
                <w:b/>
                <w:bCs/>
                <w:lang w:val="es-ES" w:eastAsia="es-ES"/>
              </w:rPr>
              <w:t>Concepto C-710 de 2026</w:t>
            </w:r>
          </w:p>
          <w:p w14:paraId="0AF02EE3" w14:textId="77777777" w:rsidR="00DB7B50" w:rsidRPr="00716A9A" w:rsidRDefault="00DB7B50" w:rsidP="00137E3C">
            <w:pPr>
              <w:ind w:left="3"/>
              <w:jc w:val="both"/>
              <w:rPr>
                <w:rFonts w:ascii="Verdana" w:eastAsia="Calibri" w:hAnsi="Verdana" w:cs="Arial"/>
                <w:b/>
                <w:bCs/>
                <w:lang w:val="es-ES" w:eastAsia="es-ES"/>
              </w:rPr>
            </w:pPr>
          </w:p>
        </w:tc>
      </w:tr>
      <w:tr w:rsidR="00DB7B50" w:rsidRPr="00716A9A" w14:paraId="1B3080DB" w14:textId="77777777" w:rsidTr="00137E3C">
        <w:trPr>
          <w:trHeight w:val="300"/>
        </w:trPr>
        <w:tc>
          <w:tcPr>
            <w:tcW w:w="2410" w:type="dxa"/>
          </w:tcPr>
          <w:p w14:paraId="236AB8E8" w14:textId="77777777" w:rsidR="00DB7B50" w:rsidRPr="00716A9A" w:rsidRDefault="00DB7B50" w:rsidP="00137E3C">
            <w:pPr>
              <w:ind w:left="424" w:firstLine="137"/>
              <w:jc w:val="both"/>
              <w:rPr>
                <w:rFonts w:ascii="Verdana" w:eastAsia="Calibri" w:hAnsi="Verdana" w:cs="Arial"/>
                <w:color w:val="EE0000"/>
                <w:lang w:val="es-ES" w:eastAsia="es-ES_tradnl"/>
              </w:rPr>
            </w:pPr>
            <w:r w:rsidRPr="00716A9A">
              <w:rPr>
                <w:rFonts w:ascii="Verdana" w:eastAsia="Calibri" w:hAnsi="Verdana" w:cs="Arial"/>
                <w:b/>
                <w:lang w:val="es-ES" w:eastAsia="es-ES_tradnl"/>
              </w:rPr>
              <w:t>Temas:</w:t>
            </w:r>
            <w:r w:rsidRPr="00716A9A">
              <w:rPr>
                <w:rFonts w:ascii="Verdana" w:eastAsia="Calibri" w:hAnsi="Verdana" w:cs="Arial"/>
                <w:lang w:val="es-ES" w:eastAsia="es-ES_tradnl"/>
              </w:rPr>
              <w:t xml:space="preserve">              </w:t>
            </w:r>
          </w:p>
        </w:tc>
        <w:tc>
          <w:tcPr>
            <w:tcW w:w="6100" w:type="dxa"/>
          </w:tcPr>
          <w:p w14:paraId="50447033" w14:textId="77777777" w:rsidR="00DB7B50" w:rsidRPr="00716A9A" w:rsidRDefault="00DB7B50" w:rsidP="00137E3C">
            <w:pPr>
              <w:jc w:val="both"/>
              <w:rPr>
                <w:rFonts w:ascii="Verdana" w:eastAsia="Calibri" w:hAnsi="Verdana" w:cs="Arial"/>
                <w:bCs/>
              </w:rPr>
            </w:pPr>
            <w:r w:rsidRPr="00716A9A">
              <w:rPr>
                <w:rFonts w:ascii="Verdana" w:eastAsia="Calibri" w:hAnsi="Verdana" w:cs="Arial"/>
                <w:bCs/>
              </w:rPr>
              <w:t>RÉGIMEN DE INHABILIDADES E INCOMPATIBILIDADES – Definición / RÉGIMEN DE INHABILIDADES E INCOMPATIBILIDADES – Taxatividad – Interpretación restrictiva / RÉGIMEN DE INHABILIDADES E INCOMPATIBILIDADES – Clasificación – Sanción – Proceso sancionatorio – Requisito – Condiciones personales / INHABILIDADES E INCOMPATIBILIDADES – Ley 80 de 1993 – Artículo 8, literal d) – Sanción disciplinaria – Inhabilidad para contratar -Aplicación / REPRESENTANTES LEGALES DE PERSONAS JURÍDICAS – Condenados o Sancionados – No Extiende Efectos Inhabilidad Artículo 8, numeral 1, literal d)</w:t>
            </w:r>
          </w:p>
          <w:p w14:paraId="6C913F26" w14:textId="77777777" w:rsidR="00DB7B50" w:rsidRPr="00716A9A" w:rsidRDefault="00DB7B50" w:rsidP="00137E3C">
            <w:pPr>
              <w:jc w:val="both"/>
              <w:rPr>
                <w:rFonts w:ascii="Verdana" w:eastAsia="Calibri" w:hAnsi="Verdana" w:cs="Arial"/>
                <w:bCs/>
              </w:rPr>
            </w:pPr>
          </w:p>
        </w:tc>
      </w:tr>
      <w:tr w:rsidR="00DB7B50" w:rsidRPr="00716A9A" w14:paraId="3FC8157A" w14:textId="77777777" w:rsidTr="00137E3C">
        <w:trPr>
          <w:trHeight w:val="87"/>
        </w:trPr>
        <w:tc>
          <w:tcPr>
            <w:tcW w:w="2410" w:type="dxa"/>
          </w:tcPr>
          <w:p w14:paraId="2ECC0257" w14:textId="77777777" w:rsidR="00DB7B50" w:rsidRPr="00716A9A" w:rsidRDefault="00DB7B50" w:rsidP="00137E3C">
            <w:pPr>
              <w:ind w:left="561"/>
              <w:jc w:val="both"/>
              <w:rPr>
                <w:rFonts w:ascii="Verdana" w:eastAsia="Calibri" w:hAnsi="Verdana" w:cs="Arial"/>
                <w:b/>
                <w:lang w:val="es-ES" w:eastAsia="es-ES_tradnl"/>
              </w:rPr>
            </w:pPr>
            <w:r w:rsidRPr="00716A9A">
              <w:rPr>
                <w:rFonts w:ascii="Verdana" w:eastAsia="Calibri" w:hAnsi="Verdana" w:cs="Arial"/>
                <w:b/>
                <w:lang w:val="es-ES" w:eastAsia="es-ES_tradnl"/>
              </w:rPr>
              <w:t>Radicación:</w:t>
            </w:r>
            <w:r w:rsidRPr="00716A9A">
              <w:rPr>
                <w:rFonts w:ascii="Verdana" w:eastAsia="Calibri" w:hAnsi="Verdana" w:cs="Arial"/>
                <w:lang w:val="es-ES" w:eastAsia="es-ES_tradnl"/>
              </w:rPr>
              <w:t xml:space="preserve">              </w:t>
            </w:r>
          </w:p>
        </w:tc>
        <w:tc>
          <w:tcPr>
            <w:tcW w:w="6100" w:type="dxa"/>
          </w:tcPr>
          <w:p w14:paraId="63828098" w14:textId="77777777" w:rsidR="00DB7B50" w:rsidRPr="00716A9A" w:rsidRDefault="00DB7B50" w:rsidP="00137E3C">
            <w:pPr>
              <w:ind w:left="3"/>
              <w:jc w:val="both"/>
              <w:rPr>
                <w:rFonts w:ascii="Verdana" w:eastAsia="Calibri" w:hAnsi="Verdana" w:cs="Arial"/>
                <w:lang w:val="es-ES" w:eastAsia="es-ES"/>
              </w:rPr>
            </w:pPr>
            <w:r w:rsidRPr="00716A9A">
              <w:rPr>
                <w:rFonts w:ascii="Verdana" w:eastAsia="Calibri" w:hAnsi="Verdana" w:cs="Arial"/>
                <w:lang w:val="es-ES" w:eastAsia="es-ES"/>
              </w:rPr>
              <w:t xml:space="preserve">Respuesta a consulta con radicado No. </w:t>
            </w:r>
            <w:r w:rsidRPr="00716A9A">
              <w:rPr>
                <w:rFonts w:ascii="Verdana" w:eastAsia="Calibri" w:hAnsi="Verdana" w:cs="Arial"/>
                <w:lang w:eastAsia="es-ES"/>
              </w:rPr>
              <w:t>1_2026_04_29_005825 acumulada con 1_2026_05_05_006056, 1_2026_05_06_006134 y 1_2026_05_06_006134</w:t>
            </w:r>
          </w:p>
          <w:p w14:paraId="208C41E1" w14:textId="77777777" w:rsidR="00DB7B50" w:rsidRPr="00716A9A" w:rsidRDefault="00DB7B50" w:rsidP="00137E3C">
            <w:pPr>
              <w:ind w:left="3"/>
              <w:jc w:val="both"/>
              <w:rPr>
                <w:rFonts w:ascii="Verdana" w:hAnsi="Verdana"/>
                <w:lang w:val="es-ES"/>
              </w:rPr>
            </w:pPr>
          </w:p>
        </w:tc>
      </w:tr>
    </w:tbl>
    <w:p w14:paraId="79ECC0C2" w14:textId="77777777" w:rsidR="00DB7B50" w:rsidRPr="00716A9A" w:rsidRDefault="00DB7B50" w:rsidP="00DB7B50">
      <w:pPr>
        <w:spacing w:after="0" w:line="276" w:lineRule="auto"/>
        <w:jc w:val="both"/>
        <w:rPr>
          <w:rFonts w:ascii="Verdana" w:eastAsia="Calibri" w:hAnsi="Verdana" w:cs="Arial"/>
          <w:lang w:eastAsia="es-ES"/>
        </w:rPr>
      </w:pPr>
    </w:p>
    <w:p w14:paraId="0AABD1B5" w14:textId="77777777" w:rsidR="00DB7B50" w:rsidRPr="00716A9A" w:rsidRDefault="00DB7B50" w:rsidP="00DB7B50">
      <w:pPr>
        <w:spacing w:after="0" w:line="276" w:lineRule="auto"/>
        <w:jc w:val="both"/>
        <w:rPr>
          <w:rFonts w:ascii="Verdana" w:eastAsia="Calibri" w:hAnsi="Verdana" w:cs="Arial"/>
          <w:lang w:eastAsia="es-ES"/>
        </w:rPr>
      </w:pPr>
      <w:r w:rsidRPr="00716A9A">
        <w:rPr>
          <w:rFonts w:ascii="Verdana" w:eastAsia="Calibri" w:hAnsi="Verdana" w:cs="Arial"/>
          <w:lang w:eastAsia="es-ES"/>
        </w:rPr>
        <w:t>Estimado señor Giraldo,</w:t>
      </w:r>
    </w:p>
    <w:p w14:paraId="7C98D0B6" w14:textId="77777777" w:rsidR="00DB7B50" w:rsidRPr="00716A9A" w:rsidRDefault="00DB7B50" w:rsidP="00DB7B50">
      <w:pPr>
        <w:spacing w:after="0" w:line="276" w:lineRule="auto"/>
        <w:jc w:val="both"/>
        <w:rPr>
          <w:rFonts w:ascii="Verdana" w:eastAsia="Calibri" w:hAnsi="Verdana" w:cs="Arial"/>
          <w:lang w:eastAsia="es-ES"/>
        </w:rPr>
      </w:pPr>
      <w:r w:rsidRPr="00716A9A">
        <w:rPr>
          <w:rFonts w:ascii="Verdana" w:eastAsia="Calibri" w:hAnsi="Verdana" w:cs="Arial"/>
          <w:lang w:eastAsia="es-ES"/>
        </w:rPr>
        <w:t xml:space="preserve"> </w:t>
      </w:r>
    </w:p>
    <w:p w14:paraId="0D8BCCA8" w14:textId="77777777" w:rsidR="00DB7B50" w:rsidRPr="00716A9A" w:rsidRDefault="00DB7B50" w:rsidP="00DB7B50">
      <w:pPr>
        <w:tabs>
          <w:tab w:val="left" w:pos="3768"/>
        </w:tabs>
        <w:spacing w:after="0" w:line="276" w:lineRule="auto"/>
        <w:jc w:val="both"/>
        <w:rPr>
          <w:rFonts w:ascii="Verdana" w:eastAsia="Calibri" w:hAnsi="Verdana" w:cs="Arial"/>
          <w:lang w:eastAsia="es-ES"/>
        </w:rPr>
      </w:pPr>
      <w:r w:rsidRPr="00716A9A">
        <w:rPr>
          <w:rFonts w:ascii="Verdana" w:eastAsia="Calibri" w:hAnsi="Verdana" w:cs="Arial"/>
          <w:lang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sus solicitudes de consulta de fechas 29 de abril, 05 de mayo y 06 de mayo de 2026 en las cuales manifiesta lo siguiente: </w:t>
      </w:r>
    </w:p>
    <w:p w14:paraId="47370A4B" w14:textId="77777777" w:rsidR="00DB7B50" w:rsidRPr="00716A9A" w:rsidRDefault="00DB7B50" w:rsidP="00DB7B50">
      <w:pPr>
        <w:tabs>
          <w:tab w:val="left" w:pos="3768"/>
        </w:tabs>
        <w:spacing w:after="0" w:line="276" w:lineRule="auto"/>
        <w:jc w:val="both"/>
        <w:rPr>
          <w:rFonts w:ascii="Verdana" w:eastAsia="Calibri" w:hAnsi="Verdana" w:cs="Arial"/>
          <w:color w:val="EE0000"/>
          <w:lang w:eastAsia="es-ES"/>
        </w:rPr>
      </w:pPr>
    </w:p>
    <w:p w14:paraId="2592C11B" w14:textId="77777777" w:rsidR="00DB7B50" w:rsidRPr="00716A9A" w:rsidRDefault="00DB7B50" w:rsidP="00DB7B50">
      <w:pPr>
        <w:spacing w:before="120" w:after="120" w:line="240" w:lineRule="auto"/>
        <w:ind w:left="709" w:right="709"/>
        <w:contextualSpacing/>
        <w:jc w:val="both"/>
        <w:rPr>
          <w:rFonts w:ascii="Verdana" w:eastAsia="Century Gothic" w:hAnsi="Verdana" w:cs="Century Gothic"/>
          <w:i/>
          <w:iCs/>
          <w:sz w:val="20"/>
          <w:szCs w:val="20"/>
        </w:rPr>
      </w:pPr>
      <w:r w:rsidRPr="00716A9A">
        <w:rPr>
          <w:rFonts w:ascii="Verdana" w:eastAsia="Century Gothic" w:hAnsi="Verdana" w:cs="Century Gothic"/>
          <w:i/>
          <w:iCs/>
          <w:sz w:val="20"/>
          <w:szCs w:val="20"/>
          <w:lang w:val="es-ES"/>
        </w:rPr>
        <w:t xml:space="preserve">“[…] </w:t>
      </w:r>
      <w:r w:rsidRPr="00716A9A">
        <w:rPr>
          <w:rFonts w:ascii="Verdana" w:eastAsia="Century Gothic" w:hAnsi="Verdana" w:cs="Century Gothic"/>
          <w:i/>
          <w:iCs/>
          <w:sz w:val="20"/>
          <w:szCs w:val="20"/>
        </w:rPr>
        <w:t>1. Para una persona natural, cuando es inhabilitada, queda imposibilitada para contratar (nuevos contratos) con el Estado, ¿tanto como continuar ejecutando los que ya había celebrado?</w:t>
      </w:r>
    </w:p>
    <w:p w14:paraId="0A06E4D4" w14:textId="77777777" w:rsidR="00DB7B50" w:rsidRPr="00716A9A" w:rsidRDefault="00DB7B50" w:rsidP="00DB7B50">
      <w:pPr>
        <w:spacing w:before="120" w:after="120" w:line="240" w:lineRule="auto"/>
        <w:ind w:right="709"/>
        <w:contextualSpacing/>
        <w:jc w:val="both"/>
        <w:rPr>
          <w:rFonts w:ascii="Verdana" w:eastAsia="Century Gothic" w:hAnsi="Verdana" w:cs="Century Gothic"/>
          <w:i/>
          <w:iCs/>
          <w:sz w:val="20"/>
          <w:szCs w:val="20"/>
        </w:rPr>
      </w:pPr>
    </w:p>
    <w:p w14:paraId="45855F73" w14:textId="77777777" w:rsidR="00DB7B50" w:rsidRPr="00716A9A" w:rsidRDefault="00DB7B50" w:rsidP="00DB7B50">
      <w:pPr>
        <w:spacing w:before="120" w:after="120" w:line="240" w:lineRule="auto"/>
        <w:ind w:left="709" w:right="709"/>
        <w:contextualSpacing/>
        <w:jc w:val="both"/>
        <w:rPr>
          <w:rFonts w:ascii="Verdana" w:eastAsia="Century Gothic" w:hAnsi="Verdana" w:cs="Century Gothic"/>
          <w:i/>
          <w:iCs/>
          <w:sz w:val="20"/>
          <w:szCs w:val="20"/>
        </w:rPr>
      </w:pPr>
      <w:r w:rsidRPr="00716A9A">
        <w:rPr>
          <w:rFonts w:ascii="Verdana" w:eastAsia="Century Gothic" w:hAnsi="Verdana" w:cs="Century Gothic"/>
          <w:i/>
          <w:iCs/>
          <w:sz w:val="20"/>
          <w:szCs w:val="20"/>
        </w:rPr>
        <w:t>2. En relación con esa persona natural, en caso de que fuera inhabilitada por asuntos disciplinarios, fiscales, delictuales u otros, ¿podría ser representante legal de un contratista (persona jurídica) del Estado con capacidad para actuar?</w:t>
      </w:r>
    </w:p>
    <w:p w14:paraId="28AB8EBA" w14:textId="77777777" w:rsidR="00DB7B50" w:rsidRPr="00716A9A" w:rsidRDefault="00DB7B50" w:rsidP="00DB7B50">
      <w:pPr>
        <w:spacing w:before="120" w:after="120" w:line="240" w:lineRule="auto"/>
        <w:ind w:left="709" w:right="709"/>
        <w:contextualSpacing/>
        <w:jc w:val="both"/>
        <w:rPr>
          <w:rFonts w:ascii="Verdana" w:eastAsia="Century Gothic" w:hAnsi="Verdana" w:cs="Century Gothic"/>
          <w:i/>
          <w:iCs/>
          <w:sz w:val="20"/>
          <w:szCs w:val="20"/>
        </w:rPr>
      </w:pPr>
    </w:p>
    <w:p w14:paraId="588F4824" w14:textId="77777777" w:rsidR="00DB7B50" w:rsidRPr="00716A9A" w:rsidRDefault="00DB7B50" w:rsidP="00DB7B50">
      <w:pPr>
        <w:spacing w:before="120" w:after="120" w:line="240" w:lineRule="auto"/>
        <w:ind w:left="709" w:right="709"/>
        <w:contextualSpacing/>
        <w:jc w:val="both"/>
        <w:rPr>
          <w:rFonts w:ascii="Verdana" w:eastAsia="Century Gothic" w:hAnsi="Verdana" w:cs="Century Gothic"/>
          <w:i/>
          <w:iCs/>
          <w:sz w:val="20"/>
          <w:szCs w:val="20"/>
        </w:rPr>
      </w:pPr>
      <w:r w:rsidRPr="00716A9A">
        <w:rPr>
          <w:rFonts w:ascii="Verdana" w:eastAsia="Century Gothic" w:hAnsi="Verdana" w:cs="Century Gothic"/>
          <w:i/>
          <w:iCs/>
          <w:sz w:val="20"/>
          <w:szCs w:val="20"/>
        </w:rPr>
        <w:t>3. La inhabilidad de la persona natural puede extenderse a la persona jurídica que representa y por esa vía inhabilitar a la sociedad o persona jurídica? ¿Esta inhabilidad incluiría celebración de nuevos contratos tanto como continuar los contratos ya suscritos?</w:t>
      </w:r>
    </w:p>
    <w:p w14:paraId="0BCF6D5D" w14:textId="77777777" w:rsidR="00DB7B50" w:rsidRPr="00716A9A" w:rsidRDefault="00DB7B50" w:rsidP="00DB7B50">
      <w:pPr>
        <w:spacing w:before="120" w:after="120" w:line="240" w:lineRule="auto"/>
        <w:ind w:right="709"/>
        <w:contextualSpacing/>
        <w:jc w:val="both"/>
        <w:rPr>
          <w:rFonts w:ascii="Verdana" w:eastAsia="Century Gothic" w:hAnsi="Verdana" w:cs="Century Gothic"/>
          <w:i/>
          <w:iCs/>
          <w:sz w:val="20"/>
          <w:szCs w:val="20"/>
        </w:rPr>
      </w:pPr>
    </w:p>
    <w:p w14:paraId="2FA34BEC" w14:textId="77777777" w:rsidR="00DB7B50" w:rsidRPr="00716A9A" w:rsidRDefault="00DB7B50" w:rsidP="00DB7B50">
      <w:pPr>
        <w:spacing w:before="120" w:after="120" w:line="240" w:lineRule="auto"/>
        <w:ind w:left="709" w:right="709"/>
        <w:contextualSpacing/>
        <w:jc w:val="both"/>
        <w:rPr>
          <w:rFonts w:ascii="Verdana" w:eastAsia="Century Gothic" w:hAnsi="Verdana" w:cs="Century Gothic"/>
          <w:i/>
          <w:iCs/>
          <w:sz w:val="20"/>
          <w:szCs w:val="20"/>
        </w:rPr>
      </w:pPr>
      <w:r w:rsidRPr="00716A9A">
        <w:rPr>
          <w:rFonts w:ascii="Verdana" w:eastAsia="Century Gothic" w:hAnsi="Verdana" w:cs="Century Gothic"/>
          <w:i/>
          <w:iCs/>
          <w:sz w:val="20"/>
          <w:szCs w:val="20"/>
        </w:rPr>
        <w:t>4. En caso de que esta persona no sea representante legal de dicha persona jurídica, pero integre la Junta Directiva de esta, ¿es posible que la inhabilidad de la persona natural se pueda extender o predicar respecto de la persona jurídica?</w:t>
      </w:r>
    </w:p>
    <w:p w14:paraId="26A46CFC" w14:textId="77777777" w:rsidR="00DB7B50" w:rsidRPr="00716A9A" w:rsidRDefault="00DB7B50" w:rsidP="00DB7B50">
      <w:pPr>
        <w:spacing w:before="120" w:after="120" w:line="240" w:lineRule="auto"/>
        <w:ind w:left="709" w:right="709"/>
        <w:contextualSpacing/>
        <w:jc w:val="both"/>
        <w:rPr>
          <w:rFonts w:ascii="Verdana" w:eastAsia="Century Gothic" w:hAnsi="Verdana" w:cs="Century Gothic"/>
          <w:i/>
          <w:iCs/>
          <w:sz w:val="20"/>
          <w:szCs w:val="20"/>
        </w:rPr>
      </w:pPr>
    </w:p>
    <w:p w14:paraId="0CF5C7A2" w14:textId="77777777" w:rsidR="00DB7B50" w:rsidRPr="00716A9A" w:rsidRDefault="00DB7B50" w:rsidP="00DB7B50">
      <w:pPr>
        <w:spacing w:before="120" w:after="120" w:line="240" w:lineRule="auto"/>
        <w:ind w:left="709" w:right="709"/>
        <w:contextualSpacing/>
        <w:jc w:val="both"/>
        <w:rPr>
          <w:rFonts w:ascii="Verdana" w:eastAsia="Century Gothic" w:hAnsi="Verdana" w:cs="Century Gothic"/>
          <w:i/>
          <w:iCs/>
          <w:sz w:val="20"/>
          <w:szCs w:val="20"/>
        </w:rPr>
      </w:pPr>
      <w:r w:rsidRPr="00716A9A">
        <w:rPr>
          <w:rFonts w:ascii="Verdana" w:eastAsia="Century Gothic" w:hAnsi="Verdana" w:cs="Century Gothic"/>
          <w:i/>
          <w:iCs/>
          <w:sz w:val="20"/>
          <w:szCs w:val="20"/>
        </w:rPr>
        <w:t>5. Una persona jurídica puede o debe considerarse inhabilitada a raíz de una inhabilidad anterior o sobreviniente en alguno de sus socios? […]”</w:t>
      </w:r>
    </w:p>
    <w:p w14:paraId="4BF83B49" w14:textId="77777777" w:rsidR="00DB7B50" w:rsidRPr="00716A9A" w:rsidRDefault="00DB7B50" w:rsidP="00DB7B50">
      <w:pPr>
        <w:spacing w:before="120" w:after="120" w:line="240" w:lineRule="auto"/>
        <w:ind w:left="709" w:right="709"/>
        <w:contextualSpacing/>
        <w:jc w:val="both"/>
        <w:rPr>
          <w:rFonts w:ascii="Verdana" w:eastAsia="Century Gothic" w:hAnsi="Verdana" w:cs="Century Gothic"/>
          <w:i/>
          <w:iCs/>
          <w:sz w:val="20"/>
          <w:szCs w:val="20"/>
          <w:lang w:val="es-ES"/>
        </w:rPr>
      </w:pPr>
    </w:p>
    <w:p w14:paraId="0D074A85" w14:textId="77777777" w:rsidR="00DB7B50" w:rsidRPr="00716A9A" w:rsidRDefault="00DB7B50" w:rsidP="00DB7B50">
      <w:pPr>
        <w:spacing w:after="120" w:line="276" w:lineRule="auto"/>
        <w:ind w:firstLine="708"/>
        <w:jc w:val="both"/>
        <w:rPr>
          <w:rFonts w:ascii="Verdana" w:eastAsia="Calibri" w:hAnsi="Verdana" w:cs="Arial"/>
          <w:lang w:val="es-ES" w:eastAsia="es-ES"/>
        </w:rPr>
      </w:pPr>
      <w:r w:rsidRPr="00716A9A">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16A9A">
        <w:rPr>
          <w:rFonts w:ascii="Verdana" w:hAnsi="Verdana"/>
          <w:lang w:val="es-ES"/>
        </w:rPr>
        <w:tab/>
      </w:r>
    </w:p>
    <w:p w14:paraId="6BC2927A" w14:textId="77777777" w:rsidR="00DB7B50" w:rsidRPr="00716A9A" w:rsidRDefault="00DB7B50" w:rsidP="00DB7B50">
      <w:pPr>
        <w:spacing w:after="0" w:line="276" w:lineRule="auto"/>
        <w:ind w:firstLine="709"/>
        <w:jc w:val="both"/>
        <w:rPr>
          <w:rFonts w:ascii="Verdana" w:eastAsia="Calibri" w:hAnsi="Verdana" w:cs="Arial"/>
          <w:lang w:val="es-ES" w:eastAsia="es-ES"/>
        </w:rPr>
      </w:pPr>
      <w:r w:rsidRPr="00716A9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27A3B12" w14:textId="77777777" w:rsidR="00DB7B50" w:rsidRPr="00716A9A" w:rsidRDefault="00DB7B50" w:rsidP="00DB7B50">
      <w:pPr>
        <w:spacing w:after="0" w:line="276" w:lineRule="auto"/>
        <w:ind w:firstLine="709"/>
        <w:jc w:val="both"/>
        <w:rPr>
          <w:rFonts w:ascii="Verdana" w:eastAsia="Calibri" w:hAnsi="Verdana" w:cs="Arial"/>
          <w:lang w:val="es-ES" w:eastAsia="es-ES"/>
        </w:rPr>
      </w:pPr>
    </w:p>
    <w:p w14:paraId="4638F8FB" w14:textId="77777777" w:rsidR="00DB7B50" w:rsidRPr="00716A9A" w:rsidRDefault="00DB7B50" w:rsidP="00DB7B50">
      <w:pPr>
        <w:tabs>
          <w:tab w:val="left" w:pos="142"/>
          <w:tab w:val="left" w:pos="284"/>
        </w:tabs>
        <w:spacing w:after="0" w:line="276" w:lineRule="auto"/>
        <w:contextualSpacing/>
        <w:jc w:val="both"/>
        <w:rPr>
          <w:rFonts w:ascii="Verdana" w:eastAsia="Century Gothic" w:hAnsi="Verdana" w:cs="Century Gothic"/>
          <w:b/>
          <w:lang w:val="es-ES"/>
        </w:rPr>
      </w:pPr>
      <w:r w:rsidRPr="00716A9A">
        <w:rPr>
          <w:rFonts w:ascii="Verdana" w:eastAsia="Century Gothic" w:hAnsi="Verdana" w:cs="Century Gothic"/>
          <w:b/>
          <w:lang w:val="es-ES"/>
        </w:rPr>
        <w:t>1. Problema planteado:</w:t>
      </w:r>
    </w:p>
    <w:p w14:paraId="12B48E0D" w14:textId="77777777" w:rsidR="00DB7B50" w:rsidRPr="00716A9A" w:rsidRDefault="00DB7B50" w:rsidP="00DB7B50">
      <w:pPr>
        <w:tabs>
          <w:tab w:val="left" w:pos="426"/>
        </w:tabs>
        <w:spacing w:after="0" w:line="276" w:lineRule="auto"/>
        <w:jc w:val="both"/>
        <w:rPr>
          <w:rFonts w:ascii="Verdana" w:eastAsia="Century Gothic" w:hAnsi="Verdana" w:cs="Century Gothic"/>
          <w:lang w:val="es-ES"/>
        </w:rPr>
      </w:pPr>
    </w:p>
    <w:p w14:paraId="33BA4C89" w14:textId="77777777" w:rsidR="00DB7B50" w:rsidRPr="00310572" w:rsidRDefault="00DB7B50" w:rsidP="00DB7B50">
      <w:pPr>
        <w:spacing w:after="0" w:line="276" w:lineRule="auto"/>
        <w:jc w:val="both"/>
        <w:rPr>
          <w:rFonts w:ascii="Verdana" w:eastAsia="Century Gothic" w:hAnsi="Verdana" w:cs="Century Gothic"/>
          <w:color w:val="EE0000"/>
        </w:rPr>
      </w:pPr>
      <w:r w:rsidRPr="00310572">
        <w:rPr>
          <w:rFonts w:ascii="Verdana" w:eastAsia="Century Gothic" w:hAnsi="Verdana" w:cs="Century Gothic"/>
          <w:lang w:val="es-ES"/>
        </w:rPr>
        <w:lastRenderedPageBreak/>
        <w:t>De acuerdo con el contenido de su solicitud, esta Agencia resolverá los siguientes problemas jurídicos: i.</w:t>
      </w:r>
      <w:r w:rsidRPr="00310572">
        <w:rPr>
          <w:rFonts w:ascii="Verdana" w:eastAsia="Century Gothic" w:hAnsi="Verdana" w:cs="Century Gothic"/>
        </w:rPr>
        <w:t xml:space="preserve"> ¿Cuál es el alcance de las inhabilidades derivadas de la imposición de una sanción disciplinaria? Y ii. ¿Puede la inhabilidad de la persona natural extenderse a la persona jurídica? iii. ¿Cuál es el régimen de las inhabilidades sobrevinientes en los procesos de contratación? </w:t>
      </w:r>
      <w:r w:rsidRPr="00310572">
        <w:rPr>
          <w:rFonts w:ascii="Verdana" w:eastAsia="Century Gothic" w:hAnsi="Verdana" w:cs="Century Gothic"/>
          <w:color w:val="7030A0"/>
        </w:rPr>
        <w:t xml:space="preserve"> </w:t>
      </w:r>
    </w:p>
    <w:p w14:paraId="0D16E602" w14:textId="77777777" w:rsidR="00DB7B50" w:rsidRPr="00716A9A" w:rsidRDefault="00DB7B50" w:rsidP="00DB7B50">
      <w:pPr>
        <w:spacing w:after="0" w:line="276" w:lineRule="auto"/>
        <w:jc w:val="both"/>
        <w:rPr>
          <w:rFonts w:ascii="Verdana" w:eastAsia="Century Gothic" w:hAnsi="Verdana" w:cs="Century Gothic"/>
          <w:color w:val="EE0000"/>
        </w:rPr>
      </w:pPr>
    </w:p>
    <w:p w14:paraId="4282A415" w14:textId="77777777" w:rsidR="00DB7B50" w:rsidRPr="00716A9A" w:rsidRDefault="00DB7B50" w:rsidP="00DB7B50">
      <w:pPr>
        <w:tabs>
          <w:tab w:val="left" w:pos="142"/>
          <w:tab w:val="left" w:pos="284"/>
        </w:tabs>
        <w:spacing w:after="0" w:line="276" w:lineRule="auto"/>
        <w:jc w:val="both"/>
        <w:rPr>
          <w:rFonts w:ascii="Verdana" w:eastAsia="Century Gothic" w:hAnsi="Verdana" w:cs="Century Gothic"/>
          <w:b/>
          <w:lang w:val="es-ES"/>
        </w:rPr>
      </w:pPr>
      <w:r w:rsidRPr="00716A9A">
        <w:rPr>
          <w:rFonts w:ascii="Verdana" w:eastAsia="Century Gothic" w:hAnsi="Verdana" w:cs="Century Gothic"/>
          <w:b/>
          <w:lang w:val="es-ES"/>
        </w:rPr>
        <w:t>2. Respuesta:</w:t>
      </w:r>
    </w:p>
    <w:p w14:paraId="28DD8CCD" w14:textId="77777777" w:rsidR="00DB7B50" w:rsidRPr="00716A9A" w:rsidRDefault="00DB7B50" w:rsidP="00DB7B50">
      <w:pPr>
        <w:tabs>
          <w:tab w:val="left" w:pos="142"/>
          <w:tab w:val="left" w:pos="284"/>
        </w:tabs>
        <w:spacing w:after="0" w:line="276" w:lineRule="auto"/>
        <w:jc w:val="both"/>
        <w:rPr>
          <w:rFonts w:ascii="Verdana" w:eastAsia="Century Gothic" w:hAnsi="Verdana" w:cs="Century Gothic"/>
          <w:b/>
          <w:bCs/>
          <w:color w:val="EE0000"/>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B7B50" w:rsidRPr="00716A9A" w14:paraId="6D30DA3D" w14:textId="77777777" w:rsidTr="00137E3C">
        <w:tc>
          <w:tcPr>
            <w:tcW w:w="8828" w:type="dxa"/>
          </w:tcPr>
          <w:p w14:paraId="566F5FC6" w14:textId="77777777" w:rsidR="00DB7B50" w:rsidRPr="00716A9A" w:rsidRDefault="00DB7B50" w:rsidP="00137E3C">
            <w:pPr>
              <w:spacing w:before="120" w:after="120" w:line="276" w:lineRule="auto"/>
              <w:jc w:val="both"/>
              <w:rPr>
                <w:rFonts w:ascii="Verdana" w:eastAsia="Calibri" w:hAnsi="Verdana" w:cs="Arial"/>
              </w:rPr>
            </w:pPr>
            <w:r w:rsidRPr="00716A9A">
              <w:rPr>
                <w:rFonts w:ascii="Verdana" w:eastAsia="Calibri" w:hAnsi="Verdana" w:cs="Arial"/>
              </w:rPr>
              <w:t xml:space="preserve">En primer lugar, debe señalarse que las inhabilidades e incompatibilidades, como límites especiales a la capacidad para participar en procesos de selección y celebrar contratos estatales, únicamente pueden establecerse por la Constitución o la ley y están sujetas a una interpretación </w:t>
            </w:r>
            <w:r w:rsidRPr="00716A9A">
              <w:rPr>
                <w:rFonts w:ascii="Verdana" w:eastAsia="Calibri" w:hAnsi="Verdana" w:cs="Arial"/>
                <w:i/>
                <w:iCs/>
              </w:rPr>
              <w:t>restrictiva</w:t>
            </w:r>
            <w:r w:rsidRPr="00716A9A">
              <w:rPr>
                <w:rFonts w:ascii="Verdana" w:eastAsia="Calibri" w:hAnsi="Verdana" w:cs="Arial"/>
              </w:rPr>
              <w:t>. Bajo ese entendido, el régimen de inhabilidades para contratar con el Estado se encuentra regulado de manera expresa en el artículo 8 de la Ley 80 de 1993.</w:t>
            </w:r>
          </w:p>
          <w:p w14:paraId="09BA1DD4" w14:textId="77777777" w:rsidR="00DB7B50" w:rsidRPr="00716A9A" w:rsidRDefault="00DB7B50" w:rsidP="00137E3C">
            <w:pPr>
              <w:spacing w:before="120" w:after="120" w:line="276" w:lineRule="auto"/>
              <w:ind w:firstLine="709"/>
              <w:jc w:val="both"/>
              <w:rPr>
                <w:rFonts w:ascii="Verdana" w:eastAsia="Calibri" w:hAnsi="Verdana" w:cs="Arial"/>
              </w:rPr>
            </w:pPr>
            <w:r w:rsidRPr="00716A9A">
              <w:rPr>
                <w:rFonts w:ascii="Verdana" w:eastAsia="Calibri" w:hAnsi="Verdana" w:cs="Arial"/>
              </w:rPr>
              <w:t>En ese orden de ideas, para dar respuesta al primer problema jurídico, si bien es cierto que una misma sanción disciplinaria puede generar distintas consecuencias jurídicas, ello no implica que todas compartan el mismo alcance. Así, mientras la inhabilidad para contratar con el Estado se circunscribe al ámbito de la actividad negocial estatal, la inhabilidad general derivada de una sanción disciplinaria, como la destitución, tiene efectos propios en materia de acceso, nombramiento o ejercicio de la función pública, conforme a la Constitución Política y al Código General Disciplinario.</w:t>
            </w:r>
          </w:p>
          <w:p w14:paraId="4416FAE6" w14:textId="77777777" w:rsidR="00DB7B50" w:rsidRPr="00716A9A" w:rsidRDefault="00DB7B50" w:rsidP="00137E3C">
            <w:pPr>
              <w:spacing w:before="120" w:after="120" w:line="276" w:lineRule="auto"/>
              <w:ind w:firstLine="709"/>
              <w:jc w:val="both"/>
              <w:rPr>
                <w:rFonts w:ascii="Verdana" w:eastAsia="Calibri" w:hAnsi="Verdana" w:cs="Arial"/>
              </w:rPr>
            </w:pPr>
            <w:r w:rsidRPr="00716A9A">
              <w:rPr>
                <w:rFonts w:ascii="Verdana" w:eastAsia="Calibri" w:hAnsi="Verdana" w:cs="Arial"/>
              </w:rPr>
              <w:t>En particular, la inhabilidad para contratar con el Estado que se deriva de una sanción disciplinaria es de carácter legal, autónoma y temporalmente delimitada, en los términos del literal d) del artículo 8 de la Ley 80 de 1993, esto es, cinco (5) años contados desde la ejecutoria del acto sancionatorio, sin perjuicio de que subsistan otras inhabilidades de naturaleza distinta, como la inhabilidad general para ejercer función pública.</w:t>
            </w:r>
          </w:p>
          <w:p w14:paraId="40A41BD4" w14:textId="77777777" w:rsidR="00DB7B50" w:rsidRPr="00716A9A" w:rsidRDefault="00DB7B50" w:rsidP="00137E3C">
            <w:pPr>
              <w:spacing w:after="120" w:line="276" w:lineRule="auto"/>
              <w:ind w:firstLine="708"/>
              <w:jc w:val="both"/>
              <w:rPr>
                <w:rFonts w:ascii="Verdana" w:eastAsia="Verdana" w:hAnsi="Verdana" w:cs="Verdana"/>
              </w:rPr>
            </w:pPr>
            <w:r w:rsidRPr="00716A9A">
              <w:rPr>
                <w:rFonts w:ascii="Verdana" w:eastAsia="Verdana" w:hAnsi="Verdana" w:cs="Verdana"/>
              </w:rPr>
              <w:t xml:space="preserve">En consecuencia, aunque la inhabilidad para contratar con el Estado prevista en el artículo 8 de la Ley 80 de 1993 se extinga a los cinco (5) años contados desde la ejecutoria del acto sancionatorio, la inhabilidad general subsiste para aquellos contratos que impliquen el ejercicio de función pública. Por el contrario, en los eventos en que el contrato no comporte el ejercicio de funciones públicas, la capacidad para contratar se restablece una vez superado el término legal de la inhabilidad contractual. En tal sentido, la configuración, </w:t>
            </w:r>
            <w:r w:rsidRPr="00716A9A">
              <w:rPr>
                <w:rFonts w:ascii="Verdana" w:eastAsia="Verdana" w:hAnsi="Verdana" w:cs="Verdana"/>
              </w:rPr>
              <w:lastRenderedPageBreak/>
              <w:t>vigencia y verificación de las inhabilidades debe realizarse de manera diferenciada, atendiendo tanto a la naturaleza de la sanción como al tipo de vínculo contractual que se pretenda celebrar.</w:t>
            </w:r>
          </w:p>
          <w:p w14:paraId="72CC586C" w14:textId="77777777" w:rsidR="00DB7B50" w:rsidRPr="00716A9A" w:rsidRDefault="00DB7B50" w:rsidP="00137E3C">
            <w:pPr>
              <w:spacing w:after="120" w:line="276" w:lineRule="auto"/>
              <w:ind w:firstLine="708"/>
              <w:jc w:val="both"/>
              <w:rPr>
                <w:rFonts w:ascii="Verdana" w:eastAsia="Arial MT" w:hAnsi="Verdana" w:cs="Arial"/>
                <w:lang w:eastAsia="es-ES" w:bidi="es-ES"/>
              </w:rPr>
            </w:pPr>
            <w:r w:rsidRPr="00716A9A">
              <w:rPr>
                <w:rFonts w:ascii="Verdana" w:eastAsia="Verdana" w:hAnsi="Verdana" w:cs="Verdana"/>
              </w:rPr>
              <w:t>Ahora bien, frente al segundo problema jurídico</w:t>
            </w:r>
            <w:r w:rsidRPr="00716A9A">
              <w:rPr>
                <w:rFonts w:ascii="Verdana" w:eastAsia="Times New Roman" w:hAnsi="Verdana" w:cs="Arial"/>
                <w:lang w:eastAsia="es-MX"/>
              </w:rPr>
              <w:t xml:space="preserve">, de conformidad con </w:t>
            </w:r>
            <w:r w:rsidRPr="00716A9A">
              <w:rPr>
                <w:rFonts w:ascii="Verdana" w:eastAsia="Arial MT" w:hAnsi="Verdana" w:cs="Arial"/>
                <w:lang w:eastAsia="es-ES" w:bidi="es-ES"/>
              </w:rPr>
              <w:t>el régimen de inhabilidades e incompatibilidades contenido en la Ley 80 de 1993, no se identifica alguna causal que limite la capacidad jurídica de aquellas personas jurídicas que pretendan contratar con el Estado, y su representante legal hubiere sido condenado o sancionado mediante sentencia judicial de naturaleza penal o administrativa. Sobre todo, cuando en la exposición de las consideraciones del presente concepto se puso de presente la exigencia en cabeza del operador jurídico de observar el principio de interpretación restrictiva del régimen de inhabilidades e incompatibilidades vigentes en Colombia, que consiste en que tales disposiciones deben interpretarse de forma estricta, literal y restringida, sin extender su alcance más allá de lo que expresamente dispone la norma.</w:t>
            </w:r>
          </w:p>
          <w:p w14:paraId="24692138" w14:textId="77777777" w:rsidR="00DB7B50" w:rsidRPr="00716A9A" w:rsidRDefault="00DB7B50" w:rsidP="00137E3C">
            <w:pPr>
              <w:spacing w:after="120" w:line="276" w:lineRule="auto"/>
              <w:ind w:right="49" w:firstLine="709"/>
              <w:jc w:val="both"/>
              <w:rPr>
                <w:rFonts w:ascii="Verdana" w:eastAsia="Arial MT" w:hAnsi="Verdana" w:cs="Arial"/>
                <w:lang w:eastAsia="es-ES" w:bidi="es-ES"/>
              </w:rPr>
            </w:pPr>
            <w:r w:rsidRPr="00716A9A">
              <w:rPr>
                <w:rFonts w:ascii="Verdana" w:eastAsia="Arial MT" w:hAnsi="Verdana" w:cs="Arial"/>
                <w:lang w:eastAsia="es-ES" w:bidi="es-ES"/>
              </w:rPr>
              <w:t>Dicho esto, al no admitirse analogías ni interpretaciones extensivas, no se puede aplicar por semejanza tal limitación a las personas jurídicas que ostenten representantes legales condenados o sancionados, dado que dicha situación no se encuentra expresamente en la disposición estudiada, en procura de salvaguardar la seguridad jurídica y el principio de legalidad en materia de contratación pública.</w:t>
            </w:r>
          </w:p>
          <w:p w14:paraId="28EB7D40" w14:textId="77777777" w:rsidR="00DB7B50" w:rsidRPr="00716A9A" w:rsidRDefault="00DB7B50" w:rsidP="00137E3C">
            <w:pPr>
              <w:spacing w:before="120" w:after="120" w:line="276" w:lineRule="auto"/>
              <w:ind w:firstLine="709"/>
              <w:jc w:val="both"/>
              <w:rPr>
                <w:rFonts w:ascii="Verdana" w:eastAsia="Times New Roman" w:hAnsi="Verdana" w:cs="Times New Roman"/>
                <w:color w:val="EE0000"/>
                <w:lang w:eastAsia="es-ES"/>
              </w:rPr>
            </w:pPr>
            <w:r w:rsidRPr="00716A9A">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716A9A">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p>
        </w:tc>
      </w:tr>
    </w:tbl>
    <w:p w14:paraId="063135C6" w14:textId="77777777" w:rsidR="00DB7B50" w:rsidRPr="00716A9A" w:rsidRDefault="00DB7B50" w:rsidP="00DB7B50">
      <w:pPr>
        <w:tabs>
          <w:tab w:val="left" w:pos="142"/>
          <w:tab w:val="left" w:pos="284"/>
        </w:tabs>
        <w:spacing w:before="240" w:after="240" w:line="276" w:lineRule="auto"/>
        <w:jc w:val="both"/>
        <w:rPr>
          <w:rFonts w:ascii="Verdana" w:eastAsia="Century Gothic" w:hAnsi="Verdana" w:cs="Century Gothic"/>
          <w:b/>
          <w:lang w:val="es-ES"/>
        </w:rPr>
      </w:pPr>
      <w:r w:rsidRPr="00716A9A">
        <w:rPr>
          <w:rFonts w:ascii="Verdana" w:eastAsia="Century Gothic" w:hAnsi="Verdana" w:cs="Century Gothic"/>
          <w:b/>
          <w:lang w:val="es-ES"/>
        </w:rPr>
        <w:lastRenderedPageBreak/>
        <w:t>3. Razones de la respuesta:</w:t>
      </w:r>
    </w:p>
    <w:p w14:paraId="28E897B7" w14:textId="77777777" w:rsidR="00DB7B50" w:rsidRPr="00716A9A" w:rsidRDefault="00DB7B50" w:rsidP="00DB7B50">
      <w:pPr>
        <w:tabs>
          <w:tab w:val="left" w:pos="7451"/>
        </w:tabs>
        <w:spacing w:before="240" w:after="240" w:line="276" w:lineRule="auto"/>
        <w:jc w:val="both"/>
        <w:rPr>
          <w:rFonts w:ascii="Verdana" w:eastAsia="Calibri" w:hAnsi="Verdana" w:cs="Arial"/>
          <w:lang w:val="es-ES"/>
        </w:rPr>
      </w:pPr>
      <w:r w:rsidRPr="00716A9A">
        <w:rPr>
          <w:rFonts w:ascii="Verdana" w:eastAsia="Calibri" w:hAnsi="Verdana" w:cs="Arial"/>
          <w:lang w:val="es-ES"/>
        </w:rPr>
        <w:t>Lo anterior se sustenta en las siguientes consideraciones:</w:t>
      </w:r>
    </w:p>
    <w:p w14:paraId="7E111674" w14:textId="77777777" w:rsidR="00DB7B50" w:rsidRPr="00716A9A" w:rsidRDefault="00DB7B50" w:rsidP="00DB7B50">
      <w:pPr>
        <w:pStyle w:val="Sinespaciado"/>
        <w:spacing w:line="276" w:lineRule="auto"/>
        <w:jc w:val="both"/>
        <w:rPr>
          <w:rFonts w:ascii="Verdana" w:hAnsi="Verdana" w:cs="Arial"/>
          <w:color w:val="000000" w:themeColor="text1"/>
          <w:sz w:val="22"/>
        </w:rPr>
      </w:pPr>
      <w:r w:rsidRPr="00716A9A">
        <w:rPr>
          <w:rFonts w:ascii="Verdana" w:eastAsia="Calibri" w:hAnsi="Verdana" w:cs="Arial"/>
          <w:bCs/>
          <w:color w:val="000000" w:themeColor="text1"/>
          <w:lang w:eastAsia="es-ES_tradnl"/>
        </w:rPr>
        <w:t xml:space="preserve">i. </w:t>
      </w:r>
      <w:r w:rsidRPr="00716A9A">
        <w:rPr>
          <w:rFonts w:ascii="Verdana" w:hAnsi="Verdana" w:cs="Arial"/>
          <w:color w:val="000000" w:themeColor="text1"/>
          <w:sz w:val="22"/>
        </w:rPr>
        <w:t xml:space="preserve">Las inhabilidades e incompatibilidades son circunstancias establecidas por la Constitución o la ley que impiden la posibilidad de que ciertas personas sean elegidas o designadas en un cargo público o puedan celebrar contratos con el Estado, con el objetivo de garantizar la idoneidad, imparcialidad, probidad, transparencia y moralidad de la gestión pública.  El régimen de inhabilidades e incompatibilidades para contratar con el Estado es un conjunto de restricciones establecidas por el constituyente o por el legislador que afectan directamente la capacidad de las personas para establecer una relación jurídica contractual con el Estado, que pueden resultar de condenas, sanciones o situaciones previamente establecidas por el ordenamiento jurídico. Estas restricciones o limitaciones que afectan la capacidad jurídica de las personas para contratar realizan los principios de la función administrativa, consagrados en el artículo 209 de la Constitución Política, con especial énfasis en el de moralidad. Así lo ha entendido el Consejo de Estado: </w:t>
      </w:r>
    </w:p>
    <w:p w14:paraId="70974B36" w14:textId="77777777" w:rsidR="00DB7B50" w:rsidRPr="00716A9A" w:rsidRDefault="00DB7B50" w:rsidP="00DB7B50">
      <w:pPr>
        <w:pStyle w:val="Sinespaciado"/>
        <w:spacing w:line="276" w:lineRule="auto"/>
        <w:jc w:val="both"/>
        <w:rPr>
          <w:rFonts w:ascii="Verdana" w:hAnsi="Verdana" w:cs="Arial"/>
          <w:color w:val="000000" w:themeColor="text1"/>
          <w:sz w:val="20"/>
          <w:szCs w:val="20"/>
          <w:lang w:val="es-ES"/>
        </w:rPr>
      </w:pPr>
    </w:p>
    <w:p w14:paraId="772D462F" w14:textId="77777777" w:rsidR="00DB7B50" w:rsidRPr="00716A9A" w:rsidRDefault="00DB7B50" w:rsidP="00DB7B50">
      <w:pPr>
        <w:pStyle w:val="NormalWeb"/>
        <w:shd w:val="clear" w:color="auto" w:fill="FFFFFF"/>
        <w:spacing w:before="0" w:beforeAutospacing="0" w:after="120" w:afterAutospacing="0"/>
        <w:ind w:left="709" w:right="709"/>
        <w:jc w:val="both"/>
        <w:rPr>
          <w:rFonts w:ascii="Verdana" w:hAnsi="Verdana" w:cs="Arial"/>
          <w:color w:val="000000" w:themeColor="text1"/>
          <w:sz w:val="20"/>
          <w:szCs w:val="20"/>
          <w:lang w:val="es-ES"/>
        </w:rPr>
      </w:pPr>
      <w:r w:rsidRPr="00716A9A">
        <w:rPr>
          <w:rFonts w:ascii="Verdana" w:hAnsi="Verdana" w:cs="Arial"/>
          <w:color w:val="000000" w:themeColor="text1"/>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1EEA64C0" w14:textId="77777777" w:rsidR="00DB7B50" w:rsidRPr="00716A9A" w:rsidRDefault="00DB7B50" w:rsidP="00DB7B50">
      <w:pPr>
        <w:pStyle w:val="NormalWeb"/>
        <w:shd w:val="clear" w:color="auto" w:fill="FFFFFF"/>
        <w:spacing w:before="0" w:beforeAutospacing="0" w:after="0"/>
        <w:ind w:left="709" w:right="709"/>
        <w:jc w:val="both"/>
        <w:rPr>
          <w:rFonts w:ascii="Verdana" w:hAnsi="Verdana" w:cs="Arial"/>
          <w:color w:val="000000" w:themeColor="text1"/>
          <w:sz w:val="20"/>
          <w:szCs w:val="20"/>
          <w:lang w:val="es-ES"/>
        </w:rPr>
      </w:pPr>
      <w:r w:rsidRPr="00716A9A">
        <w:rPr>
          <w:rFonts w:ascii="Verdana" w:hAnsi="Verdana" w:cs="Arial"/>
          <w:color w:val="000000" w:themeColor="text1"/>
          <w:sz w:val="20"/>
          <w:szCs w:val="20"/>
          <w:lang w:val="es-ES"/>
        </w:rPr>
        <w:t xml:space="preserve">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w:t>
      </w:r>
      <w:r w:rsidRPr="00716A9A">
        <w:rPr>
          <w:rFonts w:ascii="Verdana" w:hAnsi="Verdana" w:cs="Arial"/>
          <w:color w:val="000000" w:themeColor="text1"/>
          <w:sz w:val="20"/>
          <w:szCs w:val="20"/>
          <w:lang w:val="es-ES"/>
        </w:rPr>
        <w:lastRenderedPageBreak/>
        <w:t>que puede ser impuesta sobre el derecho individual a contratar con el Estado”</w:t>
      </w:r>
      <w:r w:rsidRPr="00716A9A">
        <w:rPr>
          <w:rStyle w:val="Refdenotaalpie"/>
          <w:rFonts w:ascii="Verdana" w:hAnsi="Verdana" w:cs="Arial"/>
          <w:color w:val="000000" w:themeColor="text1"/>
          <w:sz w:val="20"/>
          <w:szCs w:val="20"/>
          <w:lang w:val="es-ES"/>
        </w:rPr>
        <w:footnoteReference w:id="1"/>
      </w:r>
      <w:r w:rsidRPr="00716A9A">
        <w:rPr>
          <w:rFonts w:ascii="Verdana" w:hAnsi="Verdana" w:cs="Arial"/>
          <w:color w:val="000000" w:themeColor="text1"/>
          <w:sz w:val="20"/>
          <w:szCs w:val="20"/>
          <w:lang w:val="es-ES"/>
        </w:rPr>
        <w:t xml:space="preserve">. </w:t>
      </w:r>
    </w:p>
    <w:p w14:paraId="2127CDFA" w14:textId="77777777" w:rsidR="00DB7B50" w:rsidRPr="00716A9A" w:rsidRDefault="00DB7B50" w:rsidP="00DB7B50">
      <w:pPr>
        <w:spacing w:after="0" w:line="276" w:lineRule="auto"/>
        <w:ind w:firstLine="709"/>
        <w:jc w:val="both"/>
        <w:rPr>
          <w:rFonts w:ascii="Verdana" w:hAnsi="Verdana" w:cs="Arial"/>
          <w:color w:val="000000" w:themeColor="text1"/>
        </w:rPr>
      </w:pPr>
      <w:r w:rsidRPr="00716A9A">
        <w:rPr>
          <w:rFonts w:ascii="Verdana" w:hAnsi="Verdana" w:cs="Arial"/>
          <w:color w:val="000000" w:themeColor="text1"/>
        </w:rPr>
        <w:t>Además, la Corte Constitucional explica que el legislador tiene la competencia para determinar qué hechos o situaciones generan inhabilidad para contratar, pues este régimen es un aspecto propio del Estatuto General de Contratación de la Administración Pública, cuya expedición compete al Congreso de la República a la luz del artículo 150 de la Constitución Política, y que en esta materia rige el principio de legalidad:</w:t>
      </w:r>
    </w:p>
    <w:p w14:paraId="0F15BA74" w14:textId="77777777" w:rsidR="00DB7B50" w:rsidRPr="00716A9A" w:rsidRDefault="00DB7B50" w:rsidP="00DB7B50">
      <w:pPr>
        <w:pStyle w:val="Sinespaciado"/>
        <w:tabs>
          <w:tab w:val="left" w:pos="1532"/>
        </w:tabs>
        <w:spacing w:line="276" w:lineRule="auto"/>
        <w:jc w:val="both"/>
        <w:rPr>
          <w:rFonts w:ascii="Verdana" w:hAnsi="Verdana" w:cs="Arial"/>
          <w:color w:val="000000" w:themeColor="text1"/>
          <w:sz w:val="22"/>
        </w:rPr>
      </w:pPr>
    </w:p>
    <w:p w14:paraId="4F9EA452" w14:textId="77777777" w:rsidR="00DB7B50" w:rsidRPr="00716A9A" w:rsidRDefault="00DB7B50" w:rsidP="00DB7B50">
      <w:pPr>
        <w:spacing w:after="0" w:line="240" w:lineRule="auto"/>
        <w:ind w:left="709" w:right="709"/>
        <w:jc w:val="both"/>
        <w:rPr>
          <w:rFonts w:ascii="Verdana" w:hAnsi="Verdana" w:cs="Arial"/>
          <w:color w:val="000000" w:themeColor="text1"/>
          <w:sz w:val="20"/>
          <w:szCs w:val="20"/>
        </w:rPr>
      </w:pPr>
      <w:r w:rsidRPr="00716A9A">
        <w:rPr>
          <w:rFonts w:ascii="Verdana" w:hAnsi="Verdana" w:cs="Arial"/>
          <w:color w:val="000000" w:themeColor="text1"/>
          <w:sz w:val="20"/>
          <w:szCs w:val="20"/>
        </w:rPr>
        <w:t>“Las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w:t>
      </w:r>
      <w:r w:rsidRPr="00716A9A">
        <w:rPr>
          <w:rFonts w:ascii="Verdana" w:hAnsi="Verdana" w:cs="Arial"/>
          <w:i/>
          <w:iCs/>
          <w:color w:val="000000" w:themeColor="text1"/>
          <w:sz w:val="20"/>
          <w:szCs w:val="20"/>
        </w:rPr>
        <w:t>pro libertate</w:t>
      </w:r>
      <w:r w:rsidRPr="00716A9A">
        <w:rPr>
          <w:rFonts w:ascii="Verdana" w:hAnsi="Verdana" w:cs="Arial"/>
          <w:color w:val="000000" w:themeColor="text1"/>
          <w:sz w:val="20"/>
          <w:szCs w:val="20"/>
        </w:rPr>
        <w:t xml:space="preserve">, sino el de legalidad, el que ordena que la función pública debe someterse estrictamente a lo que disponga la Constitución y la ley (CP art. 6). </w:t>
      </w:r>
    </w:p>
    <w:p w14:paraId="1412AFC3" w14:textId="77777777" w:rsidR="00DB7B50" w:rsidRPr="00716A9A" w:rsidRDefault="00DB7B50" w:rsidP="00DB7B50">
      <w:pPr>
        <w:spacing w:after="120" w:line="240" w:lineRule="auto"/>
        <w:ind w:left="709" w:right="709"/>
        <w:jc w:val="both"/>
        <w:rPr>
          <w:rFonts w:ascii="Verdana" w:hAnsi="Verdana" w:cs="Arial"/>
          <w:color w:val="000000" w:themeColor="text1"/>
          <w:sz w:val="20"/>
          <w:szCs w:val="20"/>
        </w:rPr>
      </w:pPr>
      <w:r w:rsidRPr="00716A9A">
        <w:rPr>
          <w:rFonts w:ascii="Verdana" w:hAnsi="Verdana" w:cs="Arial"/>
          <w:color w:val="000000" w:themeColor="text1"/>
          <w:sz w:val="20"/>
          <w:szCs w:val="20"/>
        </w:rPr>
        <w:t xml:space="preserve">[…] </w:t>
      </w:r>
    </w:p>
    <w:p w14:paraId="2BED9ABE" w14:textId="77777777" w:rsidR="00DB7B50" w:rsidRPr="00716A9A" w:rsidRDefault="00DB7B50" w:rsidP="00DB7B50">
      <w:pPr>
        <w:spacing w:after="0" w:line="240" w:lineRule="auto"/>
        <w:ind w:left="709" w:right="709"/>
        <w:jc w:val="both"/>
        <w:rPr>
          <w:rFonts w:ascii="Verdana" w:hAnsi="Verdana" w:cs="Arial"/>
          <w:color w:val="000000" w:themeColor="text1"/>
          <w:sz w:val="20"/>
          <w:szCs w:val="20"/>
        </w:rPr>
      </w:pPr>
      <w:r w:rsidRPr="00716A9A">
        <w:rPr>
          <w:rFonts w:ascii="Verdana" w:hAnsi="Verdana" w:cs="Arial"/>
          <w:color w:val="000000" w:themeColor="text1"/>
          <w:sz w:val="20"/>
          <w:szCs w:val="20"/>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716A9A">
        <w:rPr>
          <w:rStyle w:val="Refdenotaalpie"/>
          <w:rFonts w:ascii="Verdana" w:hAnsi="Verdana" w:cs="Arial"/>
          <w:color w:val="000000" w:themeColor="text1"/>
          <w:sz w:val="20"/>
          <w:szCs w:val="20"/>
        </w:rPr>
        <w:footnoteReference w:id="2"/>
      </w:r>
      <w:r w:rsidRPr="00716A9A">
        <w:rPr>
          <w:rFonts w:ascii="Verdana" w:hAnsi="Verdana" w:cs="Arial"/>
          <w:color w:val="000000" w:themeColor="text1"/>
          <w:sz w:val="20"/>
          <w:szCs w:val="20"/>
        </w:rPr>
        <w:t>.</w:t>
      </w:r>
    </w:p>
    <w:p w14:paraId="555628C3" w14:textId="77777777" w:rsidR="00DB7B50" w:rsidRPr="00716A9A" w:rsidRDefault="00DB7B50" w:rsidP="00DB7B50">
      <w:pPr>
        <w:spacing w:after="0" w:line="276" w:lineRule="auto"/>
        <w:ind w:left="709" w:right="709"/>
        <w:jc w:val="both"/>
        <w:rPr>
          <w:rFonts w:ascii="Verdana" w:hAnsi="Verdana" w:cs="Arial"/>
          <w:color w:val="7030A0"/>
        </w:rPr>
      </w:pPr>
    </w:p>
    <w:p w14:paraId="6566B474" w14:textId="77777777" w:rsidR="00DB7B50" w:rsidRPr="00716A9A" w:rsidRDefault="00DB7B50" w:rsidP="00DB7B50">
      <w:pPr>
        <w:spacing w:after="0" w:line="276" w:lineRule="auto"/>
        <w:ind w:firstLine="709"/>
        <w:contextualSpacing/>
        <w:jc w:val="both"/>
        <w:rPr>
          <w:rFonts w:ascii="Verdana" w:eastAsia="Calibri" w:hAnsi="Verdana" w:cs="Arial"/>
          <w:lang w:val="es-ES_tradnl"/>
        </w:rPr>
      </w:pPr>
      <w:r w:rsidRPr="00716A9A">
        <w:rPr>
          <w:rFonts w:ascii="Verdana" w:eastAsia="Calibri" w:hAnsi="Verdana" w:cs="Arial"/>
        </w:rPr>
        <w:t>De esta manera</w:t>
      </w:r>
      <w:r w:rsidRPr="00716A9A">
        <w:rPr>
          <w:rFonts w:ascii="Verdana" w:eastAsia="Calibri" w:hAnsi="Verdana" w:cs="Arial"/>
          <w:lang w:val="es-ES_tradnl"/>
        </w:rPr>
        <w:t xml:space="preserve">,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716A9A">
        <w:rPr>
          <w:rFonts w:ascii="Verdana" w:eastAsia="Calibri" w:hAnsi="Verdana" w:cs="Arial"/>
          <w:i/>
          <w:iCs/>
          <w:lang w:val="es-ES_tradnl"/>
        </w:rPr>
        <w:t>restrictiva</w:t>
      </w:r>
      <w:r w:rsidRPr="00716A9A">
        <w:rPr>
          <w:rStyle w:val="Refdenotaalpie"/>
          <w:rFonts w:ascii="Verdana" w:eastAsia="Calibri" w:hAnsi="Verdana" w:cs="Arial"/>
          <w:i/>
          <w:iCs/>
          <w:lang w:val="es-ES_tradnl"/>
        </w:rPr>
        <w:footnoteReference w:id="3"/>
      </w:r>
      <w:r w:rsidRPr="00716A9A">
        <w:rPr>
          <w:rFonts w:ascii="Verdana" w:eastAsia="Calibri" w:hAnsi="Verdana" w:cs="Arial"/>
          <w:i/>
          <w:iCs/>
          <w:lang w:val="es-ES_tradnl"/>
        </w:rPr>
        <w:t xml:space="preserve">, </w:t>
      </w:r>
      <w:r w:rsidRPr="00716A9A">
        <w:rPr>
          <w:rFonts w:ascii="Verdana" w:eastAsia="Calibri" w:hAnsi="Verdana" w:cs="Arial"/>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w:t>
      </w:r>
      <w:r w:rsidRPr="00716A9A">
        <w:rPr>
          <w:rFonts w:ascii="Verdana" w:eastAsia="Calibri" w:hAnsi="Verdana" w:cs="Arial"/>
          <w:lang w:val="es-ES_tradnl"/>
        </w:rPr>
        <w:lastRenderedPageBreak/>
        <w:t>riesgo principios como la igualdad, el debido proceso, la seguridad jurídica, la libre concurrencia y el ejercicio de la profesión u oficio Tal ha sido la postura al interior de la jurisprudencia, tanto de la Corte Constitucional como de la Sección Tercera del Consejo de Estado</w:t>
      </w:r>
      <w:r w:rsidRPr="00716A9A">
        <w:rPr>
          <w:rStyle w:val="Refdenotaalpie"/>
          <w:rFonts w:ascii="Verdana" w:eastAsia="Calibri" w:hAnsi="Verdana" w:cs="Arial"/>
          <w:lang w:val="es-ES_tradnl"/>
        </w:rPr>
        <w:footnoteReference w:id="4"/>
      </w:r>
      <w:r w:rsidRPr="00716A9A">
        <w:rPr>
          <w:rFonts w:ascii="Verdana" w:eastAsia="Calibri" w:hAnsi="Verdana" w:cs="Arial"/>
          <w:lang w:val="es-ES_tradnl"/>
        </w:rPr>
        <w:t>.</w:t>
      </w:r>
    </w:p>
    <w:p w14:paraId="3025AA65" w14:textId="77777777" w:rsidR="00DB7B50" w:rsidRPr="00716A9A" w:rsidRDefault="00DB7B50" w:rsidP="00DB7B50">
      <w:pPr>
        <w:spacing w:after="0" w:line="276" w:lineRule="auto"/>
        <w:ind w:firstLine="709"/>
        <w:contextualSpacing/>
        <w:jc w:val="both"/>
        <w:rPr>
          <w:rFonts w:ascii="Verdana" w:eastAsia="Calibri" w:hAnsi="Verdana" w:cs="Arial"/>
          <w:lang w:val="es-ES_tradnl"/>
        </w:rPr>
      </w:pPr>
    </w:p>
    <w:p w14:paraId="3006BFE1" w14:textId="77777777" w:rsidR="00DB7B50" w:rsidRPr="00716A9A" w:rsidRDefault="00DB7B50" w:rsidP="00DB7B50">
      <w:pPr>
        <w:spacing w:after="120" w:line="276" w:lineRule="auto"/>
        <w:ind w:firstLine="709"/>
        <w:jc w:val="both"/>
        <w:rPr>
          <w:rFonts w:ascii="Verdana" w:hAnsi="Verdana" w:cs="Arial"/>
          <w:color w:val="000000" w:themeColor="text1"/>
        </w:rPr>
      </w:pPr>
      <w:r w:rsidRPr="00716A9A">
        <w:rPr>
          <w:rFonts w:ascii="Verdana" w:hAnsi="Verdana" w:cs="Arial"/>
          <w:color w:val="000000" w:themeColor="text1"/>
        </w:rPr>
        <w:t>Conviene también distinguir las fuentes de las inhabilidades, las cuales han sido clasificadas en dos (2) grupos: i) inhabilidades-sanción y ii)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sidRPr="00716A9A">
        <w:rPr>
          <w:rStyle w:val="Refdenotaalpie"/>
          <w:rFonts w:ascii="Verdana" w:hAnsi="Verdana" w:cs="Arial"/>
          <w:color w:val="000000" w:themeColor="text1"/>
        </w:rPr>
        <w:footnoteReference w:id="5"/>
      </w:r>
      <w:r w:rsidRPr="00716A9A">
        <w:rPr>
          <w:rFonts w:ascii="Verdana" w:hAnsi="Verdana" w:cs="Arial"/>
          <w:color w:val="000000" w:themeColor="text1"/>
        </w:rPr>
        <w:t>.</w:t>
      </w:r>
    </w:p>
    <w:p w14:paraId="0DFBF6C1" w14:textId="77777777" w:rsidR="00DB7B50" w:rsidRPr="00716A9A" w:rsidRDefault="00DB7B50" w:rsidP="00DB7B50">
      <w:pPr>
        <w:spacing w:after="120" w:line="276" w:lineRule="auto"/>
        <w:ind w:firstLine="709"/>
        <w:jc w:val="both"/>
        <w:rPr>
          <w:rFonts w:ascii="Verdana" w:hAnsi="Verdana" w:cs="Arial"/>
          <w:color w:val="000000" w:themeColor="text1"/>
        </w:rPr>
      </w:pPr>
      <w:r w:rsidRPr="00716A9A">
        <w:rPr>
          <w:rFonts w:ascii="Verdana" w:hAnsi="Verdana" w:cs="Arial"/>
          <w:color w:val="000000" w:themeColor="text1"/>
        </w:rPr>
        <w:t xml:space="preserve">A manera de ejemplo, en materia contractual, los literales c), d) y j) del numeral 1 del artículo 8 de la Ley 80 de 1993 establecen inhabilidades-sanción, porque la prohibición para contratar con el Estado en esos eventos es una consecuencia de una declaratoria de responsabilidad que surge luego de un proceso sancionatorio –administrativo, disciplinario o penal–; mientras que las inhabilidades de los literales f), g) y h) del literal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bookmarkStart w:id="0" w:name="_Hlk40976328"/>
      <w:r w:rsidRPr="00716A9A">
        <w:rPr>
          <w:rFonts w:ascii="Verdana" w:hAnsi="Verdana" w:cs="Arial"/>
          <w:color w:val="000000" w:themeColor="text1"/>
        </w:rPr>
        <w:t xml:space="preserve">En ambos eventos, </w:t>
      </w:r>
      <w:r w:rsidRPr="00716A9A">
        <w:rPr>
          <w:rFonts w:ascii="Verdana" w:hAnsi="Verdana" w:cs="Arial"/>
          <w:color w:val="000000" w:themeColor="text1"/>
        </w:rPr>
        <w:lastRenderedPageBreak/>
        <w:t xml:space="preserve">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bookmarkEnd w:id="0"/>
    </w:p>
    <w:p w14:paraId="1635FFB1" w14:textId="77777777" w:rsidR="00DB7B50" w:rsidRPr="00716A9A" w:rsidRDefault="00DB7B50" w:rsidP="00DB7B50">
      <w:pPr>
        <w:spacing w:after="120" w:line="276" w:lineRule="auto"/>
        <w:ind w:firstLine="708"/>
        <w:jc w:val="both"/>
        <w:rPr>
          <w:rFonts w:ascii="Verdana" w:eastAsia="Calibri" w:hAnsi="Verdana" w:cs="Arial"/>
          <w:color w:val="000000" w:themeColor="text1"/>
          <w:lang w:val="es-ES_tradnl"/>
        </w:rPr>
      </w:pPr>
      <w:r w:rsidRPr="00716A9A">
        <w:rPr>
          <w:rFonts w:ascii="Verdana" w:eastAsia="Calibri" w:hAnsi="Verdana" w:cs="Arial"/>
          <w:color w:val="000000" w:themeColor="text1"/>
          <w:lang w:val="es-ES_tradnl"/>
        </w:rPr>
        <w:t xml:space="preserve">Igualmente, </w:t>
      </w:r>
      <w:bookmarkStart w:id="1" w:name="_Hlk135133412"/>
      <w:r w:rsidRPr="00716A9A">
        <w:rPr>
          <w:rFonts w:ascii="Verdana" w:eastAsia="Calibri" w:hAnsi="Verdana" w:cs="Arial"/>
          <w:color w:val="000000" w:themeColor="text1"/>
          <w:lang w:val="es-ES_tradnl"/>
        </w:rPr>
        <w:t xml:space="preserve">en la contratación estatal, la </w:t>
      </w:r>
      <w:r w:rsidRPr="00716A9A">
        <w:rPr>
          <w:rFonts w:ascii="Verdana" w:eastAsia="Calibri" w:hAnsi="Verdana" w:cs="Arial"/>
          <w:i/>
          <w:iCs/>
          <w:color w:val="000000" w:themeColor="text1"/>
          <w:lang w:val="es-ES_tradnl"/>
        </w:rPr>
        <w:t>capacidad</w:t>
      </w:r>
      <w:r w:rsidRPr="00716A9A">
        <w:rPr>
          <w:rFonts w:ascii="Verdana" w:eastAsia="Calibri" w:hAnsi="Verdana" w:cs="Arial"/>
          <w:color w:val="000000" w:themeColor="text1"/>
          <w:lang w:val="es-ES_tradnl"/>
        </w:rPr>
        <w:t xml:space="preserve"> también es un requisito de validez de los contratos, tanto en el régimen de las entidades sujetas al Estatuto General de Contratación de la Administración Pública</w:t>
      </w:r>
      <w:r w:rsidRPr="00716A9A">
        <w:rPr>
          <w:rStyle w:val="Refdenotaalpie"/>
          <w:rFonts w:ascii="Verdana" w:eastAsia="Calibri" w:hAnsi="Verdana" w:cs="Arial"/>
          <w:color w:val="000000" w:themeColor="text1"/>
          <w:lang w:val="es-ES_tradnl"/>
        </w:rPr>
        <w:footnoteReference w:id="6"/>
      </w:r>
      <w:r w:rsidRPr="00716A9A">
        <w:rPr>
          <w:rFonts w:ascii="Verdana" w:eastAsia="Calibri" w:hAnsi="Verdana" w:cs="Arial"/>
          <w:color w:val="000000" w:themeColor="text1"/>
          <w:lang w:val="es-ES_tradnl"/>
        </w:rPr>
        <w:t xml:space="preserve"> como en el de las entidades exceptuadas de aquel</w:t>
      </w:r>
      <w:r w:rsidRPr="00716A9A">
        <w:rPr>
          <w:rStyle w:val="Refdenotaalpie"/>
          <w:rFonts w:ascii="Verdana" w:eastAsia="Calibri" w:hAnsi="Verdana" w:cs="Arial"/>
          <w:color w:val="000000" w:themeColor="text1"/>
          <w:lang w:val="es-ES_tradnl"/>
        </w:rPr>
        <w:footnoteReference w:id="7"/>
      </w:r>
      <w:r w:rsidRPr="00716A9A">
        <w:rPr>
          <w:rFonts w:ascii="Verdana" w:eastAsia="Calibri" w:hAnsi="Verdana" w:cs="Arial"/>
          <w:color w:val="000000" w:themeColor="text1"/>
          <w:lang w:val="es-ES_tradnl"/>
        </w:rPr>
        <w:t>. Si bien la regulación de la capacidad se integra por varias disposiciones y exigencias especiales –como el requisito de inscribirse, por regla general, en el Registro Único de Proponentes (RUP), establecido en el artículo 6 de la Ley 1150 de 2007, modificado por el artículo 221 del Decreto 19 de 2012</w:t>
      </w:r>
      <w:r w:rsidRPr="00716A9A">
        <w:rPr>
          <w:rStyle w:val="Refdenotaalpie"/>
          <w:rFonts w:ascii="Verdana" w:eastAsia="Calibri" w:hAnsi="Verdana" w:cs="Arial"/>
          <w:color w:val="000000" w:themeColor="text1"/>
          <w:lang w:val="es-ES_tradnl"/>
        </w:rPr>
        <w:footnoteReference w:id="8"/>
      </w:r>
      <w:r w:rsidRPr="00716A9A">
        <w:rPr>
          <w:rFonts w:ascii="Verdana" w:eastAsia="Calibri" w:hAnsi="Verdana" w:cs="Arial"/>
          <w:color w:val="000000" w:themeColor="text1"/>
          <w:lang w:val="es-ES_tradnl"/>
        </w:rPr>
        <w:t>–, se destaca el régimen de inhabilidades e incompatibilidades como un conjunto de normas que imponen restricciones para los sujetos que, eventualmente, pretendan participar en los procedimientos de selección o celebrar contratos con las entidades estatales</w:t>
      </w:r>
      <w:r w:rsidRPr="00716A9A">
        <w:rPr>
          <w:rStyle w:val="Refdenotaalpie"/>
          <w:rFonts w:ascii="Verdana" w:eastAsia="Calibri" w:hAnsi="Verdana" w:cs="Arial"/>
          <w:color w:val="000000" w:themeColor="text1"/>
          <w:lang w:val="es-ES_tradnl"/>
        </w:rPr>
        <w:footnoteReference w:id="9"/>
      </w:r>
      <w:r w:rsidRPr="00716A9A">
        <w:rPr>
          <w:rFonts w:ascii="Verdana" w:eastAsia="Calibri" w:hAnsi="Verdana" w:cs="Arial"/>
          <w:color w:val="000000" w:themeColor="text1"/>
          <w:lang w:val="es-ES_tradnl"/>
        </w:rPr>
        <w:t>.</w:t>
      </w:r>
    </w:p>
    <w:p w14:paraId="309ED7E8" w14:textId="77777777" w:rsidR="00DB7B50" w:rsidRPr="00716A9A" w:rsidRDefault="00DB7B50" w:rsidP="00DB7B50">
      <w:pPr>
        <w:spacing w:after="120" w:line="276" w:lineRule="auto"/>
        <w:ind w:firstLine="709"/>
        <w:jc w:val="both"/>
        <w:rPr>
          <w:rFonts w:ascii="Verdana" w:eastAsia="Calibri" w:hAnsi="Verdana" w:cs="Arial"/>
          <w:color w:val="000000" w:themeColor="text1"/>
          <w:lang w:val="es-ES"/>
        </w:rPr>
      </w:pPr>
      <w:r w:rsidRPr="00716A9A">
        <w:rPr>
          <w:rFonts w:ascii="Verdana" w:eastAsia="Calibri" w:hAnsi="Verdana" w:cs="Arial"/>
          <w:color w:val="000000" w:themeColor="text1"/>
          <w:lang w:val="es-ES"/>
        </w:rPr>
        <w:lastRenderedPageBreak/>
        <w:t>Las inhabilidades son prohibiciones para concurrir a los procedimientos de selección y para contratar con el Estado, que se derivan: i) de la existencia de comportamientos reprochables o de sanciones anteriormente impuestas, ii) de vínculos personales relativos al parentesco o al estado civil o iii) de una actividad u oficio que se desempeñó en el pasado. De otro lado, las incompatibilidades, según un sector de la doctrina,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En todo caso, a pesar de la existencia de distintos criterios para diferenciar las inhabilidades de las incompatibilidades, de la presencia de ellas se derivan las mismas consecuencias jurídicas, esto es, la limitación de la capacidad contractual, de manera que la presencia de ellas impide que se puedan celebrar contratos con el Estado o participar en procedimientos de selección de las entidades estatales, por lo que de cualquiera de ellas se derivan los mismos efectos jurídicos</w:t>
      </w:r>
      <w:r w:rsidRPr="00716A9A">
        <w:rPr>
          <w:rStyle w:val="Refdenotaalpie"/>
          <w:rFonts w:ascii="Verdana" w:eastAsia="Calibri" w:hAnsi="Verdana" w:cs="Arial"/>
          <w:color w:val="000000" w:themeColor="text1"/>
          <w:lang w:val="es-ES"/>
        </w:rPr>
        <w:footnoteReference w:id="10"/>
      </w:r>
      <w:r w:rsidRPr="00716A9A">
        <w:rPr>
          <w:rFonts w:ascii="Verdana" w:eastAsia="Calibri" w:hAnsi="Verdana" w:cs="Arial"/>
          <w:color w:val="000000" w:themeColor="text1"/>
          <w:lang w:val="es-ES"/>
        </w:rPr>
        <w:t>.</w:t>
      </w:r>
    </w:p>
    <w:bookmarkEnd w:id="1"/>
    <w:p w14:paraId="58CDB85F" w14:textId="77777777" w:rsidR="00DB7B50" w:rsidRPr="00716A9A" w:rsidRDefault="00DB7B50" w:rsidP="00DB7B50">
      <w:pPr>
        <w:spacing w:after="120" w:line="276" w:lineRule="auto"/>
        <w:ind w:firstLine="709"/>
        <w:jc w:val="both"/>
        <w:rPr>
          <w:rFonts w:ascii="Verdana" w:eastAsia="Calibri" w:hAnsi="Verdana" w:cs="Arial"/>
          <w:color w:val="000000" w:themeColor="text1"/>
          <w:lang w:val="es-ES"/>
        </w:rPr>
      </w:pPr>
      <w:r w:rsidRPr="00716A9A">
        <w:rPr>
          <w:rFonts w:ascii="Verdana" w:eastAsia="Calibri" w:hAnsi="Verdana" w:cs="Arial"/>
          <w:color w:val="000000" w:themeColor="text1"/>
          <w:lang w:val="es-ES"/>
        </w:rPr>
        <w:t>De otro lado, el régimen de inhabilidades e incompatibilidades en la contratación pública responde a la tendencia, vigente desde hace varias décadas en nuestro país, pero que se ha reforzado en los últimos años, de asegurar que la actividad de provisión de los bienes, obras y servicios por parte de las entidades estatales se efectúe cumpliendo con los principios de la función administrativa y de la gestión fiscal, especialmente con probidad y transparencia. Por ello, como destaca la doctrina, las inhabilidades e incompatibilidades son herramientas en la lucha contra la corrupción, adoptando paulatinamente una naturaleza sancionatoria o “neopunitiva”</w:t>
      </w:r>
      <w:r w:rsidRPr="00716A9A">
        <w:rPr>
          <w:rStyle w:val="Refdenotaalpie"/>
          <w:rFonts w:ascii="Verdana" w:eastAsia="Calibri" w:hAnsi="Verdana" w:cs="Arial"/>
          <w:color w:val="000000" w:themeColor="text1"/>
          <w:lang w:val="es-ES"/>
        </w:rPr>
        <w:footnoteReference w:id="11"/>
      </w:r>
      <w:r w:rsidRPr="00716A9A">
        <w:rPr>
          <w:rFonts w:ascii="Verdana" w:eastAsia="Calibri" w:hAnsi="Verdana" w:cs="Arial"/>
          <w:color w:val="000000" w:themeColor="text1"/>
          <w:lang w:val="es-ES"/>
        </w:rPr>
        <w:t xml:space="preserve">. Si bien no todas </w:t>
      </w:r>
      <w:r w:rsidRPr="00716A9A">
        <w:rPr>
          <w:rFonts w:ascii="Verdana" w:eastAsia="Calibri" w:hAnsi="Verdana" w:cs="Arial"/>
          <w:color w:val="000000" w:themeColor="text1"/>
          <w:lang w:val="es-ES"/>
        </w:rPr>
        <w:lastRenderedPageBreak/>
        <w:t>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bookmarkStart w:id="2" w:name="_Hlk102983874"/>
      <w:bookmarkStart w:id="3" w:name="_Hlk102388095"/>
    </w:p>
    <w:p w14:paraId="6726ED3A" w14:textId="77777777" w:rsidR="00DB7B50" w:rsidRPr="00716A9A" w:rsidRDefault="00DB7B50" w:rsidP="00DB7B50">
      <w:pPr>
        <w:spacing w:after="120" w:line="276" w:lineRule="auto"/>
        <w:jc w:val="both"/>
        <w:rPr>
          <w:rFonts w:ascii="Verdana" w:eastAsia="Verdana" w:hAnsi="Verdana" w:cs="Verdana"/>
          <w:color w:val="000000" w:themeColor="text1"/>
        </w:rPr>
      </w:pPr>
      <w:r w:rsidRPr="00716A9A">
        <w:rPr>
          <w:rFonts w:ascii="Verdana" w:eastAsia="Verdana" w:hAnsi="Verdana" w:cs="Verdana"/>
          <w:color w:val="000000" w:themeColor="text1"/>
        </w:rPr>
        <w:t xml:space="preserve">ii. Dicho lo anterior, resulta necesario realizar una distinción entre la </w:t>
      </w:r>
      <w:r w:rsidRPr="00716A9A">
        <w:rPr>
          <w:rFonts w:ascii="Verdana" w:eastAsia="Verdana" w:hAnsi="Verdana" w:cs="Verdana"/>
          <w:i/>
          <w:iCs/>
          <w:color w:val="000000" w:themeColor="text1"/>
        </w:rPr>
        <w:t xml:space="preserve">inhabilidad para contratar con el estado y </w:t>
      </w:r>
      <w:r w:rsidRPr="00716A9A">
        <w:rPr>
          <w:rFonts w:ascii="Verdana" w:eastAsia="Verdana" w:hAnsi="Verdana" w:cs="Verdana"/>
          <w:color w:val="000000" w:themeColor="text1"/>
        </w:rPr>
        <w:t xml:space="preserve">la </w:t>
      </w:r>
      <w:r w:rsidRPr="00716A9A">
        <w:rPr>
          <w:rFonts w:ascii="Verdana" w:eastAsia="Verdana" w:hAnsi="Verdana" w:cs="Verdana"/>
          <w:i/>
          <w:iCs/>
          <w:color w:val="000000" w:themeColor="text1"/>
        </w:rPr>
        <w:t>inhabilidad general</w:t>
      </w:r>
      <w:r w:rsidRPr="00716A9A">
        <w:rPr>
          <w:rFonts w:ascii="Verdana" w:eastAsia="Verdana" w:hAnsi="Verdana" w:cs="Verdana"/>
          <w:color w:val="000000" w:themeColor="text1"/>
        </w:rPr>
        <w:t xml:space="preserve"> que apareja la destitución. La primera hace parte del régimen de inhabilidades e incompatibilidades para contratar con el Estado previsto en el artículo 8-1 de la Ley 80 de 1993, particularmente lo dispuesto en su literal</w:t>
      </w:r>
      <w:r w:rsidRPr="00716A9A">
        <w:rPr>
          <w:rFonts w:ascii="Verdana" w:eastAsia="Verdana" w:hAnsi="Verdana" w:cs="Verdana"/>
          <w:color w:val="000000" w:themeColor="text1"/>
          <w:lang w:val="es-ES"/>
        </w:rPr>
        <w:t xml:space="preserve"> d)</w:t>
      </w:r>
      <w:r w:rsidRPr="00716A9A">
        <w:rPr>
          <w:rStyle w:val="Refdenotaalpie"/>
          <w:rFonts w:ascii="Verdana" w:eastAsia="Verdana" w:hAnsi="Verdana" w:cs="Verdana"/>
          <w:color w:val="000000" w:themeColor="text1"/>
          <w:lang w:val="es-ES"/>
        </w:rPr>
        <w:footnoteReference w:id="12"/>
      </w:r>
      <w:r w:rsidRPr="00716A9A">
        <w:rPr>
          <w:rFonts w:ascii="Verdana" w:eastAsia="Verdana" w:hAnsi="Verdana" w:cs="Verdana"/>
          <w:color w:val="000000" w:themeColor="text1"/>
          <w:lang w:val="es-ES"/>
        </w:rPr>
        <w:t xml:space="preserve">, </w:t>
      </w:r>
      <w:r w:rsidRPr="00716A9A">
        <w:rPr>
          <w:rFonts w:ascii="Verdana" w:eastAsia="Verdana" w:hAnsi="Verdana" w:cs="Verdana"/>
          <w:color w:val="000000" w:themeColor="text1"/>
        </w:rPr>
        <w:t>el cual regula las inhabilidades derivadas de sanciones disciplinarias.</w:t>
      </w:r>
      <w:r w:rsidRPr="00716A9A">
        <w:rPr>
          <w:rFonts w:ascii="Verdana" w:eastAsia="Verdana" w:hAnsi="Verdana" w:cs="Verdana"/>
          <w:color w:val="4472C4" w:themeColor="accent1"/>
          <w:lang w:val="es-ES"/>
        </w:rPr>
        <w:t xml:space="preserve"> </w:t>
      </w:r>
      <w:r w:rsidRPr="00716A9A">
        <w:rPr>
          <w:rFonts w:ascii="Verdana" w:eastAsia="Verdana" w:hAnsi="Verdana" w:cs="Verdana"/>
          <w:color w:val="000000" w:themeColor="text1"/>
          <w:lang w:val="es-ES"/>
        </w:rPr>
        <w:t>Dicha inhabilidad está dirigida a dos grupos de personas, en primer lugar, quienes hayan sido condenados por sentencia judicial a la pena accesoria de interdicción de derechos y funciones públicas, y la segunda, quienes hayan sido sancionados disciplinariamente con destitución cuando incurre en faltas gravísimas, especialmente aquellas que afectan principios como la moralidad, la legalidad, la imparcialidad o la eficiencia administrativa.</w:t>
      </w:r>
    </w:p>
    <w:p w14:paraId="5B67A64E" w14:textId="77777777" w:rsidR="00DB7B50" w:rsidRPr="00716A9A" w:rsidRDefault="00DB7B50" w:rsidP="00DB7B50">
      <w:pPr>
        <w:spacing w:after="120" w:line="276" w:lineRule="auto"/>
        <w:jc w:val="both"/>
        <w:rPr>
          <w:rFonts w:ascii="Verdana" w:eastAsia="Verdana" w:hAnsi="Verdana" w:cs="Verdana"/>
          <w:color w:val="000000" w:themeColor="text1"/>
        </w:rPr>
      </w:pPr>
      <w:r w:rsidRPr="00716A9A">
        <w:rPr>
          <w:rFonts w:ascii="Verdana" w:eastAsia="Verdana" w:hAnsi="Verdana" w:cs="Verdana"/>
          <w:color w:val="000000" w:themeColor="text1"/>
        </w:rPr>
        <w:tab/>
        <w:t>De conformidad con el mencionado artículo, se indica que, se encuentran inhabilitadas para participar en procesos de selección y para celebrar contratos con las entidades estatales aquellas personas naturales o jurídicas que hayan sido sancionadas disciplinariamente con destitución, mientras subsistan los efectos jurídicos de dicha sanción. Esta inhabilidad, tiene como fundamento la protección de los principios de moralidad, transparencia y responsabilidad que rigen la contratación estatal, en la medida en que busca excluir temporalmente del vínculo contractual con el Estado a quienes, en ejercicio de funciones públicas o con ocasión de ellas, hayan incurrido en faltas disciplinarias y que por su gravedad ameritaron una sanción impuesta en el marco del ejercicio de la potestad disciplinaria del Estado, conforme al Código General Disciplinario regulado por la Ley 1952 de 2019.</w:t>
      </w:r>
    </w:p>
    <w:p w14:paraId="3263EF2E" w14:textId="77777777" w:rsidR="00DB7B50" w:rsidRPr="00716A9A" w:rsidRDefault="00DB7B50" w:rsidP="00DB7B50">
      <w:pPr>
        <w:spacing w:line="276" w:lineRule="auto"/>
        <w:jc w:val="both"/>
        <w:rPr>
          <w:rFonts w:ascii="Verdana" w:eastAsia="Verdana" w:hAnsi="Verdana" w:cs="Verdana"/>
          <w:color w:val="000000" w:themeColor="text1"/>
        </w:rPr>
      </w:pPr>
      <w:r w:rsidRPr="00716A9A">
        <w:rPr>
          <w:rFonts w:ascii="Verdana" w:eastAsia="Verdana" w:hAnsi="Verdana" w:cs="Verdana"/>
          <w:color w:val="000000" w:themeColor="text1"/>
        </w:rPr>
        <w:lastRenderedPageBreak/>
        <w:tab/>
        <w:t xml:space="preserve">Por otra parte, la </w:t>
      </w:r>
      <w:r w:rsidRPr="00716A9A">
        <w:rPr>
          <w:rFonts w:ascii="Verdana" w:eastAsia="Verdana" w:hAnsi="Verdana" w:cs="Verdana"/>
          <w:i/>
          <w:iCs/>
          <w:color w:val="000000" w:themeColor="text1"/>
        </w:rPr>
        <w:t>inhabilidad general</w:t>
      </w:r>
      <w:r w:rsidRPr="00716A9A">
        <w:rPr>
          <w:rFonts w:ascii="Verdana" w:eastAsia="Verdana" w:hAnsi="Verdana" w:cs="Verdana"/>
          <w:color w:val="000000" w:themeColor="text1"/>
        </w:rPr>
        <w:t>, está regulada en los artículos 48</w:t>
      </w:r>
      <w:r w:rsidRPr="00716A9A">
        <w:rPr>
          <w:rStyle w:val="Refdenotaalpie"/>
          <w:rFonts w:ascii="Verdana" w:eastAsia="Verdana" w:hAnsi="Verdana" w:cs="Verdana"/>
          <w:color w:val="000000" w:themeColor="text1"/>
        </w:rPr>
        <w:footnoteReference w:id="13"/>
      </w:r>
      <w:r w:rsidRPr="00716A9A">
        <w:rPr>
          <w:rFonts w:ascii="Verdana" w:eastAsia="Verdana" w:hAnsi="Verdana" w:cs="Verdana"/>
          <w:color w:val="000000" w:themeColor="text1"/>
        </w:rPr>
        <w:t xml:space="preserve"> y 49</w:t>
      </w:r>
      <w:r w:rsidRPr="00716A9A">
        <w:rPr>
          <w:rStyle w:val="Refdenotaalpie"/>
          <w:rFonts w:ascii="Verdana" w:eastAsia="Verdana" w:hAnsi="Verdana" w:cs="Verdana"/>
          <w:color w:val="000000" w:themeColor="text1"/>
        </w:rPr>
        <w:footnoteReference w:id="14"/>
      </w:r>
      <w:r w:rsidRPr="00716A9A">
        <w:rPr>
          <w:rFonts w:ascii="Verdana" w:eastAsia="Verdana" w:hAnsi="Verdana" w:cs="Verdana"/>
          <w:color w:val="000000" w:themeColor="text1"/>
        </w:rPr>
        <w:t xml:space="preserve"> de la Ley 1952 de 2019. El artículo 48 establece cuáles son las sanciones disciplinarias y sus límites, según la gravedad de la falta y si fue cometida con dolo o culpa. Las sanciones van desde amonestaciones escritas y multas para faltas leves, suspensiones e inhabilidades para faltas graves, hasta destitución e inhabilidad por varios años para faltas gravísimas. Por su parte, el artículo 49 determina las consecuencias jurídicas de la comisión de una falta gravísima, disponiendo que, cuando estas sean realizadas con dolo o culpa gravísima, la sanción aplicable será la destitución e inhabilidad general, lo que implica no solo la desvinculación inmediata del cargo, sino también la imposibilidad de ejercer función pública y, en los términos previstos por la ley, de contratar con el Estado durante el periodo fijado en el fallo disciplinario.</w:t>
      </w:r>
    </w:p>
    <w:p w14:paraId="3EDB8051" w14:textId="77777777" w:rsidR="00DB7B50" w:rsidRPr="00716A9A" w:rsidRDefault="00DB7B50" w:rsidP="00DB7B50">
      <w:pPr>
        <w:spacing w:line="276" w:lineRule="auto"/>
        <w:jc w:val="both"/>
        <w:rPr>
          <w:rFonts w:ascii="Verdana" w:eastAsia="Verdana" w:hAnsi="Verdana" w:cs="Verdana"/>
          <w:color w:val="000000" w:themeColor="text1"/>
        </w:rPr>
      </w:pPr>
      <w:r w:rsidRPr="00716A9A">
        <w:rPr>
          <w:rFonts w:ascii="Verdana" w:eastAsia="Verdana" w:hAnsi="Verdana" w:cs="Verdana"/>
          <w:color w:val="000000" w:themeColor="text1"/>
        </w:rPr>
        <w:tab/>
        <w:t xml:space="preserve">En ese contexto, </w:t>
      </w:r>
      <w:r w:rsidRPr="00716A9A">
        <w:rPr>
          <w:rFonts w:ascii="Verdana" w:eastAsia="Verdana" w:hAnsi="Verdana" w:cs="Verdana"/>
          <w:i/>
          <w:iCs/>
          <w:color w:val="000000" w:themeColor="text1"/>
        </w:rPr>
        <w:t xml:space="preserve">la inhabilidad para contratar con el estado </w:t>
      </w:r>
      <w:r w:rsidRPr="00716A9A">
        <w:rPr>
          <w:rFonts w:ascii="Verdana" w:eastAsia="Verdana" w:hAnsi="Verdana" w:cs="Verdana"/>
          <w:color w:val="000000" w:themeColor="text1"/>
        </w:rPr>
        <w:t xml:space="preserve">de la que versa el artículo 8-1, literal d), de la Ley 80 de 1993, opera por mérito de la ley durante el término de 5 años siguientes a la ejecutoria del acto que impone la sanción disciplinaría de destitución. El principal efecto de esta restricción, al igual que de las demás previstas en el art. 8 de la Ley 80 de 1993, es la imposibilidad de celebrar o ejecutar contratos estatales o participar en procesos de selección, Por otra parte la </w:t>
      </w:r>
      <w:r w:rsidRPr="00716A9A">
        <w:rPr>
          <w:rFonts w:ascii="Verdana" w:eastAsia="Verdana" w:hAnsi="Verdana" w:cs="Verdana"/>
          <w:i/>
          <w:iCs/>
          <w:color w:val="000000" w:themeColor="text1"/>
        </w:rPr>
        <w:t>inhabilidad general</w:t>
      </w:r>
      <w:r w:rsidRPr="00716A9A">
        <w:rPr>
          <w:rFonts w:ascii="Verdana" w:eastAsia="Verdana" w:hAnsi="Verdana" w:cs="Verdana"/>
          <w:color w:val="000000" w:themeColor="text1"/>
        </w:rPr>
        <w:t xml:space="preserve"> </w:t>
      </w:r>
      <w:r w:rsidRPr="00716A9A">
        <w:rPr>
          <w:rFonts w:ascii="Verdana" w:hAnsi="Verdana"/>
        </w:rPr>
        <w:t xml:space="preserve">restringe la posibilidad ejercer la función pública, durante el término determinado por la autoridad disciplinaria en función de la gravedad de la falta, previsto en el artículo 49-1, literal d y artículo 48 numerales 1 y 2 de la Ley 1953 de 2019. Dicho lo anterior, </w:t>
      </w:r>
      <w:r w:rsidRPr="00716A9A">
        <w:rPr>
          <w:rFonts w:ascii="Verdana" w:eastAsia="Verdana" w:hAnsi="Verdana" w:cs="Verdana"/>
          <w:color w:val="000000" w:themeColor="text1"/>
        </w:rPr>
        <w:t xml:space="preserve">aunque la inhabilidad general que acompaña la destitución guarda relación con la prevista en la Ley </w:t>
      </w:r>
      <w:r w:rsidRPr="00716A9A">
        <w:rPr>
          <w:rFonts w:ascii="Verdana" w:eastAsia="Verdana" w:hAnsi="Verdana" w:cs="Verdana"/>
          <w:color w:val="000000" w:themeColor="text1"/>
        </w:rPr>
        <w:lastRenderedPageBreak/>
        <w:t>80 de 1993, presentan diferencias en cuanto a su ámbito de aplicación, tanto material como temporal, por lo que no producen los mismos efectos ni se aplican en las mismas circunstancias.</w:t>
      </w:r>
    </w:p>
    <w:p w14:paraId="05D67DA5" w14:textId="77777777" w:rsidR="00DB7B50" w:rsidRPr="00716A9A" w:rsidRDefault="00DB7B50" w:rsidP="00DB7B50">
      <w:pPr>
        <w:spacing w:line="276" w:lineRule="auto"/>
        <w:jc w:val="both"/>
        <w:rPr>
          <w:rFonts w:ascii="Verdana" w:eastAsia="Verdana" w:hAnsi="Verdana" w:cs="Verdana"/>
          <w:color w:val="000000" w:themeColor="text1"/>
        </w:rPr>
      </w:pPr>
      <w:r w:rsidRPr="00716A9A">
        <w:rPr>
          <w:rFonts w:ascii="Verdana" w:eastAsia="Verdana" w:hAnsi="Verdana" w:cs="Verdana"/>
          <w:color w:val="000000" w:themeColor="text1"/>
        </w:rPr>
        <w:tab/>
        <w:t>No obstante, aunque la inhabilidad general asociada a la destitución, por sí sola, no genera la pérdida de la capacidad para contratar una vez han transcurrido 5 años desde la ejecutoria de la sanción, sí puede producir dicho efecto cuando el objeto del contrato implique el desarrollo de actividades restringidas por el artículo 49-1, literal d), de la Ley 1952 de 2019, esto es, el ejercicio de funciones públicas. En este escenario, la inhabilidad general impuesta junto con la destitución impide la celebración de contratos estatales que comporten el ejercicio de funciones públicas durante el término de vigencia de la sanción fijada por la autoridad disciplinaria.</w:t>
      </w:r>
    </w:p>
    <w:p w14:paraId="109ECABB" w14:textId="77777777" w:rsidR="00DB7B50" w:rsidRPr="00716A9A" w:rsidRDefault="00DB7B50" w:rsidP="00DB7B50">
      <w:pPr>
        <w:jc w:val="both"/>
        <w:rPr>
          <w:rFonts w:ascii="Verdana" w:hAnsi="Verdana"/>
        </w:rPr>
      </w:pPr>
      <w:r w:rsidRPr="00716A9A">
        <w:rPr>
          <w:rFonts w:ascii="Verdana" w:hAnsi="Verdana"/>
        </w:rPr>
        <w:tab/>
        <w:t xml:space="preserve">Sin perjuicio de lo anterior, una vez transcurridos los 5 años previstos en la Ley 80 de 1993, independientemente de que haya finalizado o no el término de la </w:t>
      </w:r>
      <w:r w:rsidRPr="00716A9A">
        <w:rPr>
          <w:rFonts w:ascii="Verdana" w:hAnsi="Verdana"/>
          <w:i/>
          <w:iCs/>
        </w:rPr>
        <w:t>inhabilidad general</w:t>
      </w:r>
      <w:r w:rsidRPr="00716A9A">
        <w:rPr>
          <w:rFonts w:ascii="Verdana" w:hAnsi="Verdana"/>
        </w:rPr>
        <w:t xml:space="preserve"> impuesta por la autoridad disciplinaria, el sancionado con destitución podrá celebrar contratos estatales que no impliquen el ejercicio de funciones públicas. Lo anterior, en la medida en que habrán cesado los efectos de la inhabilidad prevista en el literal d) del artículo 8-1 de la Ley 80 de 1993, y siempre que el objeto contractual no se encuentre comprendido dentro de las restricciones derivadas de la inhabilidad regulada en el artículo 49 de la Ley 1952 de 2019.</w:t>
      </w:r>
    </w:p>
    <w:p w14:paraId="36D42CB8" w14:textId="77777777" w:rsidR="00DB7B50" w:rsidRPr="00716A9A" w:rsidRDefault="00DB7B50" w:rsidP="00DB7B50">
      <w:pPr>
        <w:spacing w:after="120" w:line="276" w:lineRule="auto"/>
        <w:ind w:right="49"/>
        <w:jc w:val="both"/>
        <w:rPr>
          <w:rFonts w:ascii="Verdana" w:eastAsia="Times New Roman" w:hAnsi="Verdana" w:cs="Arial"/>
          <w:lang w:eastAsia="es-MX"/>
        </w:rPr>
      </w:pPr>
      <w:r w:rsidRPr="00716A9A">
        <w:rPr>
          <w:rFonts w:ascii="Verdana" w:eastAsia="Verdana" w:hAnsi="Verdana" w:cs="Verdana"/>
        </w:rPr>
        <w:t xml:space="preserve">iii. </w:t>
      </w:r>
      <w:r w:rsidRPr="00716A9A">
        <w:rPr>
          <w:rFonts w:ascii="Verdana" w:eastAsia="Times New Roman" w:hAnsi="Verdana" w:cs="Arial"/>
          <w:lang w:eastAsia="es-MX"/>
        </w:rPr>
        <w:t>En ese contexto, y con base en las consideraciones propuestas, se advierte que la causal del literal d), numeral 1 del artículo 8 de la Ley 80 de 1993 restringe y limita la capacidad jurídica exclusivamente de la persona natural condenada a la pena accesoria de interdicción de derechos y funciones públicas y a aquellas que fueron sancionadas disciplinariamente con destitución, sin que se pueda entender que sus efectos se extienden a las personas jurídicas en las cuales sobre su representante legal recaigan dichas sanciones y condenas.</w:t>
      </w:r>
    </w:p>
    <w:p w14:paraId="04C45EF2" w14:textId="77777777" w:rsidR="00DB7B50" w:rsidRPr="00716A9A" w:rsidRDefault="00DB7B50" w:rsidP="00DB7B50">
      <w:pPr>
        <w:spacing w:after="120" w:line="276" w:lineRule="auto"/>
        <w:ind w:right="49" w:firstLine="709"/>
        <w:jc w:val="both"/>
        <w:rPr>
          <w:rFonts w:ascii="Verdana" w:eastAsia="Arial MT" w:hAnsi="Verdana" w:cs="Arial"/>
          <w:lang w:eastAsia="es-ES" w:bidi="es-ES"/>
        </w:rPr>
      </w:pPr>
      <w:r w:rsidRPr="00716A9A">
        <w:rPr>
          <w:rFonts w:ascii="Verdana" w:eastAsia="Arial MT" w:hAnsi="Verdana" w:cs="Arial"/>
          <w:lang w:eastAsia="es-ES" w:bidi="es-ES"/>
        </w:rPr>
        <w:t xml:space="preserve">En otras palabras, verificado el régimen de inhabilidades e incompatibilidades contenido en la Ley 80 de 1993, no se identifica alguna causal que limite la capacidad jurídica de aquellas personas jurídicas que pretendan contratar con el Estado, y su representante legal hubiese sido condenado o sancionado mediante sentencia judicial de naturaleza penal o administrativa. Sobre todo, cuando en la exposición de las consideraciones del presente concepto se puso de presente la exigencia en cabeza del operador </w:t>
      </w:r>
      <w:r w:rsidRPr="00716A9A">
        <w:rPr>
          <w:rFonts w:ascii="Verdana" w:eastAsia="Arial MT" w:hAnsi="Verdana" w:cs="Arial"/>
          <w:lang w:eastAsia="es-ES" w:bidi="es-ES"/>
        </w:rPr>
        <w:lastRenderedPageBreak/>
        <w:t>jurídico de observar el principio de interpretación restrictiva del régimen de inhabilidades e incompatibilidades vigentes en Colombia, que consiste en que tales disposiciones deben interpretarse de forma estricta, literal y restringida, sin extender su alcance más allá de lo que expresamente dispone la norma.</w:t>
      </w:r>
    </w:p>
    <w:p w14:paraId="7C7B240E" w14:textId="77777777" w:rsidR="00DB7B50" w:rsidRPr="00716A9A" w:rsidRDefault="00DB7B50" w:rsidP="00DB7B50">
      <w:pPr>
        <w:spacing w:after="120" w:line="276" w:lineRule="auto"/>
        <w:ind w:right="49" w:firstLine="709"/>
        <w:jc w:val="both"/>
        <w:rPr>
          <w:rFonts w:ascii="Verdana" w:eastAsia="Arial MT" w:hAnsi="Verdana" w:cs="Arial"/>
          <w:lang w:eastAsia="es-ES" w:bidi="es-ES"/>
        </w:rPr>
      </w:pPr>
      <w:r w:rsidRPr="00716A9A">
        <w:rPr>
          <w:rFonts w:ascii="Verdana" w:eastAsia="Arial MT" w:hAnsi="Verdana" w:cs="Arial"/>
          <w:lang w:eastAsia="es-ES" w:bidi="es-ES"/>
        </w:rPr>
        <w:t>Dicho esto, al no admitirse analogías ni interpretaciones extensivas, no se puede aplicar por semejanza tal limitación a las personas jurídicas que ostenten representantes legales condenados o sancionados, dado que dicha situación no se encuentra expresamente en la disposición estudiada, en procura de salvaguardar la seguridad jurídica y el principio de legalidad en materia de contratación pública.</w:t>
      </w:r>
    </w:p>
    <w:p w14:paraId="1B232B7E" w14:textId="77777777" w:rsidR="00DB7B50" w:rsidRPr="00716A9A" w:rsidRDefault="00DB7B50" w:rsidP="00DB7B50">
      <w:pPr>
        <w:spacing w:after="0" w:line="276" w:lineRule="auto"/>
        <w:ind w:right="49" w:firstLine="709"/>
        <w:jc w:val="both"/>
        <w:rPr>
          <w:rFonts w:ascii="Verdana" w:eastAsia="Calibri" w:hAnsi="Verdana" w:cs="Arial"/>
          <w:color w:val="000000" w:themeColor="text1"/>
        </w:rPr>
      </w:pPr>
      <w:r w:rsidRPr="00716A9A">
        <w:rPr>
          <w:rFonts w:ascii="Verdana" w:eastAsia="Times New Roman" w:hAnsi="Verdana" w:cs="Arial"/>
          <w:lang w:eastAsia="es-MX"/>
        </w:rPr>
        <w:t xml:space="preserve">Sin perjuicio de lo anterior, vale la pena advertir que, en el caso de las personas naturales sobre las que recae la inhabilidad estudiada, también es posible que la imposición de la pena accesoria o la sanción sobrevengan durante la participación de la persona sancionada en un proceso de contratación, ya estando perfeccionado el contrato o incluso durante su ejecución. Para casos como este, en el que la inhabilidad se presenta de manera sobreviniente, existe una </w:t>
      </w:r>
      <w:bookmarkStart w:id="4" w:name="_Hlk80369925"/>
      <w:r w:rsidRPr="00716A9A">
        <w:rPr>
          <w:rFonts w:ascii="Verdana" w:eastAsia="Calibri" w:hAnsi="Verdana" w:cs="Arial"/>
          <w:color w:val="000000" w:themeColor="text1"/>
        </w:rPr>
        <w:t>la regulación especial del Estatuto General de la Contratación Pública</w:t>
      </w:r>
      <w:bookmarkEnd w:id="4"/>
      <w:r w:rsidRPr="00716A9A">
        <w:rPr>
          <w:rFonts w:ascii="Verdana" w:eastAsia="Calibri" w:hAnsi="Verdana" w:cs="Arial"/>
          <w:color w:val="000000" w:themeColor="text1"/>
        </w:rPr>
        <w:t>, establecida en el artículo 9 de la Ley 80 de 1993 en los siguientes términos:</w:t>
      </w:r>
    </w:p>
    <w:p w14:paraId="2F4844BC" w14:textId="77777777" w:rsidR="00DB7B50" w:rsidRPr="00716A9A" w:rsidRDefault="00DB7B50" w:rsidP="00DB7B50">
      <w:pPr>
        <w:spacing w:after="0" w:line="276" w:lineRule="auto"/>
        <w:ind w:right="49" w:firstLine="709"/>
        <w:jc w:val="both"/>
        <w:rPr>
          <w:rFonts w:ascii="Verdana" w:eastAsia="Calibri" w:hAnsi="Verdana" w:cs="Arial"/>
          <w:color w:val="000000" w:themeColor="text1"/>
          <w:sz w:val="16"/>
          <w:szCs w:val="16"/>
        </w:rPr>
      </w:pPr>
    </w:p>
    <w:p w14:paraId="0281B079" w14:textId="77777777" w:rsidR="00DB7B50" w:rsidRPr="00716A9A" w:rsidRDefault="00DB7B50" w:rsidP="00DB7B50">
      <w:pPr>
        <w:tabs>
          <w:tab w:val="left" w:pos="709"/>
        </w:tabs>
        <w:spacing w:after="120"/>
        <w:ind w:left="709" w:right="879"/>
        <w:jc w:val="both"/>
        <w:rPr>
          <w:rFonts w:ascii="Verdana" w:eastAsia="Calibri" w:hAnsi="Verdana" w:cs="Arial"/>
          <w:color w:val="000000" w:themeColor="text1"/>
          <w:sz w:val="20"/>
          <w:szCs w:val="20"/>
        </w:rPr>
      </w:pPr>
      <w:r w:rsidRPr="00716A9A">
        <w:rPr>
          <w:rFonts w:ascii="Verdana" w:eastAsia="Calibri" w:hAnsi="Verdana" w:cs="Arial"/>
          <w:color w:val="000000" w:themeColor="text1"/>
          <w:sz w:val="20"/>
          <w:szCs w:val="20"/>
        </w:rPr>
        <w:t>Si llegare a sobrevenir inhabilidad o incompatibilidad en el contratista, este cederá el contrato previa autorización escrita de la entidad contratante o, si ello no fuere posible, renunciará a su ejecución.</w:t>
      </w:r>
    </w:p>
    <w:p w14:paraId="445BD312" w14:textId="77777777" w:rsidR="00DB7B50" w:rsidRPr="00716A9A" w:rsidRDefault="00DB7B50" w:rsidP="00DB7B50">
      <w:pPr>
        <w:tabs>
          <w:tab w:val="left" w:pos="709"/>
        </w:tabs>
        <w:spacing w:after="120"/>
        <w:ind w:left="709" w:right="879"/>
        <w:jc w:val="both"/>
        <w:rPr>
          <w:rFonts w:ascii="Verdana" w:eastAsia="Calibri" w:hAnsi="Verdana" w:cs="Arial"/>
          <w:color w:val="000000" w:themeColor="text1"/>
          <w:sz w:val="20"/>
          <w:szCs w:val="20"/>
        </w:rPr>
      </w:pPr>
      <w:r w:rsidRPr="00716A9A">
        <w:rPr>
          <w:rFonts w:ascii="Verdana" w:eastAsia="Calibri" w:hAnsi="Verdana" w:cs="Arial"/>
          <w:color w:val="000000" w:themeColor="text1"/>
          <w:sz w:val="20"/>
          <w:szCs w:val="20"/>
        </w:rPr>
        <w:t>Cuando la inhabilidad o incompatibilidad sobrevenga en un proponente dentro de un proceso de selección, se entenderá que renuncia a la participación en el proceso de selección y a los derechos surgidos del mismo.</w:t>
      </w:r>
    </w:p>
    <w:p w14:paraId="11BD2D77" w14:textId="77777777" w:rsidR="00DB7B50" w:rsidRPr="00716A9A" w:rsidRDefault="00DB7B50" w:rsidP="00DB7B50">
      <w:pPr>
        <w:tabs>
          <w:tab w:val="left" w:pos="709"/>
        </w:tabs>
        <w:spacing w:after="120"/>
        <w:ind w:left="709" w:right="879"/>
        <w:jc w:val="both"/>
        <w:rPr>
          <w:rFonts w:ascii="Verdana" w:eastAsia="Calibri" w:hAnsi="Verdana" w:cs="Arial"/>
          <w:color w:val="000000" w:themeColor="text1"/>
          <w:sz w:val="20"/>
          <w:szCs w:val="20"/>
        </w:rPr>
      </w:pPr>
      <w:r w:rsidRPr="00716A9A">
        <w:rPr>
          <w:rFonts w:ascii="Verdana" w:eastAsia="Calibri" w:hAnsi="Verdana" w:cs="Arial"/>
          <w:color w:val="000000" w:themeColor="text1"/>
          <w:sz w:val="20"/>
          <w:szCs w:val="20"/>
        </w:rPr>
        <w:t>Si la inhabilidad o incompatibilidad sobreviene en uno de los miembros de un consorcio o unión temporal, este cederá su participación a un tercero previa autorización escrita de la entidad contratante. En ningún caso podrá haber cesión del contrato entre quienes integran el consorcio o unión temporal.</w:t>
      </w:r>
    </w:p>
    <w:p w14:paraId="2185E322" w14:textId="77777777" w:rsidR="00DB7B50" w:rsidRPr="00716A9A" w:rsidRDefault="00DB7B50" w:rsidP="00DB7B50">
      <w:pPr>
        <w:tabs>
          <w:tab w:val="left" w:pos="709"/>
        </w:tabs>
        <w:spacing w:after="120"/>
        <w:ind w:left="709" w:right="879"/>
        <w:jc w:val="both"/>
        <w:rPr>
          <w:rFonts w:ascii="Verdana" w:eastAsia="Calibri" w:hAnsi="Verdana" w:cs="Arial"/>
          <w:color w:val="000000" w:themeColor="text1"/>
          <w:sz w:val="20"/>
          <w:szCs w:val="20"/>
        </w:rPr>
      </w:pPr>
      <w:r w:rsidRPr="00716A9A">
        <w:rPr>
          <w:rFonts w:ascii="Verdana" w:eastAsia="Calibri" w:hAnsi="Verdana" w:cs="Arial"/>
          <w:color w:val="000000" w:themeColor="text1"/>
          <w:sz w:val="20"/>
          <w:szCs w:val="20"/>
        </w:rPr>
        <w:t xml:space="preserve">Parágrafo 1º. Cuando la inhabilidad sobreviniente sea la contemplada en el literal j) del numeral 1 del artículo 8º de la Ley 80 de 1993, o cuando administrativamente se haya sancionado por actos de corrupción al contratista, no procederá la renuncia del contrato a la que se refiere este artículo. La entidad estatal ordenará mediante acto administrativo </w:t>
      </w:r>
      <w:r w:rsidRPr="00716A9A">
        <w:rPr>
          <w:rFonts w:ascii="Verdana" w:eastAsia="Calibri" w:hAnsi="Verdana" w:cs="Arial"/>
          <w:color w:val="000000" w:themeColor="text1"/>
          <w:sz w:val="20"/>
          <w:szCs w:val="20"/>
        </w:rPr>
        <w:lastRenderedPageBreak/>
        <w:t>motivado la cesión unilateral, sin lugar a indemnización alguna al contratista inhábil.</w:t>
      </w:r>
    </w:p>
    <w:p w14:paraId="28674BF8" w14:textId="77777777" w:rsidR="00DB7B50" w:rsidRPr="00716A9A" w:rsidRDefault="00DB7B50" w:rsidP="00DB7B50">
      <w:pPr>
        <w:tabs>
          <w:tab w:val="left" w:pos="709"/>
        </w:tabs>
        <w:spacing w:after="0"/>
        <w:ind w:left="709" w:right="879"/>
        <w:jc w:val="both"/>
        <w:rPr>
          <w:rFonts w:ascii="Verdana" w:eastAsia="Calibri" w:hAnsi="Verdana" w:cs="Arial"/>
          <w:color w:val="000000" w:themeColor="text1"/>
          <w:sz w:val="20"/>
          <w:szCs w:val="20"/>
        </w:rPr>
      </w:pPr>
      <w:r w:rsidRPr="00716A9A">
        <w:rPr>
          <w:rFonts w:ascii="Verdana" w:eastAsia="Calibri" w:hAnsi="Verdana" w:cs="Arial"/>
          <w:color w:val="000000" w:themeColor="text1"/>
          <w:sz w:val="20"/>
          <w:szCs w:val="20"/>
        </w:rPr>
        <w:t>Para el caso de cesión, será la entidad contratante la encargada de determinar el cesionario del contrato. […]</w:t>
      </w:r>
      <w:bookmarkStart w:id="5" w:name="_Hlk79777330"/>
      <w:r w:rsidRPr="00716A9A">
        <w:rPr>
          <w:rStyle w:val="Refdenotaalpie"/>
          <w:rFonts w:ascii="Verdana" w:eastAsia="Calibri" w:hAnsi="Verdana" w:cs="Arial"/>
          <w:color w:val="000000" w:themeColor="text1"/>
          <w:sz w:val="20"/>
          <w:szCs w:val="20"/>
        </w:rPr>
        <w:footnoteReference w:id="15"/>
      </w:r>
      <w:r w:rsidRPr="00716A9A">
        <w:rPr>
          <w:rFonts w:ascii="Verdana" w:eastAsia="Calibri" w:hAnsi="Verdana" w:cs="Arial"/>
          <w:color w:val="000000" w:themeColor="text1"/>
          <w:sz w:val="20"/>
          <w:szCs w:val="20"/>
        </w:rPr>
        <w:t xml:space="preserve"> </w:t>
      </w:r>
      <w:bookmarkEnd w:id="5"/>
    </w:p>
    <w:p w14:paraId="1DDA40EA" w14:textId="77777777" w:rsidR="00DB7B50" w:rsidRPr="00716A9A" w:rsidRDefault="00DB7B50" w:rsidP="00DB7B50">
      <w:pPr>
        <w:tabs>
          <w:tab w:val="left" w:pos="709"/>
        </w:tabs>
        <w:spacing w:after="0"/>
        <w:ind w:left="709" w:right="879"/>
        <w:jc w:val="both"/>
        <w:rPr>
          <w:rFonts w:ascii="Verdana" w:eastAsia="Calibri" w:hAnsi="Verdana" w:cs="Arial"/>
          <w:color w:val="000000" w:themeColor="text1"/>
          <w:sz w:val="20"/>
          <w:szCs w:val="20"/>
        </w:rPr>
      </w:pPr>
    </w:p>
    <w:p w14:paraId="58F8FFFD" w14:textId="77777777" w:rsidR="00DB7B50" w:rsidRPr="00716A9A" w:rsidRDefault="00DB7B50" w:rsidP="00DB7B50">
      <w:pPr>
        <w:tabs>
          <w:tab w:val="left" w:pos="709"/>
        </w:tabs>
        <w:spacing w:after="0" w:line="276" w:lineRule="auto"/>
        <w:jc w:val="both"/>
        <w:rPr>
          <w:rFonts w:ascii="Verdana" w:eastAsia="Calibri" w:hAnsi="Verdana" w:cs="Arial"/>
          <w:color w:val="000000" w:themeColor="text1"/>
        </w:rPr>
      </w:pPr>
      <w:r w:rsidRPr="00716A9A">
        <w:rPr>
          <w:rFonts w:ascii="Verdana" w:eastAsia="Calibri" w:hAnsi="Verdana" w:cs="Arial"/>
          <w:color w:val="000000" w:themeColor="text1"/>
          <w:sz w:val="21"/>
          <w:szCs w:val="21"/>
        </w:rPr>
        <w:tab/>
      </w:r>
      <w:r w:rsidRPr="00716A9A">
        <w:rPr>
          <w:rFonts w:ascii="Verdana" w:eastAsia="Calibri" w:hAnsi="Verdana" w:cs="Arial"/>
          <w:color w:val="000000" w:themeColor="text1"/>
        </w:rPr>
        <w:t>Esta regulación de las inhabilidades e incompatibilidades sobrevinientes fue una innovación del Estatuto General de Contratación de la Administración Pública, pues el tema no fue abordado en los Decretos Leyes 150 de 1976 y 222 de 1983. Naturalmente, no se trata de causales nuevas, sino de su configuración posterior antes de que finalice el procedimiento de selección o después de perfeccionado el contrato. Sobre la constitucionalidad de esta norma se pronunció la Corte Constitucional indicando que:</w:t>
      </w:r>
    </w:p>
    <w:p w14:paraId="6381627A" w14:textId="77777777" w:rsidR="00DB7B50" w:rsidRPr="00716A9A" w:rsidRDefault="00DB7B50" w:rsidP="00DB7B50">
      <w:pPr>
        <w:tabs>
          <w:tab w:val="left" w:pos="709"/>
        </w:tabs>
        <w:spacing w:after="0" w:line="240" w:lineRule="auto"/>
        <w:jc w:val="both"/>
        <w:rPr>
          <w:rFonts w:ascii="Verdana" w:eastAsia="Calibri" w:hAnsi="Verdana" w:cs="Arial"/>
          <w:color w:val="000000" w:themeColor="text1"/>
          <w:sz w:val="18"/>
          <w:szCs w:val="18"/>
        </w:rPr>
      </w:pPr>
    </w:p>
    <w:p w14:paraId="75ABCCCA" w14:textId="77777777" w:rsidR="00DB7B50" w:rsidRPr="00716A9A" w:rsidRDefault="00DB7B50" w:rsidP="00DB7B50">
      <w:pPr>
        <w:spacing w:line="240" w:lineRule="auto"/>
        <w:ind w:left="709" w:right="709"/>
        <w:jc w:val="both"/>
        <w:rPr>
          <w:rFonts w:ascii="Verdana" w:eastAsia="Times New Roman" w:hAnsi="Verdana" w:cs="Arial"/>
          <w:color w:val="000000" w:themeColor="text1"/>
          <w:sz w:val="20"/>
          <w:szCs w:val="20"/>
          <w:lang w:eastAsia="es-MX"/>
        </w:rPr>
      </w:pPr>
      <w:r w:rsidRPr="00716A9A">
        <w:rPr>
          <w:rFonts w:ascii="Verdana" w:hAnsi="Verdana" w:cs="Arial"/>
          <w:color w:val="000000" w:themeColor="text1"/>
          <w:sz w:val="20"/>
          <w:szCs w:val="20"/>
        </w:rPr>
        <w:t xml:space="preserve">[…] </w:t>
      </w:r>
      <w:r w:rsidRPr="00716A9A">
        <w:rPr>
          <w:rFonts w:ascii="Verdana" w:eastAsia="Times New Roman" w:hAnsi="Verdana" w:cs="Arial"/>
          <w:color w:val="000000" w:themeColor="text1"/>
          <w:sz w:val="20"/>
          <w:szCs w:val="20"/>
          <w:lang w:eastAsia="es-MX"/>
        </w:rPr>
        <w:t>Se trata de evitar que contraten con el Estado quienes se ubican en alguna de las situaciones contempladas por el artículo 8º de la Ley 80 de 1993, a la cual pertenece también la disposición demandada. Como tales incompatibilidades e inhabilidades no siempre surgen desde el comienzo de los trámites previos a la contratación, debe la ley ocuparse en la determinación clara de las reglas que han de observarse si ellas aparecen de manera sobreviniente, esto es, cuando la relación contractual ya se había establecido o dentro del tiempo de una licitación o concurso ya iniciados.</w:t>
      </w:r>
    </w:p>
    <w:p w14:paraId="5ADC65DB" w14:textId="77777777" w:rsidR="00DB7B50" w:rsidRPr="00716A9A" w:rsidRDefault="00DB7B50" w:rsidP="00DB7B50">
      <w:pPr>
        <w:spacing w:after="0" w:line="240" w:lineRule="auto"/>
        <w:ind w:left="709" w:right="709"/>
        <w:jc w:val="both"/>
        <w:rPr>
          <w:rFonts w:ascii="Verdana" w:eastAsia="Times New Roman" w:hAnsi="Verdana" w:cs="Arial"/>
          <w:color w:val="000000" w:themeColor="text1"/>
          <w:sz w:val="20"/>
          <w:szCs w:val="20"/>
          <w:lang w:eastAsia="es-MX"/>
        </w:rPr>
      </w:pPr>
      <w:r w:rsidRPr="00716A9A">
        <w:rPr>
          <w:rFonts w:ascii="Verdana" w:eastAsia="Times New Roman" w:hAnsi="Verdana" w:cs="Arial"/>
          <w:color w:val="000000" w:themeColor="text1"/>
          <w:sz w:val="20"/>
          <w:szCs w:val="20"/>
          <w:lang w:eastAsia="es-MX"/>
        </w:rPr>
        <w:t xml:space="preserve">A juicio de la Corte, en nada se ofende el imperio de la Constitución por haberse establecido que el hecho de sobrevenir una causal de inhabilidad o incompatibilidad en cabeza de quien ya es contratista da lugar a la obligación de éste de ceder el contrato previa autorización escrita de la entidad contratante, o a la de renunciar a su ejecución si aquello no fuere posible. Tampoco se vulnera la Carta por consagrar que quien participa en un proceso de licitación o concurso y resulta intempestivamente afectado por inhabilidades o incompatibilidades deba renunciar a dicha participación, ni se desconoce la normatividad superior por prever, como lo hace la norma, la cesión en favor de un tercero de la participación en el consorcio o unión temporal que licita o es contratista cuando la causa de inhabilidad o incompatibilidad se radica en uno de sus miembros. Se trata de evitar en tales casos que el contratista, pese a su situación, prosiga </w:t>
      </w:r>
      <w:r w:rsidRPr="00716A9A">
        <w:rPr>
          <w:rFonts w:ascii="Verdana" w:eastAsia="Times New Roman" w:hAnsi="Verdana" w:cs="Arial"/>
          <w:color w:val="000000" w:themeColor="text1"/>
          <w:sz w:val="20"/>
          <w:szCs w:val="20"/>
          <w:lang w:eastAsia="es-MX"/>
        </w:rPr>
        <w:lastRenderedPageBreak/>
        <w:t>vinculado contractualmente con el Estado, o que el aspirante a serlo continúe tomando parte en los procesos de adjudicación y selección […]</w:t>
      </w:r>
      <w:r w:rsidRPr="00716A9A">
        <w:rPr>
          <w:rStyle w:val="Refdenotaalpie"/>
          <w:rFonts w:ascii="Verdana" w:eastAsia="Times New Roman" w:hAnsi="Verdana" w:cs="Arial"/>
          <w:color w:val="000000" w:themeColor="text1"/>
          <w:sz w:val="20"/>
          <w:szCs w:val="20"/>
          <w:lang w:eastAsia="es-MX"/>
        </w:rPr>
        <w:footnoteReference w:id="16"/>
      </w:r>
    </w:p>
    <w:p w14:paraId="543C61CB" w14:textId="77777777" w:rsidR="00DB7B50" w:rsidRPr="00716A9A" w:rsidRDefault="00DB7B50" w:rsidP="00DB7B50">
      <w:pPr>
        <w:spacing w:after="0"/>
        <w:ind w:left="709" w:right="709"/>
        <w:jc w:val="both"/>
        <w:rPr>
          <w:rFonts w:ascii="Verdana" w:eastAsia="Calibri" w:hAnsi="Verdana" w:cs="Arial"/>
          <w:color w:val="000000" w:themeColor="text1"/>
        </w:rPr>
      </w:pPr>
    </w:p>
    <w:p w14:paraId="2B807D6B" w14:textId="77777777" w:rsidR="00DB7B50" w:rsidRPr="00716A9A" w:rsidRDefault="00DB7B50" w:rsidP="00DB7B50">
      <w:pPr>
        <w:tabs>
          <w:tab w:val="left" w:pos="709"/>
        </w:tabs>
        <w:spacing w:after="120" w:line="276" w:lineRule="auto"/>
        <w:jc w:val="both"/>
        <w:rPr>
          <w:rFonts w:ascii="Verdana" w:eastAsia="Calibri" w:hAnsi="Verdana" w:cs="Arial"/>
          <w:color w:val="000000" w:themeColor="text1"/>
        </w:rPr>
      </w:pPr>
      <w:r w:rsidRPr="00716A9A">
        <w:rPr>
          <w:rFonts w:ascii="Verdana" w:eastAsia="Calibri" w:hAnsi="Verdana" w:cs="Arial"/>
          <w:color w:val="000000" w:themeColor="text1"/>
        </w:rPr>
        <w:tab/>
        <w:t xml:space="preserve">En efecto, si el contrato se celebra con personas incursas previamente en una situación de inhabilidad o incompatibilidad, este surge a la vida jurídica viciado de nulidad absoluta. En contraste, si se generan en forma sobreviniente, el contrato no es inválido porque se perfeccionó de forma lícita; pero conforme al principio de moralidad administrativa no se puede continuar ejecutando ni mantenerse el vínculo con ese contratista inhábil y se producen entonces las consecuencias dispuestas por el legislador. </w:t>
      </w:r>
    </w:p>
    <w:p w14:paraId="7B582F16" w14:textId="77777777" w:rsidR="00DB7B50" w:rsidRPr="00716A9A" w:rsidRDefault="00DB7B50" w:rsidP="00DB7B50">
      <w:pPr>
        <w:tabs>
          <w:tab w:val="left" w:pos="709"/>
        </w:tabs>
        <w:spacing w:after="120" w:line="276" w:lineRule="auto"/>
        <w:jc w:val="both"/>
        <w:rPr>
          <w:rFonts w:ascii="Verdana" w:eastAsia="Calibri" w:hAnsi="Verdana" w:cs="Arial"/>
          <w:color w:val="000000" w:themeColor="text1"/>
        </w:rPr>
      </w:pPr>
      <w:r w:rsidRPr="00716A9A">
        <w:rPr>
          <w:rFonts w:ascii="Verdana" w:eastAsia="Calibri" w:hAnsi="Verdana" w:cs="Arial"/>
          <w:color w:val="000000" w:themeColor="text1"/>
        </w:rPr>
        <w:tab/>
        <w:t>Según se desprende del texto del artículo 9, y sin perjuicio de la regla especial establecida en el parágrafo 1 de dicho artículo</w:t>
      </w:r>
      <w:r w:rsidRPr="00716A9A">
        <w:rPr>
          <w:rStyle w:val="Refdenotaalpie"/>
          <w:rFonts w:ascii="Verdana" w:eastAsia="Calibri" w:hAnsi="Verdana" w:cs="Arial"/>
          <w:color w:val="000000" w:themeColor="text1"/>
        </w:rPr>
        <w:footnoteReference w:id="17"/>
      </w:r>
      <w:r w:rsidRPr="00716A9A">
        <w:rPr>
          <w:rFonts w:ascii="Verdana" w:eastAsia="Calibri" w:hAnsi="Verdana" w:cs="Arial"/>
          <w:color w:val="000000" w:themeColor="text1"/>
        </w:rPr>
        <w:t>, si la inhabilidad o incompatibilidad se configura después del perfeccionamiento del contrato, el contratista cederá el contrato a un tercero previa autorización escrita de la entidad contratante; pero si esto no es posible, está obligado a renunciar a la ejecución. Por otra parte, si la inhabilidad o incompatibilidad sobreviene en un procedimiento de selección, se entiende que el proponente renuncia a la participación y a los derechos surgidos del mismo. Finalmente, si la inhabilidad o incompatibilidad sobreviene en uno de los integrantes de un proponente plural, este debe ceder su participación con la autorización escrita del contratante, con la restricción de que el cesionario no puede ser alguno de los demás integrantes del consorcio o la unión temporal</w:t>
      </w:r>
      <w:r w:rsidRPr="00716A9A">
        <w:rPr>
          <w:rStyle w:val="Refdenotaalpie"/>
          <w:rFonts w:ascii="Verdana" w:eastAsia="Calibri" w:hAnsi="Verdana" w:cs="Arial"/>
          <w:color w:val="000000" w:themeColor="text1"/>
        </w:rPr>
        <w:footnoteReference w:id="18"/>
      </w:r>
      <w:r w:rsidRPr="00716A9A">
        <w:rPr>
          <w:rFonts w:ascii="Verdana" w:eastAsia="Calibri" w:hAnsi="Verdana" w:cs="Arial"/>
          <w:color w:val="000000" w:themeColor="text1"/>
        </w:rPr>
        <w:t xml:space="preserve">. </w:t>
      </w:r>
    </w:p>
    <w:p w14:paraId="3D2F38B3" w14:textId="573FA9D6" w:rsidR="00DB7B50" w:rsidRPr="00716A9A" w:rsidRDefault="00DB7B50">
      <w:pPr>
        <w:tabs>
          <w:tab w:val="left" w:pos="709"/>
        </w:tabs>
        <w:spacing w:after="120" w:line="276" w:lineRule="auto"/>
        <w:jc w:val="both"/>
        <w:rPr>
          <w:rFonts w:ascii="Verdana" w:eastAsia="Times New Roman" w:hAnsi="Verdana" w:cs="Arial"/>
          <w:lang w:eastAsia="es-MX"/>
        </w:rPr>
      </w:pPr>
      <w:r w:rsidRPr="00716A9A">
        <w:rPr>
          <w:rFonts w:ascii="Verdana" w:eastAsia="Calibri" w:hAnsi="Verdana" w:cs="Arial"/>
          <w:color w:val="000000" w:themeColor="text1"/>
        </w:rPr>
        <w:lastRenderedPageBreak/>
        <w:tab/>
      </w:r>
      <w:r w:rsidRPr="00716A9A">
        <w:rPr>
          <w:rFonts w:ascii="Verdana" w:eastAsia="Times New Roman" w:hAnsi="Verdana" w:cs="Arial"/>
          <w:lang w:eastAsia="es-MX"/>
        </w:rPr>
        <w:t>.</w:t>
      </w:r>
    </w:p>
    <w:p w14:paraId="579F04CA" w14:textId="77777777" w:rsidR="00DB7B50" w:rsidRPr="00716A9A" w:rsidRDefault="00DB7B50" w:rsidP="00DB7B50">
      <w:pPr>
        <w:spacing w:after="120" w:line="276" w:lineRule="auto"/>
        <w:jc w:val="both"/>
        <w:rPr>
          <w:rFonts w:ascii="Verdana" w:eastAsia="Times New Roman" w:hAnsi="Verdana" w:cs="Times New Roman"/>
          <w:lang w:eastAsia="es-ES"/>
        </w:rPr>
      </w:pPr>
      <w:r w:rsidRPr="00716A9A">
        <w:rPr>
          <w:rFonts w:ascii="Verdana" w:eastAsia="Aptos" w:hAnsi="Verdana" w:cs="Arial"/>
          <w:sz w:val="20"/>
          <w:szCs w:val="20"/>
          <w:lang w:val="es-ES_tradnl" w:eastAsia="es-MX"/>
        </w:rPr>
        <w:t xml:space="preserve">iv. </w:t>
      </w:r>
      <w:r w:rsidRPr="00716A9A">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716A9A">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2"/>
      <w:bookmarkEnd w:id="3"/>
    </w:p>
    <w:p w14:paraId="0A87AA74" w14:textId="77777777" w:rsidR="00DB7B50" w:rsidRPr="00716A9A" w:rsidRDefault="00DB7B50" w:rsidP="00DB7B50">
      <w:pPr>
        <w:spacing w:after="0" w:line="276" w:lineRule="auto"/>
        <w:ind w:firstLine="708"/>
        <w:jc w:val="both"/>
        <w:rPr>
          <w:rFonts w:ascii="Verdana" w:eastAsia="Calibri" w:hAnsi="Verdana" w:cs="Arial"/>
          <w:bCs/>
        </w:rPr>
      </w:pPr>
      <w:r w:rsidRPr="00716A9A">
        <w:rPr>
          <w:rFonts w:ascii="Verdana" w:eastAsia="Calibri" w:hAnsi="Verdana" w:cs="Arial"/>
          <w:bC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11A2DB4A" w14:textId="77777777" w:rsidR="00DB7B50" w:rsidRPr="00716A9A" w:rsidRDefault="00DB7B50" w:rsidP="00DB7B50">
      <w:pPr>
        <w:spacing w:after="0" w:line="276" w:lineRule="auto"/>
        <w:ind w:firstLine="709"/>
        <w:jc w:val="both"/>
        <w:rPr>
          <w:rFonts w:ascii="Verdana" w:eastAsia="Times New Roman" w:hAnsi="Verdana" w:cs="Times New Roman"/>
          <w:lang w:eastAsia="es-ES"/>
        </w:rPr>
      </w:pPr>
    </w:p>
    <w:p w14:paraId="2FC373BC" w14:textId="77777777" w:rsidR="00DB7B50" w:rsidRPr="00716A9A" w:rsidRDefault="00DB7B50" w:rsidP="00DB7B50">
      <w:pPr>
        <w:spacing w:after="120" w:line="276" w:lineRule="auto"/>
        <w:jc w:val="both"/>
        <w:rPr>
          <w:rFonts w:ascii="Verdana" w:eastAsia="Century Gothic" w:hAnsi="Verdana" w:cs="Century Gothic"/>
          <w:b/>
          <w:lang w:val="es-ES"/>
        </w:rPr>
      </w:pPr>
      <w:r w:rsidRPr="00716A9A">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B7B50" w:rsidRPr="00716A9A" w14:paraId="1ED17E19" w14:textId="77777777" w:rsidTr="00137E3C">
        <w:trPr>
          <w:trHeight w:val="490"/>
        </w:trPr>
        <w:tc>
          <w:tcPr>
            <w:tcW w:w="8647" w:type="dxa"/>
          </w:tcPr>
          <w:p w14:paraId="783BC291" w14:textId="77777777" w:rsidR="00DB7B50" w:rsidRPr="00716A9A" w:rsidRDefault="00DB7B50" w:rsidP="00DB7B50">
            <w:pPr>
              <w:widowControl w:val="0"/>
              <w:numPr>
                <w:ilvl w:val="0"/>
                <w:numId w:val="16"/>
              </w:numPr>
              <w:autoSpaceDE w:val="0"/>
              <w:autoSpaceDN w:val="0"/>
              <w:spacing w:line="276" w:lineRule="auto"/>
              <w:jc w:val="both"/>
              <w:rPr>
                <w:rFonts w:ascii="Verdana" w:eastAsia="Arial MT" w:hAnsi="Verdana" w:cs="Arial"/>
                <w:bCs/>
                <w:lang w:eastAsia="es-ES" w:bidi="es-ES"/>
              </w:rPr>
            </w:pPr>
            <w:r w:rsidRPr="00716A9A">
              <w:rPr>
                <w:rFonts w:ascii="Verdana" w:eastAsia="Arial MT" w:hAnsi="Verdana" w:cs="Arial"/>
                <w:bCs/>
                <w:lang w:eastAsia="es-ES" w:bidi="es-ES"/>
              </w:rPr>
              <w:t>Constitución Política de Colombia. Artículos 150 y 209</w:t>
            </w:r>
          </w:p>
          <w:p w14:paraId="27A43BA0" w14:textId="77777777" w:rsidR="00DB7B50" w:rsidRPr="00716A9A" w:rsidRDefault="00DB7B50" w:rsidP="00DB7B50">
            <w:pPr>
              <w:widowControl w:val="0"/>
              <w:numPr>
                <w:ilvl w:val="0"/>
                <w:numId w:val="16"/>
              </w:numPr>
              <w:autoSpaceDE w:val="0"/>
              <w:autoSpaceDN w:val="0"/>
              <w:spacing w:line="276" w:lineRule="auto"/>
              <w:jc w:val="both"/>
              <w:rPr>
                <w:rFonts w:ascii="Verdana" w:eastAsia="Arial MT" w:hAnsi="Verdana" w:cs="Arial"/>
                <w:bCs/>
                <w:lang w:eastAsia="es-ES" w:bidi="es-ES"/>
              </w:rPr>
            </w:pPr>
            <w:r w:rsidRPr="00716A9A">
              <w:rPr>
                <w:rFonts w:ascii="Verdana" w:eastAsia="Arial MT" w:hAnsi="Verdana" w:cs="Arial"/>
                <w:bCs/>
                <w:lang w:eastAsia="es-ES" w:bidi="es-ES"/>
              </w:rPr>
              <w:t>Ley 80 de 1993. Artículos 8 y 9</w:t>
            </w:r>
          </w:p>
          <w:p w14:paraId="629021D8" w14:textId="77777777" w:rsidR="00DB7B50" w:rsidRPr="00716A9A" w:rsidRDefault="00DB7B50" w:rsidP="00DB7B50">
            <w:pPr>
              <w:widowControl w:val="0"/>
              <w:numPr>
                <w:ilvl w:val="0"/>
                <w:numId w:val="16"/>
              </w:numPr>
              <w:autoSpaceDE w:val="0"/>
              <w:autoSpaceDN w:val="0"/>
              <w:spacing w:line="276" w:lineRule="auto"/>
              <w:jc w:val="both"/>
              <w:rPr>
                <w:rFonts w:ascii="Verdana" w:eastAsia="Arial MT" w:hAnsi="Verdana" w:cs="Arial"/>
                <w:bCs/>
                <w:lang w:eastAsia="es-ES" w:bidi="es-ES"/>
              </w:rPr>
            </w:pPr>
            <w:r w:rsidRPr="00716A9A">
              <w:rPr>
                <w:rFonts w:ascii="Verdana" w:eastAsia="Arial MT" w:hAnsi="Verdana" w:cs="Arial"/>
                <w:bCs/>
                <w:lang w:eastAsia="es-ES" w:bidi="es-ES"/>
              </w:rPr>
              <w:t>Ley 1150 de 2007. Artículo 6</w:t>
            </w:r>
          </w:p>
          <w:p w14:paraId="4E6F4890" w14:textId="77777777" w:rsidR="00DB7B50" w:rsidRPr="00716A9A" w:rsidRDefault="00DB7B50" w:rsidP="00DB7B50">
            <w:pPr>
              <w:widowControl w:val="0"/>
              <w:numPr>
                <w:ilvl w:val="0"/>
                <w:numId w:val="16"/>
              </w:numPr>
              <w:autoSpaceDE w:val="0"/>
              <w:autoSpaceDN w:val="0"/>
              <w:spacing w:line="276" w:lineRule="auto"/>
              <w:jc w:val="both"/>
              <w:rPr>
                <w:rFonts w:ascii="Verdana" w:eastAsia="Arial MT" w:hAnsi="Verdana" w:cs="Arial"/>
                <w:bCs/>
                <w:lang w:eastAsia="es-ES" w:bidi="es-ES"/>
              </w:rPr>
            </w:pPr>
            <w:r w:rsidRPr="00716A9A">
              <w:rPr>
                <w:rFonts w:ascii="Verdana" w:eastAsia="Arial MT" w:hAnsi="Verdana" w:cs="Arial"/>
                <w:bCs/>
                <w:lang w:eastAsia="es-ES" w:bidi="es-ES"/>
              </w:rPr>
              <w:t>Ley 1952 de 2019. Artículos 48 y 49</w:t>
            </w:r>
          </w:p>
          <w:p w14:paraId="1E3FA823" w14:textId="77777777" w:rsidR="00DB7B50" w:rsidRPr="00716A9A" w:rsidRDefault="00DB7B50" w:rsidP="00DB7B50">
            <w:pPr>
              <w:widowControl w:val="0"/>
              <w:numPr>
                <w:ilvl w:val="0"/>
                <w:numId w:val="16"/>
              </w:numPr>
              <w:autoSpaceDE w:val="0"/>
              <w:autoSpaceDN w:val="0"/>
              <w:spacing w:line="276" w:lineRule="auto"/>
              <w:jc w:val="both"/>
              <w:rPr>
                <w:rFonts w:ascii="Verdana" w:eastAsia="Arial MT" w:hAnsi="Verdana" w:cs="Arial"/>
                <w:bCs/>
                <w:lang w:eastAsia="es-ES" w:bidi="es-ES"/>
              </w:rPr>
            </w:pPr>
            <w:r w:rsidRPr="00716A9A">
              <w:rPr>
                <w:rFonts w:ascii="Verdana" w:eastAsia="Arial MT" w:hAnsi="Verdana" w:cs="Arial"/>
                <w:bCs/>
                <w:lang w:eastAsia="es-ES" w:bidi="es-ES"/>
              </w:rPr>
              <w:t>Decreto Ley 19 de 2012. Artículo 221</w:t>
            </w:r>
          </w:p>
          <w:p w14:paraId="0B2208CE" w14:textId="77777777" w:rsidR="00DB7B50" w:rsidRPr="00716A9A" w:rsidRDefault="00DB7B50" w:rsidP="00DB7B50">
            <w:pPr>
              <w:widowControl w:val="0"/>
              <w:numPr>
                <w:ilvl w:val="0"/>
                <w:numId w:val="16"/>
              </w:numPr>
              <w:autoSpaceDE w:val="0"/>
              <w:autoSpaceDN w:val="0"/>
              <w:spacing w:line="276" w:lineRule="auto"/>
              <w:jc w:val="both"/>
              <w:rPr>
                <w:rFonts w:ascii="Verdana" w:eastAsia="Arial MT" w:hAnsi="Verdana" w:cs="Arial"/>
                <w:bCs/>
                <w:lang w:eastAsia="es-ES" w:bidi="es-ES"/>
              </w:rPr>
            </w:pPr>
            <w:r w:rsidRPr="00716A9A">
              <w:rPr>
                <w:rFonts w:ascii="Verdana" w:eastAsia="Arial MT" w:hAnsi="Verdana" w:cs="Arial"/>
                <w:bCs/>
                <w:lang w:eastAsia="es-ES" w:bidi="es-ES"/>
              </w:rPr>
              <w:t xml:space="preserve">Corte Constitucional. Sentencia C-780 de 2001. M.P. Jaime Córdoba Triviño. </w:t>
            </w:r>
          </w:p>
          <w:p w14:paraId="33B88241" w14:textId="77777777" w:rsidR="00DB7B50" w:rsidRPr="00716A9A" w:rsidRDefault="00DB7B50" w:rsidP="00DB7B50">
            <w:pPr>
              <w:widowControl w:val="0"/>
              <w:numPr>
                <w:ilvl w:val="0"/>
                <w:numId w:val="16"/>
              </w:numPr>
              <w:autoSpaceDE w:val="0"/>
              <w:autoSpaceDN w:val="0"/>
              <w:spacing w:line="276" w:lineRule="auto"/>
              <w:jc w:val="both"/>
              <w:rPr>
                <w:rFonts w:ascii="Verdana" w:eastAsia="Arial MT" w:hAnsi="Verdana" w:cs="Arial"/>
                <w:bCs/>
                <w:lang w:eastAsia="es-ES" w:bidi="es-ES"/>
              </w:rPr>
            </w:pPr>
            <w:r w:rsidRPr="00716A9A">
              <w:rPr>
                <w:rFonts w:ascii="Verdana" w:eastAsia="Arial MT" w:hAnsi="Verdana" w:cs="Arial"/>
                <w:bCs/>
                <w:lang w:eastAsia="es-ES" w:bidi="es-ES"/>
              </w:rPr>
              <w:t xml:space="preserve">Corte Constitucional. C-221 de 1996. Magistrado Ponente: José Gregorio Hernández Galindo. </w:t>
            </w:r>
          </w:p>
          <w:p w14:paraId="4869D307" w14:textId="77777777" w:rsidR="00DB7B50" w:rsidRPr="00716A9A" w:rsidRDefault="00DB7B50" w:rsidP="00DB7B50">
            <w:pPr>
              <w:pStyle w:val="Prrafodelista"/>
              <w:widowControl w:val="0"/>
              <w:numPr>
                <w:ilvl w:val="0"/>
                <w:numId w:val="16"/>
              </w:numPr>
              <w:autoSpaceDE w:val="0"/>
              <w:autoSpaceDN w:val="0"/>
              <w:spacing w:line="276" w:lineRule="auto"/>
              <w:jc w:val="both"/>
              <w:rPr>
                <w:rFonts w:ascii="Verdana" w:eastAsia="Arial MT" w:hAnsi="Verdana" w:cs="Arial"/>
                <w:bCs/>
                <w:color w:val="EE0000"/>
                <w:lang w:eastAsia="es-ES" w:bidi="es-ES"/>
              </w:rPr>
            </w:pPr>
            <w:r w:rsidRPr="00716A9A">
              <w:rPr>
                <w:rFonts w:ascii="Verdana" w:eastAsia="Arial MT" w:hAnsi="Verdana" w:cs="Arial"/>
                <w:bCs/>
                <w:lang w:eastAsia="es-ES" w:bidi="es-ES"/>
              </w:rPr>
              <w:t xml:space="preserve">Consejo De Estado. Sección Tercera, Subsección A. Sentencia del 13 </w:t>
            </w:r>
            <w:r w:rsidRPr="00716A9A">
              <w:rPr>
                <w:rFonts w:ascii="Verdana" w:eastAsia="Arial MT" w:hAnsi="Verdana" w:cs="Arial"/>
                <w:bCs/>
                <w:lang w:eastAsia="es-ES" w:bidi="es-ES"/>
              </w:rPr>
              <w:lastRenderedPageBreak/>
              <w:t>de noviembre de 2013. Rad. 25.646.C.P. Mauricio Fajardo Gómez.</w:t>
            </w:r>
          </w:p>
        </w:tc>
      </w:tr>
    </w:tbl>
    <w:p w14:paraId="65DF54A7" w14:textId="77777777" w:rsidR="00DB7B50" w:rsidRPr="00716A9A" w:rsidRDefault="00DB7B50" w:rsidP="00DB7B50">
      <w:pPr>
        <w:widowControl w:val="0"/>
        <w:autoSpaceDE w:val="0"/>
        <w:autoSpaceDN w:val="0"/>
        <w:spacing w:after="0" w:line="276" w:lineRule="auto"/>
        <w:jc w:val="both"/>
        <w:rPr>
          <w:rFonts w:ascii="Verdana" w:hAnsi="Verdana" w:cs="Arial"/>
          <w:color w:val="EE0000"/>
          <w:lang w:val="es-ES"/>
        </w:rPr>
      </w:pPr>
    </w:p>
    <w:p w14:paraId="43BF8720" w14:textId="77777777" w:rsidR="00DB7B50" w:rsidRPr="00716A9A" w:rsidRDefault="00DB7B50" w:rsidP="00DB7B50">
      <w:pPr>
        <w:tabs>
          <w:tab w:val="left" w:pos="142"/>
          <w:tab w:val="left" w:pos="284"/>
        </w:tabs>
        <w:spacing w:after="0" w:line="276" w:lineRule="auto"/>
        <w:jc w:val="both"/>
        <w:rPr>
          <w:rFonts w:ascii="Verdana" w:eastAsia="Century Gothic" w:hAnsi="Verdana" w:cs="Century Gothic"/>
          <w:b/>
          <w:lang w:val="es-ES"/>
        </w:rPr>
      </w:pPr>
      <w:r w:rsidRPr="00716A9A">
        <w:rPr>
          <w:rFonts w:ascii="Verdana" w:eastAsia="Century Gothic" w:hAnsi="Verdana" w:cs="Century Gothic"/>
          <w:b/>
          <w:lang w:val="es-ES"/>
        </w:rPr>
        <w:t>5. Doctrina de la Agencia Nacional de Contratación Pública:</w:t>
      </w:r>
    </w:p>
    <w:p w14:paraId="25AFA527" w14:textId="77777777" w:rsidR="00DB7B50" w:rsidRPr="00716A9A" w:rsidRDefault="00DB7B50" w:rsidP="00DB7B50">
      <w:pPr>
        <w:widowControl w:val="0"/>
        <w:autoSpaceDE w:val="0"/>
        <w:autoSpaceDN w:val="0"/>
        <w:spacing w:after="0" w:line="276" w:lineRule="auto"/>
        <w:jc w:val="both"/>
        <w:rPr>
          <w:rFonts w:ascii="Verdana" w:hAnsi="Verdana" w:cs="Arial"/>
          <w:color w:val="EE0000"/>
          <w:lang w:val="es-ES"/>
        </w:rPr>
      </w:pPr>
    </w:p>
    <w:p w14:paraId="5E5F8A6E" w14:textId="77777777" w:rsidR="00DB7B50" w:rsidRPr="00716A9A" w:rsidRDefault="00DB7B50" w:rsidP="00DB7B50">
      <w:pPr>
        <w:spacing w:after="0" w:line="276" w:lineRule="auto"/>
        <w:jc w:val="both"/>
        <w:rPr>
          <w:rStyle w:val="normaltextrun"/>
          <w:rFonts w:ascii="Verdana" w:hAnsi="Verdana" w:cs="Arial"/>
          <w:color w:val="000000" w:themeColor="text1"/>
          <w:shd w:val="clear" w:color="auto" w:fill="FFFFFF"/>
          <w:lang w:val="es-ES"/>
        </w:rPr>
      </w:pPr>
      <w:r w:rsidRPr="00716A9A">
        <w:rPr>
          <w:rFonts w:ascii="Verdana" w:eastAsia="Calibri" w:hAnsi="Verdana" w:cs="Arial"/>
          <w:color w:val="000000" w:themeColor="text1"/>
          <w:lang w:val="es-ES"/>
        </w:rPr>
        <w:t xml:space="preserve">La Agencia Nacional de Contratación Pública – Colombia Compra Eficiente se ha referido </w:t>
      </w:r>
      <w:r w:rsidRPr="00716A9A">
        <w:rPr>
          <w:rFonts w:ascii="Verdana" w:hAnsi="Verdana" w:cs="Arial"/>
          <w:color w:val="000000" w:themeColor="text1"/>
          <w:shd w:val="clear" w:color="auto" w:fill="FFFFFF"/>
          <w:lang w:val="es-ES"/>
        </w:rPr>
        <w:t xml:space="preserve">sobre el régimen de inhabilidades en los conceptos </w:t>
      </w:r>
      <w:r w:rsidRPr="00716A9A">
        <w:rPr>
          <w:rStyle w:val="normaltextrun"/>
          <w:rFonts w:ascii="Verdana" w:hAnsi="Verdana" w:cs="Arial"/>
          <w:color w:val="000000" w:themeColor="text1"/>
          <w:shd w:val="clear" w:color="auto" w:fill="FFFFFF"/>
          <w:lang w:val="es-ES"/>
        </w:rPr>
        <w:t xml:space="preserve">C-273 del 21 de mayo de 2020, C-386 del 24 de julio de 2020, C-580 del 21 de septiembre de 2020, C-639 del 27 de octubre del 2020, C-650 del 10 de noviembre de 2020, C-684 del 24 de noviembre de 2020 C-004 del 12 de febrero de 2021, C-815 del 18 de febrero de 2021, C-210 del 12 de mayo de 2021, C-275 del 11 de junio de 2021, C-321 del 2 de julio de 2021, C-410 del 7 de julio del 2021, C-491 del 14 de septiembre de 2021, C-028 del 28 de febrero de 2022, C-318 del 18 de mayo de 2022, C-252 del 30 de mayo de 2022, C-175 del 4 de mayo de 2023, C-234 del 5 de julio de 2023, C-408 del 21 de agosto de 2024, C-975 del 16 de diciembre de 2024, C-1716 del 23 de diciembre de 2025, C-1790 del 30 de diciembre de 2025, C-1655 del 03 de febrero de 2026, </w:t>
      </w:r>
      <w:r>
        <w:rPr>
          <w:rStyle w:val="normaltextrun"/>
          <w:rFonts w:ascii="Verdana" w:hAnsi="Verdana" w:cs="Arial"/>
          <w:color w:val="000000" w:themeColor="text1"/>
          <w:shd w:val="clear" w:color="auto" w:fill="FFFFFF"/>
          <w:lang w:val="es-ES"/>
        </w:rPr>
        <w:t xml:space="preserve">C-214 del 26 de marzo de 2026, C-396 del 23 de abril de 2026, C-637 del 28 de mayo de 2026, C-704 del 29 de mayo de 2025, </w:t>
      </w:r>
      <w:r w:rsidRPr="00716A9A">
        <w:rPr>
          <w:rStyle w:val="normaltextrun"/>
          <w:rFonts w:ascii="Verdana" w:hAnsi="Verdana" w:cs="Arial"/>
          <w:color w:val="000000" w:themeColor="text1"/>
          <w:shd w:val="clear" w:color="auto" w:fill="FFFFFF"/>
          <w:lang w:val="es-ES"/>
        </w:rPr>
        <w:t>entre otros.</w:t>
      </w:r>
    </w:p>
    <w:p w14:paraId="124E7FD2" w14:textId="77777777" w:rsidR="00DB7B50" w:rsidRPr="00716A9A" w:rsidRDefault="00DB7B50" w:rsidP="00DB7B50">
      <w:pPr>
        <w:spacing w:after="0" w:line="276" w:lineRule="auto"/>
        <w:jc w:val="both"/>
        <w:rPr>
          <w:rStyle w:val="normaltextrun"/>
          <w:rFonts w:ascii="Verdana" w:hAnsi="Verdana" w:cs="Arial"/>
          <w:color w:val="000000" w:themeColor="text1"/>
          <w:shd w:val="clear" w:color="auto" w:fill="FFFFFF"/>
          <w:lang w:val="es-ES"/>
        </w:rPr>
      </w:pPr>
    </w:p>
    <w:p w14:paraId="688A574E" w14:textId="77777777" w:rsidR="00DB7B50" w:rsidRPr="00716A9A" w:rsidRDefault="00DB7B50" w:rsidP="00DB7B50">
      <w:pPr>
        <w:spacing w:after="0" w:line="276" w:lineRule="auto"/>
        <w:jc w:val="both"/>
        <w:rPr>
          <w:rFonts w:ascii="Verdana" w:hAnsi="Verdana"/>
          <w:color w:val="7030A0"/>
        </w:rPr>
      </w:pPr>
      <w:r w:rsidRPr="00716A9A">
        <w:rPr>
          <w:rFonts w:ascii="Verdana" w:hAnsi="Verdana" w:cs="Arial"/>
          <w:shd w:val="clear" w:color="auto" w:fill="FFFFFF"/>
          <w:lang w:val="es-ES"/>
        </w:rPr>
        <w:t>Estos</w:t>
      </w:r>
      <w:r w:rsidRPr="00716A9A">
        <w:rPr>
          <w:rFonts w:ascii="Verdana" w:hAnsi="Verdana"/>
          <w:lang w:val="es-ES"/>
        </w:rPr>
        <w:t xml:space="preserve"> y otros se encuentran disponibles para consulta en el Sistema de relatoría de la Agencia, al cual se puede acceder a través del siguiente enlace:</w:t>
      </w:r>
      <w:r w:rsidRPr="00716A9A">
        <w:rPr>
          <w:rFonts w:ascii="Verdana" w:hAnsi="Verdana" w:cs="Arial"/>
          <w:shd w:val="clear" w:color="auto" w:fill="FFFFFF"/>
          <w:lang w:val="es-ES"/>
        </w:rPr>
        <w:t xml:space="preserve"> </w:t>
      </w:r>
      <w:hyperlink r:id="rId12" w:history="1">
        <w:r w:rsidRPr="00716A9A">
          <w:rPr>
            <w:rStyle w:val="Hipervnculo"/>
            <w:rFonts w:ascii="Verdana" w:hAnsi="Verdana" w:cs="Arial"/>
            <w:shd w:val="clear" w:color="auto" w:fill="FFFFFF"/>
            <w:lang w:val="es-ES"/>
          </w:rPr>
          <w:t>https://relatoria.colombiacompra.gov.co/busqueda/conceptos</w:t>
        </w:r>
      </w:hyperlink>
    </w:p>
    <w:p w14:paraId="1E443822" w14:textId="77777777" w:rsidR="00DB7B50" w:rsidRPr="00716A9A" w:rsidRDefault="00DB7B50" w:rsidP="00DB7B50">
      <w:pPr>
        <w:spacing w:after="0" w:line="276" w:lineRule="auto"/>
        <w:jc w:val="both"/>
        <w:rPr>
          <w:rFonts w:ascii="Verdana" w:hAnsi="Verdana"/>
          <w:color w:val="7030A0"/>
        </w:rPr>
      </w:pPr>
    </w:p>
    <w:p w14:paraId="3A2A404D" w14:textId="77777777" w:rsidR="00DB7B50" w:rsidRPr="00716A9A" w:rsidRDefault="00DB7B50" w:rsidP="00DB7B50">
      <w:pPr>
        <w:jc w:val="both"/>
        <w:rPr>
          <w:rFonts w:ascii="Verdana" w:hAnsi="Verdana"/>
        </w:rPr>
      </w:pPr>
      <w:r w:rsidRPr="00716A9A">
        <w:rPr>
          <w:rFonts w:ascii="Verdana" w:hAnsi="Verdana"/>
        </w:rPr>
        <w:t xml:space="preserve">La sostenibilidad no es una opción, es una obligación. Por ello, la Agencia Nacional de Contratación Pública –Colombia Compra Eficiente– te invita a realizar el </w:t>
      </w:r>
      <w:r w:rsidRPr="00716A9A">
        <w:rPr>
          <w:rFonts w:ascii="Verdana" w:hAnsi="Verdana"/>
          <w:b/>
          <w:bCs/>
        </w:rPr>
        <w:t>Curso de Contratación Pública Sostenible y Socialmente Responsable</w:t>
      </w:r>
      <w:r w:rsidRPr="00716A9A">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16A9A">
        <w:rPr>
          <w:rFonts w:ascii="Verdana" w:hAnsi="Verdana"/>
        </w:rPr>
        <w:br/>
      </w:r>
      <w:hyperlink r:id="rId13" w:tgtFrame="_new" w:history="1">
        <w:r w:rsidRPr="00716A9A">
          <w:rPr>
            <w:rStyle w:val="Hipervnculo"/>
            <w:rFonts w:ascii="Verdana" w:hAnsi="Verdana"/>
          </w:rPr>
          <w:t>https://formacionvirtual.colombiacompra.gov.co/mod/page/view.php?id=3718</w:t>
        </w:r>
      </w:hyperlink>
    </w:p>
    <w:p w14:paraId="01F19C8C" w14:textId="77777777" w:rsidR="00DB7B50" w:rsidRPr="00716A9A" w:rsidRDefault="00DB7B50" w:rsidP="00DB7B50">
      <w:pPr>
        <w:jc w:val="both"/>
        <w:rPr>
          <w:rFonts w:ascii="Verdana" w:hAnsi="Verdana"/>
        </w:rPr>
      </w:pPr>
      <w:r w:rsidRPr="00716A9A">
        <w:rPr>
          <w:rFonts w:ascii="Verdana" w:hAnsi="Verdana"/>
        </w:rPr>
        <w:t xml:space="preserve">De otro lado, te contamos que esta Agencia ha da un paso decisivo en la estandarización y modernización del </w:t>
      </w:r>
      <w:r w:rsidRPr="00716A9A">
        <w:rPr>
          <w:rFonts w:ascii="Verdana" w:hAnsi="Verdana"/>
          <w:b/>
          <w:bCs/>
        </w:rPr>
        <w:t>sector  social</w:t>
      </w:r>
      <w:r w:rsidRPr="00716A9A">
        <w:rPr>
          <w:rFonts w:ascii="Verdana" w:hAnsi="Verdana"/>
        </w:rPr>
        <w:t xml:space="preserve"> con la expedición de las </w:t>
      </w:r>
      <w:r w:rsidRPr="00716A9A">
        <w:rPr>
          <w:rFonts w:ascii="Verdana" w:hAnsi="Verdana"/>
          <w:b/>
          <w:bCs/>
        </w:rPr>
        <w:t>Resoluciones 539, 540, 541, 952 y 953 de 2025</w:t>
      </w:r>
      <w:r w:rsidRPr="00716A9A">
        <w:rPr>
          <w:rFonts w:ascii="Verdana" w:hAnsi="Verdana"/>
        </w:rPr>
        <w:t xml:space="preserve">, </w:t>
      </w:r>
      <w:r w:rsidRPr="00716A9A">
        <w:rPr>
          <w:rFonts w:ascii="Verdana" w:hAnsi="Verdana"/>
          <w:b/>
          <w:bCs/>
        </w:rPr>
        <w:t>mediante las cuales adoptó Documentos Tipo</w:t>
      </w:r>
      <w:r w:rsidRPr="00716A9A">
        <w:rPr>
          <w:rFonts w:ascii="Verdana" w:hAnsi="Verdana"/>
        </w:rPr>
        <w:t xml:space="preserve"> para las modalidades de selección de</w:t>
      </w:r>
      <w:r w:rsidRPr="00716A9A">
        <w:rPr>
          <w:rFonts w:ascii="Verdana" w:hAnsi="Verdana"/>
          <w:b/>
          <w:bCs/>
        </w:rPr>
        <w:t xml:space="preserve"> licitación pública (versión 2), selección abreviada de menor cuantía, mínima </w:t>
      </w:r>
      <w:r w:rsidRPr="00716A9A">
        <w:rPr>
          <w:rFonts w:ascii="Verdana" w:hAnsi="Verdana"/>
          <w:b/>
          <w:bCs/>
        </w:rPr>
        <w:lastRenderedPageBreak/>
        <w:t>cuantía, consultoría e interventoría</w:t>
      </w:r>
      <w:r w:rsidRPr="00716A9A">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716A9A">
          <w:rPr>
            <w:rStyle w:val="Hipervnculo"/>
            <w:rFonts w:ascii="Verdana" w:hAnsi="Verdana"/>
          </w:rPr>
          <w:t>https://www.colombiacompra.gov.co/normativa-y-relatoria/documentos-tipo</w:t>
        </w:r>
      </w:hyperlink>
    </w:p>
    <w:p w14:paraId="2D0F60C8" w14:textId="77777777" w:rsidR="00DB7B50" w:rsidRPr="00716A9A" w:rsidRDefault="00DB7B50" w:rsidP="00DB7B50">
      <w:pPr>
        <w:jc w:val="both"/>
        <w:rPr>
          <w:rFonts w:ascii="Verdana" w:hAnsi="Verdana"/>
        </w:rPr>
      </w:pPr>
      <w:r w:rsidRPr="00716A9A">
        <w:rPr>
          <w:rFonts w:ascii="Verdana" w:hAnsi="Verdana"/>
        </w:rPr>
        <w:t xml:space="preserve">Si quieres conocer más sobre la aplicación de Documentos Tipo puedes consultar la última versión de la </w:t>
      </w:r>
      <w:r w:rsidRPr="00716A9A">
        <w:rPr>
          <w:rFonts w:ascii="Verdana" w:hAnsi="Verdana"/>
          <w:b/>
          <w:bCs/>
        </w:rPr>
        <w:t>Guía para la comprensión e implementación de los Documentos Tipo de obra pública de infraestructura de transporte</w:t>
      </w:r>
      <w:r w:rsidRPr="00716A9A">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16A9A">
        <w:rPr>
          <w:rFonts w:ascii="Verdana" w:hAnsi="Verdana"/>
        </w:rPr>
        <w:br/>
      </w:r>
      <w:hyperlink r:id="rId15" w:tgtFrame="_new" w:history="1">
        <w:r w:rsidRPr="00716A9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2009BCB" w14:textId="77777777" w:rsidR="00DB7B50" w:rsidRPr="00716A9A" w:rsidRDefault="00DB7B50" w:rsidP="00DB7B50">
      <w:pPr>
        <w:spacing w:after="0"/>
        <w:jc w:val="both"/>
        <w:rPr>
          <w:rFonts w:ascii="Verdana" w:hAnsi="Verdana" w:cs="Arial"/>
          <w:shd w:val="clear" w:color="auto" w:fill="FFFFFF"/>
        </w:rPr>
      </w:pPr>
      <w:r w:rsidRPr="00716A9A">
        <w:rPr>
          <w:rFonts w:ascii="Verdana" w:hAnsi="Verdana" w:cs="Arial"/>
          <w:shd w:val="clear" w:color="auto" w:fill="FFFFFF"/>
        </w:rPr>
        <w:t xml:space="preserve">Por último, lo invitamos a seguirnos en las redes sociales en las cuales se difunde información institucional: </w:t>
      </w:r>
    </w:p>
    <w:p w14:paraId="2C65A200" w14:textId="77777777" w:rsidR="00DB7B50" w:rsidRPr="00716A9A" w:rsidRDefault="00DB7B50" w:rsidP="00DB7B50">
      <w:pPr>
        <w:spacing w:after="0"/>
        <w:jc w:val="both"/>
        <w:rPr>
          <w:rFonts w:ascii="Verdana" w:hAnsi="Verdana" w:cs="Arial"/>
          <w:shd w:val="clear" w:color="auto" w:fill="FFFFFF"/>
        </w:rPr>
      </w:pPr>
    </w:p>
    <w:p w14:paraId="52049904" w14:textId="77777777" w:rsidR="00DB7B50" w:rsidRPr="00716A9A" w:rsidRDefault="00DB7B50" w:rsidP="00DB7B50">
      <w:pPr>
        <w:spacing w:after="0"/>
        <w:jc w:val="both"/>
        <w:rPr>
          <w:rFonts w:ascii="Verdana" w:hAnsi="Verdana" w:cs="Arial"/>
          <w:shd w:val="clear" w:color="auto" w:fill="FFFFFF"/>
        </w:rPr>
      </w:pPr>
      <w:r w:rsidRPr="00716A9A">
        <w:rPr>
          <w:rFonts w:ascii="Verdana" w:hAnsi="Verdana" w:cs="Arial"/>
          <w:shd w:val="clear" w:color="auto" w:fill="FFFFFF"/>
        </w:rPr>
        <w:t xml:space="preserve">Twitter: </w:t>
      </w:r>
      <w:r w:rsidRPr="00716A9A">
        <w:rPr>
          <w:rStyle w:val="Hipervnculo"/>
          <w:rFonts w:ascii="Verdana" w:hAnsi="Verdana"/>
        </w:rPr>
        <w:t>@colombiacompra</w:t>
      </w:r>
      <w:r w:rsidRPr="00716A9A">
        <w:rPr>
          <w:rFonts w:ascii="Verdana" w:hAnsi="Verdana" w:cs="Arial"/>
          <w:shd w:val="clear" w:color="auto" w:fill="FFFFFF"/>
        </w:rPr>
        <w:t xml:space="preserve"> </w:t>
      </w:r>
    </w:p>
    <w:p w14:paraId="156EFF14" w14:textId="77777777" w:rsidR="00DB7B50" w:rsidRPr="00716A9A" w:rsidRDefault="00DB7B50" w:rsidP="00DB7B50">
      <w:pPr>
        <w:spacing w:after="0"/>
        <w:jc w:val="both"/>
        <w:rPr>
          <w:rFonts w:ascii="Verdana" w:hAnsi="Verdana" w:cs="Arial"/>
          <w:shd w:val="clear" w:color="auto" w:fill="FFFFFF"/>
        </w:rPr>
      </w:pPr>
      <w:r w:rsidRPr="00716A9A">
        <w:rPr>
          <w:rFonts w:ascii="Verdana" w:hAnsi="Verdana" w:cs="Arial"/>
          <w:shd w:val="clear" w:color="auto" w:fill="FFFFFF"/>
        </w:rPr>
        <w:t>Facebook:</w:t>
      </w:r>
      <w:r w:rsidRPr="00716A9A">
        <w:rPr>
          <w:rStyle w:val="Hipervnculo"/>
          <w:rFonts w:ascii="Verdana" w:hAnsi="Verdana"/>
          <w:lang w:val="es-ES"/>
        </w:rPr>
        <w:t xml:space="preserve"> </w:t>
      </w:r>
      <w:r w:rsidRPr="00716A9A">
        <w:rPr>
          <w:rStyle w:val="Hipervnculo"/>
          <w:rFonts w:ascii="Verdana" w:hAnsi="Verdana"/>
        </w:rPr>
        <w:t>ColombiaCompraEficiente</w:t>
      </w:r>
    </w:p>
    <w:p w14:paraId="5E3C66D3" w14:textId="77777777" w:rsidR="00DB7B50" w:rsidRPr="00716A9A" w:rsidRDefault="00DB7B50" w:rsidP="00DB7B50">
      <w:pPr>
        <w:spacing w:after="0"/>
        <w:jc w:val="both"/>
        <w:rPr>
          <w:rFonts w:ascii="Verdana" w:hAnsi="Verdana" w:cs="Arial"/>
          <w:shd w:val="clear" w:color="auto" w:fill="FFFFFF"/>
        </w:rPr>
      </w:pPr>
      <w:r w:rsidRPr="00716A9A">
        <w:rPr>
          <w:rFonts w:ascii="Verdana" w:hAnsi="Verdana" w:cs="Arial"/>
          <w:shd w:val="clear" w:color="auto" w:fill="FFFFFF"/>
        </w:rPr>
        <w:t xml:space="preserve">LinkedIn: </w:t>
      </w:r>
      <w:r w:rsidRPr="00716A9A">
        <w:rPr>
          <w:rStyle w:val="Hipervnculo"/>
          <w:rFonts w:ascii="Verdana" w:hAnsi="Verdana"/>
        </w:rPr>
        <w:t>Agencia Nacional de Contratación Pública - Colombia Compra Eficiente</w:t>
      </w:r>
      <w:r w:rsidRPr="00716A9A">
        <w:rPr>
          <w:rFonts w:ascii="Verdana" w:hAnsi="Verdana" w:cs="Arial"/>
          <w:shd w:val="clear" w:color="auto" w:fill="FFFFFF"/>
        </w:rPr>
        <w:t xml:space="preserve"> </w:t>
      </w:r>
    </w:p>
    <w:p w14:paraId="4E418E35" w14:textId="77777777" w:rsidR="00DB7B50" w:rsidRPr="00716A9A" w:rsidRDefault="00DB7B50" w:rsidP="00DB7B50">
      <w:pPr>
        <w:spacing w:after="0"/>
        <w:jc w:val="both"/>
        <w:rPr>
          <w:rFonts w:ascii="Verdana" w:hAnsi="Verdana" w:cs="Arial"/>
          <w:shd w:val="clear" w:color="auto" w:fill="FFFFFF"/>
        </w:rPr>
      </w:pPr>
      <w:r w:rsidRPr="00716A9A">
        <w:rPr>
          <w:rFonts w:ascii="Verdana" w:hAnsi="Verdana" w:cs="Arial"/>
          <w:shd w:val="clear" w:color="auto" w:fill="FFFFFF"/>
        </w:rPr>
        <w:t xml:space="preserve">Instagram: </w:t>
      </w:r>
      <w:r w:rsidRPr="00716A9A">
        <w:rPr>
          <w:rStyle w:val="Hipervnculo"/>
          <w:rFonts w:ascii="Verdana" w:hAnsi="Verdana"/>
        </w:rPr>
        <w:t>@colombiacompraeficiente_cce</w:t>
      </w:r>
    </w:p>
    <w:p w14:paraId="43F97420" w14:textId="77777777" w:rsidR="00DB7B50" w:rsidRPr="00716A9A" w:rsidRDefault="00DB7B50" w:rsidP="00DB7B50">
      <w:pPr>
        <w:widowControl w:val="0"/>
        <w:autoSpaceDE w:val="0"/>
        <w:autoSpaceDN w:val="0"/>
        <w:spacing w:after="0" w:line="276" w:lineRule="auto"/>
        <w:jc w:val="both"/>
        <w:rPr>
          <w:rFonts w:ascii="Verdana" w:hAnsi="Verdana" w:cs="Arial"/>
          <w:color w:val="7030A0"/>
          <w:lang w:val="es-ES"/>
        </w:rPr>
      </w:pPr>
    </w:p>
    <w:p w14:paraId="53E8C68A" w14:textId="77777777" w:rsidR="00DB7B50" w:rsidRPr="00716A9A" w:rsidRDefault="00DB7B50" w:rsidP="00DB7B50">
      <w:pPr>
        <w:widowControl w:val="0"/>
        <w:autoSpaceDE w:val="0"/>
        <w:autoSpaceDN w:val="0"/>
        <w:spacing w:after="0" w:line="276" w:lineRule="auto"/>
        <w:jc w:val="both"/>
        <w:rPr>
          <w:rFonts w:ascii="Verdana" w:hAnsi="Verdana" w:cs="Arial"/>
          <w:lang w:val="es-ES"/>
        </w:rPr>
      </w:pPr>
      <w:r w:rsidRPr="00716A9A">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41590F3" w14:textId="77777777" w:rsidR="00DB7B50" w:rsidRPr="00716A9A" w:rsidRDefault="00DB7B50" w:rsidP="00DB7B50">
      <w:pPr>
        <w:widowControl w:val="0"/>
        <w:autoSpaceDE w:val="0"/>
        <w:autoSpaceDN w:val="0"/>
        <w:spacing w:after="0" w:line="276" w:lineRule="auto"/>
        <w:jc w:val="both"/>
        <w:rPr>
          <w:rFonts w:ascii="Verdana" w:hAnsi="Verdana" w:cs="Arial"/>
          <w:lang w:val="es-ES"/>
        </w:rPr>
      </w:pPr>
    </w:p>
    <w:p w14:paraId="6A667492" w14:textId="77777777" w:rsidR="00DB7B50" w:rsidRPr="00716A9A" w:rsidRDefault="00DB7B50" w:rsidP="00DB7B50">
      <w:pPr>
        <w:spacing w:after="0" w:line="276" w:lineRule="auto"/>
        <w:rPr>
          <w:rFonts w:ascii="Verdana" w:hAnsi="Verdana" w:cs="Arial"/>
          <w:lang w:val="es-ES" w:eastAsia="es-CO"/>
        </w:rPr>
      </w:pPr>
      <w:r w:rsidRPr="00716A9A">
        <w:rPr>
          <w:rFonts w:ascii="Verdana" w:eastAsia="Times New Roman" w:hAnsi="Verdana" w:cs="Arial"/>
          <w:lang w:val="es-ES" w:eastAsia="es-CO"/>
        </w:rPr>
        <w:t>Atentamente,</w:t>
      </w:r>
      <w:r w:rsidRPr="00716A9A">
        <w:rPr>
          <w:rFonts w:ascii="Verdana" w:hAnsi="Verdana" w:cs="Arial"/>
          <w:lang w:val="es-ES" w:eastAsia="es-CO"/>
        </w:rPr>
        <w:t xml:space="preserve"> </w:t>
      </w:r>
    </w:p>
    <w:p w14:paraId="7792EB03" w14:textId="1D655E06" w:rsidR="00DB7B50" w:rsidRDefault="00DB7B50" w:rsidP="00DB7B50">
      <w:pPr>
        <w:spacing w:after="0" w:line="276" w:lineRule="auto"/>
        <w:rPr>
          <w:rFonts w:ascii="Verdana" w:eastAsia="Calibri" w:hAnsi="Verdana" w:cs="Times New Roman"/>
          <w:noProof/>
          <w14:ligatures w14:val="standardContextual"/>
        </w:rPr>
      </w:pPr>
    </w:p>
    <w:p w14:paraId="2848353E" w14:textId="5C2B5B79" w:rsidR="00DB7B50" w:rsidRDefault="00A11CE5" w:rsidP="00A11CE5">
      <w:pPr>
        <w:spacing w:after="0" w:line="276" w:lineRule="auto"/>
        <w:jc w:val="center"/>
        <w:rPr>
          <w:rFonts w:ascii="Verdana" w:hAnsi="Verdana" w:cs="Arial"/>
          <w:lang w:val="es-ES" w:eastAsia="es-CO"/>
        </w:rPr>
      </w:pPr>
      <w:r w:rsidRPr="00A11CE5">
        <w:rPr>
          <w:rFonts w:ascii="Verdana" w:hAnsi="Verdana" w:cs="Arial"/>
          <w:lang w:val="es-ES" w:eastAsia="es-CO"/>
        </w:rPr>
        <w:lastRenderedPageBreak/>
        <w:drawing>
          <wp:inline distT="0" distB="0" distL="0" distR="0" wp14:anchorId="05857E5F" wp14:editId="6D4DC92B">
            <wp:extent cx="2924583" cy="1038370"/>
            <wp:effectExtent l="0" t="0" r="9525" b="9525"/>
            <wp:docPr id="11320599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059940" name=""/>
                    <pic:cNvPicPr/>
                  </pic:nvPicPr>
                  <pic:blipFill>
                    <a:blip r:embed="rId16"/>
                    <a:stretch>
                      <a:fillRect/>
                    </a:stretch>
                  </pic:blipFill>
                  <pic:spPr>
                    <a:xfrm>
                      <a:off x="0" y="0"/>
                      <a:ext cx="2924583" cy="1038370"/>
                    </a:xfrm>
                    <a:prstGeom prst="rect">
                      <a:avLst/>
                    </a:prstGeom>
                  </pic:spPr>
                </pic:pic>
              </a:graphicData>
            </a:graphic>
          </wp:inline>
        </w:drawing>
      </w:r>
    </w:p>
    <w:p w14:paraId="56BC6531" w14:textId="77777777" w:rsidR="00A11CE5" w:rsidRPr="00716A9A" w:rsidRDefault="00A11CE5" w:rsidP="00A11CE5">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B7B50" w:rsidRPr="00716A9A" w14:paraId="4C897AFD" w14:textId="77777777" w:rsidTr="00137E3C">
        <w:trPr>
          <w:trHeight w:val="315"/>
        </w:trPr>
        <w:tc>
          <w:tcPr>
            <w:tcW w:w="893" w:type="dxa"/>
            <w:vAlign w:val="center"/>
            <w:hideMark/>
          </w:tcPr>
          <w:p w14:paraId="752F5267" w14:textId="77777777" w:rsidR="00DB7B50" w:rsidRPr="00716A9A" w:rsidRDefault="00DB7B50" w:rsidP="00137E3C">
            <w:pPr>
              <w:contextualSpacing/>
              <w:rPr>
                <w:rFonts w:ascii="Verdana" w:hAnsi="Verdana" w:cs="Arial"/>
                <w:sz w:val="16"/>
                <w:szCs w:val="16"/>
                <w:lang w:val="es-ES" w:eastAsia="es-ES"/>
              </w:rPr>
            </w:pPr>
            <w:r w:rsidRPr="00716A9A">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379332D" w14:textId="77777777" w:rsidR="00DB7B50" w:rsidRPr="00716A9A" w:rsidRDefault="00DB7B50" w:rsidP="00137E3C">
            <w:pPr>
              <w:rPr>
                <w:rFonts w:ascii="Verdana" w:eastAsia="Times New Roman" w:hAnsi="Verdana" w:cs="Arial"/>
                <w:sz w:val="16"/>
                <w:szCs w:val="16"/>
                <w:lang w:eastAsia="es-ES"/>
              </w:rPr>
            </w:pPr>
            <w:r w:rsidRPr="00716A9A">
              <w:rPr>
                <w:rFonts w:ascii="Verdana" w:eastAsia="Times New Roman" w:hAnsi="Verdana" w:cs="Arial"/>
                <w:sz w:val="16"/>
                <w:szCs w:val="16"/>
                <w:lang w:eastAsia="es-ES"/>
              </w:rPr>
              <w:t>Camila Alejandra Naranjo Gómez</w:t>
            </w:r>
          </w:p>
          <w:p w14:paraId="4BAD25A1" w14:textId="77777777" w:rsidR="00DB7B50" w:rsidRPr="00716A9A" w:rsidRDefault="00DB7B50" w:rsidP="00137E3C">
            <w:pPr>
              <w:contextualSpacing/>
              <w:rPr>
                <w:rFonts w:ascii="Verdana" w:eastAsia="Arial" w:hAnsi="Verdana" w:cs="Arial"/>
                <w:sz w:val="16"/>
                <w:szCs w:val="16"/>
                <w:lang w:val="es-ES"/>
              </w:rPr>
            </w:pPr>
            <w:r w:rsidRPr="00716A9A">
              <w:rPr>
                <w:rFonts w:ascii="Verdana" w:eastAsia="Times New Roman" w:hAnsi="Verdana" w:cs="Arial"/>
                <w:sz w:val="16"/>
                <w:szCs w:val="16"/>
                <w:lang w:eastAsia="es-ES"/>
              </w:rPr>
              <w:t>Analista T2-02 de la Subdirección de Gestión Contractual</w:t>
            </w:r>
          </w:p>
        </w:tc>
      </w:tr>
      <w:tr w:rsidR="00DB7B50" w:rsidRPr="00716A9A" w14:paraId="44838E65" w14:textId="77777777" w:rsidTr="00137E3C">
        <w:trPr>
          <w:trHeight w:val="330"/>
        </w:trPr>
        <w:tc>
          <w:tcPr>
            <w:tcW w:w="893" w:type="dxa"/>
            <w:vAlign w:val="center"/>
            <w:hideMark/>
          </w:tcPr>
          <w:p w14:paraId="51400C28" w14:textId="77777777" w:rsidR="00DB7B50" w:rsidRPr="00716A9A" w:rsidRDefault="00DB7B50" w:rsidP="00137E3C">
            <w:pPr>
              <w:contextualSpacing/>
              <w:rPr>
                <w:rFonts w:ascii="Verdana" w:hAnsi="Verdana" w:cs="Arial"/>
                <w:sz w:val="16"/>
                <w:szCs w:val="16"/>
                <w:lang w:val="es-ES" w:eastAsia="es-ES"/>
              </w:rPr>
            </w:pPr>
            <w:r w:rsidRPr="00716A9A">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11F48FA" w14:textId="77777777" w:rsidR="00DB7B50" w:rsidRPr="00716A9A" w:rsidRDefault="00DB7B50" w:rsidP="00137E3C">
            <w:pPr>
              <w:rPr>
                <w:rFonts w:ascii="Verdana" w:eastAsia="Times New Roman" w:hAnsi="Verdana" w:cs="Arial"/>
                <w:sz w:val="16"/>
                <w:szCs w:val="16"/>
                <w:lang w:eastAsia="es-ES"/>
              </w:rPr>
            </w:pPr>
            <w:r w:rsidRPr="00716A9A">
              <w:rPr>
                <w:rFonts w:ascii="Verdana" w:eastAsia="Times New Roman" w:hAnsi="Verdana" w:cs="Arial"/>
                <w:sz w:val="16"/>
                <w:szCs w:val="16"/>
                <w:lang w:eastAsia="es-ES"/>
              </w:rPr>
              <w:t>Adriana Katerine López Rodríguez</w:t>
            </w:r>
          </w:p>
          <w:p w14:paraId="483F6E9E" w14:textId="77777777" w:rsidR="00DB7B50" w:rsidRPr="00716A9A" w:rsidRDefault="00DB7B50" w:rsidP="00137E3C">
            <w:pPr>
              <w:pStyle w:val="paragraph"/>
              <w:spacing w:before="0" w:beforeAutospacing="0" w:after="0" w:afterAutospacing="0"/>
              <w:contextualSpacing/>
              <w:textAlignment w:val="baseline"/>
              <w:rPr>
                <w:rFonts w:ascii="Verdana" w:hAnsi="Verdana" w:cs="Segoe UI"/>
                <w:sz w:val="16"/>
                <w:szCs w:val="16"/>
                <w:lang w:val="es-ES"/>
              </w:rPr>
            </w:pPr>
            <w:r w:rsidRPr="00716A9A">
              <w:rPr>
                <w:rFonts w:ascii="Verdana" w:hAnsi="Verdana" w:cs="Arial"/>
                <w:sz w:val="16"/>
                <w:szCs w:val="16"/>
                <w:lang w:eastAsia="es-ES"/>
              </w:rPr>
              <w:t>Contratista de la Subdirección de Gestión Contractual</w:t>
            </w:r>
          </w:p>
        </w:tc>
      </w:tr>
      <w:tr w:rsidR="00DB7B50" w:rsidRPr="00716A9A" w14:paraId="6311C012" w14:textId="77777777" w:rsidTr="00137E3C">
        <w:trPr>
          <w:trHeight w:val="300"/>
        </w:trPr>
        <w:tc>
          <w:tcPr>
            <w:tcW w:w="893" w:type="dxa"/>
            <w:vAlign w:val="center"/>
          </w:tcPr>
          <w:p w14:paraId="05FAA138" w14:textId="77777777" w:rsidR="00DB7B50" w:rsidRPr="00716A9A" w:rsidRDefault="00DB7B50" w:rsidP="00137E3C">
            <w:pPr>
              <w:contextualSpacing/>
              <w:rPr>
                <w:rFonts w:ascii="Verdana" w:hAnsi="Verdana" w:cs="Arial"/>
                <w:sz w:val="16"/>
                <w:szCs w:val="16"/>
                <w:lang w:val="es-ES" w:eastAsia="es-ES"/>
              </w:rPr>
            </w:pPr>
            <w:r w:rsidRPr="00716A9A">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B07A3BA" w14:textId="77777777" w:rsidR="00DB7B50" w:rsidRPr="00716A9A" w:rsidRDefault="00DB7B50" w:rsidP="00137E3C">
            <w:pPr>
              <w:contextualSpacing/>
              <w:rPr>
                <w:rFonts w:ascii="Verdana" w:eastAsia="Calibri" w:hAnsi="Verdana" w:cs="Arial"/>
                <w:sz w:val="16"/>
                <w:szCs w:val="16"/>
                <w:lang w:val="es-ES" w:eastAsia="es-ES"/>
              </w:rPr>
            </w:pPr>
            <w:r w:rsidRPr="00716A9A">
              <w:rPr>
                <w:rFonts w:ascii="Verdana" w:eastAsia="Calibri" w:hAnsi="Verdana" w:cs="Arial"/>
                <w:sz w:val="16"/>
                <w:szCs w:val="16"/>
                <w:lang w:val="es-ES" w:eastAsia="es-ES"/>
              </w:rPr>
              <w:t>Carolina Quintero Gacharná</w:t>
            </w:r>
          </w:p>
          <w:p w14:paraId="6F211439" w14:textId="77777777" w:rsidR="00DB7B50" w:rsidRPr="00716A9A" w:rsidRDefault="00DB7B50" w:rsidP="00137E3C">
            <w:pPr>
              <w:contextualSpacing/>
              <w:rPr>
                <w:rFonts w:ascii="Verdana" w:eastAsia="Calibri" w:hAnsi="Verdana" w:cs="Arial"/>
                <w:sz w:val="16"/>
                <w:szCs w:val="16"/>
                <w:lang w:val="es-ES" w:eastAsia="es-ES"/>
              </w:rPr>
            </w:pPr>
            <w:r w:rsidRPr="00716A9A">
              <w:rPr>
                <w:rFonts w:ascii="Verdana" w:eastAsia="Calibri" w:hAnsi="Verdana" w:cs="Arial"/>
                <w:sz w:val="16"/>
                <w:szCs w:val="16"/>
                <w:lang w:val="es-ES" w:eastAsia="es-ES"/>
              </w:rPr>
              <w:t>Subdirectora de Gestión Contractual ANCP – CCE</w:t>
            </w:r>
          </w:p>
        </w:tc>
      </w:tr>
    </w:tbl>
    <w:p w14:paraId="3B026C00" w14:textId="77777777" w:rsidR="00DB7B50" w:rsidRPr="00716A9A" w:rsidRDefault="00DB7B50" w:rsidP="00DB7B50">
      <w:pPr>
        <w:spacing w:after="120" w:line="276" w:lineRule="auto"/>
        <w:jc w:val="both"/>
        <w:rPr>
          <w:rFonts w:ascii="Verdana" w:eastAsia="Century Gothic" w:hAnsi="Verdana" w:cs="Century Gothic"/>
          <w:b/>
        </w:rPr>
      </w:pPr>
    </w:p>
    <w:p w14:paraId="66F60055" w14:textId="1A467E3B" w:rsidR="00DB7B50" w:rsidRPr="000F2DDE" w:rsidRDefault="00DB7B50" w:rsidP="00DB7B50"/>
    <w:p w14:paraId="0F293BF4" w14:textId="058CB4DE" w:rsidR="00127233" w:rsidRPr="00DB7B50" w:rsidRDefault="00127233" w:rsidP="00DB7B50"/>
    <w:sectPr w:rsidR="00127233" w:rsidRPr="00DB7B50"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2128A3" w14:textId="77777777" w:rsidR="00206DFE" w:rsidRDefault="00206DFE" w:rsidP="004A1847">
      <w:pPr>
        <w:spacing w:after="0" w:line="240" w:lineRule="auto"/>
      </w:pPr>
      <w:r>
        <w:separator/>
      </w:r>
    </w:p>
  </w:endnote>
  <w:endnote w:type="continuationSeparator" w:id="0">
    <w:p w14:paraId="663F1C9C" w14:textId="77777777" w:rsidR="00206DFE" w:rsidRDefault="00206DF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charset w:val="00"/>
    <w:family w:val="modern"/>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E233B4" w14:textId="77777777" w:rsidR="00206DFE" w:rsidRDefault="00206DFE" w:rsidP="004A1847">
      <w:pPr>
        <w:spacing w:after="0" w:line="240" w:lineRule="auto"/>
      </w:pPr>
      <w:r>
        <w:separator/>
      </w:r>
    </w:p>
  </w:footnote>
  <w:footnote w:type="continuationSeparator" w:id="0">
    <w:p w14:paraId="4AE37B4A" w14:textId="77777777" w:rsidR="00206DFE" w:rsidRDefault="00206DFE" w:rsidP="004A1847">
      <w:pPr>
        <w:spacing w:after="0" w:line="240" w:lineRule="auto"/>
      </w:pPr>
      <w:r>
        <w:continuationSeparator/>
      </w:r>
    </w:p>
  </w:footnote>
  <w:footnote w:id="1">
    <w:p w14:paraId="2BB50EE7" w14:textId="77777777" w:rsidR="00DB7B50" w:rsidRDefault="00DB7B50" w:rsidP="00DB7B50">
      <w:pPr>
        <w:pStyle w:val="Textonotapie"/>
        <w:ind w:firstLine="708"/>
        <w:jc w:val="both"/>
        <w:rPr>
          <w:rFonts w:ascii="Verdana" w:hAnsi="Verdana" w:cs="Arial"/>
          <w:color w:val="000000" w:themeColor="text1"/>
          <w:sz w:val="16"/>
          <w:szCs w:val="16"/>
        </w:rPr>
      </w:pPr>
      <w:r w:rsidRPr="00D4796C">
        <w:rPr>
          <w:rStyle w:val="Refdenotaalpie"/>
          <w:rFonts w:ascii="Verdana" w:hAnsi="Verdana" w:cs="Arial"/>
          <w:color w:val="000000" w:themeColor="text1"/>
          <w:sz w:val="16"/>
          <w:szCs w:val="16"/>
        </w:rPr>
        <w:footnoteRef/>
      </w:r>
      <w:r w:rsidRPr="00D4796C">
        <w:rPr>
          <w:rFonts w:ascii="Verdana" w:hAnsi="Verdana" w:cs="Arial"/>
          <w:color w:val="000000" w:themeColor="text1"/>
          <w:sz w:val="16"/>
          <w:szCs w:val="16"/>
        </w:rPr>
        <w:t xml:space="preserve"> Consejo De Estado. Sección Tercera, Subsección A. Sentencia del 13 de noviembre de 2013. Rad. 25.646.C.P. Mauricio Fajardo Gómez. </w:t>
      </w:r>
    </w:p>
    <w:p w14:paraId="5C096DE9" w14:textId="77777777" w:rsidR="00DB7B50" w:rsidRPr="00D4796C" w:rsidRDefault="00DB7B50" w:rsidP="00DB7B50">
      <w:pPr>
        <w:pStyle w:val="Textonotapie"/>
        <w:ind w:firstLine="708"/>
        <w:jc w:val="both"/>
        <w:rPr>
          <w:rFonts w:ascii="Verdana" w:hAnsi="Verdana" w:cs="Arial"/>
          <w:color w:val="000000" w:themeColor="text1"/>
          <w:sz w:val="16"/>
          <w:szCs w:val="16"/>
        </w:rPr>
      </w:pPr>
    </w:p>
  </w:footnote>
  <w:footnote w:id="2">
    <w:p w14:paraId="70CA741C" w14:textId="77777777" w:rsidR="00DB7B50" w:rsidRDefault="00DB7B50" w:rsidP="00DB7B50">
      <w:pPr>
        <w:pStyle w:val="Textonotapie"/>
        <w:ind w:firstLine="709"/>
        <w:jc w:val="both"/>
        <w:rPr>
          <w:rFonts w:ascii="Verdana" w:hAnsi="Verdana" w:cs="Arial"/>
          <w:sz w:val="16"/>
          <w:szCs w:val="16"/>
          <w:lang w:val="pt-BR"/>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pt-BR"/>
        </w:rPr>
        <w:t>Ibídem.</w:t>
      </w:r>
    </w:p>
    <w:p w14:paraId="21D548AA" w14:textId="77777777" w:rsidR="00DB7B50" w:rsidRPr="00E96901" w:rsidRDefault="00DB7B50" w:rsidP="00DB7B50">
      <w:pPr>
        <w:pStyle w:val="Textonotapie"/>
        <w:ind w:firstLine="709"/>
        <w:jc w:val="both"/>
        <w:rPr>
          <w:rFonts w:ascii="Verdana" w:hAnsi="Verdana" w:cs="Arial"/>
          <w:sz w:val="16"/>
          <w:szCs w:val="16"/>
          <w:lang w:val="pt-BR"/>
        </w:rPr>
      </w:pPr>
    </w:p>
  </w:footnote>
  <w:footnote w:id="3">
    <w:p w14:paraId="0E516A38" w14:textId="77777777" w:rsidR="00DB7B50" w:rsidRDefault="00DB7B50" w:rsidP="00DB7B50">
      <w:pPr>
        <w:pStyle w:val="Textonotapie"/>
        <w:ind w:firstLine="709"/>
        <w:jc w:val="both"/>
        <w:rPr>
          <w:rFonts w:ascii="Verdana" w:hAnsi="Verdana" w:cs="Arial"/>
          <w:sz w:val="16"/>
          <w:szCs w:val="16"/>
          <w:lang w:val="es-ES"/>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es-ES"/>
        </w:rPr>
        <w:t>Ibídem. p. 69.</w:t>
      </w:r>
    </w:p>
    <w:p w14:paraId="64648C41" w14:textId="77777777" w:rsidR="00DB7B50" w:rsidRPr="00E96901" w:rsidRDefault="00DB7B50" w:rsidP="00DB7B50">
      <w:pPr>
        <w:pStyle w:val="Textonotapie"/>
        <w:ind w:firstLine="709"/>
        <w:jc w:val="both"/>
        <w:rPr>
          <w:rFonts w:ascii="Verdana" w:hAnsi="Verdana" w:cs="Arial"/>
          <w:sz w:val="16"/>
          <w:szCs w:val="16"/>
          <w:lang w:val="es-ES"/>
        </w:rPr>
      </w:pPr>
    </w:p>
  </w:footnote>
  <w:footnote w:id="4">
    <w:p w14:paraId="00659660" w14:textId="77777777" w:rsidR="00DB7B50" w:rsidRDefault="00DB7B50" w:rsidP="00DB7B50">
      <w:pPr>
        <w:pStyle w:val="Textonotapie"/>
        <w:ind w:firstLine="708"/>
        <w:jc w:val="both"/>
        <w:rPr>
          <w:rFonts w:ascii="Verdana" w:hAnsi="Verdana"/>
          <w:sz w:val="16"/>
          <w:szCs w:val="16"/>
        </w:rPr>
      </w:pPr>
      <w:r w:rsidRPr="001664CE">
        <w:rPr>
          <w:rStyle w:val="Refdenotaalpie"/>
          <w:rFonts w:ascii="Verdana" w:hAnsi="Verdana"/>
          <w:sz w:val="16"/>
          <w:szCs w:val="16"/>
        </w:rPr>
        <w:footnoteRef/>
      </w:r>
      <w:r w:rsidRPr="001664CE">
        <w:rPr>
          <w:rFonts w:ascii="Verdana" w:hAnsi="Verdana"/>
          <w:sz w:val="16"/>
          <w:szCs w:val="16"/>
        </w:rPr>
        <w:t xml:space="preserve"> </w:t>
      </w:r>
      <w:r>
        <w:rPr>
          <w:rFonts w:ascii="Verdana" w:hAnsi="Verdana"/>
          <w:sz w:val="16"/>
          <w:szCs w:val="16"/>
        </w:rPr>
        <w:t>Por ejemplo</w:t>
      </w:r>
      <w:r w:rsidRPr="001664CE">
        <w:rPr>
          <w:rFonts w:ascii="Verdana" w:hAnsi="Verdana"/>
          <w:sz w:val="16"/>
          <w:szCs w:val="16"/>
        </w:rPr>
        <w:t>,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Pr>
          <w:rFonts w:ascii="Verdana" w:hAnsi="Verdana"/>
          <w:sz w:val="16"/>
          <w:szCs w:val="16"/>
        </w:rPr>
        <w:t xml:space="preserve"> (Cfr. </w:t>
      </w:r>
      <w:r w:rsidRPr="001664CE">
        <w:rPr>
          <w:rFonts w:ascii="Verdana" w:hAnsi="Verdana"/>
          <w:sz w:val="16"/>
          <w:szCs w:val="16"/>
        </w:rPr>
        <w:t>Corte Constitucional. Sentencia T-1039 de 2006. M.P. Humberto Sierra Porto. La Corte Constitucional ha mantenido este criterio en las sentencias: C-903 de 2008. M.P. Jaime Araujo Rentería; C-101 de 2018. M.P. Gloria Stella Ortiz Delgado; entre otras</w:t>
      </w:r>
      <w:r>
        <w:rPr>
          <w:rFonts w:ascii="Verdana" w:hAnsi="Verdana"/>
          <w:sz w:val="16"/>
          <w:szCs w:val="16"/>
        </w:rPr>
        <w:t>)</w:t>
      </w:r>
      <w:r w:rsidRPr="001664CE">
        <w:rPr>
          <w:rFonts w:ascii="Verdana" w:hAnsi="Verdana"/>
          <w:sz w:val="16"/>
          <w:szCs w:val="16"/>
        </w:rPr>
        <w:t>.</w:t>
      </w:r>
      <w:r>
        <w:rPr>
          <w:rFonts w:ascii="Verdana" w:hAnsi="Verdana"/>
          <w:sz w:val="16"/>
          <w:szCs w:val="16"/>
        </w:rPr>
        <w:t xml:space="preserve"> </w:t>
      </w:r>
    </w:p>
    <w:p w14:paraId="54467E8C" w14:textId="77777777" w:rsidR="00DB7B50" w:rsidRDefault="00DB7B50" w:rsidP="00DB7B50">
      <w:pPr>
        <w:pStyle w:val="Textonotapie"/>
        <w:ind w:firstLine="708"/>
        <w:jc w:val="both"/>
        <w:rPr>
          <w:rFonts w:ascii="Verdana" w:hAnsi="Verdana"/>
          <w:sz w:val="16"/>
          <w:szCs w:val="16"/>
        </w:rPr>
      </w:pPr>
    </w:p>
    <w:p w14:paraId="2F719801" w14:textId="77777777" w:rsidR="00DB7B50" w:rsidRDefault="00DB7B50" w:rsidP="00DB7B50">
      <w:pPr>
        <w:pStyle w:val="Textonotapie"/>
        <w:ind w:firstLine="708"/>
        <w:jc w:val="both"/>
        <w:rPr>
          <w:rFonts w:ascii="Verdana" w:hAnsi="Verdana"/>
          <w:sz w:val="16"/>
          <w:szCs w:val="16"/>
        </w:rPr>
      </w:pPr>
      <w:r w:rsidRPr="001664CE">
        <w:rPr>
          <w:rFonts w:ascii="Verdana" w:hAnsi="Verdana"/>
          <w:sz w:val="16"/>
          <w:szCs w:val="16"/>
        </w:rPr>
        <w:t xml:space="preserve">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w:t>
      </w:r>
      <w:r>
        <w:rPr>
          <w:rFonts w:ascii="Verdana" w:hAnsi="Verdana"/>
          <w:sz w:val="16"/>
          <w:szCs w:val="16"/>
        </w:rPr>
        <w:t>‘</w:t>
      </w:r>
      <w:r w:rsidRPr="001664CE">
        <w:rPr>
          <w:rFonts w:ascii="Verdana" w:hAnsi="Verdana"/>
          <w:sz w:val="16"/>
          <w:szCs w:val="16"/>
        </w:rPr>
        <w:t>Los particulares sólo son responsables ante las autoridades por infringir la Constitución y las leyes</w:t>
      </w:r>
      <w:r>
        <w:rPr>
          <w:rFonts w:ascii="Verdana" w:hAnsi="Verdana"/>
          <w:sz w:val="16"/>
          <w:szCs w:val="16"/>
        </w:rPr>
        <w:t>’</w:t>
      </w:r>
      <w:r w:rsidRPr="001664CE">
        <w:rPr>
          <w:rFonts w:ascii="Verdana" w:hAnsi="Verdana"/>
          <w:sz w:val="16"/>
          <w:szCs w:val="16"/>
        </w:rPr>
        <w:t xml:space="preserve"> lo que se traduce en que pueden hacer todo aquello que no les esté expresamente prohibido”</w:t>
      </w:r>
      <w:r>
        <w:rPr>
          <w:rFonts w:ascii="Verdana" w:hAnsi="Verdana"/>
          <w:sz w:val="16"/>
          <w:szCs w:val="16"/>
        </w:rPr>
        <w:t xml:space="preserve"> (Cfr. </w:t>
      </w:r>
      <w:r w:rsidRPr="001664CE">
        <w:rPr>
          <w:rFonts w:ascii="Verdana" w:hAnsi="Verdana"/>
          <w:sz w:val="16"/>
          <w:szCs w:val="16"/>
        </w:rPr>
        <w:t>Consejo De Estado. Sala de Consulta y Servicio Civil. Concepto del 30 de abril de 2015. Exp. 2251. C.P. Álvaro Namén Vargas.</w:t>
      </w:r>
      <w:r>
        <w:rPr>
          <w:rFonts w:ascii="Verdana" w:hAnsi="Verdana"/>
          <w:sz w:val="16"/>
          <w:szCs w:val="16"/>
        </w:rPr>
        <w:t xml:space="preserve"> En un sentido similar, </w:t>
      </w:r>
      <w:r w:rsidRPr="001664CE">
        <w:rPr>
          <w:rFonts w:ascii="Verdana" w:hAnsi="Verdana"/>
          <w:sz w:val="16"/>
          <w:szCs w:val="16"/>
        </w:rPr>
        <w:t>Sección Tercera. Subsección A. Sentencia del 24 de junio de 2015. Exp. 40.635. C.P. Hernán Andrade Rincón (E)</w:t>
      </w:r>
      <w:r>
        <w:rPr>
          <w:rFonts w:ascii="Verdana" w:hAnsi="Verdana"/>
          <w:sz w:val="16"/>
          <w:szCs w:val="16"/>
        </w:rPr>
        <w:t xml:space="preserve"> y </w:t>
      </w:r>
      <w:r w:rsidRPr="001664CE">
        <w:rPr>
          <w:rFonts w:ascii="Verdana" w:hAnsi="Verdana"/>
          <w:sz w:val="16"/>
          <w:szCs w:val="16"/>
        </w:rPr>
        <w:t>Sección Tercera. Subsección C. Sentencia del 22 de mayo de 2013. Rad. 24.057. C.P. Olga Mélida Valle De La Hoz</w:t>
      </w:r>
      <w:r>
        <w:rPr>
          <w:rFonts w:ascii="Verdana" w:hAnsi="Verdana"/>
          <w:sz w:val="16"/>
          <w:szCs w:val="16"/>
        </w:rPr>
        <w:t>)</w:t>
      </w:r>
      <w:r w:rsidRPr="001664CE">
        <w:rPr>
          <w:rFonts w:ascii="Verdana" w:hAnsi="Verdana"/>
          <w:sz w:val="16"/>
          <w:szCs w:val="16"/>
        </w:rPr>
        <w:t>.</w:t>
      </w:r>
    </w:p>
    <w:p w14:paraId="33E129BE" w14:textId="77777777" w:rsidR="00DB7B50" w:rsidRPr="001664CE" w:rsidRDefault="00DB7B50" w:rsidP="00DB7B50">
      <w:pPr>
        <w:pStyle w:val="Textonotapie"/>
        <w:ind w:firstLine="708"/>
        <w:jc w:val="both"/>
        <w:rPr>
          <w:rFonts w:ascii="Verdana" w:hAnsi="Verdana"/>
          <w:sz w:val="16"/>
          <w:szCs w:val="16"/>
          <w:lang w:val="es-CO"/>
        </w:rPr>
      </w:pPr>
    </w:p>
  </w:footnote>
  <w:footnote w:id="5">
    <w:p w14:paraId="600B2D85" w14:textId="77777777" w:rsidR="00DB7B50" w:rsidRPr="00E96901" w:rsidRDefault="00DB7B50" w:rsidP="00DB7B50">
      <w:pPr>
        <w:pStyle w:val="Textonotapie"/>
        <w:ind w:firstLine="709"/>
        <w:jc w:val="both"/>
        <w:rPr>
          <w:rFonts w:ascii="Verdana" w:hAnsi="Verdana" w:cs="Arial"/>
          <w:sz w:val="16"/>
          <w:szCs w:val="16"/>
          <w:lang w:val="es-CO"/>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pt-BR"/>
        </w:rPr>
        <w:t xml:space="preserve">Corte Constitucional. </w:t>
      </w:r>
      <w:r w:rsidRPr="00E96901">
        <w:rPr>
          <w:rFonts w:ascii="Verdana" w:hAnsi="Verdana" w:cs="Arial"/>
          <w:sz w:val="16"/>
          <w:szCs w:val="16"/>
        </w:rPr>
        <w:t xml:space="preserve">Sentencia C-780 de 2001. </w:t>
      </w:r>
      <w:r w:rsidRPr="00E96901">
        <w:rPr>
          <w:rFonts w:ascii="Verdana" w:hAnsi="Verdana" w:cs="Arial"/>
          <w:sz w:val="16"/>
          <w:szCs w:val="16"/>
          <w:lang w:val="es-CO"/>
        </w:rPr>
        <w:t xml:space="preserve">M.P. Jaime Córdoba Triviño. </w:t>
      </w:r>
    </w:p>
  </w:footnote>
  <w:footnote w:id="6">
    <w:p w14:paraId="27DE3CCE" w14:textId="77777777" w:rsidR="00DB7B50" w:rsidRPr="00E96901" w:rsidRDefault="00DB7B50" w:rsidP="00DB7B50">
      <w:pPr>
        <w:pStyle w:val="Textonotapie"/>
        <w:ind w:firstLine="709"/>
        <w:jc w:val="both"/>
        <w:rPr>
          <w:rFonts w:ascii="Verdana" w:hAnsi="Verdana" w:cs="Arial"/>
          <w:sz w:val="16"/>
          <w:szCs w:val="16"/>
        </w:rPr>
      </w:pPr>
      <w:r w:rsidRPr="00E96901">
        <w:rPr>
          <w:rStyle w:val="Refdenotaalpie"/>
          <w:rFonts w:ascii="Verdana" w:hAnsi="Verdana" w:cs="Arial"/>
          <w:sz w:val="16"/>
          <w:szCs w:val="16"/>
        </w:rPr>
        <w:footnoteRef/>
      </w:r>
      <w:r w:rsidRPr="00E96901">
        <w:rPr>
          <w:rFonts w:ascii="Verdana" w:hAnsi="Verdana" w:cs="Arial"/>
          <w:sz w:val="16"/>
          <w:szCs w:val="16"/>
        </w:rPr>
        <w:t xml:space="preserve"> Ley 80 de 1993: “Artículo 6. De la capacidad para contratar. Pueden celebrar contratos con las entidades estatales las personas consideradas legalmente capaces en las disposiciones vigentes. También podrán celebrar contratos con las entidades estatales, los consorcios y uniones temporales.</w:t>
      </w:r>
    </w:p>
    <w:p w14:paraId="13CF7D7C" w14:textId="77777777" w:rsidR="00DB7B50" w:rsidRDefault="00DB7B50" w:rsidP="00DB7B50">
      <w:pPr>
        <w:pStyle w:val="Textonotapie"/>
        <w:ind w:firstLine="709"/>
        <w:jc w:val="both"/>
        <w:rPr>
          <w:rFonts w:ascii="Verdana" w:hAnsi="Verdana" w:cs="Arial"/>
          <w:sz w:val="16"/>
          <w:szCs w:val="16"/>
        </w:rPr>
      </w:pPr>
      <w:r w:rsidRPr="00E96901">
        <w:rPr>
          <w:rFonts w:ascii="Verdana" w:hAnsi="Verdana" w:cs="Arial"/>
          <w:sz w:val="16"/>
          <w:szCs w:val="16"/>
        </w:rPr>
        <w:t>Las personas jurídicas nacionales y extranjeras deberán acreditar que su duración no será inferior a la del plazo del contrato y un año más”.</w:t>
      </w:r>
    </w:p>
    <w:p w14:paraId="1A0DBEF0" w14:textId="77777777" w:rsidR="00DB7B50" w:rsidRPr="00E96901" w:rsidRDefault="00DB7B50" w:rsidP="00DB7B50">
      <w:pPr>
        <w:pStyle w:val="Textonotapie"/>
        <w:ind w:firstLine="709"/>
        <w:jc w:val="both"/>
        <w:rPr>
          <w:rFonts w:ascii="Verdana" w:hAnsi="Verdana" w:cs="Arial"/>
          <w:sz w:val="16"/>
          <w:szCs w:val="16"/>
        </w:rPr>
      </w:pPr>
    </w:p>
  </w:footnote>
  <w:footnote w:id="7">
    <w:p w14:paraId="1C62BC34" w14:textId="77777777" w:rsidR="00DB7B50" w:rsidRPr="00E96901" w:rsidRDefault="00DB7B50" w:rsidP="00DB7B50">
      <w:pPr>
        <w:pStyle w:val="Textonotapie"/>
        <w:ind w:firstLine="709"/>
        <w:jc w:val="both"/>
        <w:rPr>
          <w:rFonts w:ascii="Verdana" w:hAnsi="Verdana" w:cs="Arial"/>
          <w:sz w:val="16"/>
          <w:szCs w:val="16"/>
        </w:rPr>
      </w:pPr>
      <w:r w:rsidRPr="00E96901">
        <w:rPr>
          <w:rStyle w:val="Refdenotaalpie"/>
          <w:rFonts w:ascii="Verdana" w:hAnsi="Verdana" w:cs="Arial"/>
          <w:sz w:val="16"/>
          <w:szCs w:val="16"/>
        </w:rPr>
        <w:footnoteRef/>
      </w:r>
      <w:r w:rsidRPr="00E96901">
        <w:rPr>
          <w:rFonts w:ascii="Verdana" w:hAnsi="Verdana" w:cs="Arial"/>
          <w:sz w:val="16"/>
          <w:szCs w:val="16"/>
        </w:rPr>
        <w:t xml:space="preserve"> Código Civil: “Artículo 1502. Requisitos para obligarse. Para que una persona se obligue a otra por un acto o declaración de voluntad, es necesario:</w:t>
      </w:r>
    </w:p>
    <w:p w14:paraId="12DAE784" w14:textId="77777777" w:rsidR="00DB7B50" w:rsidRPr="00E96901" w:rsidRDefault="00DB7B50" w:rsidP="00DB7B50">
      <w:pPr>
        <w:pStyle w:val="Textonotapie"/>
        <w:ind w:firstLine="709"/>
        <w:jc w:val="both"/>
        <w:rPr>
          <w:rFonts w:ascii="Verdana" w:hAnsi="Verdana" w:cs="Arial"/>
          <w:sz w:val="16"/>
          <w:szCs w:val="16"/>
        </w:rPr>
      </w:pPr>
      <w:r w:rsidRPr="00E96901">
        <w:rPr>
          <w:rFonts w:ascii="Verdana" w:hAnsi="Verdana" w:cs="Arial"/>
          <w:sz w:val="16"/>
          <w:szCs w:val="16"/>
        </w:rPr>
        <w:t>1o.) que sea legalmente capaz.</w:t>
      </w:r>
    </w:p>
    <w:p w14:paraId="72F07782" w14:textId="77777777" w:rsidR="00DB7B50" w:rsidRPr="00E96901" w:rsidRDefault="00DB7B50" w:rsidP="00DB7B50">
      <w:pPr>
        <w:pStyle w:val="Textonotapie"/>
        <w:ind w:firstLine="709"/>
        <w:jc w:val="both"/>
        <w:rPr>
          <w:rFonts w:ascii="Verdana" w:hAnsi="Verdana" w:cs="Arial"/>
          <w:sz w:val="16"/>
          <w:szCs w:val="16"/>
        </w:rPr>
      </w:pPr>
      <w:r w:rsidRPr="00E96901">
        <w:rPr>
          <w:rFonts w:ascii="Verdana" w:hAnsi="Verdana" w:cs="Arial"/>
          <w:sz w:val="16"/>
          <w:szCs w:val="16"/>
        </w:rPr>
        <w:t>[…]</w:t>
      </w:r>
    </w:p>
    <w:p w14:paraId="0E25BE26" w14:textId="77777777" w:rsidR="00DB7B50" w:rsidRDefault="00DB7B50" w:rsidP="00DB7B50">
      <w:pPr>
        <w:pStyle w:val="Textonotapie"/>
        <w:ind w:firstLine="709"/>
        <w:jc w:val="both"/>
        <w:rPr>
          <w:rFonts w:ascii="Verdana" w:hAnsi="Verdana" w:cs="Arial"/>
          <w:sz w:val="16"/>
          <w:szCs w:val="16"/>
        </w:rPr>
      </w:pPr>
      <w:r w:rsidRPr="00E96901">
        <w:rPr>
          <w:rFonts w:ascii="Verdana" w:hAnsi="Verdana" w:cs="Arial"/>
          <w:sz w:val="16"/>
          <w:szCs w:val="16"/>
        </w:rPr>
        <w:t>La capacidad legal de una persona consiste en poderse obligar por sí misma, sin el ministerio o la autorización de otra”.</w:t>
      </w:r>
    </w:p>
    <w:p w14:paraId="58FC7E76" w14:textId="77777777" w:rsidR="00DB7B50" w:rsidRPr="00E96901" w:rsidRDefault="00DB7B50" w:rsidP="00DB7B50">
      <w:pPr>
        <w:pStyle w:val="Textonotapie"/>
        <w:ind w:firstLine="709"/>
        <w:jc w:val="both"/>
        <w:rPr>
          <w:rFonts w:ascii="Verdana" w:hAnsi="Verdana" w:cs="Arial"/>
          <w:sz w:val="16"/>
          <w:szCs w:val="16"/>
        </w:rPr>
      </w:pPr>
    </w:p>
  </w:footnote>
  <w:footnote w:id="8">
    <w:p w14:paraId="698C59B8" w14:textId="77777777" w:rsidR="00DB7B50" w:rsidRPr="00E96901" w:rsidRDefault="00DB7B50" w:rsidP="00DB7B50">
      <w:pPr>
        <w:pStyle w:val="Textonotapie"/>
        <w:ind w:firstLine="709"/>
        <w:jc w:val="both"/>
        <w:rPr>
          <w:rFonts w:ascii="Verdana" w:hAnsi="Verdana" w:cs="Arial"/>
          <w:sz w:val="16"/>
          <w:szCs w:val="16"/>
        </w:rPr>
      </w:pPr>
      <w:r w:rsidRPr="00E96901">
        <w:rPr>
          <w:rStyle w:val="Refdenotaalpie"/>
          <w:rFonts w:ascii="Verdana" w:hAnsi="Verdana" w:cs="Arial"/>
          <w:sz w:val="16"/>
          <w:szCs w:val="16"/>
        </w:rPr>
        <w:footnoteRef/>
      </w:r>
      <w:r w:rsidRPr="00E96901">
        <w:rPr>
          <w:rFonts w:ascii="Verdana" w:hAnsi="Verdana" w:cs="Arial"/>
          <w:sz w:val="16"/>
          <w:szCs w:val="16"/>
        </w:rPr>
        <w:t xml:space="preserve"> Decreto Ley 19 de 2012: “Artículo 221. El artículo 6 de la Ley 1150 de 2007, quedará así:</w:t>
      </w:r>
    </w:p>
    <w:p w14:paraId="485AD46A" w14:textId="77777777" w:rsidR="00DB7B50" w:rsidRPr="00E96901" w:rsidRDefault="00DB7B50" w:rsidP="00DB7B50">
      <w:pPr>
        <w:pStyle w:val="Textonotapie"/>
        <w:ind w:firstLine="709"/>
        <w:jc w:val="both"/>
        <w:rPr>
          <w:rFonts w:ascii="Verdana" w:hAnsi="Verdana" w:cs="Arial"/>
          <w:sz w:val="16"/>
          <w:szCs w:val="16"/>
          <w:lang w:val="es-ES"/>
        </w:rPr>
      </w:pPr>
      <w:r w:rsidRPr="00E96901">
        <w:rPr>
          <w:rFonts w:ascii="Verdana" w:hAnsi="Verdana" w:cs="Arial"/>
          <w:sz w:val="16"/>
          <w:szCs w:val="16"/>
        </w:rPr>
        <w:t>Artículo 6. De la verificación de las condiciones de los proponentes. T</w:t>
      </w:r>
      <w:r w:rsidRPr="00E96901">
        <w:rPr>
          <w:rFonts w:ascii="Verdana" w:hAnsi="Verdana" w:cs="Arial"/>
          <w:sz w:val="16"/>
          <w:szCs w:val="16"/>
          <w:lang w:val="es-ES"/>
        </w:rPr>
        <w: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5F93C7EA" w14:textId="77777777" w:rsidR="00DB7B50" w:rsidRDefault="00DB7B50" w:rsidP="00DB7B50">
      <w:pPr>
        <w:pStyle w:val="Textonotapie"/>
        <w:ind w:firstLine="709"/>
        <w:jc w:val="both"/>
        <w:rPr>
          <w:rFonts w:ascii="Verdana" w:hAnsi="Verdana" w:cs="Arial"/>
          <w:sz w:val="16"/>
          <w:szCs w:val="16"/>
          <w:lang w:val="es-ES"/>
        </w:rPr>
      </w:pPr>
      <w:r w:rsidRPr="00E96901">
        <w:rPr>
          <w:rFonts w:ascii="Verdana" w:hAnsi="Verdana" w:cs="Arial"/>
          <w:sz w:val="16"/>
          <w:szCs w:val="16"/>
          <w:lang w:val="es-ES"/>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43693AF1" w14:textId="77777777" w:rsidR="00DB7B50" w:rsidRPr="00E96901" w:rsidRDefault="00DB7B50" w:rsidP="00DB7B50">
      <w:pPr>
        <w:pStyle w:val="Textonotapie"/>
        <w:ind w:firstLine="709"/>
        <w:jc w:val="both"/>
        <w:rPr>
          <w:rFonts w:ascii="Verdana" w:hAnsi="Verdana" w:cs="Arial"/>
          <w:sz w:val="16"/>
          <w:szCs w:val="16"/>
          <w:lang w:val="es-ES"/>
        </w:rPr>
      </w:pPr>
    </w:p>
  </w:footnote>
  <w:footnote w:id="9">
    <w:p w14:paraId="37070EB6" w14:textId="77777777" w:rsidR="00DB7B50" w:rsidRDefault="00DB7B50" w:rsidP="00DB7B50">
      <w:pPr>
        <w:pStyle w:val="Textonotapie"/>
        <w:ind w:firstLine="709"/>
        <w:jc w:val="both"/>
        <w:rPr>
          <w:rFonts w:ascii="Verdana" w:hAnsi="Verdana" w:cs="Arial"/>
          <w:sz w:val="16"/>
          <w:szCs w:val="16"/>
          <w:lang w:val="es-ES"/>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E96901">
        <w:rPr>
          <w:rFonts w:ascii="Verdana" w:hAnsi="Verdana" w:cs="Arial"/>
          <w:i/>
          <w:iCs/>
          <w:sz w:val="16"/>
          <w:szCs w:val="16"/>
          <w:lang w:val="es-ES"/>
        </w:rPr>
        <w:t>el régimen de inhabilidades e incompatibilidades</w:t>
      </w:r>
      <w:r w:rsidRPr="00E96901">
        <w:rPr>
          <w:rFonts w:ascii="Verdana" w:hAnsi="Verdana" w:cs="Arial"/>
          <w:sz w:val="16"/>
          <w:szCs w:val="16"/>
          <w:lang w:val="es-ES"/>
        </w:rPr>
        <w:t xml:space="preserve"> (1) y la obligación de ciertos proponentes de inscribirse en el </w:t>
      </w:r>
      <w:r w:rsidRPr="00E96901">
        <w:rPr>
          <w:rFonts w:ascii="Verdana" w:hAnsi="Verdana" w:cs="Arial"/>
          <w:i/>
          <w:iCs/>
          <w:sz w:val="16"/>
          <w:szCs w:val="16"/>
          <w:lang w:val="es-ES"/>
        </w:rPr>
        <w:t>registro único</w:t>
      </w:r>
      <w:r w:rsidRPr="00E96901">
        <w:rPr>
          <w:rFonts w:ascii="Verdana" w:hAnsi="Verdana" w:cs="Arial"/>
          <w:sz w:val="16"/>
          <w:szCs w:val="16"/>
          <w:lang w:val="es-ES"/>
        </w:rPr>
        <w:t xml:space="preserve"> (2)” (BENAVIDES, José Luis. El contrato estatal. Entre el Derecho público y el Derecho privado. 2ª ed. Bogotá: Universidad Externado de Colombia, 2004. p. 278). </w:t>
      </w:r>
    </w:p>
    <w:p w14:paraId="24CC29D2" w14:textId="77777777" w:rsidR="00DB7B50" w:rsidRPr="00E96901" w:rsidRDefault="00DB7B50" w:rsidP="00DB7B50">
      <w:pPr>
        <w:pStyle w:val="Textonotapie"/>
        <w:ind w:firstLine="709"/>
        <w:jc w:val="both"/>
        <w:rPr>
          <w:rFonts w:ascii="Verdana" w:hAnsi="Verdana" w:cs="Arial"/>
          <w:sz w:val="16"/>
          <w:szCs w:val="16"/>
          <w:lang w:val="es-ES"/>
        </w:rPr>
      </w:pPr>
    </w:p>
  </w:footnote>
  <w:footnote w:id="10">
    <w:p w14:paraId="476D1EA0" w14:textId="77777777" w:rsidR="00DB7B50" w:rsidRDefault="00DB7B50" w:rsidP="00DB7B50">
      <w:pPr>
        <w:pStyle w:val="Textonotapie"/>
        <w:ind w:firstLine="709"/>
        <w:jc w:val="both"/>
        <w:rPr>
          <w:rFonts w:ascii="Verdana" w:hAnsi="Verdana" w:cs="Arial"/>
          <w:sz w:val="16"/>
          <w:szCs w:val="16"/>
        </w:rPr>
      </w:pPr>
      <w:r w:rsidRPr="00E96901">
        <w:rPr>
          <w:rStyle w:val="Refdenotaalpie"/>
          <w:rFonts w:ascii="Verdana" w:hAnsi="Verdana" w:cs="Arial"/>
          <w:sz w:val="16"/>
          <w:szCs w:val="16"/>
        </w:rPr>
        <w:footnoteRef/>
      </w:r>
      <w:r w:rsidRPr="00E96901">
        <w:rPr>
          <w:rFonts w:ascii="Verdana" w:hAnsi="Verdana" w:cs="Arial"/>
          <w:sz w:val="16"/>
          <w:szCs w:val="16"/>
        </w:rPr>
        <w:t xml:space="preserve"> En esta línea Dávila Vinueza Expresa: “El legislador para calificar estas prohibiciones emplea dos vocablos: Inhabilidades o incompatibilidades, los cuales en un examen desprevenido podrían sugerir ideas diferentes y, en consecuencia, efectos también distintos. Sin embargo, se trata de conceptos que no producen distinciones más allá de las puramente semánticas. En nada afecta el calificar una causal con denominación diferente a la empleada en el texto legal, cuando mucho se criticará la falta de precisión. Ello es así por cuanto los efectos jurídicos que se general para una y otra son exactamente los mismos. Incluso se podría afirmar que, ante la semejanza de las figuras, conviene emplear un único vocablo, con lo cual serían innecesarias los intentos y las elucubraciones y explicaciones, algunas novedosas que podrían ensayarse”. (DÁVILA VINUEZA, Luis Guillermo. Régimen jurídico de la contratación estatal. 3ª ed. Bogotá: Legis, 2016. p. 148).</w:t>
      </w:r>
    </w:p>
    <w:p w14:paraId="403CC8F3" w14:textId="77777777" w:rsidR="00DB7B50" w:rsidRPr="00E96901" w:rsidRDefault="00DB7B50" w:rsidP="00DB7B50">
      <w:pPr>
        <w:pStyle w:val="Textonotapie"/>
        <w:ind w:firstLine="709"/>
        <w:jc w:val="both"/>
        <w:rPr>
          <w:rFonts w:ascii="Verdana" w:hAnsi="Verdana" w:cs="Arial"/>
          <w:sz w:val="16"/>
          <w:szCs w:val="16"/>
        </w:rPr>
      </w:pPr>
    </w:p>
  </w:footnote>
  <w:footnote w:id="11">
    <w:p w14:paraId="76F5F089" w14:textId="77777777" w:rsidR="00DB7B50" w:rsidRDefault="00DB7B50" w:rsidP="00DB7B50">
      <w:pPr>
        <w:pStyle w:val="Textonotapie"/>
        <w:ind w:firstLine="709"/>
        <w:jc w:val="both"/>
        <w:rPr>
          <w:rFonts w:ascii="Verdana" w:hAnsi="Verdana" w:cs="Arial"/>
          <w:sz w:val="16"/>
          <w:szCs w:val="16"/>
          <w:lang w:val="es-ES"/>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p w14:paraId="5419A4F0" w14:textId="77777777" w:rsidR="00DB7B50" w:rsidRPr="00E96901" w:rsidRDefault="00DB7B50" w:rsidP="00DB7B50">
      <w:pPr>
        <w:pStyle w:val="Textonotapie"/>
        <w:ind w:firstLine="709"/>
        <w:jc w:val="both"/>
        <w:rPr>
          <w:rFonts w:ascii="Verdana" w:hAnsi="Verdana" w:cs="Arial"/>
          <w:sz w:val="16"/>
          <w:szCs w:val="16"/>
          <w:lang w:val="es-ES"/>
        </w:rPr>
      </w:pPr>
    </w:p>
  </w:footnote>
  <w:footnote w:id="12">
    <w:p w14:paraId="76D97E0D" w14:textId="77777777" w:rsidR="00DB7B50" w:rsidRDefault="00DB7B50" w:rsidP="00DB7B50">
      <w:pPr>
        <w:pStyle w:val="Textonotapie"/>
        <w:ind w:firstLine="709"/>
        <w:rPr>
          <w:rFonts w:ascii="Verdana" w:hAnsi="Verdana"/>
          <w:sz w:val="16"/>
          <w:szCs w:val="16"/>
        </w:rPr>
      </w:pPr>
      <w:r>
        <w:rPr>
          <w:rStyle w:val="Refdenotaalpie"/>
        </w:rPr>
        <w:footnoteRef/>
      </w:r>
      <w:r>
        <w:t xml:space="preserve"> </w:t>
      </w:r>
      <w:r w:rsidRPr="00BA0618">
        <w:rPr>
          <w:rFonts w:ascii="Verdana" w:hAnsi="Verdana"/>
          <w:sz w:val="16"/>
          <w:szCs w:val="16"/>
        </w:rPr>
        <w:t>Ley 80 de 1993, Artículo 8</w:t>
      </w:r>
      <w:r>
        <w:rPr>
          <w:rFonts w:ascii="Verdana" w:hAnsi="Verdana"/>
          <w:sz w:val="16"/>
          <w:szCs w:val="16"/>
        </w:rPr>
        <w:t>:”</w:t>
      </w:r>
      <w:r w:rsidRPr="00942136">
        <w:t xml:space="preserve"> </w:t>
      </w:r>
      <w:r w:rsidRPr="00942136">
        <w:rPr>
          <w:rFonts w:ascii="Verdana" w:hAnsi="Verdana"/>
          <w:sz w:val="16"/>
          <w:szCs w:val="16"/>
        </w:rPr>
        <w:t>Son inhábiles para participar en licitaciones y para celebrar contratos con las entidades estatales:</w:t>
      </w:r>
      <w:r>
        <w:rPr>
          <w:rFonts w:ascii="Verdana" w:hAnsi="Verdana"/>
          <w:sz w:val="16"/>
          <w:szCs w:val="16"/>
        </w:rPr>
        <w:t xml:space="preserve"> […]</w:t>
      </w:r>
    </w:p>
    <w:p w14:paraId="10C5A406" w14:textId="77777777" w:rsidR="00DB7B50" w:rsidRPr="00BC4501" w:rsidRDefault="00DB7B50" w:rsidP="00DB7B50">
      <w:pPr>
        <w:pStyle w:val="Textonotapie"/>
        <w:ind w:right="-93" w:firstLine="709"/>
        <w:jc w:val="both"/>
        <w:rPr>
          <w:rFonts w:ascii="Verdana" w:hAnsi="Verdana"/>
        </w:rPr>
      </w:pPr>
      <w:r w:rsidRPr="00050BBA">
        <w:rPr>
          <w:rFonts w:ascii="Verdana" w:hAnsi="Verdana"/>
          <w:sz w:val="16"/>
          <w:szCs w:val="16"/>
        </w:rPr>
        <w:t>d) Quienes en sentencia judicial hayan sido condenados a la pena accesoria de interdicción de derechos y funciones públicas</w:t>
      </w:r>
      <w:r w:rsidRPr="00BC4501">
        <w:rPr>
          <w:rFonts w:ascii="Verdana" w:hAnsi="Verdana"/>
          <w:sz w:val="16"/>
          <w:szCs w:val="16"/>
        </w:rPr>
        <w:t xml:space="preserve"> y quienes hayan sido sancionados disciplinariamente con destitución.</w:t>
      </w:r>
    </w:p>
  </w:footnote>
  <w:footnote w:id="13">
    <w:p w14:paraId="093231DB" w14:textId="77777777" w:rsidR="00DB7B50" w:rsidRPr="0050057D" w:rsidRDefault="00DB7B50" w:rsidP="00DB7B50">
      <w:pPr>
        <w:pStyle w:val="Textonotapie"/>
        <w:ind w:firstLine="709"/>
        <w:jc w:val="both"/>
        <w:rPr>
          <w:rFonts w:ascii="Verdana" w:hAnsi="Verdana"/>
          <w:sz w:val="16"/>
          <w:szCs w:val="16"/>
        </w:rPr>
      </w:pPr>
      <w:r w:rsidRPr="0050057D">
        <w:rPr>
          <w:rStyle w:val="Refdenotaalpie"/>
          <w:rFonts w:ascii="Verdana" w:hAnsi="Verdana"/>
          <w:sz w:val="16"/>
          <w:szCs w:val="16"/>
        </w:rPr>
        <w:footnoteRef/>
      </w:r>
      <w:r w:rsidRPr="0050057D">
        <w:rPr>
          <w:rFonts w:ascii="Verdana" w:hAnsi="Verdana"/>
          <w:sz w:val="16"/>
          <w:szCs w:val="16"/>
        </w:rPr>
        <w:t xml:space="preserve"> Artículo 48. Clases y límites de las sanciones disciplinarias. “El disciplinable está sometido a las siguientes sanciones:</w:t>
      </w:r>
    </w:p>
    <w:p w14:paraId="65AF5075" w14:textId="77777777" w:rsidR="00DB7B50" w:rsidRPr="0050057D" w:rsidRDefault="00DB7B50" w:rsidP="00DB7B50">
      <w:pPr>
        <w:pStyle w:val="Textonotapie"/>
        <w:ind w:firstLine="709"/>
        <w:jc w:val="both"/>
        <w:rPr>
          <w:rFonts w:ascii="Verdana" w:hAnsi="Verdana"/>
          <w:sz w:val="16"/>
          <w:szCs w:val="16"/>
        </w:rPr>
      </w:pPr>
      <w:r w:rsidRPr="0050057D">
        <w:rPr>
          <w:rFonts w:ascii="Verdana" w:hAnsi="Verdana"/>
          <w:sz w:val="16"/>
          <w:szCs w:val="16"/>
        </w:rPr>
        <w:t>1. Destitución e inhabilidad general de diez (10) a veinte (20) años para las faltas gravísimas dolosas.</w:t>
      </w:r>
    </w:p>
    <w:p w14:paraId="11AE97A9" w14:textId="77777777" w:rsidR="00DB7B50" w:rsidRPr="0050057D" w:rsidRDefault="00DB7B50" w:rsidP="00DB7B50">
      <w:pPr>
        <w:pStyle w:val="Textonotapie"/>
        <w:ind w:firstLine="709"/>
        <w:jc w:val="both"/>
        <w:rPr>
          <w:rFonts w:ascii="Verdana" w:hAnsi="Verdana"/>
          <w:sz w:val="16"/>
          <w:szCs w:val="16"/>
        </w:rPr>
      </w:pPr>
      <w:r w:rsidRPr="0050057D">
        <w:rPr>
          <w:rFonts w:ascii="Verdana" w:hAnsi="Verdana"/>
          <w:sz w:val="16"/>
          <w:szCs w:val="16"/>
        </w:rPr>
        <w:t>2. Destitución e inhabilidad general de ocho (8) a diez (10) años para las faltas gravísimas realizadas con culpa gravísima.</w:t>
      </w:r>
      <w:r>
        <w:rPr>
          <w:rFonts w:ascii="Verdana" w:hAnsi="Verdana"/>
          <w:sz w:val="16"/>
          <w:szCs w:val="16"/>
        </w:rPr>
        <w:t xml:space="preserve"> […] </w:t>
      </w:r>
      <w:r w:rsidRPr="0050057D">
        <w:rPr>
          <w:rFonts w:ascii="Verdana" w:hAnsi="Verdana"/>
          <w:sz w:val="16"/>
          <w:szCs w:val="16"/>
        </w:rPr>
        <w:t>Parágrafo. En el evento que el disciplinado haya cesado en sus funciones para el momento de la ejecutoria del fallo o durante su ejecución, cuando no fuere posible ejecutar la sanción, se convertirá el término de suspensión o el que faltare, según el caso, en salarios básicos devengados para el momento de la comisión de la falta, sin perjuicio de la inhabilidad.”</w:t>
      </w:r>
    </w:p>
  </w:footnote>
  <w:footnote w:id="14">
    <w:p w14:paraId="71FCEB3C" w14:textId="77777777" w:rsidR="00DB7B50" w:rsidRPr="0050057D" w:rsidRDefault="00DB7B50" w:rsidP="00DB7B50">
      <w:pPr>
        <w:pStyle w:val="Textonotapie"/>
        <w:ind w:firstLine="709"/>
        <w:jc w:val="both"/>
        <w:rPr>
          <w:rFonts w:ascii="Verdana" w:hAnsi="Verdana"/>
          <w:sz w:val="16"/>
          <w:szCs w:val="16"/>
        </w:rPr>
      </w:pPr>
      <w:r w:rsidRPr="0050057D">
        <w:rPr>
          <w:rStyle w:val="Refdenotaalpie"/>
          <w:rFonts w:ascii="Verdana" w:hAnsi="Verdana"/>
          <w:sz w:val="16"/>
          <w:szCs w:val="16"/>
        </w:rPr>
        <w:footnoteRef/>
      </w:r>
      <w:r w:rsidRPr="0050057D">
        <w:rPr>
          <w:rFonts w:ascii="Verdana" w:hAnsi="Verdana"/>
          <w:sz w:val="16"/>
          <w:szCs w:val="16"/>
        </w:rPr>
        <w:t xml:space="preserve"> Artículo 49. Definición de las sanciones.”</w:t>
      </w:r>
    </w:p>
    <w:p w14:paraId="0ED94985" w14:textId="77777777" w:rsidR="00DB7B50" w:rsidRPr="0050057D" w:rsidRDefault="00DB7B50" w:rsidP="00DB7B50">
      <w:pPr>
        <w:pStyle w:val="Textonotapie"/>
        <w:ind w:firstLine="709"/>
        <w:jc w:val="both"/>
        <w:rPr>
          <w:rFonts w:ascii="Verdana" w:hAnsi="Verdana"/>
          <w:sz w:val="16"/>
          <w:szCs w:val="16"/>
        </w:rPr>
      </w:pPr>
      <w:r w:rsidRPr="0050057D">
        <w:rPr>
          <w:rFonts w:ascii="Verdana" w:hAnsi="Verdana"/>
          <w:sz w:val="16"/>
          <w:szCs w:val="16"/>
        </w:rPr>
        <w:t>1. La destitución e inhabilidad general implica:</w:t>
      </w:r>
    </w:p>
    <w:p w14:paraId="40E63C5F" w14:textId="77777777" w:rsidR="00DB7B50" w:rsidRPr="0050057D" w:rsidRDefault="00DB7B50" w:rsidP="00DB7B50">
      <w:pPr>
        <w:pStyle w:val="Textonotapie"/>
        <w:ind w:firstLine="709"/>
        <w:jc w:val="both"/>
        <w:rPr>
          <w:rFonts w:ascii="Verdana" w:hAnsi="Verdana"/>
          <w:sz w:val="16"/>
          <w:szCs w:val="16"/>
        </w:rPr>
      </w:pPr>
      <w:r w:rsidRPr="0050057D">
        <w:rPr>
          <w:rFonts w:ascii="Verdana" w:hAnsi="Verdana"/>
          <w:sz w:val="16"/>
          <w:szCs w:val="16"/>
        </w:rPr>
        <w:t>a. La terminación de la relación del servidor público o del particular con la administración, sin que importe que sea de libre nombramiento y remoción, de carrera o elección; o</w:t>
      </w:r>
    </w:p>
    <w:p w14:paraId="5BA6E62C" w14:textId="77777777" w:rsidR="00DB7B50" w:rsidRPr="0050057D" w:rsidRDefault="00DB7B50" w:rsidP="00DB7B50">
      <w:pPr>
        <w:pStyle w:val="Textonotapie"/>
        <w:ind w:firstLine="709"/>
        <w:jc w:val="both"/>
        <w:rPr>
          <w:rFonts w:ascii="Verdana" w:hAnsi="Verdana"/>
          <w:sz w:val="16"/>
          <w:szCs w:val="16"/>
        </w:rPr>
      </w:pPr>
      <w:r w:rsidRPr="0050057D">
        <w:rPr>
          <w:rFonts w:ascii="Verdana" w:hAnsi="Verdana"/>
          <w:sz w:val="16"/>
          <w:szCs w:val="16"/>
        </w:rPr>
        <w:t>b. La desvinculación del cargo, en los casos previstos en la Constitución Política y la ley; o</w:t>
      </w:r>
    </w:p>
    <w:p w14:paraId="2CD901C6" w14:textId="77777777" w:rsidR="00DB7B50" w:rsidRPr="0050057D" w:rsidRDefault="00DB7B50" w:rsidP="00DB7B50">
      <w:pPr>
        <w:pStyle w:val="Textonotapie"/>
        <w:ind w:firstLine="709"/>
        <w:jc w:val="both"/>
        <w:rPr>
          <w:rFonts w:ascii="Verdana" w:hAnsi="Verdana"/>
          <w:sz w:val="16"/>
          <w:szCs w:val="16"/>
        </w:rPr>
      </w:pPr>
      <w:r w:rsidRPr="0050057D">
        <w:rPr>
          <w:rFonts w:ascii="Verdana" w:hAnsi="Verdana"/>
          <w:sz w:val="16"/>
          <w:szCs w:val="16"/>
        </w:rPr>
        <w:t>c. La terminación del contrato de trabajo; y</w:t>
      </w:r>
    </w:p>
    <w:p w14:paraId="1C25CFF7" w14:textId="77777777" w:rsidR="00DB7B50" w:rsidRPr="00D06508" w:rsidRDefault="00DB7B50" w:rsidP="00DB7B50">
      <w:pPr>
        <w:pStyle w:val="Textonotapie"/>
        <w:ind w:firstLine="709"/>
        <w:jc w:val="both"/>
        <w:rPr>
          <w:rFonts w:ascii="Verdana" w:hAnsi="Verdana"/>
          <w:sz w:val="16"/>
          <w:szCs w:val="16"/>
        </w:rPr>
      </w:pPr>
      <w:r w:rsidRPr="0050057D">
        <w:rPr>
          <w:rFonts w:ascii="Verdana" w:hAnsi="Verdana"/>
          <w:sz w:val="16"/>
          <w:szCs w:val="16"/>
        </w:rPr>
        <w:t>d. En todos los casos anteriores, la imposibilidad de ejercer la función pública en cualquier cargo o función, por el termino señalado en el fallo, y la exclusión del escalafón o carrera. […] Parágrafo. Si al momento del fallo el servidor público o el particular sancionado presta servicios en el mismo o en otro cargo similar en la misma entidad o en otra entidad oficial, incluso en periodo diferente, deberá comunicarse la sanción al representante legal a quien corresponda para que proceda a hacerla efectiva.</w:t>
      </w:r>
    </w:p>
  </w:footnote>
  <w:footnote w:id="15">
    <w:p w14:paraId="71A7F1B2" w14:textId="77777777" w:rsidR="00DB7B50" w:rsidRPr="0002788C" w:rsidRDefault="00DB7B50" w:rsidP="00DB7B50">
      <w:pPr>
        <w:pStyle w:val="Textonotapie"/>
        <w:ind w:firstLine="709"/>
        <w:jc w:val="both"/>
        <w:rPr>
          <w:rFonts w:ascii="Verdana" w:eastAsia="Calibri" w:hAnsi="Verdana" w:cs="Arial"/>
          <w:bCs/>
          <w:color w:val="000000" w:themeColor="text1"/>
          <w:sz w:val="16"/>
          <w:szCs w:val="16"/>
        </w:rPr>
      </w:pPr>
      <w:r w:rsidRPr="0002788C">
        <w:rPr>
          <w:rStyle w:val="Refdenotaalpie"/>
          <w:rFonts w:ascii="Verdana" w:hAnsi="Verdana" w:cs="Arial"/>
          <w:sz w:val="16"/>
          <w:szCs w:val="16"/>
        </w:rPr>
        <w:footnoteRef/>
      </w:r>
      <w:r w:rsidRPr="0002788C">
        <w:rPr>
          <w:rFonts w:ascii="Verdana" w:hAnsi="Verdana" w:cs="Arial"/>
          <w:sz w:val="16"/>
          <w:szCs w:val="16"/>
        </w:rPr>
        <w:t xml:space="preserve"> </w:t>
      </w:r>
      <w:r w:rsidRPr="0002788C">
        <w:rPr>
          <w:rFonts w:ascii="Verdana" w:eastAsia="Calibri" w:hAnsi="Verdana" w:cs="Arial"/>
          <w:bCs/>
          <w:color w:val="000000" w:themeColor="text1"/>
          <w:sz w:val="16"/>
          <w:szCs w:val="16"/>
        </w:rPr>
        <w:t>El Parágrafo 2º. del artículo 6 de la Ley 2014 de 2019, que modificó el artículo 9 de la Ley 80 de 1993, fue declarado inexequible por la Corte Constitucional en Sentencia C-037 del 24 de febrero de 2021, M.P. Cristina Pardo Schlesinger. La disposición era del siguiente tenor</w:t>
      </w:r>
      <w:bookmarkStart w:id="6" w:name="_Hlk79776115"/>
      <w:r w:rsidRPr="0002788C">
        <w:rPr>
          <w:rFonts w:ascii="Verdana" w:eastAsia="Calibri" w:hAnsi="Verdana" w:cs="Arial"/>
          <w:bCs/>
          <w:color w:val="000000" w:themeColor="text1"/>
          <w:sz w:val="16"/>
          <w:szCs w:val="16"/>
        </w:rPr>
        <w:t>: “El Gobierno nacional reglamentará el procedimiento de la cesión del contrato de que trata este artículo, en término no mayor a seis (6) meses.”</w:t>
      </w:r>
    </w:p>
    <w:p w14:paraId="52F037FE" w14:textId="77777777" w:rsidR="00DB7B50" w:rsidRPr="001F5B10" w:rsidRDefault="00DB7B50" w:rsidP="00DB7B50">
      <w:pPr>
        <w:pStyle w:val="Textonotapie"/>
        <w:ind w:firstLine="709"/>
        <w:jc w:val="both"/>
        <w:rPr>
          <w:rFonts w:ascii="Verdana" w:hAnsi="Verdana" w:cs="Arial"/>
          <w:sz w:val="14"/>
          <w:szCs w:val="14"/>
        </w:rPr>
      </w:pPr>
    </w:p>
    <w:bookmarkEnd w:id="6"/>
  </w:footnote>
  <w:footnote w:id="16">
    <w:p w14:paraId="64A0EEB4" w14:textId="77777777" w:rsidR="00DB7B50" w:rsidRPr="0002788C" w:rsidRDefault="00DB7B50" w:rsidP="00DB7B50">
      <w:pPr>
        <w:pStyle w:val="Textonotapie"/>
        <w:ind w:firstLine="708"/>
        <w:jc w:val="both"/>
        <w:rPr>
          <w:rFonts w:ascii="Verdana" w:hAnsi="Verdana" w:cs="Arial"/>
          <w:sz w:val="16"/>
          <w:szCs w:val="16"/>
          <w:lang w:val="pt-BR"/>
        </w:rPr>
      </w:pPr>
      <w:r w:rsidRPr="0002788C">
        <w:rPr>
          <w:rStyle w:val="Refdenotaalpie"/>
          <w:rFonts w:ascii="Verdana" w:hAnsi="Verdana" w:cs="Arial"/>
          <w:sz w:val="16"/>
          <w:szCs w:val="16"/>
        </w:rPr>
        <w:footnoteRef/>
      </w:r>
      <w:r w:rsidRPr="0002788C">
        <w:rPr>
          <w:rFonts w:ascii="Verdana" w:hAnsi="Verdana" w:cs="Arial"/>
          <w:sz w:val="16"/>
          <w:szCs w:val="16"/>
          <w:lang w:val="pt-BR"/>
        </w:rPr>
        <w:t xml:space="preserve"> Sentencia de la Corte Constitucional. C-221 de 1996. Magistrado Ponente: José Gregorio Hernández Galindo. </w:t>
      </w:r>
    </w:p>
    <w:p w14:paraId="0CF24AA8" w14:textId="77777777" w:rsidR="00DB7B50" w:rsidRPr="0002788C" w:rsidRDefault="00DB7B50" w:rsidP="00DB7B50">
      <w:pPr>
        <w:pStyle w:val="Textonotapie"/>
        <w:ind w:firstLine="708"/>
        <w:jc w:val="both"/>
        <w:rPr>
          <w:rFonts w:ascii="Verdana" w:hAnsi="Verdana" w:cs="Arial"/>
          <w:sz w:val="16"/>
          <w:szCs w:val="16"/>
          <w:lang w:val="pt-BR"/>
        </w:rPr>
      </w:pPr>
    </w:p>
  </w:footnote>
  <w:footnote w:id="17">
    <w:p w14:paraId="4626CBA6" w14:textId="77777777" w:rsidR="00DB7B50" w:rsidRPr="0002788C" w:rsidRDefault="00DB7B50" w:rsidP="00DB7B50">
      <w:pPr>
        <w:pStyle w:val="Textonotapie"/>
        <w:ind w:firstLine="708"/>
        <w:jc w:val="both"/>
        <w:rPr>
          <w:rFonts w:ascii="Verdana" w:hAnsi="Verdana" w:cs="Arial"/>
          <w:sz w:val="16"/>
          <w:szCs w:val="16"/>
        </w:rPr>
      </w:pPr>
      <w:r w:rsidRPr="0002788C">
        <w:rPr>
          <w:rStyle w:val="Refdenotaalpie"/>
          <w:rFonts w:ascii="Verdana" w:hAnsi="Verdana" w:cs="Arial"/>
          <w:sz w:val="16"/>
          <w:szCs w:val="16"/>
        </w:rPr>
        <w:footnoteRef/>
      </w:r>
      <w:r w:rsidRPr="0002788C">
        <w:rPr>
          <w:rFonts w:ascii="Verdana" w:hAnsi="Verdana" w:cs="Arial"/>
          <w:sz w:val="16"/>
          <w:szCs w:val="16"/>
        </w:rPr>
        <w:t xml:space="preserve"> El parágrafo del artículo 9, introducido por el artículo 6 de la Ley 2014 de 2019, establece una regla especial para los casos en los que se presente de manera sobreviniente la inhabilidad tipificada en el literal j) del artículo 8 de la Ley 80 de 1993, o cuando el contratista sea sancionado administrativamente por actos de corrupción, situaciones en las que correspondería a la Administración escoger al cesionario. De acuerdo con esto, en principio, cualquier inhabilidad sobreviniente que afecte al contratista se regiría por el inciso primero de la norma citada, que corresponde a la redacción inicial de la Ley 80 de 1993. Sin embargo, el legislador buscaba un efecto distinto para los contratistas en los que se configurara la inhabilidad del artículo 8, literal j) del numeral 1, de la Ley 80 de 1993 o que fueran sancionados administrativamente por actos de corrupción, pues cuando se aplica la cesión unilateral no son procedentes la cesión bilateral del contrato ni la renuncia a la ejecución. </w:t>
      </w:r>
    </w:p>
    <w:p w14:paraId="595F771F" w14:textId="77777777" w:rsidR="00DB7B50" w:rsidRPr="0002788C" w:rsidRDefault="00DB7B50" w:rsidP="00DB7B50">
      <w:pPr>
        <w:pStyle w:val="Textonotapie"/>
        <w:ind w:firstLine="708"/>
        <w:jc w:val="both"/>
        <w:rPr>
          <w:rFonts w:ascii="Verdana" w:hAnsi="Verdana"/>
          <w:sz w:val="16"/>
          <w:szCs w:val="16"/>
        </w:rPr>
      </w:pPr>
    </w:p>
  </w:footnote>
  <w:footnote w:id="18">
    <w:p w14:paraId="3E69B59B" w14:textId="77777777" w:rsidR="00DB7B50" w:rsidRPr="0002788C" w:rsidRDefault="00DB7B50" w:rsidP="00DB7B50">
      <w:pPr>
        <w:pStyle w:val="Textonotapie"/>
        <w:ind w:firstLine="709"/>
        <w:jc w:val="both"/>
        <w:rPr>
          <w:rFonts w:ascii="Verdana" w:hAnsi="Verdana" w:cs="Arial"/>
          <w:sz w:val="16"/>
          <w:szCs w:val="16"/>
          <w:lang w:val="es-ES"/>
        </w:rPr>
      </w:pPr>
      <w:r w:rsidRPr="0002788C">
        <w:rPr>
          <w:rStyle w:val="Refdenotaalpie"/>
          <w:rFonts w:ascii="Verdana" w:hAnsi="Verdana" w:cs="Arial"/>
          <w:sz w:val="16"/>
          <w:szCs w:val="16"/>
        </w:rPr>
        <w:footnoteRef/>
      </w:r>
      <w:r w:rsidRPr="0002788C">
        <w:rPr>
          <w:rFonts w:ascii="Verdana" w:hAnsi="Verdana" w:cs="Arial"/>
          <w:sz w:val="16"/>
          <w:szCs w:val="16"/>
        </w:rPr>
        <w:t xml:space="preserve"> Aunque el artículo 9 de la Ley 80 de 1993 no regula el tema de las inhabilidades e incompatibilidades sobrevinientes entre la adjudicación del contrato y su perfeccionamiento, es necesario tener en cuenta que el artículo 9, inciso cuarto, de la Ley 1150 de 2007 establece que «[…] si dentro del plazo comprendido entre la adjudicación del contrato y la suscripción del mismo, sobreviene una inhabilidad o incompatibilidad o si se demuestra que el acto se obtuvo por medios ilegales, [el acto de adjudicación] podrá ser revocado, caso en el cual, la entidad podrá aplicar lo previsto en el inciso final del numeral 12 del artículo 30 de la Ley 80 de 1993» (Corchetes fuera de texto).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BCCA2F34"/>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20408487">
    <w:abstractNumId w:val="5"/>
  </w:num>
  <w:num w:numId="2" w16cid:durableId="624775904">
    <w:abstractNumId w:val="1"/>
  </w:num>
  <w:num w:numId="3" w16cid:durableId="1128399506">
    <w:abstractNumId w:val="3"/>
  </w:num>
  <w:num w:numId="4" w16cid:durableId="410280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84256016">
    <w:abstractNumId w:val="1"/>
  </w:num>
  <w:num w:numId="6" w16cid:durableId="885528518">
    <w:abstractNumId w:val="12"/>
  </w:num>
  <w:num w:numId="7" w16cid:durableId="1266963618">
    <w:abstractNumId w:val="4"/>
  </w:num>
  <w:num w:numId="8" w16cid:durableId="185216975">
    <w:abstractNumId w:val="11"/>
  </w:num>
  <w:num w:numId="9" w16cid:durableId="1772043097">
    <w:abstractNumId w:val="6"/>
  </w:num>
  <w:num w:numId="10" w16cid:durableId="729158271">
    <w:abstractNumId w:val="10"/>
  </w:num>
  <w:num w:numId="11" w16cid:durableId="2023505641">
    <w:abstractNumId w:val="7"/>
  </w:num>
  <w:num w:numId="12" w16cid:durableId="1419911806">
    <w:abstractNumId w:val="0"/>
  </w:num>
  <w:num w:numId="13" w16cid:durableId="590819405">
    <w:abstractNumId w:val="2"/>
  </w:num>
  <w:num w:numId="14" w16cid:durableId="1560676014">
    <w:abstractNumId w:val="13"/>
  </w:num>
  <w:num w:numId="15" w16cid:durableId="1401903691">
    <w:abstractNumId w:val="9"/>
  </w:num>
  <w:num w:numId="16" w16cid:durableId="74233509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A4728"/>
    <w:rsid w:val="001E4177"/>
    <w:rsid w:val="001F0B24"/>
    <w:rsid w:val="001F7DC6"/>
    <w:rsid w:val="00206DFE"/>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C0E3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A7FA1"/>
    <w:rsid w:val="00706C16"/>
    <w:rsid w:val="007340C3"/>
    <w:rsid w:val="0075235A"/>
    <w:rsid w:val="00756841"/>
    <w:rsid w:val="007649AB"/>
    <w:rsid w:val="00771D0C"/>
    <w:rsid w:val="007833AC"/>
    <w:rsid w:val="007B268C"/>
    <w:rsid w:val="007B7171"/>
    <w:rsid w:val="007C0C0F"/>
    <w:rsid w:val="007C3DC2"/>
    <w:rsid w:val="007D6665"/>
    <w:rsid w:val="007E5497"/>
    <w:rsid w:val="00806F5F"/>
    <w:rsid w:val="00815E85"/>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8DE"/>
    <w:rsid w:val="0097093E"/>
    <w:rsid w:val="009920AE"/>
    <w:rsid w:val="009A0DFA"/>
    <w:rsid w:val="009A1C6F"/>
    <w:rsid w:val="009B2D26"/>
    <w:rsid w:val="009C71FA"/>
    <w:rsid w:val="009C72E7"/>
    <w:rsid w:val="009C7F7E"/>
    <w:rsid w:val="009D3058"/>
    <w:rsid w:val="009D4A9C"/>
    <w:rsid w:val="009F3A13"/>
    <w:rsid w:val="00A11CE5"/>
    <w:rsid w:val="00A122D3"/>
    <w:rsid w:val="00A14468"/>
    <w:rsid w:val="00A17F13"/>
    <w:rsid w:val="00A20739"/>
    <w:rsid w:val="00A23AF9"/>
    <w:rsid w:val="00A33C78"/>
    <w:rsid w:val="00AB0ADB"/>
    <w:rsid w:val="00B00C0E"/>
    <w:rsid w:val="00B01B1A"/>
    <w:rsid w:val="00B0381D"/>
    <w:rsid w:val="00B44A47"/>
    <w:rsid w:val="00B525D9"/>
    <w:rsid w:val="00B72CD3"/>
    <w:rsid w:val="00B72FFF"/>
    <w:rsid w:val="00BC167A"/>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B7B50"/>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B7B5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B7B50"/>
    <w:rPr>
      <w:rFonts w:ascii="Geomanist Light" w:hAnsi="Geomanist Light"/>
      <w:lang w:val="es-ES"/>
    </w:rPr>
  </w:style>
  <w:style w:type="paragraph" w:styleId="Sinespaciado">
    <w:name w:val="No Spacing"/>
    <w:aliases w:val="No Indent"/>
    <w:link w:val="SinespaciadoCar"/>
    <w:uiPriority w:val="3"/>
    <w:qFormat/>
    <w:rsid w:val="00DB7B50"/>
    <w:pPr>
      <w:spacing w:after="0" w:line="240" w:lineRule="auto"/>
    </w:pPr>
    <w:rPr>
      <w:sz w:val="24"/>
      <w:lang w:val="es-MX"/>
    </w:rPr>
  </w:style>
  <w:style w:type="character" w:customStyle="1" w:styleId="SinespaciadoCar">
    <w:name w:val="Sin espaciado Car"/>
    <w:aliases w:val="No Indent Car"/>
    <w:link w:val="Sinespaciado"/>
    <w:uiPriority w:val="3"/>
    <w:rsid w:val="00DB7B50"/>
    <w:rPr>
      <w:sz w:val="24"/>
      <w:lang w:val="es-MX"/>
    </w:rPr>
  </w:style>
  <w:style w:type="character" w:customStyle="1" w:styleId="NormalWebCar">
    <w:name w:val="Normal (Web) Car"/>
    <w:link w:val="NormalWeb"/>
    <w:uiPriority w:val="99"/>
    <w:locked/>
    <w:rsid w:val="00DB7B50"/>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acondegiraldo2@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0D97E12-D1D3-4E7A-B5C2-FB3C3222D4C9}"/>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22</Pages>
  <Words>6912</Words>
  <Characters>38020</Characters>
  <Application>Microsoft Office Word</Application>
  <DocSecurity>0</DocSecurity>
  <Lines>316</Lines>
  <Paragraphs>89</Paragraphs>
  <ScaleCrop>false</ScaleCrop>
  <Company/>
  <LinksUpToDate>false</LinksUpToDate>
  <CharactersWithSpaces>44843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3</cp:revision>
  <cp:lastPrinted>2023-01-10T21:18:00Z</cp:lastPrinted>
  <dcterms:created xsi:type="dcterms:W3CDTF">2026-06-09T18:54:00Z</dcterms:created>
  <dcterms:modified xsi:type="dcterms:W3CDTF">2026-06-10T22:37:00Z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