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573D0" w14:textId="77777777" w:rsidR="00194A82" w:rsidRPr="00132CCC" w:rsidRDefault="00194A82" w:rsidP="00194A82">
      <w:pPr>
        <w:spacing w:after="0" w:line="240" w:lineRule="auto"/>
        <w:jc w:val="both"/>
        <w:rPr>
          <w:rFonts w:ascii="Verdana" w:eastAsia="Calibri" w:hAnsi="Verdana" w:cs="Arial"/>
          <w:b/>
          <w:lang w:eastAsia="es-ES"/>
        </w:rPr>
      </w:pPr>
      <w:bookmarkStart w:id="0" w:name="_Hlk143780582"/>
      <w:r w:rsidRPr="00132CCC">
        <w:rPr>
          <w:rFonts w:ascii="Verdana" w:eastAsia="Calibri" w:hAnsi="Verdana" w:cs="Arial"/>
          <w:b/>
          <w:lang w:eastAsia="es-ES"/>
        </w:rPr>
        <w:t xml:space="preserve">CONVOCATORIAS LIMITADAS A MIPYMES NACIONALES – Requisitos – presupuestos mínimos </w:t>
      </w:r>
    </w:p>
    <w:p w14:paraId="36F8DA57" w14:textId="77777777" w:rsidR="00194A82" w:rsidRPr="00132CCC" w:rsidRDefault="00194A82" w:rsidP="00194A82">
      <w:pPr>
        <w:spacing w:after="0" w:line="240" w:lineRule="auto"/>
        <w:jc w:val="both"/>
        <w:rPr>
          <w:rFonts w:ascii="Verdana" w:eastAsia="Calibri" w:hAnsi="Verdana" w:cs="Arial"/>
          <w:b/>
          <w:sz w:val="20"/>
          <w:szCs w:val="20"/>
          <w:lang w:eastAsia="es-ES"/>
        </w:rPr>
      </w:pPr>
    </w:p>
    <w:p w14:paraId="03DD050A" w14:textId="77777777" w:rsidR="00194A82" w:rsidRPr="00132CCC" w:rsidRDefault="00194A82" w:rsidP="00194A82">
      <w:pPr>
        <w:spacing w:after="0" w:line="240" w:lineRule="auto"/>
        <w:jc w:val="both"/>
        <w:rPr>
          <w:rFonts w:ascii="Verdana" w:eastAsia="Calibri" w:hAnsi="Verdana" w:cs="Arial"/>
          <w:bCs/>
          <w:sz w:val="20"/>
          <w:szCs w:val="20"/>
          <w:lang w:eastAsia="es-ES"/>
        </w:rPr>
      </w:pPr>
      <w:r w:rsidRPr="0028080B">
        <w:rPr>
          <w:rFonts w:ascii="Verdana" w:eastAsia="Calibri" w:hAnsi="Verdana" w:cs="Arial"/>
          <w:bCs/>
          <w:sz w:val="20"/>
          <w:szCs w:val="20"/>
          <w:lang w:val="es-ES_tradnl" w:eastAsia="es-ES"/>
        </w:rPr>
        <w:t xml:space="preserve">El artículo 5 del Decreto 1860 de 2021 modificó </w:t>
      </w:r>
      <w:r w:rsidRPr="0028080B">
        <w:rPr>
          <w:rFonts w:ascii="Verdana" w:eastAsia="Calibri" w:hAnsi="Verdana" w:cs="Arial"/>
          <w:bCs/>
          <w:sz w:val="20"/>
          <w:szCs w:val="20"/>
          <w:lang w:eastAsia="es-ES"/>
        </w:rPr>
        <w:t>los artículos 2.2.1.2.4.2.2., 2.2.1.2.4.2.3. y 2.2.1.2.4.2.4. de la Subsección 2 de la Sección 4 del Capítulo 2 del Título 1 de la Parte 2 del Libro 2 del Decreto 1082 de 2015, reglamentando</w:t>
      </w:r>
      <w:r w:rsidRPr="0028080B">
        <w:rPr>
          <w:rFonts w:ascii="Verdana" w:eastAsia="Calibri" w:hAnsi="Verdana" w:cs="Arial"/>
          <w:bCs/>
          <w:sz w:val="20"/>
          <w:szCs w:val="20"/>
          <w:lang w:val="es-ES_tradnl" w:eastAsia="es-ES"/>
        </w:rPr>
        <w:t xml:space="preserve"> las convocatorias limitadas a </w:t>
      </w:r>
      <w:proofErr w:type="spellStart"/>
      <w:r w:rsidRPr="0028080B">
        <w:rPr>
          <w:rFonts w:ascii="Verdana" w:eastAsia="Calibri" w:hAnsi="Verdana" w:cs="Arial"/>
          <w:bCs/>
          <w:sz w:val="20"/>
          <w:szCs w:val="20"/>
          <w:lang w:val="es-ES_tradnl" w:eastAsia="es-ES"/>
        </w:rPr>
        <w:t>Mipyme</w:t>
      </w:r>
      <w:proofErr w:type="spellEnd"/>
      <w:r w:rsidRPr="0028080B">
        <w:rPr>
          <w:rFonts w:ascii="Verdana" w:eastAsia="Calibri" w:hAnsi="Verdana" w:cs="Arial"/>
          <w:bCs/>
          <w:sz w:val="20"/>
          <w:szCs w:val="20"/>
          <w:lang w:val="es-ES_tradnl" w:eastAsia="es-ES"/>
        </w:rPr>
        <w:t xml:space="preserve">, con fundamento en lo establecido en el artículo 34 de la Ley 2069 de 2020. Esta nueva reglamentación desarrolla tres aspectos: i) requisitos para limitar la convocatoria de los </w:t>
      </w:r>
      <w:r w:rsidRPr="0028080B">
        <w:rPr>
          <w:rFonts w:ascii="Verdana" w:eastAsia="Calibri" w:hAnsi="Verdana" w:cs="Arial"/>
          <w:bCs/>
          <w:sz w:val="20"/>
          <w:szCs w:val="20"/>
          <w:lang w:eastAsia="es-ES"/>
        </w:rPr>
        <w:t>procesos de contratación con pluralidad de oferentes</w:t>
      </w:r>
      <w:r w:rsidRPr="0028080B">
        <w:rPr>
          <w:rFonts w:ascii="Verdana" w:eastAsia="Calibri" w:hAnsi="Verdana" w:cs="Arial"/>
          <w:bCs/>
          <w:sz w:val="20"/>
          <w:szCs w:val="20"/>
          <w:lang w:val="es-ES_tradnl" w:eastAsia="es-ES"/>
        </w:rPr>
        <w:t xml:space="preserve"> a las </w:t>
      </w:r>
      <w:proofErr w:type="spellStart"/>
      <w:r w:rsidRPr="0028080B">
        <w:rPr>
          <w:rFonts w:ascii="Verdana" w:eastAsia="Calibri" w:hAnsi="Verdana" w:cs="Arial"/>
          <w:bCs/>
          <w:sz w:val="20"/>
          <w:szCs w:val="20"/>
          <w:lang w:val="es-ES_tradnl" w:eastAsia="es-ES"/>
        </w:rPr>
        <w:t>Mipyme</w:t>
      </w:r>
      <w:proofErr w:type="spellEnd"/>
      <w:r w:rsidRPr="0028080B">
        <w:rPr>
          <w:rFonts w:ascii="Verdana" w:eastAsia="Calibri" w:hAnsi="Verdana" w:cs="Arial"/>
          <w:bCs/>
          <w:sz w:val="20"/>
          <w:szCs w:val="20"/>
          <w:lang w:val="es-ES_tradnl" w:eastAsia="es-ES"/>
        </w:rPr>
        <w:t xml:space="preserve"> colombianas con mínimo un (1) año de existencia – artículo </w:t>
      </w:r>
      <w:r w:rsidRPr="0028080B">
        <w:rPr>
          <w:rFonts w:ascii="Verdana" w:eastAsia="Calibri" w:hAnsi="Verdana" w:cs="Arial"/>
          <w:bCs/>
          <w:sz w:val="20"/>
          <w:szCs w:val="20"/>
          <w:lang w:eastAsia="es-ES"/>
        </w:rPr>
        <w:t>2.2.1.2.4.2.2-</w:t>
      </w:r>
      <w:r w:rsidRPr="0028080B">
        <w:rPr>
          <w:rFonts w:ascii="Verdana" w:eastAsia="Calibri" w:hAnsi="Verdana" w:cs="Arial"/>
          <w:bCs/>
          <w:sz w:val="20"/>
          <w:szCs w:val="20"/>
          <w:lang w:val="es-ES_tradnl" w:eastAsia="es-ES"/>
        </w:rPr>
        <w:t xml:space="preserve"> , </w:t>
      </w:r>
      <w:proofErr w:type="spellStart"/>
      <w:r w:rsidRPr="0028080B">
        <w:rPr>
          <w:rFonts w:ascii="Verdana" w:eastAsia="Calibri" w:hAnsi="Verdana" w:cs="Arial"/>
          <w:bCs/>
          <w:sz w:val="20"/>
          <w:szCs w:val="20"/>
          <w:lang w:val="es-ES_tradnl" w:eastAsia="es-ES"/>
        </w:rPr>
        <w:t>ii</w:t>
      </w:r>
      <w:proofErr w:type="spellEnd"/>
      <w:r w:rsidRPr="0028080B">
        <w:rPr>
          <w:rFonts w:ascii="Verdana" w:eastAsia="Calibri" w:hAnsi="Verdana" w:cs="Arial"/>
          <w:bCs/>
          <w:sz w:val="20"/>
          <w:szCs w:val="20"/>
          <w:lang w:val="es-ES_tradnl" w:eastAsia="es-ES"/>
        </w:rPr>
        <w:t xml:space="preserve">) desarrolla las </w:t>
      </w:r>
      <w:r w:rsidRPr="0028080B">
        <w:rPr>
          <w:rFonts w:ascii="Verdana" w:eastAsia="Calibri" w:hAnsi="Verdana" w:cs="Arial"/>
          <w:bCs/>
          <w:sz w:val="20"/>
          <w:szCs w:val="20"/>
          <w:lang w:eastAsia="es-ES"/>
        </w:rPr>
        <w:t xml:space="preserve">convocatorias limitadas a </w:t>
      </w:r>
      <w:proofErr w:type="spellStart"/>
      <w:r w:rsidRPr="0028080B">
        <w:rPr>
          <w:rFonts w:ascii="Verdana" w:eastAsia="Calibri" w:hAnsi="Verdana" w:cs="Arial"/>
          <w:bCs/>
          <w:sz w:val="20"/>
          <w:szCs w:val="20"/>
          <w:lang w:eastAsia="es-ES"/>
        </w:rPr>
        <w:t>Mipyme</w:t>
      </w:r>
      <w:proofErr w:type="spellEnd"/>
      <w:r w:rsidRPr="0028080B">
        <w:rPr>
          <w:rFonts w:ascii="Verdana" w:eastAsia="Calibri" w:hAnsi="Verdana" w:cs="Arial"/>
          <w:bCs/>
          <w:sz w:val="20"/>
          <w:szCs w:val="20"/>
          <w:lang w:eastAsia="es-ES"/>
        </w:rPr>
        <w:t xml:space="preserve"> colombianas que tengan domicilio en los departamentos o municipios en donde se va a ejecutar el contrato – artículo 2.2.1.2.4.2.3.,</w:t>
      </w:r>
      <w:r w:rsidRPr="0028080B">
        <w:rPr>
          <w:rFonts w:ascii="Verdana" w:eastAsia="Calibri" w:hAnsi="Verdana" w:cs="Arial"/>
          <w:bCs/>
          <w:sz w:val="20"/>
          <w:szCs w:val="20"/>
          <w:lang w:val="es-ES_tradnl" w:eastAsia="es-ES"/>
        </w:rPr>
        <w:t xml:space="preserve"> y </w:t>
      </w:r>
      <w:proofErr w:type="spellStart"/>
      <w:r w:rsidRPr="0028080B">
        <w:rPr>
          <w:rFonts w:ascii="Verdana" w:eastAsia="Calibri" w:hAnsi="Verdana" w:cs="Arial"/>
          <w:bCs/>
          <w:sz w:val="20"/>
          <w:szCs w:val="20"/>
          <w:lang w:val="es-ES_tradnl" w:eastAsia="es-ES"/>
        </w:rPr>
        <w:t>iii</w:t>
      </w:r>
      <w:proofErr w:type="spellEnd"/>
      <w:r w:rsidRPr="0028080B">
        <w:rPr>
          <w:rFonts w:ascii="Verdana" w:eastAsia="Calibri" w:hAnsi="Verdana" w:cs="Arial"/>
          <w:bCs/>
          <w:sz w:val="20"/>
          <w:szCs w:val="20"/>
          <w:lang w:val="es-ES_tradnl" w:eastAsia="es-ES"/>
        </w:rPr>
        <w:t xml:space="preserve">) </w:t>
      </w:r>
      <w:r w:rsidRPr="0028080B">
        <w:rPr>
          <w:rFonts w:ascii="Verdana" w:eastAsia="Calibri" w:hAnsi="Verdana" w:cs="Arial"/>
          <w:bCs/>
          <w:sz w:val="20"/>
          <w:szCs w:val="20"/>
          <w:lang w:eastAsia="es-ES"/>
        </w:rPr>
        <w:t>regula la acreditación de requisitos para participar en convocatorias limitadas – artículo 2.2.1.2.4.2.4-.</w:t>
      </w:r>
    </w:p>
    <w:p w14:paraId="51170468" w14:textId="77777777" w:rsidR="00194A82" w:rsidRPr="0028080B" w:rsidRDefault="00194A82" w:rsidP="00194A82">
      <w:pPr>
        <w:spacing w:after="0" w:line="240" w:lineRule="auto"/>
        <w:jc w:val="both"/>
        <w:rPr>
          <w:rFonts w:ascii="Verdana" w:eastAsia="Calibri" w:hAnsi="Verdana" w:cs="Arial"/>
          <w:bCs/>
          <w:sz w:val="20"/>
          <w:szCs w:val="20"/>
          <w:lang w:eastAsia="es-ES"/>
        </w:rPr>
      </w:pPr>
    </w:p>
    <w:p w14:paraId="7B10F753" w14:textId="77777777" w:rsidR="00194A82" w:rsidRDefault="00194A82" w:rsidP="00194A82">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w:t>
      </w:r>
    </w:p>
    <w:p w14:paraId="54ED1A6B" w14:textId="77777777" w:rsidR="00194A82" w:rsidRPr="0028080B" w:rsidRDefault="00194A82" w:rsidP="00194A82">
      <w:pPr>
        <w:spacing w:after="0" w:line="240" w:lineRule="auto"/>
        <w:jc w:val="both"/>
        <w:rPr>
          <w:rFonts w:ascii="Verdana" w:eastAsia="Calibri" w:hAnsi="Verdana" w:cs="Arial"/>
          <w:sz w:val="20"/>
          <w:szCs w:val="20"/>
          <w:lang w:val="es-ES" w:eastAsia="es-ES"/>
        </w:rPr>
      </w:pPr>
    </w:p>
    <w:p w14:paraId="271B7109" w14:textId="77777777" w:rsidR="00194A82" w:rsidRPr="00132CCC" w:rsidRDefault="00194A82" w:rsidP="00194A82">
      <w:pPr>
        <w:spacing w:after="0" w:line="240" w:lineRule="auto"/>
        <w:jc w:val="both"/>
        <w:rPr>
          <w:rFonts w:ascii="Verdana" w:eastAsia="Calibri" w:hAnsi="Verdana" w:cs="Arial"/>
          <w:sz w:val="20"/>
          <w:szCs w:val="20"/>
          <w:lang w:val="es-ES" w:eastAsia="es-ES"/>
        </w:rPr>
      </w:pPr>
      <w:r w:rsidRPr="00132CCC">
        <w:rPr>
          <w:rFonts w:ascii="Verdana" w:eastAsia="Calibri" w:hAnsi="Verdana" w:cs="Arial"/>
          <w:sz w:val="20"/>
          <w:szCs w:val="20"/>
          <w:lang w:eastAsia="es-ES"/>
        </w:rPr>
        <w:t xml:space="preserve">En este contexto, el artículo 2.2.1.2.4.2.2. del Decreto 1082 de 2015 –modificado por el Decreto 1860 de 2021– establece los requisitos que se deben acreditar en las “convocatorias limitadas a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132CCC">
        <w:rPr>
          <w:rFonts w:ascii="Verdana" w:eastAsia="Calibri" w:hAnsi="Verdana" w:cs="Arial"/>
          <w:sz w:val="20"/>
          <w:szCs w:val="20"/>
          <w:lang w:eastAsia="es-ES"/>
        </w:rPr>
        <w:t>Mipyme</w:t>
      </w:r>
      <w:proofErr w:type="spellEnd"/>
      <w:r w:rsidRPr="00132CCC">
        <w:rPr>
          <w:rFonts w:ascii="Verdana" w:eastAsia="Calibri" w:hAnsi="Verdana" w:cs="Arial"/>
          <w:sz w:val="20"/>
          <w:szCs w:val="20"/>
          <w:lang w:eastAsia="es-ES"/>
        </w:rPr>
        <w:t xml:space="preserve"> colombianas con mínimo un (1) año de existencia, siempre que se cumplan los requisitos señalados allí.</w:t>
      </w:r>
    </w:p>
    <w:p w14:paraId="62CC2AE7" w14:textId="77777777" w:rsidR="00194A82" w:rsidRPr="00132CCC" w:rsidRDefault="00194A82" w:rsidP="00194A82">
      <w:pPr>
        <w:spacing w:after="0" w:line="240" w:lineRule="auto"/>
        <w:jc w:val="both"/>
        <w:rPr>
          <w:rFonts w:ascii="Verdana" w:eastAsia="Calibri" w:hAnsi="Verdana" w:cs="Arial"/>
          <w:sz w:val="20"/>
          <w:szCs w:val="20"/>
          <w:lang w:val="es-ES" w:eastAsia="es-ES"/>
        </w:rPr>
      </w:pPr>
    </w:p>
    <w:p w14:paraId="4D96C871" w14:textId="77777777" w:rsidR="00194A82" w:rsidRPr="00132CCC" w:rsidRDefault="00194A82" w:rsidP="00194A82">
      <w:pPr>
        <w:spacing w:after="0" w:line="240" w:lineRule="auto"/>
        <w:jc w:val="both"/>
        <w:rPr>
          <w:rFonts w:ascii="Verdana" w:eastAsia="Calibri" w:hAnsi="Verdana" w:cs="Arial"/>
          <w:b/>
          <w:lang w:eastAsia="es-ES"/>
        </w:rPr>
      </w:pPr>
      <w:r w:rsidRPr="00132CCC">
        <w:rPr>
          <w:rFonts w:ascii="Verdana" w:eastAsia="Calibri" w:hAnsi="Verdana" w:cs="Arial"/>
          <w:b/>
          <w:lang w:eastAsia="es-ES"/>
        </w:rPr>
        <w:t>CONVOCATORIAS LIMITADAS A MIPYMES EN EL ÁMBITO TERRITORIAL – Limitación territorial – Facultad discrecional</w:t>
      </w:r>
    </w:p>
    <w:p w14:paraId="2C947FCD" w14:textId="77777777" w:rsidR="00194A82" w:rsidRPr="00132CCC" w:rsidRDefault="00194A82" w:rsidP="00194A82">
      <w:pPr>
        <w:spacing w:after="0" w:line="240" w:lineRule="auto"/>
        <w:rPr>
          <w:rFonts w:ascii="Verdana" w:eastAsia="Calibri" w:hAnsi="Verdana" w:cs="Arial"/>
          <w:sz w:val="20"/>
          <w:szCs w:val="20"/>
          <w:lang w:eastAsia="es-ES"/>
        </w:rPr>
      </w:pPr>
    </w:p>
    <w:p w14:paraId="57F7B2C3" w14:textId="77777777" w:rsidR="00194A82" w:rsidRPr="00132CCC" w:rsidRDefault="00194A82" w:rsidP="00194A82">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no puede motu proprio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5491D421" w14:textId="77777777" w:rsidR="00194A82" w:rsidRPr="00132CCC" w:rsidRDefault="00194A82" w:rsidP="00194A82">
      <w:pPr>
        <w:spacing w:after="0" w:line="240" w:lineRule="auto"/>
        <w:jc w:val="both"/>
        <w:rPr>
          <w:rFonts w:ascii="Verdana" w:eastAsia="Calibri" w:hAnsi="Verdana" w:cs="Arial"/>
          <w:sz w:val="20"/>
          <w:szCs w:val="20"/>
          <w:lang w:eastAsia="es-ES"/>
        </w:rPr>
      </w:pPr>
    </w:p>
    <w:p w14:paraId="7983E867" w14:textId="77777777" w:rsidR="00194A82" w:rsidRPr="00132CCC" w:rsidRDefault="00194A82" w:rsidP="00194A82">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Cumplidos los dos requisitos del artículo 2.2.1.2.4.2.2. </w:t>
      </w:r>
      <w:proofErr w:type="spellStart"/>
      <w:r w:rsidRPr="00132CCC">
        <w:rPr>
          <w:rFonts w:ascii="Verdana" w:eastAsia="Calibri" w:hAnsi="Verdana" w:cs="Arial"/>
          <w:sz w:val="20"/>
          <w:szCs w:val="20"/>
          <w:lang w:eastAsia="es-ES"/>
        </w:rPr>
        <w:t>ibídem</w:t>
      </w:r>
      <w:proofErr w:type="spellEnd"/>
      <w:r w:rsidRPr="00132CCC">
        <w:rPr>
          <w:rFonts w:ascii="Verdana" w:eastAsia="Calibri" w:hAnsi="Verdana" w:cs="Arial"/>
          <w:sz w:val="20"/>
          <w:szCs w:val="20"/>
          <w:lang w:eastAsia="es-ES"/>
        </w:rPr>
        <w:t xml:space="preserve">, la entidad estatal, independientemente de su régimen de contratación, los patrimonios autónomos constituidos por entidades estatales y los particulares que ejecuten recursos públicos, pueden ─no tienen que─ decidir si limitan la convocatoria a las </w:t>
      </w:r>
      <w:proofErr w:type="spellStart"/>
      <w:r w:rsidRPr="00132CCC">
        <w:rPr>
          <w:rFonts w:ascii="Verdana" w:eastAsia="Calibri" w:hAnsi="Verdana" w:cs="Arial"/>
          <w:sz w:val="20"/>
          <w:szCs w:val="20"/>
          <w:lang w:eastAsia="es-ES"/>
        </w:rPr>
        <w:t>Mipymes</w:t>
      </w:r>
      <w:proofErr w:type="spellEnd"/>
      <w:r w:rsidRPr="00132CCC">
        <w:rPr>
          <w:rFonts w:ascii="Verdana" w:eastAsia="Calibri" w:hAnsi="Verdana" w:cs="Arial"/>
          <w:sz w:val="20"/>
          <w:szCs w:val="20"/>
          <w:lang w:eastAsia="es-ES"/>
        </w:rPr>
        <w:t xml:space="preserve"> colombianas domiciliadas en el municipio o departamento en el que se ejecutará el contrato. Esto de </w:t>
      </w:r>
      <w:r w:rsidRPr="00132CCC">
        <w:rPr>
          <w:rFonts w:ascii="Verdana" w:eastAsia="Calibri" w:hAnsi="Verdana" w:cs="Arial"/>
          <w:sz w:val="20"/>
          <w:szCs w:val="20"/>
          <w:lang w:eastAsia="es-ES"/>
        </w:rPr>
        <w:lastRenderedPageBreak/>
        <w:t xml:space="preserve">acuerdo con lo establecido en artículo 2.2.1.2.4.2.3. del Decreto 1082 de 2015 modificado por el Decreto 1860 de 2021, norma que se refiere a la facultad de la administración con el verbo infinitivo “poder”, no “deber”. </w:t>
      </w:r>
    </w:p>
    <w:p w14:paraId="54779F45" w14:textId="77777777" w:rsidR="00194A82" w:rsidRPr="00132CCC" w:rsidRDefault="00194A82" w:rsidP="00194A82">
      <w:pPr>
        <w:spacing w:after="0" w:line="240" w:lineRule="auto"/>
        <w:jc w:val="both"/>
        <w:rPr>
          <w:rFonts w:ascii="Verdana" w:eastAsia="Calibri" w:hAnsi="Verdana" w:cs="Arial"/>
          <w:sz w:val="20"/>
          <w:szCs w:val="20"/>
          <w:lang w:eastAsia="es-ES"/>
        </w:rPr>
      </w:pPr>
    </w:p>
    <w:p w14:paraId="0C25EA9E" w14:textId="77777777" w:rsidR="00194A82" w:rsidRPr="00132CCC" w:rsidRDefault="00194A82" w:rsidP="00194A82">
      <w:pPr>
        <w:spacing w:after="0" w:line="240" w:lineRule="auto"/>
        <w:jc w:val="both"/>
        <w:rPr>
          <w:rFonts w:ascii="Verdana" w:eastAsia="Calibri" w:hAnsi="Verdana" w:cs="Arial"/>
          <w:sz w:val="20"/>
          <w:szCs w:val="20"/>
          <w:lang w:eastAsia="es-ES"/>
        </w:rPr>
      </w:pPr>
      <w:r w:rsidRPr="00BF78B9">
        <w:rPr>
          <w:rFonts w:ascii="Verdana" w:eastAsia="Calibri" w:hAnsi="Verdana" w:cs="Arial"/>
          <w:sz w:val="20"/>
          <w:szCs w:val="20"/>
          <w:lang w:eastAsia="es-ES"/>
        </w:rPr>
        <w:t xml:space="preserve">La Agencia Nacional de Contratación Pública – Colombia Compra Eficiente ha sostenido que la decisión de limitar territorialmente una convocatoria a MiPymes es discrecional de la entidad, sin embargo, la decisión debe estar justificada en los correspondientes “estudios del sector”. Lo anterior por cuanto el artículo 2.2.1.2.4.2.3. del Decreto 1082 de 2015, indicó que las </w:t>
      </w:r>
      <w:proofErr w:type="spellStart"/>
      <w:r w:rsidRPr="00BF78B9">
        <w:rPr>
          <w:rFonts w:ascii="Verdana" w:eastAsia="Calibri" w:hAnsi="Verdana" w:cs="Arial"/>
          <w:sz w:val="20"/>
          <w:szCs w:val="20"/>
          <w:lang w:eastAsia="es-ES"/>
        </w:rPr>
        <w:t>Mipymes</w:t>
      </w:r>
      <w:proofErr w:type="spellEnd"/>
      <w:r w:rsidRPr="00BF78B9">
        <w:rPr>
          <w:rFonts w:ascii="Verdana" w:eastAsia="Calibri" w:hAnsi="Verdana" w:cs="Arial"/>
          <w:sz w:val="20"/>
          <w:szCs w:val="20"/>
          <w:lang w:eastAsia="es-ES"/>
        </w:rPr>
        <w:t xml:space="preserve"> beneficiadas deben tener su domicilio principal en el municipio o departamento donde se ejecutará el contrato para poder participar en una convocatoria limitada territorialmente.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r>
        <w:rPr>
          <w:rFonts w:ascii="Verdana" w:eastAsia="Calibri" w:hAnsi="Verdana" w:cs="Arial"/>
          <w:sz w:val="20"/>
          <w:szCs w:val="20"/>
          <w:lang w:eastAsia="es-ES"/>
        </w:rPr>
        <w:t xml:space="preserve"> </w:t>
      </w:r>
    </w:p>
    <w:p w14:paraId="25A66CFE" w14:textId="77777777" w:rsidR="00194A82" w:rsidRPr="00132CCC" w:rsidRDefault="00194A82" w:rsidP="00194A82">
      <w:pPr>
        <w:spacing w:after="0" w:line="240" w:lineRule="auto"/>
        <w:rPr>
          <w:rFonts w:ascii="Verdana" w:eastAsia="Calibri" w:hAnsi="Verdana" w:cs="Arial"/>
          <w:sz w:val="20"/>
          <w:szCs w:val="20"/>
          <w:lang w:eastAsia="es-ES"/>
        </w:rPr>
      </w:pPr>
    </w:p>
    <w:p w14:paraId="7CB00B96" w14:textId="77777777" w:rsidR="00194A82" w:rsidRPr="00132CCC" w:rsidRDefault="00194A82" w:rsidP="00194A82">
      <w:pPr>
        <w:spacing w:after="0" w:line="240" w:lineRule="auto"/>
        <w:jc w:val="both"/>
        <w:rPr>
          <w:rFonts w:ascii="Verdana" w:eastAsia="Calibri" w:hAnsi="Verdana" w:cs="Arial"/>
          <w:b/>
          <w:lang w:eastAsia="es-ES"/>
        </w:rPr>
      </w:pPr>
      <w:r w:rsidRPr="00132CCC">
        <w:rPr>
          <w:rFonts w:ascii="Verdana" w:eastAsia="Calibri" w:hAnsi="Verdana" w:cs="Arial"/>
          <w:b/>
          <w:lang w:eastAsia="es-ES"/>
        </w:rPr>
        <w:t xml:space="preserve">CONVOCATORIAS LIMITADAS A MIPYMES EN EL ÁMBITO TERRITORIAL – Domicilio en lugar de ejecución </w:t>
      </w:r>
    </w:p>
    <w:p w14:paraId="08B965FE" w14:textId="77777777" w:rsidR="00194A82" w:rsidRPr="00132CCC" w:rsidRDefault="00194A82" w:rsidP="00194A82">
      <w:pPr>
        <w:spacing w:after="0" w:line="240" w:lineRule="auto"/>
        <w:rPr>
          <w:rFonts w:ascii="Verdana" w:eastAsia="Calibri" w:hAnsi="Verdana" w:cs="Arial"/>
          <w:sz w:val="20"/>
          <w:szCs w:val="20"/>
          <w:lang w:eastAsia="es-ES"/>
        </w:rPr>
      </w:pPr>
    </w:p>
    <w:p w14:paraId="4B8A7559" w14:textId="77777777" w:rsidR="00194A82" w:rsidRDefault="00194A82" w:rsidP="00194A82">
      <w:pPr>
        <w:spacing w:after="0" w:line="240" w:lineRule="auto"/>
        <w:jc w:val="both"/>
        <w:rPr>
          <w:rFonts w:ascii="Verdana" w:eastAsia="Calibri" w:hAnsi="Verdana" w:cs="Arial"/>
          <w:sz w:val="20"/>
          <w:szCs w:val="20"/>
          <w:lang w:eastAsia="es-ES"/>
        </w:rPr>
      </w:pPr>
      <w:r w:rsidRPr="00051ED8">
        <w:rPr>
          <w:rFonts w:ascii="Verdana" w:eastAsia="Calibri" w:hAnsi="Verdana" w:cs="Arial"/>
          <w:sz w:val="20"/>
          <w:szCs w:val="20"/>
          <w:lang w:eastAsia="es-ES"/>
        </w:rPr>
        <w:t xml:space="preserve">De este modo, en el caso de un contrato que se va a ejecutar en su totalidad dentro del territorio de un municipio, la limitación territorial debe aplicarse en favor de las </w:t>
      </w:r>
      <w:proofErr w:type="spellStart"/>
      <w:r w:rsidRPr="00051ED8">
        <w:rPr>
          <w:rFonts w:ascii="Verdana" w:eastAsia="Calibri" w:hAnsi="Verdana" w:cs="Arial"/>
          <w:sz w:val="20"/>
          <w:szCs w:val="20"/>
          <w:lang w:eastAsia="es-ES"/>
        </w:rPr>
        <w:t>Mipyme</w:t>
      </w:r>
      <w:proofErr w:type="spellEnd"/>
      <w:r w:rsidRPr="00051ED8">
        <w:rPr>
          <w:rFonts w:ascii="Verdana" w:eastAsia="Calibri" w:hAnsi="Verdana" w:cs="Arial"/>
          <w:sz w:val="20"/>
          <w:szCs w:val="20"/>
          <w:lang w:eastAsia="es-ES"/>
        </w:rPr>
        <w:t xml:space="preserv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19C4BA64" w14:textId="77777777" w:rsidR="00194A82" w:rsidRPr="00051ED8" w:rsidRDefault="00194A82" w:rsidP="00194A82">
      <w:pPr>
        <w:spacing w:after="0" w:line="240" w:lineRule="auto"/>
        <w:jc w:val="both"/>
        <w:rPr>
          <w:rFonts w:ascii="Verdana" w:eastAsia="Calibri" w:hAnsi="Verdana" w:cs="Arial"/>
          <w:sz w:val="20"/>
          <w:szCs w:val="20"/>
          <w:lang w:eastAsia="es-ES"/>
        </w:rPr>
      </w:pPr>
    </w:p>
    <w:p w14:paraId="2B2F46C0" w14:textId="77777777" w:rsidR="00194A82" w:rsidRPr="00092C3E" w:rsidRDefault="00194A82" w:rsidP="00194A82">
      <w:pPr>
        <w:spacing w:after="0" w:line="240" w:lineRule="auto"/>
        <w:jc w:val="both"/>
        <w:rPr>
          <w:rFonts w:ascii="Verdana" w:eastAsia="Calibri" w:hAnsi="Verdana" w:cs="Arial"/>
          <w:sz w:val="20"/>
          <w:szCs w:val="20"/>
          <w:lang w:eastAsia="es-ES"/>
        </w:rPr>
      </w:pPr>
      <w:r w:rsidRPr="00051ED8">
        <w:rPr>
          <w:rFonts w:ascii="Verdana" w:eastAsia="Calibri" w:hAnsi="Verdana" w:cs="Arial"/>
          <w:sz w:val="20"/>
          <w:szCs w:val="20"/>
          <w:lang w:eastAsia="es-ES"/>
        </w:rPr>
        <w:t xml:space="preserve">En este contexto, y de acuerdo con el objeto de la consulta, si bien la limitación territorial prevista en el artículo 2.2.1.2.4.2.3 del Decreto 1082 de 2015 faculta a las entidades estatales para limitar la convocatoria a las </w:t>
      </w:r>
      <w:proofErr w:type="spellStart"/>
      <w:r w:rsidRPr="00051ED8">
        <w:rPr>
          <w:rFonts w:ascii="Verdana" w:eastAsia="Calibri" w:hAnsi="Verdana" w:cs="Arial"/>
          <w:sz w:val="20"/>
          <w:szCs w:val="20"/>
          <w:lang w:eastAsia="es-ES"/>
        </w:rPr>
        <w:t>Mipymes</w:t>
      </w:r>
      <w:proofErr w:type="spellEnd"/>
      <w:r w:rsidRPr="00051ED8">
        <w:rPr>
          <w:rFonts w:ascii="Verdana" w:eastAsia="Calibri" w:hAnsi="Verdana" w:cs="Arial"/>
          <w:sz w:val="20"/>
          <w:szCs w:val="20"/>
          <w:lang w:eastAsia="es-ES"/>
        </w:rPr>
        <w:t xml:space="preserve"> domiciliadas en un determinado municipio o departamento, dicha potestad no puede interpretarse de manera discrecional. La habilitación normativa responde a un criterio objetivo y funcional relacionado con el lugar de ejecución del objeto contractual, de modo que la delimitación territorial debe guardar correspondencia directa con el ámbito geográfico en el que se desarrollará el contrato.</w:t>
      </w:r>
    </w:p>
    <w:p w14:paraId="4FBA04F9" w14:textId="77777777" w:rsidR="00194A82" w:rsidRPr="00132CCC" w:rsidRDefault="00194A82" w:rsidP="00194A82">
      <w:pPr>
        <w:spacing w:after="0" w:line="240" w:lineRule="auto"/>
        <w:jc w:val="both"/>
        <w:rPr>
          <w:rFonts w:ascii="Verdana" w:eastAsia="Calibri" w:hAnsi="Verdana" w:cs="Arial"/>
          <w:sz w:val="20"/>
          <w:szCs w:val="20"/>
          <w:lang w:eastAsia="es-ES"/>
        </w:rPr>
      </w:pPr>
    </w:p>
    <w:p w14:paraId="2E5D9A67" w14:textId="77777777" w:rsidR="00194A82" w:rsidRPr="00132CCC" w:rsidRDefault="00194A82" w:rsidP="00194A82">
      <w:pPr>
        <w:spacing w:after="0" w:line="240" w:lineRule="auto"/>
        <w:jc w:val="both"/>
        <w:rPr>
          <w:rFonts w:ascii="Verdana" w:eastAsia="Calibri" w:hAnsi="Verdana" w:cs="Arial"/>
          <w:b/>
          <w:lang w:eastAsia="es-ES"/>
        </w:rPr>
      </w:pPr>
      <w:r w:rsidRPr="00132CCC">
        <w:rPr>
          <w:rFonts w:ascii="Verdana" w:eastAsia="Calibri" w:hAnsi="Verdana" w:cs="Arial"/>
          <w:b/>
          <w:lang w:eastAsia="es-ES"/>
        </w:rPr>
        <w:t>CONVOCATORIAS LIMITADAS A MIPYMES EN EL ÁMBITO TERRITORIAL –</w:t>
      </w:r>
      <w:r>
        <w:rPr>
          <w:rFonts w:ascii="Verdana" w:eastAsia="Calibri" w:hAnsi="Verdana" w:cs="Arial"/>
          <w:b/>
          <w:lang w:eastAsia="es-ES"/>
        </w:rPr>
        <w:t xml:space="preserve"> C</w:t>
      </w:r>
      <w:r w:rsidRPr="00132CCC">
        <w:rPr>
          <w:rFonts w:ascii="Verdana" w:eastAsia="Calibri" w:hAnsi="Verdana" w:cs="Arial"/>
          <w:b/>
          <w:lang w:eastAsia="es-ES"/>
        </w:rPr>
        <w:t>ircunscripciones municipal y departamental</w:t>
      </w:r>
    </w:p>
    <w:p w14:paraId="57F92201" w14:textId="77777777" w:rsidR="00194A82" w:rsidRPr="00132CCC" w:rsidRDefault="00194A82" w:rsidP="00194A82">
      <w:pPr>
        <w:spacing w:after="0" w:line="240" w:lineRule="auto"/>
        <w:rPr>
          <w:rFonts w:ascii="Verdana" w:eastAsia="Calibri" w:hAnsi="Verdana" w:cs="Arial"/>
          <w:sz w:val="20"/>
          <w:szCs w:val="20"/>
          <w:lang w:eastAsia="es-ES"/>
        </w:rPr>
      </w:pPr>
    </w:p>
    <w:p w14:paraId="0B9A703C" w14:textId="77777777" w:rsidR="00194A82" w:rsidRDefault="00194A82" w:rsidP="00194A82">
      <w:pPr>
        <w:spacing w:after="0" w:line="240" w:lineRule="auto"/>
        <w:jc w:val="both"/>
        <w:rPr>
          <w:rFonts w:ascii="Verdana" w:eastAsia="Calibri" w:hAnsi="Verdana" w:cs="Arial"/>
          <w:sz w:val="20"/>
          <w:szCs w:val="20"/>
          <w:lang w:eastAsia="es-ES"/>
        </w:rPr>
      </w:pPr>
      <w:r>
        <w:rPr>
          <w:rFonts w:ascii="Verdana" w:eastAsia="Calibri" w:hAnsi="Verdana" w:cs="Arial"/>
          <w:sz w:val="20"/>
          <w:szCs w:val="20"/>
          <w:lang w:eastAsia="es-ES"/>
        </w:rPr>
        <w:t>D</w:t>
      </w:r>
      <w:r w:rsidRPr="00DE7009">
        <w:rPr>
          <w:rFonts w:ascii="Verdana" w:eastAsia="Calibri" w:hAnsi="Verdana" w:cs="Arial"/>
          <w:sz w:val="20"/>
          <w:szCs w:val="20"/>
          <w:lang w:eastAsia="es-ES"/>
        </w:rPr>
        <w:t xml:space="preserve">ebe resaltarse que el enfoque actual del marco normativo busca que las Entidades Estatales incorporen prácticas activas de planeación participativa e inclusiva que fortalezcan la participación de las </w:t>
      </w:r>
      <w:proofErr w:type="spellStart"/>
      <w:r w:rsidRPr="00DE7009">
        <w:rPr>
          <w:rFonts w:ascii="Verdana" w:eastAsia="Calibri" w:hAnsi="Verdana" w:cs="Arial"/>
          <w:sz w:val="20"/>
          <w:szCs w:val="20"/>
          <w:lang w:eastAsia="es-ES"/>
        </w:rPr>
        <w:t>Mipymes</w:t>
      </w:r>
      <w:proofErr w:type="spellEnd"/>
      <w:r w:rsidRPr="00DE7009">
        <w:rPr>
          <w:rFonts w:ascii="Verdana" w:eastAsia="Calibri" w:hAnsi="Verdana" w:cs="Arial"/>
          <w:sz w:val="20"/>
          <w:szCs w:val="20"/>
          <w:lang w:eastAsia="es-ES"/>
        </w:rPr>
        <w:t xml:space="preserve"> y de otras unidades económicas de menor escala y, orienten sus estrategias de contratación hacia el fortalecimiento de la economía </w:t>
      </w:r>
      <w:r w:rsidRPr="00DE7009">
        <w:rPr>
          <w:rFonts w:ascii="Verdana" w:eastAsia="Calibri" w:hAnsi="Verdana" w:cs="Arial"/>
          <w:sz w:val="20"/>
          <w:szCs w:val="20"/>
          <w:lang w:eastAsia="es-ES"/>
        </w:rPr>
        <w:lastRenderedPageBreak/>
        <w:t xml:space="preserve">local y regional, procurando que las oportunidades de contratación pública promuevan el desarrollo territorial. De esta manera, la limitación territorial se erige como una herramienta complementaria dentro de este ecosistema normativo, destinada a fomentar la vinculación de </w:t>
      </w:r>
      <w:proofErr w:type="spellStart"/>
      <w:r w:rsidRPr="00DE7009">
        <w:rPr>
          <w:rFonts w:ascii="Verdana" w:eastAsia="Calibri" w:hAnsi="Verdana" w:cs="Arial"/>
          <w:sz w:val="20"/>
          <w:szCs w:val="20"/>
          <w:lang w:eastAsia="es-ES"/>
        </w:rPr>
        <w:t>Mipymes</w:t>
      </w:r>
      <w:proofErr w:type="spellEnd"/>
      <w:r w:rsidRPr="00DE7009">
        <w:rPr>
          <w:rFonts w:ascii="Verdana" w:eastAsia="Calibri" w:hAnsi="Verdana" w:cs="Arial"/>
          <w:sz w:val="20"/>
          <w:szCs w:val="20"/>
          <w:lang w:eastAsia="es-ES"/>
        </w:rPr>
        <w:t xml:space="preserve"> domiciliadas en los territorios donde se ejecutan los contratos, generando encadenamientos productivos y fortalecimiento regional. </w:t>
      </w:r>
    </w:p>
    <w:p w14:paraId="3ED0688B" w14:textId="77777777" w:rsidR="00194A82" w:rsidRDefault="00194A82" w:rsidP="00194A82">
      <w:pPr>
        <w:spacing w:after="0" w:line="240" w:lineRule="auto"/>
        <w:jc w:val="both"/>
        <w:rPr>
          <w:rFonts w:ascii="Verdana" w:eastAsia="Calibri" w:hAnsi="Verdana" w:cs="Arial"/>
          <w:sz w:val="20"/>
          <w:szCs w:val="20"/>
          <w:lang w:eastAsia="es-ES"/>
        </w:rPr>
      </w:pPr>
    </w:p>
    <w:p w14:paraId="5C475F8E" w14:textId="397D7068" w:rsidR="00194A82" w:rsidRPr="00132CCC" w:rsidRDefault="00194A82" w:rsidP="00194A82">
      <w:pPr>
        <w:spacing w:after="0" w:line="240" w:lineRule="auto"/>
        <w:jc w:val="both"/>
        <w:rPr>
          <w:rFonts w:ascii="Verdana" w:eastAsia="Calibri" w:hAnsi="Verdana" w:cs="Arial"/>
          <w:sz w:val="20"/>
          <w:szCs w:val="20"/>
          <w:lang w:eastAsia="es-ES"/>
        </w:rPr>
      </w:pPr>
      <w:r w:rsidRPr="00DE7009">
        <w:rPr>
          <w:rFonts w:ascii="Verdana" w:eastAsia="Calibri" w:hAnsi="Verdana" w:cs="Arial"/>
          <w:sz w:val="20"/>
          <w:szCs w:val="20"/>
          <w:lang w:eastAsia="es-ES"/>
        </w:rPr>
        <w:t>Así las cosas, una decisión orientada a excluir un municipio en particular, pese a encontrarse comprendido dentro del ámbito territorial relacionado con la ejecución del objeto contractual, desbordaría la finalidad establecida en el artículo 2.2.1.2.4.2.3 del Decreto 1082 de 2015. Ello, por cuanto la determinación dejaría de sustentarse en el criterio principal previsto por la norma, esto es, el lugar de ejecución del contrato, para apoyarse en consideraciones ajenas a la finalidad de la medida, lo que podría comprometer la legalidad de la actuación administrativa y la validez de las reglas del proceso de selección. Por tanto, la decisión de aplicar una limitación territorial debe basarse en criterios técnicos que demuestren que tal medida contribuye efectivamente a los fines de promoción empresarial y desarrollo regional previstos en el ordenamiento jurídicos</w:t>
      </w:r>
      <w:r w:rsidR="00E45D78">
        <w:rPr>
          <w:rFonts w:ascii="Verdana" w:eastAsia="Calibri" w:hAnsi="Verdana" w:cs="Arial"/>
          <w:sz w:val="20"/>
          <w:szCs w:val="20"/>
          <w:lang w:eastAsia="es-ES"/>
        </w:rPr>
        <w:t>.</w:t>
      </w:r>
    </w:p>
    <w:p w14:paraId="3929BA3B" w14:textId="77777777" w:rsidR="00194A82" w:rsidRDefault="00194A82" w:rsidP="00194A82">
      <w:pPr>
        <w:spacing w:after="0" w:line="240" w:lineRule="auto"/>
        <w:rPr>
          <w:rFonts w:ascii="Verdana" w:eastAsia="Geomanist Light" w:hAnsi="Verdana" w:cs="Arial"/>
          <w:color w:val="000000" w:themeColor="text1"/>
          <w:lang w:val="es-MX"/>
        </w:rPr>
      </w:pPr>
    </w:p>
    <w:p w14:paraId="10DA35A4" w14:textId="77777777" w:rsidR="00194A82" w:rsidRDefault="00194A82" w:rsidP="00194A82">
      <w:pPr>
        <w:spacing w:after="0" w:line="240" w:lineRule="auto"/>
        <w:rPr>
          <w:rFonts w:ascii="Verdana" w:eastAsia="Geomanist Light" w:hAnsi="Verdana" w:cs="Arial"/>
          <w:color w:val="000000" w:themeColor="text1"/>
          <w:lang w:val="es-MX"/>
        </w:rPr>
      </w:pPr>
    </w:p>
    <w:p w14:paraId="1E487DA4" w14:textId="77777777" w:rsidR="00194A82" w:rsidRDefault="00194A82" w:rsidP="00194A82">
      <w:pPr>
        <w:spacing w:after="0" w:line="240" w:lineRule="auto"/>
        <w:rPr>
          <w:rFonts w:ascii="Verdana" w:eastAsia="Geomanist Light" w:hAnsi="Verdana" w:cs="Arial"/>
          <w:color w:val="000000" w:themeColor="text1"/>
          <w:lang w:val="es-MX"/>
        </w:rPr>
      </w:pPr>
    </w:p>
    <w:p w14:paraId="5E08C4BC" w14:textId="77777777" w:rsidR="00194A82" w:rsidRDefault="00194A82" w:rsidP="00194A82">
      <w:pPr>
        <w:spacing w:after="0" w:line="240" w:lineRule="auto"/>
        <w:rPr>
          <w:rFonts w:ascii="Verdana" w:eastAsia="Geomanist Light" w:hAnsi="Verdana" w:cs="Arial"/>
          <w:color w:val="000000" w:themeColor="text1"/>
          <w:lang w:val="es-MX"/>
        </w:rPr>
      </w:pPr>
    </w:p>
    <w:p w14:paraId="11703711" w14:textId="77777777" w:rsidR="00194A82" w:rsidRDefault="00194A82" w:rsidP="00194A82">
      <w:pPr>
        <w:spacing w:after="0" w:line="240" w:lineRule="auto"/>
        <w:rPr>
          <w:rFonts w:ascii="Verdana" w:eastAsia="Geomanist Light" w:hAnsi="Verdana" w:cs="Arial"/>
          <w:color w:val="000000" w:themeColor="text1"/>
          <w:lang w:val="es-MX"/>
        </w:rPr>
      </w:pPr>
    </w:p>
    <w:p w14:paraId="18FD47B1" w14:textId="77777777" w:rsidR="00194A82" w:rsidRDefault="00194A82" w:rsidP="00194A82">
      <w:pPr>
        <w:spacing w:after="0" w:line="240" w:lineRule="auto"/>
        <w:rPr>
          <w:rFonts w:ascii="Verdana" w:eastAsia="Geomanist Light" w:hAnsi="Verdana" w:cs="Arial"/>
          <w:color w:val="000000" w:themeColor="text1"/>
          <w:lang w:val="es-MX"/>
        </w:rPr>
      </w:pPr>
    </w:p>
    <w:p w14:paraId="47B413D6" w14:textId="77777777" w:rsidR="00194A82" w:rsidRDefault="00194A82" w:rsidP="00194A82">
      <w:pPr>
        <w:spacing w:after="0" w:line="240" w:lineRule="auto"/>
        <w:rPr>
          <w:rFonts w:ascii="Verdana" w:eastAsia="Geomanist Light" w:hAnsi="Verdana" w:cs="Arial"/>
          <w:color w:val="000000" w:themeColor="text1"/>
          <w:lang w:val="es-MX"/>
        </w:rPr>
      </w:pPr>
    </w:p>
    <w:p w14:paraId="6269DDF8" w14:textId="77777777" w:rsidR="00194A82" w:rsidRDefault="00194A82" w:rsidP="00194A82">
      <w:pPr>
        <w:spacing w:after="0" w:line="240" w:lineRule="auto"/>
        <w:rPr>
          <w:rFonts w:ascii="Verdana" w:eastAsia="Geomanist Light" w:hAnsi="Verdana" w:cs="Arial"/>
          <w:color w:val="000000" w:themeColor="text1"/>
          <w:lang w:val="es-MX"/>
        </w:rPr>
      </w:pPr>
    </w:p>
    <w:p w14:paraId="12755C25" w14:textId="77777777" w:rsidR="00194A82" w:rsidRDefault="00194A82" w:rsidP="00194A82">
      <w:pPr>
        <w:spacing w:after="0" w:line="240" w:lineRule="auto"/>
        <w:rPr>
          <w:rFonts w:ascii="Verdana" w:eastAsia="Geomanist Light" w:hAnsi="Verdana" w:cs="Arial"/>
          <w:color w:val="000000" w:themeColor="text1"/>
          <w:lang w:val="es-MX"/>
        </w:rPr>
      </w:pPr>
    </w:p>
    <w:p w14:paraId="3B5CC43E" w14:textId="77777777" w:rsidR="00194A82" w:rsidRDefault="00194A82" w:rsidP="00194A82">
      <w:pPr>
        <w:spacing w:after="0" w:line="240" w:lineRule="auto"/>
        <w:rPr>
          <w:rFonts w:ascii="Verdana" w:eastAsia="Geomanist Light" w:hAnsi="Verdana" w:cs="Arial"/>
          <w:color w:val="000000" w:themeColor="text1"/>
          <w:lang w:val="es-MX"/>
        </w:rPr>
      </w:pPr>
    </w:p>
    <w:p w14:paraId="70E15F54" w14:textId="77777777" w:rsidR="00194A82" w:rsidRDefault="00194A82" w:rsidP="00194A82">
      <w:pPr>
        <w:spacing w:after="0" w:line="240" w:lineRule="auto"/>
        <w:rPr>
          <w:rFonts w:ascii="Verdana" w:eastAsia="Geomanist Light" w:hAnsi="Verdana" w:cs="Arial"/>
          <w:color w:val="000000" w:themeColor="text1"/>
          <w:lang w:val="es-MX"/>
        </w:rPr>
      </w:pPr>
    </w:p>
    <w:p w14:paraId="11130D6F" w14:textId="77777777" w:rsidR="00194A82" w:rsidRDefault="00194A82" w:rsidP="00194A82">
      <w:pPr>
        <w:spacing w:after="0" w:line="240" w:lineRule="auto"/>
        <w:rPr>
          <w:rFonts w:ascii="Verdana" w:eastAsia="Geomanist Light" w:hAnsi="Verdana" w:cs="Arial"/>
          <w:color w:val="000000" w:themeColor="text1"/>
          <w:lang w:val="es-MX"/>
        </w:rPr>
      </w:pPr>
    </w:p>
    <w:p w14:paraId="22F70ECD" w14:textId="77777777" w:rsidR="00194A82" w:rsidRDefault="00194A82" w:rsidP="00194A82">
      <w:pPr>
        <w:spacing w:after="0" w:line="240" w:lineRule="auto"/>
        <w:rPr>
          <w:rFonts w:ascii="Verdana" w:eastAsia="Geomanist Light" w:hAnsi="Verdana" w:cs="Arial"/>
          <w:color w:val="000000" w:themeColor="text1"/>
          <w:lang w:val="es-MX"/>
        </w:rPr>
      </w:pPr>
    </w:p>
    <w:p w14:paraId="7AFFA024" w14:textId="77777777" w:rsidR="00194A82" w:rsidRDefault="00194A82" w:rsidP="00194A82">
      <w:pPr>
        <w:spacing w:after="0" w:line="240" w:lineRule="auto"/>
        <w:rPr>
          <w:rFonts w:ascii="Verdana" w:eastAsia="Geomanist Light" w:hAnsi="Verdana" w:cs="Arial"/>
          <w:color w:val="000000" w:themeColor="text1"/>
          <w:lang w:val="es-MX"/>
        </w:rPr>
      </w:pPr>
    </w:p>
    <w:p w14:paraId="3BAF84D5" w14:textId="77777777" w:rsidR="00194A82" w:rsidRDefault="00194A82" w:rsidP="00194A82">
      <w:pPr>
        <w:spacing w:after="0" w:line="240" w:lineRule="auto"/>
        <w:rPr>
          <w:rFonts w:ascii="Verdana" w:eastAsia="Geomanist Light" w:hAnsi="Verdana" w:cs="Arial"/>
          <w:color w:val="000000" w:themeColor="text1"/>
          <w:lang w:val="es-MX"/>
        </w:rPr>
      </w:pPr>
    </w:p>
    <w:p w14:paraId="5787ADAE" w14:textId="77777777" w:rsidR="00194A82" w:rsidRDefault="00194A82" w:rsidP="00194A82">
      <w:pPr>
        <w:spacing w:after="0" w:line="240" w:lineRule="auto"/>
        <w:rPr>
          <w:rFonts w:ascii="Verdana" w:eastAsia="Geomanist Light" w:hAnsi="Verdana" w:cs="Arial"/>
          <w:color w:val="000000" w:themeColor="text1"/>
          <w:lang w:val="es-MX"/>
        </w:rPr>
      </w:pPr>
    </w:p>
    <w:p w14:paraId="0B1EBEEF" w14:textId="77777777" w:rsidR="00194A82" w:rsidRDefault="00194A82" w:rsidP="00194A82">
      <w:pPr>
        <w:spacing w:after="0" w:line="240" w:lineRule="auto"/>
        <w:rPr>
          <w:rFonts w:ascii="Verdana" w:eastAsia="Geomanist Light" w:hAnsi="Verdana" w:cs="Arial"/>
          <w:color w:val="000000" w:themeColor="text1"/>
          <w:lang w:val="es-MX"/>
        </w:rPr>
      </w:pPr>
    </w:p>
    <w:p w14:paraId="358F9EAE" w14:textId="77777777" w:rsidR="00194A82" w:rsidRDefault="00194A82" w:rsidP="00194A82">
      <w:pPr>
        <w:spacing w:after="0" w:line="240" w:lineRule="auto"/>
        <w:rPr>
          <w:rFonts w:ascii="Verdana" w:eastAsia="Geomanist Light" w:hAnsi="Verdana" w:cs="Arial"/>
          <w:color w:val="000000" w:themeColor="text1"/>
          <w:lang w:val="es-MX"/>
        </w:rPr>
      </w:pPr>
    </w:p>
    <w:p w14:paraId="61C75A77" w14:textId="77777777" w:rsidR="00194A82" w:rsidRDefault="00194A82" w:rsidP="00194A82">
      <w:pPr>
        <w:spacing w:after="0" w:line="240" w:lineRule="auto"/>
        <w:rPr>
          <w:rFonts w:ascii="Verdana" w:eastAsia="Geomanist Light" w:hAnsi="Verdana" w:cs="Arial"/>
          <w:color w:val="000000" w:themeColor="text1"/>
          <w:lang w:val="es-MX"/>
        </w:rPr>
      </w:pPr>
    </w:p>
    <w:p w14:paraId="37E67E98" w14:textId="77777777" w:rsidR="00194A82" w:rsidRDefault="00194A82" w:rsidP="00194A82">
      <w:pPr>
        <w:spacing w:after="0" w:line="240" w:lineRule="auto"/>
        <w:rPr>
          <w:rFonts w:ascii="Verdana" w:eastAsia="Geomanist Light" w:hAnsi="Verdana" w:cs="Arial"/>
          <w:color w:val="000000" w:themeColor="text1"/>
          <w:lang w:val="es-MX"/>
        </w:rPr>
      </w:pPr>
    </w:p>
    <w:p w14:paraId="20934E42" w14:textId="77777777" w:rsidR="00194A82" w:rsidRDefault="00194A82" w:rsidP="00194A82">
      <w:pPr>
        <w:spacing w:after="0" w:line="240" w:lineRule="auto"/>
        <w:rPr>
          <w:rFonts w:ascii="Verdana" w:eastAsia="Geomanist Light" w:hAnsi="Verdana" w:cs="Arial"/>
          <w:color w:val="000000" w:themeColor="text1"/>
          <w:lang w:val="es-MX"/>
        </w:rPr>
      </w:pPr>
    </w:p>
    <w:p w14:paraId="4E2E06ED" w14:textId="77777777" w:rsidR="00194A82" w:rsidRDefault="00194A82" w:rsidP="00194A82">
      <w:pPr>
        <w:spacing w:after="0" w:line="240" w:lineRule="auto"/>
        <w:rPr>
          <w:rFonts w:ascii="Verdana" w:eastAsia="Geomanist Light" w:hAnsi="Verdana" w:cs="Arial"/>
          <w:color w:val="000000" w:themeColor="text1"/>
          <w:lang w:val="es-MX"/>
        </w:rPr>
      </w:pPr>
    </w:p>
    <w:p w14:paraId="56CCA0D7" w14:textId="77777777" w:rsidR="00194A82" w:rsidRDefault="00194A82" w:rsidP="00194A82">
      <w:pPr>
        <w:spacing w:after="0" w:line="240" w:lineRule="auto"/>
        <w:rPr>
          <w:rFonts w:ascii="Verdana" w:eastAsia="Geomanist Light" w:hAnsi="Verdana" w:cs="Arial"/>
          <w:color w:val="000000" w:themeColor="text1"/>
          <w:lang w:val="es-MX"/>
        </w:rPr>
      </w:pPr>
    </w:p>
    <w:p w14:paraId="034343C8" w14:textId="77777777" w:rsidR="00194A82" w:rsidRDefault="00194A82" w:rsidP="00194A82">
      <w:pPr>
        <w:spacing w:after="0" w:line="240" w:lineRule="auto"/>
        <w:rPr>
          <w:rFonts w:ascii="Verdana" w:eastAsia="Geomanist Light" w:hAnsi="Verdana" w:cs="Arial"/>
          <w:color w:val="000000" w:themeColor="text1"/>
          <w:lang w:val="es-MX"/>
        </w:rPr>
      </w:pPr>
    </w:p>
    <w:p w14:paraId="468C03CE" w14:textId="77777777" w:rsidR="00194A82" w:rsidRDefault="00194A82" w:rsidP="00194A82">
      <w:pPr>
        <w:spacing w:after="0" w:line="240" w:lineRule="auto"/>
        <w:rPr>
          <w:rFonts w:ascii="Verdana" w:eastAsia="Geomanist Light" w:hAnsi="Verdana" w:cs="Arial"/>
          <w:color w:val="000000" w:themeColor="text1"/>
          <w:lang w:val="es-MX"/>
        </w:rPr>
      </w:pPr>
    </w:p>
    <w:p w14:paraId="64352D41" w14:textId="77777777" w:rsidR="00D25175" w:rsidRDefault="00D25175" w:rsidP="00194A82">
      <w:pPr>
        <w:spacing w:after="0" w:line="240" w:lineRule="auto"/>
        <w:rPr>
          <w:rFonts w:ascii="Verdana" w:eastAsia="Geomanist Light" w:hAnsi="Verdana" w:cs="Arial"/>
          <w:color w:val="000000" w:themeColor="text1"/>
          <w:lang w:val="es-MX"/>
        </w:rPr>
      </w:pPr>
    </w:p>
    <w:p w14:paraId="047ADFDE" w14:textId="49ED2E50" w:rsidR="00194A82" w:rsidRPr="00241376" w:rsidRDefault="00194A82" w:rsidP="00194A82">
      <w:pPr>
        <w:spacing w:after="0" w:line="240" w:lineRule="auto"/>
        <w:rPr>
          <w:rFonts w:ascii="Verdana" w:eastAsia="Geomanist Light" w:hAnsi="Verdana" w:cs="Arial"/>
          <w:color w:val="201F1E"/>
          <w:lang w:val="es-MX"/>
        </w:rPr>
      </w:pPr>
      <w:r w:rsidRPr="00241376">
        <w:rPr>
          <w:rFonts w:ascii="Verdana" w:eastAsia="Geomanist Light" w:hAnsi="Verdana" w:cs="Arial"/>
          <w:color w:val="000000" w:themeColor="text1"/>
          <w:lang w:val="es-MX"/>
        </w:rPr>
        <w:lastRenderedPageBreak/>
        <w:t>Bogotá D.C., </w:t>
      </w:r>
      <w:r w:rsidR="00D25175">
        <w:rPr>
          <w:rFonts w:ascii="Verdana" w:eastAsia="Geomanist Light" w:hAnsi="Verdana" w:cs="Arial"/>
          <w:color w:val="201F1E"/>
        </w:rPr>
        <w:t>28 de mayo de 2026</w:t>
      </w:r>
    </w:p>
    <w:p w14:paraId="78EAEC96" w14:textId="43AA6C5E" w:rsidR="00194A82" w:rsidRDefault="00D25175" w:rsidP="00D25175">
      <w:pPr>
        <w:spacing w:after="0" w:line="278" w:lineRule="auto"/>
        <w:jc w:val="right"/>
        <w:rPr>
          <w:rFonts w:ascii="Verdana" w:eastAsia="Aptos" w:hAnsi="Verdana" w:cs="Times New Roman"/>
          <w:kern w:val="2"/>
          <w14:ligatures w14:val="standardContextual"/>
        </w:rPr>
      </w:pPr>
      <w:r w:rsidRPr="00D25175">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388AD64C" wp14:editId="5A5F9095">
            <wp:simplePos x="0" y="0"/>
            <wp:positionH relativeFrom="column">
              <wp:posOffset>3324225</wp:posOffset>
            </wp:positionH>
            <wp:positionV relativeFrom="paragraph">
              <wp:posOffset>-2540</wp:posOffset>
            </wp:positionV>
            <wp:extent cx="2286000" cy="960120"/>
            <wp:effectExtent l="0" t="0" r="0" b="0"/>
            <wp:wrapSquare wrapText="bothSides"/>
            <wp:docPr id="231775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86000" cy="960120"/>
                    </a:xfrm>
                    <a:prstGeom prst="rect">
                      <a:avLst/>
                    </a:prstGeom>
                    <a:noFill/>
                    <a:ln>
                      <a:noFill/>
                    </a:ln>
                  </pic:spPr>
                </pic:pic>
              </a:graphicData>
            </a:graphic>
          </wp:anchor>
        </w:drawing>
      </w:r>
    </w:p>
    <w:p w14:paraId="67832562" w14:textId="77777777" w:rsidR="00194A82" w:rsidRPr="001B3C5D" w:rsidRDefault="00194A82" w:rsidP="00194A82">
      <w:pPr>
        <w:spacing w:after="0" w:line="278" w:lineRule="auto"/>
        <w:jc w:val="right"/>
        <w:rPr>
          <w:rFonts w:ascii="Verdana" w:eastAsia="Aptos" w:hAnsi="Verdana" w:cs="Times New Roman"/>
          <w:kern w:val="2"/>
          <w:sz w:val="24"/>
          <w:szCs w:val="24"/>
          <w14:ligatures w14:val="standardContextual"/>
        </w:rPr>
      </w:pPr>
    </w:p>
    <w:p w14:paraId="2D3E1A36" w14:textId="77777777" w:rsidR="00194A82" w:rsidRPr="001B3C5D" w:rsidRDefault="00194A82" w:rsidP="00194A82">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p>
    <w:p w14:paraId="42805BE3" w14:textId="77777777" w:rsidR="00194A82" w:rsidRPr="00516866" w:rsidRDefault="00194A82" w:rsidP="00194A82">
      <w:pPr>
        <w:shd w:val="clear" w:color="auto" w:fill="FFFFFF"/>
        <w:spacing w:after="0" w:line="240" w:lineRule="auto"/>
        <w:textAlignment w:val="baseline"/>
        <w:rPr>
          <w:rFonts w:ascii="Verdana" w:eastAsia="Times New Roman" w:hAnsi="Verdana" w:cs="Segoe UI"/>
          <w:b/>
          <w:bCs/>
          <w:color w:val="242424"/>
          <w:lang w:eastAsia="es-CO"/>
        </w:rPr>
      </w:pPr>
      <w:r w:rsidRPr="00516866">
        <w:rPr>
          <w:rFonts w:ascii="Verdana" w:eastAsia="Times New Roman" w:hAnsi="Verdana" w:cs="Segoe UI"/>
          <w:b/>
          <w:bCs/>
          <w:color w:val="242424"/>
          <w:lang w:eastAsia="es-CO"/>
        </w:rPr>
        <w:t>Eduardo Giraldo</w:t>
      </w:r>
    </w:p>
    <w:p w14:paraId="5151FE3D" w14:textId="77777777" w:rsidR="00194A82" w:rsidRPr="00516866" w:rsidRDefault="00194A82" w:rsidP="00194A82">
      <w:pPr>
        <w:shd w:val="clear" w:color="auto" w:fill="FFFFFF"/>
        <w:spacing w:after="0" w:line="240" w:lineRule="auto"/>
        <w:textAlignment w:val="baseline"/>
        <w:rPr>
          <w:rFonts w:ascii="Verdana" w:eastAsia="Times New Roman" w:hAnsi="Verdana" w:cs="Segoe UI"/>
          <w:color w:val="242424"/>
          <w:lang w:eastAsia="es-CO"/>
        </w:rPr>
      </w:pPr>
      <w:r w:rsidRPr="00516866">
        <w:rPr>
          <w:rFonts w:ascii="Verdana" w:eastAsia="Times New Roman" w:hAnsi="Verdana" w:cs="Segoe UI"/>
          <w:color w:val="242424"/>
          <w:lang w:eastAsia="es-CO"/>
        </w:rPr>
        <w:t>Gerente</w:t>
      </w:r>
    </w:p>
    <w:p w14:paraId="51933DC8" w14:textId="77777777" w:rsidR="00194A82" w:rsidRPr="00516866" w:rsidRDefault="00194A82" w:rsidP="00194A82">
      <w:pPr>
        <w:shd w:val="clear" w:color="auto" w:fill="FFFFFF"/>
        <w:spacing w:after="0" w:line="240" w:lineRule="auto"/>
        <w:textAlignment w:val="baseline"/>
        <w:rPr>
          <w:rFonts w:ascii="Verdana" w:eastAsia="Times New Roman" w:hAnsi="Verdana" w:cs="Segoe UI"/>
          <w:color w:val="242424"/>
          <w:lang w:eastAsia="es-CO"/>
        </w:rPr>
      </w:pPr>
      <w:r w:rsidRPr="00516866">
        <w:rPr>
          <w:rFonts w:ascii="Verdana" w:eastAsia="Times New Roman" w:hAnsi="Verdana" w:cs="Segoe UI"/>
          <w:color w:val="242424"/>
          <w:lang w:eastAsia="es-CO"/>
        </w:rPr>
        <w:t>VAGAMMA INVERSIONES S.A.S.</w:t>
      </w:r>
    </w:p>
    <w:p w14:paraId="18B5F069" w14:textId="77777777" w:rsidR="00194A82" w:rsidRPr="00516866" w:rsidRDefault="00194A82" w:rsidP="00194A82">
      <w:pPr>
        <w:spacing w:after="0" w:line="240" w:lineRule="auto"/>
        <w:rPr>
          <w:rFonts w:ascii="Verdana" w:eastAsia="Calibri" w:hAnsi="Verdana" w:cs="Arial"/>
          <w:kern w:val="2"/>
          <w:lang w:val="es-ES" w:eastAsia="es-ES"/>
          <w14:ligatures w14:val="standardContextual"/>
        </w:rPr>
      </w:pPr>
      <w:hyperlink r:id="rId12" w:history="1">
        <w:r w:rsidRPr="00516866">
          <w:rPr>
            <w:rStyle w:val="Hipervnculo"/>
            <w:rFonts w:ascii="Verdana" w:eastAsia="Calibri" w:hAnsi="Verdana" w:cs="Arial"/>
            <w:kern w:val="2"/>
            <w:lang w:val="es-ES" w:eastAsia="es-ES"/>
            <w14:ligatures w14:val="standardContextual"/>
          </w:rPr>
          <w:t>vagamma.inversiones@hotmail.com</w:t>
        </w:r>
      </w:hyperlink>
      <w:r w:rsidRPr="00516866">
        <w:rPr>
          <w:rFonts w:ascii="Verdana" w:eastAsia="Calibri" w:hAnsi="Verdana" w:cs="Arial"/>
          <w:kern w:val="2"/>
          <w:lang w:val="es-ES" w:eastAsia="es-ES"/>
          <w14:ligatures w14:val="standardContextual"/>
        </w:rPr>
        <w:t xml:space="preserve"> </w:t>
      </w:r>
    </w:p>
    <w:p w14:paraId="16D49BF4" w14:textId="77777777" w:rsidR="00194A82" w:rsidRPr="001B3C5D" w:rsidRDefault="00194A82" w:rsidP="00194A82">
      <w:pPr>
        <w:spacing w:after="0" w:line="240" w:lineRule="auto"/>
        <w:rPr>
          <w:rFonts w:ascii="Verdana" w:eastAsia="Calibri" w:hAnsi="Verdana" w:cs="Arial"/>
          <w:lang w:val="es-ES_tradnl" w:eastAsia="es-ES_tradnl"/>
        </w:rPr>
      </w:pPr>
      <w:r>
        <w:rPr>
          <w:rFonts w:ascii="Verdana" w:eastAsia="Calibri" w:hAnsi="Verdana" w:cs="Arial"/>
          <w:kern w:val="2"/>
          <w:lang w:val="es-ES" w:eastAsia="es-ES"/>
          <w14:ligatures w14:val="standardContextual"/>
        </w:rPr>
        <w:t>Bogotá D.C.</w:t>
      </w:r>
    </w:p>
    <w:p w14:paraId="756F8EC5" w14:textId="77777777" w:rsidR="00194A82" w:rsidRDefault="00194A82" w:rsidP="00194A82">
      <w:pPr>
        <w:spacing w:after="0" w:line="240" w:lineRule="auto"/>
        <w:rPr>
          <w:rFonts w:ascii="Verdana" w:eastAsia="Calibri" w:hAnsi="Verdana" w:cs="Arial"/>
          <w:b/>
          <w:bCs/>
          <w:lang w:val="es-ES_tradnl" w:eastAsia="es-ES_tradnl"/>
        </w:rPr>
      </w:pPr>
    </w:p>
    <w:p w14:paraId="53C4FF12" w14:textId="77777777" w:rsidR="00194A82" w:rsidRPr="001B3C5D" w:rsidRDefault="00194A82" w:rsidP="00194A82">
      <w:pPr>
        <w:spacing w:after="0" w:line="240" w:lineRule="auto"/>
        <w:rPr>
          <w:rFonts w:ascii="Verdana" w:eastAsia="Calibri" w:hAnsi="Verdana" w:cs="Arial"/>
          <w:b/>
          <w:bCs/>
          <w:lang w:val="es-ES_tradnl" w:eastAsia="es-ES_tradnl"/>
        </w:rPr>
      </w:pPr>
    </w:p>
    <w:tbl>
      <w:tblPr>
        <w:tblStyle w:val="Tablaconcuadrcula1"/>
        <w:tblW w:w="89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83"/>
      </w:tblGrid>
      <w:tr w:rsidR="00194A82" w:rsidRPr="001B3C5D" w14:paraId="3AEA0735" w14:textId="77777777" w:rsidTr="00873641">
        <w:trPr>
          <w:trHeight w:val="229"/>
        </w:trPr>
        <w:tc>
          <w:tcPr>
            <w:tcW w:w="2552" w:type="dxa"/>
          </w:tcPr>
          <w:p w14:paraId="477A37C5" w14:textId="77777777" w:rsidR="00194A82" w:rsidRPr="001B3C5D" w:rsidRDefault="00194A82" w:rsidP="00873641">
            <w:pPr>
              <w:jc w:val="both"/>
              <w:rPr>
                <w:rFonts w:ascii="Verdana" w:eastAsia="Calibri" w:hAnsi="Verdana" w:cs="Arial"/>
                <w:b/>
                <w:bCs/>
                <w:lang w:val="es-ES_tradnl" w:eastAsia="es-ES_tradnl"/>
              </w:rPr>
            </w:pPr>
          </w:p>
        </w:tc>
        <w:tc>
          <w:tcPr>
            <w:tcW w:w="6383" w:type="dxa"/>
          </w:tcPr>
          <w:p w14:paraId="36BA5F6D" w14:textId="77777777" w:rsidR="00194A82" w:rsidRPr="001B3C5D" w:rsidRDefault="00194A82" w:rsidP="00873641">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Pr>
                <w:rFonts w:ascii="Verdana" w:eastAsia="Calibri" w:hAnsi="Verdana" w:cs="Arial"/>
                <w:b/>
                <w:bCs/>
                <w:lang w:val="es-ES" w:eastAsia="es-ES"/>
              </w:rPr>
              <w:t>711</w:t>
            </w:r>
            <w:r w:rsidRPr="001B3C5D">
              <w:rPr>
                <w:rFonts w:ascii="Verdana" w:eastAsia="Calibri" w:hAnsi="Verdana" w:cs="Arial"/>
                <w:b/>
                <w:bCs/>
                <w:lang w:val="es-ES" w:eastAsia="es-ES"/>
              </w:rPr>
              <w:t xml:space="preserve"> de 2026</w:t>
            </w:r>
          </w:p>
          <w:p w14:paraId="26EBB0CA" w14:textId="77777777" w:rsidR="00194A82" w:rsidRPr="001B3C5D" w:rsidRDefault="00194A82" w:rsidP="00873641">
            <w:pPr>
              <w:jc w:val="both"/>
              <w:rPr>
                <w:rFonts w:ascii="Verdana" w:eastAsia="Calibri" w:hAnsi="Verdana" w:cs="Arial"/>
                <w:b/>
                <w:bCs/>
                <w:lang w:val="es-ES" w:eastAsia="es-ES"/>
              </w:rPr>
            </w:pPr>
          </w:p>
        </w:tc>
      </w:tr>
    </w:tbl>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94A82" w:rsidRPr="00132CCC" w14:paraId="7BF0A6BF" w14:textId="77777777" w:rsidTr="00873641">
        <w:trPr>
          <w:trHeight w:val="884"/>
        </w:trPr>
        <w:tc>
          <w:tcPr>
            <w:tcW w:w="2689" w:type="dxa"/>
          </w:tcPr>
          <w:p w14:paraId="3F233D38" w14:textId="77777777" w:rsidR="00194A82" w:rsidRPr="00474910" w:rsidRDefault="00194A82" w:rsidP="00873641">
            <w:pPr>
              <w:jc w:val="both"/>
              <w:rPr>
                <w:rFonts w:ascii="Verdana" w:eastAsia="Calibri" w:hAnsi="Verdana" w:cs="Arial"/>
                <w:color w:val="000000"/>
                <w:lang w:val="es-ES_tradnl" w:eastAsia="es-ES_tradnl"/>
              </w:rPr>
            </w:pPr>
            <w:r w:rsidRPr="00474910">
              <w:rPr>
                <w:rFonts w:ascii="Verdana" w:eastAsia="Calibri" w:hAnsi="Verdana" w:cs="Arial"/>
                <w:b/>
                <w:color w:val="000000"/>
                <w:lang w:val="es-ES_tradnl" w:eastAsia="es-ES_tradnl"/>
              </w:rPr>
              <w:t>Temas:</w:t>
            </w:r>
            <w:r w:rsidRPr="00474910">
              <w:rPr>
                <w:rFonts w:ascii="Verdana" w:eastAsia="Calibri" w:hAnsi="Verdana" w:cs="Arial"/>
                <w:color w:val="000000"/>
                <w:lang w:val="es-ES_tradnl" w:eastAsia="es-ES_tradnl"/>
              </w:rPr>
              <w:t xml:space="preserve">                   </w:t>
            </w:r>
          </w:p>
        </w:tc>
        <w:tc>
          <w:tcPr>
            <w:tcW w:w="6100" w:type="dxa"/>
          </w:tcPr>
          <w:p w14:paraId="45F05354" w14:textId="77777777" w:rsidR="00194A82" w:rsidRDefault="00194A82" w:rsidP="00873641">
            <w:pPr>
              <w:spacing w:line="276" w:lineRule="auto"/>
              <w:jc w:val="both"/>
              <w:rPr>
                <w:rFonts w:ascii="Verdana" w:eastAsia="Calibri" w:hAnsi="Verdana" w:cs="Arial"/>
                <w:lang w:eastAsia="es-ES"/>
              </w:rPr>
            </w:pPr>
            <w:r w:rsidRPr="00132CCC">
              <w:rPr>
                <w:rFonts w:ascii="Verdana" w:eastAsia="Calibri" w:hAnsi="Verdana" w:cs="Arial"/>
                <w:lang w:eastAsia="es-ES"/>
              </w:rPr>
              <w:t xml:space="preserve">CONVOCATORIAS LIMITADAS A MIPYMES NACIONALES – Requisitos – </w:t>
            </w:r>
            <w:r>
              <w:rPr>
                <w:rFonts w:ascii="Verdana" w:eastAsia="Calibri" w:hAnsi="Verdana" w:cs="Arial"/>
                <w:lang w:eastAsia="es-ES"/>
              </w:rPr>
              <w:t>P</w:t>
            </w:r>
            <w:r w:rsidRPr="00132CCC">
              <w:rPr>
                <w:rFonts w:ascii="Verdana" w:eastAsia="Calibri" w:hAnsi="Verdana" w:cs="Arial"/>
                <w:lang w:eastAsia="es-ES"/>
              </w:rPr>
              <w:t>resupuestos mínimos</w:t>
            </w:r>
            <w:r>
              <w:rPr>
                <w:rFonts w:ascii="Verdana" w:eastAsia="Calibri" w:hAnsi="Verdana" w:cs="Arial"/>
                <w:lang w:eastAsia="es-ES"/>
              </w:rPr>
              <w:t xml:space="preserve"> / </w:t>
            </w:r>
            <w:r w:rsidRPr="00132CCC">
              <w:rPr>
                <w:rFonts w:ascii="Verdana" w:eastAsia="Calibri" w:hAnsi="Verdana" w:cs="Arial"/>
                <w:lang w:eastAsia="es-ES"/>
              </w:rPr>
              <w:t>CONVOCATORIAS LIMITADAS A MIPYMES EN EL ÁMBITO TERRITORIAL – Limitación territorial – Facultad discrecional</w:t>
            </w:r>
            <w:r>
              <w:rPr>
                <w:rFonts w:ascii="Verdana" w:eastAsia="Calibri" w:hAnsi="Verdana" w:cs="Arial"/>
                <w:lang w:eastAsia="es-ES"/>
              </w:rPr>
              <w:t xml:space="preserve"> / </w:t>
            </w:r>
            <w:r w:rsidRPr="00D63FDA">
              <w:rPr>
                <w:rFonts w:ascii="Verdana" w:eastAsia="Calibri" w:hAnsi="Verdana" w:cs="Arial"/>
                <w:lang w:eastAsia="es-ES"/>
              </w:rPr>
              <w:t>CONVOCATORIAS LIMITADAS A MIPYMES EN EL ÁMBITO TERRITORIAL – Domicilio en lugar de ejecución</w:t>
            </w:r>
            <w:r>
              <w:rPr>
                <w:rFonts w:ascii="Verdana" w:eastAsia="Calibri" w:hAnsi="Verdana" w:cs="Arial"/>
                <w:lang w:eastAsia="es-ES"/>
              </w:rPr>
              <w:t xml:space="preserve"> / </w:t>
            </w:r>
            <w:r w:rsidRPr="00D63FDA">
              <w:rPr>
                <w:rFonts w:ascii="Verdana" w:eastAsia="Calibri" w:hAnsi="Verdana" w:cs="Arial"/>
                <w:lang w:eastAsia="es-ES"/>
              </w:rPr>
              <w:t>CONVOCATORIAS LIMITADAS A MIPYMES EN EL ÁMBITO TERRITORIAL –</w:t>
            </w:r>
            <w:r>
              <w:rPr>
                <w:rFonts w:ascii="Verdana" w:eastAsia="Calibri" w:hAnsi="Verdana" w:cs="Arial"/>
                <w:lang w:eastAsia="es-ES"/>
              </w:rPr>
              <w:t xml:space="preserve"> C</w:t>
            </w:r>
            <w:r w:rsidRPr="00D63FDA">
              <w:rPr>
                <w:rFonts w:ascii="Verdana" w:eastAsia="Calibri" w:hAnsi="Verdana" w:cs="Arial"/>
                <w:lang w:eastAsia="es-ES"/>
              </w:rPr>
              <w:t>ircunscripciones municipal y departamental</w:t>
            </w:r>
            <w:r>
              <w:rPr>
                <w:rFonts w:ascii="Verdana" w:eastAsia="Calibri" w:hAnsi="Verdana" w:cs="Arial"/>
                <w:lang w:eastAsia="es-ES"/>
              </w:rPr>
              <w:t xml:space="preserve"> </w:t>
            </w:r>
          </w:p>
          <w:p w14:paraId="2FB98A05" w14:textId="77777777" w:rsidR="00194A82" w:rsidRPr="00132CCC" w:rsidRDefault="00194A82" w:rsidP="00873641">
            <w:pPr>
              <w:jc w:val="both"/>
              <w:rPr>
                <w:rFonts w:ascii="Verdana" w:eastAsia="Calibri" w:hAnsi="Verdana" w:cs="Arial"/>
                <w:highlight w:val="yellow"/>
                <w:lang w:eastAsia="es-ES"/>
              </w:rPr>
            </w:pPr>
          </w:p>
        </w:tc>
      </w:tr>
      <w:tr w:rsidR="00194A82" w:rsidRPr="00474910" w14:paraId="47CB9D2E" w14:textId="77777777" w:rsidTr="00873641">
        <w:tc>
          <w:tcPr>
            <w:tcW w:w="2689" w:type="dxa"/>
          </w:tcPr>
          <w:p w14:paraId="5A39F1C9" w14:textId="77777777" w:rsidR="00194A82" w:rsidRPr="00474910" w:rsidRDefault="00194A82" w:rsidP="00873641">
            <w:pPr>
              <w:jc w:val="both"/>
              <w:rPr>
                <w:rFonts w:ascii="Verdana" w:eastAsia="Calibri" w:hAnsi="Verdana" w:cs="Arial"/>
                <w:b/>
                <w:lang w:val="es-ES_tradnl" w:eastAsia="es-ES_tradnl"/>
              </w:rPr>
            </w:pPr>
            <w:r w:rsidRPr="00474910">
              <w:rPr>
                <w:rFonts w:ascii="Verdana" w:eastAsia="Calibri" w:hAnsi="Verdana" w:cs="Arial"/>
                <w:b/>
                <w:lang w:val="es-ES_tradnl" w:eastAsia="es-ES_tradnl"/>
              </w:rPr>
              <w:t>Radicación:</w:t>
            </w:r>
            <w:r w:rsidRPr="00474910">
              <w:rPr>
                <w:rFonts w:ascii="Verdana" w:eastAsia="Calibri" w:hAnsi="Verdana" w:cs="Arial"/>
                <w:lang w:val="es-ES_tradnl" w:eastAsia="es-ES_tradnl"/>
              </w:rPr>
              <w:t xml:space="preserve">               </w:t>
            </w:r>
          </w:p>
        </w:tc>
        <w:tc>
          <w:tcPr>
            <w:tcW w:w="6100" w:type="dxa"/>
          </w:tcPr>
          <w:p w14:paraId="7BFD845B" w14:textId="77777777" w:rsidR="00194A82" w:rsidRPr="00474910" w:rsidRDefault="00194A82" w:rsidP="00873641">
            <w:pPr>
              <w:jc w:val="both"/>
              <w:rPr>
                <w:rFonts w:ascii="Verdana" w:eastAsia="Calibri" w:hAnsi="Verdana" w:cs="Arial"/>
                <w:lang w:eastAsia="es-ES_tradnl"/>
              </w:rPr>
            </w:pPr>
            <w:r w:rsidRPr="00474910">
              <w:rPr>
                <w:rFonts w:ascii="Verdana" w:eastAsia="Calibri" w:hAnsi="Verdana" w:cs="Arial"/>
                <w:lang w:val="es-ES_tradnl" w:eastAsia="es-ES_tradnl"/>
              </w:rPr>
              <w:t xml:space="preserve">Respuesta a la consulta con radicado No. </w:t>
            </w:r>
            <w:r w:rsidRPr="00D2339E">
              <w:rPr>
                <w:rFonts w:ascii="Verdana" w:eastAsia="Calibri" w:hAnsi="Verdana" w:cs="Arial"/>
                <w:lang w:val="es-ES_tradnl" w:eastAsia="es-ES_tradnl"/>
              </w:rPr>
              <w:t>1_2026_04_29_005826</w:t>
            </w:r>
          </w:p>
        </w:tc>
      </w:tr>
    </w:tbl>
    <w:p w14:paraId="6959CCF1" w14:textId="77777777" w:rsidR="00194A82" w:rsidRPr="001B3C5D" w:rsidRDefault="00194A82" w:rsidP="00194A82">
      <w:pPr>
        <w:spacing w:after="0" w:line="240" w:lineRule="auto"/>
        <w:jc w:val="both"/>
        <w:rPr>
          <w:rFonts w:ascii="Verdana" w:eastAsia="Calibri" w:hAnsi="Verdana" w:cs="Arial"/>
          <w:lang w:val="es-ES_tradnl" w:eastAsia="es-ES_tradnl"/>
        </w:rPr>
      </w:pPr>
    </w:p>
    <w:p w14:paraId="35183496" w14:textId="77777777" w:rsidR="00194A82" w:rsidRDefault="00194A82" w:rsidP="00194A82">
      <w:pPr>
        <w:spacing w:after="0" w:line="276" w:lineRule="auto"/>
        <w:jc w:val="both"/>
        <w:rPr>
          <w:rFonts w:ascii="Verdana" w:eastAsia="Calibri" w:hAnsi="Verdana" w:cs="Arial"/>
          <w:lang w:val="es-ES" w:eastAsia="es-ES"/>
        </w:rPr>
      </w:pPr>
    </w:p>
    <w:p w14:paraId="7CA61BB5" w14:textId="77777777" w:rsidR="00194A82" w:rsidRPr="001B3C5D" w:rsidRDefault="00194A82" w:rsidP="00194A82">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Estimad</w:t>
      </w:r>
      <w:r>
        <w:rPr>
          <w:rFonts w:ascii="Verdana" w:eastAsia="Calibri" w:hAnsi="Verdana" w:cs="Arial"/>
          <w:lang w:val="es-ES" w:eastAsia="es-ES"/>
        </w:rPr>
        <w:t xml:space="preserve">o </w:t>
      </w:r>
      <w:r w:rsidRPr="001B3C5D">
        <w:rPr>
          <w:rFonts w:ascii="Verdana" w:eastAsia="Calibri" w:hAnsi="Verdana" w:cs="Arial"/>
          <w:lang w:val="es-ES" w:eastAsia="es-ES"/>
        </w:rPr>
        <w:t>señor</w:t>
      </w:r>
      <w:r>
        <w:rPr>
          <w:rFonts w:ascii="Verdana" w:eastAsia="Calibri" w:hAnsi="Verdana" w:cs="Arial"/>
          <w:lang w:val="es-ES" w:eastAsia="es-ES"/>
        </w:rPr>
        <w:t xml:space="preserve"> Giraldo</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0B81D7F5" w14:textId="77777777" w:rsidR="00194A82" w:rsidRPr="001B3C5D" w:rsidRDefault="00194A82" w:rsidP="00194A82">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0F468662" w14:textId="77777777" w:rsidR="00194A82" w:rsidRPr="001B3C5D" w:rsidRDefault="00194A82" w:rsidP="00194A82">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29</w:t>
      </w:r>
      <w:r w:rsidRPr="001B3C5D">
        <w:rPr>
          <w:rFonts w:ascii="Verdana" w:eastAsia="Calibri" w:hAnsi="Verdana" w:cs="Arial"/>
          <w:lang w:val="es-ES" w:eastAsia="es-ES"/>
        </w:rPr>
        <w:t xml:space="preserve"> de </w:t>
      </w:r>
      <w:r>
        <w:rPr>
          <w:rFonts w:ascii="Verdana" w:eastAsia="Calibri" w:hAnsi="Verdana" w:cs="Arial"/>
          <w:lang w:val="es-ES" w:eastAsia="es-ES"/>
        </w:rPr>
        <w:t>abril</w:t>
      </w:r>
      <w:r w:rsidRPr="001B3C5D">
        <w:rPr>
          <w:rFonts w:ascii="Verdana" w:eastAsia="Calibri" w:hAnsi="Verdana" w:cs="Arial"/>
          <w:lang w:val="es-ES" w:eastAsia="es-ES"/>
        </w:rPr>
        <w:t xml:space="preserve"> de 2026, en la cual</w:t>
      </w:r>
      <w:r>
        <w:rPr>
          <w:rFonts w:ascii="Verdana" w:eastAsia="Calibri" w:hAnsi="Verdana" w:cs="Arial"/>
          <w:lang w:val="es-ES" w:eastAsia="es-ES"/>
        </w:rPr>
        <w:t xml:space="preserve"> </w:t>
      </w:r>
      <w:r w:rsidRPr="001B3C5D">
        <w:rPr>
          <w:rFonts w:ascii="Verdana" w:eastAsia="Calibri" w:hAnsi="Verdana" w:cs="Arial"/>
          <w:lang w:val="es-ES" w:eastAsia="es-ES"/>
        </w:rPr>
        <w:t>manifiesta lo siguiente:</w:t>
      </w:r>
    </w:p>
    <w:p w14:paraId="1F9E0FCE" w14:textId="77777777" w:rsidR="00194A82" w:rsidRPr="001B3C5D" w:rsidRDefault="00194A82" w:rsidP="00194A82">
      <w:pPr>
        <w:spacing w:after="0" w:line="276" w:lineRule="auto"/>
        <w:jc w:val="both"/>
        <w:rPr>
          <w:rFonts w:ascii="Verdana" w:eastAsia="Calibri" w:hAnsi="Verdana" w:cs="Arial"/>
          <w:lang w:val="es-ES" w:eastAsia="es-ES"/>
        </w:rPr>
      </w:pPr>
    </w:p>
    <w:p w14:paraId="0DD12024" w14:textId="77777777" w:rsidR="00194A82" w:rsidRPr="00A45046" w:rsidRDefault="00194A82" w:rsidP="00194A82">
      <w:pPr>
        <w:shd w:val="clear" w:color="auto" w:fill="FFFFFF"/>
        <w:ind w:left="709" w:right="758"/>
        <w:jc w:val="both"/>
        <w:textAlignment w:val="baseline"/>
        <w:rPr>
          <w:rFonts w:ascii="Verdana" w:eastAsia="Times New Roman" w:hAnsi="Verdana" w:cs="Calibri"/>
          <w:color w:val="000000"/>
          <w:sz w:val="20"/>
          <w:szCs w:val="20"/>
          <w:lang w:eastAsia="es-CO"/>
        </w:rPr>
      </w:pPr>
      <w:r w:rsidRPr="00A45046">
        <w:rPr>
          <w:rFonts w:ascii="Verdana" w:eastAsia="Aptos" w:hAnsi="Verdana" w:cs="Helvetica"/>
          <w:color w:val="000000"/>
          <w:sz w:val="20"/>
          <w:szCs w:val="20"/>
          <w14:ligatures w14:val="standardContextual"/>
        </w:rPr>
        <w:t>“</w:t>
      </w:r>
      <w:r w:rsidRPr="00A45046">
        <w:rPr>
          <w:rFonts w:ascii="Verdana" w:eastAsia="Times New Roman" w:hAnsi="Verdana" w:cs="Calibri"/>
          <w:color w:val="000000"/>
          <w:sz w:val="20"/>
          <w:szCs w:val="20"/>
          <w:lang w:eastAsia="es-CO"/>
        </w:rPr>
        <w:t>Solicitamos de manera muy respetuosa, se nos de claridad jurídica respecto a actuaciones de una alcaldía de Cundinamarca a lo que Respecta la Limitación a MiPymes en procesos de contratación pública. A </w:t>
      </w:r>
      <w:r w:rsidRPr="00A45046">
        <w:rPr>
          <w:rFonts w:ascii="Verdana" w:eastAsia="Times New Roman" w:hAnsi="Verdana" w:cs="Calibri"/>
          <w:b/>
          <w:bCs/>
          <w:color w:val="000000"/>
          <w:sz w:val="20"/>
          <w:szCs w:val="20"/>
          <w:u w:val="single"/>
          <w:lang w:eastAsia="es-CO"/>
        </w:rPr>
        <w:t>modo de ejemplo</w:t>
      </w:r>
      <w:r w:rsidRPr="00A45046">
        <w:rPr>
          <w:rFonts w:ascii="Verdana" w:eastAsia="Times New Roman" w:hAnsi="Verdana" w:cs="Calibri"/>
          <w:color w:val="000000"/>
          <w:sz w:val="20"/>
          <w:szCs w:val="20"/>
          <w:lang w:eastAsia="es-CO"/>
        </w:rPr>
        <w:t>, el siguiente caso:</w:t>
      </w:r>
    </w:p>
    <w:p w14:paraId="2ACAB170" w14:textId="77777777" w:rsidR="00194A82" w:rsidRPr="00A45046" w:rsidRDefault="00194A82" w:rsidP="00194A82">
      <w:pPr>
        <w:shd w:val="clear" w:color="auto" w:fill="FFFFFF"/>
        <w:spacing w:after="0" w:line="240" w:lineRule="auto"/>
        <w:ind w:left="709" w:right="758"/>
        <w:jc w:val="both"/>
        <w:textAlignment w:val="baseline"/>
        <w:rPr>
          <w:rFonts w:ascii="Verdana" w:eastAsia="Times New Roman" w:hAnsi="Verdana" w:cs="Calibri"/>
          <w:color w:val="000000"/>
          <w:sz w:val="20"/>
          <w:szCs w:val="20"/>
          <w:lang w:eastAsia="es-CO"/>
        </w:rPr>
      </w:pPr>
    </w:p>
    <w:p w14:paraId="3D05DD8B" w14:textId="77777777" w:rsidR="00194A82" w:rsidRPr="00A45046" w:rsidRDefault="00194A82" w:rsidP="00194A82">
      <w:pPr>
        <w:shd w:val="clear" w:color="auto" w:fill="FFFFFF"/>
        <w:spacing w:after="0" w:line="240" w:lineRule="auto"/>
        <w:ind w:left="709" w:right="758"/>
        <w:jc w:val="both"/>
        <w:textAlignment w:val="baseline"/>
        <w:rPr>
          <w:rFonts w:ascii="Verdana" w:eastAsia="Times New Roman" w:hAnsi="Verdana" w:cs="Calibri"/>
          <w:color w:val="000000"/>
          <w:sz w:val="20"/>
          <w:szCs w:val="20"/>
          <w:lang w:eastAsia="es-CO"/>
        </w:rPr>
      </w:pPr>
      <w:r w:rsidRPr="00A45046">
        <w:rPr>
          <w:rFonts w:ascii="Verdana" w:eastAsia="Times New Roman" w:hAnsi="Verdana" w:cs="Calibri"/>
          <w:color w:val="000000"/>
          <w:sz w:val="20"/>
          <w:szCs w:val="20"/>
          <w:lang w:eastAsia="es-CO"/>
        </w:rPr>
        <w:t>"La Alcaldía municipal de Tausa (Cundinamarca), recibe dos (02) solicitudes de MiPymes territorial (Departamental) con el lleno de los requisitos legales, pero de manera expresa dentro de solicitudes resaltan la Limitación excluyendo la participación de empresas de la ciudad de Bogotá."</w:t>
      </w:r>
    </w:p>
    <w:p w14:paraId="2510FEC1" w14:textId="77777777" w:rsidR="00194A82" w:rsidRPr="00A45046" w:rsidRDefault="00194A82" w:rsidP="00194A82">
      <w:pPr>
        <w:shd w:val="clear" w:color="auto" w:fill="FFFFFF"/>
        <w:spacing w:after="0" w:line="240" w:lineRule="auto"/>
        <w:ind w:left="709" w:right="758"/>
        <w:jc w:val="both"/>
        <w:textAlignment w:val="baseline"/>
        <w:rPr>
          <w:rFonts w:ascii="Verdana" w:eastAsia="Times New Roman" w:hAnsi="Verdana" w:cs="Calibri"/>
          <w:color w:val="000000"/>
          <w:sz w:val="20"/>
          <w:szCs w:val="20"/>
          <w:lang w:eastAsia="es-CO"/>
        </w:rPr>
      </w:pPr>
    </w:p>
    <w:p w14:paraId="180A031D" w14:textId="77777777" w:rsidR="00194A82" w:rsidRPr="00A45046" w:rsidRDefault="00194A82" w:rsidP="00194A82">
      <w:pPr>
        <w:shd w:val="clear" w:color="auto" w:fill="FFFFFF"/>
        <w:spacing w:after="0" w:line="240" w:lineRule="auto"/>
        <w:ind w:left="709" w:right="758"/>
        <w:jc w:val="both"/>
        <w:textAlignment w:val="baseline"/>
        <w:rPr>
          <w:rFonts w:ascii="Verdana" w:eastAsia="Times New Roman" w:hAnsi="Verdana" w:cs="Calibri"/>
          <w:color w:val="000000"/>
          <w:sz w:val="20"/>
          <w:szCs w:val="20"/>
          <w:lang w:eastAsia="es-CO"/>
        </w:rPr>
      </w:pPr>
      <w:proofErr w:type="gramStart"/>
      <w:r w:rsidRPr="00A45046">
        <w:rPr>
          <w:rFonts w:ascii="Verdana" w:eastAsia="Times New Roman" w:hAnsi="Verdana" w:cs="Calibri"/>
          <w:color w:val="000000"/>
          <w:sz w:val="20"/>
          <w:szCs w:val="20"/>
          <w:lang w:eastAsia="es-CO"/>
        </w:rPr>
        <w:t>Las dudas a aclarar</w:t>
      </w:r>
      <w:proofErr w:type="gramEnd"/>
      <w:r w:rsidRPr="00A45046">
        <w:rPr>
          <w:rFonts w:ascii="Verdana" w:eastAsia="Times New Roman" w:hAnsi="Verdana" w:cs="Calibri"/>
          <w:color w:val="000000"/>
          <w:sz w:val="20"/>
          <w:szCs w:val="20"/>
          <w:lang w:eastAsia="es-CO"/>
        </w:rPr>
        <w:t xml:space="preserve"> con este ejemplo son las siguientes:</w:t>
      </w:r>
    </w:p>
    <w:p w14:paraId="53263092" w14:textId="77777777" w:rsidR="00194A82" w:rsidRPr="00A45046" w:rsidRDefault="00194A82" w:rsidP="00194A82">
      <w:pPr>
        <w:shd w:val="clear" w:color="auto" w:fill="FFFFFF"/>
        <w:spacing w:after="0" w:line="240" w:lineRule="auto"/>
        <w:ind w:left="709" w:right="758"/>
        <w:jc w:val="both"/>
        <w:textAlignment w:val="baseline"/>
        <w:rPr>
          <w:rFonts w:ascii="Verdana" w:eastAsia="Times New Roman" w:hAnsi="Verdana" w:cs="Calibri"/>
          <w:color w:val="000000"/>
          <w:sz w:val="20"/>
          <w:szCs w:val="20"/>
          <w:lang w:eastAsia="es-CO"/>
        </w:rPr>
      </w:pPr>
    </w:p>
    <w:p w14:paraId="7B22445A" w14:textId="77777777" w:rsidR="00194A82" w:rsidRPr="00A45046" w:rsidRDefault="00194A82" w:rsidP="00194A82">
      <w:pPr>
        <w:numPr>
          <w:ilvl w:val="0"/>
          <w:numId w:val="22"/>
        </w:numPr>
        <w:shd w:val="clear" w:color="auto" w:fill="FFFFFF"/>
        <w:spacing w:after="0" w:line="240" w:lineRule="auto"/>
        <w:ind w:left="709" w:right="758" w:firstLine="0"/>
        <w:jc w:val="both"/>
        <w:textAlignment w:val="baseline"/>
        <w:rPr>
          <w:rFonts w:ascii="Verdana" w:eastAsia="Times New Roman" w:hAnsi="Verdana" w:cs="Calibri"/>
          <w:color w:val="000000"/>
          <w:sz w:val="20"/>
          <w:szCs w:val="20"/>
          <w:lang w:eastAsia="es-CO"/>
        </w:rPr>
      </w:pPr>
      <w:r w:rsidRPr="00A45046">
        <w:rPr>
          <w:rFonts w:ascii="Verdana" w:eastAsia="Times New Roman" w:hAnsi="Verdana" w:cs="Calibri"/>
          <w:color w:val="000000"/>
          <w:sz w:val="20"/>
          <w:szCs w:val="20"/>
          <w:lang w:eastAsia="es-CO"/>
        </w:rPr>
        <w:t>Es posible que excluyan a la ciudad de Bogotá, teniendo en cuenta que en el decreto 142 de 2023 y demás decretos reglamentarios no se evidencia una categoría de limitación diferente (Nacional, Departamental o Municipal)</w:t>
      </w:r>
    </w:p>
    <w:p w14:paraId="6CA51F70" w14:textId="77777777" w:rsidR="00194A82" w:rsidRPr="00A45046" w:rsidRDefault="00194A82" w:rsidP="00194A82">
      <w:pPr>
        <w:numPr>
          <w:ilvl w:val="0"/>
          <w:numId w:val="22"/>
        </w:numPr>
        <w:shd w:val="clear" w:color="auto" w:fill="FFFFFF"/>
        <w:spacing w:after="0" w:line="240" w:lineRule="auto"/>
        <w:ind w:left="709" w:right="758" w:firstLine="0"/>
        <w:jc w:val="both"/>
        <w:textAlignment w:val="baseline"/>
        <w:rPr>
          <w:rFonts w:ascii="Verdana" w:eastAsia="Times New Roman" w:hAnsi="Verdana" w:cs="Calibri"/>
          <w:color w:val="000000"/>
          <w:sz w:val="20"/>
          <w:szCs w:val="20"/>
          <w:lang w:eastAsia="es-CO"/>
        </w:rPr>
      </w:pPr>
      <w:proofErr w:type="gramStart"/>
      <w:r w:rsidRPr="00A45046">
        <w:rPr>
          <w:rFonts w:ascii="Verdana" w:eastAsia="Times New Roman" w:hAnsi="Verdana" w:cs="Calibri"/>
          <w:color w:val="000000"/>
          <w:sz w:val="20"/>
          <w:szCs w:val="20"/>
          <w:lang w:eastAsia="es-CO"/>
        </w:rPr>
        <w:t>Puede una alcaldía o cualquier entidad estatal crear una categoría diferente para realizar una Limitación a MiPymes?</w:t>
      </w:r>
      <w:proofErr w:type="gramEnd"/>
    </w:p>
    <w:p w14:paraId="15B3F783" w14:textId="77777777" w:rsidR="00194A82" w:rsidRPr="00A45046" w:rsidRDefault="00194A82" w:rsidP="00194A82">
      <w:pPr>
        <w:numPr>
          <w:ilvl w:val="0"/>
          <w:numId w:val="22"/>
        </w:numPr>
        <w:shd w:val="clear" w:color="auto" w:fill="FFFFFF"/>
        <w:spacing w:after="0" w:line="240" w:lineRule="auto"/>
        <w:ind w:left="709" w:right="758" w:firstLine="0"/>
        <w:jc w:val="both"/>
        <w:textAlignment w:val="baseline"/>
        <w:rPr>
          <w:rFonts w:ascii="Verdana" w:eastAsia="Times New Roman" w:hAnsi="Verdana" w:cs="Calibri"/>
          <w:color w:val="000000"/>
          <w:sz w:val="20"/>
          <w:szCs w:val="20"/>
          <w:lang w:eastAsia="es-CO"/>
        </w:rPr>
      </w:pPr>
      <w:proofErr w:type="gramStart"/>
      <w:r w:rsidRPr="00A45046">
        <w:rPr>
          <w:rFonts w:ascii="Verdana" w:eastAsia="Times New Roman" w:hAnsi="Verdana" w:cs="Calibri"/>
          <w:color w:val="000000"/>
          <w:sz w:val="20"/>
          <w:szCs w:val="20"/>
          <w:lang w:eastAsia="es-CO"/>
        </w:rPr>
        <w:t>La Alcaldía de Bogotá D.C., Cartagena D.T., entre otras, tienen algún tratamiento especial para la limitación a MiPymes?</w:t>
      </w:r>
      <w:proofErr w:type="gramEnd"/>
      <w:r w:rsidRPr="00A45046">
        <w:rPr>
          <w:rFonts w:ascii="Verdana" w:eastAsia="Aptos" w:hAnsi="Verdana" w:cs="Helvetica"/>
          <w:color w:val="000000"/>
          <w:sz w:val="20"/>
          <w:szCs w:val="20"/>
          <w14:ligatures w14:val="standardContextual"/>
        </w:rPr>
        <w:t>”</w:t>
      </w:r>
    </w:p>
    <w:p w14:paraId="342B1EC1" w14:textId="77777777" w:rsidR="00194A82" w:rsidRPr="001B3C5D" w:rsidRDefault="00194A82" w:rsidP="00194A82">
      <w:pPr>
        <w:spacing w:after="0" w:line="276" w:lineRule="auto"/>
        <w:jc w:val="both"/>
        <w:rPr>
          <w:rFonts w:ascii="Verdana" w:eastAsia="Calibri" w:hAnsi="Verdana" w:cs="Arial"/>
          <w:lang w:val="es-ES" w:eastAsia="es-ES"/>
        </w:rPr>
      </w:pPr>
    </w:p>
    <w:p w14:paraId="7547947F" w14:textId="77777777" w:rsidR="00194A82" w:rsidRPr="001B3C5D" w:rsidRDefault="00194A82" w:rsidP="00194A82">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618C9CA" w14:textId="77777777" w:rsidR="00194A82" w:rsidRPr="001B3C5D" w:rsidRDefault="00194A82" w:rsidP="00194A82">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10023BC1" w14:textId="77777777" w:rsidR="00194A82" w:rsidRPr="001B3C5D" w:rsidRDefault="00194A82" w:rsidP="00194A82">
      <w:pPr>
        <w:tabs>
          <w:tab w:val="left" w:pos="142"/>
          <w:tab w:val="left" w:pos="284"/>
        </w:tabs>
        <w:spacing w:after="0" w:line="276" w:lineRule="auto"/>
        <w:contextualSpacing/>
        <w:jc w:val="both"/>
        <w:rPr>
          <w:rFonts w:ascii="Verdana" w:eastAsia="Century Gothic" w:hAnsi="Verdana" w:cs="Century Gothic"/>
          <w:b/>
          <w:bCs/>
          <w:lang w:val="es-ES"/>
        </w:rPr>
      </w:pPr>
    </w:p>
    <w:p w14:paraId="40BB07C5" w14:textId="77777777" w:rsidR="00194A82" w:rsidRPr="001B3C5D" w:rsidRDefault="00194A82" w:rsidP="00194A82">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6225F44B" w14:textId="77777777" w:rsidR="00194A82" w:rsidRPr="001B3C5D" w:rsidRDefault="00194A82" w:rsidP="00194A82">
      <w:pPr>
        <w:tabs>
          <w:tab w:val="left" w:pos="426"/>
        </w:tabs>
        <w:spacing w:after="0" w:line="276" w:lineRule="auto"/>
        <w:jc w:val="both"/>
        <w:rPr>
          <w:rFonts w:ascii="Verdana" w:eastAsia="Century Gothic" w:hAnsi="Verdana" w:cs="Century Gothic"/>
          <w:lang w:val="es-ES"/>
        </w:rPr>
      </w:pPr>
    </w:p>
    <w:p w14:paraId="6519D861" w14:textId="77777777" w:rsidR="00194A82" w:rsidRPr="00F10D09" w:rsidRDefault="00194A82" w:rsidP="00194A82">
      <w:pPr>
        <w:spacing w:after="0" w:line="276" w:lineRule="auto"/>
        <w:jc w:val="both"/>
        <w:rPr>
          <w:rFonts w:ascii="Verdana" w:eastAsia="Century Gothic" w:hAnsi="Verdana" w:cs="Century Gothic"/>
        </w:rPr>
      </w:pPr>
      <w:r w:rsidRPr="001B3C5D">
        <w:rPr>
          <w:rFonts w:ascii="Verdana" w:eastAsia="Century Gothic" w:hAnsi="Verdana" w:cs="Century Gothic"/>
        </w:rPr>
        <w:lastRenderedPageBreak/>
        <w:t>De acuerdo con el contenido de su solicitud, esta Agencia resolverá los siguientes problemas jurídicos:</w:t>
      </w:r>
      <w:r>
        <w:rPr>
          <w:rFonts w:ascii="Verdana" w:eastAsia="Century Gothic" w:hAnsi="Verdana" w:cs="Century Gothic"/>
        </w:rPr>
        <w:t xml:space="preserve"> </w:t>
      </w:r>
      <w:proofErr w:type="gramStart"/>
      <w:r w:rsidRPr="00C661E5">
        <w:rPr>
          <w:rFonts w:ascii="Verdana" w:eastAsia="Century Gothic" w:hAnsi="Verdana" w:cs="Century Gothic"/>
        </w:rPr>
        <w:t>¿Cuá</w:t>
      </w:r>
      <w:r>
        <w:rPr>
          <w:rFonts w:ascii="Verdana" w:eastAsia="Century Gothic" w:hAnsi="Verdana" w:cs="Century Gothic"/>
        </w:rPr>
        <w:t>l es el alcance de</w:t>
      </w:r>
      <w:r w:rsidRPr="00C661E5">
        <w:rPr>
          <w:rFonts w:ascii="Verdana" w:eastAsia="Century Gothic" w:hAnsi="Verdana" w:cs="Century Gothic"/>
        </w:rPr>
        <w:t xml:space="preserve"> la limitación</w:t>
      </w:r>
      <w:r>
        <w:rPr>
          <w:rFonts w:ascii="Verdana" w:eastAsia="Century Gothic" w:hAnsi="Verdana" w:cs="Century Gothic"/>
        </w:rPr>
        <w:t xml:space="preserve"> a</w:t>
      </w:r>
      <w:r w:rsidRPr="00C661E5">
        <w:rPr>
          <w:rFonts w:ascii="Verdana" w:eastAsia="Century Gothic" w:hAnsi="Verdana" w:cs="Century Gothic"/>
        </w:rPr>
        <w:t xml:space="preserve"> MiPymes a nivel territorial en un proceso de </w:t>
      </w:r>
      <w:r>
        <w:rPr>
          <w:rFonts w:ascii="Verdana" w:eastAsia="Century Gothic" w:hAnsi="Verdana" w:cs="Century Gothic"/>
        </w:rPr>
        <w:t xml:space="preserve">contratación, de conformidad con lo previsto en el artículo </w:t>
      </w:r>
      <w:r w:rsidRPr="00864A48">
        <w:rPr>
          <w:rFonts w:ascii="Verdana" w:eastAsia="Century Gothic" w:hAnsi="Verdana" w:cs="Century Gothic"/>
        </w:rPr>
        <w:t>2.</w:t>
      </w:r>
      <w:proofErr w:type="gramEnd"/>
      <w:r w:rsidRPr="00864A48">
        <w:rPr>
          <w:rFonts w:ascii="Verdana" w:eastAsia="Century Gothic" w:hAnsi="Verdana" w:cs="Century Gothic"/>
        </w:rPr>
        <w:t>2.1.2.4.2.3 del Decreto 1082 de 2015, modificado por el Decreto 1860 de 2021</w:t>
      </w:r>
      <w:r w:rsidRPr="00C661E5">
        <w:rPr>
          <w:rFonts w:ascii="Verdana" w:eastAsia="Century Gothic" w:hAnsi="Verdana" w:cs="Century Gothic"/>
        </w:rPr>
        <w:t>?</w:t>
      </w:r>
    </w:p>
    <w:p w14:paraId="2B8EFA19" w14:textId="77777777" w:rsidR="00194A82" w:rsidRPr="001B3C5D" w:rsidRDefault="00194A82" w:rsidP="00194A82">
      <w:pPr>
        <w:spacing w:after="0" w:line="276" w:lineRule="auto"/>
        <w:jc w:val="both"/>
        <w:rPr>
          <w:rFonts w:ascii="Verdana" w:eastAsia="Century Gothic" w:hAnsi="Verdana" w:cs="Century Gothic"/>
          <w:lang w:val="es-ES_tradnl"/>
        </w:rPr>
      </w:pPr>
    </w:p>
    <w:p w14:paraId="271D6A66" w14:textId="77777777" w:rsidR="00194A82" w:rsidRPr="001B3C5D" w:rsidRDefault="00194A82" w:rsidP="00194A82">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w:t>
      </w:r>
    </w:p>
    <w:p w14:paraId="2E879250" w14:textId="77777777" w:rsidR="00194A82" w:rsidRPr="001B3C5D" w:rsidRDefault="00194A82" w:rsidP="00194A82">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94A82" w:rsidRPr="001B3C5D" w14:paraId="19191296" w14:textId="77777777" w:rsidTr="00873641">
        <w:trPr>
          <w:trHeight w:val="40"/>
        </w:trPr>
        <w:tc>
          <w:tcPr>
            <w:tcW w:w="8828" w:type="dxa"/>
            <w:tcBorders>
              <w:top w:val="dotted" w:sz="4" w:space="0" w:color="auto"/>
              <w:left w:val="dotted" w:sz="4" w:space="0" w:color="auto"/>
              <w:bottom w:val="dotted" w:sz="4" w:space="0" w:color="auto"/>
              <w:right w:val="dotted" w:sz="4" w:space="0" w:color="auto"/>
            </w:tcBorders>
          </w:tcPr>
          <w:p w14:paraId="2204D6F0" w14:textId="77777777" w:rsidR="00194A82" w:rsidRPr="005B1F06" w:rsidRDefault="00194A82" w:rsidP="00873641">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L</w:t>
            </w:r>
            <w:r w:rsidRPr="005B1F06">
              <w:rPr>
                <w:rFonts w:ascii="Verdana" w:eastAsia="Calibri" w:hAnsi="Verdana" w:cs="Arial"/>
                <w:color w:val="000000" w:themeColor="text1"/>
              </w:rPr>
              <w:t>a decisión de limitar territorialmente un</w:t>
            </w:r>
            <w:r w:rsidRPr="005B1F06">
              <w:rPr>
                <w:rFonts w:ascii="Verdana" w:hAnsi="Verdana" w:cs="Arial"/>
                <w:color w:val="000000" w:themeColor="text1"/>
              </w:rPr>
              <w:t xml:space="preserve">a convocatoria a MiPymes </w:t>
            </w:r>
            <w:r w:rsidRPr="005B1F06">
              <w:rPr>
                <w:rFonts w:ascii="Verdana" w:eastAsia="Calibri" w:hAnsi="Verdana" w:cs="Arial"/>
                <w:color w:val="000000" w:themeColor="text1"/>
              </w:rPr>
              <w:t xml:space="preserve">es discrecional de la entidad, sin embargo, la decisión debe estar justificada en los correspondientes “estudios del sector”. Lo anterior por cuanto el </w:t>
            </w:r>
            <w:r w:rsidRPr="005B1F06">
              <w:rPr>
                <w:rFonts w:ascii="Verdana" w:hAnsi="Verdana" w:cs="Arial"/>
                <w:color w:val="000000" w:themeColor="text1"/>
              </w:rPr>
              <w:t xml:space="preserve">artículo 2.2.1.2.4.2.3. del Decreto 1082 de 2015, indicó que las </w:t>
            </w:r>
            <w:proofErr w:type="spellStart"/>
            <w:r w:rsidRPr="005B1F06">
              <w:rPr>
                <w:rFonts w:ascii="Verdana" w:hAnsi="Verdana" w:cs="Arial"/>
                <w:color w:val="000000" w:themeColor="text1"/>
              </w:rPr>
              <w:t>Mipymes</w:t>
            </w:r>
            <w:proofErr w:type="spellEnd"/>
            <w:r w:rsidRPr="005B1F06">
              <w:rPr>
                <w:rFonts w:ascii="Verdana" w:eastAsia="Calibri" w:hAnsi="Verdana" w:cs="Arial"/>
                <w:color w:val="000000" w:themeColor="text1"/>
              </w:rPr>
              <w:t xml:space="preserve"> beneficiadas deben tener su domicilio principal en el municipio o departamento donde se ejecutará el contrato para poder participar en una convocatoria limitada territorialmente.</w:t>
            </w:r>
            <w:r w:rsidRPr="005B1F06">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2EB680CB" w14:textId="77777777" w:rsidR="00194A82" w:rsidRPr="005B1F06" w:rsidRDefault="00194A82" w:rsidP="00873641">
            <w:pPr>
              <w:spacing w:after="120" w:line="276" w:lineRule="auto"/>
              <w:ind w:firstLine="709"/>
              <w:jc w:val="both"/>
              <w:rPr>
                <w:rFonts w:ascii="Verdana" w:eastAsia="Calibri" w:hAnsi="Verdana" w:cs="Arial"/>
                <w:color w:val="000000" w:themeColor="text1"/>
              </w:rPr>
            </w:pPr>
            <w:r w:rsidRPr="005B1F06">
              <w:rPr>
                <w:rFonts w:ascii="Verdana" w:hAnsi="Verdana" w:cs="Arial"/>
                <w:color w:val="000000" w:themeColor="text1"/>
              </w:rPr>
              <w:t>En tal sentido, s</w:t>
            </w:r>
            <w:r w:rsidRPr="005B1F06">
              <w:rPr>
                <w:rFonts w:ascii="Verdana" w:eastAsia="Calibri" w:hAnsi="Verdana" w:cs="Arial"/>
                <w:color w:val="000000" w:themeColor="text1"/>
              </w:rPr>
              <w:t>e debe tener presente que lo que sucede de pleno derecho es la</w:t>
            </w:r>
            <w:r w:rsidRPr="005B1F06">
              <w:rPr>
                <w:rFonts w:ascii="Verdana" w:hAnsi="Verdana" w:cs="Arial"/>
                <w:color w:val="000000" w:themeColor="text1"/>
              </w:rPr>
              <w:t xml:space="preserve"> limitación a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a la que se refiere el artículo 2.2.1.2.4.2.2. del Decreto 1082 de 2015, pero no la “limitación territorial” referida en el artículo 2.2.1.2.4.2.3. </w:t>
            </w:r>
            <w:proofErr w:type="spellStart"/>
            <w:r w:rsidRPr="005B1F06">
              <w:rPr>
                <w:rFonts w:ascii="Verdana" w:eastAsia="Calibri" w:hAnsi="Verdana" w:cs="Arial"/>
                <w:i/>
                <w:iCs/>
                <w:color w:val="000000" w:themeColor="text1"/>
              </w:rPr>
              <w:t>ibídem</w:t>
            </w:r>
            <w:proofErr w:type="spellEnd"/>
            <w:r w:rsidRPr="005B1F06">
              <w:rPr>
                <w:rFonts w:ascii="Verdana" w:eastAsia="Calibri" w:hAnsi="Verdana" w:cs="Arial"/>
                <w:color w:val="000000" w:themeColor="text1"/>
              </w:rPr>
              <w:t>, pues esta, como ya se dijo, es facultativa para la entidad. Las únicas exigencias son: i) que la convocatoria esté l</w:t>
            </w:r>
            <w:r w:rsidRPr="005B1F06">
              <w:rPr>
                <w:rFonts w:ascii="Verdana" w:hAnsi="Verdana" w:cs="Arial"/>
                <w:color w:val="000000" w:themeColor="text1"/>
              </w:rPr>
              <w:t xml:space="preserve">imitada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“domiciliadas en los departamentos o municipios en donde se va a ejecutar el contrato” y </w:t>
            </w:r>
            <w:proofErr w:type="spellStart"/>
            <w:r w:rsidRPr="005B1F06">
              <w:rPr>
                <w:rFonts w:ascii="Verdana" w:eastAsia="Calibri" w:hAnsi="Verdana" w:cs="Arial"/>
                <w:color w:val="000000" w:themeColor="text1"/>
              </w:rPr>
              <w:t>ii</w:t>
            </w:r>
            <w:proofErr w:type="spellEnd"/>
            <w:r w:rsidRPr="005B1F06">
              <w:rPr>
                <w:rFonts w:ascii="Verdana" w:eastAsia="Calibri" w:hAnsi="Verdana" w:cs="Arial"/>
                <w:color w:val="000000" w:themeColor="text1"/>
              </w:rPr>
              <w:t xml:space="preserve">) que la entidad justifique su decisión en los “estudios del sector”. No es procedente, entonces, que sean las </w:t>
            </w:r>
            <w:proofErr w:type="spellStart"/>
            <w:r w:rsidRPr="005B1F06">
              <w:rPr>
                <w:rFonts w:ascii="Verdana" w:eastAsia="Calibri" w:hAnsi="Verdana" w:cs="Arial"/>
                <w:color w:val="000000" w:themeColor="text1"/>
              </w:rPr>
              <w:t>Mipymes</w:t>
            </w:r>
            <w:proofErr w:type="spellEnd"/>
            <w:r w:rsidRPr="005B1F06">
              <w:rPr>
                <w:rFonts w:ascii="Verdana" w:eastAsia="Calibri" w:hAnsi="Verdana" w:cs="Arial"/>
                <w:color w:val="000000" w:themeColor="text1"/>
              </w:rPr>
              <w:t xml:space="preserve"> las que soliciten la “limitación territorial” a la que se refiere el artículo 2.2.1.2.4.2.3. del Decreto 1082 de 2015. </w:t>
            </w:r>
          </w:p>
          <w:p w14:paraId="2A77A9CA" w14:textId="77777777" w:rsidR="00194A82" w:rsidRDefault="00194A82" w:rsidP="00873641">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Al respecto, </w:t>
            </w:r>
            <w:r w:rsidRPr="005A75AB">
              <w:rPr>
                <w:rFonts w:ascii="Verdana" w:eastAsia="Calibri" w:hAnsi="Verdana" w:cs="Arial"/>
                <w:lang w:val="es-ES"/>
              </w:rPr>
              <w:t xml:space="preserve">es preciso advertir que, el ejercicio de la facultad discrecional en orden de aplicar la limitación territorial en favor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con domicilio en un municipio </w:t>
            </w:r>
            <w:r>
              <w:rPr>
                <w:rFonts w:ascii="Verdana" w:eastAsia="Calibri" w:hAnsi="Verdana" w:cs="Arial"/>
                <w:lang w:val="es-ES"/>
              </w:rPr>
              <w:t xml:space="preserve">o </w:t>
            </w:r>
            <w:r w:rsidRPr="005A75AB">
              <w:rPr>
                <w:rFonts w:ascii="Verdana" w:eastAsia="Calibri" w:hAnsi="Verdana" w:cs="Arial"/>
                <w:lang w:val="es-ES"/>
              </w:rPr>
              <w:t xml:space="preserve">en un departamento específico debe hacerse dentro del marco de lo regulado por el artículo 2.2.1.2.4.2.3 </w:t>
            </w:r>
            <w:proofErr w:type="spellStart"/>
            <w:r w:rsidRPr="005A75AB">
              <w:rPr>
                <w:rFonts w:ascii="Verdana" w:eastAsia="Calibri" w:hAnsi="Verdana" w:cs="Arial"/>
                <w:i/>
                <w:iCs/>
                <w:lang w:val="es-ES"/>
              </w:rPr>
              <w:t>ejusdem</w:t>
            </w:r>
            <w:proofErr w:type="spellEnd"/>
            <w:r w:rsidRPr="005A75AB">
              <w:rPr>
                <w:rFonts w:ascii="Verdana" w:eastAsia="Calibri" w:hAnsi="Verdana" w:cs="Arial"/>
                <w:lang w:val="es-ES"/>
              </w:rPr>
              <w:t xml:space="preserve">, el cual establece como presupuesto que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tengan su domicilio en el lugar en donde se va a ejecutar el contrato. Esto significa que, en el marco de estas </w:t>
            </w:r>
            <w:r w:rsidRPr="005A75AB">
              <w:rPr>
                <w:rFonts w:ascii="Verdana" w:eastAsia="Calibri" w:hAnsi="Verdana" w:cs="Arial"/>
                <w:lang w:val="es-ES"/>
              </w:rPr>
              <w:lastRenderedPageBreak/>
              <w:t xml:space="preserve">convocatorias, la exigibilidad de que el domicilio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se ubique en un único municipio en particular o en alguno de los municipios que conforman un departamento en concreto, está ligada al ámbito territorial en el que se va a desarrollar el objeto contractual. </w:t>
            </w:r>
          </w:p>
          <w:p w14:paraId="4BB96D25" w14:textId="77777777" w:rsidR="00194A82" w:rsidRPr="005A75AB" w:rsidRDefault="00194A82" w:rsidP="00873641">
            <w:pPr>
              <w:spacing w:after="120" w:line="276" w:lineRule="auto"/>
              <w:ind w:firstLine="708"/>
              <w:jc w:val="both"/>
              <w:rPr>
                <w:rFonts w:ascii="Verdana" w:eastAsia="Calibri" w:hAnsi="Verdana" w:cs="Arial"/>
                <w:lang w:val="es-ES"/>
              </w:rPr>
            </w:pPr>
            <w:r w:rsidRPr="005A75AB">
              <w:rPr>
                <w:rFonts w:ascii="Verdana" w:eastAsia="Calibri" w:hAnsi="Verdana" w:cs="Arial"/>
                <w:lang w:val="es-ES"/>
              </w:rPr>
              <w:t xml:space="preserve">De este modo, en el caso de un contrato que se va a ejecutar en su totalidad dentro del territorio de un municipio, la limitación territorial debe aplicarse en favor de las </w:t>
            </w:r>
            <w:proofErr w:type="spellStart"/>
            <w:r w:rsidRPr="005A75AB">
              <w:rPr>
                <w:rFonts w:ascii="Verdana" w:eastAsia="Calibri" w:hAnsi="Verdana" w:cs="Arial"/>
                <w:lang w:val="es-ES"/>
              </w:rPr>
              <w:t>Mipyme</w:t>
            </w:r>
            <w:proofErr w:type="spellEnd"/>
            <w:r w:rsidRPr="005A75AB">
              <w:rPr>
                <w:rFonts w:ascii="Verdana" w:eastAsia="Calibri" w:hAnsi="Verdana" w:cs="Arial"/>
                <w:lang w:val="es-ES"/>
              </w:rPr>
              <w:t xml:space="preserv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239CF837" w14:textId="77777777" w:rsidR="00194A82" w:rsidRPr="004147BC" w:rsidRDefault="00194A82" w:rsidP="00873641">
            <w:pPr>
              <w:spacing w:after="120" w:line="276" w:lineRule="auto"/>
              <w:ind w:firstLine="708"/>
              <w:jc w:val="both"/>
              <w:rPr>
                <w:rFonts w:ascii="Verdana" w:eastAsia="Calibri" w:hAnsi="Verdana" w:cs="Arial"/>
                <w:lang w:val="es-ES"/>
              </w:rPr>
            </w:pPr>
            <w:r w:rsidRPr="004147BC">
              <w:rPr>
                <w:rFonts w:ascii="Verdana" w:eastAsia="Calibri" w:hAnsi="Verdana" w:cs="Arial"/>
                <w:lang w:val="es-ES"/>
              </w:rPr>
              <w:t xml:space="preserve">En este contexto, y de acuerdo con el objeto de la consulta, si bien la limitación territorial prevista en el artículo 2.2.1.2.4.2.3 del Decreto 1082 de 2015 faculta a las entidades estatales para </w:t>
            </w:r>
            <w:r>
              <w:rPr>
                <w:rFonts w:ascii="Verdana" w:eastAsia="Calibri" w:hAnsi="Verdana" w:cs="Arial"/>
                <w:lang w:val="es-ES"/>
              </w:rPr>
              <w:t>limitar</w:t>
            </w:r>
            <w:r w:rsidRPr="004147BC">
              <w:rPr>
                <w:rFonts w:ascii="Verdana" w:eastAsia="Calibri" w:hAnsi="Verdana" w:cs="Arial"/>
                <w:lang w:val="es-ES"/>
              </w:rPr>
              <w:t xml:space="preserve"> la convocatoria a</w:t>
            </w:r>
            <w:r>
              <w:rPr>
                <w:rFonts w:ascii="Verdana" w:eastAsia="Calibri" w:hAnsi="Verdana" w:cs="Arial"/>
                <w:lang w:val="es-ES"/>
              </w:rPr>
              <w:t xml:space="preserve"> las</w:t>
            </w:r>
            <w:r w:rsidRPr="004147BC">
              <w:rPr>
                <w:rFonts w:ascii="Verdana" w:eastAsia="Calibri" w:hAnsi="Verdana" w:cs="Arial"/>
                <w:lang w:val="es-ES"/>
              </w:rPr>
              <w:t xml:space="preserve"> </w:t>
            </w:r>
            <w:proofErr w:type="spellStart"/>
            <w:r>
              <w:rPr>
                <w:rFonts w:ascii="Verdana" w:eastAsia="Calibri" w:hAnsi="Verdana" w:cs="Arial"/>
                <w:lang w:val="es-ES"/>
              </w:rPr>
              <w:t>M</w:t>
            </w:r>
            <w:r w:rsidRPr="004147BC">
              <w:rPr>
                <w:rFonts w:ascii="Verdana" w:eastAsia="Calibri" w:hAnsi="Verdana" w:cs="Arial"/>
                <w:lang w:val="es-ES"/>
              </w:rPr>
              <w:t>ipyme</w:t>
            </w:r>
            <w:r>
              <w:rPr>
                <w:rFonts w:ascii="Verdana" w:eastAsia="Calibri" w:hAnsi="Verdana" w:cs="Arial"/>
                <w:lang w:val="es-ES"/>
              </w:rPr>
              <w:t>s</w:t>
            </w:r>
            <w:proofErr w:type="spellEnd"/>
            <w:r w:rsidRPr="004147BC">
              <w:rPr>
                <w:rFonts w:ascii="Verdana" w:eastAsia="Calibri" w:hAnsi="Verdana" w:cs="Arial"/>
                <w:lang w:val="es-ES"/>
              </w:rPr>
              <w:t xml:space="preserve"> domiciliadas en un determinado municipio o departamento, dicha potestad no puede interpretarse de manera discrecional. La habilitación normativa responde a un criterio objetivo y funcional relacionado con el lugar de ejecución del objeto contractual, de modo que la delimitación territorial debe guardar correspondencia directa con el ámbito geográfico en el que se desarrollará el contrato.</w:t>
            </w:r>
          </w:p>
          <w:p w14:paraId="57EB0C4D" w14:textId="77777777" w:rsidR="00194A82" w:rsidRDefault="00194A82" w:rsidP="00873641">
            <w:pPr>
              <w:spacing w:after="120" w:line="276" w:lineRule="auto"/>
              <w:ind w:firstLine="708"/>
              <w:jc w:val="both"/>
              <w:rPr>
                <w:rFonts w:ascii="Verdana" w:eastAsia="Calibri" w:hAnsi="Verdana" w:cs="Arial"/>
                <w:lang w:val="es-ES"/>
              </w:rPr>
            </w:pPr>
            <w:r w:rsidRPr="004147BC">
              <w:rPr>
                <w:rFonts w:ascii="Verdana" w:eastAsia="Calibri" w:hAnsi="Verdana" w:cs="Arial"/>
                <w:lang w:val="es-ES"/>
              </w:rPr>
              <w:t xml:space="preserve">En consecuencia, aunque la disposición admite una </w:t>
            </w:r>
            <w:r>
              <w:rPr>
                <w:rFonts w:ascii="Verdana" w:eastAsia="Calibri" w:hAnsi="Verdana" w:cs="Arial"/>
                <w:lang w:val="es-ES"/>
              </w:rPr>
              <w:t>limitación</w:t>
            </w:r>
            <w:r w:rsidRPr="004147BC">
              <w:rPr>
                <w:rFonts w:ascii="Verdana" w:eastAsia="Calibri" w:hAnsi="Verdana" w:cs="Arial"/>
                <w:lang w:val="es-ES"/>
              </w:rPr>
              <w:t xml:space="preserve"> indirecta a la participación</w:t>
            </w:r>
            <w:r>
              <w:rPr>
                <w:rFonts w:ascii="Verdana" w:eastAsia="Calibri" w:hAnsi="Verdana" w:cs="Arial"/>
                <w:lang w:val="es-ES"/>
              </w:rPr>
              <w:t xml:space="preserve">, </w:t>
            </w:r>
            <w:r w:rsidRPr="004147BC">
              <w:rPr>
                <w:rFonts w:ascii="Verdana" w:eastAsia="Calibri" w:hAnsi="Verdana" w:cs="Arial"/>
                <w:lang w:val="es-ES"/>
              </w:rPr>
              <w:t xml:space="preserve">en tanto únicamente podrán concurrir las </w:t>
            </w:r>
            <w:proofErr w:type="spellStart"/>
            <w:r>
              <w:rPr>
                <w:rFonts w:ascii="Verdana" w:eastAsia="Calibri" w:hAnsi="Verdana" w:cs="Arial"/>
                <w:lang w:val="es-ES"/>
              </w:rPr>
              <w:t>M</w:t>
            </w:r>
            <w:r w:rsidRPr="004147BC">
              <w:rPr>
                <w:rFonts w:ascii="Verdana" w:eastAsia="Calibri" w:hAnsi="Verdana" w:cs="Arial"/>
                <w:lang w:val="es-ES"/>
              </w:rPr>
              <w:t>ipymes</w:t>
            </w:r>
            <w:proofErr w:type="spellEnd"/>
            <w:r w:rsidRPr="004147BC">
              <w:rPr>
                <w:rFonts w:ascii="Verdana" w:eastAsia="Calibri" w:hAnsi="Verdana" w:cs="Arial"/>
                <w:lang w:val="es-ES"/>
              </w:rPr>
              <w:t xml:space="preserve"> domiciliadas en </w:t>
            </w:r>
            <w:r>
              <w:rPr>
                <w:rFonts w:ascii="Verdana" w:eastAsia="Calibri" w:hAnsi="Verdana" w:cs="Arial"/>
                <w:lang w:val="es-ES"/>
              </w:rPr>
              <w:t>el</w:t>
            </w:r>
            <w:r w:rsidRPr="004147BC">
              <w:rPr>
                <w:rFonts w:ascii="Verdana" w:eastAsia="Calibri" w:hAnsi="Verdana" w:cs="Arial"/>
                <w:lang w:val="es-ES"/>
              </w:rPr>
              <w:t xml:space="preserve"> respectiv</w:t>
            </w:r>
            <w:r>
              <w:rPr>
                <w:rFonts w:ascii="Verdana" w:eastAsia="Calibri" w:hAnsi="Verdana" w:cs="Arial"/>
                <w:lang w:val="es-ES"/>
              </w:rPr>
              <w:t>o departamento o municipio en donde se ejecutará el contrato</w:t>
            </w:r>
            <w:r w:rsidRPr="004147BC">
              <w:rPr>
                <w:rFonts w:ascii="Verdana" w:eastAsia="Calibri" w:hAnsi="Verdana" w:cs="Arial"/>
                <w:lang w:val="es-ES"/>
              </w:rPr>
              <w:t xml:space="preserve">, ello no significa que la entidad estatal pueda </w:t>
            </w:r>
            <w:r>
              <w:rPr>
                <w:rFonts w:ascii="Verdana" w:eastAsia="Calibri" w:hAnsi="Verdana" w:cs="Arial"/>
                <w:lang w:val="es-ES"/>
              </w:rPr>
              <w:t>establecer</w:t>
            </w:r>
            <w:r w:rsidRPr="004147BC">
              <w:rPr>
                <w:rFonts w:ascii="Verdana" w:eastAsia="Calibri" w:hAnsi="Verdana" w:cs="Arial"/>
                <w:lang w:val="es-ES"/>
              </w:rPr>
              <w:t xml:space="preserve"> limitaciones orientadas a excluir selectivamente determinados municipios o zonas específicas</w:t>
            </w:r>
            <w:r>
              <w:rPr>
                <w:rFonts w:ascii="Verdana" w:eastAsia="Calibri" w:hAnsi="Verdana" w:cs="Arial"/>
                <w:lang w:val="es-ES"/>
              </w:rPr>
              <w:t xml:space="preserve"> si estos hacen parte del respectivo departamento y del lugar ejecución del contrato. L</w:t>
            </w:r>
            <w:r w:rsidRPr="004147BC">
              <w:rPr>
                <w:rFonts w:ascii="Verdana" w:eastAsia="Calibri" w:hAnsi="Verdana" w:cs="Arial"/>
                <w:lang w:val="es-ES"/>
              </w:rPr>
              <w:t xml:space="preserve">a </w:t>
            </w:r>
            <w:r>
              <w:rPr>
                <w:rFonts w:ascii="Verdana" w:eastAsia="Calibri" w:hAnsi="Verdana" w:cs="Arial"/>
                <w:lang w:val="es-ES"/>
              </w:rPr>
              <w:t>norma</w:t>
            </w:r>
            <w:r w:rsidRPr="004147BC">
              <w:rPr>
                <w:rFonts w:ascii="Verdana" w:eastAsia="Calibri" w:hAnsi="Verdana" w:cs="Arial"/>
                <w:lang w:val="es-ES"/>
              </w:rPr>
              <w:t xml:space="preserve"> no contempla la posibilidad de establecer exclusiones territoriales fragmentadas o diferenciadas con fundamento en criterios distintos al lugar de ejecución contractual.</w:t>
            </w:r>
            <w:r>
              <w:rPr>
                <w:rFonts w:ascii="Verdana" w:eastAsia="Calibri" w:hAnsi="Verdana" w:cs="Arial"/>
                <w:lang w:val="es-ES"/>
              </w:rPr>
              <w:t xml:space="preserve"> L</w:t>
            </w:r>
            <w:r w:rsidRPr="004147BC">
              <w:rPr>
                <w:rFonts w:ascii="Verdana" w:eastAsia="Calibri" w:hAnsi="Verdana" w:cs="Arial"/>
                <w:lang w:val="es-ES"/>
              </w:rPr>
              <w:t xml:space="preserve">o contrario implicaría admitir que la entidad contratante puede introducir </w:t>
            </w:r>
            <w:r>
              <w:rPr>
                <w:rFonts w:ascii="Verdana" w:eastAsia="Calibri" w:hAnsi="Verdana" w:cs="Arial"/>
                <w:lang w:val="es-ES"/>
              </w:rPr>
              <w:t xml:space="preserve">limitaciones a </w:t>
            </w:r>
            <w:r>
              <w:rPr>
                <w:rFonts w:ascii="Verdana" w:eastAsia="Calibri" w:hAnsi="Verdana" w:cs="Arial"/>
                <w:lang w:val="es-ES"/>
              </w:rPr>
              <w:lastRenderedPageBreak/>
              <w:t xml:space="preserve">convocatorias </w:t>
            </w:r>
            <w:r w:rsidRPr="004147BC">
              <w:rPr>
                <w:rFonts w:ascii="Verdana" w:eastAsia="Calibri" w:hAnsi="Verdana" w:cs="Arial"/>
                <w:lang w:val="es-ES"/>
              </w:rPr>
              <w:t>no previstas por el legislador, afectando los principios de igualdad, libre concurrencia y selección objetiva.</w:t>
            </w:r>
            <w:r>
              <w:rPr>
                <w:rFonts w:ascii="Verdana" w:eastAsia="Calibri" w:hAnsi="Verdana" w:cs="Arial"/>
                <w:lang w:val="es-ES"/>
              </w:rPr>
              <w:t xml:space="preserve"> </w:t>
            </w:r>
          </w:p>
          <w:p w14:paraId="6F43DA42" w14:textId="77777777" w:rsidR="00194A82" w:rsidRPr="009F34DC" w:rsidRDefault="00194A82" w:rsidP="00873641">
            <w:pPr>
              <w:spacing w:after="120" w:line="276" w:lineRule="auto"/>
              <w:ind w:firstLine="708"/>
              <w:jc w:val="both"/>
              <w:rPr>
                <w:rFonts w:ascii="Verdana" w:eastAsia="Calibri" w:hAnsi="Verdana" w:cs="Arial"/>
              </w:rPr>
            </w:pPr>
            <w:r w:rsidRPr="004147BC">
              <w:rPr>
                <w:rFonts w:ascii="Verdana" w:eastAsia="Calibri" w:hAnsi="Verdana" w:cs="Arial"/>
                <w:lang w:val="es-ES"/>
              </w:rPr>
              <w:t xml:space="preserve">Así las cosas, una decisión orientada a excluir un municipio en particular, pese a encontrarse comprendido dentro del ámbito territorial relacionado con la ejecución del objeto contractual, desbordaría </w:t>
            </w:r>
            <w:r>
              <w:rPr>
                <w:rFonts w:ascii="Verdana" w:eastAsia="Calibri" w:hAnsi="Verdana" w:cs="Arial"/>
                <w:lang w:val="es-ES"/>
              </w:rPr>
              <w:t>la finalidad</w:t>
            </w:r>
            <w:r w:rsidRPr="004147BC">
              <w:rPr>
                <w:rFonts w:ascii="Verdana" w:eastAsia="Calibri" w:hAnsi="Verdana" w:cs="Arial"/>
                <w:lang w:val="es-ES"/>
              </w:rPr>
              <w:t xml:space="preserve"> establecid</w:t>
            </w:r>
            <w:r>
              <w:rPr>
                <w:rFonts w:ascii="Verdana" w:eastAsia="Calibri" w:hAnsi="Verdana" w:cs="Arial"/>
                <w:lang w:val="es-ES"/>
              </w:rPr>
              <w:t>a</w:t>
            </w:r>
            <w:r w:rsidRPr="004147BC">
              <w:rPr>
                <w:rFonts w:ascii="Verdana" w:eastAsia="Calibri" w:hAnsi="Verdana" w:cs="Arial"/>
                <w:lang w:val="es-ES"/>
              </w:rPr>
              <w:t xml:space="preserve"> en el </w:t>
            </w:r>
            <w:r>
              <w:rPr>
                <w:rFonts w:ascii="Verdana" w:eastAsia="Calibri" w:hAnsi="Verdana" w:cs="Arial"/>
                <w:lang w:val="es-ES"/>
              </w:rPr>
              <w:t xml:space="preserve">artículo </w:t>
            </w:r>
            <w:r w:rsidRPr="004147BC">
              <w:rPr>
                <w:rFonts w:ascii="Verdana" w:eastAsia="Calibri" w:hAnsi="Verdana" w:cs="Arial"/>
                <w:lang w:val="es-ES"/>
              </w:rPr>
              <w:t>2.2.1.2.4.2.3 del Decreto 1082 de 2015. Ello, por cuanto la determinación dejaría de sustentarse en el criterio principal previsto por la norma</w:t>
            </w:r>
            <w:r>
              <w:rPr>
                <w:rFonts w:ascii="Verdana" w:eastAsia="Calibri" w:hAnsi="Verdana" w:cs="Arial"/>
                <w:lang w:val="es-ES"/>
              </w:rPr>
              <w:t xml:space="preserve">, </w:t>
            </w:r>
            <w:r w:rsidRPr="004147BC">
              <w:rPr>
                <w:rFonts w:ascii="Verdana" w:eastAsia="Calibri" w:hAnsi="Verdana" w:cs="Arial"/>
                <w:lang w:val="es-ES"/>
              </w:rPr>
              <w:t>esto es, el lugar de ejecución del contrato</w:t>
            </w:r>
            <w:r>
              <w:rPr>
                <w:rFonts w:ascii="Verdana" w:eastAsia="Calibri" w:hAnsi="Verdana" w:cs="Arial"/>
                <w:lang w:val="es-ES"/>
              </w:rPr>
              <w:t>,</w:t>
            </w:r>
            <w:r w:rsidRPr="004147BC">
              <w:rPr>
                <w:rFonts w:ascii="Verdana" w:eastAsia="Calibri" w:hAnsi="Verdana" w:cs="Arial"/>
                <w:lang w:val="es-ES"/>
              </w:rPr>
              <w:t xml:space="preserve"> para apoyarse en consideraciones ajenas a la finalidad de la medida, lo que podría comprometer la legalidad de la actuación administrativa y la validez de las reglas del proceso de selección.</w:t>
            </w:r>
            <w:r>
              <w:rPr>
                <w:rFonts w:ascii="Verdana" w:eastAsia="Calibri" w:hAnsi="Verdana" w:cs="Arial"/>
                <w:lang w:val="es-ES"/>
              </w:rPr>
              <w:t xml:space="preserve"> </w:t>
            </w:r>
            <w:r>
              <w:rPr>
                <w:rFonts w:ascii="Verdana" w:eastAsia="Calibri" w:hAnsi="Verdana" w:cs="Arial"/>
              </w:rPr>
              <w:t>Por tanto</w:t>
            </w:r>
            <w:r w:rsidRPr="000D7AB3">
              <w:rPr>
                <w:rFonts w:ascii="Verdana" w:eastAsia="Calibri" w:hAnsi="Verdana" w:cs="Arial"/>
              </w:rPr>
              <w:t xml:space="preserve">, la decisión de aplicar una limitación territorial debe basarse en criterios técnicos que demuestren que tal medida contribuye efectivamente a los fines de promoción empresarial y desarrollo regional previstos en </w:t>
            </w:r>
            <w:r>
              <w:rPr>
                <w:rFonts w:ascii="Verdana" w:eastAsia="Calibri" w:hAnsi="Verdana" w:cs="Arial"/>
              </w:rPr>
              <w:t>el ordenamiento jurídico</w:t>
            </w:r>
            <w:r w:rsidRPr="000D7AB3">
              <w:rPr>
                <w:rFonts w:ascii="Verdana" w:eastAsia="Calibri" w:hAnsi="Verdana" w:cs="Arial"/>
              </w:rPr>
              <w:t>s.</w:t>
            </w:r>
          </w:p>
        </w:tc>
      </w:tr>
    </w:tbl>
    <w:p w14:paraId="71EABAAA" w14:textId="77777777" w:rsidR="00194A82" w:rsidRPr="001B3C5D" w:rsidRDefault="00194A82" w:rsidP="00194A82">
      <w:pPr>
        <w:tabs>
          <w:tab w:val="left" w:pos="142"/>
          <w:tab w:val="left" w:pos="284"/>
        </w:tabs>
        <w:spacing w:after="0" w:line="276" w:lineRule="auto"/>
        <w:jc w:val="both"/>
        <w:rPr>
          <w:rFonts w:ascii="Verdana" w:eastAsia="Century Gothic" w:hAnsi="Verdana" w:cs="Century Gothic"/>
          <w:b/>
          <w:bCs/>
          <w:lang w:val="es-ES"/>
        </w:rPr>
      </w:pPr>
    </w:p>
    <w:p w14:paraId="5507F21C" w14:textId="77777777" w:rsidR="00194A82" w:rsidRPr="001B3C5D" w:rsidRDefault="00194A82" w:rsidP="00194A82">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2CDFFACF" w14:textId="77777777" w:rsidR="00194A82" w:rsidRPr="001B3C5D" w:rsidRDefault="00194A82" w:rsidP="00194A82">
      <w:pPr>
        <w:spacing w:after="0" w:line="276" w:lineRule="auto"/>
        <w:jc w:val="both"/>
        <w:rPr>
          <w:rFonts w:ascii="Verdana" w:eastAsia="Calibri" w:hAnsi="Verdana" w:cs="Arial"/>
          <w:lang w:val="es-ES"/>
        </w:rPr>
      </w:pPr>
    </w:p>
    <w:p w14:paraId="27A59A7D" w14:textId="77777777" w:rsidR="00194A82" w:rsidRPr="001B3C5D" w:rsidRDefault="00194A82" w:rsidP="00194A82">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1724653C" w14:textId="77777777" w:rsidR="00194A82" w:rsidRPr="001B3C5D" w:rsidRDefault="00194A82" w:rsidP="00194A82">
      <w:pPr>
        <w:widowControl w:val="0"/>
        <w:autoSpaceDE w:val="0"/>
        <w:autoSpaceDN w:val="0"/>
        <w:spacing w:after="0" w:line="276" w:lineRule="auto"/>
        <w:jc w:val="both"/>
        <w:rPr>
          <w:rFonts w:ascii="Verdana" w:eastAsia="Aptos" w:hAnsi="Verdana" w:cs="Times New Roman"/>
          <w:kern w:val="2"/>
          <w:sz w:val="24"/>
          <w:szCs w:val="24"/>
          <w14:ligatures w14:val="standardContextual"/>
        </w:rPr>
      </w:pPr>
      <w:bookmarkStart w:id="1" w:name="_Hlk113022941"/>
    </w:p>
    <w:bookmarkEnd w:id="1"/>
    <w:p w14:paraId="6A4C6EA2" w14:textId="77777777" w:rsidR="00194A82" w:rsidRPr="00C940A9" w:rsidRDefault="00194A82" w:rsidP="00194A82">
      <w:pPr>
        <w:spacing w:after="120" w:line="276" w:lineRule="auto"/>
        <w:jc w:val="both"/>
        <w:rPr>
          <w:rFonts w:ascii="Verdana" w:hAnsi="Verdana" w:cs="Arial"/>
          <w:bCs/>
          <w:lang w:eastAsia="es-ES"/>
        </w:rPr>
      </w:pPr>
      <w:r>
        <w:rPr>
          <w:rFonts w:ascii="Verdana" w:hAnsi="Verdana" w:cs="Arial"/>
          <w:bCs/>
          <w:lang w:val="es-ES_tradnl" w:eastAsia="es-ES"/>
        </w:rPr>
        <w:t>E</w:t>
      </w:r>
      <w:r w:rsidRPr="00C940A9">
        <w:rPr>
          <w:rFonts w:ascii="Verdana" w:hAnsi="Verdana" w:cs="Arial"/>
          <w:bCs/>
          <w:lang w:val="es-ES_tradnl" w:eastAsia="es-ES"/>
        </w:rPr>
        <w:t xml:space="preserve">l artículo 5 del Decreto 1860 de 2021 modificó </w:t>
      </w:r>
      <w:r w:rsidRPr="00C940A9">
        <w:rPr>
          <w:rFonts w:ascii="Verdana" w:hAnsi="Verdana" w:cs="Arial"/>
          <w:bCs/>
          <w:lang w:eastAsia="es-ES"/>
        </w:rPr>
        <w:t xml:space="preserve">los artículos </w:t>
      </w:r>
      <w:bookmarkStart w:id="2" w:name="_Hlk194041112"/>
      <w:r w:rsidRPr="00C940A9">
        <w:rPr>
          <w:rFonts w:ascii="Verdana" w:hAnsi="Verdana" w:cs="Arial"/>
          <w:bCs/>
          <w:lang w:eastAsia="es-ES"/>
        </w:rPr>
        <w:t>2.2.1.2.4.2.2., 2.2.1.2.4.2.3. y 2.2.1.2.4.2.4</w:t>
      </w:r>
      <w:bookmarkEnd w:id="2"/>
      <w:r w:rsidRPr="00C940A9">
        <w:rPr>
          <w:rFonts w:ascii="Verdana" w:hAnsi="Verdana" w:cs="Arial"/>
          <w:bCs/>
          <w:lang w:eastAsia="es-ES"/>
        </w:rPr>
        <w:t>. de la Subsección 2 de la Sección 4 del Capítulo 2 del Título 1 de la Parte 2 del Libro 2 del Decreto 1082 de 2015, reglamentando</w:t>
      </w:r>
      <w:r w:rsidRPr="00C940A9">
        <w:rPr>
          <w:rFonts w:ascii="Verdana" w:hAnsi="Verdana" w:cs="Arial"/>
          <w:bCs/>
          <w:lang w:val="es-ES_tradnl" w:eastAsia="es-ES"/>
        </w:rPr>
        <w:t xml:space="preserve"> las convocatorias limitadas a </w:t>
      </w:r>
      <w:proofErr w:type="spellStart"/>
      <w:r w:rsidRPr="00C940A9">
        <w:rPr>
          <w:rFonts w:ascii="Verdana" w:hAnsi="Verdana" w:cs="Arial"/>
          <w:bCs/>
          <w:lang w:val="es-ES_tradnl" w:eastAsia="es-ES"/>
        </w:rPr>
        <w:t>Mipyme</w:t>
      </w:r>
      <w:proofErr w:type="spellEnd"/>
      <w:r w:rsidRPr="00C940A9">
        <w:rPr>
          <w:rFonts w:ascii="Verdana" w:hAnsi="Verdana" w:cs="Arial"/>
          <w:bCs/>
          <w:lang w:val="es-ES_tradnl" w:eastAsia="es-ES"/>
        </w:rPr>
        <w:t xml:space="preserve">, con fundamento en lo establecido en el artículo 34 de la Ley 2069 de 2020. Esta nueva </w:t>
      </w:r>
      <w:r>
        <w:rPr>
          <w:rFonts w:ascii="Verdana" w:hAnsi="Verdana" w:cs="Arial"/>
          <w:bCs/>
          <w:lang w:val="es-ES_tradnl" w:eastAsia="es-ES"/>
        </w:rPr>
        <w:t>reglamentación</w:t>
      </w:r>
      <w:r w:rsidRPr="00C940A9">
        <w:rPr>
          <w:rFonts w:ascii="Verdana" w:hAnsi="Verdana" w:cs="Arial"/>
          <w:bCs/>
          <w:lang w:val="es-ES_tradnl" w:eastAsia="es-ES"/>
        </w:rPr>
        <w:t xml:space="preserve"> </w:t>
      </w:r>
      <w:r>
        <w:rPr>
          <w:rFonts w:ascii="Verdana" w:hAnsi="Verdana" w:cs="Arial"/>
          <w:bCs/>
          <w:lang w:val="es-ES_tradnl" w:eastAsia="es-ES"/>
        </w:rPr>
        <w:t>desarrolla</w:t>
      </w:r>
      <w:r w:rsidRPr="00C940A9">
        <w:rPr>
          <w:rFonts w:ascii="Verdana" w:hAnsi="Verdana" w:cs="Arial"/>
          <w:bCs/>
          <w:lang w:val="es-ES_tradnl" w:eastAsia="es-ES"/>
        </w:rPr>
        <w:t xml:space="preserve"> </w:t>
      </w:r>
      <w:r>
        <w:rPr>
          <w:rFonts w:ascii="Verdana" w:hAnsi="Verdana" w:cs="Arial"/>
          <w:bCs/>
          <w:lang w:val="es-ES_tradnl" w:eastAsia="es-ES"/>
        </w:rPr>
        <w:t xml:space="preserve">tres </w:t>
      </w:r>
      <w:r w:rsidRPr="00C940A9">
        <w:rPr>
          <w:rFonts w:ascii="Verdana" w:hAnsi="Verdana" w:cs="Arial"/>
          <w:bCs/>
          <w:lang w:val="es-ES_tradnl" w:eastAsia="es-ES"/>
        </w:rPr>
        <w:t xml:space="preserve">aspectos: i) requisitos para limitar la convocatoria de los </w:t>
      </w:r>
      <w:r w:rsidRPr="00C940A9">
        <w:rPr>
          <w:rFonts w:ascii="Verdana" w:hAnsi="Verdana" w:cs="Arial"/>
          <w:bCs/>
          <w:lang w:eastAsia="es-ES"/>
        </w:rPr>
        <w:t>procesos de contratación con pluralidad de oferentes</w:t>
      </w:r>
      <w:r w:rsidRPr="00C940A9">
        <w:rPr>
          <w:rFonts w:ascii="Verdana" w:hAnsi="Verdana" w:cs="Arial"/>
          <w:bCs/>
          <w:lang w:val="es-ES_tradnl" w:eastAsia="es-ES"/>
        </w:rPr>
        <w:t xml:space="preserve"> a las </w:t>
      </w:r>
      <w:proofErr w:type="spellStart"/>
      <w:r w:rsidRPr="00C940A9">
        <w:rPr>
          <w:rFonts w:ascii="Verdana" w:hAnsi="Verdana" w:cs="Arial"/>
          <w:bCs/>
          <w:lang w:val="es-ES_tradnl" w:eastAsia="es-ES"/>
        </w:rPr>
        <w:t>Mipyme</w:t>
      </w:r>
      <w:proofErr w:type="spellEnd"/>
      <w:r w:rsidRPr="00C940A9">
        <w:rPr>
          <w:rFonts w:ascii="Verdana" w:hAnsi="Verdana" w:cs="Arial"/>
          <w:bCs/>
          <w:lang w:val="es-ES_tradnl" w:eastAsia="es-ES"/>
        </w:rPr>
        <w:t xml:space="preserve"> colombianas con mínimo un (1) año de existencia – artículo </w:t>
      </w:r>
      <w:r w:rsidRPr="00C940A9">
        <w:rPr>
          <w:rFonts w:ascii="Verdana" w:hAnsi="Verdana" w:cs="Arial"/>
          <w:bCs/>
          <w:lang w:eastAsia="es-ES"/>
        </w:rPr>
        <w:t>2.2.1.2.4.2.2-</w:t>
      </w:r>
      <w:r w:rsidRPr="00C940A9">
        <w:rPr>
          <w:rFonts w:ascii="Verdana" w:hAnsi="Verdana" w:cs="Arial"/>
          <w:bCs/>
          <w:lang w:val="es-ES_tradnl" w:eastAsia="es-ES"/>
        </w:rPr>
        <w:t xml:space="preserve"> , </w:t>
      </w:r>
      <w:proofErr w:type="spellStart"/>
      <w:r w:rsidRPr="00C940A9">
        <w:rPr>
          <w:rFonts w:ascii="Verdana" w:hAnsi="Verdana" w:cs="Arial"/>
          <w:bCs/>
          <w:lang w:val="es-ES_tradnl" w:eastAsia="es-ES"/>
        </w:rPr>
        <w:t>ii</w:t>
      </w:r>
      <w:proofErr w:type="spellEnd"/>
      <w:r w:rsidRPr="00C940A9">
        <w:rPr>
          <w:rFonts w:ascii="Verdana" w:hAnsi="Verdana" w:cs="Arial"/>
          <w:bCs/>
          <w:lang w:val="es-ES_tradnl" w:eastAsia="es-ES"/>
        </w:rPr>
        <w:t xml:space="preserve">) desarrolla las </w:t>
      </w:r>
      <w:r w:rsidRPr="00C940A9">
        <w:rPr>
          <w:rFonts w:ascii="Verdana" w:hAnsi="Verdana" w:cs="Arial"/>
          <w:bCs/>
          <w:lang w:eastAsia="es-ES"/>
        </w:rPr>
        <w:t xml:space="preserve">convocatorias limitadas a </w:t>
      </w:r>
      <w:proofErr w:type="spellStart"/>
      <w:r w:rsidRPr="00C940A9">
        <w:rPr>
          <w:rFonts w:ascii="Verdana" w:hAnsi="Verdana" w:cs="Arial"/>
          <w:bCs/>
          <w:lang w:eastAsia="es-ES"/>
        </w:rPr>
        <w:t>Mipyme</w:t>
      </w:r>
      <w:proofErr w:type="spellEnd"/>
      <w:r w:rsidRPr="00C940A9">
        <w:rPr>
          <w:rFonts w:ascii="Verdana" w:hAnsi="Verdana" w:cs="Arial"/>
          <w:bCs/>
          <w:lang w:eastAsia="es-ES"/>
        </w:rPr>
        <w:t xml:space="preserve"> colombianas que tengan domicilio en los departamentos o municipios en donde se va a ejecutar el contrato – artículo 2.2.1.2.4.2.3.,</w:t>
      </w:r>
      <w:r w:rsidRPr="00C940A9">
        <w:rPr>
          <w:rFonts w:ascii="Verdana" w:hAnsi="Verdana" w:cs="Arial"/>
          <w:bCs/>
          <w:lang w:val="es-ES_tradnl" w:eastAsia="es-ES"/>
        </w:rPr>
        <w:t xml:space="preserve"> y </w:t>
      </w:r>
      <w:proofErr w:type="spellStart"/>
      <w:r w:rsidRPr="00C940A9">
        <w:rPr>
          <w:rFonts w:ascii="Verdana" w:hAnsi="Verdana" w:cs="Arial"/>
          <w:bCs/>
          <w:lang w:val="es-ES_tradnl" w:eastAsia="es-ES"/>
        </w:rPr>
        <w:t>iii</w:t>
      </w:r>
      <w:proofErr w:type="spellEnd"/>
      <w:r w:rsidRPr="00C940A9">
        <w:rPr>
          <w:rFonts w:ascii="Verdana" w:hAnsi="Verdana" w:cs="Arial"/>
          <w:bCs/>
          <w:lang w:val="es-ES_tradnl" w:eastAsia="es-ES"/>
        </w:rPr>
        <w:t xml:space="preserve">) </w:t>
      </w:r>
      <w:r w:rsidRPr="00C940A9">
        <w:rPr>
          <w:rFonts w:ascii="Verdana" w:hAnsi="Verdana" w:cs="Arial"/>
          <w:bCs/>
          <w:lang w:eastAsia="es-ES"/>
        </w:rPr>
        <w:t>regula la acreditación de requisitos para participar en convocatorias limitadas – artículo 2.2.1.2.4.2.4-</w:t>
      </w:r>
      <w:r>
        <w:rPr>
          <w:rFonts w:ascii="Verdana" w:hAnsi="Verdana" w:cs="Arial"/>
          <w:bCs/>
          <w:lang w:eastAsia="es-ES"/>
        </w:rPr>
        <w:t>.</w:t>
      </w:r>
    </w:p>
    <w:p w14:paraId="113D33C4" w14:textId="77777777" w:rsidR="00194A82" w:rsidRPr="00C940A9" w:rsidRDefault="00194A82" w:rsidP="00194A82">
      <w:pPr>
        <w:spacing w:after="120" w:line="276" w:lineRule="auto"/>
        <w:ind w:firstLine="709"/>
        <w:jc w:val="both"/>
        <w:rPr>
          <w:rFonts w:ascii="Verdana" w:hAnsi="Verdana" w:cs="Arial"/>
          <w:lang w:val="es-ES" w:eastAsia="es-ES"/>
        </w:rPr>
      </w:pPr>
      <w:r w:rsidRPr="00C940A9">
        <w:rPr>
          <w:rFonts w:ascii="Verdana" w:hAnsi="Verdana" w:cs="Arial"/>
          <w:lang w:val="es-ES" w:eastAsia="es-ES"/>
        </w:rPr>
        <w:t xml:space="preserve">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w:t>
      </w:r>
      <w:proofErr w:type="spellStart"/>
      <w:r w:rsidRPr="00C940A9">
        <w:rPr>
          <w:rFonts w:ascii="Verdana" w:hAnsi="Verdana" w:cs="Arial"/>
          <w:lang w:val="es-ES" w:eastAsia="es-ES"/>
        </w:rPr>
        <w:t>Mipyme</w:t>
      </w:r>
      <w:proofErr w:type="spellEnd"/>
      <w:r w:rsidRPr="00C940A9">
        <w:rPr>
          <w:rFonts w:ascii="Verdana" w:hAnsi="Verdana" w:cs="Arial"/>
          <w:lang w:val="es-ES" w:eastAsia="es-ES"/>
        </w:rPr>
        <w:t>,</w:t>
      </w:r>
      <w:r w:rsidRPr="00C940A9">
        <w:rPr>
          <w:rFonts w:ascii="Verdana" w:eastAsia="Calibri" w:hAnsi="Verdana" w:cs="Arial"/>
          <w:lang w:val="es-ES"/>
        </w:rPr>
        <w:t xml:space="preserve"> </w:t>
      </w:r>
      <w:r w:rsidRPr="00C940A9">
        <w:rPr>
          <w:rFonts w:ascii="Verdana" w:hAnsi="Verdana" w:cs="Arial"/>
          <w:lang w:val="es-ES" w:eastAsia="es-ES"/>
        </w:rPr>
        <w:t xml:space="preserve">disposición que </w:t>
      </w:r>
      <w:r w:rsidRPr="00C940A9">
        <w:rPr>
          <w:rFonts w:ascii="Verdana" w:hAnsi="Verdana" w:cs="Arial"/>
          <w:lang w:val="es-ES" w:eastAsia="es-ES"/>
        </w:rPr>
        <w:lastRenderedPageBreak/>
        <w:t xml:space="preserve">entró a regir desde el 24 de marzo de 2022, pues, como se indicó, </w:t>
      </w:r>
      <w:r w:rsidRPr="00C940A9">
        <w:rPr>
          <w:rFonts w:ascii="Verdana" w:eastAsia="Calibri" w:hAnsi="Verdana" w:cs="Arial"/>
          <w:lang w:val="es-ES"/>
        </w:rPr>
        <w:t>el artículo 8 de dicho decreto sometió su vigencia al transcurso del periodo de 3 meses siguientes a su expedición.</w:t>
      </w:r>
    </w:p>
    <w:p w14:paraId="73F7A3CB" w14:textId="77777777" w:rsidR="00194A82" w:rsidRPr="00C940A9" w:rsidRDefault="00194A82" w:rsidP="00194A82">
      <w:pPr>
        <w:spacing w:after="0" w:line="276" w:lineRule="auto"/>
        <w:ind w:firstLine="709"/>
        <w:jc w:val="both"/>
        <w:rPr>
          <w:rFonts w:ascii="Verdana" w:eastAsia="Arial" w:hAnsi="Verdana" w:cs="Arial"/>
          <w:color w:val="000000"/>
        </w:rPr>
      </w:pPr>
      <w:r w:rsidRPr="00C940A9">
        <w:rPr>
          <w:rFonts w:ascii="Verdana" w:eastAsia="Arial" w:hAnsi="Verdana" w:cs="Arial"/>
          <w:color w:val="000000"/>
        </w:rPr>
        <w:t xml:space="preserve">En este contexto, el artículo 2.2.1.2.4.2.2. del Decreto 1082 de 2015 –modificado por el Decreto 1860 de 2021– establece los requisitos que se deben acreditar en las “convocatorias limitadas a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xml:space="preserve"> colombianas con mínimo un (1) año de existencia, siempre que se cumplan los requisitos señalados allí. Al respecto indica lo siguiente: </w:t>
      </w:r>
    </w:p>
    <w:p w14:paraId="7E53886C" w14:textId="77777777" w:rsidR="00194A82" w:rsidRDefault="00194A82" w:rsidP="00194A82">
      <w:pPr>
        <w:spacing w:after="0"/>
        <w:ind w:left="709" w:right="709"/>
        <w:jc w:val="both"/>
        <w:rPr>
          <w:rFonts w:ascii="Verdana" w:eastAsia="Calibri" w:hAnsi="Verdana" w:cs="Arial"/>
          <w:sz w:val="20"/>
          <w:szCs w:val="20"/>
          <w:lang w:val="es-ES"/>
        </w:rPr>
      </w:pPr>
    </w:p>
    <w:p w14:paraId="65A583CE" w14:textId="77777777" w:rsidR="00194A82" w:rsidRPr="00C940A9" w:rsidRDefault="00194A82" w:rsidP="00194A82">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Pr="00C940A9">
        <w:rPr>
          <w:rFonts w:ascii="Verdana" w:eastAsia="Calibri" w:hAnsi="Verdana" w:cs="Arial"/>
          <w:sz w:val="20"/>
          <w:szCs w:val="20"/>
          <w:lang w:val="es-ES"/>
        </w:rPr>
        <w:t xml:space="preserve">Artículo 2.2.1.2.4.2.2. Convocatorias Imitadas a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con mínimo un (1) año de existencia, cuando concurran los siguientes requisitos: </w:t>
      </w:r>
    </w:p>
    <w:p w14:paraId="19BE5752" w14:textId="77777777" w:rsidR="00194A82" w:rsidRPr="00C940A9" w:rsidRDefault="00194A82" w:rsidP="00194A82">
      <w:pPr>
        <w:spacing w:after="0" w:line="240" w:lineRule="auto"/>
        <w:ind w:left="709" w:right="709"/>
        <w:jc w:val="both"/>
        <w:rPr>
          <w:rFonts w:ascii="Verdana" w:eastAsia="Calibri" w:hAnsi="Verdana" w:cs="Arial"/>
          <w:sz w:val="20"/>
          <w:szCs w:val="20"/>
          <w:lang w:val="es-ES"/>
        </w:rPr>
      </w:pPr>
    </w:p>
    <w:p w14:paraId="3628A454" w14:textId="77777777" w:rsidR="00194A82" w:rsidRPr="00C940A9" w:rsidRDefault="00194A82" w:rsidP="00194A82">
      <w:pPr>
        <w:spacing w:after="0" w:line="240" w:lineRule="auto"/>
        <w:ind w:left="709" w:right="709"/>
        <w:jc w:val="both"/>
        <w:rPr>
          <w:rFonts w:ascii="Verdana" w:eastAsia="Calibri" w:hAnsi="Verdana" w:cs="Arial"/>
          <w:sz w:val="20"/>
          <w:szCs w:val="20"/>
          <w:lang w:val="es-ES_tradnl"/>
        </w:rPr>
      </w:pPr>
      <w:r w:rsidRPr="00C940A9">
        <w:rPr>
          <w:rFonts w:ascii="Verdana" w:eastAsia="Calibri" w:hAnsi="Verdana" w:cs="Arial"/>
          <w:sz w:val="20"/>
          <w:szCs w:val="20"/>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5035058E" w14:textId="77777777" w:rsidR="00194A82" w:rsidRDefault="00194A82" w:rsidP="00194A82">
      <w:pPr>
        <w:spacing w:after="0" w:line="240" w:lineRule="auto"/>
        <w:ind w:left="709" w:right="709"/>
        <w:jc w:val="both"/>
        <w:rPr>
          <w:rFonts w:ascii="Verdana" w:eastAsia="Calibri" w:hAnsi="Verdana" w:cs="Arial"/>
          <w:sz w:val="20"/>
          <w:szCs w:val="20"/>
          <w:lang w:val="es-ES"/>
        </w:rPr>
      </w:pPr>
    </w:p>
    <w:p w14:paraId="1D22E6AA" w14:textId="77777777" w:rsidR="00194A82" w:rsidRPr="00C940A9" w:rsidRDefault="00194A82" w:rsidP="00194A82">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 xml:space="preserve">2. Se hayan recibido solicitudes de por lo menos dos (2)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para limitar la convocatoria a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cuyo objeto social les permita ejecutar el contrato relacionado con el proceso contractual.</w:t>
      </w:r>
    </w:p>
    <w:p w14:paraId="5EF7C592" w14:textId="77777777" w:rsidR="00194A82" w:rsidRPr="00C940A9" w:rsidRDefault="00194A82" w:rsidP="00194A82">
      <w:pPr>
        <w:spacing w:after="0" w:line="240" w:lineRule="auto"/>
        <w:ind w:left="709" w:right="709"/>
        <w:jc w:val="both"/>
        <w:rPr>
          <w:rFonts w:ascii="Verdana" w:eastAsia="Calibri" w:hAnsi="Verdana" w:cs="Arial"/>
          <w:sz w:val="20"/>
          <w:szCs w:val="20"/>
          <w:lang w:val="es-ES"/>
        </w:rPr>
      </w:pPr>
    </w:p>
    <w:p w14:paraId="62636C9F" w14:textId="77777777" w:rsidR="00194A82" w:rsidRPr="00C940A9" w:rsidRDefault="00194A82" w:rsidP="00194A82">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 xml:space="preserve">Parágrafo. Las cooperativas y demás entidades de economía solidaria, siempre que tengan la calidad de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podrán solicitar y participar en las convocatorias limitadas en las mismas condiciones dispuestas en el presente artículo</w:t>
      </w:r>
      <w:r>
        <w:rPr>
          <w:rFonts w:ascii="Verdana" w:eastAsia="Calibri" w:hAnsi="Verdana" w:cs="Arial"/>
          <w:sz w:val="20"/>
          <w:szCs w:val="20"/>
          <w:lang w:val="es-ES"/>
        </w:rPr>
        <w:t>”</w:t>
      </w:r>
      <w:r w:rsidRPr="00C940A9">
        <w:rPr>
          <w:rFonts w:ascii="Verdana" w:eastAsia="Calibri" w:hAnsi="Verdana" w:cs="Arial"/>
          <w:sz w:val="20"/>
          <w:szCs w:val="20"/>
          <w:lang w:val="es-ES"/>
        </w:rPr>
        <w:t>.</w:t>
      </w:r>
    </w:p>
    <w:p w14:paraId="1B4AEFE6" w14:textId="77777777" w:rsidR="00194A82" w:rsidRPr="001D4AC1" w:rsidRDefault="00194A82" w:rsidP="00194A82">
      <w:pPr>
        <w:spacing w:after="0"/>
        <w:ind w:left="709" w:right="709"/>
        <w:jc w:val="both"/>
        <w:rPr>
          <w:rFonts w:ascii="Century Gothic" w:eastAsia="Arial" w:hAnsi="Century Gothic" w:cs="Arial"/>
          <w:color w:val="000000"/>
        </w:rPr>
      </w:pPr>
    </w:p>
    <w:p w14:paraId="24E1FFC1" w14:textId="77777777" w:rsidR="00194A82" w:rsidRPr="00C940A9" w:rsidRDefault="00194A82" w:rsidP="00194A82">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lastRenderedPageBreak/>
        <w:t xml:space="preserve">Según se evidencia, el numeral primero limita cuantitativamente los procesos contractuales en los que se puede hacer esa convocatoria limitada a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xml:space="preserve">,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 </w:t>
      </w:r>
    </w:p>
    <w:p w14:paraId="0D1D679B" w14:textId="77777777" w:rsidR="00194A82" w:rsidRPr="005B1F06" w:rsidRDefault="00194A82" w:rsidP="00194A82">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Por su parte, el numeral segundo establece dos exigencias: por un lado, que al menos dos (2)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colombianas presenten a la entidad la solicitud de limitar el proceso contractual y, por el otro, que hagan la solicitud por lo menos un día (1) hábil antes de la expedición del acto administrativo de apertura </w:t>
      </w:r>
      <w:r w:rsidRPr="00C940A9">
        <w:rPr>
          <w:rFonts w:ascii="Verdana" w:eastAsia="Arial" w:hAnsi="Verdana" w:cs="Arial"/>
          <w:color w:val="000000"/>
          <w:lang w:val="es-ES_tradnl"/>
        </w:rPr>
        <w:t xml:space="preserve">o el que haga </w:t>
      </w:r>
      <w:r w:rsidRPr="005B1F06">
        <w:rPr>
          <w:rFonts w:ascii="Verdana" w:eastAsia="Arial" w:hAnsi="Verdana" w:cs="Arial"/>
          <w:color w:val="000000"/>
          <w:lang w:val="es-ES_tradnl"/>
        </w:rPr>
        <w:t>sus veces de acuerdo con la normativa aplicable a cada proceso de contratación</w:t>
      </w:r>
      <w:r w:rsidRPr="005B1F06">
        <w:rPr>
          <w:rFonts w:ascii="Verdana" w:eastAsia="Arial" w:hAnsi="Verdana" w:cs="Arial"/>
          <w:color w:val="000000"/>
        </w:rPr>
        <w:t xml:space="preserve">. Además, la norma señala que, </w:t>
      </w:r>
      <w:r w:rsidRPr="005B1F06">
        <w:rPr>
          <w:rFonts w:ascii="Verdana" w:eastAsia="Arial" w:hAnsi="Verdana" w:cs="Arial"/>
          <w:color w:val="000000"/>
          <w:lang w:val="es-ES_tradnl"/>
        </w:rPr>
        <w:t xml:space="preserve">tratándose de personas jurídicas, las solicitudes solo las podrán realizar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siempre que estas cumplan con las condiciones señaladas en el artículo. </w:t>
      </w:r>
    </w:p>
    <w:p w14:paraId="3C1C6CA4" w14:textId="77777777" w:rsidR="00194A82" w:rsidRPr="005B1F06" w:rsidRDefault="00194A82" w:rsidP="00194A82">
      <w:pPr>
        <w:spacing w:after="120" w:line="276" w:lineRule="auto"/>
        <w:ind w:firstLine="709"/>
        <w:jc w:val="both"/>
        <w:rPr>
          <w:rFonts w:ascii="Verdana" w:hAnsi="Verdana" w:cs="Arial"/>
          <w:lang w:val="es-ES" w:eastAsia="es-MX"/>
        </w:rPr>
      </w:pPr>
      <w:r w:rsidRPr="005B1F06">
        <w:rPr>
          <w:rFonts w:ascii="Verdana" w:eastAsia="Arial" w:hAnsi="Verdana" w:cs="Arial"/>
          <w:color w:val="000000"/>
          <w:lang w:val="es-ES_tradnl"/>
        </w:rPr>
        <w:t>Así las cosas,</w:t>
      </w:r>
      <w:r w:rsidRPr="005B1F06">
        <w:rPr>
          <w:rFonts w:ascii="Verdana" w:hAnsi="Verdana" w:cs="Arial"/>
          <w:lang w:val="es-ES" w:eastAsia="es-MX"/>
        </w:rPr>
        <w:t xml:space="preserve"> las entidades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5B1F06">
        <w:rPr>
          <w:rFonts w:ascii="Verdana" w:hAnsi="Verdana" w:cs="Arial"/>
          <w:lang w:val="es-ES" w:eastAsia="es-MX"/>
        </w:rPr>
        <w:t>Mipymes</w:t>
      </w:r>
      <w:proofErr w:type="spellEnd"/>
      <w:r w:rsidRPr="005B1F06">
        <w:rPr>
          <w:rFonts w:ascii="Verdana" w:hAnsi="Verdana" w:cs="Arial"/>
          <w:lang w:val="es-ES" w:eastAsia="es-MX"/>
        </w:rPr>
        <w:t xml:space="preserve"> colombianas con mínimo un (1) año de existencia, cuando se cumplan los requisitos previstos en el artículo 2.2.1.2.4.2.2 del Decreto 1082 de 2015 anteriormente señalado.</w:t>
      </w:r>
    </w:p>
    <w:p w14:paraId="2980A66C" w14:textId="77777777" w:rsidR="00194A82" w:rsidRPr="005B1F06" w:rsidRDefault="00194A82" w:rsidP="00194A82">
      <w:pPr>
        <w:spacing w:after="120" w:line="276" w:lineRule="auto"/>
        <w:ind w:firstLine="708"/>
        <w:jc w:val="both"/>
        <w:rPr>
          <w:rFonts w:ascii="Verdana" w:eastAsia="Calibri" w:hAnsi="Verdana" w:cs="Arial"/>
          <w:lang w:val="es-ES"/>
        </w:rPr>
      </w:pPr>
      <w:r w:rsidRPr="706726C8">
        <w:rPr>
          <w:rFonts w:ascii="Verdana" w:eastAsia="Calibri" w:hAnsi="Verdana" w:cs="Arial"/>
          <w:lang w:val="es-ES"/>
        </w:rPr>
        <w:t xml:space="preserve">En relación con las limitaciones territoriales </w:t>
      </w:r>
      <w:r w:rsidRPr="706726C8">
        <w:rPr>
          <w:rFonts w:ascii="Verdana" w:hAnsi="Verdana" w:cs="Arial"/>
          <w:lang w:val="es-ES"/>
        </w:rPr>
        <w:t xml:space="preserve">de las convocatorias a </w:t>
      </w:r>
      <w:proofErr w:type="spellStart"/>
      <w:r w:rsidRPr="706726C8">
        <w:rPr>
          <w:rFonts w:ascii="Verdana" w:hAnsi="Verdana" w:cs="Arial"/>
          <w:lang w:val="es-ES"/>
        </w:rPr>
        <w:t>Mipymes</w:t>
      </w:r>
      <w:proofErr w:type="spellEnd"/>
      <w:r w:rsidRPr="706726C8">
        <w:rPr>
          <w:rFonts w:ascii="Verdana" w:eastAsia="Calibri" w:hAnsi="Verdana" w:cs="Arial"/>
          <w:lang w:val="es-ES"/>
        </w:rPr>
        <w:t xml:space="preserve"> el texto del actual </w:t>
      </w:r>
      <w:r>
        <w:rPr>
          <w:rFonts w:ascii="Verdana" w:eastAsia="Calibri" w:hAnsi="Verdana" w:cs="Arial"/>
          <w:lang w:val="es-ES"/>
        </w:rPr>
        <w:t xml:space="preserve">del </w:t>
      </w:r>
      <w:r w:rsidRPr="706726C8">
        <w:rPr>
          <w:rFonts w:ascii="Verdana" w:eastAsia="Calibri" w:hAnsi="Verdana" w:cs="Arial"/>
          <w:lang w:val="es-ES"/>
        </w:rPr>
        <w:t xml:space="preserve">artículo 2.2.1.2.4.2.3, modificado por el artículo 5 del Decreto 1860 de 2021, determina que toda empresa constituida bajo las leyes colombianas o que tenga su domicilio principal en el territorio colombiano y, además, cumpla los criterios previstos por la </w:t>
      </w:r>
      <w:bookmarkStart w:id="3" w:name="_Hlk194041590"/>
      <w:r w:rsidRPr="706726C8">
        <w:rPr>
          <w:rFonts w:ascii="Verdana" w:eastAsia="Calibri" w:hAnsi="Verdana" w:cs="Arial"/>
          <w:lang w:val="es-ES"/>
        </w:rPr>
        <w:t>Ley 590 de 2000 y el Decreto 957 de 2019</w:t>
      </w:r>
      <w:bookmarkEnd w:id="3"/>
      <w:r w:rsidRPr="706726C8">
        <w:rPr>
          <w:rFonts w:ascii="Verdana" w:eastAsia="Calibri" w:hAnsi="Verdana" w:cs="Arial"/>
          <w:lang w:val="es-ES"/>
        </w:rPr>
        <w:t xml:space="preserve">, será considerada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del orden nacional. Otra cosa es que las normas de contratación permitan que las MiPymes nacionales con “domicilio” en un municipio o departamento, puedan beneficiarse en la ejecución de un contrato dentro de la entidad territorial en la que tienen su “domicilio”. De todos </w:t>
      </w:r>
      <w:r w:rsidRPr="706726C8">
        <w:rPr>
          <w:rFonts w:ascii="Verdana" w:eastAsia="Calibri" w:hAnsi="Verdana" w:cs="Arial"/>
          <w:lang w:val="es-ES"/>
        </w:rPr>
        <w:lastRenderedPageBreak/>
        <w:t xml:space="preserve">modos, las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domiciliadas en un municipio o departamento son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nacionales. En consecuencia, no es procedente distinguir entre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nacionales y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municipales o departamentales, habida cuenta que estas últimas no existen como categoría dentro del ordenamiento normativo. </w:t>
      </w:r>
    </w:p>
    <w:p w14:paraId="477D44B7" w14:textId="77777777" w:rsidR="00194A82" w:rsidRPr="005B1F06" w:rsidRDefault="00194A82" w:rsidP="00194A82">
      <w:pPr>
        <w:spacing w:after="0" w:line="276" w:lineRule="auto"/>
        <w:ind w:firstLine="708"/>
        <w:jc w:val="both"/>
        <w:rPr>
          <w:rFonts w:ascii="Verdana" w:eastAsia="Calibri" w:hAnsi="Verdana" w:cs="Arial"/>
          <w:lang w:val="es-ES_tradnl"/>
        </w:rPr>
      </w:pPr>
      <w:r w:rsidRPr="005B1F06">
        <w:rPr>
          <w:rFonts w:ascii="Verdana" w:eastAsia="Calibri" w:hAnsi="Verdana" w:cs="Arial"/>
          <w:lang w:val="es-ES_tradnl"/>
        </w:rPr>
        <w:t xml:space="preserve">El texto normativo dispone lo siguiente:  </w:t>
      </w:r>
    </w:p>
    <w:p w14:paraId="2BC20543" w14:textId="77777777" w:rsidR="00194A82" w:rsidRDefault="00194A82" w:rsidP="00194A82">
      <w:pPr>
        <w:spacing w:after="0" w:line="276" w:lineRule="auto"/>
        <w:ind w:left="709" w:right="758" w:hanging="1"/>
        <w:jc w:val="both"/>
        <w:rPr>
          <w:rFonts w:ascii="Verdana" w:hAnsi="Verdana" w:cs="Arial"/>
          <w:sz w:val="20"/>
          <w:szCs w:val="20"/>
          <w:lang w:val="es-ES_tradnl"/>
        </w:rPr>
      </w:pPr>
    </w:p>
    <w:p w14:paraId="4D509A94" w14:textId="77777777" w:rsidR="00194A82" w:rsidRPr="005B1F06" w:rsidRDefault="00194A82" w:rsidP="00194A82">
      <w:pPr>
        <w:spacing w:after="0" w:line="240" w:lineRule="auto"/>
        <w:ind w:left="709" w:right="758" w:hanging="1"/>
        <w:jc w:val="both"/>
        <w:rPr>
          <w:rFonts w:ascii="Verdana" w:hAnsi="Verdana" w:cs="Arial"/>
          <w:sz w:val="20"/>
          <w:szCs w:val="20"/>
          <w:lang w:val="es-ES_tradnl"/>
        </w:rPr>
      </w:pPr>
      <w:r>
        <w:rPr>
          <w:rFonts w:ascii="Verdana" w:hAnsi="Verdana" w:cs="Arial"/>
          <w:sz w:val="20"/>
          <w:szCs w:val="20"/>
          <w:lang w:val="es-ES_tradnl"/>
        </w:rPr>
        <w:t>“</w:t>
      </w:r>
      <w:r w:rsidRPr="005B1F06">
        <w:rPr>
          <w:rFonts w:ascii="Verdana" w:hAnsi="Verdana" w:cs="Arial"/>
          <w:sz w:val="20"/>
          <w:szCs w:val="20"/>
          <w:lang w:val="es-ES_tradnl"/>
        </w:rPr>
        <w:t>ARTÍCULO  5. Modificaci</w:t>
      </w:r>
      <w:r w:rsidRPr="005B1F06">
        <w:rPr>
          <w:rFonts w:ascii="Verdana" w:hAnsi="Verdana" w:cs="Century Gothic"/>
          <w:sz w:val="20"/>
          <w:szCs w:val="20"/>
          <w:lang w:val="es-ES_tradnl"/>
        </w:rPr>
        <w:t>ó</w:t>
      </w:r>
      <w:r w:rsidRPr="005B1F06">
        <w:rPr>
          <w:rFonts w:ascii="Verdana" w:hAnsi="Verdana" w:cs="Arial"/>
          <w:sz w:val="20"/>
          <w:szCs w:val="20"/>
          <w:lang w:val="es-ES_tradnl"/>
        </w:rPr>
        <w:t>n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Modif</w:t>
      </w:r>
      <w:r w:rsidRPr="005B1F06">
        <w:rPr>
          <w:rFonts w:ascii="Verdana" w:hAnsi="Verdana" w:cs="Century Gothic"/>
          <w:sz w:val="20"/>
          <w:szCs w:val="20"/>
          <w:lang w:val="es-ES_tradnl"/>
        </w:rPr>
        <w:t>í</w:t>
      </w:r>
      <w:r w:rsidRPr="005B1F06">
        <w:rPr>
          <w:rFonts w:ascii="Verdana" w:hAnsi="Verdana" w:cs="Arial"/>
          <w:sz w:val="20"/>
          <w:szCs w:val="20"/>
          <w:lang w:val="es-ES_tradnl"/>
        </w:rPr>
        <w:t>quense los art</w:t>
      </w:r>
      <w:r w:rsidRPr="005B1F06">
        <w:rPr>
          <w:rFonts w:ascii="Verdana" w:hAnsi="Verdana" w:cs="Century Gothic"/>
          <w:sz w:val="20"/>
          <w:szCs w:val="20"/>
          <w:lang w:val="es-ES_tradnl"/>
        </w:rPr>
        <w:t>í</w:t>
      </w:r>
      <w:r w:rsidRPr="005B1F06">
        <w:rPr>
          <w:rFonts w:ascii="Verdana" w:hAnsi="Verdana" w:cs="Arial"/>
          <w:sz w:val="20"/>
          <w:szCs w:val="20"/>
          <w:lang w:val="es-ES_tradnl"/>
        </w:rPr>
        <w:t>culos 2.2.1.2.4.2.2., 2.2.1.2.4.2.3. y 2.2.1.2.4.2.4.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los cuales quedar</w:t>
      </w:r>
      <w:r w:rsidRPr="005B1F06">
        <w:rPr>
          <w:rFonts w:ascii="Verdana" w:hAnsi="Verdana" w:cs="Century Gothic"/>
          <w:sz w:val="20"/>
          <w:szCs w:val="20"/>
          <w:lang w:val="es-ES_tradnl"/>
        </w:rPr>
        <w:t>á</w:t>
      </w:r>
      <w:r w:rsidRPr="005B1F06">
        <w:rPr>
          <w:rFonts w:ascii="Verdana" w:hAnsi="Verdana" w:cs="Arial"/>
          <w:sz w:val="20"/>
          <w:szCs w:val="20"/>
          <w:lang w:val="es-ES_tradnl"/>
        </w:rPr>
        <w:t>n as</w:t>
      </w:r>
      <w:r w:rsidRPr="005B1F06">
        <w:rPr>
          <w:rFonts w:ascii="Verdana" w:hAnsi="Verdana" w:cs="Century Gothic"/>
          <w:sz w:val="20"/>
          <w:szCs w:val="20"/>
          <w:lang w:val="es-ES_tradnl"/>
        </w:rPr>
        <w:t>í</w:t>
      </w:r>
      <w:r w:rsidRPr="005B1F06">
        <w:rPr>
          <w:rFonts w:ascii="Verdana" w:hAnsi="Verdana" w:cs="Arial"/>
          <w:sz w:val="20"/>
          <w:szCs w:val="20"/>
          <w:lang w:val="es-ES_tradnl"/>
        </w:rPr>
        <w:t>:</w:t>
      </w:r>
    </w:p>
    <w:p w14:paraId="2847054C" w14:textId="77777777" w:rsidR="00194A82" w:rsidRPr="005B1F06" w:rsidRDefault="00194A82" w:rsidP="00194A82">
      <w:pPr>
        <w:spacing w:after="0" w:line="240" w:lineRule="auto"/>
        <w:ind w:left="709" w:right="758" w:hanging="1"/>
        <w:jc w:val="both"/>
        <w:rPr>
          <w:rFonts w:ascii="Verdana" w:hAnsi="Verdana" w:cs="Arial"/>
          <w:sz w:val="20"/>
          <w:szCs w:val="20"/>
          <w:lang w:val="es-ES_tradnl"/>
        </w:rPr>
      </w:pPr>
      <w:r w:rsidRPr="005B1F06">
        <w:rPr>
          <w:rFonts w:ascii="Verdana" w:hAnsi="Verdana" w:cs="Arial"/>
          <w:sz w:val="20"/>
          <w:szCs w:val="20"/>
          <w:lang w:val="es-ES_tradnl"/>
        </w:rPr>
        <w:t>[…]</w:t>
      </w:r>
    </w:p>
    <w:p w14:paraId="47A2ECCE" w14:textId="77777777" w:rsidR="00194A82" w:rsidRDefault="00194A82" w:rsidP="00194A82">
      <w:pPr>
        <w:spacing w:after="0" w:line="240" w:lineRule="auto"/>
        <w:ind w:left="709" w:right="709"/>
        <w:jc w:val="both"/>
        <w:rPr>
          <w:rFonts w:ascii="Verdana" w:hAnsi="Verdana" w:cs="Arial"/>
          <w:sz w:val="20"/>
          <w:szCs w:val="20"/>
          <w:lang w:val="es-ES_tradnl"/>
        </w:rPr>
      </w:pPr>
      <w:r w:rsidRPr="005B1F06">
        <w:rPr>
          <w:rFonts w:ascii="Verdana" w:hAnsi="Verdana" w:cs="Arial"/>
          <w:sz w:val="20"/>
          <w:szCs w:val="20"/>
          <w:lang w:val="es-ES_tradnl"/>
        </w:rPr>
        <w:t>ARTÍCULO 2.2.1.2.4.2.3. Limitaciones territoriales. De conformidad con el par</w:t>
      </w:r>
      <w:r w:rsidRPr="005B1F06">
        <w:rPr>
          <w:rFonts w:ascii="Verdana" w:hAnsi="Verdana" w:cs="Century Gothic"/>
          <w:sz w:val="20"/>
          <w:szCs w:val="20"/>
          <w:lang w:val="es-ES_tradnl"/>
        </w:rPr>
        <w:t>á</w:t>
      </w:r>
      <w:r w:rsidRPr="005B1F06">
        <w:rPr>
          <w:rFonts w:ascii="Verdana" w:hAnsi="Verdana" w:cs="Arial"/>
          <w:sz w:val="20"/>
          <w:szCs w:val="20"/>
          <w:lang w:val="es-ES_tradnl"/>
        </w:rPr>
        <w:t>grafo 1 del art</w:t>
      </w:r>
      <w:r w:rsidRPr="005B1F06">
        <w:rPr>
          <w:rFonts w:ascii="Verdana" w:hAnsi="Verdana" w:cs="Century Gothic"/>
          <w:sz w:val="20"/>
          <w:szCs w:val="20"/>
          <w:lang w:val="es-ES_tradnl"/>
        </w:rPr>
        <w:t>í</w:t>
      </w:r>
      <w:r w:rsidRPr="005B1F06">
        <w:rPr>
          <w:rFonts w:ascii="Verdana" w:hAnsi="Verdana" w:cs="Arial"/>
          <w:sz w:val="20"/>
          <w:szCs w:val="20"/>
          <w:lang w:val="es-ES_tradnl"/>
        </w:rPr>
        <w:t>culo 12 de la Ley 1150 de 2007, las Entidades Estatales, independientemente de su r</w:t>
      </w:r>
      <w:r w:rsidRPr="005B1F06">
        <w:rPr>
          <w:rFonts w:ascii="Verdana" w:hAnsi="Verdana" w:cs="Century Gothic"/>
          <w:sz w:val="20"/>
          <w:szCs w:val="20"/>
          <w:lang w:val="es-ES_tradnl"/>
        </w:rPr>
        <w:t>é</w:t>
      </w:r>
      <w:r w:rsidRPr="005B1F06">
        <w:rPr>
          <w:rFonts w:ascii="Verdana" w:hAnsi="Verdana" w:cs="Arial"/>
          <w:sz w:val="20"/>
          <w:szCs w:val="20"/>
          <w:lang w:val="es-ES_tradnl"/>
        </w:rPr>
        <w:t>gimen de contrataci</w:t>
      </w:r>
      <w:r w:rsidRPr="005B1F06">
        <w:rPr>
          <w:rFonts w:ascii="Verdana" w:hAnsi="Verdana" w:cs="Century Gothic"/>
          <w:sz w:val="20"/>
          <w:szCs w:val="20"/>
          <w:lang w:val="es-ES_tradnl"/>
        </w:rPr>
        <w:t>ó</w:t>
      </w:r>
      <w:r w:rsidRPr="005B1F06">
        <w:rPr>
          <w:rFonts w:ascii="Verdana" w:hAnsi="Verdana" w:cs="Arial"/>
          <w:sz w:val="20"/>
          <w:szCs w:val="20"/>
          <w:lang w:val="es-ES_tradnl"/>
        </w:rPr>
        <w:t>n, los patrimonios aut</w:t>
      </w:r>
      <w:r w:rsidRPr="005B1F06">
        <w:rPr>
          <w:rFonts w:ascii="Verdana" w:hAnsi="Verdana" w:cs="Century Gothic"/>
          <w:sz w:val="20"/>
          <w:szCs w:val="20"/>
          <w:lang w:val="es-ES_tradnl"/>
        </w:rPr>
        <w:t>ó</w:t>
      </w:r>
      <w:r w:rsidRPr="005B1F06">
        <w:rPr>
          <w:rFonts w:ascii="Verdana" w:hAnsi="Verdana" w:cs="Arial"/>
          <w:sz w:val="20"/>
          <w:szCs w:val="20"/>
          <w:lang w:val="es-ES_tradnl"/>
        </w:rPr>
        <w:t>nomos constituidos por Entidades Estatales y los particulares que ejecuten recursos p</w:t>
      </w:r>
      <w:r w:rsidRPr="005B1F06">
        <w:rPr>
          <w:rFonts w:ascii="Verdana" w:hAnsi="Verdana" w:cs="Century Gothic"/>
          <w:sz w:val="20"/>
          <w:szCs w:val="20"/>
          <w:lang w:val="es-ES_tradnl"/>
        </w:rPr>
        <w:t>ú</w:t>
      </w:r>
      <w:r w:rsidRPr="005B1F06">
        <w:rPr>
          <w:rFonts w:ascii="Verdana" w:hAnsi="Verdana" w:cs="Arial"/>
          <w:sz w:val="20"/>
          <w:szCs w:val="20"/>
          <w:lang w:val="es-ES_tradnl"/>
        </w:rPr>
        <w:t>blicos, pueden realizar convocatorias limitadas a MiPymes colombianas que tengan domicilio en los departamentos o municipios en donde se va a ejecutar el contrato. Cada MiPymes deber</w:t>
      </w:r>
      <w:r w:rsidRPr="005B1F06">
        <w:rPr>
          <w:rFonts w:ascii="Verdana" w:hAnsi="Verdana" w:cs="Century Gothic"/>
          <w:sz w:val="20"/>
          <w:szCs w:val="20"/>
          <w:lang w:val="es-ES_tradnl"/>
        </w:rPr>
        <w:t>á</w:t>
      </w:r>
      <w:r w:rsidRPr="005B1F06">
        <w:rPr>
          <w:rFonts w:ascii="Verdana" w:hAnsi="Verdana" w:cs="Arial"/>
          <w:sz w:val="20"/>
          <w:szCs w:val="20"/>
          <w:lang w:val="es-ES_tradnl"/>
        </w:rPr>
        <w:t xml:space="preserve"> acreditar su domicilio con los documentos a los que se refiere el siguiente artículo</w:t>
      </w:r>
      <w:r>
        <w:rPr>
          <w:rFonts w:ascii="Verdana" w:hAnsi="Verdana" w:cs="Arial"/>
          <w:sz w:val="20"/>
          <w:szCs w:val="20"/>
          <w:lang w:val="es-ES_tradnl"/>
        </w:rPr>
        <w:t>”</w:t>
      </w:r>
      <w:r w:rsidRPr="005B1F06">
        <w:rPr>
          <w:rFonts w:ascii="Verdana" w:hAnsi="Verdana" w:cs="Arial"/>
          <w:sz w:val="20"/>
          <w:szCs w:val="20"/>
          <w:lang w:val="es-ES_tradnl"/>
        </w:rPr>
        <w:t xml:space="preserve">. </w:t>
      </w:r>
    </w:p>
    <w:p w14:paraId="50637D84" w14:textId="77777777" w:rsidR="00194A82" w:rsidRPr="005A75AB" w:rsidRDefault="00194A82" w:rsidP="00194A82">
      <w:pPr>
        <w:spacing w:after="0" w:line="276" w:lineRule="auto"/>
        <w:ind w:left="709" w:right="709"/>
        <w:jc w:val="both"/>
        <w:rPr>
          <w:rFonts w:ascii="Verdana" w:eastAsia="Calibri" w:hAnsi="Verdana" w:cs="Arial"/>
          <w:lang w:val="es-ES_tradnl"/>
        </w:rPr>
      </w:pPr>
    </w:p>
    <w:p w14:paraId="13D31343" w14:textId="77777777" w:rsidR="00194A82" w:rsidRPr="005B1F06" w:rsidRDefault="00194A82" w:rsidP="00194A82">
      <w:pPr>
        <w:spacing w:after="120" w:line="276" w:lineRule="auto"/>
        <w:ind w:firstLine="709"/>
        <w:jc w:val="both"/>
        <w:rPr>
          <w:rFonts w:ascii="Verdana" w:eastAsia="Calibri" w:hAnsi="Verdana" w:cs="Arial"/>
          <w:lang w:val="es-ES"/>
        </w:rPr>
      </w:pPr>
      <w:r w:rsidRPr="706726C8">
        <w:rPr>
          <w:rFonts w:ascii="Verdana" w:eastAsia="Calibri" w:hAnsi="Verdana" w:cs="Arial"/>
          <w:lang w:val="es-ES"/>
        </w:rPr>
        <w:t xml:space="preserve">La norma reglamentaria coincide con la redacción del parágrafo 1 del artículo 34 de la Ley 2069 de 2020, según el cual, solo es posible limitar convocatorias a la participación de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 del ámbito municipal o departamental correspondiente al de la ejecución del contrato”. En tales términos, la norma citada solo contempla la posibilidad de limitar convocatorias a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con domicilio en esos dos tipos de entidades territoriales. </w:t>
      </w:r>
    </w:p>
    <w:p w14:paraId="2396B0CE" w14:textId="77777777" w:rsidR="00194A82" w:rsidRPr="005B1F06" w:rsidRDefault="00194A82" w:rsidP="00194A82">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5B1F06">
        <w:rPr>
          <w:rFonts w:ascii="Verdana" w:eastAsia="Arial" w:hAnsi="Verdana" w:cs="Arial"/>
          <w:color w:val="000000" w:themeColor="text1"/>
          <w:lang w:val="es-ES"/>
        </w:rPr>
        <w:t>Mipymes</w:t>
      </w:r>
      <w:proofErr w:type="spellEnd"/>
      <w:r w:rsidRPr="005B1F06">
        <w:rPr>
          <w:rFonts w:ascii="Verdana" w:eastAsia="Arial" w:hAnsi="Verdana" w:cs="Arial"/>
          <w:color w:val="000000" w:themeColor="text1"/>
          <w:lang w:val="es-ES"/>
        </w:rPr>
        <w:t xml:space="preserve"> nacional. Además, las normas de contratación permiten que las </w:t>
      </w:r>
      <w:proofErr w:type="spellStart"/>
      <w:r w:rsidRPr="005B1F06">
        <w:rPr>
          <w:rFonts w:ascii="Verdana" w:eastAsia="Arial" w:hAnsi="Verdana" w:cs="Arial"/>
          <w:color w:val="000000" w:themeColor="text1"/>
          <w:lang w:val="es-ES"/>
        </w:rPr>
        <w:t>Mipymes</w:t>
      </w:r>
      <w:proofErr w:type="spellEnd"/>
      <w:r w:rsidRPr="005B1F06">
        <w:rPr>
          <w:rFonts w:ascii="Verdana" w:eastAsia="Arial" w:hAnsi="Verdana" w:cs="Arial"/>
          <w:color w:val="000000" w:themeColor="text1"/>
          <w:lang w:val="es-ES"/>
        </w:rPr>
        <w:t xml:space="preserve"> nacionales puedan beneficiarse de la ejecución de un contrato dentro de la entidad territorial en la que tienen su “domicilio”. </w:t>
      </w:r>
    </w:p>
    <w:p w14:paraId="6709A2E7" w14:textId="77777777" w:rsidR="00194A82" w:rsidRPr="005B1F06" w:rsidRDefault="00194A82" w:rsidP="00194A82">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themeColor="text1"/>
          <w:lang w:val="es-ES"/>
        </w:rPr>
        <w:t xml:space="preserve">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w:t>
      </w:r>
      <w:r w:rsidRPr="706726C8">
        <w:rPr>
          <w:rFonts w:ascii="Verdana" w:eastAsia="Arial" w:hAnsi="Verdana" w:cs="Arial"/>
          <w:color w:val="000000" w:themeColor="text1"/>
          <w:lang w:val="es-ES"/>
        </w:rPr>
        <w:lastRenderedPageBreak/>
        <w:t>previsto en la norma únicamente aplica en el lugar de ejecución del contrat</w:t>
      </w:r>
      <w:r>
        <w:rPr>
          <w:rFonts w:ascii="Verdana" w:eastAsia="Arial" w:hAnsi="Verdana" w:cs="Arial"/>
          <w:color w:val="000000" w:themeColor="text1"/>
          <w:lang w:val="es-ES"/>
        </w:rPr>
        <w:t>o</w:t>
      </w:r>
      <w:r w:rsidRPr="706726C8">
        <w:rPr>
          <w:rFonts w:ascii="Verdana" w:eastAsia="Arial" w:hAnsi="Verdana" w:cs="Arial"/>
          <w:color w:val="000000" w:themeColor="text1"/>
          <w:lang w:val="es-ES"/>
        </w:rPr>
        <w:t xml:space="preserve"> en el que la </w:t>
      </w:r>
      <w:proofErr w:type="spellStart"/>
      <w:r w:rsidRPr="706726C8">
        <w:rPr>
          <w:rFonts w:ascii="Verdana" w:eastAsia="Arial" w:hAnsi="Verdana" w:cs="Arial"/>
          <w:color w:val="000000" w:themeColor="text1"/>
          <w:lang w:val="es-ES"/>
        </w:rPr>
        <w:t>Mipymes</w:t>
      </w:r>
      <w:proofErr w:type="spellEnd"/>
      <w:r w:rsidRPr="706726C8">
        <w:rPr>
          <w:rFonts w:ascii="Verdana" w:eastAsia="Arial" w:hAnsi="Verdana" w:cs="Arial"/>
          <w:color w:val="000000" w:themeColor="text1"/>
          <w:lang w:val="es-ES"/>
        </w:rPr>
        <w:t xml:space="preserve"> tiene su “domicilio”, y no en donde tiene sucursales. </w:t>
      </w:r>
    </w:p>
    <w:p w14:paraId="77BB7079" w14:textId="77777777" w:rsidR="00194A82" w:rsidRPr="005B1F06" w:rsidRDefault="00194A82" w:rsidP="00194A82">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t>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Nótese que la norma se refiere a los conceptos de “sucursal” y “domicilio” de forma diferente, de lo que se deriva que las sociedades comerciales tienen un domicilio y pueden tener</w:t>
      </w:r>
      <w:r w:rsidRPr="7F14F77F">
        <w:rPr>
          <w:rFonts w:ascii="Century Gothic" w:eastAsia="Arial" w:hAnsi="Century Gothic" w:cs="Arial"/>
          <w:color w:val="000000" w:themeColor="text1"/>
          <w:lang w:val="es-ES"/>
        </w:rPr>
        <w:t xml:space="preserve"> </w:t>
      </w:r>
      <w:r w:rsidRPr="005B1F06">
        <w:rPr>
          <w:rFonts w:ascii="Verdana" w:eastAsia="Arial" w:hAnsi="Verdana" w:cs="Arial"/>
          <w:color w:val="000000" w:themeColor="text1"/>
          <w:lang w:val="es-ES"/>
        </w:rPr>
        <w:t xml:space="preserve">una o varias sucursales que son establecimientos de comercio, esto es, bienes mercantiles pertenecientes a la sociedad. En ese mismo sentido, los artículos 110 y 111 </w:t>
      </w:r>
      <w:proofErr w:type="spellStart"/>
      <w:r w:rsidRPr="005B1F06">
        <w:rPr>
          <w:rFonts w:ascii="Verdana" w:eastAsia="Arial" w:hAnsi="Verdana" w:cs="Arial"/>
          <w:i/>
          <w:color w:val="000000" w:themeColor="text1"/>
          <w:lang w:val="es-ES"/>
        </w:rPr>
        <w:t>ibídem</w:t>
      </w:r>
      <w:proofErr w:type="spellEnd"/>
      <w:r w:rsidRPr="005B1F06">
        <w:rPr>
          <w:rFonts w:ascii="Verdana" w:eastAsia="Arial" w:hAnsi="Verdana" w:cs="Arial"/>
          <w:color w:val="000000" w:themeColor="text1"/>
          <w:lang w:val="es-ES"/>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De acuerdo con lo anterior, si el legislador distinguió entre uno y otro y si el reglamento se refiere al “domicilio”, se entiende que no es procedente extender el beneficio contenido en el artículo 2.2.1.2.4.2.3. </w:t>
      </w:r>
      <w:proofErr w:type="spellStart"/>
      <w:r w:rsidRPr="005B1F06">
        <w:rPr>
          <w:rFonts w:ascii="Verdana" w:eastAsia="Arial" w:hAnsi="Verdana" w:cs="Arial"/>
          <w:i/>
          <w:color w:val="000000" w:themeColor="text1"/>
          <w:lang w:val="es-ES"/>
        </w:rPr>
        <w:t>ibídem</w:t>
      </w:r>
      <w:proofErr w:type="spellEnd"/>
      <w:r w:rsidRPr="005B1F06">
        <w:rPr>
          <w:rFonts w:ascii="Verdana" w:eastAsia="Arial" w:hAnsi="Verdana" w:cs="Arial"/>
          <w:i/>
          <w:color w:val="000000" w:themeColor="text1"/>
          <w:lang w:val="es-ES"/>
        </w:rPr>
        <w:t xml:space="preserve"> </w:t>
      </w:r>
      <w:r w:rsidRPr="005B1F06">
        <w:rPr>
          <w:rFonts w:ascii="Verdana" w:eastAsia="Arial" w:hAnsi="Verdana" w:cs="Arial"/>
          <w:color w:val="000000" w:themeColor="text1"/>
          <w:lang w:val="es-ES"/>
        </w:rPr>
        <w:t>a las entidades que tienen “sucursales” en el municipio o departamento en donde se va a ejecutar el contrato estatal.</w:t>
      </w:r>
    </w:p>
    <w:p w14:paraId="6CD6DC1F" w14:textId="77777777" w:rsidR="00194A82" w:rsidRPr="005B1F06" w:rsidRDefault="00194A82" w:rsidP="00194A82">
      <w:pPr>
        <w:spacing w:after="120" w:line="276" w:lineRule="auto"/>
        <w:ind w:firstLine="709"/>
        <w:jc w:val="both"/>
        <w:rPr>
          <w:rFonts w:ascii="Verdana" w:eastAsia="Arial" w:hAnsi="Verdana" w:cs="Arial"/>
          <w:color w:val="000000"/>
          <w:lang w:val="es-ES"/>
        </w:rPr>
      </w:pPr>
      <w:bookmarkStart w:id="4" w:name="_Hlk213767865"/>
      <w:r w:rsidRPr="706726C8">
        <w:rPr>
          <w:rFonts w:ascii="Verdana" w:eastAsia="Arial" w:hAnsi="Verdana" w:cs="Arial"/>
          <w:color w:val="000000"/>
          <w:lang w:val="es-ES"/>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706726C8">
        <w:rPr>
          <w:rFonts w:ascii="Verdana" w:eastAsia="Arial" w:hAnsi="Verdana" w:cs="Arial"/>
          <w:color w:val="000000"/>
          <w:lang w:val="es-ES"/>
        </w:rPr>
        <w:t>Mipymes</w:t>
      </w:r>
      <w:proofErr w:type="spellEnd"/>
      <w:r w:rsidRPr="706726C8">
        <w:rPr>
          <w:rFonts w:ascii="Verdana" w:eastAsia="Arial" w:hAnsi="Verdana" w:cs="Arial"/>
          <w:color w:val="000000"/>
          <w:lang w:val="es-ES"/>
        </w:rPr>
        <w:t xml:space="preserve">, no puede </w:t>
      </w:r>
      <w:r w:rsidRPr="706726C8">
        <w:rPr>
          <w:rFonts w:ascii="Verdana" w:eastAsia="Arial" w:hAnsi="Verdana" w:cs="Arial"/>
          <w:i/>
          <w:color w:val="000000"/>
          <w:lang w:val="es-ES"/>
        </w:rPr>
        <w:t xml:space="preserve">motu proprio </w:t>
      </w:r>
      <w:r w:rsidRPr="706726C8">
        <w:rPr>
          <w:rFonts w:ascii="Verdana" w:eastAsia="Arial" w:hAnsi="Verdana" w:cs="Arial"/>
          <w:color w:val="00000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09C78F5F" w14:textId="77777777" w:rsidR="00194A82" w:rsidRPr="005B1F06" w:rsidRDefault="00194A82" w:rsidP="00194A82">
      <w:pPr>
        <w:spacing w:after="120" w:line="276" w:lineRule="auto"/>
        <w:ind w:firstLine="708"/>
        <w:jc w:val="both"/>
        <w:rPr>
          <w:rFonts w:ascii="Verdana" w:hAnsi="Verdana" w:cs="Arial"/>
          <w:color w:val="000000" w:themeColor="text1"/>
        </w:rPr>
      </w:pPr>
      <w:r w:rsidRPr="005B1F06">
        <w:rPr>
          <w:rFonts w:ascii="Verdana" w:hAnsi="Verdana" w:cs="Arial"/>
          <w:color w:val="000000" w:themeColor="text1"/>
        </w:rPr>
        <w:t xml:space="preserve">Cumplidos los dos requisitos del artículo 2.2.1.2.4.2.2. </w:t>
      </w:r>
      <w:proofErr w:type="spellStart"/>
      <w:r w:rsidRPr="005B1F06">
        <w:rPr>
          <w:rFonts w:ascii="Verdana" w:hAnsi="Verdana" w:cs="Arial"/>
          <w:i/>
          <w:iCs/>
          <w:color w:val="000000" w:themeColor="text1"/>
        </w:rPr>
        <w:t>ibídem</w:t>
      </w:r>
      <w:proofErr w:type="spellEnd"/>
      <w:r w:rsidRPr="005B1F06">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w:t>
      </w:r>
      <w:r w:rsidRPr="00BF61EA">
        <w:rPr>
          <w:rFonts w:ascii="Verdana" w:hAnsi="Verdana" w:cs="Arial"/>
          <w:i/>
          <w:iCs/>
          <w:color w:val="000000" w:themeColor="text1"/>
        </w:rPr>
        <w:t>pueden</w:t>
      </w:r>
      <w:r w:rsidRPr="005B1F06">
        <w:rPr>
          <w:rFonts w:ascii="Verdana" w:hAnsi="Verdana" w:cs="Arial"/>
          <w:color w:val="000000" w:themeColor="text1"/>
        </w:rPr>
        <w:t xml:space="preserve"> ─no tienen que─ decidir si limitan la convocatoria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 domiciliadas en el municipio o departamento en el que </w:t>
      </w:r>
      <w:r w:rsidRPr="005B1F06">
        <w:rPr>
          <w:rFonts w:ascii="Verdana" w:hAnsi="Verdana" w:cs="Arial"/>
          <w:color w:val="000000" w:themeColor="text1"/>
        </w:rPr>
        <w:lastRenderedPageBreak/>
        <w:t>se</w:t>
      </w:r>
      <w:r w:rsidRPr="001D4AC1">
        <w:rPr>
          <w:rFonts w:ascii="Century Gothic" w:hAnsi="Century Gothic" w:cs="Arial"/>
          <w:color w:val="000000" w:themeColor="text1"/>
        </w:rPr>
        <w:t xml:space="preserve"> </w:t>
      </w:r>
      <w:r w:rsidRPr="005B1F06">
        <w:rPr>
          <w:rFonts w:ascii="Verdana" w:hAnsi="Verdana" w:cs="Arial"/>
          <w:color w:val="000000" w:themeColor="text1"/>
        </w:rPr>
        <w:t>ejecutará el contrato</w:t>
      </w:r>
      <w:r w:rsidRPr="005B1F06">
        <w:rPr>
          <w:rFonts w:ascii="Verdana" w:hAnsi="Verdana" w:cs="Arial"/>
          <w:color w:val="000000" w:themeColor="text1"/>
          <w:vertAlign w:val="superscript"/>
        </w:rPr>
        <w:footnoteReference w:id="1"/>
      </w:r>
      <w:r w:rsidRPr="005B1F06">
        <w:rPr>
          <w:rFonts w:ascii="Verdana" w:hAnsi="Verdana" w:cs="Arial"/>
          <w:color w:val="000000" w:themeColor="text1"/>
        </w:rPr>
        <w:t xml:space="preserve">. Esto de acuerdo con lo establecido en artículo 2.2.1.2.4.2.3. del Decreto 1082 de 2015 </w:t>
      </w:r>
      <w:r w:rsidRPr="005B1F06">
        <w:rPr>
          <w:rFonts w:ascii="Verdana" w:eastAsia="Arial" w:hAnsi="Verdana" w:cs="Arial"/>
          <w:color w:val="000000"/>
          <w:lang w:val="es-ES_tradnl"/>
        </w:rPr>
        <w:t>modificado por el Decreto 1860 de 2021</w:t>
      </w:r>
      <w:r w:rsidRPr="005B1F06">
        <w:rPr>
          <w:rFonts w:ascii="Verdana" w:hAnsi="Verdana" w:cs="Arial"/>
          <w:color w:val="000000" w:themeColor="text1"/>
        </w:rPr>
        <w:t xml:space="preserve">, norma que se refiere a la facultad de la administración con el verbo infinitivo “poder”, no “deber”. </w:t>
      </w:r>
    </w:p>
    <w:p w14:paraId="47D3D799" w14:textId="77777777" w:rsidR="00194A82" w:rsidRPr="005B1F06" w:rsidRDefault="00194A82" w:rsidP="00194A82">
      <w:pPr>
        <w:spacing w:after="120" w:line="276" w:lineRule="auto"/>
        <w:ind w:firstLine="709"/>
        <w:jc w:val="both"/>
        <w:rPr>
          <w:rFonts w:ascii="Verdana" w:eastAsia="Calibri" w:hAnsi="Verdana" w:cs="Arial"/>
          <w:color w:val="000000" w:themeColor="text1"/>
        </w:rPr>
      </w:pPr>
      <w:r w:rsidRPr="00C661E5">
        <w:rPr>
          <w:rFonts w:ascii="Verdana" w:eastAsia="Times New Roman" w:hAnsi="Verdana" w:cs="Arial"/>
          <w:lang w:eastAsia="es-CO"/>
        </w:rPr>
        <w:t>La Agencia Nacional de Contratación Pública – Colombia Compra Eficiente</w:t>
      </w:r>
      <w:r w:rsidRPr="00C661E5">
        <w:rPr>
          <w:rFonts w:ascii="Verdana" w:eastAsia="Calibri" w:hAnsi="Verdana" w:cs="Arial"/>
          <w:color w:val="000000" w:themeColor="text1"/>
        </w:rPr>
        <w:t xml:space="preserve"> </w:t>
      </w:r>
      <w:r w:rsidRPr="005B1F06">
        <w:rPr>
          <w:rFonts w:ascii="Verdana" w:eastAsia="Calibri" w:hAnsi="Verdana" w:cs="Arial"/>
          <w:color w:val="000000" w:themeColor="text1"/>
        </w:rPr>
        <w:t>ha sostenido que la decisión de limitar territorialmente un</w:t>
      </w:r>
      <w:r w:rsidRPr="005B1F06">
        <w:rPr>
          <w:rFonts w:ascii="Verdana" w:hAnsi="Verdana" w:cs="Arial"/>
          <w:color w:val="000000" w:themeColor="text1"/>
        </w:rPr>
        <w:t xml:space="preserve">a convocatoria a MiPymes </w:t>
      </w:r>
      <w:r w:rsidRPr="005B1F06">
        <w:rPr>
          <w:rFonts w:ascii="Verdana" w:eastAsia="Calibri" w:hAnsi="Verdana" w:cs="Arial"/>
          <w:color w:val="000000" w:themeColor="text1"/>
        </w:rPr>
        <w:t xml:space="preserve">es discrecional de la entidad, sin embargo, la decisión debe estar justificada en los correspondientes “estudios del sector”. Lo anterior por cuanto el </w:t>
      </w:r>
      <w:r w:rsidRPr="005B1F06">
        <w:rPr>
          <w:rFonts w:ascii="Verdana" w:hAnsi="Verdana" w:cs="Arial"/>
          <w:color w:val="000000" w:themeColor="text1"/>
        </w:rPr>
        <w:t xml:space="preserve">artículo 2.2.1.2.4.2.3. del Decreto 1082 de 2015, indicó que las </w:t>
      </w:r>
      <w:proofErr w:type="spellStart"/>
      <w:r w:rsidRPr="005B1F06">
        <w:rPr>
          <w:rFonts w:ascii="Verdana" w:hAnsi="Verdana" w:cs="Arial"/>
          <w:color w:val="000000" w:themeColor="text1"/>
        </w:rPr>
        <w:t>Mipymes</w:t>
      </w:r>
      <w:proofErr w:type="spellEnd"/>
      <w:r w:rsidRPr="005B1F06">
        <w:rPr>
          <w:rFonts w:ascii="Verdana" w:eastAsia="Calibri" w:hAnsi="Verdana" w:cs="Arial"/>
          <w:color w:val="000000" w:themeColor="text1"/>
        </w:rPr>
        <w:t xml:space="preserve"> beneficiadas deben tener su domicilio principal en el municipio o departamento donde se ejecutará el contrato para poder participar en una convocatoria limitada territorialmente.</w:t>
      </w:r>
      <w:r w:rsidRPr="005B1F06">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2502E93E" w14:textId="77777777" w:rsidR="00194A82" w:rsidRPr="005B1F06" w:rsidRDefault="00194A82" w:rsidP="00194A82">
      <w:pPr>
        <w:spacing w:after="120" w:line="276" w:lineRule="auto"/>
        <w:ind w:firstLine="709"/>
        <w:jc w:val="both"/>
        <w:rPr>
          <w:rFonts w:ascii="Verdana" w:eastAsia="Calibri" w:hAnsi="Verdana" w:cs="Arial"/>
          <w:color w:val="000000" w:themeColor="text1"/>
        </w:rPr>
      </w:pPr>
      <w:r w:rsidRPr="005B1F06">
        <w:rPr>
          <w:rFonts w:ascii="Verdana" w:hAnsi="Verdana" w:cs="Arial"/>
          <w:color w:val="000000" w:themeColor="text1"/>
        </w:rPr>
        <w:t>En tal sentido, s</w:t>
      </w:r>
      <w:r w:rsidRPr="005B1F06">
        <w:rPr>
          <w:rFonts w:ascii="Verdana" w:eastAsia="Calibri" w:hAnsi="Verdana" w:cs="Arial"/>
          <w:color w:val="000000" w:themeColor="text1"/>
        </w:rPr>
        <w:t>e debe tener presente que lo que sucede de pleno derecho es la</w:t>
      </w:r>
      <w:r w:rsidRPr="005B1F06">
        <w:rPr>
          <w:rFonts w:ascii="Verdana" w:hAnsi="Verdana" w:cs="Arial"/>
          <w:color w:val="000000" w:themeColor="text1"/>
        </w:rPr>
        <w:t xml:space="preserve"> limitación a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a la que se refiere el artículo 2.2.1.2.4.2.2. del Decreto 1082 de 2015, pero no la “limitación territorial” referida en el artículo 2.2.1.2.4.2.3. </w:t>
      </w:r>
      <w:proofErr w:type="spellStart"/>
      <w:r w:rsidRPr="005B1F06">
        <w:rPr>
          <w:rFonts w:ascii="Verdana" w:eastAsia="Calibri" w:hAnsi="Verdana" w:cs="Arial"/>
          <w:i/>
          <w:iCs/>
          <w:color w:val="000000" w:themeColor="text1"/>
        </w:rPr>
        <w:t>ibídem</w:t>
      </w:r>
      <w:proofErr w:type="spellEnd"/>
      <w:r w:rsidRPr="005B1F06">
        <w:rPr>
          <w:rFonts w:ascii="Verdana" w:eastAsia="Calibri" w:hAnsi="Verdana" w:cs="Arial"/>
          <w:color w:val="000000" w:themeColor="text1"/>
        </w:rPr>
        <w:t>, pues esta, como ya se dijo, es facultativa para la entidad. Las únicas exigencias son: i) que la convocatoria esté l</w:t>
      </w:r>
      <w:r w:rsidRPr="005B1F06">
        <w:rPr>
          <w:rFonts w:ascii="Verdana" w:hAnsi="Verdana" w:cs="Arial"/>
          <w:color w:val="000000" w:themeColor="text1"/>
        </w:rPr>
        <w:t xml:space="preserve">imitada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“domiciliadas en los departamentos o municipios en donde se va a ejecutar el contrato” y </w:t>
      </w:r>
      <w:proofErr w:type="spellStart"/>
      <w:r w:rsidRPr="005B1F06">
        <w:rPr>
          <w:rFonts w:ascii="Verdana" w:eastAsia="Calibri" w:hAnsi="Verdana" w:cs="Arial"/>
          <w:color w:val="000000" w:themeColor="text1"/>
        </w:rPr>
        <w:t>ii</w:t>
      </w:r>
      <w:proofErr w:type="spellEnd"/>
      <w:r w:rsidRPr="005B1F06">
        <w:rPr>
          <w:rFonts w:ascii="Verdana" w:eastAsia="Calibri" w:hAnsi="Verdana" w:cs="Arial"/>
          <w:color w:val="000000" w:themeColor="text1"/>
        </w:rPr>
        <w:t xml:space="preserve">) que la entidad justifique su decisión en los “estudios del sector”. No es procedente, entonces, que sean las </w:t>
      </w:r>
      <w:proofErr w:type="spellStart"/>
      <w:r w:rsidRPr="005B1F06">
        <w:rPr>
          <w:rFonts w:ascii="Verdana" w:eastAsia="Calibri" w:hAnsi="Verdana" w:cs="Arial"/>
          <w:color w:val="000000" w:themeColor="text1"/>
        </w:rPr>
        <w:t>Mipymes</w:t>
      </w:r>
      <w:proofErr w:type="spellEnd"/>
      <w:r w:rsidRPr="005B1F06">
        <w:rPr>
          <w:rFonts w:ascii="Verdana" w:eastAsia="Calibri" w:hAnsi="Verdana" w:cs="Arial"/>
          <w:color w:val="000000" w:themeColor="text1"/>
        </w:rPr>
        <w:t xml:space="preserve"> las que soliciten la “limitación territorial” a la que se refiere el artículo 2.2.1.2.4.2.3. del Decreto 1082 de 2015. </w:t>
      </w:r>
    </w:p>
    <w:bookmarkEnd w:id="4"/>
    <w:p w14:paraId="7BBAAF22" w14:textId="77777777" w:rsidR="00194A82" w:rsidRPr="00F12F94" w:rsidRDefault="00194A82" w:rsidP="00194A82">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esta forma</w:t>
      </w:r>
      <w:r w:rsidRPr="005B1F06">
        <w:rPr>
          <w:rFonts w:ascii="Verdana" w:eastAsia="Calibri" w:hAnsi="Verdana" w:cs="Arial"/>
          <w:color w:val="000000" w:themeColor="text1"/>
        </w:rPr>
        <w:t>, se debe reite</w:t>
      </w:r>
      <w:r w:rsidRPr="005B1F06">
        <w:rPr>
          <w:rFonts w:ascii="Verdana" w:hAnsi="Verdana" w:cs="Arial"/>
          <w:color w:val="000000" w:themeColor="text1"/>
        </w:rPr>
        <w:t xml:space="preserve">rar que el origen de las </w:t>
      </w:r>
      <w:proofErr w:type="spellStart"/>
      <w:r w:rsidRPr="005B1F06">
        <w:rPr>
          <w:rFonts w:ascii="Verdana" w:hAnsi="Verdana" w:cs="Arial"/>
          <w:color w:val="000000" w:themeColor="text1"/>
        </w:rPr>
        <w:t>Mipymes</w:t>
      </w:r>
      <w:proofErr w:type="spellEnd"/>
      <w:r w:rsidRPr="005B1F06">
        <w:rPr>
          <w:rFonts w:ascii="Verdana" w:eastAsia="Calibri" w:hAnsi="Verdana" w:cs="Arial"/>
          <w:color w:val="000000" w:themeColor="text1"/>
        </w:rPr>
        <w:t xml:space="preserve"> que solicitan la “limitación territorial” no es relevante frente a dicha decisión, por dos razo</w:t>
      </w:r>
      <w:r w:rsidRPr="005B1F06">
        <w:rPr>
          <w:rFonts w:ascii="Verdana" w:hAnsi="Verdana" w:cs="Arial"/>
          <w:color w:val="000000" w:themeColor="text1"/>
        </w:rPr>
        <w:t>nes: primero, porque las MiPymes</w:t>
      </w:r>
      <w:r w:rsidRPr="005B1F06">
        <w:rPr>
          <w:rFonts w:ascii="Verdana" w:eastAsia="Calibri" w:hAnsi="Verdana" w:cs="Arial"/>
          <w:color w:val="000000" w:themeColor="text1"/>
        </w:rPr>
        <w:t xml:space="preserve"> no están habilitadas para pedir la “limitación territorial”, lo están para pedir la “convocatoria limitada a MiPymes”, y, segundo, porque el </w:t>
      </w:r>
      <w:r w:rsidRPr="004147BC">
        <w:rPr>
          <w:rFonts w:ascii="Verdana" w:eastAsia="Calibri" w:hAnsi="Verdana" w:cs="Arial"/>
          <w:i/>
          <w:iCs/>
          <w:color w:val="000000" w:themeColor="text1"/>
        </w:rPr>
        <w:t>único criterio</w:t>
      </w:r>
      <w:r w:rsidRPr="005B1F06">
        <w:rPr>
          <w:rFonts w:ascii="Verdana" w:eastAsia="Calibri" w:hAnsi="Verdana" w:cs="Arial"/>
          <w:color w:val="000000" w:themeColor="text1"/>
        </w:rPr>
        <w:t xml:space="preserve"> a tener en cuenta, una vez se ha decidido</w:t>
      </w:r>
      <w:r>
        <w:rPr>
          <w:rFonts w:ascii="Verdana" w:eastAsia="Calibri" w:hAnsi="Verdana" w:cs="Arial"/>
          <w:color w:val="000000" w:themeColor="text1"/>
        </w:rPr>
        <w:t xml:space="preserve"> de manera </w:t>
      </w:r>
      <w:r>
        <w:rPr>
          <w:rFonts w:ascii="Verdana" w:eastAsia="Calibri" w:hAnsi="Verdana" w:cs="Arial"/>
          <w:color w:val="000000" w:themeColor="text1"/>
        </w:rPr>
        <w:lastRenderedPageBreak/>
        <w:t>justificada</w:t>
      </w:r>
      <w:r w:rsidRPr="001D4AC1">
        <w:rPr>
          <w:rFonts w:ascii="Century Gothic" w:eastAsia="Calibri" w:hAnsi="Century Gothic" w:cs="Arial"/>
          <w:color w:val="000000" w:themeColor="text1"/>
        </w:rPr>
        <w:t xml:space="preserve"> </w:t>
      </w:r>
      <w:r w:rsidRPr="00A4749D">
        <w:rPr>
          <w:rFonts w:ascii="Verdana" w:eastAsia="Calibri" w:hAnsi="Verdana" w:cs="Arial"/>
          <w:color w:val="000000" w:themeColor="text1"/>
        </w:rPr>
        <w:t>limitar territorialmente la convocatori</w:t>
      </w:r>
      <w:r w:rsidRPr="00A4749D">
        <w:rPr>
          <w:rFonts w:ascii="Verdana" w:hAnsi="Verdana" w:cs="Arial"/>
          <w:color w:val="000000" w:themeColor="text1"/>
        </w:rPr>
        <w:t xml:space="preserve">a previamente limitada a </w:t>
      </w:r>
      <w:proofErr w:type="spellStart"/>
      <w:r w:rsidRPr="00A4749D">
        <w:rPr>
          <w:rFonts w:ascii="Verdana" w:hAnsi="Verdana" w:cs="Arial"/>
          <w:color w:val="000000" w:themeColor="text1"/>
        </w:rPr>
        <w:t>Mipymes</w:t>
      </w:r>
      <w:proofErr w:type="spellEnd"/>
      <w:r w:rsidRPr="00A4749D">
        <w:rPr>
          <w:rFonts w:ascii="Verdana" w:eastAsia="Calibri" w:hAnsi="Verdana" w:cs="Arial"/>
          <w:color w:val="000000" w:themeColor="text1"/>
        </w:rPr>
        <w:t xml:space="preserve">, </w:t>
      </w:r>
      <w:r w:rsidRPr="004147BC">
        <w:rPr>
          <w:rFonts w:ascii="Verdana" w:eastAsia="Calibri" w:hAnsi="Verdana" w:cs="Arial"/>
          <w:i/>
          <w:iCs/>
          <w:color w:val="000000" w:themeColor="text1"/>
        </w:rPr>
        <w:t>es el lugar donde se va a ejecutar el contrato.</w:t>
      </w:r>
    </w:p>
    <w:p w14:paraId="43DDB3B9" w14:textId="77777777" w:rsidR="00194A82" w:rsidRPr="005A75AB" w:rsidRDefault="00194A82" w:rsidP="00194A82">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Al respecto, </w:t>
      </w:r>
      <w:r w:rsidRPr="005A75AB">
        <w:rPr>
          <w:rFonts w:ascii="Verdana" w:eastAsia="Calibri" w:hAnsi="Verdana" w:cs="Arial"/>
          <w:lang w:val="es-ES"/>
        </w:rPr>
        <w:t xml:space="preserve">es preciso advertir que, el ejercicio de la facultad discrecional en orden de aplicar la limitación territorial en favor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con domicilio en un municipio </w:t>
      </w:r>
      <w:r>
        <w:rPr>
          <w:rFonts w:ascii="Verdana" w:eastAsia="Calibri" w:hAnsi="Verdana" w:cs="Arial"/>
          <w:lang w:val="es-ES"/>
        </w:rPr>
        <w:t xml:space="preserve">o </w:t>
      </w:r>
      <w:r w:rsidRPr="005A75AB">
        <w:rPr>
          <w:rFonts w:ascii="Verdana" w:eastAsia="Calibri" w:hAnsi="Verdana" w:cs="Arial"/>
          <w:lang w:val="es-ES"/>
        </w:rPr>
        <w:t xml:space="preserve">en un departamento específico debe hacerse dentro del marco de lo regulado por el artículo 2.2.1.2.4.2.3 </w:t>
      </w:r>
      <w:proofErr w:type="spellStart"/>
      <w:r w:rsidRPr="005A75AB">
        <w:rPr>
          <w:rFonts w:ascii="Verdana" w:eastAsia="Calibri" w:hAnsi="Verdana" w:cs="Arial"/>
          <w:i/>
          <w:iCs/>
          <w:lang w:val="es-ES"/>
        </w:rPr>
        <w:t>ejusdem</w:t>
      </w:r>
      <w:proofErr w:type="spellEnd"/>
      <w:r w:rsidRPr="005A75AB">
        <w:rPr>
          <w:rFonts w:ascii="Verdana" w:eastAsia="Calibri" w:hAnsi="Verdana" w:cs="Arial"/>
          <w:lang w:val="es-ES"/>
        </w:rPr>
        <w:t xml:space="preserve">, el cual establece como presupuesto que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tengan su domicilio en el lugar en donde se va a ejecutar el contrato. Esto significa que, en el marco de estas convocatorias, la exigibilidad de que el domicilio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se ubique en un único municipio en particular o en alguno de los municipios que conforman un departamento en concreto, está ligada al ámbito territorial en el que se va a desarrollar el objeto contractual. </w:t>
      </w:r>
    </w:p>
    <w:p w14:paraId="2B448A2A" w14:textId="77777777" w:rsidR="00194A82" w:rsidRDefault="00194A82" w:rsidP="00194A82">
      <w:pPr>
        <w:spacing w:after="120" w:line="276" w:lineRule="auto"/>
        <w:ind w:firstLine="708"/>
        <w:jc w:val="both"/>
        <w:rPr>
          <w:rFonts w:ascii="Verdana" w:eastAsia="Calibri" w:hAnsi="Verdana" w:cs="Arial"/>
          <w:lang w:val="es-ES"/>
        </w:rPr>
      </w:pPr>
      <w:r w:rsidRPr="005A75AB">
        <w:rPr>
          <w:rFonts w:ascii="Verdana" w:eastAsia="Calibri" w:hAnsi="Verdana" w:cs="Arial"/>
          <w:lang w:val="es-ES"/>
        </w:rPr>
        <w:t xml:space="preserve">De este modo, en el caso de un contrato que se va a ejecutar en su totalidad dentro del territorio de un municipio, la limitación territorial debe aplicarse en favor de las </w:t>
      </w:r>
      <w:proofErr w:type="spellStart"/>
      <w:r w:rsidRPr="005A75AB">
        <w:rPr>
          <w:rFonts w:ascii="Verdana" w:eastAsia="Calibri" w:hAnsi="Verdana" w:cs="Arial"/>
          <w:lang w:val="es-ES"/>
        </w:rPr>
        <w:t>Mipyme</w:t>
      </w:r>
      <w:proofErr w:type="spellEnd"/>
      <w:r w:rsidRPr="005A75AB">
        <w:rPr>
          <w:rFonts w:ascii="Verdana" w:eastAsia="Calibri" w:hAnsi="Verdana" w:cs="Arial"/>
          <w:lang w:val="es-ES"/>
        </w:rPr>
        <w:t xml:space="preserv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7F752B72" w14:textId="77777777" w:rsidR="00194A82" w:rsidRDefault="00194A82" w:rsidP="00194A82">
      <w:pPr>
        <w:spacing w:after="120" w:line="276" w:lineRule="auto"/>
        <w:ind w:firstLine="708"/>
        <w:jc w:val="both"/>
        <w:rPr>
          <w:rFonts w:ascii="Verdana" w:eastAsia="Calibri" w:hAnsi="Verdana" w:cs="Arial"/>
          <w:lang w:val="es-ES"/>
        </w:rPr>
      </w:pPr>
      <w:r>
        <w:rPr>
          <w:rFonts w:ascii="Verdana" w:eastAsia="Calibri" w:hAnsi="Verdana" w:cs="Arial"/>
          <w:lang w:val="es-MX"/>
        </w:rPr>
        <w:t>Así las cosas, esta</w:t>
      </w:r>
      <w:r>
        <w:rPr>
          <w:rFonts w:ascii="Verdana" w:eastAsia="Calibri" w:hAnsi="Verdana" w:cs="Arial"/>
        </w:rPr>
        <w:t xml:space="preserve"> Agencia considera que lo recomendable es que las entidades establezcan </w:t>
      </w:r>
      <w:r>
        <w:rPr>
          <w:rFonts w:ascii="Verdana" w:eastAsia="Calibri" w:hAnsi="Verdana" w:cs="Arial"/>
          <w:i/>
          <w:iCs/>
        </w:rPr>
        <w:t>ex ante</w:t>
      </w:r>
      <w:r>
        <w:rPr>
          <w:rFonts w:ascii="Verdana" w:eastAsia="Calibri" w:hAnsi="Verdana" w:cs="Arial"/>
        </w:rPr>
        <w:t xml:space="preserve"> las condiciones en las que, eventualmente, harían la “limitación territorial”. Para tales fines, en los documentos del proceso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Pr>
          <w:rFonts w:ascii="Verdana" w:eastAsia="Calibri" w:hAnsi="Verdana" w:cs="Arial"/>
        </w:rPr>
        <w:t>Mipymes</w:t>
      </w:r>
      <w:proofErr w:type="spellEnd"/>
      <w:r>
        <w:rPr>
          <w:rFonts w:ascii="Verdana" w:eastAsia="Calibri" w:hAnsi="Verdana" w:cs="Arial"/>
        </w:rPr>
        <w:t>, por ejemplo, en relación con cuál o cuáles municipios o departamentos harían la limitación territorial de que trata el artículo 2.2.1.2.4.2.3. del Decreto 1082 de 2015.</w:t>
      </w:r>
    </w:p>
    <w:p w14:paraId="4D10AB7A" w14:textId="77777777" w:rsidR="00194A82" w:rsidRPr="004147BC" w:rsidRDefault="00194A82" w:rsidP="00194A82">
      <w:pPr>
        <w:spacing w:after="120" w:line="276" w:lineRule="auto"/>
        <w:ind w:firstLine="708"/>
        <w:jc w:val="both"/>
        <w:rPr>
          <w:rFonts w:ascii="Verdana" w:eastAsia="Calibri" w:hAnsi="Verdana" w:cs="Arial"/>
          <w:lang w:val="es-ES"/>
        </w:rPr>
      </w:pPr>
      <w:r w:rsidRPr="004147BC">
        <w:rPr>
          <w:rFonts w:ascii="Verdana" w:eastAsia="Calibri" w:hAnsi="Verdana" w:cs="Arial"/>
          <w:lang w:val="es-ES"/>
        </w:rPr>
        <w:t xml:space="preserve">En este contexto, y de acuerdo con el objeto de la consulta, si bien la limitación territorial prevista en el artículo 2.2.1.2.4.2.3 del Decreto 1082 de 2015 faculta a las entidades estatales para </w:t>
      </w:r>
      <w:r>
        <w:rPr>
          <w:rFonts w:ascii="Verdana" w:eastAsia="Calibri" w:hAnsi="Verdana" w:cs="Arial"/>
          <w:lang w:val="es-ES"/>
        </w:rPr>
        <w:t>limitar</w:t>
      </w:r>
      <w:r w:rsidRPr="004147BC">
        <w:rPr>
          <w:rFonts w:ascii="Verdana" w:eastAsia="Calibri" w:hAnsi="Verdana" w:cs="Arial"/>
          <w:lang w:val="es-ES"/>
        </w:rPr>
        <w:t xml:space="preserve"> la convocatoria a</w:t>
      </w:r>
      <w:r>
        <w:rPr>
          <w:rFonts w:ascii="Verdana" w:eastAsia="Calibri" w:hAnsi="Verdana" w:cs="Arial"/>
          <w:lang w:val="es-ES"/>
        </w:rPr>
        <w:t xml:space="preserve"> las</w:t>
      </w:r>
      <w:r w:rsidRPr="004147BC">
        <w:rPr>
          <w:rFonts w:ascii="Verdana" w:eastAsia="Calibri" w:hAnsi="Verdana" w:cs="Arial"/>
          <w:lang w:val="es-ES"/>
        </w:rPr>
        <w:t xml:space="preserve"> </w:t>
      </w:r>
      <w:proofErr w:type="spellStart"/>
      <w:r>
        <w:rPr>
          <w:rFonts w:ascii="Verdana" w:eastAsia="Calibri" w:hAnsi="Verdana" w:cs="Arial"/>
          <w:lang w:val="es-ES"/>
        </w:rPr>
        <w:t>M</w:t>
      </w:r>
      <w:r w:rsidRPr="004147BC">
        <w:rPr>
          <w:rFonts w:ascii="Verdana" w:eastAsia="Calibri" w:hAnsi="Verdana" w:cs="Arial"/>
          <w:lang w:val="es-ES"/>
        </w:rPr>
        <w:t>ipyme</w:t>
      </w:r>
      <w:r>
        <w:rPr>
          <w:rFonts w:ascii="Verdana" w:eastAsia="Calibri" w:hAnsi="Verdana" w:cs="Arial"/>
          <w:lang w:val="es-ES"/>
        </w:rPr>
        <w:t>s</w:t>
      </w:r>
      <w:proofErr w:type="spellEnd"/>
      <w:r w:rsidRPr="004147BC">
        <w:rPr>
          <w:rFonts w:ascii="Verdana" w:eastAsia="Calibri" w:hAnsi="Verdana" w:cs="Arial"/>
          <w:lang w:val="es-ES"/>
        </w:rPr>
        <w:t xml:space="preserve"> domiciliadas en un determinado municipio o departamento, dicha potestad no </w:t>
      </w:r>
      <w:r w:rsidRPr="004147BC">
        <w:rPr>
          <w:rFonts w:ascii="Verdana" w:eastAsia="Calibri" w:hAnsi="Verdana" w:cs="Arial"/>
          <w:lang w:val="es-ES"/>
        </w:rPr>
        <w:lastRenderedPageBreak/>
        <w:t>puede interpretarse de manera discrecional. La habilitación normativa responde a un criterio objetivo y funcional relacionado con el lugar de ejecución del objeto contractual, de modo que la delimitación territorial debe guardar correspondencia directa con el ámbito geográfico en el que se desarrollará el contrato.</w:t>
      </w:r>
    </w:p>
    <w:p w14:paraId="138F32ED" w14:textId="77777777" w:rsidR="00194A82" w:rsidRDefault="00194A82" w:rsidP="00194A82">
      <w:pPr>
        <w:spacing w:after="120" w:line="276" w:lineRule="auto"/>
        <w:ind w:firstLine="708"/>
        <w:jc w:val="both"/>
        <w:rPr>
          <w:rFonts w:ascii="Verdana" w:eastAsia="Calibri" w:hAnsi="Verdana" w:cs="Arial"/>
          <w:lang w:val="es-ES"/>
        </w:rPr>
      </w:pPr>
      <w:r w:rsidRPr="004147BC">
        <w:rPr>
          <w:rFonts w:ascii="Verdana" w:eastAsia="Calibri" w:hAnsi="Verdana" w:cs="Arial"/>
          <w:lang w:val="es-ES"/>
        </w:rPr>
        <w:t xml:space="preserve">En consecuencia, aunque la disposición admite una </w:t>
      </w:r>
      <w:r>
        <w:rPr>
          <w:rFonts w:ascii="Verdana" w:eastAsia="Calibri" w:hAnsi="Verdana" w:cs="Arial"/>
          <w:lang w:val="es-ES"/>
        </w:rPr>
        <w:t>limitación</w:t>
      </w:r>
      <w:r w:rsidRPr="004147BC">
        <w:rPr>
          <w:rFonts w:ascii="Verdana" w:eastAsia="Calibri" w:hAnsi="Verdana" w:cs="Arial"/>
          <w:lang w:val="es-ES"/>
        </w:rPr>
        <w:t xml:space="preserve"> indirecta a la participación</w:t>
      </w:r>
      <w:r>
        <w:rPr>
          <w:rFonts w:ascii="Verdana" w:eastAsia="Calibri" w:hAnsi="Verdana" w:cs="Arial"/>
          <w:lang w:val="es-ES"/>
        </w:rPr>
        <w:t xml:space="preserve">, </w:t>
      </w:r>
      <w:r w:rsidRPr="004147BC">
        <w:rPr>
          <w:rFonts w:ascii="Verdana" w:eastAsia="Calibri" w:hAnsi="Verdana" w:cs="Arial"/>
          <w:lang w:val="es-ES"/>
        </w:rPr>
        <w:t xml:space="preserve">en tanto únicamente podrán concurrir las </w:t>
      </w:r>
      <w:proofErr w:type="spellStart"/>
      <w:r>
        <w:rPr>
          <w:rFonts w:ascii="Verdana" w:eastAsia="Calibri" w:hAnsi="Verdana" w:cs="Arial"/>
          <w:lang w:val="es-ES"/>
        </w:rPr>
        <w:t>M</w:t>
      </w:r>
      <w:r w:rsidRPr="004147BC">
        <w:rPr>
          <w:rFonts w:ascii="Verdana" w:eastAsia="Calibri" w:hAnsi="Verdana" w:cs="Arial"/>
          <w:lang w:val="es-ES"/>
        </w:rPr>
        <w:t>ipymes</w:t>
      </w:r>
      <w:proofErr w:type="spellEnd"/>
      <w:r w:rsidRPr="004147BC">
        <w:rPr>
          <w:rFonts w:ascii="Verdana" w:eastAsia="Calibri" w:hAnsi="Verdana" w:cs="Arial"/>
          <w:lang w:val="es-ES"/>
        </w:rPr>
        <w:t xml:space="preserve"> domiciliadas en </w:t>
      </w:r>
      <w:r>
        <w:rPr>
          <w:rFonts w:ascii="Verdana" w:eastAsia="Calibri" w:hAnsi="Verdana" w:cs="Arial"/>
          <w:lang w:val="es-ES"/>
        </w:rPr>
        <w:t>el</w:t>
      </w:r>
      <w:r w:rsidRPr="004147BC">
        <w:rPr>
          <w:rFonts w:ascii="Verdana" w:eastAsia="Calibri" w:hAnsi="Verdana" w:cs="Arial"/>
          <w:lang w:val="es-ES"/>
        </w:rPr>
        <w:t xml:space="preserve"> respectiv</w:t>
      </w:r>
      <w:r>
        <w:rPr>
          <w:rFonts w:ascii="Verdana" w:eastAsia="Calibri" w:hAnsi="Verdana" w:cs="Arial"/>
          <w:lang w:val="es-ES"/>
        </w:rPr>
        <w:t>o departamento o municipio en donde se ejecutará el contrato</w:t>
      </w:r>
      <w:r w:rsidRPr="004147BC">
        <w:rPr>
          <w:rFonts w:ascii="Verdana" w:eastAsia="Calibri" w:hAnsi="Verdana" w:cs="Arial"/>
          <w:lang w:val="es-ES"/>
        </w:rPr>
        <w:t xml:space="preserve">, ello no significa que la entidad estatal pueda </w:t>
      </w:r>
      <w:r>
        <w:rPr>
          <w:rFonts w:ascii="Verdana" w:eastAsia="Calibri" w:hAnsi="Verdana" w:cs="Arial"/>
          <w:lang w:val="es-ES"/>
        </w:rPr>
        <w:t>establecer</w:t>
      </w:r>
      <w:r w:rsidRPr="004147BC">
        <w:rPr>
          <w:rFonts w:ascii="Verdana" w:eastAsia="Calibri" w:hAnsi="Verdana" w:cs="Arial"/>
          <w:lang w:val="es-ES"/>
        </w:rPr>
        <w:t xml:space="preserve"> limitaciones orientadas a excluir selectivamente determinados municipios o zonas específicas</w:t>
      </w:r>
      <w:r>
        <w:rPr>
          <w:rFonts w:ascii="Verdana" w:eastAsia="Calibri" w:hAnsi="Verdana" w:cs="Arial"/>
          <w:lang w:val="es-ES"/>
        </w:rPr>
        <w:t xml:space="preserve"> si estos hacen parte del respectivo departamento y del lugar ejecución del contrato. L</w:t>
      </w:r>
      <w:r w:rsidRPr="004147BC">
        <w:rPr>
          <w:rFonts w:ascii="Verdana" w:eastAsia="Calibri" w:hAnsi="Verdana" w:cs="Arial"/>
          <w:lang w:val="es-ES"/>
        </w:rPr>
        <w:t xml:space="preserve">a </w:t>
      </w:r>
      <w:r>
        <w:rPr>
          <w:rFonts w:ascii="Verdana" w:eastAsia="Calibri" w:hAnsi="Verdana" w:cs="Arial"/>
          <w:lang w:val="es-ES"/>
        </w:rPr>
        <w:t>norma</w:t>
      </w:r>
      <w:r w:rsidRPr="004147BC">
        <w:rPr>
          <w:rFonts w:ascii="Verdana" w:eastAsia="Calibri" w:hAnsi="Verdana" w:cs="Arial"/>
          <w:lang w:val="es-ES"/>
        </w:rPr>
        <w:t xml:space="preserve"> no contempla la posibilidad de establecer exclusiones territoriales fragmentadas o diferenciadas con fundamento en criterios distintos al lugar de ejecución contractual.</w:t>
      </w:r>
      <w:r>
        <w:rPr>
          <w:rFonts w:ascii="Verdana" w:eastAsia="Calibri" w:hAnsi="Verdana" w:cs="Arial"/>
          <w:lang w:val="es-ES"/>
        </w:rPr>
        <w:t xml:space="preserve"> L</w:t>
      </w:r>
      <w:r w:rsidRPr="004147BC">
        <w:rPr>
          <w:rFonts w:ascii="Verdana" w:eastAsia="Calibri" w:hAnsi="Verdana" w:cs="Arial"/>
          <w:lang w:val="es-ES"/>
        </w:rPr>
        <w:t xml:space="preserve">o contrario implicaría admitir que la entidad contratante puede introducir </w:t>
      </w:r>
      <w:r>
        <w:rPr>
          <w:rFonts w:ascii="Verdana" w:eastAsia="Calibri" w:hAnsi="Verdana" w:cs="Arial"/>
          <w:lang w:val="es-ES"/>
        </w:rPr>
        <w:t xml:space="preserve">limitaciones a convocatorias </w:t>
      </w:r>
      <w:r w:rsidRPr="004147BC">
        <w:rPr>
          <w:rFonts w:ascii="Verdana" w:eastAsia="Calibri" w:hAnsi="Verdana" w:cs="Arial"/>
          <w:lang w:val="es-ES"/>
        </w:rPr>
        <w:t>no previstas por el legislador, afectando los principios de igualdad, libre concurrencia y selección objetiva.</w:t>
      </w:r>
      <w:r>
        <w:rPr>
          <w:rFonts w:ascii="Verdana" w:eastAsia="Calibri" w:hAnsi="Verdana" w:cs="Arial"/>
          <w:lang w:val="es-ES"/>
        </w:rPr>
        <w:t xml:space="preserve"> </w:t>
      </w:r>
    </w:p>
    <w:p w14:paraId="77A16C23" w14:textId="77777777" w:rsidR="00194A82" w:rsidRPr="00935A34" w:rsidRDefault="00194A82" w:rsidP="00194A82">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Al respecto, debe resaltarse que </w:t>
      </w:r>
      <w:r>
        <w:rPr>
          <w:rFonts w:ascii="Verdana" w:eastAsia="Calibri" w:hAnsi="Verdana" w:cs="Arial"/>
        </w:rPr>
        <w:t>e</w:t>
      </w:r>
      <w:r w:rsidRPr="000D7AB3">
        <w:rPr>
          <w:rFonts w:ascii="Verdana" w:eastAsia="Calibri" w:hAnsi="Verdana" w:cs="Arial"/>
        </w:rPr>
        <w:t xml:space="preserve">l enfoque actual del marco normativo busca que las Entidades Estatales incorporen prácticas activas de planeación participativa e inclusiva que fortalezcan la participación de las </w:t>
      </w:r>
      <w:proofErr w:type="spellStart"/>
      <w:r w:rsidRPr="000D7AB3">
        <w:rPr>
          <w:rFonts w:ascii="Verdana" w:eastAsia="Calibri" w:hAnsi="Verdana" w:cs="Arial"/>
        </w:rPr>
        <w:t>Mipymes</w:t>
      </w:r>
      <w:proofErr w:type="spellEnd"/>
      <w:r w:rsidRPr="000D7AB3">
        <w:rPr>
          <w:rFonts w:ascii="Verdana" w:eastAsia="Calibri" w:hAnsi="Verdana" w:cs="Arial"/>
        </w:rPr>
        <w:t xml:space="preserve"> y de otras unidades económicas de menor escala</w:t>
      </w:r>
      <w:r>
        <w:rPr>
          <w:rFonts w:ascii="Verdana" w:eastAsia="Calibri" w:hAnsi="Verdana" w:cs="Arial"/>
        </w:rPr>
        <w:t xml:space="preserve"> y, </w:t>
      </w:r>
      <w:r w:rsidRPr="000D7AB3">
        <w:rPr>
          <w:rFonts w:ascii="Verdana" w:eastAsia="Calibri" w:hAnsi="Verdana" w:cs="Arial"/>
        </w:rPr>
        <w:t>orienten sus estrategias de contratación hacia el fortalecimiento de la economía local y regional, procurando que las oportunidades de contratación pública promuevan el desarrollo territorial.</w:t>
      </w:r>
      <w:r w:rsidRPr="00B023E5">
        <w:rPr>
          <w:rFonts w:ascii="Verdana" w:eastAsia="Calibri" w:hAnsi="Verdana" w:cs="Arial"/>
        </w:rPr>
        <w:t xml:space="preserve"> </w:t>
      </w:r>
      <w:r>
        <w:rPr>
          <w:rFonts w:ascii="Verdana" w:eastAsia="Calibri" w:hAnsi="Verdana" w:cs="Arial"/>
        </w:rPr>
        <w:t xml:space="preserve">De esta manera, </w:t>
      </w:r>
      <w:r w:rsidRPr="000D7AB3">
        <w:rPr>
          <w:rFonts w:ascii="Verdana" w:eastAsia="Calibri" w:hAnsi="Verdana" w:cs="Arial"/>
        </w:rPr>
        <w:t xml:space="preserve">la limitación territorial se erige como una herramienta complementaria dentro de este ecosistema normativo, destinada a fomentar la vinculación de </w:t>
      </w:r>
      <w:proofErr w:type="spellStart"/>
      <w:r w:rsidRPr="000D7AB3">
        <w:rPr>
          <w:rFonts w:ascii="Verdana" w:eastAsia="Calibri" w:hAnsi="Verdana" w:cs="Arial"/>
        </w:rPr>
        <w:t>Mipymes</w:t>
      </w:r>
      <w:proofErr w:type="spellEnd"/>
      <w:r w:rsidRPr="000D7AB3">
        <w:rPr>
          <w:rFonts w:ascii="Verdana" w:eastAsia="Calibri" w:hAnsi="Verdana" w:cs="Arial"/>
        </w:rPr>
        <w:t xml:space="preserve"> domiciliadas en los territorios donde se ejecutan los contratos, generando encadenamientos productivos y fortalecimiento regional.</w:t>
      </w:r>
      <w:r>
        <w:rPr>
          <w:rFonts w:ascii="Verdana" w:eastAsia="Calibri" w:hAnsi="Verdana" w:cs="Arial"/>
        </w:rPr>
        <w:t xml:space="preserve"> </w:t>
      </w:r>
    </w:p>
    <w:p w14:paraId="06BE63D8" w14:textId="77777777" w:rsidR="00194A82" w:rsidRDefault="00194A82" w:rsidP="00194A82">
      <w:pPr>
        <w:spacing w:after="120" w:line="276" w:lineRule="auto"/>
        <w:ind w:firstLine="708"/>
        <w:jc w:val="both"/>
        <w:rPr>
          <w:rFonts w:ascii="Verdana" w:eastAsia="Calibri" w:hAnsi="Verdana" w:cs="Arial"/>
        </w:rPr>
      </w:pPr>
      <w:r w:rsidRPr="004147BC">
        <w:rPr>
          <w:rFonts w:ascii="Verdana" w:eastAsia="Calibri" w:hAnsi="Verdana" w:cs="Arial"/>
          <w:lang w:val="es-ES"/>
        </w:rPr>
        <w:t xml:space="preserve">Así las cosas, una decisión orientada a excluir un municipio en particular, pese a encontrarse comprendido dentro del ámbito territorial relacionado con la ejecución del objeto contractual, desbordaría </w:t>
      </w:r>
      <w:r>
        <w:rPr>
          <w:rFonts w:ascii="Verdana" w:eastAsia="Calibri" w:hAnsi="Verdana" w:cs="Arial"/>
          <w:lang w:val="es-ES"/>
        </w:rPr>
        <w:t>la finalidad</w:t>
      </w:r>
      <w:r w:rsidRPr="004147BC">
        <w:rPr>
          <w:rFonts w:ascii="Verdana" w:eastAsia="Calibri" w:hAnsi="Verdana" w:cs="Arial"/>
          <w:lang w:val="es-ES"/>
        </w:rPr>
        <w:t xml:space="preserve"> establecid</w:t>
      </w:r>
      <w:r>
        <w:rPr>
          <w:rFonts w:ascii="Verdana" w:eastAsia="Calibri" w:hAnsi="Verdana" w:cs="Arial"/>
          <w:lang w:val="es-ES"/>
        </w:rPr>
        <w:t>a</w:t>
      </w:r>
      <w:r w:rsidRPr="004147BC">
        <w:rPr>
          <w:rFonts w:ascii="Verdana" w:eastAsia="Calibri" w:hAnsi="Verdana" w:cs="Arial"/>
          <w:lang w:val="es-ES"/>
        </w:rPr>
        <w:t xml:space="preserve"> en el </w:t>
      </w:r>
      <w:r>
        <w:rPr>
          <w:rFonts w:ascii="Verdana" w:eastAsia="Calibri" w:hAnsi="Verdana" w:cs="Arial"/>
          <w:lang w:val="es-ES"/>
        </w:rPr>
        <w:t xml:space="preserve">artículo </w:t>
      </w:r>
      <w:r w:rsidRPr="004147BC">
        <w:rPr>
          <w:rFonts w:ascii="Verdana" w:eastAsia="Calibri" w:hAnsi="Verdana" w:cs="Arial"/>
          <w:lang w:val="es-ES"/>
        </w:rPr>
        <w:t>2.2.1.2.4.2.3 del Decreto 1082 de 2015. Ello, por cuanto la determinación dejaría de sustentarse en el criterio principal previsto por la norma</w:t>
      </w:r>
      <w:r>
        <w:rPr>
          <w:rFonts w:ascii="Verdana" w:eastAsia="Calibri" w:hAnsi="Verdana" w:cs="Arial"/>
          <w:lang w:val="es-ES"/>
        </w:rPr>
        <w:t xml:space="preserve">, </w:t>
      </w:r>
      <w:r w:rsidRPr="004147BC">
        <w:rPr>
          <w:rFonts w:ascii="Verdana" w:eastAsia="Calibri" w:hAnsi="Verdana" w:cs="Arial"/>
          <w:lang w:val="es-ES"/>
        </w:rPr>
        <w:t>esto es, el lugar de ejecución del contrato</w:t>
      </w:r>
      <w:r>
        <w:rPr>
          <w:rFonts w:ascii="Verdana" w:eastAsia="Calibri" w:hAnsi="Verdana" w:cs="Arial"/>
          <w:lang w:val="es-ES"/>
        </w:rPr>
        <w:t>,</w:t>
      </w:r>
      <w:r w:rsidRPr="004147BC">
        <w:rPr>
          <w:rFonts w:ascii="Verdana" w:eastAsia="Calibri" w:hAnsi="Verdana" w:cs="Arial"/>
          <w:lang w:val="es-ES"/>
        </w:rPr>
        <w:t xml:space="preserve"> para apoyarse en consideraciones ajenas a la finalidad de la medida, lo que podría comprometer la legalidad de la actuación administrativa y la validez de las reglas del proceso </w:t>
      </w:r>
      <w:r w:rsidRPr="004147BC">
        <w:rPr>
          <w:rFonts w:ascii="Verdana" w:eastAsia="Calibri" w:hAnsi="Verdana" w:cs="Arial"/>
          <w:lang w:val="es-ES"/>
        </w:rPr>
        <w:lastRenderedPageBreak/>
        <w:t>de selección.</w:t>
      </w:r>
      <w:r>
        <w:rPr>
          <w:rFonts w:ascii="Verdana" w:eastAsia="Calibri" w:hAnsi="Verdana" w:cs="Arial"/>
          <w:lang w:val="es-ES"/>
        </w:rPr>
        <w:t xml:space="preserve"> </w:t>
      </w:r>
      <w:r>
        <w:rPr>
          <w:rFonts w:ascii="Verdana" w:eastAsia="Calibri" w:hAnsi="Verdana" w:cs="Arial"/>
        </w:rPr>
        <w:t>Por tanto</w:t>
      </w:r>
      <w:r w:rsidRPr="000D7AB3">
        <w:rPr>
          <w:rFonts w:ascii="Verdana" w:eastAsia="Calibri" w:hAnsi="Verdana" w:cs="Arial"/>
        </w:rPr>
        <w:t xml:space="preserve">, la decisión de aplicar una limitación territorial debe basarse en criterios técnicos que demuestren que tal medida contribuye efectivamente a los fines de promoción empresarial y desarrollo regional previstos en </w:t>
      </w:r>
      <w:r>
        <w:rPr>
          <w:rFonts w:ascii="Verdana" w:eastAsia="Calibri" w:hAnsi="Verdana" w:cs="Arial"/>
        </w:rPr>
        <w:t>el ordenamiento jurídico</w:t>
      </w:r>
      <w:r w:rsidRPr="000D7AB3">
        <w:rPr>
          <w:rFonts w:ascii="Verdana" w:eastAsia="Calibri" w:hAnsi="Verdana" w:cs="Arial"/>
        </w:rPr>
        <w:t>s.</w:t>
      </w:r>
    </w:p>
    <w:p w14:paraId="510902F3" w14:textId="77777777" w:rsidR="00194A82" w:rsidRDefault="00194A82" w:rsidP="00194A82">
      <w:pPr>
        <w:spacing w:after="120" w:line="276" w:lineRule="auto"/>
        <w:ind w:firstLine="708"/>
        <w:jc w:val="both"/>
        <w:rPr>
          <w:rFonts w:ascii="Verdana" w:eastAsia="Calibri" w:hAnsi="Verdana" w:cs="Arial"/>
        </w:rPr>
      </w:pPr>
      <w:r w:rsidRPr="00317680">
        <w:rPr>
          <w:rFonts w:ascii="Verdana" w:eastAsia="Calibri" w:hAnsi="Verdana" w:cs="Arial"/>
        </w:rPr>
        <w:t xml:space="preserve">En síntesis, la limitación territorial prevista en el artículo 2.2.1.2.4.2.3 del Decreto 1082 de 2015, modificado por el Decreto 1860 de 2021, constituye una facultad discrecional de la Entidad Estatal, cuyo ejercicio debe estar precedido por la verificación de los requisitos que habilitan la limitación general a </w:t>
      </w:r>
      <w:proofErr w:type="spellStart"/>
      <w:r w:rsidRPr="00317680">
        <w:rPr>
          <w:rFonts w:ascii="Verdana" w:eastAsia="Calibri" w:hAnsi="Verdana" w:cs="Arial"/>
        </w:rPr>
        <w:t>Mipymes</w:t>
      </w:r>
      <w:proofErr w:type="spellEnd"/>
      <w:r w:rsidRPr="00317680">
        <w:rPr>
          <w:rFonts w:ascii="Verdana" w:eastAsia="Calibri" w:hAnsi="Verdana" w:cs="Arial"/>
        </w:rPr>
        <w:t xml:space="preserve"> y sustentarse en una justificación técnica contenida en los estudios del sector. Esta medida no opera de pleno derecho, ni depende del número de solicitudes presentadas por </w:t>
      </w:r>
      <w:proofErr w:type="spellStart"/>
      <w:r w:rsidRPr="00317680">
        <w:rPr>
          <w:rFonts w:ascii="Verdana" w:eastAsia="Calibri" w:hAnsi="Verdana" w:cs="Arial"/>
        </w:rPr>
        <w:t>Mipymes</w:t>
      </w:r>
      <w:proofErr w:type="spellEnd"/>
      <w:r w:rsidRPr="00317680">
        <w:rPr>
          <w:rFonts w:ascii="Verdana" w:eastAsia="Calibri" w:hAnsi="Verdana" w:cs="Arial"/>
        </w:rPr>
        <w:t xml:space="preserve"> de distintos ámbitos, sino de la conveniencia y coherencia que guarde con el lugar o lugares de ejecución del contrato. En ese sentido, cuando la ejecución contractual se circunscribe a un único municipio, la limitación podrá aplicarse respecto de las </w:t>
      </w:r>
      <w:proofErr w:type="spellStart"/>
      <w:r w:rsidRPr="00317680">
        <w:rPr>
          <w:rFonts w:ascii="Verdana" w:eastAsia="Calibri" w:hAnsi="Verdana" w:cs="Arial"/>
        </w:rPr>
        <w:t>Mipymes</w:t>
      </w:r>
      <w:proofErr w:type="spellEnd"/>
      <w:r w:rsidRPr="00317680">
        <w:rPr>
          <w:rFonts w:ascii="Verdana" w:eastAsia="Calibri" w:hAnsi="Verdana" w:cs="Arial"/>
        </w:rPr>
        <w:t xml:space="preserve"> con domicilio principal en es</w:t>
      </w:r>
      <w:r>
        <w:rPr>
          <w:rFonts w:ascii="Verdana" w:eastAsia="Calibri" w:hAnsi="Verdana" w:cs="Arial"/>
        </w:rPr>
        <w:t>e territorio</w:t>
      </w:r>
      <w:r w:rsidRPr="00317680">
        <w:rPr>
          <w:rFonts w:ascii="Verdana" w:eastAsia="Calibri" w:hAnsi="Verdana" w:cs="Arial"/>
        </w:rPr>
        <w:t xml:space="preserve">, mientras que, si la ejecución abarca varios municipios pertenecientes a un mismo departamento, la entidad podrá extender la limitación a las </w:t>
      </w:r>
      <w:proofErr w:type="spellStart"/>
      <w:r w:rsidRPr="00317680">
        <w:rPr>
          <w:rFonts w:ascii="Verdana" w:eastAsia="Calibri" w:hAnsi="Verdana" w:cs="Arial"/>
        </w:rPr>
        <w:t>Mipymes</w:t>
      </w:r>
      <w:proofErr w:type="spellEnd"/>
      <w:r w:rsidRPr="00317680">
        <w:rPr>
          <w:rFonts w:ascii="Verdana" w:eastAsia="Calibri" w:hAnsi="Verdana" w:cs="Arial"/>
        </w:rPr>
        <w:t xml:space="preserve"> con domicilio en cualquiera de ellos, dentro del ámbito departamental correspondiente</w:t>
      </w:r>
      <w:r>
        <w:rPr>
          <w:rFonts w:ascii="Verdana" w:eastAsia="Calibri" w:hAnsi="Verdana" w:cs="Arial"/>
        </w:rPr>
        <w:t>, pero no la exclusión expresa de alguno de ellos</w:t>
      </w:r>
      <w:r w:rsidRPr="00317680">
        <w:rPr>
          <w:rFonts w:ascii="Verdana" w:eastAsia="Calibri" w:hAnsi="Verdana" w:cs="Arial"/>
        </w:rPr>
        <w:t xml:space="preserve">. </w:t>
      </w:r>
    </w:p>
    <w:p w14:paraId="61C307EE" w14:textId="77777777" w:rsidR="00194A82" w:rsidRDefault="00194A82" w:rsidP="00194A82">
      <w:pPr>
        <w:spacing w:line="276" w:lineRule="auto"/>
        <w:ind w:firstLine="709"/>
        <w:jc w:val="both"/>
        <w:rPr>
          <w:rFonts w:ascii="Verdana" w:eastAsia="Calibri" w:hAnsi="Verdana" w:cs="Arial"/>
        </w:rPr>
      </w:pPr>
      <w:r>
        <w:rPr>
          <w:rFonts w:ascii="Verdana" w:eastAsia="Calibri" w:hAnsi="Verdana" w:cs="Arial"/>
        </w:rPr>
        <w:t>Por consiguiente, n</w:t>
      </w:r>
      <w:r w:rsidRPr="00317680">
        <w:rPr>
          <w:rFonts w:ascii="Verdana" w:eastAsia="Calibri" w:hAnsi="Verdana" w:cs="Arial"/>
        </w:rPr>
        <w:t>o es jurídicamente procedente configurar circunscripciones diferentes a las expresamente contempladas por la norma</w:t>
      </w:r>
      <w:r>
        <w:rPr>
          <w:rFonts w:ascii="Verdana" w:eastAsia="Calibri" w:hAnsi="Verdana" w:cs="Arial"/>
        </w:rPr>
        <w:t xml:space="preserve">, </w:t>
      </w:r>
      <w:r w:rsidRPr="00317680">
        <w:rPr>
          <w:rFonts w:ascii="Verdana" w:eastAsia="Calibri" w:hAnsi="Verdana" w:cs="Arial"/>
        </w:rPr>
        <w:t xml:space="preserve">esto es, municipal o departamental, pues el reglamento delimita con precisión el alcance territorial de la medida. En todo caso, la decisión debe obedecer a criterios de razonabilidad y proporcionalidad, orientados a garantizar que la medida contribuya efectivamente al propósito de la Ley 2069 de 2020 y del conjunto normativo de fomento empresarial y desarrollo regional que buscan promover la participación de las </w:t>
      </w:r>
      <w:proofErr w:type="spellStart"/>
      <w:r w:rsidRPr="00317680">
        <w:rPr>
          <w:rFonts w:ascii="Verdana" w:eastAsia="Calibri" w:hAnsi="Verdana" w:cs="Arial"/>
        </w:rPr>
        <w:t>Mipymes</w:t>
      </w:r>
      <w:proofErr w:type="spellEnd"/>
      <w:r w:rsidRPr="00317680">
        <w:rPr>
          <w:rFonts w:ascii="Verdana" w:eastAsia="Calibri" w:hAnsi="Verdana" w:cs="Arial"/>
        </w:rPr>
        <w:t xml:space="preserve"> y unidades económicas de menor escala en el mercado de compras públicas, fortaleciendo el tejido productivo y el desarrollo económico local.</w:t>
      </w:r>
      <w:r>
        <w:rPr>
          <w:rFonts w:ascii="Verdana" w:eastAsia="Calibri" w:hAnsi="Verdana" w:cs="Arial"/>
        </w:rPr>
        <w:t xml:space="preserve"> Asimismo, l</w:t>
      </w:r>
      <w:r w:rsidRPr="001D4581">
        <w:rPr>
          <w:rFonts w:ascii="Verdana" w:eastAsia="Calibri" w:hAnsi="Verdana" w:cs="Arial"/>
        </w:rPr>
        <w:t xml:space="preserve">a entidad deberá verificar que la adopción de dicha medida no vulnere </w:t>
      </w:r>
      <w:r>
        <w:rPr>
          <w:rFonts w:ascii="Verdana" w:eastAsia="Calibri" w:hAnsi="Verdana" w:cs="Arial"/>
        </w:rPr>
        <w:t xml:space="preserve">la </w:t>
      </w:r>
      <w:r w:rsidRPr="001D4581">
        <w:rPr>
          <w:rFonts w:ascii="Verdana" w:eastAsia="Calibri" w:hAnsi="Verdana" w:cs="Arial"/>
        </w:rPr>
        <w:t>pluralidad de oferentes dentro del proceso de contratación</w:t>
      </w:r>
      <w:r>
        <w:rPr>
          <w:rFonts w:ascii="Verdana" w:eastAsia="Calibri" w:hAnsi="Verdana" w:cs="Arial"/>
        </w:rPr>
        <w:t>, para lo cual resulta indispensable</w:t>
      </w:r>
      <w:r w:rsidRPr="001D4581">
        <w:rPr>
          <w:rFonts w:ascii="Verdana" w:eastAsia="Calibri" w:hAnsi="Verdana" w:cs="Arial"/>
        </w:rPr>
        <w:t xml:space="preserve"> realizar el correspondiente análisis del sector, con el fin de identificar los potenciales participantes del mercado y determinar si la exigencia o condición prevista podría generar restricciones injustificadas a la participación o limitar de manera desproporcionada la concurrencia de oferentes.</w:t>
      </w:r>
    </w:p>
    <w:p w14:paraId="121425A2" w14:textId="77777777" w:rsidR="00194A82" w:rsidRDefault="00194A82" w:rsidP="00194A82">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lastRenderedPageBreak/>
        <w:t xml:space="preserve">Al </w:t>
      </w:r>
      <w:r>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9F4681B" w14:textId="77777777" w:rsidR="00194A82" w:rsidRPr="008C35F0" w:rsidRDefault="00194A82" w:rsidP="00194A82">
      <w:pPr>
        <w:spacing w:after="0" w:line="276" w:lineRule="auto"/>
        <w:ind w:firstLine="709"/>
        <w:jc w:val="both"/>
        <w:rPr>
          <w:rFonts w:ascii="Verdana" w:hAnsi="Verdana" w:cs="Arial"/>
          <w:lang w:val="es-ES" w:eastAsia="es-ES"/>
        </w:rPr>
      </w:pPr>
      <w:r>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04AACC0" w14:textId="77777777" w:rsidR="00194A82" w:rsidRPr="001B3C5D" w:rsidRDefault="00194A82" w:rsidP="00194A82">
      <w:pPr>
        <w:widowControl w:val="0"/>
        <w:autoSpaceDE w:val="0"/>
        <w:autoSpaceDN w:val="0"/>
        <w:spacing w:after="0" w:line="276" w:lineRule="auto"/>
        <w:ind w:firstLine="709"/>
        <w:jc w:val="both"/>
        <w:rPr>
          <w:rFonts w:ascii="Verdana" w:eastAsia="Century Gothic" w:hAnsi="Verdana" w:cs="Century Gothic"/>
          <w:lang w:val="es-ES_tradnl"/>
        </w:rPr>
      </w:pPr>
    </w:p>
    <w:p w14:paraId="6BD20C87" w14:textId="77777777" w:rsidR="00194A82" w:rsidRPr="001B3C5D" w:rsidRDefault="00194A82" w:rsidP="00194A82">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74377B85" w14:textId="77777777" w:rsidR="00194A82" w:rsidRPr="001B3C5D" w:rsidRDefault="00194A82" w:rsidP="00194A82">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94A82" w:rsidRPr="001B3C5D" w14:paraId="62E85E86" w14:textId="77777777" w:rsidTr="00873641">
        <w:trPr>
          <w:trHeight w:val="870"/>
        </w:trPr>
        <w:tc>
          <w:tcPr>
            <w:tcW w:w="8647" w:type="dxa"/>
            <w:tcBorders>
              <w:top w:val="dotted" w:sz="4" w:space="0" w:color="auto"/>
              <w:left w:val="dotted" w:sz="4" w:space="0" w:color="auto"/>
              <w:bottom w:val="dotted" w:sz="4" w:space="0" w:color="auto"/>
              <w:right w:val="dotted" w:sz="4" w:space="0" w:color="auto"/>
            </w:tcBorders>
          </w:tcPr>
          <w:p w14:paraId="0F8A8D7D" w14:textId="77777777" w:rsidR="00194A82" w:rsidRPr="006F1154" w:rsidRDefault="00194A82" w:rsidP="00194A82">
            <w:pPr>
              <w:pStyle w:val="Prrafodelista"/>
              <w:numPr>
                <w:ilvl w:val="0"/>
                <w:numId w:val="16"/>
              </w:numPr>
              <w:jc w:val="both"/>
              <w:rPr>
                <w:rFonts w:ascii="Verdana" w:eastAsia="Calibri" w:hAnsi="Verdana" w:cs="Arial"/>
                <w:lang w:val="es-CO"/>
              </w:rPr>
            </w:pPr>
            <w:r w:rsidRPr="006F1154">
              <w:rPr>
                <w:rFonts w:ascii="Verdana" w:eastAsia="Calibri" w:hAnsi="Verdana" w:cs="Arial"/>
                <w:lang w:val="es-CO"/>
              </w:rPr>
              <w:t>Ley 2069 de 2020, artículo 33 y 34</w:t>
            </w:r>
          </w:p>
          <w:p w14:paraId="5162A4BD" w14:textId="77777777" w:rsidR="00194A82" w:rsidRPr="006F1154" w:rsidRDefault="00194A82" w:rsidP="00194A82">
            <w:pPr>
              <w:pStyle w:val="Prrafodelista"/>
              <w:numPr>
                <w:ilvl w:val="0"/>
                <w:numId w:val="16"/>
              </w:numPr>
              <w:jc w:val="both"/>
              <w:rPr>
                <w:rFonts w:ascii="Verdana" w:eastAsia="Calibri" w:hAnsi="Verdana" w:cs="Arial"/>
                <w:lang w:val="es-CO"/>
              </w:rPr>
            </w:pPr>
            <w:r w:rsidRPr="006F1154">
              <w:rPr>
                <w:rFonts w:ascii="Verdana" w:eastAsia="Calibri" w:hAnsi="Verdana" w:cs="Arial"/>
                <w:lang w:val="es-CO"/>
              </w:rPr>
              <w:t>Decreto 1860 de 2021</w:t>
            </w:r>
          </w:p>
          <w:p w14:paraId="5056C691" w14:textId="77777777" w:rsidR="00194A82" w:rsidRPr="006F1154" w:rsidRDefault="00194A82" w:rsidP="00194A82">
            <w:pPr>
              <w:pStyle w:val="Prrafodelista"/>
              <w:numPr>
                <w:ilvl w:val="0"/>
                <w:numId w:val="16"/>
              </w:numPr>
              <w:jc w:val="both"/>
              <w:rPr>
                <w:rFonts w:ascii="Verdana" w:eastAsia="Calibri" w:hAnsi="Verdana" w:cs="Arial"/>
                <w:lang w:val="es-CO"/>
              </w:rPr>
            </w:pPr>
            <w:r w:rsidRPr="006F1154">
              <w:rPr>
                <w:rFonts w:ascii="Verdana" w:eastAsia="Calibri" w:hAnsi="Verdana" w:cs="Arial"/>
                <w:lang w:val="es-CO"/>
              </w:rPr>
              <w:t xml:space="preserve">Decreto 1082 de 2015, artículos 2.2.1.2.4.2.2., 2.2.1.2.4.2.3. y 2.2.1.2.4.2.4. </w:t>
            </w:r>
          </w:p>
          <w:p w14:paraId="2C0C95B3" w14:textId="77777777" w:rsidR="00194A82" w:rsidRPr="006F1154" w:rsidRDefault="00194A82" w:rsidP="00194A82">
            <w:pPr>
              <w:pStyle w:val="Prrafodelista"/>
              <w:numPr>
                <w:ilvl w:val="0"/>
                <w:numId w:val="16"/>
              </w:numPr>
              <w:jc w:val="both"/>
              <w:rPr>
                <w:rFonts w:ascii="Verdana" w:eastAsia="Calibri" w:hAnsi="Verdana" w:cs="Arial"/>
                <w:lang w:val="es-CO"/>
              </w:rPr>
            </w:pPr>
            <w:r w:rsidRPr="006F1154">
              <w:rPr>
                <w:rFonts w:ascii="Verdana" w:eastAsia="Calibri" w:hAnsi="Verdana" w:cs="Arial"/>
                <w:lang w:val="es-CO"/>
              </w:rPr>
              <w:t>Código de Comercio, artículo</w:t>
            </w:r>
            <w:r>
              <w:rPr>
                <w:rFonts w:ascii="Verdana" w:eastAsia="Calibri" w:hAnsi="Verdana" w:cs="Arial"/>
                <w:lang w:val="es-CO"/>
              </w:rPr>
              <w:t xml:space="preserve"> </w:t>
            </w:r>
            <w:r w:rsidRPr="006F1154">
              <w:rPr>
                <w:rFonts w:ascii="Verdana" w:eastAsia="Calibri" w:hAnsi="Verdana" w:cs="Arial"/>
                <w:lang w:val="es-CO"/>
              </w:rPr>
              <w:t xml:space="preserve">263 </w:t>
            </w:r>
          </w:p>
          <w:p w14:paraId="79D7B284" w14:textId="77777777" w:rsidR="00194A82" w:rsidRPr="00C334F6" w:rsidRDefault="00194A82" w:rsidP="00194A82">
            <w:pPr>
              <w:pStyle w:val="Prrafodelista"/>
              <w:numPr>
                <w:ilvl w:val="0"/>
                <w:numId w:val="16"/>
              </w:numPr>
              <w:jc w:val="both"/>
              <w:rPr>
                <w:rFonts w:ascii="Verdana" w:eastAsia="Calibri" w:hAnsi="Verdana" w:cs="Arial"/>
                <w:lang w:val="es-CO"/>
              </w:rPr>
            </w:pPr>
            <w:r w:rsidRPr="006F1154">
              <w:rPr>
                <w:rFonts w:ascii="Verdana" w:eastAsia="Calibri" w:hAnsi="Verdana" w:cs="Arial"/>
                <w:lang w:val="es-CO"/>
              </w:rPr>
              <w:t>Ley 1150 de 2007. Artículo 6 y 12</w:t>
            </w:r>
          </w:p>
        </w:tc>
      </w:tr>
    </w:tbl>
    <w:p w14:paraId="077F1C2A" w14:textId="77777777" w:rsidR="00194A82" w:rsidRPr="001B3C5D" w:rsidRDefault="00194A82" w:rsidP="00194A82">
      <w:pPr>
        <w:tabs>
          <w:tab w:val="left" w:pos="142"/>
          <w:tab w:val="left" w:pos="284"/>
        </w:tabs>
        <w:spacing w:after="0" w:line="276" w:lineRule="auto"/>
        <w:jc w:val="both"/>
        <w:rPr>
          <w:rFonts w:ascii="Verdana" w:eastAsia="Calibri" w:hAnsi="Verdana" w:cs="Arial"/>
        </w:rPr>
      </w:pPr>
    </w:p>
    <w:p w14:paraId="326836CC" w14:textId="77777777" w:rsidR="00194A82" w:rsidRPr="001B3C5D" w:rsidRDefault="00194A82" w:rsidP="00194A82">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630B0B25" w14:textId="77777777" w:rsidR="00194A82" w:rsidRPr="001B3C5D" w:rsidRDefault="00194A82" w:rsidP="00194A82">
      <w:pPr>
        <w:widowControl w:val="0"/>
        <w:autoSpaceDE w:val="0"/>
        <w:autoSpaceDN w:val="0"/>
        <w:spacing w:after="0" w:line="276" w:lineRule="auto"/>
        <w:jc w:val="both"/>
        <w:rPr>
          <w:rFonts w:ascii="Verdana" w:eastAsia="Calibri" w:hAnsi="Verdana" w:cs="Arial"/>
        </w:rPr>
      </w:pPr>
    </w:p>
    <w:p w14:paraId="39B77EE1" w14:textId="77777777" w:rsidR="00194A82" w:rsidRPr="001B3C5D" w:rsidRDefault="00194A82" w:rsidP="00194A82">
      <w:pPr>
        <w:widowControl w:val="0"/>
        <w:autoSpaceDE w:val="0"/>
        <w:autoSpaceDN w:val="0"/>
        <w:spacing w:after="0" w:line="276" w:lineRule="auto"/>
        <w:jc w:val="both"/>
        <w:rPr>
          <w:rFonts w:ascii="Verdana" w:eastAsia="Times New Roman" w:hAnsi="Verdana" w:cs="Arial"/>
          <w:shd w:val="clear" w:color="auto" w:fill="FFFFFF"/>
          <w:lang w:val="es-ES"/>
        </w:rPr>
      </w:pPr>
      <w:r w:rsidRPr="00606FF7">
        <w:rPr>
          <w:rFonts w:ascii="Verdana" w:hAnsi="Verdana"/>
        </w:rPr>
        <w:t xml:space="preserve">En lo relacionado con el ámbito de la consulta, esta Subdirección se ha pronunciado </w:t>
      </w:r>
      <w:r w:rsidRPr="00606FF7">
        <w:rPr>
          <w:rFonts w:ascii="Verdana" w:hAnsi="Verdana" w:cs="Arial"/>
        </w:rPr>
        <w:t>sobre las convocatorias limitadas a MiPymes, sus requisitos y características, en los Conceptos Nro. C − 366 del 8 de</w:t>
      </w:r>
      <w:r w:rsidRPr="00606FF7">
        <w:rPr>
          <w:rFonts w:ascii="Verdana" w:hAnsi="Verdana"/>
        </w:rPr>
        <w:t xml:space="preserve"> septiembre de 2023 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w:t>
      </w:r>
      <w:r w:rsidRPr="00606FF7">
        <w:rPr>
          <w:rFonts w:ascii="Verdana" w:hAnsi="Verdana"/>
        </w:rPr>
        <w:lastRenderedPageBreak/>
        <w:t xml:space="preserve">noviembre del 2024, C-829 del 03 de diciembre del 2024, C-100 del 25 de febrero de 2025, C -263 del 7 de abril de 2025 y el C -542 del 16 de junio 2025, C-559 del 18 de junio de 2025, C-590 del 25 de junio de 2025, </w:t>
      </w:r>
      <w:r>
        <w:rPr>
          <w:rFonts w:ascii="Verdana" w:hAnsi="Verdana"/>
        </w:rPr>
        <w:t xml:space="preserve">C-715 del 14 de julio de 2025, C-1434 del 12 de noviembre de 2025, </w:t>
      </w:r>
      <w:r w:rsidRPr="00606FF7">
        <w:rPr>
          <w:rFonts w:ascii="Verdana" w:hAnsi="Verdana"/>
        </w:rPr>
        <w:t>entre otros</w:t>
      </w:r>
      <w:r>
        <w:rPr>
          <w:rFonts w:ascii="Verdana" w:hAnsi="Verdana" w:cs="Arial"/>
          <w:shd w:val="clear" w:color="auto" w:fill="FFFFFF"/>
          <w:lang w:val="es-ES"/>
        </w:rPr>
        <w:t xml:space="preserve">. </w:t>
      </w:r>
      <w:r>
        <w:rPr>
          <w:rFonts w:ascii="Verdana" w:eastAsia="Calibri" w:hAnsi="Verdana" w:cs="Arial"/>
          <w:color w:val="000000"/>
          <w:shd w:val="clear" w:color="auto" w:fill="FFFFFF"/>
        </w:rPr>
        <w:t xml:space="preserve">Los </w:t>
      </w:r>
      <w:r w:rsidRPr="001B3C5D">
        <w:rPr>
          <w:rFonts w:ascii="Verdana" w:eastAsia="Calibri" w:hAnsi="Verdana" w:cs="Arial"/>
          <w:color w:val="000000"/>
          <w:shd w:val="clear" w:color="auto" w:fill="FFFFFF"/>
        </w:rPr>
        <w:t xml:space="preserve">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kern w:val="2"/>
          <w:shd w:val="clear" w:color="auto" w:fill="FFFFFF"/>
          <w14:ligatures w14:val="standardContextual"/>
        </w:rPr>
        <w:t xml:space="preserve">. </w:t>
      </w:r>
      <w:r w:rsidRPr="001B3C5D">
        <w:rPr>
          <w:rFonts w:ascii="Verdana" w:eastAsia="Aptos" w:hAnsi="Verdana" w:cs="Arial"/>
          <w:color w:val="FF0000"/>
          <w:kern w:val="2"/>
          <w:shd w:val="clear" w:color="auto" w:fill="FFFFFF"/>
          <w:lang w:val="es-ES"/>
          <w14:ligatures w14:val="standardContextual"/>
        </w:rPr>
        <w:t xml:space="preserve">  </w:t>
      </w:r>
    </w:p>
    <w:p w14:paraId="4F8B61EB" w14:textId="77777777" w:rsidR="00194A82" w:rsidRPr="001B3C5D" w:rsidRDefault="00194A82" w:rsidP="00194A82">
      <w:pPr>
        <w:spacing w:after="0" w:line="240" w:lineRule="auto"/>
        <w:jc w:val="both"/>
        <w:rPr>
          <w:rFonts w:ascii="Verdana" w:eastAsia="Calibri" w:hAnsi="Verdana" w:cs="Arial"/>
          <w:color w:val="000000"/>
          <w:shd w:val="clear" w:color="auto" w:fill="FFFFFF"/>
        </w:rPr>
      </w:pPr>
    </w:p>
    <w:p w14:paraId="31384897" w14:textId="77777777" w:rsidR="00194A82" w:rsidRPr="001B3C5D" w:rsidRDefault="00194A82" w:rsidP="00194A82">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4" w:tgtFrame="_new" w:history="1">
        <w:r w:rsidRPr="001B3C5D">
          <w:rPr>
            <w:rFonts w:ascii="Verdana" w:eastAsia="Times New Roman" w:hAnsi="Verdana" w:cs="Arial"/>
            <w:color w:val="0000FF"/>
            <w:u w:val="single"/>
            <w:lang w:eastAsia="es-MX"/>
          </w:rPr>
          <w:t>https://formacionvirtual.colombiacompra.gov.co/mod/page/view.php?id=3718</w:t>
        </w:r>
      </w:hyperlink>
    </w:p>
    <w:p w14:paraId="5745A8FD" w14:textId="77777777" w:rsidR="00194A82" w:rsidRDefault="00194A82" w:rsidP="00194A82">
      <w:pPr>
        <w:spacing w:after="0" w:line="276" w:lineRule="auto"/>
        <w:jc w:val="both"/>
        <w:rPr>
          <w:rFonts w:ascii="Verdana" w:eastAsia="Times New Roman" w:hAnsi="Verdana" w:cs="Arial"/>
          <w:lang w:eastAsia="es-MX"/>
        </w:rPr>
      </w:pPr>
    </w:p>
    <w:p w14:paraId="2670CD79" w14:textId="77777777" w:rsidR="00194A82" w:rsidRPr="001B3C5D" w:rsidRDefault="00194A82" w:rsidP="00194A82">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B3C5D">
          <w:rPr>
            <w:rFonts w:ascii="Verdana" w:eastAsia="Times New Roman" w:hAnsi="Verdana" w:cs="Arial"/>
            <w:color w:val="0000FF"/>
            <w:u w:val="single"/>
            <w:lang w:eastAsia="es-MX"/>
          </w:rPr>
          <w:t>https://www.colombiacompra.gov.co/normativa-y-relatoria/documentos-tipo</w:t>
        </w:r>
      </w:hyperlink>
    </w:p>
    <w:p w14:paraId="50877372" w14:textId="77777777" w:rsidR="00194A82" w:rsidRPr="001B3C5D" w:rsidRDefault="00194A82" w:rsidP="00194A82">
      <w:pPr>
        <w:spacing w:after="0" w:line="276" w:lineRule="auto"/>
        <w:jc w:val="both"/>
        <w:rPr>
          <w:rFonts w:ascii="Verdana" w:eastAsia="Times New Roman" w:hAnsi="Verdana" w:cs="Arial"/>
          <w:lang w:eastAsia="es-MX"/>
        </w:rPr>
      </w:pPr>
    </w:p>
    <w:p w14:paraId="7764CA1B" w14:textId="77777777" w:rsidR="00194A82" w:rsidRPr="001B3C5D" w:rsidRDefault="00194A82" w:rsidP="00194A82">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xml:space="preserve">. En esta actualización se incorporaron orientaciones prácticas dirigidas a entidades públicas, proveedores, organismos de control y demás interesados, con el propósito de facilitar la adecuada implementación de estos instrumentos en los </w:t>
      </w:r>
      <w:r w:rsidRPr="001B3C5D">
        <w:rPr>
          <w:rFonts w:ascii="Verdana" w:eastAsia="Times New Roman" w:hAnsi="Verdana" w:cs="Arial"/>
          <w:lang w:eastAsia="es-MX"/>
        </w:rPr>
        <w:lastRenderedPageBreak/>
        <w:t>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6"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70AA6B03" w14:textId="77777777" w:rsidR="00194A82" w:rsidRPr="001B3C5D" w:rsidRDefault="00194A82" w:rsidP="00194A82">
      <w:pPr>
        <w:spacing w:after="0"/>
        <w:jc w:val="both"/>
        <w:rPr>
          <w:rFonts w:ascii="Verdana" w:eastAsia="Aptos" w:hAnsi="Verdana" w:cs="Times New Roman"/>
          <w:color w:val="212121"/>
          <w:lang w:eastAsia="es-MX"/>
        </w:rPr>
      </w:pPr>
    </w:p>
    <w:p w14:paraId="54D84002" w14:textId="77777777" w:rsidR="00194A82" w:rsidRPr="001B3C5D" w:rsidRDefault="00194A82" w:rsidP="00194A82">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071C788D" w14:textId="77777777" w:rsidR="00194A82" w:rsidRPr="001B3C5D" w:rsidRDefault="00194A82" w:rsidP="00194A82">
      <w:pPr>
        <w:spacing w:after="0" w:line="240" w:lineRule="auto"/>
        <w:jc w:val="both"/>
        <w:rPr>
          <w:rFonts w:ascii="Verdana" w:eastAsia="Aptos" w:hAnsi="Verdana" w:cs="Times New Roman"/>
          <w:lang w:eastAsia="es-MX"/>
        </w:rPr>
      </w:pPr>
    </w:p>
    <w:p w14:paraId="6A497B4F" w14:textId="77777777" w:rsidR="00194A82" w:rsidRPr="001B3C5D" w:rsidRDefault="00194A82" w:rsidP="00194A82">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200C677C" w14:textId="77777777" w:rsidR="00194A82" w:rsidRPr="001B3C5D" w:rsidRDefault="00194A82" w:rsidP="00194A82">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proofErr w:type="spellStart"/>
      <w:r w:rsidRPr="001B3C5D">
        <w:rPr>
          <w:rFonts w:ascii="Verdana" w:eastAsia="Calibri" w:hAnsi="Verdana" w:cs="Times New Roman"/>
          <w:color w:val="156082"/>
          <w:u w:val="single"/>
          <w:lang w:eastAsia="es-MX"/>
        </w:rPr>
        <w:t>ColombiaCompraEficiente</w:t>
      </w:r>
      <w:proofErr w:type="spellEnd"/>
    </w:p>
    <w:p w14:paraId="16EAB519" w14:textId="77777777" w:rsidR="00194A82" w:rsidRPr="001B3C5D" w:rsidRDefault="00194A82" w:rsidP="00194A82">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45324AA3" w14:textId="77777777" w:rsidR="00194A82" w:rsidRPr="001B3C5D" w:rsidRDefault="00194A82" w:rsidP="00194A82">
      <w:pPr>
        <w:spacing w:after="0" w:line="276" w:lineRule="auto"/>
        <w:jc w:val="both"/>
        <w:rPr>
          <w:rFonts w:ascii="Verdana" w:eastAsia="Aptos" w:hAnsi="Verdana" w:cs="Times New Roman"/>
          <w:lang w:eastAsia="es-MX"/>
        </w:rPr>
      </w:pPr>
    </w:p>
    <w:p w14:paraId="35661ECA" w14:textId="77777777" w:rsidR="00194A82" w:rsidRPr="001B3C5D" w:rsidRDefault="00194A82" w:rsidP="00194A82">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9B8017A" w14:textId="77777777" w:rsidR="00194A82" w:rsidRPr="001B3C5D" w:rsidRDefault="00194A82" w:rsidP="00194A82">
      <w:pPr>
        <w:spacing w:after="0" w:line="276" w:lineRule="auto"/>
        <w:jc w:val="both"/>
        <w:rPr>
          <w:rFonts w:ascii="Verdana" w:eastAsia="Calibri" w:hAnsi="Verdana" w:cs="Times New Roman"/>
          <w:lang w:eastAsia="es-MX"/>
        </w:rPr>
      </w:pPr>
    </w:p>
    <w:p w14:paraId="131D73D9" w14:textId="77777777" w:rsidR="00194A82" w:rsidRPr="001B3C5D" w:rsidRDefault="00194A82" w:rsidP="00194A82">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6BF20D18" w14:textId="77777777" w:rsidR="00194A82" w:rsidRPr="001B3C5D" w:rsidRDefault="00194A82" w:rsidP="00194A82">
      <w:pPr>
        <w:tabs>
          <w:tab w:val="left" w:pos="1320"/>
        </w:tabs>
        <w:spacing w:after="0"/>
        <w:jc w:val="center"/>
        <w:rPr>
          <w:rFonts w:ascii="Verdana" w:eastAsia="Calibri" w:hAnsi="Verdana" w:cs="Times New Roman"/>
          <w:lang w:eastAsia="es-MX"/>
        </w:rPr>
      </w:pPr>
    </w:p>
    <w:p w14:paraId="3FED3393" w14:textId="5EFBBCB6" w:rsidR="00194A82" w:rsidRPr="00A27102" w:rsidRDefault="004B2C94" w:rsidP="00194A82">
      <w:pPr>
        <w:spacing w:line="276" w:lineRule="auto"/>
        <w:jc w:val="center"/>
        <w:rPr>
          <w:rFonts w:ascii="Verdana" w:hAnsi="Verdana" w:cs="Arial"/>
          <w:color w:val="000000"/>
          <w:lang w:val="es-ES_tradnl" w:eastAsia="es-CO"/>
        </w:rPr>
      </w:pPr>
      <w:r>
        <w:rPr>
          <w:noProof/>
        </w:rPr>
        <w:drawing>
          <wp:inline distT="0" distB="0" distL="0" distR="0" wp14:anchorId="7A837FBC" wp14:editId="21C84589">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94A82" w:rsidRPr="00A27102" w14:paraId="2AAE0C56" w14:textId="77777777" w:rsidTr="00873641">
        <w:trPr>
          <w:trHeight w:val="315"/>
        </w:trPr>
        <w:tc>
          <w:tcPr>
            <w:tcW w:w="893" w:type="dxa"/>
            <w:vAlign w:val="center"/>
            <w:hideMark/>
          </w:tcPr>
          <w:p w14:paraId="09E070F0" w14:textId="77777777" w:rsidR="00194A82" w:rsidRPr="00A27102" w:rsidRDefault="00194A82" w:rsidP="00873641">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2595533" w14:textId="77777777" w:rsidR="00194A82" w:rsidRPr="00A27102" w:rsidRDefault="00194A82" w:rsidP="00873641">
            <w:pPr>
              <w:contextualSpacing/>
              <w:rPr>
                <w:rFonts w:ascii="Verdana" w:hAnsi="Verdana"/>
                <w:sz w:val="16"/>
                <w:szCs w:val="16"/>
              </w:rPr>
            </w:pPr>
            <w:r w:rsidRPr="00A27102">
              <w:rPr>
                <w:rFonts w:ascii="Verdana" w:hAnsi="Verdana"/>
                <w:sz w:val="16"/>
                <w:szCs w:val="16"/>
              </w:rPr>
              <w:t>Tatiana Baquero Iguarán</w:t>
            </w:r>
          </w:p>
          <w:p w14:paraId="382626DF" w14:textId="77777777" w:rsidR="00194A82" w:rsidRPr="00A27102" w:rsidRDefault="00194A82" w:rsidP="00873641">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194A82" w:rsidRPr="00A27102" w14:paraId="6E2545B0" w14:textId="77777777" w:rsidTr="00873641">
        <w:trPr>
          <w:trHeight w:val="330"/>
        </w:trPr>
        <w:tc>
          <w:tcPr>
            <w:tcW w:w="893" w:type="dxa"/>
            <w:vAlign w:val="center"/>
            <w:hideMark/>
          </w:tcPr>
          <w:p w14:paraId="721C091E" w14:textId="77777777" w:rsidR="00194A82" w:rsidRPr="00A27102" w:rsidRDefault="00194A82" w:rsidP="00873641">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96C7D9" w14:textId="77777777" w:rsidR="00194A82" w:rsidRPr="00A27102" w:rsidRDefault="00194A82" w:rsidP="00873641">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0B7DA4BB" w14:textId="77777777" w:rsidR="00194A82" w:rsidRPr="00A27102" w:rsidRDefault="00194A82" w:rsidP="00873641">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194A82" w:rsidRPr="00A27102" w14:paraId="0C1D834F" w14:textId="77777777" w:rsidTr="00873641">
        <w:trPr>
          <w:trHeight w:val="300"/>
        </w:trPr>
        <w:tc>
          <w:tcPr>
            <w:tcW w:w="893" w:type="dxa"/>
            <w:vAlign w:val="center"/>
          </w:tcPr>
          <w:p w14:paraId="26EF7424" w14:textId="77777777" w:rsidR="00194A82" w:rsidRPr="00A27102" w:rsidRDefault="00194A82" w:rsidP="00873641">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B473EA7" w14:textId="77777777" w:rsidR="00194A82" w:rsidRPr="00A27102" w:rsidRDefault="00194A82" w:rsidP="00873641">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073B61A4" w14:textId="77777777" w:rsidR="00194A82" w:rsidRPr="00A27102" w:rsidRDefault="00194A82" w:rsidP="00873641">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bookmarkEnd w:id="0"/>
    </w:tbl>
    <w:p w14:paraId="007A9DDA" w14:textId="0A85FDD6" w:rsidR="00194A82" w:rsidRPr="005D41B8" w:rsidRDefault="00194A82" w:rsidP="00194A82">
      <w:pPr>
        <w:spacing w:after="0" w:line="240" w:lineRule="auto"/>
        <w:textAlignment w:val="baseline"/>
        <w:rPr>
          <w:rFonts w:ascii="Verdana" w:eastAsia="Verdana" w:hAnsi="Verdana" w:cs="Verdana"/>
          <w:lang w:eastAsia="es-CO"/>
        </w:rPr>
      </w:pPr>
    </w:p>
    <w:p w14:paraId="0F293BF4" w14:textId="5EE29D61" w:rsidR="00127233" w:rsidRPr="00194A82" w:rsidRDefault="00127233" w:rsidP="00194A82"/>
    <w:sectPr w:rsidR="00127233" w:rsidRPr="00194A82"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7722D" w14:textId="77777777" w:rsidR="002524ED" w:rsidRDefault="002524ED" w:rsidP="004A1847">
      <w:pPr>
        <w:spacing w:after="0" w:line="240" w:lineRule="auto"/>
      </w:pPr>
      <w:r>
        <w:separator/>
      </w:r>
    </w:p>
  </w:endnote>
  <w:endnote w:type="continuationSeparator" w:id="0">
    <w:p w14:paraId="24F75684" w14:textId="77777777" w:rsidR="002524ED" w:rsidRDefault="002524E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16D6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F16D67">
      <w:rPr>
        <w:rFonts w:ascii="Verdana" w:eastAsia="Verdana" w:hAnsi="Verdana" w:cs="Verdana"/>
        <w:b/>
        <w:bCs/>
        <w:color w:val="000000"/>
        <w:sz w:val="18"/>
        <w:szCs w:val="18"/>
        <w:lang w:val="pt-BR" w:eastAsia="es-CO"/>
      </w:rPr>
      <w:t xml:space="preserve">Código: </w:t>
    </w:r>
    <w:r w:rsidRPr="00F16D67">
      <w:rPr>
        <w:rFonts w:ascii="Verdana" w:eastAsia="Verdana" w:hAnsi="Verdana" w:cs="Verdana"/>
        <w:color w:val="000000"/>
        <w:sz w:val="18"/>
        <w:szCs w:val="18"/>
        <w:lang w:val="pt-BR" w:eastAsia="es-CO"/>
      </w:rPr>
      <w:t xml:space="preserve">CCE-REC-FM-17 </w:t>
    </w:r>
    <w:r w:rsidRPr="00F16D67">
      <w:rPr>
        <w:rFonts w:ascii="Verdana" w:eastAsia="Verdana" w:hAnsi="Verdana" w:cs="Verdana"/>
        <w:b/>
        <w:bCs/>
        <w:color w:val="000000"/>
        <w:sz w:val="18"/>
        <w:szCs w:val="18"/>
        <w:lang w:val="pt-BR" w:eastAsia="es-CO"/>
      </w:rPr>
      <w:t xml:space="preserve">V: </w:t>
    </w:r>
    <w:r w:rsidRPr="00F16D6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08EBC6" w14:textId="77777777" w:rsidR="002524ED" w:rsidRDefault="002524ED" w:rsidP="004A1847">
      <w:pPr>
        <w:spacing w:after="0" w:line="240" w:lineRule="auto"/>
      </w:pPr>
      <w:r>
        <w:separator/>
      </w:r>
    </w:p>
  </w:footnote>
  <w:footnote w:type="continuationSeparator" w:id="0">
    <w:p w14:paraId="67FF3289" w14:textId="77777777" w:rsidR="002524ED" w:rsidRDefault="002524ED" w:rsidP="004A1847">
      <w:pPr>
        <w:spacing w:after="0" w:line="240" w:lineRule="auto"/>
      </w:pPr>
      <w:r>
        <w:continuationSeparator/>
      </w:r>
    </w:p>
  </w:footnote>
  <w:footnote w:id="1">
    <w:p w14:paraId="719F5A69" w14:textId="77777777" w:rsidR="00194A82" w:rsidRPr="00415B3A" w:rsidRDefault="00194A82" w:rsidP="00194A82">
      <w:pPr>
        <w:pStyle w:val="Textonotapie"/>
        <w:jc w:val="both"/>
        <w:rPr>
          <w:rFonts w:ascii="Verdana" w:hAnsi="Verdana" w:cs="Arial"/>
          <w:color w:val="000000" w:themeColor="text1"/>
          <w:sz w:val="14"/>
          <w:szCs w:val="14"/>
        </w:rPr>
      </w:pPr>
    </w:p>
    <w:p w14:paraId="095C61FD" w14:textId="77777777" w:rsidR="00194A82" w:rsidRPr="00415B3A" w:rsidRDefault="00194A82" w:rsidP="00194A82">
      <w:pPr>
        <w:pStyle w:val="Textonotapie"/>
        <w:ind w:firstLine="708"/>
        <w:jc w:val="both"/>
        <w:rPr>
          <w:rFonts w:ascii="Verdana" w:hAnsi="Verdana" w:cs="Arial"/>
          <w:color w:val="000000" w:themeColor="text1"/>
          <w:sz w:val="14"/>
          <w:szCs w:val="14"/>
        </w:rPr>
      </w:pPr>
      <w:r w:rsidRPr="00415B3A">
        <w:rPr>
          <w:rStyle w:val="Refdenotaalpie"/>
          <w:rFonts w:ascii="Verdana" w:hAnsi="Verdana" w:cs="Arial"/>
          <w:color w:val="000000" w:themeColor="text1"/>
          <w:sz w:val="14"/>
          <w:szCs w:val="14"/>
        </w:rPr>
        <w:footnoteRef/>
      </w:r>
      <w:r w:rsidRPr="00415B3A">
        <w:rPr>
          <w:rFonts w:ascii="Verdana" w:hAnsi="Verdana" w:cs="Arial"/>
          <w:color w:val="000000" w:themeColor="text1"/>
          <w:sz w:val="14"/>
          <w:szCs w:val="14"/>
        </w:rPr>
        <w:t>Ley 1150 de 2007. Artículo 12 modificado por el artículo 34 de la Ley 2069 de 2020. “Parágrafo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3827D37E" w14:textId="77777777" w:rsidR="00194A82" w:rsidRPr="00415B3A" w:rsidRDefault="00194A82" w:rsidP="00194A82">
      <w:pPr>
        <w:pStyle w:val="Textonotapie"/>
        <w:ind w:firstLine="708"/>
        <w:jc w:val="both"/>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544E6"/>
    <w:multiLevelType w:val="multilevel"/>
    <w:tmpl w:val="E370F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8"/>
  </w:num>
  <w:num w:numId="7" w16cid:durableId="1946422806">
    <w:abstractNumId w:val="5"/>
  </w:num>
  <w:num w:numId="8" w16cid:durableId="152644682">
    <w:abstractNumId w:val="17"/>
  </w:num>
  <w:num w:numId="9" w16cid:durableId="1317221377">
    <w:abstractNumId w:val="7"/>
  </w:num>
  <w:num w:numId="10" w16cid:durableId="1471245386">
    <w:abstractNumId w:val="16"/>
  </w:num>
  <w:num w:numId="11" w16cid:durableId="289172385">
    <w:abstractNumId w:val="8"/>
  </w:num>
  <w:num w:numId="12" w16cid:durableId="1470781324">
    <w:abstractNumId w:val="0"/>
  </w:num>
  <w:num w:numId="13" w16cid:durableId="1512908409">
    <w:abstractNumId w:val="3"/>
  </w:num>
  <w:num w:numId="14" w16cid:durableId="895897244">
    <w:abstractNumId w:val="19"/>
  </w:num>
  <w:num w:numId="15" w16cid:durableId="390349800">
    <w:abstractNumId w:val="14"/>
  </w:num>
  <w:num w:numId="16" w16cid:durableId="679089576">
    <w:abstractNumId w:val="9"/>
  </w:num>
  <w:num w:numId="17" w16cid:durableId="1300108123">
    <w:abstractNumId w:val="12"/>
  </w:num>
  <w:num w:numId="18" w16cid:durableId="1069183687">
    <w:abstractNumId w:val="13"/>
  </w:num>
  <w:num w:numId="19" w16cid:durableId="992828691">
    <w:abstractNumId w:val="11"/>
  </w:num>
  <w:num w:numId="20" w16cid:durableId="1865904539">
    <w:abstractNumId w:val="2"/>
  </w:num>
  <w:num w:numId="21" w16cid:durableId="1348676311">
    <w:abstractNumId w:val="15"/>
  </w:num>
  <w:num w:numId="22" w16cid:durableId="11906835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56"/>
    <w:rsid w:val="000044E0"/>
    <w:rsid w:val="00004800"/>
    <w:rsid w:val="000059C7"/>
    <w:rsid w:val="0001207A"/>
    <w:rsid w:val="000129BD"/>
    <w:rsid w:val="00014503"/>
    <w:rsid w:val="00015B0F"/>
    <w:rsid w:val="00016F78"/>
    <w:rsid w:val="00024309"/>
    <w:rsid w:val="00025026"/>
    <w:rsid w:val="000254CC"/>
    <w:rsid w:val="000272FE"/>
    <w:rsid w:val="000305F3"/>
    <w:rsid w:val="00031FA0"/>
    <w:rsid w:val="0003312C"/>
    <w:rsid w:val="0003557B"/>
    <w:rsid w:val="0003697D"/>
    <w:rsid w:val="00043D1A"/>
    <w:rsid w:val="00046945"/>
    <w:rsid w:val="00051ED8"/>
    <w:rsid w:val="000603C6"/>
    <w:rsid w:val="00061B2A"/>
    <w:rsid w:val="00064699"/>
    <w:rsid w:val="000705EB"/>
    <w:rsid w:val="00073825"/>
    <w:rsid w:val="000759FD"/>
    <w:rsid w:val="00082362"/>
    <w:rsid w:val="00090C2E"/>
    <w:rsid w:val="00090FFF"/>
    <w:rsid w:val="00095625"/>
    <w:rsid w:val="000978B2"/>
    <w:rsid w:val="000A2BD6"/>
    <w:rsid w:val="000A604B"/>
    <w:rsid w:val="000A683E"/>
    <w:rsid w:val="000B19B9"/>
    <w:rsid w:val="000B4777"/>
    <w:rsid w:val="000C0DDC"/>
    <w:rsid w:val="000C2918"/>
    <w:rsid w:val="000C79DC"/>
    <w:rsid w:val="000D0334"/>
    <w:rsid w:val="000D1CBA"/>
    <w:rsid w:val="000D2DE2"/>
    <w:rsid w:val="000D3356"/>
    <w:rsid w:val="000D5DA7"/>
    <w:rsid w:val="000D7128"/>
    <w:rsid w:val="000E3269"/>
    <w:rsid w:val="000E4A6A"/>
    <w:rsid w:val="000F6486"/>
    <w:rsid w:val="000F72D2"/>
    <w:rsid w:val="00100FCF"/>
    <w:rsid w:val="0010264D"/>
    <w:rsid w:val="00116940"/>
    <w:rsid w:val="00125105"/>
    <w:rsid w:val="00127233"/>
    <w:rsid w:val="00152253"/>
    <w:rsid w:val="00152518"/>
    <w:rsid w:val="00152C22"/>
    <w:rsid w:val="00152EFE"/>
    <w:rsid w:val="001540AF"/>
    <w:rsid w:val="00155335"/>
    <w:rsid w:val="001561D0"/>
    <w:rsid w:val="0015699B"/>
    <w:rsid w:val="00156D43"/>
    <w:rsid w:val="001642BF"/>
    <w:rsid w:val="00185D51"/>
    <w:rsid w:val="00194A82"/>
    <w:rsid w:val="00196708"/>
    <w:rsid w:val="001A33BF"/>
    <w:rsid w:val="001A4B17"/>
    <w:rsid w:val="001B3C5D"/>
    <w:rsid w:val="001B65B7"/>
    <w:rsid w:val="001D4581"/>
    <w:rsid w:val="001E091C"/>
    <w:rsid w:val="001E166A"/>
    <w:rsid w:val="001E4177"/>
    <w:rsid w:val="001E49D4"/>
    <w:rsid w:val="001E4EDA"/>
    <w:rsid w:val="001F0B24"/>
    <w:rsid w:val="001F342D"/>
    <w:rsid w:val="001F6AE7"/>
    <w:rsid w:val="001F7DC6"/>
    <w:rsid w:val="00201242"/>
    <w:rsid w:val="00201758"/>
    <w:rsid w:val="00205FBC"/>
    <w:rsid w:val="00207570"/>
    <w:rsid w:val="00212160"/>
    <w:rsid w:val="00221C61"/>
    <w:rsid w:val="0022343A"/>
    <w:rsid w:val="00223F0A"/>
    <w:rsid w:val="0022400B"/>
    <w:rsid w:val="00241423"/>
    <w:rsid w:val="002421BB"/>
    <w:rsid w:val="00242C03"/>
    <w:rsid w:val="002430D5"/>
    <w:rsid w:val="002508EF"/>
    <w:rsid w:val="002524ED"/>
    <w:rsid w:val="00252F69"/>
    <w:rsid w:val="002532A4"/>
    <w:rsid w:val="00256F70"/>
    <w:rsid w:val="0025796E"/>
    <w:rsid w:val="002667CA"/>
    <w:rsid w:val="00267922"/>
    <w:rsid w:val="002707A2"/>
    <w:rsid w:val="00270BA0"/>
    <w:rsid w:val="00270D03"/>
    <w:rsid w:val="0027633B"/>
    <w:rsid w:val="002771CB"/>
    <w:rsid w:val="002849B5"/>
    <w:rsid w:val="00285AB0"/>
    <w:rsid w:val="0028651D"/>
    <w:rsid w:val="00291ABB"/>
    <w:rsid w:val="002923D2"/>
    <w:rsid w:val="002951A0"/>
    <w:rsid w:val="002962BC"/>
    <w:rsid w:val="002A093D"/>
    <w:rsid w:val="002A0DD0"/>
    <w:rsid w:val="002A3E74"/>
    <w:rsid w:val="002A4029"/>
    <w:rsid w:val="002A49AC"/>
    <w:rsid w:val="002A5618"/>
    <w:rsid w:val="002A64FD"/>
    <w:rsid w:val="002A7FAF"/>
    <w:rsid w:val="002B3BFD"/>
    <w:rsid w:val="002C0C08"/>
    <w:rsid w:val="002C207B"/>
    <w:rsid w:val="002C4576"/>
    <w:rsid w:val="002C7A84"/>
    <w:rsid w:val="002D1DAC"/>
    <w:rsid w:val="002D76BC"/>
    <w:rsid w:val="002E2BF8"/>
    <w:rsid w:val="002E48C0"/>
    <w:rsid w:val="002E4FD9"/>
    <w:rsid w:val="002F22AD"/>
    <w:rsid w:val="00300FF2"/>
    <w:rsid w:val="0030657A"/>
    <w:rsid w:val="003174B9"/>
    <w:rsid w:val="0031759C"/>
    <w:rsid w:val="00321F44"/>
    <w:rsid w:val="00322A85"/>
    <w:rsid w:val="0032386A"/>
    <w:rsid w:val="00324168"/>
    <w:rsid w:val="00325197"/>
    <w:rsid w:val="003270EB"/>
    <w:rsid w:val="00330834"/>
    <w:rsid w:val="00331D08"/>
    <w:rsid w:val="00333810"/>
    <w:rsid w:val="00333E92"/>
    <w:rsid w:val="003402DD"/>
    <w:rsid w:val="003448F4"/>
    <w:rsid w:val="00344C7B"/>
    <w:rsid w:val="0034693C"/>
    <w:rsid w:val="00347CD7"/>
    <w:rsid w:val="003530D8"/>
    <w:rsid w:val="00353C74"/>
    <w:rsid w:val="00366CCF"/>
    <w:rsid w:val="00370640"/>
    <w:rsid w:val="003724A1"/>
    <w:rsid w:val="0037439B"/>
    <w:rsid w:val="00374F5E"/>
    <w:rsid w:val="00374FD2"/>
    <w:rsid w:val="00376358"/>
    <w:rsid w:val="00376DC9"/>
    <w:rsid w:val="00377E3E"/>
    <w:rsid w:val="00394B90"/>
    <w:rsid w:val="00397BC2"/>
    <w:rsid w:val="003A5F2F"/>
    <w:rsid w:val="003A6325"/>
    <w:rsid w:val="003A779E"/>
    <w:rsid w:val="003C458F"/>
    <w:rsid w:val="003C5D1C"/>
    <w:rsid w:val="003D0F4D"/>
    <w:rsid w:val="003D5B0D"/>
    <w:rsid w:val="003D5CF1"/>
    <w:rsid w:val="003E0499"/>
    <w:rsid w:val="003E2BDD"/>
    <w:rsid w:val="003E4F80"/>
    <w:rsid w:val="003E6439"/>
    <w:rsid w:val="003F2A16"/>
    <w:rsid w:val="003F3941"/>
    <w:rsid w:val="00406575"/>
    <w:rsid w:val="00406C62"/>
    <w:rsid w:val="00411C79"/>
    <w:rsid w:val="0041216B"/>
    <w:rsid w:val="00412A0D"/>
    <w:rsid w:val="004130C4"/>
    <w:rsid w:val="004147BC"/>
    <w:rsid w:val="00414C74"/>
    <w:rsid w:val="00415096"/>
    <w:rsid w:val="00415772"/>
    <w:rsid w:val="004243CF"/>
    <w:rsid w:val="0042625A"/>
    <w:rsid w:val="0042722E"/>
    <w:rsid w:val="00431CED"/>
    <w:rsid w:val="0043267F"/>
    <w:rsid w:val="00436787"/>
    <w:rsid w:val="0044528D"/>
    <w:rsid w:val="00446CCD"/>
    <w:rsid w:val="00446E9F"/>
    <w:rsid w:val="0045328D"/>
    <w:rsid w:val="00454524"/>
    <w:rsid w:val="0046297E"/>
    <w:rsid w:val="00466E39"/>
    <w:rsid w:val="004675C3"/>
    <w:rsid w:val="00482194"/>
    <w:rsid w:val="00487A9A"/>
    <w:rsid w:val="00490D98"/>
    <w:rsid w:val="004A1847"/>
    <w:rsid w:val="004A2681"/>
    <w:rsid w:val="004A305D"/>
    <w:rsid w:val="004B2C94"/>
    <w:rsid w:val="004B7044"/>
    <w:rsid w:val="004C2794"/>
    <w:rsid w:val="004C2BC6"/>
    <w:rsid w:val="004C6D25"/>
    <w:rsid w:val="004C7CF0"/>
    <w:rsid w:val="004D2107"/>
    <w:rsid w:val="004D4F05"/>
    <w:rsid w:val="004D5DD8"/>
    <w:rsid w:val="004D6032"/>
    <w:rsid w:val="004F21C4"/>
    <w:rsid w:val="004F441B"/>
    <w:rsid w:val="004F685F"/>
    <w:rsid w:val="0050097B"/>
    <w:rsid w:val="005018A2"/>
    <w:rsid w:val="0050712A"/>
    <w:rsid w:val="00512C05"/>
    <w:rsid w:val="00516866"/>
    <w:rsid w:val="0053024B"/>
    <w:rsid w:val="00533C31"/>
    <w:rsid w:val="0053524F"/>
    <w:rsid w:val="0055082D"/>
    <w:rsid w:val="00553F31"/>
    <w:rsid w:val="005566E8"/>
    <w:rsid w:val="00561A43"/>
    <w:rsid w:val="00574867"/>
    <w:rsid w:val="005862D4"/>
    <w:rsid w:val="00591460"/>
    <w:rsid w:val="005A24AF"/>
    <w:rsid w:val="005A65E0"/>
    <w:rsid w:val="005B4DB5"/>
    <w:rsid w:val="005B7573"/>
    <w:rsid w:val="005C3777"/>
    <w:rsid w:val="005C4DC4"/>
    <w:rsid w:val="005C5CDC"/>
    <w:rsid w:val="005D262E"/>
    <w:rsid w:val="005D476C"/>
    <w:rsid w:val="005D5C24"/>
    <w:rsid w:val="005E40D6"/>
    <w:rsid w:val="005E5051"/>
    <w:rsid w:val="005F1413"/>
    <w:rsid w:val="00602BB9"/>
    <w:rsid w:val="00610AC3"/>
    <w:rsid w:val="00613253"/>
    <w:rsid w:val="00613934"/>
    <w:rsid w:val="00617608"/>
    <w:rsid w:val="006200BF"/>
    <w:rsid w:val="006219F8"/>
    <w:rsid w:val="006227C1"/>
    <w:rsid w:val="00624C07"/>
    <w:rsid w:val="00625A5D"/>
    <w:rsid w:val="006302F7"/>
    <w:rsid w:val="006332FF"/>
    <w:rsid w:val="00633FB4"/>
    <w:rsid w:val="006351FC"/>
    <w:rsid w:val="006358B8"/>
    <w:rsid w:val="0064233F"/>
    <w:rsid w:val="00642B49"/>
    <w:rsid w:val="00646B9F"/>
    <w:rsid w:val="006534ED"/>
    <w:rsid w:val="006547FD"/>
    <w:rsid w:val="00660B7B"/>
    <w:rsid w:val="00663328"/>
    <w:rsid w:val="00664617"/>
    <w:rsid w:val="00665D70"/>
    <w:rsid w:val="0066789E"/>
    <w:rsid w:val="00670DE8"/>
    <w:rsid w:val="0067223D"/>
    <w:rsid w:val="00675C12"/>
    <w:rsid w:val="006836FE"/>
    <w:rsid w:val="00684BAF"/>
    <w:rsid w:val="00685A0A"/>
    <w:rsid w:val="006900D9"/>
    <w:rsid w:val="006936F3"/>
    <w:rsid w:val="00697080"/>
    <w:rsid w:val="00697550"/>
    <w:rsid w:val="006A0406"/>
    <w:rsid w:val="006B06D8"/>
    <w:rsid w:val="006B0744"/>
    <w:rsid w:val="006B3EC0"/>
    <w:rsid w:val="006B5C6C"/>
    <w:rsid w:val="006B6A2B"/>
    <w:rsid w:val="006C0862"/>
    <w:rsid w:val="006C4B1D"/>
    <w:rsid w:val="006C5904"/>
    <w:rsid w:val="006E12FC"/>
    <w:rsid w:val="006F1154"/>
    <w:rsid w:val="006F7E25"/>
    <w:rsid w:val="00706C16"/>
    <w:rsid w:val="007073AA"/>
    <w:rsid w:val="00713BC1"/>
    <w:rsid w:val="007159D0"/>
    <w:rsid w:val="007340C3"/>
    <w:rsid w:val="00737106"/>
    <w:rsid w:val="007452FF"/>
    <w:rsid w:val="0075235A"/>
    <w:rsid w:val="00752B17"/>
    <w:rsid w:val="00756841"/>
    <w:rsid w:val="00757A63"/>
    <w:rsid w:val="007649AB"/>
    <w:rsid w:val="00765262"/>
    <w:rsid w:val="0077000C"/>
    <w:rsid w:val="00771D0C"/>
    <w:rsid w:val="007735DE"/>
    <w:rsid w:val="007767D5"/>
    <w:rsid w:val="00776EA9"/>
    <w:rsid w:val="00780410"/>
    <w:rsid w:val="00782E4A"/>
    <w:rsid w:val="007833AC"/>
    <w:rsid w:val="00792360"/>
    <w:rsid w:val="00792A37"/>
    <w:rsid w:val="00793BD3"/>
    <w:rsid w:val="007A07C2"/>
    <w:rsid w:val="007A6AC8"/>
    <w:rsid w:val="007A6C9E"/>
    <w:rsid w:val="007B268C"/>
    <w:rsid w:val="007B31F5"/>
    <w:rsid w:val="007B62D4"/>
    <w:rsid w:val="007B7171"/>
    <w:rsid w:val="007B75F9"/>
    <w:rsid w:val="007C0C0F"/>
    <w:rsid w:val="007C3DC2"/>
    <w:rsid w:val="007C6E53"/>
    <w:rsid w:val="007D02EF"/>
    <w:rsid w:val="007D0D2B"/>
    <w:rsid w:val="007D3E3D"/>
    <w:rsid w:val="007E2223"/>
    <w:rsid w:val="007E5497"/>
    <w:rsid w:val="008007D9"/>
    <w:rsid w:val="00804AD3"/>
    <w:rsid w:val="00806F5F"/>
    <w:rsid w:val="00811E15"/>
    <w:rsid w:val="00820278"/>
    <w:rsid w:val="00820A1B"/>
    <w:rsid w:val="0082229D"/>
    <w:rsid w:val="00824C0B"/>
    <w:rsid w:val="008258C9"/>
    <w:rsid w:val="00826017"/>
    <w:rsid w:val="00832C77"/>
    <w:rsid w:val="008332CA"/>
    <w:rsid w:val="00844AE9"/>
    <w:rsid w:val="008477B5"/>
    <w:rsid w:val="00851566"/>
    <w:rsid w:val="00854BD3"/>
    <w:rsid w:val="00856DA9"/>
    <w:rsid w:val="008571B9"/>
    <w:rsid w:val="008576BF"/>
    <w:rsid w:val="00867F95"/>
    <w:rsid w:val="00881C41"/>
    <w:rsid w:val="00882F02"/>
    <w:rsid w:val="008834D7"/>
    <w:rsid w:val="008843B6"/>
    <w:rsid w:val="00885569"/>
    <w:rsid w:val="00886F85"/>
    <w:rsid w:val="00891928"/>
    <w:rsid w:val="0089661E"/>
    <w:rsid w:val="008969AF"/>
    <w:rsid w:val="00897B13"/>
    <w:rsid w:val="008A446D"/>
    <w:rsid w:val="008B25F1"/>
    <w:rsid w:val="008B2C76"/>
    <w:rsid w:val="008C35F0"/>
    <w:rsid w:val="008D0043"/>
    <w:rsid w:val="008D0137"/>
    <w:rsid w:val="008D180B"/>
    <w:rsid w:val="008E0213"/>
    <w:rsid w:val="008E5128"/>
    <w:rsid w:val="008F0EA7"/>
    <w:rsid w:val="008F2D42"/>
    <w:rsid w:val="008F54B0"/>
    <w:rsid w:val="008F5EB5"/>
    <w:rsid w:val="00901496"/>
    <w:rsid w:val="00901EF5"/>
    <w:rsid w:val="00903F61"/>
    <w:rsid w:val="0090650D"/>
    <w:rsid w:val="00910CD1"/>
    <w:rsid w:val="009110D3"/>
    <w:rsid w:val="00915323"/>
    <w:rsid w:val="00916967"/>
    <w:rsid w:val="009179FE"/>
    <w:rsid w:val="00923A97"/>
    <w:rsid w:val="00923EEF"/>
    <w:rsid w:val="00924DB5"/>
    <w:rsid w:val="00935259"/>
    <w:rsid w:val="00935A34"/>
    <w:rsid w:val="009419F9"/>
    <w:rsid w:val="00941E24"/>
    <w:rsid w:val="0094469E"/>
    <w:rsid w:val="009450CD"/>
    <w:rsid w:val="0095685E"/>
    <w:rsid w:val="00961B09"/>
    <w:rsid w:val="009637DF"/>
    <w:rsid w:val="00963C82"/>
    <w:rsid w:val="00964A8C"/>
    <w:rsid w:val="00965334"/>
    <w:rsid w:val="0096590E"/>
    <w:rsid w:val="0097093E"/>
    <w:rsid w:val="00987C13"/>
    <w:rsid w:val="009927E8"/>
    <w:rsid w:val="009967A3"/>
    <w:rsid w:val="00997261"/>
    <w:rsid w:val="009A055B"/>
    <w:rsid w:val="009A0AA5"/>
    <w:rsid w:val="009A0DFA"/>
    <w:rsid w:val="009A1C6F"/>
    <w:rsid w:val="009A7AFB"/>
    <w:rsid w:val="009B2D26"/>
    <w:rsid w:val="009B6C40"/>
    <w:rsid w:val="009C02AD"/>
    <w:rsid w:val="009C71FA"/>
    <w:rsid w:val="009C72E7"/>
    <w:rsid w:val="009C7F7E"/>
    <w:rsid w:val="009D042A"/>
    <w:rsid w:val="009D2375"/>
    <w:rsid w:val="009D3058"/>
    <w:rsid w:val="009E20FB"/>
    <w:rsid w:val="009F34DC"/>
    <w:rsid w:val="009F3A13"/>
    <w:rsid w:val="00A11067"/>
    <w:rsid w:val="00A122D3"/>
    <w:rsid w:val="00A13A93"/>
    <w:rsid w:val="00A14468"/>
    <w:rsid w:val="00A17F13"/>
    <w:rsid w:val="00A20739"/>
    <w:rsid w:val="00A23AF9"/>
    <w:rsid w:val="00A33C78"/>
    <w:rsid w:val="00A410E9"/>
    <w:rsid w:val="00A426E7"/>
    <w:rsid w:val="00A45046"/>
    <w:rsid w:val="00A533AD"/>
    <w:rsid w:val="00A53E5C"/>
    <w:rsid w:val="00A560D5"/>
    <w:rsid w:val="00A62F8E"/>
    <w:rsid w:val="00A63419"/>
    <w:rsid w:val="00A64619"/>
    <w:rsid w:val="00A66049"/>
    <w:rsid w:val="00A72007"/>
    <w:rsid w:val="00A749D7"/>
    <w:rsid w:val="00A74B30"/>
    <w:rsid w:val="00A825CF"/>
    <w:rsid w:val="00A84C29"/>
    <w:rsid w:val="00A86033"/>
    <w:rsid w:val="00A93044"/>
    <w:rsid w:val="00AA318F"/>
    <w:rsid w:val="00AA3D12"/>
    <w:rsid w:val="00AB0ADB"/>
    <w:rsid w:val="00AB48A4"/>
    <w:rsid w:val="00AC0754"/>
    <w:rsid w:val="00AC3513"/>
    <w:rsid w:val="00AD20E6"/>
    <w:rsid w:val="00AD229F"/>
    <w:rsid w:val="00AD323B"/>
    <w:rsid w:val="00AD58FD"/>
    <w:rsid w:val="00AE3C7B"/>
    <w:rsid w:val="00AE626F"/>
    <w:rsid w:val="00AF0656"/>
    <w:rsid w:val="00AF1760"/>
    <w:rsid w:val="00B00C0E"/>
    <w:rsid w:val="00B00C5F"/>
    <w:rsid w:val="00B01B1A"/>
    <w:rsid w:val="00B023E5"/>
    <w:rsid w:val="00B0381D"/>
    <w:rsid w:val="00B05831"/>
    <w:rsid w:val="00B25B10"/>
    <w:rsid w:val="00B3133A"/>
    <w:rsid w:val="00B31F9B"/>
    <w:rsid w:val="00B33ABB"/>
    <w:rsid w:val="00B36620"/>
    <w:rsid w:val="00B372C3"/>
    <w:rsid w:val="00B41E9A"/>
    <w:rsid w:val="00B44A47"/>
    <w:rsid w:val="00B44AC0"/>
    <w:rsid w:val="00B46620"/>
    <w:rsid w:val="00B46ED1"/>
    <w:rsid w:val="00B471A1"/>
    <w:rsid w:val="00B51FCF"/>
    <w:rsid w:val="00B52F1C"/>
    <w:rsid w:val="00B53264"/>
    <w:rsid w:val="00B53D6D"/>
    <w:rsid w:val="00B57BC2"/>
    <w:rsid w:val="00B64BB4"/>
    <w:rsid w:val="00B72CD3"/>
    <w:rsid w:val="00B72FFF"/>
    <w:rsid w:val="00B73617"/>
    <w:rsid w:val="00B745D1"/>
    <w:rsid w:val="00B774A7"/>
    <w:rsid w:val="00B8542D"/>
    <w:rsid w:val="00B92A85"/>
    <w:rsid w:val="00B976A2"/>
    <w:rsid w:val="00BA0E9F"/>
    <w:rsid w:val="00BA6536"/>
    <w:rsid w:val="00BA67FD"/>
    <w:rsid w:val="00BA72D3"/>
    <w:rsid w:val="00BA7FD5"/>
    <w:rsid w:val="00BB26E9"/>
    <w:rsid w:val="00BC3D36"/>
    <w:rsid w:val="00BC6EEA"/>
    <w:rsid w:val="00BD0AE2"/>
    <w:rsid w:val="00BD2EF9"/>
    <w:rsid w:val="00BD3F1C"/>
    <w:rsid w:val="00BD54A6"/>
    <w:rsid w:val="00BD7F72"/>
    <w:rsid w:val="00BE5525"/>
    <w:rsid w:val="00BE7E5F"/>
    <w:rsid w:val="00BF4213"/>
    <w:rsid w:val="00BF7425"/>
    <w:rsid w:val="00BF78B9"/>
    <w:rsid w:val="00C02240"/>
    <w:rsid w:val="00C04FB3"/>
    <w:rsid w:val="00C07BA5"/>
    <w:rsid w:val="00C11D8B"/>
    <w:rsid w:val="00C15139"/>
    <w:rsid w:val="00C244AD"/>
    <w:rsid w:val="00C26D25"/>
    <w:rsid w:val="00C330EB"/>
    <w:rsid w:val="00C334F6"/>
    <w:rsid w:val="00C368AA"/>
    <w:rsid w:val="00C37A9C"/>
    <w:rsid w:val="00C42155"/>
    <w:rsid w:val="00C432C3"/>
    <w:rsid w:val="00C50D69"/>
    <w:rsid w:val="00C5365C"/>
    <w:rsid w:val="00C54C43"/>
    <w:rsid w:val="00C6718E"/>
    <w:rsid w:val="00C754BE"/>
    <w:rsid w:val="00C76B1C"/>
    <w:rsid w:val="00C80535"/>
    <w:rsid w:val="00C925AC"/>
    <w:rsid w:val="00C92A6B"/>
    <w:rsid w:val="00C97E3A"/>
    <w:rsid w:val="00CA37BD"/>
    <w:rsid w:val="00CA640D"/>
    <w:rsid w:val="00CB49AB"/>
    <w:rsid w:val="00CB6357"/>
    <w:rsid w:val="00CB7CAA"/>
    <w:rsid w:val="00CC182C"/>
    <w:rsid w:val="00CC1B26"/>
    <w:rsid w:val="00CC5886"/>
    <w:rsid w:val="00CC6819"/>
    <w:rsid w:val="00CD3A52"/>
    <w:rsid w:val="00CD6353"/>
    <w:rsid w:val="00CE0CD6"/>
    <w:rsid w:val="00CE23AD"/>
    <w:rsid w:val="00CE5DB0"/>
    <w:rsid w:val="00CF1EE0"/>
    <w:rsid w:val="00CF4A16"/>
    <w:rsid w:val="00CF7370"/>
    <w:rsid w:val="00D0254A"/>
    <w:rsid w:val="00D05048"/>
    <w:rsid w:val="00D10509"/>
    <w:rsid w:val="00D2216A"/>
    <w:rsid w:val="00D2339E"/>
    <w:rsid w:val="00D25175"/>
    <w:rsid w:val="00D25885"/>
    <w:rsid w:val="00D2749F"/>
    <w:rsid w:val="00D31406"/>
    <w:rsid w:val="00D316D6"/>
    <w:rsid w:val="00D35021"/>
    <w:rsid w:val="00D357FA"/>
    <w:rsid w:val="00D361FD"/>
    <w:rsid w:val="00D40887"/>
    <w:rsid w:val="00D423A2"/>
    <w:rsid w:val="00D44E26"/>
    <w:rsid w:val="00D5189B"/>
    <w:rsid w:val="00D520D8"/>
    <w:rsid w:val="00D5412B"/>
    <w:rsid w:val="00D558A8"/>
    <w:rsid w:val="00D60C18"/>
    <w:rsid w:val="00D63AC2"/>
    <w:rsid w:val="00D66D81"/>
    <w:rsid w:val="00D7383B"/>
    <w:rsid w:val="00D73C8C"/>
    <w:rsid w:val="00D7788A"/>
    <w:rsid w:val="00D84F30"/>
    <w:rsid w:val="00D87462"/>
    <w:rsid w:val="00D91BB2"/>
    <w:rsid w:val="00D95793"/>
    <w:rsid w:val="00DA231B"/>
    <w:rsid w:val="00DA4CB6"/>
    <w:rsid w:val="00DA7750"/>
    <w:rsid w:val="00DB0CC7"/>
    <w:rsid w:val="00DC39FC"/>
    <w:rsid w:val="00DC62CC"/>
    <w:rsid w:val="00DD0A15"/>
    <w:rsid w:val="00DD1A43"/>
    <w:rsid w:val="00DE7009"/>
    <w:rsid w:val="00DF1F0B"/>
    <w:rsid w:val="00DF5254"/>
    <w:rsid w:val="00DF67E3"/>
    <w:rsid w:val="00E00739"/>
    <w:rsid w:val="00E02524"/>
    <w:rsid w:val="00E07B11"/>
    <w:rsid w:val="00E16408"/>
    <w:rsid w:val="00E20894"/>
    <w:rsid w:val="00E21B47"/>
    <w:rsid w:val="00E245AB"/>
    <w:rsid w:val="00E26380"/>
    <w:rsid w:val="00E2764C"/>
    <w:rsid w:val="00E27F2E"/>
    <w:rsid w:val="00E364E6"/>
    <w:rsid w:val="00E401E6"/>
    <w:rsid w:val="00E404F6"/>
    <w:rsid w:val="00E4331D"/>
    <w:rsid w:val="00E4332C"/>
    <w:rsid w:val="00E43935"/>
    <w:rsid w:val="00E45D78"/>
    <w:rsid w:val="00E50AFE"/>
    <w:rsid w:val="00E513DB"/>
    <w:rsid w:val="00E60FF9"/>
    <w:rsid w:val="00E63384"/>
    <w:rsid w:val="00E63921"/>
    <w:rsid w:val="00E66891"/>
    <w:rsid w:val="00E75C92"/>
    <w:rsid w:val="00E771DC"/>
    <w:rsid w:val="00E84709"/>
    <w:rsid w:val="00E8772A"/>
    <w:rsid w:val="00E90F6B"/>
    <w:rsid w:val="00E92C27"/>
    <w:rsid w:val="00E9436F"/>
    <w:rsid w:val="00EA09E7"/>
    <w:rsid w:val="00EA0E3D"/>
    <w:rsid w:val="00EA2384"/>
    <w:rsid w:val="00EB0673"/>
    <w:rsid w:val="00EC38A7"/>
    <w:rsid w:val="00EC439B"/>
    <w:rsid w:val="00ED1816"/>
    <w:rsid w:val="00EE0C47"/>
    <w:rsid w:val="00EE1966"/>
    <w:rsid w:val="00EE1AA8"/>
    <w:rsid w:val="00EE68D8"/>
    <w:rsid w:val="00EE6D78"/>
    <w:rsid w:val="00F10D09"/>
    <w:rsid w:val="00F115C2"/>
    <w:rsid w:val="00F119B0"/>
    <w:rsid w:val="00F12F94"/>
    <w:rsid w:val="00F16D67"/>
    <w:rsid w:val="00F23FEA"/>
    <w:rsid w:val="00F31EDC"/>
    <w:rsid w:val="00F33A31"/>
    <w:rsid w:val="00F462B3"/>
    <w:rsid w:val="00F51A1A"/>
    <w:rsid w:val="00F5448A"/>
    <w:rsid w:val="00F5664F"/>
    <w:rsid w:val="00F60365"/>
    <w:rsid w:val="00F61896"/>
    <w:rsid w:val="00F62C74"/>
    <w:rsid w:val="00F666C4"/>
    <w:rsid w:val="00F678F4"/>
    <w:rsid w:val="00F71369"/>
    <w:rsid w:val="00F72D67"/>
    <w:rsid w:val="00F7517A"/>
    <w:rsid w:val="00F7669A"/>
    <w:rsid w:val="00F76AFC"/>
    <w:rsid w:val="00F801E8"/>
    <w:rsid w:val="00F82E0D"/>
    <w:rsid w:val="00F83493"/>
    <w:rsid w:val="00F85C9B"/>
    <w:rsid w:val="00F874E9"/>
    <w:rsid w:val="00F87A16"/>
    <w:rsid w:val="00F92A88"/>
    <w:rsid w:val="00F92B63"/>
    <w:rsid w:val="00F93844"/>
    <w:rsid w:val="00F93B72"/>
    <w:rsid w:val="00F954F7"/>
    <w:rsid w:val="00F95702"/>
    <w:rsid w:val="00F963CE"/>
    <w:rsid w:val="00F9668D"/>
    <w:rsid w:val="00FA47C0"/>
    <w:rsid w:val="00FB0230"/>
    <w:rsid w:val="00FB1C5B"/>
    <w:rsid w:val="00FB45DF"/>
    <w:rsid w:val="00FB5DD1"/>
    <w:rsid w:val="00FC2B5D"/>
    <w:rsid w:val="00FD67A8"/>
    <w:rsid w:val="00FD74CB"/>
    <w:rsid w:val="00FE47EC"/>
    <w:rsid w:val="00FE5496"/>
    <w:rsid w:val="00FF1449"/>
    <w:rsid w:val="00FF35D0"/>
    <w:rsid w:val="00FF40FE"/>
    <w:rsid w:val="00FF4BE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D5AF39-1E4D-43B2-A996-DC12C9E8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1B3C5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1B3C5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1B3C5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1B3C5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1B3C5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1B3C5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1B3C5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1B3C5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1B3C5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1B3C5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1B3C5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1B3C5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1B3C5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1B3C5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1B3C5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1B3C5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1B3C5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1B3C5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1B3C5D"/>
  </w:style>
  <w:style w:type="character" w:customStyle="1" w:styleId="Ttulo1Car">
    <w:name w:val="Título 1 Car"/>
    <w:basedOn w:val="Fuentedeprrafopredeter"/>
    <w:link w:val="Ttulo1"/>
    <w:uiPriority w:val="9"/>
    <w:rsid w:val="001B3C5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1B3C5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1B3C5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1B3C5D"/>
    <w:rPr>
      <w:rFonts w:eastAsia="Times New Roman" w:cs="Times New Roman"/>
      <w:i/>
      <w:iCs/>
      <w:color w:val="0F4761"/>
    </w:rPr>
  </w:style>
  <w:style w:type="character" w:customStyle="1" w:styleId="Ttulo5Car">
    <w:name w:val="Título 5 Car"/>
    <w:basedOn w:val="Fuentedeprrafopredeter"/>
    <w:link w:val="Ttulo5"/>
    <w:uiPriority w:val="9"/>
    <w:semiHidden/>
    <w:rsid w:val="001B3C5D"/>
    <w:rPr>
      <w:rFonts w:eastAsia="Times New Roman" w:cs="Times New Roman"/>
      <w:color w:val="0F4761"/>
    </w:rPr>
  </w:style>
  <w:style w:type="character" w:customStyle="1" w:styleId="Ttulo6Car">
    <w:name w:val="Título 6 Car"/>
    <w:basedOn w:val="Fuentedeprrafopredeter"/>
    <w:link w:val="Ttulo6"/>
    <w:uiPriority w:val="9"/>
    <w:semiHidden/>
    <w:rsid w:val="001B3C5D"/>
    <w:rPr>
      <w:rFonts w:eastAsia="Times New Roman" w:cs="Times New Roman"/>
      <w:i/>
      <w:iCs/>
      <w:color w:val="595959"/>
    </w:rPr>
  </w:style>
  <w:style w:type="character" w:customStyle="1" w:styleId="Ttulo7Car">
    <w:name w:val="Título 7 Car"/>
    <w:basedOn w:val="Fuentedeprrafopredeter"/>
    <w:link w:val="Ttulo7"/>
    <w:uiPriority w:val="9"/>
    <w:semiHidden/>
    <w:rsid w:val="001B3C5D"/>
    <w:rPr>
      <w:rFonts w:eastAsia="Times New Roman" w:cs="Times New Roman"/>
      <w:color w:val="595959"/>
    </w:rPr>
  </w:style>
  <w:style w:type="character" w:customStyle="1" w:styleId="Ttulo8Car">
    <w:name w:val="Título 8 Car"/>
    <w:basedOn w:val="Fuentedeprrafopredeter"/>
    <w:link w:val="Ttulo8"/>
    <w:uiPriority w:val="9"/>
    <w:semiHidden/>
    <w:rsid w:val="001B3C5D"/>
    <w:rPr>
      <w:rFonts w:eastAsia="Times New Roman" w:cs="Times New Roman"/>
      <w:i/>
      <w:iCs/>
      <w:color w:val="272727"/>
    </w:rPr>
  </w:style>
  <w:style w:type="character" w:customStyle="1" w:styleId="Ttulo9Car">
    <w:name w:val="Título 9 Car"/>
    <w:basedOn w:val="Fuentedeprrafopredeter"/>
    <w:link w:val="Ttulo9"/>
    <w:uiPriority w:val="9"/>
    <w:semiHidden/>
    <w:rsid w:val="001B3C5D"/>
    <w:rPr>
      <w:rFonts w:eastAsia="Times New Roman" w:cs="Times New Roman"/>
      <w:color w:val="272727"/>
    </w:rPr>
  </w:style>
  <w:style w:type="paragraph" w:customStyle="1" w:styleId="Subttulo1">
    <w:name w:val="Subtítulo1"/>
    <w:basedOn w:val="Normal"/>
    <w:next w:val="Normal"/>
    <w:uiPriority w:val="11"/>
    <w:qFormat/>
    <w:rsid w:val="001B3C5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1B3C5D"/>
    <w:rPr>
      <w:rFonts w:eastAsia="Times New Roman" w:cs="Times New Roman"/>
      <w:color w:val="595959"/>
      <w:spacing w:val="15"/>
      <w:sz w:val="28"/>
      <w:szCs w:val="28"/>
    </w:rPr>
  </w:style>
  <w:style w:type="paragraph" w:customStyle="1" w:styleId="Cita1">
    <w:name w:val="Cita1"/>
    <w:basedOn w:val="Normal"/>
    <w:next w:val="Normal"/>
    <w:uiPriority w:val="29"/>
    <w:qFormat/>
    <w:rsid w:val="001B3C5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1B3C5D"/>
    <w:rPr>
      <w:i/>
      <w:iCs/>
      <w:color w:val="404040"/>
    </w:rPr>
  </w:style>
  <w:style w:type="character" w:customStyle="1" w:styleId="nfasisintenso1">
    <w:name w:val="Énfasis intenso1"/>
    <w:basedOn w:val="Fuentedeprrafopredeter"/>
    <w:uiPriority w:val="21"/>
    <w:qFormat/>
    <w:rsid w:val="001B3C5D"/>
    <w:rPr>
      <w:i/>
      <w:iCs/>
      <w:color w:val="0F4761"/>
    </w:rPr>
  </w:style>
  <w:style w:type="paragraph" w:customStyle="1" w:styleId="Citadestacada1">
    <w:name w:val="Cita destacada1"/>
    <w:basedOn w:val="Normal"/>
    <w:next w:val="Normal"/>
    <w:uiPriority w:val="30"/>
    <w:qFormat/>
    <w:rsid w:val="001B3C5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1B3C5D"/>
    <w:rPr>
      <w:i/>
      <w:iCs/>
      <w:color w:val="0F4761"/>
    </w:rPr>
  </w:style>
  <w:style w:type="character" w:customStyle="1" w:styleId="Referenciaintensa1">
    <w:name w:val="Referencia intensa1"/>
    <w:basedOn w:val="Fuentedeprrafopredeter"/>
    <w:uiPriority w:val="32"/>
    <w:qFormat/>
    <w:rsid w:val="001B3C5D"/>
    <w:rPr>
      <w:b/>
      <w:bCs/>
      <w:smallCaps/>
      <w:color w:val="0F4761"/>
      <w:spacing w:val="5"/>
    </w:rPr>
  </w:style>
  <w:style w:type="paragraph" w:customStyle="1" w:styleId="Encabezado1">
    <w:name w:val="Encabezado1"/>
    <w:basedOn w:val="Normal"/>
    <w:next w:val="Encabezado"/>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1B3C5D"/>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B3C5D"/>
    <w:pPr>
      <w:spacing w:line="240" w:lineRule="exact"/>
    </w:pPr>
    <w:rPr>
      <w:vertAlign w:val="superscript"/>
    </w:rPr>
  </w:style>
  <w:style w:type="table" w:customStyle="1" w:styleId="Tablaconcuadrcula2">
    <w:name w:val="Tabla con cuadrícula2"/>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1B3C5D"/>
  </w:style>
  <w:style w:type="character" w:customStyle="1" w:styleId="PiedepginaCar1">
    <w:name w:val="Pie de página Car1"/>
    <w:basedOn w:val="Fuentedeprrafopredeter"/>
    <w:uiPriority w:val="99"/>
    <w:semiHidden/>
    <w:rsid w:val="001B3C5D"/>
  </w:style>
  <w:style w:type="table" w:customStyle="1" w:styleId="Tablaconcuadrcula3">
    <w:name w:val="Tabla con cuadrícula3"/>
    <w:basedOn w:val="Tablanormal"/>
    <w:next w:val="Tablaconcuadrcula"/>
    <w:uiPriority w:val="39"/>
    <w:rsid w:val="001B3C5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1B3C5D"/>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1B3C5D"/>
    <w:rPr>
      <w:b/>
      <w:bCs/>
    </w:rPr>
  </w:style>
  <w:style w:type="character" w:styleId="Textodelmarcadordeposicin">
    <w:name w:val="Placeholder Text"/>
    <w:basedOn w:val="Fuentedeprrafopredeter"/>
    <w:uiPriority w:val="99"/>
    <w:semiHidden/>
    <w:rsid w:val="001B3C5D"/>
    <w:rPr>
      <w:color w:val="666666"/>
    </w:rPr>
  </w:style>
  <w:style w:type="paragraph" w:customStyle="1" w:styleId="Sinespaciado1">
    <w:name w:val="Sin espaciado1"/>
    <w:next w:val="Sinespaciado"/>
    <w:uiPriority w:val="1"/>
    <w:qFormat/>
    <w:rsid w:val="001B3C5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1B3C5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1B3C5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1B3C5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1B3C5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1B3C5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1B3C5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1B3C5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1B3C5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1B3C5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1B3C5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1B3C5D"/>
    <w:rPr>
      <w:rFonts w:eastAsiaTheme="minorEastAsia"/>
      <w:color w:val="5A5A5A" w:themeColor="text1" w:themeTint="A5"/>
      <w:spacing w:val="15"/>
    </w:rPr>
  </w:style>
  <w:style w:type="paragraph" w:styleId="Cita">
    <w:name w:val="Quote"/>
    <w:basedOn w:val="Normal"/>
    <w:next w:val="Normal"/>
    <w:link w:val="CitaCar"/>
    <w:uiPriority w:val="29"/>
    <w:qFormat/>
    <w:rsid w:val="001B3C5D"/>
    <w:pPr>
      <w:spacing w:before="200"/>
      <w:ind w:left="864" w:right="864"/>
      <w:jc w:val="center"/>
    </w:pPr>
    <w:rPr>
      <w:i/>
      <w:iCs/>
      <w:color w:val="404040"/>
    </w:rPr>
  </w:style>
  <w:style w:type="character" w:customStyle="1" w:styleId="CitaCar1">
    <w:name w:val="Cita Car1"/>
    <w:basedOn w:val="Fuentedeprrafopredeter"/>
    <w:uiPriority w:val="29"/>
    <w:rsid w:val="001B3C5D"/>
    <w:rPr>
      <w:i/>
      <w:iCs/>
      <w:color w:val="404040" w:themeColor="text1" w:themeTint="BF"/>
    </w:rPr>
  </w:style>
  <w:style w:type="character" w:styleId="nfasisintenso">
    <w:name w:val="Intense Emphasis"/>
    <w:basedOn w:val="Fuentedeprrafopredeter"/>
    <w:uiPriority w:val="21"/>
    <w:qFormat/>
    <w:rsid w:val="001B3C5D"/>
    <w:rPr>
      <w:i/>
      <w:iCs/>
      <w:color w:val="4472C4" w:themeColor="accent1"/>
    </w:rPr>
  </w:style>
  <w:style w:type="paragraph" w:styleId="Citadestacada">
    <w:name w:val="Intense Quote"/>
    <w:basedOn w:val="Normal"/>
    <w:next w:val="Normal"/>
    <w:link w:val="CitadestacadaCar"/>
    <w:uiPriority w:val="30"/>
    <w:qFormat/>
    <w:rsid w:val="001B3C5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1B3C5D"/>
    <w:rPr>
      <w:i/>
      <w:iCs/>
      <w:color w:val="4472C4" w:themeColor="accent1"/>
    </w:rPr>
  </w:style>
  <w:style w:type="character" w:styleId="Referenciaintensa">
    <w:name w:val="Intense Reference"/>
    <w:basedOn w:val="Fuentedeprrafopredeter"/>
    <w:uiPriority w:val="32"/>
    <w:qFormat/>
    <w:rsid w:val="001B3C5D"/>
    <w:rPr>
      <w:b/>
      <w:bCs/>
      <w:smallCaps/>
      <w:color w:val="4472C4" w:themeColor="accent1"/>
      <w:spacing w:val="5"/>
    </w:rPr>
  </w:style>
  <w:style w:type="paragraph" w:styleId="Sinespaciado">
    <w:name w:val="No Spacing"/>
    <w:uiPriority w:val="1"/>
    <w:qFormat/>
    <w:rsid w:val="001B3C5D"/>
    <w:pPr>
      <w:spacing w:after="0" w:line="240" w:lineRule="auto"/>
    </w:pPr>
  </w:style>
  <w:style w:type="character" w:styleId="Refdecomentario">
    <w:name w:val="annotation reference"/>
    <w:basedOn w:val="Fuentedeprrafopredeter"/>
    <w:uiPriority w:val="99"/>
    <w:semiHidden/>
    <w:unhideWhenUsed/>
    <w:rsid w:val="00CC182C"/>
    <w:rPr>
      <w:sz w:val="16"/>
      <w:szCs w:val="16"/>
    </w:rPr>
  </w:style>
  <w:style w:type="paragraph" w:styleId="Textocomentario">
    <w:name w:val="annotation text"/>
    <w:basedOn w:val="Normal"/>
    <w:link w:val="TextocomentarioCar"/>
    <w:uiPriority w:val="99"/>
    <w:unhideWhenUsed/>
    <w:rsid w:val="00CC182C"/>
    <w:pPr>
      <w:spacing w:line="240" w:lineRule="auto"/>
    </w:pPr>
    <w:rPr>
      <w:sz w:val="20"/>
      <w:szCs w:val="20"/>
    </w:rPr>
  </w:style>
  <w:style w:type="character" w:customStyle="1" w:styleId="TextocomentarioCar">
    <w:name w:val="Texto comentario Car"/>
    <w:basedOn w:val="Fuentedeprrafopredeter"/>
    <w:link w:val="Textocomentario"/>
    <w:uiPriority w:val="99"/>
    <w:rsid w:val="00CC182C"/>
    <w:rPr>
      <w:sz w:val="20"/>
      <w:szCs w:val="20"/>
    </w:rPr>
  </w:style>
  <w:style w:type="paragraph" w:styleId="Asuntodelcomentario">
    <w:name w:val="annotation subject"/>
    <w:basedOn w:val="Textocomentario"/>
    <w:next w:val="Textocomentario"/>
    <w:link w:val="AsuntodelcomentarioCar"/>
    <w:uiPriority w:val="99"/>
    <w:semiHidden/>
    <w:unhideWhenUsed/>
    <w:rsid w:val="00CC182C"/>
    <w:rPr>
      <w:b/>
      <w:bCs/>
    </w:rPr>
  </w:style>
  <w:style w:type="character" w:customStyle="1" w:styleId="AsuntodelcomentarioCar">
    <w:name w:val="Asunto del comentario Car"/>
    <w:basedOn w:val="TextocomentarioCar"/>
    <w:link w:val="Asuntodelcomentario"/>
    <w:uiPriority w:val="99"/>
    <w:semiHidden/>
    <w:rsid w:val="00CC182C"/>
    <w:rPr>
      <w:b/>
      <w:bCs/>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5D5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vagamma.inversiones@hot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FF738AF-1971-45E9-9B42-26B230511F4F}">
  <ds:schemaRefs>
    <ds:schemaRef ds:uri="http://schemas.openxmlformats.org/officeDocument/2006/bibliography"/>
  </ds:schemaRefs>
</ds:datastoreItem>
</file>

<file path=customXml/itemProps4.xml><?xml version="1.0" encoding="utf-8"?>
<ds:datastoreItem xmlns:ds="http://schemas.openxmlformats.org/officeDocument/2006/customXml" ds:itemID="{6ADB9DF7-1B82-4762-BAA1-D3D33E984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19</Pages>
  <Words>6823</Words>
  <Characters>37527</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2023-01-10T18:18:00Z</cp:lastPrinted>
  <dcterms:created xsi:type="dcterms:W3CDTF">2026-06-01T15:44:00Z</dcterms:created>
  <dcterms:modified xsi:type="dcterms:W3CDTF">2026-06-04T22:24:00Z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