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91A37" w14:textId="77777777" w:rsidR="000613B0" w:rsidRPr="009647D2" w:rsidRDefault="000613B0" w:rsidP="000613B0">
      <w:pPr>
        <w:spacing w:after="0" w:line="240" w:lineRule="auto"/>
        <w:jc w:val="both"/>
        <w:rPr>
          <w:rFonts w:ascii="Verdana" w:eastAsia="Calibri" w:hAnsi="Verdana" w:cs="Arial"/>
          <w:b/>
          <w:lang w:val="es-ES" w:eastAsia="es-ES"/>
        </w:rPr>
      </w:pPr>
      <w:bookmarkStart w:id="0" w:name="_Hlk143780582"/>
      <w:r w:rsidRPr="009647D2">
        <w:rPr>
          <w:rFonts w:ascii="Verdana" w:eastAsia="Calibri" w:hAnsi="Verdana" w:cs="Arial"/>
          <w:b/>
          <w:lang w:val="es-ES" w:eastAsia="es-ES"/>
        </w:rPr>
        <w:t xml:space="preserve">CONTRATO ESTATAL – Régimen jurídico </w:t>
      </w:r>
    </w:p>
    <w:p w14:paraId="1B9F9450" w14:textId="77777777" w:rsidR="000613B0" w:rsidRDefault="000613B0" w:rsidP="000613B0">
      <w:pPr>
        <w:spacing w:after="0" w:line="240" w:lineRule="auto"/>
        <w:jc w:val="both"/>
        <w:rPr>
          <w:rFonts w:ascii="Verdana" w:eastAsia="Calibri" w:hAnsi="Verdana" w:cs="Arial"/>
          <w:b/>
          <w:lang w:val="es-ES" w:eastAsia="es-ES"/>
        </w:rPr>
      </w:pPr>
    </w:p>
    <w:p w14:paraId="54097CDB" w14:textId="77777777" w:rsidR="000613B0" w:rsidRPr="000B3A5B" w:rsidRDefault="000613B0" w:rsidP="000613B0">
      <w:pPr>
        <w:spacing w:after="0" w:line="240" w:lineRule="auto"/>
        <w:jc w:val="both"/>
        <w:rPr>
          <w:rFonts w:ascii="Verdana" w:eastAsia="Calibri" w:hAnsi="Verdana" w:cs="Arial"/>
          <w:sz w:val="20"/>
          <w:lang w:eastAsia="es-ES"/>
        </w:rPr>
      </w:pPr>
      <w:r w:rsidRPr="000B3A5B">
        <w:rPr>
          <w:rFonts w:ascii="Verdana" w:eastAsia="Calibri" w:hAnsi="Verdana" w:cs="Arial"/>
          <w:sz w:val="20"/>
          <w:lang w:val="es-ES" w:eastAsia="es-ES"/>
        </w:rPr>
        <w:t xml:space="preserve">Respecto al régimen jurídico de las </w:t>
      </w:r>
      <w:r w:rsidRPr="000B3A5B">
        <w:rPr>
          <w:rFonts w:ascii="Verdana" w:eastAsia="Calibri" w:hAnsi="Verdana" w:cs="Arial"/>
          <w:i/>
          <w:iCs/>
          <w:sz w:val="20"/>
          <w:lang w:val="es-ES" w:eastAsia="es-ES"/>
        </w:rPr>
        <w:t>entidades sometidas</w:t>
      </w:r>
      <w:r w:rsidRPr="000B3A5B">
        <w:rPr>
          <w:rFonts w:ascii="Verdana" w:eastAsia="Calibri" w:hAnsi="Verdana" w:cs="Arial"/>
          <w:sz w:val="20"/>
          <w:lang w:val="es-ES" w:eastAsia="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B3A5B">
        <w:rPr>
          <w:rFonts w:ascii="Verdana" w:eastAsia="Calibri" w:hAnsi="Verdana" w:cs="Arial"/>
          <w:sz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0B07B574" w14:textId="77777777" w:rsidR="000613B0" w:rsidRPr="009647D2" w:rsidRDefault="000613B0" w:rsidP="000613B0">
      <w:pPr>
        <w:spacing w:after="0" w:line="240" w:lineRule="auto"/>
        <w:jc w:val="both"/>
        <w:rPr>
          <w:rFonts w:ascii="Verdana" w:eastAsia="Calibri" w:hAnsi="Verdana" w:cs="Arial"/>
          <w:b/>
          <w:lang w:val="es-ES" w:eastAsia="es-ES"/>
        </w:rPr>
      </w:pPr>
    </w:p>
    <w:p w14:paraId="41C8D917" w14:textId="77777777" w:rsidR="000613B0" w:rsidRPr="009647D2" w:rsidRDefault="000613B0" w:rsidP="000613B0">
      <w:pPr>
        <w:spacing w:after="0" w:line="240" w:lineRule="auto"/>
        <w:jc w:val="both"/>
        <w:rPr>
          <w:rFonts w:ascii="Verdana" w:eastAsia="Calibri" w:hAnsi="Verdana" w:cs="Arial"/>
          <w:b/>
          <w:lang w:val="es-ES" w:eastAsia="es-ES"/>
        </w:rPr>
      </w:pPr>
      <w:r w:rsidRPr="009647D2">
        <w:rPr>
          <w:rFonts w:ascii="Verdana" w:eastAsia="Calibri" w:hAnsi="Verdana" w:cs="Arial"/>
          <w:b/>
          <w:lang w:val="es-ES" w:eastAsia="es-ES"/>
        </w:rPr>
        <w:t xml:space="preserve">RÉGIMEN EXCEPCIONAL – Justificación – Criterios de clasificación </w:t>
      </w:r>
    </w:p>
    <w:p w14:paraId="513D18CD" w14:textId="77777777" w:rsidR="000613B0" w:rsidRDefault="000613B0" w:rsidP="000613B0">
      <w:pPr>
        <w:spacing w:after="0" w:line="240" w:lineRule="auto"/>
        <w:jc w:val="both"/>
        <w:rPr>
          <w:rFonts w:ascii="Verdana" w:eastAsia="Calibri" w:hAnsi="Verdana" w:cs="Arial"/>
          <w:b/>
          <w:lang w:val="es-ES" w:eastAsia="es-ES"/>
        </w:rPr>
      </w:pPr>
    </w:p>
    <w:p w14:paraId="2FED5B52" w14:textId="77777777" w:rsidR="000613B0" w:rsidRPr="000876F0" w:rsidRDefault="000613B0" w:rsidP="000613B0">
      <w:pPr>
        <w:spacing w:after="0" w:line="240" w:lineRule="auto"/>
        <w:jc w:val="both"/>
        <w:rPr>
          <w:rFonts w:ascii="Verdana" w:hAnsi="Verdana" w:cs="Arial"/>
          <w:color w:val="000000" w:themeColor="text1"/>
          <w:sz w:val="20"/>
          <w:szCs w:val="20"/>
          <w:lang w:val="es-ES_tradnl"/>
        </w:rPr>
      </w:pPr>
      <w:r w:rsidRPr="000876F0">
        <w:rPr>
          <w:rFonts w:ascii="Verdana" w:hAnsi="Verdana" w:cs="Arial"/>
          <w:color w:val="000000" w:themeColor="text1"/>
          <w:sz w:val="20"/>
          <w:szCs w:val="20"/>
        </w:rPr>
        <w:t>La existencia de entidades exceptuadas del EGCAP se ha justificado por alguna de las siguientes tres (3) circunstancias: i) facilitar la competencia económica –como ocurre actualmente respecto al régimen de los servicios públicos domiciliarios–, ii) flexibilizar el ejercicio de la función administrativa –como en los contratos del Banco de la República o los de ciencia y tecnología– o iii)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ii) la asignación de un esquema legal especial, iii) el objeto del contrato celebrado y iv) la existencia de fondos que administran recursos públicos</w:t>
      </w:r>
      <w:r w:rsidRPr="000876F0">
        <w:rPr>
          <w:rFonts w:ascii="Verdana" w:hAnsi="Verdana" w:cs="Arial"/>
          <w:color w:val="000000" w:themeColor="text1"/>
          <w:sz w:val="20"/>
          <w:szCs w:val="20"/>
          <w:lang w:val="es-ES_tradnl"/>
        </w:rPr>
        <w:t>.</w:t>
      </w:r>
    </w:p>
    <w:p w14:paraId="3A9C6464" w14:textId="77777777" w:rsidR="000613B0" w:rsidRDefault="000613B0" w:rsidP="00DA61E0">
      <w:pPr>
        <w:spacing w:after="0"/>
        <w:rPr>
          <w:rFonts w:ascii="Verdana" w:eastAsia="Verdana" w:hAnsi="Verdana" w:cs="Verdana"/>
          <w:lang w:val="es-ES_tradnl"/>
        </w:rPr>
      </w:pPr>
    </w:p>
    <w:p w14:paraId="276D16BE" w14:textId="1B87D458" w:rsidR="000613B0" w:rsidRPr="000613B0" w:rsidRDefault="000613B0" w:rsidP="000613B0">
      <w:pPr>
        <w:spacing w:after="0"/>
        <w:jc w:val="both"/>
        <w:rPr>
          <w:rFonts w:ascii="Verdana" w:eastAsia="Verdana" w:hAnsi="Verdana" w:cs="Verdana"/>
          <w:b/>
          <w:bCs/>
          <w:lang w:val="es-ES"/>
        </w:rPr>
      </w:pPr>
      <w:r w:rsidRPr="000613B0">
        <w:rPr>
          <w:rFonts w:ascii="Verdana" w:eastAsia="Verdana" w:hAnsi="Verdana" w:cs="Verdana"/>
          <w:b/>
          <w:bCs/>
          <w:lang w:val="es-ES"/>
        </w:rPr>
        <w:t xml:space="preserve">EMPRESAS SOCIALES DEL ESTADO– Naturaleza – régimen especial </w:t>
      </w:r>
    </w:p>
    <w:p w14:paraId="7E1C7B2F" w14:textId="77777777" w:rsidR="000613B0" w:rsidRPr="00ED03B7" w:rsidRDefault="000613B0" w:rsidP="00ED03B7">
      <w:pPr>
        <w:spacing w:after="0" w:line="240" w:lineRule="auto"/>
        <w:jc w:val="both"/>
        <w:rPr>
          <w:rFonts w:ascii="Verdana" w:eastAsia="Verdana" w:hAnsi="Verdana" w:cs="Verdana"/>
          <w:sz w:val="20"/>
          <w:szCs w:val="20"/>
          <w:lang w:val="es-ES"/>
        </w:rPr>
      </w:pPr>
    </w:p>
    <w:p w14:paraId="3B5D4B35" w14:textId="0DD603E8" w:rsidR="00ED03B7" w:rsidRPr="00ED03B7" w:rsidRDefault="00ED03B7" w:rsidP="00ED03B7">
      <w:pPr>
        <w:spacing w:after="0" w:line="240" w:lineRule="auto"/>
        <w:jc w:val="both"/>
        <w:rPr>
          <w:rFonts w:ascii="Verdana" w:eastAsia="Verdana" w:hAnsi="Verdana" w:cs="Verdana"/>
          <w:sz w:val="20"/>
          <w:szCs w:val="20"/>
          <w:lang w:val="es-MX"/>
        </w:rPr>
      </w:pPr>
      <w:r w:rsidRPr="00ED03B7">
        <w:rPr>
          <w:rFonts w:ascii="Verdana" w:eastAsia="Verdana" w:hAnsi="Verdana" w:cs="Verdana"/>
          <w:sz w:val="20"/>
          <w:szCs w:val="20"/>
          <w:lang w:val="es-MX"/>
        </w:rPr>
        <w:t xml:space="preserve">Una de las Entidades Estatales con régimen especial son las Empresas Sociales del Estado – ESE. Estas empresas han sido entendidas como Entidades Públicas que, conforme al artículo 194 de la Ley 100 de 1993, constituyen una categoría especial, descentralizada por servicios, con personería jurídica, patrimonio propio y autonomía administrativa. A través de ellas la Nación o las entidades territoriales prestan el servicio de salud de manera directa, es decir, las Empresas Sociales del Estado son, esencialmente, los hospitales públicos. </w:t>
      </w:r>
    </w:p>
    <w:p w14:paraId="5632DDEF" w14:textId="77777777" w:rsidR="00ED03B7" w:rsidRPr="00ED03B7" w:rsidRDefault="00ED03B7" w:rsidP="00ED03B7">
      <w:pPr>
        <w:spacing w:after="0" w:line="240" w:lineRule="auto"/>
        <w:jc w:val="both"/>
        <w:rPr>
          <w:rFonts w:ascii="Verdana" w:eastAsia="Verdana" w:hAnsi="Verdana" w:cs="Verdana"/>
          <w:sz w:val="20"/>
          <w:szCs w:val="20"/>
        </w:rPr>
      </w:pPr>
    </w:p>
    <w:p w14:paraId="051AFF28" w14:textId="77777777" w:rsidR="00ED03B7" w:rsidRPr="00ED03B7" w:rsidRDefault="00ED03B7" w:rsidP="00ED03B7">
      <w:pPr>
        <w:spacing w:after="0" w:line="240" w:lineRule="auto"/>
        <w:jc w:val="both"/>
        <w:rPr>
          <w:rFonts w:ascii="Verdana" w:eastAsia="Verdana" w:hAnsi="Verdana" w:cs="Verdana"/>
          <w:sz w:val="20"/>
          <w:szCs w:val="20"/>
          <w:lang w:val="es-ES"/>
        </w:rPr>
      </w:pPr>
      <w:r w:rsidRPr="00ED03B7">
        <w:rPr>
          <w:rFonts w:ascii="Verdana" w:eastAsia="Verdana" w:hAnsi="Verdana" w:cs="Verdana"/>
          <w:sz w:val="20"/>
          <w:szCs w:val="20"/>
          <w:lang w:val="es-ES"/>
        </w:rPr>
        <w:t xml:space="preserve">De la cita precedente puede concluirse entonces que, las Empresas Sociales del Estado </w:t>
      </w:r>
      <w:r w:rsidRPr="00ED03B7">
        <w:rPr>
          <w:rFonts w:ascii="Verdana" w:eastAsia="Verdana" w:hAnsi="Verdana" w:cs="Verdana"/>
          <w:sz w:val="20"/>
          <w:szCs w:val="20"/>
          <w:lang w:val="es-MX"/>
        </w:rPr>
        <w:t>–ESE–</w:t>
      </w:r>
      <w:r w:rsidRPr="00ED03B7">
        <w:rPr>
          <w:rFonts w:ascii="Verdana" w:eastAsia="Verdana" w:hAnsi="Verdana" w:cs="Verdana"/>
          <w:sz w:val="20"/>
          <w:szCs w:val="20"/>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3C40FB20" w14:textId="77777777" w:rsidR="000613B0" w:rsidRPr="000613B0" w:rsidRDefault="000613B0" w:rsidP="000613B0">
      <w:pPr>
        <w:spacing w:after="0"/>
        <w:jc w:val="both"/>
        <w:rPr>
          <w:rFonts w:ascii="Verdana" w:eastAsia="Verdana" w:hAnsi="Verdana" w:cs="Verdana"/>
          <w:b/>
          <w:bCs/>
          <w:lang w:val="es-ES"/>
        </w:rPr>
      </w:pPr>
    </w:p>
    <w:p w14:paraId="55C43EB5" w14:textId="77777777" w:rsidR="000613B0" w:rsidRDefault="000613B0" w:rsidP="000613B0">
      <w:pPr>
        <w:spacing w:after="0"/>
        <w:jc w:val="both"/>
        <w:rPr>
          <w:rFonts w:ascii="Verdana" w:eastAsia="Verdana" w:hAnsi="Verdana" w:cs="Verdana"/>
          <w:b/>
          <w:bCs/>
          <w:lang w:val="es-ES"/>
        </w:rPr>
      </w:pPr>
      <w:r w:rsidRPr="000613B0">
        <w:rPr>
          <w:rFonts w:ascii="Verdana" w:eastAsia="Verdana" w:hAnsi="Verdana" w:cs="Verdana"/>
          <w:b/>
          <w:bCs/>
          <w:lang w:val="es-ES"/>
        </w:rPr>
        <w:t xml:space="preserve">EMPRESAS SOCIALES DEL ESTADO– Aplicación - Artículo 13 de la Ley 1150 de 2007 </w:t>
      </w:r>
    </w:p>
    <w:p w14:paraId="2FE97CBE" w14:textId="77777777" w:rsidR="00ED03B7" w:rsidRDefault="00ED03B7" w:rsidP="00ED03B7">
      <w:pPr>
        <w:spacing w:after="0" w:line="240" w:lineRule="auto"/>
        <w:jc w:val="both"/>
        <w:rPr>
          <w:rFonts w:ascii="Verdana" w:eastAsia="Verdana" w:hAnsi="Verdana" w:cs="Verdana"/>
          <w:sz w:val="20"/>
          <w:szCs w:val="20"/>
          <w:lang w:val="es-MX"/>
        </w:rPr>
      </w:pPr>
      <w:r w:rsidRPr="00ED03B7">
        <w:rPr>
          <w:rFonts w:ascii="Verdana" w:eastAsia="Verdana" w:hAnsi="Verdana" w:cs="Verdana"/>
          <w:sz w:val="20"/>
          <w:szCs w:val="20"/>
          <w:lang w:val="es-MX"/>
        </w:rPr>
        <w:lastRenderedPageBreak/>
        <w:t xml:space="preserve">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 </w:t>
      </w:r>
    </w:p>
    <w:p w14:paraId="64152112" w14:textId="77777777" w:rsidR="00ED03B7" w:rsidRPr="00ED03B7" w:rsidRDefault="00ED03B7" w:rsidP="00ED03B7">
      <w:pPr>
        <w:spacing w:after="0" w:line="240" w:lineRule="auto"/>
        <w:jc w:val="both"/>
        <w:rPr>
          <w:rFonts w:ascii="Verdana" w:eastAsia="Verdana" w:hAnsi="Verdana" w:cs="Verdana"/>
          <w:sz w:val="20"/>
          <w:szCs w:val="20"/>
          <w:lang w:val="es-MX"/>
        </w:rPr>
      </w:pPr>
    </w:p>
    <w:p w14:paraId="646545C6" w14:textId="2B6346D0" w:rsidR="000613B0" w:rsidRPr="00ED03B7" w:rsidRDefault="00ED03B7" w:rsidP="00ED03B7">
      <w:pPr>
        <w:spacing w:after="0" w:line="240" w:lineRule="auto"/>
        <w:jc w:val="both"/>
        <w:rPr>
          <w:rFonts w:ascii="Verdana" w:eastAsia="Verdana" w:hAnsi="Verdana" w:cs="Verdana"/>
          <w:sz w:val="20"/>
          <w:szCs w:val="20"/>
          <w:lang w:val="es-ES"/>
        </w:rPr>
      </w:pPr>
      <w:r w:rsidRPr="00ED03B7">
        <w:rPr>
          <w:rFonts w:ascii="Verdana" w:eastAsia="Verdana" w:hAnsi="Verdana" w:cs="Verdana"/>
          <w:sz w:val="20"/>
          <w:szCs w:val="20"/>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 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 así como el deber de publicar en la plataforma transaccional SECOP II.</w:t>
      </w:r>
    </w:p>
    <w:p w14:paraId="5F5E0C3E" w14:textId="77777777" w:rsidR="000613B0" w:rsidRDefault="000613B0" w:rsidP="000613B0">
      <w:pPr>
        <w:spacing w:after="0"/>
        <w:jc w:val="both"/>
        <w:rPr>
          <w:rFonts w:ascii="Verdana" w:eastAsia="Verdana" w:hAnsi="Verdana" w:cs="Verdana"/>
          <w:b/>
          <w:bCs/>
          <w:lang w:val="es-ES"/>
        </w:rPr>
      </w:pPr>
    </w:p>
    <w:p w14:paraId="1C4E3AEA" w14:textId="1C32AE86" w:rsidR="000613B0" w:rsidRPr="000613B0" w:rsidRDefault="000613B0" w:rsidP="000613B0">
      <w:pPr>
        <w:spacing w:after="0"/>
        <w:jc w:val="both"/>
        <w:rPr>
          <w:rFonts w:ascii="Verdana" w:eastAsia="Verdana" w:hAnsi="Verdana" w:cs="Verdana"/>
          <w:b/>
          <w:bCs/>
          <w:lang w:val="es-ES"/>
        </w:rPr>
      </w:pPr>
      <w:r w:rsidRPr="000613B0">
        <w:rPr>
          <w:rFonts w:ascii="Verdana" w:eastAsia="Verdana" w:hAnsi="Verdana" w:cs="Verdana"/>
          <w:b/>
          <w:bCs/>
          <w:lang w:val="es-ES"/>
        </w:rPr>
        <w:t xml:space="preserve">MANUALES DE CONTRATACIÓN – Alcance – Límites – Obligatoriedad </w:t>
      </w:r>
    </w:p>
    <w:p w14:paraId="57AEAC97" w14:textId="77777777" w:rsidR="000613B0" w:rsidRPr="00ED03B7" w:rsidRDefault="000613B0" w:rsidP="00ED03B7">
      <w:pPr>
        <w:spacing w:after="0" w:line="240" w:lineRule="auto"/>
        <w:jc w:val="both"/>
        <w:rPr>
          <w:rFonts w:ascii="Verdana" w:eastAsia="Verdana" w:hAnsi="Verdana" w:cs="Verdana"/>
          <w:b/>
          <w:bCs/>
          <w:sz w:val="20"/>
          <w:szCs w:val="20"/>
          <w:lang w:val="es-ES"/>
        </w:rPr>
      </w:pPr>
    </w:p>
    <w:p w14:paraId="6473599F" w14:textId="17B553A4" w:rsidR="00ED03B7" w:rsidRPr="00ED03B7" w:rsidRDefault="00ED03B7" w:rsidP="00ED03B7">
      <w:pPr>
        <w:spacing w:after="0" w:line="240" w:lineRule="auto"/>
        <w:jc w:val="both"/>
        <w:rPr>
          <w:rFonts w:ascii="Verdana" w:eastAsia="Verdana" w:hAnsi="Verdana" w:cs="Verdana"/>
          <w:sz w:val="20"/>
          <w:szCs w:val="20"/>
          <w:lang w:val="es-ES"/>
        </w:rPr>
      </w:pPr>
      <w:r>
        <w:rPr>
          <w:rFonts w:ascii="Verdana" w:eastAsia="Verdana" w:hAnsi="Verdana" w:cs="Verdana"/>
          <w:sz w:val="20"/>
          <w:szCs w:val="20"/>
          <w:lang w:val="es-ES"/>
        </w:rPr>
        <w:t xml:space="preserve">[…] </w:t>
      </w:r>
      <w:r w:rsidRPr="00ED03B7">
        <w:rPr>
          <w:rFonts w:ascii="Verdana" w:eastAsia="Verdana" w:hAnsi="Verdana" w:cs="Verdana"/>
          <w:sz w:val="20"/>
          <w:szCs w:val="20"/>
          <w:lang w:val="es-ES"/>
        </w:rPr>
        <w:t>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 Ahora bien, dicha libertad es similar a la reconocida a los particulares por el derecho privado, pero no es idéntica a aquella, en la medida en que encuentra importantes limitantes.</w:t>
      </w:r>
    </w:p>
    <w:p w14:paraId="3244833E" w14:textId="77777777" w:rsidR="00ED03B7" w:rsidRPr="00ED03B7" w:rsidRDefault="00ED03B7" w:rsidP="00ED03B7">
      <w:pPr>
        <w:spacing w:after="0" w:line="240" w:lineRule="auto"/>
        <w:jc w:val="both"/>
        <w:rPr>
          <w:rFonts w:ascii="Verdana" w:eastAsia="Verdana" w:hAnsi="Verdana" w:cs="Verdana"/>
          <w:sz w:val="20"/>
          <w:szCs w:val="20"/>
          <w:lang w:val="es-ES"/>
        </w:rPr>
      </w:pPr>
    </w:p>
    <w:p w14:paraId="5E645268" w14:textId="7A0FB458" w:rsidR="000613B0" w:rsidRPr="00ED03B7" w:rsidRDefault="00ED03B7" w:rsidP="00ED03B7">
      <w:pPr>
        <w:spacing w:after="0" w:line="240" w:lineRule="auto"/>
        <w:jc w:val="both"/>
        <w:rPr>
          <w:rFonts w:ascii="Verdana" w:eastAsia="Verdana" w:hAnsi="Verdana" w:cs="Verdana"/>
          <w:sz w:val="20"/>
          <w:szCs w:val="20"/>
          <w:lang w:val="es-ES"/>
        </w:rPr>
      </w:pPr>
      <w:r w:rsidRPr="00ED03B7">
        <w:rPr>
          <w:rFonts w:ascii="Verdana" w:eastAsia="Verdana" w:hAnsi="Verdana" w:cs="Verdana"/>
          <w:sz w:val="20"/>
          <w:szCs w:val="20"/>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p>
    <w:p w14:paraId="0D406F15" w14:textId="77777777" w:rsidR="00ED03B7" w:rsidRPr="000613B0" w:rsidRDefault="00ED03B7" w:rsidP="00ED03B7">
      <w:pPr>
        <w:spacing w:after="0"/>
        <w:jc w:val="both"/>
        <w:rPr>
          <w:rFonts w:ascii="Verdana" w:eastAsia="Verdana" w:hAnsi="Verdana" w:cs="Verdana"/>
          <w:b/>
          <w:bCs/>
          <w:lang w:val="es-ES"/>
        </w:rPr>
      </w:pPr>
    </w:p>
    <w:p w14:paraId="04CC0AB5" w14:textId="77777777" w:rsidR="000613B0" w:rsidRPr="000613B0" w:rsidRDefault="000613B0" w:rsidP="000613B0">
      <w:pPr>
        <w:spacing w:after="0"/>
        <w:jc w:val="both"/>
        <w:rPr>
          <w:rFonts w:ascii="Verdana" w:eastAsia="Verdana" w:hAnsi="Verdana" w:cs="Verdana"/>
          <w:b/>
          <w:bCs/>
          <w:lang w:val="es-ES"/>
        </w:rPr>
      </w:pPr>
      <w:r w:rsidRPr="000613B0">
        <w:rPr>
          <w:rFonts w:ascii="Verdana" w:eastAsia="Verdana" w:hAnsi="Verdana" w:cs="Verdana"/>
          <w:b/>
          <w:bCs/>
          <w:lang w:val="es-ES"/>
        </w:rPr>
        <w:lastRenderedPageBreak/>
        <w:t>PRINCIPIOS DE LA FUNCIÓN ADMINISTRATIVA – Aplicación – Criterios Metodológicos</w:t>
      </w:r>
    </w:p>
    <w:p w14:paraId="3F278D99" w14:textId="77777777" w:rsidR="000613B0" w:rsidRPr="00ED03B7" w:rsidRDefault="000613B0" w:rsidP="00ED03B7">
      <w:pPr>
        <w:spacing w:after="0" w:line="240" w:lineRule="auto"/>
        <w:jc w:val="both"/>
        <w:rPr>
          <w:rFonts w:ascii="Verdana" w:eastAsia="Verdana" w:hAnsi="Verdana" w:cs="Verdana"/>
          <w:sz w:val="20"/>
          <w:szCs w:val="20"/>
          <w:lang w:val="es-ES"/>
        </w:rPr>
      </w:pPr>
    </w:p>
    <w:p w14:paraId="1B610830" w14:textId="77777777" w:rsidR="00ED03B7" w:rsidRPr="00ED03B7" w:rsidRDefault="00ED03B7" w:rsidP="00ED03B7">
      <w:pPr>
        <w:spacing w:after="0" w:line="240" w:lineRule="auto"/>
        <w:jc w:val="both"/>
        <w:rPr>
          <w:rFonts w:ascii="Verdana" w:eastAsia="Verdana" w:hAnsi="Verdana" w:cs="Verdana"/>
          <w:sz w:val="20"/>
          <w:szCs w:val="20"/>
        </w:rPr>
      </w:pPr>
      <w:r w:rsidRPr="00ED03B7">
        <w:rPr>
          <w:rFonts w:ascii="Verdana" w:eastAsia="Verdana" w:hAnsi="Verdana" w:cs="Verdana"/>
          <w:sz w:val="20"/>
          <w:szCs w:val="20"/>
          <w:lang w:val="es-ES"/>
        </w:rPr>
        <w:t xml:space="preserve">En esta perspectiva, los principios de la función administrativa </w:t>
      </w:r>
      <w:r w:rsidRPr="00ED03B7">
        <w:rPr>
          <w:rFonts w:ascii="Verdana" w:eastAsia="Verdana" w:hAnsi="Verdana" w:cs="Verdana"/>
          <w:sz w:val="20"/>
          <w:szCs w:val="20"/>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especial, pueden escoger entre una variedad de alternativas para el cumplimiento de estos, por lo que no implica que deban sujetarse a la forma cómo es aplicado en el EGCAP. </w:t>
      </w:r>
    </w:p>
    <w:p w14:paraId="087FCA66" w14:textId="77777777" w:rsidR="00ED03B7" w:rsidRDefault="00ED03B7" w:rsidP="00ED03B7">
      <w:pPr>
        <w:spacing w:after="0" w:line="240" w:lineRule="auto"/>
        <w:jc w:val="both"/>
        <w:rPr>
          <w:rFonts w:ascii="Verdana" w:eastAsia="Verdana" w:hAnsi="Verdana" w:cs="Verdana"/>
          <w:sz w:val="20"/>
          <w:szCs w:val="20"/>
          <w:lang w:val="es-ES_tradnl"/>
        </w:rPr>
      </w:pPr>
    </w:p>
    <w:p w14:paraId="7483D5E7" w14:textId="3316B08C" w:rsidR="00ED03B7" w:rsidRPr="00ED03B7" w:rsidRDefault="00ED03B7" w:rsidP="00ED03B7">
      <w:pPr>
        <w:spacing w:after="0" w:line="240" w:lineRule="auto"/>
        <w:jc w:val="both"/>
        <w:rPr>
          <w:rFonts w:ascii="Verdana" w:eastAsia="Verdana" w:hAnsi="Verdana" w:cs="Verdana"/>
          <w:sz w:val="20"/>
          <w:szCs w:val="20"/>
          <w:lang w:val="es-ES"/>
        </w:rPr>
      </w:pPr>
      <w:r w:rsidRPr="00ED03B7">
        <w:rPr>
          <w:rFonts w:ascii="Verdana" w:eastAsia="Verdana" w:hAnsi="Verdana" w:cs="Verdana"/>
          <w:sz w:val="20"/>
          <w:szCs w:val="20"/>
          <w:lang w:val="es-ES"/>
        </w:rPr>
        <w:t xml:space="preserve">En efecto, 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6D1FB4E2" w14:textId="77777777" w:rsidR="00ED03B7" w:rsidRPr="000613B0" w:rsidRDefault="00ED03B7" w:rsidP="000613B0">
      <w:pPr>
        <w:spacing w:after="0"/>
        <w:jc w:val="both"/>
        <w:rPr>
          <w:rFonts w:ascii="Verdana" w:eastAsia="Verdana" w:hAnsi="Verdana" w:cs="Verdana"/>
          <w:b/>
          <w:bCs/>
          <w:lang w:val="es-ES"/>
        </w:rPr>
      </w:pPr>
    </w:p>
    <w:p w14:paraId="3EE690BA" w14:textId="77777777" w:rsidR="000613B0" w:rsidRPr="000613B0" w:rsidRDefault="000613B0" w:rsidP="000613B0">
      <w:pPr>
        <w:spacing w:after="0"/>
        <w:jc w:val="both"/>
        <w:rPr>
          <w:rFonts w:ascii="Verdana" w:eastAsia="Verdana" w:hAnsi="Verdana" w:cs="Verdana"/>
          <w:b/>
          <w:bCs/>
          <w:lang w:val="es-ES"/>
        </w:rPr>
      </w:pPr>
      <w:r w:rsidRPr="000613B0">
        <w:rPr>
          <w:rFonts w:ascii="Verdana" w:eastAsia="Verdana" w:hAnsi="Verdana" w:cs="Verdana"/>
          <w:b/>
          <w:bCs/>
          <w:lang w:val="es-ES"/>
        </w:rPr>
        <w:t>MANUALES DE CONTRATACIÓN – Aplicación de principios – Procedimientos Competitivos – Procedimientos no competitivos</w:t>
      </w:r>
    </w:p>
    <w:p w14:paraId="1138E15C" w14:textId="77777777" w:rsidR="000613B0" w:rsidRPr="000613B0" w:rsidRDefault="000613B0" w:rsidP="000613B0">
      <w:pPr>
        <w:spacing w:after="0"/>
        <w:jc w:val="both"/>
        <w:rPr>
          <w:rFonts w:ascii="Verdana" w:eastAsia="Verdana" w:hAnsi="Verdana" w:cs="Verdana"/>
          <w:b/>
          <w:bCs/>
          <w:lang w:val="es-ES"/>
        </w:rPr>
      </w:pPr>
    </w:p>
    <w:p w14:paraId="47C7BE06" w14:textId="331E5F9C" w:rsidR="000613B0" w:rsidRDefault="00ED03B7" w:rsidP="00ED03B7">
      <w:pPr>
        <w:spacing w:after="0" w:line="240" w:lineRule="auto"/>
        <w:jc w:val="both"/>
        <w:rPr>
          <w:rFonts w:ascii="Verdana" w:eastAsia="Verdana" w:hAnsi="Verdana" w:cs="Verdana"/>
          <w:sz w:val="20"/>
          <w:szCs w:val="20"/>
        </w:rPr>
      </w:pPr>
      <w:r w:rsidRPr="00ED03B7">
        <w:rPr>
          <w:rFonts w:ascii="Verdana" w:eastAsia="Verdana" w:hAnsi="Verdana" w:cs="Verdana"/>
          <w:sz w:val="20"/>
          <w:szCs w:val="20"/>
        </w:rPr>
        <w:t xml:space="preserve">Estos principios se manifiestan en que no exista discriminación y en que las entidades no impongan limitaciones mediante reglas que impidan la concurrencia para obtener mejores condiciones de contratación. Esto permite excepciones que busquen condiciones del contratista que sean favorables a los intereses del Estado y aseguren la transparencia, ya sean en procedimientos competitivos y no competitivos. En este escenario, dentro de las empresas sociales del Estado pueden establecer modalidades o procesos de selección en: i) competitivas y ii) no competitivas.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 </w:t>
      </w:r>
    </w:p>
    <w:p w14:paraId="2E65ACA8" w14:textId="77777777" w:rsidR="00ED03B7" w:rsidRPr="00ED03B7" w:rsidRDefault="00ED03B7" w:rsidP="00ED03B7">
      <w:pPr>
        <w:spacing w:after="0" w:line="240" w:lineRule="auto"/>
        <w:jc w:val="both"/>
        <w:rPr>
          <w:rFonts w:ascii="Verdana" w:eastAsia="Verdana" w:hAnsi="Verdana" w:cs="Verdana"/>
          <w:sz w:val="20"/>
          <w:szCs w:val="20"/>
          <w:lang w:val="es-ES"/>
        </w:rPr>
      </w:pPr>
    </w:p>
    <w:p w14:paraId="30AA762B" w14:textId="77777777" w:rsidR="000613B0" w:rsidRPr="000613B0" w:rsidRDefault="000613B0" w:rsidP="000613B0">
      <w:pPr>
        <w:spacing w:after="0"/>
        <w:jc w:val="both"/>
        <w:rPr>
          <w:rFonts w:ascii="Verdana" w:eastAsia="Verdana" w:hAnsi="Verdana" w:cs="Verdana"/>
          <w:b/>
          <w:bCs/>
        </w:rPr>
      </w:pPr>
      <w:r w:rsidRPr="000613B0">
        <w:rPr>
          <w:rFonts w:ascii="Verdana" w:eastAsia="Verdana" w:hAnsi="Verdana" w:cs="Verdana"/>
          <w:b/>
          <w:bCs/>
        </w:rPr>
        <w:t xml:space="preserve">ENAJENACIÓN – Bienes muebles – Bienes Inmuebles </w:t>
      </w:r>
    </w:p>
    <w:p w14:paraId="64C4C1BB" w14:textId="77777777" w:rsidR="000613B0" w:rsidRPr="00ED03B7" w:rsidRDefault="000613B0" w:rsidP="00ED03B7">
      <w:pPr>
        <w:spacing w:after="0" w:line="240" w:lineRule="auto"/>
        <w:jc w:val="both"/>
        <w:rPr>
          <w:rFonts w:ascii="Verdana" w:eastAsia="Verdana" w:hAnsi="Verdana" w:cs="Verdana"/>
          <w:sz w:val="20"/>
          <w:szCs w:val="20"/>
        </w:rPr>
      </w:pPr>
    </w:p>
    <w:p w14:paraId="26F0791A" w14:textId="0ED23154" w:rsidR="00ED03B7" w:rsidRPr="00ED03B7" w:rsidRDefault="00ED03B7" w:rsidP="00ED03B7">
      <w:pPr>
        <w:spacing w:after="0" w:line="240" w:lineRule="auto"/>
        <w:jc w:val="both"/>
        <w:rPr>
          <w:rFonts w:ascii="Verdana" w:eastAsia="Verdana" w:hAnsi="Verdana" w:cs="Verdana"/>
          <w:sz w:val="20"/>
          <w:szCs w:val="20"/>
        </w:rPr>
      </w:pPr>
      <w:r w:rsidRPr="00ED03B7">
        <w:rPr>
          <w:rFonts w:ascii="Verdana" w:eastAsia="Verdana" w:hAnsi="Verdana" w:cs="Verdana"/>
          <w:sz w:val="20"/>
          <w:szCs w:val="20"/>
        </w:rPr>
        <w:t xml:space="preserve">La </w:t>
      </w:r>
      <w:r w:rsidRPr="00ED03B7">
        <w:rPr>
          <w:rFonts w:ascii="Verdana" w:eastAsia="Verdana" w:hAnsi="Verdana" w:cs="Verdana"/>
          <w:sz w:val="20"/>
          <w:szCs w:val="20"/>
          <w:lang w:val="es-ES"/>
        </w:rPr>
        <w:t>enajenación</w:t>
      </w:r>
      <w:r w:rsidRPr="00ED03B7">
        <w:rPr>
          <w:rFonts w:ascii="Verdana" w:eastAsia="Verdana" w:hAnsi="Verdana" w:cs="Verdana"/>
          <w:sz w:val="20"/>
          <w:szCs w:val="20"/>
        </w:rPr>
        <w:t xml:space="preserve"> se define como la transferencia del derecho real sobre un bien. Como indica la doctrina, “</w:t>
      </w:r>
      <w:r w:rsidRPr="00ED03B7">
        <w:rPr>
          <w:rFonts w:ascii="Verdana" w:eastAsia="Verdana" w:hAnsi="Verdana" w:cs="Verdana"/>
          <w:i/>
          <w:iCs/>
          <w:sz w:val="20"/>
          <w:szCs w:val="20"/>
        </w:rPr>
        <w:t xml:space="preserve">Dar –en sentido restringido–, traditar, enajenar, disponer, son conceptos sinónimos en el Código Civil. Cuando se da, se enajena. Cuando se tradita, se enajena, Cuando se enajena, se da o se tradita. Y, finalmente, cuando ocurre cualquiera </w:t>
      </w:r>
      <w:r w:rsidRPr="00ED03B7">
        <w:rPr>
          <w:rFonts w:ascii="Verdana" w:eastAsia="Verdana" w:hAnsi="Verdana" w:cs="Verdana"/>
          <w:i/>
          <w:iCs/>
          <w:sz w:val="20"/>
          <w:szCs w:val="20"/>
        </w:rPr>
        <w:lastRenderedPageBreak/>
        <w:t>de tales fenómenos, se dispone”.</w:t>
      </w:r>
      <w:r w:rsidRPr="00ED03B7">
        <w:rPr>
          <w:rFonts w:ascii="Verdana" w:eastAsia="Verdana" w:hAnsi="Verdana" w:cs="Verdana"/>
          <w:sz w:val="20"/>
          <w:szCs w:val="20"/>
        </w:rPr>
        <w:t xml:space="preserve"> Lo más usual es que la enajenación se lleve a cabo respecto del derecho de propiedad; y en tal caso se efectúa a través de los modos señalados en el artículo 673 del Código Civil, pudiendo recaer tanto sobre los bienes muebles, como inmuebles, aunque frente a estos la ley exige solemnidades especiales. Entretanto, el artículo 1521 del Código Civil dispone que se presenta objeto ilícito en la enajenación: i) “De las cosas que no están en el comercio”, ii) “De los derechos o privilegios que no pueden transferirse a otra persona” y iii) “De las cosas embargadas por decreto judicial, a menos que el juez lo autorice o el acreedor consienta en ello”.</w:t>
      </w:r>
    </w:p>
    <w:p w14:paraId="14204371" w14:textId="06986FDB" w:rsidR="00ED03B7" w:rsidRPr="00ED03B7" w:rsidRDefault="00ED03B7" w:rsidP="00ED03B7">
      <w:pPr>
        <w:spacing w:after="0" w:line="240" w:lineRule="auto"/>
        <w:jc w:val="both"/>
        <w:rPr>
          <w:rFonts w:ascii="Verdana" w:eastAsia="Verdana" w:hAnsi="Verdana" w:cs="Verdana"/>
          <w:sz w:val="20"/>
          <w:szCs w:val="20"/>
        </w:rPr>
      </w:pPr>
      <w:r w:rsidRPr="00ED03B7">
        <w:rPr>
          <w:rFonts w:ascii="Verdana" w:eastAsia="Verdana" w:hAnsi="Verdana" w:cs="Verdana"/>
          <w:sz w:val="20"/>
          <w:szCs w:val="20"/>
        </w:rPr>
        <w:t>[…]</w:t>
      </w:r>
    </w:p>
    <w:p w14:paraId="4BDF91E7" w14:textId="30BB14F8" w:rsidR="00ED03B7" w:rsidRPr="00ED03B7" w:rsidRDefault="00ED03B7" w:rsidP="00ED03B7">
      <w:pPr>
        <w:spacing w:after="0" w:line="240" w:lineRule="auto"/>
        <w:jc w:val="both"/>
        <w:rPr>
          <w:rFonts w:ascii="Verdana" w:eastAsia="Verdana" w:hAnsi="Verdana" w:cs="Verdana"/>
          <w:sz w:val="20"/>
          <w:szCs w:val="20"/>
          <w:lang w:val="es-ES"/>
        </w:rPr>
      </w:pPr>
      <w:r w:rsidRPr="00ED03B7">
        <w:rPr>
          <w:rFonts w:ascii="Verdana" w:eastAsia="Verdana" w:hAnsi="Verdana" w:cs="Verdana"/>
          <w:sz w:val="20"/>
          <w:szCs w:val="20"/>
        </w:rPr>
        <w:t>Respecto del tipo de bienes que pueden ser objeto de enajenación es importante resaltar, en primer lugar, que e</w:t>
      </w:r>
      <w:r w:rsidRPr="00ED03B7">
        <w:rPr>
          <w:rFonts w:ascii="Verdana" w:eastAsia="Verdana" w:hAnsi="Verdana" w:cs="Verdana"/>
          <w:sz w:val="20"/>
          <w:szCs w:val="20"/>
          <w:lang w:val="es-ES"/>
        </w:rPr>
        <w:t>l artículo 654 del Código Civil clasifica las cosas corporales en muebles e inmuebles. El artículo 655 define los bienes muebles como los que “</w:t>
      </w:r>
      <w:r w:rsidRPr="00ED03B7">
        <w:rPr>
          <w:rFonts w:ascii="Verdana" w:eastAsia="Verdana" w:hAnsi="Verdana" w:cs="Verdana"/>
          <w:i/>
          <w:iCs/>
          <w:sz w:val="20"/>
          <w:szCs w:val="20"/>
          <w:lang w:val="es-ES"/>
        </w:rPr>
        <w:t>pueden transportarse de un lugar a otro, sea moviéndose ellas a sí mismas como los animales</w:t>
      </w:r>
      <w:r w:rsidRPr="00ED03B7">
        <w:rPr>
          <w:rFonts w:ascii="Verdana" w:eastAsia="Verdana" w:hAnsi="Verdana" w:cs="Verdana"/>
          <w:sz w:val="20"/>
          <w:szCs w:val="20"/>
          <w:lang w:val="es-ES"/>
        </w:rPr>
        <w:t xml:space="preserve"> (</w:t>
      </w:r>
      <w:r w:rsidRPr="00ED03B7">
        <w:rPr>
          <w:rFonts w:ascii="Verdana" w:eastAsia="Verdana" w:hAnsi="Verdana" w:cs="Verdana"/>
          <w:i/>
          <w:iCs/>
          <w:sz w:val="20"/>
          <w:szCs w:val="20"/>
          <w:lang w:val="es-ES"/>
        </w:rPr>
        <w:t>que por eso se llaman semovientes), sea que sólo se muevan por una fuerza externa, como las cosas inanimadas”</w:t>
      </w:r>
      <w:r w:rsidRPr="00ED03B7">
        <w:rPr>
          <w:rFonts w:ascii="Verdana" w:eastAsia="Verdana" w:hAnsi="Verdana" w:cs="Verdana"/>
          <w:sz w:val="20"/>
          <w:szCs w:val="20"/>
          <w:lang w:val="es-ES"/>
        </w:rPr>
        <w:t>, mientras que el artículo 656 define los inmuebles así: “</w:t>
      </w:r>
      <w:r w:rsidRPr="00ED03B7">
        <w:rPr>
          <w:rFonts w:ascii="Verdana" w:eastAsia="Verdana" w:hAnsi="Verdana" w:cs="Verdana"/>
          <w:i/>
          <w:iCs/>
          <w:sz w:val="20"/>
          <w:szCs w:val="20"/>
          <w:lang w:val="es-ES"/>
        </w:rPr>
        <w:t>Inmuebles o fincas o bienes raíces son las cosas que no pueden transportarse de un lugar a otro; como las tierras y minas, y las que adhieren permanentemente a ellas, como los edificios, los árboles. Las casas y veredas se llaman predios o fundos”.</w:t>
      </w:r>
      <w:r w:rsidRPr="00ED03B7">
        <w:rPr>
          <w:rFonts w:ascii="Verdana" w:eastAsia="Verdana" w:hAnsi="Verdana" w:cs="Verdana"/>
          <w:sz w:val="20"/>
          <w:szCs w:val="20"/>
          <w:lang w:val="es-ES"/>
        </w:rPr>
        <w:t xml:space="preserve"> No obstante, esta definición se refiere a los inmuebles por naturaleza, pues el Código también considera inmuebles a las cosas que en principio eran muebles, pero que por su destinación o adhesión mutan su categoría. </w:t>
      </w:r>
    </w:p>
    <w:p w14:paraId="7C88CB69" w14:textId="77777777" w:rsidR="00ED03B7" w:rsidRPr="00ED03B7" w:rsidRDefault="00ED03B7" w:rsidP="00ED03B7">
      <w:pPr>
        <w:spacing w:after="0" w:line="240" w:lineRule="auto"/>
        <w:jc w:val="both"/>
        <w:rPr>
          <w:rFonts w:ascii="Verdana" w:eastAsia="Verdana" w:hAnsi="Verdana" w:cs="Verdana"/>
          <w:sz w:val="20"/>
          <w:szCs w:val="20"/>
          <w:lang w:val="es-ES"/>
        </w:rPr>
      </w:pPr>
    </w:p>
    <w:p w14:paraId="414DC576" w14:textId="77777777" w:rsidR="000613B0" w:rsidRPr="00AA0B80" w:rsidRDefault="000613B0" w:rsidP="00ED03B7">
      <w:pPr>
        <w:spacing w:after="0" w:line="240" w:lineRule="auto"/>
        <w:jc w:val="both"/>
        <w:rPr>
          <w:rFonts w:ascii="Verdana" w:eastAsia="Verdana" w:hAnsi="Verdana" w:cs="Verdana"/>
          <w:b/>
          <w:bCs/>
        </w:rPr>
      </w:pPr>
      <w:r w:rsidRPr="00AA0B80">
        <w:rPr>
          <w:rFonts w:ascii="Verdana" w:eastAsia="Verdana" w:hAnsi="Verdana" w:cs="Verdana"/>
          <w:b/>
          <w:bCs/>
        </w:rPr>
        <w:t xml:space="preserve">BIENES PÚBLICOS – Tipos </w:t>
      </w:r>
    </w:p>
    <w:p w14:paraId="2618C726" w14:textId="77777777" w:rsidR="000613B0" w:rsidRPr="00FD2F84" w:rsidRDefault="000613B0" w:rsidP="00FD2F84">
      <w:pPr>
        <w:spacing w:after="0" w:line="240" w:lineRule="auto"/>
        <w:jc w:val="both"/>
        <w:rPr>
          <w:rFonts w:ascii="Verdana" w:eastAsia="Verdana" w:hAnsi="Verdana" w:cs="Verdana"/>
          <w:sz w:val="20"/>
          <w:szCs w:val="20"/>
        </w:rPr>
      </w:pPr>
    </w:p>
    <w:p w14:paraId="36130009" w14:textId="1A54263C" w:rsidR="00FD2F84" w:rsidRDefault="00FD2F84" w:rsidP="00FD2F84">
      <w:pPr>
        <w:spacing w:after="0" w:line="240" w:lineRule="auto"/>
        <w:jc w:val="both"/>
        <w:rPr>
          <w:rFonts w:ascii="Verdana" w:eastAsia="Verdana" w:hAnsi="Verdana" w:cs="Verdana"/>
          <w:sz w:val="20"/>
          <w:szCs w:val="20"/>
          <w:lang w:val="es-MX"/>
        </w:rPr>
      </w:pPr>
      <w:r w:rsidRPr="00FD2F84">
        <w:rPr>
          <w:rFonts w:ascii="Verdana" w:eastAsia="Verdana" w:hAnsi="Verdana" w:cs="Verdana"/>
          <w:sz w:val="20"/>
          <w:szCs w:val="20"/>
          <w:lang w:val="es-ES"/>
        </w:rPr>
        <w:t>Por otro lado, e</w:t>
      </w:r>
      <w:r w:rsidRPr="00FD2F84">
        <w:rPr>
          <w:rFonts w:ascii="Verdana" w:eastAsia="Verdana" w:hAnsi="Verdana" w:cs="Verdana"/>
          <w:sz w:val="20"/>
          <w:szCs w:val="20"/>
          <w:lang w:val="es-MX"/>
        </w:rPr>
        <w:t>l artículo 674 del Código Civil define los bienes de dominio público como aquellos que “</w:t>
      </w:r>
      <w:r w:rsidRPr="00FD2F84">
        <w:rPr>
          <w:rFonts w:ascii="Verdana" w:eastAsia="Verdana" w:hAnsi="Verdana" w:cs="Verdana"/>
          <w:i/>
          <w:iCs/>
          <w:sz w:val="20"/>
          <w:szCs w:val="20"/>
          <w:lang w:val="es-MX"/>
        </w:rPr>
        <w:t xml:space="preserve">[…] pertenece a todos los habitantes de un Territorio, como el de calles, plazas, puentes y caminos, se llaman bienes de la Unión o de uso público o bienes públicos del Territorio”. </w:t>
      </w:r>
      <w:r w:rsidRPr="00FD2F84">
        <w:rPr>
          <w:rFonts w:ascii="Verdana" w:eastAsia="Verdana" w:hAnsi="Verdana" w:cs="Verdana"/>
          <w:sz w:val="20"/>
          <w:szCs w:val="20"/>
          <w:lang w:val="es-MX"/>
        </w:rPr>
        <w:t>Los bienes de dominio público, de acuerdo con la sentencia C- 183 de 2003 de la Corte Constitucional, son “</w:t>
      </w:r>
      <w:r w:rsidRPr="00FD2F84">
        <w:rPr>
          <w:rFonts w:ascii="Verdana" w:eastAsia="Verdana" w:hAnsi="Verdana" w:cs="Verdana"/>
          <w:i/>
          <w:iCs/>
          <w:sz w:val="20"/>
          <w:szCs w:val="20"/>
          <w:lang w:val="es-MX"/>
        </w:rPr>
        <w:t>el conjunto de bienes que la administración afecta al uso directo de la comunidad o que lo utiliza para servir a la sociedad”</w:t>
      </w:r>
      <w:r w:rsidRPr="00FD2F84">
        <w:rPr>
          <w:rFonts w:ascii="Verdana" w:eastAsia="Verdana" w:hAnsi="Verdana" w:cs="Verdana"/>
          <w:sz w:val="20"/>
          <w:szCs w:val="20"/>
          <w:lang w:val="es-MX"/>
        </w:rPr>
        <w:t xml:space="preserve">. Dentro de esta categoría se encuentran los bienes fiscales y los bienes de uso público. Los bienes fiscales, de acuerdo con el Alto Tribunal Constitucional, están destinados a la prestación de servicios públicos que la Administración utiliza de forma inmediata, como los edificios donde funcionan las oficinas públicas. </w:t>
      </w:r>
    </w:p>
    <w:p w14:paraId="738AE8FB" w14:textId="77777777" w:rsidR="00FD2F84" w:rsidRPr="00FD2F84" w:rsidRDefault="00FD2F84" w:rsidP="00FD2F84">
      <w:pPr>
        <w:spacing w:after="0" w:line="240" w:lineRule="auto"/>
        <w:jc w:val="both"/>
        <w:rPr>
          <w:rFonts w:ascii="Verdana" w:eastAsia="Verdana" w:hAnsi="Verdana" w:cs="Verdana"/>
          <w:i/>
          <w:iCs/>
          <w:sz w:val="20"/>
          <w:szCs w:val="20"/>
          <w:lang w:val="es-MX"/>
        </w:rPr>
      </w:pPr>
    </w:p>
    <w:p w14:paraId="11F538BB" w14:textId="53976B00" w:rsidR="00FD2F84" w:rsidRDefault="00FD2F84" w:rsidP="00FD2F84">
      <w:pPr>
        <w:spacing w:after="0" w:line="240" w:lineRule="auto"/>
        <w:jc w:val="both"/>
        <w:rPr>
          <w:rFonts w:ascii="Verdana" w:eastAsia="Verdana" w:hAnsi="Verdana" w:cs="Verdana"/>
          <w:sz w:val="20"/>
          <w:szCs w:val="20"/>
          <w:vertAlign w:val="superscript"/>
          <w:lang w:val="es-MX"/>
        </w:rPr>
      </w:pPr>
      <w:r w:rsidRPr="00FD2F84">
        <w:rPr>
          <w:rFonts w:ascii="Verdana" w:eastAsia="Verdana" w:hAnsi="Verdana" w:cs="Verdana"/>
          <w:sz w:val="20"/>
          <w:szCs w:val="20"/>
          <w:lang w:val="es-MX"/>
        </w:rPr>
        <w:t xml:space="preserve">A su vez, el Consejo de Estado, define los bienes fiscales como </w:t>
      </w:r>
      <w:r w:rsidRPr="00FD2F84">
        <w:rPr>
          <w:rFonts w:ascii="Verdana" w:eastAsia="Verdana" w:hAnsi="Verdana" w:cs="Verdana"/>
          <w:i/>
          <w:iCs/>
          <w:sz w:val="20"/>
          <w:szCs w:val="20"/>
          <w:lang w:val="es-MX"/>
        </w:rPr>
        <w:t>“aquellos que pertenecen  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 propiedad”</w:t>
      </w:r>
      <w:r w:rsidRPr="00FD2F84">
        <w:rPr>
          <w:rFonts w:ascii="Verdana" w:eastAsia="Verdana" w:hAnsi="Verdana" w:cs="Verdana"/>
          <w:sz w:val="20"/>
          <w:szCs w:val="20"/>
          <w:vertAlign w:val="superscript"/>
          <w:lang w:val="es-MX"/>
        </w:rPr>
        <w:t>.</w:t>
      </w:r>
      <w:r w:rsidRPr="00FD2F84">
        <w:rPr>
          <w:rFonts w:ascii="Verdana" w:eastAsia="Verdana" w:hAnsi="Verdana" w:cs="Verdana"/>
          <w:sz w:val="20"/>
          <w:szCs w:val="20"/>
          <w:lang w:val="es-MX"/>
        </w:rPr>
        <w:t xml:space="preserve"> De esta forma, sobre los bienes fiscales, a pesar de estar destinados a la prestación de servicios públicos, las Entidades </w:t>
      </w:r>
      <w:r w:rsidRPr="00FD2F84">
        <w:rPr>
          <w:rFonts w:ascii="Verdana" w:eastAsia="Verdana" w:hAnsi="Verdana" w:cs="Verdana"/>
          <w:sz w:val="20"/>
          <w:szCs w:val="20"/>
          <w:lang w:val="es-MX"/>
        </w:rPr>
        <w:lastRenderedPageBreak/>
        <w:t>Estatales tienen la facultad de disponer de ellos a través de un acto jurídico como la compraventa, la donación, el arriendo, entre otros.</w:t>
      </w:r>
      <w:r w:rsidRPr="00FD2F84">
        <w:rPr>
          <w:rFonts w:ascii="Verdana" w:eastAsia="Verdana" w:hAnsi="Verdana" w:cs="Verdana"/>
          <w:sz w:val="20"/>
          <w:szCs w:val="20"/>
          <w:vertAlign w:val="superscript"/>
          <w:lang w:val="es-MX"/>
        </w:rPr>
        <w:t xml:space="preserve"> </w:t>
      </w:r>
    </w:p>
    <w:p w14:paraId="5BD1A7F8" w14:textId="77777777" w:rsidR="00FD2F84" w:rsidRPr="00FD2F84" w:rsidRDefault="00FD2F84" w:rsidP="00FD2F84">
      <w:pPr>
        <w:spacing w:after="0" w:line="240" w:lineRule="auto"/>
        <w:jc w:val="both"/>
        <w:rPr>
          <w:rFonts w:ascii="Verdana" w:eastAsia="Verdana" w:hAnsi="Verdana" w:cs="Verdana"/>
          <w:sz w:val="20"/>
          <w:szCs w:val="20"/>
          <w:lang w:val="es-MX"/>
        </w:rPr>
      </w:pPr>
    </w:p>
    <w:p w14:paraId="078E2126" w14:textId="1525CF61" w:rsidR="00FD2F84" w:rsidRPr="00FD2F84" w:rsidRDefault="00FD2F84" w:rsidP="00FD2F84">
      <w:pPr>
        <w:spacing w:after="0" w:line="240" w:lineRule="auto"/>
        <w:jc w:val="both"/>
        <w:rPr>
          <w:rFonts w:ascii="Verdana" w:eastAsia="Verdana" w:hAnsi="Verdana" w:cs="Verdana"/>
          <w:sz w:val="20"/>
          <w:szCs w:val="20"/>
          <w:lang w:val="es-MX"/>
        </w:rPr>
      </w:pPr>
      <w:r w:rsidRPr="00FD2F84">
        <w:rPr>
          <w:rFonts w:ascii="Verdana" w:eastAsia="Verdana" w:hAnsi="Verdana" w:cs="Verdana"/>
          <w:sz w:val="20"/>
          <w:szCs w:val="20"/>
          <w:lang w:val="es-MX"/>
        </w:rPr>
        <w:t xml:space="preserve">Acerca de los bienes de uso público, el Consejo de Estado los define como </w:t>
      </w:r>
      <w:r w:rsidRPr="00FD2F84">
        <w:rPr>
          <w:rFonts w:ascii="Verdana" w:eastAsia="Verdana" w:hAnsi="Verdana" w:cs="Verdana"/>
          <w:i/>
          <w:iCs/>
          <w:sz w:val="20"/>
          <w:szCs w:val="20"/>
          <w:lang w:val="es-MX"/>
        </w:rPr>
        <w:t>“aquellos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 por motivos de interés general”.</w:t>
      </w:r>
      <w:r w:rsidRPr="00FD2F84">
        <w:rPr>
          <w:rFonts w:ascii="Verdana" w:eastAsia="Verdana" w:hAnsi="Verdana" w:cs="Verdana"/>
          <w:sz w:val="20"/>
          <w:szCs w:val="20"/>
          <w:lang w:val="es-MX"/>
        </w:rPr>
        <w:t xml:space="preserve"> Por lo tanto, como estos bienes están destinados al uso de los habitantes de un territorio, el Estado no puede disponer de ellos por encontrarse fuera del comercio.</w:t>
      </w:r>
      <w:r w:rsidRPr="00FD2F84">
        <w:rPr>
          <w:rFonts w:ascii="Verdana" w:eastAsia="Verdana" w:hAnsi="Verdana" w:cs="Verdana"/>
          <w:sz w:val="20"/>
          <w:szCs w:val="20"/>
          <w:vertAlign w:val="superscript"/>
          <w:lang w:val="es-MX"/>
        </w:rPr>
        <w:t xml:space="preserve"> </w:t>
      </w:r>
      <w:r w:rsidRPr="00FD2F84">
        <w:rPr>
          <w:rFonts w:ascii="Verdana" w:eastAsia="Verdana" w:hAnsi="Verdana" w:cs="Verdana"/>
          <w:sz w:val="20"/>
          <w:szCs w:val="20"/>
          <w:lang w:val="es-MX"/>
        </w:rPr>
        <w:t xml:space="preserve"> En ese orden de ideas, los bienes sobre los cuales puede recaer el acto de enajenación a título oneroso o gratuito son los bienes fiscales muebles o inmuebles y no los bienes de uso público.</w:t>
      </w:r>
    </w:p>
    <w:p w14:paraId="39F2E39E" w14:textId="77777777" w:rsidR="00FD2F84" w:rsidRPr="00FD2F84" w:rsidRDefault="00FD2F84" w:rsidP="000613B0">
      <w:pPr>
        <w:spacing w:after="0"/>
        <w:jc w:val="both"/>
        <w:rPr>
          <w:rFonts w:ascii="Verdana" w:eastAsia="Verdana" w:hAnsi="Verdana" w:cs="Verdana"/>
          <w:b/>
          <w:bCs/>
          <w:lang w:val="es-MX"/>
        </w:rPr>
      </w:pPr>
    </w:p>
    <w:p w14:paraId="2A340095" w14:textId="5F9D06BF" w:rsidR="000613B0" w:rsidRPr="000613B0" w:rsidRDefault="000613B0" w:rsidP="000613B0">
      <w:pPr>
        <w:spacing w:after="0"/>
        <w:jc w:val="both"/>
        <w:rPr>
          <w:rFonts w:ascii="Verdana" w:eastAsia="Verdana" w:hAnsi="Verdana" w:cs="Verdana"/>
          <w:b/>
          <w:bCs/>
          <w:lang w:val="es-ES_tradnl"/>
        </w:rPr>
      </w:pPr>
      <w:r w:rsidRPr="000613B0">
        <w:rPr>
          <w:rFonts w:ascii="Verdana" w:eastAsia="Verdana" w:hAnsi="Verdana" w:cs="Verdana"/>
          <w:b/>
          <w:bCs/>
        </w:rPr>
        <w:t>ENAJENACIÓN – Bienes Fiscales – Empresas Sociales del Estado – Aplicación- Principios de la Función Administrativa</w:t>
      </w:r>
    </w:p>
    <w:p w14:paraId="5A17E0D6" w14:textId="77777777" w:rsidR="000613B0" w:rsidRPr="00FD2F84" w:rsidRDefault="000613B0" w:rsidP="00FD2F84">
      <w:pPr>
        <w:spacing w:after="0" w:line="240" w:lineRule="auto"/>
        <w:jc w:val="both"/>
        <w:rPr>
          <w:rFonts w:ascii="Verdana" w:eastAsia="Verdana" w:hAnsi="Verdana" w:cs="Verdana"/>
          <w:sz w:val="20"/>
          <w:szCs w:val="20"/>
        </w:rPr>
      </w:pPr>
    </w:p>
    <w:p w14:paraId="13785EB3" w14:textId="77777777" w:rsidR="00FD2F84" w:rsidRDefault="00FD2F84" w:rsidP="00FD2F84">
      <w:pPr>
        <w:spacing w:after="0" w:line="240" w:lineRule="auto"/>
        <w:jc w:val="both"/>
        <w:rPr>
          <w:rFonts w:ascii="Verdana" w:eastAsia="Verdana" w:hAnsi="Verdana" w:cs="Verdana"/>
          <w:bCs/>
          <w:sz w:val="20"/>
          <w:szCs w:val="20"/>
        </w:rPr>
      </w:pPr>
      <w:r w:rsidRPr="00FD2F84">
        <w:rPr>
          <w:rFonts w:ascii="Verdana" w:eastAsia="Verdana" w:hAnsi="Verdana" w:cs="Verdana"/>
          <w:bCs/>
          <w:sz w:val="20"/>
          <w:szCs w:val="20"/>
        </w:rPr>
        <w:t>De acuerdo con lo expuesto, resulta procedente la enajenación de bienes fiscales inmuebles de propiedad de las Empresas Sociales del Estado (ESE). No obstante, debe advertirse que no existe un procedimiento especial ni un régimen normativo específico que regule de manera exclusiva este tipo de operaciones para las ESE. Las disposiciones de la Ley 1150 de 2007 y del Decreto 1082 de 2015 contienen reglas generales sobre la enajenación de bienes en entidades sometidas al EGCAP, pero dichas normas no se aplican a las ESE, dado su carácter de entidades de régimen especial. En consecuencia, cuentan con un margen de configuración para definir internamente la forma de adelantar estos procesos.</w:t>
      </w:r>
    </w:p>
    <w:p w14:paraId="7B018E14" w14:textId="77777777" w:rsidR="00FD2F84" w:rsidRPr="00FD2F84" w:rsidRDefault="00FD2F84" w:rsidP="00FD2F84">
      <w:pPr>
        <w:spacing w:after="0" w:line="240" w:lineRule="auto"/>
        <w:jc w:val="both"/>
        <w:rPr>
          <w:rFonts w:ascii="Verdana" w:eastAsia="Verdana" w:hAnsi="Verdana" w:cs="Verdana"/>
          <w:bCs/>
          <w:sz w:val="20"/>
          <w:szCs w:val="20"/>
        </w:rPr>
      </w:pPr>
    </w:p>
    <w:p w14:paraId="0BD5C588" w14:textId="77777777" w:rsidR="00FD2F84" w:rsidRDefault="00FD2F84" w:rsidP="00FD2F84">
      <w:pPr>
        <w:spacing w:after="0" w:line="240" w:lineRule="auto"/>
        <w:jc w:val="both"/>
        <w:rPr>
          <w:rFonts w:ascii="Verdana" w:eastAsia="Verdana" w:hAnsi="Verdana" w:cs="Verdana"/>
          <w:bCs/>
          <w:sz w:val="20"/>
          <w:szCs w:val="20"/>
        </w:rPr>
      </w:pPr>
      <w:r w:rsidRPr="00FD2F84">
        <w:rPr>
          <w:rFonts w:ascii="Verdana" w:eastAsia="Verdana" w:hAnsi="Verdana" w:cs="Verdana"/>
          <w:bCs/>
          <w:sz w:val="20"/>
          <w:szCs w:val="20"/>
        </w:rPr>
        <w:t>Sin embargo, esta libertad de configuración no es absoluta. Las ESE deben asegurar que cualquier procedimiento de enajenación se sujete a los principios de la función administrativa: igualdad, moralidad, eficacia, economía, celeridad, imparcialidad y publicidad. Asimismo, es obligatorio observar lo dispuesto en el manual de contratación de cada entidad, el cual constituye un instrumento normativo interno que orienta la actuación administrativa y garantiza coherencia con el marco jurídico superior.</w:t>
      </w:r>
    </w:p>
    <w:p w14:paraId="788CB44E" w14:textId="77777777" w:rsidR="00FD2F84" w:rsidRPr="00FD2F84" w:rsidRDefault="00FD2F84" w:rsidP="00FD2F84">
      <w:pPr>
        <w:spacing w:after="0" w:line="240" w:lineRule="auto"/>
        <w:jc w:val="both"/>
        <w:rPr>
          <w:rFonts w:ascii="Verdana" w:eastAsia="Verdana" w:hAnsi="Verdana" w:cs="Verdana"/>
          <w:bCs/>
          <w:sz w:val="20"/>
          <w:szCs w:val="20"/>
        </w:rPr>
      </w:pPr>
    </w:p>
    <w:p w14:paraId="2307B758" w14:textId="77777777" w:rsidR="00FD2F84" w:rsidRPr="00FD2F84" w:rsidRDefault="00FD2F84" w:rsidP="00FD2F84">
      <w:pPr>
        <w:spacing w:after="0" w:line="240" w:lineRule="auto"/>
        <w:jc w:val="both"/>
        <w:rPr>
          <w:rFonts w:ascii="Verdana" w:eastAsia="Verdana" w:hAnsi="Verdana" w:cs="Verdana"/>
          <w:sz w:val="20"/>
          <w:szCs w:val="20"/>
        </w:rPr>
      </w:pPr>
      <w:r w:rsidRPr="00FD2F84">
        <w:rPr>
          <w:rFonts w:ascii="Verdana" w:eastAsia="Verdana" w:hAnsi="Verdana" w:cs="Verdana"/>
          <w:bCs/>
          <w:sz w:val="20"/>
          <w:szCs w:val="20"/>
        </w:rPr>
        <w:t>En términos operativos, esta situación implica que las ESE pueden optar por mecanismos como la venta directa, la subasta pública o la invitación abierta, siempre que la modalidad seleccionada se encuentre debidamente justificada, documentada y se garantice la transparencia del proceso. Para ello, debe tenerse en cuenta tenerse en cuenta la Resolución 5185 de 2013, modificada por las Resoluciones 1440 del 14 de agosto de 2024 y 2053 de 2025, mediante las cuales se establecen los lineamientos para que las Empresas Sociales del Estado adopten los manuales de contratación que regirán su actividad contractual. Este marco normativo, expedido en ejercicio de las facultades conferidas por el artículo 76 de la Ley 1438 de 2011, fija criterios mínimos y orientadores que deben observarse en la elaboración, actualización y aplicación de dichos manuales.</w:t>
      </w:r>
    </w:p>
    <w:p w14:paraId="282276A1" w14:textId="77777777" w:rsidR="00FD2F84" w:rsidRDefault="00FD2F84" w:rsidP="000613B0">
      <w:pPr>
        <w:spacing w:after="0"/>
        <w:jc w:val="both"/>
        <w:rPr>
          <w:rFonts w:ascii="Verdana" w:eastAsia="Verdana" w:hAnsi="Verdana" w:cs="Verdana"/>
        </w:rPr>
      </w:pPr>
    </w:p>
    <w:p w14:paraId="3D0CB43C" w14:textId="122FF52D" w:rsidR="00DA61E0" w:rsidRPr="00DA61E0" w:rsidRDefault="000613B0" w:rsidP="00DA61E0">
      <w:pPr>
        <w:spacing w:after="0"/>
        <w:rPr>
          <w:rFonts w:ascii="Verdana" w:eastAsia="Calibri" w:hAnsi="Verdana" w:cs="Arial"/>
          <w:color w:val="000000"/>
          <w:lang w:val="es-ES"/>
        </w:rPr>
      </w:pPr>
      <w:r w:rsidRPr="000613B0">
        <w:rPr>
          <w:noProof/>
        </w:rPr>
        <w:lastRenderedPageBreak/>
        <w:drawing>
          <wp:anchor distT="0" distB="0" distL="114300" distR="114300" simplePos="0" relativeHeight="251658240" behindDoc="0" locked="0" layoutInCell="1" allowOverlap="1" wp14:anchorId="33D34935" wp14:editId="13837485">
            <wp:simplePos x="0" y="0"/>
            <wp:positionH relativeFrom="column">
              <wp:posOffset>3011805</wp:posOffset>
            </wp:positionH>
            <wp:positionV relativeFrom="paragraph">
              <wp:posOffset>119380</wp:posOffset>
            </wp:positionV>
            <wp:extent cx="2575560" cy="713105"/>
            <wp:effectExtent l="0" t="0" r="0" b="0"/>
            <wp:wrapSquare wrapText="bothSides"/>
            <wp:docPr id="6516717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5560" cy="7131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1 de junio de 2026</w:t>
      </w:r>
      <w:r w:rsidR="00C15139">
        <w:tab/>
      </w:r>
      <w:r w:rsidR="00C15139">
        <w:br/>
      </w:r>
    </w:p>
    <w:p w14:paraId="2B6B4142" w14:textId="77777777" w:rsidR="00DA61E0" w:rsidRPr="00DA61E0" w:rsidRDefault="00DA61E0" w:rsidP="00DA61E0">
      <w:pPr>
        <w:spacing w:after="0" w:line="240" w:lineRule="auto"/>
        <w:rPr>
          <w:rFonts w:ascii="Verdana" w:eastAsia="Calibri" w:hAnsi="Verdana" w:cs="Arial"/>
          <w:color w:val="000000"/>
          <w:lang w:val="es-ES"/>
        </w:rPr>
      </w:pPr>
    </w:p>
    <w:p w14:paraId="4CB34430" w14:textId="77777777" w:rsidR="00DA61E0" w:rsidRPr="00DA61E0" w:rsidRDefault="00DA61E0" w:rsidP="00DA61E0">
      <w:pPr>
        <w:spacing w:after="0" w:line="240" w:lineRule="auto"/>
        <w:jc w:val="both"/>
        <w:rPr>
          <w:rFonts w:ascii="Verdana" w:eastAsia="Calibri" w:hAnsi="Verdana" w:cs="Arial"/>
          <w:b/>
          <w:lang w:val="es-ES" w:eastAsia="es-ES"/>
        </w:rPr>
      </w:pPr>
      <w:r w:rsidRPr="00DA61E0">
        <w:rPr>
          <w:rFonts w:ascii="Verdana" w:eastAsia="Calibri" w:hAnsi="Verdana" w:cs="Arial"/>
          <w:lang w:val="es-ES" w:eastAsia="es-ES"/>
        </w:rPr>
        <w:t>Señora</w:t>
      </w:r>
    </w:p>
    <w:p w14:paraId="144BBCA8" w14:textId="77777777" w:rsidR="00DA61E0" w:rsidRPr="00DA61E0" w:rsidRDefault="00DA61E0" w:rsidP="00DA61E0">
      <w:pPr>
        <w:spacing w:after="0" w:line="240" w:lineRule="auto"/>
        <w:rPr>
          <w:rFonts w:ascii="Verdana" w:eastAsia="Calibri" w:hAnsi="Verdana" w:cs="Arial"/>
          <w:b/>
          <w:lang w:eastAsia="es-ES"/>
        </w:rPr>
      </w:pPr>
      <w:r w:rsidRPr="00DA61E0">
        <w:rPr>
          <w:rFonts w:ascii="Verdana" w:eastAsia="Calibri" w:hAnsi="Verdana" w:cs="Arial"/>
          <w:b/>
          <w:lang w:eastAsia="es-ES"/>
        </w:rPr>
        <w:t>Mireya E Palacios</w:t>
      </w:r>
    </w:p>
    <w:p w14:paraId="38913CFE" w14:textId="77777777" w:rsidR="00DA61E0" w:rsidRPr="00DA61E0" w:rsidRDefault="00DA61E0" w:rsidP="00DA61E0">
      <w:pPr>
        <w:spacing w:after="0" w:line="240" w:lineRule="auto"/>
        <w:rPr>
          <w:rFonts w:ascii="Verdana" w:eastAsia="Calibri" w:hAnsi="Verdana" w:cs="Arial"/>
          <w:bCs/>
          <w:lang w:val="es-ES" w:eastAsia="es-ES"/>
        </w:rPr>
      </w:pPr>
      <w:hyperlink r:id="rId11" w:history="1">
        <w:r w:rsidRPr="00DA61E0">
          <w:rPr>
            <w:rFonts w:ascii="Verdana" w:eastAsia="Calibri" w:hAnsi="Verdana" w:cs="Arial"/>
            <w:bCs/>
            <w:color w:val="0000FF"/>
            <w:u w:val="single"/>
            <w:lang w:val="es-ES" w:eastAsia="es-ES"/>
          </w:rPr>
          <w:t>pmireyae@gmail.com</w:t>
        </w:r>
      </w:hyperlink>
      <w:r w:rsidRPr="00DA61E0">
        <w:rPr>
          <w:rFonts w:ascii="Verdana" w:eastAsia="Calibri" w:hAnsi="Verdana" w:cs="Arial"/>
          <w:bCs/>
          <w:lang w:val="es-ES" w:eastAsia="es-ES"/>
        </w:rPr>
        <w:t xml:space="preserve"> </w:t>
      </w:r>
    </w:p>
    <w:p w14:paraId="36DDAC73" w14:textId="77777777" w:rsidR="00DA61E0" w:rsidRPr="00DA61E0" w:rsidRDefault="00DA61E0" w:rsidP="00DA61E0">
      <w:pPr>
        <w:spacing w:after="0" w:line="240" w:lineRule="auto"/>
        <w:rPr>
          <w:rFonts w:ascii="Verdana" w:eastAsia="Calibri" w:hAnsi="Verdana" w:cs="Arial"/>
          <w:lang w:eastAsia="es-ES"/>
        </w:rPr>
      </w:pPr>
      <w:r w:rsidRPr="00DA61E0">
        <w:rPr>
          <w:rFonts w:ascii="Verdana" w:eastAsia="Calibri" w:hAnsi="Verdana" w:cs="Arial"/>
          <w:lang w:eastAsia="es-ES"/>
        </w:rPr>
        <w:t xml:space="preserve">Cuaspud, Nariño </w:t>
      </w:r>
    </w:p>
    <w:p w14:paraId="712D78E3" w14:textId="77777777" w:rsidR="00DA61E0" w:rsidRPr="00DA61E0" w:rsidRDefault="00DA61E0" w:rsidP="00DA61E0">
      <w:pPr>
        <w:spacing w:after="0" w:line="240" w:lineRule="auto"/>
        <w:rPr>
          <w:rFonts w:ascii="Verdana" w:eastAsia="Calibri" w:hAnsi="Verdana" w:cs="Arial"/>
          <w:b/>
          <w:bCs/>
          <w:color w:val="000000"/>
          <w:lang w:eastAsia="es-ES_tradnl"/>
        </w:rPr>
      </w:pPr>
    </w:p>
    <w:p w14:paraId="788396BF" w14:textId="77777777" w:rsidR="00DA61E0" w:rsidRPr="00DA61E0" w:rsidRDefault="00DA61E0" w:rsidP="00DA61E0">
      <w:pPr>
        <w:spacing w:after="0" w:line="240" w:lineRule="auto"/>
        <w:rPr>
          <w:rFonts w:ascii="Verdana" w:eastAsia="Calibri" w:hAnsi="Verdana" w:cs="Arial"/>
          <w:b/>
          <w:bCs/>
          <w:color w:val="000000"/>
          <w:lang w:eastAsia="es-ES_tradnl"/>
        </w:rPr>
      </w:pPr>
    </w:p>
    <w:tbl>
      <w:tblPr>
        <w:tblStyle w:val="Tablaconcuadrcula11"/>
        <w:tblW w:w="878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A61E0" w:rsidRPr="00DA61E0" w14:paraId="4D56D6EA" w14:textId="77777777">
        <w:trPr>
          <w:trHeight w:val="194"/>
        </w:trPr>
        <w:tc>
          <w:tcPr>
            <w:tcW w:w="2689" w:type="dxa"/>
          </w:tcPr>
          <w:p w14:paraId="6B3B0802" w14:textId="77777777" w:rsidR="00DA61E0" w:rsidRPr="00DA61E0" w:rsidRDefault="00DA61E0" w:rsidP="00DA61E0">
            <w:pPr>
              <w:jc w:val="both"/>
              <w:rPr>
                <w:rFonts w:ascii="Verdana" w:hAnsi="Verdana" w:cs="Arial"/>
                <w:b/>
                <w:bCs/>
                <w:color w:val="7030A0"/>
                <w:lang w:eastAsia="es-ES_tradnl"/>
              </w:rPr>
            </w:pPr>
          </w:p>
        </w:tc>
        <w:tc>
          <w:tcPr>
            <w:tcW w:w="6100" w:type="dxa"/>
          </w:tcPr>
          <w:p w14:paraId="52AF20D9" w14:textId="77777777" w:rsidR="00DA61E0" w:rsidRPr="00DA61E0" w:rsidRDefault="00DA61E0" w:rsidP="00DA61E0">
            <w:pPr>
              <w:jc w:val="both"/>
              <w:rPr>
                <w:rFonts w:ascii="Verdana" w:hAnsi="Verdana" w:cs="Arial"/>
                <w:b/>
                <w:bCs/>
                <w:lang w:val="es-ES" w:eastAsia="es-ES"/>
              </w:rPr>
            </w:pPr>
            <w:r w:rsidRPr="00DA61E0">
              <w:rPr>
                <w:rFonts w:ascii="Verdana" w:hAnsi="Verdana" w:cs="Arial"/>
                <w:b/>
                <w:bCs/>
                <w:lang w:val="es-ES" w:eastAsia="es-ES"/>
              </w:rPr>
              <w:t>Concepto C –713 de 2026</w:t>
            </w:r>
          </w:p>
          <w:p w14:paraId="238C02DE" w14:textId="77777777" w:rsidR="00DA61E0" w:rsidRPr="00DA61E0" w:rsidRDefault="00DA61E0" w:rsidP="00DA61E0">
            <w:pPr>
              <w:jc w:val="both"/>
              <w:rPr>
                <w:rFonts w:ascii="Verdana" w:hAnsi="Verdana" w:cs="Arial"/>
                <w:b/>
                <w:bCs/>
                <w:color w:val="7030A0"/>
                <w:lang w:val="es-ES" w:eastAsia="es-ES"/>
              </w:rPr>
            </w:pPr>
          </w:p>
        </w:tc>
      </w:tr>
      <w:tr w:rsidR="00DA61E0" w:rsidRPr="00DA61E0" w14:paraId="2F50AFB2" w14:textId="77777777">
        <w:trPr>
          <w:trHeight w:val="884"/>
        </w:trPr>
        <w:tc>
          <w:tcPr>
            <w:tcW w:w="2689" w:type="dxa"/>
            <w:hideMark/>
          </w:tcPr>
          <w:p w14:paraId="177FA7CD" w14:textId="77777777" w:rsidR="00DA61E0" w:rsidRPr="00DA61E0" w:rsidRDefault="00DA61E0" w:rsidP="00DA61E0">
            <w:pPr>
              <w:spacing w:line="276" w:lineRule="auto"/>
              <w:jc w:val="both"/>
              <w:rPr>
                <w:rFonts w:ascii="Verdana" w:hAnsi="Verdana" w:cs="Arial"/>
                <w:color w:val="000000"/>
                <w:lang w:val="es-ES_tradnl" w:eastAsia="es-ES_tradnl"/>
              </w:rPr>
            </w:pPr>
            <w:r w:rsidRPr="00DA61E0">
              <w:rPr>
                <w:rFonts w:ascii="Verdana" w:hAnsi="Verdana" w:cs="Arial"/>
                <w:b/>
                <w:color w:val="000000"/>
                <w:lang w:val="es-ES_tradnl" w:eastAsia="es-ES_tradnl"/>
              </w:rPr>
              <w:t>Temas:</w:t>
            </w:r>
            <w:r w:rsidRPr="00DA61E0">
              <w:rPr>
                <w:rFonts w:ascii="Verdana" w:hAnsi="Verdana" w:cs="Arial"/>
                <w:color w:val="000000"/>
                <w:lang w:val="es-ES_tradnl" w:eastAsia="es-ES_tradnl"/>
              </w:rPr>
              <w:t xml:space="preserve">                   </w:t>
            </w:r>
          </w:p>
        </w:tc>
        <w:tc>
          <w:tcPr>
            <w:tcW w:w="6100" w:type="dxa"/>
          </w:tcPr>
          <w:p w14:paraId="17552051" w14:textId="05098F91" w:rsidR="00DA61E0" w:rsidRPr="00DA61E0" w:rsidRDefault="00DA61E0" w:rsidP="00DA61E0">
            <w:pPr>
              <w:spacing w:line="276" w:lineRule="auto"/>
              <w:jc w:val="both"/>
              <w:rPr>
                <w:rFonts w:ascii="Verdana" w:hAnsi="Verdana" w:cs="Arial"/>
                <w:lang w:eastAsia="es-ES"/>
              </w:rPr>
            </w:pPr>
            <w:r w:rsidRPr="00DA61E0">
              <w:rPr>
                <w:rFonts w:ascii="Verdana" w:hAnsi="Verdana" w:cs="Arial"/>
                <w:lang w:val="es-ES" w:eastAsia="es-ES"/>
              </w:rPr>
              <w:t xml:space="preserve">CONTRATO ESTATAL – Régimen jurídico / RÉGIMEN EXCEPCIONAL – Justificación – Criterios de clasificación / EMPRESAS SOCIALES DEL ESTADO– Naturaleza – régimen especial / EMPRESAS SOCIALES DEL ESTADO– Aplicación - Artículo 13 de la Ley 1150 de 2007 / MANUALES DE CONTRATACIÓN – Alcance – Límites – Obligatoriedad / PRINCIPIOS DE LA FUNCIÓN ADMINISTRATIVA – Aplicación – Criterios Metodológicos / MANUALES DE CONTRATACIÓN – Aplicación de principios – Procedimientos Competitivos – Procedimientos no competitivos / </w:t>
            </w:r>
            <w:r w:rsidRPr="00DA61E0">
              <w:rPr>
                <w:rFonts w:ascii="Verdana" w:hAnsi="Verdana" w:cs="Arial"/>
                <w:lang w:eastAsia="es-ES"/>
              </w:rPr>
              <w:t>ENAJENACIÓN – Bienes muebles – Bienes Inmuebles / BIENES PÚBLICOS – Tipos / ENAJENACIÓN – Bienes Fiscales – Empresas Sociales del Estado – Aplicación- Principios de la Función Administrativa</w:t>
            </w:r>
          </w:p>
          <w:p w14:paraId="37C589C9" w14:textId="77777777" w:rsidR="00DA61E0" w:rsidRPr="00DA61E0" w:rsidRDefault="00DA61E0" w:rsidP="00DA61E0">
            <w:pPr>
              <w:spacing w:line="276" w:lineRule="auto"/>
              <w:jc w:val="both"/>
              <w:rPr>
                <w:rFonts w:ascii="Verdana" w:hAnsi="Verdana" w:cs="Arial"/>
                <w:lang w:val="es-ES" w:eastAsia="es-ES"/>
              </w:rPr>
            </w:pPr>
            <w:r w:rsidRPr="00DA61E0">
              <w:rPr>
                <w:rFonts w:ascii="Verdana" w:hAnsi="Verdana" w:cs="Arial"/>
                <w:lang w:eastAsia="es-ES"/>
              </w:rPr>
              <w:t xml:space="preserve"> </w:t>
            </w:r>
          </w:p>
          <w:p w14:paraId="3043AD00" w14:textId="77777777" w:rsidR="00DA61E0" w:rsidRPr="00DA61E0" w:rsidRDefault="00DA61E0" w:rsidP="00DA61E0">
            <w:pPr>
              <w:spacing w:line="276" w:lineRule="auto"/>
              <w:jc w:val="both"/>
              <w:rPr>
                <w:rFonts w:ascii="Verdana" w:hAnsi="Verdana" w:cs="Arial"/>
                <w:lang w:val="es-ES" w:eastAsia="es-ES"/>
              </w:rPr>
            </w:pPr>
          </w:p>
        </w:tc>
      </w:tr>
      <w:tr w:rsidR="00DA61E0" w:rsidRPr="00DA61E0" w14:paraId="3F288949" w14:textId="77777777">
        <w:trPr>
          <w:trHeight w:val="644"/>
        </w:trPr>
        <w:tc>
          <w:tcPr>
            <w:tcW w:w="2689" w:type="dxa"/>
            <w:hideMark/>
          </w:tcPr>
          <w:p w14:paraId="4570F936" w14:textId="77777777" w:rsidR="00DA61E0" w:rsidRPr="00DA61E0" w:rsidRDefault="00DA61E0" w:rsidP="00DA61E0">
            <w:pPr>
              <w:jc w:val="both"/>
              <w:rPr>
                <w:rFonts w:ascii="Verdana" w:hAnsi="Verdana" w:cs="Arial"/>
                <w:b/>
                <w:lang w:val="es-ES_tradnl" w:eastAsia="es-ES_tradnl"/>
              </w:rPr>
            </w:pPr>
            <w:r w:rsidRPr="00DA61E0">
              <w:rPr>
                <w:rFonts w:ascii="Verdana" w:hAnsi="Verdana" w:cs="Arial"/>
                <w:b/>
                <w:lang w:val="es-ES_tradnl" w:eastAsia="es-ES_tradnl"/>
              </w:rPr>
              <w:t>Radicación:</w:t>
            </w:r>
            <w:r w:rsidRPr="00DA61E0">
              <w:rPr>
                <w:rFonts w:ascii="Verdana" w:hAnsi="Verdana" w:cs="Arial"/>
                <w:lang w:val="es-ES_tradnl" w:eastAsia="es-ES_tradnl"/>
              </w:rPr>
              <w:t xml:space="preserve">               </w:t>
            </w:r>
          </w:p>
        </w:tc>
        <w:tc>
          <w:tcPr>
            <w:tcW w:w="6100" w:type="dxa"/>
            <w:hideMark/>
          </w:tcPr>
          <w:p w14:paraId="1A155347" w14:textId="77777777" w:rsidR="00DA61E0" w:rsidRPr="00DA61E0" w:rsidRDefault="00DA61E0" w:rsidP="00DA61E0">
            <w:pPr>
              <w:jc w:val="both"/>
              <w:rPr>
                <w:rFonts w:ascii="Verdana" w:hAnsi="Verdana" w:cs="Arial"/>
                <w:lang w:eastAsia="es-ES_tradnl"/>
              </w:rPr>
            </w:pPr>
            <w:r w:rsidRPr="00DA61E0">
              <w:rPr>
                <w:rFonts w:ascii="Verdana" w:hAnsi="Verdana" w:cs="Arial"/>
                <w:lang w:val="es-ES_tradnl" w:eastAsia="es-ES_tradnl"/>
              </w:rPr>
              <w:t xml:space="preserve">Respuesta a la consulta con radicado No. </w:t>
            </w:r>
            <w:r w:rsidRPr="00DA61E0">
              <w:rPr>
                <w:rFonts w:ascii="Verdana" w:hAnsi="Verdana" w:cs="Arial"/>
                <w:lang w:eastAsia="es-ES_tradnl"/>
              </w:rPr>
              <w:t>1_2026_04_29_005845</w:t>
            </w:r>
          </w:p>
        </w:tc>
      </w:tr>
    </w:tbl>
    <w:p w14:paraId="11277BBB" w14:textId="77777777" w:rsidR="00DA61E0" w:rsidRPr="00DA61E0" w:rsidRDefault="00DA61E0" w:rsidP="00DA61E0">
      <w:pPr>
        <w:spacing w:after="0" w:line="240" w:lineRule="auto"/>
        <w:jc w:val="both"/>
        <w:rPr>
          <w:rFonts w:ascii="Verdana" w:eastAsia="Calibri" w:hAnsi="Verdana" w:cs="Arial"/>
          <w:color w:val="000000"/>
          <w:lang w:eastAsia="es-ES_tradnl"/>
        </w:rPr>
      </w:pPr>
    </w:p>
    <w:p w14:paraId="32C26FFA" w14:textId="77777777" w:rsidR="00DA61E0" w:rsidRPr="00DA61E0" w:rsidRDefault="00DA61E0" w:rsidP="00DA61E0">
      <w:pPr>
        <w:spacing w:after="0" w:line="240" w:lineRule="auto"/>
        <w:jc w:val="both"/>
        <w:rPr>
          <w:rFonts w:ascii="Verdana" w:eastAsia="Calibri" w:hAnsi="Verdana" w:cs="Arial"/>
          <w:color w:val="000000"/>
          <w:lang w:val="es-ES_tradnl" w:eastAsia="es-ES_tradnl"/>
        </w:rPr>
      </w:pPr>
    </w:p>
    <w:p w14:paraId="684EA8C1" w14:textId="77777777" w:rsidR="00DA61E0" w:rsidRPr="00DA61E0" w:rsidRDefault="00DA61E0" w:rsidP="00DA61E0">
      <w:pPr>
        <w:spacing w:after="0" w:line="276" w:lineRule="auto"/>
        <w:jc w:val="both"/>
        <w:rPr>
          <w:rFonts w:ascii="Verdana" w:eastAsia="Calibri" w:hAnsi="Verdana" w:cs="Arial"/>
          <w:lang w:val="es-ES" w:eastAsia="es-ES"/>
        </w:rPr>
      </w:pPr>
      <w:r w:rsidRPr="00DA61E0">
        <w:rPr>
          <w:rFonts w:ascii="Verdana" w:eastAsia="Calibri" w:hAnsi="Verdana" w:cs="Arial"/>
          <w:lang w:val="es-ES" w:eastAsia="es-ES"/>
        </w:rPr>
        <w:t xml:space="preserve">Estimada Señora Palacios: </w:t>
      </w:r>
    </w:p>
    <w:p w14:paraId="2CACD346" w14:textId="77777777" w:rsidR="00DA61E0" w:rsidRPr="00DA61E0" w:rsidRDefault="00DA61E0" w:rsidP="00DA61E0">
      <w:pPr>
        <w:spacing w:after="0" w:line="276" w:lineRule="auto"/>
        <w:jc w:val="both"/>
        <w:rPr>
          <w:rFonts w:ascii="Verdana" w:eastAsia="Calibri" w:hAnsi="Verdana" w:cs="Arial"/>
          <w:lang w:val="es-ES" w:eastAsia="es-ES"/>
        </w:rPr>
      </w:pPr>
    </w:p>
    <w:p w14:paraId="7D31F220" w14:textId="77777777" w:rsidR="00DA61E0" w:rsidRPr="00DA61E0" w:rsidRDefault="00DA61E0" w:rsidP="00DA61E0">
      <w:pPr>
        <w:spacing w:after="120" w:line="276" w:lineRule="auto"/>
        <w:jc w:val="both"/>
        <w:rPr>
          <w:rFonts w:ascii="Verdana" w:eastAsia="Century Gothic" w:hAnsi="Verdana" w:cs="Century Gothic"/>
          <w:b/>
          <w:bCs/>
          <w:lang w:val="es-ES"/>
        </w:rPr>
      </w:pPr>
      <w:r w:rsidRPr="00DA61E0">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DA61E0">
        <w:rPr>
          <w:rFonts w:ascii="Verdana" w:eastAsia="Calibri" w:hAnsi="Verdana" w:cs="Arial"/>
          <w:bCs/>
          <w:color w:val="000000" w:themeColor="text1"/>
          <w:lang w:eastAsia="es-ES"/>
        </w:rPr>
        <w:t xml:space="preserve">así como lo establecido por la Resolución 469 de 2025 expedida por esta Entidad, </w:t>
      </w:r>
      <w:r w:rsidRPr="00DA61E0">
        <w:rPr>
          <w:rFonts w:ascii="Verdana" w:eastAsia="Calibri" w:hAnsi="Verdana" w:cs="Arial"/>
          <w:bCs/>
          <w:color w:val="000000" w:themeColor="text1"/>
          <w:lang w:val="es-ES" w:eastAsia="es-ES" w:bidi="es-ES"/>
        </w:rPr>
        <w:t xml:space="preserve">la Agencia Nacional de Contratación Pública –Colombia Compra Eficiente– responde la solicitud de </w:t>
      </w:r>
      <w:r w:rsidRPr="00DA61E0">
        <w:rPr>
          <w:rFonts w:ascii="Verdana" w:eastAsia="Calibri" w:hAnsi="Verdana" w:cs="Arial"/>
          <w:bCs/>
          <w:color w:val="000000" w:themeColor="text1"/>
          <w:lang w:val="es-ES" w:eastAsia="es-ES" w:bidi="es-ES"/>
        </w:rPr>
        <w:lastRenderedPageBreak/>
        <w:t xml:space="preserve">consulta del 28 de abril de 2026, en la cual manifiesta: </w:t>
      </w:r>
      <w:r w:rsidRPr="00DA61E0">
        <w:rPr>
          <w:rFonts w:ascii="Verdana" w:eastAsia="Calibri" w:hAnsi="Verdana" w:cs="Arial"/>
          <w:bCs/>
          <w:color w:val="000000" w:themeColor="text1"/>
          <w:lang w:eastAsia="es-ES" w:bidi="es-ES"/>
        </w:rPr>
        <w:t>los requisitos, restricciones y procedimiento aplicable para la enajenación de un bien inmueble de propiedad de una Empresa Social del Estado (E.S.E.) de segundo nivel de atención, considerando su naturaleza jurídica, afectación al servicio público de salud, régimen patrimonial y normativa vigente.</w:t>
      </w:r>
    </w:p>
    <w:p w14:paraId="0022C3B1" w14:textId="77777777" w:rsidR="00DA61E0" w:rsidRPr="00DA61E0" w:rsidRDefault="00DA61E0" w:rsidP="00DA61E0">
      <w:pPr>
        <w:spacing w:after="120" w:line="276" w:lineRule="auto"/>
        <w:ind w:firstLine="709"/>
        <w:jc w:val="both"/>
        <w:rPr>
          <w:rFonts w:ascii="Verdana" w:eastAsia="Calibri" w:hAnsi="Verdana" w:cs="Arial"/>
          <w:color w:val="000000"/>
          <w:lang w:val="es-ES" w:eastAsia="es-ES"/>
        </w:rPr>
      </w:pPr>
      <w:r w:rsidRPr="00DA61E0">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A61E0">
        <w:rPr>
          <w:rFonts w:ascii="Verdana" w:eastAsia="Calibri" w:hAnsi="Verdana" w:cs="Arial"/>
          <w:color w:val="000000"/>
          <w:szCs w:val="24"/>
          <w:lang w:val="es-ES_tradnl" w:eastAsia="es-ES_tradnl"/>
        </w:rPr>
        <w:tab/>
      </w:r>
    </w:p>
    <w:p w14:paraId="50BA1FC3" w14:textId="77777777" w:rsidR="00DA61E0" w:rsidRPr="00DA61E0" w:rsidRDefault="00DA61E0" w:rsidP="00DA61E0">
      <w:pPr>
        <w:spacing w:after="0" w:line="276" w:lineRule="auto"/>
        <w:ind w:firstLine="708"/>
        <w:jc w:val="both"/>
        <w:rPr>
          <w:rFonts w:ascii="Verdana" w:eastAsia="Calibri" w:hAnsi="Verdana" w:cs="Arial"/>
          <w:lang w:val="es-ES" w:eastAsia="es-ES"/>
        </w:rPr>
      </w:pPr>
      <w:r w:rsidRPr="00DA61E0">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específicas que la hayan motivado, pero señalando algunas consideraciones sobre las normas generales relacionadas con el problema jurídico de su consulta. </w:t>
      </w:r>
    </w:p>
    <w:p w14:paraId="0F615A1B" w14:textId="77777777" w:rsidR="00DA61E0" w:rsidRPr="00DA61E0" w:rsidRDefault="00DA61E0" w:rsidP="00DA61E0">
      <w:pPr>
        <w:spacing w:after="0" w:line="276" w:lineRule="auto"/>
        <w:jc w:val="both"/>
        <w:rPr>
          <w:rFonts w:ascii="Verdana" w:eastAsia="Calibri" w:hAnsi="Verdana" w:cs="Arial"/>
          <w:color w:val="000000"/>
          <w:lang w:val="es-ES" w:eastAsia="es-ES"/>
        </w:rPr>
      </w:pPr>
    </w:p>
    <w:p w14:paraId="24CA6CA4" w14:textId="77777777" w:rsidR="00DA61E0" w:rsidRPr="00DA61E0" w:rsidRDefault="00DA61E0" w:rsidP="00DA61E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DA61E0">
        <w:rPr>
          <w:rFonts w:ascii="Verdana" w:eastAsia="Century Gothic" w:hAnsi="Verdana" w:cs="Century Gothic"/>
          <w:b/>
          <w:bCs/>
          <w:lang w:val="es-ES"/>
        </w:rPr>
        <w:t xml:space="preserve"> Problema planteado:</w:t>
      </w:r>
    </w:p>
    <w:p w14:paraId="04B69737" w14:textId="77777777" w:rsidR="00DA61E0" w:rsidRPr="00DA61E0" w:rsidRDefault="00DA61E0" w:rsidP="00DA61E0">
      <w:pPr>
        <w:tabs>
          <w:tab w:val="left" w:pos="426"/>
        </w:tabs>
        <w:spacing w:after="0" w:line="276" w:lineRule="auto"/>
        <w:jc w:val="both"/>
        <w:rPr>
          <w:rFonts w:ascii="Verdana" w:eastAsia="Century Gothic" w:hAnsi="Verdana" w:cs="Century Gothic"/>
          <w:lang w:val="es-ES"/>
        </w:rPr>
      </w:pPr>
    </w:p>
    <w:p w14:paraId="6BD3BEF7" w14:textId="77777777" w:rsidR="00DA61E0" w:rsidRPr="00DA61E0" w:rsidRDefault="00DA61E0" w:rsidP="00DA61E0">
      <w:pPr>
        <w:spacing w:after="0" w:line="276" w:lineRule="auto"/>
        <w:jc w:val="both"/>
        <w:rPr>
          <w:rFonts w:ascii="Verdana" w:eastAsia="Century Gothic" w:hAnsi="Verdana" w:cs="Century Gothic"/>
        </w:rPr>
      </w:pPr>
      <w:r w:rsidRPr="00DA61E0">
        <w:rPr>
          <w:rFonts w:ascii="Verdana" w:eastAsia="Century Gothic" w:hAnsi="Verdana" w:cs="Century Gothic"/>
        </w:rPr>
        <w:t>De acuerdo con el contenido de su solicitud, esta Agencia resolverá el siguiente problema jurídico: ¿Existe un procedimiento para la enajenación de bienes inmuebles de propiedad de empresas sociales del Estado?</w:t>
      </w:r>
    </w:p>
    <w:p w14:paraId="35520D75" w14:textId="77777777" w:rsidR="00DA61E0" w:rsidRPr="00DA61E0" w:rsidRDefault="00DA61E0" w:rsidP="00DA61E0">
      <w:pPr>
        <w:spacing w:after="0" w:line="276" w:lineRule="auto"/>
        <w:jc w:val="both"/>
        <w:rPr>
          <w:rFonts w:ascii="Verdana" w:eastAsia="Calibri" w:hAnsi="Verdana" w:cs="Arial"/>
          <w:color w:val="7030A0"/>
        </w:rPr>
      </w:pPr>
    </w:p>
    <w:p w14:paraId="27DB0192" w14:textId="77777777" w:rsidR="00DA61E0" w:rsidRPr="00DA61E0" w:rsidRDefault="00DA61E0" w:rsidP="00DA61E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DA61E0">
        <w:rPr>
          <w:rFonts w:ascii="Verdana" w:eastAsia="Century Gothic" w:hAnsi="Verdana" w:cs="Century Gothic"/>
          <w:b/>
          <w:bCs/>
          <w:lang w:val="es-ES"/>
        </w:rPr>
        <w:t xml:space="preserve"> Respuesta:</w:t>
      </w:r>
    </w:p>
    <w:p w14:paraId="17D7FD22" w14:textId="77777777" w:rsidR="00DA61E0" w:rsidRPr="00DA61E0" w:rsidRDefault="00DA61E0" w:rsidP="00DA61E0">
      <w:pPr>
        <w:tabs>
          <w:tab w:val="left" w:pos="142"/>
          <w:tab w:val="left" w:pos="284"/>
        </w:tabs>
        <w:spacing w:after="0" w:line="276" w:lineRule="auto"/>
        <w:jc w:val="both"/>
        <w:rPr>
          <w:rFonts w:ascii="Verdana" w:eastAsia="Century Gothic" w:hAnsi="Verdana" w:cs="Century Gothic"/>
          <w:b/>
          <w:bCs/>
          <w:lang w:val="es-ES"/>
        </w:rPr>
      </w:pPr>
    </w:p>
    <w:tbl>
      <w:tblPr>
        <w:tblStyle w:val="Tablaconcuadrcula11"/>
        <w:tblW w:w="0" w:type="auto"/>
        <w:jc w:val="center"/>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A61E0" w:rsidRPr="00DA61E0" w14:paraId="23493614" w14:textId="77777777">
        <w:trPr>
          <w:jc w:val="center"/>
        </w:trPr>
        <w:tc>
          <w:tcPr>
            <w:tcW w:w="8828" w:type="dxa"/>
            <w:tcBorders>
              <w:top w:val="dotted" w:sz="4" w:space="0" w:color="auto"/>
              <w:left w:val="dotted" w:sz="4" w:space="0" w:color="auto"/>
              <w:bottom w:val="dotted" w:sz="4" w:space="0" w:color="auto"/>
              <w:right w:val="dotted" w:sz="4" w:space="0" w:color="auto"/>
            </w:tcBorders>
            <w:hideMark/>
          </w:tcPr>
          <w:p w14:paraId="0728250A" w14:textId="77777777" w:rsidR="008207FE" w:rsidRPr="008207FE" w:rsidRDefault="008207FE" w:rsidP="008207FE">
            <w:pPr>
              <w:spacing w:after="120" w:line="276" w:lineRule="auto"/>
              <w:jc w:val="both"/>
              <w:rPr>
                <w:rFonts w:ascii="Verdana" w:hAnsi="Verdana" w:cs="Arial"/>
                <w:bCs/>
              </w:rPr>
            </w:pPr>
            <w:r w:rsidRPr="008207FE">
              <w:rPr>
                <w:rFonts w:ascii="Verdana" w:hAnsi="Verdana" w:cs="Arial"/>
                <w:bCs/>
              </w:rPr>
              <w:t xml:space="preserve">Para resolver el problema jurídico planteado, es preciso señalar que la enajenación de bienes fiscales inmuebles de propiedad de las Empresas Sociales del Estado (ESE) resulta jurídicamente procedente. Sin embargo, no </w:t>
            </w:r>
            <w:r w:rsidRPr="008207FE">
              <w:rPr>
                <w:rFonts w:ascii="Verdana" w:hAnsi="Verdana" w:cs="Arial"/>
                <w:bCs/>
              </w:rPr>
              <w:lastRenderedPageBreak/>
              <w:t>existe un procedimiento especial ni un régimen normativo que regule de manera específica y exclusiva la venta de este tipo de bienes por parte de dichas entidades.</w:t>
            </w:r>
          </w:p>
          <w:p w14:paraId="2A21A648" w14:textId="77777777" w:rsidR="008207FE" w:rsidRPr="008207FE" w:rsidRDefault="008207FE" w:rsidP="008207FE">
            <w:pPr>
              <w:spacing w:after="120" w:line="276" w:lineRule="auto"/>
              <w:ind w:firstLine="709"/>
              <w:jc w:val="both"/>
              <w:rPr>
                <w:rFonts w:ascii="Verdana" w:hAnsi="Verdana" w:cs="Arial"/>
                <w:bCs/>
              </w:rPr>
            </w:pPr>
            <w:r w:rsidRPr="008207FE">
              <w:rPr>
                <w:rFonts w:ascii="Verdana" w:hAnsi="Verdana" w:cs="Arial"/>
                <w:bCs/>
              </w:rPr>
              <w:t>Si bien la Ley 1150 de 2007 y el Decreto 1082 de 2015 contienen disposiciones relacionadas con la enajenación de bienes estatales, estas fueron concebidas para las entidades sometidas al Estatuto General de Contratación de la Administración Pública. En consecuencia, tales reglas no resultan aplicables de manera obligatoria a las ESE, las cuales cuentan con un régimen contractual especial conforme a lo previsto en el artículo 195 de la Ley 100 de 1993 y el artículo 76 de la Ley 1438 de 2011.</w:t>
            </w:r>
          </w:p>
          <w:p w14:paraId="67F4F417" w14:textId="77777777" w:rsidR="008207FE" w:rsidRPr="008207FE" w:rsidRDefault="008207FE" w:rsidP="008207FE">
            <w:pPr>
              <w:spacing w:after="120" w:line="276" w:lineRule="auto"/>
              <w:ind w:firstLine="709"/>
              <w:jc w:val="both"/>
              <w:rPr>
                <w:rFonts w:ascii="Verdana" w:hAnsi="Verdana" w:cs="Arial"/>
                <w:bCs/>
              </w:rPr>
            </w:pPr>
            <w:r w:rsidRPr="008207FE">
              <w:rPr>
                <w:rFonts w:ascii="Verdana" w:hAnsi="Verdana" w:cs="Arial"/>
                <w:bCs/>
              </w:rPr>
              <w:t>Lo anterior no significa que las ESE carezcan de reglas para adelantar este tipo de operaciones. Por el contrario, la definición del procedimiento aplicable corresponde a cada entidad en ejercicio de su autonomía administrativa y contractual, a través de las disposiciones contenidas en su respectivo manual de contratación, el cual debe ajustarse a los lineamientos establecidos en la Resolución 5185 de 2013, modificada por las Resoluciones 1440 de 2024 y 2053 de 2025.</w:t>
            </w:r>
          </w:p>
          <w:p w14:paraId="3B4511B0" w14:textId="77777777" w:rsidR="008207FE" w:rsidRPr="008207FE" w:rsidRDefault="008207FE" w:rsidP="008207FE">
            <w:pPr>
              <w:spacing w:after="120" w:line="276" w:lineRule="auto"/>
              <w:ind w:firstLine="709"/>
              <w:jc w:val="both"/>
              <w:rPr>
                <w:rFonts w:ascii="Verdana" w:hAnsi="Verdana" w:cs="Arial"/>
                <w:bCs/>
              </w:rPr>
            </w:pPr>
            <w:r w:rsidRPr="008207FE">
              <w:rPr>
                <w:rFonts w:ascii="Verdana" w:hAnsi="Verdana" w:cs="Arial"/>
                <w:bCs/>
              </w:rPr>
              <w:t>En todo caso, cualquiera que sea el mecanismo definido por la entidad para la enajenación del bien —venta directa, invitación abierta, subasta u otro procedimiento previsto en su normativa interna—, este deberá desarrollarse con observancia de los principios que rigen la función administrativa y la gestión contractual pública, particularmente los de transparencia, igualdad, moralidad, economía, responsabilidad, selección objetiva y publicidad. Asimismo, la decisión deberá encontrarse debidamente motivada, soportada en estudios que acrediten la conveniencia de la operación y orientada a la protección del patrimonio público.</w:t>
            </w:r>
          </w:p>
          <w:p w14:paraId="63C46606" w14:textId="77777777" w:rsidR="008207FE" w:rsidRPr="008207FE" w:rsidRDefault="008207FE" w:rsidP="008207FE">
            <w:pPr>
              <w:spacing w:after="120" w:line="276" w:lineRule="auto"/>
              <w:ind w:firstLine="709"/>
              <w:jc w:val="both"/>
              <w:rPr>
                <w:rFonts w:ascii="Verdana" w:hAnsi="Verdana" w:cs="Arial"/>
                <w:bCs/>
              </w:rPr>
            </w:pPr>
            <w:r w:rsidRPr="008207FE">
              <w:rPr>
                <w:rFonts w:ascii="Verdana" w:hAnsi="Verdana" w:cs="Arial"/>
                <w:bCs/>
              </w:rPr>
              <w:t>De igual forma, las actuaciones que se adelanten en esta materia permanecen sujetas al control fiscal, disciplinario, penal y demás mecanismos de vigilancia previstos en el ordenamiento jurídico, por lo que corresponde a cada entidad adoptar las medidas necesarias para garantizar la legalidad, eficiencia y transparencia de la gestión patrimonial que realice.</w:t>
            </w:r>
          </w:p>
          <w:p w14:paraId="0745FEB6" w14:textId="4DFB0201" w:rsidR="00DA61E0" w:rsidRPr="008207FE" w:rsidRDefault="008207FE" w:rsidP="00AA3AE2">
            <w:pPr>
              <w:spacing w:after="120" w:line="276" w:lineRule="auto"/>
              <w:ind w:firstLine="709"/>
              <w:jc w:val="both"/>
              <w:rPr>
                <w:rFonts w:ascii="Verdana" w:hAnsi="Verdana" w:cs="Arial"/>
                <w:lang w:eastAsia="es-ES"/>
              </w:rPr>
            </w:pPr>
            <w:r w:rsidRPr="008207FE">
              <w:rPr>
                <w:rFonts w:ascii="Verdana" w:hAnsi="Verdana" w:cs="Arial"/>
                <w:bCs/>
              </w:rPr>
              <w:t xml:space="preserve">Finalmente, corresponde a cada Empresa Social del Estado determinar, en el caso concreto, el procedimiento y las condiciones bajo las cuales adelantará la eventual enajenación de sus bienes inmuebles, de conformidad </w:t>
            </w:r>
            <w:r w:rsidRPr="008207FE">
              <w:rPr>
                <w:rFonts w:ascii="Verdana" w:hAnsi="Verdana" w:cs="Arial"/>
                <w:bCs/>
              </w:rPr>
              <w:lastRenderedPageBreak/>
              <w:t>con su régimen jurídico, sus normas internas y las circunstancias particulares de la operación. En esa medida, esta Agencia no puede definir por vía consultiva un procedimiento único o de obligatoria aplicación, sino suministrar elementos generales de interpretación que orienten a las entidades en la adopción de las decisiones que estimen procedentes dentro del marco de sus competencias.</w:t>
            </w:r>
          </w:p>
        </w:tc>
      </w:tr>
    </w:tbl>
    <w:p w14:paraId="4AAC6C51" w14:textId="77777777" w:rsidR="00DA61E0" w:rsidRPr="00DA61E0" w:rsidRDefault="00DA61E0" w:rsidP="00DA61E0">
      <w:pPr>
        <w:tabs>
          <w:tab w:val="left" w:pos="142"/>
          <w:tab w:val="left" w:pos="284"/>
        </w:tabs>
        <w:spacing w:after="0" w:line="276" w:lineRule="auto"/>
        <w:jc w:val="both"/>
        <w:rPr>
          <w:rFonts w:ascii="Verdana" w:eastAsia="Century Gothic" w:hAnsi="Verdana" w:cs="Century Gothic"/>
          <w:b/>
          <w:bCs/>
          <w:lang w:val="es-ES"/>
        </w:rPr>
      </w:pPr>
    </w:p>
    <w:p w14:paraId="53C42B1A" w14:textId="77777777" w:rsidR="00DA61E0" w:rsidRPr="00DA61E0" w:rsidRDefault="00DA61E0" w:rsidP="00DA61E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DA61E0">
        <w:rPr>
          <w:rFonts w:ascii="Verdana" w:eastAsia="Century Gothic" w:hAnsi="Verdana" w:cs="Century Gothic"/>
          <w:b/>
          <w:bCs/>
          <w:lang w:val="es-ES"/>
        </w:rPr>
        <w:t>Razones de la respuesta:</w:t>
      </w:r>
    </w:p>
    <w:p w14:paraId="27B66FD2" w14:textId="77777777" w:rsidR="00DA61E0" w:rsidRPr="00DA61E0" w:rsidRDefault="00DA61E0" w:rsidP="00DA61E0">
      <w:pPr>
        <w:spacing w:after="0" w:line="276" w:lineRule="auto"/>
        <w:jc w:val="both"/>
        <w:rPr>
          <w:rFonts w:ascii="Verdana" w:eastAsia="Calibri" w:hAnsi="Verdana" w:cs="Arial"/>
          <w:color w:val="7030A0"/>
          <w:lang w:val="es-ES"/>
        </w:rPr>
      </w:pPr>
    </w:p>
    <w:p w14:paraId="1CEC89EE" w14:textId="77777777" w:rsidR="00DA61E0" w:rsidRPr="00DA61E0" w:rsidRDefault="00DA61E0" w:rsidP="00DA61E0">
      <w:pPr>
        <w:spacing w:after="0" w:line="276" w:lineRule="auto"/>
        <w:jc w:val="both"/>
        <w:rPr>
          <w:rFonts w:ascii="Verdana" w:eastAsia="Calibri" w:hAnsi="Verdana" w:cs="Arial"/>
          <w:lang w:val="es-ES"/>
        </w:rPr>
      </w:pPr>
      <w:r w:rsidRPr="00DA61E0">
        <w:rPr>
          <w:rFonts w:ascii="Verdana" w:eastAsia="Calibri" w:hAnsi="Verdana" w:cs="Arial"/>
          <w:lang w:val="es-ES"/>
        </w:rPr>
        <w:t>Lo anterior se sustenta en las siguientes consideraciones:</w:t>
      </w:r>
    </w:p>
    <w:p w14:paraId="3974439B" w14:textId="77777777" w:rsidR="00DA61E0" w:rsidRPr="00DA61E0" w:rsidRDefault="00DA61E0" w:rsidP="00DA61E0">
      <w:pPr>
        <w:spacing w:after="0" w:line="276" w:lineRule="auto"/>
        <w:jc w:val="both"/>
        <w:rPr>
          <w:rFonts w:ascii="Verdana" w:eastAsia="Calibri" w:hAnsi="Verdana" w:cs="Arial"/>
          <w:lang w:val="es-ES"/>
        </w:rPr>
      </w:pPr>
    </w:p>
    <w:p w14:paraId="3C526A79" w14:textId="77777777" w:rsidR="00DA61E0" w:rsidRPr="00DA61E0" w:rsidRDefault="00DA61E0" w:rsidP="00DA61E0">
      <w:pPr>
        <w:spacing w:after="120" w:line="276" w:lineRule="auto"/>
        <w:jc w:val="both"/>
        <w:rPr>
          <w:rFonts w:ascii="Verdana" w:eastAsia="Calibri" w:hAnsi="Verdana" w:cs="Arial"/>
        </w:rPr>
      </w:pPr>
      <w:r w:rsidRPr="00DA61E0">
        <w:rPr>
          <w:rFonts w:ascii="Verdana" w:eastAsia="Calibri" w:hAnsi="Verdana" w:cs="Arial"/>
          <w:bCs/>
          <w:lang w:val="es-ES_tradnl"/>
        </w:rPr>
        <w:t xml:space="preserve">i. </w:t>
      </w:r>
      <w:r w:rsidRPr="00DA61E0">
        <w:rPr>
          <w:rFonts w:ascii="Verdana" w:eastAsia="Calibri" w:hAnsi="Verdana" w:cs="Arial"/>
          <w:lang w:val="es-ES"/>
        </w:rPr>
        <w:t xml:space="preserve">Respecto al régimen jurídico de las </w:t>
      </w:r>
      <w:r w:rsidRPr="00DA61E0">
        <w:rPr>
          <w:rFonts w:ascii="Verdana" w:eastAsia="Calibri" w:hAnsi="Verdana" w:cs="Arial"/>
          <w:i/>
          <w:iCs/>
          <w:lang w:val="es-ES"/>
        </w:rPr>
        <w:t>entidades sometidas</w:t>
      </w:r>
      <w:r w:rsidRPr="00DA61E0">
        <w:rPr>
          <w:rFonts w:ascii="Verdana" w:eastAsia="Calibri" w:hAnsi="Verdana" w:cs="Arial"/>
          <w:lang w:val="es-ES"/>
        </w:rPr>
        <w:t xml:space="preserve">, es necesario tener en cuenta que el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DA61E0">
        <w:rPr>
          <w:rFonts w:ascii="Verdana" w:eastAsia="Calibri"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40CB83A4" w14:textId="77777777" w:rsidR="00DA61E0" w:rsidRPr="00DA61E0" w:rsidRDefault="00DA61E0" w:rsidP="00DA61E0">
      <w:pPr>
        <w:spacing w:after="120" w:line="276" w:lineRule="auto"/>
        <w:ind w:firstLine="709"/>
        <w:jc w:val="both"/>
        <w:rPr>
          <w:rFonts w:ascii="Verdana" w:eastAsia="Calibri" w:hAnsi="Verdana" w:cs="Arial"/>
        </w:rPr>
      </w:pPr>
      <w:r w:rsidRPr="00DA61E0">
        <w:rPr>
          <w:rFonts w:ascii="Verdana" w:eastAsia="Calibri"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5A8602B1" w14:textId="77777777" w:rsidR="00DA61E0" w:rsidRPr="00DA61E0" w:rsidRDefault="00DA61E0" w:rsidP="00DA61E0">
      <w:pPr>
        <w:spacing w:after="0" w:line="276" w:lineRule="auto"/>
        <w:ind w:firstLine="708"/>
        <w:jc w:val="both"/>
        <w:rPr>
          <w:rFonts w:ascii="Verdana" w:eastAsia="Calibri" w:hAnsi="Verdana" w:cs="Arial"/>
        </w:rPr>
      </w:pPr>
      <w:r w:rsidRPr="00DA61E0">
        <w:rPr>
          <w:rFonts w:ascii="Verdana" w:eastAsia="Calibri" w:hAnsi="Verdana" w:cs="Arial"/>
        </w:rPr>
        <w:t>De esta manera, los contratos de las entidades sujetas al EGCAP se rigen generalmente por el derecho privado y, excepcionalmente, por el derecho público, pues las normas civiles y comerciales son el derecho común de los contratos estatales</w:t>
      </w:r>
      <w:r w:rsidRPr="00DA61E0">
        <w:rPr>
          <w:rFonts w:ascii="Calibri" w:eastAsia="Calibri" w:hAnsi="Calibri" w:cs="Times New Roman"/>
          <w:vertAlign w:val="superscript"/>
        </w:rPr>
        <w:footnoteReference w:id="1"/>
      </w:r>
      <w:r w:rsidRPr="00DA61E0">
        <w:rPr>
          <w:rFonts w:ascii="Verdana" w:eastAsia="Calibri" w:hAnsi="Verdana" w:cs="Arial"/>
        </w:rPr>
        <w:t>. Para la doctrina, la mixtura del régimen contractual:</w:t>
      </w:r>
    </w:p>
    <w:p w14:paraId="62223184" w14:textId="77777777" w:rsidR="00DA61E0" w:rsidRPr="00DA61E0" w:rsidRDefault="00DA61E0" w:rsidP="00DA61E0">
      <w:pPr>
        <w:spacing w:after="0" w:line="276" w:lineRule="auto"/>
        <w:ind w:firstLine="709"/>
        <w:jc w:val="both"/>
        <w:rPr>
          <w:rFonts w:ascii="Verdana" w:eastAsia="Calibri" w:hAnsi="Verdana" w:cs="Arial"/>
        </w:rPr>
      </w:pPr>
    </w:p>
    <w:p w14:paraId="54D28066" w14:textId="77777777" w:rsidR="00DA61E0" w:rsidRPr="00DA61E0" w:rsidRDefault="00DA61E0" w:rsidP="00DA61E0">
      <w:pPr>
        <w:spacing w:after="0" w:line="240" w:lineRule="auto"/>
        <w:ind w:left="709" w:right="709"/>
        <w:jc w:val="both"/>
        <w:rPr>
          <w:rFonts w:ascii="Verdana" w:eastAsia="Calibri" w:hAnsi="Verdana" w:cs="Arial"/>
          <w:sz w:val="20"/>
          <w:szCs w:val="20"/>
        </w:rPr>
      </w:pPr>
      <w:r w:rsidRPr="00DA61E0">
        <w:rPr>
          <w:rFonts w:ascii="Verdana" w:eastAsia="Calibri" w:hAnsi="Verdana" w:cs="Arial"/>
          <w:sz w:val="20"/>
          <w:szCs w:val="20"/>
        </w:rPr>
        <w:lastRenderedPageBreak/>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2A94B507" w14:textId="77777777" w:rsidR="00DA61E0" w:rsidRPr="00DA61E0" w:rsidRDefault="00DA61E0" w:rsidP="00DA61E0">
      <w:pPr>
        <w:spacing w:after="0" w:line="240" w:lineRule="auto"/>
        <w:ind w:left="709" w:right="709"/>
        <w:jc w:val="both"/>
        <w:rPr>
          <w:rFonts w:ascii="Verdana" w:eastAsia="Calibri" w:hAnsi="Verdana" w:cs="Arial"/>
          <w:sz w:val="20"/>
          <w:szCs w:val="20"/>
        </w:rPr>
      </w:pPr>
    </w:p>
    <w:p w14:paraId="25F19D91" w14:textId="77777777" w:rsidR="00DA61E0" w:rsidRPr="00DA61E0" w:rsidRDefault="00DA61E0" w:rsidP="00DA61E0">
      <w:pPr>
        <w:spacing w:after="0" w:line="240" w:lineRule="auto"/>
        <w:ind w:left="709" w:right="709"/>
        <w:jc w:val="both"/>
        <w:rPr>
          <w:rFonts w:ascii="Verdana" w:eastAsia="Calibri" w:hAnsi="Verdana" w:cs="Arial"/>
          <w:sz w:val="20"/>
          <w:szCs w:val="20"/>
        </w:rPr>
      </w:pPr>
      <w:r w:rsidRPr="00DA61E0">
        <w:rPr>
          <w:rFonts w:ascii="Verdana" w:eastAsia="Calibri"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DA61E0">
        <w:rPr>
          <w:rFonts w:ascii="Calibri" w:eastAsia="Calibri" w:hAnsi="Calibri" w:cs="Times New Roman"/>
          <w:vertAlign w:val="superscript"/>
        </w:rPr>
        <w:footnoteReference w:id="2"/>
      </w:r>
      <w:r w:rsidRPr="00DA61E0">
        <w:rPr>
          <w:rFonts w:ascii="Verdana" w:eastAsia="Calibri" w:hAnsi="Verdana" w:cs="Arial"/>
          <w:sz w:val="20"/>
          <w:szCs w:val="20"/>
        </w:rPr>
        <w:t xml:space="preserve">. </w:t>
      </w:r>
    </w:p>
    <w:p w14:paraId="41369D37" w14:textId="77777777" w:rsidR="00DA61E0" w:rsidRPr="00DA61E0" w:rsidRDefault="00DA61E0" w:rsidP="00DA61E0">
      <w:pPr>
        <w:spacing w:after="0" w:line="276" w:lineRule="auto"/>
        <w:ind w:left="709" w:right="709"/>
        <w:jc w:val="both"/>
        <w:rPr>
          <w:rFonts w:ascii="Verdana" w:eastAsia="Calibri" w:hAnsi="Verdana" w:cs="Arial"/>
        </w:rPr>
      </w:pPr>
    </w:p>
    <w:p w14:paraId="673A2324" w14:textId="77777777" w:rsidR="00DA61E0" w:rsidRPr="00DA61E0" w:rsidRDefault="00DA61E0" w:rsidP="00DA61E0">
      <w:pPr>
        <w:spacing w:after="120" w:line="276" w:lineRule="auto"/>
        <w:jc w:val="both"/>
        <w:rPr>
          <w:rFonts w:ascii="Verdana" w:eastAsia="Calibri" w:hAnsi="Verdana" w:cs="Arial"/>
        </w:rPr>
      </w:pPr>
      <w:r w:rsidRPr="00DA61E0">
        <w:rPr>
          <w:rFonts w:ascii="Verdana" w:eastAsia="Calibri"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3C6305F4" w14:textId="77777777" w:rsidR="00DA61E0" w:rsidRPr="00DA61E0" w:rsidRDefault="00DA61E0" w:rsidP="00DA61E0">
      <w:pPr>
        <w:spacing w:after="120" w:line="276" w:lineRule="auto"/>
        <w:ind w:firstLine="709"/>
        <w:jc w:val="both"/>
        <w:rPr>
          <w:rFonts w:ascii="Verdana" w:eastAsia="Calibri" w:hAnsi="Verdana" w:cs="Arial"/>
        </w:rPr>
      </w:pPr>
      <w:r w:rsidRPr="00DA61E0">
        <w:rPr>
          <w:rFonts w:ascii="Verdana" w:eastAsia="Calibri" w:hAnsi="Verdana" w:cs="Arial"/>
        </w:rPr>
        <w:t xml:space="preserve">No obstante, aunque tenga una influencia limitada, las </w:t>
      </w:r>
      <w:r w:rsidRPr="00DA61E0">
        <w:rPr>
          <w:rFonts w:ascii="Verdana" w:eastAsia="Calibri" w:hAnsi="Verdana" w:cs="Arial"/>
          <w:i/>
          <w:iCs/>
        </w:rPr>
        <w:t>entidades del régimen exceptuado</w:t>
      </w:r>
      <w:r w:rsidRPr="00DA61E0">
        <w:rPr>
          <w:rFonts w:ascii="Verdana" w:eastAsia="Calibri"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3DE82E5E" w14:textId="77777777" w:rsidR="00DA61E0" w:rsidRPr="00DA61E0" w:rsidRDefault="00DA61E0" w:rsidP="00DA61E0">
      <w:pPr>
        <w:spacing w:after="0" w:line="276" w:lineRule="auto"/>
        <w:ind w:firstLine="708"/>
        <w:jc w:val="both"/>
        <w:rPr>
          <w:rFonts w:ascii="Verdana" w:eastAsia="Calibri" w:hAnsi="Verdana" w:cs="Arial"/>
        </w:rPr>
      </w:pPr>
      <w:r w:rsidRPr="00DA61E0">
        <w:rPr>
          <w:rFonts w:ascii="Verdana" w:eastAsia="Calibri" w:hAnsi="Verdana" w:cs="Arial"/>
        </w:rPr>
        <w:lastRenderedPageBreak/>
        <w:t>La existencia de entidades exceptuadas del EGCAP se ha justificado por alguna de las siguientes tres (3) circunstancias: i) facilitar la competencia económica –como ocurre actualmente respecto al régimen de los servicios públicos domiciliarios–, ii) flexibilizar el ejercicio de la función administrativa –como en los contratos del Banco de la República o los de ciencia y tecnología– o iii) establecer un régimen especial sin excluir por completo la aplicación de la Ley 80 de 1993 –como ocurre en la operaciones del crédito público–</w:t>
      </w:r>
      <w:r w:rsidRPr="00DA61E0">
        <w:rPr>
          <w:rFonts w:ascii="Calibri" w:eastAsia="Calibri" w:hAnsi="Calibri" w:cs="Times New Roman"/>
          <w:vertAlign w:val="superscript"/>
        </w:rPr>
        <w:footnoteReference w:id="3"/>
      </w:r>
      <w:r w:rsidRPr="00DA61E0">
        <w:rPr>
          <w:rFonts w:ascii="Verdana" w:eastAsia="Calibri" w:hAnsi="Verdana" w:cs="Arial"/>
        </w:rPr>
        <w:t>.  Para estos efectos, la doctrina ha identificado 171 entidades y contratos que manejan un régimen excepcional, los cuales se clasifican de acuerdo i) al sector económico, ii) la asignación de un esquema legal especial, iii) el objeto del contrato celebrado y iv) la existencia de fondos que administran recursos públicos</w:t>
      </w:r>
      <w:r w:rsidRPr="00DA61E0">
        <w:rPr>
          <w:rFonts w:ascii="Calibri" w:eastAsia="Calibri" w:hAnsi="Calibri" w:cs="Times New Roman"/>
          <w:vertAlign w:val="superscript"/>
        </w:rPr>
        <w:footnoteReference w:id="4"/>
      </w:r>
      <w:r w:rsidRPr="00DA61E0">
        <w:rPr>
          <w:rFonts w:ascii="Verdana" w:eastAsia="Calibri" w:hAnsi="Verdana" w:cs="Arial"/>
        </w:rPr>
        <w:t>.</w:t>
      </w:r>
    </w:p>
    <w:p w14:paraId="0F47A5FE" w14:textId="77777777" w:rsidR="00DA61E0" w:rsidRPr="00DA61E0" w:rsidRDefault="00DA61E0" w:rsidP="00DA61E0">
      <w:pPr>
        <w:widowControl w:val="0"/>
        <w:autoSpaceDE w:val="0"/>
        <w:autoSpaceDN w:val="0"/>
        <w:spacing w:after="0" w:line="276" w:lineRule="auto"/>
        <w:ind w:right="266"/>
        <w:jc w:val="both"/>
        <w:rPr>
          <w:rFonts w:ascii="Verdana" w:eastAsia="Arial MT" w:hAnsi="Verdana" w:cs="Arial MT"/>
          <w:lang w:val="es-ES"/>
        </w:rPr>
      </w:pPr>
    </w:p>
    <w:p w14:paraId="4AB7AC95" w14:textId="77777777" w:rsidR="00DA61E0" w:rsidRPr="00DA61E0" w:rsidRDefault="00DA61E0" w:rsidP="00DA61E0">
      <w:pPr>
        <w:spacing w:after="0" w:line="276" w:lineRule="auto"/>
        <w:jc w:val="both"/>
        <w:rPr>
          <w:rFonts w:ascii="Verdana" w:eastAsia="Calibri" w:hAnsi="Verdana" w:cs="Arial"/>
          <w:lang w:val="es-MX"/>
        </w:rPr>
      </w:pPr>
      <w:r w:rsidRPr="00DA61E0">
        <w:rPr>
          <w:rFonts w:ascii="Verdana" w:eastAsia="Calibri" w:hAnsi="Verdana" w:cs="Arial"/>
          <w:bCs/>
          <w:color w:val="000000" w:themeColor="text1"/>
          <w:lang w:val="es-ES"/>
        </w:rPr>
        <w:t xml:space="preserve">ii. </w:t>
      </w:r>
      <w:r w:rsidRPr="00DA61E0">
        <w:rPr>
          <w:rFonts w:ascii="Verdana" w:eastAsia="Calibri" w:hAnsi="Verdana" w:cs="Arial"/>
          <w:lang w:val="es-MX"/>
        </w:rPr>
        <w:t>Una de las Entidades Estatales con régimen especial son las Empresas Sociales del Estado – ESE. Estas empresas han sido entendidas como Entidades Públicas que, conforme al artículo 194 de la Ley 100 de 1993, constituyen una categoría especial, descentralizada por servicios, con personería jurídica, patrimonio propio y autonomía administrativa</w:t>
      </w:r>
      <w:r w:rsidRPr="00DA61E0">
        <w:rPr>
          <w:rFonts w:ascii="Calibri" w:eastAsia="Calibri" w:hAnsi="Calibri" w:cs="Times New Roman"/>
          <w:vertAlign w:val="superscript"/>
        </w:rPr>
        <w:footnoteReference w:id="5"/>
      </w:r>
      <w:r w:rsidRPr="00DA61E0">
        <w:rPr>
          <w:rFonts w:ascii="Verdana" w:eastAsia="Calibri"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0364A986" w14:textId="77777777" w:rsidR="00DA61E0" w:rsidRPr="00DA61E0" w:rsidRDefault="00DA61E0" w:rsidP="00DA61E0">
      <w:pPr>
        <w:spacing w:after="0" w:line="276" w:lineRule="auto"/>
        <w:ind w:firstLine="709"/>
        <w:jc w:val="both"/>
        <w:rPr>
          <w:rFonts w:ascii="Verdana" w:eastAsia="Calibri" w:hAnsi="Verdana" w:cs="Arial"/>
          <w:lang w:val="es-MX"/>
        </w:rPr>
      </w:pPr>
    </w:p>
    <w:p w14:paraId="47C8218B" w14:textId="77777777" w:rsidR="00DA61E0" w:rsidRPr="00DA61E0" w:rsidRDefault="00DA61E0" w:rsidP="00DA61E0">
      <w:pPr>
        <w:spacing w:after="0" w:line="240" w:lineRule="auto"/>
        <w:ind w:left="709" w:right="709"/>
        <w:jc w:val="both"/>
        <w:rPr>
          <w:rFonts w:ascii="Verdana" w:eastAsia="Calibri" w:hAnsi="Verdana" w:cs="Arial"/>
          <w:sz w:val="20"/>
          <w:szCs w:val="20"/>
        </w:rPr>
      </w:pPr>
      <w:r w:rsidRPr="00DA61E0">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sidRPr="00DA61E0">
        <w:rPr>
          <w:rFonts w:ascii="Calibri" w:eastAsia="Calibri" w:hAnsi="Calibri" w:cs="Times New Roman"/>
          <w:vertAlign w:val="superscript"/>
        </w:rPr>
        <w:footnoteReference w:id="6"/>
      </w:r>
      <w:r w:rsidRPr="00DA61E0">
        <w:rPr>
          <w:rFonts w:ascii="Verdana" w:eastAsia="Calibri" w:hAnsi="Verdana" w:cs="Arial"/>
          <w:sz w:val="20"/>
          <w:szCs w:val="20"/>
        </w:rPr>
        <w:t xml:space="preserve">. </w:t>
      </w:r>
    </w:p>
    <w:p w14:paraId="63BB9D3F" w14:textId="77777777" w:rsidR="00DA61E0" w:rsidRPr="00DA61E0" w:rsidRDefault="00DA61E0" w:rsidP="00DA61E0">
      <w:pPr>
        <w:spacing w:after="0" w:line="276" w:lineRule="auto"/>
        <w:ind w:left="709" w:right="709"/>
        <w:jc w:val="both"/>
        <w:rPr>
          <w:rFonts w:ascii="Verdana" w:eastAsia="Calibri" w:hAnsi="Verdana" w:cs="Arial"/>
        </w:rPr>
      </w:pPr>
    </w:p>
    <w:p w14:paraId="2F8C6C3B" w14:textId="77777777" w:rsidR="00DA61E0" w:rsidRPr="00DA61E0" w:rsidRDefault="00DA61E0" w:rsidP="00DA61E0">
      <w:pPr>
        <w:widowControl w:val="0"/>
        <w:autoSpaceDE w:val="0"/>
        <w:autoSpaceDN w:val="0"/>
        <w:spacing w:after="120" w:line="276" w:lineRule="auto"/>
        <w:ind w:right="102" w:firstLine="709"/>
        <w:jc w:val="both"/>
        <w:rPr>
          <w:rFonts w:ascii="Verdana" w:eastAsia="Arial" w:hAnsi="Verdana" w:cs="Arial"/>
          <w:lang w:val="es-ES"/>
        </w:rPr>
      </w:pPr>
      <w:r w:rsidRPr="00DA61E0">
        <w:rPr>
          <w:rFonts w:ascii="Verdana" w:eastAsia="Arial" w:hAnsi="Verdana" w:cs="Arial"/>
          <w:lang w:val="es-ES"/>
        </w:rPr>
        <w:t xml:space="preserve">De la cita precedente puede concluirse entonces que, las Empresas </w:t>
      </w:r>
      <w:r w:rsidRPr="00DA61E0">
        <w:rPr>
          <w:rFonts w:ascii="Verdana" w:eastAsia="Arial" w:hAnsi="Verdana" w:cs="Arial"/>
          <w:lang w:val="es-ES"/>
        </w:rPr>
        <w:lastRenderedPageBreak/>
        <w:t xml:space="preserve">Sociales del Estado </w:t>
      </w:r>
      <w:r w:rsidRPr="00DA61E0">
        <w:rPr>
          <w:rFonts w:ascii="Verdana" w:eastAsia="Arial" w:hAnsi="Verdana" w:cs="Arial"/>
          <w:lang w:val="es-MX"/>
        </w:rPr>
        <w:t>–ESE–</w:t>
      </w:r>
      <w:r w:rsidRPr="00DA61E0">
        <w:rPr>
          <w:rFonts w:ascii="Verdana" w:eastAsia="Arial" w:hAnsi="Verdana" w:cs="Arial"/>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3920CDF4" w14:textId="77777777" w:rsidR="00DA61E0" w:rsidRPr="00DA61E0" w:rsidRDefault="00DA61E0" w:rsidP="00DA61E0">
      <w:pPr>
        <w:spacing w:after="120" w:line="276" w:lineRule="auto"/>
        <w:ind w:firstLine="709"/>
        <w:jc w:val="both"/>
        <w:rPr>
          <w:rFonts w:ascii="Verdana" w:eastAsia="Calibri" w:hAnsi="Verdana" w:cs="Arial"/>
        </w:rPr>
      </w:pPr>
      <w:r w:rsidRPr="00DA61E0">
        <w:rPr>
          <w:rFonts w:ascii="Verdana" w:eastAsia="Calibri" w:hAnsi="Verdana" w:cs="Arial"/>
        </w:rPr>
        <w:t xml:space="preserve">Por su parte, en lo que a materia contractual se refiere, de conformidad con el numeral 6 del artículo 195 de la Ley 100 de 1993, el régimen de contratación de las </w:t>
      </w:r>
      <w:r w:rsidRPr="00DA61E0">
        <w:rPr>
          <w:rFonts w:ascii="Verdana" w:eastAsia="Calibri" w:hAnsi="Verdana" w:cs="Arial"/>
          <w:lang w:val="es-MX"/>
        </w:rPr>
        <w:t>–ESE–</w:t>
      </w:r>
      <w:r w:rsidRPr="00DA61E0">
        <w:rPr>
          <w:rFonts w:ascii="Verdana" w:eastAsia="Calibri" w:hAnsi="Verdana" w:cs="Times New Roman"/>
          <w:lang w:val="es-MX"/>
        </w:rPr>
        <w:t xml:space="preserve"> </w:t>
      </w:r>
      <w:r w:rsidRPr="00DA61E0">
        <w:rPr>
          <w:rFonts w:ascii="Verdana" w:eastAsia="Calibri" w:hAnsi="Verdana" w:cs="Arial"/>
        </w:rPr>
        <w:t xml:space="preserve">es el de derecho privado, es decir, se rige por las disposiciones contenidas en el Código de Comercio y en el Código Civil, aplicables en lo que resulten pertinentes, salvo en las materias particularmente reguladas por el derecho público. La norma referida prescribe que: “En materia contractual se regirá por el derecho privado, </w:t>
      </w:r>
      <w:r w:rsidRPr="00DA61E0">
        <w:rPr>
          <w:rFonts w:ascii="Verdana" w:eastAsia="Calibri" w:hAnsi="Verdana" w:cs="Arial"/>
          <w:i/>
        </w:rPr>
        <w:t>pero podrá discrecionalmente utilizar las cláusulas exorbitantes previstas en el estatuto general de contratación de la administración pública”</w:t>
      </w:r>
      <w:r w:rsidRPr="00DA61E0">
        <w:rPr>
          <w:rFonts w:ascii="Verdana" w:eastAsia="Calibri" w:hAnsi="Verdana" w:cs="Arial"/>
        </w:rPr>
        <w:t xml:space="preserve"> (énfasis fuera de texto). </w:t>
      </w:r>
    </w:p>
    <w:p w14:paraId="3A89DE29" w14:textId="77777777" w:rsidR="00DA61E0" w:rsidRPr="00DA61E0" w:rsidRDefault="00DA61E0" w:rsidP="00DA61E0">
      <w:pPr>
        <w:widowControl w:val="0"/>
        <w:autoSpaceDE w:val="0"/>
        <w:autoSpaceDN w:val="0"/>
        <w:spacing w:after="0" w:line="276" w:lineRule="auto"/>
        <w:ind w:right="102" w:firstLine="709"/>
        <w:jc w:val="both"/>
        <w:rPr>
          <w:rFonts w:ascii="Verdana" w:eastAsia="Arial" w:hAnsi="Verdana" w:cs="Arial"/>
          <w:lang w:val="es-ES"/>
        </w:rPr>
      </w:pPr>
      <w:r w:rsidRPr="00DA61E0">
        <w:rPr>
          <w:rFonts w:ascii="Verdana" w:eastAsia="Arial" w:hAnsi="Verdana" w:cs="Arial"/>
          <w:lang w:val="es-ES"/>
        </w:rPr>
        <w:t xml:space="preserve">En consecuencia, </w:t>
      </w:r>
      <w:r w:rsidRPr="00DA61E0">
        <w:rPr>
          <w:rFonts w:ascii="Verdana" w:eastAsia="Calibri" w:hAnsi="Verdana" w:cs="Arial"/>
          <w:color w:val="000000" w:themeColor="text1"/>
          <w:lang w:val="es-MX"/>
        </w:rPr>
        <w:t xml:space="preserve">las </w:t>
      </w:r>
      <w:r w:rsidRPr="00DA61E0">
        <w:rPr>
          <w:rFonts w:ascii="Verdana" w:eastAsia="Arial" w:hAnsi="Verdana" w:cs="Arial"/>
          <w:lang w:val="es-MX"/>
        </w:rPr>
        <w:t>–ESE–</w:t>
      </w:r>
      <w:r w:rsidRPr="00DA61E0">
        <w:rPr>
          <w:rFonts w:ascii="Verdana" w:eastAsia="Arial" w:hAnsi="Verdana" w:cs="Arial"/>
          <w:lang w:val="es-ES"/>
        </w:rPr>
        <w:t xml:space="preserve"> </w:t>
      </w:r>
      <w:r w:rsidRPr="00DA61E0">
        <w:rPr>
          <w:rFonts w:ascii="Verdana" w:eastAsia="Calibri" w:hAnsi="Verdana" w:cs="Arial"/>
          <w:color w:val="000000" w:themeColor="text1"/>
          <w:lang w:val="es-MX"/>
        </w:rPr>
        <w:t xml:space="preserve">no están sometidas al EGCAP ni a las normas que lo reglamentan o complementan, ya que, por disposición expresa de la norma transcrita, sus </w:t>
      </w:r>
      <w:r w:rsidRPr="00DA61E0">
        <w:rPr>
          <w:rFonts w:ascii="Verdana" w:eastAsia="Arial" w:hAnsi="Verdana" w:cs="Arial"/>
          <w:lang w:val="es-ES"/>
        </w:rPr>
        <w:t>contratos se rigen por el derecho privado. Sin embargo, esta circunstancia no implica la inobservancia de los principios de la función administrativa y la gestión fiscal, teniendo en cuenta que su objeto, conforme a la Sentencia C-665 de 2000 de la Corte Constitucional, corresponde a la prestación del servicio de salud a cargo del Estado o como parte del servicio de seguridad social</w:t>
      </w:r>
      <w:r w:rsidRPr="00DA61E0">
        <w:rPr>
          <w:rFonts w:ascii="Calibri" w:eastAsia="Calibri" w:hAnsi="Calibri" w:cs="Times New Roman"/>
          <w:vertAlign w:val="superscript"/>
        </w:rPr>
        <w:footnoteReference w:id="7"/>
      </w:r>
      <w:r w:rsidRPr="00DA61E0">
        <w:rPr>
          <w:rFonts w:ascii="Verdana" w:eastAsia="Arial" w:hAnsi="Verdana" w:cs="Arial"/>
          <w:lang w:val="es-ES"/>
        </w:rPr>
        <w:t>. En esta misma línea, el artículo 83 de la Ley 489 de 1998, dispuso lo</w:t>
      </w:r>
      <w:r w:rsidRPr="00DA61E0">
        <w:rPr>
          <w:rFonts w:ascii="Verdana" w:eastAsia="Arial" w:hAnsi="Verdana" w:cs="Arial"/>
          <w:spacing w:val="-12"/>
          <w:lang w:val="es-ES"/>
        </w:rPr>
        <w:t xml:space="preserve"> </w:t>
      </w:r>
      <w:r w:rsidRPr="00DA61E0">
        <w:rPr>
          <w:rFonts w:ascii="Verdana" w:eastAsia="Arial" w:hAnsi="Verdana" w:cs="Arial"/>
          <w:lang w:val="es-ES"/>
        </w:rPr>
        <w:t>siguiente:</w:t>
      </w:r>
    </w:p>
    <w:p w14:paraId="561CA089" w14:textId="77777777" w:rsidR="00DA61E0" w:rsidRPr="00DA61E0" w:rsidRDefault="00DA61E0" w:rsidP="00DA61E0">
      <w:pPr>
        <w:widowControl w:val="0"/>
        <w:autoSpaceDE w:val="0"/>
        <w:autoSpaceDN w:val="0"/>
        <w:spacing w:after="0" w:line="276" w:lineRule="auto"/>
        <w:ind w:right="102" w:firstLine="709"/>
        <w:jc w:val="both"/>
        <w:rPr>
          <w:rFonts w:ascii="Verdana" w:eastAsia="Arial" w:hAnsi="Verdana" w:cs="Arial"/>
          <w:lang w:val="es-ES"/>
        </w:rPr>
      </w:pPr>
    </w:p>
    <w:p w14:paraId="23479937" w14:textId="77777777" w:rsidR="00DA61E0" w:rsidRPr="00DA61E0" w:rsidRDefault="00DA61E0" w:rsidP="00DA61E0">
      <w:pPr>
        <w:widowControl w:val="0"/>
        <w:autoSpaceDE w:val="0"/>
        <w:autoSpaceDN w:val="0"/>
        <w:spacing w:after="0" w:line="240" w:lineRule="auto"/>
        <w:ind w:left="709" w:right="709"/>
        <w:jc w:val="both"/>
        <w:rPr>
          <w:rFonts w:ascii="Verdana" w:eastAsia="Arial" w:hAnsi="Verdana" w:cs="Arial"/>
          <w:sz w:val="20"/>
          <w:szCs w:val="20"/>
          <w:lang w:val="es-ES"/>
        </w:rPr>
      </w:pPr>
      <w:r w:rsidRPr="00DA61E0">
        <w:rPr>
          <w:rFonts w:ascii="Verdana" w:eastAsia="Arial" w:hAnsi="Verdana" w:cs="Arial"/>
          <w:sz w:val="20"/>
          <w:szCs w:val="20"/>
          <w:lang w:val="es-ES"/>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DA61E0">
        <w:rPr>
          <w:rFonts w:ascii="Verdana" w:eastAsia="Arial" w:hAnsi="Verdana" w:cs="Arial"/>
          <w:spacing w:val="-1"/>
          <w:sz w:val="20"/>
          <w:szCs w:val="20"/>
          <w:lang w:val="es-ES"/>
        </w:rPr>
        <w:t xml:space="preserve"> </w:t>
      </w:r>
      <w:r w:rsidRPr="00DA61E0">
        <w:rPr>
          <w:rFonts w:ascii="Verdana" w:eastAsia="Arial" w:hAnsi="Verdana" w:cs="Arial"/>
          <w:sz w:val="20"/>
          <w:szCs w:val="20"/>
          <w:lang w:val="es-ES"/>
        </w:rPr>
        <w:t>adicionen.”</w:t>
      </w:r>
    </w:p>
    <w:p w14:paraId="0CCD869C" w14:textId="77777777" w:rsidR="00DA61E0" w:rsidRPr="00DA61E0" w:rsidRDefault="00DA61E0" w:rsidP="00DA61E0">
      <w:pPr>
        <w:widowControl w:val="0"/>
        <w:autoSpaceDE w:val="0"/>
        <w:autoSpaceDN w:val="0"/>
        <w:spacing w:after="0" w:line="276" w:lineRule="auto"/>
        <w:jc w:val="both"/>
        <w:rPr>
          <w:rFonts w:ascii="Verdana" w:eastAsia="Arial" w:hAnsi="Verdana" w:cs="Arial"/>
          <w:lang w:val="es-ES"/>
        </w:rPr>
      </w:pPr>
    </w:p>
    <w:p w14:paraId="43B1C7EB" w14:textId="77777777" w:rsidR="00DA61E0" w:rsidRPr="00DA61E0" w:rsidRDefault="00DA61E0" w:rsidP="00DA61E0">
      <w:pPr>
        <w:tabs>
          <w:tab w:val="left" w:pos="709"/>
        </w:tabs>
        <w:spacing w:after="120" w:line="276" w:lineRule="auto"/>
        <w:jc w:val="both"/>
        <w:rPr>
          <w:rFonts w:ascii="Verdana" w:eastAsia="Calibri" w:hAnsi="Verdana" w:cs="Arial"/>
          <w:color w:val="000000" w:themeColor="text1"/>
        </w:rPr>
      </w:pPr>
      <w:r w:rsidRPr="00DA61E0">
        <w:rPr>
          <w:rFonts w:ascii="Verdana" w:eastAsia="Calibri" w:hAnsi="Verdana" w:cs="Arial"/>
          <w:color w:val="000000" w:themeColor="text1"/>
          <w:lang w:val="es-ES"/>
        </w:rPr>
        <w:tab/>
        <w:t xml:space="preserve">Esta también ha sido la interpretación del Ministerio de Salud y Protección Social, que en el Concepto No. </w:t>
      </w:r>
      <w:r w:rsidRPr="00DA61E0">
        <w:rPr>
          <w:rFonts w:ascii="Verdana" w:eastAsia="Calibri" w:hAnsi="Verdana" w:cs="Arial"/>
          <w:color w:val="000000" w:themeColor="text1"/>
        </w:rPr>
        <w:t>201942301304712</w:t>
      </w:r>
      <w:r w:rsidRPr="00DA61E0">
        <w:rPr>
          <w:rFonts w:ascii="Verdana" w:eastAsia="Calibri" w:hAnsi="Verdana" w:cs="Arial"/>
          <w:color w:val="000000" w:themeColor="text1"/>
          <w:lang w:val="es-ES"/>
        </w:rPr>
        <w:t xml:space="preserve"> de 2019, reiterando lo expuesto por la Sala de Consulta y Servicio Civil del Consejo de Estado</w:t>
      </w:r>
      <w:r w:rsidRPr="00DA61E0">
        <w:rPr>
          <w:rFonts w:ascii="Calibri" w:eastAsia="Calibri" w:hAnsi="Calibri" w:cs="Times New Roman"/>
          <w:vertAlign w:val="superscript"/>
        </w:rPr>
        <w:footnoteReference w:id="8"/>
      </w:r>
      <w:r w:rsidRPr="00DA61E0">
        <w:rPr>
          <w:rFonts w:ascii="Verdana" w:eastAsia="Calibri" w:hAnsi="Verdana" w:cs="Arial"/>
          <w:color w:val="000000" w:themeColor="text1"/>
          <w:lang w:val="es-ES"/>
        </w:rPr>
        <w:t xml:space="preserve">, expresó que “[…] </w:t>
      </w:r>
      <w:r w:rsidRPr="00DA61E0">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DA61E0">
        <w:rPr>
          <w:rFonts w:ascii="Verdana" w:eastAsia="Calibri" w:hAnsi="Verdana" w:cs="Arial"/>
          <w:color w:val="000000" w:themeColor="text1"/>
          <w:vertAlign w:val="superscript"/>
          <w:lang w:val="es-ES"/>
        </w:rPr>
        <w:footnoteReference w:id="9"/>
      </w:r>
      <w:r w:rsidRPr="00DA61E0">
        <w:rPr>
          <w:rFonts w:ascii="Verdana" w:eastAsia="Calibri" w:hAnsi="Verdana" w:cs="Arial"/>
          <w:color w:val="000000" w:themeColor="text1"/>
          <w:lang w:val="es-ES"/>
        </w:rPr>
        <w:t xml:space="preserve">. </w:t>
      </w:r>
    </w:p>
    <w:p w14:paraId="164F5385" w14:textId="77777777" w:rsidR="00DA61E0" w:rsidRPr="00DA61E0" w:rsidRDefault="00DA61E0" w:rsidP="00DA61E0">
      <w:pPr>
        <w:spacing w:after="120" w:line="276" w:lineRule="auto"/>
        <w:ind w:firstLine="709"/>
        <w:jc w:val="both"/>
        <w:rPr>
          <w:rFonts w:ascii="Verdana" w:eastAsia="Calibri" w:hAnsi="Verdana" w:cs="Arial"/>
          <w:lang w:val="es-ES"/>
        </w:rPr>
      </w:pPr>
      <w:r w:rsidRPr="00DA61E0">
        <w:rPr>
          <w:rFonts w:ascii="Verdana" w:eastAsia="Calibri" w:hAnsi="Verdana" w:cs="Times New Roman"/>
        </w:rPr>
        <w:t xml:space="preserve">En consecuencia, por mandato del legislador, el régimen jurídico de los contratos de las </w:t>
      </w:r>
      <w:r w:rsidRPr="00DA61E0">
        <w:rPr>
          <w:rFonts w:ascii="Verdana" w:eastAsia="Calibri" w:hAnsi="Verdana" w:cs="Arial"/>
          <w:lang w:val="es-MX"/>
        </w:rPr>
        <w:t>–ESE–</w:t>
      </w:r>
      <w:r w:rsidRPr="00DA61E0">
        <w:rPr>
          <w:rFonts w:ascii="Verdana" w:eastAsia="Calibri" w:hAnsi="Verdana" w:cs="Times New Roman"/>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DA61E0">
        <w:rPr>
          <w:rFonts w:ascii="Verdana" w:eastAsia="Calibri" w:hAnsi="Verdana" w:cs="Arial"/>
          <w:lang w:val="es-MX"/>
        </w:rPr>
        <w:t>–ESE–</w:t>
      </w:r>
      <w:r w:rsidRPr="00DA61E0">
        <w:rPr>
          <w:rFonts w:ascii="Verdana" w:eastAsia="Calibri" w:hAnsi="Verdana" w:cs="Times New Roman"/>
        </w:rPr>
        <w:t>,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EGCAP debían respetar los principios de la función administrativa, tesis que luego fue acogida por el legislador con la expedición de la Ley 1150 de 2007.</w:t>
      </w:r>
    </w:p>
    <w:p w14:paraId="7C43E44A" w14:textId="77777777" w:rsidR="00DA61E0" w:rsidRPr="00DA61E0" w:rsidRDefault="00DA61E0" w:rsidP="00DA61E0">
      <w:pPr>
        <w:spacing w:after="120" w:line="276" w:lineRule="auto"/>
        <w:ind w:firstLine="709"/>
        <w:jc w:val="both"/>
        <w:rPr>
          <w:rFonts w:ascii="Verdana" w:eastAsia="Calibri" w:hAnsi="Verdana" w:cs="Arial"/>
          <w:sz w:val="20"/>
          <w:szCs w:val="20"/>
          <w:lang w:val="es-MX"/>
        </w:rPr>
      </w:pPr>
      <w:r w:rsidRPr="00DA61E0">
        <w:rPr>
          <w:rFonts w:ascii="Verdana" w:eastAsia="Calibri" w:hAnsi="Verdana" w:cs="Arial"/>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DA61E0">
        <w:rPr>
          <w:rFonts w:ascii="Verdana" w:eastAsia="Calibri" w:hAnsi="Verdana" w:cs="Arial"/>
          <w:sz w:val="20"/>
          <w:szCs w:val="20"/>
          <w:lang w:val="es-MX"/>
        </w:rPr>
        <w:t xml:space="preserve">. </w:t>
      </w:r>
    </w:p>
    <w:p w14:paraId="5399D5F4" w14:textId="77777777" w:rsidR="00DA61E0" w:rsidRPr="00DA61E0" w:rsidRDefault="00DA61E0" w:rsidP="00DA61E0">
      <w:pPr>
        <w:spacing w:after="0" w:line="276" w:lineRule="auto"/>
        <w:ind w:firstLine="709"/>
        <w:jc w:val="both"/>
        <w:rPr>
          <w:rFonts w:ascii="Verdana" w:eastAsia="Calibri" w:hAnsi="Verdana" w:cs="Arial"/>
          <w:lang w:val="es-MX"/>
        </w:rPr>
      </w:pPr>
      <w:r w:rsidRPr="00DA61E0">
        <w:rPr>
          <w:rFonts w:ascii="Verdana" w:eastAsia="Calibri" w:hAnsi="Verdana" w:cs="Arial"/>
          <w:lang w:val="es-MX"/>
        </w:rPr>
        <w:t xml:space="preserve">Al referirse al régimen contractual de las –ESE–, la Sección Tercera del Consejo de Estado manifestó que “la entidad estatal debe observar en su </w:t>
      </w:r>
      <w:r w:rsidRPr="00DA61E0">
        <w:rPr>
          <w:rFonts w:ascii="Verdana" w:eastAsia="Calibri" w:hAnsi="Verdana" w:cs="Arial"/>
          <w:lang w:val="es-MX"/>
        </w:rPr>
        <w:lastRenderedPageBreak/>
        <w:t>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DA61E0">
        <w:rPr>
          <w:rFonts w:ascii="Verdana" w:eastAsia="Calibri" w:hAnsi="Verdana" w:cs="Times New Roman"/>
          <w:lang w:val="es-MX"/>
        </w:rPr>
        <w:t xml:space="preserve"> </w:t>
      </w:r>
      <w:r w:rsidRPr="00DA61E0">
        <w:rPr>
          <w:rFonts w:ascii="Verdana" w:eastAsia="Calibri" w:hAnsi="Verdana" w:cs="Arial"/>
          <w:lang w:val="es-MX"/>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 así como el deber de publicar en la plataforma transaccional SECOP II. Al respecto, el artículo 13 de la Ley 1150 de 2007 modificado por el artículo 53 de la Ley 2195 de 2022:</w:t>
      </w:r>
    </w:p>
    <w:p w14:paraId="4FB1E135" w14:textId="77777777" w:rsidR="00DA61E0" w:rsidRPr="00DA61E0" w:rsidRDefault="00DA61E0" w:rsidP="00DA61E0">
      <w:pPr>
        <w:spacing w:after="0" w:line="276" w:lineRule="auto"/>
        <w:ind w:left="709" w:right="709"/>
        <w:jc w:val="both"/>
        <w:rPr>
          <w:rFonts w:ascii="Verdana" w:eastAsia="Calibri" w:hAnsi="Verdana" w:cs="Arial"/>
          <w:lang w:val="es-MX"/>
        </w:rPr>
      </w:pPr>
    </w:p>
    <w:p w14:paraId="761999D9" w14:textId="77777777" w:rsidR="00DA61E0" w:rsidRPr="00DA61E0" w:rsidRDefault="00DA61E0" w:rsidP="00DA61E0">
      <w:pPr>
        <w:spacing w:after="0" w:line="240" w:lineRule="auto"/>
        <w:ind w:left="709" w:right="709"/>
        <w:jc w:val="both"/>
        <w:rPr>
          <w:rFonts w:ascii="Verdana" w:eastAsia="Calibri" w:hAnsi="Verdana" w:cs="Arial"/>
          <w:bCs/>
          <w:sz w:val="20"/>
          <w:szCs w:val="20"/>
        </w:rPr>
      </w:pPr>
      <w:r w:rsidRPr="00DA61E0">
        <w:rPr>
          <w:rFonts w:ascii="Verdana" w:eastAsia="Calibri" w:hAnsi="Verdana" w:cs="Arial"/>
          <w:bCs/>
          <w:sz w:val="20"/>
          <w:szCs w:val="20"/>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4F3013BD" w14:textId="77777777" w:rsidR="00DA61E0" w:rsidRPr="00DA61E0" w:rsidRDefault="00DA61E0" w:rsidP="00DA61E0">
      <w:pPr>
        <w:spacing w:after="0" w:line="240" w:lineRule="auto"/>
        <w:ind w:left="709" w:right="709" w:firstLine="709"/>
        <w:jc w:val="both"/>
        <w:rPr>
          <w:rFonts w:ascii="Verdana" w:eastAsia="Calibri" w:hAnsi="Verdana" w:cs="Arial"/>
          <w:bCs/>
          <w:sz w:val="20"/>
          <w:szCs w:val="20"/>
        </w:rPr>
      </w:pPr>
    </w:p>
    <w:p w14:paraId="027227E2" w14:textId="77777777" w:rsidR="00DA61E0" w:rsidRPr="00DA61E0" w:rsidRDefault="00DA61E0" w:rsidP="00DA61E0">
      <w:pPr>
        <w:spacing w:after="0" w:line="240" w:lineRule="auto"/>
        <w:ind w:left="709" w:right="709"/>
        <w:jc w:val="both"/>
        <w:rPr>
          <w:rFonts w:ascii="Verdana" w:eastAsia="Calibri" w:hAnsi="Verdana" w:cs="Arial"/>
          <w:bCs/>
          <w:iCs/>
          <w:sz w:val="20"/>
          <w:szCs w:val="20"/>
        </w:rPr>
      </w:pPr>
      <w:r w:rsidRPr="00DA61E0">
        <w:rPr>
          <w:rFonts w:ascii="Verdana" w:eastAsia="Calibri" w:hAnsi="Verdana" w:cs="Arial"/>
          <w:bCs/>
          <w:iCs/>
          <w:sz w:val="20"/>
          <w:szCs w:val="20"/>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7070C3FE" w14:textId="77777777" w:rsidR="00DA61E0" w:rsidRPr="00DA61E0" w:rsidRDefault="00DA61E0" w:rsidP="00DA61E0">
      <w:pPr>
        <w:spacing w:after="0" w:line="240" w:lineRule="auto"/>
        <w:ind w:left="709" w:right="709"/>
        <w:jc w:val="both"/>
        <w:rPr>
          <w:rFonts w:ascii="Verdana" w:eastAsia="Calibri" w:hAnsi="Verdana" w:cs="Arial"/>
          <w:bCs/>
          <w:iCs/>
          <w:sz w:val="20"/>
          <w:szCs w:val="20"/>
        </w:rPr>
      </w:pPr>
    </w:p>
    <w:p w14:paraId="311BDEA3" w14:textId="77777777" w:rsidR="00DA61E0" w:rsidRPr="00DA61E0" w:rsidRDefault="00DA61E0" w:rsidP="00DA61E0">
      <w:pPr>
        <w:spacing w:after="0" w:line="240" w:lineRule="auto"/>
        <w:ind w:left="709" w:right="709"/>
        <w:jc w:val="both"/>
        <w:rPr>
          <w:rFonts w:ascii="Verdana" w:eastAsia="Calibri" w:hAnsi="Verdana" w:cs="Arial"/>
          <w:bCs/>
          <w:iCs/>
          <w:sz w:val="20"/>
          <w:szCs w:val="20"/>
        </w:rPr>
      </w:pPr>
      <w:r w:rsidRPr="00DA61E0">
        <w:rPr>
          <w:rFonts w:ascii="Verdana" w:eastAsia="Calibri" w:hAnsi="Verdana" w:cs="Arial"/>
          <w:bCs/>
          <w:sz w:val="20"/>
          <w:szCs w:val="20"/>
        </w:rPr>
        <w:t xml:space="preserve">A partir de la entrada en vigencia de la presente Ley, se establecerá un periodo de transición de seis (6) meses, para que las entidades den cumplimiento efectivo a lo aquí establecido”. </w:t>
      </w:r>
    </w:p>
    <w:p w14:paraId="1538EB42" w14:textId="77777777" w:rsidR="00DA61E0" w:rsidRPr="00DA61E0" w:rsidRDefault="00DA61E0" w:rsidP="00DA61E0">
      <w:pPr>
        <w:spacing w:after="0" w:line="276" w:lineRule="auto"/>
        <w:ind w:firstLine="709"/>
        <w:jc w:val="both"/>
        <w:rPr>
          <w:rFonts w:ascii="Verdana" w:eastAsia="Calibri" w:hAnsi="Verdana" w:cs="Arial"/>
          <w:bCs/>
          <w:lang w:val="es-ES_tradnl"/>
        </w:rPr>
      </w:pPr>
    </w:p>
    <w:p w14:paraId="43A606DD" w14:textId="77777777" w:rsidR="00DA61E0" w:rsidRPr="00DA61E0" w:rsidRDefault="00DA61E0" w:rsidP="00DA61E0">
      <w:pPr>
        <w:spacing w:after="120" w:line="276" w:lineRule="auto"/>
        <w:ind w:firstLine="709"/>
        <w:jc w:val="both"/>
        <w:rPr>
          <w:rFonts w:ascii="Verdana" w:eastAsia="Calibri" w:hAnsi="Verdana" w:cs="Arial"/>
          <w:bCs/>
          <w:iCs/>
        </w:rPr>
      </w:pPr>
      <w:r w:rsidRPr="00DA61E0">
        <w:rPr>
          <w:rFonts w:ascii="Verdana" w:eastAsia="Calibri" w:hAnsi="Verdana" w:cs="Arial"/>
          <w:bCs/>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w:t>
      </w:r>
      <w:r w:rsidRPr="00DA61E0">
        <w:rPr>
          <w:rFonts w:ascii="Verdana" w:eastAsia="Calibri" w:hAnsi="Verdana" w:cs="Arial"/>
          <w:bCs/>
          <w:lang w:val="es-ES"/>
        </w:rPr>
        <w:lastRenderedPageBreak/>
        <w:t xml:space="preserve">como el deber </w:t>
      </w:r>
      <w:r w:rsidRPr="00DA61E0">
        <w:rPr>
          <w:rFonts w:ascii="Verdana" w:eastAsia="Calibri" w:hAnsi="Verdana" w:cs="Arial"/>
          <w:bCs/>
          <w:i/>
          <w:iCs/>
        </w:rPr>
        <w:t xml:space="preserve">de </w:t>
      </w:r>
      <w:r w:rsidRPr="00DA61E0">
        <w:rPr>
          <w:rFonts w:ascii="Verdana" w:eastAsia="Calibri" w:hAnsi="Verdana" w:cs="Arial"/>
          <w:bCs/>
          <w:iCs/>
        </w:rPr>
        <w:t xml:space="preserve">publicar los documentos relacionados con su actividad contractual en el Sistema Electrónico para la Contratación Pública –SECOP II– o la plataforma transaccional que haga sus veces, sin perjuicio de las demás reglas que les aplique a la sociedad de economía exceptuada del EGCAP. </w:t>
      </w:r>
    </w:p>
    <w:p w14:paraId="5362157D" w14:textId="77777777" w:rsidR="00DA61E0" w:rsidRPr="00DA61E0" w:rsidRDefault="00DA61E0" w:rsidP="00DA61E0">
      <w:pPr>
        <w:spacing w:before="120" w:after="0" w:line="276" w:lineRule="auto"/>
        <w:ind w:firstLine="709"/>
        <w:jc w:val="both"/>
        <w:rPr>
          <w:rFonts w:ascii="Verdana" w:eastAsia="Calibri" w:hAnsi="Verdana" w:cs="Arial"/>
          <w:color w:val="000000" w:themeColor="text1"/>
          <w:lang w:val="es-ES_tradnl"/>
        </w:rPr>
      </w:pPr>
      <w:r w:rsidRPr="00DA61E0">
        <w:rPr>
          <w:rFonts w:ascii="Verdana" w:eastAsia="Calibri" w:hAnsi="Verdana" w:cs="Arial"/>
          <w:color w:val="000000" w:themeColor="text1"/>
          <w:lang w:val="es-ES_tradnl"/>
        </w:rPr>
        <w:t>Lo anterior es reafirmado por el Consejo de Estado en el caso particular de los manuales de contratación, que contiene algunas reglas que deben seguir las entidades con régimen especial en su actividad contractual:</w:t>
      </w:r>
    </w:p>
    <w:p w14:paraId="74DF4801" w14:textId="77777777" w:rsidR="00DA61E0" w:rsidRPr="00DA61E0" w:rsidRDefault="00DA61E0" w:rsidP="00DA61E0">
      <w:pPr>
        <w:spacing w:after="0" w:line="240" w:lineRule="auto"/>
        <w:jc w:val="both"/>
        <w:rPr>
          <w:rFonts w:ascii="Verdana" w:eastAsia="Calibri" w:hAnsi="Verdana" w:cs="Arial"/>
          <w:color w:val="000000" w:themeColor="text1"/>
          <w:lang w:val="es-ES_tradnl"/>
        </w:rPr>
      </w:pPr>
    </w:p>
    <w:p w14:paraId="34DA4846" w14:textId="77777777" w:rsidR="00DA61E0" w:rsidRPr="00DA61E0" w:rsidRDefault="00DA61E0" w:rsidP="00DA61E0">
      <w:pPr>
        <w:spacing w:after="0" w:line="240" w:lineRule="auto"/>
        <w:ind w:left="709" w:right="709"/>
        <w:jc w:val="both"/>
        <w:rPr>
          <w:rFonts w:ascii="Verdana" w:eastAsia="Calibri" w:hAnsi="Verdana" w:cs="Arial"/>
          <w:color w:val="000000" w:themeColor="text1"/>
          <w:sz w:val="20"/>
          <w:szCs w:val="20"/>
          <w:lang w:val="es-ES_tradnl"/>
        </w:rPr>
      </w:pPr>
      <w:r w:rsidRPr="00DA61E0">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35136D49" w14:textId="77777777" w:rsidR="00DA61E0" w:rsidRPr="00DA61E0" w:rsidRDefault="00DA61E0" w:rsidP="00DA61E0">
      <w:pPr>
        <w:spacing w:after="0" w:line="240" w:lineRule="auto"/>
        <w:ind w:left="709" w:right="709"/>
        <w:jc w:val="both"/>
        <w:rPr>
          <w:rFonts w:ascii="Verdana" w:eastAsia="Calibri" w:hAnsi="Verdana" w:cs="Arial"/>
          <w:color w:val="000000" w:themeColor="text1"/>
          <w:sz w:val="20"/>
          <w:szCs w:val="20"/>
          <w:lang w:val="es-ES_tradnl"/>
        </w:rPr>
      </w:pPr>
    </w:p>
    <w:p w14:paraId="45546AC7" w14:textId="77777777" w:rsidR="00DA61E0" w:rsidRPr="00DA61E0" w:rsidRDefault="00DA61E0" w:rsidP="00DA61E0">
      <w:pPr>
        <w:spacing w:after="0" w:line="240" w:lineRule="auto"/>
        <w:ind w:left="709" w:right="709"/>
        <w:jc w:val="both"/>
        <w:rPr>
          <w:rFonts w:ascii="Verdana" w:eastAsia="Calibri" w:hAnsi="Verdana" w:cs="Arial"/>
          <w:color w:val="000000" w:themeColor="text1"/>
          <w:sz w:val="20"/>
          <w:szCs w:val="20"/>
          <w:lang w:val="es-ES"/>
        </w:rPr>
      </w:pPr>
      <w:r w:rsidRPr="00DA61E0">
        <w:rPr>
          <w:rFonts w:ascii="Verdana" w:eastAsia="Calibri" w:hAnsi="Verdana" w:cs="Arial"/>
          <w:color w:val="000000" w:themeColor="text1"/>
          <w:sz w:val="20"/>
          <w:szCs w:val="20"/>
          <w:lang w:val="es-ES"/>
        </w:rPr>
        <w:t>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w:t>
      </w:r>
      <w:r w:rsidRPr="00DA61E0">
        <w:rPr>
          <w:rFonts w:ascii="Verdana" w:eastAsia="Calibri" w:hAnsi="Verdana" w:cs="Arial"/>
          <w:color w:val="000000" w:themeColor="text1"/>
          <w:sz w:val="20"/>
          <w:szCs w:val="20"/>
          <w:vertAlign w:val="superscript"/>
          <w:lang w:val="es-ES_tradnl"/>
        </w:rPr>
        <w:footnoteReference w:id="10"/>
      </w:r>
      <w:r w:rsidRPr="00DA61E0">
        <w:rPr>
          <w:rFonts w:ascii="Verdana" w:eastAsia="Calibri" w:hAnsi="Verdana" w:cs="Arial"/>
          <w:color w:val="000000" w:themeColor="text1"/>
          <w:sz w:val="20"/>
          <w:szCs w:val="20"/>
          <w:lang w:val="es-ES"/>
        </w:rPr>
        <w:t>.</w:t>
      </w:r>
    </w:p>
    <w:p w14:paraId="5291254A" w14:textId="77777777" w:rsidR="00DA61E0" w:rsidRPr="00DA61E0" w:rsidRDefault="00DA61E0" w:rsidP="00DA61E0">
      <w:pPr>
        <w:spacing w:after="0" w:line="276" w:lineRule="auto"/>
        <w:ind w:firstLine="709"/>
        <w:jc w:val="both"/>
        <w:rPr>
          <w:rFonts w:ascii="Verdana" w:eastAsia="Calibri" w:hAnsi="Verdana" w:cs="Arial"/>
          <w:lang w:val="es-ES_tradnl"/>
        </w:rPr>
      </w:pPr>
    </w:p>
    <w:p w14:paraId="25506F49" w14:textId="77777777" w:rsidR="00DA61E0" w:rsidRPr="00DA61E0" w:rsidRDefault="00DA61E0" w:rsidP="00DA61E0">
      <w:pPr>
        <w:spacing w:after="120" w:line="276" w:lineRule="auto"/>
        <w:ind w:firstLine="709"/>
        <w:jc w:val="both"/>
        <w:rPr>
          <w:rFonts w:ascii="Verdana" w:eastAsia="Arial" w:hAnsi="Verdana" w:cs="Arial"/>
        </w:rPr>
      </w:pPr>
      <w:r w:rsidRPr="00DA61E0">
        <w:rPr>
          <w:rFonts w:ascii="Verdana" w:eastAsia="Arial" w:hAnsi="Verdana" w:cs="Arial"/>
        </w:rPr>
        <w:t xml:space="preserve">Ahora bien, puede decirse que una de las reglas para las </w:t>
      </w:r>
      <w:r w:rsidRPr="00DA61E0">
        <w:rPr>
          <w:rFonts w:ascii="Verdana" w:eastAsia="Calibri" w:hAnsi="Verdana" w:cs="Arial"/>
          <w:lang w:val="es-MX"/>
        </w:rPr>
        <w:t>–ESE–</w:t>
      </w:r>
      <w:r w:rsidRPr="00DA61E0">
        <w:rPr>
          <w:rFonts w:ascii="Verdana" w:eastAsia="Arial" w:hAnsi="Verdana" w:cs="Arial"/>
        </w:rPr>
        <w:t>,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19CA1079" w14:textId="77777777" w:rsidR="00DA61E0" w:rsidRPr="00DA61E0" w:rsidRDefault="00DA61E0" w:rsidP="00DA61E0">
      <w:pPr>
        <w:spacing w:after="120" w:line="276" w:lineRule="auto"/>
        <w:ind w:firstLine="708"/>
        <w:jc w:val="both"/>
        <w:rPr>
          <w:rFonts w:ascii="Verdana" w:eastAsia="Calibri" w:hAnsi="Verdana" w:cs="Arial"/>
          <w:lang w:val="es-ES"/>
        </w:rPr>
      </w:pPr>
      <w:r w:rsidRPr="00DA61E0">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00DA61E0">
        <w:rPr>
          <w:rFonts w:ascii="Calibri" w:eastAsia="Calibri" w:hAnsi="Calibri" w:cs="Times New Roman"/>
          <w:vertAlign w:val="superscript"/>
        </w:rPr>
        <w:footnoteReference w:id="11"/>
      </w:r>
      <w:r w:rsidRPr="00DA61E0">
        <w:rPr>
          <w:rFonts w:ascii="Verdana" w:eastAsia="Calibri" w:hAnsi="Verdana" w:cs="Arial"/>
          <w:lang w:val="es-ES"/>
        </w:rPr>
        <w:t xml:space="preserve">. Ahora bien, dicha libertad es similar a la reconocida </w:t>
      </w:r>
      <w:r w:rsidRPr="00DA61E0">
        <w:rPr>
          <w:rFonts w:ascii="Verdana" w:eastAsia="Calibri" w:hAnsi="Verdana" w:cs="Arial"/>
          <w:lang w:val="es-ES"/>
        </w:rPr>
        <w:lastRenderedPageBreak/>
        <w:t>a los particulares por el derecho privado, pero no es idéntica a aquella, en la medida en que encuentra importantes limitantes.</w:t>
      </w:r>
    </w:p>
    <w:p w14:paraId="77E6BA56" w14:textId="77777777" w:rsidR="00DA61E0" w:rsidRPr="00DA61E0" w:rsidRDefault="00DA61E0" w:rsidP="00DA61E0">
      <w:pPr>
        <w:spacing w:after="120" w:line="276" w:lineRule="auto"/>
        <w:ind w:firstLine="709"/>
        <w:jc w:val="both"/>
        <w:rPr>
          <w:rFonts w:ascii="Verdana" w:eastAsia="Calibri" w:hAnsi="Verdana" w:cs="Arial"/>
          <w:lang w:val="es-ES"/>
        </w:rPr>
      </w:pPr>
      <w:r w:rsidRPr="00DA61E0">
        <w:rPr>
          <w:rFonts w:ascii="Verdana" w:eastAsia="Calibri" w:hAnsi="Verdana"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r w:rsidRPr="00DA61E0">
        <w:rPr>
          <w:rFonts w:ascii="Calibri" w:eastAsia="Calibri" w:hAnsi="Calibri" w:cs="Times New Roman"/>
          <w:vertAlign w:val="superscript"/>
        </w:rPr>
        <w:footnoteReference w:id="12"/>
      </w:r>
      <w:r w:rsidRPr="00DA61E0">
        <w:rPr>
          <w:rFonts w:ascii="Verdana" w:eastAsia="Calibri" w:hAnsi="Verdana" w:cs="Arial"/>
          <w:lang w:val="es-ES"/>
        </w:rPr>
        <w:t xml:space="preserve">. </w:t>
      </w:r>
    </w:p>
    <w:p w14:paraId="698760E9" w14:textId="77777777" w:rsidR="00DA61E0" w:rsidRPr="00DA61E0" w:rsidRDefault="00DA61E0" w:rsidP="00DA61E0">
      <w:pPr>
        <w:widowControl w:val="0"/>
        <w:autoSpaceDE w:val="0"/>
        <w:autoSpaceDN w:val="0"/>
        <w:spacing w:after="120" w:line="276" w:lineRule="auto"/>
        <w:ind w:firstLine="608"/>
        <w:jc w:val="both"/>
        <w:rPr>
          <w:rFonts w:ascii="Verdana" w:eastAsia="Arial" w:hAnsi="Verdana" w:cs="Arial"/>
          <w:lang w:val="es-ES"/>
        </w:rPr>
      </w:pPr>
      <w:r w:rsidRPr="00DA61E0">
        <w:rPr>
          <w:rFonts w:ascii="Verdana" w:eastAsia="Arial" w:hAnsi="Verdana" w:cs="Arial"/>
          <w:lang w:val="es-ES"/>
        </w:rPr>
        <w:t>De esta forma, las</w:t>
      </w:r>
      <w:r w:rsidRPr="00DA61E0">
        <w:rPr>
          <w:rFonts w:ascii="Verdana" w:eastAsia="Arial" w:hAnsi="Verdana" w:cs="Arial"/>
          <w:spacing w:val="-7"/>
          <w:lang w:val="es-ES"/>
        </w:rPr>
        <w:t xml:space="preserve"> </w:t>
      </w:r>
      <w:r w:rsidRPr="00DA61E0">
        <w:rPr>
          <w:rFonts w:ascii="Verdana" w:eastAsia="Arial" w:hAnsi="Verdana" w:cs="Arial"/>
          <w:lang w:val="es-ES"/>
        </w:rPr>
        <w:t>reglas</w:t>
      </w:r>
      <w:r w:rsidRPr="00DA61E0">
        <w:rPr>
          <w:rFonts w:ascii="Verdana" w:eastAsia="Arial" w:hAnsi="Verdana" w:cs="Arial"/>
          <w:spacing w:val="-6"/>
          <w:lang w:val="es-ES"/>
        </w:rPr>
        <w:t xml:space="preserve"> </w:t>
      </w:r>
      <w:r w:rsidRPr="00DA61E0">
        <w:rPr>
          <w:rFonts w:ascii="Verdana" w:eastAsia="Arial" w:hAnsi="Verdana" w:cs="Arial"/>
          <w:lang w:val="es-ES"/>
        </w:rPr>
        <w:t>establecidas</w:t>
      </w:r>
      <w:r w:rsidRPr="00DA61E0">
        <w:rPr>
          <w:rFonts w:ascii="Verdana" w:eastAsia="Arial" w:hAnsi="Verdana" w:cs="Arial"/>
          <w:spacing w:val="-5"/>
          <w:lang w:val="es-ES"/>
        </w:rPr>
        <w:t xml:space="preserve"> </w:t>
      </w:r>
      <w:r w:rsidRPr="00DA61E0">
        <w:rPr>
          <w:rFonts w:ascii="Verdana" w:eastAsia="Arial" w:hAnsi="Verdana" w:cs="Arial"/>
          <w:lang w:val="es-ES"/>
        </w:rPr>
        <w:t>en</w:t>
      </w:r>
      <w:r w:rsidRPr="00DA61E0">
        <w:rPr>
          <w:rFonts w:ascii="Verdana" w:eastAsia="Arial" w:hAnsi="Verdana" w:cs="Arial"/>
          <w:spacing w:val="-7"/>
          <w:lang w:val="es-ES"/>
        </w:rPr>
        <w:t xml:space="preserve"> </w:t>
      </w:r>
      <w:r w:rsidRPr="00DA61E0">
        <w:rPr>
          <w:rFonts w:ascii="Verdana" w:eastAsia="Arial" w:hAnsi="Verdana" w:cs="Arial"/>
          <w:lang w:val="es-ES"/>
        </w:rPr>
        <w:t>los</w:t>
      </w:r>
      <w:r w:rsidRPr="00DA61E0">
        <w:rPr>
          <w:rFonts w:ascii="Verdana" w:eastAsia="Arial" w:hAnsi="Verdana" w:cs="Arial"/>
          <w:spacing w:val="-6"/>
          <w:lang w:val="es-ES"/>
        </w:rPr>
        <w:t xml:space="preserve"> </w:t>
      </w:r>
      <w:r w:rsidRPr="00DA61E0">
        <w:rPr>
          <w:rFonts w:ascii="Verdana" w:eastAsia="Arial" w:hAnsi="Verdana" w:cs="Arial"/>
          <w:lang w:val="es-ES"/>
        </w:rPr>
        <w:t>manuales</w:t>
      </w:r>
      <w:r w:rsidRPr="00DA61E0">
        <w:rPr>
          <w:rFonts w:ascii="Verdana" w:eastAsia="Arial" w:hAnsi="Verdana" w:cs="Arial"/>
          <w:spacing w:val="-6"/>
          <w:lang w:val="es-ES"/>
        </w:rPr>
        <w:t xml:space="preserve"> </w:t>
      </w:r>
      <w:r w:rsidRPr="00DA61E0">
        <w:rPr>
          <w:rFonts w:ascii="Verdana" w:eastAsia="Arial" w:hAnsi="Verdana" w:cs="Arial"/>
          <w:lang w:val="es-ES"/>
        </w:rPr>
        <w:t>o</w:t>
      </w:r>
      <w:r w:rsidRPr="00DA61E0">
        <w:rPr>
          <w:rFonts w:ascii="Verdana" w:eastAsia="Arial" w:hAnsi="Verdana" w:cs="Arial"/>
          <w:spacing w:val="-6"/>
          <w:lang w:val="es-ES"/>
        </w:rPr>
        <w:t xml:space="preserve"> </w:t>
      </w:r>
      <w:r w:rsidRPr="00DA61E0">
        <w:rPr>
          <w:rFonts w:ascii="Verdana" w:eastAsia="Arial" w:hAnsi="Verdana" w:cs="Arial"/>
          <w:lang w:val="es-ES"/>
        </w:rPr>
        <w:t>reglamentos</w:t>
      </w:r>
      <w:r w:rsidRPr="00DA61E0">
        <w:rPr>
          <w:rFonts w:ascii="Verdana" w:eastAsia="Arial" w:hAnsi="Verdana" w:cs="Arial"/>
          <w:spacing w:val="-7"/>
          <w:lang w:val="es-ES"/>
        </w:rPr>
        <w:t xml:space="preserve"> </w:t>
      </w:r>
      <w:r w:rsidRPr="00DA61E0">
        <w:rPr>
          <w:rFonts w:ascii="Verdana" w:eastAsia="Arial" w:hAnsi="Verdana" w:cs="Arial"/>
          <w:lang w:val="es-ES"/>
        </w:rPr>
        <w:t>internos</w:t>
      </w:r>
      <w:r w:rsidRPr="00DA61E0">
        <w:rPr>
          <w:rFonts w:ascii="Verdana" w:eastAsia="Arial" w:hAnsi="Verdana" w:cs="Arial"/>
          <w:spacing w:val="-5"/>
          <w:lang w:val="es-ES"/>
        </w:rPr>
        <w:t xml:space="preserve"> </w:t>
      </w:r>
      <w:r w:rsidRPr="00DA61E0">
        <w:rPr>
          <w:rFonts w:ascii="Verdana" w:eastAsia="Arial" w:hAnsi="Verdana" w:cs="Arial"/>
          <w:lang w:val="es-ES"/>
        </w:rPr>
        <w:t>de</w:t>
      </w:r>
      <w:r w:rsidRPr="00DA61E0">
        <w:rPr>
          <w:rFonts w:ascii="Verdana" w:eastAsia="Arial" w:hAnsi="Verdana" w:cs="Arial"/>
          <w:spacing w:val="-6"/>
          <w:lang w:val="es-ES"/>
        </w:rPr>
        <w:t xml:space="preserve"> </w:t>
      </w:r>
      <w:r w:rsidRPr="00DA61E0">
        <w:rPr>
          <w:rFonts w:ascii="Verdana" w:eastAsia="Arial" w:hAnsi="Verdana" w:cs="Arial"/>
          <w:lang w:val="es-ES"/>
        </w:rPr>
        <w:t>contratación son muy importantes, toda vez que las entidades se obligan a cumplir su contenido.</w:t>
      </w:r>
      <w:r w:rsidRPr="00DA61E0">
        <w:rPr>
          <w:rFonts w:ascii="Verdana" w:eastAsia="Arial" w:hAnsi="Verdana" w:cs="Arial"/>
          <w:spacing w:val="1"/>
          <w:lang w:val="es-ES"/>
        </w:rPr>
        <w:t xml:space="preserve"> </w:t>
      </w:r>
      <w:r w:rsidRPr="00DA61E0">
        <w:rPr>
          <w:rFonts w:ascii="Verdana" w:eastAsia="Arial" w:hAnsi="Verdana" w:cs="Arial"/>
          <w:lang w:val="es-ES"/>
        </w:rPr>
        <w:t>Además, tratándose de un acto administrativo, concretamente de un reglamento, le</w:t>
      </w:r>
      <w:r w:rsidRPr="00DA61E0">
        <w:rPr>
          <w:rFonts w:ascii="Verdana" w:eastAsia="Arial" w:hAnsi="Verdana" w:cs="Arial"/>
          <w:spacing w:val="1"/>
          <w:lang w:val="es-ES"/>
        </w:rPr>
        <w:t xml:space="preserve"> </w:t>
      </w:r>
      <w:r w:rsidRPr="00DA61E0">
        <w:rPr>
          <w:rFonts w:ascii="Verdana" w:eastAsia="Arial" w:hAnsi="Verdana" w:cs="Arial"/>
          <w:lang w:val="es-ES"/>
        </w:rPr>
        <w:t>aplican</w:t>
      </w:r>
      <w:r w:rsidRPr="00DA61E0">
        <w:rPr>
          <w:rFonts w:ascii="Verdana" w:eastAsia="Arial" w:hAnsi="Verdana" w:cs="Arial"/>
          <w:spacing w:val="-10"/>
          <w:lang w:val="es-ES"/>
        </w:rPr>
        <w:t xml:space="preserve"> </w:t>
      </w:r>
      <w:r w:rsidRPr="00DA61E0">
        <w:rPr>
          <w:rFonts w:ascii="Verdana" w:eastAsia="Arial" w:hAnsi="Verdana" w:cs="Arial"/>
          <w:lang w:val="es-ES"/>
        </w:rPr>
        <w:t>los</w:t>
      </w:r>
      <w:r w:rsidRPr="00DA61E0">
        <w:rPr>
          <w:rFonts w:ascii="Verdana" w:eastAsia="Arial" w:hAnsi="Verdana" w:cs="Arial"/>
          <w:spacing w:val="-10"/>
          <w:lang w:val="es-ES"/>
        </w:rPr>
        <w:t xml:space="preserve"> </w:t>
      </w:r>
      <w:r w:rsidRPr="00DA61E0">
        <w:rPr>
          <w:rFonts w:ascii="Verdana" w:eastAsia="Arial" w:hAnsi="Verdana" w:cs="Arial"/>
          <w:lang w:val="es-ES"/>
        </w:rPr>
        <w:t>atributos</w:t>
      </w:r>
      <w:r w:rsidRPr="00DA61E0">
        <w:rPr>
          <w:rFonts w:ascii="Verdana" w:eastAsia="Arial" w:hAnsi="Verdana" w:cs="Arial"/>
          <w:spacing w:val="-10"/>
          <w:lang w:val="es-ES"/>
        </w:rPr>
        <w:t xml:space="preserve"> </w:t>
      </w:r>
      <w:r w:rsidRPr="00DA61E0">
        <w:rPr>
          <w:rFonts w:ascii="Verdana" w:eastAsia="Arial" w:hAnsi="Verdana" w:cs="Arial"/>
          <w:lang w:val="es-ES"/>
        </w:rPr>
        <w:t>propios</w:t>
      </w:r>
      <w:r w:rsidRPr="00DA61E0">
        <w:rPr>
          <w:rFonts w:ascii="Verdana" w:eastAsia="Arial" w:hAnsi="Verdana" w:cs="Arial"/>
          <w:spacing w:val="-10"/>
          <w:lang w:val="es-ES"/>
        </w:rPr>
        <w:t xml:space="preserve"> </w:t>
      </w:r>
      <w:r w:rsidRPr="00DA61E0">
        <w:rPr>
          <w:rFonts w:ascii="Verdana" w:eastAsia="Arial" w:hAnsi="Verdana" w:cs="Arial"/>
          <w:lang w:val="es-ES"/>
        </w:rPr>
        <w:t>de</w:t>
      </w:r>
      <w:r w:rsidRPr="00DA61E0">
        <w:rPr>
          <w:rFonts w:ascii="Verdana" w:eastAsia="Arial" w:hAnsi="Verdana" w:cs="Arial"/>
          <w:spacing w:val="-9"/>
          <w:lang w:val="es-ES"/>
        </w:rPr>
        <w:t xml:space="preserve"> </w:t>
      </w:r>
      <w:r w:rsidRPr="00DA61E0">
        <w:rPr>
          <w:rFonts w:ascii="Verdana" w:eastAsia="Arial" w:hAnsi="Verdana" w:cs="Arial"/>
          <w:lang w:val="es-ES"/>
        </w:rPr>
        <w:t>estos</w:t>
      </w:r>
      <w:r w:rsidRPr="00DA61E0">
        <w:rPr>
          <w:rFonts w:ascii="Verdana" w:eastAsia="Arial" w:hAnsi="Verdana" w:cs="Arial"/>
          <w:spacing w:val="-10"/>
          <w:lang w:val="es-ES"/>
        </w:rPr>
        <w:t xml:space="preserve"> </w:t>
      </w:r>
      <w:r w:rsidRPr="00DA61E0">
        <w:rPr>
          <w:rFonts w:ascii="Verdana" w:eastAsia="Arial" w:hAnsi="Verdana" w:cs="Arial"/>
          <w:lang w:val="es-ES"/>
        </w:rPr>
        <w:t>tipos</w:t>
      </w:r>
      <w:r w:rsidRPr="00DA61E0">
        <w:rPr>
          <w:rFonts w:ascii="Verdana" w:eastAsia="Arial" w:hAnsi="Verdana" w:cs="Arial"/>
          <w:spacing w:val="-10"/>
          <w:lang w:val="es-ES"/>
        </w:rPr>
        <w:t xml:space="preserve"> </w:t>
      </w:r>
      <w:r w:rsidRPr="00DA61E0">
        <w:rPr>
          <w:rFonts w:ascii="Verdana" w:eastAsia="Arial" w:hAnsi="Verdana" w:cs="Arial"/>
          <w:lang w:val="es-ES"/>
        </w:rPr>
        <w:t>de</w:t>
      </w:r>
      <w:r w:rsidRPr="00DA61E0">
        <w:rPr>
          <w:rFonts w:ascii="Verdana" w:eastAsia="Arial" w:hAnsi="Verdana" w:cs="Arial"/>
          <w:spacing w:val="-10"/>
          <w:lang w:val="es-ES"/>
        </w:rPr>
        <w:t xml:space="preserve"> </w:t>
      </w:r>
      <w:r w:rsidRPr="00DA61E0">
        <w:rPr>
          <w:rFonts w:ascii="Verdana" w:eastAsia="Arial" w:hAnsi="Verdana" w:cs="Arial"/>
          <w:lang w:val="es-ES"/>
        </w:rPr>
        <w:t>actos,</w:t>
      </w:r>
      <w:r w:rsidRPr="00DA61E0">
        <w:rPr>
          <w:rFonts w:ascii="Verdana" w:eastAsia="Arial" w:hAnsi="Verdana" w:cs="Arial"/>
          <w:spacing w:val="-9"/>
          <w:lang w:val="es-ES"/>
        </w:rPr>
        <w:t xml:space="preserve"> </w:t>
      </w:r>
      <w:r w:rsidRPr="00DA61E0">
        <w:rPr>
          <w:rFonts w:ascii="Verdana" w:eastAsia="Arial" w:hAnsi="Verdana" w:cs="Arial"/>
          <w:lang w:val="es-ES"/>
        </w:rPr>
        <w:t>entre</w:t>
      </w:r>
      <w:r w:rsidRPr="00DA61E0">
        <w:rPr>
          <w:rFonts w:ascii="Verdana" w:eastAsia="Arial" w:hAnsi="Verdana" w:cs="Arial"/>
          <w:spacing w:val="-10"/>
          <w:lang w:val="es-ES"/>
        </w:rPr>
        <w:t xml:space="preserve"> </w:t>
      </w:r>
      <w:r w:rsidRPr="00DA61E0">
        <w:rPr>
          <w:rFonts w:ascii="Verdana" w:eastAsia="Arial" w:hAnsi="Verdana" w:cs="Arial"/>
          <w:lang w:val="es-ES"/>
        </w:rPr>
        <w:t>otras</w:t>
      </w:r>
      <w:r w:rsidRPr="00DA61E0">
        <w:rPr>
          <w:rFonts w:ascii="Verdana" w:eastAsia="Arial" w:hAnsi="Verdana" w:cs="Arial"/>
          <w:spacing w:val="-10"/>
          <w:lang w:val="es-ES"/>
        </w:rPr>
        <w:t xml:space="preserve"> </w:t>
      </w:r>
      <w:r w:rsidRPr="00DA61E0">
        <w:rPr>
          <w:rFonts w:ascii="Verdana" w:eastAsia="Arial" w:hAnsi="Verdana" w:cs="Arial"/>
          <w:lang w:val="es-ES"/>
        </w:rPr>
        <w:t>cosas,</w:t>
      </w:r>
      <w:r w:rsidRPr="00DA61E0">
        <w:rPr>
          <w:rFonts w:ascii="Verdana" w:eastAsia="Arial" w:hAnsi="Verdana" w:cs="Arial"/>
          <w:spacing w:val="-10"/>
          <w:lang w:val="es-ES"/>
        </w:rPr>
        <w:t xml:space="preserve"> </w:t>
      </w:r>
      <w:r w:rsidRPr="00DA61E0">
        <w:rPr>
          <w:rFonts w:ascii="Verdana" w:eastAsia="Arial" w:hAnsi="Verdana" w:cs="Arial"/>
          <w:lang w:val="es-ES"/>
        </w:rPr>
        <w:t>la</w:t>
      </w:r>
      <w:r w:rsidRPr="00DA61E0">
        <w:rPr>
          <w:rFonts w:ascii="Verdana" w:eastAsia="Arial" w:hAnsi="Verdana" w:cs="Arial"/>
          <w:spacing w:val="-9"/>
          <w:lang w:val="es-ES"/>
        </w:rPr>
        <w:t xml:space="preserve"> </w:t>
      </w:r>
      <w:r w:rsidRPr="00DA61E0">
        <w:rPr>
          <w:rFonts w:ascii="Verdana" w:eastAsia="Arial" w:hAnsi="Verdana" w:cs="Arial"/>
          <w:lang w:val="es-ES"/>
        </w:rPr>
        <w:t>presunción</w:t>
      </w:r>
      <w:r w:rsidRPr="00DA61E0">
        <w:rPr>
          <w:rFonts w:ascii="Verdana" w:eastAsia="Arial" w:hAnsi="Verdana" w:cs="Arial"/>
          <w:spacing w:val="-10"/>
          <w:lang w:val="es-ES"/>
        </w:rPr>
        <w:t xml:space="preserve"> </w:t>
      </w:r>
      <w:r w:rsidRPr="00DA61E0">
        <w:rPr>
          <w:rFonts w:ascii="Verdana" w:eastAsia="Arial" w:hAnsi="Verdana" w:cs="Arial"/>
          <w:lang w:val="es-ES"/>
        </w:rPr>
        <w:t xml:space="preserve">de legalidad y la regla de </w:t>
      </w:r>
      <w:r w:rsidRPr="00DA61E0">
        <w:rPr>
          <w:rFonts w:ascii="Verdana" w:eastAsia="Arial" w:hAnsi="Verdana" w:cs="Arial"/>
          <w:i/>
          <w:lang w:val="es-ES"/>
        </w:rPr>
        <w:t>inderogabilidad singular del reglamento</w:t>
      </w:r>
      <w:r w:rsidRPr="00DA61E0">
        <w:rPr>
          <w:rFonts w:ascii="Calibri" w:eastAsia="Calibri" w:hAnsi="Calibri" w:cs="Times New Roman"/>
          <w:vertAlign w:val="superscript"/>
        </w:rPr>
        <w:footnoteReference w:id="13"/>
      </w:r>
      <w:r w:rsidRPr="00DA61E0">
        <w:rPr>
          <w:rFonts w:ascii="Verdana" w:eastAsia="Arial" w:hAnsi="Verdana" w:cs="Arial"/>
          <w:lang w:val="es-ES"/>
        </w:rPr>
        <w:t>. En tal sentido, su</w:t>
      </w:r>
      <w:r w:rsidRPr="00DA61E0">
        <w:rPr>
          <w:rFonts w:ascii="Verdana" w:eastAsia="Arial" w:hAnsi="Verdana" w:cs="Arial"/>
          <w:spacing w:val="1"/>
          <w:lang w:val="es-ES"/>
        </w:rPr>
        <w:t xml:space="preserve"> </w:t>
      </w:r>
      <w:r w:rsidRPr="00DA61E0">
        <w:rPr>
          <w:rFonts w:ascii="Verdana" w:eastAsia="Arial" w:hAnsi="Verdana" w:cs="Arial"/>
          <w:lang w:val="es-ES"/>
        </w:rPr>
        <w:t>contenido vincula a la propia entidad que lo expidió y no puede desconocerlo a su</w:t>
      </w:r>
      <w:r w:rsidRPr="00DA61E0">
        <w:rPr>
          <w:rFonts w:ascii="Verdana" w:eastAsia="Arial" w:hAnsi="Verdana" w:cs="Arial"/>
          <w:spacing w:val="1"/>
          <w:lang w:val="es-ES"/>
        </w:rPr>
        <w:t xml:space="preserve"> </w:t>
      </w:r>
      <w:r w:rsidRPr="00DA61E0">
        <w:rPr>
          <w:rFonts w:ascii="Verdana" w:eastAsia="Arial" w:hAnsi="Verdana" w:cs="Arial"/>
          <w:spacing w:val="-1"/>
          <w:lang w:val="es-ES"/>
        </w:rPr>
        <w:t>capricho</w:t>
      </w:r>
      <w:r w:rsidRPr="00DA61E0">
        <w:rPr>
          <w:rFonts w:ascii="Verdana" w:eastAsia="Arial" w:hAnsi="Verdana" w:cs="Arial"/>
          <w:spacing w:val="-15"/>
          <w:lang w:val="es-ES"/>
        </w:rPr>
        <w:t xml:space="preserve"> </w:t>
      </w:r>
      <w:r w:rsidRPr="00DA61E0">
        <w:rPr>
          <w:rFonts w:ascii="Verdana" w:eastAsia="Arial" w:hAnsi="Verdana" w:cs="Arial"/>
          <w:spacing w:val="-1"/>
          <w:lang w:val="es-ES"/>
        </w:rPr>
        <w:t>en</w:t>
      </w:r>
      <w:r w:rsidRPr="00DA61E0">
        <w:rPr>
          <w:rFonts w:ascii="Verdana" w:eastAsia="Arial" w:hAnsi="Verdana" w:cs="Arial"/>
          <w:spacing w:val="-14"/>
          <w:lang w:val="es-ES"/>
        </w:rPr>
        <w:t xml:space="preserve"> </w:t>
      </w:r>
      <w:r w:rsidRPr="00DA61E0">
        <w:rPr>
          <w:rFonts w:ascii="Verdana" w:eastAsia="Arial" w:hAnsi="Verdana" w:cs="Arial"/>
          <w:spacing w:val="-1"/>
          <w:lang w:val="es-ES"/>
        </w:rPr>
        <w:t>casos</w:t>
      </w:r>
      <w:r w:rsidRPr="00DA61E0">
        <w:rPr>
          <w:rFonts w:ascii="Verdana" w:eastAsia="Arial" w:hAnsi="Verdana" w:cs="Arial"/>
          <w:spacing w:val="-14"/>
          <w:lang w:val="es-ES"/>
        </w:rPr>
        <w:t xml:space="preserve"> </w:t>
      </w:r>
      <w:r w:rsidRPr="00DA61E0">
        <w:rPr>
          <w:rFonts w:ascii="Verdana" w:eastAsia="Arial" w:hAnsi="Verdana" w:cs="Arial"/>
          <w:spacing w:val="-1"/>
          <w:lang w:val="es-ES"/>
        </w:rPr>
        <w:t>específicos;</w:t>
      </w:r>
      <w:r w:rsidRPr="00DA61E0">
        <w:rPr>
          <w:rFonts w:ascii="Verdana" w:eastAsia="Arial" w:hAnsi="Verdana" w:cs="Arial"/>
          <w:spacing w:val="-15"/>
          <w:lang w:val="es-ES"/>
        </w:rPr>
        <w:t xml:space="preserve"> </w:t>
      </w:r>
      <w:r w:rsidRPr="00DA61E0">
        <w:rPr>
          <w:rFonts w:ascii="Verdana" w:eastAsia="Arial" w:hAnsi="Verdana" w:cs="Arial"/>
          <w:spacing w:val="-1"/>
          <w:lang w:val="es-ES"/>
        </w:rPr>
        <w:t>sin</w:t>
      </w:r>
      <w:r w:rsidRPr="00DA61E0">
        <w:rPr>
          <w:rFonts w:ascii="Verdana" w:eastAsia="Arial" w:hAnsi="Verdana" w:cs="Arial"/>
          <w:spacing w:val="-14"/>
          <w:lang w:val="es-ES"/>
        </w:rPr>
        <w:t xml:space="preserve"> </w:t>
      </w:r>
      <w:r w:rsidRPr="00DA61E0">
        <w:rPr>
          <w:rFonts w:ascii="Verdana" w:eastAsia="Arial" w:hAnsi="Verdana" w:cs="Arial"/>
          <w:spacing w:val="-1"/>
          <w:lang w:val="es-ES"/>
        </w:rPr>
        <w:t>perjuicio</w:t>
      </w:r>
      <w:r w:rsidRPr="00DA61E0">
        <w:rPr>
          <w:rFonts w:ascii="Verdana" w:eastAsia="Arial" w:hAnsi="Verdana" w:cs="Arial"/>
          <w:spacing w:val="-14"/>
          <w:lang w:val="es-ES"/>
        </w:rPr>
        <w:t xml:space="preserve"> </w:t>
      </w:r>
      <w:r w:rsidRPr="00DA61E0">
        <w:rPr>
          <w:rFonts w:ascii="Verdana" w:eastAsia="Arial" w:hAnsi="Verdana" w:cs="Arial"/>
          <w:spacing w:val="-1"/>
          <w:lang w:val="es-ES"/>
        </w:rPr>
        <w:t>de</w:t>
      </w:r>
      <w:r w:rsidRPr="00DA61E0">
        <w:rPr>
          <w:rFonts w:ascii="Verdana" w:eastAsia="Arial" w:hAnsi="Verdana" w:cs="Arial"/>
          <w:spacing w:val="-15"/>
          <w:lang w:val="es-ES"/>
        </w:rPr>
        <w:t xml:space="preserve"> </w:t>
      </w:r>
      <w:r w:rsidRPr="00DA61E0">
        <w:rPr>
          <w:rFonts w:ascii="Verdana" w:eastAsia="Arial" w:hAnsi="Verdana" w:cs="Arial"/>
          <w:spacing w:val="-1"/>
          <w:lang w:val="es-ES"/>
        </w:rPr>
        <w:t>la</w:t>
      </w:r>
      <w:r w:rsidRPr="00DA61E0">
        <w:rPr>
          <w:rFonts w:ascii="Verdana" w:eastAsia="Arial" w:hAnsi="Verdana" w:cs="Arial"/>
          <w:spacing w:val="-14"/>
          <w:lang w:val="es-ES"/>
        </w:rPr>
        <w:t xml:space="preserve"> </w:t>
      </w:r>
      <w:r w:rsidRPr="00DA61E0">
        <w:rPr>
          <w:rFonts w:ascii="Verdana" w:eastAsia="Arial" w:hAnsi="Verdana" w:cs="Arial"/>
          <w:spacing w:val="-1"/>
          <w:lang w:val="es-ES"/>
        </w:rPr>
        <w:t>posibilidad</w:t>
      </w:r>
      <w:r w:rsidRPr="00DA61E0">
        <w:rPr>
          <w:rFonts w:ascii="Verdana" w:eastAsia="Arial" w:hAnsi="Verdana" w:cs="Arial"/>
          <w:spacing w:val="-14"/>
          <w:lang w:val="es-ES"/>
        </w:rPr>
        <w:t xml:space="preserve"> </w:t>
      </w:r>
      <w:r w:rsidRPr="00DA61E0">
        <w:rPr>
          <w:rFonts w:ascii="Verdana" w:eastAsia="Arial" w:hAnsi="Verdana" w:cs="Arial"/>
          <w:lang w:val="es-ES"/>
        </w:rPr>
        <w:t>de</w:t>
      </w:r>
      <w:r w:rsidRPr="00DA61E0">
        <w:rPr>
          <w:rFonts w:ascii="Verdana" w:eastAsia="Arial" w:hAnsi="Verdana" w:cs="Arial"/>
          <w:spacing w:val="-14"/>
          <w:lang w:val="es-ES"/>
        </w:rPr>
        <w:t xml:space="preserve"> </w:t>
      </w:r>
      <w:r w:rsidRPr="00DA61E0">
        <w:rPr>
          <w:rFonts w:ascii="Verdana" w:eastAsia="Arial" w:hAnsi="Verdana" w:cs="Arial"/>
          <w:lang w:val="es-ES"/>
        </w:rPr>
        <w:t>expedir</w:t>
      </w:r>
      <w:r w:rsidRPr="00DA61E0">
        <w:rPr>
          <w:rFonts w:ascii="Verdana" w:eastAsia="Arial" w:hAnsi="Verdana" w:cs="Arial"/>
          <w:spacing w:val="-15"/>
          <w:lang w:val="es-ES"/>
        </w:rPr>
        <w:t xml:space="preserve"> </w:t>
      </w:r>
      <w:r w:rsidRPr="00DA61E0">
        <w:rPr>
          <w:rFonts w:ascii="Verdana" w:eastAsia="Arial" w:hAnsi="Verdana" w:cs="Arial"/>
          <w:lang w:val="es-ES"/>
        </w:rPr>
        <w:t>un</w:t>
      </w:r>
      <w:r w:rsidRPr="00DA61E0">
        <w:rPr>
          <w:rFonts w:ascii="Verdana" w:eastAsia="Arial" w:hAnsi="Verdana" w:cs="Arial"/>
          <w:spacing w:val="-14"/>
          <w:lang w:val="es-ES"/>
        </w:rPr>
        <w:t xml:space="preserve"> </w:t>
      </w:r>
      <w:r w:rsidRPr="00DA61E0">
        <w:rPr>
          <w:rFonts w:ascii="Verdana" w:eastAsia="Arial" w:hAnsi="Verdana" w:cs="Arial"/>
          <w:lang w:val="es-ES"/>
        </w:rPr>
        <w:t>nuevo</w:t>
      </w:r>
      <w:r w:rsidRPr="00DA61E0">
        <w:rPr>
          <w:rFonts w:ascii="Verdana" w:eastAsia="Arial" w:hAnsi="Verdana" w:cs="Arial"/>
          <w:spacing w:val="-14"/>
          <w:lang w:val="es-ES"/>
        </w:rPr>
        <w:t xml:space="preserve"> </w:t>
      </w:r>
      <w:r w:rsidRPr="00DA61E0">
        <w:rPr>
          <w:rFonts w:ascii="Verdana" w:eastAsia="Arial" w:hAnsi="Verdana" w:cs="Arial"/>
          <w:lang w:val="es-ES"/>
        </w:rPr>
        <w:t>manual o</w:t>
      </w:r>
      <w:r w:rsidRPr="00DA61E0">
        <w:rPr>
          <w:rFonts w:ascii="Verdana" w:eastAsia="Arial" w:hAnsi="Verdana" w:cs="Arial"/>
          <w:spacing w:val="-2"/>
          <w:lang w:val="es-ES"/>
        </w:rPr>
        <w:t xml:space="preserve"> </w:t>
      </w:r>
      <w:r w:rsidRPr="00DA61E0">
        <w:rPr>
          <w:rFonts w:ascii="Verdana" w:eastAsia="Arial" w:hAnsi="Verdana" w:cs="Arial"/>
          <w:lang w:val="es-ES"/>
        </w:rPr>
        <w:t>de</w:t>
      </w:r>
      <w:r w:rsidRPr="00DA61E0">
        <w:rPr>
          <w:rFonts w:ascii="Verdana" w:eastAsia="Arial" w:hAnsi="Verdana" w:cs="Arial"/>
          <w:spacing w:val="-1"/>
          <w:lang w:val="es-ES"/>
        </w:rPr>
        <w:t xml:space="preserve"> </w:t>
      </w:r>
      <w:r w:rsidRPr="00DA61E0">
        <w:rPr>
          <w:rFonts w:ascii="Verdana" w:eastAsia="Arial" w:hAnsi="Verdana" w:cs="Arial"/>
          <w:lang w:val="es-ES"/>
        </w:rPr>
        <w:t>modificar</w:t>
      </w:r>
      <w:r w:rsidRPr="00DA61E0">
        <w:rPr>
          <w:rFonts w:ascii="Verdana" w:eastAsia="Arial" w:hAnsi="Verdana" w:cs="Arial"/>
          <w:spacing w:val="-1"/>
          <w:lang w:val="es-ES"/>
        </w:rPr>
        <w:t xml:space="preserve"> </w:t>
      </w:r>
      <w:r w:rsidRPr="00DA61E0">
        <w:rPr>
          <w:rFonts w:ascii="Verdana" w:eastAsia="Arial" w:hAnsi="Verdana" w:cs="Arial"/>
          <w:lang w:val="es-ES"/>
        </w:rPr>
        <w:t>el</w:t>
      </w:r>
      <w:r w:rsidRPr="00DA61E0">
        <w:rPr>
          <w:rFonts w:ascii="Verdana" w:eastAsia="Arial" w:hAnsi="Verdana" w:cs="Arial"/>
          <w:spacing w:val="-1"/>
          <w:lang w:val="es-ES"/>
        </w:rPr>
        <w:t xml:space="preserve"> </w:t>
      </w:r>
      <w:r w:rsidRPr="00DA61E0">
        <w:rPr>
          <w:rFonts w:ascii="Verdana" w:eastAsia="Arial" w:hAnsi="Verdana" w:cs="Arial"/>
          <w:lang w:val="es-ES"/>
        </w:rPr>
        <w:t>existente.</w:t>
      </w:r>
    </w:p>
    <w:p w14:paraId="099DCB9A" w14:textId="77777777" w:rsidR="00DA61E0" w:rsidRPr="00DA61E0" w:rsidRDefault="00DA61E0" w:rsidP="00DA61E0">
      <w:pPr>
        <w:spacing w:after="120" w:line="276" w:lineRule="auto"/>
        <w:ind w:firstLine="709"/>
        <w:jc w:val="both"/>
        <w:rPr>
          <w:rFonts w:ascii="Verdana" w:eastAsia="Calibri" w:hAnsi="Verdana" w:cs="Arial"/>
          <w:color w:val="000000" w:themeColor="text1"/>
          <w:lang w:val="es-ES"/>
        </w:rPr>
      </w:pPr>
      <w:r w:rsidRPr="00DA61E0">
        <w:rPr>
          <w:rFonts w:ascii="Verdana" w:eastAsia="Calibri" w:hAnsi="Verdana" w:cs="Arial"/>
          <w:color w:val="000000" w:themeColor="text1"/>
          <w:lang w:val="es-ES"/>
        </w:rPr>
        <w:lastRenderedPageBreak/>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05987737" w14:textId="77777777" w:rsidR="00DA61E0" w:rsidRPr="00DA61E0" w:rsidRDefault="00DA61E0" w:rsidP="00DA61E0">
      <w:pPr>
        <w:spacing w:after="120" w:line="276" w:lineRule="auto"/>
        <w:ind w:firstLine="709"/>
        <w:jc w:val="both"/>
        <w:rPr>
          <w:rFonts w:ascii="Verdana" w:eastAsia="Calibri" w:hAnsi="Verdana" w:cs="Arial"/>
          <w:color w:val="000000" w:themeColor="text1"/>
          <w:lang w:val="es-ES"/>
        </w:rPr>
      </w:pPr>
      <w:r w:rsidRPr="00DA61E0">
        <w:rPr>
          <w:rFonts w:ascii="Verdana" w:eastAsia="Verdana" w:hAnsi="Verdana" w:cs="Verdana"/>
          <w:spacing w:val="-2"/>
          <w:lang w:val="es-ES"/>
        </w:rPr>
        <w:t>Sobre</w:t>
      </w:r>
      <w:r w:rsidRPr="00DA61E0">
        <w:rPr>
          <w:rFonts w:ascii="Verdana" w:eastAsia="Verdana" w:hAnsi="Verdana" w:cs="Verdana"/>
          <w:spacing w:val="-10"/>
          <w:lang w:val="es-ES"/>
        </w:rPr>
        <w:t xml:space="preserve"> </w:t>
      </w:r>
      <w:r w:rsidRPr="00DA61E0">
        <w:rPr>
          <w:rFonts w:ascii="Verdana" w:eastAsia="Verdana" w:hAnsi="Verdana" w:cs="Verdana"/>
          <w:spacing w:val="-2"/>
          <w:lang w:val="es-ES"/>
        </w:rPr>
        <w:t>este</w:t>
      </w:r>
      <w:r w:rsidRPr="00DA61E0">
        <w:rPr>
          <w:rFonts w:ascii="Verdana" w:eastAsia="Verdana" w:hAnsi="Verdana" w:cs="Verdana"/>
          <w:spacing w:val="-11"/>
          <w:lang w:val="es-ES"/>
        </w:rPr>
        <w:t xml:space="preserve"> </w:t>
      </w:r>
      <w:r w:rsidRPr="00DA61E0">
        <w:rPr>
          <w:rFonts w:ascii="Verdana" w:eastAsia="Verdana" w:hAnsi="Verdana" w:cs="Verdana"/>
          <w:spacing w:val="-2"/>
          <w:lang w:val="es-ES"/>
        </w:rPr>
        <w:t>punto</w:t>
      </w:r>
      <w:r w:rsidRPr="00DA61E0">
        <w:rPr>
          <w:rFonts w:ascii="Verdana" w:eastAsia="Verdana" w:hAnsi="Verdana" w:cs="Verdana"/>
          <w:spacing w:val="-11"/>
          <w:lang w:val="es-ES"/>
        </w:rPr>
        <w:t xml:space="preserve"> </w:t>
      </w:r>
      <w:r w:rsidRPr="00DA61E0">
        <w:rPr>
          <w:rFonts w:ascii="Verdana" w:eastAsia="Verdana" w:hAnsi="Verdana" w:cs="Verdana"/>
          <w:spacing w:val="-2"/>
          <w:lang w:val="es-ES"/>
        </w:rPr>
        <w:t>particular</w:t>
      </w:r>
      <w:r w:rsidRPr="00DA61E0">
        <w:rPr>
          <w:rFonts w:ascii="Verdana" w:eastAsia="Verdana" w:hAnsi="Verdana" w:cs="Verdana"/>
          <w:spacing w:val="-8"/>
          <w:lang w:val="es-ES"/>
        </w:rPr>
        <w:t xml:space="preserve"> </w:t>
      </w:r>
      <w:r w:rsidRPr="00DA61E0">
        <w:rPr>
          <w:rFonts w:ascii="Verdana" w:eastAsia="Verdana" w:hAnsi="Verdana" w:cs="Verdana"/>
          <w:spacing w:val="-2"/>
          <w:lang w:val="es-ES"/>
        </w:rPr>
        <w:t>es</w:t>
      </w:r>
      <w:r w:rsidRPr="00DA61E0">
        <w:rPr>
          <w:rFonts w:ascii="Verdana" w:eastAsia="Verdana" w:hAnsi="Verdana" w:cs="Verdana"/>
          <w:spacing w:val="-11"/>
          <w:lang w:val="es-ES"/>
        </w:rPr>
        <w:t xml:space="preserve"> </w:t>
      </w:r>
      <w:r w:rsidRPr="00DA61E0">
        <w:rPr>
          <w:rFonts w:ascii="Verdana" w:eastAsia="Verdana" w:hAnsi="Verdana" w:cs="Verdana"/>
          <w:spacing w:val="-2"/>
          <w:lang w:val="es-ES"/>
        </w:rPr>
        <w:t>preciso</w:t>
      </w:r>
      <w:r w:rsidRPr="00DA61E0">
        <w:rPr>
          <w:rFonts w:ascii="Verdana" w:eastAsia="Verdana" w:hAnsi="Verdana" w:cs="Verdana"/>
          <w:spacing w:val="-8"/>
          <w:lang w:val="es-ES"/>
        </w:rPr>
        <w:t xml:space="preserve"> </w:t>
      </w:r>
      <w:r w:rsidRPr="00DA61E0">
        <w:rPr>
          <w:rFonts w:ascii="Verdana" w:eastAsia="Verdana" w:hAnsi="Verdana" w:cs="Verdana"/>
          <w:spacing w:val="-2"/>
          <w:lang w:val="es-ES"/>
        </w:rPr>
        <w:t>destacar</w:t>
      </w:r>
      <w:r w:rsidRPr="00DA61E0">
        <w:rPr>
          <w:rFonts w:ascii="Verdana" w:eastAsia="Verdana" w:hAnsi="Verdana" w:cs="Verdana"/>
          <w:spacing w:val="-10"/>
          <w:lang w:val="es-ES"/>
        </w:rPr>
        <w:t xml:space="preserve"> </w:t>
      </w:r>
      <w:r w:rsidRPr="00DA61E0">
        <w:rPr>
          <w:rFonts w:ascii="Verdana" w:eastAsia="Verdana" w:hAnsi="Verdana" w:cs="Verdana"/>
          <w:spacing w:val="-2"/>
          <w:lang w:val="es-ES"/>
        </w:rPr>
        <w:t>que</w:t>
      </w:r>
      <w:r w:rsidRPr="00DA61E0">
        <w:rPr>
          <w:rFonts w:ascii="Verdana" w:eastAsia="Verdana" w:hAnsi="Verdana" w:cs="Verdana"/>
          <w:spacing w:val="-11"/>
          <w:lang w:val="es-ES"/>
        </w:rPr>
        <w:t xml:space="preserve"> </w:t>
      </w:r>
      <w:r w:rsidRPr="00DA61E0">
        <w:rPr>
          <w:rFonts w:ascii="Verdana" w:eastAsia="Verdana" w:hAnsi="Verdana" w:cs="Verdana"/>
          <w:spacing w:val="-2"/>
          <w:lang w:val="es-ES"/>
        </w:rPr>
        <w:t>las Empresas Sociales del Estado como</w:t>
      </w:r>
      <w:r w:rsidRPr="00DA61E0">
        <w:rPr>
          <w:rFonts w:ascii="Verdana" w:eastAsia="Verdana" w:hAnsi="Verdana" w:cs="Verdana"/>
          <w:spacing w:val="-11"/>
          <w:lang w:val="es-ES"/>
        </w:rPr>
        <w:t xml:space="preserve"> </w:t>
      </w:r>
      <w:r w:rsidRPr="00DA61E0">
        <w:rPr>
          <w:rFonts w:ascii="Verdana" w:eastAsia="Verdana" w:hAnsi="Verdana" w:cs="Verdana"/>
          <w:spacing w:val="-2"/>
          <w:lang w:val="es-ES"/>
        </w:rPr>
        <w:t>Entidades</w:t>
      </w:r>
      <w:r w:rsidRPr="00DA61E0">
        <w:rPr>
          <w:rFonts w:ascii="Verdana" w:eastAsia="Verdana" w:hAnsi="Verdana" w:cs="Verdana"/>
          <w:spacing w:val="-10"/>
          <w:lang w:val="es-ES"/>
        </w:rPr>
        <w:t xml:space="preserve"> </w:t>
      </w:r>
      <w:r w:rsidRPr="00DA61E0">
        <w:rPr>
          <w:rFonts w:ascii="Verdana" w:eastAsia="Verdana" w:hAnsi="Verdana" w:cs="Verdana"/>
          <w:spacing w:val="-2"/>
          <w:lang w:val="es-ES"/>
        </w:rPr>
        <w:t xml:space="preserve">Estatales </w:t>
      </w:r>
      <w:r w:rsidRPr="00DA61E0">
        <w:rPr>
          <w:rFonts w:ascii="Verdana" w:eastAsia="Verdana" w:hAnsi="Verdana" w:cs="Verdana"/>
          <w:lang w:val="es-ES"/>
        </w:rPr>
        <w:t>sometidas</w:t>
      </w:r>
      <w:r w:rsidRPr="00DA61E0">
        <w:rPr>
          <w:rFonts w:ascii="Verdana" w:eastAsia="Verdana" w:hAnsi="Verdana" w:cs="Verdana"/>
          <w:spacing w:val="-15"/>
          <w:lang w:val="es-ES"/>
        </w:rPr>
        <w:t xml:space="preserve"> </w:t>
      </w:r>
      <w:r w:rsidRPr="00DA61E0">
        <w:rPr>
          <w:rFonts w:ascii="Verdana" w:eastAsia="Verdana" w:hAnsi="Verdana" w:cs="Verdana"/>
          <w:lang w:val="es-ES"/>
        </w:rPr>
        <w:t>a</w:t>
      </w:r>
      <w:r w:rsidRPr="00DA61E0">
        <w:rPr>
          <w:rFonts w:ascii="Verdana" w:eastAsia="Verdana" w:hAnsi="Verdana" w:cs="Verdana"/>
          <w:spacing w:val="-17"/>
          <w:lang w:val="es-ES"/>
        </w:rPr>
        <w:t xml:space="preserve"> </w:t>
      </w:r>
      <w:r w:rsidRPr="00DA61E0">
        <w:rPr>
          <w:rFonts w:ascii="Verdana" w:eastAsia="Verdana" w:hAnsi="Verdana" w:cs="Verdana"/>
          <w:lang w:val="es-ES"/>
        </w:rPr>
        <w:t>regímenes</w:t>
      </w:r>
      <w:r w:rsidRPr="00DA61E0">
        <w:rPr>
          <w:rFonts w:ascii="Verdana" w:eastAsia="Verdana" w:hAnsi="Verdana" w:cs="Verdana"/>
          <w:spacing w:val="-15"/>
          <w:lang w:val="es-ES"/>
        </w:rPr>
        <w:t xml:space="preserve"> </w:t>
      </w:r>
      <w:r w:rsidRPr="00DA61E0">
        <w:rPr>
          <w:rFonts w:ascii="Verdana" w:eastAsia="Verdana" w:hAnsi="Verdana" w:cs="Verdana"/>
          <w:lang w:val="es-ES"/>
        </w:rPr>
        <w:t>especiales</w:t>
      </w:r>
      <w:r w:rsidRPr="00DA61E0">
        <w:rPr>
          <w:rFonts w:ascii="Verdana" w:eastAsia="Verdana" w:hAnsi="Verdana" w:cs="Verdana"/>
          <w:spacing w:val="-14"/>
          <w:lang w:val="es-ES"/>
        </w:rPr>
        <w:t xml:space="preserve"> </w:t>
      </w:r>
      <w:r w:rsidRPr="00DA61E0">
        <w:rPr>
          <w:rFonts w:ascii="Verdana" w:eastAsia="Verdana" w:hAnsi="Verdana" w:cs="Verdana"/>
          <w:lang w:val="es-ES"/>
        </w:rPr>
        <w:t>de</w:t>
      </w:r>
      <w:r w:rsidRPr="00DA61E0">
        <w:rPr>
          <w:rFonts w:ascii="Verdana" w:eastAsia="Verdana" w:hAnsi="Verdana" w:cs="Verdana"/>
          <w:spacing w:val="-17"/>
          <w:lang w:val="es-ES"/>
        </w:rPr>
        <w:t xml:space="preserve"> </w:t>
      </w:r>
      <w:r w:rsidRPr="00DA61E0">
        <w:rPr>
          <w:rFonts w:ascii="Verdana" w:eastAsia="Verdana" w:hAnsi="Verdana" w:cs="Verdana"/>
          <w:lang w:val="es-ES"/>
        </w:rPr>
        <w:t>derecho</w:t>
      </w:r>
      <w:r w:rsidRPr="00DA61E0">
        <w:rPr>
          <w:rFonts w:ascii="Verdana" w:eastAsia="Verdana" w:hAnsi="Verdana" w:cs="Verdana"/>
          <w:spacing w:val="-14"/>
          <w:lang w:val="es-ES"/>
        </w:rPr>
        <w:t xml:space="preserve"> </w:t>
      </w:r>
      <w:r w:rsidRPr="00DA61E0">
        <w:rPr>
          <w:rFonts w:ascii="Verdana" w:eastAsia="Verdana" w:hAnsi="Verdana" w:cs="Verdana"/>
          <w:lang w:val="es-ES"/>
        </w:rPr>
        <w:t>privado</w:t>
      </w:r>
      <w:r w:rsidRPr="00DA61E0">
        <w:rPr>
          <w:rFonts w:ascii="Verdana" w:eastAsia="Verdana" w:hAnsi="Verdana" w:cs="Verdana"/>
          <w:spacing w:val="-15"/>
          <w:lang w:val="es-ES"/>
        </w:rPr>
        <w:t xml:space="preserve"> </w:t>
      </w:r>
      <w:r w:rsidRPr="00DA61E0">
        <w:rPr>
          <w:rFonts w:ascii="Verdana" w:eastAsia="Verdana" w:hAnsi="Verdana" w:cs="Verdana"/>
          <w:lang w:val="es-ES"/>
        </w:rPr>
        <w:t>tienen</w:t>
      </w:r>
      <w:r w:rsidRPr="00DA61E0">
        <w:rPr>
          <w:rFonts w:ascii="Verdana" w:eastAsia="Verdana" w:hAnsi="Verdana" w:cs="Verdana"/>
          <w:spacing w:val="-16"/>
          <w:lang w:val="es-ES"/>
        </w:rPr>
        <w:t xml:space="preserve"> </w:t>
      </w:r>
      <w:r w:rsidRPr="00DA61E0">
        <w:rPr>
          <w:rFonts w:ascii="Verdana" w:eastAsia="Verdana" w:hAnsi="Verdana" w:cs="Verdana"/>
          <w:lang w:val="es-ES"/>
        </w:rPr>
        <w:t>una</w:t>
      </w:r>
      <w:r w:rsidRPr="00DA61E0">
        <w:rPr>
          <w:rFonts w:ascii="Verdana" w:eastAsia="Verdana" w:hAnsi="Verdana" w:cs="Verdana"/>
          <w:spacing w:val="-17"/>
          <w:lang w:val="es-ES"/>
        </w:rPr>
        <w:t xml:space="preserve"> </w:t>
      </w:r>
      <w:r w:rsidRPr="00DA61E0">
        <w:rPr>
          <w:rFonts w:ascii="Verdana" w:eastAsia="Verdana" w:hAnsi="Verdana" w:cs="Verdana"/>
          <w:lang w:val="es-ES"/>
        </w:rPr>
        <w:t>amplia</w:t>
      </w:r>
      <w:r w:rsidRPr="00DA61E0">
        <w:rPr>
          <w:rFonts w:ascii="Verdana" w:eastAsia="Verdana" w:hAnsi="Verdana" w:cs="Verdana"/>
          <w:spacing w:val="-16"/>
          <w:lang w:val="es-ES"/>
        </w:rPr>
        <w:t xml:space="preserve"> </w:t>
      </w:r>
      <w:r w:rsidRPr="00DA61E0">
        <w:rPr>
          <w:rFonts w:ascii="Verdana" w:eastAsia="Verdana" w:hAnsi="Verdana" w:cs="Verdana"/>
          <w:lang w:val="es-ES"/>
        </w:rPr>
        <w:t>libertad</w:t>
      </w:r>
      <w:r w:rsidRPr="00DA61E0">
        <w:rPr>
          <w:rFonts w:ascii="Verdana" w:eastAsia="Calibri" w:hAnsi="Verdana" w:cs="Times New Roman"/>
          <w:lang w:val="es-ES"/>
        </w:rPr>
        <w:t xml:space="preserve"> d</w:t>
      </w:r>
      <w:r w:rsidRPr="00DA61E0">
        <w:rPr>
          <w:rFonts w:ascii="Verdana" w:eastAsia="Verdana" w:hAnsi="Verdana" w:cs="Verdana"/>
          <w:lang w:val="es-ES"/>
        </w:rPr>
        <w:t>e configuración del contenido del manual de contratación y el nivel de detalle, salvo aquellas materias que sean de reserva legal. Esta libertad se deriva del principio de autonomía de la voluntad reconocida a estas entidades, que les permite establecer la manera en que adelantarán sus procesos de contratación</w:t>
      </w:r>
      <w:r w:rsidRPr="00DA61E0">
        <w:rPr>
          <w:rFonts w:ascii="Calibri" w:eastAsia="Calibri" w:hAnsi="Calibri" w:cs="Times New Roman"/>
          <w:vertAlign w:val="superscript"/>
        </w:rPr>
        <w:footnoteReference w:id="14"/>
      </w:r>
      <w:r w:rsidRPr="00DA61E0">
        <w:rPr>
          <w:rFonts w:ascii="Verdana" w:eastAsia="Verdana" w:hAnsi="Verdana" w:cs="Verdana"/>
          <w:lang w:val="es-ES"/>
        </w:rPr>
        <w:t>. Ahora bien, dicha libertad es similar a la reconocida a los particulares por el</w:t>
      </w:r>
      <w:r w:rsidRPr="00DA61E0">
        <w:rPr>
          <w:rFonts w:ascii="Verdana" w:eastAsia="Verdana" w:hAnsi="Verdana" w:cs="Verdana"/>
          <w:spacing w:val="-1"/>
          <w:lang w:val="es-ES"/>
        </w:rPr>
        <w:t xml:space="preserve"> </w:t>
      </w:r>
      <w:r w:rsidRPr="00DA61E0">
        <w:rPr>
          <w:rFonts w:ascii="Verdana" w:eastAsia="Verdana" w:hAnsi="Verdana" w:cs="Verdana"/>
          <w:lang w:val="es-ES"/>
        </w:rPr>
        <w:t>derecho privado, pero no</w:t>
      </w:r>
      <w:r w:rsidRPr="00DA61E0">
        <w:rPr>
          <w:rFonts w:ascii="Verdana" w:eastAsia="Verdana" w:hAnsi="Verdana" w:cs="Verdana"/>
          <w:spacing w:val="-1"/>
          <w:lang w:val="es-ES"/>
        </w:rPr>
        <w:t xml:space="preserve"> </w:t>
      </w:r>
      <w:r w:rsidRPr="00DA61E0">
        <w:rPr>
          <w:rFonts w:ascii="Verdana" w:eastAsia="Verdana" w:hAnsi="Verdana" w:cs="Verdana"/>
          <w:lang w:val="es-ES"/>
        </w:rPr>
        <w:t>es</w:t>
      </w:r>
      <w:r w:rsidRPr="00DA61E0">
        <w:rPr>
          <w:rFonts w:ascii="Verdana" w:eastAsia="Verdana" w:hAnsi="Verdana" w:cs="Verdana"/>
          <w:spacing w:val="-1"/>
          <w:lang w:val="es-ES"/>
        </w:rPr>
        <w:t xml:space="preserve"> </w:t>
      </w:r>
      <w:r w:rsidRPr="00DA61E0">
        <w:rPr>
          <w:rFonts w:ascii="Verdana" w:eastAsia="Verdana" w:hAnsi="Verdana" w:cs="Verdana"/>
          <w:lang w:val="es-ES"/>
        </w:rPr>
        <w:t>idéntica a</w:t>
      </w:r>
      <w:r w:rsidRPr="00DA61E0">
        <w:rPr>
          <w:rFonts w:ascii="Verdana" w:eastAsia="Verdana" w:hAnsi="Verdana" w:cs="Verdana"/>
          <w:spacing w:val="-1"/>
          <w:lang w:val="es-ES"/>
        </w:rPr>
        <w:t xml:space="preserve"> </w:t>
      </w:r>
      <w:r w:rsidRPr="00DA61E0">
        <w:rPr>
          <w:rFonts w:ascii="Verdana" w:eastAsia="Verdana" w:hAnsi="Verdana" w:cs="Verdana"/>
          <w:lang w:val="es-ES"/>
        </w:rPr>
        <w:t>aquella, en</w:t>
      </w:r>
      <w:r w:rsidRPr="00DA61E0">
        <w:rPr>
          <w:rFonts w:ascii="Verdana" w:eastAsia="Verdana" w:hAnsi="Verdana" w:cs="Verdana"/>
          <w:spacing w:val="-1"/>
          <w:lang w:val="es-ES"/>
        </w:rPr>
        <w:t xml:space="preserve"> </w:t>
      </w:r>
      <w:r w:rsidRPr="00DA61E0">
        <w:rPr>
          <w:rFonts w:ascii="Verdana" w:eastAsia="Verdana" w:hAnsi="Verdana" w:cs="Verdana"/>
          <w:lang w:val="es-ES"/>
        </w:rPr>
        <w:t>la</w:t>
      </w:r>
      <w:r w:rsidRPr="00DA61E0">
        <w:rPr>
          <w:rFonts w:ascii="Verdana" w:eastAsia="Verdana" w:hAnsi="Verdana" w:cs="Verdana"/>
          <w:spacing w:val="-1"/>
          <w:lang w:val="es-ES"/>
        </w:rPr>
        <w:t xml:space="preserve"> </w:t>
      </w:r>
      <w:r w:rsidRPr="00DA61E0">
        <w:rPr>
          <w:rFonts w:ascii="Verdana" w:eastAsia="Verdana" w:hAnsi="Verdana" w:cs="Verdana"/>
          <w:lang w:val="es-ES"/>
        </w:rPr>
        <w:t>medida en que encuentra importantes limitantes, ya sea por contenidos que son derivados de la reserva legal o por exigencia del cumplimiento de deberes y reglas establecidos por el ordenamiento jurídico.</w:t>
      </w:r>
      <w:r w:rsidRPr="00DA61E0">
        <w:rPr>
          <w:rFonts w:ascii="Verdana" w:eastAsia="Calibri" w:hAnsi="Verdana" w:cs="Times New Roman"/>
          <w:lang w:val="es-ES"/>
        </w:rPr>
        <w:t xml:space="preserve"> </w:t>
      </w:r>
    </w:p>
    <w:p w14:paraId="45222929" w14:textId="77777777" w:rsidR="00DA61E0" w:rsidRPr="00DA61E0" w:rsidRDefault="00DA61E0" w:rsidP="00DA61E0">
      <w:pPr>
        <w:spacing w:after="120" w:line="276" w:lineRule="auto"/>
        <w:ind w:firstLine="709"/>
        <w:jc w:val="both"/>
        <w:rPr>
          <w:rFonts w:ascii="Verdana" w:eastAsia="Verdana" w:hAnsi="Verdana" w:cs="Verdana"/>
        </w:rPr>
      </w:pPr>
      <w:r w:rsidRPr="00DA61E0">
        <w:rPr>
          <w:rFonts w:ascii="Verdana" w:eastAsia="Verdana" w:hAnsi="Verdana" w:cs="Verdana"/>
          <w:lang w:val="es-ES"/>
        </w:rPr>
        <w:t>Esta</w:t>
      </w:r>
      <w:r w:rsidRPr="00DA61E0">
        <w:rPr>
          <w:rFonts w:ascii="Verdana" w:eastAsia="Verdana" w:hAnsi="Verdana" w:cs="Verdana"/>
          <w:spacing w:val="-10"/>
          <w:lang w:val="es-ES"/>
        </w:rPr>
        <w:t xml:space="preserve"> </w:t>
      </w:r>
      <w:r w:rsidRPr="00DA61E0">
        <w:rPr>
          <w:rFonts w:ascii="Verdana" w:eastAsia="Verdana" w:hAnsi="Verdana" w:cs="Verdana"/>
          <w:lang w:val="es-ES"/>
        </w:rPr>
        <w:t>Agencia</w:t>
      </w:r>
      <w:r w:rsidRPr="00DA61E0">
        <w:rPr>
          <w:rFonts w:ascii="Verdana" w:eastAsia="Verdana" w:hAnsi="Verdana" w:cs="Verdana"/>
          <w:spacing w:val="-9"/>
          <w:lang w:val="es-ES"/>
        </w:rPr>
        <w:t xml:space="preserve"> </w:t>
      </w:r>
      <w:r w:rsidRPr="00DA61E0">
        <w:rPr>
          <w:rFonts w:ascii="Verdana" w:eastAsia="Verdana" w:hAnsi="Verdana" w:cs="Verdana"/>
          <w:lang w:val="es-ES"/>
        </w:rPr>
        <w:t>Nacional</w:t>
      </w:r>
      <w:r w:rsidRPr="00DA61E0">
        <w:rPr>
          <w:rFonts w:ascii="Verdana" w:eastAsia="Verdana" w:hAnsi="Verdana" w:cs="Verdana"/>
          <w:spacing w:val="-8"/>
          <w:lang w:val="es-ES"/>
        </w:rPr>
        <w:t xml:space="preserve"> </w:t>
      </w:r>
      <w:r w:rsidRPr="00DA61E0">
        <w:rPr>
          <w:rFonts w:ascii="Verdana" w:eastAsia="Verdana" w:hAnsi="Verdana" w:cs="Verdana"/>
          <w:lang w:val="es-ES"/>
        </w:rPr>
        <w:t>de</w:t>
      </w:r>
      <w:r w:rsidRPr="00DA61E0">
        <w:rPr>
          <w:rFonts w:ascii="Verdana" w:eastAsia="Verdana" w:hAnsi="Verdana" w:cs="Verdana"/>
          <w:spacing w:val="-10"/>
          <w:lang w:val="es-ES"/>
        </w:rPr>
        <w:t xml:space="preserve"> </w:t>
      </w:r>
      <w:r w:rsidRPr="00DA61E0">
        <w:rPr>
          <w:rFonts w:ascii="Verdana" w:eastAsia="Verdana" w:hAnsi="Verdana" w:cs="Verdana"/>
          <w:lang w:val="es-ES"/>
        </w:rPr>
        <w:t>Contratación</w:t>
      </w:r>
      <w:r w:rsidRPr="00DA61E0">
        <w:rPr>
          <w:rFonts w:ascii="Verdana" w:eastAsia="Verdana" w:hAnsi="Verdana" w:cs="Verdana"/>
          <w:spacing w:val="-7"/>
          <w:lang w:val="es-ES"/>
        </w:rPr>
        <w:t xml:space="preserve"> </w:t>
      </w:r>
      <w:r w:rsidRPr="00DA61E0">
        <w:rPr>
          <w:rFonts w:ascii="Verdana" w:eastAsia="Verdana" w:hAnsi="Verdana" w:cs="Verdana"/>
          <w:lang w:val="es-ES"/>
        </w:rPr>
        <w:t>Publica</w:t>
      </w:r>
      <w:r w:rsidRPr="00DA61E0">
        <w:rPr>
          <w:rFonts w:ascii="Verdana" w:eastAsia="Verdana" w:hAnsi="Verdana" w:cs="Verdana"/>
          <w:spacing w:val="-9"/>
          <w:lang w:val="es-ES"/>
        </w:rPr>
        <w:t xml:space="preserve"> </w:t>
      </w:r>
      <w:r w:rsidRPr="00DA61E0">
        <w:rPr>
          <w:rFonts w:ascii="Verdana" w:eastAsia="Verdana" w:hAnsi="Verdana" w:cs="Verdana"/>
          <w:lang w:val="es-ES"/>
        </w:rPr>
        <w:t>Colombia</w:t>
      </w:r>
      <w:r w:rsidRPr="00DA61E0">
        <w:rPr>
          <w:rFonts w:ascii="Verdana" w:eastAsia="Verdana" w:hAnsi="Verdana" w:cs="Verdana"/>
          <w:spacing w:val="-9"/>
          <w:lang w:val="es-ES"/>
        </w:rPr>
        <w:t xml:space="preserve"> </w:t>
      </w:r>
      <w:r w:rsidRPr="00DA61E0">
        <w:rPr>
          <w:rFonts w:ascii="Verdana" w:eastAsia="Verdana" w:hAnsi="Verdana" w:cs="Verdana"/>
          <w:lang w:val="es-ES"/>
        </w:rPr>
        <w:t>Compra</w:t>
      </w:r>
      <w:r w:rsidRPr="00DA61E0">
        <w:rPr>
          <w:rFonts w:ascii="Verdana" w:eastAsia="Verdana" w:hAnsi="Verdana" w:cs="Verdana"/>
          <w:spacing w:val="-9"/>
          <w:lang w:val="es-ES"/>
        </w:rPr>
        <w:t xml:space="preserve"> </w:t>
      </w:r>
      <w:r w:rsidRPr="00DA61E0">
        <w:rPr>
          <w:rFonts w:ascii="Verdana" w:eastAsia="Verdana" w:hAnsi="Verdana" w:cs="Verdana"/>
          <w:lang w:val="es-ES"/>
        </w:rPr>
        <w:t xml:space="preserve">Eficiente, en la “Guía para la gestión contractual de las entidades estatales con régimen especial”, se precisó que a pesar que las Entidades Estatales </w:t>
      </w:r>
      <w:r w:rsidRPr="00DA61E0">
        <w:rPr>
          <w:rFonts w:ascii="Verdana" w:eastAsia="Verdana" w:hAnsi="Verdana" w:cs="Verdana"/>
          <w:bCs/>
        </w:rPr>
        <w:t>con régimen especial de contratación desarrollan su gestión contractual conforme a lo previsto en sus normas de creación, en sus manuales de contratación y en las disposiciones del derecho privado, tal como se señaló en los numerales anteriores, estas deberán observar obligatoriamente aquellas disposiciones generales del Sistema de Compra y Contratación Pública que les resulten aplicables de manera transversal</w:t>
      </w:r>
      <w:r w:rsidRPr="00DA61E0">
        <w:rPr>
          <w:rFonts w:ascii="Verdana" w:eastAsia="Verdana" w:hAnsi="Verdana" w:cs="Verdana"/>
        </w:rPr>
        <w:t xml:space="preserve">, tales como: a) los principios de la función administrativa; b) los principios de la gestión fiscal; c) el régimen de inhabilidades e incompatibilidades; d) el uso del SECOP II o la plataforma que haga sus veces; e) la promoción y acceso de las Mipymes; e) sujeción a las restricciones de la Ley 996 de 2005 – Ley de Garantías Electorales- en lo aplicable; f) el análisis del sector, el cual se constituye en el instrumento idóneo para que se deje constancia del análisis realizado por las entidades públicas, indistintamente de su régimen de contratación, respecto de la promoción a emprendimientos y empresas de mujeres en el sistema de compras públicas y </w:t>
      </w:r>
      <w:r w:rsidRPr="00DA61E0">
        <w:rPr>
          <w:rFonts w:ascii="Verdana" w:eastAsia="Verdana" w:hAnsi="Verdana" w:cs="Verdana"/>
        </w:rPr>
        <w:lastRenderedPageBreak/>
        <w:t xml:space="preserve">Mipymes, así como criterios sociales y ambientales y protección a la industria nacional; g) elaboración y publicación del Plan Anual de Adquisiciones; h) uso de los documentos tipo, teniendo en cuenta lo expresado previamente; i) el uso del Clasificador de Bienes y Servicios de las Naciones Unidas –UNSPSC- siendo un sistema de codificación internacional que permite clasificar de manera estandarizada bienes y servicios mediante una estructura jerárquica, el cual se utiliza en el SECOP, el Plan Anual de Adquisiciones, los documentos del proceso de contratación y el Registro Único de Proponentes; j) observancia y aplicación de los acuerdos comerciales, donde las Entidades Estatales, incluidas aquellas con régimen especial de contratación, deben determinar en la etapa de planeación si a cada proceso de contratación le son aplicables los Acuerdos Comerciales, de conformidad con el Decreto 1082 de 2015, y en caso afirmativo, cumplir las obligaciones que estos establecen. Para tal fin, Colombia Compra Eficiente dispone de un manual orientador, sin perjuicio de la obligación de cada entidad de revisar el texto de los Acuerdos Comerciales y sus anexos aplicables; k) aplicación de los factores de desempate, que implica que en caso de empate en el puntaje total entre dos o más ofertas en procesos de contratación financiados con recursos públicos, incluidos aquellos adelantados bajo regímenes especiales o por patrimonios autónomos constituidos por Entidades Estatales, la entidad contratante deberá aplicar de manera sucesiva y excluyente las reglas de desempate previstas en el artículo 35 de la Ley 2069 de 2020, respetando en todo caso las obligaciones derivadas de los Acuerdos Comerciales vigentes, en especial, en lo relacionado con el principio de trato nacional; l) los mecanismos de agregación de demanda, entre otros aspectos. </w:t>
      </w:r>
    </w:p>
    <w:p w14:paraId="4A91DBDE" w14:textId="77777777" w:rsidR="00DA61E0" w:rsidRPr="00DA61E0" w:rsidRDefault="00DA61E0" w:rsidP="00DA61E0">
      <w:pPr>
        <w:spacing w:after="120" w:line="276" w:lineRule="auto"/>
        <w:ind w:firstLine="709"/>
        <w:jc w:val="both"/>
        <w:rPr>
          <w:rFonts w:ascii="Verdana" w:eastAsia="Verdana" w:hAnsi="Verdana" w:cs="Verdana"/>
        </w:rPr>
      </w:pPr>
      <w:r w:rsidRPr="00DA61E0">
        <w:rPr>
          <w:rFonts w:ascii="Verdana" w:eastAsia="Verdana" w:hAnsi="Verdana" w:cs="Verdana"/>
        </w:rPr>
        <w:t>Asimismo, las Entidades de régimen especial, como puede ocurrir con las Empresas Sociales del Estado deben aplicar las disposiciones contenidas en el EGCAP en aquellos eventos en que la normatividad sectorial aplicable así lo disponga de manera expresa por la remisión. En estos casos, la observancia de dichas normas deberá realizarse de forma armónica con el régimen especial de contratación correspondiente, garantizando el respeto por los principios que orientan la función administrativa y la contratación estatal, así como la adecuada articulación entre los distintos marcos normativos que resulten aplicables al proceso contractual.</w:t>
      </w:r>
    </w:p>
    <w:p w14:paraId="58ACA28C" w14:textId="77777777" w:rsidR="00DA61E0" w:rsidRPr="00DA61E0" w:rsidRDefault="00DA61E0" w:rsidP="00DA61E0">
      <w:pPr>
        <w:widowControl w:val="0"/>
        <w:autoSpaceDE w:val="0"/>
        <w:autoSpaceDN w:val="0"/>
        <w:spacing w:after="120" w:line="276" w:lineRule="auto"/>
        <w:ind w:firstLine="708"/>
        <w:jc w:val="both"/>
        <w:rPr>
          <w:rFonts w:ascii="Verdana" w:eastAsia="Verdana" w:hAnsi="Verdana" w:cs="Verdana"/>
          <w:lang w:val="es-ES"/>
        </w:rPr>
      </w:pPr>
      <w:r w:rsidRPr="00DA61E0">
        <w:rPr>
          <w:rFonts w:ascii="Verdana" w:eastAsia="Verdana" w:hAnsi="Verdana" w:cs="Verdana"/>
        </w:rPr>
        <w:t>Un aspecto que no puede dejarse de lado es que, la</w:t>
      </w:r>
      <w:r w:rsidRPr="00DA61E0">
        <w:rPr>
          <w:rFonts w:ascii="Verdana" w:eastAsia="Verdana" w:hAnsi="Verdana" w:cs="Verdana"/>
          <w:lang w:val="es-ES"/>
        </w:rPr>
        <w:t xml:space="preserve"> entidad contratante debe contemplar procedimientos de selección públicos, en los cuales se garantice la imparcialidad de la entidad contratante, la igualdad entre los oferentes, y en </w:t>
      </w:r>
      <w:r w:rsidRPr="00DA61E0">
        <w:rPr>
          <w:rFonts w:ascii="Verdana" w:eastAsia="Verdana" w:hAnsi="Verdana" w:cs="Verdana"/>
          <w:lang w:val="es-ES"/>
        </w:rPr>
        <w:lastRenderedPageBreak/>
        <w:t xml:space="preserve">los cuales se respeten los principios constitucionales de la función administrativa, así como los de la gestión fiscal. La forma precisa en que se concretan estos principios, así como la manera como se armonizan con su régimen de derecho privado, es un asunto que debe decidir la entidad en el ejercicio de la discrecionalidad concedida por el ordenamiento jurídico. </w:t>
      </w:r>
    </w:p>
    <w:p w14:paraId="71E4B8F6" w14:textId="77777777" w:rsidR="00DA61E0" w:rsidRPr="00DA61E0" w:rsidRDefault="00DA61E0" w:rsidP="00DA61E0">
      <w:pPr>
        <w:widowControl w:val="0"/>
        <w:autoSpaceDE w:val="0"/>
        <w:autoSpaceDN w:val="0"/>
        <w:spacing w:after="120" w:line="276" w:lineRule="auto"/>
        <w:jc w:val="both"/>
        <w:rPr>
          <w:rFonts w:ascii="Verdana" w:eastAsia="Verdana" w:hAnsi="Verdana" w:cs="Verdana"/>
        </w:rPr>
      </w:pPr>
      <w:r w:rsidRPr="00DA61E0">
        <w:rPr>
          <w:rFonts w:ascii="Verdana" w:eastAsia="Verdana" w:hAnsi="Verdana" w:cs="Verdana"/>
          <w:lang w:val="es-ES"/>
        </w:rPr>
        <w:tab/>
        <w:t xml:space="preserve">En esta perspectiva, los principios de la función administrativa </w:t>
      </w:r>
      <w:r w:rsidRPr="00DA61E0">
        <w:rPr>
          <w:rFonts w:ascii="Verdana" w:eastAsia="Verdana" w:hAnsi="Verdana" w:cs="Verdana"/>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especial, pueden escoger entre una variedad de alternativas para el cumplimiento de estos, por lo que no implica que deban sujetarse a la forma cómo es aplicado en el EGCAP. </w:t>
      </w:r>
    </w:p>
    <w:p w14:paraId="6E98A8FB" w14:textId="77777777" w:rsidR="00DA61E0" w:rsidRPr="00DA61E0" w:rsidRDefault="00DA61E0" w:rsidP="00DA61E0">
      <w:pPr>
        <w:widowControl w:val="0"/>
        <w:autoSpaceDE w:val="0"/>
        <w:autoSpaceDN w:val="0"/>
        <w:spacing w:after="120" w:line="276" w:lineRule="auto"/>
        <w:jc w:val="both"/>
        <w:rPr>
          <w:rFonts w:ascii="Verdana" w:eastAsia="Verdana" w:hAnsi="Verdana" w:cs="Verdana"/>
          <w:lang w:val="es-ES"/>
        </w:rPr>
      </w:pPr>
      <w:r w:rsidRPr="00DA61E0">
        <w:rPr>
          <w:rFonts w:ascii="Verdana" w:eastAsia="Verdana" w:hAnsi="Verdana" w:cs="Verdana"/>
          <w:bCs/>
          <w:lang w:val="es-ES_tradnl"/>
        </w:rPr>
        <w:tab/>
      </w:r>
      <w:r w:rsidRPr="00DA61E0">
        <w:rPr>
          <w:rFonts w:ascii="Verdana" w:eastAsia="Verdana" w:hAnsi="Verdana" w:cs="Verdana"/>
          <w:lang w:val="es-ES"/>
        </w:rPr>
        <w:t xml:space="preserve">En efecto, 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71978983" w14:textId="77777777" w:rsidR="00DA61E0" w:rsidRPr="00DA61E0" w:rsidRDefault="00DA61E0" w:rsidP="00DA61E0">
      <w:pPr>
        <w:widowControl w:val="0"/>
        <w:autoSpaceDE w:val="0"/>
        <w:autoSpaceDN w:val="0"/>
        <w:spacing w:after="120" w:line="276" w:lineRule="auto"/>
        <w:ind w:firstLine="708"/>
        <w:jc w:val="both"/>
        <w:rPr>
          <w:rFonts w:ascii="Verdana" w:eastAsia="Verdana" w:hAnsi="Verdana" w:cs="Verdana"/>
          <w:lang w:val="es-ES"/>
        </w:rPr>
      </w:pPr>
      <w:r w:rsidRPr="00DA61E0">
        <w:rPr>
          <w:rFonts w:ascii="Verdana" w:eastAsia="Verdana" w:hAnsi="Verdana" w:cs="Verdana"/>
          <w:bCs/>
          <w:lang w:val="es-ES"/>
        </w:rPr>
        <w:t xml:space="preserve">De tal modo, la acción de las entidades de régimen especial no es totalmente privada, sino que hay una mezcla de régimen contractual público manifestada en principios, que genera nuevos cuestionamientos en torno a la necesidad de estimar y tipificar los riesgos previsibles en los procesos de contratación pública, en especial, en la etapa de planeación y estructuración del objeto contractual.  </w:t>
      </w:r>
      <w:r w:rsidRPr="00DA61E0">
        <w:rPr>
          <w:rFonts w:ascii="Verdana" w:eastAsia="Verdana" w:hAnsi="Verdana" w:cs="Verdana"/>
        </w:rPr>
        <w:t xml:space="preserve">En este entorno, la aplicación de los principios de la función administrativa en los manuales internos de contratación, se materializa en los procesos de contratación que adelante la empresa social del Estado. </w:t>
      </w:r>
    </w:p>
    <w:p w14:paraId="5D8348D2" w14:textId="77777777" w:rsidR="00DA61E0" w:rsidRPr="00DA61E0" w:rsidRDefault="00DA61E0" w:rsidP="00DA61E0">
      <w:pPr>
        <w:spacing w:after="120" w:line="276" w:lineRule="auto"/>
        <w:ind w:firstLine="708"/>
        <w:jc w:val="both"/>
        <w:rPr>
          <w:rFonts w:ascii="Verdana" w:eastAsia="Calibri" w:hAnsi="Verdana" w:cs="Arial"/>
          <w:lang w:eastAsia="es-ES_tradnl"/>
        </w:rPr>
      </w:pPr>
      <w:r w:rsidRPr="00DA61E0">
        <w:rPr>
          <w:rFonts w:ascii="Verdana" w:eastAsia="Calibri" w:hAnsi="Verdana" w:cs="Arial"/>
          <w:lang w:eastAsia="es-ES_tradnl"/>
        </w:rPr>
        <w:lastRenderedPageBreak/>
        <w:t>Estos principios se manifiestan en que no exista discriminación y en que las entidades no impongan limitaciones mediante reglas que impidan la concurrencia para obtener mejores condiciones de contratación. Esto permite excepciones que busquen condiciones del contratista que sean favorables a los intereses del Estado y aseguren la transparencia, ya sean en procedimientos competitivos y no competitivos. En este escenario, dentro de las empresas sociales del Estado pueden establecer modalidades o procesos de selección en: i) competitivas y ii) no competitivas.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DA61E0">
        <w:rPr>
          <w:rFonts w:ascii="Calibri" w:eastAsia="Calibri" w:hAnsi="Calibri" w:cs="Times New Roman"/>
          <w:vertAlign w:val="superscript"/>
        </w:rPr>
        <w:footnoteReference w:id="15"/>
      </w:r>
      <w:r w:rsidRPr="00DA61E0">
        <w:rPr>
          <w:rFonts w:ascii="Verdana" w:eastAsia="Calibri" w:hAnsi="Verdana" w:cs="Arial"/>
          <w:lang w:eastAsia="es-ES_tradnl"/>
        </w:rPr>
        <w:t xml:space="preserve">. </w:t>
      </w:r>
    </w:p>
    <w:p w14:paraId="108D7F3A" w14:textId="77777777" w:rsidR="00DA61E0" w:rsidRPr="00DA61E0" w:rsidRDefault="00DA61E0" w:rsidP="00DA61E0">
      <w:pPr>
        <w:spacing w:after="120" w:line="276" w:lineRule="auto"/>
        <w:ind w:firstLine="709"/>
        <w:jc w:val="both"/>
        <w:rPr>
          <w:rFonts w:ascii="Verdana" w:eastAsia="Calibri" w:hAnsi="Verdana" w:cs="Arial"/>
          <w:lang w:eastAsia="es-ES_tradnl"/>
        </w:rPr>
      </w:pPr>
      <w:r w:rsidRPr="00DA61E0">
        <w:rPr>
          <w:rFonts w:ascii="Verdana" w:eastAsia="Calibri" w:hAnsi="Verdana" w:cs="Arial"/>
          <w:lang w:eastAsia="es-ES_tradnl"/>
        </w:rPr>
        <w:t xml:space="preserve">Por tanto, en las manuales de contratación pueden establecer las modalidades como competitivas o abiertas a competencia, ya que en ellas tiene lugar la participación de varios proponentes en una fase pública de presentación de ofertas. Esto permite que todas las personas interesadas concurran al proceso en igualdad de condiciones y compitan en el mismo, sin perjuicio de criterios o exigencias diferenciales dispuestas por la ley para fortalecer determinado tipo de empresas, sujetos o mercado. Por otro lado, dentro del Manual de Contratación pueden regularse modalidades no competitivas, es decir, que no es abierta a los proponentes para que los interesados presenten sus ofertas. En esta, es la entidad la que determina, de forma directa, la persona que puede participar y que será seleccionada. Esto significa que de acuerdo con lo regulado no es necesario que la entidad reciba más de una oferta, la cual proviene de la persona que la entidad escoge directamente, y por ende, invita a ofertar el bien o servicio que se requiere. Ello no exime a las entidades estatales de garantizar los principios de la función administrativa. </w:t>
      </w:r>
    </w:p>
    <w:p w14:paraId="1F568CDE" w14:textId="77777777" w:rsidR="00DA61E0" w:rsidRPr="00DA61E0" w:rsidRDefault="00DA61E0" w:rsidP="00DA61E0">
      <w:pPr>
        <w:spacing w:after="120" w:line="276" w:lineRule="auto"/>
        <w:ind w:firstLine="709"/>
        <w:jc w:val="both"/>
        <w:rPr>
          <w:rFonts w:ascii="Verdana" w:eastAsia="Calibri" w:hAnsi="Verdana" w:cs="Arial"/>
          <w:lang w:eastAsia="es-ES_tradnl"/>
        </w:rPr>
      </w:pPr>
      <w:r w:rsidRPr="00DA61E0">
        <w:rPr>
          <w:rFonts w:ascii="Verdana" w:eastAsia="Calibri" w:hAnsi="Verdana" w:cs="Arial"/>
          <w:lang w:eastAsia="es-ES_tradnl"/>
        </w:rPr>
        <w:t xml:space="preserve">En este aspecto, </w:t>
      </w:r>
      <w:r w:rsidRPr="00DA61E0">
        <w:rPr>
          <w:rFonts w:ascii="Verdana" w:eastAsia="Arial" w:hAnsi="Verdana" w:cs="Arial"/>
          <w:lang w:val="es-ES"/>
        </w:rPr>
        <w:t>la Resolución No. 5185 de 2013, modificada por la Resolución 1440 del 14 de agosto de 2024 y Resolución 2053 de 2025</w:t>
      </w:r>
      <w:r w:rsidRPr="00DA61E0">
        <w:rPr>
          <w:rFonts w:ascii="Calibri" w:eastAsia="Calibri" w:hAnsi="Calibri" w:cs="Times New Roman"/>
          <w:vertAlign w:val="superscript"/>
        </w:rPr>
        <w:footnoteReference w:id="16"/>
      </w:r>
      <w:r w:rsidRPr="00DA61E0">
        <w:rPr>
          <w:rFonts w:ascii="Verdana" w:eastAsia="Arial" w:hAnsi="Verdana" w:cs="Arial"/>
          <w:lang w:val="es-ES"/>
        </w:rPr>
        <w:t>, mediante la cual se fijan los lineamientos</w:t>
      </w:r>
      <w:r w:rsidRPr="00DA61E0">
        <w:rPr>
          <w:rFonts w:ascii="Verdana" w:eastAsia="Arial" w:hAnsi="Verdana" w:cs="Arial"/>
          <w:spacing w:val="1"/>
          <w:lang w:val="es-ES"/>
        </w:rPr>
        <w:t xml:space="preserve"> </w:t>
      </w:r>
      <w:r w:rsidRPr="00DA61E0">
        <w:rPr>
          <w:rFonts w:ascii="Verdana" w:eastAsia="Arial" w:hAnsi="Verdana" w:cs="Arial"/>
          <w:lang w:val="es-ES"/>
        </w:rPr>
        <w:t>para</w:t>
      </w:r>
      <w:r w:rsidRPr="00DA61E0">
        <w:rPr>
          <w:rFonts w:ascii="Verdana" w:eastAsia="Arial" w:hAnsi="Verdana" w:cs="Arial"/>
          <w:spacing w:val="-10"/>
          <w:lang w:val="es-ES"/>
        </w:rPr>
        <w:t xml:space="preserve"> </w:t>
      </w:r>
      <w:r w:rsidRPr="00DA61E0">
        <w:rPr>
          <w:rFonts w:ascii="Verdana" w:eastAsia="Arial" w:hAnsi="Verdana" w:cs="Arial"/>
          <w:lang w:val="es-ES"/>
        </w:rPr>
        <w:t>que</w:t>
      </w:r>
      <w:r w:rsidRPr="00DA61E0">
        <w:rPr>
          <w:rFonts w:ascii="Verdana" w:eastAsia="Arial" w:hAnsi="Verdana" w:cs="Arial"/>
          <w:spacing w:val="-10"/>
          <w:lang w:val="es-ES"/>
        </w:rPr>
        <w:t xml:space="preserve"> </w:t>
      </w:r>
      <w:r w:rsidRPr="00DA61E0">
        <w:rPr>
          <w:rFonts w:ascii="Verdana" w:eastAsia="Arial" w:hAnsi="Verdana" w:cs="Arial"/>
          <w:lang w:val="es-ES"/>
        </w:rPr>
        <w:t>tales</w:t>
      </w:r>
      <w:r w:rsidRPr="00DA61E0">
        <w:rPr>
          <w:rFonts w:ascii="Verdana" w:eastAsia="Arial" w:hAnsi="Verdana" w:cs="Arial"/>
          <w:spacing w:val="-10"/>
          <w:lang w:val="es-ES"/>
        </w:rPr>
        <w:t xml:space="preserve"> </w:t>
      </w:r>
      <w:r w:rsidRPr="00DA61E0">
        <w:rPr>
          <w:rFonts w:ascii="Verdana" w:eastAsia="Arial" w:hAnsi="Verdana" w:cs="Arial"/>
          <w:lang w:val="es-ES"/>
        </w:rPr>
        <w:t>entidades</w:t>
      </w:r>
      <w:r w:rsidRPr="00DA61E0">
        <w:rPr>
          <w:rFonts w:ascii="Verdana" w:eastAsia="Arial" w:hAnsi="Verdana" w:cs="Arial"/>
          <w:spacing w:val="-10"/>
          <w:lang w:val="es-ES"/>
        </w:rPr>
        <w:t xml:space="preserve"> </w:t>
      </w:r>
      <w:r w:rsidRPr="00DA61E0">
        <w:rPr>
          <w:rFonts w:ascii="Verdana" w:eastAsia="Arial" w:hAnsi="Verdana" w:cs="Arial"/>
          <w:lang w:val="es-ES"/>
        </w:rPr>
        <w:t>adopten</w:t>
      </w:r>
      <w:r w:rsidRPr="00DA61E0">
        <w:rPr>
          <w:rFonts w:ascii="Verdana" w:eastAsia="Arial" w:hAnsi="Verdana" w:cs="Arial"/>
          <w:spacing w:val="-10"/>
          <w:lang w:val="es-ES"/>
        </w:rPr>
        <w:t xml:space="preserve"> </w:t>
      </w:r>
      <w:r w:rsidRPr="00DA61E0">
        <w:rPr>
          <w:rFonts w:ascii="Verdana" w:eastAsia="Arial" w:hAnsi="Verdana" w:cs="Arial"/>
          <w:lang w:val="es-ES"/>
        </w:rPr>
        <w:t>los</w:t>
      </w:r>
      <w:r w:rsidRPr="00DA61E0">
        <w:rPr>
          <w:rFonts w:ascii="Verdana" w:eastAsia="Arial" w:hAnsi="Verdana" w:cs="Arial"/>
          <w:spacing w:val="-10"/>
          <w:lang w:val="es-ES"/>
        </w:rPr>
        <w:t xml:space="preserve"> </w:t>
      </w:r>
      <w:r w:rsidRPr="00DA61E0">
        <w:rPr>
          <w:rFonts w:ascii="Verdana" w:eastAsia="Arial" w:hAnsi="Verdana" w:cs="Arial"/>
          <w:lang w:val="es-ES"/>
        </w:rPr>
        <w:lastRenderedPageBreak/>
        <w:t>manuales</w:t>
      </w:r>
      <w:r w:rsidRPr="00DA61E0">
        <w:rPr>
          <w:rFonts w:ascii="Verdana" w:eastAsia="Arial" w:hAnsi="Verdana" w:cs="Arial"/>
          <w:spacing w:val="-10"/>
          <w:lang w:val="es-ES"/>
        </w:rPr>
        <w:t xml:space="preserve"> </w:t>
      </w:r>
      <w:r w:rsidRPr="00DA61E0">
        <w:rPr>
          <w:rFonts w:ascii="Verdana" w:eastAsia="Arial" w:hAnsi="Verdana" w:cs="Arial"/>
          <w:lang w:val="es-ES"/>
        </w:rPr>
        <w:t>de</w:t>
      </w:r>
      <w:r w:rsidRPr="00DA61E0">
        <w:rPr>
          <w:rFonts w:ascii="Verdana" w:eastAsia="Arial" w:hAnsi="Verdana" w:cs="Arial"/>
          <w:spacing w:val="-10"/>
          <w:lang w:val="es-ES"/>
        </w:rPr>
        <w:t xml:space="preserve"> </w:t>
      </w:r>
      <w:r w:rsidRPr="00DA61E0">
        <w:rPr>
          <w:rFonts w:ascii="Verdana" w:eastAsia="Arial" w:hAnsi="Verdana" w:cs="Arial"/>
          <w:lang w:val="es-ES"/>
        </w:rPr>
        <w:t>contratación</w:t>
      </w:r>
      <w:r w:rsidRPr="00DA61E0">
        <w:rPr>
          <w:rFonts w:ascii="Verdana" w:eastAsia="Arial" w:hAnsi="Verdana" w:cs="Arial"/>
          <w:spacing w:val="-10"/>
          <w:lang w:val="es-ES"/>
        </w:rPr>
        <w:t xml:space="preserve"> </w:t>
      </w:r>
      <w:r w:rsidRPr="00DA61E0">
        <w:rPr>
          <w:rFonts w:ascii="Verdana" w:eastAsia="Arial" w:hAnsi="Verdana" w:cs="Arial"/>
          <w:lang w:val="es-ES"/>
        </w:rPr>
        <w:t>que</w:t>
      </w:r>
      <w:r w:rsidRPr="00DA61E0">
        <w:rPr>
          <w:rFonts w:ascii="Verdana" w:eastAsia="Arial" w:hAnsi="Verdana" w:cs="Arial"/>
          <w:spacing w:val="-9"/>
          <w:lang w:val="es-ES"/>
        </w:rPr>
        <w:t xml:space="preserve"> </w:t>
      </w:r>
      <w:r w:rsidRPr="00DA61E0">
        <w:rPr>
          <w:rFonts w:ascii="Verdana" w:eastAsia="Arial" w:hAnsi="Verdana" w:cs="Arial"/>
          <w:lang w:val="es-ES"/>
        </w:rPr>
        <w:t>regirán</w:t>
      </w:r>
      <w:r w:rsidRPr="00DA61E0">
        <w:rPr>
          <w:rFonts w:ascii="Verdana" w:eastAsia="Arial" w:hAnsi="Verdana" w:cs="Arial"/>
          <w:spacing w:val="-10"/>
          <w:lang w:val="es-ES"/>
        </w:rPr>
        <w:t xml:space="preserve"> </w:t>
      </w:r>
      <w:r w:rsidRPr="00DA61E0">
        <w:rPr>
          <w:rFonts w:ascii="Verdana" w:eastAsia="Arial" w:hAnsi="Verdana" w:cs="Arial"/>
          <w:lang w:val="es-ES"/>
        </w:rPr>
        <w:t>su</w:t>
      </w:r>
      <w:r w:rsidRPr="00DA61E0">
        <w:rPr>
          <w:rFonts w:ascii="Verdana" w:eastAsia="Arial" w:hAnsi="Verdana" w:cs="Arial"/>
          <w:spacing w:val="-10"/>
          <w:lang w:val="es-ES"/>
        </w:rPr>
        <w:t xml:space="preserve"> </w:t>
      </w:r>
      <w:r w:rsidRPr="00DA61E0">
        <w:rPr>
          <w:rFonts w:ascii="Verdana" w:eastAsia="Arial" w:hAnsi="Verdana" w:cs="Arial"/>
          <w:lang w:val="es-ES"/>
        </w:rPr>
        <w:t>actividad</w:t>
      </w:r>
      <w:r w:rsidRPr="00DA61E0">
        <w:rPr>
          <w:rFonts w:ascii="Verdana" w:eastAsia="Arial" w:hAnsi="Verdana" w:cs="Arial"/>
          <w:spacing w:val="-59"/>
          <w:lang w:val="es-ES"/>
        </w:rPr>
        <w:t xml:space="preserve"> </w:t>
      </w:r>
      <w:r w:rsidRPr="00DA61E0">
        <w:rPr>
          <w:rFonts w:ascii="Verdana" w:eastAsia="Arial" w:hAnsi="Verdana" w:cs="Arial"/>
          <w:lang w:val="es-ES"/>
        </w:rPr>
        <w:t>contractual. Este acto administrativo, dictado en ejercicio de las facultades conferidas</w:t>
      </w:r>
      <w:r w:rsidRPr="00DA61E0">
        <w:rPr>
          <w:rFonts w:ascii="Verdana" w:eastAsia="Arial" w:hAnsi="Verdana" w:cs="Arial"/>
          <w:spacing w:val="1"/>
          <w:lang w:val="es-ES"/>
        </w:rPr>
        <w:t xml:space="preserve"> </w:t>
      </w:r>
      <w:r w:rsidRPr="00DA61E0">
        <w:rPr>
          <w:rFonts w:ascii="Verdana" w:eastAsia="Arial" w:hAnsi="Verdana" w:cs="Arial"/>
          <w:lang w:val="es-ES"/>
        </w:rPr>
        <w:t>por el artículo 76 de la Ley 1438 de 2011</w:t>
      </w:r>
      <w:r w:rsidRPr="00DA61E0">
        <w:rPr>
          <w:rFonts w:ascii="Calibri" w:eastAsia="Calibri" w:hAnsi="Calibri" w:cs="Times New Roman"/>
          <w:vertAlign w:val="superscript"/>
        </w:rPr>
        <w:footnoteReference w:id="17"/>
      </w:r>
      <w:r w:rsidRPr="00DA61E0">
        <w:rPr>
          <w:rFonts w:ascii="Verdana" w:eastAsia="Arial" w:hAnsi="Verdana" w:cs="Arial"/>
          <w:lang w:val="es-ES"/>
        </w:rPr>
        <w:t>, contiene varios criterios que deberán tenerse cuenta en el momento de adoptar</w:t>
      </w:r>
      <w:r w:rsidRPr="00DA61E0">
        <w:rPr>
          <w:rFonts w:ascii="Verdana" w:eastAsia="Arial" w:hAnsi="Verdana" w:cs="Arial"/>
          <w:spacing w:val="-1"/>
          <w:lang w:val="es-ES"/>
        </w:rPr>
        <w:t xml:space="preserve"> </w:t>
      </w:r>
      <w:r w:rsidRPr="00DA61E0">
        <w:rPr>
          <w:rFonts w:ascii="Verdana" w:eastAsia="Arial" w:hAnsi="Verdana" w:cs="Arial"/>
          <w:lang w:val="es-ES"/>
        </w:rPr>
        <w:t>los</w:t>
      </w:r>
      <w:r w:rsidRPr="00DA61E0">
        <w:rPr>
          <w:rFonts w:ascii="Verdana" w:eastAsia="Arial" w:hAnsi="Verdana" w:cs="Arial"/>
          <w:spacing w:val="-1"/>
          <w:lang w:val="es-ES"/>
        </w:rPr>
        <w:t xml:space="preserve"> </w:t>
      </w:r>
      <w:r w:rsidRPr="00DA61E0">
        <w:rPr>
          <w:rFonts w:ascii="Verdana" w:eastAsia="Arial" w:hAnsi="Verdana" w:cs="Arial"/>
          <w:lang w:val="es-ES"/>
        </w:rPr>
        <w:t>manuales</w:t>
      </w:r>
      <w:r w:rsidRPr="00DA61E0">
        <w:rPr>
          <w:rFonts w:ascii="Verdana" w:eastAsia="Arial" w:hAnsi="Verdana" w:cs="Arial"/>
          <w:spacing w:val="-1"/>
          <w:lang w:val="es-ES"/>
        </w:rPr>
        <w:t xml:space="preserve"> </w:t>
      </w:r>
      <w:r w:rsidRPr="00DA61E0">
        <w:rPr>
          <w:rFonts w:ascii="Verdana" w:eastAsia="Arial" w:hAnsi="Verdana" w:cs="Arial"/>
          <w:lang w:val="es-ES"/>
        </w:rPr>
        <w:t>de</w:t>
      </w:r>
      <w:r w:rsidRPr="00DA61E0">
        <w:rPr>
          <w:rFonts w:ascii="Verdana" w:eastAsia="Arial" w:hAnsi="Verdana" w:cs="Arial"/>
          <w:spacing w:val="-2"/>
          <w:lang w:val="es-ES"/>
        </w:rPr>
        <w:t xml:space="preserve"> </w:t>
      </w:r>
      <w:r w:rsidRPr="00DA61E0">
        <w:rPr>
          <w:rFonts w:ascii="Verdana" w:eastAsia="Arial" w:hAnsi="Verdana" w:cs="Arial"/>
          <w:lang w:val="es-ES"/>
        </w:rPr>
        <w:t>contratación.</w:t>
      </w:r>
    </w:p>
    <w:p w14:paraId="5666EE59" w14:textId="77777777" w:rsidR="00DA61E0" w:rsidRPr="00DA61E0" w:rsidRDefault="00DA61E0" w:rsidP="00DA61E0">
      <w:pPr>
        <w:widowControl w:val="0"/>
        <w:autoSpaceDE w:val="0"/>
        <w:autoSpaceDN w:val="0"/>
        <w:spacing w:after="0" w:line="276" w:lineRule="auto"/>
        <w:ind w:firstLine="709"/>
        <w:jc w:val="both"/>
        <w:rPr>
          <w:rFonts w:ascii="Verdana" w:eastAsia="Verdana" w:hAnsi="Verdana" w:cs="Verdana"/>
          <w:bCs/>
        </w:rPr>
      </w:pPr>
      <w:r w:rsidRPr="00DA61E0">
        <w:rPr>
          <w:rFonts w:ascii="Verdana" w:eastAsia="Verdana" w:hAnsi="Verdana" w:cs="Verdana"/>
          <w:bCs/>
        </w:rPr>
        <w:t xml:space="preserve">En el ámbito donde convergen lo público y lo privado, las entidades de régimen especial encuentran la posibilidad de enajenar tanto bienes muebles como inmuebles. Esta facultad, aunque no está regulada por un procedimiento específico, se ejerce bajo el marco de los principios de la función administrativa y las disposiciones contenidas en sus manuales de contratación, teniendo en cuenta las consideraciones generales subsiguientes. </w:t>
      </w:r>
    </w:p>
    <w:p w14:paraId="45D2B408" w14:textId="77777777" w:rsidR="00DA61E0" w:rsidRPr="00DA61E0" w:rsidRDefault="00DA61E0" w:rsidP="00DA61E0">
      <w:pPr>
        <w:widowControl w:val="0"/>
        <w:autoSpaceDE w:val="0"/>
        <w:autoSpaceDN w:val="0"/>
        <w:spacing w:after="0" w:line="276" w:lineRule="auto"/>
        <w:ind w:firstLine="709"/>
        <w:jc w:val="both"/>
        <w:rPr>
          <w:rFonts w:ascii="Verdana" w:eastAsia="Verdana" w:hAnsi="Verdana" w:cs="Verdana"/>
          <w:bCs/>
          <w:lang w:val="es-ES_tradnl"/>
        </w:rPr>
      </w:pPr>
    </w:p>
    <w:p w14:paraId="3F517FBB" w14:textId="77777777" w:rsidR="00DA61E0" w:rsidRPr="00DA61E0" w:rsidRDefault="00DA61E0" w:rsidP="00DA61E0">
      <w:pPr>
        <w:widowControl w:val="0"/>
        <w:autoSpaceDE w:val="0"/>
        <w:autoSpaceDN w:val="0"/>
        <w:spacing w:after="120" w:line="276" w:lineRule="auto"/>
        <w:jc w:val="both"/>
        <w:rPr>
          <w:rFonts w:ascii="Verdana" w:eastAsia="Verdana" w:hAnsi="Verdana" w:cs="Verdana"/>
          <w:bCs/>
        </w:rPr>
      </w:pPr>
      <w:r w:rsidRPr="00DA61E0">
        <w:rPr>
          <w:rFonts w:ascii="Verdana" w:eastAsia="Verdana" w:hAnsi="Verdana" w:cs="Verdana"/>
          <w:bCs/>
        </w:rPr>
        <w:t xml:space="preserve">iii. </w:t>
      </w:r>
      <w:r w:rsidRPr="00DA61E0">
        <w:rPr>
          <w:rFonts w:ascii="Verdana" w:eastAsia="Times New Roman" w:hAnsi="Verdana" w:cs="Arial"/>
          <w:color w:val="000000" w:themeColor="text1"/>
          <w:lang w:eastAsia="es-ES_tradnl"/>
        </w:rPr>
        <w:t xml:space="preserve">La </w:t>
      </w:r>
      <w:r w:rsidRPr="00DA61E0">
        <w:rPr>
          <w:rFonts w:ascii="Verdana" w:eastAsia="Times New Roman" w:hAnsi="Verdana" w:cs="Arial"/>
          <w:color w:val="000000" w:themeColor="text1"/>
          <w:lang w:val="es-ES" w:eastAsia="es-ES_tradnl"/>
        </w:rPr>
        <w:t>enajenación</w:t>
      </w:r>
      <w:r w:rsidRPr="00DA61E0">
        <w:rPr>
          <w:rFonts w:ascii="Verdana" w:eastAsia="Times New Roman" w:hAnsi="Verdana" w:cs="Arial"/>
          <w:color w:val="000000" w:themeColor="text1"/>
          <w:lang w:eastAsia="es-ES_tradnl"/>
        </w:rPr>
        <w:t xml:space="preserve"> se define como la transferencia del derecho real</w:t>
      </w:r>
      <w:r w:rsidRPr="00DA61E0">
        <w:rPr>
          <w:rFonts w:ascii="Calibri" w:eastAsia="Calibri" w:hAnsi="Calibri" w:cs="Times New Roman"/>
          <w:vertAlign w:val="superscript"/>
        </w:rPr>
        <w:footnoteReference w:id="18"/>
      </w:r>
      <w:r w:rsidRPr="00DA61E0">
        <w:rPr>
          <w:rFonts w:ascii="Verdana" w:eastAsia="Times New Roman" w:hAnsi="Verdana" w:cs="Arial"/>
          <w:color w:val="000000" w:themeColor="text1"/>
          <w:lang w:eastAsia="es-ES_tradnl"/>
        </w:rPr>
        <w:t xml:space="preserve"> sobre un bien</w:t>
      </w:r>
      <w:r w:rsidRPr="00DA61E0">
        <w:rPr>
          <w:rFonts w:ascii="Calibri" w:eastAsia="Calibri" w:hAnsi="Calibri" w:cs="Times New Roman"/>
          <w:vertAlign w:val="superscript"/>
        </w:rPr>
        <w:footnoteReference w:id="19"/>
      </w:r>
      <w:r w:rsidRPr="00DA61E0">
        <w:rPr>
          <w:rFonts w:ascii="Verdana" w:eastAsia="Times New Roman" w:hAnsi="Verdana" w:cs="Arial"/>
          <w:color w:val="000000" w:themeColor="text1"/>
          <w:lang w:eastAsia="es-ES_tradnl"/>
        </w:rPr>
        <w:t>. Como indica la doctrina, “</w:t>
      </w:r>
      <w:r w:rsidRPr="00DA61E0">
        <w:rPr>
          <w:rFonts w:ascii="Verdana" w:eastAsia="Times New Roman" w:hAnsi="Verdana" w:cs="Arial"/>
          <w:i/>
          <w:iCs/>
          <w:color w:val="000000" w:themeColor="text1"/>
          <w:lang w:eastAsia="es-ES_tradnl"/>
        </w:rPr>
        <w:t>Dar –en sentido restringido–, traditar, enajenar, disponer, son conceptos sinónimos en el Código Civil. Cuando se da, se enajena. Cuando se tradita, se enajena, Cuando se enajena, se da o se tradita. Y, finalmente, cuando ocurre cualquiera de tales fenómenos, se dispone”</w:t>
      </w:r>
      <w:r w:rsidRPr="00DA61E0">
        <w:rPr>
          <w:rFonts w:ascii="Calibri" w:eastAsia="Calibri" w:hAnsi="Calibri" w:cs="Times New Roman"/>
          <w:vertAlign w:val="superscript"/>
        </w:rPr>
        <w:footnoteReference w:id="20"/>
      </w:r>
      <w:r w:rsidRPr="00DA61E0">
        <w:rPr>
          <w:rFonts w:ascii="Verdana" w:eastAsia="Times New Roman" w:hAnsi="Verdana" w:cs="Arial"/>
          <w:i/>
          <w:iCs/>
          <w:color w:val="000000" w:themeColor="text1"/>
          <w:lang w:eastAsia="es-ES_tradnl"/>
        </w:rPr>
        <w:t>.</w:t>
      </w:r>
      <w:r w:rsidRPr="00DA61E0">
        <w:rPr>
          <w:rFonts w:ascii="Verdana" w:eastAsia="Times New Roman" w:hAnsi="Verdana" w:cs="Arial"/>
          <w:color w:val="000000" w:themeColor="text1"/>
          <w:lang w:eastAsia="es-ES_tradnl"/>
        </w:rPr>
        <w:t xml:space="preserve"> Lo más usual es que la enajenación se lleve a cabo respecto del derecho de propiedad; y en tal caso se efectúa a través de los modos señalados en el artículo 673 del </w:t>
      </w:r>
      <w:r w:rsidRPr="00DA61E0">
        <w:rPr>
          <w:rFonts w:ascii="Verdana" w:eastAsia="Times New Roman" w:hAnsi="Verdana" w:cs="Arial"/>
          <w:color w:val="000000" w:themeColor="text1"/>
          <w:lang w:eastAsia="es-ES_tradnl"/>
        </w:rPr>
        <w:lastRenderedPageBreak/>
        <w:t>Código Civil</w:t>
      </w:r>
      <w:r w:rsidRPr="00DA61E0">
        <w:rPr>
          <w:rFonts w:ascii="Calibri" w:eastAsia="Calibri" w:hAnsi="Calibri" w:cs="Times New Roman"/>
          <w:vertAlign w:val="superscript"/>
        </w:rPr>
        <w:footnoteReference w:id="21"/>
      </w:r>
      <w:r w:rsidRPr="00DA61E0">
        <w:rPr>
          <w:rFonts w:ascii="Verdana" w:eastAsia="Times New Roman" w:hAnsi="Verdana" w:cs="Arial"/>
          <w:color w:val="000000" w:themeColor="text1"/>
          <w:lang w:eastAsia="es-ES_tradnl"/>
        </w:rPr>
        <w:t>, pudiendo recaer tanto sobre los bienes muebles, como inmuebles, aunque frente a estos la ley exige solemnidades especiales</w:t>
      </w:r>
      <w:r w:rsidRPr="00DA61E0">
        <w:rPr>
          <w:rFonts w:ascii="Calibri" w:eastAsia="Calibri" w:hAnsi="Calibri" w:cs="Times New Roman"/>
          <w:vertAlign w:val="superscript"/>
        </w:rPr>
        <w:footnoteReference w:id="22"/>
      </w:r>
      <w:r w:rsidRPr="00DA61E0">
        <w:rPr>
          <w:rFonts w:ascii="Verdana" w:eastAsia="Times New Roman" w:hAnsi="Verdana" w:cs="Arial"/>
          <w:color w:val="000000" w:themeColor="text1"/>
          <w:lang w:eastAsia="es-ES_tradnl"/>
        </w:rPr>
        <w:t>. Entretanto, el artículo 1521 del Código Civil dispone que se presenta objeto ilícito en la enajenación: i) “De las cosas que no están en el comercio”, ii) “De los derechos o privilegios que no pueden transferirse a otra persona” y iii) “De las cosas embargadas por decreto judicial, a menos que el juez lo autorice o el acreedor consienta en ello”.</w:t>
      </w:r>
    </w:p>
    <w:p w14:paraId="349E0732" w14:textId="77777777" w:rsidR="00DA61E0" w:rsidRPr="00DA61E0" w:rsidRDefault="00DA61E0" w:rsidP="00DA61E0">
      <w:pPr>
        <w:spacing w:after="120" w:line="276" w:lineRule="auto"/>
        <w:ind w:firstLine="709"/>
        <w:jc w:val="both"/>
        <w:rPr>
          <w:rFonts w:ascii="Verdana" w:eastAsia="Times New Roman" w:hAnsi="Verdana" w:cs="Arial"/>
          <w:lang w:eastAsia="es-ES_tradnl"/>
        </w:rPr>
      </w:pPr>
      <w:r w:rsidRPr="00DA61E0">
        <w:rPr>
          <w:rFonts w:ascii="Verdana" w:eastAsia="Times New Roman" w:hAnsi="Verdana" w:cs="Arial"/>
          <w:color w:val="000000" w:themeColor="text1"/>
          <w:lang w:eastAsia="es-ES_tradnl"/>
        </w:rPr>
        <w:t xml:space="preserve">La enajenación de bienes a título gratuito está relacionada con el contrato de donación, definido en </w:t>
      </w:r>
      <w:r w:rsidRPr="00DA61E0">
        <w:rPr>
          <w:rFonts w:ascii="Verdana" w:eastAsia="Times New Roman" w:hAnsi="Verdana" w:cs="Arial"/>
          <w:lang w:eastAsia="es-ES_tradnl"/>
        </w:rPr>
        <w:t>Código Civil como “</w:t>
      </w:r>
      <w:r w:rsidRPr="00DA61E0">
        <w:rPr>
          <w:rFonts w:ascii="Verdana" w:eastAsia="Times New Roman" w:hAnsi="Verdana" w:cs="Arial"/>
          <w:i/>
          <w:iCs/>
          <w:lang w:eastAsia="es-ES_tradnl"/>
        </w:rPr>
        <w:t>un acto por el cual una persona transfiere, gratuita e irrevocablemente, una parte de sus bienes a otra persona que la acepta”</w:t>
      </w:r>
      <w:r w:rsidRPr="00DA61E0">
        <w:rPr>
          <w:rFonts w:ascii="Verdana" w:eastAsia="Times New Roman" w:hAnsi="Verdana" w:cs="Arial"/>
          <w:lang w:eastAsia="es-ES_tradnl"/>
        </w:rPr>
        <w:t>. El Consejo de Estado</w:t>
      </w:r>
      <w:r w:rsidRPr="00DA61E0">
        <w:rPr>
          <w:rFonts w:ascii="Calibri" w:eastAsia="Calibri" w:hAnsi="Calibri" w:cs="Times New Roman"/>
          <w:vertAlign w:val="superscript"/>
        </w:rPr>
        <w:footnoteReference w:id="23"/>
      </w:r>
      <w:r w:rsidRPr="00DA61E0">
        <w:rPr>
          <w:rFonts w:ascii="Verdana" w:eastAsia="Times New Roman" w:hAnsi="Verdana" w:cs="Arial"/>
          <w:lang w:eastAsia="es-ES_tradnl"/>
        </w:rPr>
        <w:t xml:space="preserve"> sostuvo respecto de la definición de la donación del Código Civil, que era naturalmente imprecisa toda vez que la donación es un verdadero “contrato” y no solo un acto, lo anterior porque para el perfeccionamiento del “contrato” concurre i) la voluntad dispositiva de la persona que pretende entregar parte de su patrimonio –donante– y ii) la aceptación de quien recibirá el beneficio económico –donatario–</w:t>
      </w:r>
      <w:r w:rsidRPr="00DA61E0">
        <w:rPr>
          <w:rFonts w:ascii="Verdana" w:eastAsia="Times New Roman" w:hAnsi="Verdana" w:cs="Arial"/>
          <w:vertAlign w:val="superscript"/>
          <w:lang w:eastAsia="es-ES_tradnl"/>
        </w:rPr>
        <w:t xml:space="preserve"> </w:t>
      </w:r>
    </w:p>
    <w:p w14:paraId="2D86CFF9" w14:textId="77777777" w:rsidR="00DA61E0" w:rsidRPr="00DA61E0" w:rsidRDefault="00DA61E0" w:rsidP="00DA61E0">
      <w:pPr>
        <w:spacing w:after="120" w:line="276" w:lineRule="auto"/>
        <w:ind w:firstLine="708"/>
        <w:jc w:val="both"/>
        <w:rPr>
          <w:rFonts w:ascii="Verdana" w:eastAsia="Times New Roman" w:hAnsi="Verdana" w:cs="Arial"/>
          <w:color w:val="000000" w:themeColor="text1"/>
          <w:lang w:val="es-ES" w:eastAsia="es-ES_tradnl"/>
        </w:rPr>
      </w:pPr>
      <w:r w:rsidRPr="00DA61E0">
        <w:rPr>
          <w:rFonts w:ascii="Verdana" w:eastAsia="Times New Roman" w:hAnsi="Verdana" w:cs="Arial"/>
          <w:color w:val="000000" w:themeColor="text1"/>
          <w:lang w:eastAsia="es-ES_tradnl"/>
        </w:rPr>
        <w:t>Respecto del tipo de bienes que pueden ser objeto de enajenación es importante resaltar, en primer lugar, que e</w:t>
      </w:r>
      <w:r w:rsidRPr="00DA61E0">
        <w:rPr>
          <w:rFonts w:ascii="Verdana" w:eastAsia="Times New Roman" w:hAnsi="Verdana" w:cs="Arial"/>
          <w:color w:val="000000" w:themeColor="text1"/>
          <w:lang w:val="es-ES" w:eastAsia="es-ES_tradnl"/>
        </w:rPr>
        <w:t>l artículo 654 del Código Civil clasifica las cosas corporales en muebles e inmuebles. El artículo 655 define los bienes muebles como los que “</w:t>
      </w:r>
      <w:r w:rsidRPr="00DA61E0">
        <w:rPr>
          <w:rFonts w:ascii="Verdana" w:eastAsia="Times New Roman" w:hAnsi="Verdana" w:cs="Arial"/>
          <w:i/>
          <w:iCs/>
          <w:color w:val="000000" w:themeColor="text1"/>
          <w:lang w:val="es-ES" w:eastAsia="es-ES_tradnl"/>
        </w:rPr>
        <w:t>pueden transportarse de un lugar a otro, sea moviéndose ellas a sí mismas como los animales</w:t>
      </w:r>
      <w:r w:rsidRPr="00DA61E0">
        <w:rPr>
          <w:rFonts w:ascii="Verdana" w:eastAsia="Times New Roman" w:hAnsi="Verdana" w:cs="Arial"/>
          <w:color w:val="000000" w:themeColor="text1"/>
          <w:lang w:val="es-ES" w:eastAsia="es-ES_tradnl"/>
        </w:rPr>
        <w:t xml:space="preserve"> (</w:t>
      </w:r>
      <w:r w:rsidRPr="00DA61E0">
        <w:rPr>
          <w:rFonts w:ascii="Verdana" w:eastAsia="Times New Roman" w:hAnsi="Verdana" w:cs="Arial"/>
          <w:i/>
          <w:iCs/>
          <w:color w:val="000000" w:themeColor="text1"/>
          <w:lang w:val="es-ES" w:eastAsia="es-ES_tradnl"/>
        </w:rPr>
        <w:t>que por eso se llaman semovientes), sea que sólo se muevan por una fuerza externa, como las cosas inanimadas”</w:t>
      </w:r>
      <w:r w:rsidRPr="00DA61E0">
        <w:rPr>
          <w:rFonts w:ascii="Verdana" w:eastAsia="Times New Roman" w:hAnsi="Verdana" w:cs="Arial"/>
          <w:color w:val="000000" w:themeColor="text1"/>
          <w:lang w:val="es-ES" w:eastAsia="es-ES_tradnl"/>
        </w:rPr>
        <w:t>, mientras que el artículo 656 define los inmuebles así: “</w:t>
      </w:r>
      <w:r w:rsidRPr="00DA61E0">
        <w:rPr>
          <w:rFonts w:ascii="Verdana" w:eastAsia="Times New Roman" w:hAnsi="Verdana" w:cs="Arial"/>
          <w:i/>
          <w:iCs/>
          <w:color w:val="000000" w:themeColor="text1"/>
          <w:lang w:val="es-ES" w:eastAsia="es-ES_tradnl"/>
        </w:rPr>
        <w:t>Inmuebles o fincas o bienes raíces son las cosas que no pueden transportarse de un lugar a otro; como las tierras y minas, y las que adhieren permanentemente a ellas, como los edificios, los árboles. Las casas y veredas se llaman predios o fundos”.</w:t>
      </w:r>
      <w:r w:rsidRPr="00DA61E0">
        <w:rPr>
          <w:rFonts w:ascii="Verdana" w:eastAsia="Times New Roman" w:hAnsi="Verdana" w:cs="Arial"/>
          <w:color w:val="000000" w:themeColor="text1"/>
          <w:lang w:val="es-ES" w:eastAsia="es-ES_tradnl"/>
        </w:rPr>
        <w:t xml:space="preserve"> No obstante, esta definición se refiere a los inmuebles por naturaleza, pues el Código también considera inmuebles a las cosas que en principio eran muebles, pero que por su destinación o adhesión mutan su categoría. </w:t>
      </w:r>
    </w:p>
    <w:p w14:paraId="27E54FE3" w14:textId="77777777" w:rsidR="00DA61E0" w:rsidRPr="00DA61E0" w:rsidRDefault="00DA61E0" w:rsidP="00DA61E0">
      <w:pPr>
        <w:spacing w:after="120" w:line="276" w:lineRule="auto"/>
        <w:ind w:firstLine="708"/>
        <w:jc w:val="both"/>
        <w:rPr>
          <w:rFonts w:ascii="Verdana" w:eastAsia="Times New Roman" w:hAnsi="Verdana" w:cs="Arial"/>
          <w:i/>
          <w:iCs/>
          <w:lang w:val="es-MX" w:eastAsia="es-ES_tradnl"/>
        </w:rPr>
      </w:pPr>
      <w:r w:rsidRPr="00DA61E0">
        <w:rPr>
          <w:rFonts w:ascii="Verdana" w:eastAsia="Times New Roman" w:hAnsi="Verdana" w:cs="Arial"/>
          <w:lang w:val="es-ES" w:eastAsia="es-ES_tradnl"/>
        </w:rPr>
        <w:lastRenderedPageBreak/>
        <w:t>Por otro lado, e</w:t>
      </w:r>
      <w:r w:rsidRPr="00DA61E0">
        <w:rPr>
          <w:rFonts w:ascii="Verdana" w:eastAsia="Times New Roman" w:hAnsi="Verdana" w:cs="Arial"/>
          <w:lang w:val="es-MX" w:eastAsia="es-ES_tradnl"/>
        </w:rPr>
        <w:t>l artículo 674 del Código Civil define los bienes de dominio público como aquellos que “</w:t>
      </w:r>
      <w:r w:rsidRPr="00DA61E0">
        <w:rPr>
          <w:rFonts w:ascii="Verdana" w:eastAsia="Times New Roman" w:hAnsi="Verdana" w:cs="Arial"/>
          <w:i/>
          <w:iCs/>
          <w:lang w:val="es-MX" w:eastAsia="es-ES_tradnl"/>
        </w:rPr>
        <w:t xml:space="preserve">[…] pertenece a todos los habitantes de un Territorio, como el de calles, plazas, puentes y caminos, se llaman bienes de la Unión o de uso público o bienes públicos del Territorio”. </w:t>
      </w:r>
      <w:r w:rsidRPr="00DA61E0">
        <w:rPr>
          <w:rFonts w:ascii="Verdana" w:eastAsia="Times New Roman" w:hAnsi="Verdana" w:cs="Arial"/>
          <w:lang w:val="es-MX" w:eastAsia="es-ES_tradnl"/>
        </w:rPr>
        <w:t>Los bienes de dominio público, de acuerdo con la sentencia C- 183 de 2003 de la Corte Constitucional, son “</w:t>
      </w:r>
      <w:r w:rsidRPr="00DA61E0">
        <w:rPr>
          <w:rFonts w:ascii="Verdana" w:eastAsia="Times New Roman" w:hAnsi="Verdana" w:cs="Arial"/>
          <w:i/>
          <w:iCs/>
          <w:lang w:val="es-MX" w:eastAsia="es-ES_tradnl"/>
        </w:rPr>
        <w:t>el conjunto de bienes que la administración afecta al uso directo de la comunidad o que lo utiliza para servir a la sociedad”</w:t>
      </w:r>
      <w:r w:rsidRPr="00DA61E0">
        <w:rPr>
          <w:rFonts w:ascii="Verdana" w:eastAsia="Times New Roman" w:hAnsi="Verdana" w:cs="Arial"/>
          <w:lang w:val="es-MX" w:eastAsia="es-ES_tradnl"/>
        </w:rPr>
        <w:t>. Dentro de esta categoría se encuentran los bienes fiscales y los bienes de uso público.</w:t>
      </w:r>
      <w:r w:rsidRPr="00DA61E0">
        <w:rPr>
          <w:rFonts w:ascii="Calibri" w:eastAsia="Calibri" w:hAnsi="Calibri" w:cs="Times New Roman"/>
          <w:vertAlign w:val="superscript"/>
        </w:rPr>
        <w:footnoteReference w:id="24"/>
      </w:r>
      <w:r w:rsidRPr="00DA61E0">
        <w:rPr>
          <w:rFonts w:ascii="Verdana" w:eastAsia="Times New Roman" w:hAnsi="Verdana" w:cs="Arial"/>
          <w:lang w:val="es-MX" w:eastAsia="es-ES_tradnl"/>
        </w:rPr>
        <w:t xml:space="preserve"> Los bienes fiscales, de acuerdo con el Alto Tribunal Constitucional</w:t>
      </w:r>
      <w:r w:rsidRPr="00DA61E0">
        <w:rPr>
          <w:rFonts w:ascii="Calibri" w:eastAsia="Calibri" w:hAnsi="Calibri" w:cs="Times New Roman"/>
          <w:vertAlign w:val="superscript"/>
        </w:rPr>
        <w:footnoteReference w:id="25"/>
      </w:r>
      <w:r w:rsidRPr="00DA61E0">
        <w:rPr>
          <w:rFonts w:ascii="Verdana" w:eastAsia="Times New Roman" w:hAnsi="Verdana" w:cs="Arial"/>
          <w:lang w:val="es-MX" w:eastAsia="es-ES_tradnl"/>
        </w:rPr>
        <w:t xml:space="preserve">, están destinados a la prestación de servicios públicos que la Administración utiliza de forma inmediata, como los edificios donde funcionan las oficinas públicas. </w:t>
      </w:r>
    </w:p>
    <w:p w14:paraId="2336756F" w14:textId="77777777" w:rsidR="00DA61E0" w:rsidRPr="00DA61E0" w:rsidRDefault="00DA61E0" w:rsidP="00DA61E0">
      <w:pPr>
        <w:spacing w:after="120" w:line="276" w:lineRule="auto"/>
        <w:ind w:firstLine="720"/>
        <w:jc w:val="both"/>
        <w:rPr>
          <w:rFonts w:ascii="Verdana" w:eastAsia="Times New Roman" w:hAnsi="Verdana" w:cs="Arial"/>
          <w:lang w:val="es-MX" w:eastAsia="es-ES_tradnl"/>
        </w:rPr>
      </w:pPr>
      <w:r w:rsidRPr="00DA61E0">
        <w:rPr>
          <w:rFonts w:ascii="Verdana" w:eastAsia="Times New Roman" w:hAnsi="Verdana" w:cs="Arial"/>
          <w:lang w:val="es-MX" w:eastAsia="es-ES_tradnl"/>
        </w:rPr>
        <w:t xml:space="preserve">A su vez, el Consejo de Estado, define los bienes fiscales como </w:t>
      </w:r>
      <w:r w:rsidRPr="00DA61E0">
        <w:rPr>
          <w:rFonts w:ascii="Verdana" w:eastAsia="Times New Roman" w:hAnsi="Verdana" w:cs="Arial"/>
          <w:i/>
          <w:iCs/>
          <w:lang w:val="es-MX" w:eastAsia="es-ES_tradnl"/>
        </w:rPr>
        <w:t xml:space="preserve">“aquellos que pertenecen  </w:t>
      </w:r>
      <w:r w:rsidRPr="00DA61E0">
        <w:rPr>
          <w:rFonts w:ascii="Verdana" w:eastAsia="Times New Roman" w:hAnsi="Verdana" w:cs="Arial"/>
          <w:i/>
          <w:iCs/>
          <w:color w:val="000000" w:themeColor="text1"/>
          <w:lang w:val="es-MX" w:eastAsia="es-ES_tradnl"/>
        </w:rPr>
        <w:t>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w:t>
      </w:r>
      <w:r w:rsidRPr="00DA61E0">
        <w:rPr>
          <w:rFonts w:ascii="Verdana" w:eastAsia="Times New Roman" w:hAnsi="Verdana" w:cs="Arial"/>
          <w:i/>
          <w:iCs/>
          <w:color w:val="000000" w:themeColor="text1"/>
          <w:spacing w:val="-27"/>
          <w:lang w:val="es-MX" w:eastAsia="es-ES_tradnl"/>
        </w:rPr>
        <w:t xml:space="preserve"> </w:t>
      </w:r>
      <w:r w:rsidRPr="00DA61E0">
        <w:rPr>
          <w:rFonts w:ascii="Verdana" w:eastAsia="Times New Roman" w:hAnsi="Verdana" w:cs="Arial"/>
          <w:i/>
          <w:iCs/>
          <w:color w:val="000000" w:themeColor="text1"/>
          <w:lang w:val="es-MX" w:eastAsia="es-ES_tradnl"/>
        </w:rPr>
        <w:t>propiedad”</w:t>
      </w:r>
      <w:r w:rsidRPr="00DA61E0">
        <w:rPr>
          <w:rFonts w:ascii="Calibri" w:eastAsia="Calibri" w:hAnsi="Calibri" w:cs="Times New Roman"/>
          <w:vertAlign w:val="superscript"/>
        </w:rPr>
        <w:footnoteReference w:id="26"/>
      </w:r>
      <w:r w:rsidRPr="00DA61E0">
        <w:rPr>
          <w:rFonts w:ascii="Verdana" w:eastAsia="Times New Roman" w:hAnsi="Verdana" w:cs="Arial"/>
          <w:vertAlign w:val="superscript"/>
          <w:lang w:val="es-MX" w:eastAsia="es-ES_tradnl"/>
        </w:rPr>
        <w:t>.</w:t>
      </w:r>
      <w:r w:rsidRPr="00DA61E0">
        <w:rPr>
          <w:rFonts w:ascii="Verdana" w:eastAsia="Times New Roman" w:hAnsi="Verdana" w:cs="Arial"/>
          <w:color w:val="000000" w:themeColor="text1"/>
          <w:lang w:val="es-MX" w:eastAsia="es-ES_tradnl"/>
        </w:rPr>
        <w:t xml:space="preserve"> </w:t>
      </w:r>
      <w:r w:rsidRPr="00DA61E0">
        <w:rPr>
          <w:rFonts w:ascii="Verdana" w:eastAsia="Times New Roman" w:hAnsi="Verdana" w:cs="Arial"/>
          <w:lang w:val="es-MX" w:eastAsia="es-ES_tradnl"/>
        </w:rPr>
        <w:t>De esta forma, sobre los bienes fiscales, a pesar de estar destinados a la prestación de servicios públicos, las Entidades Estatales tienen la facultad de disponer de ellos a través de un acto jurídico como la compraventa, la donación, el arriendo, entre</w:t>
      </w:r>
      <w:r w:rsidRPr="00DA61E0">
        <w:rPr>
          <w:rFonts w:ascii="Verdana" w:eastAsia="Times New Roman" w:hAnsi="Verdana" w:cs="Arial"/>
          <w:spacing w:val="-3"/>
          <w:lang w:val="es-MX" w:eastAsia="es-ES_tradnl"/>
        </w:rPr>
        <w:t xml:space="preserve"> </w:t>
      </w:r>
      <w:r w:rsidRPr="00DA61E0">
        <w:rPr>
          <w:rFonts w:ascii="Verdana" w:eastAsia="Times New Roman" w:hAnsi="Verdana" w:cs="Arial"/>
          <w:lang w:val="es-MX" w:eastAsia="es-ES_tradnl"/>
        </w:rPr>
        <w:t>otros.</w:t>
      </w:r>
      <w:r w:rsidRPr="00DA61E0">
        <w:rPr>
          <w:rFonts w:ascii="Verdana" w:eastAsia="Times New Roman" w:hAnsi="Verdana" w:cs="Arial"/>
          <w:vertAlign w:val="superscript"/>
          <w:lang w:val="es-MX" w:eastAsia="es-ES_tradnl"/>
        </w:rPr>
        <w:t xml:space="preserve"> </w:t>
      </w:r>
    </w:p>
    <w:p w14:paraId="7B43DF1D" w14:textId="77777777" w:rsidR="00DA61E0" w:rsidRPr="00DA61E0" w:rsidRDefault="00DA61E0" w:rsidP="00DA61E0">
      <w:pPr>
        <w:spacing w:after="120" w:line="276" w:lineRule="auto"/>
        <w:ind w:firstLine="720"/>
        <w:jc w:val="both"/>
        <w:rPr>
          <w:rFonts w:ascii="Verdana" w:eastAsia="Times New Roman" w:hAnsi="Verdana" w:cs="Arial"/>
          <w:lang w:val="es-MX" w:eastAsia="es-ES_tradnl"/>
        </w:rPr>
      </w:pPr>
      <w:r w:rsidRPr="00DA61E0">
        <w:rPr>
          <w:rFonts w:ascii="Verdana" w:eastAsia="Times New Roman" w:hAnsi="Verdana" w:cs="Arial"/>
          <w:lang w:val="es-MX" w:eastAsia="es-ES_tradnl"/>
        </w:rPr>
        <w:t xml:space="preserve">Acerca de los bienes de uso público, el Consejo de Estado los define como </w:t>
      </w:r>
      <w:r w:rsidRPr="00DA61E0">
        <w:rPr>
          <w:rFonts w:ascii="Verdana" w:eastAsia="Times New Roman" w:hAnsi="Verdana" w:cs="Arial"/>
          <w:i/>
          <w:iCs/>
          <w:lang w:val="es-MX" w:eastAsia="es-ES_tradnl"/>
        </w:rPr>
        <w:t>“aquellos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 por motivos de interés general”</w:t>
      </w:r>
      <w:r w:rsidRPr="00DA61E0">
        <w:rPr>
          <w:rFonts w:ascii="Calibri" w:eastAsia="Calibri" w:hAnsi="Calibri" w:cs="Times New Roman"/>
          <w:vertAlign w:val="superscript"/>
        </w:rPr>
        <w:footnoteReference w:id="27"/>
      </w:r>
      <w:r w:rsidRPr="00DA61E0">
        <w:rPr>
          <w:rFonts w:ascii="Verdana" w:eastAsia="Times New Roman" w:hAnsi="Verdana" w:cs="Arial"/>
          <w:i/>
          <w:iCs/>
          <w:lang w:val="es-MX" w:eastAsia="es-ES_tradnl"/>
        </w:rPr>
        <w:t>.</w:t>
      </w:r>
      <w:r w:rsidRPr="00DA61E0">
        <w:rPr>
          <w:rFonts w:ascii="Verdana" w:eastAsia="Times New Roman" w:hAnsi="Verdana" w:cs="Arial"/>
          <w:lang w:val="es-MX" w:eastAsia="es-ES_tradnl"/>
        </w:rPr>
        <w:t xml:space="preserve"> Por lo tanto, como estos bienes están destinados al uso de los habitantes de un territorio, el Estado no puede disponer de ellos por encontrarse </w:t>
      </w:r>
      <w:r w:rsidRPr="00DA61E0">
        <w:rPr>
          <w:rFonts w:ascii="Verdana" w:eastAsia="Times New Roman" w:hAnsi="Verdana" w:cs="Arial"/>
          <w:lang w:val="es-MX" w:eastAsia="es-ES_tradnl"/>
        </w:rPr>
        <w:lastRenderedPageBreak/>
        <w:t>fuera del comercio</w:t>
      </w:r>
      <w:r w:rsidRPr="00DA61E0">
        <w:rPr>
          <w:rFonts w:ascii="Calibri" w:eastAsia="Calibri" w:hAnsi="Calibri" w:cs="Times New Roman"/>
          <w:vertAlign w:val="superscript"/>
        </w:rPr>
        <w:footnoteReference w:id="28"/>
      </w:r>
      <w:r w:rsidRPr="00DA61E0">
        <w:rPr>
          <w:rFonts w:ascii="Verdana" w:eastAsia="Times New Roman" w:hAnsi="Verdana" w:cs="Arial"/>
          <w:lang w:val="es-MX" w:eastAsia="es-ES_tradnl"/>
        </w:rPr>
        <w:t>.</w:t>
      </w:r>
      <w:r w:rsidRPr="00DA61E0">
        <w:rPr>
          <w:rFonts w:ascii="Verdana" w:eastAsia="Times New Roman" w:hAnsi="Verdana" w:cs="Arial"/>
          <w:vertAlign w:val="superscript"/>
          <w:lang w:val="es-MX" w:eastAsia="es-ES_tradnl"/>
        </w:rPr>
        <w:t xml:space="preserve"> </w:t>
      </w:r>
      <w:r w:rsidRPr="00DA61E0">
        <w:rPr>
          <w:rFonts w:ascii="Verdana" w:eastAsia="Times New Roman" w:hAnsi="Verdana" w:cs="Arial"/>
          <w:lang w:val="es-MX" w:eastAsia="es-ES_tradnl"/>
        </w:rPr>
        <w:t xml:space="preserve"> En ese orden de ideas, los bienes sobre los cuales puede recaer el acto de enajenación a título oneroso o gratuito son los bienes fiscales muebles o inmuebles y no los bienes de uso público.</w:t>
      </w:r>
    </w:p>
    <w:p w14:paraId="75D359C9" w14:textId="77777777" w:rsidR="00DA61E0" w:rsidRPr="00DA61E0" w:rsidRDefault="00DA61E0" w:rsidP="00DA61E0">
      <w:pPr>
        <w:spacing w:after="120" w:line="276" w:lineRule="auto"/>
        <w:ind w:firstLine="720"/>
        <w:jc w:val="both"/>
        <w:rPr>
          <w:rFonts w:ascii="Verdana" w:eastAsia="Verdana" w:hAnsi="Verdana" w:cs="Verdana"/>
          <w:bCs/>
        </w:rPr>
      </w:pPr>
      <w:r w:rsidRPr="00DA61E0">
        <w:rPr>
          <w:rFonts w:ascii="Verdana" w:eastAsia="Verdana" w:hAnsi="Verdana" w:cs="Verdana"/>
          <w:bCs/>
        </w:rPr>
        <w:t>De acuerdo con lo expuesto, resulta procedente la enajenación de bienes fiscales inmuebles de propiedad de las Empresas Sociales del Estado (ESE). No obstante, debe advertirse que no existe un procedimiento especial ni un régimen normativo específico que regule de manera exclusiva este tipo de operaciones para las ESE. Las disposiciones de la Ley 1150 de 2007 y del Decreto 1082 de 2015 contienen reglas generales sobre la enajenación de bienes en entidades sometidas al EGCAP, pero dichas normas no se aplican a las ESE, dado su carácter de entidades de régimen especial. En consecuencia, cuentan con un margen de configuración para definir internamente la forma de adelantar estos procesos.</w:t>
      </w:r>
    </w:p>
    <w:p w14:paraId="482876C5" w14:textId="77777777" w:rsidR="00DA61E0" w:rsidRPr="00DA61E0" w:rsidRDefault="00DA61E0" w:rsidP="00DA61E0">
      <w:pPr>
        <w:spacing w:after="120" w:line="276" w:lineRule="auto"/>
        <w:ind w:firstLine="720"/>
        <w:jc w:val="both"/>
        <w:rPr>
          <w:rFonts w:ascii="Verdana" w:eastAsia="Verdana" w:hAnsi="Verdana" w:cs="Verdana"/>
          <w:bCs/>
        </w:rPr>
      </w:pPr>
      <w:r w:rsidRPr="00DA61E0">
        <w:rPr>
          <w:rFonts w:ascii="Verdana" w:eastAsia="Verdana" w:hAnsi="Verdana" w:cs="Verdana"/>
          <w:bCs/>
        </w:rPr>
        <w:t>Sin embargo, esta libertad de configuración no es absoluta. Las ESE deben asegurar que cualquier procedimiento de enajenación se sujete a los principios de la función administrativa: igualdad, moralidad, eficacia, economía, celeridad, imparcialidad y publicidad. Asimismo, es obligatorio observar lo dispuesto en el manual de contratación de cada entidad, el cual constituye un instrumento normativo interno que orienta la actuación administrativa y garantiza coherencia con el marco jurídico superior.</w:t>
      </w:r>
    </w:p>
    <w:p w14:paraId="53613C0E" w14:textId="77777777" w:rsidR="00DA61E0" w:rsidRPr="00DA61E0" w:rsidRDefault="00DA61E0" w:rsidP="00DA61E0">
      <w:pPr>
        <w:spacing w:after="120" w:line="276" w:lineRule="auto"/>
        <w:ind w:firstLine="709"/>
        <w:jc w:val="both"/>
        <w:rPr>
          <w:rFonts w:ascii="Verdana" w:eastAsia="Calibri" w:hAnsi="Verdana" w:cs="Arial"/>
          <w:lang w:eastAsia="es-ES_tradnl"/>
        </w:rPr>
      </w:pPr>
      <w:r w:rsidRPr="00DA61E0">
        <w:rPr>
          <w:rFonts w:ascii="Verdana" w:eastAsia="Verdana" w:hAnsi="Verdana" w:cs="Verdana"/>
          <w:bCs/>
        </w:rPr>
        <w:t>En términos operativos, esta situación implica que las ESE pueden optar por mecanismos como la venta directa, la subasta pública o la invitación abierta, siempre que la modalidad seleccionada se encuentre debidamente justificada, documentada y se garantice la transparencia del proceso. Para ello, debe tenerse en cuenta tenerse en cuenta la Resolución 5185 de 2013, modificada por las Resoluciones 1440 del 14 de agosto de 2024 y 2053 de 2025, mediante las cuales se establecen los lineamientos para que las Empresas Sociales del Estado adopten los manuales de contratación que regirán su actividad contractual. Este marco normativo, expedido en ejercicio de las facultades conferidas por el artículo 76 de la Ley 1438 de 2011, fija criterios mínimos y orientadores que deben observarse en la elaboración, actualización y aplicación de dichos manuales.</w:t>
      </w:r>
    </w:p>
    <w:p w14:paraId="5449D2C8" w14:textId="77777777" w:rsidR="00DA61E0" w:rsidRPr="00DA61E0" w:rsidRDefault="00DA61E0" w:rsidP="00DA61E0">
      <w:pPr>
        <w:spacing w:after="0" w:line="276" w:lineRule="auto"/>
        <w:ind w:firstLine="720"/>
        <w:jc w:val="both"/>
        <w:rPr>
          <w:rFonts w:ascii="Verdana" w:eastAsia="Verdana" w:hAnsi="Verdana" w:cs="Verdana"/>
          <w:bCs/>
        </w:rPr>
      </w:pPr>
      <w:r w:rsidRPr="00DA61E0">
        <w:rPr>
          <w:rFonts w:ascii="Verdana" w:eastAsia="Verdana" w:hAnsi="Verdana" w:cs="Verdana"/>
          <w:bCs/>
        </w:rPr>
        <w:lastRenderedPageBreak/>
        <w:t>Finalmente, aun cuando las ESE dispongan de flexibilidad para definir sus procedimientos, sus actuaciones en materia de enajenación de bienes están sujetas al control fiscal, disciplinario y eventualmente penal por parte de los órganos competentes. Esto exige que cada operación esté debidamente motivada, sustentada y ejecutada con criterios de razonabilidad y legalidad, asegurando que la gestión patrimonial de la entidad se realice de manera responsable y conforme al interés público.</w:t>
      </w:r>
    </w:p>
    <w:p w14:paraId="2F281980" w14:textId="77777777" w:rsidR="00DA61E0" w:rsidRPr="00DA61E0" w:rsidRDefault="00DA61E0" w:rsidP="00DA61E0">
      <w:pPr>
        <w:widowControl w:val="0"/>
        <w:autoSpaceDE w:val="0"/>
        <w:autoSpaceDN w:val="0"/>
        <w:spacing w:after="0" w:line="276" w:lineRule="auto"/>
        <w:ind w:firstLine="709"/>
        <w:jc w:val="both"/>
        <w:rPr>
          <w:rFonts w:ascii="Verdana" w:eastAsia="Verdana" w:hAnsi="Verdana" w:cs="Verdana"/>
          <w:bCs/>
        </w:rPr>
      </w:pPr>
    </w:p>
    <w:p w14:paraId="30670AFC" w14:textId="77777777" w:rsidR="00DA61E0" w:rsidRPr="00DA61E0" w:rsidRDefault="00DA61E0" w:rsidP="00DA61E0">
      <w:pPr>
        <w:spacing w:after="120" w:line="276" w:lineRule="auto"/>
        <w:jc w:val="both"/>
        <w:rPr>
          <w:rFonts w:ascii="Verdana" w:eastAsia="Calibri" w:hAnsi="Verdana" w:cs="Arial"/>
          <w:color w:val="000000" w:themeColor="text1"/>
        </w:rPr>
      </w:pPr>
      <w:r w:rsidRPr="00DA61E0">
        <w:rPr>
          <w:rFonts w:ascii="Verdana" w:eastAsia="Calibri" w:hAnsi="Verdana" w:cs="Arial"/>
          <w:color w:val="000000" w:themeColor="text1"/>
          <w:lang w:val="es-ES"/>
        </w:rPr>
        <w:t xml:space="preserve">iv. Al </w:t>
      </w:r>
      <w:r w:rsidRPr="00DA61E0">
        <w:rPr>
          <w:rFonts w:ascii="Verdana" w:eastAsia="Calibri"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C1D23F5" w14:textId="77777777" w:rsidR="00DA61E0" w:rsidRPr="00DA61E0" w:rsidRDefault="00DA61E0" w:rsidP="00DA61E0">
      <w:pPr>
        <w:spacing w:after="0" w:line="276" w:lineRule="auto"/>
        <w:ind w:firstLine="709"/>
        <w:jc w:val="both"/>
        <w:rPr>
          <w:rFonts w:ascii="Verdana" w:eastAsia="Calibri" w:hAnsi="Verdana" w:cs="Arial"/>
          <w:lang w:val="es-ES" w:eastAsia="es-ES"/>
        </w:rPr>
      </w:pPr>
      <w:r w:rsidRPr="00DA61E0">
        <w:rPr>
          <w:rFonts w:ascii="Verdana" w:eastAsia="Calibri"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4F979F9" w14:textId="77777777" w:rsidR="00DA61E0" w:rsidRPr="00DA61E0" w:rsidRDefault="00DA61E0" w:rsidP="00DA61E0">
      <w:pPr>
        <w:spacing w:after="0" w:line="276" w:lineRule="auto"/>
        <w:jc w:val="both"/>
        <w:rPr>
          <w:rFonts w:ascii="Verdana" w:eastAsia="Calibri" w:hAnsi="Verdana" w:cs="Arial"/>
          <w:bCs/>
          <w:color w:val="000000" w:themeColor="text1"/>
          <w:lang w:val="es-ES"/>
        </w:rPr>
      </w:pPr>
    </w:p>
    <w:p w14:paraId="71C9049E" w14:textId="77777777" w:rsidR="00DA61E0" w:rsidRPr="00DA61E0" w:rsidRDefault="00DA61E0" w:rsidP="00DA61E0">
      <w:pPr>
        <w:numPr>
          <w:ilvl w:val="0"/>
          <w:numId w:val="16"/>
        </w:numPr>
        <w:tabs>
          <w:tab w:val="left" w:pos="142"/>
          <w:tab w:val="left" w:pos="284"/>
        </w:tabs>
        <w:spacing w:after="0" w:line="276" w:lineRule="auto"/>
        <w:ind w:left="426"/>
        <w:contextualSpacing/>
        <w:jc w:val="both"/>
        <w:rPr>
          <w:rFonts w:ascii="Verdana" w:eastAsia="Century Gothic" w:hAnsi="Verdana" w:cs="Century Gothic"/>
          <w:b/>
          <w:bCs/>
          <w:lang w:val="es-ES"/>
        </w:rPr>
      </w:pPr>
      <w:r w:rsidRPr="00DA61E0">
        <w:rPr>
          <w:rFonts w:ascii="Verdana" w:eastAsia="Century Gothic" w:hAnsi="Verdana" w:cs="Century Gothic"/>
          <w:b/>
          <w:bCs/>
          <w:lang w:val="es-ES"/>
        </w:rPr>
        <w:t>Referencias normativas:</w:t>
      </w:r>
    </w:p>
    <w:p w14:paraId="47C32652" w14:textId="77777777" w:rsidR="00DA61E0" w:rsidRPr="00DA61E0" w:rsidRDefault="00DA61E0" w:rsidP="00DA61E0">
      <w:pPr>
        <w:widowControl w:val="0"/>
        <w:autoSpaceDE w:val="0"/>
        <w:autoSpaceDN w:val="0"/>
        <w:spacing w:after="0" w:line="276" w:lineRule="auto"/>
        <w:jc w:val="both"/>
        <w:rPr>
          <w:rFonts w:ascii="Verdana" w:eastAsia="Calibri" w:hAnsi="Verdana" w:cs="Arial"/>
        </w:rPr>
      </w:pPr>
      <w:r w:rsidRPr="00DA61E0">
        <w:rPr>
          <w:rFonts w:ascii="Verdana" w:eastAsia="Calibri" w:hAnsi="Verdana" w:cs="Arial"/>
          <w:lang w:val="es-ES"/>
        </w:rPr>
        <w:t xml:space="preserve"> </w:t>
      </w:r>
    </w:p>
    <w:tbl>
      <w:tblPr>
        <w:tblStyle w:val="Tablaconcuadrcula2"/>
        <w:tblW w:w="8640" w:type="dxa"/>
        <w:jc w:val="center"/>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A61E0" w:rsidRPr="00DA61E0" w14:paraId="55249E88" w14:textId="77777777">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24A1FA9F" w14:textId="77777777" w:rsidR="00DA61E0" w:rsidRPr="00DA61E0" w:rsidRDefault="00DA61E0" w:rsidP="00DA61E0">
            <w:pPr>
              <w:numPr>
                <w:ilvl w:val="0"/>
                <w:numId w:val="17"/>
              </w:numPr>
              <w:spacing w:before="120" w:after="120" w:line="276" w:lineRule="auto"/>
              <w:ind w:left="714" w:hanging="357"/>
              <w:jc w:val="both"/>
              <w:rPr>
                <w:rFonts w:ascii="Verdana" w:hAnsi="Verdana" w:cs="Arial"/>
              </w:rPr>
            </w:pPr>
            <w:r w:rsidRPr="00DA61E0">
              <w:rPr>
                <w:rFonts w:ascii="Verdana" w:hAnsi="Verdana" w:cs="Arial"/>
              </w:rPr>
              <w:t>Constitución Política de 1991, artículos 150, 209, 267.</w:t>
            </w:r>
          </w:p>
          <w:p w14:paraId="75186FA3" w14:textId="77777777" w:rsidR="00DA61E0" w:rsidRPr="00DA61E0" w:rsidRDefault="00DA61E0" w:rsidP="00DA61E0">
            <w:pPr>
              <w:numPr>
                <w:ilvl w:val="0"/>
                <w:numId w:val="17"/>
              </w:numPr>
              <w:spacing w:before="120" w:after="120" w:line="276" w:lineRule="auto"/>
              <w:ind w:left="714" w:hanging="357"/>
              <w:jc w:val="both"/>
              <w:rPr>
                <w:rFonts w:ascii="Verdana" w:hAnsi="Verdana" w:cs="Arial"/>
              </w:rPr>
            </w:pPr>
            <w:r w:rsidRPr="00DA61E0">
              <w:rPr>
                <w:rFonts w:ascii="Verdana" w:hAnsi="Verdana" w:cs="Arial"/>
              </w:rPr>
              <w:t xml:space="preserve">Código Civil, artículos 654, 655, 673 y 674. </w:t>
            </w:r>
          </w:p>
          <w:p w14:paraId="457FC42A" w14:textId="77777777" w:rsidR="00DA61E0" w:rsidRPr="00DA61E0" w:rsidRDefault="00DA61E0" w:rsidP="00DA61E0">
            <w:pPr>
              <w:numPr>
                <w:ilvl w:val="0"/>
                <w:numId w:val="17"/>
              </w:numPr>
              <w:spacing w:before="120" w:after="120" w:line="276" w:lineRule="auto"/>
              <w:ind w:left="714" w:hanging="357"/>
              <w:jc w:val="both"/>
              <w:rPr>
                <w:rFonts w:ascii="Verdana" w:hAnsi="Verdana" w:cs="Arial"/>
              </w:rPr>
            </w:pPr>
            <w:r w:rsidRPr="00DA61E0">
              <w:rPr>
                <w:rFonts w:ascii="Verdana" w:hAnsi="Verdana" w:cs="Arial"/>
              </w:rPr>
              <w:t>Ley 80 de 1993, artículos 2, 13, 14, 32 y 40.</w:t>
            </w:r>
          </w:p>
          <w:p w14:paraId="51955427" w14:textId="77777777" w:rsidR="00DA61E0" w:rsidRPr="00DA61E0" w:rsidRDefault="00DA61E0" w:rsidP="00DA61E0">
            <w:pPr>
              <w:numPr>
                <w:ilvl w:val="0"/>
                <w:numId w:val="17"/>
              </w:numPr>
              <w:spacing w:before="120" w:after="120" w:line="276" w:lineRule="auto"/>
              <w:ind w:left="714" w:hanging="357"/>
              <w:jc w:val="both"/>
              <w:rPr>
                <w:rFonts w:ascii="Verdana" w:hAnsi="Verdana" w:cs="Arial"/>
              </w:rPr>
            </w:pPr>
            <w:r w:rsidRPr="00DA61E0">
              <w:rPr>
                <w:rFonts w:ascii="Verdana" w:hAnsi="Verdana" w:cs="Arial"/>
              </w:rPr>
              <w:t>Ley 100 de 1993, artículos 194 y 195.</w:t>
            </w:r>
          </w:p>
          <w:p w14:paraId="68CA2E4A" w14:textId="77777777" w:rsidR="00DA61E0" w:rsidRPr="00DA61E0" w:rsidRDefault="00DA61E0" w:rsidP="00DA61E0">
            <w:pPr>
              <w:numPr>
                <w:ilvl w:val="0"/>
                <w:numId w:val="17"/>
              </w:numPr>
              <w:spacing w:before="120" w:after="120" w:line="276" w:lineRule="auto"/>
              <w:ind w:left="714" w:hanging="357"/>
              <w:jc w:val="both"/>
              <w:rPr>
                <w:rFonts w:ascii="Verdana" w:hAnsi="Verdana" w:cs="Arial"/>
              </w:rPr>
            </w:pPr>
            <w:r w:rsidRPr="00DA61E0">
              <w:rPr>
                <w:rFonts w:ascii="Verdana" w:hAnsi="Verdana" w:cs="Arial"/>
              </w:rPr>
              <w:lastRenderedPageBreak/>
              <w:t xml:space="preserve">Ley 489 de 1998, artículos 38 y 83. </w:t>
            </w:r>
          </w:p>
          <w:p w14:paraId="2F5EA9B8" w14:textId="77777777" w:rsidR="00DA61E0" w:rsidRPr="00DA61E0" w:rsidRDefault="00DA61E0" w:rsidP="00DA61E0">
            <w:pPr>
              <w:numPr>
                <w:ilvl w:val="0"/>
                <w:numId w:val="17"/>
              </w:numPr>
              <w:spacing w:before="120" w:after="120" w:line="276" w:lineRule="auto"/>
              <w:ind w:left="714" w:hanging="357"/>
              <w:jc w:val="both"/>
              <w:rPr>
                <w:rFonts w:ascii="Verdana" w:hAnsi="Verdana" w:cs="Arial"/>
              </w:rPr>
            </w:pPr>
            <w:r w:rsidRPr="00DA61E0">
              <w:rPr>
                <w:rFonts w:ascii="Verdana" w:hAnsi="Verdana" w:cs="Arial"/>
              </w:rPr>
              <w:t xml:space="preserve">Ley 1150 de 2007, artículos 13 y 14. </w:t>
            </w:r>
          </w:p>
          <w:p w14:paraId="5DA1D3B4" w14:textId="77777777" w:rsidR="00DA61E0" w:rsidRPr="00DA61E0" w:rsidRDefault="00DA61E0" w:rsidP="00DA61E0">
            <w:pPr>
              <w:numPr>
                <w:ilvl w:val="0"/>
                <w:numId w:val="17"/>
              </w:numPr>
              <w:spacing w:before="120" w:after="120" w:line="276" w:lineRule="auto"/>
              <w:jc w:val="both"/>
              <w:rPr>
                <w:rFonts w:ascii="Verdana" w:hAnsi="Verdana" w:cs="Arial"/>
              </w:rPr>
            </w:pPr>
            <w:r w:rsidRPr="00DA61E0">
              <w:rPr>
                <w:rFonts w:ascii="Verdana" w:hAnsi="Verdana" w:cs="Arial"/>
              </w:rPr>
              <w:t xml:space="preserve">Ley 1438 de 2011, artículo 76. </w:t>
            </w:r>
          </w:p>
          <w:p w14:paraId="244394C2" w14:textId="77777777" w:rsidR="00DA61E0" w:rsidRPr="00DA61E0" w:rsidRDefault="00DA61E0" w:rsidP="00DA61E0">
            <w:pPr>
              <w:numPr>
                <w:ilvl w:val="0"/>
                <w:numId w:val="17"/>
              </w:numPr>
              <w:spacing w:before="120" w:after="120" w:line="276" w:lineRule="auto"/>
              <w:jc w:val="both"/>
              <w:rPr>
                <w:rFonts w:ascii="Verdana" w:hAnsi="Verdana" w:cs="Arial"/>
              </w:rPr>
            </w:pPr>
            <w:r w:rsidRPr="00DA61E0">
              <w:rPr>
                <w:rFonts w:ascii="Verdana" w:hAnsi="Verdana" w:cs="Arial"/>
              </w:rPr>
              <w:t>Resolución No. 5185 de 2013 del Ministerio de Salud.</w:t>
            </w:r>
          </w:p>
          <w:p w14:paraId="4FAE8D53" w14:textId="77777777" w:rsidR="00DA61E0" w:rsidRPr="00DA61E0" w:rsidRDefault="00DA61E0" w:rsidP="00DA61E0">
            <w:pPr>
              <w:numPr>
                <w:ilvl w:val="0"/>
                <w:numId w:val="17"/>
              </w:numPr>
              <w:spacing w:before="120" w:after="120" w:line="276" w:lineRule="auto"/>
              <w:jc w:val="both"/>
              <w:rPr>
                <w:rFonts w:ascii="Verdana" w:hAnsi="Verdana" w:cs="Arial"/>
              </w:rPr>
            </w:pPr>
            <w:r w:rsidRPr="00DA61E0">
              <w:rPr>
                <w:rFonts w:ascii="Verdana" w:hAnsi="Verdana" w:cs="Arial"/>
              </w:rPr>
              <w:t xml:space="preserve">Resolución 1440 de 2024 del Ministerio de Salud. </w:t>
            </w:r>
          </w:p>
          <w:p w14:paraId="7670817D" w14:textId="77777777" w:rsidR="00DA61E0" w:rsidRPr="00DA61E0" w:rsidRDefault="00DA61E0" w:rsidP="00DA61E0">
            <w:pPr>
              <w:numPr>
                <w:ilvl w:val="0"/>
                <w:numId w:val="17"/>
              </w:numPr>
              <w:spacing w:before="120" w:after="120" w:line="276" w:lineRule="auto"/>
              <w:ind w:left="714" w:hanging="357"/>
              <w:jc w:val="both"/>
              <w:rPr>
                <w:rFonts w:ascii="Verdana" w:hAnsi="Verdana" w:cs="Arial"/>
              </w:rPr>
            </w:pPr>
            <w:r w:rsidRPr="00DA61E0">
              <w:rPr>
                <w:rFonts w:ascii="Verdana" w:hAnsi="Verdana" w:cs="Arial"/>
              </w:rPr>
              <w:t xml:space="preserve">Resolución 2053 de 2025 del Ministerio de Salud. </w:t>
            </w:r>
          </w:p>
        </w:tc>
      </w:tr>
    </w:tbl>
    <w:p w14:paraId="78E2A6A3" w14:textId="77777777" w:rsidR="00DA61E0" w:rsidRPr="00DA61E0" w:rsidRDefault="00DA61E0" w:rsidP="00DA61E0">
      <w:pPr>
        <w:spacing w:after="0" w:line="276" w:lineRule="auto"/>
        <w:jc w:val="both"/>
        <w:rPr>
          <w:rFonts w:ascii="Verdana" w:eastAsia="Calibri" w:hAnsi="Verdana" w:cs="Arial"/>
          <w:color w:val="000000"/>
          <w:lang w:eastAsia="es-ES"/>
        </w:rPr>
      </w:pPr>
    </w:p>
    <w:p w14:paraId="2A1FB640" w14:textId="77777777" w:rsidR="00DA61E0" w:rsidRPr="00DA61E0" w:rsidRDefault="00DA61E0" w:rsidP="00DA61E0">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DA61E0">
        <w:rPr>
          <w:rFonts w:ascii="Verdana" w:eastAsia="Century Gothic" w:hAnsi="Verdana" w:cs="Century Gothic"/>
          <w:b/>
          <w:bCs/>
          <w:lang w:val="es-ES"/>
        </w:rPr>
        <w:t>Doctrina de la Agencia Nacional de Contratación Pública:</w:t>
      </w:r>
    </w:p>
    <w:p w14:paraId="1D9F729E" w14:textId="77777777" w:rsidR="00DA61E0" w:rsidRPr="00DA61E0" w:rsidRDefault="00DA61E0" w:rsidP="00DA61E0">
      <w:pPr>
        <w:widowControl w:val="0"/>
        <w:autoSpaceDE w:val="0"/>
        <w:autoSpaceDN w:val="0"/>
        <w:spacing w:after="0" w:line="276" w:lineRule="auto"/>
        <w:jc w:val="both"/>
        <w:rPr>
          <w:rFonts w:ascii="Verdana" w:eastAsia="Calibri" w:hAnsi="Verdana" w:cs="Arial"/>
        </w:rPr>
      </w:pPr>
    </w:p>
    <w:p w14:paraId="08FCE82D" w14:textId="77777777" w:rsidR="00DA61E0" w:rsidRPr="00DA61E0" w:rsidRDefault="00DA61E0" w:rsidP="00DA61E0">
      <w:pPr>
        <w:spacing w:after="0" w:line="276" w:lineRule="auto"/>
        <w:jc w:val="both"/>
        <w:rPr>
          <w:rFonts w:ascii="Verdana" w:eastAsia="Calibri" w:hAnsi="Verdana" w:cs="Arial"/>
          <w:bCs/>
          <w:color w:val="000000" w:themeColor="text1"/>
          <w:lang w:val="es-ES"/>
        </w:rPr>
      </w:pPr>
      <w:r w:rsidRPr="00DA61E0">
        <w:rPr>
          <w:rFonts w:ascii="Verdana" w:eastAsia="Calibri" w:hAnsi="Verdana" w:cs="Arial"/>
          <w:bCs/>
          <w:shd w:val="clear" w:color="auto" w:fill="FFFFFF"/>
        </w:rPr>
        <w:t xml:space="preserve">La Agencia Nacional de Contratación Pública – Colombia Compra Eficiente, se ha pronunciado sobre las Empresas Sociales del Estado en los siguientes conceptos </w:t>
      </w:r>
      <w:r w:rsidRPr="00DA61E0">
        <w:rPr>
          <w:rFonts w:ascii="Verdana" w:eastAsia="Calibri" w:hAnsi="Verdana" w:cs="Arial"/>
          <w:bCs/>
          <w:shd w:val="clear" w:color="auto" w:fill="FFFFFF"/>
          <w:lang w:val="es-ES_tradnl"/>
        </w:rPr>
        <w:t xml:space="preserve">con radicado 2201913000007228 de 30 de septiembre de 2019, 2201913000007955 24 de octubre de 2019, 2201913000009314 17 de diciembre de 2020, 2201913000009591 24 de diciembre de 2019, 2201913000009469 20 de diciembre de 2019, CU-003 del 15 de enero de 2020, C-079 de 5 de febrero de 2020, C-168 de 31 de marzo de 2020, C-658 de 2020, C-038 del 23 de abril de 2024, C-673 del 8 de julio de 2025, C-912 del 21 de agosto de 2025, C-1134 del 25 de septiembre de 2025, C- 1285 del 14 de octubre de 2025, entre otros. </w:t>
      </w:r>
      <w:r w:rsidRPr="00DA61E0">
        <w:rPr>
          <w:rFonts w:ascii="Verdana" w:eastAsia="Calibri" w:hAnsi="Verdana" w:cs="Arial"/>
          <w:bCs/>
          <w:shd w:val="clear" w:color="auto" w:fill="FFFFFF"/>
        </w:rPr>
        <w:t>entre otros</w:t>
      </w:r>
      <w:r w:rsidRPr="00DA61E0">
        <w:rPr>
          <w:rFonts w:ascii="Verdana" w:eastAsia="Calibri" w:hAnsi="Verdana" w:cs="Times New Roman"/>
        </w:rPr>
        <w:t>.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63B27A" w14:textId="77777777" w:rsidR="00DA61E0" w:rsidRPr="00DA61E0" w:rsidRDefault="00DA61E0" w:rsidP="00DA61E0">
      <w:pPr>
        <w:spacing w:after="0" w:line="276" w:lineRule="auto"/>
        <w:jc w:val="both"/>
        <w:rPr>
          <w:rFonts w:ascii="Verdana" w:eastAsia="Calibri" w:hAnsi="Verdana" w:cs="Times New Roman"/>
        </w:rPr>
      </w:pPr>
      <w:hyperlink r:id="rId12" w:history="1">
        <w:r w:rsidRPr="00DA61E0">
          <w:rPr>
            <w:rFonts w:ascii="Verdana" w:eastAsia="Calibri" w:hAnsi="Verdana" w:cs="Times New Roman"/>
            <w:color w:val="0000FF"/>
            <w:u w:val="single"/>
          </w:rPr>
          <w:t>https://www.colombiacompra.gov.co/normativa-y-relatoria/conoce-la-relatoria</w:t>
        </w:r>
      </w:hyperlink>
      <w:r w:rsidRPr="00DA61E0">
        <w:rPr>
          <w:rFonts w:ascii="Verdana" w:eastAsia="Calibri" w:hAnsi="Verdana" w:cs="Times New Roman"/>
        </w:rPr>
        <w:t xml:space="preserve"> </w:t>
      </w:r>
    </w:p>
    <w:p w14:paraId="30C2F200" w14:textId="77777777" w:rsidR="00DA61E0" w:rsidRPr="00DA61E0" w:rsidRDefault="00DA61E0" w:rsidP="00DA61E0">
      <w:pPr>
        <w:spacing w:after="0" w:line="276" w:lineRule="auto"/>
        <w:jc w:val="both"/>
        <w:rPr>
          <w:rFonts w:ascii="Verdana" w:eastAsia="Verdana" w:hAnsi="Verdana" w:cs="Verdana"/>
          <w:bCs/>
        </w:rPr>
      </w:pPr>
    </w:p>
    <w:p w14:paraId="41CAB142" w14:textId="77777777"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DA61E0">
        <w:rPr>
          <w:rFonts w:ascii="Verdana" w:eastAsia="Calibri" w:hAnsi="Verdana" w:cs="Times New Roman"/>
          <w:b/>
          <w:bCs/>
        </w:rPr>
        <w:t>Curso de Contratación Pública Sostenible y Socialmente Responsable</w:t>
      </w:r>
      <w:r w:rsidRPr="00DA61E0">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DA61E0">
        <w:rPr>
          <w:rFonts w:ascii="Verdana" w:eastAsia="Calibri" w:hAnsi="Verdana" w:cs="Times New Roman"/>
        </w:rPr>
        <w:br/>
      </w:r>
      <w:hyperlink r:id="rId13" w:tgtFrame="_new" w:history="1">
        <w:r w:rsidRPr="00DA61E0">
          <w:rPr>
            <w:rFonts w:ascii="Verdana" w:eastAsia="Calibri" w:hAnsi="Verdana" w:cs="Times New Roman"/>
            <w:color w:val="0000FF"/>
            <w:u w:val="single"/>
          </w:rPr>
          <w:t>https://formacionvirtual.colombiacompra.gov.co/mod/page/view.php?id=3718</w:t>
        </w:r>
      </w:hyperlink>
    </w:p>
    <w:p w14:paraId="17FF00DA" w14:textId="77777777" w:rsidR="00DA61E0" w:rsidRPr="00DA61E0" w:rsidRDefault="00DA61E0" w:rsidP="00DA61E0">
      <w:pPr>
        <w:spacing w:after="0" w:line="276" w:lineRule="auto"/>
        <w:jc w:val="both"/>
        <w:rPr>
          <w:rFonts w:ascii="Verdana" w:eastAsia="Calibri" w:hAnsi="Verdana" w:cs="Times New Roman"/>
        </w:rPr>
      </w:pPr>
    </w:p>
    <w:p w14:paraId="2CD076CD" w14:textId="77777777"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lastRenderedPageBreak/>
        <w:t xml:space="preserve">De otro lado, te contamos que esta Agencia ha da un paso decisivo en la estandarización y modernización del </w:t>
      </w:r>
      <w:r w:rsidRPr="00DA61E0">
        <w:rPr>
          <w:rFonts w:ascii="Verdana" w:eastAsia="Calibri" w:hAnsi="Verdana" w:cs="Times New Roman"/>
          <w:b/>
          <w:bCs/>
        </w:rPr>
        <w:t>sector  social</w:t>
      </w:r>
      <w:r w:rsidRPr="00DA61E0">
        <w:rPr>
          <w:rFonts w:ascii="Verdana" w:eastAsia="Calibri" w:hAnsi="Verdana" w:cs="Times New Roman"/>
        </w:rPr>
        <w:t xml:space="preserve"> con la expedición de las </w:t>
      </w:r>
      <w:r w:rsidRPr="00DA61E0">
        <w:rPr>
          <w:rFonts w:ascii="Verdana" w:eastAsia="Calibri" w:hAnsi="Verdana" w:cs="Times New Roman"/>
          <w:b/>
          <w:bCs/>
        </w:rPr>
        <w:t>Resoluciones 539, 540, 541, 952 y 953 de 2025</w:t>
      </w:r>
      <w:r w:rsidRPr="00DA61E0">
        <w:rPr>
          <w:rFonts w:ascii="Verdana" w:eastAsia="Calibri" w:hAnsi="Verdana" w:cs="Times New Roman"/>
        </w:rPr>
        <w:t xml:space="preserve">, </w:t>
      </w:r>
      <w:r w:rsidRPr="00DA61E0">
        <w:rPr>
          <w:rFonts w:ascii="Verdana" w:eastAsia="Calibri" w:hAnsi="Verdana" w:cs="Times New Roman"/>
          <w:b/>
          <w:bCs/>
        </w:rPr>
        <w:t>mediante las cuales adoptó Documentos Tipo</w:t>
      </w:r>
      <w:r w:rsidRPr="00DA61E0">
        <w:rPr>
          <w:rFonts w:ascii="Verdana" w:eastAsia="Calibri" w:hAnsi="Verdana" w:cs="Times New Roman"/>
        </w:rPr>
        <w:t xml:space="preserve"> para las modalidades de selección de</w:t>
      </w:r>
      <w:r w:rsidRPr="00DA61E0">
        <w:rPr>
          <w:rFonts w:ascii="Verdana" w:eastAsia="Calibri" w:hAnsi="Verdana" w:cs="Times New Roman"/>
          <w:b/>
          <w:bCs/>
        </w:rPr>
        <w:t xml:space="preserve"> licitación pública (versión 2), selección abreviada de menor cuantía, mínima cuantía, consultoría e interventoría</w:t>
      </w:r>
      <w:r w:rsidRPr="00DA61E0">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DA61E0">
          <w:rPr>
            <w:rFonts w:ascii="Verdana" w:eastAsia="Calibri" w:hAnsi="Verdana" w:cs="Times New Roman"/>
            <w:color w:val="0000FF"/>
            <w:u w:val="single"/>
          </w:rPr>
          <w:t>https://www.colombiacompra.gov.co/normativa-y-relatoria/documentos-tipo</w:t>
        </w:r>
      </w:hyperlink>
    </w:p>
    <w:p w14:paraId="546A5483" w14:textId="77777777" w:rsidR="00DA61E0" w:rsidRPr="00DA61E0" w:rsidRDefault="00DA61E0" w:rsidP="00DA61E0">
      <w:pPr>
        <w:spacing w:after="0" w:line="276" w:lineRule="auto"/>
        <w:jc w:val="both"/>
        <w:rPr>
          <w:rFonts w:ascii="Verdana" w:eastAsia="Calibri" w:hAnsi="Verdana" w:cs="Times New Roman"/>
        </w:rPr>
      </w:pPr>
    </w:p>
    <w:p w14:paraId="0E390EB8" w14:textId="77777777"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t xml:space="preserve">Si quieres conocer más sobre la aplicación de Documentos Tipo puedes consultar la última versión de la </w:t>
      </w:r>
      <w:r w:rsidRPr="00DA61E0">
        <w:rPr>
          <w:rFonts w:ascii="Verdana" w:eastAsia="Calibri" w:hAnsi="Verdana" w:cs="Times New Roman"/>
          <w:b/>
          <w:bCs/>
        </w:rPr>
        <w:t>Guía para la comprensión e implementación de los Documentos Tipo de obra pública de infraestructura de transporte</w:t>
      </w:r>
      <w:r w:rsidRPr="00DA61E0">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A61E0">
        <w:rPr>
          <w:rFonts w:ascii="Verdana" w:eastAsia="Calibri" w:hAnsi="Verdana" w:cs="Times New Roman"/>
        </w:rPr>
        <w:br/>
      </w:r>
      <w:hyperlink r:id="rId15" w:tgtFrame="_new" w:history="1">
        <w:r w:rsidRPr="00DA61E0">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3DF65640" w14:textId="77777777" w:rsidR="00DA61E0" w:rsidRPr="00DA61E0" w:rsidRDefault="00DA61E0" w:rsidP="00DA61E0">
      <w:pPr>
        <w:spacing w:after="0" w:line="276" w:lineRule="auto"/>
        <w:jc w:val="both"/>
        <w:rPr>
          <w:rFonts w:ascii="Verdana" w:eastAsia="Calibri" w:hAnsi="Verdana" w:cs="Times New Roman"/>
        </w:rPr>
      </w:pPr>
    </w:p>
    <w:p w14:paraId="2E57B1F0" w14:textId="77777777"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552121C" w14:textId="77777777" w:rsidR="00DA61E0" w:rsidRPr="00DA61E0" w:rsidRDefault="00DA61E0" w:rsidP="00DA61E0">
      <w:pPr>
        <w:spacing w:after="0" w:line="276" w:lineRule="auto"/>
        <w:jc w:val="both"/>
        <w:rPr>
          <w:rFonts w:ascii="Verdana" w:eastAsia="Calibri" w:hAnsi="Verdana" w:cs="Times New Roman"/>
        </w:rPr>
      </w:pPr>
    </w:p>
    <w:p w14:paraId="688DB8C7" w14:textId="77777777" w:rsidR="00DA61E0" w:rsidRPr="00DA61E0" w:rsidRDefault="00DA61E0" w:rsidP="00DA61E0">
      <w:pPr>
        <w:numPr>
          <w:ilvl w:val="0"/>
          <w:numId w:val="18"/>
        </w:numPr>
        <w:spacing w:after="0" w:line="276" w:lineRule="auto"/>
        <w:jc w:val="both"/>
        <w:rPr>
          <w:rFonts w:ascii="Verdana" w:eastAsia="Verdana" w:hAnsi="Verdana" w:cs="Verdana"/>
          <w:color w:val="4472C4" w:themeColor="accent1"/>
          <w:u w:val="single"/>
          <w:lang w:val="es-MX"/>
        </w:rPr>
      </w:pPr>
      <w:r w:rsidRPr="00DA61E0">
        <w:rPr>
          <w:rFonts w:ascii="Verdana" w:eastAsia="Verdana" w:hAnsi="Verdana" w:cs="Verdana"/>
          <w:lang w:val="es-MX"/>
        </w:rPr>
        <w:t xml:space="preserve">Línea nacional gratuita o servicio a la ciudadanía (Mesa de servicio): </w:t>
      </w:r>
      <w:r w:rsidRPr="00DA61E0">
        <w:rPr>
          <w:rFonts w:ascii="Verdana" w:eastAsia="Calibri" w:hAnsi="Verdana" w:cs="Times New Roman"/>
          <w:color w:val="0000FF"/>
          <w:u w:val="single"/>
          <w:lang w:val="es-ES"/>
        </w:rPr>
        <w:t>01800 0520808</w:t>
      </w:r>
    </w:p>
    <w:p w14:paraId="1FF686D5" w14:textId="77777777" w:rsidR="00DA61E0" w:rsidRPr="00DA61E0" w:rsidRDefault="00DA61E0" w:rsidP="00DA61E0">
      <w:pPr>
        <w:numPr>
          <w:ilvl w:val="0"/>
          <w:numId w:val="18"/>
        </w:numPr>
        <w:spacing w:after="0" w:line="276" w:lineRule="auto"/>
        <w:jc w:val="both"/>
        <w:rPr>
          <w:rFonts w:ascii="Verdana" w:eastAsia="Verdana" w:hAnsi="Verdana" w:cs="Verdana"/>
          <w:color w:val="4472C4" w:themeColor="accent1"/>
          <w:u w:val="single"/>
          <w:lang w:val="es-MX"/>
        </w:rPr>
      </w:pPr>
      <w:r w:rsidRPr="00DA61E0">
        <w:rPr>
          <w:rFonts w:ascii="Verdana" w:eastAsia="Verdana" w:hAnsi="Verdana" w:cs="Verdana"/>
          <w:lang w:val="es-MX"/>
        </w:rPr>
        <w:t>Línea en Bogotá (Mesa de servicio):</w:t>
      </w:r>
      <w:r w:rsidRPr="00DA61E0">
        <w:rPr>
          <w:rFonts w:ascii="Verdana" w:eastAsia="Calibri" w:hAnsi="Verdana" w:cs="Times New Roman"/>
          <w:color w:val="0000FF"/>
          <w:u w:val="single"/>
          <w:lang w:val="es-ES"/>
        </w:rPr>
        <w:t>+57 601 7456788</w:t>
      </w:r>
    </w:p>
    <w:p w14:paraId="4F9F595E" w14:textId="77777777" w:rsidR="00DA61E0" w:rsidRPr="00DA61E0" w:rsidRDefault="00DA61E0" w:rsidP="00DA61E0">
      <w:pPr>
        <w:numPr>
          <w:ilvl w:val="0"/>
          <w:numId w:val="18"/>
        </w:numPr>
        <w:spacing w:after="0" w:line="276" w:lineRule="auto"/>
        <w:jc w:val="both"/>
        <w:rPr>
          <w:rFonts w:ascii="Verdana" w:eastAsia="Verdana" w:hAnsi="Verdana" w:cs="Verdana"/>
          <w:color w:val="0000FF"/>
          <w:u w:val="single"/>
          <w:lang w:val="es-MX"/>
        </w:rPr>
      </w:pPr>
      <w:r w:rsidRPr="00DA61E0">
        <w:rPr>
          <w:rFonts w:ascii="Verdana" w:eastAsia="Verdana" w:hAnsi="Verdana" w:cs="Verdana"/>
          <w:lang w:val="es-MX"/>
        </w:rPr>
        <w:t xml:space="preserve">Correo de radicación de correspondencia: </w:t>
      </w:r>
      <w:hyperlink r:id="rId16" w:history="1">
        <w:r w:rsidRPr="00DA61E0">
          <w:rPr>
            <w:rFonts w:ascii="Verdana" w:eastAsia="Verdana" w:hAnsi="Verdana" w:cs="Verdana"/>
            <w:color w:val="0000FF"/>
            <w:u w:val="single"/>
            <w:lang w:val="es-MX"/>
          </w:rPr>
          <w:t>ventanilladeradicacion@colombiacompra.gov.co</w:t>
        </w:r>
      </w:hyperlink>
    </w:p>
    <w:p w14:paraId="2F3449A2" w14:textId="77777777" w:rsidR="00DA61E0" w:rsidRPr="00DA61E0" w:rsidRDefault="00DA61E0" w:rsidP="00DA61E0">
      <w:pPr>
        <w:numPr>
          <w:ilvl w:val="0"/>
          <w:numId w:val="18"/>
        </w:numPr>
        <w:spacing w:after="0" w:line="276" w:lineRule="auto"/>
        <w:jc w:val="both"/>
        <w:rPr>
          <w:rFonts w:ascii="Verdana" w:eastAsia="Verdana" w:hAnsi="Verdana" w:cs="Verdana"/>
          <w:color w:val="0000FF"/>
          <w:u w:val="single"/>
          <w:lang w:val="es-MX"/>
        </w:rPr>
      </w:pPr>
      <w:r w:rsidRPr="00DA61E0">
        <w:rPr>
          <w:rFonts w:ascii="Verdana" w:eastAsia="Verdana" w:hAnsi="Verdana" w:cs="Verdana"/>
          <w:lang w:val="es-ES"/>
        </w:rPr>
        <w:lastRenderedPageBreak/>
        <w:t xml:space="preserve">Formulario web para PQRSD: </w:t>
      </w:r>
      <w:hyperlink r:id="rId17" w:history="1">
        <w:r w:rsidRPr="00DA61E0">
          <w:rPr>
            <w:rFonts w:ascii="Verdana" w:eastAsia="Verdana" w:hAnsi="Verdana" w:cs="Verdana"/>
            <w:color w:val="0000FF"/>
            <w:u w:val="single"/>
            <w:lang w:val="es-MX"/>
          </w:rPr>
          <w:t>https://www.colombiacompra.gov.co/pqrsd/informacion-importante-antes-de-formular-una-pqrsd</w:t>
        </w:r>
      </w:hyperlink>
    </w:p>
    <w:p w14:paraId="03F9A791" w14:textId="77777777" w:rsidR="00DA61E0" w:rsidRPr="00DA61E0" w:rsidRDefault="00DA61E0" w:rsidP="00DA61E0">
      <w:pPr>
        <w:spacing w:after="0" w:line="276" w:lineRule="auto"/>
        <w:ind w:left="720"/>
        <w:jc w:val="both"/>
        <w:rPr>
          <w:rFonts w:ascii="Verdana" w:eastAsia="Calibri" w:hAnsi="Verdana" w:cs="Times New Roman"/>
        </w:rPr>
      </w:pPr>
    </w:p>
    <w:p w14:paraId="1B9E25BE" w14:textId="77777777"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t>Evalúa el servicio que ofrece la Agencia por el canal de atención de PQRSD en el siguiente enlace :</w:t>
      </w:r>
      <w:hyperlink r:id="rId18" w:tgtFrame="_blank" w:tooltip="https://forms.office.com/r/pphywvs2sz" w:history="1">
        <w:r w:rsidRPr="00DA61E0">
          <w:rPr>
            <w:rFonts w:ascii="Verdana" w:eastAsia="Calibri" w:hAnsi="Verdana" w:cs="Times New Roman"/>
            <w:color w:val="0000FF"/>
            <w:u w:val="single"/>
          </w:rPr>
          <w:t>https://forms.office.com/r/pPHyWVs2SZ</w:t>
        </w:r>
      </w:hyperlink>
      <w:r w:rsidRPr="00DA61E0">
        <w:rPr>
          <w:rFonts w:ascii="Verdana" w:eastAsia="Calibri" w:hAnsi="Verdana" w:cs="Times New Roman"/>
        </w:rPr>
        <w:t xml:space="preserve"> .¡Ayúdanos a mejorar porque el compromiso es de todos!</w:t>
      </w:r>
    </w:p>
    <w:p w14:paraId="1D1AA91E" w14:textId="77777777" w:rsidR="00DA61E0" w:rsidRPr="00DA61E0" w:rsidRDefault="00DA61E0" w:rsidP="00DA61E0">
      <w:pPr>
        <w:spacing w:after="0" w:line="276" w:lineRule="auto"/>
        <w:jc w:val="both"/>
        <w:rPr>
          <w:rFonts w:ascii="Verdana" w:eastAsia="Calibri" w:hAnsi="Verdana" w:cs="Times New Roman"/>
        </w:rPr>
      </w:pPr>
    </w:p>
    <w:p w14:paraId="22D69521" w14:textId="77777777"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t xml:space="preserve">Por último, lo invitamos a seguirnos en las redes sociales en las cuales se difunde información institucional: </w:t>
      </w:r>
    </w:p>
    <w:p w14:paraId="1D23D36E" w14:textId="77777777" w:rsidR="00DA61E0" w:rsidRPr="00DA61E0" w:rsidRDefault="00DA61E0" w:rsidP="00DA61E0">
      <w:pPr>
        <w:spacing w:after="0" w:line="276" w:lineRule="auto"/>
        <w:jc w:val="both"/>
        <w:rPr>
          <w:rFonts w:ascii="Verdana" w:eastAsia="Calibri" w:hAnsi="Verdana" w:cs="Times New Roman"/>
        </w:rPr>
      </w:pPr>
    </w:p>
    <w:p w14:paraId="0272DE88" w14:textId="77777777"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t xml:space="preserve">Twitter: </w:t>
      </w:r>
      <w:r w:rsidRPr="00DA61E0">
        <w:rPr>
          <w:rFonts w:ascii="Verdana" w:eastAsia="Calibri" w:hAnsi="Verdana" w:cs="Times New Roman"/>
          <w:color w:val="0000FF"/>
          <w:u w:val="single"/>
        </w:rPr>
        <w:t>@colombiacompra</w:t>
      </w:r>
      <w:r w:rsidRPr="00DA61E0">
        <w:rPr>
          <w:rFonts w:ascii="Verdana" w:eastAsia="Calibri" w:hAnsi="Verdana" w:cs="Times New Roman"/>
        </w:rPr>
        <w:t xml:space="preserve"> </w:t>
      </w:r>
    </w:p>
    <w:p w14:paraId="0BCFCA65" w14:textId="77777777"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t xml:space="preserve">Facebook: </w:t>
      </w:r>
      <w:r w:rsidRPr="00DA61E0">
        <w:rPr>
          <w:rFonts w:ascii="Verdana" w:eastAsia="Calibri" w:hAnsi="Verdana" w:cs="Times New Roman"/>
          <w:color w:val="0000FF"/>
          <w:u w:val="single"/>
        </w:rPr>
        <w:t>ColombiaCompraEficiente</w:t>
      </w:r>
    </w:p>
    <w:p w14:paraId="3D944701" w14:textId="77777777"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t xml:space="preserve">LinkedIn: </w:t>
      </w:r>
      <w:r w:rsidRPr="00DA61E0">
        <w:rPr>
          <w:rFonts w:ascii="Verdana" w:eastAsia="Calibri" w:hAnsi="Verdana" w:cs="Times New Roman"/>
          <w:color w:val="0000FF"/>
          <w:u w:val="single"/>
        </w:rPr>
        <w:t>Agencia Nacional de Contratación Pública - Colombia Compra Eficiente</w:t>
      </w:r>
      <w:r w:rsidRPr="00DA61E0">
        <w:rPr>
          <w:rFonts w:ascii="Verdana" w:eastAsia="Calibri" w:hAnsi="Verdana" w:cs="Times New Roman"/>
        </w:rPr>
        <w:t xml:space="preserve"> Instagram: </w:t>
      </w:r>
      <w:r w:rsidRPr="00DA61E0">
        <w:rPr>
          <w:rFonts w:ascii="Verdana" w:eastAsia="Calibri" w:hAnsi="Verdana" w:cs="Times New Roman"/>
          <w:color w:val="0000FF"/>
          <w:u w:val="single"/>
        </w:rPr>
        <w:t>@colombiacompraeficiente_cce</w:t>
      </w:r>
    </w:p>
    <w:p w14:paraId="7C74D8AD" w14:textId="77777777" w:rsidR="00DA61E0" w:rsidRPr="00DA61E0" w:rsidRDefault="00DA61E0" w:rsidP="00DA61E0">
      <w:pPr>
        <w:spacing w:after="0" w:line="276" w:lineRule="auto"/>
        <w:jc w:val="both"/>
        <w:rPr>
          <w:rFonts w:ascii="Verdana" w:eastAsia="Calibri" w:hAnsi="Verdana" w:cs="Times New Roman"/>
        </w:rPr>
      </w:pPr>
    </w:p>
    <w:p w14:paraId="29A96846" w14:textId="77777777" w:rsidR="00DA61E0" w:rsidRPr="00DA61E0" w:rsidRDefault="00DA61E0" w:rsidP="00DA61E0">
      <w:pPr>
        <w:spacing w:after="0" w:line="276" w:lineRule="auto"/>
        <w:jc w:val="both"/>
        <w:rPr>
          <w:rFonts w:ascii="Verdana" w:eastAsia="Calibri" w:hAnsi="Verdana" w:cs="Times New Roman"/>
          <w:bCs/>
          <w:lang w:val="es-ES_tradnl"/>
        </w:rPr>
      </w:pPr>
      <w:r w:rsidRPr="00DA61E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3120FFB" w14:textId="77777777" w:rsidR="00DA61E0" w:rsidRPr="00DA61E0" w:rsidRDefault="00DA61E0" w:rsidP="00DA61E0">
      <w:pPr>
        <w:spacing w:after="0" w:line="276" w:lineRule="auto"/>
        <w:jc w:val="both"/>
        <w:rPr>
          <w:rFonts w:ascii="Verdana" w:eastAsia="Calibri" w:hAnsi="Verdana" w:cs="Times New Roman"/>
          <w:lang w:val="es-ES_tradnl"/>
        </w:rPr>
      </w:pPr>
    </w:p>
    <w:p w14:paraId="4D83A95B" w14:textId="2045F215" w:rsidR="00DA61E0" w:rsidRPr="00DA61E0" w:rsidRDefault="00DA61E0" w:rsidP="00DA61E0">
      <w:pPr>
        <w:spacing w:after="0" w:line="276" w:lineRule="auto"/>
        <w:jc w:val="both"/>
        <w:rPr>
          <w:rFonts w:ascii="Verdana" w:eastAsia="Calibri" w:hAnsi="Verdana" w:cs="Times New Roman"/>
        </w:rPr>
      </w:pPr>
      <w:r w:rsidRPr="00DA61E0">
        <w:rPr>
          <w:rFonts w:ascii="Verdana" w:eastAsia="Calibri" w:hAnsi="Verdana" w:cs="Times New Roman"/>
        </w:rPr>
        <w:t>Atentamente,</w:t>
      </w:r>
    </w:p>
    <w:p w14:paraId="4F04D695" w14:textId="75E5DB14" w:rsidR="00DA61E0" w:rsidRPr="00DA61E0" w:rsidRDefault="000613B0" w:rsidP="00DA61E0">
      <w:pPr>
        <w:spacing w:after="0" w:line="254" w:lineRule="auto"/>
        <w:jc w:val="center"/>
        <w:rPr>
          <w:rFonts w:ascii="Century Gothic" w:eastAsia="Calibri" w:hAnsi="Century Gothic" w:cs="Times New Roman"/>
          <w:noProof/>
          <w:lang w:val="en-US"/>
        </w:rPr>
      </w:pPr>
      <w:r w:rsidRPr="002C3AD6">
        <w:rPr>
          <w:rFonts w:ascii="Century Gothic" w:hAnsi="Century Gothic"/>
          <w:noProof/>
          <w:lang w:val="en-US"/>
        </w:rPr>
        <w:drawing>
          <wp:inline distT="0" distB="0" distL="0" distR="0" wp14:anchorId="0E1282DB" wp14:editId="7732D74F">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312722" cy="1229722"/>
                    </a:xfrm>
                    <a:prstGeom prst="rect">
                      <a:avLst/>
                    </a:prstGeom>
                  </pic:spPr>
                </pic:pic>
              </a:graphicData>
            </a:graphic>
          </wp:inline>
        </w:drawing>
      </w:r>
    </w:p>
    <w:p w14:paraId="07A8F9C2" w14:textId="77777777" w:rsidR="00DA61E0" w:rsidRPr="00DA61E0" w:rsidRDefault="00DA61E0" w:rsidP="00DA61E0">
      <w:pPr>
        <w:spacing w:after="0" w:line="254" w:lineRule="auto"/>
        <w:rPr>
          <w:rFonts w:ascii="Century Gothic" w:eastAsia="Calibri" w:hAnsi="Century Gothic" w:cs="Times New Roman"/>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DA61E0" w:rsidRPr="00DA61E0" w14:paraId="56CB67EE" w14:textId="77777777">
        <w:trPr>
          <w:trHeight w:val="409"/>
        </w:trPr>
        <w:tc>
          <w:tcPr>
            <w:tcW w:w="817" w:type="dxa"/>
            <w:tcBorders>
              <w:top w:val="nil"/>
              <w:left w:val="nil"/>
              <w:bottom w:val="nil"/>
              <w:right w:val="nil"/>
            </w:tcBorders>
            <w:vAlign w:val="center"/>
            <w:hideMark/>
          </w:tcPr>
          <w:p w14:paraId="788242F7" w14:textId="77777777" w:rsidR="00DA61E0" w:rsidRPr="00DA61E0" w:rsidRDefault="00DA61E0" w:rsidP="00DA61E0">
            <w:pPr>
              <w:spacing w:after="0" w:line="254" w:lineRule="auto"/>
              <w:rPr>
                <w:rFonts w:ascii="Verdana" w:eastAsia="Calibri" w:hAnsi="Verdana" w:cs="Times New Roman"/>
                <w:sz w:val="16"/>
                <w:szCs w:val="16"/>
              </w:rPr>
            </w:pPr>
            <w:r w:rsidRPr="00DA61E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850067A" w14:textId="77777777" w:rsidR="00DA61E0" w:rsidRPr="00DA61E0" w:rsidRDefault="00DA61E0" w:rsidP="00DA61E0">
            <w:pPr>
              <w:spacing w:after="0" w:line="254" w:lineRule="auto"/>
              <w:rPr>
                <w:rFonts w:ascii="Verdana" w:eastAsia="Calibri" w:hAnsi="Verdana" w:cs="Times New Roman"/>
                <w:sz w:val="16"/>
                <w:szCs w:val="16"/>
              </w:rPr>
            </w:pPr>
            <w:r w:rsidRPr="00DA61E0">
              <w:rPr>
                <w:rFonts w:ascii="Verdana" w:eastAsia="Calibri" w:hAnsi="Verdana" w:cs="Times New Roman"/>
                <w:sz w:val="16"/>
                <w:szCs w:val="16"/>
              </w:rPr>
              <w:t>José Luis Sánchez Cardona</w:t>
            </w:r>
          </w:p>
          <w:p w14:paraId="71153CD3" w14:textId="77777777" w:rsidR="00DA61E0" w:rsidRPr="00DA61E0" w:rsidRDefault="00DA61E0" w:rsidP="00DA61E0">
            <w:pPr>
              <w:spacing w:after="0" w:line="254" w:lineRule="auto"/>
              <w:rPr>
                <w:rFonts w:ascii="Verdana" w:eastAsia="Calibri" w:hAnsi="Verdana" w:cs="Times New Roman"/>
                <w:sz w:val="16"/>
                <w:szCs w:val="16"/>
              </w:rPr>
            </w:pPr>
            <w:r w:rsidRPr="00DA61E0">
              <w:rPr>
                <w:rFonts w:ascii="Verdana" w:eastAsia="Calibri" w:hAnsi="Verdana" w:cs="Times New Roman"/>
                <w:sz w:val="16"/>
                <w:szCs w:val="16"/>
              </w:rPr>
              <w:t>Contratista de la Subdirección de Gestión Contractual</w:t>
            </w:r>
          </w:p>
        </w:tc>
      </w:tr>
      <w:tr w:rsidR="00DA61E0" w:rsidRPr="00DA61E0" w14:paraId="22C3D91A" w14:textId="77777777">
        <w:trPr>
          <w:trHeight w:val="409"/>
        </w:trPr>
        <w:tc>
          <w:tcPr>
            <w:tcW w:w="817" w:type="dxa"/>
            <w:tcBorders>
              <w:top w:val="nil"/>
              <w:left w:val="nil"/>
              <w:bottom w:val="nil"/>
              <w:right w:val="nil"/>
            </w:tcBorders>
            <w:vAlign w:val="center"/>
            <w:hideMark/>
          </w:tcPr>
          <w:p w14:paraId="545F0A46" w14:textId="77777777" w:rsidR="00DA61E0" w:rsidRPr="00DA61E0" w:rsidRDefault="00DA61E0" w:rsidP="00DA61E0">
            <w:pPr>
              <w:spacing w:after="0" w:line="254" w:lineRule="auto"/>
              <w:rPr>
                <w:rFonts w:ascii="Verdana" w:eastAsia="Calibri" w:hAnsi="Verdana" w:cs="Times New Roman"/>
                <w:sz w:val="16"/>
                <w:szCs w:val="16"/>
              </w:rPr>
            </w:pPr>
            <w:r w:rsidRPr="00DA61E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D1A0016" w14:textId="77777777" w:rsidR="00DA61E0" w:rsidRPr="00DA61E0" w:rsidRDefault="00DA61E0" w:rsidP="00DA61E0">
            <w:pPr>
              <w:spacing w:after="0" w:line="254" w:lineRule="auto"/>
              <w:rPr>
                <w:rFonts w:ascii="Verdana" w:eastAsia="Calibri" w:hAnsi="Verdana" w:cs="Times New Roman"/>
                <w:sz w:val="16"/>
                <w:szCs w:val="16"/>
              </w:rPr>
            </w:pPr>
            <w:r w:rsidRPr="00DA61E0">
              <w:rPr>
                <w:rFonts w:ascii="Verdana" w:eastAsia="Calibri" w:hAnsi="Verdana" w:cs="Times New Roman"/>
                <w:sz w:val="16"/>
                <w:szCs w:val="16"/>
              </w:rPr>
              <w:t>Alejandro R. Sarmiento Cantillo</w:t>
            </w:r>
          </w:p>
          <w:p w14:paraId="498231F8" w14:textId="77777777" w:rsidR="00DA61E0" w:rsidRPr="00DA61E0" w:rsidRDefault="00DA61E0" w:rsidP="00DA61E0">
            <w:pPr>
              <w:spacing w:after="0" w:line="254" w:lineRule="auto"/>
              <w:rPr>
                <w:rFonts w:ascii="Verdana" w:eastAsia="Calibri" w:hAnsi="Verdana" w:cs="Times New Roman"/>
                <w:sz w:val="16"/>
                <w:szCs w:val="16"/>
              </w:rPr>
            </w:pPr>
            <w:r w:rsidRPr="00DA61E0">
              <w:rPr>
                <w:rFonts w:ascii="Verdana" w:eastAsia="Calibri" w:hAnsi="Verdana" w:cs="Times New Roman"/>
                <w:sz w:val="16"/>
                <w:szCs w:val="16"/>
              </w:rPr>
              <w:t>Gestor T1-15 de la Subdirección de Gestión Contractual </w:t>
            </w:r>
          </w:p>
        </w:tc>
      </w:tr>
      <w:tr w:rsidR="00DA61E0" w:rsidRPr="00DA61E0" w14:paraId="1B1DBE0B" w14:textId="77777777">
        <w:trPr>
          <w:trHeight w:val="389"/>
        </w:trPr>
        <w:tc>
          <w:tcPr>
            <w:tcW w:w="817" w:type="dxa"/>
            <w:tcBorders>
              <w:top w:val="nil"/>
              <w:left w:val="nil"/>
              <w:bottom w:val="nil"/>
              <w:right w:val="nil"/>
            </w:tcBorders>
            <w:vAlign w:val="center"/>
            <w:hideMark/>
          </w:tcPr>
          <w:p w14:paraId="4E6C8466" w14:textId="77777777" w:rsidR="00DA61E0" w:rsidRPr="00DA61E0" w:rsidRDefault="00DA61E0" w:rsidP="00DA61E0">
            <w:pPr>
              <w:spacing w:after="0" w:line="254" w:lineRule="auto"/>
              <w:rPr>
                <w:rFonts w:ascii="Verdana" w:eastAsia="Calibri" w:hAnsi="Verdana" w:cs="Times New Roman"/>
                <w:sz w:val="16"/>
                <w:szCs w:val="16"/>
              </w:rPr>
            </w:pPr>
            <w:r w:rsidRPr="00DA61E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420219C" w14:textId="77777777" w:rsidR="00DA61E0" w:rsidRPr="00DA61E0" w:rsidRDefault="00DA61E0" w:rsidP="00DA61E0">
            <w:pPr>
              <w:spacing w:after="0" w:line="254" w:lineRule="auto"/>
              <w:rPr>
                <w:rFonts w:ascii="Verdana" w:eastAsia="Calibri" w:hAnsi="Verdana" w:cs="Times New Roman"/>
                <w:sz w:val="16"/>
                <w:szCs w:val="16"/>
              </w:rPr>
            </w:pPr>
            <w:r w:rsidRPr="00DA61E0">
              <w:rPr>
                <w:rFonts w:ascii="Verdana" w:eastAsia="Calibri" w:hAnsi="Verdana" w:cs="Times New Roman"/>
                <w:sz w:val="16"/>
                <w:szCs w:val="16"/>
              </w:rPr>
              <w:t>Carolina Quintero Gacharná</w:t>
            </w:r>
          </w:p>
          <w:p w14:paraId="4FB62E5E" w14:textId="77777777" w:rsidR="00DA61E0" w:rsidRPr="00DA61E0" w:rsidRDefault="00DA61E0" w:rsidP="00DA61E0">
            <w:pPr>
              <w:spacing w:after="0" w:line="254" w:lineRule="auto"/>
              <w:rPr>
                <w:rFonts w:ascii="Verdana" w:eastAsia="Calibri" w:hAnsi="Verdana" w:cs="Times New Roman"/>
                <w:sz w:val="16"/>
                <w:szCs w:val="16"/>
              </w:rPr>
            </w:pPr>
            <w:r w:rsidRPr="00DA61E0">
              <w:rPr>
                <w:rFonts w:ascii="Verdana" w:eastAsia="Calibri" w:hAnsi="Verdana" w:cs="Times New Roman"/>
                <w:sz w:val="16"/>
                <w:szCs w:val="16"/>
              </w:rPr>
              <w:t>Subdirectora de Gestión Contractual ANCP – CCE</w:t>
            </w:r>
          </w:p>
        </w:tc>
      </w:tr>
    </w:tbl>
    <w:p w14:paraId="69BC4D14" w14:textId="2D0DCE8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14719" w14:textId="77777777" w:rsidR="00EE3E46" w:rsidRDefault="00EE3E46" w:rsidP="004A1847">
      <w:pPr>
        <w:spacing w:after="0" w:line="240" w:lineRule="auto"/>
      </w:pPr>
      <w:r>
        <w:separator/>
      </w:r>
    </w:p>
  </w:endnote>
  <w:endnote w:type="continuationSeparator" w:id="0">
    <w:p w14:paraId="2158FCDB" w14:textId="77777777" w:rsidR="00EE3E46" w:rsidRDefault="00EE3E4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E4A19" w14:textId="77777777" w:rsidR="00EE3E46" w:rsidRDefault="00EE3E46" w:rsidP="004A1847">
      <w:pPr>
        <w:spacing w:after="0" w:line="240" w:lineRule="auto"/>
      </w:pPr>
      <w:r>
        <w:separator/>
      </w:r>
    </w:p>
  </w:footnote>
  <w:footnote w:type="continuationSeparator" w:id="0">
    <w:p w14:paraId="7A099415" w14:textId="77777777" w:rsidR="00EE3E46" w:rsidRDefault="00EE3E46" w:rsidP="004A1847">
      <w:pPr>
        <w:spacing w:after="0" w:line="240" w:lineRule="auto"/>
      </w:pPr>
      <w:r>
        <w:continuationSeparator/>
      </w:r>
    </w:p>
  </w:footnote>
  <w:footnote w:id="1">
    <w:p w14:paraId="14E45133" w14:textId="77777777" w:rsidR="00DA61E0" w:rsidRPr="00DA61E0" w:rsidRDefault="00DA61E0" w:rsidP="00DA61E0">
      <w:pPr>
        <w:pStyle w:val="Textonotapie"/>
        <w:ind w:firstLine="708"/>
        <w:jc w:val="both"/>
        <w:rPr>
          <w:rFonts w:ascii="Verdana" w:hAnsi="Verdana" w:cs="Arial"/>
          <w:sz w:val="15"/>
          <w:szCs w:val="15"/>
          <w:lang w:val="es-ES"/>
        </w:rPr>
      </w:pPr>
      <w:r w:rsidRPr="00DA61E0">
        <w:rPr>
          <w:rStyle w:val="Refdenotaalpie"/>
          <w:rFonts w:ascii="Verdana" w:hAnsi="Verdana" w:cs="Arial"/>
          <w:sz w:val="15"/>
          <w:szCs w:val="15"/>
        </w:rPr>
        <w:footnoteRef/>
      </w:r>
      <w:r w:rsidRPr="00DA61E0">
        <w:rPr>
          <w:rFonts w:ascii="Verdana" w:hAnsi="Verdana" w:cs="Arial"/>
          <w:sz w:val="15"/>
          <w:szCs w:val="15"/>
        </w:rPr>
        <w:t xml:space="preserve"> Cfr. BENAVIDES, José Luis. El contrato estatal: entre el derecho público y el derecho privado. Segunda edición. Bogotá: Universidad Externado de Colombia, 2009. pp. 78-79.      </w:t>
      </w:r>
    </w:p>
  </w:footnote>
  <w:footnote w:id="2">
    <w:p w14:paraId="160BBF9C" w14:textId="77777777" w:rsidR="00DA61E0" w:rsidRPr="00DA61E0" w:rsidRDefault="00DA61E0" w:rsidP="00DA61E0">
      <w:pPr>
        <w:pStyle w:val="Textonotapie"/>
        <w:ind w:firstLine="708"/>
        <w:jc w:val="both"/>
        <w:rPr>
          <w:rFonts w:ascii="Verdana" w:hAnsi="Verdana" w:cs="Arial"/>
          <w:sz w:val="15"/>
          <w:szCs w:val="15"/>
          <w:lang w:val="es-ES"/>
        </w:rPr>
      </w:pPr>
      <w:r w:rsidRPr="00DA61E0">
        <w:rPr>
          <w:rStyle w:val="Refdenotaalpie"/>
          <w:rFonts w:ascii="Verdana" w:hAnsi="Verdana" w:cs="Arial"/>
          <w:sz w:val="15"/>
          <w:szCs w:val="15"/>
        </w:rPr>
        <w:footnoteRef/>
      </w:r>
      <w:r w:rsidRPr="00DA61E0">
        <w:rPr>
          <w:rFonts w:ascii="Verdana" w:hAnsi="Verdana" w:cs="Arial"/>
          <w:sz w:val="15"/>
          <w:szCs w:val="15"/>
        </w:rPr>
        <w:t xml:space="preserve"> BETANCUR JARAMILLO, Carlos. Derecho procesal administrativo. Octava edición. Medellín: Señal Editora, 2013. p. 627. </w:t>
      </w:r>
    </w:p>
  </w:footnote>
  <w:footnote w:id="3">
    <w:p w14:paraId="5BC29258" w14:textId="77777777" w:rsidR="00DA61E0" w:rsidRPr="00DA61E0" w:rsidRDefault="00DA61E0" w:rsidP="00DA61E0">
      <w:pPr>
        <w:pStyle w:val="Textonotapie"/>
        <w:ind w:firstLine="708"/>
        <w:jc w:val="both"/>
        <w:rPr>
          <w:rFonts w:ascii="Verdana" w:hAnsi="Verdana" w:cs="Arial"/>
          <w:sz w:val="15"/>
          <w:szCs w:val="15"/>
        </w:rPr>
      </w:pPr>
      <w:r w:rsidRPr="00DA61E0">
        <w:rPr>
          <w:rStyle w:val="Refdenotaalpie"/>
          <w:rFonts w:ascii="Verdana" w:hAnsi="Verdana" w:cs="Arial"/>
          <w:sz w:val="15"/>
          <w:szCs w:val="15"/>
        </w:rPr>
        <w:footnoteRef/>
      </w:r>
      <w:r w:rsidRPr="00DA61E0">
        <w:rPr>
          <w:rFonts w:ascii="Verdana" w:hAnsi="Verdana" w:cs="Arial"/>
          <w:sz w:val="15"/>
          <w:szCs w:val="15"/>
        </w:rPr>
        <w:t xml:space="preserve"> JOJOA BOLAÑOS, Alexander. Los regímenes exceptuados en los contratos estatales. Bogotá: Grupo Editorial Ibáñez, 2012. p. 89.</w:t>
      </w:r>
    </w:p>
  </w:footnote>
  <w:footnote w:id="4">
    <w:p w14:paraId="52752F88" w14:textId="77777777" w:rsidR="00DA61E0" w:rsidRPr="00DA61E0" w:rsidRDefault="00DA61E0" w:rsidP="00DA61E0">
      <w:pPr>
        <w:pStyle w:val="Textonotapie"/>
        <w:ind w:firstLine="708"/>
        <w:jc w:val="both"/>
        <w:rPr>
          <w:rFonts w:ascii="Verdana" w:hAnsi="Verdana" w:cs="Arial"/>
          <w:sz w:val="15"/>
          <w:szCs w:val="15"/>
        </w:rPr>
      </w:pPr>
      <w:r w:rsidRPr="00DA61E0">
        <w:rPr>
          <w:rStyle w:val="Refdenotaalpie"/>
          <w:rFonts w:ascii="Verdana" w:hAnsi="Verdana" w:cs="Arial"/>
          <w:sz w:val="15"/>
          <w:szCs w:val="15"/>
        </w:rPr>
        <w:footnoteRef/>
      </w:r>
      <w:r w:rsidRPr="00DA61E0">
        <w:rPr>
          <w:rFonts w:ascii="Verdana" w:hAnsi="Verdana" w:cs="Arial"/>
          <w:sz w:val="15"/>
          <w:szCs w:val="15"/>
        </w:rPr>
        <w:t xml:space="preserve"> BARRETO MORENO, Antonio Alejandro. El derecho de la compra pública: estudio jurídico de un mercado imperfecto. Bogotá: Legis, 2019. pp. 281 y ss.</w:t>
      </w:r>
    </w:p>
  </w:footnote>
  <w:footnote w:id="5">
    <w:p w14:paraId="74AD4E05" w14:textId="77777777" w:rsidR="00DA61E0" w:rsidRPr="00DA61E0" w:rsidRDefault="00DA61E0" w:rsidP="00DA61E0">
      <w:pPr>
        <w:pStyle w:val="Textonotapie"/>
        <w:ind w:firstLine="709"/>
        <w:jc w:val="both"/>
        <w:rPr>
          <w:rFonts w:ascii="Verdana" w:hAnsi="Verdana" w:cs="Arial"/>
          <w:sz w:val="15"/>
          <w:szCs w:val="15"/>
          <w:lang w:val="es-ES"/>
        </w:rPr>
      </w:pPr>
      <w:r w:rsidRPr="00DA61E0">
        <w:rPr>
          <w:rStyle w:val="Refdenotaalpie"/>
          <w:rFonts w:ascii="Verdana" w:hAnsi="Verdana" w:cs="Arial"/>
          <w:sz w:val="15"/>
          <w:szCs w:val="15"/>
        </w:rPr>
        <w:footnoteRef/>
      </w:r>
      <w:r w:rsidRPr="00DA61E0">
        <w:rPr>
          <w:rFonts w:ascii="Verdana" w:hAnsi="Verdana" w:cs="Arial"/>
          <w:sz w:val="15"/>
          <w:szCs w:val="15"/>
        </w:rPr>
        <w:t xml:space="preserve"> </w:t>
      </w:r>
      <w:r w:rsidRPr="00DA61E0">
        <w:rPr>
          <w:rFonts w:ascii="Verdana" w:hAnsi="Verdana" w:cs="Arial"/>
          <w:sz w:val="15"/>
          <w:szCs w:val="15"/>
          <w:lang w:val="es-ES"/>
        </w:rPr>
        <w:t>“</w:t>
      </w:r>
      <w:r w:rsidRPr="00DA61E0">
        <w:rPr>
          <w:rFonts w:ascii="Verdana" w:hAnsi="Verdana" w:cs="Arial"/>
          <w:sz w:val="15"/>
          <w:szCs w:val="15"/>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DA61E0">
        <w:rPr>
          <w:rFonts w:ascii="Verdana" w:hAnsi="Verdana" w:cs="Arial"/>
          <w:sz w:val="15"/>
          <w:szCs w:val="15"/>
          <w:lang w:val="es-ES"/>
        </w:rPr>
        <w:t>”.</w:t>
      </w:r>
    </w:p>
  </w:footnote>
  <w:footnote w:id="6">
    <w:p w14:paraId="3796F8F3" w14:textId="77777777" w:rsidR="00DA61E0" w:rsidRPr="00DA61E0" w:rsidRDefault="00DA61E0" w:rsidP="00DA61E0">
      <w:pPr>
        <w:pStyle w:val="Textonotapie"/>
        <w:ind w:firstLine="709"/>
        <w:jc w:val="both"/>
        <w:rPr>
          <w:rFonts w:ascii="Verdana" w:hAnsi="Verdana" w:cs="Arial"/>
          <w:sz w:val="15"/>
          <w:szCs w:val="15"/>
        </w:rPr>
      </w:pPr>
      <w:r w:rsidRPr="00DA61E0">
        <w:rPr>
          <w:rStyle w:val="Refdenotaalpie"/>
          <w:rFonts w:ascii="Verdana" w:hAnsi="Verdana" w:cs="Arial"/>
          <w:sz w:val="15"/>
          <w:szCs w:val="15"/>
        </w:rPr>
        <w:footnoteRef/>
      </w:r>
      <w:r w:rsidRPr="00DA61E0">
        <w:rPr>
          <w:rFonts w:ascii="Verdana" w:hAnsi="Verdana" w:cs="Arial"/>
          <w:sz w:val="15"/>
          <w:szCs w:val="15"/>
        </w:rPr>
        <w:t xml:space="preserve"> Consejo de Estado. Sección Tercera. Sentencia 18 de febrero de 2010. CP, Enrique Gil Botero. Exp. 37004. </w:t>
      </w:r>
    </w:p>
    <w:p w14:paraId="35D941BE" w14:textId="77777777" w:rsidR="00DA61E0" w:rsidRPr="00DA61E0" w:rsidRDefault="00DA61E0" w:rsidP="00DA61E0">
      <w:pPr>
        <w:pStyle w:val="Textonotapie"/>
        <w:ind w:firstLine="709"/>
        <w:jc w:val="both"/>
        <w:rPr>
          <w:rFonts w:ascii="Verdana" w:hAnsi="Verdana" w:cs="Arial"/>
          <w:sz w:val="15"/>
          <w:szCs w:val="15"/>
        </w:rPr>
      </w:pPr>
    </w:p>
  </w:footnote>
  <w:footnote w:id="7">
    <w:p w14:paraId="6ABBEA17" w14:textId="77777777" w:rsidR="00DA61E0" w:rsidRPr="00DA61E0" w:rsidRDefault="00DA61E0" w:rsidP="00DA61E0">
      <w:pPr>
        <w:pStyle w:val="Textonotapie"/>
        <w:ind w:firstLine="709"/>
        <w:jc w:val="both"/>
        <w:rPr>
          <w:rFonts w:ascii="Verdana" w:hAnsi="Verdana" w:cs="Arial"/>
          <w:color w:val="000000"/>
          <w:sz w:val="15"/>
          <w:szCs w:val="15"/>
        </w:rPr>
      </w:pPr>
      <w:r w:rsidRPr="00DA61E0">
        <w:rPr>
          <w:rStyle w:val="Refdenotaalpie"/>
          <w:rFonts w:ascii="Verdana" w:hAnsi="Verdana" w:cs="Arial"/>
          <w:sz w:val="15"/>
          <w:szCs w:val="15"/>
        </w:rPr>
        <w:footnoteRef/>
      </w:r>
      <w:r w:rsidRPr="00DA61E0">
        <w:rPr>
          <w:rFonts w:ascii="Verdana" w:hAnsi="Verdana" w:cs="Arial"/>
          <w:sz w:val="15"/>
          <w:szCs w:val="15"/>
        </w:rPr>
        <w:t xml:space="preserve"> En sentencia C-665 de 2000, la Corte Constitucional se pronunció, así: </w:t>
      </w:r>
      <w:r w:rsidRPr="00DA61E0">
        <w:rPr>
          <w:rFonts w:ascii="Verdana" w:hAnsi="Verdana" w:cs="Arial"/>
          <w:sz w:val="15"/>
          <w:szCs w:val="15"/>
          <w:lang w:val="es-ES_tradnl"/>
        </w:rPr>
        <w:t>“</w:t>
      </w:r>
      <w:r w:rsidRPr="00DA61E0">
        <w:rPr>
          <w:rFonts w:ascii="Verdana" w:hAnsi="Verdana" w:cs="Arial"/>
          <w:color w:val="000000"/>
          <w:sz w:val="15"/>
          <w:szCs w:val="15"/>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DA61E0">
        <w:rPr>
          <w:rFonts w:ascii="Verdana" w:hAnsi="Verdana" w:cs="Arial"/>
          <w:sz w:val="15"/>
          <w:szCs w:val="15"/>
          <w:lang w:val="es-ES_tradnl"/>
        </w:rPr>
        <w:t>”</w:t>
      </w:r>
      <w:r w:rsidRPr="00DA61E0">
        <w:rPr>
          <w:rFonts w:ascii="Verdana" w:hAnsi="Verdana" w:cs="Arial"/>
          <w:color w:val="000000"/>
          <w:sz w:val="15"/>
          <w:szCs w:val="15"/>
        </w:rPr>
        <w:t xml:space="preserve"> (Corte Constitucional. Sentencia C-665 de 2000. M.P. José Gregorio Hernández Galindo)</w:t>
      </w:r>
    </w:p>
  </w:footnote>
  <w:footnote w:id="8">
    <w:p w14:paraId="46106CEA" w14:textId="77777777" w:rsidR="00DA61E0" w:rsidRPr="00DA61E0" w:rsidRDefault="00DA61E0" w:rsidP="00DA61E0">
      <w:pPr>
        <w:pStyle w:val="Textonotapie"/>
        <w:ind w:firstLine="708"/>
        <w:jc w:val="both"/>
        <w:rPr>
          <w:rFonts w:ascii="Verdana" w:hAnsi="Verdana" w:cs="Arial"/>
          <w:color w:val="000000" w:themeColor="text1"/>
          <w:sz w:val="15"/>
          <w:szCs w:val="15"/>
          <w:lang w:val="es-CO"/>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Consejo de Estado. Sala de Consulta y Servicio Civil. Concepto del 27 de agosto de 1998, Rad. 1.127, C.P. Javier Henao Hidrón. </w:t>
      </w:r>
      <w:r w:rsidRPr="00DA61E0">
        <w:rPr>
          <w:rFonts w:ascii="Verdana" w:hAnsi="Verdana" w:cs="Arial"/>
          <w:color w:val="000000" w:themeColor="text1"/>
          <w:sz w:val="15"/>
          <w:szCs w:val="15"/>
          <w:lang w:val="es-CO"/>
        </w:rPr>
        <w:t>Rad. 1.127</w:t>
      </w:r>
      <w:r w:rsidRPr="00DA61E0">
        <w:rPr>
          <w:rFonts w:ascii="Verdana" w:hAnsi="Verdana" w:cs="Arial"/>
          <w:color w:val="000000" w:themeColor="text1"/>
          <w:sz w:val="15"/>
          <w:szCs w:val="15"/>
        </w:rPr>
        <w:t xml:space="preserve">; y </w:t>
      </w:r>
      <w:r w:rsidRPr="00DA61E0">
        <w:rPr>
          <w:rFonts w:ascii="Verdana" w:hAnsi="Verdana" w:cs="Arial"/>
          <w:color w:val="000000" w:themeColor="text1"/>
          <w:sz w:val="15"/>
          <w:szCs w:val="15"/>
          <w:lang w:val="es-CO"/>
        </w:rPr>
        <w:t>concepto del 6 de abril de 2000, C.P. Flavio Augusto Rodriguez Arce. Rad. 1.263.</w:t>
      </w:r>
    </w:p>
  </w:footnote>
  <w:footnote w:id="9">
    <w:p w14:paraId="7F2F30CF" w14:textId="77777777" w:rsidR="00DA61E0" w:rsidRPr="00DA61E0" w:rsidRDefault="00DA61E0" w:rsidP="00DA61E0">
      <w:pPr>
        <w:pStyle w:val="Textonotapie"/>
        <w:ind w:firstLine="709"/>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Ministerio de Salud y la Protección Social. Concepto del 16 de agosto de 2019. Expediente No. 201942301304712. </w:t>
      </w:r>
    </w:p>
  </w:footnote>
  <w:footnote w:id="10">
    <w:p w14:paraId="5070734E" w14:textId="77777777" w:rsidR="00DA61E0" w:rsidRPr="00DA61E0" w:rsidRDefault="00DA61E0" w:rsidP="00DA61E0">
      <w:pPr>
        <w:pStyle w:val="Textonotapie"/>
        <w:ind w:firstLine="709"/>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Consejo de Estado. Sección Tercera. Subsección A. Sentencia del 24 de octubre de 2016. C.P. Marta Nubia Velásquez Rico. </w:t>
      </w:r>
      <w:r w:rsidRPr="00DA61E0">
        <w:rPr>
          <w:rFonts w:ascii="Verdana" w:hAnsi="Verdana" w:cs="Arial"/>
          <w:color w:val="000000" w:themeColor="text1"/>
          <w:sz w:val="15"/>
          <w:szCs w:val="15"/>
          <w:lang w:val="es-CO"/>
        </w:rPr>
        <w:t>Exp. 45.607.</w:t>
      </w:r>
    </w:p>
  </w:footnote>
  <w:footnote w:id="11">
    <w:p w14:paraId="050445CA" w14:textId="77777777" w:rsidR="00DA61E0" w:rsidRPr="00DA61E0" w:rsidRDefault="00DA61E0" w:rsidP="00DA61E0">
      <w:pPr>
        <w:pStyle w:val="Textonotapie"/>
        <w:ind w:firstLine="708"/>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HINESTROSA FORERO, Fernando. Tratado de las Obligaciones II. De las fuentes de las obligaciones: el negocio jurídico. Vol. I. Bogotá: Universidad Externado de Colombia, 2015. p. 116.  </w:t>
      </w:r>
    </w:p>
  </w:footnote>
  <w:footnote w:id="12">
    <w:p w14:paraId="0FF610AE" w14:textId="77777777" w:rsidR="00DA61E0" w:rsidRPr="00DA61E0" w:rsidRDefault="00DA61E0" w:rsidP="00DA61E0">
      <w:pPr>
        <w:pStyle w:val="Textonotapie"/>
        <w:ind w:firstLine="708"/>
        <w:jc w:val="both"/>
        <w:rPr>
          <w:rFonts w:ascii="Verdana" w:hAnsi="Verdana" w:cs="Arial"/>
          <w:sz w:val="15"/>
          <w:szCs w:val="15"/>
        </w:rPr>
      </w:pPr>
      <w:r w:rsidRPr="00DA61E0">
        <w:rPr>
          <w:rStyle w:val="Refdenotaalpie"/>
          <w:rFonts w:ascii="Verdana" w:hAnsi="Verdana" w:cs="Arial"/>
          <w:sz w:val="15"/>
          <w:szCs w:val="15"/>
        </w:rPr>
        <w:footnoteRef/>
      </w:r>
      <w:r w:rsidRPr="00DA61E0">
        <w:rPr>
          <w:rFonts w:ascii="Verdana" w:hAnsi="Verdana" w:cs="Arial"/>
          <w:sz w:val="15"/>
          <w:szCs w:val="15"/>
        </w:rPr>
        <w:t xml:space="preserve"> Cfr. Colombia Compra Eficiente. Subdirección de Gestión Contractual. Concepto C-362 del 3 de julio de 2020. Pág. 9.</w:t>
      </w:r>
    </w:p>
  </w:footnote>
  <w:footnote w:id="13">
    <w:p w14:paraId="6DEAA2D3" w14:textId="77777777" w:rsidR="00DA61E0" w:rsidRPr="00DA61E0" w:rsidRDefault="00DA61E0" w:rsidP="00DA61E0">
      <w:pPr>
        <w:spacing w:after="0" w:line="240" w:lineRule="auto"/>
        <w:ind w:firstLine="708"/>
        <w:jc w:val="both"/>
        <w:rPr>
          <w:rFonts w:ascii="Verdana" w:hAnsi="Verdana" w:cs="Arial"/>
          <w:sz w:val="15"/>
          <w:szCs w:val="15"/>
        </w:rPr>
      </w:pPr>
      <w:r w:rsidRPr="00DA61E0">
        <w:rPr>
          <w:rStyle w:val="Refdenotaalpie"/>
          <w:rFonts w:ascii="Verdana" w:hAnsi="Verdana" w:cs="Arial"/>
          <w:sz w:val="15"/>
          <w:szCs w:val="15"/>
        </w:rPr>
        <w:footnoteRef/>
      </w:r>
      <w:r w:rsidRPr="00DA61E0">
        <w:rPr>
          <w:rFonts w:ascii="Verdana" w:hAnsi="Verdana" w:cs="Arial"/>
          <w:sz w:val="15"/>
          <w:szCs w:val="15"/>
        </w:rPr>
        <w:t xml:space="preserve"> “La</w:t>
      </w:r>
      <w:r w:rsidRPr="00DA61E0">
        <w:rPr>
          <w:rFonts w:ascii="Verdana" w:hAnsi="Verdana" w:cs="Arial"/>
          <w:spacing w:val="-12"/>
          <w:sz w:val="15"/>
          <w:szCs w:val="15"/>
        </w:rPr>
        <w:t xml:space="preserve"> </w:t>
      </w:r>
      <w:r w:rsidRPr="00DA61E0">
        <w:rPr>
          <w:rFonts w:ascii="Verdana" w:hAnsi="Verdana" w:cs="Arial"/>
          <w:sz w:val="15"/>
          <w:szCs w:val="15"/>
        </w:rPr>
        <w:t>fuerza</w:t>
      </w:r>
      <w:r w:rsidRPr="00DA61E0">
        <w:rPr>
          <w:rFonts w:ascii="Verdana" w:hAnsi="Verdana" w:cs="Arial"/>
          <w:spacing w:val="-12"/>
          <w:sz w:val="15"/>
          <w:szCs w:val="15"/>
        </w:rPr>
        <w:t xml:space="preserve"> </w:t>
      </w:r>
      <w:r w:rsidRPr="00DA61E0">
        <w:rPr>
          <w:rFonts w:ascii="Verdana" w:hAnsi="Verdana" w:cs="Arial"/>
          <w:sz w:val="15"/>
          <w:szCs w:val="15"/>
        </w:rPr>
        <w:t>vinculante</w:t>
      </w:r>
      <w:r w:rsidRPr="00DA61E0">
        <w:rPr>
          <w:rFonts w:ascii="Verdana" w:hAnsi="Verdana" w:cs="Arial"/>
          <w:spacing w:val="-12"/>
          <w:sz w:val="15"/>
          <w:szCs w:val="15"/>
        </w:rPr>
        <w:t xml:space="preserve"> </w:t>
      </w:r>
      <w:r w:rsidRPr="00DA61E0">
        <w:rPr>
          <w:rFonts w:ascii="Verdana" w:hAnsi="Verdana" w:cs="Arial"/>
          <w:sz w:val="15"/>
          <w:szCs w:val="15"/>
        </w:rPr>
        <w:t>de</w:t>
      </w:r>
      <w:r w:rsidRPr="00DA61E0">
        <w:rPr>
          <w:rFonts w:ascii="Verdana" w:hAnsi="Verdana" w:cs="Arial"/>
          <w:spacing w:val="-11"/>
          <w:sz w:val="15"/>
          <w:szCs w:val="15"/>
        </w:rPr>
        <w:t xml:space="preserve"> </w:t>
      </w:r>
      <w:r w:rsidRPr="00DA61E0">
        <w:rPr>
          <w:rFonts w:ascii="Verdana" w:hAnsi="Verdana" w:cs="Arial"/>
          <w:sz w:val="15"/>
          <w:szCs w:val="15"/>
        </w:rPr>
        <w:t>los</w:t>
      </w:r>
      <w:r w:rsidRPr="00DA61E0">
        <w:rPr>
          <w:rFonts w:ascii="Verdana" w:hAnsi="Verdana" w:cs="Arial"/>
          <w:spacing w:val="-12"/>
          <w:sz w:val="15"/>
          <w:szCs w:val="15"/>
        </w:rPr>
        <w:t xml:space="preserve"> </w:t>
      </w:r>
      <w:r w:rsidRPr="00DA61E0">
        <w:rPr>
          <w:rFonts w:ascii="Verdana" w:hAnsi="Verdana" w:cs="Arial"/>
          <w:sz w:val="15"/>
          <w:szCs w:val="15"/>
        </w:rPr>
        <w:t>reglamentos</w:t>
      </w:r>
      <w:r w:rsidRPr="00DA61E0">
        <w:rPr>
          <w:rFonts w:ascii="Verdana" w:hAnsi="Verdana" w:cs="Arial"/>
          <w:spacing w:val="-12"/>
          <w:sz w:val="15"/>
          <w:szCs w:val="15"/>
        </w:rPr>
        <w:t xml:space="preserve"> </w:t>
      </w:r>
      <w:r w:rsidRPr="00DA61E0">
        <w:rPr>
          <w:rFonts w:ascii="Verdana" w:hAnsi="Verdana" w:cs="Arial"/>
          <w:sz w:val="15"/>
          <w:szCs w:val="15"/>
        </w:rPr>
        <w:t>–tanto</w:t>
      </w:r>
      <w:r w:rsidRPr="00DA61E0">
        <w:rPr>
          <w:rFonts w:ascii="Verdana" w:hAnsi="Verdana" w:cs="Arial"/>
          <w:spacing w:val="-12"/>
          <w:sz w:val="15"/>
          <w:szCs w:val="15"/>
        </w:rPr>
        <w:t xml:space="preserve"> </w:t>
      </w:r>
      <w:r w:rsidRPr="00DA61E0">
        <w:rPr>
          <w:rFonts w:ascii="Verdana" w:hAnsi="Verdana" w:cs="Arial"/>
          <w:sz w:val="15"/>
          <w:szCs w:val="15"/>
        </w:rPr>
        <w:t>para</w:t>
      </w:r>
      <w:r w:rsidRPr="00DA61E0">
        <w:rPr>
          <w:rFonts w:ascii="Verdana" w:hAnsi="Verdana" w:cs="Arial"/>
          <w:spacing w:val="-12"/>
          <w:sz w:val="15"/>
          <w:szCs w:val="15"/>
        </w:rPr>
        <w:t xml:space="preserve"> </w:t>
      </w:r>
      <w:r w:rsidRPr="00DA61E0">
        <w:rPr>
          <w:rFonts w:ascii="Verdana" w:hAnsi="Verdana" w:cs="Arial"/>
          <w:sz w:val="15"/>
          <w:szCs w:val="15"/>
        </w:rPr>
        <w:t>los</w:t>
      </w:r>
      <w:r w:rsidRPr="00DA61E0">
        <w:rPr>
          <w:rFonts w:ascii="Verdana" w:hAnsi="Verdana" w:cs="Arial"/>
          <w:spacing w:val="-11"/>
          <w:sz w:val="15"/>
          <w:szCs w:val="15"/>
        </w:rPr>
        <w:t xml:space="preserve"> </w:t>
      </w:r>
      <w:r w:rsidRPr="00DA61E0">
        <w:rPr>
          <w:rFonts w:ascii="Verdana" w:hAnsi="Verdana" w:cs="Arial"/>
          <w:sz w:val="15"/>
          <w:szCs w:val="15"/>
        </w:rPr>
        <w:t>administrados</w:t>
      </w:r>
      <w:r w:rsidRPr="00DA61E0">
        <w:rPr>
          <w:rFonts w:ascii="Verdana" w:hAnsi="Verdana" w:cs="Arial"/>
          <w:spacing w:val="-12"/>
          <w:sz w:val="15"/>
          <w:szCs w:val="15"/>
        </w:rPr>
        <w:t xml:space="preserve"> </w:t>
      </w:r>
      <w:r w:rsidRPr="00DA61E0">
        <w:rPr>
          <w:rFonts w:ascii="Verdana" w:hAnsi="Verdana" w:cs="Arial"/>
          <w:sz w:val="15"/>
          <w:szCs w:val="15"/>
        </w:rPr>
        <w:t>como</w:t>
      </w:r>
      <w:r w:rsidRPr="00DA61E0">
        <w:rPr>
          <w:rFonts w:ascii="Verdana" w:hAnsi="Verdana" w:cs="Arial"/>
          <w:spacing w:val="-12"/>
          <w:sz w:val="15"/>
          <w:szCs w:val="15"/>
        </w:rPr>
        <w:t xml:space="preserve"> </w:t>
      </w:r>
      <w:r w:rsidRPr="00DA61E0">
        <w:rPr>
          <w:rFonts w:ascii="Verdana" w:hAnsi="Verdana" w:cs="Arial"/>
          <w:sz w:val="15"/>
          <w:szCs w:val="15"/>
        </w:rPr>
        <w:t>para</w:t>
      </w:r>
      <w:r w:rsidRPr="00DA61E0">
        <w:rPr>
          <w:rFonts w:ascii="Verdana" w:hAnsi="Verdana" w:cs="Arial"/>
          <w:spacing w:val="-12"/>
          <w:sz w:val="15"/>
          <w:szCs w:val="15"/>
        </w:rPr>
        <w:t xml:space="preserve"> </w:t>
      </w:r>
      <w:r w:rsidRPr="00DA61E0">
        <w:rPr>
          <w:rFonts w:ascii="Verdana" w:hAnsi="Verdana" w:cs="Arial"/>
          <w:sz w:val="15"/>
          <w:szCs w:val="15"/>
        </w:rPr>
        <w:t>la</w:t>
      </w:r>
      <w:r w:rsidRPr="00DA61E0">
        <w:rPr>
          <w:rFonts w:ascii="Verdana" w:hAnsi="Verdana" w:cs="Arial"/>
          <w:spacing w:val="-12"/>
          <w:sz w:val="15"/>
          <w:szCs w:val="15"/>
        </w:rPr>
        <w:t xml:space="preserve"> </w:t>
      </w:r>
      <w:r w:rsidRPr="00DA61E0">
        <w:rPr>
          <w:rFonts w:ascii="Verdana" w:hAnsi="Verdana" w:cs="Arial"/>
          <w:sz w:val="15"/>
          <w:szCs w:val="15"/>
        </w:rPr>
        <w:t>propia</w:t>
      </w:r>
      <w:r w:rsidRPr="00DA61E0">
        <w:rPr>
          <w:rFonts w:ascii="Verdana" w:hAnsi="Verdana" w:cs="Arial"/>
          <w:spacing w:val="-50"/>
          <w:sz w:val="15"/>
          <w:szCs w:val="15"/>
        </w:rPr>
        <w:t xml:space="preserve"> </w:t>
      </w:r>
      <w:r w:rsidRPr="00DA61E0">
        <w:rPr>
          <w:rFonts w:ascii="Verdana" w:hAnsi="Verdana" w:cs="Arial"/>
          <w:sz w:val="15"/>
          <w:szCs w:val="15"/>
        </w:rPr>
        <w:t>administración– surge del hecho de ser una norma jurídica, y de compartir la naturaleza del acto</w:t>
      </w:r>
      <w:r w:rsidRPr="00DA61E0">
        <w:rPr>
          <w:rFonts w:ascii="Verdana" w:hAnsi="Verdana" w:cs="Arial"/>
          <w:spacing w:val="1"/>
          <w:sz w:val="15"/>
          <w:szCs w:val="15"/>
        </w:rPr>
        <w:t xml:space="preserve"> </w:t>
      </w:r>
      <w:r w:rsidRPr="00DA61E0">
        <w:rPr>
          <w:rFonts w:ascii="Verdana" w:hAnsi="Verdana" w:cs="Arial"/>
          <w:sz w:val="15"/>
          <w:szCs w:val="15"/>
        </w:rPr>
        <w:t>administrativo,</w:t>
      </w:r>
      <w:r w:rsidRPr="00DA61E0">
        <w:rPr>
          <w:rFonts w:ascii="Verdana" w:hAnsi="Verdana" w:cs="Arial"/>
          <w:spacing w:val="-4"/>
          <w:sz w:val="15"/>
          <w:szCs w:val="15"/>
        </w:rPr>
        <w:t xml:space="preserve"> </w:t>
      </w:r>
      <w:r w:rsidRPr="00DA61E0">
        <w:rPr>
          <w:rFonts w:ascii="Verdana" w:hAnsi="Verdana" w:cs="Arial"/>
          <w:sz w:val="15"/>
          <w:szCs w:val="15"/>
        </w:rPr>
        <w:t>luego,</w:t>
      </w:r>
      <w:r w:rsidRPr="00DA61E0">
        <w:rPr>
          <w:rFonts w:ascii="Verdana" w:hAnsi="Verdana" w:cs="Arial"/>
          <w:spacing w:val="-4"/>
          <w:sz w:val="15"/>
          <w:szCs w:val="15"/>
        </w:rPr>
        <w:t xml:space="preserve"> </w:t>
      </w:r>
      <w:r w:rsidRPr="00DA61E0">
        <w:rPr>
          <w:rFonts w:ascii="Verdana" w:hAnsi="Verdana" w:cs="Arial"/>
          <w:sz w:val="15"/>
          <w:szCs w:val="15"/>
        </w:rPr>
        <w:t>de</w:t>
      </w:r>
      <w:r w:rsidRPr="00DA61E0">
        <w:rPr>
          <w:rFonts w:ascii="Verdana" w:hAnsi="Verdana" w:cs="Arial"/>
          <w:spacing w:val="-4"/>
          <w:sz w:val="15"/>
          <w:szCs w:val="15"/>
        </w:rPr>
        <w:t xml:space="preserve"> </w:t>
      </w:r>
      <w:r w:rsidRPr="00DA61E0">
        <w:rPr>
          <w:rFonts w:ascii="Verdana" w:hAnsi="Verdana" w:cs="Arial"/>
          <w:sz w:val="15"/>
          <w:szCs w:val="15"/>
        </w:rPr>
        <w:t>allí</w:t>
      </w:r>
      <w:r w:rsidRPr="00DA61E0">
        <w:rPr>
          <w:rFonts w:ascii="Verdana" w:hAnsi="Verdana" w:cs="Arial"/>
          <w:spacing w:val="-4"/>
          <w:sz w:val="15"/>
          <w:szCs w:val="15"/>
        </w:rPr>
        <w:t xml:space="preserve"> </w:t>
      </w:r>
      <w:r w:rsidRPr="00DA61E0">
        <w:rPr>
          <w:rFonts w:ascii="Verdana" w:hAnsi="Verdana" w:cs="Arial"/>
          <w:sz w:val="15"/>
          <w:szCs w:val="15"/>
        </w:rPr>
        <w:t>también</w:t>
      </w:r>
      <w:r w:rsidRPr="00DA61E0">
        <w:rPr>
          <w:rFonts w:ascii="Verdana" w:hAnsi="Verdana" w:cs="Arial"/>
          <w:spacing w:val="-4"/>
          <w:sz w:val="15"/>
          <w:szCs w:val="15"/>
        </w:rPr>
        <w:t xml:space="preserve"> </w:t>
      </w:r>
      <w:r w:rsidRPr="00DA61E0">
        <w:rPr>
          <w:rFonts w:ascii="Verdana" w:hAnsi="Verdana" w:cs="Arial"/>
          <w:sz w:val="15"/>
          <w:szCs w:val="15"/>
        </w:rPr>
        <w:t>se</w:t>
      </w:r>
      <w:r w:rsidRPr="00DA61E0">
        <w:rPr>
          <w:rFonts w:ascii="Verdana" w:hAnsi="Verdana" w:cs="Arial"/>
          <w:spacing w:val="-4"/>
          <w:sz w:val="15"/>
          <w:szCs w:val="15"/>
        </w:rPr>
        <w:t xml:space="preserve"> </w:t>
      </w:r>
      <w:r w:rsidRPr="00DA61E0">
        <w:rPr>
          <w:rFonts w:ascii="Verdana" w:hAnsi="Verdana" w:cs="Arial"/>
          <w:sz w:val="15"/>
          <w:szCs w:val="15"/>
        </w:rPr>
        <w:t>desprende</w:t>
      </w:r>
      <w:r w:rsidRPr="00DA61E0">
        <w:rPr>
          <w:rFonts w:ascii="Verdana" w:hAnsi="Verdana" w:cs="Arial"/>
          <w:spacing w:val="-4"/>
          <w:sz w:val="15"/>
          <w:szCs w:val="15"/>
        </w:rPr>
        <w:t xml:space="preserve"> </w:t>
      </w:r>
      <w:r w:rsidRPr="00DA61E0">
        <w:rPr>
          <w:rFonts w:ascii="Verdana" w:hAnsi="Verdana" w:cs="Arial"/>
          <w:sz w:val="15"/>
          <w:szCs w:val="15"/>
        </w:rPr>
        <w:t>que</w:t>
      </w:r>
      <w:r w:rsidRPr="00DA61E0">
        <w:rPr>
          <w:rFonts w:ascii="Verdana" w:hAnsi="Verdana" w:cs="Arial"/>
          <w:spacing w:val="-3"/>
          <w:sz w:val="15"/>
          <w:szCs w:val="15"/>
        </w:rPr>
        <w:t xml:space="preserve"> </w:t>
      </w:r>
      <w:r w:rsidRPr="00DA61E0">
        <w:rPr>
          <w:rFonts w:ascii="Verdana" w:hAnsi="Verdana" w:cs="Arial"/>
          <w:sz w:val="15"/>
          <w:szCs w:val="15"/>
        </w:rPr>
        <w:t>se</w:t>
      </w:r>
      <w:r w:rsidRPr="00DA61E0">
        <w:rPr>
          <w:rFonts w:ascii="Verdana" w:hAnsi="Verdana" w:cs="Arial"/>
          <w:spacing w:val="-4"/>
          <w:sz w:val="15"/>
          <w:szCs w:val="15"/>
        </w:rPr>
        <w:t xml:space="preserve"> </w:t>
      </w:r>
      <w:r w:rsidRPr="00DA61E0">
        <w:rPr>
          <w:rFonts w:ascii="Verdana" w:hAnsi="Verdana" w:cs="Arial"/>
          <w:sz w:val="15"/>
          <w:szCs w:val="15"/>
        </w:rPr>
        <w:t>presuman</w:t>
      </w:r>
      <w:r w:rsidRPr="00DA61E0">
        <w:rPr>
          <w:rFonts w:ascii="Verdana" w:hAnsi="Verdana" w:cs="Arial"/>
          <w:spacing w:val="-4"/>
          <w:sz w:val="15"/>
          <w:szCs w:val="15"/>
        </w:rPr>
        <w:t xml:space="preserve"> </w:t>
      </w:r>
      <w:r w:rsidRPr="00DA61E0">
        <w:rPr>
          <w:rFonts w:ascii="Verdana" w:hAnsi="Verdana" w:cs="Arial"/>
          <w:sz w:val="15"/>
          <w:szCs w:val="15"/>
        </w:rPr>
        <w:t>legales</w:t>
      </w:r>
      <w:r w:rsidRPr="00DA61E0">
        <w:rPr>
          <w:rFonts w:ascii="Verdana" w:hAnsi="Verdana" w:cs="Arial"/>
          <w:spacing w:val="-4"/>
          <w:sz w:val="15"/>
          <w:szCs w:val="15"/>
        </w:rPr>
        <w:t xml:space="preserve"> </w:t>
      </w:r>
      <w:r w:rsidRPr="00DA61E0">
        <w:rPr>
          <w:rFonts w:ascii="Verdana" w:hAnsi="Verdana" w:cs="Arial"/>
          <w:sz w:val="15"/>
          <w:szCs w:val="15"/>
        </w:rPr>
        <w:t>y</w:t>
      </w:r>
      <w:r w:rsidRPr="00DA61E0">
        <w:rPr>
          <w:rFonts w:ascii="Verdana" w:hAnsi="Verdana" w:cs="Arial"/>
          <w:spacing w:val="-4"/>
          <w:sz w:val="15"/>
          <w:szCs w:val="15"/>
        </w:rPr>
        <w:t xml:space="preserve"> </w:t>
      </w:r>
      <w:r w:rsidRPr="00DA61E0">
        <w:rPr>
          <w:rFonts w:ascii="Verdana" w:hAnsi="Verdana" w:cs="Arial"/>
          <w:sz w:val="15"/>
          <w:szCs w:val="15"/>
        </w:rPr>
        <w:t>sean</w:t>
      </w:r>
      <w:r w:rsidRPr="00DA61E0">
        <w:rPr>
          <w:rFonts w:ascii="Verdana" w:hAnsi="Verdana" w:cs="Arial"/>
          <w:spacing w:val="-4"/>
          <w:sz w:val="15"/>
          <w:szCs w:val="15"/>
        </w:rPr>
        <w:t xml:space="preserve"> </w:t>
      </w:r>
      <w:r w:rsidRPr="00DA61E0">
        <w:rPr>
          <w:rFonts w:ascii="Verdana" w:hAnsi="Verdana" w:cs="Arial"/>
          <w:sz w:val="15"/>
          <w:szCs w:val="15"/>
        </w:rPr>
        <w:t>ejecutorios.</w:t>
      </w:r>
    </w:p>
    <w:p w14:paraId="5D755AA8" w14:textId="77777777" w:rsidR="00DA61E0" w:rsidRPr="00DA61E0" w:rsidRDefault="00DA61E0" w:rsidP="00DA61E0">
      <w:pPr>
        <w:spacing w:after="0" w:line="240" w:lineRule="auto"/>
        <w:ind w:firstLine="708"/>
        <w:jc w:val="both"/>
        <w:rPr>
          <w:rFonts w:ascii="Verdana" w:hAnsi="Verdana" w:cs="Arial"/>
          <w:sz w:val="15"/>
          <w:szCs w:val="15"/>
        </w:rPr>
      </w:pPr>
      <w:r w:rsidRPr="00DA61E0">
        <w:rPr>
          <w:rFonts w:ascii="Verdana" w:hAnsi="Verdana" w:cs="Arial"/>
          <w:sz w:val="15"/>
          <w:szCs w:val="15"/>
        </w:rPr>
        <w:t>Por esta misma razón, la doctrina española –con especial fuerza– ha señalado que su</w:t>
      </w:r>
      <w:r w:rsidRPr="00DA61E0">
        <w:rPr>
          <w:rFonts w:ascii="Verdana" w:hAnsi="Verdana" w:cs="Arial"/>
          <w:spacing w:val="1"/>
          <w:sz w:val="15"/>
          <w:szCs w:val="15"/>
        </w:rPr>
        <w:t xml:space="preserve"> </w:t>
      </w:r>
      <w:r w:rsidRPr="00DA61E0">
        <w:rPr>
          <w:rFonts w:ascii="Verdana" w:hAnsi="Verdana" w:cs="Arial"/>
          <w:sz w:val="15"/>
          <w:szCs w:val="15"/>
        </w:rPr>
        <w:t>observancia</w:t>
      </w:r>
      <w:r w:rsidRPr="00DA61E0">
        <w:rPr>
          <w:rFonts w:ascii="Verdana" w:hAnsi="Verdana" w:cs="Arial"/>
          <w:spacing w:val="-5"/>
          <w:sz w:val="15"/>
          <w:szCs w:val="15"/>
        </w:rPr>
        <w:t xml:space="preserve"> </w:t>
      </w:r>
      <w:r w:rsidRPr="00DA61E0">
        <w:rPr>
          <w:rFonts w:ascii="Verdana" w:hAnsi="Verdana" w:cs="Arial"/>
          <w:sz w:val="15"/>
          <w:szCs w:val="15"/>
        </w:rPr>
        <w:t>no</w:t>
      </w:r>
      <w:r w:rsidRPr="00DA61E0">
        <w:rPr>
          <w:rFonts w:ascii="Verdana" w:hAnsi="Verdana" w:cs="Arial"/>
          <w:spacing w:val="-4"/>
          <w:sz w:val="15"/>
          <w:szCs w:val="15"/>
        </w:rPr>
        <w:t xml:space="preserve"> </w:t>
      </w:r>
      <w:r w:rsidRPr="00DA61E0">
        <w:rPr>
          <w:rFonts w:ascii="Verdana" w:hAnsi="Verdana" w:cs="Arial"/>
          <w:sz w:val="15"/>
          <w:szCs w:val="15"/>
        </w:rPr>
        <w:t>queda</w:t>
      </w:r>
      <w:r w:rsidRPr="00DA61E0">
        <w:rPr>
          <w:rFonts w:ascii="Verdana" w:hAnsi="Verdana" w:cs="Arial"/>
          <w:spacing w:val="-5"/>
          <w:sz w:val="15"/>
          <w:szCs w:val="15"/>
        </w:rPr>
        <w:t xml:space="preserve"> </w:t>
      </w:r>
      <w:r w:rsidRPr="00DA61E0">
        <w:rPr>
          <w:rFonts w:ascii="Verdana" w:hAnsi="Verdana" w:cs="Arial"/>
          <w:sz w:val="15"/>
          <w:szCs w:val="15"/>
        </w:rPr>
        <w:t>al</w:t>
      </w:r>
      <w:r w:rsidRPr="00DA61E0">
        <w:rPr>
          <w:rFonts w:ascii="Verdana" w:hAnsi="Verdana" w:cs="Arial"/>
          <w:spacing w:val="-4"/>
          <w:sz w:val="15"/>
          <w:szCs w:val="15"/>
        </w:rPr>
        <w:t xml:space="preserve"> </w:t>
      </w:r>
      <w:r w:rsidRPr="00DA61E0">
        <w:rPr>
          <w:rFonts w:ascii="Verdana" w:hAnsi="Verdana" w:cs="Arial"/>
          <w:sz w:val="15"/>
          <w:szCs w:val="15"/>
        </w:rPr>
        <w:t>capricho</w:t>
      </w:r>
      <w:r w:rsidRPr="00DA61E0">
        <w:rPr>
          <w:rFonts w:ascii="Verdana" w:hAnsi="Verdana" w:cs="Arial"/>
          <w:spacing w:val="-5"/>
          <w:sz w:val="15"/>
          <w:szCs w:val="15"/>
        </w:rPr>
        <w:t xml:space="preserve"> </w:t>
      </w:r>
      <w:r w:rsidRPr="00DA61E0">
        <w:rPr>
          <w:rFonts w:ascii="Verdana" w:hAnsi="Verdana" w:cs="Arial"/>
          <w:sz w:val="15"/>
          <w:szCs w:val="15"/>
        </w:rPr>
        <w:t>del</w:t>
      </w:r>
      <w:r w:rsidRPr="00DA61E0">
        <w:rPr>
          <w:rFonts w:ascii="Verdana" w:hAnsi="Verdana" w:cs="Arial"/>
          <w:spacing w:val="-4"/>
          <w:sz w:val="15"/>
          <w:szCs w:val="15"/>
        </w:rPr>
        <w:t xml:space="preserve"> </w:t>
      </w:r>
      <w:r w:rsidRPr="00DA61E0">
        <w:rPr>
          <w:rFonts w:ascii="Verdana" w:hAnsi="Verdana" w:cs="Arial"/>
          <w:sz w:val="15"/>
          <w:szCs w:val="15"/>
        </w:rPr>
        <w:t>órgano</w:t>
      </w:r>
      <w:r w:rsidRPr="00DA61E0">
        <w:rPr>
          <w:rFonts w:ascii="Verdana" w:hAnsi="Verdana" w:cs="Arial"/>
          <w:spacing w:val="-5"/>
          <w:sz w:val="15"/>
          <w:szCs w:val="15"/>
        </w:rPr>
        <w:t xml:space="preserve"> </w:t>
      </w:r>
      <w:r w:rsidRPr="00DA61E0">
        <w:rPr>
          <w:rFonts w:ascii="Verdana" w:hAnsi="Verdana" w:cs="Arial"/>
          <w:sz w:val="15"/>
          <w:szCs w:val="15"/>
        </w:rPr>
        <w:t>que</w:t>
      </w:r>
      <w:r w:rsidRPr="00DA61E0">
        <w:rPr>
          <w:rFonts w:ascii="Verdana" w:hAnsi="Verdana" w:cs="Arial"/>
          <w:spacing w:val="-4"/>
          <w:sz w:val="15"/>
          <w:szCs w:val="15"/>
        </w:rPr>
        <w:t xml:space="preserve"> </w:t>
      </w:r>
      <w:r w:rsidRPr="00DA61E0">
        <w:rPr>
          <w:rFonts w:ascii="Verdana" w:hAnsi="Verdana" w:cs="Arial"/>
          <w:sz w:val="15"/>
          <w:szCs w:val="15"/>
        </w:rPr>
        <w:t>la</w:t>
      </w:r>
      <w:r w:rsidRPr="00DA61E0">
        <w:rPr>
          <w:rFonts w:ascii="Verdana" w:hAnsi="Verdana" w:cs="Arial"/>
          <w:spacing w:val="-5"/>
          <w:sz w:val="15"/>
          <w:szCs w:val="15"/>
        </w:rPr>
        <w:t xml:space="preserve"> </w:t>
      </w:r>
      <w:r w:rsidRPr="00DA61E0">
        <w:rPr>
          <w:rFonts w:ascii="Verdana" w:hAnsi="Verdana" w:cs="Arial"/>
          <w:sz w:val="15"/>
          <w:szCs w:val="15"/>
        </w:rPr>
        <w:t>expidió,</w:t>
      </w:r>
      <w:r w:rsidRPr="00DA61E0">
        <w:rPr>
          <w:rFonts w:ascii="Verdana" w:hAnsi="Verdana" w:cs="Arial"/>
          <w:spacing w:val="-4"/>
          <w:sz w:val="15"/>
          <w:szCs w:val="15"/>
        </w:rPr>
        <w:t xml:space="preserve"> </w:t>
      </w:r>
      <w:r w:rsidRPr="00DA61E0">
        <w:rPr>
          <w:rFonts w:ascii="Verdana" w:hAnsi="Verdana" w:cs="Arial"/>
          <w:sz w:val="15"/>
          <w:szCs w:val="15"/>
        </w:rPr>
        <w:t>pues</w:t>
      </w:r>
      <w:r w:rsidRPr="00DA61E0">
        <w:rPr>
          <w:rFonts w:ascii="Verdana" w:hAnsi="Verdana" w:cs="Arial"/>
          <w:spacing w:val="-5"/>
          <w:sz w:val="15"/>
          <w:szCs w:val="15"/>
        </w:rPr>
        <w:t xml:space="preserve"> </w:t>
      </w:r>
      <w:r w:rsidRPr="00DA61E0">
        <w:rPr>
          <w:rFonts w:ascii="Verdana" w:hAnsi="Verdana" w:cs="Arial"/>
          <w:sz w:val="15"/>
          <w:szCs w:val="15"/>
        </w:rPr>
        <w:t>si</w:t>
      </w:r>
      <w:r w:rsidRPr="00DA61E0">
        <w:rPr>
          <w:rFonts w:ascii="Verdana" w:hAnsi="Verdana" w:cs="Arial"/>
          <w:spacing w:val="-4"/>
          <w:sz w:val="15"/>
          <w:szCs w:val="15"/>
        </w:rPr>
        <w:t xml:space="preserve"> </w:t>
      </w:r>
      <w:r w:rsidRPr="00DA61E0">
        <w:rPr>
          <w:rFonts w:ascii="Verdana" w:hAnsi="Verdana" w:cs="Arial"/>
          <w:sz w:val="15"/>
          <w:szCs w:val="15"/>
        </w:rPr>
        <w:t>quisiera</w:t>
      </w:r>
      <w:r w:rsidRPr="00DA61E0">
        <w:rPr>
          <w:rFonts w:ascii="Verdana" w:hAnsi="Verdana" w:cs="Arial"/>
          <w:spacing w:val="-5"/>
          <w:sz w:val="15"/>
          <w:szCs w:val="15"/>
        </w:rPr>
        <w:t xml:space="preserve"> </w:t>
      </w:r>
      <w:r w:rsidRPr="00DA61E0">
        <w:rPr>
          <w:rFonts w:ascii="Verdana" w:hAnsi="Verdana" w:cs="Arial"/>
          <w:sz w:val="15"/>
          <w:szCs w:val="15"/>
        </w:rPr>
        <w:t>él</w:t>
      </w:r>
      <w:r w:rsidRPr="00DA61E0">
        <w:rPr>
          <w:rFonts w:ascii="Verdana" w:hAnsi="Verdana" w:cs="Arial"/>
          <w:spacing w:val="-4"/>
          <w:sz w:val="15"/>
          <w:szCs w:val="15"/>
        </w:rPr>
        <w:t xml:space="preserve"> </w:t>
      </w:r>
      <w:r w:rsidRPr="00DA61E0">
        <w:rPr>
          <w:rFonts w:ascii="Verdana" w:hAnsi="Verdana" w:cs="Arial"/>
          <w:sz w:val="15"/>
          <w:szCs w:val="15"/>
        </w:rPr>
        <w:t>lo</w:t>
      </w:r>
      <w:r w:rsidRPr="00DA61E0">
        <w:rPr>
          <w:rFonts w:ascii="Verdana" w:hAnsi="Verdana" w:cs="Arial"/>
          <w:spacing w:val="-4"/>
          <w:sz w:val="15"/>
          <w:szCs w:val="15"/>
        </w:rPr>
        <w:t xml:space="preserve"> </w:t>
      </w:r>
      <w:r w:rsidRPr="00DA61E0">
        <w:rPr>
          <w:rFonts w:ascii="Verdana" w:hAnsi="Verdana" w:cs="Arial"/>
          <w:sz w:val="15"/>
          <w:szCs w:val="15"/>
        </w:rPr>
        <w:t>puede</w:t>
      </w:r>
      <w:r w:rsidRPr="00DA61E0">
        <w:rPr>
          <w:rFonts w:ascii="Verdana" w:hAnsi="Verdana" w:cs="Arial"/>
          <w:spacing w:val="-5"/>
          <w:sz w:val="15"/>
          <w:szCs w:val="15"/>
        </w:rPr>
        <w:t xml:space="preserve"> </w:t>
      </w:r>
      <w:r w:rsidRPr="00DA61E0">
        <w:rPr>
          <w:rFonts w:ascii="Verdana" w:hAnsi="Verdana" w:cs="Arial"/>
          <w:sz w:val="15"/>
          <w:szCs w:val="15"/>
        </w:rPr>
        <w:t>desconocer.</w:t>
      </w:r>
      <w:r w:rsidRPr="00DA61E0">
        <w:rPr>
          <w:rFonts w:ascii="Verdana" w:hAnsi="Verdana" w:cs="Arial"/>
          <w:spacing w:val="1"/>
          <w:sz w:val="15"/>
          <w:szCs w:val="15"/>
        </w:rPr>
        <w:t xml:space="preserve"> </w:t>
      </w:r>
      <w:r w:rsidRPr="00DA61E0">
        <w:rPr>
          <w:rFonts w:ascii="Verdana" w:hAnsi="Verdana" w:cs="Arial"/>
          <w:sz w:val="15"/>
          <w:szCs w:val="15"/>
        </w:rPr>
        <w:t>De algún modo, como acontece con todo acto administrativo, el acto cobra vida propia, y autonomía</w:t>
      </w:r>
      <w:r w:rsidRPr="00DA61E0">
        <w:rPr>
          <w:rFonts w:ascii="Verdana" w:hAnsi="Verdana" w:cs="Arial"/>
          <w:spacing w:val="1"/>
          <w:sz w:val="15"/>
          <w:szCs w:val="15"/>
        </w:rPr>
        <w:t xml:space="preserve"> </w:t>
      </w:r>
      <w:r w:rsidRPr="00DA61E0">
        <w:rPr>
          <w:rFonts w:ascii="Verdana" w:hAnsi="Verdana" w:cs="Arial"/>
          <w:sz w:val="15"/>
          <w:szCs w:val="15"/>
        </w:rPr>
        <w:t>en</w:t>
      </w:r>
      <w:r w:rsidRPr="00DA61E0">
        <w:rPr>
          <w:rFonts w:ascii="Verdana" w:hAnsi="Verdana" w:cs="Arial"/>
          <w:spacing w:val="-7"/>
          <w:sz w:val="15"/>
          <w:szCs w:val="15"/>
        </w:rPr>
        <w:t xml:space="preserve"> </w:t>
      </w:r>
      <w:r w:rsidRPr="00DA61E0">
        <w:rPr>
          <w:rFonts w:ascii="Verdana" w:hAnsi="Verdana" w:cs="Arial"/>
          <w:sz w:val="15"/>
          <w:szCs w:val="15"/>
        </w:rPr>
        <w:t>relación</w:t>
      </w:r>
      <w:r w:rsidRPr="00DA61E0">
        <w:rPr>
          <w:rFonts w:ascii="Verdana" w:hAnsi="Verdana" w:cs="Arial"/>
          <w:spacing w:val="-7"/>
          <w:sz w:val="15"/>
          <w:szCs w:val="15"/>
        </w:rPr>
        <w:t xml:space="preserve"> </w:t>
      </w:r>
      <w:r w:rsidRPr="00DA61E0">
        <w:rPr>
          <w:rFonts w:ascii="Verdana" w:hAnsi="Verdana" w:cs="Arial"/>
          <w:sz w:val="15"/>
          <w:szCs w:val="15"/>
        </w:rPr>
        <w:t>con</w:t>
      </w:r>
      <w:r w:rsidRPr="00DA61E0">
        <w:rPr>
          <w:rFonts w:ascii="Verdana" w:hAnsi="Verdana" w:cs="Arial"/>
          <w:spacing w:val="-6"/>
          <w:sz w:val="15"/>
          <w:szCs w:val="15"/>
        </w:rPr>
        <w:t xml:space="preserve"> </w:t>
      </w:r>
      <w:r w:rsidRPr="00DA61E0">
        <w:rPr>
          <w:rFonts w:ascii="Verdana" w:hAnsi="Verdana" w:cs="Arial"/>
          <w:sz w:val="15"/>
          <w:szCs w:val="15"/>
        </w:rPr>
        <w:t>su</w:t>
      </w:r>
      <w:r w:rsidRPr="00DA61E0">
        <w:rPr>
          <w:rFonts w:ascii="Verdana" w:hAnsi="Verdana" w:cs="Arial"/>
          <w:spacing w:val="-7"/>
          <w:sz w:val="15"/>
          <w:szCs w:val="15"/>
        </w:rPr>
        <w:t xml:space="preserve"> </w:t>
      </w:r>
      <w:r w:rsidRPr="00DA61E0">
        <w:rPr>
          <w:rFonts w:ascii="Verdana" w:hAnsi="Verdana" w:cs="Arial"/>
          <w:sz w:val="15"/>
          <w:szCs w:val="15"/>
        </w:rPr>
        <w:t>propio</w:t>
      </w:r>
      <w:r w:rsidRPr="00DA61E0">
        <w:rPr>
          <w:rFonts w:ascii="Verdana" w:hAnsi="Verdana" w:cs="Arial"/>
          <w:spacing w:val="-7"/>
          <w:sz w:val="15"/>
          <w:szCs w:val="15"/>
        </w:rPr>
        <w:t xml:space="preserve"> </w:t>
      </w:r>
      <w:r w:rsidRPr="00DA61E0">
        <w:rPr>
          <w:rFonts w:ascii="Verdana" w:hAnsi="Verdana" w:cs="Arial"/>
          <w:sz w:val="15"/>
          <w:szCs w:val="15"/>
        </w:rPr>
        <w:t>creador.</w:t>
      </w:r>
      <w:r w:rsidRPr="00DA61E0">
        <w:rPr>
          <w:rFonts w:ascii="Verdana" w:hAnsi="Verdana" w:cs="Arial"/>
          <w:spacing w:val="-6"/>
          <w:sz w:val="15"/>
          <w:szCs w:val="15"/>
        </w:rPr>
        <w:t xml:space="preserve"> </w:t>
      </w:r>
      <w:r w:rsidRPr="00DA61E0">
        <w:rPr>
          <w:rFonts w:ascii="Verdana" w:hAnsi="Verdana" w:cs="Arial"/>
          <w:sz w:val="15"/>
          <w:szCs w:val="15"/>
        </w:rPr>
        <w:t>A</w:t>
      </w:r>
      <w:r w:rsidRPr="00DA61E0">
        <w:rPr>
          <w:rFonts w:ascii="Verdana" w:hAnsi="Verdana" w:cs="Arial"/>
          <w:spacing w:val="-7"/>
          <w:sz w:val="15"/>
          <w:szCs w:val="15"/>
        </w:rPr>
        <w:t xml:space="preserve"> </w:t>
      </w:r>
      <w:r w:rsidRPr="00DA61E0">
        <w:rPr>
          <w:rFonts w:ascii="Verdana" w:hAnsi="Verdana" w:cs="Arial"/>
          <w:sz w:val="15"/>
          <w:szCs w:val="15"/>
        </w:rPr>
        <w:t>este</w:t>
      </w:r>
      <w:r w:rsidRPr="00DA61E0">
        <w:rPr>
          <w:rFonts w:ascii="Verdana" w:hAnsi="Verdana" w:cs="Arial"/>
          <w:spacing w:val="-6"/>
          <w:sz w:val="15"/>
          <w:szCs w:val="15"/>
        </w:rPr>
        <w:t xml:space="preserve"> </w:t>
      </w:r>
      <w:r w:rsidRPr="00DA61E0">
        <w:rPr>
          <w:rFonts w:ascii="Verdana" w:hAnsi="Verdana" w:cs="Arial"/>
          <w:sz w:val="15"/>
          <w:szCs w:val="15"/>
        </w:rPr>
        <w:t>último</w:t>
      </w:r>
      <w:r w:rsidRPr="00DA61E0">
        <w:rPr>
          <w:rFonts w:ascii="Verdana" w:hAnsi="Verdana" w:cs="Arial"/>
          <w:spacing w:val="-7"/>
          <w:sz w:val="15"/>
          <w:szCs w:val="15"/>
        </w:rPr>
        <w:t xml:space="preserve"> </w:t>
      </w:r>
      <w:r w:rsidRPr="00DA61E0">
        <w:rPr>
          <w:rFonts w:ascii="Verdana" w:hAnsi="Verdana" w:cs="Arial"/>
          <w:sz w:val="15"/>
          <w:szCs w:val="15"/>
        </w:rPr>
        <w:t>evento</w:t>
      </w:r>
      <w:r w:rsidRPr="00DA61E0">
        <w:rPr>
          <w:rFonts w:ascii="Verdana" w:hAnsi="Verdana" w:cs="Arial"/>
          <w:spacing w:val="-7"/>
          <w:sz w:val="15"/>
          <w:szCs w:val="15"/>
        </w:rPr>
        <w:t xml:space="preserve"> </w:t>
      </w:r>
      <w:r w:rsidRPr="00DA61E0">
        <w:rPr>
          <w:rFonts w:ascii="Verdana" w:hAnsi="Verdana" w:cs="Arial"/>
          <w:sz w:val="15"/>
          <w:szCs w:val="15"/>
        </w:rPr>
        <w:t>se</w:t>
      </w:r>
      <w:r w:rsidRPr="00DA61E0">
        <w:rPr>
          <w:rFonts w:ascii="Verdana" w:hAnsi="Verdana" w:cs="Arial"/>
          <w:spacing w:val="-6"/>
          <w:sz w:val="15"/>
          <w:szCs w:val="15"/>
        </w:rPr>
        <w:t xml:space="preserve"> </w:t>
      </w:r>
      <w:r w:rsidRPr="00DA61E0">
        <w:rPr>
          <w:rFonts w:ascii="Verdana" w:hAnsi="Verdana" w:cs="Arial"/>
          <w:sz w:val="15"/>
          <w:szCs w:val="15"/>
        </w:rPr>
        <w:t>le</w:t>
      </w:r>
      <w:r w:rsidRPr="00DA61E0">
        <w:rPr>
          <w:rFonts w:ascii="Verdana" w:hAnsi="Verdana" w:cs="Arial"/>
          <w:spacing w:val="-7"/>
          <w:sz w:val="15"/>
          <w:szCs w:val="15"/>
        </w:rPr>
        <w:t xml:space="preserve"> </w:t>
      </w:r>
      <w:r w:rsidRPr="00DA61E0">
        <w:rPr>
          <w:rFonts w:ascii="Verdana" w:hAnsi="Verdana" w:cs="Arial"/>
          <w:sz w:val="15"/>
          <w:szCs w:val="15"/>
        </w:rPr>
        <w:t>denomina</w:t>
      </w:r>
      <w:r w:rsidRPr="00DA61E0">
        <w:rPr>
          <w:rFonts w:ascii="Verdana" w:hAnsi="Verdana" w:cs="Arial"/>
          <w:spacing w:val="-6"/>
          <w:sz w:val="15"/>
          <w:szCs w:val="15"/>
        </w:rPr>
        <w:t xml:space="preserve"> </w:t>
      </w:r>
      <w:r w:rsidRPr="00DA61E0">
        <w:rPr>
          <w:rFonts w:ascii="Verdana" w:hAnsi="Verdana" w:cs="Arial"/>
          <w:sz w:val="15"/>
          <w:szCs w:val="15"/>
        </w:rPr>
        <w:t>la</w:t>
      </w:r>
      <w:r w:rsidRPr="00DA61E0">
        <w:rPr>
          <w:rFonts w:ascii="Verdana" w:hAnsi="Verdana" w:cs="Arial"/>
          <w:spacing w:val="-6"/>
          <w:sz w:val="15"/>
          <w:szCs w:val="15"/>
        </w:rPr>
        <w:t xml:space="preserve"> </w:t>
      </w:r>
      <w:r w:rsidRPr="00DA61E0">
        <w:rPr>
          <w:rFonts w:ascii="Verdana" w:hAnsi="Verdana" w:cs="Arial"/>
          <w:sz w:val="15"/>
          <w:szCs w:val="15"/>
        </w:rPr>
        <w:t>inderogabilidad</w:t>
      </w:r>
      <w:r w:rsidRPr="00DA61E0">
        <w:rPr>
          <w:rFonts w:ascii="Verdana" w:hAnsi="Verdana" w:cs="Arial"/>
          <w:spacing w:val="-6"/>
          <w:sz w:val="15"/>
          <w:szCs w:val="15"/>
        </w:rPr>
        <w:t xml:space="preserve"> </w:t>
      </w:r>
      <w:r w:rsidRPr="00DA61E0">
        <w:rPr>
          <w:rFonts w:ascii="Verdana" w:hAnsi="Verdana" w:cs="Arial"/>
          <w:sz w:val="15"/>
          <w:szCs w:val="15"/>
        </w:rPr>
        <w:t>singular</w:t>
      </w:r>
      <w:r w:rsidRPr="00DA61E0">
        <w:rPr>
          <w:rFonts w:ascii="Verdana" w:hAnsi="Verdana" w:cs="Arial"/>
          <w:spacing w:val="-6"/>
          <w:sz w:val="15"/>
          <w:szCs w:val="15"/>
        </w:rPr>
        <w:t xml:space="preserve"> </w:t>
      </w:r>
      <w:r w:rsidRPr="00DA61E0">
        <w:rPr>
          <w:rFonts w:ascii="Verdana" w:hAnsi="Verdana" w:cs="Arial"/>
          <w:sz w:val="15"/>
          <w:szCs w:val="15"/>
        </w:rPr>
        <w:t>del</w:t>
      </w:r>
      <w:r w:rsidRPr="00DA61E0">
        <w:rPr>
          <w:rFonts w:ascii="Verdana" w:hAnsi="Verdana" w:cs="Arial"/>
          <w:spacing w:val="1"/>
          <w:sz w:val="15"/>
          <w:szCs w:val="15"/>
        </w:rPr>
        <w:t xml:space="preserve"> </w:t>
      </w:r>
      <w:r w:rsidRPr="00DA61E0">
        <w:rPr>
          <w:rFonts w:ascii="Verdana" w:hAnsi="Verdana" w:cs="Arial"/>
          <w:sz w:val="15"/>
          <w:szCs w:val="15"/>
        </w:rPr>
        <w:t>reglamento,</w:t>
      </w:r>
      <w:r w:rsidRPr="00DA61E0">
        <w:rPr>
          <w:rFonts w:ascii="Verdana" w:hAnsi="Verdana" w:cs="Arial"/>
          <w:spacing w:val="-3"/>
          <w:sz w:val="15"/>
          <w:szCs w:val="15"/>
        </w:rPr>
        <w:t xml:space="preserve"> </w:t>
      </w:r>
      <w:r w:rsidRPr="00DA61E0">
        <w:rPr>
          <w:rFonts w:ascii="Verdana" w:hAnsi="Verdana" w:cs="Arial"/>
          <w:sz w:val="15"/>
          <w:szCs w:val="15"/>
        </w:rPr>
        <w:t>que</w:t>
      </w:r>
      <w:r w:rsidRPr="00DA61E0">
        <w:rPr>
          <w:rFonts w:ascii="Verdana" w:hAnsi="Verdana" w:cs="Arial"/>
          <w:spacing w:val="-2"/>
          <w:sz w:val="15"/>
          <w:szCs w:val="15"/>
        </w:rPr>
        <w:t xml:space="preserve"> </w:t>
      </w:r>
      <w:r w:rsidRPr="00DA61E0">
        <w:rPr>
          <w:rFonts w:ascii="Verdana" w:hAnsi="Verdana" w:cs="Arial"/>
          <w:sz w:val="15"/>
          <w:szCs w:val="15"/>
        </w:rPr>
        <w:t>no</w:t>
      </w:r>
      <w:r w:rsidRPr="00DA61E0">
        <w:rPr>
          <w:rFonts w:ascii="Verdana" w:hAnsi="Verdana" w:cs="Arial"/>
          <w:spacing w:val="-2"/>
          <w:sz w:val="15"/>
          <w:szCs w:val="15"/>
        </w:rPr>
        <w:t xml:space="preserve"> </w:t>
      </w:r>
      <w:r w:rsidRPr="00DA61E0">
        <w:rPr>
          <w:rFonts w:ascii="Verdana" w:hAnsi="Verdana" w:cs="Arial"/>
          <w:sz w:val="15"/>
          <w:szCs w:val="15"/>
        </w:rPr>
        <w:t>es</w:t>
      </w:r>
      <w:r w:rsidRPr="00DA61E0">
        <w:rPr>
          <w:rFonts w:ascii="Verdana" w:hAnsi="Verdana" w:cs="Arial"/>
          <w:spacing w:val="-2"/>
          <w:sz w:val="15"/>
          <w:szCs w:val="15"/>
        </w:rPr>
        <w:t xml:space="preserve"> </w:t>
      </w:r>
      <w:r w:rsidRPr="00DA61E0">
        <w:rPr>
          <w:rFonts w:ascii="Verdana" w:hAnsi="Verdana" w:cs="Arial"/>
          <w:sz w:val="15"/>
          <w:szCs w:val="15"/>
        </w:rPr>
        <w:t>otra</w:t>
      </w:r>
      <w:r w:rsidRPr="00DA61E0">
        <w:rPr>
          <w:rFonts w:ascii="Verdana" w:hAnsi="Verdana" w:cs="Arial"/>
          <w:spacing w:val="-2"/>
          <w:sz w:val="15"/>
          <w:szCs w:val="15"/>
        </w:rPr>
        <w:t xml:space="preserve"> </w:t>
      </w:r>
      <w:r w:rsidRPr="00DA61E0">
        <w:rPr>
          <w:rFonts w:ascii="Verdana" w:hAnsi="Verdana" w:cs="Arial"/>
          <w:sz w:val="15"/>
          <w:szCs w:val="15"/>
        </w:rPr>
        <w:t>cosa</w:t>
      </w:r>
      <w:r w:rsidRPr="00DA61E0">
        <w:rPr>
          <w:rFonts w:ascii="Verdana" w:hAnsi="Verdana" w:cs="Arial"/>
          <w:spacing w:val="-2"/>
          <w:sz w:val="15"/>
          <w:szCs w:val="15"/>
        </w:rPr>
        <w:t xml:space="preserve"> </w:t>
      </w:r>
      <w:r w:rsidRPr="00DA61E0">
        <w:rPr>
          <w:rFonts w:ascii="Verdana" w:hAnsi="Verdana" w:cs="Arial"/>
          <w:sz w:val="15"/>
          <w:szCs w:val="15"/>
        </w:rPr>
        <w:t>que</w:t>
      </w:r>
      <w:r w:rsidRPr="00DA61E0">
        <w:rPr>
          <w:rFonts w:ascii="Verdana" w:hAnsi="Verdana" w:cs="Arial"/>
          <w:spacing w:val="-2"/>
          <w:sz w:val="15"/>
          <w:szCs w:val="15"/>
        </w:rPr>
        <w:t xml:space="preserve"> </w:t>
      </w:r>
      <w:r w:rsidRPr="00DA61E0">
        <w:rPr>
          <w:rFonts w:ascii="Verdana" w:hAnsi="Verdana" w:cs="Arial"/>
          <w:sz w:val="15"/>
          <w:szCs w:val="15"/>
        </w:rPr>
        <w:t>la</w:t>
      </w:r>
      <w:r w:rsidRPr="00DA61E0">
        <w:rPr>
          <w:rFonts w:ascii="Verdana" w:hAnsi="Verdana" w:cs="Arial"/>
          <w:spacing w:val="-2"/>
          <w:sz w:val="15"/>
          <w:szCs w:val="15"/>
        </w:rPr>
        <w:t xml:space="preserve"> </w:t>
      </w:r>
      <w:r w:rsidRPr="00DA61E0">
        <w:rPr>
          <w:rFonts w:ascii="Verdana" w:hAnsi="Verdana" w:cs="Arial"/>
          <w:sz w:val="15"/>
          <w:szCs w:val="15"/>
        </w:rPr>
        <w:t>prohibición</w:t>
      </w:r>
      <w:r w:rsidRPr="00DA61E0">
        <w:rPr>
          <w:rFonts w:ascii="Verdana" w:hAnsi="Verdana" w:cs="Arial"/>
          <w:spacing w:val="-2"/>
          <w:sz w:val="15"/>
          <w:szCs w:val="15"/>
        </w:rPr>
        <w:t xml:space="preserve"> </w:t>
      </w:r>
      <w:r w:rsidRPr="00DA61E0">
        <w:rPr>
          <w:rFonts w:ascii="Verdana" w:hAnsi="Verdana" w:cs="Arial"/>
          <w:sz w:val="15"/>
          <w:szCs w:val="15"/>
        </w:rPr>
        <w:t>de</w:t>
      </w:r>
      <w:r w:rsidRPr="00DA61E0">
        <w:rPr>
          <w:rFonts w:ascii="Verdana" w:hAnsi="Verdana" w:cs="Arial"/>
          <w:spacing w:val="-2"/>
          <w:sz w:val="15"/>
          <w:szCs w:val="15"/>
        </w:rPr>
        <w:t xml:space="preserve"> </w:t>
      </w:r>
      <w:r w:rsidRPr="00DA61E0">
        <w:rPr>
          <w:rFonts w:ascii="Verdana" w:hAnsi="Verdana" w:cs="Arial"/>
          <w:sz w:val="15"/>
          <w:szCs w:val="15"/>
        </w:rPr>
        <w:t>insertarlo</w:t>
      </w:r>
      <w:r w:rsidRPr="00DA61E0">
        <w:rPr>
          <w:rFonts w:ascii="Verdana" w:hAnsi="Verdana" w:cs="Arial"/>
          <w:spacing w:val="-2"/>
          <w:sz w:val="15"/>
          <w:szCs w:val="15"/>
        </w:rPr>
        <w:t xml:space="preserve"> </w:t>
      </w:r>
      <w:r w:rsidRPr="00DA61E0">
        <w:rPr>
          <w:rFonts w:ascii="Verdana" w:hAnsi="Verdana" w:cs="Arial"/>
          <w:sz w:val="15"/>
          <w:szCs w:val="15"/>
        </w:rPr>
        <w:t>en</w:t>
      </w:r>
      <w:r w:rsidRPr="00DA61E0">
        <w:rPr>
          <w:rFonts w:ascii="Verdana" w:hAnsi="Verdana" w:cs="Arial"/>
          <w:spacing w:val="-3"/>
          <w:sz w:val="15"/>
          <w:szCs w:val="15"/>
        </w:rPr>
        <w:t xml:space="preserve"> </w:t>
      </w:r>
      <w:r w:rsidRPr="00DA61E0">
        <w:rPr>
          <w:rFonts w:ascii="Verdana" w:hAnsi="Verdana" w:cs="Arial"/>
          <w:sz w:val="15"/>
          <w:szCs w:val="15"/>
        </w:rPr>
        <w:t>un</w:t>
      </w:r>
      <w:r w:rsidRPr="00DA61E0">
        <w:rPr>
          <w:rFonts w:ascii="Verdana" w:hAnsi="Verdana" w:cs="Arial"/>
          <w:spacing w:val="-2"/>
          <w:sz w:val="15"/>
          <w:szCs w:val="15"/>
        </w:rPr>
        <w:t xml:space="preserve"> </w:t>
      </w:r>
      <w:r w:rsidRPr="00DA61E0">
        <w:rPr>
          <w:rFonts w:ascii="Verdana" w:hAnsi="Verdana" w:cs="Arial"/>
          <w:sz w:val="15"/>
          <w:szCs w:val="15"/>
        </w:rPr>
        <w:t>caso</w:t>
      </w:r>
      <w:r w:rsidRPr="00DA61E0">
        <w:rPr>
          <w:rFonts w:ascii="Verdana" w:hAnsi="Verdana" w:cs="Arial"/>
          <w:spacing w:val="-2"/>
          <w:sz w:val="15"/>
          <w:szCs w:val="15"/>
        </w:rPr>
        <w:t xml:space="preserve"> </w:t>
      </w:r>
      <w:r w:rsidRPr="00DA61E0">
        <w:rPr>
          <w:rFonts w:ascii="Verdana" w:hAnsi="Verdana" w:cs="Arial"/>
          <w:sz w:val="15"/>
          <w:szCs w:val="15"/>
        </w:rPr>
        <w:t>particular.</w:t>
      </w:r>
    </w:p>
    <w:p w14:paraId="7A23CF58" w14:textId="77777777" w:rsidR="00DA61E0" w:rsidRPr="00DA61E0" w:rsidRDefault="00DA61E0" w:rsidP="00DA61E0">
      <w:pPr>
        <w:spacing w:after="0" w:line="240" w:lineRule="auto"/>
        <w:ind w:firstLine="708"/>
        <w:jc w:val="both"/>
        <w:rPr>
          <w:rFonts w:ascii="Verdana" w:hAnsi="Verdana" w:cs="Arial"/>
          <w:sz w:val="15"/>
          <w:szCs w:val="15"/>
        </w:rPr>
      </w:pPr>
      <w:r w:rsidRPr="00DA61E0">
        <w:rPr>
          <w:rFonts w:ascii="Verdana" w:hAnsi="Verdana" w:cs="Arial"/>
          <w:sz w:val="15"/>
          <w:szCs w:val="15"/>
        </w:rPr>
        <w:t>Esta tesis –de absoluta razonabilidad–, protege tanto al ciudadano como al ordenamiento</w:t>
      </w:r>
      <w:r w:rsidRPr="00DA61E0">
        <w:rPr>
          <w:rFonts w:ascii="Verdana" w:hAnsi="Verdana" w:cs="Arial"/>
          <w:spacing w:val="1"/>
          <w:sz w:val="15"/>
          <w:szCs w:val="15"/>
        </w:rPr>
        <w:t xml:space="preserve"> </w:t>
      </w:r>
      <w:r w:rsidRPr="00DA61E0">
        <w:rPr>
          <w:rFonts w:ascii="Verdana" w:hAnsi="Verdana" w:cs="Arial"/>
          <w:sz w:val="15"/>
          <w:szCs w:val="15"/>
        </w:rPr>
        <w:t>jurídico en general, de la arbitrariedad de la administración, pues si se admitiera que pese a estar en</w:t>
      </w:r>
      <w:r w:rsidRPr="00DA61E0">
        <w:rPr>
          <w:rFonts w:ascii="Verdana" w:hAnsi="Verdana" w:cs="Arial"/>
          <w:spacing w:val="-50"/>
          <w:sz w:val="15"/>
          <w:szCs w:val="15"/>
        </w:rPr>
        <w:t xml:space="preserve"> </w:t>
      </w:r>
      <w:r w:rsidRPr="00DA61E0">
        <w:rPr>
          <w:rFonts w:ascii="Verdana" w:hAnsi="Verdana" w:cs="Arial"/>
          <w:sz w:val="15"/>
          <w:szCs w:val="15"/>
        </w:rPr>
        <w:t>vigencia</w:t>
      </w:r>
      <w:r w:rsidRPr="00DA61E0">
        <w:rPr>
          <w:rFonts w:ascii="Verdana" w:hAnsi="Verdana" w:cs="Arial"/>
          <w:spacing w:val="-10"/>
          <w:sz w:val="15"/>
          <w:szCs w:val="15"/>
        </w:rPr>
        <w:t xml:space="preserve"> </w:t>
      </w:r>
      <w:r w:rsidRPr="00DA61E0">
        <w:rPr>
          <w:rFonts w:ascii="Verdana" w:hAnsi="Verdana" w:cs="Arial"/>
          <w:sz w:val="15"/>
          <w:szCs w:val="15"/>
        </w:rPr>
        <w:t>un</w:t>
      </w:r>
      <w:r w:rsidRPr="00DA61E0">
        <w:rPr>
          <w:rFonts w:ascii="Verdana" w:hAnsi="Verdana" w:cs="Arial"/>
          <w:spacing w:val="-9"/>
          <w:sz w:val="15"/>
          <w:szCs w:val="15"/>
        </w:rPr>
        <w:t xml:space="preserve"> </w:t>
      </w:r>
      <w:r w:rsidRPr="00DA61E0">
        <w:rPr>
          <w:rFonts w:ascii="Verdana" w:hAnsi="Verdana" w:cs="Arial"/>
          <w:sz w:val="15"/>
          <w:szCs w:val="15"/>
        </w:rPr>
        <w:t>reglamento</w:t>
      </w:r>
      <w:r w:rsidRPr="00DA61E0">
        <w:rPr>
          <w:rFonts w:ascii="Verdana" w:hAnsi="Verdana" w:cs="Arial"/>
          <w:spacing w:val="-10"/>
          <w:sz w:val="15"/>
          <w:szCs w:val="15"/>
        </w:rPr>
        <w:t xml:space="preserve"> </w:t>
      </w:r>
      <w:r w:rsidRPr="00DA61E0">
        <w:rPr>
          <w:rFonts w:ascii="Verdana" w:hAnsi="Verdana" w:cs="Arial"/>
          <w:sz w:val="15"/>
          <w:szCs w:val="15"/>
        </w:rPr>
        <w:t>la</w:t>
      </w:r>
      <w:r w:rsidRPr="00DA61E0">
        <w:rPr>
          <w:rFonts w:ascii="Verdana" w:hAnsi="Verdana" w:cs="Arial"/>
          <w:spacing w:val="-9"/>
          <w:sz w:val="15"/>
          <w:szCs w:val="15"/>
        </w:rPr>
        <w:t xml:space="preserve"> </w:t>
      </w:r>
      <w:r w:rsidRPr="00DA61E0">
        <w:rPr>
          <w:rFonts w:ascii="Verdana" w:hAnsi="Verdana" w:cs="Arial"/>
          <w:sz w:val="15"/>
          <w:szCs w:val="15"/>
        </w:rPr>
        <w:t>propia</w:t>
      </w:r>
      <w:r w:rsidRPr="00DA61E0">
        <w:rPr>
          <w:rFonts w:ascii="Verdana" w:hAnsi="Verdana" w:cs="Arial"/>
          <w:spacing w:val="-10"/>
          <w:sz w:val="15"/>
          <w:szCs w:val="15"/>
        </w:rPr>
        <w:t xml:space="preserve"> </w:t>
      </w:r>
      <w:r w:rsidRPr="00DA61E0">
        <w:rPr>
          <w:rFonts w:ascii="Verdana" w:hAnsi="Verdana" w:cs="Arial"/>
          <w:sz w:val="15"/>
          <w:szCs w:val="15"/>
        </w:rPr>
        <w:t>administración</w:t>
      </w:r>
      <w:r w:rsidRPr="00DA61E0">
        <w:rPr>
          <w:rFonts w:ascii="Verdana" w:hAnsi="Verdana" w:cs="Arial"/>
          <w:spacing w:val="-9"/>
          <w:sz w:val="15"/>
          <w:szCs w:val="15"/>
        </w:rPr>
        <w:t xml:space="preserve"> </w:t>
      </w:r>
      <w:r w:rsidRPr="00DA61E0">
        <w:rPr>
          <w:rFonts w:ascii="Verdana" w:hAnsi="Verdana" w:cs="Arial"/>
          <w:sz w:val="15"/>
          <w:szCs w:val="15"/>
        </w:rPr>
        <w:t>que</w:t>
      </w:r>
      <w:r w:rsidRPr="00DA61E0">
        <w:rPr>
          <w:rFonts w:ascii="Verdana" w:hAnsi="Verdana" w:cs="Arial"/>
          <w:spacing w:val="-10"/>
          <w:sz w:val="15"/>
          <w:szCs w:val="15"/>
        </w:rPr>
        <w:t xml:space="preserve"> </w:t>
      </w:r>
      <w:r w:rsidRPr="00DA61E0">
        <w:rPr>
          <w:rFonts w:ascii="Verdana" w:hAnsi="Verdana" w:cs="Arial"/>
          <w:sz w:val="15"/>
          <w:szCs w:val="15"/>
        </w:rPr>
        <w:t>lo</w:t>
      </w:r>
      <w:r w:rsidRPr="00DA61E0">
        <w:rPr>
          <w:rFonts w:ascii="Verdana" w:hAnsi="Verdana" w:cs="Arial"/>
          <w:spacing w:val="-9"/>
          <w:sz w:val="15"/>
          <w:szCs w:val="15"/>
        </w:rPr>
        <w:t xml:space="preserve"> </w:t>
      </w:r>
      <w:r w:rsidRPr="00DA61E0">
        <w:rPr>
          <w:rFonts w:ascii="Verdana" w:hAnsi="Verdana" w:cs="Arial"/>
          <w:sz w:val="15"/>
          <w:szCs w:val="15"/>
        </w:rPr>
        <w:t>dictó</w:t>
      </w:r>
      <w:r w:rsidRPr="00DA61E0">
        <w:rPr>
          <w:rFonts w:ascii="Verdana" w:hAnsi="Verdana" w:cs="Arial"/>
          <w:spacing w:val="-10"/>
          <w:sz w:val="15"/>
          <w:szCs w:val="15"/>
        </w:rPr>
        <w:t xml:space="preserve"> </w:t>
      </w:r>
      <w:r w:rsidRPr="00DA61E0">
        <w:rPr>
          <w:rFonts w:ascii="Verdana" w:hAnsi="Verdana" w:cs="Arial"/>
          <w:sz w:val="15"/>
          <w:szCs w:val="15"/>
        </w:rPr>
        <w:t>lo</w:t>
      </w:r>
      <w:r w:rsidRPr="00DA61E0">
        <w:rPr>
          <w:rFonts w:ascii="Verdana" w:hAnsi="Verdana" w:cs="Arial"/>
          <w:spacing w:val="-9"/>
          <w:sz w:val="15"/>
          <w:szCs w:val="15"/>
        </w:rPr>
        <w:t xml:space="preserve"> </w:t>
      </w:r>
      <w:r w:rsidRPr="00DA61E0">
        <w:rPr>
          <w:rFonts w:ascii="Verdana" w:hAnsi="Verdana" w:cs="Arial"/>
          <w:sz w:val="15"/>
          <w:szCs w:val="15"/>
        </w:rPr>
        <w:t>pudiera</w:t>
      </w:r>
      <w:r w:rsidRPr="00DA61E0">
        <w:rPr>
          <w:rFonts w:ascii="Verdana" w:hAnsi="Verdana" w:cs="Arial"/>
          <w:spacing w:val="-10"/>
          <w:sz w:val="15"/>
          <w:szCs w:val="15"/>
        </w:rPr>
        <w:t xml:space="preserve"> </w:t>
      </w:r>
      <w:r w:rsidRPr="00DA61E0">
        <w:rPr>
          <w:rFonts w:ascii="Verdana" w:hAnsi="Verdana" w:cs="Arial"/>
          <w:sz w:val="15"/>
          <w:szCs w:val="15"/>
        </w:rPr>
        <w:t>inaplicar,</w:t>
      </w:r>
      <w:r w:rsidRPr="00DA61E0">
        <w:rPr>
          <w:rFonts w:ascii="Verdana" w:hAnsi="Verdana" w:cs="Arial"/>
          <w:spacing w:val="-9"/>
          <w:sz w:val="15"/>
          <w:szCs w:val="15"/>
        </w:rPr>
        <w:t xml:space="preserve"> </w:t>
      </w:r>
      <w:r w:rsidRPr="00DA61E0">
        <w:rPr>
          <w:rFonts w:ascii="Verdana" w:hAnsi="Verdana" w:cs="Arial"/>
          <w:sz w:val="15"/>
          <w:szCs w:val="15"/>
        </w:rPr>
        <w:t>aduciendo</w:t>
      </w:r>
      <w:r w:rsidRPr="00DA61E0">
        <w:rPr>
          <w:rFonts w:ascii="Verdana" w:hAnsi="Verdana" w:cs="Arial"/>
          <w:spacing w:val="-10"/>
          <w:sz w:val="15"/>
          <w:szCs w:val="15"/>
        </w:rPr>
        <w:t xml:space="preserve"> </w:t>
      </w:r>
      <w:r w:rsidRPr="00DA61E0">
        <w:rPr>
          <w:rFonts w:ascii="Verdana" w:hAnsi="Verdana" w:cs="Arial"/>
          <w:sz w:val="15"/>
          <w:szCs w:val="15"/>
        </w:rPr>
        <w:t>que</w:t>
      </w:r>
      <w:r w:rsidRPr="00DA61E0">
        <w:rPr>
          <w:rFonts w:ascii="Verdana" w:hAnsi="Verdana" w:cs="Arial"/>
          <w:spacing w:val="-9"/>
          <w:sz w:val="15"/>
          <w:szCs w:val="15"/>
        </w:rPr>
        <w:t xml:space="preserve"> </w:t>
      </w:r>
      <w:r w:rsidRPr="00DA61E0">
        <w:rPr>
          <w:rFonts w:ascii="Verdana" w:hAnsi="Verdana" w:cs="Arial"/>
          <w:sz w:val="15"/>
          <w:szCs w:val="15"/>
        </w:rPr>
        <w:t>si</w:t>
      </w:r>
      <w:r w:rsidRPr="00DA61E0">
        <w:rPr>
          <w:rFonts w:ascii="Verdana" w:hAnsi="Verdana" w:cs="Arial"/>
          <w:spacing w:val="-10"/>
          <w:sz w:val="15"/>
          <w:szCs w:val="15"/>
        </w:rPr>
        <w:t xml:space="preserve"> </w:t>
      </w:r>
      <w:r w:rsidRPr="00DA61E0">
        <w:rPr>
          <w:rFonts w:ascii="Verdana" w:hAnsi="Verdana" w:cs="Arial"/>
          <w:sz w:val="15"/>
          <w:szCs w:val="15"/>
        </w:rPr>
        <w:t>ella</w:t>
      </w:r>
      <w:r w:rsidRPr="00DA61E0">
        <w:rPr>
          <w:rFonts w:ascii="Verdana" w:hAnsi="Verdana" w:cs="Arial"/>
          <w:spacing w:val="1"/>
          <w:sz w:val="15"/>
          <w:szCs w:val="15"/>
        </w:rPr>
        <w:t xml:space="preserve"> </w:t>
      </w:r>
      <w:r w:rsidRPr="00DA61E0">
        <w:rPr>
          <w:rFonts w:ascii="Verdana" w:hAnsi="Verdana" w:cs="Arial"/>
          <w:sz w:val="15"/>
          <w:szCs w:val="15"/>
        </w:rPr>
        <w:t>lo</w:t>
      </w:r>
      <w:r w:rsidRPr="00DA61E0">
        <w:rPr>
          <w:rFonts w:ascii="Verdana" w:hAnsi="Verdana" w:cs="Arial"/>
          <w:spacing w:val="-13"/>
          <w:sz w:val="15"/>
          <w:szCs w:val="15"/>
        </w:rPr>
        <w:t xml:space="preserve"> </w:t>
      </w:r>
      <w:r w:rsidRPr="00DA61E0">
        <w:rPr>
          <w:rFonts w:ascii="Verdana" w:hAnsi="Verdana" w:cs="Arial"/>
          <w:sz w:val="15"/>
          <w:szCs w:val="15"/>
        </w:rPr>
        <w:t>produjo</w:t>
      </w:r>
      <w:r w:rsidRPr="00DA61E0">
        <w:rPr>
          <w:rFonts w:ascii="Verdana" w:hAnsi="Verdana" w:cs="Arial"/>
          <w:spacing w:val="-12"/>
          <w:sz w:val="15"/>
          <w:szCs w:val="15"/>
        </w:rPr>
        <w:t xml:space="preserve"> </w:t>
      </w:r>
      <w:r w:rsidRPr="00DA61E0">
        <w:rPr>
          <w:rFonts w:ascii="Verdana" w:hAnsi="Verdana" w:cs="Arial"/>
          <w:sz w:val="15"/>
          <w:szCs w:val="15"/>
        </w:rPr>
        <w:t>entonces</w:t>
      </w:r>
      <w:r w:rsidRPr="00DA61E0">
        <w:rPr>
          <w:rFonts w:ascii="Verdana" w:hAnsi="Verdana" w:cs="Arial"/>
          <w:spacing w:val="-12"/>
          <w:sz w:val="15"/>
          <w:szCs w:val="15"/>
        </w:rPr>
        <w:t xml:space="preserve"> </w:t>
      </w:r>
      <w:r w:rsidRPr="00DA61E0">
        <w:rPr>
          <w:rFonts w:ascii="Verdana" w:hAnsi="Verdana" w:cs="Arial"/>
          <w:sz w:val="15"/>
          <w:szCs w:val="15"/>
        </w:rPr>
        <w:t>cuenta</w:t>
      </w:r>
      <w:r w:rsidRPr="00DA61E0">
        <w:rPr>
          <w:rFonts w:ascii="Verdana" w:hAnsi="Verdana" w:cs="Arial"/>
          <w:spacing w:val="-12"/>
          <w:sz w:val="15"/>
          <w:szCs w:val="15"/>
        </w:rPr>
        <w:t xml:space="preserve"> </w:t>
      </w:r>
      <w:r w:rsidRPr="00DA61E0">
        <w:rPr>
          <w:rFonts w:ascii="Verdana" w:hAnsi="Verdana" w:cs="Arial"/>
          <w:sz w:val="15"/>
          <w:szCs w:val="15"/>
        </w:rPr>
        <w:t>con</w:t>
      </w:r>
      <w:r w:rsidRPr="00DA61E0">
        <w:rPr>
          <w:rFonts w:ascii="Verdana" w:hAnsi="Verdana" w:cs="Arial"/>
          <w:spacing w:val="-12"/>
          <w:sz w:val="15"/>
          <w:szCs w:val="15"/>
        </w:rPr>
        <w:t xml:space="preserve"> </w:t>
      </w:r>
      <w:r w:rsidRPr="00DA61E0">
        <w:rPr>
          <w:rFonts w:ascii="Verdana" w:hAnsi="Verdana" w:cs="Arial"/>
          <w:sz w:val="15"/>
          <w:szCs w:val="15"/>
        </w:rPr>
        <w:t>la</w:t>
      </w:r>
      <w:r w:rsidRPr="00DA61E0">
        <w:rPr>
          <w:rFonts w:ascii="Verdana" w:hAnsi="Verdana" w:cs="Arial"/>
          <w:spacing w:val="-12"/>
          <w:sz w:val="15"/>
          <w:szCs w:val="15"/>
        </w:rPr>
        <w:t xml:space="preserve"> </w:t>
      </w:r>
      <w:r w:rsidRPr="00DA61E0">
        <w:rPr>
          <w:rFonts w:ascii="Verdana" w:hAnsi="Verdana" w:cs="Arial"/>
          <w:sz w:val="15"/>
          <w:szCs w:val="15"/>
        </w:rPr>
        <w:t>autoridad</w:t>
      </w:r>
      <w:r w:rsidRPr="00DA61E0">
        <w:rPr>
          <w:rFonts w:ascii="Verdana" w:hAnsi="Verdana" w:cs="Arial"/>
          <w:spacing w:val="-12"/>
          <w:sz w:val="15"/>
          <w:szCs w:val="15"/>
        </w:rPr>
        <w:t xml:space="preserve"> </w:t>
      </w:r>
      <w:r w:rsidRPr="00DA61E0">
        <w:rPr>
          <w:rFonts w:ascii="Verdana" w:hAnsi="Verdana" w:cs="Arial"/>
          <w:sz w:val="15"/>
          <w:szCs w:val="15"/>
        </w:rPr>
        <w:t>para</w:t>
      </w:r>
      <w:r w:rsidRPr="00DA61E0">
        <w:rPr>
          <w:rFonts w:ascii="Verdana" w:hAnsi="Verdana" w:cs="Arial"/>
          <w:spacing w:val="-12"/>
          <w:sz w:val="15"/>
          <w:szCs w:val="15"/>
        </w:rPr>
        <w:t xml:space="preserve"> </w:t>
      </w:r>
      <w:r w:rsidRPr="00DA61E0">
        <w:rPr>
          <w:rFonts w:ascii="Verdana" w:hAnsi="Verdana" w:cs="Arial"/>
          <w:sz w:val="15"/>
          <w:szCs w:val="15"/>
        </w:rPr>
        <w:t>desconocerlo,</w:t>
      </w:r>
      <w:r w:rsidRPr="00DA61E0">
        <w:rPr>
          <w:rFonts w:ascii="Verdana" w:hAnsi="Verdana" w:cs="Arial"/>
          <w:spacing w:val="-12"/>
          <w:sz w:val="15"/>
          <w:szCs w:val="15"/>
        </w:rPr>
        <w:t xml:space="preserve"> </w:t>
      </w:r>
      <w:r w:rsidRPr="00DA61E0">
        <w:rPr>
          <w:rFonts w:ascii="Verdana" w:hAnsi="Verdana" w:cs="Arial"/>
          <w:sz w:val="15"/>
          <w:szCs w:val="15"/>
        </w:rPr>
        <w:t>los</w:t>
      </w:r>
      <w:r w:rsidRPr="00DA61E0">
        <w:rPr>
          <w:rFonts w:ascii="Verdana" w:hAnsi="Verdana" w:cs="Arial"/>
          <w:spacing w:val="-12"/>
          <w:sz w:val="15"/>
          <w:szCs w:val="15"/>
        </w:rPr>
        <w:t xml:space="preserve"> </w:t>
      </w:r>
      <w:r w:rsidRPr="00DA61E0">
        <w:rPr>
          <w:rFonts w:ascii="Verdana" w:hAnsi="Verdana" w:cs="Arial"/>
          <w:sz w:val="15"/>
          <w:szCs w:val="15"/>
        </w:rPr>
        <w:t>abusos</w:t>
      </w:r>
      <w:r w:rsidRPr="00DA61E0">
        <w:rPr>
          <w:rFonts w:ascii="Verdana" w:hAnsi="Verdana" w:cs="Arial"/>
          <w:spacing w:val="-12"/>
          <w:sz w:val="15"/>
          <w:szCs w:val="15"/>
        </w:rPr>
        <w:t xml:space="preserve"> </w:t>
      </w:r>
      <w:r w:rsidRPr="00DA61E0">
        <w:rPr>
          <w:rFonts w:ascii="Verdana" w:hAnsi="Verdana" w:cs="Arial"/>
          <w:sz w:val="15"/>
          <w:szCs w:val="15"/>
        </w:rPr>
        <w:t>y</w:t>
      </w:r>
      <w:r w:rsidRPr="00DA61E0">
        <w:rPr>
          <w:rFonts w:ascii="Verdana" w:hAnsi="Verdana" w:cs="Arial"/>
          <w:spacing w:val="-12"/>
          <w:sz w:val="15"/>
          <w:szCs w:val="15"/>
        </w:rPr>
        <w:t xml:space="preserve"> </w:t>
      </w:r>
      <w:r w:rsidRPr="00DA61E0">
        <w:rPr>
          <w:rFonts w:ascii="Verdana" w:hAnsi="Verdana" w:cs="Arial"/>
          <w:sz w:val="15"/>
          <w:szCs w:val="15"/>
        </w:rPr>
        <w:t>la</w:t>
      </w:r>
      <w:r w:rsidRPr="00DA61E0">
        <w:rPr>
          <w:rFonts w:ascii="Verdana" w:hAnsi="Verdana" w:cs="Arial"/>
          <w:spacing w:val="-12"/>
          <w:sz w:val="15"/>
          <w:szCs w:val="15"/>
        </w:rPr>
        <w:t xml:space="preserve"> </w:t>
      </w:r>
      <w:r w:rsidRPr="00DA61E0">
        <w:rPr>
          <w:rFonts w:ascii="Verdana" w:hAnsi="Verdana" w:cs="Arial"/>
          <w:sz w:val="15"/>
          <w:szCs w:val="15"/>
        </w:rPr>
        <w:t>violación</w:t>
      </w:r>
      <w:r w:rsidRPr="00DA61E0">
        <w:rPr>
          <w:rFonts w:ascii="Verdana" w:hAnsi="Verdana" w:cs="Arial"/>
          <w:spacing w:val="-12"/>
          <w:sz w:val="15"/>
          <w:szCs w:val="15"/>
        </w:rPr>
        <w:t xml:space="preserve"> </w:t>
      </w:r>
      <w:r w:rsidRPr="00DA61E0">
        <w:rPr>
          <w:rFonts w:ascii="Verdana" w:hAnsi="Verdana" w:cs="Arial"/>
          <w:sz w:val="15"/>
          <w:szCs w:val="15"/>
        </w:rPr>
        <w:t>a</w:t>
      </w:r>
      <w:r w:rsidRPr="00DA61E0">
        <w:rPr>
          <w:rFonts w:ascii="Verdana" w:hAnsi="Verdana" w:cs="Arial"/>
          <w:spacing w:val="-12"/>
          <w:sz w:val="15"/>
          <w:szCs w:val="15"/>
        </w:rPr>
        <w:t xml:space="preserve"> </w:t>
      </w:r>
      <w:r w:rsidRPr="00DA61E0">
        <w:rPr>
          <w:rFonts w:ascii="Verdana" w:hAnsi="Verdana" w:cs="Arial"/>
          <w:sz w:val="15"/>
          <w:szCs w:val="15"/>
        </w:rPr>
        <w:t>sus</w:t>
      </w:r>
      <w:r w:rsidRPr="00DA61E0">
        <w:rPr>
          <w:rFonts w:ascii="Verdana" w:hAnsi="Verdana" w:cs="Arial"/>
          <w:spacing w:val="-12"/>
          <w:sz w:val="15"/>
          <w:szCs w:val="15"/>
        </w:rPr>
        <w:t xml:space="preserve"> </w:t>
      </w:r>
      <w:r w:rsidRPr="00DA61E0">
        <w:rPr>
          <w:rFonts w:ascii="Verdana" w:hAnsi="Verdana" w:cs="Arial"/>
          <w:sz w:val="15"/>
          <w:szCs w:val="15"/>
        </w:rPr>
        <w:t>propias</w:t>
      </w:r>
      <w:r w:rsidRPr="00DA61E0">
        <w:rPr>
          <w:rFonts w:ascii="Verdana" w:hAnsi="Verdana" w:cs="Arial"/>
          <w:spacing w:val="1"/>
          <w:sz w:val="15"/>
          <w:szCs w:val="15"/>
        </w:rPr>
        <w:t xml:space="preserve"> </w:t>
      </w:r>
      <w:r w:rsidRPr="00DA61E0">
        <w:rPr>
          <w:rFonts w:ascii="Verdana" w:hAnsi="Verdana" w:cs="Arial"/>
          <w:sz w:val="15"/>
          <w:szCs w:val="15"/>
        </w:rPr>
        <w:t>reglas propiciaría el atropello y la corrupción”. (MARÍN CORTÉS, Fabián G. El reglamento como</w:t>
      </w:r>
      <w:r w:rsidRPr="00DA61E0">
        <w:rPr>
          <w:rFonts w:ascii="Verdana" w:hAnsi="Verdana" w:cs="Arial"/>
          <w:spacing w:val="1"/>
          <w:sz w:val="15"/>
          <w:szCs w:val="15"/>
        </w:rPr>
        <w:t xml:space="preserve"> </w:t>
      </w:r>
      <w:r w:rsidRPr="00DA61E0">
        <w:rPr>
          <w:rFonts w:ascii="Verdana" w:hAnsi="Verdana" w:cs="Arial"/>
          <w:sz w:val="15"/>
          <w:szCs w:val="15"/>
        </w:rPr>
        <w:t>fuente</w:t>
      </w:r>
      <w:r w:rsidRPr="00DA61E0">
        <w:rPr>
          <w:rFonts w:ascii="Verdana" w:hAnsi="Verdana" w:cs="Arial"/>
          <w:spacing w:val="-12"/>
          <w:sz w:val="15"/>
          <w:szCs w:val="15"/>
        </w:rPr>
        <w:t xml:space="preserve"> </w:t>
      </w:r>
      <w:r w:rsidRPr="00DA61E0">
        <w:rPr>
          <w:rFonts w:ascii="Verdana" w:hAnsi="Verdana" w:cs="Arial"/>
          <w:sz w:val="15"/>
          <w:szCs w:val="15"/>
        </w:rPr>
        <w:t>del</w:t>
      </w:r>
      <w:r w:rsidRPr="00DA61E0">
        <w:rPr>
          <w:rFonts w:ascii="Verdana" w:hAnsi="Verdana" w:cs="Arial"/>
          <w:spacing w:val="-12"/>
          <w:sz w:val="15"/>
          <w:szCs w:val="15"/>
        </w:rPr>
        <w:t xml:space="preserve"> </w:t>
      </w:r>
      <w:r w:rsidRPr="00DA61E0">
        <w:rPr>
          <w:rFonts w:ascii="Verdana" w:hAnsi="Verdana" w:cs="Arial"/>
          <w:sz w:val="15"/>
          <w:szCs w:val="15"/>
        </w:rPr>
        <w:t>derecho</w:t>
      </w:r>
      <w:r w:rsidRPr="00DA61E0">
        <w:rPr>
          <w:rFonts w:ascii="Verdana" w:hAnsi="Verdana" w:cs="Arial"/>
          <w:spacing w:val="-12"/>
          <w:sz w:val="15"/>
          <w:szCs w:val="15"/>
        </w:rPr>
        <w:t xml:space="preserve"> </w:t>
      </w:r>
      <w:r w:rsidRPr="00DA61E0">
        <w:rPr>
          <w:rFonts w:ascii="Verdana" w:hAnsi="Verdana" w:cs="Arial"/>
          <w:sz w:val="15"/>
          <w:szCs w:val="15"/>
        </w:rPr>
        <w:t>administrativo.</w:t>
      </w:r>
      <w:r w:rsidRPr="00DA61E0">
        <w:rPr>
          <w:rFonts w:ascii="Verdana" w:hAnsi="Verdana" w:cs="Arial"/>
          <w:spacing w:val="-11"/>
          <w:sz w:val="15"/>
          <w:szCs w:val="15"/>
        </w:rPr>
        <w:t xml:space="preserve"> </w:t>
      </w:r>
      <w:r w:rsidRPr="00DA61E0">
        <w:rPr>
          <w:rFonts w:ascii="Verdana" w:hAnsi="Verdana" w:cs="Arial"/>
          <w:sz w:val="15"/>
          <w:szCs w:val="15"/>
        </w:rPr>
        <w:t>En:</w:t>
      </w:r>
      <w:r w:rsidRPr="00DA61E0">
        <w:rPr>
          <w:rFonts w:ascii="Verdana" w:hAnsi="Verdana" w:cs="Arial"/>
          <w:spacing w:val="-12"/>
          <w:sz w:val="15"/>
          <w:szCs w:val="15"/>
        </w:rPr>
        <w:t xml:space="preserve"> </w:t>
      </w:r>
      <w:r w:rsidRPr="00DA61E0">
        <w:rPr>
          <w:rFonts w:ascii="Verdana" w:hAnsi="Verdana" w:cs="Arial"/>
          <w:sz w:val="15"/>
          <w:szCs w:val="15"/>
        </w:rPr>
        <w:t>Las</w:t>
      </w:r>
      <w:r w:rsidRPr="00DA61E0">
        <w:rPr>
          <w:rFonts w:ascii="Verdana" w:hAnsi="Verdana" w:cs="Arial"/>
          <w:spacing w:val="-12"/>
          <w:sz w:val="15"/>
          <w:szCs w:val="15"/>
        </w:rPr>
        <w:t xml:space="preserve"> </w:t>
      </w:r>
      <w:r w:rsidRPr="00DA61E0">
        <w:rPr>
          <w:rFonts w:ascii="Verdana" w:hAnsi="Verdana" w:cs="Arial"/>
          <w:sz w:val="15"/>
          <w:szCs w:val="15"/>
        </w:rPr>
        <w:t>fuentes</w:t>
      </w:r>
      <w:r w:rsidRPr="00DA61E0">
        <w:rPr>
          <w:rFonts w:ascii="Verdana" w:hAnsi="Verdana" w:cs="Arial"/>
          <w:spacing w:val="-11"/>
          <w:sz w:val="15"/>
          <w:szCs w:val="15"/>
        </w:rPr>
        <w:t xml:space="preserve"> </w:t>
      </w:r>
      <w:r w:rsidRPr="00DA61E0">
        <w:rPr>
          <w:rFonts w:ascii="Verdana" w:hAnsi="Verdana" w:cs="Arial"/>
          <w:sz w:val="15"/>
          <w:szCs w:val="15"/>
        </w:rPr>
        <w:t>del</w:t>
      </w:r>
      <w:r w:rsidRPr="00DA61E0">
        <w:rPr>
          <w:rFonts w:ascii="Verdana" w:hAnsi="Verdana" w:cs="Arial"/>
          <w:spacing w:val="-12"/>
          <w:sz w:val="15"/>
          <w:szCs w:val="15"/>
        </w:rPr>
        <w:t xml:space="preserve"> </w:t>
      </w:r>
      <w:r w:rsidRPr="00DA61E0">
        <w:rPr>
          <w:rFonts w:ascii="Verdana" w:hAnsi="Verdana" w:cs="Arial"/>
          <w:sz w:val="15"/>
          <w:szCs w:val="15"/>
        </w:rPr>
        <w:t>derecho</w:t>
      </w:r>
      <w:r w:rsidRPr="00DA61E0">
        <w:rPr>
          <w:rFonts w:ascii="Verdana" w:hAnsi="Verdana" w:cs="Arial"/>
          <w:spacing w:val="-12"/>
          <w:sz w:val="15"/>
          <w:szCs w:val="15"/>
        </w:rPr>
        <w:t xml:space="preserve"> </w:t>
      </w:r>
      <w:r w:rsidRPr="00DA61E0">
        <w:rPr>
          <w:rFonts w:ascii="Verdana" w:hAnsi="Verdana" w:cs="Arial"/>
          <w:sz w:val="15"/>
          <w:szCs w:val="15"/>
        </w:rPr>
        <w:t>administrativo.</w:t>
      </w:r>
      <w:r w:rsidRPr="00DA61E0">
        <w:rPr>
          <w:rFonts w:ascii="Verdana" w:hAnsi="Verdana" w:cs="Arial"/>
          <w:spacing w:val="-12"/>
          <w:sz w:val="15"/>
          <w:szCs w:val="15"/>
        </w:rPr>
        <w:t xml:space="preserve"> </w:t>
      </w:r>
      <w:r w:rsidRPr="00DA61E0">
        <w:rPr>
          <w:rFonts w:ascii="Verdana" w:hAnsi="Verdana" w:cs="Arial"/>
          <w:sz w:val="15"/>
          <w:szCs w:val="15"/>
        </w:rPr>
        <w:t>Texto</w:t>
      </w:r>
      <w:r w:rsidRPr="00DA61E0">
        <w:rPr>
          <w:rFonts w:ascii="Verdana" w:hAnsi="Verdana" w:cs="Arial"/>
          <w:spacing w:val="-11"/>
          <w:sz w:val="15"/>
          <w:szCs w:val="15"/>
        </w:rPr>
        <w:t xml:space="preserve"> </w:t>
      </w:r>
      <w:r w:rsidRPr="00DA61E0">
        <w:rPr>
          <w:rFonts w:ascii="Verdana" w:hAnsi="Verdana" w:cs="Arial"/>
          <w:sz w:val="15"/>
          <w:szCs w:val="15"/>
        </w:rPr>
        <w:t>inédito.</w:t>
      </w:r>
      <w:r w:rsidRPr="00DA61E0">
        <w:rPr>
          <w:rFonts w:ascii="Verdana" w:hAnsi="Verdana" w:cs="Arial"/>
          <w:spacing w:val="-12"/>
          <w:sz w:val="15"/>
          <w:szCs w:val="15"/>
        </w:rPr>
        <w:t xml:space="preserve"> </w:t>
      </w:r>
      <w:r w:rsidRPr="00DA61E0">
        <w:rPr>
          <w:rFonts w:ascii="Verdana" w:hAnsi="Verdana" w:cs="Arial"/>
          <w:sz w:val="15"/>
          <w:szCs w:val="15"/>
        </w:rPr>
        <w:t>2010.</w:t>
      </w:r>
      <w:r w:rsidRPr="00DA61E0">
        <w:rPr>
          <w:rFonts w:ascii="Verdana" w:hAnsi="Verdana" w:cs="Arial"/>
          <w:spacing w:val="-12"/>
          <w:sz w:val="15"/>
          <w:szCs w:val="15"/>
        </w:rPr>
        <w:t xml:space="preserve"> </w:t>
      </w:r>
      <w:r w:rsidRPr="00DA61E0">
        <w:rPr>
          <w:rFonts w:ascii="Verdana" w:hAnsi="Verdana" w:cs="Arial"/>
          <w:sz w:val="15"/>
          <w:szCs w:val="15"/>
        </w:rPr>
        <w:t>pp.</w:t>
      </w:r>
      <w:r w:rsidRPr="00DA61E0">
        <w:rPr>
          <w:rFonts w:ascii="Verdana" w:hAnsi="Verdana" w:cs="Arial"/>
          <w:spacing w:val="1"/>
          <w:sz w:val="15"/>
          <w:szCs w:val="15"/>
        </w:rPr>
        <w:t xml:space="preserve"> </w:t>
      </w:r>
      <w:r w:rsidRPr="00DA61E0">
        <w:rPr>
          <w:rFonts w:ascii="Verdana" w:hAnsi="Verdana" w:cs="Arial"/>
          <w:sz w:val="15"/>
          <w:szCs w:val="15"/>
        </w:rPr>
        <w:t>200-201).</w:t>
      </w:r>
    </w:p>
  </w:footnote>
  <w:footnote w:id="14">
    <w:p w14:paraId="4AD66DE3" w14:textId="77777777" w:rsidR="00DA61E0" w:rsidRPr="00DA61E0" w:rsidRDefault="00DA61E0" w:rsidP="00DA61E0">
      <w:pPr>
        <w:pStyle w:val="Textonotapie"/>
        <w:ind w:firstLine="708"/>
        <w:jc w:val="both"/>
        <w:rPr>
          <w:rFonts w:ascii="Verdana" w:hAnsi="Verdana" w:cs="Times New Roman"/>
          <w:sz w:val="15"/>
          <w:szCs w:val="15"/>
          <w:lang w:val="es-ES"/>
        </w:rPr>
      </w:pPr>
      <w:r w:rsidRPr="00DA61E0">
        <w:rPr>
          <w:rStyle w:val="Refdenotaalpie"/>
          <w:rFonts w:ascii="Verdana" w:hAnsi="Verdana"/>
          <w:sz w:val="15"/>
          <w:szCs w:val="15"/>
        </w:rPr>
        <w:footnoteRef/>
      </w:r>
      <w:r w:rsidRPr="00DA61E0">
        <w:rPr>
          <w:rFonts w:ascii="Verdana" w:hAnsi="Verdana"/>
          <w:sz w:val="15"/>
          <w:szCs w:val="15"/>
        </w:rPr>
        <w:t xml:space="preserve"> </w:t>
      </w:r>
      <w:r w:rsidRPr="00DA61E0">
        <w:rPr>
          <w:rFonts w:ascii="Verdana" w:hAnsi="Verdana"/>
          <w:sz w:val="15"/>
          <w:szCs w:val="15"/>
          <w:lang w:val="es-ES"/>
        </w:rPr>
        <w:t>HINESTROSA FORERO, Fernando. Tratado de las Obligaciones II. De las fuentes de las obligaciones: el negocio jurídico. Volumen I. Bogotá: Universidad Externado de Colombia, 2015. p. 116.</w:t>
      </w:r>
    </w:p>
  </w:footnote>
  <w:footnote w:id="15">
    <w:p w14:paraId="1F426E51" w14:textId="77777777" w:rsidR="00DA61E0" w:rsidRPr="00DA61E0" w:rsidRDefault="00DA61E0" w:rsidP="00DA61E0">
      <w:pPr>
        <w:pStyle w:val="Textonotapie"/>
        <w:ind w:firstLine="708"/>
        <w:rPr>
          <w:rFonts w:ascii="Verdana" w:hAnsi="Verdana"/>
          <w:sz w:val="15"/>
          <w:szCs w:val="15"/>
          <w:lang w:val="es-ES"/>
        </w:rPr>
      </w:pPr>
      <w:r w:rsidRPr="00DA61E0">
        <w:rPr>
          <w:rStyle w:val="Refdenotaalpie"/>
          <w:rFonts w:ascii="Verdana" w:hAnsi="Verdana"/>
          <w:sz w:val="15"/>
          <w:szCs w:val="15"/>
        </w:rPr>
        <w:footnoteRef/>
      </w:r>
      <w:r w:rsidRPr="00DA61E0">
        <w:rPr>
          <w:rFonts w:ascii="Verdana" w:hAnsi="Verdana"/>
          <w:sz w:val="15"/>
          <w:szCs w:val="15"/>
        </w:rPr>
        <w:t xml:space="preserve"> AGENCIA NACIONAL DE CONTRATACIÓN PÚBLICA –COLOMBIA COMPRA EFICIENTE. Guía de competencia en las compras públicas, 2018. p. 4. Disponible en línea: </w:t>
      </w:r>
      <w:hyperlink r:id="rId1" w:history="1">
        <w:r w:rsidRPr="00DA61E0">
          <w:rPr>
            <w:rStyle w:val="Hipervnculo"/>
            <w:rFonts w:ascii="Verdana" w:hAnsi="Verdana"/>
            <w:sz w:val="15"/>
            <w:szCs w:val="15"/>
          </w:rPr>
          <w:t>https://www.colombiacompra.gov.co/archivos/manual/guia-de-competencia-en-las-compras-publicas</w:t>
        </w:r>
      </w:hyperlink>
      <w:r w:rsidRPr="00DA61E0">
        <w:rPr>
          <w:rFonts w:ascii="Verdana" w:hAnsi="Verdana"/>
          <w:sz w:val="15"/>
          <w:szCs w:val="15"/>
        </w:rPr>
        <w:t xml:space="preserve"> </w:t>
      </w:r>
    </w:p>
  </w:footnote>
  <w:footnote w:id="16">
    <w:p w14:paraId="528ECC87" w14:textId="77777777" w:rsidR="00DA61E0" w:rsidRPr="00DA61E0" w:rsidRDefault="00DA61E0" w:rsidP="00DA61E0">
      <w:pPr>
        <w:pStyle w:val="Textonotapie"/>
        <w:ind w:firstLine="708"/>
        <w:jc w:val="both"/>
        <w:rPr>
          <w:rFonts w:ascii="Verdana" w:eastAsia="Arial" w:hAnsi="Verdana" w:cs="Arial"/>
          <w:sz w:val="15"/>
          <w:szCs w:val="15"/>
          <w:lang w:val="es-ES"/>
        </w:rPr>
      </w:pPr>
      <w:r w:rsidRPr="00DA61E0">
        <w:rPr>
          <w:rStyle w:val="Refdenotaalpie"/>
          <w:rFonts w:ascii="Verdana" w:hAnsi="Verdana"/>
          <w:sz w:val="15"/>
          <w:szCs w:val="15"/>
        </w:rPr>
        <w:footnoteRef/>
      </w:r>
      <w:r w:rsidRPr="00DA61E0">
        <w:rPr>
          <w:rFonts w:ascii="Verdana" w:hAnsi="Verdana"/>
          <w:sz w:val="15"/>
          <w:szCs w:val="15"/>
        </w:rPr>
        <w:t xml:space="preserve"> </w:t>
      </w:r>
      <w:r w:rsidRPr="00DA61E0">
        <w:rPr>
          <w:rFonts w:ascii="Verdana" w:eastAsia="Arial" w:hAnsi="Verdana" w:cs="Arial"/>
          <w:sz w:val="15"/>
          <w:szCs w:val="15"/>
          <w:lang w:val="es-ES"/>
        </w:rPr>
        <w:t xml:space="preserve">La Resolución 1440 del 14 de agosto de 2024 se encuentra disponible en: </w:t>
      </w:r>
      <w:hyperlink r:id="rId2" w:history="1">
        <w:r w:rsidRPr="00DA61E0">
          <w:rPr>
            <w:rStyle w:val="Hipervnculo"/>
            <w:rFonts w:ascii="Verdana" w:eastAsia="Arial" w:hAnsi="Verdana" w:cs="Arial"/>
            <w:sz w:val="15"/>
            <w:szCs w:val="15"/>
            <w:lang w:val="es-ES"/>
          </w:rPr>
          <w:t>https://www.minsalud.gov.co/Normatividad_Nuevo/Resoluci%C3%B3n%20No%201440%20de%202024.pdf</w:t>
        </w:r>
      </w:hyperlink>
      <w:r w:rsidRPr="00DA61E0">
        <w:rPr>
          <w:rFonts w:ascii="Verdana" w:eastAsia="Arial" w:hAnsi="Verdana" w:cs="Arial"/>
          <w:sz w:val="15"/>
          <w:szCs w:val="15"/>
          <w:lang w:val="es-ES"/>
        </w:rPr>
        <w:t xml:space="preserve"> </w:t>
      </w:r>
    </w:p>
  </w:footnote>
  <w:footnote w:id="17">
    <w:p w14:paraId="4B492C3C" w14:textId="77777777" w:rsidR="00DA61E0" w:rsidRPr="00DA61E0" w:rsidRDefault="00DA61E0" w:rsidP="00DA61E0">
      <w:pPr>
        <w:spacing w:after="0" w:line="240" w:lineRule="auto"/>
        <w:ind w:firstLine="708"/>
        <w:jc w:val="both"/>
        <w:rPr>
          <w:rFonts w:ascii="Verdana" w:eastAsia="Calibri" w:hAnsi="Verdana" w:cs="Arial"/>
          <w:sz w:val="15"/>
          <w:szCs w:val="15"/>
        </w:rPr>
      </w:pPr>
      <w:r w:rsidRPr="00DA61E0">
        <w:rPr>
          <w:rStyle w:val="Refdenotaalpie"/>
          <w:rFonts w:ascii="Verdana" w:hAnsi="Verdana" w:cs="Arial"/>
          <w:sz w:val="15"/>
          <w:szCs w:val="15"/>
        </w:rPr>
        <w:footnoteRef/>
      </w:r>
      <w:r w:rsidRPr="00DA61E0">
        <w:rPr>
          <w:rFonts w:ascii="Verdana" w:hAnsi="Verdana" w:cs="Arial"/>
          <w:sz w:val="15"/>
          <w:szCs w:val="15"/>
        </w:rPr>
        <w:t xml:space="preserve"> Ley 1438 de 2011: “Artículo 76. Eficiencia y transparencia en contratación, adquisiciones</w:t>
      </w:r>
      <w:r w:rsidRPr="00DA61E0">
        <w:rPr>
          <w:rFonts w:ascii="Verdana" w:hAnsi="Verdana" w:cs="Arial"/>
          <w:spacing w:val="1"/>
          <w:sz w:val="15"/>
          <w:szCs w:val="15"/>
        </w:rPr>
        <w:t xml:space="preserve"> </w:t>
      </w:r>
      <w:r w:rsidRPr="00DA61E0">
        <w:rPr>
          <w:rFonts w:ascii="Verdana" w:hAnsi="Verdana" w:cs="Arial"/>
          <w:sz w:val="15"/>
          <w:szCs w:val="15"/>
        </w:rPr>
        <w:t>y compras de las Empresas Sociales del Estado. Con el propósito de promover la eficiencia y</w:t>
      </w:r>
      <w:r w:rsidRPr="00DA61E0">
        <w:rPr>
          <w:rFonts w:ascii="Verdana" w:hAnsi="Verdana" w:cs="Arial"/>
          <w:spacing w:val="1"/>
          <w:sz w:val="15"/>
          <w:szCs w:val="15"/>
        </w:rPr>
        <w:t xml:space="preserve"> </w:t>
      </w:r>
      <w:r w:rsidRPr="00DA61E0">
        <w:rPr>
          <w:rFonts w:ascii="Verdana" w:hAnsi="Verdana" w:cs="Arial"/>
          <w:sz w:val="15"/>
          <w:szCs w:val="15"/>
        </w:rPr>
        <w:t>transparencia</w:t>
      </w:r>
      <w:r w:rsidRPr="00DA61E0">
        <w:rPr>
          <w:rFonts w:ascii="Verdana" w:hAnsi="Verdana" w:cs="Arial"/>
          <w:spacing w:val="1"/>
          <w:sz w:val="15"/>
          <w:szCs w:val="15"/>
        </w:rPr>
        <w:t xml:space="preserve"> </w:t>
      </w:r>
      <w:r w:rsidRPr="00DA61E0">
        <w:rPr>
          <w:rFonts w:ascii="Verdana" w:hAnsi="Verdana" w:cs="Arial"/>
          <w:sz w:val="15"/>
          <w:szCs w:val="15"/>
        </w:rPr>
        <w:t>en la contratación las Empresas Sociales del Estado podrán asociarse entre sí,</w:t>
      </w:r>
      <w:r w:rsidRPr="00DA61E0">
        <w:rPr>
          <w:rFonts w:ascii="Verdana" w:hAnsi="Verdana" w:cs="Arial"/>
          <w:spacing w:val="1"/>
          <w:sz w:val="15"/>
          <w:szCs w:val="15"/>
        </w:rPr>
        <w:t xml:space="preserve"> </w:t>
      </w:r>
      <w:r w:rsidRPr="00DA61E0">
        <w:rPr>
          <w:rFonts w:ascii="Verdana" w:hAnsi="Verdana" w:cs="Arial"/>
          <w:sz w:val="15"/>
          <w:szCs w:val="15"/>
        </w:rPr>
        <w:t>constituir cooperativas o utilizar sistemas de compras electrónicas o cualquier otro mecanismo que</w:t>
      </w:r>
      <w:r w:rsidRPr="00DA61E0">
        <w:rPr>
          <w:rFonts w:ascii="Verdana" w:hAnsi="Verdana" w:cs="Arial"/>
          <w:spacing w:val="1"/>
          <w:sz w:val="15"/>
          <w:szCs w:val="15"/>
        </w:rPr>
        <w:t xml:space="preserve"> </w:t>
      </w:r>
      <w:r w:rsidRPr="00DA61E0">
        <w:rPr>
          <w:rFonts w:ascii="Verdana" w:hAnsi="Verdana" w:cs="Arial"/>
          <w:sz w:val="15"/>
          <w:szCs w:val="15"/>
        </w:rPr>
        <w:t>beneficie a las entidades con economías de escala, calidad, oportunidad y eficiencia, respetando los</w:t>
      </w:r>
      <w:r w:rsidRPr="00DA61E0">
        <w:rPr>
          <w:rFonts w:ascii="Verdana" w:hAnsi="Verdana" w:cs="Arial"/>
          <w:spacing w:val="-50"/>
          <w:sz w:val="15"/>
          <w:szCs w:val="15"/>
        </w:rPr>
        <w:t xml:space="preserve"> </w:t>
      </w:r>
      <w:r w:rsidRPr="00DA61E0">
        <w:rPr>
          <w:rFonts w:ascii="Verdana" w:hAnsi="Verdana" w:cs="Arial"/>
          <w:sz w:val="15"/>
          <w:szCs w:val="15"/>
        </w:rPr>
        <w:t>principios de la actuación administrativa y la contratación pública. Para lo anterior la Junta Directiva</w:t>
      </w:r>
      <w:r w:rsidRPr="00DA61E0">
        <w:rPr>
          <w:rFonts w:ascii="Verdana" w:hAnsi="Verdana" w:cs="Arial"/>
          <w:spacing w:val="1"/>
          <w:sz w:val="15"/>
          <w:szCs w:val="15"/>
        </w:rPr>
        <w:t xml:space="preserve"> </w:t>
      </w:r>
      <w:r w:rsidRPr="00DA61E0">
        <w:rPr>
          <w:rFonts w:ascii="Verdana" w:hAnsi="Verdana" w:cs="Arial"/>
          <w:sz w:val="15"/>
          <w:szCs w:val="15"/>
        </w:rPr>
        <w:t>deberá adoptar un estatuto de contratación de acuerdo con los lineamientos que defina el Ministerio</w:t>
      </w:r>
      <w:r w:rsidRPr="00DA61E0">
        <w:rPr>
          <w:rFonts w:ascii="Verdana" w:hAnsi="Verdana" w:cs="Arial"/>
          <w:spacing w:val="1"/>
          <w:sz w:val="15"/>
          <w:szCs w:val="15"/>
        </w:rPr>
        <w:t xml:space="preserve"> </w:t>
      </w:r>
      <w:r w:rsidRPr="00DA61E0">
        <w:rPr>
          <w:rFonts w:ascii="Verdana" w:hAnsi="Verdana" w:cs="Arial"/>
          <w:sz w:val="15"/>
          <w:szCs w:val="15"/>
        </w:rPr>
        <w:t>de</w:t>
      </w:r>
      <w:r w:rsidRPr="00DA61E0">
        <w:rPr>
          <w:rFonts w:ascii="Verdana" w:hAnsi="Verdana" w:cs="Arial"/>
          <w:spacing w:val="-2"/>
          <w:sz w:val="15"/>
          <w:szCs w:val="15"/>
        </w:rPr>
        <w:t xml:space="preserve"> </w:t>
      </w:r>
      <w:r w:rsidRPr="00DA61E0">
        <w:rPr>
          <w:rFonts w:ascii="Verdana" w:hAnsi="Verdana" w:cs="Arial"/>
          <w:sz w:val="15"/>
          <w:szCs w:val="15"/>
        </w:rPr>
        <w:t>la</w:t>
      </w:r>
      <w:r w:rsidRPr="00DA61E0">
        <w:rPr>
          <w:rFonts w:ascii="Verdana" w:hAnsi="Verdana" w:cs="Arial"/>
          <w:spacing w:val="-1"/>
          <w:sz w:val="15"/>
          <w:szCs w:val="15"/>
        </w:rPr>
        <w:t xml:space="preserve"> </w:t>
      </w:r>
      <w:r w:rsidRPr="00DA61E0">
        <w:rPr>
          <w:rFonts w:ascii="Verdana" w:hAnsi="Verdana" w:cs="Arial"/>
          <w:sz w:val="15"/>
          <w:szCs w:val="15"/>
        </w:rPr>
        <w:t>Protección</w:t>
      </w:r>
      <w:r w:rsidRPr="00DA61E0">
        <w:rPr>
          <w:rFonts w:ascii="Verdana" w:hAnsi="Verdana" w:cs="Arial"/>
          <w:spacing w:val="-1"/>
          <w:sz w:val="15"/>
          <w:szCs w:val="15"/>
        </w:rPr>
        <w:t xml:space="preserve"> </w:t>
      </w:r>
      <w:r w:rsidRPr="00DA61E0">
        <w:rPr>
          <w:rFonts w:ascii="Verdana" w:hAnsi="Verdana" w:cs="Arial"/>
          <w:sz w:val="15"/>
          <w:szCs w:val="15"/>
        </w:rPr>
        <w:t>Social.</w:t>
      </w:r>
    </w:p>
    <w:p w14:paraId="5132E7CA" w14:textId="77777777" w:rsidR="00DA61E0" w:rsidRPr="00DA61E0" w:rsidRDefault="00DA61E0" w:rsidP="00DA61E0">
      <w:pPr>
        <w:spacing w:after="0" w:line="240" w:lineRule="auto"/>
        <w:ind w:firstLine="708"/>
        <w:jc w:val="both"/>
        <w:rPr>
          <w:rFonts w:ascii="Verdana" w:hAnsi="Verdana" w:cs="Arial"/>
          <w:sz w:val="15"/>
          <w:szCs w:val="15"/>
        </w:rPr>
      </w:pPr>
      <w:r w:rsidRPr="00DA61E0">
        <w:rPr>
          <w:rFonts w:ascii="Verdana" w:hAnsi="Verdana" w:cs="Arial"/>
          <w:sz w:val="15"/>
          <w:szCs w:val="15"/>
        </w:rPr>
        <w:t>Igualmente,</w:t>
      </w:r>
      <w:r w:rsidRPr="00DA61E0">
        <w:rPr>
          <w:rFonts w:ascii="Verdana" w:hAnsi="Verdana" w:cs="Arial"/>
          <w:spacing w:val="1"/>
          <w:sz w:val="15"/>
          <w:szCs w:val="15"/>
        </w:rPr>
        <w:t xml:space="preserve"> </w:t>
      </w:r>
      <w:r w:rsidRPr="00DA61E0">
        <w:rPr>
          <w:rFonts w:ascii="Verdana" w:hAnsi="Verdana" w:cs="Arial"/>
          <w:sz w:val="15"/>
          <w:szCs w:val="15"/>
        </w:rPr>
        <w:t>las</w:t>
      </w:r>
      <w:r w:rsidRPr="00DA61E0">
        <w:rPr>
          <w:rFonts w:ascii="Verdana" w:hAnsi="Verdana" w:cs="Arial"/>
          <w:spacing w:val="1"/>
          <w:sz w:val="15"/>
          <w:szCs w:val="15"/>
        </w:rPr>
        <w:t xml:space="preserve"> </w:t>
      </w:r>
      <w:r w:rsidRPr="00DA61E0">
        <w:rPr>
          <w:rFonts w:ascii="Verdana" w:hAnsi="Verdana" w:cs="Arial"/>
          <w:sz w:val="15"/>
          <w:szCs w:val="15"/>
        </w:rPr>
        <w:t>Empresas</w:t>
      </w:r>
      <w:r w:rsidRPr="00DA61E0">
        <w:rPr>
          <w:rFonts w:ascii="Verdana" w:hAnsi="Verdana" w:cs="Arial"/>
          <w:spacing w:val="1"/>
          <w:sz w:val="15"/>
          <w:szCs w:val="15"/>
        </w:rPr>
        <w:t xml:space="preserve"> </w:t>
      </w:r>
      <w:r w:rsidRPr="00DA61E0">
        <w:rPr>
          <w:rFonts w:ascii="Verdana" w:hAnsi="Verdana" w:cs="Arial"/>
          <w:sz w:val="15"/>
          <w:szCs w:val="15"/>
        </w:rPr>
        <w:t>Sociales</w:t>
      </w:r>
      <w:r w:rsidRPr="00DA61E0">
        <w:rPr>
          <w:rFonts w:ascii="Verdana" w:hAnsi="Verdana" w:cs="Arial"/>
          <w:spacing w:val="1"/>
          <w:sz w:val="15"/>
          <w:szCs w:val="15"/>
        </w:rPr>
        <w:t xml:space="preserve"> </w:t>
      </w:r>
      <w:r w:rsidRPr="00DA61E0">
        <w:rPr>
          <w:rFonts w:ascii="Verdana" w:hAnsi="Verdana" w:cs="Arial"/>
          <w:sz w:val="15"/>
          <w:szCs w:val="15"/>
        </w:rPr>
        <w:t>del</w:t>
      </w:r>
      <w:r w:rsidRPr="00DA61E0">
        <w:rPr>
          <w:rFonts w:ascii="Verdana" w:hAnsi="Verdana" w:cs="Arial"/>
          <w:spacing w:val="1"/>
          <w:sz w:val="15"/>
          <w:szCs w:val="15"/>
        </w:rPr>
        <w:t xml:space="preserve"> </w:t>
      </w:r>
      <w:r w:rsidRPr="00DA61E0">
        <w:rPr>
          <w:rFonts w:ascii="Verdana" w:hAnsi="Verdana" w:cs="Arial"/>
          <w:sz w:val="15"/>
          <w:szCs w:val="15"/>
        </w:rPr>
        <w:t>Estado</w:t>
      </w:r>
      <w:r w:rsidRPr="00DA61E0">
        <w:rPr>
          <w:rFonts w:ascii="Verdana" w:hAnsi="Verdana" w:cs="Arial"/>
          <w:spacing w:val="1"/>
          <w:sz w:val="15"/>
          <w:szCs w:val="15"/>
        </w:rPr>
        <w:t xml:space="preserve"> </w:t>
      </w:r>
      <w:r w:rsidRPr="00DA61E0">
        <w:rPr>
          <w:rFonts w:ascii="Verdana" w:hAnsi="Verdana" w:cs="Arial"/>
          <w:sz w:val="15"/>
          <w:szCs w:val="15"/>
        </w:rPr>
        <w:t>podrán</w:t>
      </w:r>
      <w:r w:rsidRPr="00DA61E0">
        <w:rPr>
          <w:rFonts w:ascii="Verdana" w:hAnsi="Verdana" w:cs="Arial"/>
          <w:spacing w:val="1"/>
          <w:sz w:val="15"/>
          <w:szCs w:val="15"/>
        </w:rPr>
        <w:t xml:space="preserve"> </w:t>
      </w:r>
      <w:r w:rsidRPr="00DA61E0">
        <w:rPr>
          <w:rFonts w:ascii="Verdana" w:hAnsi="Verdana" w:cs="Arial"/>
          <w:sz w:val="15"/>
          <w:szCs w:val="15"/>
        </w:rPr>
        <w:t>contratar</w:t>
      </w:r>
      <w:r w:rsidRPr="00DA61E0">
        <w:rPr>
          <w:rFonts w:ascii="Verdana" w:hAnsi="Verdana" w:cs="Arial"/>
          <w:spacing w:val="1"/>
          <w:sz w:val="15"/>
          <w:szCs w:val="15"/>
        </w:rPr>
        <w:t xml:space="preserve"> </w:t>
      </w:r>
      <w:r w:rsidRPr="00DA61E0">
        <w:rPr>
          <w:rFonts w:ascii="Verdana" w:hAnsi="Verdana" w:cs="Arial"/>
          <w:sz w:val="15"/>
          <w:szCs w:val="15"/>
        </w:rPr>
        <w:t>de</w:t>
      </w:r>
      <w:r w:rsidRPr="00DA61E0">
        <w:rPr>
          <w:rFonts w:ascii="Verdana" w:hAnsi="Verdana" w:cs="Arial"/>
          <w:spacing w:val="1"/>
          <w:sz w:val="15"/>
          <w:szCs w:val="15"/>
        </w:rPr>
        <w:t xml:space="preserve"> </w:t>
      </w:r>
      <w:r w:rsidRPr="00DA61E0">
        <w:rPr>
          <w:rFonts w:ascii="Verdana" w:hAnsi="Verdana" w:cs="Arial"/>
          <w:sz w:val="15"/>
          <w:szCs w:val="15"/>
        </w:rPr>
        <w:t>manera</w:t>
      </w:r>
      <w:r w:rsidRPr="00DA61E0">
        <w:rPr>
          <w:rFonts w:ascii="Verdana" w:hAnsi="Verdana" w:cs="Arial"/>
          <w:spacing w:val="1"/>
          <w:sz w:val="15"/>
          <w:szCs w:val="15"/>
        </w:rPr>
        <w:t xml:space="preserve"> </w:t>
      </w:r>
      <w:r w:rsidRPr="00DA61E0">
        <w:rPr>
          <w:rFonts w:ascii="Verdana" w:hAnsi="Verdana" w:cs="Arial"/>
          <w:sz w:val="15"/>
          <w:szCs w:val="15"/>
        </w:rPr>
        <w:t>conjunta</w:t>
      </w:r>
      <w:r w:rsidRPr="00DA61E0">
        <w:rPr>
          <w:rFonts w:ascii="Verdana" w:hAnsi="Verdana" w:cs="Arial"/>
          <w:spacing w:val="1"/>
          <w:sz w:val="15"/>
          <w:szCs w:val="15"/>
        </w:rPr>
        <w:t xml:space="preserve"> </w:t>
      </w:r>
      <w:r w:rsidRPr="00DA61E0">
        <w:rPr>
          <w:rFonts w:ascii="Verdana" w:hAnsi="Verdana" w:cs="Arial"/>
          <w:sz w:val="15"/>
          <w:szCs w:val="15"/>
        </w:rPr>
        <w:t>sistemas</w:t>
      </w:r>
      <w:r w:rsidRPr="00DA61E0">
        <w:rPr>
          <w:rFonts w:ascii="Verdana" w:hAnsi="Verdana" w:cs="Arial"/>
          <w:spacing w:val="-10"/>
          <w:sz w:val="15"/>
          <w:szCs w:val="15"/>
        </w:rPr>
        <w:t xml:space="preserve"> </w:t>
      </w:r>
      <w:r w:rsidRPr="00DA61E0">
        <w:rPr>
          <w:rFonts w:ascii="Verdana" w:hAnsi="Verdana" w:cs="Arial"/>
          <w:sz w:val="15"/>
          <w:szCs w:val="15"/>
        </w:rPr>
        <w:t>de</w:t>
      </w:r>
      <w:r w:rsidRPr="00DA61E0">
        <w:rPr>
          <w:rFonts w:ascii="Verdana" w:hAnsi="Verdana" w:cs="Arial"/>
          <w:spacing w:val="-10"/>
          <w:sz w:val="15"/>
          <w:szCs w:val="15"/>
        </w:rPr>
        <w:t xml:space="preserve"> </w:t>
      </w:r>
      <w:r w:rsidRPr="00DA61E0">
        <w:rPr>
          <w:rFonts w:ascii="Verdana" w:hAnsi="Verdana" w:cs="Arial"/>
          <w:sz w:val="15"/>
          <w:szCs w:val="15"/>
        </w:rPr>
        <w:t>información,</w:t>
      </w:r>
      <w:r w:rsidRPr="00DA61E0">
        <w:rPr>
          <w:rFonts w:ascii="Verdana" w:hAnsi="Verdana" w:cs="Arial"/>
          <w:spacing w:val="-10"/>
          <w:sz w:val="15"/>
          <w:szCs w:val="15"/>
        </w:rPr>
        <w:t xml:space="preserve"> </w:t>
      </w:r>
      <w:r w:rsidRPr="00DA61E0">
        <w:rPr>
          <w:rFonts w:ascii="Verdana" w:hAnsi="Verdana" w:cs="Arial"/>
          <w:sz w:val="15"/>
          <w:szCs w:val="15"/>
        </w:rPr>
        <w:t>sistema</w:t>
      </w:r>
      <w:r w:rsidRPr="00DA61E0">
        <w:rPr>
          <w:rFonts w:ascii="Verdana" w:hAnsi="Verdana" w:cs="Arial"/>
          <w:spacing w:val="-9"/>
          <w:sz w:val="15"/>
          <w:szCs w:val="15"/>
        </w:rPr>
        <w:t xml:space="preserve"> </w:t>
      </w:r>
      <w:r w:rsidRPr="00DA61E0">
        <w:rPr>
          <w:rFonts w:ascii="Verdana" w:hAnsi="Verdana" w:cs="Arial"/>
          <w:sz w:val="15"/>
          <w:szCs w:val="15"/>
        </w:rPr>
        <w:t>de</w:t>
      </w:r>
      <w:r w:rsidRPr="00DA61E0">
        <w:rPr>
          <w:rFonts w:ascii="Verdana" w:hAnsi="Verdana" w:cs="Arial"/>
          <w:spacing w:val="-10"/>
          <w:sz w:val="15"/>
          <w:szCs w:val="15"/>
        </w:rPr>
        <w:t xml:space="preserve"> </w:t>
      </w:r>
      <w:r w:rsidRPr="00DA61E0">
        <w:rPr>
          <w:rFonts w:ascii="Verdana" w:hAnsi="Verdana" w:cs="Arial"/>
          <w:sz w:val="15"/>
          <w:szCs w:val="15"/>
        </w:rPr>
        <w:t>control</w:t>
      </w:r>
      <w:r w:rsidRPr="00DA61E0">
        <w:rPr>
          <w:rFonts w:ascii="Verdana" w:hAnsi="Verdana" w:cs="Arial"/>
          <w:spacing w:val="-10"/>
          <w:sz w:val="15"/>
          <w:szCs w:val="15"/>
        </w:rPr>
        <w:t xml:space="preserve"> </w:t>
      </w:r>
      <w:r w:rsidRPr="00DA61E0">
        <w:rPr>
          <w:rFonts w:ascii="Verdana" w:hAnsi="Verdana" w:cs="Arial"/>
          <w:sz w:val="15"/>
          <w:szCs w:val="15"/>
        </w:rPr>
        <w:t>interno,</w:t>
      </w:r>
      <w:r w:rsidRPr="00DA61E0">
        <w:rPr>
          <w:rFonts w:ascii="Verdana" w:hAnsi="Verdana" w:cs="Arial"/>
          <w:spacing w:val="-9"/>
          <w:sz w:val="15"/>
          <w:szCs w:val="15"/>
        </w:rPr>
        <w:t xml:space="preserve"> </w:t>
      </w:r>
      <w:r w:rsidRPr="00DA61E0">
        <w:rPr>
          <w:rFonts w:ascii="Verdana" w:hAnsi="Verdana" w:cs="Arial"/>
          <w:sz w:val="15"/>
          <w:szCs w:val="15"/>
        </w:rPr>
        <w:t>de</w:t>
      </w:r>
      <w:r w:rsidRPr="00DA61E0">
        <w:rPr>
          <w:rFonts w:ascii="Verdana" w:hAnsi="Verdana" w:cs="Arial"/>
          <w:spacing w:val="-10"/>
          <w:sz w:val="15"/>
          <w:szCs w:val="15"/>
        </w:rPr>
        <w:t xml:space="preserve"> </w:t>
      </w:r>
      <w:r w:rsidRPr="00DA61E0">
        <w:rPr>
          <w:rFonts w:ascii="Verdana" w:hAnsi="Verdana" w:cs="Arial"/>
          <w:sz w:val="15"/>
          <w:szCs w:val="15"/>
        </w:rPr>
        <w:t>interventorías,</w:t>
      </w:r>
      <w:r w:rsidRPr="00DA61E0">
        <w:rPr>
          <w:rFonts w:ascii="Verdana" w:hAnsi="Verdana" w:cs="Arial"/>
          <w:spacing w:val="-10"/>
          <w:sz w:val="15"/>
          <w:szCs w:val="15"/>
        </w:rPr>
        <w:t xml:space="preserve"> </w:t>
      </w:r>
      <w:r w:rsidRPr="00DA61E0">
        <w:rPr>
          <w:rFonts w:ascii="Verdana" w:hAnsi="Verdana" w:cs="Arial"/>
          <w:sz w:val="15"/>
          <w:szCs w:val="15"/>
        </w:rPr>
        <w:t>gestión</w:t>
      </w:r>
      <w:r w:rsidRPr="00DA61E0">
        <w:rPr>
          <w:rFonts w:ascii="Verdana" w:hAnsi="Verdana" w:cs="Arial"/>
          <w:spacing w:val="-10"/>
          <w:sz w:val="15"/>
          <w:szCs w:val="15"/>
        </w:rPr>
        <w:t xml:space="preserve"> </w:t>
      </w:r>
      <w:r w:rsidRPr="00DA61E0">
        <w:rPr>
          <w:rFonts w:ascii="Verdana" w:hAnsi="Verdana" w:cs="Arial"/>
          <w:sz w:val="15"/>
          <w:szCs w:val="15"/>
        </w:rPr>
        <w:t>de</w:t>
      </w:r>
      <w:r w:rsidRPr="00DA61E0">
        <w:rPr>
          <w:rFonts w:ascii="Verdana" w:hAnsi="Verdana" w:cs="Arial"/>
          <w:spacing w:val="-9"/>
          <w:sz w:val="15"/>
          <w:szCs w:val="15"/>
        </w:rPr>
        <w:t xml:space="preserve"> </w:t>
      </w:r>
      <w:r w:rsidRPr="00DA61E0">
        <w:rPr>
          <w:rFonts w:ascii="Verdana" w:hAnsi="Verdana" w:cs="Arial"/>
          <w:sz w:val="15"/>
          <w:szCs w:val="15"/>
        </w:rPr>
        <w:t>calidad</w:t>
      </w:r>
      <w:r w:rsidRPr="00DA61E0">
        <w:rPr>
          <w:rFonts w:ascii="Verdana" w:hAnsi="Verdana" w:cs="Arial"/>
          <w:spacing w:val="-10"/>
          <w:sz w:val="15"/>
          <w:szCs w:val="15"/>
        </w:rPr>
        <w:t xml:space="preserve"> </w:t>
      </w:r>
      <w:r w:rsidRPr="00DA61E0">
        <w:rPr>
          <w:rFonts w:ascii="Verdana" w:hAnsi="Verdana" w:cs="Arial"/>
          <w:sz w:val="15"/>
          <w:szCs w:val="15"/>
        </w:rPr>
        <w:t>y</w:t>
      </w:r>
      <w:r w:rsidRPr="00DA61E0">
        <w:rPr>
          <w:rFonts w:ascii="Verdana" w:hAnsi="Verdana" w:cs="Arial"/>
          <w:spacing w:val="-10"/>
          <w:sz w:val="15"/>
          <w:szCs w:val="15"/>
        </w:rPr>
        <w:t xml:space="preserve"> </w:t>
      </w:r>
      <w:r w:rsidRPr="00DA61E0">
        <w:rPr>
          <w:rFonts w:ascii="Verdana" w:hAnsi="Verdana" w:cs="Arial"/>
          <w:sz w:val="15"/>
          <w:szCs w:val="15"/>
        </w:rPr>
        <w:t>auditorías,</w:t>
      </w:r>
      <w:r w:rsidRPr="00DA61E0">
        <w:rPr>
          <w:rFonts w:ascii="Verdana" w:hAnsi="Verdana" w:cs="Arial"/>
          <w:spacing w:val="1"/>
          <w:sz w:val="15"/>
          <w:szCs w:val="15"/>
        </w:rPr>
        <w:t xml:space="preserve"> </w:t>
      </w:r>
      <w:r w:rsidRPr="00DA61E0">
        <w:rPr>
          <w:rFonts w:ascii="Verdana" w:hAnsi="Verdana" w:cs="Arial"/>
          <w:sz w:val="15"/>
          <w:szCs w:val="15"/>
        </w:rPr>
        <w:t>de</w:t>
      </w:r>
      <w:r w:rsidRPr="00DA61E0">
        <w:rPr>
          <w:rFonts w:ascii="Verdana" w:hAnsi="Verdana" w:cs="Arial"/>
          <w:spacing w:val="1"/>
          <w:sz w:val="15"/>
          <w:szCs w:val="15"/>
        </w:rPr>
        <w:t xml:space="preserve"> </w:t>
      </w:r>
      <w:r w:rsidRPr="00DA61E0">
        <w:rPr>
          <w:rFonts w:ascii="Verdana" w:hAnsi="Verdana" w:cs="Arial"/>
          <w:sz w:val="15"/>
          <w:szCs w:val="15"/>
        </w:rPr>
        <w:t>recurso</w:t>
      </w:r>
      <w:r w:rsidRPr="00DA61E0">
        <w:rPr>
          <w:rFonts w:ascii="Verdana" w:hAnsi="Verdana" w:cs="Arial"/>
          <w:spacing w:val="1"/>
          <w:sz w:val="15"/>
          <w:szCs w:val="15"/>
        </w:rPr>
        <w:t xml:space="preserve"> </w:t>
      </w:r>
      <w:r w:rsidRPr="00DA61E0">
        <w:rPr>
          <w:rFonts w:ascii="Verdana" w:hAnsi="Verdana" w:cs="Arial"/>
          <w:sz w:val="15"/>
          <w:szCs w:val="15"/>
        </w:rPr>
        <w:t>humano</w:t>
      </w:r>
      <w:r w:rsidRPr="00DA61E0">
        <w:rPr>
          <w:rFonts w:ascii="Verdana" w:hAnsi="Verdana" w:cs="Arial"/>
          <w:spacing w:val="1"/>
          <w:sz w:val="15"/>
          <w:szCs w:val="15"/>
        </w:rPr>
        <w:t xml:space="preserve"> </w:t>
      </w:r>
      <w:r w:rsidRPr="00DA61E0">
        <w:rPr>
          <w:rFonts w:ascii="Verdana" w:hAnsi="Verdana" w:cs="Arial"/>
          <w:sz w:val="15"/>
          <w:szCs w:val="15"/>
        </w:rPr>
        <w:t>y</w:t>
      </w:r>
      <w:r w:rsidRPr="00DA61E0">
        <w:rPr>
          <w:rFonts w:ascii="Verdana" w:hAnsi="Verdana" w:cs="Arial"/>
          <w:spacing w:val="1"/>
          <w:sz w:val="15"/>
          <w:szCs w:val="15"/>
        </w:rPr>
        <w:t xml:space="preserve"> </w:t>
      </w:r>
      <w:r w:rsidRPr="00DA61E0">
        <w:rPr>
          <w:rFonts w:ascii="Verdana" w:hAnsi="Verdana" w:cs="Arial"/>
          <w:sz w:val="15"/>
          <w:szCs w:val="15"/>
        </w:rPr>
        <w:t>demás</w:t>
      </w:r>
      <w:r w:rsidRPr="00DA61E0">
        <w:rPr>
          <w:rFonts w:ascii="Verdana" w:hAnsi="Verdana" w:cs="Arial"/>
          <w:spacing w:val="1"/>
          <w:sz w:val="15"/>
          <w:szCs w:val="15"/>
        </w:rPr>
        <w:t xml:space="preserve"> </w:t>
      </w:r>
      <w:r w:rsidRPr="00DA61E0">
        <w:rPr>
          <w:rFonts w:ascii="Verdana" w:hAnsi="Verdana" w:cs="Arial"/>
          <w:sz w:val="15"/>
          <w:szCs w:val="15"/>
        </w:rPr>
        <w:t>funciones</w:t>
      </w:r>
      <w:r w:rsidRPr="00DA61E0">
        <w:rPr>
          <w:rFonts w:ascii="Verdana" w:hAnsi="Verdana" w:cs="Arial"/>
          <w:spacing w:val="1"/>
          <w:sz w:val="15"/>
          <w:szCs w:val="15"/>
        </w:rPr>
        <w:t xml:space="preserve"> </w:t>
      </w:r>
      <w:r w:rsidRPr="00DA61E0">
        <w:rPr>
          <w:rFonts w:ascii="Verdana" w:hAnsi="Verdana" w:cs="Arial"/>
          <w:sz w:val="15"/>
          <w:szCs w:val="15"/>
        </w:rPr>
        <w:t>administrativas,</w:t>
      </w:r>
      <w:r w:rsidRPr="00DA61E0">
        <w:rPr>
          <w:rFonts w:ascii="Verdana" w:hAnsi="Verdana" w:cs="Arial"/>
          <w:spacing w:val="1"/>
          <w:sz w:val="15"/>
          <w:szCs w:val="15"/>
        </w:rPr>
        <w:t xml:space="preserve"> </w:t>
      </w:r>
      <w:r w:rsidRPr="00DA61E0">
        <w:rPr>
          <w:rFonts w:ascii="Verdana" w:hAnsi="Verdana" w:cs="Arial"/>
          <w:sz w:val="15"/>
          <w:szCs w:val="15"/>
        </w:rPr>
        <w:t>para</w:t>
      </w:r>
      <w:r w:rsidRPr="00DA61E0">
        <w:rPr>
          <w:rFonts w:ascii="Verdana" w:hAnsi="Verdana" w:cs="Arial"/>
          <w:spacing w:val="1"/>
          <w:sz w:val="15"/>
          <w:szCs w:val="15"/>
        </w:rPr>
        <w:t xml:space="preserve"> </w:t>
      </w:r>
      <w:r w:rsidRPr="00DA61E0">
        <w:rPr>
          <w:rFonts w:ascii="Verdana" w:hAnsi="Verdana" w:cs="Arial"/>
          <w:sz w:val="15"/>
          <w:szCs w:val="15"/>
        </w:rPr>
        <w:t>el</w:t>
      </w:r>
      <w:r w:rsidRPr="00DA61E0">
        <w:rPr>
          <w:rFonts w:ascii="Verdana" w:hAnsi="Verdana" w:cs="Arial"/>
          <w:spacing w:val="1"/>
          <w:sz w:val="15"/>
          <w:szCs w:val="15"/>
        </w:rPr>
        <w:t xml:space="preserve"> </w:t>
      </w:r>
      <w:r w:rsidRPr="00DA61E0">
        <w:rPr>
          <w:rFonts w:ascii="Verdana" w:hAnsi="Verdana" w:cs="Arial"/>
          <w:sz w:val="15"/>
          <w:szCs w:val="15"/>
        </w:rPr>
        <w:t>desarrollo</w:t>
      </w:r>
      <w:r w:rsidRPr="00DA61E0">
        <w:rPr>
          <w:rFonts w:ascii="Verdana" w:hAnsi="Verdana" w:cs="Arial"/>
          <w:spacing w:val="1"/>
          <w:sz w:val="15"/>
          <w:szCs w:val="15"/>
        </w:rPr>
        <w:t xml:space="preserve"> </w:t>
      </w:r>
      <w:r w:rsidRPr="00DA61E0">
        <w:rPr>
          <w:rFonts w:ascii="Verdana" w:hAnsi="Verdana" w:cs="Arial"/>
          <w:sz w:val="15"/>
          <w:szCs w:val="15"/>
        </w:rPr>
        <w:t>de</w:t>
      </w:r>
      <w:r w:rsidRPr="00DA61E0">
        <w:rPr>
          <w:rFonts w:ascii="Verdana" w:hAnsi="Verdana" w:cs="Arial"/>
          <w:spacing w:val="1"/>
          <w:sz w:val="15"/>
          <w:szCs w:val="15"/>
        </w:rPr>
        <w:t xml:space="preserve"> </w:t>
      </w:r>
      <w:r w:rsidRPr="00DA61E0">
        <w:rPr>
          <w:rFonts w:ascii="Verdana" w:hAnsi="Verdana" w:cs="Arial"/>
          <w:sz w:val="15"/>
          <w:szCs w:val="15"/>
        </w:rPr>
        <w:t>actividades</w:t>
      </w:r>
      <w:r w:rsidRPr="00DA61E0">
        <w:rPr>
          <w:rFonts w:ascii="Verdana" w:hAnsi="Verdana" w:cs="Arial"/>
          <w:spacing w:val="1"/>
          <w:sz w:val="15"/>
          <w:szCs w:val="15"/>
        </w:rPr>
        <w:t xml:space="preserve"> </w:t>
      </w:r>
      <w:r w:rsidRPr="00DA61E0">
        <w:rPr>
          <w:rFonts w:ascii="Verdana" w:hAnsi="Verdana" w:cs="Arial"/>
          <w:sz w:val="15"/>
          <w:szCs w:val="15"/>
        </w:rPr>
        <w:t>especializadas, de tipo operativo y de apoyo que puedan cubrir las necesidades de la empresa, de</w:t>
      </w:r>
      <w:r w:rsidRPr="00DA61E0">
        <w:rPr>
          <w:rFonts w:ascii="Verdana" w:hAnsi="Verdana" w:cs="Arial"/>
          <w:spacing w:val="1"/>
          <w:sz w:val="15"/>
          <w:szCs w:val="15"/>
        </w:rPr>
        <w:t xml:space="preserve"> </w:t>
      </w:r>
      <w:r w:rsidRPr="00DA61E0">
        <w:rPr>
          <w:rFonts w:ascii="Verdana" w:hAnsi="Verdana" w:cs="Arial"/>
          <w:sz w:val="15"/>
          <w:szCs w:val="15"/>
        </w:rPr>
        <w:t>forma</w:t>
      </w:r>
      <w:r w:rsidRPr="00DA61E0">
        <w:rPr>
          <w:rFonts w:ascii="Verdana" w:hAnsi="Verdana" w:cs="Arial"/>
          <w:spacing w:val="-2"/>
          <w:sz w:val="15"/>
          <w:szCs w:val="15"/>
        </w:rPr>
        <w:t xml:space="preserve"> </w:t>
      </w:r>
      <w:r w:rsidRPr="00DA61E0">
        <w:rPr>
          <w:rFonts w:ascii="Verdana" w:hAnsi="Verdana" w:cs="Arial"/>
          <w:sz w:val="15"/>
          <w:szCs w:val="15"/>
        </w:rPr>
        <w:t>tal</w:t>
      </w:r>
      <w:r w:rsidRPr="00DA61E0">
        <w:rPr>
          <w:rFonts w:ascii="Verdana" w:hAnsi="Verdana" w:cs="Arial"/>
          <w:spacing w:val="-2"/>
          <w:sz w:val="15"/>
          <w:szCs w:val="15"/>
        </w:rPr>
        <w:t xml:space="preserve"> </w:t>
      </w:r>
      <w:r w:rsidRPr="00DA61E0">
        <w:rPr>
          <w:rFonts w:ascii="Verdana" w:hAnsi="Verdana" w:cs="Arial"/>
          <w:sz w:val="15"/>
          <w:szCs w:val="15"/>
        </w:rPr>
        <w:t>que</w:t>
      </w:r>
      <w:r w:rsidRPr="00DA61E0">
        <w:rPr>
          <w:rFonts w:ascii="Verdana" w:hAnsi="Verdana" w:cs="Arial"/>
          <w:spacing w:val="-2"/>
          <w:sz w:val="15"/>
          <w:szCs w:val="15"/>
        </w:rPr>
        <w:t xml:space="preserve"> </w:t>
      </w:r>
      <w:r w:rsidRPr="00DA61E0">
        <w:rPr>
          <w:rFonts w:ascii="Verdana" w:hAnsi="Verdana" w:cs="Arial"/>
          <w:sz w:val="15"/>
          <w:szCs w:val="15"/>
        </w:rPr>
        <w:t>la</w:t>
      </w:r>
      <w:r w:rsidRPr="00DA61E0">
        <w:rPr>
          <w:rFonts w:ascii="Verdana" w:hAnsi="Verdana" w:cs="Arial"/>
          <w:spacing w:val="-1"/>
          <w:sz w:val="15"/>
          <w:szCs w:val="15"/>
        </w:rPr>
        <w:t xml:space="preserve"> </w:t>
      </w:r>
      <w:r w:rsidRPr="00DA61E0">
        <w:rPr>
          <w:rFonts w:ascii="Verdana" w:hAnsi="Verdana" w:cs="Arial"/>
          <w:sz w:val="15"/>
          <w:szCs w:val="15"/>
        </w:rPr>
        <w:t>gestión</w:t>
      </w:r>
      <w:r w:rsidRPr="00DA61E0">
        <w:rPr>
          <w:rFonts w:ascii="Verdana" w:hAnsi="Verdana" w:cs="Arial"/>
          <w:spacing w:val="-2"/>
          <w:sz w:val="15"/>
          <w:szCs w:val="15"/>
        </w:rPr>
        <w:t xml:space="preserve"> </w:t>
      </w:r>
      <w:r w:rsidRPr="00DA61E0">
        <w:rPr>
          <w:rFonts w:ascii="Verdana" w:hAnsi="Verdana" w:cs="Arial"/>
          <w:sz w:val="15"/>
          <w:szCs w:val="15"/>
        </w:rPr>
        <w:t>resulte</w:t>
      </w:r>
      <w:r w:rsidRPr="00DA61E0">
        <w:rPr>
          <w:rFonts w:ascii="Verdana" w:hAnsi="Verdana" w:cs="Arial"/>
          <w:spacing w:val="-2"/>
          <w:sz w:val="15"/>
          <w:szCs w:val="15"/>
        </w:rPr>
        <w:t xml:space="preserve"> </w:t>
      </w:r>
      <w:r w:rsidRPr="00DA61E0">
        <w:rPr>
          <w:rFonts w:ascii="Verdana" w:hAnsi="Verdana" w:cs="Arial"/>
          <w:sz w:val="15"/>
          <w:szCs w:val="15"/>
        </w:rPr>
        <w:t>más</w:t>
      </w:r>
      <w:r w:rsidRPr="00DA61E0">
        <w:rPr>
          <w:rFonts w:ascii="Verdana" w:hAnsi="Verdana" w:cs="Arial"/>
          <w:spacing w:val="-1"/>
          <w:sz w:val="15"/>
          <w:szCs w:val="15"/>
        </w:rPr>
        <w:t xml:space="preserve"> </w:t>
      </w:r>
      <w:r w:rsidRPr="00DA61E0">
        <w:rPr>
          <w:rFonts w:ascii="Verdana" w:hAnsi="Verdana" w:cs="Arial"/>
          <w:sz w:val="15"/>
          <w:szCs w:val="15"/>
        </w:rPr>
        <w:t>eficiente,</w:t>
      </w:r>
      <w:r w:rsidRPr="00DA61E0">
        <w:rPr>
          <w:rFonts w:ascii="Verdana" w:hAnsi="Verdana" w:cs="Arial"/>
          <w:spacing w:val="-2"/>
          <w:sz w:val="15"/>
          <w:szCs w:val="15"/>
        </w:rPr>
        <w:t xml:space="preserve"> </w:t>
      </w:r>
      <w:r w:rsidRPr="00DA61E0">
        <w:rPr>
          <w:rFonts w:ascii="Verdana" w:hAnsi="Verdana" w:cs="Arial"/>
          <w:sz w:val="15"/>
          <w:szCs w:val="15"/>
        </w:rPr>
        <w:t>con</w:t>
      </w:r>
      <w:r w:rsidRPr="00DA61E0">
        <w:rPr>
          <w:rFonts w:ascii="Verdana" w:hAnsi="Verdana" w:cs="Arial"/>
          <w:spacing w:val="-2"/>
          <w:sz w:val="15"/>
          <w:szCs w:val="15"/>
        </w:rPr>
        <w:t xml:space="preserve"> </w:t>
      </w:r>
      <w:r w:rsidRPr="00DA61E0">
        <w:rPr>
          <w:rFonts w:ascii="Verdana" w:hAnsi="Verdana" w:cs="Arial"/>
          <w:sz w:val="15"/>
          <w:szCs w:val="15"/>
        </w:rPr>
        <w:t>calidad</w:t>
      </w:r>
      <w:r w:rsidRPr="00DA61E0">
        <w:rPr>
          <w:rFonts w:ascii="Verdana" w:hAnsi="Verdana" w:cs="Arial"/>
          <w:spacing w:val="-1"/>
          <w:sz w:val="15"/>
          <w:szCs w:val="15"/>
        </w:rPr>
        <w:t xml:space="preserve"> </w:t>
      </w:r>
      <w:r w:rsidRPr="00DA61E0">
        <w:rPr>
          <w:rFonts w:ascii="Verdana" w:hAnsi="Verdana" w:cs="Arial"/>
          <w:sz w:val="15"/>
          <w:szCs w:val="15"/>
        </w:rPr>
        <w:t>e</w:t>
      </w:r>
      <w:r w:rsidRPr="00DA61E0">
        <w:rPr>
          <w:rFonts w:ascii="Verdana" w:hAnsi="Verdana" w:cs="Arial"/>
          <w:spacing w:val="-2"/>
          <w:sz w:val="15"/>
          <w:szCs w:val="15"/>
        </w:rPr>
        <w:t xml:space="preserve"> </w:t>
      </w:r>
      <w:r w:rsidRPr="00DA61E0">
        <w:rPr>
          <w:rFonts w:ascii="Verdana" w:hAnsi="Verdana" w:cs="Arial"/>
          <w:sz w:val="15"/>
          <w:szCs w:val="15"/>
        </w:rPr>
        <w:t>implique</w:t>
      </w:r>
      <w:r w:rsidRPr="00DA61E0">
        <w:rPr>
          <w:rFonts w:ascii="Verdana" w:hAnsi="Verdana" w:cs="Arial"/>
          <w:spacing w:val="-2"/>
          <w:sz w:val="15"/>
          <w:szCs w:val="15"/>
        </w:rPr>
        <w:t xml:space="preserve"> </w:t>
      </w:r>
      <w:r w:rsidRPr="00DA61E0">
        <w:rPr>
          <w:rFonts w:ascii="Verdana" w:hAnsi="Verdana" w:cs="Arial"/>
          <w:sz w:val="15"/>
          <w:szCs w:val="15"/>
        </w:rPr>
        <w:t>menor</w:t>
      </w:r>
      <w:r w:rsidRPr="00DA61E0">
        <w:rPr>
          <w:rFonts w:ascii="Verdana" w:hAnsi="Verdana" w:cs="Arial"/>
          <w:spacing w:val="-2"/>
          <w:sz w:val="15"/>
          <w:szCs w:val="15"/>
        </w:rPr>
        <w:t xml:space="preserve"> </w:t>
      </w:r>
      <w:r w:rsidRPr="00DA61E0">
        <w:rPr>
          <w:rFonts w:ascii="Verdana" w:hAnsi="Verdana" w:cs="Arial"/>
          <w:sz w:val="15"/>
          <w:szCs w:val="15"/>
        </w:rPr>
        <w:t>costo.</w:t>
      </w:r>
    </w:p>
    <w:p w14:paraId="28F3231A" w14:textId="77777777" w:rsidR="00DA61E0" w:rsidRPr="00DA61E0" w:rsidRDefault="00DA61E0" w:rsidP="00DA61E0">
      <w:pPr>
        <w:spacing w:after="0" w:line="240" w:lineRule="auto"/>
        <w:ind w:firstLine="708"/>
        <w:jc w:val="both"/>
        <w:rPr>
          <w:rFonts w:ascii="Verdana" w:hAnsi="Verdana" w:cs="Arial"/>
          <w:sz w:val="15"/>
          <w:szCs w:val="15"/>
        </w:rPr>
      </w:pPr>
      <w:r w:rsidRPr="00DA61E0">
        <w:rPr>
          <w:rFonts w:ascii="Verdana" w:hAnsi="Verdana" w:cs="Arial"/>
          <w:sz w:val="15"/>
          <w:szCs w:val="15"/>
        </w:rPr>
        <w:t>Estas</w:t>
      </w:r>
      <w:r w:rsidRPr="00DA61E0">
        <w:rPr>
          <w:rFonts w:ascii="Verdana" w:hAnsi="Verdana" w:cs="Arial"/>
          <w:spacing w:val="1"/>
          <w:sz w:val="15"/>
          <w:szCs w:val="15"/>
        </w:rPr>
        <w:t xml:space="preserve"> </w:t>
      </w:r>
      <w:r w:rsidRPr="00DA61E0">
        <w:rPr>
          <w:rFonts w:ascii="Verdana" w:hAnsi="Verdana" w:cs="Arial"/>
          <w:sz w:val="15"/>
          <w:szCs w:val="15"/>
        </w:rPr>
        <w:t>instituciones</w:t>
      </w:r>
      <w:r w:rsidRPr="00DA61E0">
        <w:rPr>
          <w:rFonts w:ascii="Verdana" w:hAnsi="Verdana" w:cs="Arial"/>
          <w:spacing w:val="1"/>
          <w:sz w:val="15"/>
          <w:szCs w:val="15"/>
        </w:rPr>
        <w:t xml:space="preserve"> </w:t>
      </w:r>
      <w:r w:rsidRPr="00DA61E0">
        <w:rPr>
          <w:rFonts w:ascii="Verdana" w:hAnsi="Verdana" w:cs="Arial"/>
          <w:sz w:val="15"/>
          <w:szCs w:val="15"/>
        </w:rPr>
        <w:t>podrán</w:t>
      </w:r>
      <w:r w:rsidRPr="00DA61E0">
        <w:rPr>
          <w:rFonts w:ascii="Verdana" w:hAnsi="Verdana" w:cs="Arial"/>
          <w:spacing w:val="1"/>
          <w:sz w:val="15"/>
          <w:szCs w:val="15"/>
        </w:rPr>
        <w:t xml:space="preserve"> </w:t>
      </w:r>
      <w:r w:rsidRPr="00DA61E0">
        <w:rPr>
          <w:rFonts w:ascii="Verdana" w:hAnsi="Verdana" w:cs="Arial"/>
          <w:sz w:val="15"/>
          <w:szCs w:val="15"/>
        </w:rPr>
        <w:t>utilizar</w:t>
      </w:r>
      <w:r w:rsidRPr="00DA61E0">
        <w:rPr>
          <w:rFonts w:ascii="Verdana" w:hAnsi="Verdana" w:cs="Arial"/>
          <w:spacing w:val="1"/>
          <w:sz w:val="15"/>
          <w:szCs w:val="15"/>
        </w:rPr>
        <w:t xml:space="preserve"> </w:t>
      </w:r>
      <w:r w:rsidRPr="00DA61E0">
        <w:rPr>
          <w:rFonts w:ascii="Verdana" w:hAnsi="Verdana" w:cs="Arial"/>
          <w:sz w:val="15"/>
          <w:szCs w:val="15"/>
        </w:rPr>
        <w:t>mecanismos</w:t>
      </w:r>
      <w:r w:rsidRPr="00DA61E0">
        <w:rPr>
          <w:rFonts w:ascii="Verdana" w:hAnsi="Verdana" w:cs="Arial"/>
          <w:spacing w:val="1"/>
          <w:sz w:val="15"/>
          <w:szCs w:val="15"/>
        </w:rPr>
        <w:t xml:space="preserve"> </w:t>
      </w:r>
      <w:r w:rsidRPr="00DA61E0">
        <w:rPr>
          <w:rFonts w:ascii="Verdana" w:hAnsi="Verdana" w:cs="Arial"/>
          <w:sz w:val="15"/>
          <w:szCs w:val="15"/>
        </w:rPr>
        <w:t>de</w:t>
      </w:r>
      <w:r w:rsidRPr="00DA61E0">
        <w:rPr>
          <w:rFonts w:ascii="Verdana" w:hAnsi="Verdana" w:cs="Arial"/>
          <w:spacing w:val="1"/>
          <w:sz w:val="15"/>
          <w:szCs w:val="15"/>
        </w:rPr>
        <w:t xml:space="preserve"> </w:t>
      </w:r>
      <w:r w:rsidRPr="00DA61E0">
        <w:rPr>
          <w:rFonts w:ascii="Verdana" w:hAnsi="Verdana" w:cs="Arial"/>
          <w:sz w:val="15"/>
          <w:szCs w:val="15"/>
        </w:rPr>
        <w:t>subasta</w:t>
      </w:r>
      <w:r w:rsidRPr="00DA61E0">
        <w:rPr>
          <w:rFonts w:ascii="Verdana" w:hAnsi="Verdana" w:cs="Arial"/>
          <w:spacing w:val="1"/>
          <w:sz w:val="15"/>
          <w:szCs w:val="15"/>
        </w:rPr>
        <w:t xml:space="preserve"> </w:t>
      </w:r>
      <w:r w:rsidRPr="00DA61E0">
        <w:rPr>
          <w:rFonts w:ascii="Verdana" w:hAnsi="Verdana" w:cs="Arial"/>
          <w:sz w:val="15"/>
          <w:szCs w:val="15"/>
        </w:rPr>
        <w:t>inversa</w:t>
      </w:r>
      <w:r w:rsidRPr="00DA61E0">
        <w:rPr>
          <w:rFonts w:ascii="Verdana" w:hAnsi="Verdana" w:cs="Arial"/>
          <w:spacing w:val="1"/>
          <w:sz w:val="15"/>
          <w:szCs w:val="15"/>
        </w:rPr>
        <w:t xml:space="preserve"> </w:t>
      </w:r>
      <w:r w:rsidRPr="00DA61E0">
        <w:rPr>
          <w:rFonts w:ascii="Verdana" w:hAnsi="Verdana" w:cs="Arial"/>
          <w:sz w:val="15"/>
          <w:szCs w:val="15"/>
        </w:rPr>
        <w:t>para</w:t>
      </w:r>
      <w:r w:rsidRPr="00DA61E0">
        <w:rPr>
          <w:rFonts w:ascii="Verdana" w:hAnsi="Verdana" w:cs="Arial"/>
          <w:spacing w:val="1"/>
          <w:sz w:val="15"/>
          <w:szCs w:val="15"/>
        </w:rPr>
        <w:t xml:space="preserve"> </w:t>
      </w:r>
      <w:r w:rsidRPr="00DA61E0">
        <w:rPr>
          <w:rFonts w:ascii="Verdana" w:hAnsi="Verdana" w:cs="Arial"/>
          <w:sz w:val="15"/>
          <w:szCs w:val="15"/>
        </w:rPr>
        <w:t>lograr</w:t>
      </w:r>
      <w:r w:rsidRPr="00DA61E0">
        <w:rPr>
          <w:rFonts w:ascii="Verdana" w:hAnsi="Verdana" w:cs="Arial"/>
          <w:spacing w:val="1"/>
          <w:sz w:val="15"/>
          <w:szCs w:val="15"/>
        </w:rPr>
        <w:t xml:space="preserve"> </w:t>
      </w:r>
      <w:r w:rsidRPr="00DA61E0">
        <w:rPr>
          <w:rFonts w:ascii="Verdana" w:hAnsi="Verdana" w:cs="Arial"/>
          <w:sz w:val="15"/>
          <w:szCs w:val="15"/>
        </w:rPr>
        <w:t>mayor</w:t>
      </w:r>
      <w:r w:rsidRPr="00DA61E0">
        <w:rPr>
          <w:rFonts w:ascii="Verdana" w:hAnsi="Verdana" w:cs="Arial"/>
          <w:spacing w:val="-50"/>
          <w:sz w:val="15"/>
          <w:szCs w:val="15"/>
        </w:rPr>
        <w:t xml:space="preserve"> </w:t>
      </w:r>
      <w:r w:rsidRPr="00DA61E0">
        <w:rPr>
          <w:rFonts w:ascii="Verdana" w:hAnsi="Verdana" w:cs="Arial"/>
          <w:sz w:val="15"/>
          <w:szCs w:val="15"/>
        </w:rPr>
        <w:t>eficiencia</w:t>
      </w:r>
      <w:r w:rsidRPr="00DA61E0">
        <w:rPr>
          <w:rFonts w:ascii="Verdana" w:hAnsi="Verdana" w:cs="Arial"/>
          <w:spacing w:val="-2"/>
          <w:sz w:val="15"/>
          <w:szCs w:val="15"/>
        </w:rPr>
        <w:t xml:space="preserve"> </w:t>
      </w:r>
      <w:r w:rsidRPr="00DA61E0">
        <w:rPr>
          <w:rFonts w:ascii="Verdana" w:hAnsi="Verdana" w:cs="Arial"/>
          <w:sz w:val="15"/>
          <w:szCs w:val="15"/>
        </w:rPr>
        <w:t>en</w:t>
      </w:r>
      <w:r w:rsidRPr="00DA61E0">
        <w:rPr>
          <w:rFonts w:ascii="Verdana" w:hAnsi="Verdana" w:cs="Arial"/>
          <w:spacing w:val="-1"/>
          <w:sz w:val="15"/>
          <w:szCs w:val="15"/>
        </w:rPr>
        <w:t xml:space="preserve"> </w:t>
      </w:r>
      <w:r w:rsidRPr="00DA61E0">
        <w:rPr>
          <w:rFonts w:ascii="Verdana" w:hAnsi="Verdana" w:cs="Arial"/>
          <w:sz w:val="15"/>
          <w:szCs w:val="15"/>
        </w:rPr>
        <w:t>sus</w:t>
      </w:r>
      <w:r w:rsidRPr="00DA61E0">
        <w:rPr>
          <w:rFonts w:ascii="Verdana" w:hAnsi="Verdana" w:cs="Arial"/>
          <w:spacing w:val="-1"/>
          <w:sz w:val="15"/>
          <w:szCs w:val="15"/>
        </w:rPr>
        <w:t xml:space="preserve"> </w:t>
      </w:r>
      <w:r w:rsidRPr="00DA61E0">
        <w:rPr>
          <w:rFonts w:ascii="Verdana" w:hAnsi="Verdana" w:cs="Arial"/>
          <w:sz w:val="15"/>
          <w:szCs w:val="15"/>
        </w:rPr>
        <w:t>adquisiciones”</w:t>
      </w:r>
    </w:p>
  </w:footnote>
  <w:footnote w:id="18">
    <w:p w14:paraId="12965372" w14:textId="77777777" w:rsidR="00DA61E0" w:rsidRPr="00DA61E0" w:rsidRDefault="00DA61E0" w:rsidP="00DA61E0">
      <w:pPr>
        <w:pStyle w:val="Textonotapie"/>
        <w:ind w:firstLine="709"/>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En los términos del artículo 665 del Código Civil: “Derecho real es el que tenemos sobre una cosa sin especto a determinada persona.</w:t>
      </w:r>
    </w:p>
    <w:p w14:paraId="2C0BFC54" w14:textId="77777777" w:rsidR="00DA61E0" w:rsidRPr="00DA61E0" w:rsidRDefault="00DA61E0" w:rsidP="00DA61E0">
      <w:pPr>
        <w:pStyle w:val="Textonotapie"/>
        <w:ind w:firstLine="709"/>
        <w:jc w:val="both"/>
        <w:rPr>
          <w:rFonts w:ascii="Verdana" w:hAnsi="Verdana" w:cs="Arial"/>
          <w:color w:val="000000" w:themeColor="text1"/>
          <w:sz w:val="15"/>
          <w:szCs w:val="15"/>
        </w:rPr>
      </w:pPr>
      <w:r w:rsidRPr="00DA61E0">
        <w:rPr>
          <w:rFonts w:ascii="Verdana" w:hAnsi="Verdana" w:cs="Arial"/>
          <w:color w:val="000000" w:themeColor="text1"/>
          <w:sz w:val="15"/>
          <w:szCs w:val="15"/>
        </w:rPr>
        <w:t>Son derechos reales el de dominio, el de herencia, los de usufructo, uso o habitación, los de servidumbres activas, el de prenda y el de hipoteca. De estos derechos nacen las acciones reales”.</w:t>
      </w:r>
    </w:p>
    <w:p w14:paraId="62DBFA08" w14:textId="77777777" w:rsidR="00DA61E0" w:rsidRPr="00DA61E0" w:rsidRDefault="00DA61E0" w:rsidP="00DA61E0">
      <w:pPr>
        <w:pStyle w:val="Textonotapie"/>
        <w:ind w:firstLine="709"/>
        <w:jc w:val="both"/>
        <w:rPr>
          <w:rFonts w:ascii="Verdana" w:hAnsi="Verdana" w:cs="Arial"/>
          <w:color w:val="000000" w:themeColor="text1"/>
          <w:sz w:val="15"/>
          <w:szCs w:val="15"/>
        </w:rPr>
      </w:pPr>
    </w:p>
  </w:footnote>
  <w:footnote w:id="19">
    <w:p w14:paraId="2C13E4BE" w14:textId="77777777" w:rsidR="00DA61E0" w:rsidRPr="00DA61E0" w:rsidRDefault="00DA61E0" w:rsidP="00DA61E0">
      <w:pPr>
        <w:pStyle w:val="Textonotapie"/>
        <w:ind w:firstLine="709"/>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Según el Diccionario del español jurídico, enajenar es “Disponer de un bien o derecho transmitiendo su titularidad». En sitio web: https://dej.rae.es/lema/enajenar. Por su parte, la jurisprudencia ha definido la enajenación del siguiente modo: “En términos jurídicos ’enajenación’ significa ’La transmisión de la propiedad de una cosa, a cambio de otra (como en la compraventa y en la permuta) o gratuitamente (como en la donación y el préstamo sin interés).</w:t>
      </w:r>
    </w:p>
    <w:p w14:paraId="123B0CB7" w14:textId="77777777" w:rsidR="00DA61E0" w:rsidRPr="00DA61E0" w:rsidRDefault="00DA61E0" w:rsidP="00DA61E0">
      <w:pPr>
        <w:spacing w:after="0" w:line="240" w:lineRule="auto"/>
        <w:ind w:firstLine="709"/>
        <w:jc w:val="both"/>
        <w:rPr>
          <w:rFonts w:ascii="Verdana" w:hAnsi="Verdana" w:cs="Arial"/>
          <w:color w:val="000000" w:themeColor="text1"/>
          <w:sz w:val="15"/>
          <w:szCs w:val="15"/>
        </w:rPr>
      </w:pPr>
      <w:r w:rsidRPr="00DA61E0">
        <w:rPr>
          <w:rFonts w:ascii="Verdana" w:hAnsi="Verdana" w:cs="Arial"/>
          <w:color w:val="000000" w:themeColor="text1"/>
          <w:sz w:val="15"/>
          <w:szCs w:val="15"/>
        </w:rPr>
        <w:t>Igualmente, para la doctrina la palabra enajenación en su sentido natural indica la transmisión de cualquier derecho patrimonial de una cabeza a otra, por lo que constituye una adquisición derivada por acto entre vivos del contenido total o parcial de un derecho” (Consejo de Estado. Sección Cuarta. Sentencia del 6 de febrero de 2006. C.P. María Inés Ortiz Barbosa. Exp. 14.123).</w:t>
      </w:r>
    </w:p>
  </w:footnote>
  <w:footnote w:id="20">
    <w:p w14:paraId="7E638B17" w14:textId="77777777" w:rsidR="00DA61E0" w:rsidRPr="00DA61E0" w:rsidRDefault="00DA61E0" w:rsidP="00DA61E0">
      <w:pPr>
        <w:pStyle w:val="Textonotapie"/>
        <w:ind w:firstLine="709"/>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VELÁSQUEZ, Hernán Darío. Estudio sobre obligaciones. Bogotá: Temis, 2010. p. 10.</w:t>
      </w:r>
    </w:p>
  </w:footnote>
  <w:footnote w:id="21">
    <w:p w14:paraId="4BDBDD8D" w14:textId="77777777" w:rsidR="00DA61E0" w:rsidRPr="00DA61E0" w:rsidRDefault="00DA61E0" w:rsidP="00DA61E0">
      <w:pPr>
        <w:pStyle w:val="Textonotapie"/>
        <w:ind w:firstLine="709"/>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“Los modos de adquirir el dominio son la ocupación, la accesión, la tradición, la sucesión por causa de muerte y la prescripción”.</w:t>
      </w:r>
    </w:p>
  </w:footnote>
  <w:footnote w:id="22">
    <w:p w14:paraId="4CCF4F27" w14:textId="77777777" w:rsidR="00DA61E0" w:rsidRPr="00DA61E0" w:rsidRDefault="00DA61E0" w:rsidP="00DA61E0">
      <w:pPr>
        <w:spacing w:after="0" w:line="240" w:lineRule="auto"/>
        <w:ind w:firstLine="709"/>
        <w:jc w:val="both"/>
        <w:rPr>
          <w:rFonts w:ascii="Verdana" w:hAnsi="Verdana" w:cs="Arial"/>
          <w:color w:val="000000" w:themeColor="text1"/>
          <w:sz w:val="15"/>
          <w:szCs w:val="15"/>
          <w:lang w:val="es-ES"/>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w:t>
      </w:r>
      <w:r w:rsidRPr="00DA61E0">
        <w:rPr>
          <w:rFonts w:ascii="Verdana" w:hAnsi="Verdana" w:cs="Arial"/>
          <w:color w:val="000000" w:themeColor="text1"/>
          <w:sz w:val="15"/>
          <w:szCs w:val="15"/>
          <w:lang w:val="es-ES"/>
        </w:rPr>
        <w:t>Según el artículo 749 del Código Civil “Si la ley exige solemnidades especiales para la enajenación, no se transfiere el dominio sin ellas”.</w:t>
      </w:r>
    </w:p>
  </w:footnote>
  <w:footnote w:id="23">
    <w:p w14:paraId="481C5858" w14:textId="77777777" w:rsidR="00DA61E0" w:rsidRPr="00DA61E0" w:rsidRDefault="00DA61E0" w:rsidP="00DA61E0">
      <w:pPr>
        <w:pStyle w:val="Textonotapie"/>
        <w:ind w:firstLine="708"/>
        <w:jc w:val="both"/>
        <w:rPr>
          <w:rFonts w:ascii="Verdana" w:hAnsi="Verdana" w:cs="Arial"/>
          <w:sz w:val="15"/>
          <w:szCs w:val="15"/>
          <w:lang w:val="es-ES"/>
        </w:rPr>
      </w:pPr>
      <w:r w:rsidRPr="00DA61E0">
        <w:rPr>
          <w:rStyle w:val="Refdenotaalpie"/>
          <w:rFonts w:ascii="Verdana" w:hAnsi="Verdana" w:cs="Arial"/>
          <w:sz w:val="15"/>
          <w:szCs w:val="15"/>
        </w:rPr>
        <w:footnoteRef/>
      </w:r>
      <w:r w:rsidRPr="00DA61E0">
        <w:rPr>
          <w:rFonts w:ascii="Verdana" w:hAnsi="Verdana" w:cs="Arial"/>
          <w:sz w:val="15"/>
          <w:szCs w:val="15"/>
        </w:rPr>
        <w:t xml:space="preserve"> Consejo de Estado, Sección Tercera, Subsección A. Sentencia del 25 de mayo de 2016. C.P. Hernán Andrade Rincón.</w:t>
      </w:r>
    </w:p>
  </w:footnote>
  <w:footnote w:id="24">
    <w:p w14:paraId="02760542" w14:textId="77777777" w:rsidR="00DA61E0" w:rsidRPr="00DA61E0" w:rsidRDefault="00DA61E0" w:rsidP="00DA61E0">
      <w:pPr>
        <w:spacing w:after="0" w:line="240" w:lineRule="auto"/>
        <w:ind w:firstLine="708"/>
        <w:jc w:val="both"/>
        <w:rPr>
          <w:rFonts w:ascii="Verdana" w:hAnsi="Verdana" w:cs="Arial"/>
          <w:color w:val="000000" w:themeColor="text1"/>
          <w:sz w:val="15"/>
          <w:szCs w:val="15"/>
        </w:rPr>
      </w:pPr>
      <w:r w:rsidRPr="00DA61E0">
        <w:rPr>
          <w:rStyle w:val="Refdenotaalpie"/>
          <w:rFonts w:ascii="Verdana" w:hAnsi="Verdana" w:cs="Arial"/>
          <w:sz w:val="15"/>
          <w:szCs w:val="15"/>
        </w:rPr>
        <w:footnoteRef/>
      </w:r>
      <w:r w:rsidRPr="00DA61E0">
        <w:rPr>
          <w:rFonts w:ascii="Verdana" w:hAnsi="Verdana" w:cs="Arial"/>
          <w:sz w:val="15"/>
          <w:szCs w:val="15"/>
        </w:rPr>
        <w:t xml:space="preserve"> </w:t>
      </w:r>
      <w:r w:rsidRPr="00DA61E0">
        <w:rPr>
          <w:rFonts w:ascii="Verdana" w:hAnsi="Verdana" w:cs="Arial"/>
          <w:color w:val="000000" w:themeColor="text1"/>
          <w:sz w:val="15"/>
          <w:szCs w:val="15"/>
        </w:rPr>
        <w:t xml:space="preserve">Corte Constitucional. Sentencia C-183 de 2003. Sala Plena. M.P. Alfredo Beltrán Sierra. </w:t>
      </w:r>
    </w:p>
  </w:footnote>
  <w:footnote w:id="25">
    <w:p w14:paraId="04B46DED" w14:textId="77777777" w:rsidR="00DA61E0" w:rsidRPr="00DA61E0" w:rsidRDefault="00DA61E0" w:rsidP="00DA61E0">
      <w:pPr>
        <w:pStyle w:val="Textonotapie"/>
        <w:ind w:firstLine="708"/>
        <w:jc w:val="both"/>
        <w:rPr>
          <w:rFonts w:ascii="Verdana" w:hAnsi="Verdana" w:cs="Arial"/>
          <w:sz w:val="15"/>
          <w:szCs w:val="15"/>
          <w:lang w:val="es-ES"/>
        </w:rPr>
      </w:pPr>
      <w:r w:rsidRPr="00DA61E0">
        <w:rPr>
          <w:rStyle w:val="Refdenotaalpie"/>
          <w:rFonts w:ascii="Verdana" w:hAnsi="Verdana" w:cs="Arial"/>
          <w:sz w:val="15"/>
          <w:szCs w:val="15"/>
        </w:rPr>
        <w:footnoteRef/>
      </w:r>
      <w:r w:rsidRPr="00DA61E0">
        <w:rPr>
          <w:rFonts w:ascii="Verdana" w:hAnsi="Verdana" w:cs="Arial"/>
          <w:sz w:val="15"/>
          <w:szCs w:val="15"/>
        </w:rPr>
        <w:t xml:space="preserve"> </w:t>
      </w:r>
      <w:r w:rsidRPr="00DA61E0">
        <w:rPr>
          <w:rFonts w:ascii="Verdana" w:hAnsi="Verdana" w:cs="Arial"/>
          <w:sz w:val="15"/>
          <w:szCs w:val="15"/>
          <w:lang w:val="es-ES"/>
        </w:rPr>
        <w:t>Ibídem</w:t>
      </w:r>
    </w:p>
  </w:footnote>
  <w:footnote w:id="26">
    <w:p w14:paraId="18E9D260" w14:textId="77777777" w:rsidR="00DA61E0" w:rsidRPr="00DA61E0" w:rsidRDefault="00DA61E0" w:rsidP="00DA61E0">
      <w:pPr>
        <w:pStyle w:val="Textonotapie"/>
        <w:ind w:firstLine="708"/>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Consejo de Estado. Sección Tercera, Subsección B. Sentencia del 30 de abril de 2012. C.P. Ruth Stella Correa Palacio. Exp. 21.699.</w:t>
      </w:r>
    </w:p>
  </w:footnote>
  <w:footnote w:id="27">
    <w:p w14:paraId="5D387CF6" w14:textId="77777777" w:rsidR="00DA61E0" w:rsidRPr="00DA61E0" w:rsidRDefault="00DA61E0" w:rsidP="00DA61E0">
      <w:pPr>
        <w:spacing w:after="0" w:line="240" w:lineRule="auto"/>
        <w:ind w:firstLine="708"/>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Consejo de Estado. Sección Tercera, Subsección A. Sentencia del 19 de julio de 2018, C.P. Carlos Alberto Zambrano Barrera. Exp. 36.711.</w:t>
      </w:r>
    </w:p>
  </w:footnote>
  <w:footnote w:id="28">
    <w:p w14:paraId="5B1EE0FD" w14:textId="77777777" w:rsidR="00DA61E0" w:rsidRDefault="00DA61E0" w:rsidP="00DA61E0">
      <w:pPr>
        <w:spacing w:after="0" w:line="240" w:lineRule="auto"/>
        <w:ind w:firstLine="708"/>
        <w:jc w:val="both"/>
        <w:rPr>
          <w:rFonts w:ascii="Verdana" w:hAnsi="Verdana" w:cs="Arial"/>
          <w:color w:val="000000" w:themeColor="text1"/>
          <w:sz w:val="15"/>
          <w:szCs w:val="15"/>
        </w:rPr>
      </w:pPr>
      <w:r w:rsidRPr="00DA61E0">
        <w:rPr>
          <w:rStyle w:val="Refdenotaalpie"/>
          <w:rFonts w:ascii="Verdana" w:hAnsi="Verdana" w:cs="Arial"/>
          <w:color w:val="000000" w:themeColor="text1"/>
          <w:sz w:val="15"/>
          <w:szCs w:val="15"/>
        </w:rPr>
        <w:footnoteRef/>
      </w:r>
      <w:r w:rsidRPr="00DA61E0">
        <w:rPr>
          <w:rFonts w:ascii="Verdana" w:hAnsi="Verdana" w:cs="Arial"/>
          <w:color w:val="000000" w:themeColor="text1"/>
          <w:sz w:val="15"/>
          <w:szCs w:val="15"/>
        </w:rPr>
        <w:t xml:space="preserve"> Corte Constitucional. Sentencia C-183 de 2003.  M.P. Alfredo Beltrán Sierra.</w:t>
      </w:r>
      <w:r>
        <w:rPr>
          <w:rFonts w:ascii="Verdana" w:hAnsi="Verdana" w:cs="Arial"/>
          <w:color w:val="000000" w:themeColor="text1"/>
          <w:sz w:val="15"/>
          <w:szCs w:val="15"/>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F736BA"/>
    <w:multiLevelType w:val="hybridMultilevel"/>
    <w:tmpl w:val="8B64E5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9535900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26301168">
    <w:abstractNumId w:val="4"/>
  </w:num>
  <w:num w:numId="18" w16cid:durableId="207106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3B0"/>
    <w:rsid w:val="00061B2A"/>
    <w:rsid w:val="00082362"/>
    <w:rsid w:val="000A683E"/>
    <w:rsid w:val="000B19B9"/>
    <w:rsid w:val="000D0334"/>
    <w:rsid w:val="000D5DA7"/>
    <w:rsid w:val="000F51A8"/>
    <w:rsid w:val="000F6486"/>
    <w:rsid w:val="001022DB"/>
    <w:rsid w:val="00116940"/>
    <w:rsid w:val="00125105"/>
    <w:rsid w:val="00127233"/>
    <w:rsid w:val="0015699B"/>
    <w:rsid w:val="0015744B"/>
    <w:rsid w:val="00182887"/>
    <w:rsid w:val="001A33BF"/>
    <w:rsid w:val="001E4177"/>
    <w:rsid w:val="001F0B24"/>
    <w:rsid w:val="001F7DC6"/>
    <w:rsid w:val="0022400B"/>
    <w:rsid w:val="002421BB"/>
    <w:rsid w:val="0025796E"/>
    <w:rsid w:val="002707A2"/>
    <w:rsid w:val="00294CD8"/>
    <w:rsid w:val="002951A0"/>
    <w:rsid w:val="002962BC"/>
    <w:rsid w:val="002A093D"/>
    <w:rsid w:val="002A0DD0"/>
    <w:rsid w:val="002A49AC"/>
    <w:rsid w:val="002A64FD"/>
    <w:rsid w:val="002C4AE0"/>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3F6102"/>
    <w:rsid w:val="00406575"/>
    <w:rsid w:val="00414C74"/>
    <w:rsid w:val="0042722E"/>
    <w:rsid w:val="0044528D"/>
    <w:rsid w:val="004533BE"/>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36615"/>
    <w:rsid w:val="0075235A"/>
    <w:rsid w:val="00756841"/>
    <w:rsid w:val="007649AB"/>
    <w:rsid w:val="00771D0C"/>
    <w:rsid w:val="007833AC"/>
    <w:rsid w:val="007B268C"/>
    <w:rsid w:val="007B7171"/>
    <w:rsid w:val="007C0C0F"/>
    <w:rsid w:val="007C3DC2"/>
    <w:rsid w:val="007E5497"/>
    <w:rsid w:val="00806F5F"/>
    <w:rsid w:val="00820278"/>
    <w:rsid w:val="008207FE"/>
    <w:rsid w:val="008258C9"/>
    <w:rsid w:val="00844AE9"/>
    <w:rsid w:val="00867F95"/>
    <w:rsid w:val="008843B6"/>
    <w:rsid w:val="00891928"/>
    <w:rsid w:val="008A446D"/>
    <w:rsid w:val="008B25F1"/>
    <w:rsid w:val="008D180B"/>
    <w:rsid w:val="008F0EA7"/>
    <w:rsid w:val="008F5672"/>
    <w:rsid w:val="00923EEF"/>
    <w:rsid w:val="00931EDE"/>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0B80"/>
    <w:rsid w:val="00AA3AE2"/>
    <w:rsid w:val="00AB0ADB"/>
    <w:rsid w:val="00AF51D4"/>
    <w:rsid w:val="00B0027A"/>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5F1A"/>
    <w:rsid w:val="00CB6357"/>
    <w:rsid w:val="00CC1B26"/>
    <w:rsid w:val="00D361FD"/>
    <w:rsid w:val="00D423A2"/>
    <w:rsid w:val="00D44E26"/>
    <w:rsid w:val="00D520D8"/>
    <w:rsid w:val="00D628F7"/>
    <w:rsid w:val="00D63AC2"/>
    <w:rsid w:val="00D7383B"/>
    <w:rsid w:val="00D7788A"/>
    <w:rsid w:val="00DA231B"/>
    <w:rsid w:val="00DA61E0"/>
    <w:rsid w:val="00DC39FC"/>
    <w:rsid w:val="00DF4744"/>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4068"/>
    <w:rsid w:val="00ED03B7"/>
    <w:rsid w:val="00EE1AA8"/>
    <w:rsid w:val="00EE3E46"/>
    <w:rsid w:val="00F23FEA"/>
    <w:rsid w:val="00F31EDC"/>
    <w:rsid w:val="00F462B3"/>
    <w:rsid w:val="00F5664F"/>
    <w:rsid w:val="00F666C4"/>
    <w:rsid w:val="00F76AFC"/>
    <w:rsid w:val="00FA47C0"/>
    <w:rsid w:val="00FB275B"/>
    <w:rsid w:val="00FB5DD1"/>
    <w:rsid w:val="00FC2B5D"/>
    <w:rsid w:val="00FD2F84"/>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50F90D6-54A6-415A-9E31-9B0154B88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A61E0"/>
    <w:pPr>
      <w:spacing w:line="240" w:lineRule="exact"/>
    </w:pPr>
    <w:rPr>
      <w:vertAlign w:val="superscript"/>
    </w:rPr>
  </w:style>
  <w:style w:type="table" w:customStyle="1" w:styleId="Tablaconcuadrcula2">
    <w:name w:val="Tabla con cuadrícula2"/>
    <w:basedOn w:val="Tablanormal"/>
    <w:uiPriority w:val="39"/>
    <w:qFormat/>
    <w:rsid w:val="00DA61E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qFormat/>
    <w:rsid w:val="00DA61E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normativa-y-relatoria/conoce-la-relatoria"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mireyae@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minsalud.gov.co/Normatividad_Nuevo/Resoluci%C3%B3n%20No%201440%20de%202024.pdf" TargetMode="External"/><Relationship Id="rId1" Type="http://schemas.openxmlformats.org/officeDocument/2006/relationships/hyperlink" Target="https://www.colombiacompra.gov.co/archivos/manual/guia-de-competencia-en-las-compras-public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A8DFAFD-8E2F-497D-95B0-CFFCE12426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10035</Words>
  <Characters>55198</Characters>
  <Application>Microsoft Office Word</Application>
  <DocSecurity>0</DocSecurity>
  <Lines>459</Lines>
  <Paragraphs>130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2023-01-11T06:18:00Z</cp:lastPrinted>
  <dcterms:created xsi:type="dcterms:W3CDTF">2026-06-01T21:10:00Z</dcterms:created>
  <dcterms:modified xsi:type="dcterms:W3CDTF">2026-06-01T23:47:00Z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