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CB63" w14:textId="77777777" w:rsidR="001B38B2" w:rsidRPr="00DB2AC7" w:rsidRDefault="001B38B2" w:rsidP="001B38B2">
      <w:pPr>
        <w:spacing w:after="0"/>
        <w:rPr>
          <w:rFonts w:ascii="Verdana" w:hAnsi="Verdana" w:cs="Arial"/>
          <w:b/>
          <w:lang w:val="es-ES" w:eastAsia="es-ES"/>
        </w:rPr>
      </w:pPr>
      <w:bookmarkStart w:id="0" w:name="_Hlk143780582"/>
      <w:r w:rsidRPr="00DB2AC7">
        <w:rPr>
          <w:rFonts w:ascii="Verdana" w:hAnsi="Verdana" w:cs="Arial"/>
          <w:b/>
          <w:lang w:val="es-ES" w:eastAsia="es-ES"/>
        </w:rPr>
        <w:t xml:space="preserve">ENAJENACIÓN – Bienes inmuebles – Bienes muebles </w:t>
      </w:r>
    </w:p>
    <w:p w14:paraId="60D460CA" w14:textId="77777777" w:rsidR="001B38B2" w:rsidRDefault="001B38B2" w:rsidP="001B38B2">
      <w:pPr>
        <w:spacing w:after="0"/>
        <w:rPr>
          <w:rFonts w:ascii="Verdana" w:hAnsi="Verdana" w:cs="Arial"/>
          <w:b/>
          <w:lang w:val="es-ES" w:eastAsia="es-ES"/>
        </w:rPr>
      </w:pPr>
    </w:p>
    <w:p w14:paraId="4E921EB1" w14:textId="77777777" w:rsidR="001B38B2" w:rsidRDefault="001B38B2" w:rsidP="001B38B2">
      <w:pPr>
        <w:spacing w:after="0" w:line="240" w:lineRule="auto"/>
        <w:jc w:val="both"/>
        <w:rPr>
          <w:rFonts w:ascii="Verdana" w:hAnsi="Verdana" w:cs="Arial"/>
          <w:iCs/>
          <w:sz w:val="20"/>
          <w:lang w:eastAsia="es-ES"/>
        </w:rPr>
      </w:pPr>
      <w:r w:rsidRPr="00DB2AC7">
        <w:rPr>
          <w:rFonts w:ascii="Verdana" w:hAnsi="Verdana" w:cs="Arial"/>
          <w:sz w:val="20"/>
          <w:lang w:val="es-ES" w:eastAsia="es-ES"/>
        </w:rPr>
        <w:t xml:space="preserve">La enajenación se define como la transferencia del derecho real </w:t>
      </w:r>
      <w:r>
        <w:rPr>
          <w:rFonts w:ascii="Verdana" w:hAnsi="Verdana" w:cs="Arial"/>
          <w:sz w:val="20"/>
          <w:lang w:val="es-ES" w:eastAsia="es-ES"/>
        </w:rPr>
        <w:t>sobre un bien</w:t>
      </w:r>
      <w:r w:rsidRPr="00DB2AC7">
        <w:rPr>
          <w:rFonts w:ascii="Verdana" w:hAnsi="Verdana" w:cs="Arial"/>
          <w:sz w:val="20"/>
          <w:lang w:val="es-ES" w:eastAsia="es-ES"/>
        </w:rPr>
        <w:t>. Como indica la doctrina, “Dar –en sentido restringido–, traditar, enajenar, disponer, son conceptos sinónimos en el Código Civil. Cuando se da, se enajena. Cuando se tradita, se enajena, cuando se enajena, se da o se tradita. Y, finalmente, cuando ocurre cualquiera de tales fenómenos, se dispone”. Lo más usual es que la enajenación se lleve a cabo respecto del derecho de propiedad; y en tal caso, se efectúa mediante los modos señalados en el artículo 673 del Código Civil, pudiendo recaer tanto sobre los bienes muebles, como inmuebles, aunque frente a estos la ley exige solemnidades especiales. Entretanto, el artículo 1521 del Código Civil dispone que se presenta objeto ilícito en la enajenación: i) “De las cosas que no están en el comercio”, ii) “De los derechos o privilegios que no pueden transferirse a otra persona” y iii) “De las cosas embargadas por decreto judicial, a menos que el juez lo autorice o el acreedor consienta en ello”. Por otro lado, e</w:t>
      </w:r>
      <w:r w:rsidRPr="00DB2AC7">
        <w:rPr>
          <w:rFonts w:ascii="Verdana" w:hAnsi="Verdana" w:cs="Arial"/>
          <w:sz w:val="20"/>
          <w:lang w:eastAsia="es-ES"/>
        </w:rPr>
        <w:t xml:space="preserve">l artículo 674 del Código Civil define los bienes de dominio público como aquellos que </w:t>
      </w:r>
      <w:r w:rsidRPr="00DB2AC7">
        <w:rPr>
          <w:rFonts w:ascii="Verdana" w:hAnsi="Verdana" w:cs="Arial"/>
          <w:iCs/>
          <w:sz w:val="20"/>
          <w:lang w:eastAsia="es-ES"/>
        </w:rPr>
        <w:t>“[…] pertenece a todos los habitantes de un Territorio, como el de calles, plazas, puentes y caminos, se llaman bienes de la Unión o de uso o bienes públicos del Territorio”.</w:t>
      </w:r>
    </w:p>
    <w:p w14:paraId="74B05F68" w14:textId="77777777" w:rsidR="001B38B2" w:rsidRDefault="001B38B2" w:rsidP="001B38B2">
      <w:pPr>
        <w:spacing w:after="0" w:line="240" w:lineRule="auto"/>
        <w:jc w:val="both"/>
        <w:rPr>
          <w:rFonts w:ascii="Verdana" w:hAnsi="Verdana" w:cs="Arial"/>
          <w:iCs/>
          <w:sz w:val="20"/>
          <w:lang w:eastAsia="es-ES"/>
        </w:rPr>
      </w:pPr>
    </w:p>
    <w:p w14:paraId="3F8ADD8E" w14:textId="77777777" w:rsidR="001B38B2" w:rsidRPr="00DB2AC7" w:rsidRDefault="001B38B2" w:rsidP="001B38B2">
      <w:pPr>
        <w:spacing w:after="0"/>
        <w:rPr>
          <w:rFonts w:ascii="Verdana" w:hAnsi="Verdana" w:cs="Arial"/>
          <w:b/>
          <w:lang w:val="es-ES" w:eastAsia="es-ES"/>
        </w:rPr>
      </w:pPr>
      <w:r w:rsidRPr="00DB2AC7">
        <w:rPr>
          <w:rFonts w:ascii="Verdana" w:hAnsi="Verdana" w:cs="Arial"/>
          <w:b/>
          <w:lang w:val="es-ES" w:eastAsia="es-ES"/>
        </w:rPr>
        <w:t xml:space="preserve">BIENES PÚBLICOS – Tipos </w:t>
      </w:r>
    </w:p>
    <w:p w14:paraId="4D626EC5" w14:textId="77777777" w:rsidR="001B38B2" w:rsidRDefault="001B38B2" w:rsidP="001B38B2">
      <w:pPr>
        <w:spacing w:after="0"/>
        <w:rPr>
          <w:rFonts w:ascii="Verdana" w:hAnsi="Verdana" w:cs="Arial"/>
          <w:b/>
          <w:lang w:val="es-ES" w:eastAsia="es-ES"/>
        </w:rPr>
      </w:pPr>
    </w:p>
    <w:p w14:paraId="544061C5" w14:textId="77777777" w:rsidR="001B38B2" w:rsidRPr="00DB2AC7" w:rsidRDefault="001B38B2" w:rsidP="001B38B2">
      <w:pPr>
        <w:spacing w:after="0" w:line="240" w:lineRule="auto"/>
        <w:jc w:val="both"/>
        <w:rPr>
          <w:rFonts w:ascii="Verdana" w:hAnsi="Verdana" w:cs="Arial"/>
          <w:sz w:val="20"/>
          <w:lang w:val="es-MX" w:eastAsia="es-ES"/>
        </w:rPr>
      </w:pPr>
      <w:r w:rsidRPr="00DB2AC7">
        <w:rPr>
          <w:rFonts w:ascii="Verdana" w:hAnsi="Verdana" w:cs="Arial"/>
          <w:sz w:val="20"/>
          <w:lang w:val="es-MX" w:eastAsia="es-ES"/>
        </w:rPr>
        <w:t>Los bienes de dominio público, de acuerdo con la sentencia C- 183 de 2003 de la Corte Constitucional, son “</w:t>
      </w:r>
      <w:r w:rsidRPr="00DB2AC7">
        <w:rPr>
          <w:rFonts w:ascii="Verdana" w:hAnsi="Verdana" w:cs="Arial"/>
          <w:iCs/>
          <w:sz w:val="20"/>
          <w:lang w:val="es-MX" w:eastAsia="es-ES"/>
        </w:rPr>
        <w:t>el conjunto de bienes que la administración afecta al uso directo de la comunidad o que lo utiliza para servir a la sociedad”</w:t>
      </w:r>
      <w:r w:rsidRPr="00DB2AC7">
        <w:rPr>
          <w:rFonts w:ascii="Verdana" w:hAnsi="Verdana" w:cs="Arial"/>
          <w:sz w:val="20"/>
          <w:lang w:val="es-MX" w:eastAsia="es-ES"/>
        </w:rPr>
        <w:t xml:space="preserve">. Dentro de esta categoría se encuentran los bienes fiscales y los bienes de uso público. Los bienes fiscales, de acuerdo con el Alto Tribunal Constitucional, están destinados a la prestación de servicios públicos que la Administración utiliza de forma inmediata, como los edificios donde funcionan las oficinas públicas. </w:t>
      </w:r>
    </w:p>
    <w:p w14:paraId="44F3931D" w14:textId="77777777" w:rsidR="001B38B2" w:rsidRDefault="001B38B2" w:rsidP="001B38B2">
      <w:pPr>
        <w:spacing w:after="0" w:line="240" w:lineRule="auto"/>
        <w:jc w:val="both"/>
        <w:rPr>
          <w:rFonts w:ascii="Verdana" w:hAnsi="Verdana" w:cs="Arial"/>
          <w:sz w:val="20"/>
          <w:lang w:val="es-MX" w:eastAsia="es-ES"/>
        </w:rPr>
      </w:pPr>
    </w:p>
    <w:p w14:paraId="4F5FA37D" w14:textId="77777777" w:rsidR="001B38B2" w:rsidRDefault="001B38B2" w:rsidP="001B38B2">
      <w:pPr>
        <w:spacing w:after="0" w:line="240" w:lineRule="auto"/>
        <w:jc w:val="both"/>
        <w:rPr>
          <w:rFonts w:ascii="Verdana" w:hAnsi="Verdana" w:cs="Arial"/>
          <w:sz w:val="20"/>
          <w:vertAlign w:val="superscript"/>
          <w:lang w:val="es-MX" w:eastAsia="es-ES"/>
        </w:rPr>
      </w:pPr>
      <w:r w:rsidRPr="00DB2AC7">
        <w:rPr>
          <w:rFonts w:ascii="Verdana" w:hAnsi="Verdana" w:cs="Arial"/>
          <w:sz w:val="20"/>
          <w:lang w:val="es-MX" w:eastAsia="es-ES"/>
        </w:rPr>
        <w:t xml:space="preserve">A su vez, el Consejo de Estado, define los bienes fiscales como </w:t>
      </w:r>
      <w:r w:rsidRPr="00DB2AC7">
        <w:rPr>
          <w:rFonts w:ascii="Verdana" w:hAnsi="Verdana" w:cs="Arial"/>
          <w:iCs/>
          <w:sz w:val="20"/>
          <w:lang w:val="es-MX" w:eastAsia="es-ES"/>
        </w:rPr>
        <w:t>“aquellos que pertenecen  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 propiedad”</w:t>
      </w:r>
      <w:r>
        <w:rPr>
          <w:rFonts w:ascii="Verdana" w:hAnsi="Verdana" w:cs="Arial"/>
          <w:iCs/>
          <w:sz w:val="20"/>
          <w:lang w:val="es-MX" w:eastAsia="es-ES"/>
        </w:rPr>
        <w:t>.</w:t>
      </w:r>
      <w:r w:rsidRPr="00DB2AC7">
        <w:rPr>
          <w:rFonts w:ascii="Verdana" w:hAnsi="Verdana" w:cs="Arial"/>
          <w:sz w:val="20"/>
          <w:vertAlign w:val="superscript"/>
          <w:lang w:val="es-MX" w:eastAsia="es-ES"/>
        </w:rPr>
        <w:t>.</w:t>
      </w:r>
      <w:r w:rsidRPr="00DB2AC7">
        <w:rPr>
          <w:rFonts w:ascii="Verdana" w:hAnsi="Verdana" w:cs="Arial"/>
          <w:sz w:val="20"/>
          <w:lang w:val="es-MX" w:eastAsia="es-ES"/>
        </w:rPr>
        <w:t>De esta forma, sobre los bienes fiscales, a pesar de estar destinados a la prestación de servicios públicos, las Entidades Estatales tienen la facultad de disponer de ellos a través de un acto jurídico como la compraventa, la donación, el arriendo, entre otros.</w:t>
      </w:r>
      <w:r w:rsidRPr="00DB2AC7">
        <w:rPr>
          <w:rFonts w:ascii="Verdana" w:hAnsi="Verdana" w:cs="Arial"/>
          <w:sz w:val="20"/>
          <w:vertAlign w:val="superscript"/>
          <w:lang w:val="es-MX" w:eastAsia="es-ES"/>
        </w:rPr>
        <w:t xml:space="preserve"> </w:t>
      </w:r>
    </w:p>
    <w:p w14:paraId="230FD817" w14:textId="77777777" w:rsidR="001B38B2" w:rsidRPr="00DB2AC7" w:rsidRDefault="001B38B2" w:rsidP="001B38B2">
      <w:pPr>
        <w:spacing w:after="0" w:line="240" w:lineRule="auto"/>
        <w:jc w:val="both"/>
        <w:rPr>
          <w:rFonts w:ascii="Verdana" w:hAnsi="Verdana" w:cs="Arial"/>
          <w:sz w:val="20"/>
          <w:lang w:val="es-MX" w:eastAsia="es-ES"/>
        </w:rPr>
      </w:pPr>
    </w:p>
    <w:p w14:paraId="31E1B07D" w14:textId="77777777" w:rsidR="001B38B2" w:rsidRDefault="001B38B2" w:rsidP="001B38B2">
      <w:pPr>
        <w:spacing w:after="0" w:line="240" w:lineRule="auto"/>
        <w:jc w:val="both"/>
        <w:rPr>
          <w:rFonts w:ascii="Verdana" w:hAnsi="Verdana" w:cs="Arial"/>
          <w:sz w:val="20"/>
          <w:lang w:val="es-MX" w:eastAsia="es-ES"/>
        </w:rPr>
      </w:pPr>
      <w:r w:rsidRPr="00DB2AC7">
        <w:rPr>
          <w:rFonts w:ascii="Verdana" w:hAnsi="Verdana" w:cs="Arial"/>
          <w:sz w:val="20"/>
          <w:lang w:val="es-MX" w:eastAsia="es-ES"/>
        </w:rPr>
        <w:t xml:space="preserve">Acerca de los bienes de uso público, el Consejo de Estado los define como </w:t>
      </w:r>
      <w:r w:rsidRPr="00DB2AC7">
        <w:rPr>
          <w:rFonts w:ascii="Verdana" w:hAnsi="Verdana" w:cs="Arial"/>
          <w:iCs/>
          <w:sz w:val="20"/>
          <w:lang w:val="es-MX" w:eastAsia="es-ES"/>
        </w:rPr>
        <w:t xml:space="preserve">“aquellos cuya titularidad pertenece al Estado y se hallan destinados al uso, goce y disfrute de todos los habitantes del territorio, están sometidos al régimen de derecho público y sobre ellos </w:t>
      </w:r>
      <w:r w:rsidRPr="00DB2AC7">
        <w:rPr>
          <w:rFonts w:ascii="Verdana" w:hAnsi="Verdana" w:cs="Arial"/>
          <w:iCs/>
          <w:sz w:val="20"/>
          <w:lang w:val="es-MX" w:eastAsia="es-ES"/>
        </w:rPr>
        <w:lastRenderedPageBreak/>
        <w:t>el Estado ejerce derechos de administración y de policía, con miras a garantizar y proteger su uso y goce común, por motivos de interés general</w:t>
      </w:r>
      <w:r w:rsidRPr="00DB2AC7">
        <w:rPr>
          <w:rFonts w:ascii="Verdana" w:hAnsi="Verdana" w:cs="Arial"/>
          <w:i/>
          <w:iCs/>
          <w:sz w:val="20"/>
          <w:lang w:val="es-MX" w:eastAsia="es-ES"/>
        </w:rPr>
        <w:t>”.</w:t>
      </w:r>
      <w:r w:rsidRPr="00DB2AC7">
        <w:rPr>
          <w:rFonts w:ascii="Verdana" w:hAnsi="Verdana" w:cs="Arial"/>
          <w:sz w:val="20"/>
          <w:lang w:val="es-MX" w:eastAsia="es-ES"/>
        </w:rPr>
        <w:t xml:space="preserve"> Por lo tanto, como estos bienes están destinados al uso de los habitantes de un territorio, el Estado no puede disponer de ellos por encontrarse fuera del comercio.</w:t>
      </w:r>
      <w:r w:rsidRPr="00DB2AC7">
        <w:rPr>
          <w:rFonts w:ascii="Verdana" w:hAnsi="Verdana" w:cs="Arial"/>
          <w:sz w:val="20"/>
          <w:vertAlign w:val="superscript"/>
          <w:lang w:val="es-MX" w:eastAsia="es-ES"/>
        </w:rPr>
        <w:t xml:space="preserve"> </w:t>
      </w:r>
      <w:r w:rsidRPr="00DB2AC7">
        <w:rPr>
          <w:rFonts w:ascii="Verdana" w:hAnsi="Verdana" w:cs="Arial"/>
          <w:sz w:val="20"/>
          <w:lang w:val="es-MX" w:eastAsia="es-ES"/>
        </w:rPr>
        <w:t>En ese orden de ideas, los bienes sobre los cuales puede recaer el acto de enajenación son los bienes fiscales muebles o inmuebles y no los bienes de uso público.</w:t>
      </w:r>
    </w:p>
    <w:p w14:paraId="20AA4315" w14:textId="77777777" w:rsidR="001B38B2" w:rsidRDefault="001B38B2" w:rsidP="001B38B2">
      <w:pPr>
        <w:spacing w:after="0" w:line="240" w:lineRule="auto"/>
        <w:jc w:val="both"/>
        <w:rPr>
          <w:rFonts w:ascii="Verdana" w:hAnsi="Verdana" w:cs="Arial"/>
          <w:sz w:val="20"/>
          <w:lang w:val="es-MX" w:eastAsia="es-ES"/>
        </w:rPr>
      </w:pPr>
    </w:p>
    <w:p w14:paraId="6808768C" w14:textId="77777777" w:rsidR="001B38B2" w:rsidRPr="008B7171" w:rsidRDefault="001B38B2" w:rsidP="001B38B2">
      <w:pPr>
        <w:spacing w:after="0" w:line="240" w:lineRule="auto"/>
        <w:jc w:val="both"/>
        <w:rPr>
          <w:rFonts w:ascii="Verdana" w:hAnsi="Verdana"/>
          <w:b/>
        </w:rPr>
      </w:pPr>
      <w:r w:rsidRPr="008B7171">
        <w:rPr>
          <w:rFonts w:ascii="Verdana" w:hAnsi="Verdana"/>
          <w:b/>
        </w:rPr>
        <w:t>ENAJENACIÓN – Bienes muebles – Título gratuito – Decreto 1082 de 2015 – Procedimiento</w:t>
      </w:r>
    </w:p>
    <w:p w14:paraId="27B8CDE6" w14:textId="77777777" w:rsidR="001B38B2" w:rsidRPr="00345791" w:rsidRDefault="001B38B2" w:rsidP="001B38B2">
      <w:pPr>
        <w:spacing w:after="0" w:line="240" w:lineRule="auto"/>
        <w:jc w:val="both"/>
        <w:rPr>
          <w:rFonts w:ascii="Verdana" w:hAnsi="Verdana"/>
          <w:sz w:val="20"/>
          <w:szCs w:val="20"/>
        </w:rPr>
      </w:pPr>
    </w:p>
    <w:p w14:paraId="77BFBFC0" w14:textId="77777777" w:rsidR="001B38B2" w:rsidRDefault="001B38B2" w:rsidP="001B38B2">
      <w:pPr>
        <w:spacing w:after="0" w:line="240" w:lineRule="auto"/>
        <w:jc w:val="both"/>
        <w:rPr>
          <w:rFonts w:ascii="Verdana" w:hAnsi="Verdana"/>
          <w:sz w:val="20"/>
          <w:szCs w:val="20"/>
          <w:lang w:val="es-ES"/>
        </w:rPr>
      </w:pPr>
      <w:r w:rsidRPr="00345791">
        <w:rPr>
          <w:rFonts w:ascii="Verdana" w:hAnsi="Verdana"/>
          <w:sz w:val="20"/>
          <w:szCs w:val="20"/>
          <w:lang w:val="es-ES"/>
        </w:rPr>
        <w:t xml:space="preserve">Ahora bien, </w:t>
      </w:r>
      <w:r w:rsidRPr="00345791">
        <w:rPr>
          <w:rFonts w:ascii="Verdana" w:hAnsi="Verdana"/>
          <w:sz w:val="20"/>
          <w:szCs w:val="20"/>
        </w:rPr>
        <w:t>L</w:t>
      </w:r>
      <w:r w:rsidRPr="00345791">
        <w:rPr>
          <w:rFonts w:ascii="Verdana" w:hAnsi="Verdana"/>
          <w:sz w:val="20"/>
          <w:szCs w:val="20"/>
          <w:lang w:val="es-ES"/>
        </w:rPr>
        <w:t>os bienes muebles que se enajenen por la Entidad Estatal, que sean dados a título gratuito a otras Entidades Estatales en virtud de lo consagrado en el artículo 2.2.1.2.2.4.3. del Decreto 1082 de 2015, deberá realizar un inventario de los bienes muebles que no utilizan y, a continuación, se la habilita para ofrecerlos a título gratuito a las demás Entidades Estatales a través de un acto administrativo que deberá publicar en su página Web.</w:t>
      </w:r>
      <w:r w:rsidRPr="00345791">
        <w:rPr>
          <w:rFonts w:ascii="Verdana" w:hAnsi="Verdana"/>
          <w:sz w:val="20"/>
          <w:szCs w:val="20"/>
        </w:rPr>
        <w:t xml:space="preserve"> </w:t>
      </w:r>
      <w:r w:rsidRPr="00345791">
        <w:rPr>
          <w:rFonts w:ascii="Verdana" w:hAnsi="Verdana"/>
          <w:sz w:val="20"/>
          <w:szCs w:val="20"/>
          <w:lang w:val="es-ES"/>
        </w:rPr>
        <w:t xml:space="preserve">El acto administrativo que oferta bienes muebles a título gratuito entre entidades estatales cumple la función de un aviso de convocatoria, porque es el mecanismo mediante el cual la entidad propietaria informa públicamente que dispone de determinados bienes y que estos pueden solicitarse por otras entidades interesadas. Dicho acto administrativo garantiza la transparencia y publicidad del proceso, pues permite que todas las entidades estatales potencialmente beneficiarias tengan conocimiento de la oferta y puedan manifestar su interés en recibir los bienes. </w:t>
      </w:r>
    </w:p>
    <w:p w14:paraId="122C28BB" w14:textId="77777777" w:rsidR="001B38B2" w:rsidRPr="00345791" w:rsidRDefault="001B38B2" w:rsidP="001B38B2">
      <w:pPr>
        <w:spacing w:after="0" w:line="240" w:lineRule="auto"/>
        <w:jc w:val="both"/>
        <w:rPr>
          <w:rFonts w:ascii="Verdana" w:hAnsi="Verdana"/>
          <w:sz w:val="20"/>
          <w:szCs w:val="20"/>
          <w:lang w:val="es-ES"/>
        </w:rPr>
      </w:pPr>
    </w:p>
    <w:p w14:paraId="43234AB3" w14:textId="77777777" w:rsidR="001B38B2" w:rsidRDefault="001B38B2" w:rsidP="001B38B2">
      <w:pPr>
        <w:spacing w:after="0" w:line="240" w:lineRule="auto"/>
        <w:jc w:val="both"/>
        <w:rPr>
          <w:rFonts w:ascii="Verdana" w:hAnsi="Verdana"/>
          <w:sz w:val="20"/>
          <w:szCs w:val="20"/>
          <w:lang w:val="es-ES"/>
        </w:rPr>
      </w:pPr>
      <w:r w:rsidRPr="00345791">
        <w:rPr>
          <w:rFonts w:ascii="Verdana" w:hAnsi="Verdana"/>
          <w:sz w:val="20"/>
          <w:szCs w:val="20"/>
          <w:lang w:val="es-ES"/>
        </w:rPr>
        <w:t>Posterior a ello, la norma en mención indica que dentro de los treinta (30) días calendario siguientes a la fecha de publicación del acto administrativo, la Entidad Estatal interesada en adquirir estos bienes a título gratuito debe manifestar su interés, y con ella, debe señalar la necesidad funcional que pretende satisfacer con el bien conjuntamente con las razones que justifican su solicitud. Finalmente, la norma señala que, si hay dos o más manifestaciones de interés de Entidades Estatales para el mismo bien, la Entidad Estatal que primero haya manifestado su interés debe tener preferencia, sin que existan más normas complementarias o posteriores que hayan regulado con mayor detalle el procedimiento en mención.</w:t>
      </w:r>
    </w:p>
    <w:p w14:paraId="70C0E5E1" w14:textId="77777777" w:rsidR="001B38B2" w:rsidRDefault="001B38B2" w:rsidP="001B38B2">
      <w:pPr>
        <w:spacing w:after="0" w:line="240" w:lineRule="auto"/>
        <w:jc w:val="both"/>
        <w:rPr>
          <w:rFonts w:ascii="Verdana" w:hAnsi="Verdana"/>
          <w:sz w:val="20"/>
          <w:szCs w:val="20"/>
          <w:lang w:val="es-ES"/>
        </w:rPr>
      </w:pPr>
    </w:p>
    <w:p w14:paraId="5E45A3BD" w14:textId="77777777" w:rsidR="001B38B2" w:rsidRPr="008B7171" w:rsidRDefault="001B38B2" w:rsidP="001B38B2">
      <w:pPr>
        <w:spacing w:after="0" w:line="240" w:lineRule="auto"/>
        <w:jc w:val="both"/>
        <w:rPr>
          <w:rFonts w:ascii="Verdana" w:hAnsi="Verdana"/>
          <w:b/>
        </w:rPr>
      </w:pPr>
      <w:r w:rsidRPr="008B7171">
        <w:rPr>
          <w:rFonts w:ascii="Verdana" w:hAnsi="Verdana"/>
          <w:b/>
        </w:rPr>
        <w:t xml:space="preserve">ESTUDIOS PREVIOS – Planeación – Deber de las entidades </w:t>
      </w:r>
    </w:p>
    <w:p w14:paraId="30A76A3E" w14:textId="77777777" w:rsidR="001B38B2" w:rsidRDefault="001B38B2" w:rsidP="001B38B2">
      <w:pPr>
        <w:spacing w:after="0" w:line="240" w:lineRule="auto"/>
        <w:jc w:val="both"/>
        <w:rPr>
          <w:rFonts w:ascii="Verdana" w:hAnsi="Verdana"/>
          <w:sz w:val="20"/>
          <w:lang w:val="es-ES"/>
        </w:rPr>
      </w:pPr>
    </w:p>
    <w:p w14:paraId="21A3AB89" w14:textId="77777777" w:rsidR="001B38B2" w:rsidRDefault="001B38B2" w:rsidP="001B38B2">
      <w:pPr>
        <w:spacing w:after="0" w:line="240" w:lineRule="auto"/>
        <w:jc w:val="both"/>
        <w:rPr>
          <w:rFonts w:ascii="Verdana" w:hAnsi="Verdana"/>
          <w:sz w:val="20"/>
        </w:rPr>
      </w:pPr>
      <w:r w:rsidRPr="00345791">
        <w:rPr>
          <w:rFonts w:ascii="Verdana" w:hAnsi="Verdana"/>
          <w:sz w:val="20"/>
          <w:lang w:val="es-ES"/>
        </w:rPr>
        <w:t>En todo proceso de contratación, independiente de la modalidad de selección resulta aplicable l</w:t>
      </w:r>
      <w:r w:rsidRPr="00345791">
        <w:rPr>
          <w:rFonts w:ascii="Verdana" w:hAnsi="Verdana"/>
          <w:bCs/>
          <w:sz w:val="20"/>
          <w:lang w:val="es-ES_tradnl"/>
        </w:rPr>
        <w:t>a planeación contractual como una herramienta de gerencia pública, que exige estructurar el proceso contractual dedicando tiempo 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Así, una debida planeación debe conducir a una escogencia diligente de la mejor oferta, para beneficiar los intereses y fines públicos inmersos en la contratación de las entidades estatales, buscando siempre la correcta ejecución del contrato.</w:t>
      </w:r>
      <w:r w:rsidRPr="00345791">
        <w:rPr>
          <w:rFonts w:ascii="Verdana" w:hAnsi="Verdana"/>
          <w:sz w:val="20"/>
        </w:rPr>
        <w:t xml:space="preserve"> </w:t>
      </w:r>
    </w:p>
    <w:p w14:paraId="1EF86689" w14:textId="77777777" w:rsidR="001B38B2" w:rsidRPr="00345791" w:rsidRDefault="001B38B2" w:rsidP="001B38B2">
      <w:pPr>
        <w:spacing w:after="0" w:line="240" w:lineRule="auto"/>
        <w:jc w:val="both"/>
        <w:rPr>
          <w:rFonts w:ascii="Verdana" w:hAnsi="Verdana"/>
          <w:sz w:val="20"/>
        </w:rPr>
      </w:pPr>
    </w:p>
    <w:p w14:paraId="3A825F5A" w14:textId="77777777" w:rsidR="001B38B2" w:rsidRPr="00345791" w:rsidRDefault="001B38B2" w:rsidP="001B38B2">
      <w:pPr>
        <w:spacing w:after="0" w:line="240" w:lineRule="auto"/>
        <w:jc w:val="both"/>
        <w:rPr>
          <w:rFonts w:ascii="Verdana" w:hAnsi="Verdana"/>
          <w:sz w:val="20"/>
        </w:rPr>
      </w:pPr>
      <w:r w:rsidRPr="00345791">
        <w:rPr>
          <w:rFonts w:ascii="Verdana" w:hAnsi="Verdana"/>
          <w:bCs/>
          <w:sz w:val="20"/>
        </w:rPr>
        <w:lastRenderedPageBreak/>
        <w:t xml:space="preserve">En armonía con lo anterior, el Estatuto General de Contratación de la Administración Pública contiene disposiciones que demandan de las entidades estatales el deber de planeación en la etapa precontractual. Esto con la finalidad de que los procesos de contratación satisfagan las necesidades de la Administración, cumplan sus fines, logren la continua y eficiente prestación de los servicios públicos y permitan la efectividad de los derechos e intereses de los administrados que </w:t>
      </w:r>
      <w:r w:rsidRPr="00345791">
        <w:rPr>
          <w:rFonts w:ascii="Verdana" w:hAnsi="Verdana"/>
          <w:bCs/>
          <w:sz w:val="20"/>
          <w:lang w:val="es-ES_tradnl"/>
        </w:rPr>
        <w:t>colaboran</w:t>
      </w:r>
      <w:r w:rsidRPr="00345791">
        <w:rPr>
          <w:rFonts w:ascii="Verdana" w:hAnsi="Verdana"/>
          <w:bCs/>
          <w:sz w:val="20"/>
        </w:rPr>
        <w:t xml:space="preserve"> en su consecución. En relación con el principio de economía, se tienen las siguientes reglas derivadas de su aplicación, lo cual está previsto en el artículo 25 de la Ley 80 de 1993</w:t>
      </w:r>
      <w:r>
        <w:rPr>
          <w:rFonts w:ascii="Verdana" w:hAnsi="Verdana"/>
          <w:bCs/>
          <w:sz w:val="20"/>
        </w:rPr>
        <w:t xml:space="preserve"> […].</w:t>
      </w:r>
    </w:p>
    <w:p w14:paraId="366510E3" w14:textId="77777777" w:rsidR="001B38B2" w:rsidRDefault="001B38B2" w:rsidP="001B38B2">
      <w:pPr>
        <w:spacing w:after="0" w:line="240" w:lineRule="auto"/>
        <w:jc w:val="both"/>
        <w:rPr>
          <w:rFonts w:ascii="Verdana" w:hAnsi="Verdana"/>
          <w:sz w:val="20"/>
          <w:szCs w:val="20"/>
          <w:lang w:val="es-ES"/>
        </w:rPr>
      </w:pPr>
    </w:p>
    <w:p w14:paraId="25D03DC4" w14:textId="77777777" w:rsidR="001B38B2" w:rsidRDefault="001B38B2" w:rsidP="001B38B2">
      <w:pPr>
        <w:spacing w:after="0" w:line="240" w:lineRule="auto"/>
        <w:jc w:val="both"/>
        <w:rPr>
          <w:rFonts w:ascii="Verdana" w:hAnsi="Verdana"/>
          <w:sz w:val="20"/>
          <w:szCs w:val="20"/>
          <w:lang w:val="es-ES"/>
        </w:rPr>
      </w:pPr>
    </w:p>
    <w:p w14:paraId="295C4B9C" w14:textId="77777777" w:rsidR="001B38B2" w:rsidRDefault="001B38B2" w:rsidP="001B38B2">
      <w:pPr>
        <w:spacing w:after="0" w:line="240" w:lineRule="auto"/>
        <w:jc w:val="both"/>
        <w:rPr>
          <w:rFonts w:ascii="Verdana" w:hAnsi="Verdana"/>
          <w:sz w:val="20"/>
          <w:szCs w:val="20"/>
          <w:lang w:val="es-ES"/>
        </w:rPr>
      </w:pPr>
    </w:p>
    <w:p w14:paraId="64A262F9" w14:textId="77777777" w:rsidR="001B38B2" w:rsidRDefault="001B38B2" w:rsidP="001B38B2">
      <w:pPr>
        <w:spacing w:after="0" w:line="240" w:lineRule="auto"/>
        <w:jc w:val="both"/>
        <w:rPr>
          <w:rFonts w:ascii="Verdana" w:hAnsi="Verdana"/>
          <w:sz w:val="20"/>
          <w:szCs w:val="20"/>
          <w:lang w:val="es-ES"/>
        </w:rPr>
      </w:pPr>
    </w:p>
    <w:p w14:paraId="76C1B71A" w14:textId="77777777" w:rsidR="001B38B2" w:rsidRDefault="001B38B2" w:rsidP="001B38B2">
      <w:pPr>
        <w:spacing w:after="0" w:line="240" w:lineRule="auto"/>
        <w:jc w:val="both"/>
        <w:rPr>
          <w:rFonts w:ascii="Verdana" w:hAnsi="Verdana"/>
          <w:sz w:val="20"/>
          <w:szCs w:val="20"/>
          <w:lang w:val="es-ES"/>
        </w:rPr>
      </w:pPr>
    </w:p>
    <w:p w14:paraId="3980FFD5" w14:textId="77777777" w:rsidR="001B38B2" w:rsidRDefault="001B38B2" w:rsidP="001B38B2">
      <w:pPr>
        <w:spacing w:after="0" w:line="240" w:lineRule="auto"/>
        <w:jc w:val="both"/>
        <w:rPr>
          <w:rFonts w:ascii="Verdana" w:hAnsi="Verdana"/>
          <w:sz w:val="20"/>
          <w:szCs w:val="20"/>
          <w:lang w:val="es-ES"/>
        </w:rPr>
      </w:pPr>
    </w:p>
    <w:p w14:paraId="44445C6B" w14:textId="77777777" w:rsidR="001B38B2" w:rsidRDefault="001B38B2" w:rsidP="001B38B2">
      <w:pPr>
        <w:spacing w:after="0" w:line="240" w:lineRule="auto"/>
        <w:jc w:val="both"/>
        <w:rPr>
          <w:rFonts w:ascii="Verdana" w:hAnsi="Verdana"/>
          <w:sz w:val="20"/>
          <w:szCs w:val="20"/>
          <w:lang w:val="es-ES"/>
        </w:rPr>
      </w:pPr>
    </w:p>
    <w:p w14:paraId="7362F271" w14:textId="77777777" w:rsidR="001B38B2" w:rsidRDefault="001B38B2" w:rsidP="001B38B2">
      <w:pPr>
        <w:spacing w:after="0" w:line="240" w:lineRule="auto"/>
        <w:jc w:val="both"/>
        <w:rPr>
          <w:rFonts w:ascii="Verdana" w:hAnsi="Verdana"/>
          <w:sz w:val="20"/>
          <w:szCs w:val="20"/>
          <w:lang w:val="es-ES"/>
        </w:rPr>
      </w:pPr>
    </w:p>
    <w:p w14:paraId="18F5ADEF" w14:textId="77777777" w:rsidR="001B38B2" w:rsidRDefault="001B38B2" w:rsidP="001B38B2">
      <w:pPr>
        <w:spacing w:after="0" w:line="240" w:lineRule="auto"/>
        <w:jc w:val="both"/>
        <w:rPr>
          <w:rFonts w:ascii="Verdana" w:hAnsi="Verdana"/>
          <w:sz w:val="20"/>
          <w:szCs w:val="20"/>
          <w:lang w:val="es-ES"/>
        </w:rPr>
      </w:pPr>
    </w:p>
    <w:p w14:paraId="3C9D7CC2" w14:textId="77777777" w:rsidR="001B38B2" w:rsidRDefault="001B38B2" w:rsidP="001B38B2">
      <w:pPr>
        <w:spacing w:after="0" w:line="240" w:lineRule="auto"/>
        <w:jc w:val="both"/>
        <w:rPr>
          <w:rFonts w:ascii="Verdana" w:hAnsi="Verdana"/>
          <w:sz w:val="20"/>
          <w:szCs w:val="20"/>
          <w:lang w:val="es-ES"/>
        </w:rPr>
      </w:pPr>
    </w:p>
    <w:p w14:paraId="0F4F527A" w14:textId="77777777" w:rsidR="001B38B2" w:rsidRDefault="001B38B2" w:rsidP="001B38B2">
      <w:pPr>
        <w:spacing w:after="0" w:line="240" w:lineRule="auto"/>
        <w:jc w:val="both"/>
        <w:rPr>
          <w:rFonts w:ascii="Verdana" w:hAnsi="Verdana"/>
          <w:sz w:val="20"/>
          <w:szCs w:val="20"/>
          <w:lang w:val="es-ES"/>
        </w:rPr>
      </w:pPr>
    </w:p>
    <w:p w14:paraId="51B0DE15" w14:textId="77777777" w:rsidR="001B38B2" w:rsidRDefault="001B38B2" w:rsidP="001B38B2">
      <w:pPr>
        <w:spacing w:after="0" w:line="240" w:lineRule="auto"/>
        <w:jc w:val="both"/>
        <w:rPr>
          <w:rFonts w:ascii="Verdana" w:hAnsi="Verdana"/>
          <w:sz w:val="20"/>
          <w:szCs w:val="20"/>
          <w:lang w:val="es-ES"/>
        </w:rPr>
      </w:pPr>
    </w:p>
    <w:p w14:paraId="2CB19A0E" w14:textId="77777777" w:rsidR="001B38B2" w:rsidRDefault="001B38B2" w:rsidP="001B38B2">
      <w:pPr>
        <w:spacing w:after="0" w:line="240" w:lineRule="auto"/>
        <w:jc w:val="both"/>
        <w:rPr>
          <w:rFonts w:ascii="Verdana" w:hAnsi="Verdana"/>
          <w:sz w:val="20"/>
          <w:szCs w:val="20"/>
          <w:lang w:val="es-ES"/>
        </w:rPr>
      </w:pPr>
    </w:p>
    <w:p w14:paraId="4329EFB8" w14:textId="77777777" w:rsidR="001B38B2" w:rsidRDefault="001B38B2" w:rsidP="001B38B2">
      <w:pPr>
        <w:spacing w:after="0" w:line="240" w:lineRule="auto"/>
        <w:jc w:val="both"/>
        <w:rPr>
          <w:rFonts w:ascii="Verdana" w:hAnsi="Verdana"/>
          <w:sz w:val="20"/>
          <w:szCs w:val="20"/>
          <w:lang w:val="es-ES"/>
        </w:rPr>
      </w:pPr>
    </w:p>
    <w:p w14:paraId="7AD672E6" w14:textId="77777777" w:rsidR="001B38B2" w:rsidRDefault="001B38B2" w:rsidP="001B38B2">
      <w:pPr>
        <w:spacing w:after="0" w:line="240" w:lineRule="auto"/>
        <w:jc w:val="both"/>
        <w:rPr>
          <w:rFonts w:ascii="Verdana" w:hAnsi="Verdana"/>
          <w:sz w:val="20"/>
          <w:szCs w:val="20"/>
          <w:lang w:val="es-ES"/>
        </w:rPr>
      </w:pPr>
    </w:p>
    <w:p w14:paraId="58C6EACB" w14:textId="77777777" w:rsidR="001B38B2" w:rsidRDefault="001B38B2" w:rsidP="001B38B2">
      <w:pPr>
        <w:spacing w:after="0" w:line="240" w:lineRule="auto"/>
        <w:jc w:val="both"/>
        <w:rPr>
          <w:rFonts w:ascii="Verdana" w:hAnsi="Verdana"/>
          <w:sz w:val="20"/>
          <w:szCs w:val="20"/>
          <w:lang w:val="es-ES"/>
        </w:rPr>
      </w:pPr>
    </w:p>
    <w:p w14:paraId="0BB86F47" w14:textId="77777777" w:rsidR="001B38B2" w:rsidRDefault="001B38B2" w:rsidP="001B38B2">
      <w:pPr>
        <w:spacing w:after="0" w:line="240" w:lineRule="auto"/>
        <w:jc w:val="both"/>
        <w:rPr>
          <w:rFonts w:ascii="Verdana" w:hAnsi="Verdana"/>
          <w:sz w:val="20"/>
          <w:szCs w:val="20"/>
          <w:lang w:val="es-ES"/>
        </w:rPr>
      </w:pPr>
    </w:p>
    <w:p w14:paraId="1ABEEDE7" w14:textId="77777777" w:rsidR="001B38B2" w:rsidRDefault="001B38B2" w:rsidP="001B38B2">
      <w:pPr>
        <w:spacing w:after="0" w:line="240" w:lineRule="auto"/>
        <w:jc w:val="both"/>
        <w:rPr>
          <w:rFonts w:ascii="Verdana" w:hAnsi="Verdana"/>
          <w:sz w:val="20"/>
          <w:szCs w:val="20"/>
          <w:lang w:val="es-ES"/>
        </w:rPr>
      </w:pPr>
    </w:p>
    <w:p w14:paraId="4964542A" w14:textId="77777777" w:rsidR="001B38B2" w:rsidRDefault="001B38B2" w:rsidP="001B38B2">
      <w:pPr>
        <w:spacing w:after="0" w:line="240" w:lineRule="auto"/>
        <w:jc w:val="both"/>
        <w:rPr>
          <w:rFonts w:ascii="Verdana" w:hAnsi="Verdana"/>
          <w:sz w:val="20"/>
          <w:szCs w:val="20"/>
          <w:lang w:val="es-ES"/>
        </w:rPr>
      </w:pPr>
    </w:p>
    <w:p w14:paraId="273B8B06" w14:textId="77777777" w:rsidR="001B38B2" w:rsidRDefault="001B38B2" w:rsidP="001B38B2">
      <w:pPr>
        <w:spacing w:after="0" w:line="240" w:lineRule="auto"/>
        <w:jc w:val="both"/>
        <w:rPr>
          <w:rFonts w:ascii="Verdana" w:hAnsi="Verdana"/>
          <w:sz w:val="20"/>
          <w:szCs w:val="20"/>
          <w:lang w:val="es-ES"/>
        </w:rPr>
      </w:pPr>
    </w:p>
    <w:p w14:paraId="6C9611EA" w14:textId="77777777" w:rsidR="001B38B2" w:rsidRDefault="001B38B2" w:rsidP="001B38B2">
      <w:pPr>
        <w:spacing w:after="0" w:line="240" w:lineRule="auto"/>
        <w:jc w:val="both"/>
        <w:rPr>
          <w:rFonts w:ascii="Verdana" w:hAnsi="Verdana"/>
          <w:sz w:val="20"/>
          <w:szCs w:val="20"/>
          <w:lang w:val="es-ES"/>
        </w:rPr>
      </w:pPr>
    </w:p>
    <w:p w14:paraId="59858E88" w14:textId="77777777" w:rsidR="001B38B2" w:rsidRDefault="001B38B2" w:rsidP="001B38B2">
      <w:pPr>
        <w:spacing w:after="0" w:line="240" w:lineRule="auto"/>
        <w:jc w:val="both"/>
        <w:rPr>
          <w:rFonts w:ascii="Verdana" w:hAnsi="Verdana"/>
          <w:sz w:val="20"/>
          <w:szCs w:val="20"/>
          <w:lang w:val="es-ES"/>
        </w:rPr>
      </w:pPr>
    </w:p>
    <w:p w14:paraId="3E0FA7DB" w14:textId="77777777" w:rsidR="001B38B2" w:rsidRDefault="001B38B2" w:rsidP="001B38B2">
      <w:pPr>
        <w:spacing w:after="0" w:line="240" w:lineRule="auto"/>
        <w:jc w:val="both"/>
        <w:rPr>
          <w:rFonts w:ascii="Verdana" w:hAnsi="Verdana"/>
          <w:sz w:val="20"/>
          <w:szCs w:val="20"/>
          <w:lang w:val="es-ES"/>
        </w:rPr>
      </w:pPr>
    </w:p>
    <w:p w14:paraId="23BB97F4" w14:textId="77777777" w:rsidR="001B38B2" w:rsidRDefault="001B38B2" w:rsidP="001B38B2">
      <w:pPr>
        <w:spacing w:after="0" w:line="240" w:lineRule="auto"/>
        <w:jc w:val="both"/>
        <w:rPr>
          <w:rFonts w:ascii="Verdana" w:hAnsi="Verdana"/>
          <w:sz w:val="20"/>
          <w:szCs w:val="20"/>
          <w:lang w:val="es-ES"/>
        </w:rPr>
      </w:pPr>
    </w:p>
    <w:p w14:paraId="03CD7CD0" w14:textId="77777777" w:rsidR="001B38B2" w:rsidRDefault="001B38B2" w:rsidP="001B38B2">
      <w:pPr>
        <w:spacing w:after="0" w:line="240" w:lineRule="auto"/>
        <w:jc w:val="both"/>
        <w:rPr>
          <w:rFonts w:ascii="Verdana" w:hAnsi="Verdana"/>
          <w:sz w:val="20"/>
          <w:szCs w:val="20"/>
          <w:lang w:val="es-ES"/>
        </w:rPr>
      </w:pPr>
    </w:p>
    <w:p w14:paraId="32792A9E" w14:textId="77777777" w:rsidR="001B38B2" w:rsidRDefault="001B38B2" w:rsidP="001B38B2">
      <w:pPr>
        <w:spacing w:after="0" w:line="240" w:lineRule="auto"/>
        <w:jc w:val="both"/>
        <w:rPr>
          <w:rFonts w:ascii="Verdana" w:hAnsi="Verdana"/>
          <w:sz w:val="20"/>
          <w:szCs w:val="20"/>
          <w:lang w:val="es-ES"/>
        </w:rPr>
      </w:pPr>
    </w:p>
    <w:p w14:paraId="4A502B75" w14:textId="77777777" w:rsidR="001B38B2" w:rsidRDefault="001B38B2" w:rsidP="001B38B2">
      <w:pPr>
        <w:spacing w:after="0" w:line="240" w:lineRule="auto"/>
        <w:jc w:val="both"/>
        <w:rPr>
          <w:rFonts w:ascii="Verdana" w:hAnsi="Verdana"/>
          <w:sz w:val="20"/>
          <w:szCs w:val="20"/>
          <w:lang w:val="es-ES"/>
        </w:rPr>
      </w:pPr>
    </w:p>
    <w:p w14:paraId="1793C54C" w14:textId="77777777" w:rsidR="001B38B2" w:rsidRDefault="001B38B2" w:rsidP="001B38B2">
      <w:pPr>
        <w:spacing w:after="0" w:line="240" w:lineRule="auto"/>
        <w:jc w:val="both"/>
        <w:rPr>
          <w:rFonts w:ascii="Verdana" w:hAnsi="Verdana"/>
          <w:sz w:val="20"/>
          <w:szCs w:val="20"/>
          <w:lang w:val="es-ES"/>
        </w:rPr>
      </w:pPr>
    </w:p>
    <w:p w14:paraId="1C4F7591" w14:textId="77777777" w:rsidR="001B38B2" w:rsidRDefault="001B38B2" w:rsidP="001B38B2">
      <w:pPr>
        <w:spacing w:after="0" w:line="240" w:lineRule="auto"/>
        <w:jc w:val="both"/>
        <w:rPr>
          <w:rFonts w:ascii="Verdana" w:hAnsi="Verdana"/>
          <w:sz w:val="20"/>
          <w:szCs w:val="20"/>
          <w:lang w:val="es-ES"/>
        </w:rPr>
      </w:pPr>
    </w:p>
    <w:p w14:paraId="41CD8B5A" w14:textId="77777777" w:rsidR="001B38B2" w:rsidRDefault="001B38B2" w:rsidP="001B38B2">
      <w:pPr>
        <w:spacing w:after="0" w:line="240" w:lineRule="auto"/>
        <w:jc w:val="both"/>
        <w:rPr>
          <w:rFonts w:ascii="Verdana" w:hAnsi="Verdana"/>
          <w:sz w:val="20"/>
          <w:szCs w:val="20"/>
          <w:lang w:val="es-ES"/>
        </w:rPr>
      </w:pPr>
    </w:p>
    <w:p w14:paraId="7CEBF9BA" w14:textId="77777777" w:rsidR="001B38B2" w:rsidRDefault="001B38B2" w:rsidP="001B38B2">
      <w:pPr>
        <w:spacing w:after="0" w:line="240" w:lineRule="auto"/>
        <w:jc w:val="both"/>
        <w:rPr>
          <w:rFonts w:ascii="Verdana" w:hAnsi="Verdana"/>
          <w:sz w:val="20"/>
          <w:szCs w:val="20"/>
          <w:lang w:val="es-ES"/>
        </w:rPr>
      </w:pPr>
    </w:p>
    <w:p w14:paraId="1E30368F" w14:textId="77777777" w:rsidR="001B38B2" w:rsidRDefault="001B38B2" w:rsidP="001B38B2">
      <w:pPr>
        <w:spacing w:after="0" w:line="240" w:lineRule="auto"/>
        <w:jc w:val="both"/>
        <w:rPr>
          <w:rFonts w:ascii="Verdana" w:hAnsi="Verdana"/>
          <w:sz w:val="20"/>
          <w:szCs w:val="20"/>
          <w:lang w:val="es-ES"/>
        </w:rPr>
      </w:pPr>
    </w:p>
    <w:p w14:paraId="1CBCEECC" w14:textId="77777777" w:rsidR="001B38B2" w:rsidRDefault="001B38B2" w:rsidP="001B38B2">
      <w:pPr>
        <w:spacing w:after="0" w:line="240" w:lineRule="auto"/>
        <w:jc w:val="both"/>
        <w:rPr>
          <w:rFonts w:ascii="Verdana" w:hAnsi="Verdana"/>
          <w:sz w:val="20"/>
          <w:szCs w:val="20"/>
          <w:lang w:val="es-ES"/>
        </w:rPr>
      </w:pPr>
    </w:p>
    <w:p w14:paraId="087329A3" w14:textId="77777777" w:rsidR="001B38B2" w:rsidRDefault="001B38B2" w:rsidP="001B38B2">
      <w:pPr>
        <w:spacing w:after="0" w:line="240" w:lineRule="auto"/>
        <w:jc w:val="both"/>
        <w:rPr>
          <w:rFonts w:ascii="Verdana" w:hAnsi="Verdana"/>
          <w:sz w:val="20"/>
          <w:szCs w:val="20"/>
          <w:lang w:val="es-ES"/>
        </w:rPr>
      </w:pPr>
    </w:p>
    <w:p w14:paraId="38311331" w14:textId="77777777" w:rsidR="001B38B2" w:rsidRDefault="001B38B2" w:rsidP="001B38B2">
      <w:pPr>
        <w:spacing w:after="0" w:line="240" w:lineRule="auto"/>
        <w:jc w:val="both"/>
        <w:rPr>
          <w:rFonts w:ascii="Verdana" w:hAnsi="Verdana"/>
          <w:sz w:val="20"/>
          <w:szCs w:val="20"/>
          <w:lang w:val="es-ES"/>
        </w:rPr>
      </w:pPr>
    </w:p>
    <w:p w14:paraId="744AE009" w14:textId="77777777" w:rsidR="001B38B2" w:rsidRPr="00345791" w:rsidRDefault="001B38B2" w:rsidP="001B38B2">
      <w:pPr>
        <w:spacing w:after="0" w:line="240" w:lineRule="auto"/>
        <w:jc w:val="both"/>
        <w:rPr>
          <w:rFonts w:ascii="Verdana" w:hAnsi="Verdana"/>
          <w:sz w:val="20"/>
          <w:szCs w:val="20"/>
          <w:lang w:val="es-ES"/>
        </w:rPr>
      </w:pPr>
    </w:p>
    <w:p w14:paraId="227E72D7" w14:textId="77777777" w:rsidR="001B38B2" w:rsidRDefault="001B38B2" w:rsidP="001B38B2">
      <w:pPr>
        <w:spacing w:after="0" w:line="240" w:lineRule="auto"/>
        <w:jc w:val="both"/>
        <w:rPr>
          <w:rFonts w:ascii="Verdana" w:hAnsi="Verdana" w:cs="Arial"/>
          <w:sz w:val="20"/>
          <w:lang w:val="es-MX" w:eastAsia="es-ES"/>
        </w:rPr>
      </w:pPr>
    </w:p>
    <w:p w14:paraId="3DA59E2C" w14:textId="77777777" w:rsidR="001B38B2" w:rsidRDefault="001B38B2" w:rsidP="0099050B">
      <w:pPr>
        <w:spacing w:after="0"/>
        <w:rPr>
          <w:rFonts w:ascii="Verdana" w:hAnsi="Verdana"/>
          <w:lang w:val="es-ES"/>
        </w:rPr>
      </w:pPr>
    </w:p>
    <w:p w14:paraId="1066DB36" w14:textId="470FA123" w:rsidR="0099050B" w:rsidRPr="00EC1B7C" w:rsidRDefault="0099050B" w:rsidP="0099050B">
      <w:pPr>
        <w:spacing w:after="0"/>
        <w:rPr>
          <w:rFonts w:ascii="Verdana" w:hAnsi="Verdana"/>
          <w:lang w:val="es-ES"/>
        </w:rPr>
      </w:pPr>
      <w:r w:rsidRPr="00EC1B7C">
        <w:rPr>
          <w:rFonts w:ascii="Verdana" w:hAnsi="Verdana"/>
          <w:lang w:val="es-ES"/>
        </w:rPr>
        <w:lastRenderedPageBreak/>
        <w:t xml:space="preserve">Bogotá D.C., </w:t>
      </w:r>
      <w:r w:rsidR="001B38B2">
        <w:rPr>
          <w:rFonts w:ascii="Verdana" w:hAnsi="Verdana"/>
          <w:lang w:val="es-ES"/>
        </w:rPr>
        <w:t>12 de junio de 2026</w:t>
      </w:r>
      <w:r w:rsidRPr="00EC1B7C">
        <w:rPr>
          <w:rFonts w:ascii="Verdana" w:hAnsi="Verdana"/>
          <w:lang w:val="es-ES"/>
        </w:rPr>
        <w:tab/>
      </w:r>
    </w:p>
    <w:p w14:paraId="54F457B2" w14:textId="1B62867C" w:rsidR="0099050B" w:rsidRPr="00EC1B7C" w:rsidRDefault="001B38B2" w:rsidP="0099050B">
      <w:pPr>
        <w:spacing w:after="0"/>
        <w:rPr>
          <w:rFonts w:ascii="Verdana" w:hAnsi="Verdana"/>
          <w:lang w:val="es-ES"/>
        </w:rPr>
      </w:pPr>
      <w:r>
        <w:rPr>
          <w:rFonts w:ascii="Verdana" w:hAnsi="Verdana"/>
          <w:noProof/>
          <w:lang w:val="es-ES"/>
        </w:rPr>
        <w:drawing>
          <wp:anchor distT="0" distB="0" distL="114300" distR="114300" simplePos="0" relativeHeight="251660288" behindDoc="0" locked="0" layoutInCell="1" allowOverlap="1" wp14:anchorId="714541D6" wp14:editId="51940199">
            <wp:simplePos x="0" y="0"/>
            <wp:positionH relativeFrom="column">
              <wp:posOffset>3579446</wp:posOffset>
            </wp:positionH>
            <wp:positionV relativeFrom="paragraph">
              <wp:posOffset>104775</wp:posOffset>
            </wp:positionV>
            <wp:extent cx="2063262" cy="601987"/>
            <wp:effectExtent l="0" t="0" r="0" b="0"/>
            <wp:wrapSquare wrapText="bothSides"/>
            <wp:docPr id="1884294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94659" name="Picture 1884294659"/>
                    <pic:cNvPicPr/>
                  </pic:nvPicPr>
                  <pic:blipFill>
                    <a:blip r:embed="rId10">
                      <a:extLst>
                        <a:ext uri="{28A0092B-C50C-407E-A947-70E740481C1C}">
                          <a14:useLocalDpi xmlns:a14="http://schemas.microsoft.com/office/drawing/2010/main" val="0"/>
                        </a:ext>
                      </a:extLst>
                    </a:blip>
                    <a:stretch>
                      <a:fillRect/>
                    </a:stretch>
                  </pic:blipFill>
                  <pic:spPr>
                    <a:xfrm>
                      <a:off x="0" y="0"/>
                      <a:ext cx="2063262" cy="601987"/>
                    </a:xfrm>
                    <a:prstGeom prst="rect">
                      <a:avLst/>
                    </a:prstGeom>
                  </pic:spPr>
                </pic:pic>
              </a:graphicData>
            </a:graphic>
            <wp14:sizeRelH relativeFrom="page">
              <wp14:pctWidth>0</wp14:pctWidth>
            </wp14:sizeRelH>
            <wp14:sizeRelV relativeFrom="page">
              <wp14:pctHeight>0</wp14:pctHeight>
            </wp14:sizeRelV>
          </wp:anchor>
        </w:drawing>
      </w:r>
    </w:p>
    <w:p w14:paraId="3CD52088" w14:textId="77777777" w:rsidR="0099050B" w:rsidRPr="00EC1B7C" w:rsidRDefault="0099050B" w:rsidP="0099050B">
      <w:pPr>
        <w:spacing w:after="0" w:line="240"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Estimado</w:t>
      </w:r>
      <w:r>
        <w:rPr>
          <w:rFonts w:ascii="Verdana" w:eastAsia="Calibri" w:hAnsi="Verdana" w:cs="Arial"/>
          <w:color w:val="000000" w:themeColor="text1"/>
          <w:lang w:val="es-ES" w:eastAsia="es-ES"/>
        </w:rPr>
        <w:t>(</w:t>
      </w:r>
      <w:r w:rsidRPr="00EC1B7C">
        <w:rPr>
          <w:rFonts w:ascii="Verdana" w:eastAsia="Calibri" w:hAnsi="Verdana" w:cs="Arial"/>
          <w:color w:val="000000" w:themeColor="text1"/>
          <w:lang w:val="es-ES" w:eastAsia="es-ES"/>
        </w:rPr>
        <w:t>a</w:t>
      </w:r>
      <w:r>
        <w:rPr>
          <w:rFonts w:ascii="Verdana" w:eastAsia="Calibri" w:hAnsi="Verdana" w:cs="Arial"/>
          <w:color w:val="000000" w:themeColor="text1"/>
          <w:lang w:val="es-ES" w:eastAsia="es-ES"/>
        </w:rPr>
        <w:t>)</w:t>
      </w:r>
    </w:p>
    <w:p w14:paraId="574DC537" w14:textId="77777777" w:rsidR="0099050B" w:rsidRPr="00EC1B7C" w:rsidRDefault="0099050B" w:rsidP="0099050B">
      <w:pPr>
        <w:spacing w:after="0" w:line="240" w:lineRule="auto"/>
        <w:jc w:val="both"/>
        <w:rPr>
          <w:rFonts w:ascii="Verdana" w:eastAsia="Calibri" w:hAnsi="Verdana" w:cs="Arial"/>
          <w:b/>
          <w:bCs/>
          <w:color w:val="000000" w:themeColor="text1"/>
          <w:lang w:val="es-ES" w:eastAsia="es-ES"/>
        </w:rPr>
      </w:pPr>
      <w:r w:rsidRPr="00EC1B7C">
        <w:rPr>
          <w:rFonts w:ascii="Verdana" w:eastAsia="Calibri" w:hAnsi="Verdana" w:cs="Arial"/>
          <w:b/>
          <w:bCs/>
          <w:color w:val="000000" w:themeColor="text1"/>
          <w:lang w:val="es-ES" w:eastAsia="es-ES"/>
        </w:rPr>
        <w:t>Ciudadano</w:t>
      </w:r>
      <w:r>
        <w:rPr>
          <w:rFonts w:ascii="Verdana" w:eastAsia="Calibri" w:hAnsi="Verdana" w:cs="Arial"/>
          <w:b/>
          <w:bCs/>
          <w:color w:val="000000" w:themeColor="text1"/>
          <w:lang w:val="es-ES" w:eastAsia="es-ES"/>
        </w:rPr>
        <w:t>(</w:t>
      </w:r>
      <w:r w:rsidRPr="00EC1B7C">
        <w:rPr>
          <w:rFonts w:ascii="Verdana" w:eastAsia="Calibri" w:hAnsi="Verdana" w:cs="Arial"/>
          <w:b/>
          <w:bCs/>
          <w:color w:val="000000" w:themeColor="text1"/>
          <w:lang w:val="es-ES" w:eastAsia="es-ES"/>
        </w:rPr>
        <w:t>a</w:t>
      </w:r>
      <w:r>
        <w:rPr>
          <w:rFonts w:ascii="Verdana" w:eastAsia="Calibri" w:hAnsi="Verdana" w:cs="Arial"/>
          <w:b/>
          <w:bCs/>
          <w:color w:val="000000" w:themeColor="text1"/>
          <w:lang w:val="es-ES" w:eastAsia="es-ES"/>
        </w:rPr>
        <w:t>)</w:t>
      </w:r>
    </w:p>
    <w:p w14:paraId="5D93B794" w14:textId="77777777" w:rsidR="0099050B" w:rsidRPr="00EC1B7C" w:rsidRDefault="0099050B" w:rsidP="0099050B">
      <w:pPr>
        <w:spacing w:after="0" w:line="240" w:lineRule="auto"/>
        <w:rPr>
          <w:rFonts w:ascii="Verdana" w:eastAsia="Calibri" w:hAnsi="Verdana" w:cs="Arial"/>
          <w:color w:val="000000" w:themeColor="text1"/>
          <w:lang w:val="es-ES" w:eastAsia="es-ES_tradnl"/>
        </w:rPr>
      </w:pPr>
      <w:r w:rsidRPr="00EC1B7C">
        <w:rPr>
          <w:rFonts w:ascii="Verdana" w:eastAsia="Calibri" w:hAnsi="Verdana" w:cs="Arial"/>
          <w:color w:val="000000" w:themeColor="text1"/>
          <w:lang w:val="es-ES" w:eastAsia="es-ES_tradnl"/>
        </w:rPr>
        <w:t>Bogotá D.C.</w:t>
      </w:r>
    </w:p>
    <w:p w14:paraId="06F6987D" w14:textId="77777777" w:rsidR="0099050B" w:rsidRPr="00EC1B7C" w:rsidRDefault="0099050B" w:rsidP="0099050B">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99050B" w:rsidRPr="00EC1B7C" w14:paraId="3676F3FD" w14:textId="77777777" w:rsidTr="00405C53">
        <w:trPr>
          <w:gridAfter w:val="1"/>
          <w:wAfter w:w="4179" w:type="dxa"/>
          <w:trHeight w:val="304"/>
        </w:trPr>
        <w:tc>
          <w:tcPr>
            <w:tcW w:w="2689" w:type="dxa"/>
          </w:tcPr>
          <w:p w14:paraId="3D44A038" w14:textId="77777777" w:rsidR="0099050B" w:rsidRPr="00EC1B7C" w:rsidRDefault="0099050B" w:rsidP="00405C53">
            <w:pPr>
              <w:jc w:val="both"/>
              <w:rPr>
                <w:rFonts w:ascii="Verdana" w:eastAsia="Calibri" w:hAnsi="Verdana" w:cs="Arial"/>
                <w:b/>
                <w:bCs/>
                <w:color w:val="000000" w:themeColor="text1"/>
                <w:lang w:val="es-ES" w:eastAsia="es-ES_tradnl"/>
              </w:rPr>
            </w:pPr>
          </w:p>
        </w:tc>
        <w:tc>
          <w:tcPr>
            <w:tcW w:w="6100" w:type="dxa"/>
          </w:tcPr>
          <w:p w14:paraId="0CC34FA6" w14:textId="77777777" w:rsidR="0099050B" w:rsidRPr="00EC1B7C" w:rsidRDefault="0099050B" w:rsidP="00405C53">
            <w:pPr>
              <w:jc w:val="both"/>
              <w:rPr>
                <w:rFonts w:ascii="Verdana" w:eastAsia="Calibri" w:hAnsi="Verdana" w:cs="Arial"/>
                <w:b/>
                <w:bCs/>
                <w:color w:val="000000" w:themeColor="text1"/>
                <w:lang w:val="es-ES" w:eastAsia="es-ES"/>
              </w:rPr>
            </w:pPr>
            <w:r w:rsidRPr="00EC1B7C">
              <w:rPr>
                <w:rFonts w:ascii="Verdana" w:eastAsia="Calibri" w:hAnsi="Verdana" w:cs="Arial"/>
                <w:b/>
                <w:bCs/>
                <w:color w:val="000000" w:themeColor="text1"/>
                <w:lang w:val="es-ES" w:eastAsia="es-ES"/>
              </w:rPr>
              <w:t>Concepto C-724 de 2026</w:t>
            </w:r>
          </w:p>
          <w:p w14:paraId="3BD35BD6" w14:textId="77777777" w:rsidR="0099050B" w:rsidRPr="00EC1B7C" w:rsidRDefault="0099050B" w:rsidP="00405C53">
            <w:pPr>
              <w:jc w:val="both"/>
              <w:rPr>
                <w:rFonts w:ascii="Verdana" w:eastAsia="Calibri" w:hAnsi="Verdana" w:cs="Arial"/>
                <w:b/>
                <w:bCs/>
                <w:color w:val="000000" w:themeColor="text1"/>
                <w:lang w:val="es-ES" w:eastAsia="es-ES"/>
              </w:rPr>
            </w:pPr>
          </w:p>
        </w:tc>
      </w:tr>
      <w:tr w:rsidR="0099050B" w:rsidRPr="00EC1B7C" w14:paraId="45518334" w14:textId="77777777" w:rsidTr="00405C53">
        <w:trPr>
          <w:trHeight w:val="884"/>
        </w:trPr>
        <w:tc>
          <w:tcPr>
            <w:tcW w:w="2689" w:type="dxa"/>
          </w:tcPr>
          <w:p w14:paraId="0C7B032F" w14:textId="77777777" w:rsidR="0099050B" w:rsidRPr="00EC1B7C" w:rsidRDefault="0099050B" w:rsidP="00405C53">
            <w:pPr>
              <w:jc w:val="both"/>
              <w:rPr>
                <w:rFonts w:ascii="Verdana" w:eastAsia="Calibri" w:hAnsi="Verdana" w:cs="Arial"/>
                <w:color w:val="000000" w:themeColor="text1"/>
                <w:lang w:val="es-ES" w:eastAsia="es-ES_tradnl"/>
              </w:rPr>
            </w:pPr>
            <w:r w:rsidRPr="00EC1B7C">
              <w:rPr>
                <w:rFonts w:ascii="Verdana" w:eastAsia="Calibri" w:hAnsi="Verdana" w:cs="Arial"/>
                <w:b/>
                <w:color w:val="000000" w:themeColor="text1"/>
                <w:lang w:val="es-ES" w:eastAsia="es-ES_tradnl"/>
              </w:rPr>
              <w:t>Temas:</w:t>
            </w:r>
            <w:r w:rsidRPr="00EC1B7C">
              <w:rPr>
                <w:rFonts w:ascii="Verdana" w:eastAsia="Calibri" w:hAnsi="Verdana" w:cs="Arial"/>
                <w:color w:val="000000" w:themeColor="text1"/>
                <w:lang w:val="es-ES" w:eastAsia="es-ES_tradnl"/>
              </w:rPr>
              <w:t xml:space="preserve">                   </w:t>
            </w:r>
          </w:p>
        </w:tc>
        <w:tc>
          <w:tcPr>
            <w:tcW w:w="6100" w:type="dxa"/>
          </w:tcPr>
          <w:p w14:paraId="6635E67B" w14:textId="1B78AE68" w:rsidR="0099050B" w:rsidRPr="00EC1B7C" w:rsidRDefault="0099050B" w:rsidP="00405C53">
            <w:pPr>
              <w:spacing w:line="276" w:lineRule="auto"/>
              <w:jc w:val="both"/>
              <w:rPr>
                <w:rFonts w:ascii="Verdana" w:hAnsi="Verdana" w:cs="Arial"/>
                <w:lang w:val="es-ES" w:eastAsia="es-ES"/>
              </w:rPr>
            </w:pPr>
            <w:r w:rsidRPr="00EC1B7C">
              <w:rPr>
                <w:rFonts w:ascii="Verdana" w:hAnsi="Verdana" w:cs="Arial"/>
                <w:lang w:val="es-ES" w:eastAsia="es-ES"/>
              </w:rPr>
              <w:t xml:space="preserve">ENAJENACIÓN – Bienes muebles – Bienes Inmuebles / BIENES PÚBLICOS – Tipos / ENAJENACIÓN – Bienes </w:t>
            </w:r>
            <w:r w:rsidR="001B38B2">
              <w:rPr>
                <w:rFonts w:ascii="Verdana" w:hAnsi="Verdana" w:cs="Arial"/>
                <w:lang w:val="es-ES" w:eastAsia="es-ES"/>
              </w:rPr>
              <w:t>m</w:t>
            </w:r>
            <w:r w:rsidRPr="00EC1B7C">
              <w:rPr>
                <w:rFonts w:ascii="Verdana" w:hAnsi="Verdana" w:cs="Arial"/>
                <w:lang w:val="es-ES" w:eastAsia="es-ES"/>
              </w:rPr>
              <w:t>uebles – Título gratuito – Decreto 1082 de 2015 – Procedimiento / ESTUDIOS PREVIOS – Planeación – Deber de las entidades</w:t>
            </w:r>
          </w:p>
          <w:p w14:paraId="3CD7F6AB" w14:textId="77777777" w:rsidR="0099050B" w:rsidRPr="00EC1B7C" w:rsidRDefault="0099050B" w:rsidP="00405C53">
            <w:pPr>
              <w:spacing w:line="276" w:lineRule="auto"/>
              <w:jc w:val="both"/>
              <w:rPr>
                <w:rFonts w:ascii="Verdana" w:eastAsia="Calibri" w:hAnsi="Verdana" w:cs="Arial"/>
                <w:color w:val="000000" w:themeColor="text1"/>
                <w:lang w:val="es-ES" w:eastAsia="es-ES"/>
              </w:rPr>
            </w:pPr>
          </w:p>
        </w:tc>
        <w:tc>
          <w:tcPr>
            <w:tcW w:w="4179" w:type="dxa"/>
          </w:tcPr>
          <w:p w14:paraId="441ECCDF" w14:textId="77777777" w:rsidR="0099050B" w:rsidRPr="00EC1B7C" w:rsidRDefault="0099050B" w:rsidP="00405C53">
            <w:pPr>
              <w:spacing w:line="276" w:lineRule="auto"/>
              <w:jc w:val="both"/>
              <w:rPr>
                <w:rFonts w:ascii="Verdana" w:eastAsia="Calibri" w:hAnsi="Verdana" w:cs="Arial"/>
                <w:b/>
                <w:bCs/>
                <w:color w:val="000000" w:themeColor="text1"/>
                <w:lang w:val="es-ES" w:eastAsia="es-ES"/>
              </w:rPr>
            </w:pPr>
          </w:p>
          <w:p w14:paraId="6CA65D2D" w14:textId="77777777" w:rsidR="0099050B" w:rsidRPr="00EC1B7C" w:rsidRDefault="0099050B" w:rsidP="00405C53">
            <w:pPr>
              <w:rPr>
                <w:rFonts w:ascii="Verdana" w:hAnsi="Verdana"/>
                <w:lang w:val="es-ES"/>
              </w:rPr>
            </w:pPr>
          </w:p>
        </w:tc>
      </w:tr>
      <w:tr w:rsidR="0099050B" w:rsidRPr="00EC1B7C" w14:paraId="66DE477B" w14:textId="77777777" w:rsidTr="00405C53">
        <w:trPr>
          <w:gridAfter w:val="1"/>
          <w:wAfter w:w="4179" w:type="dxa"/>
        </w:trPr>
        <w:tc>
          <w:tcPr>
            <w:tcW w:w="2689" w:type="dxa"/>
          </w:tcPr>
          <w:p w14:paraId="63234578" w14:textId="77777777" w:rsidR="0099050B" w:rsidRPr="00EC1B7C" w:rsidRDefault="0099050B" w:rsidP="00405C53">
            <w:pPr>
              <w:jc w:val="both"/>
              <w:rPr>
                <w:rFonts w:ascii="Verdana" w:eastAsia="Calibri" w:hAnsi="Verdana" w:cs="Arial"/>
                <w:b/>
                <w:color w:val="000000" w:themeColor="text1"/>
                <w:lang w:val="es-ES" w:eastAsia="es-ES_tradnl"/>
              </w:rPr>
            </w:pPr>
            <w:r w:rsidRPr="00EC1B7C">
              <w:rPr>
                <w:rFonts w:ascii="Verdana" w:eastAsia="Calibri" w:hAnsi="Verdana" w:cs="Arial"/>
                <w:b/>
                <w:color w:val="000000" w:themeColor="text1"/>
                <w:lang w:val="es-ES" w:eastAsia="es-ES_tradnl"/>
              </w:rPr>
              <w:t>Radicación:</w:t>
            </w:r>
            <w:r w:rsidRPr="00EC1B7C">
              <w:rPr>
                <w:rFonts w:ascii="Verdana" w:eastAsia="Calibri" w:hAnsi="Verdana" w:cs="Arial"/>
                <w:color w:val="000000" w:themeColor="text1"/>
                <w:lang w:val="es-ES" w:eastAsia="es-ES_tradnl"/>
              </w:rPr>
              <w:t xml:space="preserve">               </w:t>
            </w:r>
          </w:p>
        </w:tc>
        <w:tc>
          <w:tcPr>
            <w:tcW w:w="6100" w:type="dxa"/>
          </w:tcPr>
          <w:p w14:paraId="5B2CF5CB" w14:textId="77777777" w:rsidR="0099050B" w:rsidRPr="00EC1B7C" w:rsidRDefault="0099050B" w:rsidP="00405C53">
            <w:pPr>
              <w:jc w:val="both"/>
              <w:rPr>
                <w:rFonts w:ascii="Verdana" w:eastAsia="Calibri" w:hAnsi="Verdana" w:cs="Arial"/>
                <w:color w:val="000000" w:themeColor="text1"/>
                <w:lang w:val="es-ES" w:eastAsia="es-ES_tradnl"/>
              </w:rPr>
            </w:pPr>
            <w:r w:rsidRPr="00EC1B7C">
              <w:rPr>
                <w:rFonts w:ascii="Verdana" w:eastAsia="Calibri" w:hAnsi="Verdana" w:cs="Arial"/>
                <w:color w:val="000000" w:themeColor="text1"/>
                <w:lang w:val="es-ES" w:eastAsia="es-ES_tradnl"/>
              </w:rPr>
              <w:t>Respuesta a consulta con radicado No. 1_2026_04_30_005937</w:t>
            </w:r>
          </w:p>
        </w:tc>
      </w:tr>
    </w:tbl>
    <w:p w14:paraId="7869389C" w14:textId="77777777" w:rsidR="0099050B" w:rsidRPr="00EC1B7C" w:rsidRDefault="0099050B" w:rsidP="0099050B">
      <w:pPr>
        <w:spacing w:after="0" w:line="276" w:lineRule="auto"/>
        <w:jc w:val="both"/>
        <w:rPr>
          <w:rFonts w:ascii="Verdana" w:eastAsia="Calibri" w:hAnsi="Verdana" w:cs="Arial"/>
          <w:color w:val="000000" w:themeColor="text1"/>
          <w:lang w:val="es-ES" w:eastAsia="es-ES_tradnl"/>
        </w:rPr>
      </w:pPr>
    </w:p>
    <w:p w14:paraId="77ADAD55" w14:textId="77777777" w:rsidR="0099050B" w:rsidRPr="00EC1B7C" w:rsidRDefault="0099050B" w:rsidP="0099050B">
      <w:pPr>
        <w:spacing w:after="0" w:line="276" w:lineRule="auto"/>
        <w:jc w:val="both"/>
        <w:rPr>
          <w:rFonts w:ascii="Verdana" w:eastAsia="Calibri" w:hAnsi="Verdana" w:cs="Arial"/>
          <w:color w:val="000000" w:themeColor="text1"/>
          <w:lang w:val="es-ES" w:eastAsia="es-ES_tradnl"/>
        </w:rPr>
      </w:pPr>
    </w:p>
    <w:p w14:paraId="5CDF8F09" w14:textId="77777777" w:rsidR="0099050B" w:rsidRPr="00EC1B7C" w:rsidRDefault="0099050B" w:rsidP="0099050B">
      <w:pPr>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Estimado</w:t>
      </w:r>
      <w:r>
        <w:rPr>
          <w:rFonts w:ascii="Verdana" w:eastAsia="Calibri" w:hAnsi="Verdana" w:cs="Arial"/>
          <w:color w:val="000000" w:themeColor="text1"/>
          <w:lang w:val="es-ES" w:eastAsia="es-ES"/>
        </w:rPr>
        <w:t>(a)</w:t>
      </w:r>
      <w:r w:rsidRPr="00EC1B7C">
        <w:rPr>
          <w:rFonts w:ascii="Verdana" w:eastAsia="Calibri" w:hAnsi="Verdana" w:cs="Arial"/>
          <w:color w:val="000000" w:themeColor="text1"/>
          <w:lang w:val="es-ES" w:eastAsia="es-ES"/>
        </w:rPr>
        <w:t xml:space="preserve"> ciudadano</w:t>
      </w:r>
      <w:r>
        <w:rPr>
          <w:rFonts w:ascii="Verdana" w:eastAsia="Calibri" w:hAnsi="Verdana" w:cs="Arial"/>
          <w:color w:val="000000" w:themeColor="text1"/>
          <w:lang w:val="es-ES" w:eastAsia="es-ES"/>
        </w:rPr>
        <w:t>(a)</w:t>
      </w:r>
      <w:r w:rsidRPr="00EC1B7C">
        <w:rPr>
          <w:rFonts w:ascii="Verdana" w:eastAsia="Calibri" w:hAnsi="Verdana" w:cs="Arial"/>
          <w:color w:val="000000" w:themeColor="text1"/>
          <w:lang w:val="es-ES" w:eastAsia="es-ES"/>
        </w:rPr>
        <w:t xml:space="preserve">: </w:t>
      </w:r>
    </w:p>
    <w:p w14:paraId="077F4189" w14:textId="77777777" w:rsidR="0099050B" w:rsidRPr="00EC1B7C" w:rsidRDefault="0099050B" w:rsidP="0099050B">
      <w:pPr>
        <w:tabs>
          <w:tab w:val="left" w:pos="3768"/>
        </w:tabs>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ab/>
      </w:r>
    </w:p>
    <w:p w14:paraId="3801E283" w14:textId="708AC82B" w:rsidR="0099050B" w:rsidRPr="00EC1B7C" w:rsidRDefault="0099050B" w:rsidP="0099050B">
      <w:pPr>
        <w:spacing w:after="0" w:line="276" w:lineRule="auto"/>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En ejercicio de la competencia otorgada por los artículos 3, numeral 5º, y 11, numeral 8º, del Decreto Ley 4170 de 2011,</w:t>
      </w:r>
      <w:r w:rsidRPr="00EC1B7C">
        <w:rPr>
          <w:rFonts w:ascii="Verdana" w:eastAsia="Arial MT" w:hAnsi="Verdana" w:cs="Arial MT"/>
          <w:color w:val="000000" w:themeColor="text1"/>
          <w:lang w:val="es-ES" w:eastAsia="es-ES"/>
        </w:rPr>
        <w:t xml:space="preserve"> </w:t>
      </w:r>
      <w:r w:rsidRPr="00EC1B7C">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remitida a esta entidad por el Ministerio de Hacienda y Crédito Público el </w:t>
      </w:r>
      <w:r w:rsidR="00117F9C">
        <w:rPr>
          <w:rFonts w:ascii="Verdana" w:hAnsi="Verdana" w:cs="Arial"/>
          <w:color w:val="000000" w:themeColor="text1"/>
          <w:lang w:val="es-ES"/>
        </w:rPr>
        <w:t xml:space="preserve">30 </w:t>
      </w:r>
      <w:r w:rsidRPr="00EC1B7C">
        <w:rPr>
          <w:rFonts w:ascii="Verdana" w:hAnsi="Verdana" w:cs="Arial"/>
          <w:color w:val="000000" w:themeColor="text1"/>
          <w:lang w:val="es-ES"/>
        </w:rPr>
        <w:t>de abril de 2026, en la cual manifiesta lo siguiente:</w:t>
      </w:r>
      <w:r w:rsidRPr="00EC1B7C">
        <w:rPr>
          <w:rFonts w:ascii="Verdana" w:eastAsia="Calibri" w:hAnsi="Verdana" w:cs="Arial"/>
          <w:color w:val="000000" w:themeColor="text1"/>
          <w:lang w:val="es-ES" w:eastAsia="es-ES"/>
        </w:rPr>
        <w:t xml:space="preserve"> </w:t>
      </w:r>
    </w:p>
    <w:p w14:paraId="3B5B88D7" w14:textId="77777777" w:rsidR="0099050B" w:rsidRPr="00EC1B7C" w:rsidRDefault="0099050B" w:rsidP="0099050B">
      <w:pPr>
        <w:spacing w:after="0" w:line="276" w:lineRule="auto"/>
        <w:jc w:val="both"/>
        <w:rPr>
          <w:rFonts w:ascii="Verdana" w:eastAsia="Calibri" w:hAnsi="Verdana" w:cs="Arial"/>
          <w:color w:val="000000" w:themeColor="text1"/>
          <w:lang w:val="es-ES" w:eastAsia="es-ES"/>
        </w:rPr>
      </w:pPr>
    </w:p>
    <w:p w14:paraId="419D845C" w14:textId="77777777" w:rsidR="0099050B" w:rsidRPr="00EC1B7C" w:rsidRDefault="0099050B" w:rsidP="0099050B">
      <w:pPr>
        <w:spacing w:after="0"/>
        <w:ind w:left="709" w:right="709"/>
        <w:contextualSpacing/>
        <w:jc w:val="both"/>
        <w:rPr>
          <w:rFonts w:ascii="Verdana" w:eastAsia="Century Gothic" w:hAnsi="Verdana" w:cs="Century Gothic"/>
          <w:i/>
          <w:iCs/>
          <w:color w:val="000000" w:themeColor="text1"/>
          <w:sz w:val="20"/>
          <w:szCs w:val="20"/>
          <w:lang w:val="es-ES"/>
        </w:rPr>
      </w:pPr>
      <w:r w:rsidRPr="00EC1B7C">
        <w:rPr>
          <w:rFonts w:ascii="Verdana" w:eastAsia="Century Gothic" w:hAnsi="Verdana" w:cs="Century Gothic"/>
          <w:i/>
          <w:iCs/>
          <w:color w:val="000000" w:themeColor="text1"/>
          <w:sz w:val="20"/>
          <w:szCs w:val="20"/>
          <w:lang w:val="es-ES"/>
        </w:rPr>
        <w:t xml:space="preserve">“[…] “Deseo conocer si en el Estado Colombiano, existe alguna normatividad, reglamentación o información vigente, para el desarme de equipos y/o maquinarias después que se dan de baja por una Institución pública, para efectuar venta por partes a empresas interesadas </w:t>
      </w:r>
      <w:r w:rsidRPr="00EC1B7C">
        <w:rPr>
          <w:rFonts w:ascii="Verdana" w:eastAsia="Times New Roman" w:hAnsi="Verdana" w:cs="Times New Roman"/>
          <w:i/>
          <w:iCs/>
          <w:sz w:val="20"/>
          <w:szCs w:val="20"/>
          <w:lang w:val="es-ES"/>
        </w:rPr>
        <w:t>[…]”</w:t>
      </w:r>
    </w:p>
    <w:p w14:paraId="52EB989C" w14:textId="77777777" w:rsidR="0099050B" w:rsidRPr="00EC1B7C" w:rsidRDefault="0099050B" w:rsidP="0099050B">
      <w:pPr>
        <w:spacing w:after="0"/>
        <w:ind w:left="709" w:right="709"/>
        <w:jc w:val="both"/>
        <w:rPr>
          <w:rFonts w:ascii="Verdana" w:eastAsia="Century Gothic" w:hAnsi="Verdana" w:cs="Century Gothic"/>
          <w:i/>
          <w:iCs/>
          <w:color w:val="000000" w:themeColor="text1"/>
          <w:sz w:val="20"/>
          <w:szCs w:val="20"/>
          <w:lang w:val="es-ES"/>
        </w:rPr>
      </w:pPr>
    </w:p>
    <w:p w14:paraId="334A74AF" w14:textId="77777777" w:rsidR="0099050B" w:rsidRPr="00EC1B7C" w:rsidRDefault="0099050B" w:rsidP="0099050B">
      <w:pPr>
        <w:spacing w:after="0" w:line="276" w:lineRule="auto"/>
        <w:contextualSpacing/>
        <w:jc w:val="both"/>
        <w:rPr>
          <w:rFonts w:ascii="Verdana" w:eastAsia="Calibri" w:hAnsi="Verdana" w:cs="Arial"/>
          <w:color w:val="000000" w:themeColor="text1"/>
          <w:szCs w:val="24"/>
          <w:lang w:val="es-ES" w:eastAsia="es-ES_tradnl"/>
        </w:rPr>
      </w:pPr>
      <w:r w:rsidRPr="00EC1B7C">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w:t>
      </w:r>
      <w:r w:rsidRPr="00EC1B7C">
        <w:rPr>
          <w:rFonts w:ascii="Verdana" w:eastAsia="Calibri" w:hAnsi="Verdana" w:cs="Arial"/>
          <w:color w:val="000000" w:themeColor="text1"/>
          <w:lang w:val="es-ES" w:eastAsia="es-ES"/>
        </w:rPr>
        <w:lastRenderedPageBreak/>
        <w:t xml:space="preserve">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EC1B7C">
        <w:rPr>
          <w:rFonts w:ascii="Verdana" w:eastAsia="Calibri" w:hAnsi="Verdana" w:cs="Arial"/>
          <w:color w:val="000000" w:themeColor="text1"/>
          <w:szCs w:val="24"/>
          <w:lang w:val="es-ES" w:eastAsia="es-ES_tradnl"/>
        </w:rPr>
        <w:tab/>
      </w:r>
    </w:p>
    <w:p w14:paraId="4A6B3983" w14:textId="77777777" w:rsidR="0099050B" w:rsidRPr="00EC1B7C" w:rsidRDefault="0099050B" w:rsidP="0099050B">
      <w:pPr>
        <w:spacing w:before="120" w:after="120" w:line="276" w:lineRule="auto"/>
        <w:ind w:firstLine="709"/>
        <w:jc w:val="both"/>
        <w:rPr>
          <w:rFonts w:ascii="Verdana" w:eastAsia="Calibri" w:hAnsi="Verdana" w:cs="Arial"/>
          <w:color w:val="000000" w:themeColor="text1"/>
          <w:lang w:val="es-ES" w:eastAsia="es-ES"/>
        </w:rPr>
      </w:pPr>
      <w:r w:rsidRPr="00EC1B7C">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E8A2B90" w14:textId="77777777" w:rsidR="0099050B" w:rsidRPr="00EC1B7C" w:rsidRDefault="0099050B" w:rsidP="0099050B">
      <w:pPr>
        <w:spacing w:after="0" w:line="276" w:lineRule="auto"/>
        <w:jc w:val="both"/>
        <w:rPr>
          <w:rFonts w:ascii="Verdana" w:eastAsia="Calibri" w:hAnsi="Verdana" w:cs="Arial"/>
          <w:color w:val="000000" w:themeColor="text1"/>
          <w:lang w:val="es-ES" w:eastAsia="es-ES"/>
        </w:rPr>
      </w:pPr>
    </w:p>
    <w:p w14:paraId="65B5E609" w14:textId="77777777" w:rsidR="0099050B" w:rsidRPr="00EC1B7C" w:rsidRDefault="0099050B" w:rsidP="0099050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Problema planteado:</w:t>
      </w:r>
    </w:p>
    <w:p w14:paraId="0E46E65A" w14:textId="77777777" w:rsidR="0099050B" w:rsidRPr="00EC1B7C" w:rsidRDefault="0099050B" w:rsidP="0099050B">
      <w:pPr>
        <w:tabs>
          <w:tab w:val="left" w:pos="426"/>
        </w:tabs>
        <w:spacing w:after="0" w:line="276" w:lineRule="auto"/>
        <w:jc w:val="both"/>
        <w:rPr>
          <w:rFonts w:ascii="Verdana" w:eastAsia="Century Gothic" w:hAnsi="Verdana" w:cs="Century Gothic"/>
          <w:color w:val="000000" w:themeColor="text1"/>
          <w:lang w:val="es-ES"/>
        </w:rPr>
      </w:pPr>
    </w:p>
    <w:p w14:paraId="50FFC091" w14:textId="77777777" w:rsidR="0099050B" w:rsidRPr="00EC1B7C" w:rsidRDefault="0099050B" w:rsidP="0099050B">
      <w:pPr>
        <w:spacing w:after="0" w:line="276" w:lineRule="auto"/>
        <w:jc w:val="both"/>
        <w:rPr>
          <w:rFonts w:ascii="Verdana" w:eastAsia="Century Gothic" w:hAnsi="Verdana" w:cs="Century Gothic"/>
          <w:color w:val="000000" w:themeColor="text1"/>
          <w:lang w:val="es-ES"/>
        </w:rPr>
      </w:pPr>
      <w:r w:rsidRPr="00EC1B7C">
        <w:rPr>
          <w:rFonts w:ascii="Verdana" w:eastAsia="Century Gothic" w:hAnsi="Verdana" w:cs="Century Gothic"/>
          <w:color w:val="000000" w:themeColor="text1"/>
          <w:lang w:val="es-ES"/>
        </w:rPr>
        <w:t xml:space="preserve">De acuerdo con el contenido de su solicitud, esta Agencia resolverá los siguientes problemas jurídicos: </w:t>
      </w:r>
      <w:r w:rsidRPr="00EC1B7C">
        <w:rPr>
          <w:rFonts w:ascii="Verdana" w:eastAsia="Century Gothic" w:hAnsi="Verdana" w:cs="Century Gothic"/>
          <w:lang w:val="es-ES"/>
        </w:rPr>
        <w:t xml:space="preserve">¿cómo se realiza la enajenación de bienes de Entidades Estatales? </w:t>
      </w:r>
    </w:p>
    <w:p w14:paraId="7E8B6B84" w14:textId="77777777" w:rsidR="0099050B" w:rsidRPr="00EC1B7C" w:rsidRDefault="0099050B" w:rsidP="0099050B">
      <w:pPr>
        <w:spacing w:after="0" w:line="276" w:lineRule="auto"/>
        <w:jc w:val="both"/>
        <w:rPr>
          <w:rFonts w:ascii="Verdana" w:eastAsia="Calibri" w:hAnsi="Verdana" w:cs="Arial"/>
          <w:color w:val="000000" w:themeColor="text1"/>
          <w:lang w:val="es-ES"/>
        </w:rPr>
      </w:pPr>
    </w:p>
    <w:p w14:paraId="45A895EC" w14:textId="77777777" w:rsidR="0099050B" w:rsidRPr="00EC1B7C" w:rsidRDefault="0099050B" w:rsidP="0099050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Respuesta:</w:t>
      </w:r>
    </w:p>
    <w:p w14:paraId="6F8C5905" w14:textId="77777777" w:rsidR="0099050B" w:rsidRPr="00EC1B7C" w:rsidRDefault="0099050B" w:rsidP="0099050B">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9050B" w:rsidRPr="00EC1B7C" w14:paraId="26A6EFCF" w14:textId="77777777" w:rsidTr="00405C53">
        <w:tc>
          <w:tcPr>
            <w:tcW w:w="8828" w:type="dxa"/>
          </w:tcPr>
          <w:p w14:paraId="7640104C" w14:textId="77777777" w:rsidR="0099050B" w:rsidRDefault="0099050B" w:rsidP="004A7842">
            <w:pPr>
              <w:widowControl w:val="0"/>
              <w:autoSpaceDE w:val="0"/>
              <w:autoSpaceDN w:val="0"/>
              <w:spacing w:before="120" w:after="120" w:line="276" w:lineRule="auto"/>
              <w:jc w:val="both"/>
              <w:rPr>
                <w:rFonts w:ascii="Verdana" w:eastAsia="Calibri" w:hAnsi="Verdana" w:cs="Arial"/>
                <w:color w:val="000000"/>
                <w:lang w:val="es-ES"/>
              </w:rPr>
            </w:pPr>
            <w:r w:rsidRPr="00EC1B7C">
              <w:rPr>
                <w:rFonts w:ascii="Verdana" w:eastAsia="Calibri" w:hAnsi="Verdana" w:cs="Arial"/>
                <w:color w:val="000000"/>
                <w:lang w:val="es-ES"/>
              </w:rPr>
              <w:t>En el marco de la contratación pública no existe una norma única que regule específicamente el "desarme o desmantelamiento de equipos dados de baja para venta por partes", a los cuales se refiere en su consulta. En términos generales, las entidades tienen la potestad de emitir manuales internos que estable</w:t>
            </w:r>
            <w:r>
              <w:rPr>
                <w:rFonts w:ascii="Verdana" w:eastAsia="Calibri" w:hAnsi="Verdana" w:cs="Arial"/>
                <w:color w:val="000000"/>
                <w:lang w:val="es-ES"/>
              </w:rPr>
              <w:t>zcan</w:t>
            </w:r>
            <w:r w:rsidRPr="00EC1B7C">
              <w:rPr>
                <w:rFonts w:ascii="Verdana" w:eastAsia="Calibri" w:hAnsi="Verdana" w:cs="Arial"/>
                <w:color w:val="000000"/>
                <w:lang w:val="es-ES"/>
              </w:rPr>
              <w:t xml:space="preserve"> los procedimientos y reglas para la administraci</w:t>
            </w:r>
            <w:r>
              <w:rPr>
                <w:rFonts w:ascii="Verdana" w:eastAsia="Calibri" w:hAnsi="Verdana" w:cs="Arial"/>
                <w:color w:val="000000"/>
                <w:lang w:val="es-ES"/>
              </w:rPr>
              <w:t xml:space="preserve">ón </w:t>
            </w:r>
            <w:r w:rsidRPr="00EC1B7C">
              <w:rPr>
                <w:rFonts w:ascii="Verdana" w:eastAsia="Calibri" w:hAnsi="Verdana" w:cs="Arial"/>
                <w:color w:val="000000"/>
                <w:lang w:val="es-ES"/>
              </w:rPr>
              <w:t>de sus bienes, en los cuales puede</w:t>
            </w:r>
            <w:r>
              <w:rPr>
                <w:rFonts w:ascii="Verdana" w:eastAsia="Calibri" w:hAnsi="Verdana" w:cs="Arial"/>
                <w:color w:val="000000"/>
                <w:lang w:val="es-ES"/>
              </w:rPr>
              <w:t>n</w:t>
            </w:r>
            <w:r w:rsidRPr="00EC1B7C">
              <w:rPr>
                <w:rFonts w:ascii="Verdana" w:eastAsia="Calibri" w:hAnsi="Verdana" w:cs="Arial"/>
                <w:color w:val="000000"/>
                <w:lang w:val="es-ES"/>
              </w:rPr>
              <w:t xml:space="preserve"> determinar aspectos como</w:t>
            </w:r>
            <w:r>
              <w:rPr>
                <w:rFonts w:ascii="Verdana" w:eastAsia="Calibri" w:hAnsi="Verdana" w:cs="Arial"/>
                <w:color w:val="000000"/>
                <w:lang w:val="es-ES"/>
              </w:rPr>
              <w:t>, por ejemplo,</w:t>
            </w:r>
            <w:r w:rsidRPr="00EC1B7C">
              <w:rPr>
                <w:rFonts w:ascii="Verdana" w:eastAsia="Calibri" w:hAnsi="Verdana" w:cs="Arial"/>
                <w:color w:val="000000"/>
                <w:lang w:val="es-ES"/>
              </w:rPr>
              <w:t xml:space="preserve"> la necesidad de contar conceptos técnicos previos que señalen los motivos de la baja de los bienes y su destinación. Por otra parte, corresponde a cada entidad determinar la normativa específica que resulte pertinente frente a la materia objeto de consulta. </w:t>
            </w:r>
            <w:r>
              <w:rPr>
                <w:rFonts w:ascii="Verdana" w:eastAsia="Calibri" w:hAnsi="Verdana" w:cs="Arial"/>
                <w:color w:val="000000"/>
                <w:lang w:val="es-ES"/>
              </w:rPr>
              <w:t xml:space="preserve">Dependiendo de lo anterior será pertinente </w:t>
            </w:r>
            <w:r w:rsidRPr="00EC1B7C">
              <w:rPr>
                <w:rFonts w:ascii="Verdana" w:eastAsia="Calibri" w:hAnsi="Verdana" w:cs="Arial"/>
                <w:color w:val="000000"/>
                <w:lang w:val="es-ES"/>
              </w:rPr>
              <w:t xml:space="preserve">consultar a </w:t>
            </w:r>
            <w:r>
              <w:rPr>
                <w:rFonts w:ascii="Verdana" w:eastAsia="Calibri" w:hAnsi="Verdana" w:cs="Arial"/>
                <w:color w:val="000000"/>
                <w:lang w:val="es-ES"/>
              </w:rPr>
              <w:t xml:space="preserve">otras </w:t>
            </w:r>
            <w:r w:rsidRPr="00EC1B7C">
              <w:rPr>
                <w:rFonts w:ascii="Verdana" w:eastAsia="Calibri" w:hAnsi="Verdana" w:cs="Arial"/>
                <w:color w:val="000000"/>
                <w:lang w:val="es-ES"/>
              </w:rPr>
              <w:t xml:space="preserve">entidades que resulten competentes según el caso concreto. </w:t>
            </w:r>
          </w:p>
          <w:p w14:paraId="12BE1AA4" w14:textId="77777777" w:rsidR="0099050B" w:rsidRDefault="0099050B" w:rsidP="00405C53">
            <w:pPr>
              <w:widowControl w:val="0"/>
              <w:autoSpaceDE w:val="0"/>
              <w:autoSpaceDN w:val="0"/>
              <w:spacing w:before="120" w:after="120" w:line="276" w:lineRule="auto"/>
              <w:ind w:firstLine="708"/>
              <w:jc w:val="both"/>
              <w:rPr>
                <w:rFonts w:ascii="Verdana" w:hAnsi="Verdana"/>
                <w:color w:val="000000"/>
              </w:rPr>
            </w:pPr>
            <w:r w:rsidRPr="002E607D">
              <w:rPr>
                <w:rFonts w:ascii="Verdana" w:hAnsi="Verdana"/>
                <w:color w:val="000000"/>
              </w:rPr>
              <w:t xml:space="preserve">Ahora bien, la baja de bienes en cabeza de las Entidades Estatales puede incluir aspectos como el desarme para la destrucción, reutilización o enajenación de sus partes; cuando la entidad pretenda la venta de los bienes objeto de consulta será procedente aplicar lo dispuesto en el Estatuto General </w:t>
            </w:r>
            <w:r w:rsidRPr="002E607D">
              <w:rPr>
                <w:rFonts w:ascii="Verdana" w:hAnsi="Verdana"/>
                <w:color w:val="000000"/>
              </w:rPr>
              <w:lastRenderedPageBreak/>
              <w:t>de Contratación de la Administración Pública para la enajenación de bienes del Estado.</w:t>
            </w:r>
          </w:p>
          <w:p w14:paraId="2210AFC4" w14:textId="77777777" w:rsidR="0099050B" w:rsidRDefault="0099050B" w:rsidP="00405C53">
            <w:pPr>
              <w:widowControl w:val="0"/>
              <w:autoSpaceDE w:val="0"/>
              <w:autoSpaceDN w:val="0"/>
              <w:spacing w:before="120" w:after="120" w:line="276" w:lineRule="auto"/>
              <w:ind w:firstLine="708"/>
              <w:jc w:val="both"/>
              <w:rPr>
                <w:rFonts w:ascii="Verdana" w:hAnsi="Verdana"/>
                <w:color w:val="000000"/>
              </w:rPr>
            </w:pPr>
            <w:r w:rsidRPr="002E607D">
              <w:rPr>
                <w:rFonts w:ascii="Verdana" w:hAnsi="Verdana"/>
                <w:color w:val="000000"/>
              </w:rPr>
              <w:t xml:space="preserve">Sobre el marco jurídico aplicable, el literal e) del numeral 2 del artículo 2 de la Ley 1150 de 2007 dispone que la enajenación de bienes del Estado, con excepción de aquellos a que se refiere la Ley 226 de 1995, se realiza a través de la modalidad de selección abreviada, para lo cual las entidades podrán utilizar instrumentos de subasta y en general de todos aquellos mecanismos autorizados por el derecho privado, siempre y cuando en desarrollo del proceso de enajenación se garantice la transparencia, la eficiencia y la selección objetiva. Adicionalmente, establece que para la venta de los bienes se debe tener como base el valor del avalúo comercial y ajustar dicho avalúo de acuerdo a los gastos asociados al tiempo de comercialización esperada, administración, impuestos y mantenimiento, para determinar el precio mínimo al que se debe enajenar el bien. </w:t>
            </w:r>
          </w:p>
          <w:p w14:paraId="7533AFCB" w14:textId="77777777" w:rsidR="0099050B" w:rsidRDefault="0099050B" w:rsidP="00405C53">
            <w:pPr>
              <w:widowControl w:val="0"/>
              <w:autoSpaceDE w:val="0"/>
              <w:autoSpaceDN w:val="0"/>
              <w:spacing w:before="120" w:after="120" w:line="276" w:lineRule="auto"/>
              <w:ind w:firstLine="708"/>
              <w:jc w:val="both"/>
              <w:rPr>
                <w:rStyle w:val="s15"/>
                <w:rFonts w:ascii="Verdana" w:hAnsi="Verdana"/>
                <w:color w:val="000000"/>
                <w:lang w:val="es-ES"/>
              </w:rPr>
            </w:pPr>
            <w:r w:rsidRPr="002E607D">
              <w:rPr>
                <w:rFonts w:ascii="Verdana" w:hAnsi="Verdana"/>
                <w:color w:val="000000"/>
              </w:rPr>
              <w:t xml:space="preserve">En desarrollo de lo anterior, la subsección 2 de la sección 2 del capítulo II del Decreto 1082 de 2015 establece tres mecanismos de enajenación de los bienes del Estado: i) la enajenación directa por sobre cerrado; ii) la enajenación directa a través de subasta pública, teniendo en cuenta que el bien debe ser adjudicado al oferente que haya ofrecido el mayor valor a pagar y, en consecuencia, el margen mínimo debe ser al alza; y iii) la enajenación a través de intermediarios idóneos, en cuyo caso la venta debe realizarse a través de subasta pública o mediante el mecanismo de derecho privado que se convenga con el intermediario. Tratándose de bienes muebles, la </w:t>
            </w:r>
            <w:r>
              <w:rPr>
                <w:rFonts w:ascii="Verdana" w:hAnsi="Verdana"/>
                <w:color w:val="000000"/>
              </w:rPr>
              <w:t>S</w:t>
            </w:r>
            <w:r w:rsidRPr="002E607D">
              <w:rPr>
                <w:rFonts w:ascii="Verdana" w:hAnsi="Verdana"/>
                <w:color w:val="000000"/>
              </w:rPr>
              <w:t>ubsección 4 establece las reglas aplicables</w:t>
            </w:r>
            <w:r>
              <w:rPr>
                <w:rFonts w:ascii="Verdana" w:hAnsi="Verdana"/>
                <w:color w:val="000000"/>
              </w:rPr>
              <w:t xml:space="preserve"> según se trate de bienes muebles sujetos o no a registro</w:t>
            </w:r>
            <w:r w:rsidRPr="002E607D">
              <w:rPr>
                <w:rFonts w:ascii="Verdana" w:hAnsi="Verdana"/>
                <w:color w:val="000000"/>
              </w:rPr>
              <w:t>, que comprenden la determinación de un precio mínimo de venta, para lo cual la entidad debe tener en cuenta el resultado del estudio de las condiciones de mercado, el estado en el cual se encuentran los bienes y el valor registrado en sus libros contables.</w:t>
            </w:r>
            <w:r>
              <w:rPr>
                <w:rFonts w:ascii="Verdana" w:hAnsi="Verdana"/>
                <w:color w:val="000000"/>
              </w:rPr>
              <w:t xml:space="preserve"> Para la enajenación gratuita a otras entidades se seguirá lo dispuesto en el </w:t>
            </w:r>
            <w:r w:rsidRPr="00EC1B7C">
              <w:rPr>
                <w:rFonts w:ascii="Verdana" w:eastAsia="Arial" w:hAnsi="Verdana" w:cs="Arial"/>
                <w:color w:val="000000" w:themeColor="text1"/>
                <w:lang w:val="es-ES"/>
              </w:rPr>
              <w:t>.2.1.2.2.4.3.</w:t>
            </w:r>
            <w:r w:rsidRPr="00EC1B7C">
              <w:rPr>
                <w:rFonts w:ascii="Verdana" w:eastAsia="Arial" w:hAnsi="Verdana" w:cs="Arial"/>
                <w:color w:val="000000" w:themeColor="text1"/>
                <w:spacing w:val="12"/>
                <w:lang w:val="es-ES"/>
              </w:rPr>
              <w:t xml:space="preserve"> </w:t>
            </w:r>
            <w:r w:rsidRPr="00EC1B7C">
              <w:rPr>
                <w:rFonts w:ascii="Verdana" w:eastAsia="Arial" w:hAnsi="Verdana" w:cs="Arial"/>
                <w:color w:val="000000" w:themeColor="text1"/>
                <w:lang w:val="es-ES"/>
              </w:rPr>
              <w:t>del Decreto 1082 de 2015</w:t>
            </w:r>
            <w:r>
              <w:rPr>
                <w:rFonts w:ascii="Verdana" w:eastAsia="Arial" w:hAnsi="Verdana" w:cs="Arial"/>
                <w:color w:val="000000" w:themeColor="text1"/>
                <w:lang w:val="es-ES"/>
              </w:rPr>
              <w:t>.</w:t>
            </w:r>
          </w:p>
          <w:p w14:paraId="5AEBE46C" w14:textId="77777777" w:rsidR="0099050B" w:rsidRPr="00EC1B7C" w:rsidRDefault="0099050B" w:rsidP="00405C53">
            <w:pPr>
              <w:widowControl w:val="0"/>
              <w:autoSpaceDE w:val="0"/>
              <w:autoSpaceDN w:val="0"/>
              <w:spacing w:before="120" w:after="120" w:line="276" w:lineRule="auto"/>
              <w:ind w:firstLine="708"/>
              <w:jc w:val="both"/>
              <w:rPr>
                <w:rFonts w:ascii="Verdana" w:eastAsia="Arial" w:hAnsi="Verdana" w:cs="Arial"/>
                <w:color w:val="000000"/>
                <w:lang w:val="es-ES"/>
              </w:rPr>
            </w:pPr>
            <w:r w:rsidRPr="00EC1B7C">
              <w:rPr>
                <w:rStyle w:val="s15"/>
                <w:rFonts w:ascii="Verdana" w:hAnsi="Verdana"/>
                <w:color w:val="000000"/>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w:t>
            </w:r>
            <w:r w:rsidRPr="00EC1B7C">
              <w:rPr>
                <w:rStyle w:val="apple-converted-space"/>
                <w:rFonts w:ascii="Verdana" w:hAnsi="Verdana"/>
                <w:color w:val="000000"/>
                <w:lang w:val="es-ES"/>
              </w:rPr>
              <w:t> </w:t>
            </w:r>
            <w:r w:rsidRPr="00EC1B7C">
              <w:rPr>
                <w:rStyle w:val="s15"/>
                <w:rFonts w:ascii="Verdana" w:hAnsi="Verdana"/>
                <w:color w:val="000000"/>
                <w:lang w:val="es-ES"/>
              </w:rPr>
              <w:t>Por lo anterior, previo</w:t>
            </w:r>
            <w:r w:rsidRPr="00EC1B7C">
              <w:rPr>
                <w:rStyle w:val="apple-converted-space"/>
                <w:rFonts w:ascii="Verdana" w:hAnsi="Verdana"/>
                <w:color w:val="000000"/>
                <w:lang w:val="es-ES"/>
              </w:rPr>
              <w:t> </w:t>
            </w:r>
            <w:r w:rsidRPr="00EC1B7C">
              <w:rPr>
                <w:rStyle w:val="s15"/>
                <w:rFonts w:ascii="Verdana" w:hAnsi="Verdana"/>
                <w:color w:val="000000"/>
                <w:lang w:val="es-ES"/>
              </w:rPr>
              <w:t xml:space="preserve">concepto de sus asesores, la solución de </w:t>
            </w:r>
            <w:r w:rsidRPr="00EC1B7C">
              <w:rPr>
                <w:rStyle w:val="s15"/>
                <w:rFonts w:ascii="Verdana" w:hAnsi="Verdana"/>
                <w:color w:val="000000"/>
                <w:lang w:val="es-ES"/>
              </w:rPr>
              <w:lastRenderedPageBreak/>
              <w:t>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D4A933E" w14:textId="77777777" w:rsidR="0099050B" w:rsidRPr="00EC1B7C" w:rsidRDefault="0099050B" w:rsidP="0099050B">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0FF9075" w14:textId="77777777" w:rsidR="0099050B" w:rsidRPr="00EC1B7C" w:rsidRDefault="0099050B" w:rsidP="0099050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Razones de la respuesta:</w:t>
      </w:r>
    </w:p>
    <w:p w14:paraId="4755B7BD" w14:textId="77777777" w:rsidR="0099050B" w:rsidRPr="00EC1B7C" w:rsidRDefault="0099050B" w:rsidP="0099050B">
      <w:pPr>
        <w:spacing w:after="0" w:line="276" w:lineRule="auto"/>
        <w:jc w:val="both"/>
        <w:rPr>
          <w:rFonts w:ascii="Verdana" w:eastAsia="Calibri" w:hAnsi="Verdana" w:cs="Arial"/>
          <w:color w:val="000000" w:themeColor="text1"/>
          <w:lang w:val="es-ES"/>
        </w:rPr>
      </w:pPr>
    </w:p>
    <w:p w14:paraId="3E76A254" w14:textId="77777777" w:rsidR="0099050B" w:rsidRPr="00EC1B7C" w:rsidRDefault="0099050B" w:rsidP="0099050B">
      <w:pPr>
        <w:spacing w:after="0" w:line="276" w:lineRule="auto"/>
        <w:jc w:val="both"/>
        <w:rPr>
          <w:rFonts w:ascii="Verdana" w:eastAsia="Calibri" w:hAnsi="Verdana" w:cs="Arial"/>
          <w:color w:val="000000" w:themeColor="text1"/>
          <w:lang w:val="es-ES"/>
        </w:rPr>
      </w:pPr>
      <w:r w:rsidRPr="00EC1B7C">
        <w:rPr>
          <w:rFonts w:ascii="Verdana" w:eastAsia="Calibri" w:hAnsi="Verdana" w:cs="Arial"/>
          <w:color w:val="000000" w:themeColor="text1"/>
          <w:lang w:val="es-ES"/>
        </w:rPr>
        <w:t xml:space="preserve">Lo anterior se sustenta en las siguientes consideraciones: </w:t>
      </w:r>
    </w:p>
    <w:p w14:paraId="683E5418" w14:textId="77777777" w:rsidR="0099050B" w:rsidRPr="00EC1B7C" w:rsidRDefault="0099050B" w:rsidP="0099050B">
      <w:pPr>
        <w:spacing w:after="0" w:line="276" w:lineRule="auto"/>
        <w:jc w:val="both"/>
        <w:rPr>
          <w:rFonts w:ascii="Verdana" w:eastAsia="Calibri" w:hAnsi="Verdana" w:cs="Arial"/>
          <w:lang w:val="es-ES"/>
        </w:rPr>
      </w:pPr>
    </w:p>
    <w:p w14:paraId="3A2D05EB" w14:textId="77777777" w:rsidR="0099050B" w:rsidRPr="00EC1B7C" w:rsidRDefault="0099050B" w:rsidP="0099050B">
      <w:pPr>
        <w:spacing w:after="120" w:line="276" w:lineRule="auto"/>
        <w:jc w:val="both"/>
        <w:rPr>
          <w:rFonts w:ascii="Verdana" w:eastAsia="Calibri" w:hAnsi="Verdana" w:cs="Arial"/>
          <w:color w:val="000000"/>
          <w:lang w:val="es-ES"/>
        </w:rPr>
      </w:pPr>
      <w:r w:rsidRPr="00EC1B7C">
        <w:rPr>
          <w:rFonts w:ascii="Verdana" w:eastAsia="Calibri" w:hAnsi="Verdana" w:cs="Arial"/>
          <w:bCs/>
          <w:lang w:val="es-ES"/>
        </w:rPr>
        <w:t>i.</w:t>
      </w:r>
      <w:r w:rsidRPr="00EC1B7C">
        <w:rPr>
          <w:rFonts w:ascii="Verdana" w:eastAsia="Calibri" w:hAnsi="Verdana" w:cs="Arial"/>
          <w:color w:val="000000"/>
          <w:lang w:val="es-ES"/>
        </w:rPr>
        <w:t xml:space="preserve"> En el marco de la contratación pública no existe una norma única que regule específicamente el "desarme o desmantelamiento de equipos dados de baja para venta por partes", a los cuales se refiere en su consulta. En términos generales, las entidades tienen la potestad de emitir manuales internos que estable</w:t>
      </w:r>
      <w:r>
        <w:rPr>
          <w:rFonts w:ascii="Verdana" w:eastAsia="Calibri" w:hAnsi="Verdana" w:cs="Arial"/>
          <w:color w:val="000000"/>
          <w:lang w:val="es-ES"/>
        </w:rPr>
        <w:t>zcan</w:t>
      </w:r>
      <w:r w:rsidRPr="00EC1B7C">
        <w:rPr>
          <w:rFonts w:ascii="Verdana" w:eastAsia="Calibri" w:hAnsi="Verdana" w:cs="Arial"/>
          <w:color w:val="000000"/>
          <w:lang w:val="es-ES"/>
        </w:rPr>
        <w:t xml:space="preserve"> los procedimientos y reglas para la administraci</w:t>
      </w:r>
      <w:r>
        <w:rPr>
          <w:rFonts w:ascii="Verdana" w:eastAsia="Calibri" w:hAnsi="Verdana" w:cs="Arial"/>
          <w:color w:val="000000"/>
          <w:lang w:val="es-ES"/>
        </w:rPr>
        <w:t xml:space="preserve">ón </w:t>
      </w:r>
      <w:r w:rsidRPr="00EC1B7C">
        <w:rPr>
          <w:rFonts w:ascii="Verdana" w:eastAsia="Calibri" w:hAnsi="Verdana" w:cs="Arial"/>
          <w:color w:val="000000"/>
          <w:lang w:val="es-ES"/>
        </w:rPr>
        <w:t>de sus bienes, en los cuales puede</w:t>
      </w:r>
      <w:r>
        <w:rPr>
          <w:rFonts w:ascii="Verdana" w:eastAsia="Calibri" w:hAnsi="Verdana" w:cs="Arial"/>
          <w:color w:val="000000"/>
          <w:lang w:val="es-ES"/>
        </w:rPr>
        <w:t>n</w:t>
      </w:r>
      <w:r w:rsidRPr="00EC1B7C">
        <w:rPr>
          <w:rFonts w:ascii="Verdana" w:eastAsia="Calibri" w:hAnsi="Verdana" w:cs="Arial"/>
          <w:color w:val="000000"/>
          <w:lang w:val="es-ES"/>
        </w:rPr>
        <w:t xml:space="preserve"> determinar aspectos como</w:t>
      </w:r>
      <w:r>
        <w:rPr>
          <w:rFonts w:ascii="Verdana" w:eastAsia="Calibri" w:hAnsi="Verdana" w:cs="Arial"/>
          <w:color w:val="000000"/>
          <w:lang w:val="es-ES"/>
        </w:rPr>
        <w:t>, por ejemplo,</w:t>
      </w:r>
      <w:r w:rsidRPr="00EC1B7C">
        <w:rPr>
          <w:rFonts w:ascii="Verdana" w:eastAsia="Calibri" w:hAnsi="Verdana" w:cs="Arial"/>
          <w:color w:val="000000"/>
          <w:lang w:val="es-ES"/>
        </w:rPr>
        <w:t xml:space="preserve"> la necesidad de contar conceptos técnicos previos que señalen los motivos de la baja de los bienes y su destinación. Por otra parte, corresponde a cada entidad determinar la normativa específica que resulte pertinente frente a la materia objeto de consulta. </w:t>
      </w:r>
      <w:r>
        <w:rPr>
          <w:rFonts w:ascii="Verdana" w:eastAsia="Calibri" w:hAnsi="Verdana" w:cs="Arial"/>
          <w:color w:val="000000"/>
          <w:lang w:val="es-ES"/>
        </w:rPr>
        <w:t xml:space="preserve">Dependiendo de lo anterior será pertinente </w:t>
      </w:r>
      <w:r w:rsidRPr="00EC1B7C">
        <w:rPr>
          <w:rFonts w:ascii="Verdana" w:eastAsia="Calibri" w:hAnsi="Verdana" w:cs="Arial"/>
          <w:color w:val="000000"/>
          <w:lang w:val="es-ES"/>
        </w:rPr>
        <w:t xml:space="preserve">consultar a </w:t>
      </w:r>
      <w:r>
        <w:rPr>
          <w:rFonts w:ascii="Verdana" w:eastAsia="Calibri" w:hAnsi="Verdana" w:cs="Arial"/>
          <w:color w:val="000000"/>
          <w:lang w:val="es-ES"/>
        </w:rPr>
        <w:t xml:space="preserve">otras </w:t>
      </w:r>
      <w:r w:rsidRPr="00EC1B7C">
        <w:rPr>
          <w:rFonts w:ascii="Verdana" w:eastAsia="Calibri" w:hAnsi="Verdana" w:cs="Arial"/>
          <w:color w:val="000000"/>
          <w:lang w:val="es-ES"/>
        </w:rPr>
        <w:t xml:space="preserve">entidades que resulten competentes según el caso concreto. </w:t>
      </w:r>
    </w:p>
    <w:p w14:paraId="6C48E31B" w14:textId="77777777" w:rsidR="0099050B" w:rsidRPr="00EC1B7C" w:rsidRDefault="0099050B" w:rsidP="0099050B">
      <w:pPr>
        <w:spacing w:after="120" w:line="276" w:lineRule="auto"/>
        <w:ind w:firstLine="709"/>
        <w:jc w:val="both"/>
        <w:rPr>
          <w:rFonts w:ascii="Verdana" w:eastAsia="Calibri" w:hAnsi="Verdana" w:cs="Arial"/>
          <w:color w:val="000000"/>
          <w:lang w:val="es-ES"/>
        </w:rPr>
      </w:pPr>
      <w:r w:rsidRPr="00EC1B7C">
        <w:rPr>
          <w:rFonts w:ascii="Verdana" w:eastAsia="Calibri" w:hAnsi="Verdana" w:cs="Arial"/>
          <w:color w:val="000000"/>
          <w:lang w:val="es-ES"/>
        </w:rPr>
        <w:t xml:space="preserve">Por otra parte, la baja de bienes en cabeza de las </w:t>
      </w:r>
      <w:r>
        <w:rPr>
          <w:rFonts w:ascii="Verdana" w:eastAsia="Calibri" w:hAnsi="Verdana" w:cs="Arial"/>
          <w:color w:val="000000"/>
          <w:lang w:val="es-ES"/>
        </w:rPr>
        <w:t>E</w:t>
      </w:r>
      <w:r w:rsidRPr="00EC1B7C">
        <w:rPr>
          <w:rFonts w:ascii="Verdana" w:eastAsia="Calibri" w:hAnsi="Verdana" w:cs="Arial"/>
          <w:color w:val="000000"/>
          <w:lang w:val="es-ES"/>
        </w:rPr>
        <w:t xml:space="preserve">ntidades </w:t>
      </w:r>
      <w:r>
        <w:rPr>
          <w:rFonts w:ascii="Verdana" w:eastAsia="Calibri" w:hAnsi="Verdana" w:cs="Arial"/>
          <w:color w:val="000000"/>
          <w:lang w:val="es-ES"/>
        </w:rPr>
        <w:t>E</w:t>
      </w:r>
      <w:r w:rsidRPr="00EC1B7C">
        <w:rPr>
          <w:rFonts w:ascii="Verdana" w:eastAsia="Calibri" w:hAnsi="Verdana" w:cs="Arial"/>
          <w:color w:val="000000"/>
          <w:lang w:val="es-ES"/>
        </w:rPr>
        <w:t xml:space="preserve">statales puede incluir aspectos como el desarme para la destrucción, reutilización o enajenación de sus partes. Cuando la entidad pretenda la venta de los bienes objeto de consulta será procedente aplicar lo dispuesto en el Estatuto General de Contratación de la Administración Pública para </w:t>
      </w:r>
      <w:r w:rsidRPr="008560BC">
        <w:rPr>
          <w:rFonts w:ascii="Verdana" w:eastAsia="Calibri" w:hAnsi="Verdana" w:cs="Arial"/>
          <w:color w:val="000000"/>
          <w:lang w:val="es-ES"/>
        </w:rPr>
        <w:t>la enajenación de bienes del Estado</w:t>
      </w:r>
      <w:r w:rsidRPr="00EC1B7C">
        <w:rPr>
          <w:rFonts w:ascii="Verdana" w:eastAsia="Calibri" w:hAnsi="Verdana" w:cs="Arial"/>
          <w:color w:val="000000"/>
          <w:lang w:val="es-ES"/>
        </w:rPr>
        <w:t>.</w:t>
      </w:r>
    </w:p>
    <w:p w14:paraId="433D81BD" w14:textId="77777777" w:rsidR="0099050B" w:rsidRPr="00EC1B7C" w:rsidRDefault="0099050B" w:rsidP="0099050B">
      <w:pPr>
        <w:spacing w:after="120" w:line="276" w:lineRule="auto"/>
        <w:ind w:firstLine="709"/>
        <w:jc w:val="both"/>
        <w:rPr>
          <w:rFonts w:ascii="Verdana" w:eastAsia="Calibri" w:hAnsi="Verdana" w:cs="Arial"/>
          <w:color w:val="000000"/>
          <w:lang w:val="es-ES"/>
        </w:rPr>
      </w:pPr>
      <w:r w:rsidRPr="00EC1B7C">
        <w:rPr>
          <w:rFonts w:ascii="Verdana" w:eastAsia="Times New Roman" w:hAnsi="Verdana" w:cs="Arial"/>
          <w:color w:val="000000" w:themeColor="text1"/>
          <w:lang w:val="es-ES" w:eastAsia="es-ES_tradnl"/>
        </w:rPr>
        <w:t>La enajenación se define como la transferencia del derecho real</w:t>
      </w:r>
      <w:r w:rsidRPr="00EC1B7C">
        <w:rPr>
          <w:rFonts w:ascii="Verdana" w:eastAsia="Times New Roman" w:hAnsi="Verdana" w:cs="Arial"/>
          <w:color w:val="000000" w:themeColor="text1"/>
          <w:vertAlign w:val="superscript"/>
          <w:lang w:val="es-ES" w:eastAsia="es-ES_tradnl"/>
        </w:rPr>
        <w:footnoteReference w:id="2"/>
      </w:r>
      <w:r w:rsidRPr="00EC1B7C">
        <w:rPr>
          <w:rFonts w:ascii="Verdana" w:eastAsia="Times New Roman" w:hAnsi="Verdana" w:cs="Arial"/>
          <w:color w:val="000000" w:themeColor="text1"/>
          <w:lang w:val="es-ES" w:eastAsia="es-ES_tradnl"/>
        </w:rPr>
        <w:t xml:space="preserve"> sobre un bien</w:t>
      </w:r>
      <w:r w:rsidRPr="00EC1B7C">
        <w:rPr>
          <w:rFonts w:ascii="Verdana" w:eastAsia="Times New Roman" w:hAnsi="Verdana" w:cs="Arial"/>
          <w:color w:val="000000" w:themeColor="text1"/>
          <w:vertAlign w:val="superscript"/>
          <w:lang w:val="es-ES" w:eastAsia="es-ES_tradnl"/>
        </w:rPr>
        <w:footnoteReference w:id="3"/>
      </w:r>
      <w:r w:rsidRPr="00EC1B7C">
        <w:rPr>
          <w:rFonts w:ascii="Verdana" w:eastAsia="Times New Roman" w:hAnsi="Verdana" w:cs="Arial"/>
          <w:color w:val="000000" w:themeColor="text1"/>
          <w:lang w:val="es-ES" w:eastAsia="es-ES_tradnl"/>
        </w:rPr>
        <w:t>. Como indica la doctrina, “</w:t>
      </w:r>
      <w:r w:rsidRPr="00EC1B7C">
        <w:rPr>
          <w:rFonts w:ascii="Verdana" w:eastAsia="Times New Roman" w:hAnsi="Verdana" w:cs="Arial"/>
          <w:i/>
          <w:iCs/>
          <w:color w:val="000000" w:themeColor="text1"/>
          <w:lang w:val="es-ES" w:eastAsia="es-ES_tradnl"/>
        </w:rPr>
        <w:t xml:space="preserve">Dar –en sentido restringido–, traditar, enajenar, </w:t>
      </w:r>
      <w:r w:rsidRPr="00EC1B7C">
        <w:rPr>
          <w:rFonts w:ascii="Verdana" w:eastAsia="Times New Roman" w:hAnsi="Verdana" w:cs="Arial"/>
          <w:i/>
          <w:iCs/>
          <w:color w:val="000000" w:themeColor="text1"/>
          <w:lang w:val="es-ES" w:eastAsia="es-ES_tradnl"/>
        </w:rPr>
        <w:lastRenderedPageBreak/>
        <w:t>disponer, son conceptos sinónimos en el Código Civil. Cuando se da, se enajena. Cuando se tradita, se enajena, Cuando se enajena, se da o se tradita. Y, finalmente, cuando ocurre cualquiera de tales fenómenos, se dispone”</w:t>
      </w:r>
      <w:r w:rsidRPr="00EC1B7C">
        <w:rPr>
          <w:rFonts w:ascii="Verdana" w:eastAsia="Times New Roman" w:hAnsi="Verdana" w:cs="Arial"/>
          <w:i/>
          <w:iCs/>
          <w:color w:val="000000" w:themeColor="text1"/>
          <w:vertAlign w:val="superscript"/>
          <w:lang w:val="es-ES" w:eastAsia="es-ES_tradnl"/>
        </w:rPr>
        <w:footnoteReference w:id="4"/>
      </w:r>
      <w:r w:rsidRPr="00EC1B7C">
        <w:rPr>
          <w:rFonts w:ascii="Verdana" w:eastAsia="Times New Roman" w:hAnsi="Verdana" w:cs="Arial"/>
          <w:i/>
          <w:iCs/>
          <w:color w:val="000000" w:themeColor="text1"/>
          <w:lang w:val="es-ES" w:eastAsia="es-ES_tradnl"/>
        </w:rPr>
        <w:t>.</w:t>
      </w:r>
      <w:r w:rsidRPr="00EC1B7C">
        <w:rPr>
          <w:rFonts w:ascii="Verdana" w:eastAsia="Times New Roman" w:hAnsi="Verdana" w:cs="Arial"/>
          <w:color w:val="000000" w:themeColor="text1"/>
          <w:lang w:val="es-ES" w:eastAsia="es-ES_tradnl"/>
        </w:rPr>
        <w:t xml:space="preserve"> Lo más usual es que la enajenación se lleve a cabo respecto del derecho de propiedad; y en tal caso se efectúa a través de los modos señalados en el artículo 673 del Código Civil</w:t>
      </w:r>
      <w:r w:rsidRPr="00EC1B7C">
        <w:rPr>
          <w:rFonts w:ascii="Verdana" w:eastAsia="Times New Roman" w:hAnsi="Verdana" w:cs="Arial"/>
          <w:color w:val="000000" w:themeColor="text1"/>
          <w:vertAlign w:val="superscript"/>
          <w:lang w:val="es-ES" w:eastAsia="es-ES_tradnl"/>
        </w:rPr>
        <w:footnoteReference w:id="5"/>
      </w:r>
      <w:r w:rsidRPr="00EC1B7C">
        <w:rPr>
          <w:rFonts w:ascii="Verdana" w:eastAsia="Times New Roman" w:hAnsi="Verdana" w:cs="Arial"/>
          <w:color w:val="000000" w:themeColor="text1"/>
          <w:lang w:val="es-ES" w:eastAsia="es-ES_tradnl"/>
        </w:rPr>
        <w:t>, pudiendo recaer tanto sobre los bienes muebles, como inmuebles, aunque frente a estos la ley exige solemnidades especiales</w:t>
      </w:r>
      <w:r w:rsidRPr="00EC1B7C">
        <w:rPr>
          <w:rFonts w:ascii="Verdana" w:eastAsia="Times New Roman" w:hAnsi="Verdana" w:cs="Arial"/>
          <w:color w:val="000000" w:themeColor="text1"/>
          <w:vertAlign w:val="superscript"/>
          <w:lang w:val="es-ES" w:eastAsia="es-ES_tradnl"/>
        </w:rPr>
        <w:footnoteReference w:id="6"/>
      </w:r>
      <w:r w:rsidRPr="00EC1B7C">
        <w:rPr>
          <w:rFonts w:ascii="Verdana" w:eastAsia="Times New Roman" w:hAnsi="Verdana" w:cs="Arial"/>
          <w:color w:val="000000" w:themeColor="text1"/>
          <w:lang w:val="es-ES" w:eastAsia="es-ES_tradnl"/>
        </w:rPr>
        <w:t>. Entretanto, el artículo 1521 del Código Civil dispone que se presenta objeto ilícito en la enajenación: i) “De las cosas que no están en el comercio”, ii) “De los derechos o privilegios que no pueden transferirse a otra persona” y iii) “De las cosas embargadas por decreto judicial, a menos que el juez lo autorice o el acreedor consienta en ello”.</w:t>
      </w:r>
    </w:p>
    <w:p w14:paraId="29A6FE1D" w14:textId="77777777" w:rsidR="0099050B" w:rsidRPr="00EC1B7C" w:rsidRDefault="0099050B" w:rsidP="0099050B">
      <w:pPr>
        <w:spacing w:after="120" w:line="276" w:lineRule="auto"/>
        <w:ind w:firstLine="709"/>
        <w:jc w:val="both"/>
        <w:rPr>
          <w:rFonts w:ascii="Verdana" w:eastAsia="Times New Roman" w:hAnsi="Verdana" w:cs="Arial"/>
          <w:lang w:val="es-ES" w:eastAsia="es-ES_tradnl"/>
        </w:rPr>
      </w:pPr>
      <w:r w:rsidRPr="00EC1B7C">
        <w:rPr>
          <w:rFonts w:ascii="Verdana" w:eastAsia="Times New Roman" w:hAnsi="Verdana" w:cs="Arial"/>
          <w:color w:val="000000" w:themeColor="text1"/>
          <w:lang w:val="es-ES" w:eastAsia="es-ES_tradnl"/>
        </w:rPr>
        <w:t xml:space="preserve">La enajenación de bienes a título gratuito está relacionada con el contrato de donación, definido en </w:t>
      </w:r>
      <w:r w:rsidRPr="00EC1B7C">
        <w:rPr>
          <w:rFonts w:ascii="Verdana" w:eastAsia="Times New Roman" w:hAnsi="Verdana" w:cs="Arial"/>
          <w:lang w:val="es-ES" w:eastAsia="es-ES_tradnl"/>
        </w:rPr>
        <w:t>Código Civil como “</w:t>
      </w:r>
      <w:r w:rsidRPr="00EC1B7C">
        <w:rPr>
          <w:rFonts w:ascii="Verdana" w:eastAsia="Times New Roman" w:hAnsi="Verdana" w:cs="Arial"/>
          <w:i/>
          <w:iCs/>
          <w:lang w:val="es-ES" w:eastAsia="es-ES_tradnl"/>
        </w:rPr>
        <w:t>un acto por el cual una persona transfiere, gratuita e irrevocablemente, una parte de sus bienes a otra persona que la acepta”</w:t>
      </w:r>
      <w:r w:rsidRPr="00EC1B7C">
        <w:rPr>
          <w:rFonts w:ascii="Verdana" w:eastAsia="Times New Roman" w:hAnsi="Verdana" w:cs="Arial"/>
          <w:lang w:val="es-ES" w:eastAsia="es-ES_tradnl"/>
        </w:rPr>
        <w:t>. El Consejo de Estado</w:t>
      </w:r>
      <w:r w:rsidRPr="00EC1B7C">
        <w:rPr>
          <w:rFonts w:ascii="Verdana" w:eastAsia="Times New Roman" w:hAnsi="Verdana" w:cs="Arial"/>
          <w:vertAlign w:val="superscript"/>
          <w:lang w:val="es-ES" w:eastAsia="es-ES_tradnl"/>
        </w:rPr>
        <w:footnoteReference w:id="7"/>
      </w:r>
      <w:r w:rsidRPr="00EC1B7C">
        <w:rPr>
          <w:rFonts w:ascii="Verdana" w:eastAsia="Times New Roman" w:hAnsi="Verdana" w:cs="Arial"/>
          <w:lang w:val="es-ES" w:eastAsia="es-ES_tradnl"/>
        </w:rPr>
        <w:t xml:space="preserve"> sostuvo respecto de la definición de la donación del Código Civil, que era naturalmente imprecisa toda vez que la donación es un verdadero “contrato” y no solo un acto, lo anterior porque para el perfeccionamiento del “contrato” concurre i) la voluntad dispositiva de la persona que pretende entregar parte de su patrimonio –donante– y ii) la aceptación de quien recibirá el beneficio económico –donatario–</w:t>
      </w:r>
      <w:r w:rsidRPr="00EC1B7C">
        <w:rPr>
          <w:rFonts w:ascii="Verdana" w:eastAsia="Times New Roman" w:hAnsi="Verdana" w:cs="Arial"/>
          <w:vertAlign w:val="superscript"/>
          <w:lang w:val="es-ES" w:eastAsia="es-ES_tradnl"/>
        </w:rPr>
        <w:t xml:space="preserve"> </w:t>
      </w:r>
    </w:p>
    <w:p w14:paraId="066F58D5" w14:textId="77777777" w:rsidR="0099050B" w:rsidRPr="00EC1B7C" w:rsidRDefault="0099050B" w:rsidP="0099050B">
      <w:pPr>
        <w:spacing w:after="120" w:line="276" w:lineRule="auto"/>
        <w:ind w:firstLine="708"/>
        <w:jc w:val="both"/>
        <w:rPr>
          <w:rFonts w:ascii="Verdana" w:eastAsia="Times New Roman" w:hAnsi="Verdana" w:cs="Arial"/>
          <w:color w:val="000000" w:themeColor="text1"/>
          <w:lang w:val="es-ES" w:eastAsia="es-ES_tradnl"/>
        </w:rPr>
      </w:pPr>
      <w:r w:rsidRPr="00EC1B7C">
        <w:rPr>
          <w:rFonts w:ascii="Verdana" w:eastAsia="Times New Roman" w:hAnsi="Verdana" w:cs="Arial"/>
          <w:color w:val="000000" w:themeColor="text1"/>
          <w:lang w:val="es-ES" w:eastAsia="es-ES_tradnl"/>
        </w:rPr>
        <w:t>Respecto del tipo de bienes que pueden ser objeto de donación es importante resaltar, en primer lugar, que el artículo 654 del Código Civil clasifica las cosas corporales en muebles e inmuebles. El artículo 655 define los bienes muebles como los que “</w:t>
      </w:r>
      <w:r w:rsidRPr="00EC1B7C">
        <w:rPr>
          <w:rFonts w:ascii="Verdana" w:eastAsia="Times New Roman" w:hAnsi="Verdana" w:cs="Arial"/>
          <w:i/>
          <w:iCs/>
          <w:color w:val="000000" w:themeColor="text1"/>
          <w:lang w:val="es-ES" w:eastAsia="es-ES_tradnl"/>
        </w:rPr>
        <w:t>pueden transportarse de un lugar a otro, sea moviéndose ellas a sí mismas como los animales</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i/>
          <w:iCs/>
          <w:color w:val="000000" w:themeColor="text1"/>
          <w:lang w:val="es-ES" w:eastAsia="es-ES_tradnl"/>
        </w:rPr>
        <w:t xml:space="preserve">que por eso se llaman semovientes), sea </w:t>
      </w:r>
      <w:r w:rsidRPr="00EC1B7C">
        <w:rPr>
          <w:rFonts w:ascii="Verdana" w:eastAsia="Times New Roman" w:hAnsi="Verdana" w:cs="Arial"/>
          <w:i/>
          <w:iCs/>
          <w:color w:val="000000" w:themeColor="text1"/>
          <w:lang w:val="es-ES" w:eastAsia="es-ES_tradnl"/>
        </w:rPr>
        <w:lastRenderedPageBreak/>
        <w:t>que sólo se muevan por una fuerza externa, como las cosas inanimadas”</w:t>
      </w:r>
      <w:r w:rsidRPr="00EC1B7C">
        <w:rPr>
          <w:rFonts w:ascii="Verdana" w:eastAsia="Times New Roman" w:hAnsi="Verdana" w:cs="Arial"/>
          <w:color w:val="000000" w:themeColor="text1"/>
          <w:lang w:val="es-ES" w:eastAsia="es-ES_tradnl"/>
        </w:rPr>
        <w:t>, mientras que el artículo 656 define los inmuebles así: “</w:t>
      </w:r>
      <w:r w:rsidRPr="00EC1B7C">
        <w:rPr>
          <w:rFonts w:ascii="Verdana" w:eastAsia="Times New Roman" w:hAnsi="Verdana" w:cs="Arial"/>
          <w:i/>
          <w:iCs/>
          <w:color w:val="000000" w:themeColor="text1"/>
          <w:lang w:val="es-ES" w:eastAsia="es-ES_tradnl"/>
        </w:rPr>
        <w:t>Inmuebles o fincas o bienes raíces son las cosas que no pueden transportarse de un lugar a otro; como las tierras y minas, y las que adhieren permanentemente a ellas, como los edificios, los árboles. Las casas y veredas se llaman predios o fundos”.</w:t>
      </w:r>
      <w:r w:rsidRPr="00EC1B7C">
        <w:rPr>
          <w:rFonts w:ascii="Verdana" w:eastAsia="Times New Roman" w:hAnsi="Verdana" w:cs="Arial"/>
          <w:color w:val="000000" w:themeColor="text1"/>
          <w:lang w:val="es-ES" w:eastAsia="es-ES_tradnl"/>
        </w:rPr>
        <w:t xml:space="preserve"> No obstante, esta definición se refiere a los inmuebles por naturaleza, pues el Código también considera inmuebles a las cosas que en principio eran muebles, pero que por su destinación o adhesión mutan su categoría. </w:t>
      </w:r>
    </w:p>
    <w:p w14:paraId="78AFA2FD" w14:textId="77777777" w:rsidR="0099050B" w:rsidRPr="00EC1B7C" w:rsidRDefault="0099050B" w:rsidP="0099050B">
      <w:pPr>
        <w:spacing w:after="120" w:line="276" w:lineRule="auto"/>
        <w:ind w:firstLine="708"/>
        <w:jc w:val="both"/>
        <w:rPr>
          <w:rFonts w:ascii="Verdana" w:eastAsia="Times New Roman" w:hAnsi="Verdana" w:cs="Arial"/>
          <w:i/>
          <w:iCs/>
          <w:lang w:val="es-ES" w:eastAsia="es-ES_tradnl"/>
        </w:rPr>
      </w:pPr>
      <w:r w:rsidRPr="00EC1B7C">
        <w:rPr>
          <w:rFonts w:ascii="Verdana" w:eastAsia="Times New Roman" w:hAnsi="Verdana" w:cs="Arial"/>
          <w:lang w:val="es-ES" w:eastAsia="es-ES_tradnl"/>
        </w:rPr>
        <w:t>Por otro lado, el artículo 674 del Código Civil define los bienes de dominio público como aquellos que “</w:t>
      </w:r>
      <w:r w:rsidRPr="00EC1B7C">
        <w:rPr>
          <w:rFonts w:ascii="Verdana" w:eastAsia="Times New Roman" w:hAnsi="Verdana" w:cs="Arial"/>
          <w:i/>
          <w:iCs/>
          <w:lang w:val="es-ES" w:eastAsia="es-ES_tradnl"/>
        </w:rPr>
        <w:t xml:space="preserve">[…] pertenece a todos los habitantes de un Territorio, como el de calles, plazas, puentes y caminos, se llaman bienes de la Unión o de uso público o bienes públicos del Territorio”. </w:t>
      </w:r>
      <w:r w:rsidRPr="00EC1B7C">
        <w:rPr>
          <w:rFonts w:ascii="Verdana" w:eastAsia="Times New Roman" w:hAnsi="Verdana" w:cs="Arial"/>
          <w:lang w:val="es-ES" w:eastAsia="es-ES_tradnl"/>
        </w:rPr>
        <w:t>Los bienes de dominio público, de acuerdo con la sentencia C- 183 de 2003 de la Corte Constitucional, son “</w:t>
      </w:r>
      <w:r w:rsidRPr="00EC1B7C">
        <w:rPr>
          <w:rFonts w:ascii="Verdana" w:eastAsia="Times New Roman" w:hAnsi="Verdana" w:cs="Arial"/>
          <w:i/>
          <w:iCs/>
          <w:lang w:val="es-ES" w:eastAsia="es-ES_tradnl"/>
        </w:rPr>
        <w:t>el conjunto de bienes que la administración afecta al uso directo de la comunidad o que lo utiliza para servir a la sociedad”</w:t>
      </w:r>
      <w:r w:rsidRPr="00EC1B7C">
        <w:rPr>
          <w:rFonts w:ascii="Verdana" w:eastAsia="Times New Roman" w:hAnsi="Verdana" w:cs="Arial"/>
          <w:lang w:val="es-ES" w:eastAsia="es-ES_tradnl"/>
        </w:rPr>
        <w:t>. Dentro de esta categoría se encuentran los bienes fiscales y los bienes de uso público.</w:t>
      </w:r>
      <w:r w:rsidRPr="00EC1B7C">
        <w:rPr>
          <w:rFonts w:ascii="Verdana" w:eastAsia="Times New Roman" w:hAnsi="Verdana" w:cs="Arial"/>
          <w:vertAlign w:val="superscript"/>
          <w:lang w:val="es-ES" w:eastAsia="es-ES_tradnl"/>
        </w:rPr>
        <w:footnoteReference w:id="8"/>
      </w:r>
      <w:r w:rsidRPr="00EC1B7C">
        <w:rPr>
          <w:rFonts w:ascii="Verdana" w:eastAsia="Times New Roman" w:hAnsi="Verdana" w:cs="Arial"/>
          <w:lang w:val="es-ES" w:eastAsia="es-ES_tradnl"/>
        </w:rPr>
        <w:t xml:space="preserve"> Los bienes fiscales, de acuerdo con el Alto Tribunal Constitucional</w:t>
      </w:r>
      <w:r w:rsidRPr="00EC1B7C">
        <w:rPr>
          <w:rFonts w:ascii="Verdana" w:eastAsia="Times New Roman" w:hAnsi="Verdana" w:cs="Arial"/>
          <w:vertAlign w:val="superscript"/>
          <w:lang w:val="es-ES" w:eastAsia="es-ES_tradnl"/>
        </w:rPr>
        <w:footnoteReference w:id="9"/>
      </w:r>
      <w:r w:rsidRPr="00EC1B7C">
        <w:rPr>
          <w:rFonts w:ascii="Verdana" w:eastAsia="Times New Roman" w:hAnsi="Verdana" w:cs="Arial"/>
          <w:lang w:val="es-ES" w:eastAsia="es-ES_tradnl"/>
        </w:rPr>
        <w:t xml:space="preserve">, están destinados a la prestación de servicios públicos que la Administración utiliza de forma inmediata, como los edificios donde funcionan las oficinas públicas. </w:t>
      </w:r>
    </w:p>
    <w:p w14:paraId="050CCC49" w14:textId="77777777" w:rsidR="0099050B" w:rsidRPr="00EC1B7C" w:rsidRDefault="0099050B" w:rsidP="0099050B">
      <w:pPr>
        <w:spacing w:after="12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t xml:space="preserve">A su vez, el Consejo de Estado, define los bienes fiscales como </w:t>
      </w:r>
      <w:r w:rsidRPr="00EC1B7C">
        <w:rPr>
          <w:rFonts w:ascii="Verdana" w:eastAsia="Times New Roman" w:hAnsi="Verdana" w:cs="Arial"/>
          <w:i/>
          <w:iCs/>
          <w:lang w:val="es-ES" w:eastAsia="es-ES_tradnl"/>
        </w:rPr>
        <w:t xml:space="preserve">“aquellos que pertenecen  </w:t>
      </w:r>
      <w:r w:rsidRPr="00EC1B7C">
        <w:rPr>
          <w:rFonts w:ascii="Verdana" w:eastAsia="Times New Roman" w:hAnsi="Verdana" w:cs="Arial"/>
          <w:i/>
          <w:iCs/>
          <w:color w:val="000000" w:themeColor="text1"/>
          <w:lang w:val="es-ES" w:eastAsia="es-ES_tradnl"/>
        </w:rPr>
        <w:t>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w:t>
      </w:r>
      <w:r w:rsidRPr="00EC1B7C">
        <w:rPr>
          <w:rFonts w:ascii="Verdana" w:eastAsia="Times New Roman" w:hAnsi="Verdana" w:cs="Arial"/>
          <w:i/>
          <w:iCs/>
          <w:color w:val="000000" w:themeColor="text1"/>
          <w:spacing w:val="-27"/>
          <w:lang w:val="es-ES" w:eastAsia="es-ES_tradnl"/>
        </w:rPr>
        <w:t xml:space="preserve"> </w:t>
      </w:r>
      <w:r w:rsidRPr="00EC1B7C">
        <w:rPr>
          <w:rFonts w:ascii="Verdana" w:eastAsia="Times New Roman" w:hAnsi="Verdana" w:cs="Arial"/>
          <w:i/>
          <w:iCs/>
          <w:color w:val="000000" w:themeColor="text1"/>
          <w:lang w:val="es-ES" w:eastAsia="es-ES_tradnl"/>
        </w:rPr>
        <w:t>propiedad”</w:t>
      </w:r>
      <w:r w:rsidRPr="00EC1B7C">
        <w:rPr>
          <w:rFonts w:ascii="Verdana" w:eastAsia="Times New Roman" w:hAnsi="Verdana" w:cs="Arial"/>
          <w:i/>
          <w:iCs/>
          <w:vertAlign w:val="superscript"/>
          <w:lang w:val="es-ES" w:eastAsia="es-ES_tradnl"/>
        </w:rPr>
        <w:footnoteReference w:id="10"/>
      </w:r>
      <w:r w:rsidRPr="00EC1B7C">
        <w:rPr>
          <w:rFonts w:ascii="Verdana" w:eastAsia="Times New Roman" w:hAnsi="Verdana" w:cs="Arial"/>
          <w:vertAlign w:val="superscript"/>
          <w:lang w:val="es-ES" w:eastAsia="es-ES_tradnl"/>
        </w:rPr>
        <w:t>.</w:t>
      </w:r>
      <w:r w:rsidRPr="00EC1B7C">
        <w:rPr>
          <w:rFonts w:ascii="Verdana" w:eastAsia="Times New Roman" w:hAnsi="Verdana" w:cs="Arial"/>
          <w:color w:val="000000" w:themeColor="text1"/>
          <w:lang w:val="es-ES" w:eastAsia="es-ES_tradnl"/>
        </w:rPr>
        <w:t xml:space="preserve"> </w:t>
      </w:r>
      <w:r w:rsidRPr="00EC1B7C">
        <w:rPr>
          <w:rFonts w:ascii="Verdana" w:eastAsia="Times New Roman" w:hAnsi="Verdana" w:cs="Arial"/>
          <w:lang w:val="es-ES" w:eastAsia="es-ES_tradnl"/>
        </w:rPr>
        <w:t>De esta forma, sobre los bienes fiscales, a pesar de estar destinados a la prestación de servicios públicos, las Entidades Estatales tienen la facultad de disponer de ellos a través de un acto jurídico como la compraventa, la donación, el arriendo, entre</w:t>
      </w:r>
      <w:r w:rsidRPr="00EC1B7C">
        <w:rPr>
          <w:rFonts w:ascii="Verdana" w:eastAsia="Times New Roman" w:hAnsi="Verdana" w:cs="Arial"/>
          <w:spacing w:val="-3"/>
          <w:lang w:val="es-ES" w:eastAsia="es-ES_tradnl"/>
        </w:rPr>
        <w:t xml:space="preserve"> </w:t>
      </w:r>
      <w:r w:rsidRPr="00EC1B7C">
        <w:rPr>
          <w:rFonts w:ascii="Verdana" w:eastAsia="Times New Roman" w:hAnsi="Verdana" w:cs="Arial"/>
          <w:lang w:val="es-ES" w:eastAsia="es-ES_tradnl"/>
        </w:rPr>
        <w:t>otros.</w:t>
      </w:r>
      <w:r w:rsidRPr="00EC1B7C">
        <w:rPr>
          <w:rFonts w:ascii="Verdana" w:eastAsia="Times New Roman" w:hAnsi="Verdana" w:cs="Arial"/>
          <w:vertAlign w:val="superscript"/>
          <w:lang w:val="es-ES" w:eastAsia="es-ES_tradnl"/>
        </w:rPr>
        <w:t xml:space="preserve"> </w:t>
      </w:r>
    </w:p>
    <w:p w14:paraId="5705B01C" w14:textId="77777777" w:rsidR="0099050B" w:rsidRDefault="0099050B" w:rsidP="0099050B">
      <w:pPr>
        <w:spacing w:after="0" w:line="276" w:lineRule="auto"/>
        <w:ind w:firstLine="720"/>
        <w:jc w:val="both"/>
        <w:rPr>
          <w:rFonts w:ascii="Verdana" w:eastAsia="Times New Roman" w:hAnsi="Verdana" w:cs="Arial"/>
          <w:lang w:val="es-ES" w:eastAsia="es-ES_tradnl"/>
        </w:rPr>
      </w:pPr>
      <w:r w:rsidRPr="00EC1B7C">
        <w:rPr>
          <w:rFonts w:ascii="Verdana" w:eastAsia="Times New Roman" w:hAnsi="Verdana" w:cs="Arial"/>
          <w:lang w:val="es-ES" w:eastAsia="es-ES_tradnl"/>
        </w:rPr>
        <w:lastRenderedPageBreak/>
        <w:t xml:space="preserve">Acerca de los bienes de uso público, el Consejo de Estado los define como </w:t>
      </w:r>
      <w:r w:rsidRPr="00EC1B7C">
        <w:rPr>
          <w:rFonts w:ascii="Verdana" w:eastAsia="Times New Roman" w:hAnsi="Verdana" w:cs="Arial"/>
          <w:i/>
          <w:iCs/>
          <w:lang w:val="es-ES" w:eastAsia="es-ES_tradnl"/>
        </w:rPr>
        <w:t>“aquellos cuya titularidad pertenece al Estado y se hallan destinados al uso, goce y disfrute de todos los habitantes del territorio, están sometidos al régimen de derecho público y sobre ellos el Estado ejerce derechos de administración y de policía, con miras a garantizar y proteger su uso y goce común, por motivos de interés general”</w:t>
      </w:r>
      <w:r w:rsidRPr="00EC1B7C">
        <w:rPr>
          <w:rFonts w:ascii="Verdana" w:eastAsia="Times New Roman" w:hAnsi="Verdana" w:cs="Arial"/>
          <w:i/>
          <w:iCs/>
          <w:vertAlign w:val="superscript"/>
          <w:lang w:val="es-ES" w:eastAsia="es-ES_tradnl"/>
        </w:rPr>
        <w:footnoteReference w:id="11"/>
      </w:r>
      <w:r w:rsidRPr="00EC1B7C">
        <w:rPr>
          <w:rFonts w:ascii="Verdana" w:eastAsia="Times New Roman" w:hAnsi="Verdana" w:cs="Arial"/>
          <w:i/>
          <w:iCs/>
          <w:lang w:val="es-ES" w:eastAsia="es-ES_tradnl"/>
        </w:rPr>
        <w:t>.</w:t>
      </w:r>
      <w:r w:rsidRPr="00EC1B7C">
        <w:rPr>
          <w:rFonts w:ascii="Verdana" w:eastAsia="Times New Roman" w:hAnsi="Verdana" w:cs="Arial"/>
          <w:lang w:val="es-ES" w:eastAsia="es-ES_tradnl"/>
        </w:rPr>
        <w:t xml:space="preserve"> Por lo tanto, como estos bienes están destinados al uso de los habitantes de un territorio, el Estado no puede disponer de ellos por encontrarse fuera del comercio</w:t>
      </w:r>
      <w:r w:rsidRPr="00EC1B7C">
        <w:rPr>
          <w:rFonts w:ascii="Verdana" w:eastAsia="Times New Roman" w:hAnsi="Verdana" w:cs="Arial"/>
          <w:vertAlign w:val="superscript"/>
          <w:lang w:val="es-ES" w:eastAsia="es-ES_tradnl"/>
        </w:rPr>
        <w:footnoteReference w:id="12"/>
      </w:r>
      <w:r w:rsidRPr="00EC1B7C">
        <w:rPr>
          <w:rFonts w:ascii="Verdana" w:eastAsia="Times New Roman" w:hAnsi="Verdana" w:cs="Arial"/>
          <w:lang w:val="es-ES" w:eastAsia="es-ES_tradnl"/>
        </w:rPr>
        <w:t>.</w:t>
      </w:r>
      <w:r w:rsidRPr="00EC1B7C">
        <w:rPr>
          <w:rFonts w:ascii="Verdana" w:eastAsia="Times New Roman" w:hAnsi="Verdana" w:cs="Arial"/>
          <w:vertAlign w:val="superscript"/>
          <w:lang w:val="es-ES" w:eastAsia="es-ES_tradnl"/>
        </w:rPr>
        <w:t xml:space="preserve"> </w:t>
      </w:r>
      <w:r w:rsidRPr="00EC1B7C">
        <w:rPr>
          <w:rFonts w:ascii="Verdana" w:eastAsia="Times New Roman" w:hAnsi="Verdana" w:cs="Arial"/>
          <w:lang w:val="es-ES" w:eastAsia="es-ES_tradnl"/>
        </w:rPr>
        <w:t xml:space="preserve"> En ese orden de ideas, los bienes sobre los cuales puede recaer el acto de enajenación a título gratuito (donación) son los bienes fiscales muebles o inmuebles y no los bienes de uso público.</w:t>
      </w:r>
    </w:p>
    <w:p w14:paraId="104206BB" w14:textId="77777777" w:rsidR="0099050B" w:rsidRPr="00EC1B7C" w:rsidRDefault="0099050B" w:rsidP="0099050B">
      <w:pPr>
        <w:spacing w:after="0" w:line="276" w:lineRule="auto"/>
        <w:ind w:firstLine="720"/>
        <w:jc w:val="both"/>
        <w:rPr>
          <w:rFonts w:ascii="Verdana" w:eastAsia="Times New Roman" w:hAnsi="Verdana" w:cs="Arial"/>
          <w:lang w:val="es-ES" w:eastAsia="es-ES_tradnl"/>
        </w:rPr>
      </w:pPr>
    </w:p>
    <w:p w14:paraId="5008DE44" w14:textId="77777777" w:rsidR="0099050B" w:rsidRPr="00EC1B7C" w:rsidRDefault="0099050B" w:rsidP="0099050B">
      <w:pPr>
        <w:pStyle w:val="Textonotapie"/>
        <w:spacing w:after="120" w:line="276" w:lineRule="auto"/>
        <w:jc w:val="both"/>
        <w:rPr>
          <w:rFonts w:ascii="Verdana" w:eastAsia="Arial" w:hAnsi="Verdana" w:cs="Arial"/>
          <w:color w:val="000000" w:themeColor="text1"/>
          <w:sz w:val="22"/>
          <w:szCs w:val="22"/>
          <w:lang w:val="es-ES"/>
        </w:rPr>
      </w:pPr>
      <w:r w:rsidRPr="00EC1B7C">
        <w:rPr>
          <w:rFonts w:ascii="Verdana" w:eastAsia="Arial" w:hAnsi="Verdana" w:cs="Arial"/>
          <w:sz w:val="22"/>
          <w:szCs w:val="22"/>
          <w:lang w:val="es-ES"/>
        </w:rPr>
        <w:t>ii. Sobre el marco jurídico aplicable, el literal e) del numeral 2 del artículo 2 de la Ley 1150 de 2007 dispone que la enajenación de bienes del Estado, con excepción de aquellos a que se refiere la Ley 226 de 1995, se realiza a través de la modalidad de selección abreviada, para lo cual las entidades podrán utilizar instrumentos de subasta y en general de todos aquellos mecanismos autorizados por el derecho privado, siempre y cuando en desarrollo del proceso de enajenación se garantice la transparencia, la eficiencia y la selección objetiva</w:t>
      </w:r>
      <w:r w:rsidRPr="00EC1B7C">
        <w:rPr>
          <w:rStyle w:val="Refdenotaalpie"/>
          <w:rFonts w:ascii="Verdana" w:eastAsia="Arial" w:hAnsi="Verdana" w:cs="Arial"/>
          <w:sz w:val="22"/>
          <w:szCs w:val="22"/>
          <w:lang w:val="es-ES"/>
        </w:rPr>
        <w:footnoteReference w:id="13"/>
      </w:r>
      <w:r w:rsidRPr="00EC1B7C">
        <w:rPr>
          <w:rFonts w:ascii="Verdana" w:eastAsia="Arial" w:hAnsi="Verdana" w:cs="Arial"/>
          <w:sz w:val="22"/>
          <w:szCs w:val="22"/>
          <w:lang w:val="es-ES"/>
        </w:rPr>
        <w:t xml:space="preserve">. </w:t>
      </w:r>
      <w:r w:rsidRPr="00EC1B7C">
        <w:rPr>
          <w:rFonts w:ascii="Verdana" w:eastAsia="Arial" w:hAnsi="Verdana" w:cs="Arial"/>
          <w:sz w:val="22"/>
          <w:szCs w:val="22"/>
          <w:lang w:val="es-ES"/>
        </w:rPr>
        <w:lastRenderedPageBreak/>
        <w:t xml:space="preserve">Adicionalmente, </w:t>
      </w:r>
      <w:r>
        <w:rPr>
          <w:rFonts w:ascii="Verdana" w:eastAsia="Arial" w:hAnsi="Verdana" w:cs="Arial"/>
          <w:sz w:val="22"/>
          <w:szCs w:val="22"/>
          <w:lang w:val="es-ES"/>
        </w:rPr>
        <w:t xml:space="preserve">la normativa </w:t>
      </w:r>
      <w:r w:rsidRPr="00EC1B7C">
        <w:rPr>
          <w:rFonts w:ascii="Verdana" w:eastAsia="Arial" w:hAnsi="Verdana" w:cs="Arial"/>
          <w:sz w:val="22"/>
          <w:szCs w:val="22"/>
          <w:lang w:val="es-ES"/>
        </w:rPr>
        <w:t xml:space="preserve">establece que para la venta de los bienes se debe tener como base el valor del avalúo comercial y ajustar dicho avalúo de acuerdo a los gastos asociados al tiempo de comercialización esperada, administración, impuestos y mantenimiento, para determinar el precio mínimo al que se debe enajenar el bien, de conformidad con la reglamentación que para el efecto expida el </w:t>
      </w:r>
      <w:r w:rsidRPr="00EC1B7C">
        <w:rPr>
          <w:rFonts w:ascii="Verdana" w:eastAsia="Arial" w:hAnsi="Verdana" w:cs="Arial"/>
          <w:color w:val="000000" w:themeColor="text1"/>
          <w:sz w:val="22"/>
          <w:szCs w:val="22"/>
          <w:lang w:val="es-ES"/>
        </w:rPr>
        <w:t>Gobierno Nacional.</w:t>
      </w:r>
    </w:p>
    <w:p w14:paraId="7F43C897" w14:textId="77777777" w:rsidR="0099050B" w:rsidRPr="00EC1B7C" w:rsidRDefault="0099050B" w:rsidP="0099050B">
      <w:pPr>
        <w:pStyle w:val="Textonotapie"/>
        <w:spacing w:after="120" w:line="276" w:lineRule="auto"/>
        <w:ind w:firstLine="720"/>
        <w:jc w:val="both"/>
        <w:rPr>
          <w:rFonts w:ascii="Verdana" w:eastAsia="Arial" w:hAnsi="Verdana" w:cs="Arial"/>
          <w:color w:val="000000" w:themeColor="text1"/>
          <w:sz w:val="22"/>
          <w:szCs w:val="22"/>
          <w:lang w:val="es-ES"/>
        </w:rPr>
      </w:pPr>
      <w:r w:rsidRPr="00EC1B7C">
        <w:rPr>
          <w:rFonts w:ascii="Verdana" w:eastAsia="Arial" w:hAnsi="Verdana" w:cs="Arial"/>
          <w:color w:val="000000" w:themeColor="text1"/>
          <w:sz w:val="22"/>
          <w:szCs w:val="22"/>
          <w:lang w:val="es-ES"/>
        </w:rPr>
        <w:t>En virtud de lo anterior,</w:t>
      </w:r>
      <w:bookmarkStart w:id="1" w:name="_Hlk186265498"/>
      <w:r w:rsidRPr="00EC1B7C">
        <w:rPr>
          <w:rFonts w:ascii="Verdana" w:eastAsia="Arial" w:hAnsi="Verdana" w:cs="Arial"/>
          <w:color w:val="000000" w:themeColor="text1"/>
          <w:sz w:val="22"/>
          <w:szCs w:val="22"/>
          <w:lang w:val="es-ES"/>
        </w:rPr>
        <w:t xml:space="preserve"> la subsección 1 de la sección 2 </w:t>
      </w:r>
      <w:bookmarkStart w:id="2" w:name="_Hlk186316048"/>
      <w:r w:rsidRPr="00EC1B7C">
        <w:rPr>
          <w:rFonts w:ascii="Verdana" w:eastAsia="Arial" w:hAnsi="Verdana" w:cs="Arial"/>
          <w:color w:val="000000" w:themeColor="text1"/>
          <w:sz w:val="22"/>
          <w:szCs w:val="22"/>
          <w:lang w:val="es-ES"/>
        </w:rPr>
        <w:t>del capítulo II del Decreto 1082 de 2015</w:t>
      </w:r>
      <w:bookmarkEnd w:id="2"/>
      <w:r w:rsidRPr="00EC1B7C">
        <w:rPr>
          <w:rFonts w:ascii="Verdana" w:eastAsia="Arial" w:hAnsi="Verdana" w:cs="Arial"/>
          <w:color w:val="000000" w:themeColor="text1"/>
          <w:sz w:val="22"/>
          <w:szCs w:val="22"/>
          <w:lang w:val="es-ES"/>
        </w:rPr>
        <w:t xml:space="preserve"> </w:t>
      </w:r>
      <w:bookmarkEnd w:id="1"/>
      <w:r w:rsidRPr="00EC1B7C">
        <w:rPr>
          <w:rFonts w:ascii="Verdana" w:eastAsia="Arial" w:hAnsi="Verdana" w:cs="Arial"/>
          <w:color w:val="000000" w:themeColor="text1"/>
          <w:sz w:val="22"/>
          <w:szCs w:val="22"/>
          <w:lang w:val="es-ES"/>
        </w:rPr>
        <w:t xml:space="preserve">dispuso en los artículos 2.2.1.2.2.1.1. y siguientes, las reglas generales que deben aplicar las Entidades Estatales para la enajenación de los bienes el Estado señalando que “La selección abreviada es la modalidad para la enajenación de bienes del Estado, la cual se rige por las disposiciones contenidas en el presente capítulo, salvo por las normas aplicables a la enajenación de los bienes a cargo del Fondo para la Rehabilitación, Inversión Social y Lucha contra el Crimen Organizado y la enajenación de que tratan la Ley 226 de 1995, el Decreto-Ley 254 de 2000 y la Ley 1105 de 2006”. </w:t>
      </w:r>
    </w:p>
    <w:p w14:paraId="66734CA7" w14:textId="77777777" w:rsidR="0099050B" w:rsidRPr="00EC1B7C" w:rsidRDefault="0099050B" w:rsidP="0099050B">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eastAsia="Arial" w:hAnsi="Verdana" w:cs="Arial"/>
          <w:color w:val="000000" w:themeColor="text1"/>
          <w:sz w:val="22"/>
          <w:szCs w:val="22"/>
          <w:lang w:val="es-ES"/>
        </w:rPr>
        <w:t xml:space="preserve">Por su parte, </w:t>
      </w:r>
      <w:bookmarkStart w:id="3" w:name="_Hlk186536804"/>
      <w:r w:rsidRPr="00EC1B7C">
        <w:rPr>
          <w:rFonts w:ascii="Verdana" w:eastAsia="Arial" w:hAnsi="Verdana" w:cs="Arial"/>
          <w:color w:val="000000" w:themeColor="text1"/>
          <w:sz w:val="22"/>
          <w:szCs w:val="22"/>
          <w:lang w:val="es-ES"/>
        </w:rPr>
        <w:t xml:space="preserve">la subsección 2 </w:t>
      </w:r>
      <w:bookmarkStart w:id="4" w:name="_Hlk186385112"/>
      <w:r w:rsidRPr="00EC1B7C">
        <w:rPr>
          <w:rFonts w:ascii="Verdana" w:eastAsia="Arial" w:hAnsi="Verdana" w:cs="Arial"/>
          <w:color w:val="000000" w:themeColor="text1"/>
          <w:sz w:val="22"/>
          <w:szCs w:val="22"/>
          <w:lang w:val="es-ES"/>
        </w:rPr>
        <w:t>de la sección 2 del capítulo II del Decreto 1082 de 2015</w:t>
      </w:r>
      <w:bookmarkEnd w:id="4"/>
      <w:r w:rsidRPr="00EC1B7C">
        <w:rPr>
          <w:rFonts w:ascii="Verdana" w:eastAsia="Arial" w:hAnsi="Verdana" w:cs="Arial"/>
          <w:color w:val="000000" w:themeColor="text1"/>
          <w:sz w:val="22"/>
          <w:szCs w:val="22"/>
          <w:lang w:val="es-ES"/>
        </w:rPr>
        <w:t xml:space="preserve"> establece 3 mecanismos de enajenación de los bienes del Estado: i) la enajenación directa por sobre cerrado, que se llevará a cabo mediante el procedimiento allí contemplado</w:t>
      </w:r>
      <w:r>
        <w:rPr>
          <w:rFonts w:ascii="Verdana" w:eastAsia="Arial" w:hAnsi="Verdana" w:cs="Arial"/>
          <w:color w:val="000000" w:themeColor="text1"/>
          <w:sz w:val="22"/>
          <w:szCs w:val="22"/>
          <w:lang w:val="es-ES"/>
        </w:rPr>
        <w:t>;</w:t>
      </w:r>
      <w:r w:rsidRPr="00EC1B7C">
        <w:rPr>
          <w:rFonts w:ascii="Verdana" w:eastAsia="Arial" w:hAnsi="Verdana" w:cs="Arial"/>
          <w:color w:val="000000" w:themeColor="text1"/>
          <w:sz w:val="22"/>
          <w:szCs w:val="22"/>
          <w:lang w:val="es-ES"/>
        </w:rPr>
        <w:t xml:space="preserve"> ii) la enajenación directa a través de subasta pública, para lo cual la entidad deberá seguir el procedimiento establecido en el artículo 2.2.1.2.1.2.2 del Decreto 1082 de 2015 sobre subasta inversa, pero teniendo en cuenta que el bien debe ser adjudicado </w:t>
      </w:r>
      <w:r>
        <w:rPr>
          <w:rFonts w:ascii="Verdana" w:eastAsia="Arial" w:hAnsi="Verdana" w:cs="Arial"/>
          <w:color w:val="000000" w:themeColor="text1"/>
          <w:sz w:val="22"/>
          <w:szCs w:val="22"/>
          <w:lang w:val="es-ES"/>
        </w:rPr>
        <w:t xml:space="preserve">a quien </w:t>
      </w:r>
      <w:r w:rsidRPr="00EC1B7C">
        <w:rPr>
          <w:rFonts w:ascii="Verdana" w:eastAsia="Arial" w:hAnsi="Verdana" w:cs="Arial"/>
          <w:color w:val="000000" w:themeColor="text1"/>
          <w:sz w:val="22"/>
          <w:szCs w:val="22"/>
          <w:lang w:val="es-ES"/>
        </w:rPr>
        <w:t>haya ofrecido el mayor valor a pagar por los bienes objeto de enajenación y en consecuencia, el margen mínimo debe ser al alza</w:t>
      </w:r>
      <w:r>
        <w:rPr>
          <w:rFonts w:ascii="Verdana" w:eastAsia="Arial" w:hAnsi="Verdana" w:cs="Arial"/>
          <w:color w:val="000000" w:themeColor="text1"/>
          <w:sz w:val="22"/>
          <w:szCs w:val="22"/>
          <w:lang w:val="es-ES"/>
        </w:rPr>
        <w:t>;</w:t>
      </w:r>
      <w:r w:rsidRPr="00EC1B7C">
        <w:rPr>
          <w:rFonts w:ascii="Verdana" w:eastAsia="Arial" w:hAnsi="Verdana" w:cs="Arial"/>
          <w:color w:val="000000" w:themeColor="text1"/>
          <w:sz w:val="22"/>
          <w:szCs w:val="22"/>
          <w:lang w:val="es-ES"/>
        </w:rPr>
        <w:t xml:space="preserve"> y iii) la enajenación a través de intermediarios idóneos, en cuyo caso </w:t>
      </w:r>
      <w:r w:rsidRPr="00EC1B7C">
        <w:rPr>
          <w:rFonts w:ascii="Verdana" w:hAnsi="Verdana"/>
          <w:color w:val="000000" w:themeColor="text1"/>
          <w:sz w:val="22"/>
          <w:szCs w:val="22"/>
          <w:shd w:val="clear" w:color="auto" w:fill="FFFFFF"/>
          <w:lang w:val="es-ES"/>
        </w:rPr>
        <w:t xml:space="preserve">la venta debe realizarse a través de subasta pública, o mediante el mecanismo de derecho privado que se convenga con el intermediario. </w:t>
      </w:r>
      <w:bookmarkEnd w:id="3"/>
    </w:p>
    <w:p w14:paraId="70508FFC" w14:textId="77777777" w:rsidR="0099050B" w:rsidRPr="00EC1B7C" w:rsidRDefault="0099050B" w:rsidP="0099050B">
      <w:pPr>
        <w:pStyle w:val="Textonotapie"/>
        <w:spacing w:after="120" w:line="276" w:lineRule="auto"/>
        <w:ind w:firstLine="720"/>
        <w:jc w:val="both"/>
        <w:rPr>
          <w:rFonts w:ascii="Verdana" w:hAnsi="Verdana"/>
          <w:color w:val="000000" w:themeColor="text1"/>
          <w:sz w:val="22"/>
          <w:szCs w:val="22"/>
          <w:shd w:val="clear" w:color="auto" w:fill="FFFFFF"/>
        </w:rPr>
      </w:pPr>
      <w:r w:rsidRPr="36822366">
        <w:rPr>
          <w:rFonts w:ascii="Verdana" w:hAnsi="Verdana"/>
          <w:color w:val="000000" w:themeColor="text1"/>
          <w:sz w:val="22"/>
          <w:szCs w:val="22"/>
          <w:shd w:val="clear" w:color="auto" w:fill="FFFFFF"/>
        </w:rPr>
        <w:lastRenderedPageBreak/>
        <w:t>E</w:t>
      </w:r>
      <w:r w:rsidRPr="36822366">
        <w:rPr>
          <w:rFonts w:ascii="Verdana" w:eastAsia="Arial" w:hAnsi="Verdana" w:cs="Arial"/>
          <w:color w:val="000000" w:themeColor="text1"/>
          <w:sz w:val="22"/>
          <w:szCs w:val="22"/>
        </w:rPr>
        <w:t>n virtud de ello, el Decreto 1082 de 2015, por medio del cual se expide el Decreto Único Reglamentario del Sector Administrativo de Planeación Nacional, dispuso en los artículos 2.2.1.2.2.1.1. y siguientes, las reglas que deben tener en cuenta las Entidades Estatales, cuando utilicen dicha modalidad de selección para enajenar</w:t>
      </w:r>
      <w:r w:rsidRPr="36822366">
        <w:rPr>
          <w:rFonts w:ascii="Verdana" w:eastAsia="Arial" w:hAnsi="Verdana" w:cs="Arial"/>
          <w:color w:val="000000" w:themeColor="text1"/>
          <w:spacing w:val="9"/>
          <w:sz w:val="22"/>
          <w:szCs w:val="22"/>
        </w:rPr>
        <w:t xml:space="preserve"> </w:t>
      </w:r>
      <w:r w:rsidRPr="36822366">
        <w:rPr>
          <w:rFonts w:ascii="Verdana" w:eastAsia="Arial" w:hAnsi="Verdana" w:cs="Arial"/>
          <w:color w:val="000000" w:themeColor="text1"/>
          <w:spacing w:val="13"/>
          <w:sz w:val="22"/>
          <w:szCs w:val="22"/>
        </w:rPr>
        <w:t xml:space="preserve">sus </w:t>
      </w:r>
      <w:r w:rsidRPr="36822366">
        <w:rPr>
          <w:rFonts w:ascii="Verdana" w:eastAsia="Arial" w:hAnsi="Verdana" w:cs="Arial"/>
          <w:color w:val="000000" w:themeColor="text1"/>
          <w:sz w:val="22"/>
          <w:szCs w:val="22"/>
        </w:rPr>
        <w:t xml:space="preserve">bienes fiscales, para lo cual, la Entidad Estatal interesada en realizar dicho proceso de enajenación deberá determinar, en primer lugar, si los bienes sobre los cuales requiere realizar la enajenación son muebles o inmuebles, lo que va a incidir en las reglas </w:t>
      </w:r>
      <w:r w:rsidRPr="36822366">
        <w:rPr>
          <w:rFonts w:ascii="Verdana" w:eastAsia="Arial" w:hAnsi="Verdana" w:cs="Arial"/>
          <w:color w:val="000000" w:themeColor="text1"/>
          <w:spacing w:val="13"/>
          <w:sz w:val="22"/>
          <w:szCs w:val="22"/>
        </w:rPr>
        <w:t>qu</w:t>
      </w:r>
      <w:r w:rsidRPr="36822366">
        <w:rPr>
          <w:rFonts w:ascii="Verdana" w:eastAsia="Arial" w:hAnsi="Verdana" w:cs="Arial"/>
          <w:color w:val="000000" w:themeColor="text1"/>
          <w:sz w:val="22"/>
          <w:szCs w:val="22"/>
        </w:rPr>
        <w:t>e deberá aplicar de conformidad con lo dispuesto en el Decreto 1082 de 2015</w:t>
      </w:r>
      <w:r w:rsidRPr="36822366">
        <w:rPr>
          <w:rFonts w:ascii="Verdana" w:eastAsia="Arial" w:hAnsi="Verdana" w:cs="Arial"/>
          <w:color w:val="000000" w:themeColor="text1"/>
          <w:sz w:val="22"/>
          <w:szCs w:val="22"/>
          <w:vertAlign w:val="superscript"/>
        </w:rPr>
        <w:footnoteReference w:id="14"/>
      </w:r>
      <w:r w:rsidRPr="36822366">
        <w:rPr>
          <w:rFonts w:ascii="Verdana" w:eastAsia="Arial" w:hAnsi="Verdana" w:cs="Arial"/>
          <w:color w:val="000000" w:themeColor="text1"/>
          <w:sz w:val="22"/>
          <w:szCs w:val="22"/>
        </w:rPr>
        <w:t>.</w:t>
      </w:r>
      <w:r w:rsidRPr="36822366">
        <w:rPr>
          <w:rFonts w:ascii="Verdana" w:eastAsia="Arial" w:hAnsi="Verdana" w:cs="Arial"/>
          <w:color w:val="000000" w:themeColor="text1"/>
          <w:sz w:val="22"/>
          <w:szCs w:val="22"/>
          <w:vertAlign w:val="superscript"/>
        </w:rPr>
        <w:t>.</w:t>
      </w:r>
    </w:p>
    <w:p w14:paraId="5DB0B746" w14:textId="77777777" w:rsidR="0099050B" w:rsidRPr="00EC1B7C" w:rsidRDefault="0099050B" w:rsidP="0099050B">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hAnsi="Verdana"/>
          <w:color w:val="000000" w:themeColor="text1"/>
          <w:sz w:val="22"/>
          <w:szCs w:val="22"/>
          <w:shd w:val="clear" w:color="auto" w:fill="FFFFFF"/>
          <w:lang w:val="es-ES"/>
        </w:rPr>
        <w:t>De esta manera, la subsección 3</w:t>
      </w:r>
      <w:r w:rsidRPr="00EC1B7C">
        <w:rPr>
          <w:rFonts w:ascii="Verdana" w:eastAsia="Arial" w:hAnsi="Verdana" w:cs="Arial"/>
          <w:color w:val="000000" w:themeColor="text1"/>
          <w:sz w:val="22"/>
          <w:szCs w:val="22"/>
          <w:lang w:val="es-ES"/>
        </w:rPr>
        <w:t xml:space="preserve"> de la sección 2 del capítulo II del Decreto 1082 de 2015</w:t>
      </w:r>
      <w:r w:rsidRPr="00EC1B7C">
        <w:rPr>
          <w:rFonts w:ascii="Verdana" w:hAnsi="Verdana"/>
          <w:color w:val="000000" w:themeColor="text1"/>
          <w:sz w:val="22"/>
          <w:szCs w:val="22"/>
          <w:shd w:val="clear" w:color="auto" w:fill="FFFFFF"/>
          <w:lang w:val="es-ES"/>
        </w:rPr>
        <w:t xml:space="preserve"> se refiere a los bienes inmuebles y establece varios aspectos que se deberán realizar en estos casos: i)</w:t>
      </w:r>
      <w:r w:rsidRPr="00EC1B7C">
        <w:rPr>
          <w:rStyle w:val="nfasis"/>
          <w:rFonts w:ascii="Verdana" w:hAnsi="Verdana"/>
          <w:color w:val="000000" w:themeColor="text1"/>
          <w:sz w:val="22"/>
          <w:szCs w:val="22"/>
          <w:shd w:val="clear" w:color="auto" w:fill="FFFFFF"/>
          <w:lang w:val="es-ES"/>
        </w:rPr>
        <w:t xml:space="preserve"> avaluar el bien objeto de enajenación, el cual puede</w:t>
      </w:r>
      <w:r w:rsidRPr="00EC1B7C">
        <w:rPr>
          <w:rFonts w:ascii="Verdana" w:hAnsi="Verdana"/>
          <w:color w:val="000000" w:themeColor="text1"/>
          <w:sz w:val="22"/>
          <w:szCs w:val="22"/>
          <w:shd w:val="clear" w:color="auto" w:fill="FFFFFF"/>
          <w:lang w:val="es-ES"/>
        </w:rPr>
        <w:t xml:space="preserve"> estar a cargo del Instituto Geográfico Agustín Codazzi o de una persona especializada inscrita en el Registro Nacional de Avaluadores que lleva la Superintendencia de Industria y Comercio; ii) </w:t>
      </w:r>
      <w:r w:rsidRPr="00EC1B7C">
        <w:rPr>
          <w:rStyle w:val="nfasis"/>
          <w:rFonts w:ascii="Verdana" w:hAnsi="Verdana"/>
          <w:color w:val="000000" w:themeColor="text1"/>
          <w:sz w:val="22"/>
          <w:szCs w:val="22"/>
          <w:shd w:val="clear" w:color="auto" w:fill="FFFFFF"/>
          <w:lang w:val="es-ES"/>
        </w:rPr>
        <w:t xml:space="preserve">establecer el precio mínimo de venta con base en las variables señaladas en el artículo </w:t>
      </w:r>
      <w:r w:rsidRPr="00EC1B7C">
        <w:rPr>
          <w:rFonts w:ascii="Verdana" w:hAnsi="Verdana"/>
          <w:color w:val="000000" w:themeColor="text1"/>
          <w:sz w:val="22"/>
          <w:szCs w:val="22"/>
          <w:shd w:val="clear" w:color="auto" w:fill="FFFFFF"/>
          <w:lang w:val="es-ES"/>
        </w:rPr>
        <w:t>2.2.1.2.2.3.2 del Decreto 1082 de 2015; iii) la escritura pública debe otorgarse en la notaría de reparto correspondiente, dentro de los cuarenta y cinco (45) días calendario siguientes a la fecha en la cual el adjudicatario acredite el pago total del precio de venta; iv) Los derechos notariales, los gastos de fotocopias, autenticaciones y los impuestos de venta y registro se liquidarán y pagarán de conformidad con las normas legales vigentes sobre la materia, y v)  se debe entregar el inmueble dentro de los treinta (30) días calendario siguientes a la fecha del registro, previa presentación del certificado de tradición y libertad en el que conste la inscripción de la escritura pública de venta del inmueble.</w:t>
      </w:r>
    </w:p>
    <w:p w14:paraId="5F73D4AA" w14:textId="77777777" w:rsidR="0099050B" w:rsidRPr="00EC1B7C" w:rsidRDefault="0099050B" w:rsidP="0099050B">
      <w:pPr>
        <w:pStyle w:val="Textonotapie"/>
        <w:spacing w:after="120" w:line="276" w:lineRule="auto"/>
        <w:ind w:firstLine="720"/>
        <w:jc w:val="both"/>
        <w:rPr>
          <w:rFonts w:ascii="Verdana" w:hAnsi="Verdana"/>
          <w:color w:val="000000" w:themeColor="text1"/>
          <w:sz w:val="22"/>
          <w:szCs w:val="22"/>
          <w:shd w:val="clear" w:color="auto" w:fill="FFFFFF"/>
          <w:lang w:val="es-ES"/>
        </w:rPr>
      </w:pPr>
      <w:r w:rsidRPr="00EC1B7C">
        <w:rPr>
          <w:rFonts w:ascii="Verdana" w:hAnsi="Verdana"/>
          <w:color w:val="000000" w:themeColor="text1"/>
          <w:sz w:val="22"/>
          <w:szCs w:val="22"/>
          <w:shd w:val="clear" w:color="auto" w:fill="FFFFFF"/>
          <w:lang w:val="es-ES"/>
        </w:rPr>
        <w:t xml:space="preserve">Por otro lado, la </w:t>
      </w:r>
      <w:r>
        <w:rPr>
          <w:rFonts w:ascii="Verdana" w:hAnsi="Verdana"/>
          <w:color w:val="000000" w:themeColor="text1"/>
          <w:sz w:val="22"/>
          <w:szCs w:val="22"/>
          <w:shd w:val="clear" w:color="auto" w:fill="FFFFFF"/>
          <w:lang w:val="es-ES"/>
        </w:rPr>
        <w:t>S</w:t>
      </w:r>
      <w:r w:rsidRPr="00EC1B7C">
        <w:rPr>
          <w:rFonts w:ascii="Verdana" w:hAnsi="Verdana"/>
          <w:color w:val="000000" w:themeColor="text1"/>
          <w:sz w:val="22"/>
          <w:szCs w:val="22"/>
          <w:shd w:val="clear" w:color="auto" w:fill="FFFFFF"/>
          <w:lang w:val="es-ES"/>
        </w:rPr>
        <w:t xml:space="preserve">ubsección 4 establece las reglas aplicables a la enajenación de los bienes muebles que comprenden la determinación de un precio mínimo de venta. Cuando se trate de bienes </w:t>
      </w:r>
      <w:r>
        <w:rPr>
          <w:rFonts w:ascii="Verdana" w:hAnsi="Verdana"/>
          <w:color w:val="000000" w:themeColor="text1"/>
          <w:sz w:val="22"/>
          <w:szCs w:val="22"/>
          <w:shd w:val="clear" w:color="auto" w:fill="FFFFFF"/>
          <w:lang w:val="es-ES"/>
        </w:rPr>
        <w:t xml:space="preserve">no </w:t>
      </w:r>
      <w:r w:rsidRPr="00EC1B7C">
        <w:rPr>
          <w:rFonts w:ascii="Verdana" w:hAnsi="Verdana"/>
          <w:color w:val="000000" w:themeColor="text1"/>
          <w:sz w:val="22"/>
          <w:szCs w:val="22"/>
          <w:shd w:val="clear" w:color="auto" w:fill="FFFFFF"/>
          <w:lang w:val="es-ES"/>
        </w:rPr>
        <w:t xml:space="preserve">sujetos a registro, la entidad debe tener en cuenta el resultado del estudio de las condiciones de mercado, el estado en el cual se encuentran los bienes y el valor registrado en sus libros contables. Cuando se trate de bienes sujetos a registro, la entidad </w:t>
      </w:r>
      <w:r w:rsidRPr="00EC1B7C">
        <w:rPr>
          <w:rFonts w:ascii="Verdana" w:hAnsi="Verdana"/>
          <w:color w:val="000000" w:themeColor="text1"/>
          <w:sz w:val="22"/>
          <w:szCs w:val="22"/>
          <w:shd w:val="clear" w:color="auto" w:fill="FFFFFF"/>
          <w:lang w:val="es-ES"/>
        </w:rPr>
        <w:lastRenderedPageBreak/>
        <w:t xml:space="preserve">debe obtener un avalúo comercial por una persona </w:t>
      </w:r>
      <w:r>
        <w:rPr>
          <w:rFonts w:ascii="Verdana" w:hAnsi="Verdana"/>
          <w:color w:val="000000" w:themeColor="text1"/>
          <w:sz w:val="22"/>
          <w:szCs w:val="22"/>
          <w:shd w:val="clear" w:color="auto" w:fill="FFFFFF"/>
          <w:lang w:val="es-ES"/>
        </w:rPr>
        <w:t xml:space="preserve">natural o jurídica </w:t>
      </w:r>
      <w:r w:rsidRPr="00EC1B7C">
        <w:rPr>
          <w:rFonts w:ascii="Verdana" w:hAnsi="Verdana"/>
          <w:color w:val="000000" w:themeColor="text1"/>
          <w:sz w:val="22"/>
          <w:szCs w:val="22"/>
          <w:shd w:val="clear" w:color="auto" w:fill="FFFFFF"/>
          <w:lang w:val="es-ES"/>
        </w:rPr>
        <w:t xml:space="preserve">de carácter privado que se encuentre en el </w:t>
      </w:r>
      <w:r w:rsidRPr="005C5CD4">
        <w:rPr>
          <w:rFonts w:ascii="Verdana" w:hAnsi="Verdana"/>
          <w:color w:val="000000" w:themeColor="text1"/>
          <w:sz w:val="22"/>
          <w:szCs w:val="22"/>
          <w:shd w:val="clear" w:color="auto" w:fill="FFFFFF"/>
          <w:lang w:val="es-ES"/>
        </w:rPr>
        <w:t>Registro Nacional de Avaluadores</w:t>
      </w:r>
      <w:r w:rsidRPr="00EC1B7C">
        <w:rPr>
          <w:rFonts w:ascii="Verdana" w:hAnsi="Verdana"/>
          <w:color w:val="000000" w:themeColor="text1"/>
          <w:sz w:val="22"/>
          <w:szCs w:val="22"/>
          <w:shd w:val="clear" w:color="auto" w:fill="FFFFFF"/>
          <w:lang w:val="es-ES"/>
        </w:rPr>
        <w:t xml:space="preserve">, salvo que se trate de los bienes automotores que señala </w:t>
      </w:r>
      <w:r>
        <w:rPr>
          <w:rFonts w:ascii="Verdana" w:hAnsi="Verdana"/>
          <w:color w:val="000000" w:themeColor="text1"/>
          <w:sz w:val="22"/>
          <w:szCs w:val="22"/>
          <w:shd w:val="clear" w:color="auto" w:fill="FFFFFF"/>
          <w:lang w:val="es-ES"/>
        </w:rPr>
        <w:t xml:space="preserve">expresamente </w:t>
      </w:r>
      <w:r w:rsidRPr="00EC1B7C">
        <w:rPr>
          <w:rFonts w:ascii="Verdana" w:hAnsi="Verdana"/>
          <w:color w:val="000000" w:themeColor="text1"/>
          <w:sz w:val="22"/>
          <w:szCs w:val="22"/>
          <w:shd w:val="clear" w:color="auto" w:fill="FFFFFF"/>
          <w:lang w:val="es-ES"/>
        </w:rPr>
        <w:t xml:space="preserve">el numeral primero del artículo </w:t>
      </w:r>
      <w:r w:rsidRPr="005C5CD4">
        <w:rPr>
          <w:rFonts w:ascii="Verdana" w:hAnsi="Verdana"/>
          <w:color w:val="000000" w:themeColor="text1"/>
          <w:sz w:val="22"/>
          <w:szCs w:val="22"/>
          <w:shd w:val="clear" w:color="auto" w:fill="FFFFFF"/>
          <w:lang w:val="es-ES"/>
        </w:rPr>
        <w:t>2.2.1.2.2.4.2</w:t>
      </w:r>
      <w:r w:rsidRPr="00EC1B7C">
        <w:rPr>
          <w:rFonts w:ascii="Verdana" w:hAnsi="Verdana"/>
          <w:color w:val="000000" w:themeColor="text1"/>
          <w:sz w:val="22"/>
          <w:szCs w:val="22"/>
          <w:shd w:val="clear" w:color="auto" w:fill="FFFFFF"/>
          <w:lang w:val="es-ES"/>
        </w:rPr>
        <w:t xml:space="preserve">. Una vez establezca el valor comercial, deberá descontar el valor estimado de los </w:t>
      </w:r>
      <w:r>
        <w:rPr>
          <w:rFonts w:ascii="Verdana" w:hAnsi="Verdana"/>
          <w:color w:val="000000" w:themeColor="text1"/>
          <w:sz w:val="22"/>
          <w:szCs w:val="22"/>
          <w:shd w:val="clear" w:color="auto" w:fill="FFFFFF"/>
          <w:lang w:val="es-ES"/>
        </w:rPr>
        <w:t>g</w:t>
      </w:r>
      <w:r w:rsidRPr="00EC1B7C">
        <w:rPr>
          <w:rFonts w:ascii="Verdana" w:hAnsi="Verdana"/>
          <w:color w:val="000000" w:themeColor="text1"/>
          <w:sz w:val="22"/>
          <w:szCs w:val="22"/>
          <w:shd w:val="clear" w:color="auto" w:fill="FFFFFF"/>
          <w:lang w:val="es-ES"/>
        </w:rPr>
        <w:t xml:space="preserve">astos relacionados con el </w:t>
      </w:r>
      <w:r w:rsidRPr="005C5CD4">
        <w:rPr>
          <w:rFonts w:ascii="Verdana" w:hAnsi="Verdana"/>
          <w:color w:val="000000" w:themeColor="text1"/>
          <w:sz w:val="22"/>
          <w:szCs w:val="22"/>
          <w:shd w:val="clear" w:color="auto" w:fill="FFFFFF"/>
          <w:lang w:val="es-ES"/>
        </w:rPr>
        <w:t>mantenimiento y uso del bien en un término de un (1) año, tales como conservación, administración y vigilancia, impuestos, gravámenes, seguros y gastos de bodegaje, entre otros.</w:t>
      </w:r>
    </w:p>
    <w:p w14:paraId="79B26E99" w14:textId="77777777" w:rsidR="0099050B" w:rsidRPr="00EC1B7C" w:rsidRDefault="0099050B" w:rsidP="0099050B">
      <w:pPr>
        <w:pStyle w:val="Textonotapie"/>
        <w:spacing w:after="120" w:line="276" w:lineRule="auto"/>
        <w:ind w:firstLine="720"/>
        <w:jc w:val="both"/>
        <w:rPr>
          <w:rFonts w:ascii="Verdana" w:hAnsi="Verdana"/>
          <w:color w:val="333333"/>
          <w:sz w:val="22"/>
          <w:szCs w:val="22"/>
          <w:shd w:val="clear" w:color="auto" w:fill="FFFFFF"/>
          <w:lang w:val="es-ES"/>
        </w:rPr>
      </w:pPr>
      <w:r w:rsidRPr="00EC1B7C">
        <w:rPr>
          <w:rFonts w:ascii="Verdana" w:eastAsia="Arial" w:hAnsi="Verdana" w:cs="Arial"/>
          <w:color w:val="000000" w:themeColor="text1"/>
          <w:sz w:val="22"/>
          <w:szCs w:val="22"/>
          <w:lang w:val="es-ES"/>
        </w:rPr>
        <w:t xml:space="preserve">Ahora bien, para </w:t>
      </w:r>
      <w:r w:rsidRPr="00EC1B7C">
        <w:rPr>
          <w:rFonts w:ascii="Verdana" w:eastAsia="Calibri" w:hAnsi="Verdana" w:cs="Times New Roman"/>
          <w:color w:val="000000" w:themeColor="text1"/>
          <w:sz w:val="22"/>
          <w:szCs w:val="22"/>
          <w:lang w:val="es-ES"/>
        </w:rPr>
        <w:t>l</w:t>
      </w:r>
      <w:r w:rsidRPr="00EC1B7C">
        <w:rPr>
          <w:rFonts w:ascii="Verdana" w:eastAsia="Arial" w:hAnsi="Verdana" w:cs="Arial"/>
          <w:color w:val="000000" w:themeColor="text1"/>
          <w:sz w:val="22"/>
          <w:szCs w:val="22"/>
          <w:lang w:val="es-ES"/>
        </w:rPr>
        <w:t>os bienes muebles que se enajenen por la Entidad Estatal, que sean dados a título gratuito a otras Entidades Estatales en virtud de lo consagrado en el</w:t>
      </w:r>
      <w:r w:rsidRPr="00EC1B7C">
        <w:rPr>
          <w:rFonts w:ascii="Verdana" w:eastAsia="Arial" w:hAnsi="Verdana" w:cs="Arial"/>
          <w:color w:val="000000" w:themeColor="text1"/>
          <w:spacing w:val="13"/>
          <w:sz w:val="22"/>
          <w:szCs w:val="22"/>
          <w:lang w:val="es-ES"/>
        </w:rPr>
        <w:t xml:space="preserve"> </w:t>
      </w:r>
      <w:r w:rsidRPr="00EC1B7C">
        <w:rPr>
          <w:rFonts w:ascii="Verdana" w:eastAsia="Arial" w:hAnsi="Verdana" w:cs="Arial"/>
          <w:color w:val="000000" w:themeColor="text1"/>
          <w:sz w:val="22"/>
          <w:szCs w:val="22"/>
          <w:lang w:val="es-ES"/>
        </w:rPr>
        <w:t>artículo</w:t>
      </w:r>
      <w:r w:rsidRPr="00EC1B7C">
        <w:rPr>
          <w:rFonts w:ascii="Verdana" w:eastAsia="Arial" w:hAnsi="Verdana" w:cs="Arial"/>
          <w:color w:val="000000" w:themeColor="text1"/>
          <w:spacing w:val="16"/>
          <w:sz w:val="22"/>
          <w:szCs w:val="22"/>
          <w:lang w:val="es-ES"/>
        </w:rPr>
        <w:t xml:space="preserve"> </w:t>
      </w:r>
      <w:r w:rsidRPr="00EC1B7C">
        <w:rPr>
          <w:rFonts w:ascii="Verdana" w:eastAsia="Arial" w:hAnsi="Verdana" w:cs="Arial"/>
          <w:color w:val="000000" w:themeColor="text1"/>
          <w:sz w:val="22"/>
          <w:szCs w:val="22"/>
          <w:lang w:val="es-ES"/>
        </w:rPr>
        <w:t>2.2.1.2.2.4.3.</w:t>
      </w:r>
      <w:r w:rsidRPr="00EC1B7C">
        <w:rPr>
          <w:rFonts w:ascii="Verdana" w:eastAsia="Arial" w:hAnsi="Verdana" w:cs="Arial"/>
          <w:color w:val="000000" w:themeColor="text1"/>
          <w:spacing w:val="12"/>
          <w:sz w:val="22"/>
          <w:szCs w:val="22"/>
          <w:lang w:val="es-ES"/>
        </w:rPr>
        <w:t xml:space="preserve"> </w:t>
      </w:r>
      <w:r w:rsidRPr="00EC1B7C">
        <w:rPr>
          <w:rFonts w:ascii="Verdana" w:eastAsia="Arial" w:hAnsi="Verdana" w:cs="Arial"/>
          <w:color w:val="000000" w:themeColor="text1"/>
          <w:sz w:val="22"/>
          <w:szCs w:val="22"/>
          <w:lang w:val="es-ES"/>
        </w:rPr>
        <w:t xml:space="preserve">del Decreto 1082 de 2015, la entidad compradora deberá realizar un inventario de los bienes muebles que no utiliza y, a continuación, podrá ofrecerlos a título gratuito </w:t>
      </w:r>
      <w:r w:rsidRPr="00EC1B7C">
        <w:rPr>
          <w:rFonts w:ascii="Verdana" w:eastAsia="Arial" w:hAnsi="Verdana" w:cs="Arial"/>
          <w:sz w:val="22"/>
          <w:szCs w:val="22"/>
          <w:lang w:val="es-ES"/>
        </w:rPr>
        <w:t>a las demás Entidades Estatales a través de un acto administrativo que deberá publicar en su página Web.</w:t>
      </w:r>
      <w:r w:rsidRPr="00EC1B7C">
        <w:rPr>
          <w:rFonts w:ascii="Verdana" w:hAnsi="Verdana"/>
          <w:sz w:val="22"/>
          <w:szCs w:val="22"/>
          <w:lang w:val="es-ES"/>
        </w:rPr>
        <w:t xml:space="preserve"> </w:t>
      </w:r>
      <w:r w:rsidRPr="00EC1B7C">
        <w:rPr>
          <w:rFonts w:ascii="Verdana" w:eastAsia="Arial" w:hAnsi="Verdana" w:cs="Arial"/>
          <w:sz w:val="22"/>
          <w:szCs w:val="22"/>
          <w:lang w:val="es-ES"/>
        </w:rPr>
        <w:t xml:space="preserve">El acto administrativo que oferta bienes muebles a título gratuito entre Entidades Estatales cumple la función de un aviso de convocatoria, porque es el mecanismo mediante el cual la entidad propietaria informa públicamente que dispone de determinados bienes y que estos pueden solicitarse por otras entidades interesadas. Dicho acto administrativo garantiza la transparencia y publicidad del proceso, pues permite que todas las entidades potencialmente beneficiarias tengan conocimiento de la oferta y puedan manifestar su interés en recibir los bienes. </w:t>
      </w:r>
    </w:p>
    <w:p w14:paraId="4D49D28D" w14:textId="77777777" w:rsidR="0099050B" w:rsidRPr="00EC1B7C" w:rsidRDefault="0099050B" w:rsidP="0099050B">
      <w:pPr>
        <w:widowControl w:val="0"/>
        <w:autoSpaceDE w:val="0"/>
        <w:autoSpaceDN w:val="0"/>
        <w:spacing w:after="120" w:line="276" w:lineRule="auto"/>
        <w:ind w:firstLine="708"/>
        <w:jc w:val="both"/>
        <w:rPr>
          <w:rFonts w:ascii="Verdana" w:eastAsia="Arial" w:hAnsi="Verdana" w:cs="Arial"/>
          <w:lang w:val="es-ES"/>
        </w:rPr>
      </w:pPr>
      <w:r w:rsidRPr="00EC1B7C">
        <w:rPr>
          <w:rFonts w:ascii="Verdana" w:eastAsia="Arial" w:hAnsi="Verdana" w:cs="Arial"/>
          <w:lang w:val="es-ES"/>
        </w:rPr>
        <w:t>Posterior a ello, la norma en mención indica que dentro de los treinta (30) días calendario siguientes a la fecha de publicación del acto administrativo, la Entidad Estatal interesada en adquirir estos bienes a título gratuito debe manifestar su interés, y con ella, debe señalar la necesidad funcional que pretende satisfacer con el bien conjuntamente con las razones que justifican su solicitud. Finalmente, la norma señala que, si hay dos o más manifestaciones de interés de Entidades Estatales para el mismo bien, la Entidad Estatal que primero haya manifestado su interés debe tener preferencia, sin que existan más normas complementarias o posteriores que hayan regulado con mayor detalle el procedimiento en mención.</w:t>
      </w:r>
    </w:p>
    <w:p w14:paraId="241F4583" w14:textId="77777777" w:rsidR="0099050B" w:rsidRPr="00EC1B7C" w:rsidRDefault="0099050B" w:rsidP="0099050B">
      <w:pPr>
        <w:spacing w:before="120" w:after="120" w:line="276" w:lineRule="auto"/>
        <w:ind w:firstLine="708"/>
        <w:jc w:val="both"/>
        <w:rPr>
          <w:rFonts w:ascii="Verdana" w:eastAsia="Calibri" w:hAnsi="Verdana" w:cs="Arial"/>
          <w:lang w:val="es-ES" w:eastAsia="es-ES_tradnl"/>
        </w:rPr>
      </w:pPr>
      <w:r w:rsidRPr="00EC1B7C">
        <w:rPr>
          <w:rFonts w:ascii="Verdana" w:eastAsia="Calibri" w:hAnsi="Verdana" w:cs="Arial"/>
          <w:lang w:val="es-ES" w:eastAsia="es-ES_tradnl"/>
        </w:rPr>
        <w:t>E</w:t>
      </w:r>
      <w:r w:rsidRPr="00EC1B7C">
        <w:rPr>
          <w:rFonts w:ascii="Verdana" w:eastAsia="Times New Roman" w:hAnsi="Verdana" w:cs="Arial"/>
          <w:color w:val="000000"/>
          <w:bdr w:val="none" w:sz="0" w:space="0" w:color="auto" w:frame="1"/>
          <w:lang w:val="es-ES" w:eastAsia="es-ES_tradnl"/>
        </w:rPr>
        <w:t>n todo proceso de contratación, independiente de la modalidad de selección resulta aplicable l</w:t>
      </w:r>
      <w:r w:rsidRPr="00EC1B7C">
        <w:rPr>
          <w:rFonts w:ascii="Verdana" w:eastAsia="Times New Roman" w:hAnsi="Verdana" w:cs="Arial"/>
          <w:bCs/>
          <w:lang w:val="es-ES" w:eastAsia="es-ES_tradnl"/>
        </w:rPr>
        <w:t xml:space="preserve">a planeación contractual como una herramienta de gerencia pública, que exige estructurar el proceso contractual dedicando tiempo </w:t>
      </w:r>
      <w:r w:rsidRPr="00EC1B7C">
        <w:rPr>
          <w:rFonts w:ascii="Verdana" w:eastAsia="Times New Roman" w:hAnsi="Verdana" w:cs="Arial"/>
          <w:bCs/>
          <w:lang w:val="es-ES" w:eastAsia="es-ES_tradnl"/>
        </w:rPr>
        <w:lastRenderedPageBreak/>
        <w:t>y esfuerzos para elaborar estudios previos, los cuales deberán ser adecuados a su alcance y complejidad. Lo anterior, con la finalidad de determinar la necesidad que pretende satisfacer la entidad estatal, consultando el tipo de bienes y servicios que ofrece el mercado y sus características, especificaciones, precios, costos, riesgos, garantías, disponibilidad, oferentes, entre otros. Así, una debida planeación debe conducir a una escogencia diligente de la mejor oferta, para beneficiar los intereses y fines públicos inmersos en la contratación de las entidades estatales, buscando siempre la correcta ejecución del contrato</w:t>
      </w:r>
      <w:r w:rsidRPr="00EC1B7C">
        <w:rPr>
          <w:rFonts w:ascii="Verdana" w:eastAsia="Times New Roman" w:hAnsi="Verdana" w:cs="Arial"/>
          <w:vertAlign w:val="superscript"/>
          <w:lang w:val="es-ES" w:eastAsia="es-ES_tradnl"/>
        </w:rPr>
        <w:footnoteReference w:id="15"/>
      </w:r>
      <w:r w:rsidRPr="00EC1B7C">
        <w:rPr>
          <w:rFonts w:ascii="Verdana" w:eastAsia="Times New Roman" w:hAnsi="Verdana" w:cs="Arial"/>
          <w:bCs/>
          <w:lang w:val="es-ES" w:eastAsia="es-ES_tradnl"/>
        </w:rPr>
        <w:t>.</w:t>
      </w:r>
      <w:r w:rsidRPr="00EC1B7C">
        <w:rPr>
          <w:rFonts w:ascii="Verdana" w:eastAsia="Calibri" w:hAnsi="Verdana" w:cs="Arial"/>
          <w:lang w:val="es-ES" w:eastAsia="es-CO"/>
        </w:rPr>
        <w:t xml:space="preserve"> </w:t>
      </w:r>
    </w:p>
    <w:p w14:paraId="5EBA87B5" w14:textId="77777777" w:rsidR="0099050B" w:rsidRPr="00EC1B7C" w:rsidRDefault="0099050B" w:rsidP="0099050B">
      <w:pPr>
        <w:spacing w:after="0" w:line="276" w:lineRule="auto"/>
        <w:ind w:firstLine="708"/>
        <w:jc w:val="both"/>
        <w:rPr>
          <w:rFonts w:ascii="Verdana" w:eastAsia="Times New Roman" w:hAnsi="Verdana" w:cs="Arial"/>
          <w:bCs/>
          <w:lang w:val="es-ES" w:eastAsia="es-ES_tradnl"/>
        </w:rPr>
      </w:pPr>
      <w:r w:rsidRPr="00EC1B7C">
        <w:rPr>
          <w:rFonts w:ascii="Verdana" w:eastAsia="Times New Roman" w:hAnsi="Verdana" w:cs="Arial"/>
          <w:bCs/>
          <w:lang w:val="es-ES" w:eastAsia="es-ES_tradnl"/>
        </w:rPr>
        <w:t xml:space="preserve">En armonía con lo anterior, el Estatuto General de Contratación de la Administración Pública contiene disposiciones que demandan de las entidades estatales el deber de planeación en la etapa precontractual. Esto con la finalidad de que los procesos de contratación satisfagan las necesidades de la Administración, cumplan sus fines, logren la continua y eficiente prestación de los servicios públicos y permitan la efectividad de los derechos e intereses de los administrados que colaboran en su consecución. En relación con el principio de economía, se tienen las siguientes reglas derivadas de su aplicación, lo cual está previsto en el artículo 25 de la Ley 80 de 1993: </w:t>
      </w:r>
    </w:p>
    <w:p w14:paraId="34F511C8" w14:textId="77777777" w:rsidR="0099050B" w:rsidRPr="00EC1B7C" w:rsidRDefault="0099050B" w:rsidP="0099050B">
      <w:pPr>
        <w:spacing w:after="0" w:line="276" w:lineRule="auto"/>
        <w:ind w:firstLine="708"/>
        <w:jc w:val="both"/>
        <w:rPr>
          <w:rFonts w:ascii="Verdana" w:eastAsia="Calibri" w:hAnsi="Verdana" w:cs="Arial"/>
          <w:bCs/>
          <w:lang w:val="es-ES"/>
        </w:rPr>
      </w:pPr>
    </w:p>
    <w:p w14:paraId="38B7F621"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 xml:space="preserve">“7o. La conveniencia o inconveniencia del objeto a contratar y las autorizaciones y aprobaciones para ello, se analizarán o impartirán con </w:t>
      </w:r>
      <w:r w:rsidRPr="00EC1B7C">
        <w:rPr>
          <w:rFonts w:ascii="Verdana" w:eastAsia="Calibri" w:hAnsi="Verdana" w:cs="Arial"/>
          <w:sz w:val="21"/>
          <w:szCs w:val="21"/>
          <w:lang w:val="es-ES"/>
        </w:rPr>
        <w:lastRenderedPageBreak/>
        <w:t>antelación al inicio del proceso de selección del contratista o al de la firma del contrato, según el caso.</w:t>
      </w:r>
    </w:p>
    <w:p w14:paraId="046A2CFA"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w:t>
      </w:r>
    </w:p>
    <w:p w14:paraId="784C3641"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p>
    <w:p w14:paraId="1ECA47BD"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 xml:space="preserve">12. Previo a la apertura de un proceso de selección, o a la firma del contrato en el caso en que la </w:t>
      </w:r>
      <w:r w:rsidRPr="00EC1B7C">
        <w:rPr>
          <w:rFonts w:ascii="Verdana" w:eastAsia="Calibri" w:hAnsi="Verdana" w:cs="Arial"/>
          <w:i/>
          <w:iCs/>
          <w:sz w:val="21"/>
          <w:szCs w:val="21"/>
          <w:lang w:val="es-ES"/>
        </w:rPr>
        <w:t>modalidad de selección sea contratación directa</w:t>
      </w:r>
      <w:r w:rsidRPr="00EC1B7C">
        <w:rPr>
          <w:rFonts w:ascii="Verdana" w:eastAsia="Calibri" w:hAnsi="Verdana" w:cs="Arial"/>
          <w:sz w:val="21"/>
          <w:szCs w:val="21"/>
          <w:lang w:val="es-ES"/>
        </w:rPr>
        <w:t>, deberán elaborarse los estudios, diseños y proyectos requeridos, y los pliegos de condiciones, según corresponda.</w:t>
      </w:r>
    </w:p>
    <w:p w14:paraId="512ED555" w14:textId="77777777" w:rsidR="0099050B" w:rsidRPr="00EC1B7C" w:rsidRDefault="0099050B" w:rsidP="0099050B">
      <w:pPr>
        <w:spacing w:after="0" w:line="240" w:lineRule="auto"/>
        <w:ind w:left="709" w:right="709"/>
        <w:jc w:val="both"/>
        <w:rPr>
          <w:rFonts w:ascii="Verdana" w:eastAsia="Times New Roman" w:hAnsi="Verdana" w:cs="Arial"/>
          <w:sz w:val="21"/>
          <w:szCs w:val="21"/>
          <w:lang w:val="es-ES" w:eastAsia="es-ES_tradnl"/>
        </w:rPr>
      </w:pPr>
    </w:p>
    <w:p w14:paraId="0CBAF626" w14:textId="77777777" w:rsidR="0099050B" w:rsidRPr="00EC1B7C" w:rsidRDefault="0099050B" w:rsidP="0099050B">
      <w:pPr>
        <w:spacing w:after="0" w:line="240" w:lineRule="auto"/>
        <w:ind w:left="709" w:right="709"/>
        <w:jc w:val="both"/>
        <w:rPr>
          <w:rFonts w:ascii="Verdana" w:eastAsia="Times New Roman" w:hAnsi="Verdana" w:cs="Arial"/>
          <w:sz w:val="21"/>
          <w:szCs w:val="21"/>
          <w:lang w:val="es-ES" w:eastAsia="es-ES_tradnl"/>
        </w:rPr>
      </w:pPr>
      <w:r w:rsidRPr="00EC1B7C">
        <w:rPr>
          <w:rFonts w:ascii="Verdana" w:eastAsia="Times New Roman" w:hAnsi="Verdana" w:cs="Arial"/>
          <w:sz w:val="21"/>
          <w:szCs w:val="21"/>
          <w:lang w:val="es-ES" w:eastAsia="es-ES_tradnl"/>
        </w:rPr>
        <w:t>[…]”. (Cursivas propias)</w:t>
      </w:r>
    </w:p>
    <w:p w14:paraId="7B81C23A" w14:textId="77777777" w:rsidR="0099050B" w:rsidRPr="00EC1B7C" w:rsidRDefault="0099050B" w:rsidP="0099050B">
      <w:pPr>
        <w:spacing w:after="0" w:line="276" w:lineRule="auto"/>
        <w:ind w:left="709" w:right="709"/>
        <w:jc w:val="both"/>
        <w:rPr>
          <w:rFonts w:ascii="Verdana" w:eastAsia="Times New Roman" w:hAnsi="Verdana" w:cs="Arial"/>
          <w:lang w:val="es-ES" w:eastAsia="es-ES_tradnl"/>
        </w:rPr>
      </w:pPr>
    </w:p>
    <w:p w14:paraId="3C0534A4" w14:textId="77777777" w:rsidR="0099050B" w:rsidRPr="00EC1B7C" w:rsidRDefault="0099050B" w:rsidP="0099050B">
      <w:pPr>
        <w:spacing w:after="120" w:line="276" w:lineRule="auto"/>
        <w:ind w:firstLine="709"/>
        <w:jc w:val="both"/>
        <w:rPr>
          <w:rFonts w:ascii="Verdana" w:eastAsia="Calibri" w:hAnsi="Verdana" w:cs="Arial"/>
          <w:lang w:val="es-ES"/>
        </w:rPr>
      </w:pPr>
      <w:r w:rsidRPr="00EC1B7C">
        <w:rPr>
          <w:rFonts w:ascii="Verdana" w:eastAsia="Calibri" w:hAnsi="Verdana" w:cs="Arial"/>
          <w:lang w:val="es-ES"/>
        </w:rPr>
        <w:t xml:space="preserve">De las normas precitadas se resalta que, en virtud del principio de economía, para iniciar un proceso de contratación, </w:t>
      </w:r>
      <w:r w:rsidRPr="00EC1B7C">
        <w:rPr>
          <w:rFonts w:ascii="Verdana" w:eastAsia="Calibri" w:hAnsi="Verdana" w:cs="Arial"/>
          <w:i/>
          <w:iCs/>
          <w:lang w:val="es-ES"/>
        </w:rPr>
        <w:t>inclusive de contratación directa</w:t>
      </w:r>
      <w:r w:rsidRPr="00EC1B7C">
        <w:rPr>
          <w:rFonts w:ascii="Verdana" w:eastAsia="Calibri" w:hAnsi="Verdana" w:cs="Arial"/>
          <w:lang w:val="es-ES"/>
        </w:rPr>
        <w:t xml:space="preserve">, se requieren unos estudios previos.  Con ellos, se estructuran, concretan y viabilizan los aspectos esenciales del futuro contrato, dentro de los cuales se encuentran su objeto y valor estimado, entre otros elementos. </w:t>
      </w:r>
    </w:p>
    <w:p w14:paraId="2EC13DF0" w14:textId="77777777" w:rsidR="0099050B" w:rsidRPr="00EC1B7C" w:rsidRDefault="0099050B" w:rsidP="0099050B">
      <w:pPr>
        <w:spacing w:after="0" w:line="276" w:lineRule="auto"/>
        <w:ind w:firstLine="708"/>
        <w:jc w:val="both"/>
        <w:rPr>
          <w:rFonts w:ascii="Verdana" w:eastAsia="Calibri" w:hAnsi="Verdana" w:cs="Arial"/>
          <w:lang w:val="es-ES"/>
        </w:rPr>
      </w:pPr>
      <w:r w:rsidRPr="00EC1B7C">
        <w:rPr>
          <w:rFonts w:ascii="Verdana" w:eastAsia="Calibri" w:hAnsi="Verdana" w:cs="Arial"/>
          <w:lang w:val="es-ES"/>
        </w:rPr>
        <w:t xml:space="preserve">Los componentes de los estudios previos que sirven de soporte para elaborar el proyecto de pliego, los pliegos de condiciones y el contrato, están previstos en el artículo 2.2.1.1.2.1.1 del Decreto 1082 de 2015. La norma exige que se determine la necesidad, el objeto a contratar con sus especificaciones y se estime el costo que implica la celebración del contrato de la siguiente manera: </w:t>
      </w:r>
    </w:p>
    <w:p w14:paraId="4671E92B" w14:textId="77777777" w:rsidR="0099050B" w:rsidRPr="00EC1B7C" w:rsidRDefault="0099050B" w:rsidP="0099050B">
      <w:pPr>
        <w:spacing w:after="0" w:line="240" w:lineRule="auto"/>
        <w:jc w:val="both"/>
        <w:rPr>
          <w:rFonts w:ascii="Verdana" w:eastAsia="Calibri" w:hAnsi="Verdana" w:cs="Arial"/>
          <w:sz w:val="21"/>
          <w:szCs w:val="21"/>
          <w:lang w:val="es-ES"/>
        </w:rPr>
      </w:pPr>
    </w:p>
    <w:p w14:paraId="1B0AED51"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 xml:space="preserve">1.    La descripción de la necesidad que la Entidad Estatal pretende satisfacer con el Proceso de Contratación. </w:t>
      </w:r>
    </w:p>
    <w:p w14:paraId="0D3EF5F9"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p>
    <w:p w14:paraId="436F181D" w14:textId="77777777" w:rsidR="0099050B" w:rsidRPr="00EC1B7C" w:rsidRDefault="0099050B" w:rsidP="0099050B">
      <w:pPr>
        <w:spacing w:after="0" w:line="240" w:lineRule="auto"/>
        <w:ind w:left="709" w:right="709"/>
        <w:jc w:val="both"/>
        <w:rPr>
          <w:rFonts w:ascii="Verdana" w:eastAsia="Calibri" w:hAnsi="Verdana" w:cs="Arial"/>
          <w:sz w:val="21"/>
          <w:szCs w:val="21"/>
          <w:lang w:val="es-ES"/>
        </w:rPr>
      </w:pPr>
      <w:r w:rsidRPr="00EC1B7C">
        <w:rPr>
          <w:rFonts w:ascii="Verdana" w:eastAsia="Calibri" w:hAnsi="Verdana" w:cs="Arial"/>
          <w:sz w:val="21"/>
          <w:szCs w:val="21"/>
          <w:lang w:val="es-ES"/>
        </w:rPr>
        <w:t>2. El objeto a contratar, con sus especificaciones, las autorizaciones, permisos y licencias requeridos para su ejecución, y cuando el contrato incluye diseño y construcción, los documentos técnicos para el desarrollo del proyecto.</w:t>
      </w:r>
    </w:p>
    <w:p w14:paraId="17FCF564" w14:textId="77777777" w:rsidR="0099050B" w:rsidRPr="00EC1B7C" w:rsidRDefault="0099050B" w:rsidP="0099050B">
      <w:pPr>
        <w:spacing w:after="0" w:line="240" w:lineRule="auto"/>
        <w:jc w:val="both"/>
        <w:rPr>
          <w:rFonts w:ascii="Verdana" w:eastAsia="Times New Roman" w:hAnsi="Verdana" w:cs="Arial"/>
          <w:bCs/>
          <w:sz w:val="21"/>
          <w:szCs w:val="21"/>
          <w:lang w:val="es-ES" w:eastAsia="es-ES_tradnl"/>
        </w:rPr>
      </w:pPr>
      <w:r w:rsidRPr="00EC1B7C">
        <w:rPr>
          <w:rFonts w:ascii="Verdana" w:eastAsia="Times New Roman" w:hAnsi="Verdana" w:cs="Arial"/>
          <w:bCs/>
          <w:sz w:val="21"/>
          <w:szCs w:val="21"/>
          <w:lang w:val="es-ES" w:eastAsia="es-ES_tradnl"/>
        </w:rPr>
        <w:tab/>
        <w:t>[…]</w:t>
      </w:r>
    </w:p>
    <w:p w14:paraId="5E5EC389" w14:textId="77777777" w:rsidR="0099050B" w:rsidRPr="00EC1B7C" w:rsidRDefault="0099050B" w:rsidP="0099050B">
      <w:pPr>
        <w:spacing w:after="0" w:line="276" w:lineRule="auto"/>
        <w:jc w:val="both"/>
        <w:rPr>
          <w:rFonts w:ascii="Verdana" w:eastAsia="Times New Roman" w:hAnsi="Verdana" w:cs="Arial"/>
          <w:bCs/>
          <w:lang w:val="es-ES" w:eastAsia="es-ES_tradnl"/>
        </w:rPr>
      </w:pPr>
    </w:p>
    <w:p w14:paraId="7480402C" w14:textId="77777777" w:rsidR="0099050B" w:rsidRPr="00EC1B7C" w:rsidRDefault="0099050B" w:rsidP="0099050B">
      <w:pPr>
        <w:spacing w:after="0" w:line="276" w:lineRule="auto"/>
        <w:ind w:firstLine="709"/>
        <w:jc w:val="both"/>
        <w:rPr>
          <w:rFonts w:ascii="Verdana" w:eastAsia="Times New Roman" w:hAnsi="Verdana" w:cs="Arial"/>
          <w:bCs/>
          <w:lang w:val="es-ES" w:eastAsia="es-ES_tradnl"/>
        </w:rPr>
      </w:pPr>
      <w:r w:rsidRPr="00EC1B7C">
        <w:rPr>
          <w:rFonts w:ascii="Verdana" w:eastAsia="Times New Roman" w:hAnsi="Verdana" w:cs="Arial"/>
          <w:bCs/>
          <w:lang w:val="es-ES" w:eastAsia="es-ES_tradnl"/>
        </w:rPr>
        <w:t xml:space="preserve">Se evidencia que en todo proceso de contratación es necesario </w:t>
      </w:r>
      <w:r w:rsidRPr="00EC1B7C">
        <w:rPr>
          <w:rFonts w:ascii="Verdana" w:eastAsia="Times New Roman" w:hAnsi="Verdana" w:cs="Arial"/>
          <w:color w:val="000000"/>
          <w:bdr w:val="none" w:sz="0" w:space="0" w:color="auto" w:frame="1"/>
          <w:lang w:val="es-ES" w:eastAsia="es-ES_tradnl"/>
        </w:rPr>
        <w:t>e</w:t>
      </w:r>
      <w:r w:rsidRPr="00EC1B7C">
        <w:rPr>
          <w:rFonts w:ascii="Verdana" w:eastAsia="Calibri" w:hAnsi="Verdana" w:cs="Arial"/>
          <w:lang w:val="es-ES" w:eastAsia="es-ES_tradnl"/>
        </w:rPr>
        <w:t xml:space="preserve">laborar un estudio previo para la enajenación de bienes muebles a título gratuito entre entidades estatales porque garantiza la transparencia y la legalidad del proceso. Este documento permite justificar la necesidad de la transferencia, verificar que los bienes cumplen con las condiciones de uso y que no representan un detrimento patrimonial para la entidad que los entrega. Además, el estudio previo asegura que la decisión esté soportada en criterios técnicos y jurídicos, </w:t>
      </w:r>
      <w:r w:rsidRPr="00EC1B7C">
        <w:rPr>
          <w:rFonts w:ascii="Verdana" w:eastAsia="Calibri" w:hAnsi="Verdana" w:cs="Arial"/>
          <w:lang w:val="es-ES" w:eastAsia="es-ES_tradnl"/>
        </w:rPr>
        <w:lastRenderedPageBreak/>
        <w:t>evitando posibles cuestionamientos sobre la pertinencia o conveniencia de la gestión del procedimiento de contratación y de la celebración del contrato.</w:t>
      </w:r>
    </w:p>
    <w:p w14:paraId="772ADD47" w14:textId="77777777" w:rsidR="0099050B" w:rsidRPr="00EC1B7C" w:rsidRDefault="0099050B" w:rsidP="0099050B">
      <w:pPr>
        <w:spacing w:before="120" w:after="0" w:line="276" w:lineRule="auto"/>
        <w:ind w:firstLine="709"/>
        <w:jc w:val="both"/>
        <w:rPr>
          <w:rFonts w:ascii="Verdana" w:eastAsia="Times New Roman" w:hAnsi="Verdana" w:cs="Arial"/>
          <w:bCs/>
          <w:lang w:val="es-ES" w:eastAsia="es-ES_tradnl"/>
        </w:rPr>
      </w:pPr>
      <w:r w:rsidRPr="00EC1B7C">
        <w:rPr>
          <w:rFonts w:ascii="Verdana" w:eastAsia="Calibri" w:hAnsi="Verdana" w:cs="Arial"/>
          <w:bCs/>
          <w:color w:val="000000" w:themeColor="text1"/>
          <w:lang w:val="es-ES"/>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4277F264" w14:textId="77777777" w:rsidR="0099050B" w:rsidRPr="00EC1B7C" w:rsidRDefault="0099050B" w:rsidP="0099050B">
      <w:pPr>
        <w:spacing w:after="0" w:line="276" w:lineRule="auto"/>
        <w:ind w:firstLine="708"/>
        <w:jc w:val="both"/>
        <w:rPr>
          <w:rFonts w:ascii="Verdana" w:eastAsia="Calibri" w:hAnsi="Verdana" w:cs="Arial"/>
          <w:bCs/>
          <w:color w:val="000000" w:themeColor="text1"/>
          <w:lang w:val="es-ES"/>
        </w:rPr>
      </w:pPr>
      <w:r w:rsidRPr="00EC1B7C">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E9ABB13" w14:textId="77777777" w:rsidR="0099050B" w:rsidRPr="00EC1B7C" w:rsidRDefault="0099050B" w:rsidP="0099050B">
      <w:pPr>
        <w:spacing w:after="0" w:line="276" w:lineRule="auto"/>
        <w:ind w:firstLine="708"/>
        <w:jc w:val="both"/>
        <w:rPr>
          <w:rFonts w:ascii="Verdana" w:hAnsi="Verdana" w:cs="Arial"/>
          <w:lang w:val="es-ES"/>
        </w:rPr>
      </w:pPr>
    </w:p>
    <w:p w14:paraId="61078C16" w14:textId="77777777" w:rsidR="0099050B" w:rsidRPr="00EC1B7C" w:rsidRDefault="0099050B" w:rsidP="0099050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Referencias normativas, jurisprudenciales y otras fuentes:</w:t>
      </w:r>
    </w:p>
    <w:p w14:paraId="79960D11" w14:textId="77777777" w:rsidR="0099050B" w:rsidRPr="00EC1B7C" w:rsidRDefault="0099050B" w:rsidP="0099050B">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9050B" w:rsidRPr="00EC1B7C" w14:paraId="72F85A41" w14:textId="77777777" w:rsidTr="00405C53">
        <w:trPr>
          <w:trHeight w:val="870"/>
        </w:trPr>
        <w:tc>
          <w:tcPr>
            <w:tcW w:w="8647" w:type="dxa"/>
          </w:tcPr>
          <w:p w14:paraId="0C8046A8"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EC1B7C">
              <w:rPr>
                <w:rFonts w:ascii="Verdana" w:eastAsia="Arial MT" w:hAnsi="Verdana" w:cs="Arial"/>
                <w:lang w:val="es-ES" w:eastAsia="es-ES" w:bidi="es-ES"/>
              </w:rPr>
              <w:t xml:space="preserve">Código Civil, artículos 665, 749 y 1521. </w:t>
            </w:r>
          </w:p>
          <w:p w14:paraId="302349B6" w14:textId="77777777" w:rsidR="0099050B" w:rsidRPr="00EC1B7C" w:rsidRDefault="0099050B" w:rsidP="00405C53">
            <w:pPr>
              <w:pStyle w:val="Prrafodelista"/>
              <w:widowControl w:val="0"/>
              <w:numPr>
                <w:ilvl w:val="0"/>
                <w:numId w:val="17"/>
              </w:numPr>
              <w:autoSpaceDE w:val="0"/>
              <w:autoSpaceDN w:val="0"/>
              <w:spacing w:line="276" w:lineRule="auto"/>
              <w:jc w:val="both"/>
              <w:rPr>
                <w:rFonts w:ascii="Verdana" w:hAnsi="Verdana" w:cs="Arial"/>
              </w:rPr>
            </w:pPr>
            <w:r w:rsidRPr="00EC1B7C">
              <w:rPr>
                <w:rFonts w:ascii="Verdana" w:hAnsi="Verdana" w:cs="Arial"/>
              </w:rPr>
              <w:t xml:space="preserve">Ley 1150 de 2007, </w:t>
            </w:r>
            <w:r w:rsidRPr="00EC1B7C">
              <w:rPr>
                <w:rFonts w:ascii="Verdana" w:eastAsia="Arial" w:hAnsi="Verdana" w:cs="Arial"/>
              </w:rPr>
              <w:t xml:space="preserve">literal e) del numeral 2 del artículo 2. </w:t>
            </w:r>
          </w:p>
          <w:p w14:paraId="54CFAB2D"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Ley 795 de 2003, Artículo 91.</w:t>
            </w:r>
          </w:p>
          <w:p w14:paraId="3DE6B1F1"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Ley 1450 de 2011, artículo 238. </w:t>
            </w:r>
          </w:p>
          <w:p w14:paraId="56454729"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Ley 2294 de 2023, artículo 330. </w:t>
            </w:r>
          </w:p>
          <w:p w14:paraId="3AC7DD37"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Decreto 1068 de 2015, artículo 2.5.2.3.1.  </w:t>
            </w:r>
          </w:p>
          <w:p w14:paraId="207E6159" w14:textId="77777777" w:rsidR="0099050B" w:rsidRPr="00EC1B7C" w:rsidRDefault="0099050B" w:rsidP="0099050B">
            <w:pPr>
              <w:pStyle w:val="Prrafodelista"/>
              <w:widowControl w:val="0"/>
              <w:numPr>
                <w:ilvl w:val="0"/>
                <w:numId w:val="18"/>
              </w:numPr>
              <w:autoSpaceDE w:val="0"/>
              <w:autoSpaceDN w:val="0"/>
              <w:spacing w:line="276" w:lineRule="auto"/>
              <w:jc w:val="both"/>
              <w:rPr>
                <w:rFonts w:ascii="Verdana" w:hAnsi="Verdana" w:cs="Arial"/>
              </w:rPr>
            </w:pPr>
            <w:r w:rsidRPr="00EC1B7C">
              <w:rPr>
                <w:rFonts w:ascii="Verdana" w:hAnsi="Verdana" w:cs="Arial"/>
              </w:rPr>
              <w:t xml:space="preserve">Decreto 1082 de 2015, artículos </w:t>
            </w:r>
            <w:r w:rsidRPr="00EC1B7C">
              <w:rPr>
                <w:rFonts w:ascii="Verdana" w:eastAsia="Arial" w:hAnsi="Verdana" w:cs="Arial"/>
              </w:rPr>
              <w:t>2.2.1.2.2.1.1 y ss</w:t>
            </w:r>
            <w:r>
              <w:rPr>
                <w:rFonts w:ascii="Verdana" w:eastAsia="Arial" w:hAnsi="Verdana" w:cs="Arial"/>
              </w:rPr>
              <w:t>.</w:t>
            </w:r>
          </w:p>
          <w:p w14:paraId="2B69490F"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CONSEJO DE ESTADO. Sección Cuarta. Sentencia del 6 de febrero de </w:t>
            </w:r>
            <w:r w:rsidRPr="00EC1B7C">
              <w:rPr>
                <w:rFonts w:ascii="Verdana" w:hAnsi="Verdana" w:cs="Arial"/>
                <w:lang w:val="es-ES"/>
              </w:rPr>
              <w:lastRenderedPageBreak/>
              <w:t>2006. C.P. María Inés Ortiz Barbosa. Expediente: 14.123.</w:t>
            </w:r>
          </w:p>
          <w:p w14:paraId="012480FF"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CONSEJO DE ESTADO, Sección Tercera. Sentencia del 30 de abril de 2012. Expediente 21.699. C.P. Ruth Stella Correa Palacio. </w:t>
            </w:r>
          </w:p>
          <w:p w14:paraId="7075611E"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CONSEJO DE ESTADO, Sección Tercera. Sentencia del 19 de julio de 2018, Expediente 36.711. C.P. Carlos Alberto Zambrano Barrera.</w:t>
            </w:r>
          </w:p>
          <w:p w14:paraId="621BBBBA"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CORTE CONSTITUCIONAL. Sentencia C-183 de 2003. M.P. Alfredo Beltrán Sierra. </w:t>
            </w:r>
          </w:p>
          <w:p w14:paraId="5CFDAF4D" w14:textId="77777777" w:rsidR="0099050B" w:rsidRPr="00EC1B7C" w:rsidRDefault="0099050B" w:rsidP="00405C53">
            <w:pPr>
              <w:widowControl w:val="0"/>
              <w:numPr>
                <w:ilvl w:val="0"/>
                <w:numId w:val="17"/>
              </w:numPr>
              <w:autoSpaceDE w:val="0"/>
              <w:autoSpaceDN w:val="0"/>
              <w:spacing w:before="120" w:after="120" w:line="276" w:lineRule="auto"/>
              <w:jc w:val="both"/>
              <w:rPr>
                <w:rFonts w:ascii="Verdana" w:hAnsi="Verdana" w:cs="Arial"/>
                <w:lang w:val="es-ES"/>
              </w:rPr>
            </w:pPr>
            <w:r w:rsidRPr="00EC1B7C">
              <w:rPr>
                <w:rFonts w:ascii="Verdana" w:hAnsi="Verdana" w:cs="Arial"/>
                <w:lang w:val="es-ES"/>
              </w:rPr>
              <w:t xml:space="preserve">DÁVILA VINUEZA, Luis Guillermo. Régimen Jurídico de la Contratación Estatal. Bogotá: Legis, 2016. </w:t>
            </w:r>
          </w:p>
          <w:p w14:paraId="0B3B09EC" w14:textId="77777777" w:rsidR="0099050B" w:rsidRPr="00EC1B7C" w:rsidRDefault="0099050B" w:rsidP="00405C53">
            <w:pPr>
              <w:widowControl w:val="0"/>
              <w:numPr>
                <w:ilvl w:val="0"/>
                <w:numId w:val="17"/>
              </w:numPr>
              <w:autoSpaceDE w:val="0"/>
              <w:autoSpaceDN w:val="0"/>
              <w:snapToGrid w:val="0"/>
              <w:spacing w:before="120" w:after="120" w:line="276" w:lineRule="auto"/>
              <w:jc w:val="both"/>
              <w:rPr>
                <w:rFonts w:ascii="Verdana" w:eastAsia="Calibri" w:hAnsi="Verdana" w:cs="Arial"/>
                <w:color w:val="000000" w:themeColor="text1"/>
                <w:lang w:val="es-ES"/>
              </w:rPr>
            </w:pPr>
            <w:r w:rsidRPr="00EC1B7C">
              <w:rPr>
                <w:rFonts w:ascii="Verdana" w:hAnsi="Verdana" w:cs="Arial"/>
                <w:lang w:val="es-ES"/>
              </w:rPr>
              <w:t>VELÁSQUEZ, Hernán Darío. Estudio sobre obligaciones. Bogotá: Temis, 2010..</w:t>
            </w:r>
          </w:p>
        </w:tc>
      </w:tr>
    </w:tbl>
    <w:p w14:paraId="3CAB604E" w14:textId="77777777" w:rsidR="0099050B" w:rsidRPr="00EC1B7C" w:rsidRDefault="0099050B" w:rsidP="0099050B">
      <w:pPr>
        <w:widowControl w:val="0"/>
        <w:autoSpaceDE w:val="0"/>
        <w:autoSpaceDN w:val="0"/>
        <w:spacing w:after="0" w:line="276" w:lineRule="auto"/>
        <w:jc w:val="both"/>
        <w:rPr>
          <w:rFonts w:ascii="Verdana" w:hAnsi="Verdana" w:cs="Arial"/>
          <w:color w:val="000000" w:themeColor="text1"/>
          <w:lang w:val="es-ES"/>
        </w:rPr>
      </w:pPr>
    </w:p>
    <w:p w14:paraId="159A715F" w14:textId="77777777" w:rsidR="0099050B" w:rsidRPr="00EC1B7C" w:rsidRDefault="0099050B" w:rsidP="0099050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EC1B7C">
        <w:rPr>
          <w:rFonts w:ascii="Verdana" w:eastAsia="Century Gothic" w:hAnsi="Verdana" w:cs="Century Gothic"/>
          <w:b/>
          <w:bCs/>
          <w:color w:val="000000" w:themeColor="text1"/>
        </w:rPr>
        <w:t>Doctrina de la Agencia Nacional de Contratación Pública:</w:t>
      </w:r>
    </w:p>
    <w:p w14:paraId="60FC059A" w14:textId="77777777" w:rsidR="0099050B" w:rsidRPr="00EC1B7C" w:rsidRDefault="0099050B" w:rsidP="0099050B">
      <w:pPr>
        <w:widowControl w:val="0"/>
        <w:autoSpaceDE w:val="0"/>
        <w:autoSpaceDN w:val="0"/>
        <w:spacing w:after="0" w:line="276" w:lineRule="auto"/>
        <w:jc w:val="both"/>
        <w:rPr>
          <w:rFonts w:ascii="Verdana" w:hAnsi="Verdana" w:cs="Arial"/>
          <w:color w:val="000000" w:themeColor="text1"/>
          <w:lang w:val="es-ES"/>
        </w:rPr>
      </w:pPr>
    </w:p>
    <w:p w14:paraId="3F6FD8B6" w14:textId="77777777" w:rsidR="0099050B" w:rsidRPr="00EC1B7C" w:rsidRDefault="0099050B" w:rsidP="0099050B">
      <w:pPr>
        <w:jc w:val="both"/>
        <w:rPr>
          <w:rStyle w:val="normaltextrun"/>
          <w:rFonts w:ascii="Verdana" w:eastAsia="Calibri" w:hAnsi="Verdana" w:cs="Arial"/>
          <w:b/>
          <w:bCs/>
          <w:color w:val="000000" w:themeColor="text1"/>
          <w:lang w:val="es-ES" w:eastAsia="es-ES"/>
        </w:rPr>
      </w:pPr>
      <w:r w:rsidRPr="00EC1B7C">
        <w:rPr>
          <w:rStyle w:val="normaltextrun"/>
          <w:rFonts w:ascii="Verdana" w:hAnsi="Verdana" w:cs="Arial"/>
          <w:color w:val="000000" w:themeColor="text1"/>
          <w:shd w:val="clear" w:color="auto" w:fill="FFFFFF"/>
          <w:lang w:val="es-ES"/>
        </w:rPr>
        <w:t>La Agencia Nacional de Contratación Pública – Colombia Compra Eficiente</w:t>
      </w:r>
      <w:r w:rsidRPr="00EC1B7C">
        <w:rPr>
          <w:rStyle w:val="normaltextrun"/>
          <w:rFonts w:ascii="Verdana" w:hAnsi="Verdana" w:cs="Arial"/>
          <w:shd w:val="clear" w:color="auto" w:fill="FFFFFF"/>
          <w:lang w:val="es-ES"/>
        </w:rPr>
        <w:t xml:space="preserve">. Se ha referido con respecto a la </w:t>
      </w:r>
      <w:r w:rsidRPr="00EC1B7C">
        <w:rPr>
          <w:rFonts w:ascii="Verdana" w:hAnsi="Verdana" w:cs="Arial"/>
          <w:bCs/>
          <w:shd w:val="clear" w:color="auto" w:fill="FFFFFF"/>
          <w:lang w:val="es-ES"/>
        </w:rPr>
        <w:t>enajenación de bienes muebles del Estado en los conceptos con Radicado No. 2201913000007905 del 23 de octubre de 2019, 2201913000008259 del 6 de noviembre de 2019, C-186 del 17 de marzo de 2020, C-661 del 17 de noviembre de 2020, C-397 del 18 de julio de 2022, C-704 del 26 de octubre de 2022, C- 825 del 5 de agosto de 2025, entre otros. En torno al deber de publicidad en los conceptos CU-367 del 23 de julio de 2020, reiterado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y C-804 de 2024, C-185 del 24 de marzo de 2025, C-487 del 30 de mayo de 2025, 1177 del 1 de octubre de 2025, C-1631 del 16 de diciembre de 2025, entre otros.</w:t>
      </w:r>
      <w:r w:rsidRPr="00EC1B7C">
        <w:rPr>
          <w:rFonts w:ascii="Verdana" w:hAnsi="Verdana" w:cs="Arial"/>
          <w:shd w:val="clear" w:color="auto" w:fill="FFFFFF"/>
          <w:lang w:val="es-ES"/>
        </w:rPr>
        <w:t xml:space="preserve"> </w:t>
      </w:r>
      <w:r w:rsidRPr="00EC1B7C">
        <w:rPr>
          <w:rStyle w:val="normaltextrun"/>
          <w:rFonts w:ascii="Verdana" w:hAnsi="Verdana" w:cs="Arial"/>
          <w:shd w:val="clear" w:color="auto" w:fill="FFFFFF"/>
          <w:lang w:val="es-ES"/>
        </w:rPr>
        <w:t xml:space="preserve"> Estos y otros conceptos se encuentran disponibles para consulta en el Sistema de relatoría de la Agencia</w:t>
      </w:r>
      <w:r w:rsidRPr="00EC1B7C">
        <w:rPr>
          <w:rFonts w:ascii="Verdana" w:hAnsi="Verdana"/>
          <w:lang w:val="es-ES"/>
        </w:rPr>
        <w:t>, al cual puede accederse a través del siguiente enlace:</w:t>
      </w:r>
      <w:r w:rsidRPr="00EC1B7C">
        <w:rPr>
          <w:rStyle w:val="normaltextrun"/>
          <w:rFonts w:ascii="Verdana" w:hAnsi="Verdana" w:cs="Arial"/>
          <w:shd w:val="clear" w:color="auto" w:fill="FFFFFF"/>
          <w:lang w:val="es-ES"/>
        </w:rPr>
        <w:t xml:space="preserve"> </w:t>
      </w:r>
      <w:hyperlink r:id="rId11" w:history="1">
        <w:r w:rsidRPr="00EC1B7C">
          <w:rPr>
            <w:rStyle w:val="Hipervnculo"/>
            <w:rFonts w:ascii="Verdana" w:hAnsi="Verdana" w:cs="Arial"/>
            <w:shd w:val="clear" w:color="auto" w:fill="FFFFFF"/>
            <w:lang w:val="es-ES"/>
          </w:rPr>
          <w:t>https://relatoria.colombiacompra.gov.co/busqueda/conceptos</w:t>
        </w:r>
      </w:hyperlink>
      <w:r w:rsidRPr="00EC1B7C">
        <w:rPr>
          <w:rStyle w:val="normaltextrun"/>
          <w:rFonts w:ascii="Verdana" w:hAnsi="Verdana" w:cs="Arial"/>
          <w:shd w:val="clear" w:color="auto" w:fill="FFFFFF"/>
          <w:lang w:val="es-ES"/>
        </w:rPr>
        <w:t>.</w:t>
      </w:r>
      <w:r w:rsidRPr="00EC1B7C">
        <w:rPr>
          <w:rStyle w:val="normaltextrun"/>
          <w:rFonts w:ascii="Verdana" w:hAnsi="Verdana" w:cs="Arial"/>
          <w:color w:val="FF0000"/>
          <w:shd w:val="clear" w:color="auto" w:fill="FFFFFF"/>
          <w:lang w:val="es-ES"/>
        </w:rPr>
        <w:t xml:space="preserve"> </w:t>
      </w:r>
    </w:p>
    <w:p w14:paraId="40D989F2" w14:textId="77777777" w:rsidR="0099050B" w:rsidRPr="00EC1B7C" w:rsidRDefault="0099050B" w:rsidP="0099050B">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48DDBDB" w14:textId="77777777" w:rsidR="0099050B" w:rsidRPr="00EC1B7C" w:rsidRDefault="0099050B" w:rsidP="0099050B">
      <w:pPr>
        <w:spacing w:after="0" w:line="276" w:lineRule="auto"/>
        <w:jc w:val="both"/>
        <w:rPr>
          <w:rFonts w:ascii="Verdana" w:hAnsi="Verdana"/>
          <w:lang w:val="es-ES"/>
        </w:rPr>
      </w:pPr>
      <w:r w:rsidRPr="00EC1B7C">
        <w:rPr>
          <w:rFonts w:ascii="Verdana" w:hAnsi="Verdana"/>
          <w:lang w:val="es-ES"/>
        </w:rPr>
        <w:lastRenderedPageBreak/>
        <w:t xml:space="preserve">Por último, lo invitamos a seguirnos en las redes sociales en las cuales se difunde información institucional: </w:t>
      </w:r>
    </w:p>
    <w:p w14:paraId="013863B0" w14:textId="77777777" w:rsidR="0099050B" w:rsidRPr="00EC1B7C" w:rsidRDefault="0099050B" w:rsidP="0099050B">
      <w:pPr>
        <w:spacing w:after="0" w:line="276" w:lineRule="auto"/>
        <w:jc w:val="both"/>
        <w:rPr>
          <w:rFonts w:ascii="Verdana" w:hAnsi="Verdana"/>
          <w:lang w:val="es-ES"/>
        </w:rPr>
      </w:pPr>
    </w:p>
    <w:p w14:paraId="6B55059E" w14:textId="77777777" w:rsidR="0099050B" w:rsidRPr="00EC1B7C" w:rsidRDefault="0099050B" w:rsidP="0099050B">
      <w:pPr>
        <w:spacing w:after="0" w:line="276" w:lineRule="auto"/>
        <w:jc w:val="both"/>
        <w:rPr>
          <w:rFonts w:ascii="Verdana" w:hAnsi="Verdana"/>
          <w:lang w:val="es-ES"/>
        </w:rPr>
      </w:pPr>
      <w:r w:rsidRPr="00EC1B7C">
        <w:rPr>
          <w:rFonts w:ascii="Verdana" w:hAnsi="Verdana"/>
          <w:lang w:val="es-ES"/>
        </w:rPr>
        <w:t xml:space="preserve">Twitter: </w:t>
      </w:r>
      <w:r w:rsidRPr="00EC1B7C">
        <w:rPr>
          <w:rStyle w:val="Hipervnculo"/>
          <w:rFonts w:ascii="Verdana" w:hAnsi="Verdana" w:cs="Arial"/>
          <w:shd w:val="clear" w:color="auto" w:fill="FFFFFF"/>
          <w:lang w:val="es-ES"/>
        </w:rPr>
        <w:t>@colombiacompra</w:t>
      </w:r>
      <w:r w:rsidRPr="00EC1B7C">
        <w:rPr>
          <w:rFonts w:ascii="Verdana" w:hAnsi="Verdana"/>
          <w:color w:val="4472C4" w:themeColor="accent1"/>
          <w:lang w:val="es-ES"/>
        </w:rPr>
        <w:t xml:space="preserve"> </w:t>
      </w:r>
    </w:p>
    <w:p w14:paraId="37C55E75" w14:textId="77777777" w:rsidR="0099050B" w:rsidRPr="00EC1B7C" w:rsidRDefault="0099050B" w:rsidP="0099050B">
      <w:pPr>
        <w:spacing w:after="0" w:line="276" w:lineRule="auto"/>
        <w:jc w:val="both"/>
        <w:rPr>
          <w:rFonts w:ascii="Verdana" w:hAnsi="Verdana"/>
          <w:lang w:val="es-ES"/>
        </w:rPr>
      </w:pPr>
      <w:r w:rsidRPr="00EC1B7C">
        <w:rPr>
          <w:rFonts w:ascii="Verdana" w:hAnsi="Verdana"/>
          <w:lang w:val="es-ES"/>
        </w:rPr>
        <w:t xml:space="preserve">Facebook: </w:t>
      </w:r>
      <w:r w:rsidRPr="00EC1B7C">
        <w:rPr>
          <w:rStyle w:val="Hipervnculo"/>
          <w:rFonts w:ascii="Verdana" w:hAnsi="Verdana" w:cs="Arial"/>
          <w:shd w:val="clear" w:color="auto" w:fill="FFFFFF"/>
          <w:lang w:val="es-ES"/>
        </w:rPr>
        <w:t>ColombiaCompraEficiente</w:t>
      </w:r>
    </w:p>
    <w:p w14:paraId="29C58EA3" w14:textId="77777777" w:rsidR="0099050B" w:rsidRPr="00EC1B7C" w:rsidRDefault="0099050B" w:rsidP="0099050B">
      <w:pPr>
        <w:spacing w:after="0" w:line="276" w:lineRule="auto"/>
        <w:jc w:val="both"/>
        <w:rPr>
          <w:rFonts w:ascii="Verdana" w:hAnsi="Verdana"/>
          <w:lang w:val="es-ES"/>
        </w:rPr>
      </w:pPr>
      <w:r w:rsidRPr="00EC1B7C">
        <w:rPr>
          <w:rFonts w:ascii="Verdana" w:hAnsi="Verdana"/>
          <w:lang w:val="es-ES"/>
        </w:rPr>
        <w:t xml:space="preserve">LinkedIn: </w:t>
      </w:r>
      <w:r w:rsidRPr="00EC1B7C">
        <w:rPr>
          <w:rStyle w:val="Hipervnculo"/>
          <w:rFonts w:ascii="Verdana" w:hAnsi="Verdana" w:cs="Arial"/>
          <w:shd w:val="clear" w:color="auto" w:fill="FFFFFF"/>
          <w:lang w:val="es-ES"/>
        </w:rPr>
        <w:t xml:space="preserve">Agencia Nacional de Contratación Pública - Colombia Compra Eficiente </w:t>
      </w:r>
      <w:r w:rsidRPr="00EC1B7C">
        <w:rPr>
          <w:rFonts w:ascii="Verdana" w:hAnsi="Verdana"/>
          <w:lang w:val="es-ES"/>
        </w:rPr>
        <w:t xml:space="preserve">Instagram: </w:t>
      </w:r>
      <w:r w:rsidRPr="00EC1B7C">
        <w:rPr>
          <w:rStyle w:val="Hipervnculo"/>
          <w:rFonts w:ascii="Verdana" w:hAnsi="Verdana" w:cs="Arial"/>
          <w:shd w:val="clear" w:color="auto" w:fill="FFFFFF"/>
          <w:lang w:val="es-ES"/>
        </w:rPr>
        <w:t>@colombiacompraeficiente_cce</w:t>
      </w:r>
    </w:p>
    <w:p w14:paraId="1AFDDEC8" w14:textId="77777777" w:rsidR="0099050B" w:rsidRPr="00EC1B7C" w:rsidRDefault="0099050B" w:rsidP="0099050B">
      <w:pPr>
        <w:widowControl w:val="0"/>
        <w:autoSpaceDE w:val="0"/>
        <w:autoSpaceDN w:val="0"/>
        <w:spacing w:after="0" w:line="276" w:lineRule="auto"/>
        <w:jc w:val="both"/>
        <w:rPr>
          <w:rFonts w:ascii="Verdana" w:hAnsi="Verdana" w:cs="Arial"/>
          <w:color w:val="000000" w:themeColor="text1"/>
          <w:lang w:val="es-ES"/>
        </w:rPr>
      </w:pPr>
    </w:p>
    <w:p w14:paraId="185850C9" w14:textId="77777777" w:rsidR="0099050B" w:rsidRPr="00EC1B7C" w:rsidRDefault="0099050B" w:rsidP="0099050B">
      <w:pPr>
        <w:widowControl w:val="0"/>
        <w:autoSpaceDE w:val="0"/>
        <w:autoSpaceDN w:val="0"/>
        <w:spacing w:after="0" w:line="276" w:lineRule="auto"/>
        <w:jc w:val="both"/>
        <w:rPr>
          <w:rFonts w:ascii="Verdana" w:hAnsi="Verdana" w:cs="Arial"/>
          <w:color w:val="000000" w:themeColor="text1"/>
          <w:lang w:val="es-ES"/>
        </w:rPr>
      </w:pPr>
      <w:r w:rsidRPr="00EC1B7C">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F1FF65B" w14:textId="77777777" w:rsidR="0099050B" w:rsidRPr="00EC1B7C" w:rsidRDefault="0099050B" w:rsidP="0099050B">
      <w:pPr>
        <w:widowControl w:val="0"/>
        <w:autoSpaceDE w:val="0"/>
        <w:autoSpaceDN w:val="0"/>
        <w:spacing w:after="0" w:line="276" w:lineRule="auto"/>
        <w:jc w:val="both"/>
        <w:rPr>
          <w:rFonts w:ascii="Verdana" w:hAnsi="Verdana" w:cs="Arial"/>
          <w:color w:val="000000" w:themeColor="text1"/>
          <w:lang w:val="es-ES"/>
        </w:rPr>
      </w:pPr>
    </w:p>
    <w:p w14:paraId="583AB189" w14:textId="419F29B8" w:rsidR="0099050B" w:rsidRPr="00EC1B7C" w:rsidRDefault="00A5191C" w:rsidP="0099050B">
      <w:pPr>
        <w:spacing w:after="0" w:line="276" w:lineRule="auto"/>
        <w:rPr>
          <w:rFonts w:ascii="Verdana" w:hAnsi="Verdana" w:cs="Arial"/>
          <w:color w:val="000000" w:themeColor="text1"/>
          <w:lang w:val="es-ES" w:eastAsia="es-CO"/>
        </w:rPr>
      </w:pPr>
      <w:r w:rsidRPr="002C3AD6">
        <w:rPr>
          <w:rFonts w:ascii="Century Gothic" w:hAnsi="Century Gothic"/>
          <w:noProof/>
        </w:rPr>
        <w:drawing>
          <wp:anchor distT="0" distB="0" distL="114300" distR="114300" simplePos="0" relativeHeight="251659264" behindDoc="0" locked="0" layoutInCell="1" allowOverlap="1" wp14:anchorId="6BA8E775" wp14:editId="68993151">
            <wp:simplePos x="0" y="0"/>
            <wp:positionH relativeFrom="column">
              <wp:posOffset>1250461</wp:posOffset>
            </wp:positionH>
            <wp:positionV relativeFrom="paragraph">
              <wp:posOffset>156894</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r w:rsidR="0099050B" w:rsidRPr="00EC1B7C">
        <w:rPr>
          <w:rFonts w:ascii="Verdana" w:eastAsia="Times New Roman" w:hAnsi="Verdana" w:cs="Arial"/>
          <w:color w:val="000000" w:themeColor="text1"/>
          <w:lang w:val="es-ES" w:eastAsia="es-CO"/>
        </w:rPr>
        <w:t>Atentamente,</w:t>
      </w:r>
      <w:r w:rsidR="0099050B" w:rsidRPr="00EC1B7C">
        <w:rPr>
          <w:rFonts w:ascii="Verdana" w:hAnsi="Verdana" w:cs="Arial"/>
          <w:color w:val="000000" w:themeColor="text1"/>
          <w:lang w:val="es-ES" w:eastAsia="es-CO"/>
        </w:rPr>
        <w:t xml:space="preserve"> </w:t>
      </w:r>
    </w:p>
    <w:p w14:paraId="5EB9C29D" w14:textId="5C4BFCE4" w:rsidR="0099050B" w:rsidRDefault="0099050B" w:rsidP="0099050B">
      <w:pPr>
        <w:spacing w:line="276" w:lineRule="auto"/>
        <w:rPr>
          <w:lang w:val="es-ES"/>
        </w:rPr>
      </w:pPr>
    </w:p>
    <w:p w14:paraId="06714733" w14:textId="6E796185" w:rsidR="00A5191C" w:rsidRPr="00EC1B7C" w:rsidRDefault="00A5191C" w:rsidP="0099050B">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9050B" w:rsidRPr="00EC1B7C" w14:paraId="566D3F94" w14:textId="77777777" w:rsidTr="00405C53">
        <w:trPr>
          <w:trHeight w:val="315"/>
        </w:trPr>
        <w:tc>
          <w:tcPr>
            <w:tcW w:w="893" w:type="dxa"/>
            <w:vAlign w:val="center"/>
            <w:hideMark/>
          </w:tcPr>
          <w:p w14:paraId="176BE5D1" w14:textId="77777777" w:rsidR="0099050B" w:rsidRPr="00EC1B7C" w:rsidRDefault="0099050B" w:rsidP="00405C53">
            <w:pPr>
              <w:contextualSpacing/>
              <w:rPr>
                <w:rFonts w:ascii="Verdana" w:hAnsi="Verdana" w:cs="Arial"/>
                <w:sz w:val="15"/>
                <w:szCs w:val="15"/>
                <w:lang w:val="es-ES" w:eastAsia="es-ES"/>
              </w:rPr>
            </w:pPr>
            <w:r w:rsidRPr="00EC1B7C">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215C422B" w14:textId="77777777" w:rsidR="0099050B" w:rsidRPr="00EC1B7C" w:rsidRDefault="0099050B" w:rsidP="00405C53">
            <w:pPr>
              <w:contextualSpacing/>
              <w:rPr>
                <w:rFonts w:ascii="Verdana" w:eastAsia="Arial" w:hAnsi="Verdana" w:cs="Arial"/>
                <w:color w:val="000000" w:themeColor="text1"/>
                <w:sz w:val="15"/>
                <w:szCs w:val="15"/>
                <w:lang w:val="es-ES"/>
              </w:rPr>
            </w:pPr>
            <w:r w:rsidRPr="00EC1B7C">
              <w:rPr>
                <w:rFonts w:ascii="Verdana" w:eastAsia="Arial" w:hAnsi="Verdana" w:cs="Arial"/>
                <w:color w:val="000000" w:themeColor="text1"/>
                <w:sz w:val="15"/>
                <w:szCs w:val="15"/>
                <w:lang w:val="es-ES"/>
              </w:rPr>
              <w:t>Anamaría Bonilla Prieto</w:t>
            </w:r>
          </w:p>
          <w:p w14:paraId="6B632AC9" w14:textId="77777777" w:rsidR="0099050B" w:rsidRPr="00EC1B7C" w:rsidRDefault="0099050B" w:rsidP="00405C53">
            <w:pPr>
              <w:contextualSpacing/>
              <w:rPr>
                <w:rFonts w:ascii="Verdana" w:eastAsia="Arial" w:hAnsi="Verdana" w:cs="Arial"/>
                <w:sz w:val="15"/>
                <w:szCs w:val="15"/>
                <w:lang w:val="es-ES"/>
              </w:rPr>
            </w:pPr>
            <w:r w:rsidRPr="00EC1B7C">
              <w:rPr>
                <w:rStyle w:val="normaltextrun"/>
                <w:rFonts w:ascii="Verdana" w:eastAsia="Arial" w:hAnsi="Verdana" w:cs="Arial"/>
                <w:color w:val="000000" w:themeColor="text1"/>
                <w:sz w:val="15"/>
                <w:szCs w:val="15"/>
                <w:lang w:val="es-ES"/>
              </w:rPr>
              <w:t xml:space="preserve">Contratista de la Subdirección </w:t>
            </w:r>
            <w:r w:rsidRPr="00EC1B7C">
              <w:rPr>
                <w:rStyle w:val="normaltextrun"/>
                <w:rFonts w:ascii="Verdana" w:eastAsia="Arial" w:hAnsi="Verdana" w:cs="Arial"/>
                <w:sz w:val="15"/>
                <w:szCs w:val="15"/>
                <w:lang w:val="es-ES"/>
              </w:rPr>
              <w:t>de Gestión Contractual</w:t>
            </w:r>
          </w:p>
        </w:tc>
      </w:tr>
      <w:tr w:rsidR="0099050B" w:rsidRPr="00EC1B7C" w14:paraId="53A92885" w14:textId="77777777" w:rsidTr="00405C53">
        <w:trPr>
          <w:trHeight w:val="330"/>
        </w:trPr>
        <w:tc>
          <w:tcPr>
            <w:tcW w:w="893" w:type="dxa"/>
            <w:vAlign w:val="center"/>
            <w:hideMark/>
          </w:tcPr>
          <w:p w14:paraId="382CF399" w14:textId="77777777" w:rsidR="0099050B" w:rsidRPr="00EC1B7C" w:rsidRDefault="0099050B" w:rsidP="00405C53">
            <w:pPr>
              <w:contextualSpacing/>
              <w:rPr>
                <w:rFonts w:ascii="Verdana" w:hAnsi="Verdana" w:cs="Arial"/>
                <w:sz w:val="15"/>
                <w:szCs w:val="15"/>
                <w:lang w:val="es-ES" w:eastAsia="es-ES"/>
              </w:rPr>
            </w:pPr>
            <w:r w:rsidRPr="00EC1B7C">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F89FE76" w14:textId="77777777" w:rsidR="0099050B" w:rsidRPr="00EC1B7C" w:rsidRDefault="0099050B" w:rsidP="00405C53">
            <w:pPr>
              <w:contextualSpacing/>
              <w:rPr>
                <w:rFonts w:ascii="Verdana" w:eastAsia="Arial" w:hAnsi="Verdana" w:cs="Arial"/>
                <w:color w:val="000000" w:themeColor="text1"/>
                <w:sz w:val="15"/>
                <w:szCs w:val="15"/>
                <w:lang w:val="es-ES"/>
              </w:rPr>
            </w:pPr>
            <w:r w:rsidRPr="00EC1B7C">
              <w:rPr>
                <w:rFonts w:ascii="Verdana" w:eastAsia="Arial" w:hAnsi="Verdana" w:cs="Arial"/>
                <w:color w:val="000000" w:themeColor="text1"/>
                <w:sz w:val="15"/>
                <w:szCs w:val="15"/>
                <w:lang w:val="es-ES"/>
              </w:rPr>
              <w:t>Alejandro Sarmiento Cantillo</w:t>
            </w:r>
          </w:p>
          <w:p w14:paraId="5BF3D274" w14:textId="77777777" w:rsidR="0099050B" w:rsidRPr="00EC1B7C" w:rsidRDefault="0099050B" w:rsidP="00405C53">
            <w:pPr>
              <w:pStyle w:val="paragraph"/>
              <w:spacing w:before="0" w:beforeAutospacing="0" w:after="0" w:afterAutospacing="0"/>
              <w:contextualSpacing/>
              <w:textAlignment w:val="baseline"/>
              <w:rPr>
                <w:rFonts w:ascii="Verdana" w:hAnsi="Verdana" w:cs="Segoe UI"/>
                <w:sz w:val="15"/>
                <w:szCs w:val="15"/>
                <w:lang w:val="es-ES"/>
              </w:rPr>
            </w:pPr>
            <w:r w:rsidRPr="00EC1B7C">
              <w:rPr>
                <w:rFonts w:ascii="Verdana" w:eastAsia="Arial" w:hAnsi="Verdana" w:cs="Arial"/>
                <w:color w:val="000000" w:themeColor="text1"/>
                <w:sz w:val="15"/>
                <w:szCs w:val="15"/>
                <w:lang w:val="es-ES"/>
              </w:rPr>
              <w:t>Gestor T1 – 15 de la Subdirección de Gestión Contractual</w:t>
            </w:r>
            <w:r w:rsidRPr="00EC1B7C">
              <w:rPr>
                <w:rFonts w:ascii="Verdana" w:hAnsi="Verdana" w:cs="Segoe UI"/>
                <w:sz w:val="15"/>
                <w:szCs w:val="15"/>
                <w:lang w:val="es-ES"/>
              </w:rPr>
              <w:t> </w:t>
            </w:r>
          </w:p>
          <w:p w14:paraId="33DD80F6" w14:textId="77777777" w:rsidR="0099050B" w:rsidRPr="00EC1B7C" w:rsidRDefault="0099050B" w:rsidP="00405C53">
            <w:pPr>
              <w:pStyle w:val="paragraph"/>
              <w:spacing w:before="0" w:beforeAutospacing="0" w:after="0" w:afterAutospacing="0"/>
              <w:contextualSpacing/>
              <w:textAlignment w:val="baseline"/>
              <w:rPr>
                <w:rFonts w:ascii="Verdana" w:hAnsi="Verdana" w:cs="Segoe UI"/>
                <w:sz w:val="15"/>
                <w:szCs w:val="15"/>
                <w:lang w:val="es-ES"/>
              </w:rPr>
            </w:pPr>
          </w:p>
        </w:tc>
      </w:tr>
      <w:tr w:rsidR="0099050B" w:rsidRPr="00EC1B7C" w14:paraId="68ABCFA4" w14:textId="77777777" w:rsidTr="00405C53">
        <w:trPr>
          <w:trHeight w:val="300"/>
        </w:trPr>
        <w:tc>
          <w:tcPr>
            <w:tcW w:w="893" w:type="dxa"/>
            <w:vAlign w:val="center"/>
          </w:tcPr>
          <w:p w14:paraId="1B845747" w14:textId="77777777" w:rsidR="0099050B" w:rsidRPr="00EC1B7C" w:rsidRDefault="0099050B" w:rsidP="00405C53">
            <w:pPr>
              <w:contextualSpacing/>
              <w:rPr>
                <w:rFonts w:ascii="Verdana" w:hAnsi="Verdana" w:cs="Arial"/>
                <w:sz w:val="15"/>
                <w:szCs w:val="15"/>
                <w:lang w:val="es-ES" w:eastAsia="es-ES"/>
              </w:rPr>
            </w:pPr>
            <w:r w:rsidRPr="00EC1B7C">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F14F3EB" w14:textId="77777777" w:rsidR="0099050B" w:rsidRPr="00EC1B7C" w:rsidRDefault="0099050B" w:rsidP="00405C53">
            <w:pPr>
              <w:contextualSpacing/>
              <w:rPr>
                <w:rFonts w:ascii="Verdana" w:eastAsia="Calibri" w:hAnsi="Verdana" w:cs="Arial"/>
                <w:sz w:val="16"/>
                <w:szCs w:val="16"/>
                <w:lang w:val="es-ES" w:eastAsia="es-ES"/>
              </w:rPr>
            </w:pPr>
            <w:r w:rsidRPr="00EC1B7C">
              <w:rPr>
                <w:rFonts w:ascii="Verdana" w:eastAsia="Calibri" w:hAnsi="Verdana" w:cs="Arial"/>
                <w:sz w:val="16"/>
                <w:szCs w:val="16"/>
                <w:lang w:val="es-ES" w:eastAsia="es-ES"/>
              </w:rPr>
              <w:t>Carolina Quintero Gacharná</w:t>
            </w:r>
          </w:p>
          <w:p w14:paraId="21DE4FE5" w14:textId="77777777" w:rsidR="0099050B" w:rsidRPr="00EC1B7C" w:rsidRDefault="0099050B" w:rsidP="00405C53">
            <w:pPr>
              <w:contextualSpacing/>
              <w:rPr>
                <w:rFonts w:ascii="Verdana" w:eastAsia="Calibri" w:hAnsi="Verdana" w:cs="Arial"/>
                <w:sz w:val="15"/>
                <w:szCs w:val="15"/>
                <w:lang w:val="es-ES" w:eastAsia="es-ES"/>
              </w:rPr>
            </w:pPr>
            <w:r w:rsidRPr="00EC1B7C">
              <w:rPr>
                <w:rFonts w:ascii="Verdana" w:eastAsia="Calibri" w:hAnsi="Verdana" w:cs="Arial"/>
                <w:sz w:val="16"/>
                <w:szCs w:val="16"/>
                <w:lang w:val="es-ES" w:eastAsia="es-ES"/>
              </w:rPr>
              <w:t>Subdirectora de Gestión Contractual ANCP – CCE</w:t>
            </w:r>
          </w:p>
        </w:tc>
      </w:tr>
      <w:bookmarkEnd w:id="0"/>
    </w:tbl>
    <w:p w14:paraId="2249C369" w14:textId="31ABE5E8" w:rsidR="0099050B" w:rsidRPr="00EC1B7C" w:rsidRDefault="0099050B" w:rsidP="0099050B">
      <w:pPr>
        <w:rPr>
          <w:lang w:val="es-ES"/>
        </w:rPr>
      </w:pPr>
    </w:p>
    <w:p w14:paraId="02DA5E27" w14:textId="77777777" w:rsidR="0099050B" w:rsidRPr="00EC1B7C" w:rsidRDefault="0099050B" w:rsidP="0099050B">
      <w:pPr>
        <w:rPr>
          <w:lang w:val="es-ES"/>
        </w:rPr>
      </w:pPr>
    </w:p>
    <w:p w14:paraId="0E5AAAD4" w14:textId="77777777" w:rsidR="0099050B" w:rsidRPr="00EC1B7C" w:rsidRDefault="0099050B" w:rsidP="0099050B">
      <w:pPr>
        <w:rPr>
          <w:lang w:val="es-ES"/>
        </w:rPr>
      </w:pPr>
    </w:p>
    <w:p w14:paraId="0F293BF4" w14:textId="07521C51" w:rsidR="00127233" w:rsidRPr="0099050B" w:rsidRDefault="00127233" w:rsidP="0099050B"/>
    <w:sectPr w:rsidR="00127233" w:rsidRPr="0099050B" w:rsidSect="007C0C0F">
      <w:headerReference w:type="default" r:id="rId13"/>
      <w:footerReference w:type="default" r:id="rId1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34EA" w14:textId="77777777" w:rsidR="000F66C4" w:rsidRDefault="000F66C4" w:rsidP="004A1847">
      <w:pPr>
        <w:spacing w:after="0" w:line="240" w:lineRule="auto"/>
      </w:pPr>
      <w:r>
        <w:separator/>
      </w:r>
    </w:p>
  </w:endnote>
  <w:endnote w:type="continuationSeparator" w:id="0">
    <w:p w14:paraId="01399B70" w14:textId="77777777" w:rsidR="000F66C4" w:rsidRDefault="000F66C4" w:rsidP="004A1847">
      <w:pPr>
        <w:spacing w:after="0" w:line="240" w:lineRule="auto"/>
      </w:pPr>
      <w:r>
        <w:continuationSeparator/>
      </w:r>
    </w:p>
  </w:endnote>
  <w:endnote w:type="continuationNotice" w:id="1">
    <w:p w14:paraId="76C1289A" w14:textId="77777777" w:rsidR="000F66C4" w:rsidRDefault="000F6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08F5" w14:textId="77777777" w:rsidR="000F66C4" w:rsidRDefault="000F66C4" w:rsidP="004A1847">
      <w:pPr>
        <w:spacing w:after="0" w:line="240" w:lineRule="auto"/>
      </w:pPr>
      <w:r>
        <w:separator/>
      </w:r>
    </w:p>
  </w:footnote>
  <w:footnote w:type="continuationSeparator" w:id="0">
    <w:p w14:paraId="3064054C" w14:textId="77777777" w:rsidR="000F66C4" w:rsidRDefault="000F66C4" w:rsidP="004A1847">
      <w:pPr>
        <w:spacing w:after="0" w:line="240" w:lineRule="auto"/>
      </w:pPr>
      <w:r>
        <w:continuationSeparator/>
      </w:r>
    </w:p>
  </w:footnote>
  <w:footnote w:type="continuationNotice" w:id="1">
    <w:p w14:paraId="1B0B3C48" w14:textId="77777777" w:rsidR="000F66C4" w:rsidRDefault="000F66C4">
      <w:pPr>
        <w:spacing w:after="0" w:line="240" w:lineRule="auto"/>
      </w:pPr>
    </w:p>
  </w:footnote>
  <w:footnote w:id="2">
    <w:p w14:paraId="1D17FC99" w14:textId="77777777" w:rsidR="0099050B" w:rsidRPr="008B7171" w:rsidRDefault="0099050B" w:rsidP="0099050B">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En los términos del artículo 665 del Código Civil: “Derecho real es el que tenemos sobre una cosa sin especto a determinada persona.</w:t>
      </w:r>
    </w:p>
    <w:p w14:paraId="3C424975" w14:textId="77777777" w:rsidR="0099050B" w:rsidRPr="008B7171" w:rsidRDefault="0099050B" w:rsidP="0099050B">
      <w:pPr>
        <w:pStyle w:val="Textonotapie"/>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Son derechos reales el de dominio, el de herencia, los de usufructo, uso o habitación, los de servidumbres activas, el de prenda y el de hipoteca. De estos derechos nacen las acciones reales”.</w:t>
      </w:r>
    </w:p>
    <w:p w14:paraId="5608D91B" w14:textId="77777777" w:rsidR="0099050B" w:rsidRPr="008B7171" w:rsidRDefault="0099050B" w:rsidP="0099050B">
      <w:pPr>
        <w:pStyle w:val="Textonotapie"/>
        <w:ind w:firstLine="709"/>
        <w:jc w:val="both"/>
        <w:rPr>
          <w:rFonts w:ascii="Verdana" w:hAnsi="Verdana" w:cs="Arial"/>
          <w:color w:val="000000" w:themeColor="text1"/>
          <w:sz w:val="15"/>
          <w:szCs w:val="15"/>
        </w:rPr>
      </w:pPr>
    </w:p>
  </w:footnote>
  <w:footnote w:id="3">
    <w:p w14:paraId="2C7DC537" w14:textId="77777777" w:rsidR="0099050B" w:rsidRPr="008B7171" w:rsidRDefault="0099050B" w:rsidP="0099050B">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Según el Diccionario del español jurídico, enajenar es «Disponer de un bien o derecho transmitiendo su titularidad». En sitio web: https://dej.rae.es/lema/enajenar. Por su parte, la jurisprudencia ha definido la enajenación del siguiente modo: “En términos jurídicos ’enajenación’ significa ’La transmisión de la propiedad de una cosa, a cambio de otra (como en la compraventa y en la permuta) o gratuitamente (como en la donación y el préstamo sin interés).</w:t>
      </w:r>
    </w:p>
    <w:p w14:paraId="700391BD" w14:textId="77777777" w:rsidR="0099050B" w:rsidRPr="008B7171" w:rsidRDefault="0099050B" w:rsidP="0099050B">
      <w:pPr>
        <w:spacing w:after="0" w:line="240" w:lineRule="auto"/>
        <w:ind w:firstLine="709"/>
        <w:jc w:val="both"/>
        <w:rPr>
          <w:rFonts w:ascii="Verdana" w:hAnsi="Verdana" w:cs="Arial"/>
          <w:color w:val="000000" w:themeColor="text1"/>
          <w:sz w:val="15"/>
          <w:szCs w:val="15"/>
        </w:rPr>
      </w:pPr>
      <w:r w:rsidRPr="008B7171">
        <w:rPr>
          <w:rFonts w:ascii="Verdana" w:hAnsi="Verdana" w:cs="Arial"/>
          <w:color w:val="000000" w:themeColor="text1"/>
          <w:sz w:val="15"/>
          <w:szCs w:val="15"/>
        </w:rPr>
        <w:t>Igualmente, para la doctrina la palabra enajenación en su sentido natural indica la transmisión de cualquier derecho patrimonial de una cabeza a otra, por lo que constituye una adquisición derivada por acto entre vivos del contenido total o parcial de un derecho” (Consejo de Estado. Sección Cuarta. Sentencia del 6 de febrero de 2006. C.P. María Inés Ortiz Barbosa. Exp. 14.123).</w:t>
      </w:r>
    </w:p>
  </w:footnote>
  <w:footnote w:id="4">
    <w:p w14:paraId="53FAF9CB" w14:textId="77777777" w:rsidR="0099050B" w:rsidRPr="008B7171" w:rsidRDefault="0099050B" w:rsidP="0099050B">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VELÁSQUEZ, Hernán Darío. Estudio sobre obligaciones. Bogotá: Temis, 2010. p. 10.</w:t>
      </w:r>
    </w:p>
  </w:footnote>
  <w:footnote w:id="5">
    <w:p w14:paraId="5E4DBD95" w14:textId="77777777" w:rsidR="0099050B" w:rsidRPr="008B7171" w:rsidRDefault="0099050B" w:rsidP="0099050B">
      <w:pPr>
        <w:pStyle w:val="Textonotapie"/>
        <w:ind w:firstLine="709"/>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“Los modos de adquirir el dominio son la ocupación, la accesión, la tradición, la sucesión por causa de muerte y la prescripción”.</w:t>
      </w:r>
    </w:p>
  </w:footnote>
  <w:footnote w:id="6">
    <w:p w14:paraId="676ED8FD" w14:textId="77777777" w:rsidR="0099050B" w:rsidRPr="008B7171" w:rsidRDefault="0099050B" w:rsidP="0099050B">
      <w:pPr>
        <w:spacing w:after="0" w:line="240" w:lineRule="auto"/>
        <w:ind w:firstLine="709"/>
        <w:jc w:val="both"/>
        <w:rPr>
          <w:rFonts w:ascii="Verdana" w:hAnsi="Verdana" w:cs="Arial"/>
          <w:color w:val="000000" w:themeColor="text1"/>
          <w:sz w:val="15"/>
          <w:szCs w:val="15"/>
          <w:lang w:val="es-ES"/>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w:t>
      </w:r>
      <w:r w:rsidRPr="008B7171">
        <w:rPr>
          <w:rFonts w:ascii="Verdana" w:hAnsi="Verdana" w:cs="Arial"/>
          <w:color w:val="000000" w:themeColor="text1"/>
          <w:sz w:val="15"/>
          <w:szCs w:val="15"/>
          <w:lang w:val="es-ES"/>
        </w:rPr>
        <w:t>Según el artículo 749 del Código Civil “Si la ley exige solemnidades especiales para la enajenación, no se transfiere el dominio sin ellas”.</w:t>
      </w:r>
    </w:p>
  </w:footnote>
  <w:footnote w:id="7">
    <w:p w14:paraId="22875647" w14:textId="77777777" w:rsidR="0099050B" w:rsidRPr="008B7171" w:rsidRDefault="0099050B" w:rsidP="0099050B">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Consejo de Estado, Sección Tercera, Subsección A. Sentencia del 25 de mayo de 2016. C.P. Hernán Andrade Rincón.</w:t>
      </w:r>
    </w:p>
  </w:footnote>
  <w:footnote w:id="8">
    <w:p w14:paraId="3D0598A4" w14:textId="77777777" w:rsidR="0099050B" w:rsidRPr="008B7171" w:rsidRDefault="0099050B" w:rsidP="0099050B">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color w:val="000000" w:themeColor="text1"/>
          <w:sz w:val="15"/>
          <w:szCs w:val="15"/>
        </w:rPr>
        <w:t xml:space="preserve">Corte Constitucional. Sentencia C-183 de 2003. Sala Plena. M.P. Alfredo Beltrán Sierra. </w:t>
      </w:r>
    </w:p>
  </w:footnote>
  <w:footnote w:id="9">
    <w:p w14:paraId="1ABDA3EC" w14:textId="77777777" w:rsidR="0099050B" w:rsidRPr="008B7171" w:rsidRDefault="0099050B" w:rsidP="0099050B">
      <w:pPr>
        <w:pStyle w:val="Textonotapie"/>
        <w:ind w:firstLine="708"/>
        <w:jc w:val="both"/>
        <w:rPr>
          <w:rFonts w:ascii="Verdana" w:hAnsi="Verdana" w:cs="Arial"/>
          <w:sz w:val="15"/>
          <w:szCs w:val="15"/>
          <w:lang w:val="es-ES"/>
        </w:rPr>
      </w:pPr>
      <w:r w:rsidRPr="008B7171">
        <w:rPr>
          <w:rStyle w:val="Refdenotaalpie"/>
          <w:rFonts w:ascii="Verdana" w:hAnsi="Verdana" w:cs="Arial"/>
          <w:sz w:val="15"/>
          <w:szCs w:val="15"/>
        </w:rPr>
        <w:footnoteRef/>
      </w:r>
      <w:r w:rsidRPr="008B7171">
        <w:rPr>
          <w:rFonts w:ascii="Verdana" w:hAnsi="Verdana" w:cs="Arial"/>
          <w:sz w:val="15"/>
          <w:szCs w:val="15"/>
        </w:rPr>
        <w:t xml:space="preserve"> </w:t>
      </w:r>
      <w:r w:rsidRPr="008B7171">
        <w:rPr>
          <w:rFonts w:ascii="Verdana" w:hAnsi="Verdana" w:cs="Arial"/>
          <w:sz w:val="15"/>
          <w:szCs w:val="15"/>
          <w:lang w:val="es-ES"/>
        </w:rPr>
        <w:t>Ibídem</w:t>
      </w:r>
    </w:p>
  </w:footnote>
  <w:footnote w:id="10">
    <w:p w14:paraId="78464E20" w14:textId="77777777" w:rsidR="0099050B" w:rsidRPr="008B7171" w:rsidRDefault="0099050B" w:rsidP="0099050B">
      <w:pPr>
        <w:pStyle w:val="Textonotapie"/>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B. Sentencia del 30 de abril de 2012. C.P. Ruth Stella Correa Palacio. Exp. 21.699.</w:t>
      </w:r>
    </w:p>
  </w:footnote>
  <w:footnote w:id="11">
    <w:p w14:paraId="3C302713" w14:textId="77777777" w:rsidR="0099050B" w:rsidRPr="008B7171" w:rsidRDefault="0099050B" w:rsidP="0099050B">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Consejo de Estado. Sección Tercera, Subsección A. Sentencia del 19 de julio de 2018, C.P. Carlos Alberto Zambrano Barrera. Exp. 36.711.</w:t>
      </w:r>
    </w:p>
  </w:footnote>
  <w:footnote w:id="12">
    <w:p w14:paraId="1E57CAB6" w14:textId="77777777" w:rsidR="0099050B" w:rsidRPr="008B7171" w:rsidRDefault="0099050B" w:rsidP="0099050B">
      <w:pPr>
        <w:spacing w:after="0" w:line="240" w:lineRule="auto"/>
        <w:ind w:firstLine="708"/>
        <w:jc w:val="both"/>
        <w:rPr>
          <w:rFonts w:ascii="Verdana" w:hAnsi="Verdana" w:cs="Arial"/>
          <w:color w:val="000000" w:themeColor="text1"/>
          <w:sz w:val="15"/>
          <w:szCs w:val="15"/>
        </w:rPr>
      </w:pPr>
      <w:r w:rsidRPr="008B7171">
        <w:rPr>
          <w:rStyle w:val="Refdenotaalpie"/>
          <w:rFonts w:ascii="Verdana" w:hAnsi="Verdana" w:cs="Arial"/>
          <w:color w:val="000000" w:themeColor="text1"/>
          <w:sz w:val="15"/>
          <w:szCs w:val="15"/>
        </w:rPr>
        <w:footnoteRef/>
      </w:r>
      <w:r w:rsidRPr="008B7171">
        <w:rPr>
          <w:rFonts w:ascii="Verdana" w:hAnsi="Verdana" w:cs="Arial"/>
          <w:color w:val="000000" w:themeColor="text1"/>
          <w:sz w:val="15"/>
          <w:szCs w:val="15"/>
        </w:rPr>
        <w:t xml:space="preserve"> Corte Constitucional. Sentencia C-183 de 2003.  M.P. Alfredo Beltrán Sierra. </w:t>
      </w:r>
    </w:p>
  </w:footnote>
  <w:footnote w:id="13">
    <w:p w14:paraId="2908748C" w14:textId="77777777" w:rsidR="0099050B" w:rsidRPr="00191A48" w:rsidRDefault="0099050B" w:rsidP="0099050B">
      <w:pPr>
        <w:pStyle w:val="Textonotapie"/>
        <w:ind w:firstLine="709"/>
        <w:rPr>
          <w:rFonts w:ascii="Verdana" w:hAnsi="Verdana"/>
          <w:sz w:val="16"/>
          <w:szCs w:val="16"/>
          <w:lang w:val="es-CO"/>
        </w:rPr>
      </w:pPr>
      <w:r w:rsidRPr="00191A48">
        <w:rPr>
          <w:rStyle w:val="Refdenotaalpie"/>
          <w:rFonts w:ascii="Verdana" w:hAnsi="Verdana"/>
          <w:sz w:val="16"/>
          <w:szCs w:val="16"/>
        </w:rPr>
        <w:footnoteRef/>
      </w:r>
      <w:r w:rsidRPr="00191A48">
        <w:rPr>
          <w:rFonts w:ascii="Verdana" w:hAnsi="Verdana"/>
          <w:sz w:val="16"/>
          <w:szCs w:val="16"/>
        </w:rPr>
        <w:t xml:space="preserve"> e) La enajenación de bienes del Estado, con excepción de aquellos a que se refiere la Ley 226 de 1995.</w:t>
      </w:r>
    </w:p>
    <w:p w14:paraId="446BDCD3" w14:textId="77777777" w:rsidR="0099050B" w:rsidRPr="00191A48" w:rsidRDefault="0099050B" w:rsidP="0099050B">
      <w:pPr>
        <w:pStyle w:val="Textonotapie"/>
        <w:jc w:val="both"/>
        <w:rPr>
          <w:rFonts w:ascii="Verdana" w:hAnsi="Verdana"/>
          <w:sz w:val="16"/>
          <w:szCs w:val="16"/>
        </w:rPr>
      </w:pPr>
    </w:p>
    <w:p w14:paraId="79036CCE"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En los procesos de enajenación de los bienes del Estado se podrán utilizar instrumentos de subasta y en general de todos aquellos mecanismos autorizados por el derecho privado, siempre y cuando en desarrollo del proceso de enajenación se garantice la transparencia, la eficiencia y la selección objetiva.</w:t>
      </w:r>
    </w:p>
    <w:p w14:paraId="13721918" w14:textId="77777777" w:rsidR="0099050B" w:rsidRPr="00191A48" w:rsidRDefault="0099050B" w:rsidP="0099050B">
      <w:pPr>
        <w:pStyle w:val="Textonotapie"/>
        <w:jc w:val="both"/>
        <w:rPr>
          <w:rFonts w:ascii="Verdana" w:hAnsi="Verdana"/>
          <w:sz w:val="16"/>
          <w:szCs w:val="16"/>
        </w:rPr>
      </w:pPr>
    </w:p>
    <w:p w14:paraId="1B3963BF"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En todo caso, para la venta de los bienes se debe tener como base el valor del avalúo comercial y ajustar dicho avalúo de acuerdo a los gastos asociados al tiempo de comercialización esperada, administración, impuestos y mantenimiento, para determinar el precio mínimo al que se debe enajenar el bien, de conformidad con la reglamentación que para el efecto expida el Gobierno Nacional.</w:t>
      </w:r>
    </w:p>
    <w:p w14:paraId="03B44871" w14:textId="77777777" w:rsidR="0099050B" w:rsidRPr="00191A48" w:rsidRDefault="0099050B" w:rsidP="0099050B">
      <w:pPr>
        <w:pStyle w:val="Textonotapie"/>
        <w:jc w:val="both"/>
        <w:rPr>
          <w:rFonts w:ascii="Verdana" w:hAnsi="Verdana"/>
          <w:sz w:val="16"/>
          <w:szCs w:val="16"/>
        </w:rPr>
      </w:pPr>
    </w:p>
    <w:p w14:paraId="364BD76A"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La enajenación de los bienes que formen parte del Fondo para la Rehabilitación, Inversión Social y Lucha contra el Crimen Organizado, Frisco, se hará por la Dirección Nacional de Estupefacientes, observando los principios del artículo 209 de la Constitución Política y la reglamentación que expida el Gobierno Nacional, teniendo en cuenta las recomendaciones que para el efecto imparta el Consejo Nacional de Estupefacientes.</w:t>
      </w:r>
    </w:p>
    <w:p w14:paraId="1693D879" w14:textId="77777777" w:rsidR="0099050B" w:rsidRPr="00191A48" w:rsidRDefault="0099050B" w:rsidP="0099050B">
      <w:pPr>
        <w:pStyle w:val="Textonotapie"/>
        <w:jc w:val="both"/>
        <w:rPr>
          <w:rFonts w:ascii="Verdana" w:hAnsi="Verdana"/>
          <w:sz w:val="16"/>
          <w:szCs w:val="16"/>
        </w:rPr>
      </w:pPr>
    </w:p>
    <w:p w14:paraId="40E46110"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El Reglamento deberá determinar la forma de selección, a través de invitación pública de los profesionales inmobiliarios, que actuarán como promotores de las ventas, que a su vez, a efecto de avalúos de los bienes, se servirán de avaluadores debidamente inscritos en el Registro Nacional de Avaluadores y quienes responderán por sus actos solidariamente con los promotores.</w:t>
      </w:r>
    </w:p>
    <w:p w14:paraId="146C8B1E" w14:textId="77777777" w:rsidR="0099050B" w:rsidRPr="00191A48" w:rsidRDefault="0099050B" w:rsidP="0099050B">
      <w:pPr>
        <w:pStyle w:val="Textonotapie"/>
        <w:jc w:val="both"/>
        <w:rPr>
          <w:rFonts w:ascii="Verdana" w:hAnsi="Verdana"/>
          <w:sz w:val="16"/>
          <w:szCs w:val="16"/>
        </w:rPr>
      </w:pPr>
    </w:p>
    <w:p w14:paraId="2321AB62"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Las reglas y procedimientos que deberán atender la administración y los promotores y la publicidad del proceso deberán garantizar la libre concurrencia y oportunidad de quienes participen en el mismo.</w:t>
      </w:r>
    </w:p>
    <w:p w14:paraId="5DB88BE4" w14:textId="77777777" w:rsidR="0099050B" w:rsidRPr="00191A48" w:rsidRDefault="0099050B" w:rsidP="0099050B">
      <w:pPr>
        <w:pStyle w:val="Textonotapie"/>
        <w:jc w:val="both"/>
        <w:rPr>
          <w:rFonts w:ascii="Verdana" w:hAnsi="Verdana"/>
          <w:sz w:val="16"/>
          <w:szCs w:val="16"/>
        </w:rPr>
      </w:pPr>
    </w:p>
    <w:p w14:paraId="0BDB9A00" w14:textId="77777777" w:rsidR="0099050B" w:rsidRPr="00191A48" w:rsidRDefault="0099050B" w:rsidP="0099050B">
      <w:pPr>
        <w:pStyle w:val="Textonotapie"/>
        <w:ind w:firstLine="709"/>
        <w:jc w:val="both"/>
        <w:rPr>
          <w:rFonts w:ascii="Verdana" w:hAnsi="Verdana"/>
          <w:sz w:val="16"/>
          <w:szCs w:val="16"/>
        </w:rPr>
      </w:pPr>
      <w:r w:rsidRPr="00191A48">
        <w:rPr>
          <w:rFonts w:ascii="Verdana" w:hAnsi="Verdana"/>
          <w:sz w:val="16"/>
          <w:szCs w:val="16"/>
        </w:rPr>
        <w:t>Los bienes serán enajenados a través de venta directa en sobre cerrado o en pública subasta. La adjudicación para la venta directa deberá hacerse en audiencia pública, en donde se conozcan las ofertas iniciales y se efectúe un segundo ofrecimiento, frente al cual se adjudicará el bien a quien oferte el mejor precio. En la subasta pública, de acuerdo con el reglamento definido para su realización, el bien será adjudicado al mejor postor.</w:t>
      </w:r>
    </w:p>
    <w:p w14:paraId="02AFA242" w14:textId="77777777" w:rsidR="0099050B" w:rsidRPr="00191A48" w:rsidRDefault="0099050B" w:rsidP="0099050B">
      <w:pPr>
        <w:pStyle w:val="Textonotapie"/>
        <w:ind w:firstLine="709"/>
        <w:jc w:val="both"/>
        <w:rPr>
          <w:rFonts w:ascii="Verdana" w:hAnsi="Verdana"/>
          <w:sz w:val="16"/>
          <w:szCs w:val="16"/>
          <w:lang w:val="es-CO"/>
        </w:rPr>
      </w:pPr>
      <w:r w:rsidRPr="00191A48">
        <w:rPr>
          <w:rFonts w:ascii="Verdana" w:hAnsi="Verdana"/>
          <w:sz w:val="16"/>
          <w:szCs w:val="16"/>
        </w:rPr>
        <w:t>La venta implica la publicación previa de los bienes en un diario de amplia circulación nacional, con la determinación del precio base. El interesado en adquirir bienes deberá consignar al menos el 20% del valor base de venta para participar en la oferta;</w:t>
      </w:r>
    </w:p>
  </w:footnote>
  <w:footnote w:id="14">
    <w:p w14:paraId="26F0708E" w14:textId="77777777" w:rsidR="0099050B" w:rsidRPr="008B7171" w:rsidRDefault="0099050B" w:rsidP="0099050B">
      <w:pPr>
        <w:spacing w:after="0" w:line="240" w:lineRule="auto"/>
        <w:ind w:firstLine="707"/>
        <w:jc w:val="both"/>
        <w:rPr>
          <w:rFonts w:ascii="Verdana" w:hAnsi="Verdana" w:cs="Arial"/>
          <w:sz w:val="15"/>
          <w:szCs w:val="15"/>
        </w:rPr>
      </w:pPr>
      <w:r w:rsidRPr="008B7171">
        <w:rPr>
          <w:rStyle w:val="Refdenotaalpie"/>
          <w:rFonts w:ascii="Verdana" w:hAnsi="Verdana" w:cs="Arial"/>
          <w:sz w:val="15"/>
          <w:szCs w:val="15"/>
        </w:rPr>
        <w:footnoteRef/>
      </w:r>
      <w:r w:rsidRPr="008B7171">
        <w:rPr>
          <w:rFonts w:ascii="Verdana" w:hAnsi="Verdana" w:cs="Arial"/>
          <w:sz w:val="15"/>
          <w:szCs w:val="15"/>
        </w:rPr>
        <w:t xml:space="preserve"> Decreto 1082 de 2015: «Artículo 2.2.1.2.2.1.1. Aplicación. La selección abreviada es la modalidad para la enajenación de bienes del Estado, la cual se rige por las disposiciones contenidas en el presente capítulo, salvo por las normas aplicables a la enajenación de los bienes a cargo del Fondo para la Rehabilitación, Inversión Social y Lucha contra el Crimen Organizado y la enajenación de que tratan la Ley 226 de 1995, el Decreto-Ley 254 de 2000 y la Ley 1105 de 2006».</w:t>
      </w:r>
    </w:p>
    <w:p w14:paraId="711AC25D" w14:textId="77777777" w:rsidR="0099050B" w:rsidRPr="008B7171" w:rsidRDefault="0099050B" w:rsidP="0099050B">
      <w:pPr>
        <w:pStyle w:val="Textonotapie"/>
        <w:jc w:val="both"/>
        <w:rPr>
          <w:rFonts w:ascii="Verdana" w:hAnsi="Verdana" w:cs="Arial"/>
          <w:sz w:val="15"/>
          <w:szCs w:val="15"/>
        </w:rPr>
      </w:pPr>
    </w:p>
  </w:footnote>
  <w:footnote w:id="15">
    <w:p w14:paraId="2A9F6545" w14:textId="77777777" w:rsidR="0099050B" w:rsidRPr="008B7171" w:rsidRDefault="0099050B" w:rsidP="0099050B">
      <w:pPr>
        <w:pStyle w:val="Textoindependiente"/>
        <w:spacing w:after="0" w:line="240" w:lineRule="auto"/>
        <w:ind w:firstLine="707"/>
        <w:jc w:val="both"/>
        <w:rPr>
          <w:rFonts w:ascii="Verdana" w:hAnsi="Verdana"/>
          <w:sz w:val="15"/>
          <w:szCs w:val="15"/>
        </w:rPr>
      </w:pPr>
      <w:r w:rsidRPr="008B7171">
        <w:rPr>
          <w:rStyle w:val="Refdenotaalpie"/>
          <w:rFonts w:ascii="Verdana" w:hAnsi="Verdana"/>
          <w:sz w:val="15"/>
          <w:szCs w:val="15"/>
        </w:rPr>
        <w:footnoteRef/>
      </w:r>
      <w:r w:rsidRPr="008B7171">
        <w:rPr>
          <w:rFonts w:ascii="Verdana" w:hAnsi="Verdana"/>
          <w:sz w:val="15"/>
          <w:szCs w:val="15"/>
        </w:rPr>
        <w:t xml:space="preserve"> La Corte Constitucional, en Sentencia C-300 de 2012 M.P. Jorge Ignacio Pretel Chaljub, consideró al respecto: “El principio de planeación hace referencia al deber de la entidad contratante de realizar estudios previos adecuados (estudios de prefactibilidad, factibilidad, ingeniería, suelos, etc.), con el fin de precisar el objeto del contrato, las obligaciones mutuas de las partes, la distribución de los riesgos y el precio, estructurar debidamente su financiación y permitir a los interesados diseñar sus ofertas y buscar diferentes fuentes de recursos.</w:t>
      </w:r>
    </w:p>
    <w:p w14:paraId="3FFCC8BB" w14:textId="77777777" w:rsidR="0099050B" w:rsidRPr="008B7171" w:rsidRDefault="0099050B" w:rsidP="0099050B">
      <w:pPr>
        <w:pStyle w:val="Textoindependiente"/>
        <w:spacing w:after="0" w:line="240" w:lineRule="auto"/>
        <w:ind w:firstLine="608"/>
        <w:jc w:val="both"/>
        <w:rPr>
          <w:rFonts w:ascii="Verdana" w:hAnsi="Verdana"/>
          <w:sz w:val="15"/>
          <w:szCs w:val="15"/>
        </w:rPr>
      </w:pPr>
      <w:r w:rsidRPr="008B7171">
        <w:rPr>
          <w:rFonts w:ascii="Verdana" w:hAnsi="Verdana"/>
          <w:sz w:val="15"/>
          <w:szCs w:val="15"/>
        </w:rPr>
        <w:t>Este principio está entonces directamente relacionado con los de economía, eficacia, racionalidad de la intervención estatal y libre concurrencia. De un lado, se relaciona con los principios de economía y eficacia (artículo 209 superior) y racionalidad de la intervención estatal (artículo 334 superior), pues los estudios previos no son solamente necesarios para la adecuada ejecución del contrato -en términos de calidad y tiempo, sino también para evitar mayores costos a la administración fruto de modificaciones sobrevinientes imputables a la entidad y que redunden en una obligación de restablecer el equilibrio económico del contrato sin posibilidad de negociación de los precios. Ciertamente, los estudios previos determinan el retorno que pueden esperar los inversionistas, el cual, si no es obtenido por causas imputables al Estado en el marco del esquema de distribución de riesgos, puede llevar a condenas judiciales o a la necesidad de renegociaciones a favor del contratista.</w:t>
      </w:r>
    </w:p>
    <w:p w14:paraId="5FAD7E68" w14:textId="77777777" w:rsidR="0099050B" w:rsidRPr="008B7171" w:rsidRDefault="0099050B" w:rsidP="0099050B">
      <w:pPr>
        <w:pStyle w:val="Textoindependiente"/>
        <w:spacing w:after="0" w:line="240" w:lineRule="auto"/>
        <w:ind w:firstLine="608"/>
        <w:jc w:val="both"/>
        <w:rPr>
          <w:rFonts w:ascii="Verdana" w:hAnsi="Verdana"/>
          <w:sz w:val="15"/>
          <w:szCs w:val="15"/>
        </w:rPr>
      </w:pPr>
      <w:r w:rsidRPr="008B7171">
        <w:rPr>
          <w:rFonts w:ascii="Verdana" w:hAnsi="Verdana"/>
          <w:sz w:val="15"/>
          <w:szCs w:val="15"/>
        </w:rPr>
        <w:t>De otro lado, se relaciona con el principio de libre concurrencia –manifestación de los principios constitucionales de libre competencia e igualdad, ya que permite que cualquier interesado con posibilidad de presentar una buena oferta según la información disponible, pueda participar en el respectivo proceso de selección; si la información fruto de la etapa precontractual es lejana a la realidad del negocio, posibles oferentes se abstendrán de presentar propuestas, en perjuicio de la libre competencia, y de la posibilidad de la entidad de acceder a ofertas más favorables. En este punto, vale la pena recordar que en los contratos de concesión, usualmente el concesionario acude a la financiación de terceros (por medio de créditos, venta de títulos, etc.), razón por la cual es indispensable contar con una imagen lo más cercana a la realidad de las dimensiones del negocio, con el fin de que los inversionistas lleven a cabo el respectivo análisis costo-beneficio y tomen decisiones sobre si participan o no en el proyecto. Sin esta información, las decisiones de financiación no podrán basarse en una previsión real de cómo obtener la mayor cantidad de servicios por el dinero invertido, elemento determinante de las decisiones de participación”.</w:t>
      </w:r>
    </w:p>
    <w:p w14:paraId="1DD738C5" w14:textId="77777777" w:rsidR="0099050B" w:rsidRPr="008B7171" w:rsidRDefault="0099050B" w:rsidP="0099050B">
      <w:pPr>
        <w:pStyle w:val="Textonotapie"/>
        <w:jc w:val="both"/>
        <w:rPr>
          <w:rFonts w:ascii="Arial" w:hAnsi="Arial" w:cs="Arial"/>
          <w:sz w:val="15"/>
          <w:szCs w:val="1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 w:numId="18" w16cid:durableId="262541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E13D0"/>
    <w:rsid w:val="000F6486"/>
    <w:rsid w:val="000F66C4"/>
    <w:rsid w:val="00116940"/>
    <w:rsid w:val="00117F9C"/>
    <w:rsid w:val="00125105"/>
    <w:rsid w:val="00127233"/>
    <w:rsid w:val="0015699B"/>
    <w:rsid w:val="0017078E"/>
    <w:rsid w:val="001A33BF"/>
    <w:rsid w:val="001B38B2"/>
    <w:rsid w:val="001E4177"/>
    <w:rsid w:val="001F0B24"/>
    <w:rsid w:val="001F7DC6"/>
    <w:rsid w:val="0022400B"/>
    <w:rsid w:val="002421BB"/>
    <w:rsid w:val="00256FA8"/>
    <w:rsid w:val="0025796E"/>
    <w:rsid w:val="00261B32"/>
    <w:rsid w:val="00264274"/>
    <w:rsid w:val="002707A2"/>
    <w:rsid w:val="002951A0"/>
    <w:rsid w:val="002962BC"/>
    <w:rsid w:val="002A093D"/>
    <w:rsid w:val="002A0DD0"/>
    <w:rsid w:val="002A49AC"/>
    <w:rsid w:val="002A64FD"/>
    <w:rsid w:val="002C7A84"/>
    <w:rsid w:val="002E2BF8"/>
    <w:rsid w:val="002E4FD9"/>
    <w:rsid w:val="0030657A"/>
    <w:rsid w:val="00322A85"/>
    <w:rsid w:val="00324168"/>
    <w:rsid w:val="003301F7"/>
    <w:rsid w:val="00330834"/>
    <w:rsid w:val="003448F4"/>
    <w:rsid w:val="00374F5E"/>
    <w:rsid w:val="00377E3E"/>
    <w:rsid w:val="003A779E"/>
    <w:rsid w:val="003C5AFD"/>
    <w:rsid w:val="003D0F4D"/>
    <w:rsid w:val="003D5B0D"/>
    <w:rsid w:val="003E0499"/>
    <w:rsid w:val="003E4F80"/>
    <w:rsid w:val="003E6439"/>
    <w:rsid w:val="003F3941"/>
    <w:rsid w:val="00406575"/>
    <w:rsid w:val="00414C74"/>
    <w:rsid w:val="0042722E"/>
    <w:rsid w:val="0044528D"/>
    <w:rsid w:val="00466E39"/>
    <w:rsid w:val="004A1847"/>
    <w:rsid w:val="004A305D"/>
    <w:rsid w:val="004A7842"/>
    <w:rsid w:val="004F21C4"/>
    <w:rsid w:val="004F685F"/>
    <w:rsid w:val="005566E8"/>
    <w:rsid w:val="00574867"/>
    <w:rsid w:val="00591460"/>
    <w:rsid w:val="00592583"/>
    <w:rsid w:val="005A4484"/>
    <w:rsid w:val="005A62AE"/>
    <w:rsid w:val="005A65E0"/>
    <w:rsid w:val="005C3777"/>
    <w:rsid w:val="005C53AA"/>
    <w:rsid w:val="005C5CDC"/>
    <w:rsid w:val="005D476C"/>
    <w:rsid w:val="006200BF"/>
    <w:rsid w:val="006219F8"/>
    <w:rsid w:val="006302F7"/>
    <w:rsid w:val="00646B9F"/>
    <w:rsid w:val="00651FED"/>
    <w:rsid w:val="00665D70"/>
    <w:rsid w:val="006900D9"/>
    <w:rsid w:val="00706C16"/>
    <w:rsid w:val="00722856"/>
    <w:rsid w:val="007340C3"/>
    <w:rsid w:val="0075235A"/>
    <w:rsid w:val="00756841"/>
    <w:rsid w:val="007649AB"/>
    <w:rsid w:val="00771D0C"/>
    <w:rsid w:val="007833AC"/>
    <w:rsid w:val="007B268C"/>
    <w:rsid w:val="007B7171"/>
    <w:rsid w:val="007C0C0F"/>
    <w:rsid w:val="007C3DC2"/>
    <w:rsid w:val="007E4214"/>
    <w:rsid w:val="007E5497"/>
    <w:rsid w:val="00806F5F"/>
    <w:rsid w:val="008114C4"/>
    <w:rsid w:val="00820278"/>
    <w:rsid w:val="00820CEE"/>
    <w:rsid w:val="008258C9"/>
    <w:rsid w:val="00844AE9"/>
    <w:rsid w:val="00867F95"/>
    <w:rsid w:val="008843B6"/>
    <w:rsid w:val="00891928"/>
    <w:rsid w:val="008A446D"/>
    <w:rsid w:val="008B25F1"/>
    <w:rsid w:val="008D180B"/>
    <w:rsid w:val="008D2589"/>
    <w:rsid w:val="008F0EA7"/>
    <w:rsid w:val="00923EEF"/>
    <w:rsid w:val="009419F9"/>
    <w:rsid w:val="0095685E"/>
    <w:rsid w:val="00961B09"/>
    <w:rsid w:val="00965334"/>
    <w:rsid w:val="0097093E"/>
    <w:rsid w:val="0099050B"/>
    <w:rsid w:val="009A0DFA"/>
    <w:rsid w:val="009A1C6F"/>
    <w:rsid w:val="009A481A"/>
    <w:rsid w:val="009B2D26"/>
    <w:rsid w:val="009C71FA"/>
    <w:rsid w:val="009C72E7"/>
    <w:rsid w:val="009C7F7E"/>
    <w:rsid w:val="009D3058"/>
    <w:rsid w:val="009F3A13"/>
    <w:rsid w:val="00A122D3"/>
    <w:rsid w:val="00A14468"/>
    <w:rsid w:val="00A17F13"/>
    <w:rsid w:val="00A20739"/>
    <w:rsid w:val="00A23AF9"/>
    <w:rsid w:val="00A242F1"/>
    <w:rsid w:val="00A33C78"/>
    <w:rsid w:val="00A5191C"/>
    <w:rsid w:val="00AB0ADB"/>
    <w:rsid w:val="00B00C0E"/>
    <w:rsid w:val="00B01B1A"/>
    <w:rsid w:val="00B0381D"/>
    <w:rsid w:val="00B44A47"/>
    <w:rsid w:val="00B72CD3"/>
    <w:rsid w:val="00B72FFF"/>
    <w:rsid w:val="00BC3D36"/>
    <w:rsid w:val="00BD54A6"/>
    <w:rsid w:val="00BD7F72"/>
    <w:rsid w:val="00BE656F"/>
    <w:rsid w:val="00BF7425"/>
    <w:rsid w:val="00C04FB3"/>
    <w:rsid w:val="00C11D8B"/>
    <w:rsid w:val="00C15139"/>
    <w:rsid w:val="00C330EB"/>
    <w:rsid w:val="00C50D69"/>
    <w:rsid w:val="00C5365C"/>
    <w:rsid w:val="00C557CE"/>
    <w:rsid w:val="00C754BE"/>
    <w:rsid w:val="00C76B1C"/>
    <w:rsid w:val="00C925AC"/>
    <w:rsid w:val="00CB6357"/>
    <w:rsid w:val="00CC1B26"/>
    <w:rsid w:val="00D361FD"/>
    <w:rsid w:val="00D423A2"/>
    <w:rsid w:val="00D44582"/>
    <w:rsid w:val="00D44E26"/>
    <w:rsid w:val="00D520D8"/>
    <w:rsid w:val="00D543DA"/>
    <w:rsid w:val="00D63AC2"/>
    <w:rsid w:val="00D71E65"/>
    <w:rsid w:val="00D7383B"/>
    <w:rsid w:val="00D74C87"/>
    <w:rsid w:val="00D7788A"/>
    <w:rsid w:val="00DA231B"/>
    <w:rsid w:val="00DC39FC"/>
    <w:rsid w:val="00DF4E6C"/>
    <w:rsid w:val="00DF5254"/>
    <w:rsid w:val="00E02524"/>
    <w:rsid w:val="00E16408"/>
    <w:rsid w:val="00E20894"/>
    <w:rsid w:val="00E245AB"/>
    <w:rsid w:val="00E2764C"/>
    <w:rsid w:val="00E27F2E"/>
    <w:rsid w:val="00E30A3B"/>
    <w:rsid w:val="00E40E2D"/>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874AFE6"/>
    <w:rsid w:val="09908A09"/>
    <w:rsid w:val="0EFE6349"/>
    <w:rsid w:val="0FF4CCA8"/>
    <w:rsid w:val="13CFC91B"/>
    <w:rsid w:val="19A2EC2C"/>
    <w:rsid w:val="21779BE6"/>
    <w:rsid w:val="2859CA1B"/>
    <w:rsid w:val="2C4D2425"/>
    <w:rsid w:val="2EE1E026"/>
    <w:rsid w:val="2F44F38F"/>
    <w:rsid w:val="30821638"/>
    <w:rsid w:val="32A4F9CF"/>
    <w:rsid w:val="33A1FF93"/>
    <w:rsid w:val="356CEDFD"/>
    <w:rsid w:val="36822366"/>
    <w:rsid w:val="3C591AFD"/>
    <w:rsid w:val="42183F0A"/>
    <w:rsid w:val="545B112A"/>
    <w:rsid w:val="5BEB1497"/>
    <w:rsid w:val="69614A15"/>
    <w:rsid w:val="74BA017B"/>
    <w:rsid w:val="7677286E"/>
    <w:rsid w:val="79A64A20"/>
    <w:rsid w:val="79E5F17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99050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9050B"/>
    <w:rPr>
      <w:rFonts w:ascii="Geomanist Light" w:hAnsi="Geomanist Light"/>
      <w:lang w:val="es-ES"/>
    </w:rPr>
  </w:style>
  <w:style w:type="character" w:customStyle="1" w:styleId="s15">
    <w:name w:val="s15"/>
    <w:basedOn w:val="Fuentedeprrafopredeter"/>
    <w:rsid w:val="0099050B"/>
  </w:style>
  <w:style w:type="character" w:customStyle="1" w:styleId="apple-converted-space">
    <w:name w:val="apple-converted-space"/>
    <w:basedOn w:val="Fuentedeprrafopredeter"/>
    <w:rsid w:val="0099050B"/>
  </w:style>
  <w:style w:type="paragraph" w:styleId="Textoindependiente">
    <w:name w:val="Body Text"/>
    <w:basedOn w:val="Normal"/>
    <w:link w:val="TextoindependienteCar"/>
    <w:uiPriority w:val="99"/>
    <w:semiHidden/>
    <w:unhideWhenUsed/>
    <w:rsid w:val="0099050B"/>
    <w:pPr>
      <w:spacing w:after="120"/>
    </w:pPr>
  </w:style>
  <w:style w:type="character" w:customStyle="1" w:styleId="TextoindependienteCar">
    <w:name w:val="Texto independiente Car"/>
    <w:basedOn w:val="Fuentedeprrafopredeter"/>
    <w:link w:val="Textoindependiente"/>
    <w:uiPriority w:val="99"/>
    <w:semiHidden/>
    <w:rsid w:val="0099050B"/>
  </w:style>
  <w:style w:type="character" w:styleId="nfasis">
    <w:name w:val="Emphasis"/>
    <w:basedOn w:val="Fuentedeprrafopredeter"/>
    <w:uiPriority w:val="20"/>
    <w:qFormat/>
    <w:rsid w:val="009905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9BFD9CCE-7038-4702-B287-EB13B3F13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5567</Words>
  <Characters>30624</Characters>
  <Application>Microsoft Office Word</Application>
  <DocSecurity>0</DocSecurity>
  <Lines>255</Lines>
  <Paragraphs>72</Paragraphs>
  <ScaleCrop>false</ScaleCrop>
  <Company/>
  <LinksUpToDate>false</LinksUpToDate>
  <CharactersWithSpaces>36119</CharactersWithSpaces>
  <SharedDoc>false</SharedDoc>
  <HLinks>
    <vt:vector size="6" baseType="variant">
      <vt:variant>
        <vt:i4>7471218</vt:i4>
      </vt:variant>
      <vt:variant>
        <vt:i4>0</vt:i4>
      </vt:variant>
      <vt:variant>
        <vt:i4>0</vt:i4>
      </vt:variant>
      <vt:variant>
        <vt:i4>5</vt:i4>
      </vt:variant>
      <vt:variant>
        <vt:lpwstr>https://relatoria.colombiacompra.gov.co/busqueda/conceptos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2026-06-19T22:01:00Z</dcterms:created>
  <dcterms:modified xsi:type="dcterms:W3CDTF">2026-06-20T12:55:00Z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