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80BAC" w14:textId="77777777" w:rsidR="0062116D" w:rsidRPr="00056CD6" w:rsidRDefault="0062116D" w:rsidP="0062116D">
      <w:pPr>
        <w:pStyle w:val="Textoindependiente"/>
        <w:contextualSpacing/>
        <w:jc w:val="both"/>
        <w:rPr>
          <w:b/>
        </w:rPr>
      </w:pPr>
      <w:r w:rsidRPr="00056CD6">
        <w:rPr>
          <w:b/>
        </w:rPr>
        <w:t>SELECCIÓN OBJETIVA ― Noción y factores de escogencia</w:t>
      </w:r>
    </w:p>
    <w:p w14:paraId="7884938E" w14:textId="77777777" w:rsidR="0062116D" w:rsidRPr="00056CD6" w:rsidRDefault="0062116D" w:rsidP="0062116D">
      <w:pPr>
        <w:pStyle w:val="Textoindependiente"/>
        <w:contextualSpacing/>
        <w:jc w:val="both"/>
        <w:rPr>
          <w:b/>
        </w:rPr>
      </w:pPr>
    </w:p>
    <w:p w14:paraId="111DB922" w14:textId="77777777" w:rsidR="0062116D" w:rsidRPr="00193326" w:rsidRDefault="0062116D" w:rsidP="676726B4">
      <w:pPr>
        <w:pStyle w:val="Textoindependiente"/>
        <w:contextualSpacing/>
        <w:jc w:val="both"/>
        <w:rPr>
          <w:rFonts w:cs="Arial"/>
          <w:color w:val="000000" w:themeColor="text1"/>
          <w:sz w:val="20"/>
          <w:szCs w:val="20"/>
        </w:rPr>
      </w:pPr>
      <w:r w:rsidRPr="676726B4">
        <w:rPr>
          <w:rFonts w:cs="Arial"/>
          <w:color w:val="000000" w:themeColor="text1"/>
          <w:sz w:val="20"/>
          <w:szCs w:val="20"/>
        </w:rPr>
        <w:t>[…] se considera objetiva la selección en la cual la escogencia se haga al ofrecimiento más favorable a la Entidad y a los fines que ella busca, sin tener en consideración factores de afecto o de interés y, en general, cualquier clase de motivación subjetiva</w:t>
      </w:r>
      <w:r w:rsidRPr="676726B4">
        <w:rPr>
          <w:rFonts w:cs="Arial"/>
          <w:i/>
          <w:iCs/>
          <w:color w:val="000000" w:themeColor="text1"/>
          <w:sz w:val="20"/>
          <w:szCs w:val="20"/>
        </w:rPr>
        <w:t>.</w:t>
      </w:r>
      <w:r w:rsidRPr="676726B4">
        <w:rPr>
          <w:rFonts w:cs="Arial"/>
          <w:color w:val="000000" w:themeColor="text1"/>
          <w:sz w:val="20"/>
          <w:szCs w:val="20"/>
        </w:rPr>
        <w:t xml:space="preserve"> En ese contexto, los factores de escogencia y calificación que establezcan las Entidades en los pliegos de condiciones o en sus documentos equivalentes deberán tener en cuenta, entre otras cuestiones, los criterios establecidos en dicha disposición.</w:t>
      </w:r>
    </w:p>
    <w:p w14:paraId="3C53FB48" w14:textId="77777777" w:rsidR="0062116D" w:rsidRPr="00193326" w:rsidRDefault="0062116D" w:rsidP="0062116D">
      <w:pPr>
        <w:pStyle w:val="Textoindependiente"/>
        <w:contextualSpacing/>
        <w:jc w:val="both"/>
        <w:rPr>
          <w:rFonts w:cs="Arial"/>
          <w:color w:val="000000" w:themeColor="text1"/>
          <w:sz w:val="20"/>
          <w:szCs w:val="20"/>
          <w:lang w:val="es-ES_tradnl"/>
        </w:rPr>
      </w:pPr>
    </w:p>
    <w:p w14:paraId="7CDBE041" w14:textId="77777777" w:rsidR="0062116D" w:rsidRPr="00193326" w:rsidRDefault="0062116D" w:rsidP="0062116D">
      <w:pPr>
        <w:pStyle w:val="Textoindependiente"/>
        <w:contextualSpacing/>
        <w:jc w:val="both"/>
        <w:rPr>
          <w:rFonts w:cs="Arial"/>
          <w:color w:val="000000" w:themeColor="text1"/>
          <w:sz w:val="20"/>
          <w:szCs w:val="20"/>
          <w:lang w:val="es-ES_tradnl"/>
        </w:rPr>
      </w:pPr>
      <w:r w:rsidRPr="00193326">
        <w:rPr>
          <w:rFonts w:cs="Arial"/>
          <w:color w:val="000000" w:themeColor="text1"/>
          <w:sz w:val="20"/>
          <w:szCs w:val="20"/>
          <w:lang w:val="es-ES_tradnl"/>
        </w:rPr>
        <w:t>[…] los criterios habilitantes que determine la Entidad deberán ser adecuados y proporcionales a la naturaleza del contrato a suscribir y a su valor. De esta manera, las condiciones habilitantes que no resulten adecuadas para determinar la idoneidad o capacidad del proponente para cumplir con el objeto del contrato, o que sean desproporcionados frente a este, serán contrarias al deber de selección objetiva.</w:t>
      </w:r>
    </w:p>
    <w:p w14:paraId="1A371B6C" w14:textId="77777777" w:rsidR="0062116D" w:rsidRPr="00056CD6" w:rsidRDefault="0062116D" w:rsidP="0062116D">
      <w:pPr>
        <w:pStyle w:val="Textoindependiente"/>
        <w:contextualSpacing/>
        <w:jc w:val="both"/>
        <w:rPr>
          <w:b/>
        </w:rPr>
      </w:pPr>
    </w:p>
    <w:p w14:paraId="4F23B0CF" w14:textId="4E84C585" w:rsidR="0062116D" w:rsidRPr="004B7931" w:rsidRDefault="0062116D" w:rsidP="0062116D">
      <w:pPr>
        <w:pStyle w:val="Textoindependiente"/>
        <w:contextualSpacing/>
        <w:jc w:val="both"/>
        <w:rPr>
          <w:b/>
          <w:bCs/>
        </w:rPr>
      </w:pPr>
      <w:r w:rsidRPr="00056CD6">
        <w:rPr>
          <w:b/>
        </w:rPr>
        <w:t>REQUISITOS HABILITANTES DE LA LEY 1150 DE 2007 ― Carácter enunciativo</w:t>
      </w:r>
      <w:r w:rsidRPr="004B7931">
        <w:rPr>
          <w:rFonts w:eastAsia="Calibri" w:cs="Arial"/>
          <w:lang w:eastAsia="es-ES_tradnl"/>
        </w:rPr>
        <w:t xml:space="preserve"> </w:t>
      </w:r>
      <w:r w:rsidR="009B55FE" w:rsidRPr="009B55FE">
        <w:rPr>
          <w:rFonts w:eastAsia="Calibri" w:cs="Arial"/>
          <w:b/>
          <w:bCs/>
          <w:lang w:val="es-CO" w:eastAsia="es-ES_tradnl"/>
        </w:rPr>
        <w:t>–</w:t>
      </w:r>
      <w:r>
        <w:rPr>
          <w:rFonts w:eastAsia="Calibri" w:cs="Arial"/>
          <w:lang w:eastAsia="es-ES_tradnl"/>
        </w:rPr>
        <w:t xml:space="preserve"> </w:t>
      </w:r>
      <w:r w:rsidRPr="004B7931">
        <w:rPr>
          <w:rFonts w:eastAsia="Calibri" w:cs="Arial"/>
          <w:b/>
          <w:bCs/>
          <w:lang w:eastAsia="es-ES_tradnl"/>
        </w:rPr>
        <w:t>Proporcionalidad y adecuación</w:t>
      </w:r>
    </w:p>
    <w:p w14:paraId="2742E658" w14:textId="77777777" w:rsidR="0062116D" w:rsidRDefault="0062116D" w:rsidP="0062116D">
      <w:pPr>
        <w:pStyle w:val="Textoindependiente"/>
        <w:contextualSpacing/>
        <w:jc w:val="both"/>
        <w:rPr>
          <w:rFonts w:eastAsia="Times New Roman" w:cs="Arial"/>
          <w:lang w:val="es-ES_tradnl" w:eastAsia="es-MX"/>
        </w:rPr>
      </w:pPr>
    </w:p>
    <w:p w14:paraId="4C8B7C15" w14:textId="77777777" w:rsidR="0062116D" w:rsidRPr="00193326" w:rsidRDefault="0062116D" w:rsidP="0062116D">
      <w:pPr>
        <w:pStyle w:val="Textoindependiente"/>
        <w:contextualSpacing/>
        <w:jc w:val="both"/>
        <w:rPr>
          <w:rFonts w:eastAsia="Times New Roman" w:cs="Arial"/>
          <w:sz w:val="20"/>
          <w:szCs w:val="20"/>
          <w:lang w:val="es-ES_tradnl" w:eastAsia="es-MX"/>
        </w:rPr>
      </w:pPr>
      <w:r w:rsidRPr="00193326">
        <w:rPr>
          <w:rFonts w:eastAsia="Times New Roman" w:cs="Arial"/>
          <w:sz w:val="20"/>
          <w:szCs w:val="20"/>
          <w:lang w:val="es-ES_tradnl" w:eastAsia="es-MX"/>
        </w:rPr>
        <w:t>La Agencia Nacional de Contratación Pública – Colombia Compra Eficiente ha defendido el carácter enunciativo del listado de los requisitos habilitantes contenidos en el numeral 1 del artículo 5 de la Ley 1150 de 2007, en la medida en que la mencionada disposición, al referirse a los requisitos habilitantes, no contiene una expresión como “únicamente” o “solo”, de la que pueda colegirse la taxatividad de los requisitos señalados. Esta conclusión además se apoya en una la lectura integral de las normas que regulan la contratación estatal, en virtud de la cual es posible evidenciar que existen otras condiciones que deben cumplirse para la contratación con Entidades Estatales, de las que derivan requisitos habilitantes, como sucede, por ejemplo, con la capacidad residual a la que se refiere el artículo 6º, parágrafo 1, de la Ley 1150 de 2007.</w:t>
      </w:r>
    </w:p>
    <w:p w14:paraId="1E2421B9" w14:textId="77777777" w:rsidR="0062116D" w:rsidRPr="00193326" w:rsidRDefault="0062116D" w:rsidP="0062116D">
      <w:pPr>
        <w:pStyle w:val="Textoindependiente"/>
        <w:contextualSpacing/>
        <w:jc w:val="both"/>
        <w:rPr>
          <w:rFonts w:eastAsia="Times New Roman" w:cs="Arial"/>
          <w:sz w:val="20"/>
          <w:szCs w:val="20"/>
          <w:lang w:val="es-ES_tradnl" w:eastAsia="es-MX"/>
        </w:rPr>
      </w:pPr>
    </w:p>
    <w:p w14:paraId="6B2E85DA" w14:textId="77777777" w:rsidR="0062116D" w:rsidRPr="00193326" w:rsidRDefault="0062116D" w:rsidP="0062116D">
      <w:pPr>
        <w:pStyle w:val="Textoindependiente"/>
        <w:contextualSpacing/>
        <w:jc w:val="both"/>
        <w:rPr>
          <w:rFonts w:eastAsia="Times New Roman" w:cs="Arial"/>
          <w:bCs/>
          <w:sz w:val="20"/>
          <w:szCs w:val="20"/>
          <w:lang w:val="es-ES_tradnl" w:eastAsia="es-MX" w:bidi="es-ES"/>
        </w:rPr>
      </w:pPr>
      <w:r w:rsidRPr="00193326">
        <w:rPr>
          <w:rFonts w:eastAsia="Times New Roman" w:cs="Arial"/>
          <w:sz w:val="20"/>
          <w:szCs w:val="20"/>
          <w:lang w:val="es-ES_tradnl" w:eastAsia="es-MX"/>
        </w:rPr>
        <w:t xml:space="preserve">[…] </w:t>
      </w:r>
      <w:r w:rsidRPr="00193326">
        <w:rPr>
          <w:rFonts w:eastAsia="Times New Roman" w:cs="Arial"/>
          <w:bCs/>
          <w:sz w:val="20"/>
          <w:szCs w:val="20"/>
          <w:lang w:val="es-ES_tradnl" w:eastAsia="es-MX" w:bidi="es-ES"/>
        </w:rPr>
        <w:t xml:space="preserve">En especial, señala la Ley que los criterios habilitantes que determine la Entidad deberán ser </w:t>
      </w:r>
      <w:r w:rsidRPr="00193326">
        <w:rPr>
          <w:rFonts w:eastAsia="Times New Roman" w:cs="Arial"/>
          <w:bCs/>
          <w:i/>
          <w:iCs/>
          <w:sz w:val="20"/>
          <w:szCs w:val="20"/>
          <w:lang w:val="es-ES_tradnl" w:eastAsia="es-MX" w:bidi="es-ES"/>
        </w:rPr>
        <w:t>adecuados y proporcionales</w:t>
      </w:r>
      <w:r w:rsidRPr="00193326">
        <w:rPr>
          <w:rFonts w:eastAsia="Times New Roman" w:cs="Arial"/>
          <w:bCs/>
          <w:sz w:val="20"/>
          <w:szCs w:val="20"/>
          <w:lang w:val="es-ES_tradnl" w:eastAsia="es-MX" w:bidi="es-ES"/>
        </w:rPr>
        <w:t xml:space="preserve"> a la naturaleza del contrato a suscribir y a su valor. De esta manera, las condiciones habilitantes que no resulten adecuadas para determinar la idoneidad o capacidad del proponente para cumplir con el objeto del contrato, o que sean desproporcionados frente a este, serán contrarias al deber de selección objetiva.</w:t>
      </w:r>
      <w:r w:rsidRPr="00193326">
        <w:rPr>
          <w:rFonts w:eastAsia="Times New Roman" w:cs="Arial"/>
          <w:sz w:val="20"/>
          <w:szCs w:val="20"/>
          <w:lang w:val="es-ES_tradnl" w:eastAsia="es-MX"/>
        </w:rPr>
        <w:t xml:space="preserve"> </w:t>
      </w:r>
      <w:r w:rsidRPr="00193326">
        <w:rPr>
          <w:rFonts w:eastAsia="Times New Roman" w:cs="Arial"/>
          <w:sz w:val="20"/>
          <w:szCs w:val="20"/>
          <w:lang w:eastAsia="es-MX"/>
        </w:rPr>
        <w:t>[…]</w:t>
      </w:r>
    </w:p>
    <w:p w14:paraId="72D1FF9E" w14:textId="77777777" w:rsidR="0062116D" w:rsidRDefault="0062116D" w:rsidP="0062116D">
      <w:pPr>
        <w:spacing w:after="0" w:line="240" w:lineRule="auto"/>
        <w:rPr>
          <w:rFonts w:ascii="Verdana" w:hAnsi="Verdana"/>
        </w:rPr>
      </w:pPr>
    </w:p>
    <w:p w14:paraId="7D484150" w14:textId="77777777" w:rsidR="0062116D" w:rsidRPr="0076474D" w:rsidRDefault="0062116D" w:rsidP="0062116D">
      <w:pPr>
        <w:spacing w:after="0" w:line="240" w:lineRule="auto"/>
        <w:rPr>
          <w:rFonts w:ascii="Verdana" w:hAnsi="Verdana"/>
          <w:b/>
        </w:rPr>
      </w:pPr>
      <w:r w:rsidRPr="0076474D">
        <w:rPr>
          <w:rFonts w:ascii="Verdana" w:eastAsia="Calibri" w:hAnsi="Verdana" w:cs="Arial"/>
          <w:b/>
          <w:lang w:val="es-ES" w:eastAsia="es-ES_tradnl"/>
        </w:rPr>
        <w:t>ESTABLECIMIENTO DE COMERCIO – Definición – Requisito habilitante</w:t>
      </w:r>
    </w:p>
    <w:p w14:paraId="57FE9013" w14:textId="77777777" w:rsidR="0062116D" w:rsidRDefault="0062116D" w:rsidP="0062116D">
      <w:pPr>
        <w:spacing w:after="0" w:line="240" w:lineRule="auto"/>
        <w:rPr>
          <w:rFonts w:ascii="Verdana" w:hAnsi="Verdana"/>
        </w:rPr>
      </w:pPr>
    </w:p>
    <w:p w14:paraId="5BEA0609" w14:textId="77777777" w:rsidR="0062116D" w:rsidRPr="00193326" w:rsidRDefault="0062116D" w:rsidP="0062116D">
      <w:pPr>
        <w:spacing w:after="0" w:line="240" w:lineRule="auto"/>
        <w:jc w:val="both"/>
        <w:rPr>
          <w:rFonts w:ascii="Verdana" w:hAnsi="Verdana"/>
          <w:sz w:val="20"/>
          <w:szCs w:val="20"/>
        </w:rPr>
      </w:pPr>
      <w:r w:rsidRPr="00193326">
        <w:rPr>
          <w:rFonts w:ascii="Verdana" w:hAnsi="Verdana"/>
          <w:sz w:val="20"/>
          <w:szCs w:val="20"/>
        </w:rPr>
        <w:t xml:space="preserve">El establecimiento de comercio es el instrumento del que se vale el empresario para cumplir los fines de su empresa y por medio del cual se realiza la actividad organizada. La doctrina lo define como el conjunto de bienes materiales e inmateriales organizados para una finalidad económica en el que la organización adquiere un significado fundamental como factor aglutinante de los elementos que integran la hacienda, </w:t>
      </w:r>
      <w:r w:rsidRPr="00193326">
        <w:rPr>
          <w:rFonts w:ascii="Verdana" w:hAnsi="Verdana"/>
          <w:sz w:val="20"/>
          <w:szCs w:val="20"/>
        </w:rPr>
        <w:lastRenderedPageBreak/>
        <w:t>teniendo en cuenta la función económica a la que están destinados todos: la producción o distribución de bienes y servicios en el mercado.</w:t>
      </w:r>
    </w:p>
    <w:p w14:paraId="3BF67F01" w14:textId="77777777" w:rsidR="0062116D" w:rsidRPr="00193326" w:rsidRDefault="0062116D" w:rsidP="0062116D">
      <w:pPr>
        <w:spacing w:after="0" w:line="240" w:lineRule="auto"/>
        <w:jc w:val="both"/>
        <w:rPr>
          <w:rFonts w:ascii="Verdana" w:hAnsi="Verdana"/>
          <w:sz w:val="20"/>
          <w:szCs w:val="20"/>
        </w:rPr>
      </w:pPr>
    </w:p>
    <w:p w14:paraId="2F9B823C" w14:textId="14138C41" w:rsidR="0062116D" w:rsidRDefault="00417621" w:rsidP="0062116D">
      <w:pPr>
        <w:spacing w:after="0" w:line="240" w:lineRule="auto"/>
        <w:jc w:val="both"/>
        <w:rPr>
          <w:rFonts w:ascii="Verdana" w:hAnsi="Verdana"/>
        </w:rPr>
      </w:pPr>
      <w:r w:rsidRPr="00417621">
        <w:rPr>
          <w:rFonts w:ascii="Verdana" w:hAnsi="Verdana"/>
          <w:sz w:val="20"/>
          <w:szCs w:val="20"/>
        </w:rPr>
        <w:t>En este contexto, en principio no se advierte la viabilidad de exigir la existencia de un establecimiento de comercio o “local” propio como condición habilitante para la ejecución de un contrato estatal. No obstante, debido a que la entidad cuenta con discrecionalidad para determinar los requisitos habilitantes, resulta indispensable analizar dicho requerimiento a la luz de las condiciones técnicas específicas del contrato y si constituye un requisito estrictamente indispensable para garantizar el adecuado desarrollo del objeto contractual y la correcta prestación del servicio.</w:t>
      </w:r>
    </w:p>
    <w:p w14:paraId="7BE0020C" w14:textId="77777777" w:rsidR="0062116D" w:rsidRDefault="0062116D" w:rsidP="0062116D">
      <w:pPr>
        <w:spacing w:after="0" w:line="240" w:lineRule="auto"/>
        <w:jc w:val="both"/>
        <w:rPr>
          <w:rFonts w:ascii="Verdana" w:hAnsi="Verdana"/>
        </w:rPr>
      </w:pPr>
    </w:p>
    <w:p w14:paraId="5BBB86C9" w14:textId="77777777" w:rsidR="0062116D" w:rsidRDefault="0062116D" w:rsidP="0062116D">
      <w:pPr>
        <w:spacing w:after="0" w:line="240" w:lineRule="auto"/>
        <w:jc w:val="both"/>
        <w:rPr>
          <w:rFonts w:ascii="Verdana" w:hAnsi="Verdana"/>
        </w:rPr>
      </w:pPr>
    </w:p>
    <w:p w14:paraId="2767ADFB" w14:textId="77777777" w:rsidR="0062116D" w:rsidRDefault="0062116D" w:rsidP="00192922">
      <w:pPr>
        <w:spacing w:after="0" w:line="240" w:lineRule="auto"/>
        <w:jc w:val="both"/>
        <w:rPr>
          <w:rFonts w:ascii="Verdana" w:hAnsi="Verdana"/>
        </w:rPr>
      </w:pPr>
    </w:p>
    <w:p w14:paraId="04A91056" w14:textId="77777777" w:rsidR="0062116D" w:rsidRDefault="0062116D" w:rsidP="00192922">
      <w:pPr>
        <w:spacing w:after="0" w:line="240" w:lineRule="auto"/>
        <w:jc w:val="both"/>
        <w:rPr>
          <w:rFonts w:ascii="Verdana" w:hAnsi="Verdana"/>
        </w:rPr>
      </w:pPr>
    </w:p>
    <w:p w14:paraId="27096C41" w14:textId="77777777" w:rsidR="0062116D" w:rsidRDefault="0062116D" w:rsidP="00192922">
      <w:pPr>
        <w:spacing w:after="0" w:line="240" w:lineRule="auto"/>
        <w:jc w:val="both"/>
        <w:rPr>
          <w:rFonts w:ascii="Verdana" w:hAnsi="Verdana"/>
        </w:rPr>
      </w:pPr>
    </w:p>
    <w:p w14:paraId="7838A4D7" w14:textId="77777777" w:rsidR="0062116D" w:rsidRDefault="0062116D" w:rsidP="00192922">
      <w:pPr>
        <w:spacing w:after="0" w:line="240" w:lineRule="auto"/>
        <w:jc w:val="both"/>
        <w:rPr>
          <w:rFonts w:ascii="Verdana" w:hAnsi="Verdana"/>
        </w:rPr>
      </w:pPr>
    </w:p>
    <w:p w14:paraId="41D02AF8" w14:textId="77777777" w:rsidR="0062116D" w:rsidRDefault="0062116D" w:rsidP="00192922">
      <w:pPr>
        <w:spacing w:after="0" w:line="240" w:lineRule="auto"/>
        <w:jc w:val="both"/>
        <w:rPr>
          <w:rFonts w:ascii="Verdana" w:hAnsi="Verdana"/>
        </w:rPr>
      </w:pPr>
    </w:p>
    <w:p w14:paraId="172FF6CE" w14:textId="77777777" w:rsidR="0062116D" w:rsidRDefault="0062116D" w:rsidP="00192922">
      <w:pPr>
        <w:spacing w:after="0" w:line="240" w:lineRule="auto"/>
        <w:jc w:val="both"/>
        <w:rPr>
          <w:rFonts w:ascii="Verdana" w:hAnsi="Verdana"/>
        </w:rPr>
      </w:pPr>
    </w:p>
    <w:p w14:paraId="1AADC9EA" w14:textId="77777777" w:rsidR="0062116D" w:rsidRDefault="0062116D" w:rsidP="00192922">
      <w:pPr>
        <w:spacing w:after="0" w:line="240" w:lineRule="auto"/>
        <w:jc w:val="both"/>
        <w:rPr>
          <w:rFonts w:ascii="Verdana" w:hAnsi="Verdana"/>
        </w:rPr>
      </w:pPr>
    </w:p>
    <w:p w14:paraId="4D65DDCF" w14:textId="77777777" w:rsidR="0062116D" w:rsidRDefault="0062116D" w:rsidP="00192922">
      <w:pPr>
        <w:spacing w:after="0" w:line="240" w:lineRule="auto"/>
        <w:jc w:val="both"/>
        <w:rPr>
          <w:rFonts w:ascii="Verdana" w:hAnsi="Verdana"/>
        </w:rPr>
      </w:pPr>
    </w:p>
    <w:p w14:paraId="58644301" w14:textId="77777777" w:rsidR="0062116D" w:rsidRDefault="0062116D" w:rsidP="00192922">
      <w:pPr>
        <w:spacing w:after="0" w:line="240" w:lineRule="auto"/>
        <w:jc w:val="both"/>
        <w:rPr>
          <w:rFonts w:ascii="Verdana" w:hAnsi="Verdana"/>
        </w:rPr>
      </w:pPr>
    </w:p>
    <w:p w14:paraId="463F5497" w14:textId="77777777" w:rsidR="0062116D" w:rsidRDefault="0062116D" w:rsidP="00192922">
      <w:pPr>
        <w:spacing w:after="0" w:line="240" w:lineRule="auto"/>
        <w:jc w:val="both"/>
        <w:rPr>
          <w:rFonts w:ascii="Verdana" w:hAnsi="Verdana"/>
        </w:rPr>
      </w:pPr>
    </w:p>
    <w:p w14:paraId="4D1DC447" w14:textId="77777777" w:rsidR="0062116D" w:rsidRDefault="0062116D" w:rsidP="00192922">
      <w:pPr>
        <w:spacing w:after="0" w:line="240" w:lineRule="auto"/>
        <w:jc w:val="both"/>
        <w:rPr>
          <w:rFonts w:ascii="Verdana" w:hAnsi="Verdana"/>
        </w:rPr>
      </w:pPr>
    </w:p>
    <w:p w14:paraId="344DE2FF" w14:textId="77777777" w:rsidR="0062116D" w:rsidRDefault="0062116D" w:rsidP="00192922">
      <w:pPr>
        <w:spacing w:after="0" w:line="240" w:lineRule="auto"/>
        <w:jc w:val="both"/>
        <w:rPr>
          <w:rFonts w:ascii="Verdana" w:hAnsi="Verdana"/>
        </w:rPr>
      </w:pPr>
    </w:p>
    <w:p w14:paraId="3C0FE9E7" w14:textId="77777777" w:rsidR="0062116D" w:rsidRDefault="0062116D" w:rsidP="00192922">
      <w:pPr>
        <w:spacing w:after="0" w:line="240" w:lineRule="auto"/>
        <w:jc w:val="both"/>
        <w:rPr>
          <w:rFonts w:ascii="Verdana" w:hAnsi="Verdana"/>
        </w:rPr>
      </w:pPr>
    </w:p>
    <w:p w14:paraId="464A2800" w14:textId="77777777" w:rsidR="0062116D" w:rsidRDefault="0062116D" w:rsidP="00192922">
      <w:pPr>
        <w:spacing w:after="0" w:line="240" w:lineRule="auto"/>
        <w:jc w:val="both"/>
        <w:rPr>
          <w:rFonts w:ascii="Verdana" w:hAnsi="Verdana"/>
        </w:rPr>
      </w:pPr>
    </w:p>
    <w:p w14:paraId="2014182A" w14:textId="77777777" w:rsidR="0062116D" w:rsidRDefault="0062116D" w:rsidP="00192922">
      <w:pPr>
        <w:spacing w:after="0" w:line="240" w:lineRule="auto"/>
        <w:jc w:val="both"/>
        <w:rPr>
          <w:rFonts w:ascii="Verdana" w:hAnsi="Verdana"/>
        </w:rPr>
      </w:pPr>
    </w:p>
    <w:p w14:paraId="352483B7" w14:textId="77777777" w:rsidR="0062116D" w:rsidRDefault="0062116D" w:rsidP="00192922">
      <w:pPr>
        <w:spacing w:after="0" w:line="240" w:lineRule="auto"/>
        <w:jc w:val="both"/>
        <w:rPr>
          <w:rFonts w:ascii="Verdana" w:hAnsi="Verdana"/>
        </w:rPr>
      </w:pPr>
    </w:p>
    <w:p w14:paraId="5A3EF579" w14:textId="77777777" w:rsidR="0062116D" w:rsidRDefault="0062116D" w:rsidP="00192922">
      <w:pPr>
        <w:spacing w:after="0" w:line="240" w:lineRule="auto"/>
        <w:jc w:val="both"/>
        <w:rPr>
          <w:rFonts w:ascii="Verdana" w:hAnsi="Verdana"/>
        </w:rPr>
      </w:pPr>
    </w:p>
    <w:p w14:paraId="3405E15B" w14:textId="77777777" w:rsidR="0062116D" w:rsidRDefault="0062116D" w:rsidP="00192922">
      <w:pPr>
        <w:spacing w:after="0" w:line="240" w:lineRule="auto"/>
        <w:jc w:val="both"/>
        <w:rPr>
          <w:rFonts w:ascii="Verdana" w:hAnsi="Verdana"/>
        </w:rPr>
      </w:pPr>
    </w:p>
    <w:p w14:paraId="6DA10460" w14:textId="77777777" w:rsidR="0062116D" w:rsidRDefault="0062116D" w:rsidP="00192922">
      <w:pPr>
        <w:spacing w:after="0" w:line="240" w:lineRule="auto"/>
        <w:jc w:val="both"/>
        <w:rPr>
          <w:rFonts w:ascii="Verdana" w:hAnsi="Verdana"/>
        </w:rPr>
      </w:pPr>
    </w:p>
    <w:p w14:paraId="723AA16C" w14:textId="77777777" w:rsidR="0062116D" w:rsidRDefault="0062116D" w:rsidP="00192922">
      <w:pPr>
        <w:spacing w:after="0" w:line="240" w:lineRule="auto"/>
        <w:jc w:val="both"/>
        <w:rPr>
          <w:rFonts w:ascii="Verdana" w:hAnsi="Verdana"/>
        </w:rPr>
      </w:pPr>
    </w:p>
    <w:p w14:paraId="62073177" w14:textId="77777777" w:rsidR="0062116D" w:rsidRDefault="0062116D" w:rsidP="00192922">
      <w:pPr>
        <w:spacing w:after="0" w:line="240" w:lineRule="auto"/>
        <w:jc w:val="both"/>
        <w:rPr>
          <w:rFonts w:ascii="Verdana" w:hAnsi="Verdana"/>
        </w:rPr>
      </w:pPr>
    </w:p>
    <w:p w14:paraId="59F0257A" w14:textId="77777777" w:rsidR="0062116D" w:rsidRDefault="0062116D" w:rsidP="00192922">
      <w:pPr>
        <w:spacing w:after="0" w:line="240" w:lineRule="auto"/>
        <w:jc w:val="both"/>
        <w:rPr>
          <w:rFonts w:ascii="Verdana" w:hAnsi="Verdana"/>
        </w:rPr>
      </w:pPr>
    </w:p>
    <w:p w14:paraId="18B6B8C9" w14:textId="77777777" w:rsidR="0062116D" w:rsidRDefault="0062116D" w:rsidP="00192922">
      <w:pPr>
        <w:spacing w:after="0" w:line="240" w:lineRule="auto"/>
        <w:jc w:val="both"/>
        <w:rPr>
          <w:rFonts w:ascii="Verdana" w:hAnsi="Verdana"/>
        </w:rPr>
      </w:pPr>
    </w:p>
    <w:p w14:paraId="6A3F9AC6" w14:textId="77777777" w:rsidR="0062116D" w:rsidRDefault="0062116D" w:rsidP="00192922">
      <w:pPr>
        <w:spacing w:after="0" w:line="240" w:lineRule="auto"/>
        <w:jc w:val="both"/>
        <w:rPr>
          <w:rFonts w:ascii="Verdana" w:hAnsi="Verdana"/>
        </w:rPr>
      </w:pPr>
    </w:p>
    <w:p w14:paraId="10BA49B5" w14:textId="77777777" w:rsidR="0062116D" w:rsidRDefault="0062116D" w:rsidP="00192922">
      <w:pPr>
        <w:spacing w:after="0" w:line="240" w:lineRule="auto"/>
        <w:jc w:val="both"/>
        <w:rPr>
          <w:rFonts w:ascii="Verdana" w:hAnsi="Verdana"/>
        </w:rPr>
      </w:pPr>
    </w:p>
    <w:p w14:paraId="027227D6" w14:textId="77777777" w:rsidR="0062116D" w:rsidRDefault="0062116D" w:rsidP="00192922">
      <w:pPr>
        <w:spacing w:after="0" w:line="240" w:lineRule="auto"/>
        <w:jc w:val="both"/>
        <w:rPr>
          <w:rFonts w:ascii="Verdana" w:hAnsi="Verdana"/>
        </w:rPr>
      </w:pPr>
    </w:p>
    <w:p w14:paraId="314C0987" w14:textId="77777777" w:rsidR="00AF50E2" w:rsidRDefault="00AF50E2" w:rsidP="00192922">
      <w:pPr>
        <w:spacing w:after="0" w:line="240" w:lineRule="auto"/>
        <w:jc w:val="both"/>
        <w:rPr>
          <w:rFonts w:ascii="Verdana" w:hAnsi="Verdana"/>
        </w:rPr>
      </w:pPr>
    </w:p>
    <w:p w14:paraId="688FC235" w14:textId="77777777" w:rsidR="0062116D" w:rsidRDefault="0062116D" w:rsidP="00192922">
      <w:pPr>
        <w:spacing w:after="0" w:line="240" w:lineRule="auto"/>
        <w:jc w:val="both"/>
        <w:rPr>
          <w:rFonts w:ascii="Verdana" w:hAnsi="Verdana"/>
        </w:rPr>
      </w:pPr>
    </w:p>
    <w:p w14:paraId="06A4B8AA" w14:textId="77777777" w:rsidR="0062116D" w:rsidRDefault="0062116D" w:rsidP="00192922">
      <w:pPr>
        <w:spacing w:after="0" w:line="240" w:lineRule="auto"/>
        <w:jc w:val="both"/>
        <w:rPr>
          <w:rFonts w:ascii="Verdana" w:hAnsi="Verdana"/>
        </w:rPr>
      </w:pPr>
    </w:p>
    <w:p w14:paraId="3B4ABD70" w14:textId="77777777" w:rsidR="0062116D" w:rsidRDefault="0062116D" w:rsidP="00192922">
      <w:pPr>
        <w:spacing w:after="0" w:line="240" w:lineRule="auto"/>
        <w:jc w:val="both"/>
        <w:rPr>
          <w:rFonts w:ascii="Verdana" w:hAnsi="Verdana"/>
        </w:rPr>
      </w:pPr>
    </w:p>
    <w:p w14:paraId="236A74C2" w14:textId="4B3456DD" w:rsidR="00192922" w:rsidRDefault="00AF50E2" w:rsidP="00192922">
      <w:pPr>
        <w:spacing w:after="0" w:line="240" w:lineRule="auto"/>
        <w:jc w:val="both"/>
        <w:rPr>
          <w:rFonts w:ascii="Verdana" w:hAnsi="Verdana"/>
        </w:rPr>
      </w:pPr>
      <w:bookmarkStart w:id="0" w:name="_Hlk197462763"/>
      <w:bookmarkStart w:id="1" w:name="_Hlk197529996"/>
      <w:r w:rsidRPr="00AF50E2">
        <w:rPr>
          <w:rFonts w:ascii="Verdana" w:hAnsi="Verdana"/>
        </w:rPr>
        <w:lastRenderedPageBreak/>
        <w:t xml:space="preserve">Bogotá D.C., </w:t>
      </w:r>
      <w:r w:rsidR="00444113">
        <w:rPr>
          <w:rFonts w:ascii="Verdana" w:hAnsi="Verdana"/>
        </w:rPr>
        <w:t>11</w:t>
      </w:r>
      <w:r w:rsidRPr="00AF50E2">
        <w:rPr>
          <w:rFonts w:ascii="Verdana" w:hAnsi="Verdana"/>
        </w:rPr>
        <w:t xml:space="preserve"> de </w:t>
      </w:r>
      <w:r w:rsidR="00444113">
        <w:rPr>
          <w:rFonts w:ascii="Verdana" w:hAnsi="Verdana"/>
        </w:rPr>
        <w:t>Junio</w:t>
      </w:r>
      <w:r w:rsidRPr="00AF50E2">
        <w:rPr>
          <w:rFonts w:ascii="Verdana" w:hAnsi="Verdana"/>
        </w:rPr>
        <w:t xml:space="preserve"> de </w:t>
      </w:r>
      <w:r w:rsidR="00444113">
        <w:rPr>
          <w:rFonts w:ascii="Verdana" w:hAnsi="Verdana"/>
        </w:rPr>
        <w:t xml:space="preserve">2026 </w:t>
      </w:r>
    </w:p>
    <w:p w14:paraId="28B6E974" w14:textId="77777777" w:rsidR="00444113" w:rsidRDefault="00444113" w:rsidP="00192922">
      <w:pPr>
        <w:spacing w:after="0" w:line="240" w:lineRule="auto"/>
        <w:jc w:val="both"/>
        <w:rPr>
          <w:rFonts w:ascii="Verdana" w:hAnsi="Verdana"/>
        </w:rPr>
      </w:pPr>
    </w:p>
    <w:p w14:paraId="45C38635" w14:textId="38530428" w:rsidR="00444113" w:rsidRDefault="00444113" w:rsidP="00444113">
      <w:pPr>
        <w:spacing w:after="0" w:line="240" w:lineRule="auto"/>
        <w:jc w:val="right"/>
        <w:rPr>
          <w:rFonts w:ascii="Verdana" w:eastAsia="Calibri" w:hAnsi="Verdana" w:cs="Arial"/>
          <w:lang w:eastAsia="es-ES"/>
        </w:rPr>
      </w:pPr>
      <w:r w:rsidRPr="00444113">
        <w:rPr>
          <w:rFonts w:ascii="Verdana" w:eastAsia="Calibri" w:hAnsi="Verdana" w:cs="Arial"/>
          <w:noProof/>
          <w:lang w:eastAsia="es-ES"/>
        </w:rPr>
        <w:drawing>
          <wp:inline distT="0" distB="0" distL="0" distR="0" wp14:anchorId="63D354D6" wp14:editId="5D8FF4A1">
            <wp:extent cx="1847002" cy="755374"/>
            <wp:effectExtent l="0" t="0" r="1270" b="6985"/>
            <wp:docPr id="3110895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089548" name=""/>
                    <pic:cNvPicPr/>
                  </pic:nvPicPr>
                  <pic:blipFill>
                    <a:blip r:embed="rId11"/>
                    <a:stretch>
                      <a:fillRect/>
                    </a:stretch>
                  </pic:blipFill>
                  <pic:spPr>
                    <a:xfrm>
                      <a:off x="0" y="0"/>
                      <a:ext cx="1922101" cy="786088"/>
                    </a:xfrm>
                    <a:prstGeom prst="rect">
                      <a:avLst/>
                    </a:prstGeom>
                  </pic:spPr>
                </pic:pic>
              </a:graphicData>
            </a:graphic>
          </wp:inline>
        </w:drawing>
      </w:r>
    </w:p>
    <w:p w14:paraId="460DEF92" w14:textId="6483697D" w:rsidR="00192922" w:rsidRDefault="00192922" w:rsidP="00192922">
      <w:pPr>
        <w:spacing w:after="0" w:line="240" w:lineRule="auto"/>
        <w:jc w:val="both"/>
        <w:rPr>
          <w:rFonts w:ascii="Verdana" w:eastAsia="Calibri" w:hAnsi="Verdana" w:cs="Arial"/>
          <w:lang w:eastAsia="es-ES"/>
        </w:rPr>
      </w:pPr>
    </w:p>
    <w:p w14:paraId="1FAC9D9E" w14:textId="59DD641B" w:rsidR="00192922" w:rsidRPr="00417621" w:rsidRDefault="00192922" w:rsidP="00192922">
      <w:pPr>
        <w:spacing w:after="0" w:line="240" w:lineRule="auto"/>
        <w:jc w:val="both"/>
        <w:rPr>
          <w:rFonts w:ascii="Verdana" w:eastAsia="Calibri" w:hAnsi="Verdana" w:cs="Arial"/>
          <w:lang w:eastAsia="es-ES"/>
        </w:rPr>
      </w:pPr>
      <w:r w:rsidRPr="00417621">
        <w:rPr>
          <w:rFonts w:ascii="Verdana" w:eastAsia="Calibri" w:hAnsi="Verdana" w:cs="Arial"/>
          <w:lang w:eastAsia="es-ES"/>
        </w:rPr>
        <w:t>Señor</w:t>
      </w:r>
      <w:r w:rsidR="00AF50E2">
        <w:rPr>
          <w:rFonts w:ascii="Verdana" w:eastAsia="Calibri" w:hAnsi="Verdana" w:cs="Arial"/>
          <w:lang w:eastAsia="es-ES"/>
        </w:rPr>
        <w:t>es</w:t>
      </w:r>
    </w:p>
    <w:p w14:paraId="3C276741" w14:textId="772E006A" w:rsidR="00192922" w:rsidRPr="00AF50E2" w:rsidRDefault="00AF50E2" w:rsidP="00192922">
      <w:pPr>
        <w:spacing w:after="0" w:line="240" w:lineRule="auto"/>
        <w:jc w:val="both"/>
        <w:rPr>
          <w:rFonts w:ascii="Verdana" w:eastAsia="Calibri" w:hAnsi="Verdana" w:cs="Arial"/>
          <w:b/>
          <w:lang w:eastAsia="es-ES_tradnl"/>
        </w:rPr>
      </w:pPr>
      <w:r w:rsidRPr="00AF50E2">
        <w:rPr>
          <w:rFonts w:ascii="Verdana" w:eastAsia="Calibri" w:hAnsi="Verdana" w:cs="Arial"/>
          <w:b/>
          <w:lang w:eastAsia="es-ES_tradnl"/>
        </w:rPr>
        <w:t>Cámara de Comercio de Barrancabermeja</w:t>
      </w:r>
    </w:p>
    <w:p w14:paraId="67424A73" w14:textId="32FFEA64" w:rsidR="00417621" w:rsidRDefault="00417621" w:rsidP="00192922">
      <w:pPr>
        <w:spacing w:after="0" w:line="240" w:lineRule="auto"/>
        <w:jc w:val="both"/>
        <w:rPr>
          <w:rFonts w:ascii="Verdana" w:hAnsi="Verdana"/>
        </w:rPr>
      </w:pPr>
      <w:hyperlink r:id="rId12" w:history="1">
        <w:r w:rsidRPr="008A564D">
          <w:rPr>
            <w:rStyle w:val="Hipervnculo"/>
            <w:rFonts w:ascii="Verdana" w:hAnsi="Verdana"/>
          </w:rPr>
          <w:t>katherine.villalba@ccbarranca.org.co</w:t>
        </w:r>
      </w:hyperlink>
      <w:r w:rsidRPr="00417621">
        <w:rPr>
          <w:rFonts w:ascii="Verdana" w:hAnsi="Verdana"/>
        </w:rPr>
        <w:t xml:space="preserve"> </w:t>
      </w:r>
    </w:p>
    <w:p w14:paraId="7A013993" w14:textId="6B708D2C" w:rsidR="00417621" w:rsidRPr="00417621" w:rsidRDefault="00417621" w:rsidP="00417621">
      <w:pPr>
        <w:spacing w:after="0" w:line="240" w:lineRule="auto"/>
        <w:jc w:val="both"/>
        <w:rPr>
          <w:rFonts w:ascii="Verdana" w:hAnsi="Verdana"/>
        </w:rPr>
      </w:pPr>
      <w:hyperlink r:id="rId13" w:history="1">
        <w:r w:rsidRPr="008A564D">
          <w:rPr>
            <w:rStyle w:val="Hipervnculo"/>
            <w:rFonts w:ascii="Verdana" w:hAnsi="Verdana"/>
          </w:rPr>
          <w:t>notificaciones@ccbarranca.org.co</w:t>
        </w:r>
      </w:hyperlink>
      <w:r>
        <w:rPr>
          <w:rFonts w:ascii="Verdana" w:hAnsi="Verdana"/>
        </w:rPr>
        <w:t xml:space="preserve">  </w:t>
      </w:r>
    </w:p>
    <w:p w14:paraId="74709393" w14:textId="2DF7EDC3" w:rsidR="00192922" w:rsidRPr="00417621" w:rsidRDefault="00417621" w:rsidP="00192922">
      <w:pPr>
        <w:spacing w:after="0" w:line="240" w:lineRule="auto"/>
        <w:jc w:val="both"/>
        <w:rPr>
          <w:rFonts w:ascii="Verdana" w:eastAsia="Calibri" w:hAnsi="Verdana" w:cs="Arial"/>
          <w:bCs/>
          <w:lang w:eastAsia="es-ES_tradnl"/>
        </w:rPr>
      </w:pPr>
      <w:r>
        <w:rPr>
          <w:rFonts w:ascii="Verdana" w:eastAsia="Calibri" w:hAnsi="Verdana" w:cs="Arial"/>
          <w:bCs/>
          <w:lang w:eastAsia="es-ES_tradnl"/>
        </w:rPr>
        <w:t xml:space="preserve">Barrancabermeja, Santander </w:t>
      </w:r>
    </w:p>
    <w:p w14:paraId="1DDA55E1" w14:textId="77777777" w:rsidR="00192922" w:rsidRPr="005B4C57" w:rsidRDefault="00192922" w:rsidP="00192922">
      <w:pPr>
        <w:spacing w:after="0" w:line="240" w:lineRule="auto"/>
        <w:jc w:val="both"/>
        <w:rPr>
          <w:rFonts w:ascii="Verdana" w:eastAsia="Calibri" w:hAnsi="Verdana" w:cs="Arial"/>
          <w:b/>
          <w:bCs/>
          <w:color w:val="000000"/>
          <w:lang w:val="it-CH"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5670"/>
      </w:tblGrid>
      <w:tr w:rsidR="00192922" w:rsidRPr="002842E0" w14:paraId="02FFA8C1" w14:textId="77777777" w:rsidTr="00D61250">
        <w:trPr>
          <w:trHeight w:val="162"/>
        </w:trPr>
        <w:tc>
          <w:tcPr>
            <w:tcW w:w="3119" w:type="dxa"/>
          </w:tcPr>
          <w:p w14:paraId="5C1D6CBB" w14:textId="77777777" w:rsidR="00192922" w:rsidRPr="005B4C57" w:rsidRDefault="00192922" w:rsidP="00D61250">
            <w:pPr>
              <w:jc w:val="both"/>
              <w:rPr>
                <w:rFonts w:ascii="Verdana" w:eastAsia="Calibri" w:hAnsi="Verdana" w:cs="Arial"/>
                <w:b/>
                <w:bCs/>
                <w:color w:val="7030A0"/>
                <w:lang w:val="it-CH" w:eastAsia="es-ES_tradnl"/>
              </w:rPr>
            </w:pPr>
          </w:p>
        </w:tc>
        <w:tc>
          <w:tcPr>
            <w:tcW w:w="5670" w:type="dxa"/>
          </w:tcPr>
          <w:p w14:paraId="6FE13386" w14:textId="37F648DB" w:rsidR="00192922" w:rsidRPr="00801462" w:rsidRDefault="00192922" w:rsidP="00417621">
            <w:pPr>
              <w:jc w:val="both"/>
              <w:rPr>
                <w:rFonts w:ascii="Verdana" w:eastAsia="Calibri" w:hAnsi="Verdana" w:cs="Arial"/>
                <w:b/>
                <w:bCs/>
                <w:lang w:eastAsia="es-ES"/>
              </w:rPr>
            </w:pPr>
            <w:r w:rsidRPr="00083AB6">
              <w:rPr>
                <w:rFonts w:ascii="Verdana" w:eastAsia="Calibri" w:hAnsi="Verdana" w:cs="Arial"/>
                <w:b/>
                <w:bCs/>
                <w:lang w:eastAsia="es-ES"/>
              </w:rPr>
              <w:t xml:space="preserve">Concepto </w:t>
            </w:r>
            <w:r w:rsidR="00417621" w:rsidRPr="00417621">
              <w:rPr>
                <w:rFonts w:ascii="Verdana" w:eastAsia="Calibri" w:hAnsi="Verdana" w:cs="Arial"/>
                <w:b/>
                <w:bCs/>
                <w:lang w:eastAsia="es-ES"/>
              </w:rPr>
              <w:t>C-726</w:t>
            </w:r>
            <w:r w:rsidR="00417621">
              <w:rPr>
                <w:rFonts w:ascii="Verdana" w:eastAsia="Calibri" w:hAnsi="Verdana" w:cs="Arial"/>
                <w:b/>
                <w:bCs/>
                <w:lang w:eastAsia="es-ES"/>
              </w:rPr>
              <w:t xml:space="preserve"> de 2026 </w:t>
            </w:r>
          </w:p>
          <w:p w14:paraId="2D82839B" w14:textId="77777777" w:rsidR="00192922" w:rsidRPr="00801462" w:rsidRDefault="00192922" w:rsidP="00D61250">
            <w:pPr>
              <w:jc w:val="both"/>
              <w:rPr>
                <w:rFonts w:ascii="Verdana" w:eastAsia="Calibri" w:hAnsi="Verdana" w:cs="Arial"/>
                <w:b/>
                <w:bCs/>
                <w:color w:val="7030A0"/>
                <w:lang w:eastAsia="es-ES"/>
              </w:rPr>
            </w:pPr>
          </w:p>
        </w:tc>
      </w:tr>
      <w:tr w:rsidR="00192922" w:rsidRPr="002842E0" w14:paraId="2802DF36" w14:textId="77777777" w:rsidTr="00D61250">
        <w:trPr>
          <w:trHeight w:val="884"/>
        </w:trPr>
        <w:tc>
          <w:tcPr>
            <w:tcW w:w="3119" w:type="dxa"/>
          </w:tcPr>
          <w:p w14:paraId="24F9A69E" w14:textId="77777777" w:rsidR="00192922" w:rsidRPr="00801462" w:rsidRDefault="00192922" w:rsidP="00D61250">
            <w:pPr>
              <w:jc w:val="both"/>
              <w:rPr>
                <w:rFonts w:ascii="Verdana" w:eastAsia="Calibri" w:hAnsi="Verdana" w:cs="Arial"/>
                <w:color w:val="000000"/>
                <w:lang w:eastAsia="es-ES_tradnl"/>
              </w:rPr>
            </w:pPr>
            <w:r w:rsidRPr="00801462">
              <w:rPr>
                <w:rFonts w:ascii="Verdana" w:eastAsia="Calibri" w:hAnsi="Verdana" w:cs="Arial"/>
                <w:b/>
                <w:color w:val="000000"/>
                <w:lang w:eastAsia="es-ES_tradnl"/>
              </w:rPr>
              <w:t>Temas:</w:t>
            </w:r>
            <w:r w:rsidRPr="00801462">
              <w:rPr>
                <w:rFonts w:ascii="Verdana" w:eastAsia="Calibri" w:hAnsi="Verdana" w:cs="Arial"/>
                <w:color w:val="000000"/>
                <w:lang w:eastAsia="es-ES_tradnl"/>
              </w:rPr>
              <w:t xml:space="preserve">                   </w:t>
            </w:r>
          </w:p>
        </w:tc>
        <w:tc>
          <w:tcPr>
            <w:tcW w:w="5670" w:type="dxa"/>
          </w:tcPr>
          <w:p w14:paraId="1879BF37" w14:textId="77777777" w:rsidR="00192922" w:rsidRPr="00275B0F" w:rsidRDefault="00192922" w:rsidP="00D61250">
            <w:pPr>
              <w:spacing w:after="160" w:line="276" w:lineRule="auto"/>
              <w:contextualSpacing/>
              <w:jc w:val="both"/>
              <w:rPr>
                <w:rFonts w:ascii="Verdana" w:eastAsia="Calibri" w:hAnsi="Verdana" w:cs="Arial"/>
                <w:b/>
                <w:lang w:val="es-ES" w:eastAsia="es-ES_tradnl"/>
              </w:rPr>
            </w:pPr>
            <w:r w:rsidRPr="00275B0F">
              <w:rPr>
                <w:rFonts w:ascii="Verdana" w:eastAsia="Calibri" w:hAnsi="Verdana" w:cs="Arial"/>
                <w:bCs/>
                <w:lang w:val="es-ES"/>
              </w:rPr>
              <w:t xml:space="preserve">SELECCIÓN OBJETIVA ― Noción y factores de escogencia / REQUISITOS HABILITANTES ― Carácter enunciativo </w:t>
            </w:r>
            <w:r w:rsidRPr="00275B0F">
              <w:rPr>
                <w:rFonts w:ascii="Verdana" w:eastAsia="Calibri" w:hAnsi="Verdana" w:cs="Arial"/>
                <w:lang w:val="es-ES" w:eastAsia="es-ES_tradnl"/>
              </w:rPr>
              <w:t xml:space="preserve">– Proporcionalidad y adecuación </w:t>
            </w:r>
            <w:r w:rsidRPr="00275B0F">
              <w:rPr>
                <w:rFonts w:ascii="Verdana" w:eastAsia="Calibri" w:hAnsi="Verdana" w:cs="Arial"/>
                <w:bCs/>
                <w:lang w:val="es-ES"/>
              </w:rPr>
              <w:t>/</w:t>
            </w:r>
            <w:r w:rsidRPr="00275B0F">
              <w:rPr>
                <w:rFonts w:ascii="Verdana" w:eastAsia="Calibri" w:hAnsi="Verdana" w:cs="Arial"/>
                <w:b/>
                <w:lang w:val="es-ES" w:eastAsia="es-ES_tradnl"/>
              </w:rPr>
              <w:t xml:space="preserve"> </w:t>
            </w:r>
            <w:r w:rsidRPr="00275B0F">
              <w:rPr>
                <w:rFonts w:ascii="Verdana" w:eastAsia="Calibri" w:hAnsi="Verdana" w:cs="Arial"/>
                <w:bCs/>
                <w:lang w:val="es-ES" w:eastAsia="es-ES_tradnl"/>
              </w:rPr>
              <w:t xml:space="preserve">ESTABLECIMIENTO DE COMERCIO </w:t>
            </w:r>
            <w:r w:rsidRPr="00275B0F">
              <w:rPr>
                <w:rFonts w:ascii="Verdana" w:eastAsia="Calibri" w:hAnsi="Verdana" w:cs="Arial"/>
                <w:lang w:val="es-ES" w:eastAsia="es-ES_tradnl"/>
              </w:rPr>
              <w:t xml:space="preserve">– Definición – Requisito habilitante </w:t>
            </w:r>
          </w:p>
          <w:p w14:paraId="11A953DC" w14:textId="77777777" w:rsidR="00192922" w:rsidRPr="000C3A55" w:rsidRDefault="00192922" w:rsidP="00D61250">
            <w:pPr>
              <w:jc w:val="both"/>
              <w:rPr>
                <w:rFonts w:ascii="Verdana" w:eastAsia="Calibri" w:hAnsi="Verdana" w:cs="Arial"/>
                <w:lang w:val="es-ES" w:eastAsia="es-ES"/>
              </w:rPr>
            </w:pPr>
          </w:p>
        </w:tc>
      </w:tr>
      <w:tr w:rsidR="00192922" w:rsidRPr="002842E0" w14:paraId="38A69A44" w14:textId="77777777" w:rsidTr="00417621">
        <w:trPr>
          <w:trHeight w:val="580"/>
        </w:trPr>
        <w:tc>
          <w:tcPr>
            <w:tcW w:w="3119" w:type="dxa"/>
          </w:tcPr>
          <w:p w14:paraId="1139EE9D" w14:textId="77777777" w:rsidR="00192922" w:rsidRPr="00801462" w:rsidRDefault="00192922" w:rsidP="00D61250">
            <w:pPr>
              <w:jc w:val="both"/>
              <w:rPr>
                <w:rFonts w:ascii="Verdana" w:eastAsia="Calibri" w:hAnsi="Verdana" w:cs="Arial"/>
                <w:b/>
                <w:lang w:eastAsia="es-ES_tradnl"/>
              </w:rPr>
            </w:pPr>
            <w:r w:rsidRPr="00801462">
              <w:rPr>
                <w:rFonts w:ascii="Verdana" w:eastAsia="Calibri" w:hAnsi="Verdana" w:cs="Arial"/>
                <w:b/>
                <w:lang w:eastAsia="es-ES_tradnl"/>
              </w:rPr>
              <w:t>Radicación:</w:t>
            </w:r>
            <w:r w:rsidRPr="00801462">
              <w:rPr>
                <w:rFonts w:ascii="Verdana" w:eastAsia="Calibri" w:hAnsi="Verdana" w:cs="Arial"/>
                <w:lang w:eastAsia="es-ES_tradnl"/>
              </w:rPr>
              <w:t xml:space="preserve">               </w:t>
            </w:r>
          </w:p>
        </w:tc>
        <w:tc>
          <w:tcPr>
            <w:tcW w:w="5670" w:type="dxa"/>
          </w:tcPr>
          <w:p w14:paraId="7683C843" w14:textId="7FBDFDEF" w:rsidR="00192922" w:rsidRPr="00801462" w:rsidRDefault="00192922" w:rsidP="00D61250">
            <w:pPr>
              <w:jc w:val="both"/>
              <w:rPr>
                <w:rFonts w:ascii="Verdana" w:eastAsia="Calibri" w:hAnsi="Verdana" w:cs="Arial"/>
                <w:lang w:eastAsia="es-ES_tradnl"/>
              </w:rPr>
            </w:pPr>
            <w:r w:rsidRPr="00801462">
              <w:rPr>
                <w:rFonts w:ascii="Verdana" w:eastAsia="Calibri" w:hAnsi="Verdana" w:cs="Arial"/>
                <w:lang w:eastAsia="es-ES_tradnl"/>
              </w:rPr>
              <w:t xml:space="preserve">Respuesta a consulta con radicado </w:t>
            </w:r>
            <w:r w:rsidR="00417621" w:rsidRPr="00417621">
              <w:rPr>
                <w:rFonts w:ascii="Verdana" w:eastAsia="Calibri" w:hAnsi="Verdana" w:cs="Arial"/>
                <w:lang w:eastAsia="es-ES_tradnl"/>
              </w:rPr>
              <w:t>1_2026_04_30_005943</w:t>
            </w:r>
          </w:p>
        </w:tc>
      </w:tr>
    </w:tbl>
    <w:p w14:paraId="6A78FA24" w14:textId="77777777" w:rsidR="00192922" w:rsidRDefault="00192922" w:rsidP="00192922">
      <w:pPr>
        <w:spacing w:after="0" w:line="276" w:lineRule="auto"/>
        <w:jc w:val="both"/>
        <w:rPr>
          <w:rFonts w:ascii="Verdana" w:eastAsia="Calibri" w:hAnsi="Verdana" w:cs="Arial"/>
          <w:lang w:eastAsia="es-ES_tradnl"/>
        </w:rPr>
      </w:pPr>
    </w:p>
    <w:p w14:paraId="3E21364F" w14:textId="77777777" w:rsidR="00192922" w:rsidRDefault="00192922" w:rsidP="00192922">
      <w:pPr>
        <w:spacing w:after="0" w:line="276" w:lineRule="auto"/>
        <w:jc w:val="both"/>
        <w:rPr>
          <w:rFonts w:ascii="Verdana" w:eastAsia="Calibri" w:hAnsi="Verdana" w:cs="Arial"/>
          <w:lang w:eastAsia="es-ES_tradnl"/>
        </w:rPr>
      </w:pPr>
    </w:p>
    <w:p w14:paraId="1B2D3883" w14:textId="261E9D79" w:rsidR="00192922" w:rsidRPr="008E4F36" w:rsidRDefault="00192922" w:rsidP="00192922">
      <w:pPr>
        <w:spacing w:after="0" w:line="276" w:lineRule="auto"/>
        <w:jc w:val="both"/>
        <w:rPr>
          <w:rFonts w:ascii="Verdana" w:eastAsia="Calibri" w:hAnsi="Verdana" w:cs="Arial"/>
          <w:lang w:eastAsia="es-ES"/>
        </w:rPr>
      </w:pPr>
      <w:r w:rsidRPr="00083AB6">
        <w:rPr>
          <w:rFonts w:ascii="Verdana" w:eastAsia="Calibri" w:hAnsi="Verdana" w:cs="Arial"/>
          <w:lang w:eastAsia="es-ES"/>
        </w:rPr>
        <w:t>Estimado señor</w:t>
      </w:r>
      <w:r w:rsidR="00AF50E2">
        <w:rPr>
          <w:rFonts w:ascii="Verdana" w:eastAsia="Calibri" w:hAnsi="Verdana" w:cs="Arial"/>
          <w:lang w:eastAsia="es-ES"/>
        </w:rPr>
        <w:t>es</w:t>
      </w:r>
      <w:r>
        <w:rPr>
          <w:rFonts w:ascii="Verdana" w:eastAsia="Calibri" w:hAnsi="Verdana" w:cs="Arial"/>
          <w:lang w:eastAsia="es-ES"/>
        </w:rPr>
        <w:t>:</w:t>
      </w:r>
      <w:r w:rsidRPr="008E4F36">
        <w:rPr>
          <w:rFonts w:ascii="Verdana" w:eastAsia="Calibri" w:hAnsi="Verdana" w:cs="Arial"/>
          <w:lang w:eastAsia="es-ES"/>
        </w:rPr>
        <w:t xml:space="preserve"> </w:t>
      </w:r>
    </w:p>
    <w:p w14:paraId="30DDBBD4" w14:textId="77777777" w:rsidR="00192922" w:rsidRDefault="00192922" w:rsidP="00192922">
      <w:pPr>
        <w:tabs>
          <w:tab w:val="left" w:pos="3768"/>
        </w:tabs>
        <w:spacing w:after="0" w:line="240" w:lineRule="auto"/>
        <w:jc w:val="both"/>
        <w:rPr>
          <w:rFonts w:ascii="Verdana" w:eastAsia="Calibri" w:hAnsi="Verdana" w:cs="Arial"/>
          <w:lang w:eastAsia="es-ES"/>
        </w:rPr>
      </w:pPr>
    </w:p>
    <w:p w14:paraId="457B7D5F" w14:textId="1422E5ED" w:rsidR="00192922" w:rsidRPr="008E4F36" w:rsidRDefault="00192922" w:rsidP="00192922">
      <w:pPr>
        <w:tabs>
          <w:tab w:val="left" w:pos="3768"/>
        </w:tabs>
        <w:spacing w:after="0" w:line="276" w:lineRule="auto"/>
        <w:jc w:val="both"/>
        <w:rPr>
          <w:rFonts w:ascii="Verdana" w:eastAsia="Calibri" w:hAnsi="Verdana" w:cs="Arial"/>
          <w:lang w:eastAsia="es-ES"/>
        </w:rPr>
      </w:pPr>
      <w:r w:rsidRPr="000F2158">
        <w:rPr>
          <w:rFonts w:ascii="Verdana" w:eastAsia="Calibri" w:hAnsi="Verdana" w:cs="Arial"/>
          <w:lang w:eastAsia="es-ES"/>
        </w:rPr>
        <w:t xml:space="preserve">En ejercicio de la competencia otorgada por los artículos 3, numeral 5º, y 11, numeral 8º, del Decreto Ley 4170 de 2011, así como lo establecido en la Resolución </w:t>
      </w:r>
      <w:r>
        <w:rPr>
          <w:rFonts w:ascii="Verdana" w:eastAsia="Calibri" w:hAnsi="Verdana" w:cs="Arial"/>
          <w:lang w:eastAsia="es-ES"/>
        </w:rPr>
        <w:t>469 de 2025</w:t>
      </w:r>
      <w:r w:rsidRPr="000F2158">
        <w:rPr>
          <w:rFonts w:ascii="Verdana" w:eastAsia="Calibri" w:hAnsi="Verdana" w:cs="Arial"/>
          <w:lang w:eastAsia="es-ES"/>
        </w:rPr>
        <w:t xml:space="preserve"> expedida por esta Entidad, la Agencia Nacional de Contratación Pública – Colombia Compra Eficiente– responde su solicitud de consulta de fecha </w:t>
      </w:r>
      <w:r w:rsidR="00AF50E2">
        <w:rPr>
          <w:rFonts w:ascii="Verdana" w:eastAsia="Calibri" w:hAnsi="Verdana" w:cs="Arial"/>
          <w:lang w:eastAsia="es-ES"/>
        </w:rPr>
        <w:t>30</w:t>
      </w:r>
      <w:r w:rsidRPr="00AF6D58">
        <w:rPr>
          <w:rFonts w:ascii="Verdana" w:eastAsia="Calibri" w:hAnsi="Verdana" w:cs="Arial"/>
          <w:lang w:eastAsia="es-ES"/>
        </w:rPr>
        <w:t xml:space="preserve"> de </w:t>
      </w:r>
      <w:r w:rsidR="00AF50E2">
        <w:rPr>
          <w:rFonts w:ascii="Verdana" w:eastAsia="Calibri" w:hAnsi="Verdana" w:cs="Arial"/>
          <w:lang w:eastAsia="es-ES"/>
        </w:rPr>
        <w:t>abril</w:t>
      </w:r>
      <w:r w:rsidRPr="00AF6D58">
        <w:rPr>
          <w:rFonts w:ascii="Verdana" w:eastAsia="Calibri" w:hAnsi="Verdana" w:cs="Arial"/>
          <w:lang w:eastAsia="es-ES"/>
        </w:rPr>
        <w:t xml:space="preserve"> de 202</w:t>
      </w:r>
      <w:r w:rsidR="00AF50E2">
        <w:rPr>
          <w:rFonts w:ascii="Verdana" w:eastAsia="Calibri" w:hAnsi="Verdana" w:cs="Arial"/>
          <w:lang w:eastAsia="es-ES"/>
        </w:rPr>
        <w:t>6</w:t>
      </w:r>
      <w:r w:rsidRPr="00AF6D58">
        <w:rPr>
          <w:rFonts w:ascii="Verdana" w:eastAsia="Calibri" w:hAnsi="Verdana" w:cs="Arial"/>
          <w:lang w:eastAsia="es-ES"/>
        </w:rPr>
        <w:t>,</w:t>
      </w:r>
      <w:r w:rsidRPr="000F2158">
        <w:rPr>
          <w:rFonts w:ascii="Verdana" w:eastAsia="Calibri" w:hAnsi="Verdana" w:cs="Arial"/>
          <w:lang w:eastAsia="es-ES"/>
        </w:rPr>
        <w:t xml:space="preserve"> en la cual manifiesta lo siguiente:</w:t>
      </w:r>
    </w:p>
    <w:p w14:paraId="2D8578AF" w14:textId="77777777" w:rsidR="00192922" w:rsidRPr="008E4F36" w:rsidRDefault="00192922" w:rsidP="00192922">
      <w:pPr>
        <w:pStyle w:val="Prrafodelista"/>
        <w:tabs>
          <w:tab w:val="left" w:pos="142"/>
          <w:tab w:val="left" w:pos="284"/>
        </w:tabs>
        <w:spacing w:after="0" w:line="276" w:lineRule="auto"/>
        <w:ind w:left="142"/>
        <w:contextualSpacing w:val="0"/>
        <w:jc w:val="both"/>
        <w:rPr>
          <w:rFonts w:ascii="Verdana" w:eastAsia="Century Gothic" w:hAnsi="Verdana" w:cs="Century Gothic"/>
          <w:b/>
          <w:bCs/>
          <w:i/>
          <w:iCs/>
          <w:sz w:val="20"/>
          <w:szCs w:val="20"/>
        </w:rPr>
      </w:pPr>
    </w:p>
    <w:p w14:paraId="64183BB3" w14:textId="77777777" w:rsidR="00417621" w:rsidRPr="00417621" w:rsidRDefault="00192922" w:rsidP="00417621">
      <w:pPr>
        <w:spacing w:after="0" w:line="240" w:lineRule="auto"/>
        <w:ind w:left="709" w:right="709"/>
        <w:jc w:val="both"/>
        <w:rPr>
          <w:rFonts w:ascii="Verdana" w:eastAsia="Century Gothic" w:hAnsi="Verdana" w:cs="Century Gothic"/>
          <w:sz w:val="20"/>
          <w:szCs w:val="20"/>
        </w:rPr>
      </w:pPr>
      <w:r>
        <w:rPr>
          <w:rFonts w:ascii="Verdana" w:eastAsia="Century Gothic" w:hAnsi="Verdana" w:cs="Century Gothic"/>
          <w:sz w:val="20"/>
          <w:szCs w:val="20"/>
        </w:rPr>
        <w:t>“</w:t>
      </w:r>
      <w:r w:rsidR="00417621" w:rsidRPr="00417621">
        <w:rPr>
          <w:rFonts w:ascii="Verdana" w:eastAsia="Century Gothic" w:hAnsi="Verdana" w:cs="Century Gothic"/>
          <w:sz w:val="20"/>
          <w:szCs w:val="20"/>
        </w:rPr>
        <w:t>(…) solicito concepto sobre la siguiente situación en un proceso de contratación estatal:</w:t>
      </w:r>
    </w:p>
    <w:p w14:paraId="25A45574" w14:textId="2D280DB0" w:rsidR="00192922" w:rsidRPr="00732BE3" w:rsidRDefault="00417621" w:rsidP="00417621">
      <w:pPr>
        <w:spacing w:after="0" w:line="240" w:lineRule="auto"/>
        <w:ind w:left="709" w:right="709"/>
        <w:jc w:val="both"/>
        <w:rPr>
          <w:rFonts w:ascii="Verdana" w:eastAsia="Century Gothic" w:hAnsi="Verdana" w:cs="Century Gothic"/>
          <w:sz w:val="20"/>
          <w:szCs w:val="20"/>
        </w:rPr>
      </w:pPr>
      <w:r w:rsidRPr="00417621">
        <w:rPr>
          <w:rFonts w:ascii="Verdana" w:eastAsia="Century Gothic" w:hAnsi="Verdana" w:cs="Century Gothic"/>
          <w:sz w:val="20"/>
          <w:szCs w:val="20"/>
        </w:rPr>
        <w:t>El pliego de condiciones exige como requisito habilitante contar con “establecimiento de comercio en el departamento de</w:t>
      </w:r>
      <w:r>
        <w:rPr>
          <w:rFonts w:ascii="Verdana" w:eastAsia="Century Gothic" w:hAnsi="Verdana" w:cs="Century Gothic"/>
          <w:sz w:val="20"/>
          <w:szCs w:val="20"/>
        </w:rPr>
        <w:t xml:space="preserve"> </w:t>
      </w:r>
      <w:r w:rsidRPr="00417621">
        <w:rPr>
          <w:rFonts w:ascii="Verdana" w:eastAsia="Century Gothic" w:hAnsi="Verdana" w:cs="Century Gothic"/>
          <w:sz w:val="20"/>
          <w:szCs w:val="20"/>
        </w:rPr>
        <w:t xml:space="preserve">Cundinamarca”. No obstante, la sociedad cuenta con domicilio principal inscrito en dicho </w:t>
      </w:r>
      <w:r w:rsidRPr="00417621">
        <w:rPr>
          <w:rFonts w:ascii="Verdana" w:eastAsia="Century Gothic" w:hAnsi="Verdana" w:cs="Century Gothic"/>
          <w:sz w:val="20"/>
          <w:szCs w:val="20"/>
        </w:rPr>
        <w:lastRenderedPageBreak/>
        <w:t>departamento, pero no con</w:t>
      </w:r>
      <w:r>
        <w:rPr>
          <w:rFonts w:ascii="Verdana" w:eastAsia="Century Gothic" w:hAnsi="Verdana" w:cs="Century Gothic"/>
          <w:sz w:val="20"/>
          <w:szCs w:val="20"/>
        </w:rPr>
        <w:t xml:space="preserve"> </w:t>
      </w:r>
      <w:r w:rsidRPr="00417621">
        <w:rPr>
          <w:rFonts w:ascii="Verdana" w:eastAsia="Century Gothic" w:hAnsi="Verdana" w:cs="Century Gothic"/>
          <w:sz w:val="20"/>
          <w:szCs w:val="20"/>
        </w:rPr>
        <w:t>establecimiento de comercio registrado de manera independiente. (…)</w:t>
      </w:r>
      <w:r w:rsidR="00192922">
        <w:rPr>
          <w:rFonts w:ascii="Verdana" w:eastAsia="Century Gothic" w:hAnsi="Verdana" w:cs="Century Gothic"/>
          <w:sz w:val="20"/>
          <w:szCs w:val="20"/>
        </w:rPr>
        <w:t xml:space="preserve">”. </w:t>
      </w:r>
    </w:p>
    <w:p w14:paraId="2C6F14F7" w14:textId="77777777" w:rsidR="00192922" w:rsidRDefault="00192922" w:rsidP="00192922">
      <w:pPr>
        <w:spacing w:before="120" w:after="0" w:line="276" w:lineRule="auto"/>
        <w:ind w:firstLine="709"/>
        <w:jc w:val="both"/>
        <w:rPr>
          <w:rFonts w:ascii="Verdana" w:eastAsia="Calibri" w:hAnsi="Verdana" w:cs="Arial"/>
          <w:color w:val="000000"/>
          <w:szCs w:val="24"/>
          <w:lang w:eastAsia="es-ES_tradnl"/>
        </w:rPr>
      </w:pPr>
      <w:r w:rsidRPr="008E4F36">
        <w:rPr>
          <w:rFonts w:ascii="Verdana" w:eastAsia="Calibri" w:hAnsi="Verdana" w:cs="Arial"/>
          <w:color w:val="000000"/>
          <w:lang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p>
    <w:p w14:paraId="3C8408B2" w14:textId="77777777" w:rsidR="00192922" w:rsidRPr="00054383" w:rsidRDefault="00192922" w:rsidP="00192922">
      <w:pPr>
        <w:spacing w:before="120" w:after="0" w:line="276" w:lineRule="auto"/>
        <w:ind w:firstLine="709"/>
        <w:jc w:val="both"/>
        <w:rPr>
          <w:rFonts w:ascii="Verdana" w:eastAsia="Calibri" w:hAnsi="Verdana" w:cs="Arial"/>
          <w:color w:val="000000"/>
          <w:szCs w:val="24"/>
          <w:lang w:eastAsia="es-ES_tradnl"/>
        </w:rPr>
      </w:pPr>
      <w:r w:rsidRPr="008E4F36">
        <w:rPr>
          <w:rFonts w:ascii="Verdana" w:eastAsia="Calibri" w:hAnsi="Verdana" w:cs="Arial"/>
          <w:color w:val="000000"/>
          <w:lang w:eastAsia="es-ES"/>
        </w:rPr>
        <w:t xml:space="preserve">Conforme lo expuesto, en aras de garantizar el derecho fundamental de petición, se resolverá su petición dentro de los límites de la referida competencia consultiva, esto es, haciendo abstracción del caso particular y concreto señalado en su petición, pero señalando algunas consideraciones sobre las normas generales relacionadas </w:t>
      </w:r>
      <w:r w:rsidRPr="002975A0">
        <w:rPr>
          <w:rFonts w:ascii="Verdana" w:eastAsia="Calibri" w:hAnsi="Verdana" w:cs="Arial"/>
          <w:color w:val="000000"/>
          <w:lang w:eastAsia="es-ES"/>
        </w:rPr>
        <w:t xml:space="preserve">con </w:t>
      </w:r>
      <w:r>
        <w:rPr>
          <w:rFonts w:ascii="Verdana" w:eastAsia="Calibri" w:hAnsi="Verdana" w:cs="Arial"/>
          <w:color w:val="000000"/>
          <w:lang w:eastAsia="es-ES"/>
        </w:rPr>
        <w:t xml:space="preserve">el </w:t>
      </w:r>
      <w:r w:rsidRPr="002975A0">
        <w:rPr>
          <w:rFonts w:ascii="Verdana" w:eastAsia="Calibri" w:hAnsi="Verdana" w:cs="Arial"/>
          <w:color w:val="000000"/>
          <w:lang w:eastAsia="es-ES"/>
        </w:rPr>
        <w:t>problema jurídico de su consulta.</w:t>
      </w:r>
      <w:r w:rsidRPr="008E4F36">
        <w:rPr>
          <w:rFonts w:ascii="Verdana" w:eastAsia="Calibri" w:hAnsi="Verdana" w:cs="Arial"/>
          <w:color w:val="000000"/>
          <w:lang w:eastAsia="es-ES"/>
        </w:rPr>
        <w:t xml:space="preserve">  </w:t>
      </w:r>
    </w:p>
    <w:p w14:paraId="304E5AA6" w14:textId="77777777" w:rsidR="00192922" w:rsidRPr="008E4F36" w:rsidRDefault="00192922" w:rsidP="00192922">
      <w:pPr>
        <w:spacing w:after="0"/>
        <w:ind w:firstLine="709"/>
        <w:jc w:val="both"/>
        <w:rPr>
          <w:rFonts w:ascii="Verdana" w:eastAsia="Calibri" w:hAnsi="Verdana" w:cs="Arial"/>
          <w:color w:val="000000"/>
          <w:lang w:eastAsia="es-ES"/>
        </w:rPr>
      </w:pPr>
    </w:p>
    <w:p w14:paraId="48F85ECE" w14:textId="77777777" w:rsidR="00192922" w:rsidRDefault="00192922" w:rsidP="00192922">
      <w:pPr>
        <w:pStyle w:val="Prrafodelista"/>
        <w:numPr>
          <w:ilvl w:val="0"/>
          <w:numId w:val="1"/>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8E4F36">
        <w:rPr>
          <w:rFonts w:ascii="Verdana" w:eastAsia="Century Gothic" w:hAnsi="Verdana" w:cs="Century Gothic"/>
          <w:b/>
          <w:bCs/>
        </w:rPr>
        <w:t>Problema planteado:</w:t>
      </w:r>
    </w:p>
    <w:p w14:paraId="7B59F021" w14:textId="77777777" w:rsidR="00192922" w:rsidRDefault="00192922" w:rsidP="00192922">
      <w:pPr>
        <w:spacing w:after="0" w:line="276" w:lineRule="auto"/>
        <w:jc w:val="both"/>
        <w:rPr>
          <w:rFonts w:ascii="Verdana" w:eastAsia="Calibri" w:hAnsi="Verdana" w:cs="Arial"/>
          <w:color w:val="000000"/>
          <w:highlight w:val="yellow"/>
          <w:lang w:eastAsia="es-ES"/>
        </w:rPr>
      </w:pPr>
    </w:p>
    <w:p w14:paraId="6AF37C4E" w14:textId="6244CB2F" w:rsidR="00192922" w:rsidRDefault="00192922" w:rsidP="00192922">
      <w:pPr>
        <w:spacing w:after="0" w:line="276" w:lineRule="auto"/>
        <w:jc w:val="both"/>
        <w:rPr>
          <w:rFonts w:ascii="Verdana" w:eastAsia="Calibri" w:hAnsi="Verdana" w:cs="Arial"/>
          <w:color w:val="000000"/>
          <w:lang w:eastAsia="es-ES"/>
        </w:rPr>
      </w:pPr>
      <w:r w:rsidRPr="00005FE3">
        <w:rPr>
          <w:rFonts w:ascii="Verdana" w:eastAsia="Calibri" w:hAnsi="Verdana" w:cs="Arial"/>
          <w:color w:val="000000"/>
          <w:lang w:eastAsia="es-ES"/>
        </w:rPr>
        <w:t xml:space="preserve">De acuerdo con el contenido de su solicitud, esta Agencia resolverá </w:t>
      </w:r>
      <w:r>
        <w:rPr>
          <w:rFonts w:ascii="Verdana" w:eastAsia="Calibri" w:hAnsi="Verdana" w:cs="Arial"/>
          <w:color w:val="000000"/>
          <w:lang w:eastAsia="es-ES"/>
        </w:rPr>
        <w:t>el siguiente</w:t>
      </w:r>
      <w:r w:rsidRPr="00005FE3">
        <w:rPr>
          <w:rFonts w:ascii="Verdana" w:eastAsia="Calibri" w:hAnsi="Verdana" w:cs="Arial"/>
          <w:color w:val="000000"/>
          <w:lang w:eastAsia="es-ES"/>
        </w:rPr>
        <w:t xml:space="preserve"> problema jurídico: </w:t>
      </w:r>
      <w:r w:rsidR="00417621">
        <w:rPr>
          <w:rFonts w:ascii="Verdana" w:eastAsia="Calibri" w:hAnsi="Verdana" w:cs="Arial"/>
          <w:color w:val="000000"/>
          <w:lang w:eastAsia="es-ES"/>
        </w:rPr>
        <w:t xml:space="preserve">i. </w:t>
      </w:r>
      <w:r w:rsidR="00417621" w:rsidRPr="00417621">
        <w:rPr>
          <w:rFonts w:ascii="Verdana" w:eastAsia="Calibri" w:hAnsi="Verdana" w:cs="Arial"/>
          <w:color w:val="000000"/>
          <w:lang w:eastAsia="es-ES"/>
        </w:rPr>
        <w:t xml:space="preserve">¿Cuáles son los criterios normativos y los límites que el ordenamiento </w:t>
      </w:r>
      <w:r w:rsidR="00417621">
        <w:rPr>
          <w:rFonts w:ascii="Verdana" w:eastAsia="Calibri" w:hAnsi="Verdana" w:cs="Arial"/>
          <w:color w:val="000000"/>
          <w:lang w:eastAsia="es-ES"/>
        </w:rPr>
        <w:t xml:space="preserve">jurídico </w:t>
      </w:r>
      <w:r w:rsidR="00417621" w:rsidRPr="00417621">
        <w:rPr>
          <w:rFonts w:ascii="Verdana" w:eastAsia="Calibri" w:hAnsi="Verdana" w:cs="Arial"/>
          <w:color w:val="000000"/>
          <w:lang w:eastAsia="es-ES"/>
        </w:rPr>
        <w:t>impone a las entidades estatales para la determinación de los requisitos habilitantes en los procesos de selección de contratistas?</w:t>
      </w:r>
      <w:r w:rsidR="00417621">
        <w:rPr>
          <w:rFonts w:ascii="Verdana" w:eastAsia="Calibri" w:hAnsi="Verdana" w:cs="Arial"/>
          <w:color w:val="000000"/>
          <w:lang w:eastAsia="es-ES"/>
        </w:rPr>
        <w:t xml:space="preserve">, y </w:t>
      </w:r>
      <w:proofErr w:type="spellStart"/>
      <w:r w:rsidR="00417621">
        <w:rPr>
          <w:rFonts w:ascii="Verdana" w:eastAsia="Calibri" w:hAnsi="Verdana" w:cs="Arial"/>
          <w:color w:val="000000"/>
          <w:lang w:eastAsia="es-ES"/>
        </w:rPr>
        <w:t>ii</w:t>
      </w:r>
      <w:proofErr w:type="spellEnd"/>
      <w:r w:rsidR="00417621">
        <w:rPr>
          <w:rFonts w:ascii="Verdana" w:eastAsia="Calibri" w:hAnsi="Verdana" w:cs="Arial"/>
          <w:color w:val="000000"/>
          <w:lang w:eastAsia="es-ES"/>
        </w:rPr>
        <w:t xml:space="preserve">. </w:t>
      </w:r>
      <w:r w:rsidR="00417621" w:rsidRPr="00417621">
        <w:rPr>
          <w:rFonts w:ascii="Verdana" w:eastAsia="Calibri" w:hAnsi="Verdana" w:cs="Arial"/>
          <w:color w:val="000000"/>
          <w:lang w:eastAsia="es-ES"/>
        </w:rPr>
        <w:t>¿</w:t>
      </w:r>
      <w:r w:rsidR="00417621">
        <w:rPr>
          <w:rFonts w:ascii="Verdana" w:eastAsia="Calibri" w:hAnsi="Verdana" w:cs="Arial"/>
          <w:color w:val="000000"/>
          <w:lang w:eastAsia="es-ES"/>
        </w:rPr>
        <w:t>es</w:t>
      </w:r>
      <w:r w:rsidR="00417621" w:rsidRPr="00417621">
        <w:rPr>
          <w:rFonts w:ascii="Verdana" w:eastAsia="Calibri" w:hAnsi="Verdana" w:cs="Arial"/>
          <w:color w:val="000000"/>
          <w:lang w:eastAsia="es-ES"/>
        </w:rPr>
        <w:t xml:space="preserve"> jurídicamente procedente que una entidad estatal exija como requisito habilitante que los proponentes cuenten con establecimiento de comercio registrado en el departamento o municipio donde se adelanta la modalidad de selección o donde se ejecutará el contrato?</w:t>
      </w:r>
    </w:p>
    <w:p w14:paraId="4CD72ED6" w14:textId="77777777" w:rsidR="00417621" w:rsidRPr="00BF422F" w:rsidRDefault="00417621" w:rsidP="00192922">
      <w:pPr>
        <w:spacing w:after="0" w:line="276" w:lineRule="auto"/>
        <w:jc w:val="both"/>
        <w:rPr>
          <w:rFonts w:ascii="Verdana" w:eastAsia="Calibri" w:hAnsi="Verdana" w:cs="Times New Roman"/>
          <w:i/>
          <w:iCs/>
          <w:lang w:val="es-ES"/>
        </w:rPr>
      </w:pPr>
    </w:p>
    <w:p w14:paraId="19F49C19" w14:textId="77777777" w:rsidR="00192922" w:rsidRPr="008E4F36" w:rsidRDefault="00192922" w:rsidP="00192922">
      <w:pPr>
        <w:spacing w:after="0" w:line="276" w:lineRule="auto"/>
        <w:jc w:val="both"/>
        <w:rPr>
          <w:rFonts w:ascii="Verdana" w:eastAsia="Century Gothic" w:hAnsi="Verdana" w:cs="Century Gothic"/>
          <w:b/>
          <w:bCs/>
        </w:rPr>
      </w:pPr>
      <w:r w:rsidRPr="008E4F36">
        <w:rPr>
          <w:rFonts w:ascii="Verdana" w:eastAsia="Century Gothic" w:hAnsi="Verdana" w:cs="Century Gothic"/>
          <w:b/>
          <w:bCs/>
        </w:rPr>
        <w:t>2. Respuesta:</w:t>
      </w:r>
    </w:p>
    <w:p w14:paraId="581523F4" w14:textId="77777777" w:rsidR="00192922" w:rsidRPr="008E4F36" w:rsidRDefault="00192922" w:rsidP="00192922">
      <w:pPr>
        <w:tabs>
          <w:tab w:val="left" w:pos="142"/>
          <w:tab w:val="left" w:pos="284"/>
        </w:tabs>
        <w:spacing w:after="0" w:line="276" w:lineRule="auto"/>
        <w:jc w:val="both"/>
        <w:rPr>
          <w:rFonts w:ascii="Verdana" w:eastAsia="Century Gothic" w:hAnsi="Verdana" w:cs="Century Gothic"/>
          <w:b/>
          <w:bCs/>
        </w:rPr>
      </w:pPr>
    </w:p>
    <w:tbl>
      <w:tblPr>
        <w:tblStyle w:val="Tablaconcuadrcula"/>
        <w:tblW w:w="0" w:type="auto"/>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ook w:val="04A0" w:firstRow="1" w:lastRow="0" w:firstColumn="1" w:lastColumn="0" w:noHBand="0" w:noVBand="1"/>
      </w:tblPr>
      <w:tblGrid>
        <w:gridCol w:w="8828"/>
      </w:tblGrid>
      <w:tr w:rsidR="00192922" w:rsidRPr="008E4F36" w14:paraId="6FF345CD" w14:textId="77777777" w:rsidTr="00D61250">
        <w:tc>
          <w:tcPr>
            <w:tcW w:w="8828" w:type="dxa"/>
          </w:tcPr>
          <w:p w14:paraId="3E111C4F" w14:textId="4E68BF8E" w:rsidR="00192922" w:rsidRPr="00275B0F" w:rsidRDefault="00192922" w:rsidP="00D61250">
            <w:pPr>
              <w:spacing w:after="120" w:line="276" w:lineRule="auto"/>
              <w:jc w:val="both"/>
              <w:rPr>
                <w:rFonts w:ascii="Verdana" w:hAnsi="Verdana"/>
              </w:rPr>
            </w:pPr>
            <w:r>
              <w:rPr>
                <w:rFonts w:ascii="Verdana" w:hAnsi="Verdana"/>
              </w:rPr>
              <w:t xml:space="preserve">i) </w:t>
            </w:r>
            <w:r w:rsidR="00417621" w:rsidRPr="00417621">
              <w:rPr>
                <w:rFonts w:ascii="Verdana" w:hAnsi="Verdana"/>
              </w:rPr>
              <w:t xml:space="preserve">Los requisitos habilitantes del numeral 1° del artículo 5° de la Ley 1150 de 2007 —capacidad jurídica, experiencia, capacidad financiera y capacidad de </w:t>
            </w:r>
            <w:r w:rsidR="00417621" w:rsidRPr="00417621">
              <w:rPr>
                <w:rFonts w:ascii="Verdana" w:hAnsi="Verdana"/>
              </w:rPr>
              <w:lastRenderedPageBreak/>
              <w:t>organización— tienen carácter enunciativo, no taxativo, lo que significa que las entidades estatales pueden establecer condiciones habilitantes adicionales en el ejercicio de su autonomía para estructurar los procesos de contratación. Sin embargo, esta facultad no es ilimitada: todo requisito habilitante debe satisfacer simultáneamente tres condiciones que operan como límites infranqueables: (i) adecuación, esto es, tener relación directa con el objeto del contrato y ser efectivo para demostrar la idoneidad del proponente; (</w:t>
            </w:r>
            <w:proofErr w:type="spellStart"/>
            <w:r w:rsidR="00417621" w:rsidRPr="00417621">
              <w:rPr>
                <w:rFonts w:ascii="Verdana" w:hAnsi="Verdana"/>
              </w:rPr>
              <w:t>ii</w:t>
            </w:r>
            <w:proofErr w:type="spellEnd"/>
            <w:r w:rsidR="00417621" w:rsidRPr="00417621">
              <w:rPr>
                <w:rFonts w:ascii="Verdana" w:hAnsi="Verdana"/>
              </w:rPr>
              <w:t>) proporcionalidad, es decir, no establecer condiciones más allá de las necesarias para verificar esa idoneidad; y (</w:t>
            </w:r>
            <w:proofErr w:type="spellStart"/>
            <w:r w:rsidR="00417621" w:rsidRPr="00417621">
              <w:rPr>
                <w:rFonts w:ascii="Verdana" w:hAnsi="Verdana"/>
              </w:rPr>
              <w:t>iii</w:t>
            </w:r>
            <w:proofErr w:type="spellEnd"/>
            <w:r w:rsidR="00417621" w:rsidRPr="00417621">
              <w:rPr>
                <w:rFonts w:ascii="Verdana" w:hAnsi="Verdana"/>
              </w:rPr>
              <w:t>) no restricción injustificada de la libre concurrencia, lo que implica que no debe crear barreras de acceso que excluyan a proponentes que tienen las capacidades requeridas para ejecutar el contrato. Las condiciones habilitantes que no resulten adecuadas para determinar la idoneidad del proponente o que sean desproporcionadas frente al objeto contractual serán contrarias al deber de selección objetiva. Esta ha sido la posición sostenida de manera reiterada y consistente por esta Agencia en los Conceptos C-187 de 2025 y C-006 de 2026, con fundamento en la Sentencia C-004 de 2017 de la Corte Constitucional, el artículo 2.2.1.1.1.6.2 del Decreto 1082 de 2015 y el Manual para Determinar y Verificar los Requisitos Habilitantes</w:t>
            </w:r>
            <w:r w:rsidR="00417621">
              <w:rPr>
                <w:rStyle w:val="Refdenotaalpie"/>
                <w:rFonts w:ascii="Verdana" w:hAnsi="Verdana"/>
              </w:rPr>
              <w:footnoteReference w:id="1"/>
            </w:r>
            <w:r w:rsidR="00417621" w:rsidRPr="00417621">
              <w:rPr>
                <w:rFonts w:ascii="Verdana" w:hAnsi="Verdana"/>
              </w:rPr>
              <w:t xml:space="preserve"> en los Procesos de Contratación expedido por esta Agencia</w:t>
            </w:r>
            <w:r w:rsidRPr="00275B0F">
              <w:rPr>
                <w:rFonts w:ascii="Verdana" w:hAnsi="Verdana"/>
              </w:rPr>
              <w:t>.</w:t>
            </w:r>
          </w:p>
          <w:p w14:paraId="41B8824A" w14:textId="77777777" w:rsidR="00417621" w:rsidRPr="00417621" w:rsidRDefault="00417621" w:rsidP="00417621">
            <w:pPr>
              <w:spacing w:after="120" w:line="276" w:lineRule="auto"/>
              <w:ind w:firstLine="743"/>
              <w:jc w:val="both"/>
              <w:rPr>
                <w:rFonts w:ascii="Verdana" w:hAnsi="Verdana"/>
              </w:rPr>
            </w:pPr>
            <w:proofErr w:type="spellStart"/>
            <w:r>
              <w:rPr>
                <w:rFonts w:ascii="Verdana" w:hAnsi="Verdana"/>
              </w:rPr>
              <w:t>ii</w:t>
            </w:r>
            <w:proofErr w:type="spellEnd"/>
            <w:r>
              <w:rPr>
                <w:rFonts w:ascii="Verdana" w:hAnsi="Verdana"/>
              </w:rPr>
              <w:t xml:space="preserve">. </w:t>
            </w:r>
            <w:r w:rsidRPr="00417621">
              <w:rPr>
                <w:rFonts w:ascii="Verdana" w:hAnsi="Verdana"/>
              </w:rPr>
              <w:t xml:space="preserve">En principio, no se advierte la viabilidad de exigir la existencia de un establecimiento de comercio registrado en un departamento o municipio específico como condición habilitante para participar en un proceso de contratación estatal. El establecimiento de comercio —definido en el artículo 515 del Código de Comercio como un conjunto de bienes organizados para realizar los fines de la empresa— es un activo mercantil cuya titularidad no está ligada a la capacidad jurídica del proponente para contraer obligaciones (Conceptos C-187 de 2025 y C-006 de 2026). Exigirlo como requisito habilitante genera, por regla general, una barrera de acceso que excluye a oferentes que, sin tener un establecimiento de comercio registrado de manera independiente en esa jurisdicción, cuentan con las capacidades jurídicas, </w:t>
            </w:r>
            <w:r w:rsidRPr="00417621">
              <w:rPr>
                <w:rFonts w:ascii="Verdana" w:hAnsi="Verdana"/>
              </w:rPr>
              <w:lastRenderedPageBreak/>
              <w:t>financieras, técnicas y de experiencia necesarias para ejecutar adecuadamente el contrato.</w:t>
            </w:r>
          </w:p>
          <w:p w14:paraId="63027299" w14:textId="5E6B2A58" w:rsidR="00192922" w:rsidRPr="00B70775" w:rsidRDefault="00417621" w:rsidP="00417621">
            <w:pPr>
              <w:spacing w:after="120" w:line="276" w:lineRule="auto"/>
              <w:ind w:firstLine="743"/>
              <w:jc w:val="both"/>
              <w:rPr>
                <w:rFonts w:ascii="Verdana" w:hAnsi="Verdana" w:cs="Arial"/>
                <w:color w:val="000000" w:themeColor="text1"/>
              </w:rPr>
            </w:pPr>
            <w:r w:rsidRPr="00417621">
              <w:rPr>
                <w:rFonts w:ascii="Verdana" w:hAnsi="Verdana"/>
              </w:rPr>
              <w:t xml:space="preserve">No obstante, dado que la facultad de determinar los requisitos habilitantes corresponde a cada entidad en el ejercicio de su autonomía, si esta decide exigir la existencia de un establecimiento de comercio en una ubicación geográfica específica, dicha exigencia debe estar precedida de una justificación técnica y objetiva que demuestre que la presencia de ese establecimiento es estrictamente indispensable para garantizar la adecuada ejecución del objeto contractual, y que no existen otros medios igualmente eficaces para alcanzar ese fin. Aun en este supuesto excepcional —que esta Agencia no recomienda como práctica general—, la exigencia no puede responder a criterios arbitrarios ni a motivaciones subjetivas, pues de lo contrario vulneraría los principios de igualdad, libre concurrencia y selección objetiva que rigen la contratación pública. Es preciso advertir, además, que esta exigencia debe distinguirse de la limitación territorial a </w:t>
            </w:r>
            <w:proofErr w:type="spellStart"/>
            <w:r w:rsidRPr="00417621">
              <w:rPr>
                <w:rFonts w:ascii="Verdana" w:hAnsi="Verdana"/>
              </w:rPr>
              <w:t>Mipymes</w:t>
            </w:r>
            <w:proofErr w:type="spellEnd"/>
            <w:r w:rsidRPr="00417621">
              <w:rPr>
                <w:rFonts w:ascii="Verdana" w:hAnsi="Verdana"/>
              </w:rPr>
              <w:t xml:space="preserve"> prevista en el artículo 2.2.1.2.4.2.3 del Decreto 1082 de 2015, que opera exclusivamente sobre el concepto de domicilio —atributo de la personalidad jurídica— y no sobre la ubicación de establecimientos de comercio, sucursales o agencias (Conceptos C-676 de 2025, C-1014 de 2024 y C-235 de 2024).</w:t>
            </w:r>
          </w:p>
        </w:tc>
      </w:tr>
    </w:tbl>
    <w:p w14:paraId="62C9AABA" w14:textId="77777777" w:rsidR="00192922" w:rsidRDefault="00192922" w:rsidP="00192922">
      <w:pPr>
        <w:tabs>
          <w:tab w:val="left" w:pos="142"/>
          <w:tab w:val="left" w:pos="284"/>
        </w:tabs>
        <w:spacing w:after="0" w:line="276" w:lineRule="auto"/>
        <w:jc w:val="both"/>
        <w:rPr>
          <w:rFonts w:ascii="Verdana" w:eastAsia="Century Gothic" w:hAnsi="Verdana" w:cs="Century Gothic"/>
          <w:b/>
          <w:bCs/>
        </w:rPr>
      </w:pPr>
    </w:p>
    <w:p w14:paraId="6DA79914" w14:textId="77777777" w:rsidR="00192922" w:rsidRPr="008E4F36" w:rsidRDefault="00192922" w:rsidP="00192922">
      <w:pPr>
        <w:tabs>
          <w:tab w:val="left" w:pos="142"/>
          <w:tab w:val="left" w:pos="284"/>
        </w:tabs>
        <w:spacing w:after="0" w:line="276" w:lineRule="auto"/>
        <w:jc w:val="both"/>
        <w:rPr>
          <w:rFonts w:ascii="Verdana" w:eastAsia="Century Gothic" w:hAnsi="Verdana" w:cs="Century Gothic"/>
          <w:b/>
          <w:bCs/>
        </w:rPr>
      </w:pPr>
      <w:r w:rsidRPr="008E4F36">
        <w:rPr>
          <w:rFonts w:ascii="Verdana" w:eastAsia="Century Gothic" w:hAnsi="Verdana" w:cs="Century Gothic"/>
          <w:b/>
          <w:bCs/>
        </w:rPr>
        <w:t>3. Razones de la respuesta:</w:t>
      </w:r>
    </w:p>
    <w:p w14:paraId="51A8899A" w14:textId="77777777" w:rsidR="00192922" w:rsidRDefault="00192922" w:rsidP="00192922">
      <w:pPr>
        <w:pStyle w:val="Prrafodelista"/>
        <w:tabs>
          <w:tab w:val="left" w:pos="142"/>
          <w:tab w:val="left" w:pos="284"/>
        </w:tabs>
        <w:spacing w:after="0" w:line="276" w:lineRule="auto"/>
        <w:ind w:left="0"/>
        <w:contextualSpacing w:val="0"/>
        <w:jc w:val="both"/>
        <w:rPr>
          <w:rFonts w:ascii="Verdana" w:eastAsia="Calibri" w:hAnsi="Verdana" w:cs="Arial"/>
        </w:rPr>
      </w:pPr>
    </w:p>
    <w:p w14:paraId="49B3C42B" w14:textId="77777777" w:rsidR="00192922" w:rsidRDefault="00192922" w:rsidP="00192922">
      <w:pPr>
        <w:pStyle w:val="Prrafodelista"/>
        <w:tabs>
          <w:tab w:val="left" w:pos="142"/>
          <w:tab w:val="left" w:pos="284"/>
        </w:tabs>
        <w:spacing w:after="0" w:line="276" w:lineRule="auto"/>
        <w:ind w:left="0"/>
        <w:contextualSpacing w:val="0"/>
        <w:jc w:val="both"/>
        <w:rPr>
          <w:rFonts w:ascii="Verdana" w:eastAsia="Calibri" w:hAnsi="Verdana" w:cs="Arial"/>
        </w:rPr>
      </w:pPr>
      <w:r w:rsidRPr="008E4F36">
        <w:rPr>
          <w:rFonts w:ascii="Verdana" w:eastAsia="Calibri" w:hAnsi="Verdana" w:cs="Arial"/>
        </w:rPr>
        <w:t xml:space="preserve">Lo anterior se sustenta en las siguientes consideraciones: </w:t>
      </w:r>
    </w:p>
    <w:p w14:paraId="10797CB1" w14:textId="77777777" w:rsidR="00192922" w:rsidRDefault="00192922" w:rsidP="00192922">
      <w:pPr>
        <w:pStyle w:val="Prrafodelista"/>
        <w:tabs>
          <w:tab w:val="left" w:pos="142"/>
          <w:tab w:val="left" w:pos="284"/>
        </w:tabs>
        <w:spacing w:after="0" w:line="240" w:lineRule="auto"/>
        <w:ind w:left="0"/>
        <w:contextualSpacing w:val="0"/>
        <w:jc w:val="both"/>
        <w:rPr>
          <w:rFonts w:ascii="Verdana" w:eastAsia="Calibri" w:hAnsi="Verdana" w:cs="Arial"/>
        </w:rPr>
      </w:pPr>
    </w:p>
    <w:p w14:paraId="1FB14854" w14:textId="77777777" w:rsidR="00192922" w:rsidRPr="00275B0F" w:rsidRDefault="00192922" w:rsidP="00192922">
      <w:pPr>
        <w:spacing w:after="120" w:line="276" w:lineRule="auto"/>
        <w:jc w:val="both"/>
        <w:rPr>
          <w:rFonts w:ascii="Verdana" w:hAnsi="Verdana" w:cs="Arial"/>
          <w:bCs/>
          <w:lang w:val="es-ES_tradnl" w:eastAsia="es-ES" w:bidi="es-ES"/>
        </w:rPr>
      </w:pPr>
      <w:r>
        <w:rPr>
          <w:rFonts w:ascii="Verdana" w:hAnsi="Verdana" w:cs="Arial"/>
          <w:bCs/>
          <w:lang w:val="es-ES_tradnl" w:eastAsia="es-ES" w:bidi="es-ES"/>
        </w:rPr>
        <w:t xml:space="preserve">i. </w:t>
      </w:r>
      <w:r w:rsidRPr="00275B0F">
        <w:rPr>
          <w:rFonts w:ascii="Verdana" w:hAnsi="Verdana" w:cs="Arial"/>
          <w:bCs/>
          <w:lang w:val="es-ES_tradnl" w:eastAsia="es-ES" w:bidi="es-ES"/>
        </w:rPr>
        <w:t xml:space="preserve">Los </w:t>
      </w:r>
      <w:r w:rsidRPr="00275B0F">
        <w:rPr>
          <w:rFonts w:ascii="Verdana" w:hAnsi="Verdana" w:cs="Arial"/>
          <w:bCs/>
          <w:i/>
          <w:iCs/>
          <w:lang w:val="es-ES_tradnl" w:eastAsia="es-ES" w:bidi="es-ES"/>
        </w:rPr>
        <w:t>requisitos habilitantes</w:t>
      </w:r>
      <w:r w:rsidRPr="00275B0F">
        <w:rPr>
          <w:rFonts w:ascii="Verdana" w:hAnsi="Verdana" w:cs="Arial"/>
          <w:bCs/>
          <w:lang w:val="es-ES_tradnl" w:eastAsia="es-ES" w:bidi="es-ES"/>
        </w:rPr>
        <w:t xml:space="preserve"> se definen como exigencias de participación en los procedimientos de selección, establecidas en disposiciones normativas de carácter legal o reglamentario, o contenidas en el acto administrativo que regula las reglas de la convocatoria, es decir, en el pliego de condiciones o el documento equivalente a este. Se diferencian de los </w:t>
      </w:r>
      <w:r w:rsidRPr="00275B0F">
        <w:rPr>
          <w:rFonts w:ascii="Verdana" w:hAnsi="Verdana" w:cs="Arial"/>
          <w:bCs/>
          <w:i/>
          <w:iCs/>
          <w:lang w:val="es-ES_tradnl" w:eastAsia="es-ES" w:bidi="es-ES"/>
        </w:rPr>
        <w:t>criterios de evaluación</w:t>
      </w:r>
      <w:r w:rsidRPr="00275B0F">
        <w:rPr>
          <w:rFonts w:ascii="Verdana" w:hAnsi="Verdana" w:cs="Arial"/>
          <w:bCs/>
          <w:lang w:val="es-ES_tradnl" w:eastAsia="es-ES" w:bidi="es-ES"/>
        </w:rPr>
        <w:t xml:space="preserve"> –también conocidos como </w:t>
      </w:r>
      <w:r w:rsidRPr="00275B0F">
        <w:rPr>
          <w:rFonts w:ascii="Verdana" w:hAnsi="Verdana" w:cs="Arial"/>
          <w:bCs/>
          <w:i/>
          <w:iCs/>
          <w:lang w:val="es-ES_tradnl" w:eastAsia="es-ES" w:bidi="es-ES"/>
        </w:rPr>
        <w:t>criterios de calificación</w:t>
      </w:r>
      <w:r w:rsidRPr="00275B0F">
        <w:rPr>
          <w:rFonts w:ascii="Verdana" w:hAnsi="Verdana" w:cs="Arial"/>
          <w:bCs/>
          <w:lang w:val="es-ES_tradnl" w:eastAsia="es-ES" w:bidi="es-ES"/>
        </w:rPr>
        <w:t xml:space="preserve">– en que estos son los factores definidos por la Entidad Estatal para la asignación de puntaje en el momento de la comparación de las ofertas, y que, a partir de su ponderación, permiten establecer el orden de elegibilidad y, por ende, la propuesta ganadora. </w:t>
      </w:r>
    </w:p>
    <w:p w14:paraId="6F307091" w14:textId="77777777" w:rsidR="00192922" w:rsidRPr="00275B0F" w:rsidRDefault="00192922" w:rsidP="00192922">
      <w:pPr>
        <w:spacing w:after="120" w:line="276" w:lineRule="auto"/>
        <w:ind w:firstLine="708"/>
        <w:jc w:val="both"/>
        <w:rPr>
          <w:rFonts w:ascii="Verdana" w:eastAsia="Calibri" w:hAnsi="Verdana" w:cs="Arial"/>
          <w:lang w:val="es-ES" w:eastAsia="es-MX"/>
        </w:rPr>
      </w:pPr>
      <w:bookmarkStart w:id="2" w:name="_Hlk191626670"/>
      <w:r w:rsidRPr="00275B0F">
        <w:rPr>
          <w:rFonts w:ascii="Verdana" w:eastAsia="Calibri" w:hAnsi="Verdana" w:cs="Arial"/>
          <w:lang w:val="es-ES" w:eastAsia="es-MX"/>
        </w:rPr>
        <w:t xml:space="preserve">Los requisitos habilitantes constituyen los requisitos mínimos con los que deben cumplir los proponentes para poder participar en el procedimiento de </w:t>
      </w:r>
      <w:r w:rsidRPr="00275B0F">
        <w:rPr>
          <w:rFonts w:ascii="Verdana" w:eastAsia="Calibri" w:hAnsi="Verdana" w:cs="Arial"/>
          <w:lang w:val="es-ES" w:eastAsia="es-MX"/>
        </w:rPr>
        <w:lastRenderedPageBreak/>
        <w:t xml:space="preserve">selección, razón por la que los mismos no se valoran con un puntaje tendiente a determinar el orden de escogencia, sino que se analizan como criterios previos a la evaluación en sentido estricto. De esta manera, quienes no los reúnan no pueden continuar en el procedimiento de selección, es decir, incurren en causal de rechazo. </w:t>
      </w:r>
      <w:bookmarkEnd w:id="2"/>
      <w:r w:rsidRPr="00275B0F">
        <w:rPr>
          <w:rFonts w:ascii="Verdana" w:eastAsia="Calibri" w:hAnsi="Verdana" w:cs="Arial"/>
          <w:lang w:val="es-ES" w:eastAsia="es-MX"/>
        </w:rPr>
        <w:t xml:space="preserve">Esto, sin perjuicio del derecho que tienen los oferentes de subsanar los defectos que se presenten en la prueba de tales requisitos, de conformidad con el </w:t>
      </w:r>
      <w:bookmarkStart w:id="3" w:name="_Hlk191626971"/>
      <w:r w:rsidRPr="00275B0F">
        <w:rPr>
          <w:rFonts w:ascii="Verdana" w:eastAsia="Calibri" w:hAnsi="Verdana" w:cs="Arial"/>
          <w:lang w:val="es-ES" w:eastAsia="es-MX"/>
        </w:rPr>
        <w:t>artículo 5, parágrafos 1º al 4º, de la Ley 1150 de 2007</w:t>
      </w:r>
      <w:bookmarkEnd w:id="3"/>
      <w:r w:rsidRPr="00275B0F">
        <w:rPr>
          <w:rFonts w:ascii="Verdana" w:eastAsia="Calibri" w:hAnsi="Verdana" w:cs="Arial"/>
          <w:lang w:val="es-ES" w:eastAsia="es-MX"/>
        </w:rPr>
        <w:t>.</w:t>
      </w:r>
    </w:p>
    <w:p w14:paraId="305B5167" w14:textId="77777777" w:rsidR="00192922" w:rsidRPr="00275B0F" w:rsidRDefault="00192922" w:rsidP="00192922">
      <w:pPr>
        <w:spacing w:after="120" w:line="276" w:lineRule="auto"/>
        <w:ind w:firstLine="708"/>
        <w:jc w:val="both"/>
        <w:rPr>
          <w:rFonts w:ascii="Verdana" w:hAnsi="Verdana" w:cs="Arial"/>
          <w:color w:val="000000" w:themeColor="text1"/>
          <w:lang w:val="es-ES_tradnl"/>
        </w:rPr>
      </w:pPr>
      <w:r w:rsidRPr="00275B0F">
        <w:rPr>
          <w:rFonts w:ascii="Verdana" w:hAnsi="Verdana" w:cs="Arial"/>
          <w:color w:val="000000" w:themeColor="text1"/>
          <w:lang w:val="es-ES_tradnl"/>
        </w:rPr>
        <w:t>El mencionado artículo dispone que se considera objetiva la selección en la cual la escogencia se haga al ofrecimiento más favorable a la Entidad y a los fines que ella busca, sin tener en consideración factores de afecto o de interés y, en general, cualquier clase de motivación subjetiva</w:t>
      </w:r>
      <w:r w:rsidRPr="00275B0F">
        <w:rPr>
          <w:rFonts w:ascii="Verdana" w:hAnsi="Verdana" w:cs="Arial"/>
          <w:i/>
          <w:iCs/>
          <w:color w:val="000000" w:themeColor="text1"/>
          <w:lang w:val="es-ES_tradnl"/>
        </w:rPr>
        <w:t>.</w:t>
      </w:r>
      <w:r w:rsidRPr="00275B0F">
        <w:rPr>
          <w:rFonts w:ascii="Verdana" w:hAnsi="Verdana" w:cs="Arial"/>
          <w:color w:val="000000" w:themeColor="text1"/>
          <w:lang w:val="es-ES_tradnl"/>
        </w:rPr>
        <w:t xml:space="preserve"> En ese contexto, los factores de escogencia y calificación que establezcan las Entidades en los pliegos de condiciones o en sus documentos equivalentes deberán tener en cuenta, entre otras cuestiones, los criterios establecidos en dicha disposición. </w:t>
      </w:r>
    </w:p>
    <w:p w14:paraId="3A4EB775" w14:textId="77777777" w:rsidR="00192922" w:rsidRPr="00275B0F" w:rsidRDefault="00192922" w:rsidP="00192922">
      <w:pPr>
        <w:spacing w:after="0" w:line="276" w:lineRule="auto"/>
        <w:ind w:firstLine="708"/>
        <w:jc w:val="both"/>
        <w:rPr>
          <w:rFonts w:ascii="Verdana" w:hAnsi="Verdana" w:cs="Arial"/>
          <w:bCs/>
          <w:lang w:val="es-ES" w:eastAsia="es-ES" w:bidi="es-ES"/>
        </w:rPr>
      </w:pPr>
      <w:r w:rsidRPr="00275B0F">
        <w:rPr>
          <w:rFonts w:ascii="Verdana" w:hAnsi="Verdana" w:cs="Arial"/>
          <w:bCs/>
          <w:lang w:val="es-ES" w:eastAsia="es-ES" w:bidi="es-ES"/>
        </w:rPr>
        <w:t xml:space="preserve">Específicamente, el numeral 1º del artículo 5 de la Ley 1150 de 2007 establece que, en los procesos de selección de contratistas, serán objeto de verificación, como requisitos habilitantes, </w:t>
      </w:r>
      <w:r w:rsidRPr="00275B0F">
        <w:rPr>
          <w:rFonts w:ascii="Verdana" w:hAnsi="Verdana" w:cs="Arial"/>
          <w:bCs/>
          <w:i/>
          <w:iCs/>
          <w:lang w:val="es-ES" w:eastAsia="es-ES" w:bidi="es-ES"/>
        </w:rPr>
        <w:t>entre otros</w:t>
      </w:r>
      <w:r w:rsidRPr="00275B0F">
        <w:rPr>
          <w:rFonts w:ascii="Verdana" w:hAnsi="Verdana" w:cs="Arial"/>
          <w:bCs/>
          <w:lang w:val="es-ES" w:eastAsia="es-ES" w:bidi="es-ES"/>
        </w:rPr>
        <w:t>, los siguientes: (i) la capacidad jurídica; (</w:t>
      </w:r>
      <w:proofErr w:type="spellStart"/>
      <w:r w:rsidRPr="00275B0F">
        <w:rPr>
          <w:rFonts w:ascii="Verdana" w:hAnsi="Verdana" w:cs="Arial"/>
          <w:bCs/>
          <w:lang w:val="es-ES" w:eastAsia="es-ES" w:bidi="es-ES"/>
        </w:rPr>
        <w:t>ii</w:t>
      </w:r>
      <w:proofErr w:type="spellEnd"/>
      <w:r w:rsidRPr="00275B0F">
        <w:rPr>
          <w:rFonts w:ascii="Verdana" w:hAnsi="Verdana" w:cs="Arial"/>
          <w:bCs/>
          <w:lang w:val="es-ES" w:eastAsia="es-ES" w:bidi="es-ES"/>
        </w:rPr>
        <w:t>) la experiencia; (</w:t>
      </w:r>
      <w:proofErr w:type="spellStart"/>
      <w:r w:rsidRPr="00275B0F">
        <w:rPr>
          <w:rFonts w:ascii="Verdana" w:hAnsi="Verdana" w:cs="Arial"/>
          <w:bCs/>
          <w:lang w:val="es-ES" w:eastAsia="es-ES" w:bidi="es-ES"/>
        </w:rPr>
        <w:t>iii</w:t>
      </w:r>
      <w:proofErr w:type="spellEnd"/>
      <w:r w:rsidRPr="00275B0F">
        <w:rPr>
          <w:rFonts w:ascii="Verdana" w:hAnsi="Verdana" w:cs="Arial"/>
          <w:bCs/>
          <w:lang w:val="es-ES" w:eastAsia="es-ES" w:bidi="es-ES"/>
        </w:rPr>
        <w:t>) la capacidad financiera y (</w:t>
      </w:r>
      <w:proofErr w:type="spellStart"/>
      <w:r w:rsidRPr="00275B0F">
        <w:rPr>
          <w:rFonts w:ascii="Verdana" w:hAnsi="Verdana" w:cs="Arial"/>
          <w:bCs/>
          <w:lang w:val="es-ES" w:eastAsia="es-ES" w:bidi="es-ES"/>
        </w:rPr>
        <w:t>iv</w:t>
      </w:r>
      <w:proofErr w:type="spellEnd"/>
      <w:r w:rsidRPr="00275B0F">
        <w:rPr>
          <w:rFonts w:ascii="Verdana" w:hAnsi="Verdana" w:cs="Arial"/>
          <w:bCs/>
          <w:lang w:val="es-ES" w:eastAsia="es-ES" w:bidi="es-ES"/>
        </w:rPr>
        <w:t>) la capacidad de organización. En efecto, la normativa citada prescribe:</w:t>
      </w:r>
    </w:p>
    <w:p w14:paraId="78E0D193" w14:textId="77777777" w:rsidR="00192922" w:rsidRPr="00275B0F" w:rsidRDefault="00192922" w:rsidP="00192922">
      <w:pPr>
        <w:spacing w:after="0" w:line="276" w:lineRule="auto"/>
        <w:ind w:firstLine="708"/>
        <w:jc w:val="both"/>
        <w:rPr>
          <w:rFonts w:ascii="Verdana" w:hAnsi="Verdana" w:cs="Arial"/>
          <w:bCs/>
          <w:lang w:val="es-ES" w:eastAsia="es-ES" w:bidi="es-ES"/>
        </w:rPr>
      </w:pPr>
    </w:p>
    <w:p w14:paraId="63D4FEF1" w14:textId="77777777" w:rsidR="00192922" w:rsidRPr="00275B0F" w:rsidRDefault="00192922" w:rsidP="00192922">
      <w:pPr>
        <w:spacing w:after="0" w:line="240" w:lineRule="auto"/>
        <w:ind w:left="709" w:right="709"/>
        <w:jc w:val="both"/>
        <w:rPr>
          <w:rFonts w:ascii="Verdana" w:hAnsi="Verdana" w:cs="Arial"/>
          <w:sz w:val="20"/>
          <w:szCs w:val="20"/>
          <w:lang w:val="es-ES_tradnl" w:eastAsia="es-ES" w:bidi="es-ES"/>
        </w:rPr>
      </w:pPr>
      <w:r w:rsidRPr="00275B0F">
        <w:rPr>
          <w:rFonts w:ascii="Verdana" w:hAnsi="Verdana" w:cs="Arial"/>
          <w:i/>
          <w:sz w:val="20"/>
          <w:szCs w:val="20"/>
          <w:lang w:val="es-ES_tradnl" w:eastAsia="es-ES" w:bidi="es-ES"/>
        </w:rPr>
        <w:t>“</w:t>
      </w:r>
      <w:r w:rsidRPr="00275B0F">
        <w:rPr>
          <w:rFonts w:ascii="Verdana" w:hAnsi="Verdana" w:cs="Arial"/>
          <w:sz w:val="20"/>
          <w:szCs w:val="20"/>
          <w:lang w:val="es-ES_tradnl" w:eastAsia="es-ES" w:bidi="es-ES"/>
        </w:rPr>
        <w:t xml:space="preserve">Artículo 5. De la Selección Objetiva. </w:t>
      </w:r>
    </w:p>
    <w:p w14:paraId="7D455E34" w14:textId="77777777" w:rsidR="00192922" w:rsidRPr="00275B0F" w:rsidRDefault="00192922" w:rsidP="00192922">
      <w:pPr>
        <w:spacing w:after="0" w:line="240" w:lineRule="auto"/>
        <w:ind w:left="709" w:right="709"/>
        <w:jc w:val="both"/>
        <w:rPr>
          <w:rFonts w:ascii="Verdana" w:hAnsi="Verdana" w:cs="Arial"/>
          <w:sz w:val="20"/>
          <w:szCs w:val="20"/>
          <w:lang w:val="es-ES_tradnl" w:eastAsia="es-ES" w:bidi="es-ES"/>
        </w:rPr>
      </w:pPr>
      <w:r w:rsidRPr="00275B0F">
        <w:rPr>
          <w:rFonts w:ascii="Verdana" w:hAnsi="Verdana" w:cs="Arial"/>
          <w:sz w:val="20"/>
          <w:szCs w:val="20"/>
          <w:lang w:val="es-ES_tradnl" w:eastAsia="es-ES" w:bidi="es-ES"/>
        </w:rPr>
        <w:t>[…]</w:t>
      </w:r>
    </w:p>
    <w:p w14:paraId="693BFE5A" w14:textId="77777777" w:rsidR="00192922" w:rsidRPr="00275B0F" w:rsidRDefault="00192922" w:rsidP="00192922">
      <w:pPr>
        <w:spacing w:after="0" w:line="240" w:lineRule="auto"/>
        <w:ind w:left="709" w:right="709"/>
        <w:jc w:val="both"/>
        <w:rPr>
          <w:rFonts w:ascii="Verdana" w:hAnsi="Verdana" w:cs="Arial"/>
          <w:sz w:val="20"/>
          <w:szCs w:val="20"/>
          <w:lang w:val="es-ES" w:eastAsia="es-ES" w:bidi="es-ES"/>
        </w:rPr>
      </w:pPr>
      <w:r w:rsidRPr="00275B0F">
        <w:rPr>
          <w:rFonts w:ascii="Verdana" w:hAnsi="Verdana" w:cs="Arial"/>
          <w:sz w:val="20"/>
          <w:szCs w:val="20"/>
          <w:lang w:val="es-ES" w:eastAsia="es-ES" w:bidi="es-ES"/>
        </w:rPr>
        <w:t>1. La capacidad jurídica y las condiciones de experiencia, capacidad financiera y de organización de los proponentes serán objeto de verificación de cumplimiento como requisitos habilitantes para la participación en el proceso de selección y no otorgarán puntaje, con excepción de lo previsto en el numeral 4 del presente artículo. La exigencia de tales condiciones debe ser adecuada y proporcional a la naturaleza del contrato a suscribir y a su valor. La verificación documental de las condiciones antes señaladas será efectuada por las Cámaras de Comercio de conformidad con lo establecido en el artículo 6 de la presente ley, de acuerdo con lo cual se expedirá la respectiva certificación”.</w:t>
      </w:r>
    </w:p>
    <w:p w14:paraId="3D99C080" w14:textId="77777777" w:rsidR="00192922" w:rsidRPr="00275B0F" w:rsidRDefault="00192922" w:rsidP="00192922">
      <w:pPr>
        <w:spacing w:after="0" w:line="276" w:lineRule="auto"/>
        <w:ind w:right="709"/>
        <w:jc w:val="both"/>
        <w:rPr>
          <w:rFonts w:ascii="Verdana" w:hAnsi="Verdana" w:cs="Arial"/>
          <w:lang w:val="es-ES" w:eastAsia="es-ES" w:bidi="es-ES"/>
        </w:rPr>
      </w:pPr>
    </w:p>
    <w:p w14:paraId="4E7AC75D" w14:textId="77777777" w:rsidR="00192922" w:rsidRPr="00275B0F" w:rsidRDefault="00192922" w:rsidP="00192922">
      <w:pPr>
        <w:spacing w:after="120" w:line="276" w:lineRule="auto"/>
        <w:ind w:firstLine="708"/>
        <w:jc w:val="both"/>
        <w:rPr>
          <w:rFonts w:ascii="Verdana" w:eastAsia="Times New Roman" w:hAnsi="Verdana" w:cs="Arial"/>
          <w:highlight w:val="cyan"/>
          <w:lang w:val="es-ES_tradnl" w:eastAsia="es-MX"/>
        </w:rPr>
      </w:pPr>
      <w:bookmarkStart w:id="4" w:name="_Hlk99547809"/>
      <w:bookmarkStart w:id="5" w:name="_Hlk99546625"/>
      <w:r w:rsidRPr="00275B0F">
        <w:rPr>
          <w:rFonts w:ascii="Verdana" w:eastAsia="Times New Roman" w:hAnsi="Verdana" w:cs="Arial"/>
          <w:lang w:val="es-ES_tradnl" w:eastAsia="es-MX"/>
        </w:rPr>
        <w:t xml:space="preserve">La Agencia Nacional de Contratación Pública – Colombia Compra Eficiente ha defendido el carácter </w:t>
      </w:r>
      <w:bookmarkStart w:id="6" w:name="_Hlk99547799"/>
      <w:r w:rsidRPr="00275B0F">
        <w:rPr>
          <w:rFonts w:ascii="Verdana" w:eastAsia="Times New Roman" w:hAnsi="Verdana" w:cs="Arial"/>
          <w:lang w:val="es-ES_tradnl" w:eastAsia="es-MX"/>
        </w:rPr>
        <w:t xml:space="preserve">enunciativo del listado de los requisitos habilitantes contenidos en el numeral 1 del artículo 5 de la Ley 1150 de 2007, en la medida en que la mencionada disposición, al referirse a los requisitos habilitantes, no </w:t>
      </w:r>
      <w:r w:rsidRPr="00275B0F">
        <w:rPr>
          <w:rFonts w:ascii="Verdana" w:eastAsia="Times New Roman" w:hAnsi="Verdana" w:cs="Arial"/>
          <w:lang w:val="es-ES_tradnl" w:eastAsia="es-MX"/>
        </w:rPr>
        <w:lastRenderedPageBreak/>
        <w:t xml:space="preserve">contiene una expresión como “únicamente” o “solo”, de la que pueda colegirse la taxatividad de los requisitos señalados. </w:t>
      </w:r>
      <w:bookmarkEnd w:id="4"/>
      <w:bookmarkEnd w:id="6"/>
      <w:r w:rsidRPr="00275B0F">
        <w:rPr>
          <w:rFonts w:ascii="Verdana" w:eastAsia="Times New Roman" w:hAnsi="Verdana" w:cs="Arial"/>
          <w:lang w:val="es-ES_tradnl" w:eastAsia="es-MX"/>
        </w:rPr>
        <w:t>Esta conclusión además se apoya en una la lectura integral de las normas que regulan la contratación estatal, en virtud de la cual es posible evidenciar que existen otras condiciones que deben cumplirse para la contratación con Entidades Estatales, de las que derivan requisitos habilitantes, como sucede, por ejemplo, con la capacidad residual a la que se refiere el artículo 6º, parágrafo 1, de la Ley 1150 de 2007</w:t>
      </w:r>
      <w:bookmarkEnd w:id="5"/>
      <w:r w:rsidRPr="00275B0F">
        <w:rPr>
          <w:rFonts w:ascii="Verdana" w:eastAsia="Times New Roman" w:hAnsi="Verdana" w:cs="Arial"/>
          <w:vertAlign w:val="superscript"/>
          <w:lang w:val="es-ES_tradnl" w:eastAsia="es-MX"/>
        </w:rPr>
        <w:footnoteReference w:id="2"/>
      </w:r>
      <w:r w:rsidRPr="00275B0F">
        <w:rPr>
          <w:rFonts w:ascii="Verdana" w:eastAsia="Times New Roman" w:hAnsi="Verdana" w:cs="Arial"/>
          <w:lang w:val="es-ES_tradnl" w:eastAsia="es-MX"/>
        </w:rPr>
        <w:t xml:space="preserve">. </w:t>
      </w:r>
    </w:p>
    <w:p w14:paraId="573F24F5" w14:textId="77777777" w:rsidR="00192922" w:rsidRPr="00275B0F" w:rsidRDefault="00192922" w:rsidP="00192922">
      <w:pPr>
        <w:spacing w:after="120" w:line="276" w:lineRule="auto"/>
        <w:jc w:val="both"/>
        <w:rPr>
          <w:rFonts w:ascii="Verdana" w:hAnsi="Verdana" w:cs="Arial"/>
          <w:bCs/>
          <w:lang w:val="es-ES" w:eastAsia="es-ES" w:bidi="es-ES"/>
        </w:rPr>
      </w:pPr>
      <w:proofErr w:type="spellStart"/>
      <w:r>
        <w:rPr>
          <w:rFonts w:ascii="Verdana" w:eastAsia="Times New Roman" w:hAnsi="Verdana" w:cs="Arial"/>
          <w:lang w:val="es-ES" w:eastAsia="es-MX"/>
        </w:rPr>
        <w:t>ii.</w:t>
      </w:r>
      <w:r w:rsidRPr="00275B0F">
        <w:rPr>
          <w:rFonts w:ascii="Verdana" w:eastAsia="Times New Roman" w:hAnsi="Verdana" w:cs="Arial"/>
          <w:lang w:val="es-ES" w:eastAsia="es-MX"/>
        </w:rPr>
        <w:t>Por</w:t>
      </w:r>
      <w:proofErr w:type="spellEnd"/>
      <w:r w:rsidRPr="00275B0F">
        <w:rPr>
          <w:rFonts w:ascii="Verdana" w:eastAsia="Times New Roman" w:hAnsi="Verdana" w:cs="Arial"/>
          <w:lang w:val="es-ES" w:eastAsia="es-MX"/>
        </w:rPr>
        <w:t xml:space="preserve"> otro lado, </w:t>
      </w:r>
      <w:r w:rsidRPr="00275B0F">
        <w:rPr>
          <w:rFonts w:ascii="Verdana" w:hAnsi="Verdana" w:cs="Arial"/>
          <w:bCs/>
          <w:lang w:val="es-ES" w:eastAsia="es-ES" w:bidi="es-ES"/>
        </w:rPr>
        <w:t xml:space="preserve">el artículo 5 de la Ley 1150 de 2007 dispone que se considera </w:t>
      </w:r>
      <w:r w:rsidRPr="00275B0F">
        <w:rPr>
          <w:rFonts w:ascii="Verdana" w:hAnsi="Verdana" w:cs="Arial"/>
          <w:bCs/>
          <w:i/>
          <w:iCs/>
          <w:lang w:val="es-ES" w:eastAsia="es-ES" w:bidi="es-ES"/>
        </w:rPr>
        <w:t>“objetiva la selección en la cual la escogencia se haga al ofrecimiento más favorable a la entidad y a los fines que ella busca, sin tener en consideración factores de afecto o de interés y, en general, cualquier clase de motivación subjetiva”.</w:t>
      </w:r>
      <w:r w:rsidRPr="00275B0F">
        <w:rPr>
          <w:rFonts w:ascii="Verdana" w:hAnsi="Verdana" w:cs="Arial"/>
          <w:bCs/>
          <w:lang w:val="es-ES" w:eastAsia="es-ES" w:bidi="es-ES"/>
        </w:rPr>
        <w:t xml:space="preserve"> En ese contexto, los factores de escogencia y calificación que establezcan las Entidades en los pliegos de condiciones o sus documentos equivalentes deberán tener en cuenta, entre otras cuestiones, el deber de selección objetiva, según los criterios establecidos en dicha disposición. </w:t>
      </w:r>
    </w:p>
    <w:p w14:paraId="2C79B39B" w14:textId="77777777" w:rsidR="00192922" w:rsidRPr="00275B0F" w:rsidRDefault="00192922" w:rsidP="00192922">
      <w:pPr>
        <w:spacing w:after="120" w:line="276" w:lineRule="auto"/>
        <w:ind w:firstLine="708"/>
        <w:jc w:val="both"/>
        <w:rPr>
          <w:rFonts w:ascii="Verdana" w:hAnsi="Verdana" w:cs="Arial"/>
          <w:bCs/>
          <w:lang w:val="es-ES" w:eastAsia="es-ES" w:bidi="es-ES"/>
        </w:rPr>
      </w:pPr>
      <w:bookmarkStart w:id="7" w:name="_Hlk214518420"/>
      <w:r w:rsidRPr="00275B0F">
        <w:rPr>
          <w:rFonts w:ascii="Verdana" w:hAnsi="Verdana" w:cs="Arial"/>
          <w:bCs/>
          <w:lang w:val="es-ES" w:eastAsia="es-ES" w:bidi="es-ES"/>
        </w:rPr>
        <w:t xml:space="preserve">En especial, señala la Ley que los criterios habilitantes que determine la Entidad deberán ser </w:t>
      </w:r>
      <w:r w:rsidRPr="00275B0F">
        <w:rPr>
          <w:rFonts w:ascii="Verdana" w:hAnsi="Verdana" w:cs="Arial"/>
          <w:bCs/>
          <w:i/>
          <w:iCs/>
          <w:sz w:val="21"/>
          <w:szCs w:val="21"/>
          <w:lang w:val="es-ES" w:eastAsia="es-ES" w:bidi="es-ES"/>
        </w:rPr>
        <w:t>adecuados y proporcionales</w:t>
      </w:r>
      <w:r w:rsidRPr="00275B0F">
        <w:rPr>
          <w:rFonts w:ascii="Verdana" w:hAnsi="Verdana" w:cs="Arial"/>
          <w:bCs/>
          <w:sz w:val="21"/>
          <w:szCs w:val="21"/>
          <w:lang w:val="es-ES" w:eastAsia="es-ES" w:bidi="es-ES"/>
        </w:rPr>
        <w:t xml:space="preserve"> a la naturaleza del contrato a suscribir y a su valor. De esta manera, las condiciones habilitantes que no resulten adecuadas para determinar la idoneidad o capacidad del proponente para cumplir con el objeto del contrato, o que sean desproporcionados frente a este, serán contrarias al deber de selección objetiva.</w:t>
      </w:r>
    </w:p>
    <w:bookmarkEnd w:id="7"/>
    <w:p w14:paraId="53EC0AAA" w14:textId="77777777" w:rsidR="00192922" w:rsidRPr="00275B0F" w:rsidRDefault="00192922" w:rsidP="00192922">
      <w:pPr>
        <w:spacing w:after="120" w:line="276" w:lineRule="auto"/>
        <w:ind w:firstLine="708"/>
        <w:jc w:val="both"/>
        <w:rPr>
          <w:rFonts w:ascii="Verdana" w:eastAsia="Times New Roman" w:hAnsi="Verdana" w:cs="Arial"/>
          <w:lang w:val="es-ES" w:eastAsia="es-MX"/>
        </w:rPr>
      </w:pPr>
      <w:r w:rsidRPr="00275B0F">
        <w:rPr>
          <w:rFonts w:ascii="Verdana" w:eastAsia="Times New Roman" w:hAnsi="Verdana" w:cs="Arial"/>
          <w:lang w:val="es-ES" w:eastAsia="es-MX"/>
        </w:rPr>
        <w:t xml:space="preserve">En línea con lo anterior, el </w:t>
      </w:r>
      <w:bookmarkStart w:id="8" w:name="_Hlk191627190"/>
      <w:r w:rsidRPr="00275B0F">
        <w:rPr>
          <w:rFonts w:ascii="Verdana" w:eastAsia="Times New Roman" w:hAnsi="Verdana" w:cs="Arial"/>
          <w:lang w:val="es-ES" w:eastAsia="es-MX"/>
        </w:rPr>
        <w:t>“Manual para determinar y verificar los requisitos habilitantes en los Procesos de Contratación</w:t>
      </w:r>
      <w:bookmarkEnd w:id="8"/>
      <w:r w:rsidRPr="00275B0F">
        <w:rPr>
          <w:rFonts w:ascii="Verdana" w:eastAsia="Times New Roman" w:hAnsi="Verdana" w:cs="Arial"/>
          <w:lang w:val="es-ES" w:eastAsia="es-MX"/>
        </w:rPr>
        <w:t>”</w:t>
      </w:r>
      <w:r w:rsidRPr="00275B0F">
        <w:rPr>
          <w:rFonts w:ascii="Verdana" w:eastAsia="Times New Roman" w:hAnsi="Verdana" w:cs="Arial"/>
          <w:vertAlign w:val="superscript"/>
          <w:lang w:val="es-ES" w:eastAsia="es-MX"/>
        </w:rPr>
        <w:footnoteReference w:id="3"/>
      </w:r>
      <w:r w:rsidRPr="00275B0F">
        <w:rPr>
          <w:rFonts w:ascii="Verdana" w:eastAsia="Calibri" w:hAnsi="Verdana" w:cs="Arial"/>
          <w:lang w:val="es-ES" w:eastAsia="es-MX"/>
        </w:rPr>
        <w:t>,</w:t>
      </w:r>
      <w:r w:rsidRPr="00275B0F">
        <w:rPr>
          <w:rFonts w:ascii="Verdana" w:eastAsia="Times New Roman" w:hAnsi="Verdana" w:cs="Arial"/>
          <w:lang w:val="es-ES" w:eastAsia="es-MX"/>
        </w:rPr>
        <w:t xml:space="preserve"> expedido por la </w:t>
      </w:r>
      <w:r w:rsidRPr="00275B0F">
        <w:rPr>
          <w:rFonts w:ascii="Verdana" w:eastAsia="Calibri" w:hAnsi="Verdana" w:cs="Arial"/>
          <w:lang w:val="es-ES" w:eastAsia="es-MX"/>
        </w:rPr>
        <w:t>Agencia Nacional de Contratación Pública – Colombia Compra Eficiente,</w:t>
      </w:r>
      <w:r w:rsidRPr="00275B0F">
        <w:rPr>
          <w:rFonts w:ascii="Verdana" w:eastAsia="Times New Roman" w:hAnsi="Verdana" w:cs="Arial"/>
          <w:lang w:val="es-ES" w:eastAsia="es-MX"/>
        </w:rPr>
        <w:t xml:space="preserve"> determinó los parámetros para establecer, acreditar y subsanar los requisitos habilitantes. Al respecto, precisa que estos tienen como fin primordial medir “</w:t>
      </w:r>
      <w:bookmarkStart w:id="9" w:name="_Hlk191627260"/>
      <w:r w:rsidRPr="00275B0F">
        <w:rPr>
          <w:rFonts w:ascii="Verdana" w:eastAsia="Times New Roman" w:hAnsi="Verdana" w:cs="Arial"/>
          <w:lang w:val="es-ES" w:eastAsia="es-MX"/>
        </w:rPr>
        <w:t xml:space="preserve">la aptitud del proponente para participar en un Proceso de Contratación como </w:t>
      </w:r>
      <w:r w:rsidRPr="00275B0F">
        <w:rPr>
          <w:rFonts w:ascii="Verdana" w:eastAsia="Times New Roman" w:hAnsi="Verdana" w:cs="Arial"/>
          <w:lang w:val="es-ES" w:eastAsia="es-MX"/>
        </w:rPr>
        <w:lastRenderedPageBreak/>
        <w:t xml:space="preserve">oferente y eventualmente asumir la ejecución del contrato, por lo que están referidos a su capacidad jurídica, financiera, organizacional y experiencia”. </w:t>
      </w:r>
      <w:bookmarkEnd w:id="9"/>
      <w:r w:rsidRPr="00275B0F">
        <w:rPr>
          <w:rFonts w:ascii="Verdana" w:eastAsia="Times New Roman" w:hAnsi="Verdana" w:cs="Arial"/>
          <w:lang w:val="es-ES" w:eastAsia="es-MX"/>
        </w:rPr>
        <w:t xml:space="preserve">De acuerdo con el Manual, su propósito consiste en “establecer unas condiciones mínimas </w:t>
      </w:r>
      <w:r w:rsidRPr="00275B0F">
        <w:rPr>
          <w:rFonts w:ascii="Verdana" w:eastAsia="Times New Roman" w:hAnsi="Verdana" w:cs="Arial"/>
          <w:lang w:eastAsia="es-MX"/>
        </w:rPr>
        <w:t>para la participación en los procedimientos de selección, establecidas en disposiciones normativas</w:t>
      </w:r>
      <w:r w:rsidRPr="00275B0F">
        <w:rPr>
          <w:rFonts w:ascii="Verdana" w:eastAsia="Times New Roman" w:hAnsi="Verdana" w:cs="Arial"/>
          <w:lang w:val="es-ES" w:eastAsia="es-MX"/>
        </w:rPr>
        <w:t xml:space="preserve">”. </w:t>
      </w:r>
    </w:p>
    <w:p w14:paraId="2161EEEE" w14:textId="77777777" w:rsidR="00192922" w:rsidRPr="00275B0F" w:rsidRDefault="00192922" w:rsidP="00192922">
      <w:pPr>
        <w:spacing w:after="120" w:line="276" w:lineRule="auto"/>
        <w:ind w:firstLine="709"/>
        <w:jc w:val="both"/>
        <w:rPr>
          <w:rFonts w:ascii="Verdana" w:eastAsia="Times New Roman" w:hAnsi="Verdana" w:cs="Arial"/>
          <w:lang w:val="es-ES" w:eastAsia="es-MX"/>
        </w:rPr>
      </w:pPr>
      <w:r w:rsidRPr="00275B0F">
        <w:rPr>
          <w:rFonts w:ascii="Verdana" w:eastAsia="Times New Roman" w:hAnsi="Verdana" w:cs="Arial"/>
          <w:lang w:val="es-ES" w:eastAsia="es-MX"/>
        </w:rPr>
        <w:t xml:space="preserve">Así las cosas, al tratarse de condiciones mínimas, significa que </w:t>
      </w:r>
      <w:bookmarkStart w:id="10" w:name="_Hlk191627287"/>
      <w:r w:rsidRPr="00275B0F">
        <w:rPr>
          <w:rFonts w:ascii="Verdana" w:eastAsia="Times New Roman" w:hAnsi="Verdana" w:cs="Arial"/>
          <w:lang w:val="es-ES" w:eastAsia="es-MX"/>
        </w:rPr>
        <w:t xml:space="preserve">las Entidades podrían establecer otras, según su autonomía de la voluntad, y teniendo en cuenta el objeto del contrato, los riesgos detectados en los estudios previos, el presupuesto oficial, entre otros factores. Sin embargo, esto no implica que las Entidades puedan establecer cualquier tipo de requisitos, pues su exigencia debe en todo caso ser </w:t>
      </w:r>
      <w:r w:rsidRPr="00275B0F">
        <w:rPr>
          <w:rFonts w:ascii="Verdana" w:eastAsia="Times New Roman" w:hAnsi="Verdana" w:cs="Arial"/>
          <w:i/>
          <w:lang w:val="es-ES" w:eastAsia="es-MX"/>
        </w:rPr>
        <w:t>proporcional y adecuada</w:t>
      </w:r>
      <w:r w:rsidRPr="00275B0F">
        <w:rPr>
          <w:rFonts w:ascii="Verdana" w:eastAsia="Times New Roman" w:hAnsi="Verdana" w:cs="Arial"/>
          <w:lang w:val="es-ES" w:eastAsia="es-MX"/>
        </w:rPr>
        <w:t xml:space="preserve"> frente a la naturaleza y el valor del contrato.</w:t>
      </w:r>
    </w:p>
    <w:p w14:paraId="4517EBC4" w14:textId="77777777" w:rsidR="00192922" w:rsidRPr="00275B0F" w:rsidRDefault="00192922" w:rsidP="00192922">
      <w:pPr>
        <w:tabs>
          <w:tab w:val="left" w:pos="426"/>
        </w:tabs>
        <w:spacing w:after="120" w:line="276" w:lineRule="auto"/>
        <w:ind w:firstLine="709"/>
        <w:jc w:val="both"/>
        <w:rPr>
          <w:rFonts w:ascii="Verdana" w:eastAsia="Times New Roman" w:hAnsi="Verdana" w:cs="Arial"/>
          <w:lang w:val="es-ES_tradnl" w:eastAsia="es-MX"/>
        </w:rPr>
      </w:pPr>
      <w:bookmarkStart w:id="11" w:name="_Hlk99548027"/>
      <w:bookmarkEnd w:id="10"/>
      <w:r w:rsidRPr="00275B0F">
        <w:rPr>
          <w:rFonts w:ascii="Verdana" w:eastAsia="Times New Roman" w:hAnsi="Verdana" w:cs="Arial"/>
          <w:lang w:val="es-ES_tradnl" w:eastAsia="es-MX"/>
        </w:rPr>
        <w:t xml:space="preserve">En ese sentido, </w:t>
      </w:r>
      <w:bookmarkStart w:id="12" w:name="_Hlk191627322"/>
      <w:r w:rsidRPr="00275B0F">
        <w:rPr>
          <w:rFonts w:ascii="Verdana" w:eastAsia="Times New Roman" w:hAnsi="Verdana" w:cs="Arial"/>
          <w:lang w:val="es-ES_tradnl" w:eastAsia="es-MX"/>
        </w:rPr>
        <w:t xml:space="preserve">si bien </w:t>
      </w:r>
      <w:r w:rsidRPr="00275B0F">
        <w:rPr>
          <w:rFonts w:ascii="Verdana" w:eastAsia="Calibri" w:hAnsi="Verdana" w:cs="Arial"/>
          <w:lang w:val="es-ES_tradnl" w:eastAsia="es-MX"/>
        </w:rPr>
        <w:t xml:space="preserve">la Ley 1150 de 2007 estableció unos requisitos habilitantes para los proponentes –la capacidad jurídica, las condiciones de experiencia, la capacidad financiera y la capacidad de organización–, estos no son taxativos. </w:t>
      </w:r>
      <w:r w:rsidRPr="00275B0F">
        <w:rPr>
          <w:rFonts w:ascii="Verdana" w:eastAsia="Times New Roman" w:hAnsi="Verdana" w:cs="Arial"/>
          <w:lang w:val="es-ES_tradnl" w:eastAsia="es-MX"/>
        </w:rPr>
        <w:t xml:space="preserve">En consecuencia, corresponde a las Entidades Estatales, durante la etapa de planeación del contrato estatal, estudiar y </w:t>
      </w:r>
      <w:r w:rsidRPr="00275B0F">
        <w:rPr>
          <w:rFonts w:ascii="Verdana" w:eastAsia="Times New Roman" w:hAnsi="Verdana" w:cs="Arial"/>
          <w:bCs/>
          <w:iCs/>
          <w:lang w:val="es-ES_tradnl" w:eastAsia="es-MX"/>
        </w:rPr>
        <w:t>determinar</w:t>
      </w:r>
      <w:r w:rsidRPr="00275B0F">
        <w:rPr>
          <w:rFonts w:ascii="Verdana" w:eastAsia="Times New Roman" w:hAnsi="Verdana" w:cs="Arial"/>
          <w:lang w:val="es-ES_tradnl" w:eastAsia="es-MX"/>
        </w:rPr>
        <w:t xml:space="preserve"> los requisitos habilitantes que establecerán en los pliegos de condiciones o documentos equivalentes, </w:t>
      </w:r>
      <w:r w:rsidRPr="00275B0F">
        <w:rPr>
          <w:rFonts w:ascii="Verdana" w:eastAsia="Times New Roman" w:hAnsi="Verdana" w:cs="Arial"/>
          <w:i/>
          <w:iCs/>
          <w:lang w:val="es-ES_tradnl" w:eastAsia="es-MX"/>
        </w:rPr>
        <w:t>los cuales deben fijarse de forma adecuada y proporcional</w:t>
      </w:r>
      <w:r w:rsidRPr="00275B0F">
        <w:rPr>
          <w:rFonts w:ascii="Verdana" w:eastAsia="Times New Roman" w:hAnsi="Verdana" w:cs="Arial"/>
          <w:lang w:val="es-ES_tradnl" w:eastAsia="es-MX"/>
        </w:rPr>
        <w:t xml:space="preserve">. </w:t>
      </w:r>
      <w:bookmarkEnd w:id="11"/>
      <w:bookmarkEnd w:id="12"/>
      <w:r w:rsidRPr="00275B0F">
        <w:rPr>
          <w:rFonts w:ascii="Verdana" w:eastAsia="Times New Roman" w:hAnsi="Verdana" w:cs="Arial"/>
          <w:lang w:val="es-ES_tradnl" w:eastAsia="es-MX"/>
        </w:rPr>
        <w:t>Al respecto, en la Sentencia C-004 de 2017, la Corte Constitucional señaló que:</w:t>
      </w:r>
    </w:p>
    <w:p w14:paraId="41BC86BC" w14:textId="77777777" w:rsidR="00192922" w:rsidRPr="00275B0F" w:rsidRDefault="00192922" w:rsidP="00192922">
      <w:pPr>
        <w:tabs>
          <w:tab w:val="left" w:pos="426"/>
        </w:tabs>
        <w:spacing w:after="0" w:line="276" w:lineRule="auto"/>
        <w:ind w:firstLine="709"/>
        <w:jc w:val="both"/>
        <w:rPr>
          <w:rFonts w:ascii="Verdana" w:eastAsia="Times New Roman" w:hAnsi="Verdana" w:cs="Arial"/>
          <w:lang w:val="es-ES_tradnl" w:eastAsia="es-MX"/>
        </w:rPr>
      </w:pPr>
    </w:p>
    <w:p w14:paraId="7889AD8A" w14:textId="77777777" w:rsidR="00192922" w:rsidRPr="00275B0F" w:rsidRDefault="00192922" w:rsidP="00192922">
      <w:pPr>
        <w:spacing w:after="0" w:line="240" w:lineRule="auto"/>
        <w:ind w:left="709" w:right="709"/>
        <w:jc w:val="both"/>
        <w:rPr>
          <w:rFonts w:ascii="Verdana" w:hAnsi="Verdana" w:cs="Arial"/>
          <w:sz w:val="20"/>
          <w:szCs w:val="20"/>
          <w:lang w:val="es-ES_tradnl" w:eastAsia="es-ES" w:bidi="es-ES"/>
        </w:rPr>
      </w:pPr>
      <w:r w:rsidRPr="00275B0F">
        <w:rPr>
          <w:rFonts w:ascii="Verdana" w:hAnsi="Verdana" w:cs="Arial"/>
          <w:sz w:val="20"/>
          <w:szCs w:val="20"/>
          <w:lang w:val="es-ES_tradnl" w:eastAsia="es-ES" w:bidi="es-ES"/>
        </w:rPr>
        <w:t>“[l]a determinación de dichas condiciones habilitantes para participar, es competencia de la entidad que planee la celebración del contrato, a través de la valoración en concreto de las características mínimas de idoneidad, experiencia, capacidad jurídica y financiera para que la realización del objeto contractual resulte eficiente y eficaz frente a la necesidad identificada”.</w:t>
      </w:r>
    </w:p>
    <w:p w14:paraId="54D37FC4" w14:textId="77777777" w:rsidR="00192922" w:rsidRPr="00275B0F" w:rsidRDefault="00192922" w:rsidP="00192922">
      <w:pPr>
        <w:spacing w:after="0" w:line="276" w:lineRule="auto"/>
        <w:ind w:left="709" w:right="709"/>
        <w:jc w:val="both"/>
        <w:rPr>
          <w:rFonts w:ascii="Verdana" w:hAnsi="Verdana" w:cs="Arial"/>
          <w:bCs/>
          <w:lang w:val="es-ES_tradnl" w:eastAsia="es-ES" w:bidi="es-ES"/>
        </w:rPr>
      </w:pPr>
    </w:p>
    <w:p w14:paraId="50D96D20" w14:textId="77777777" w:rsidR="00192922" w:rsidRPr="00275B0F" w:rsidRDefault="00192922" w:rsidP="00192922">
      <w:pPr>
        <w:tabs>
          <w:tab w:val="left" w:pos="426"/>
        </w:tabs>
        <w:spacing w:after="120" w:line="276" w:lineRule="auto"/>
        <w:ind w:firstLine="709"/>
        <w:jc w:val="both"/>
        <w:rPr>
          <w:rFonts w:ascii="Verdana" w:eastAsia="Times New Roman" w:hAnsi="Verdana" w:cs="Arial"/>
          <w:lang w:val="es-ES_tradnl" w:eastAsia="es-MX"/>
        </w:rPr>
      </w:pPr>
      <w:r w:rsidRPr="00275B0F">
        <w:rPr>
          <w:rFonts w:ascii="Verdana" w:eastAsia="Times New Roman" w:hAnsi="Verdana" w:cs="Arial"/>
          <w:lang w:val="es-ES_tradnl" w:eastAsia="es-MX"/>
        </w:rPr>
        <w:t xml:space="preserve">El </w:t>
      </w:r>
      <w:bookmarkStart w:id="13" w:name="_Hlk191627359"/>
      <w:r w:rsidRPr="00275B0F">
        <w:rPr>
          <w:rFonts w:ascii="Verdana" w:eastAsia="Times New Roman" w:hAnsi="Verdana" w:cs="Arial"/>
          <w:lang w:val="es-ES_tradnl" w:eastAsia="es-MX"/>
        </w:rPr>
        <w:t xml:space="preserve">Decreto 1082 de 2015 en su artículo 2.2.1.1.1.6.2. </w:t>
      </w:r>
      <w:bookmarkEnd w:id="13"/>
      <w:r w:rsidRPr="00275B0F">
        <w:rPr>
          <w:rFonts w:ascii="Verdana" w:eastAsia="Times New Roman" w:hAnsi="Verdana" w:cs="Arial"/>
          <w:lang w:val="es-ES_tradnl" w:eastAsia="es-MX"/>
        </w:rPr>
        <w:t>reglamenta los requisitos habilitantes, estableciendo que estos deben ser señalados en los pliegos de condiciones o en la invitación</w:t>
      </w:r>
      <w:r w:rsidRPr="00275B0F">
        <w:rPr>
          <w:rFonts w:ascii="Verdana" w:eastAsia="Times New Roman" w:hAnsi="Verdana" w:cs="Arial"/>
          <w:vertAlign w:val="superscript"/>
          <w:lang w:val="es-ES_tradnl" w:eastAsia="es-MX"/>
        </w:rPr>
        <w:footnoteReference w:id="4"/>
      </w:r>
      <w:r w:rsidRPr="00275B0F">
        <w:rPr>
          <w:rFonts w:ascii="Verdana" w:eastAsia="Times New Roman" w:hAnsi="Verdana" w:cs="Arial"/>
          <w:lang w:val="es-ES_tradnl" w:eastAsia="es-MX"/>
        </w:rPr>
        <w:t xml:space="preserve">, lo cual es concordante con el </w:t>
      </w:r>
      <w:bookmarkStart w:id="14" w:name="_Hlk191627380"/>
      <w:r w:rsidRPr="00275B0F">
        <w:rPr>
          <w:rFonts w:ascii="Verdana" w:eastAsia="Times New Roman" w:hAnsi="Verdana" w:cs="Arial"/>
          <w:lang w:val="es-ES_tradnl" w:eastAsia="es-MX"/>
        </w:rPr>
        <w:t xml:space="preserve">numeral </w:t>
      </w:r>
      <w:r w:rsidRPr="00275B0F">
        <w:rPr>
          <w:rFonts w:ascii="Verdana" w:eastAsia="Times New Roman" w:hAnsi="Verdana" w:cs="Arial"/>
          <w:lang w:val="es-ES_tradnl" w:eastAsia="es-MX"/>
        </w:rPr>
        <w:lastRenderedPageBreak/>
        <w:t>5 del artículo 2.2.1.1.2.1.3</w:t>
      </w:r>
      <w:bookmarkEnd w:id="14"/>
      <w:r w:rsidRPr="00275B0F">
        <w:rPr>
          <w:rFonts w:ascii="Verdana" w:eastAsia="Times New Roman" w:hAnsi="Verdana" w:cs="Arial"/>
          <w:lang w:val="es-ES_tradnl" w:eastAsia="es-MX"/>
        </w:rPr>
        <w:t>, en el que se establece como uno de los componentes mínimos de los pliegos de condiciones</w:t>
      </w:r>
      <w:r w:rsidRPr="00275B0F">
        <w:rPr>
          <w:rFonts w:ascii="Verdana" w:hAnsi="Verdana" w:cs="Arial"/>
          <w:color w:val="000000"/>
        </w:rPr>
        <w:t xml:space="preserve"> a las reglas aplicables a la presentación y evaluación de las ofertas, entre las que se inscriben las relativas a la acreditación de las condiciones habilitantes. </w:t>
      </w:r>
      <w:r w:rsidRPr="00275B0F">
        <w:rPr>
          <w:rFonts w:ascii="Verdana" w:eastAsia="Times New Roman" w:hAnsi="Verdana" w:cs="Arial"/>
          <w:lang w:val="es-ES_tradnl" w:eastAsia="es-MX"/>
        </w:rPr>
        <w:t xml:space="preserve">Además, el artículo 2.2.1.1.1.6.2 establece que la determinación de los requisitos habilitantes debe ser realizada en función de criterios </w:t>
      </w:r>
      <w:r w:rsidRPr="00275B0F">
        <w:rPr>
          <w:rFonts w:ascii="Verdana" w:eastAsia="Times New Roman" w:hAnsi="Verdana" w:cs="Arial"/>
          <w:i/>
          <w:iCs/>
          <w:lang w:val="es-ES_tradnl" w:eastAsia="es-MX"/>
        </w:rPr>
        <w:t>como el riesgo del proceso de contratación, el valor del contrato, el análisis del sector económico respectivo y el conocimiento de fondo de los posibles oferentes desde la perspectiva comercial</w:t>
      </w:r>
      <w:r w:rsidRPr="00275B0F">
        <w:rPr>
          <w:rFonts w:ascii="Verdana" w:eastAsia="Times New Roman" w:hAnsi="Verdana" w:cs="Arial"/>
          <w:lang w:val="es-ES_tradnl" w:eastAsia="es-MX"/>
        </w:rPr>
        <w:t xml:space="preserve">. </w:t>
      </w:r>
    </w:p>
    <w:p w14:paraId="403C462F" w14:textId="77777777" w:rsidR="00192922" w:rsidRPr="00275B0F" w:rsidRDefault="00192922" w:rsidP="00192922">
      <w:pPr>
        <w:tabs>
          <w:tab w:val="left" w:pos="426"/>
        </w:tabs>
        <w:spacing w:after="120" w:line="276" w:lineRule="auto"/>
        <w:ind w:firstLine="709"/>
        <w:jc w:val="both"/>
        <w:rPr>
          <w:rFonts w:ascii="Verdana" w:eastAsia="Times New Roman" w:hAnsi="Verdana" w:cs="Arial"/>
          <w:lang w:val="es-ES" w:eastAsia="es-MX"/>
        </w:rPr>
      </w:pPr>
      <w:r w:rsidRPr="00275B0F">
        <w:rPr>
          <w:rFonts w:ascii="Verdana" w:eastAsia="Times New Roman" w:hAnsi="Verdana" w:cs="Arial"/>
          <w:lang w:val="es-ES" w:eastAsia="es-MX"/>
        </w:rPr>
        <w:t xml:space="preserve">En este punto, debe señalarse que, si bien la determinación de los requisitos habilitantes exigidos para participar en un proceso de contratación es una facultad discrecional de la Entidad Estatal, que obedece a la autonomía que le asiste para estructurar sus procesos de contratación, esta debe ejercerse respetando los principios que rigen en materia de contratación pública, como el selección objetiva e igualdad, y las normas de orden legal. Así, los mencionados criterios deben ser establecidos por parte de la Entidad que adelanta el proceso de contratación de manera tal que, de la ponderación de </w:t>
      </w:r>
      <w:proofErr w:type="gramStart"/>
      <w:r w:rsidRPr="00275B0F">
        <w:rPr>
          <w:rFonts w:ascii="Verdana" w:eastAsia="Times New Roman" w:hAnsi="Verdana" w:cs="Arial"/>
          <w:lang w:val="es-ES" w:eastAsia="es-MX"/>
        </w:rPr>
        <w:t>los mismos</w:t>
      </w:r>
      <w:proofErr w:type="gramEnd"/>
      <w:r w:rsidRPr="00275B0F">
        <w:rPr>
          <w:rFonts w:ascii="Verdana" w:eastAsia="Times New Roman" w:hAnsi="Verdana" w:cs="Arial"/>
          <w:lang w:val="es-ES" w:eastAsia="es-MX"/>
        </w:rPr>
        <w:t xml:space="preserve"> resulten requisitos que permitan medir la aptitud de los oferentes para cumplir con el contrato, y que, además de ser proporcionales y adecuados a su objeto, no limiten la participación en el proceso de selección</w:t>
      </w:r>
      <w:r w:rsidRPr="00275B0F">
        <w:rPr>
          <w:rFonts w:ascii="Verdana" w:eastAsia="Times New Roman" w:hAnsi="Verdana" w:cs="Arial"/>
          <w:vertAlign w:val="superscript"/>
          <w:lang w:val="es-ES" w:eastAsia="es-MX"/>
        </w:rPr>
        <w:footnoteReference w:id="5"/>
      </w:r>
      <w:r w:rsidRPr="00275B0F">
        <w:rPr>
          <w:rFonts w:ascii="Verdana" w:eastAsia="Times New Roman" w:hAnsi="Verdana" w:cs="Arial"/>
          <w:lang w:val="es-ES" w:eastAsia="es-MX"/>
        </w:rPr>
        <w:t xml:space="preserve">. </w:t>
      </w:r>
    </w:p>
    <w:p w14:paraId="635D3F94" w14:textId="77777777" w:rsidR="00192922" w:rsidRPr="00275B0F" w:rsidRDefault="00192922" w:rsidP="00192922">
      <w:pPr>
        <w:tabs>
          <w:tab w:val="left" w:pos="426"/>
        </w:tabs>
        <w:spacing w:after="120" w:line="276" w:lineRule="auto"/>
        <w:ind w:firstLine="709"/>
        <w:jc w:val="both"/>
        <w:rPr>
          <w:rFonts w:ascii="Verdana" w:eastAsia="Times New Roman" w:hAnsi="Verdana" w:cs="Arial"/>
          <w:lang w:val="es-ES" w:eastAsia="es-MX"/>
        </w:rPr>
      </w:pPr>
      <w:r w:rsidRPr="00275B0F">
        <w:rPr>
          <w:rFonts w:ascii="Verdana" w:eastAsia="Times New Roman" w:hAnsi="Verdana" w:cs="Arial"/>
          <w:lang w:eastAsia="es-MX"/>
        </w:rPr>
        <w:t xml:space="preserve">Que deban ser </w:t>
      </w:r>
      <w:r w:rsidRPr="00275B0F">
        <w:rPr>
          <w:rFonts w:ascii="Verdana" w:eastAsia="Times New Roman" w:hAnsi="Verdana" w:cs="Arial"/>
          <w:i/>
          <w:iCs/>
          <w:lang w:eastAsia="es-MX"/>
        </w:rPr>
        <w:t>adecuados</w:t>
      </w:r>
      <w:r w:rsidRPr="00275B0F">
        <w:rPr>
          <w:rFonts w:ascii="Verdana" w:eastAsia="Times New Roman" w:hAnsi="Verdana" w:cs="Arial"/>
          <w:lang w:eastAsia="es-MX"/>
        </w:rPr>
        <w:t xml:space="preserve">, significa que los requisitos habilitantes que se contemplen deben tener una relación directa con el objeto del contrato, de suerte que su acreditación sea efectiva para demostrar que el proponente es idóneo para ejecutar el contrato. A su vez, los requisitos que se establezcan deben ser </w:t>
      </w:r>
      <w:r w:rsidRPr="00275B0F">
        <w:rPr>
          <w:rFonts w:ascii="Verdana" w:eastAsia="Times New Roman" w:hAnsi="Verdana" w:cs="Arial"/>
          <w:i/>
          <w:iCs/>
          <w:lang w:eastAsia="es-MX"/>
        </w:rPr>
        <w:t>proporcionales</w:t>
      </w:r>
      <w:r w:rsidRPr="00275B0F">
        <w:rPr>
          <w:rFonts w:ascii="Verdana" w:eastAsia="Times New Roman" w:hAnsi="Verdana" w:cs="Arial"/>
          <w:lang w:eastAsia="es-MX"/>
        </w:rPr>
        <w:t xml:space="preserve"> a las condiciones del contrato, de tal manera que los </w:t>
      </w:r>
      <w:r w:rsidRPr="00275B0F">
        <w:rPr>
          <w:rFonts w:ascii="Verdana" w:eastAsia="Times New Roman" w:hAnsi="Verdana" w:cs="Arial"/>
          <w:lang w:eastAsia="es-MX"/>
        </w:rPr>
        <w:lastRenderedPageBreak/>
        <w:t xml:space="preserve">mismos no establezcan condiciones más allá de las necesarias para verificar la idoneidad requerida de los proponentes respecto del objeto ofertado, ya que lo contrario limita la libre concurrencia. Que </w:t>
      </w:r>
      <w:r w:rsidRPr="00275B0F">
        <w:rPr>
          <w:rFonts w:ascii="Verdana" w:eastAsia="Times New Roman" w:hAnsi="Verdana" w:cs="Arial"/>
          <w:i/>
          <w:iCs/>
          <w:lang w:eastAsia="es-MX"/>
        </w:rPr>
        <w:t>no limiten la participación o la libre concurrencia</w:t>
      </w:r>
      <w:r w:rsidRPr="00275B0F">
        <w:rPr>
          <w:rFonts w:ascii="Verdana" w:eastAsia="Times New Roman" w:hAnsi="Verdana" w:cs="Arial"/>
          <w:lang w:eastAsia="es-MX"/>
        </w:rPr>
        <w:t xml:space="preserve"> en el proceso de selección significa que los requisitos establecidos no deben crear barreras injustificadas para el </w:t>
      </w:r>
      <w:r w:rsidRPr="00275B0F">
        <w:rPr>
          <w:rFonts w:ascii="Verdana" w:hAnsi="Verdana"/>
        </w:rPr>
        <w:t>acceso a la contratación pública de los oferentes</w:t>
      </w:r>
      <w:r w:rsidRPr="00275B0F">
        <w:rPr>
          <w:rFonts w:ascii="Verdana" w:eastAsia="Times New Roman" w:hAnsi="Verdana" w:cs="Arial"/>
          <w:lang w:val="es-ES" w:eastAsia="es-MX"/>
        </w:rPr>
        <w:t xml:space="preserve"> interesados, promoviendo una mayor competencia. </w:t>
      </w:r>
    </w:p>
    <w:p w14:paraId="0B5D0E0D" w14:textId="77777777" w:rsidR="00192922" w:rsidRDefault="00192922" w:rsidP="00192922">
      <w:pPr>
        <w:tabs>
          <w:tab w:val="left" w:pos="426"/>
        </w:tabs>
        <w:spacing w:after="120" w:line="276" w:lineRule="auto"/>
        <w:ind w:firstLine="709"/>
        <w:jc w:val="both"/>
        <w:rPr>
          <w:rFonts w:ascii="Verdana" w:eastAsia="Times New Roman" w:hAnsi="Verdana" w:cs="Arial"/>
          <w:lang w:val="es-ES" w:eastAsia="es-MX"/>
        </w:rPr>
      </w:pPr>
      <w:r w:rsidRPr="00275B0F">
        <w:rPr>
          <w:rFonts w:ascii="Verdana" w:eastAsia="Times New Roman" w:hAnsi="Verdana" w:cs="Arial"/>
          <w:lang w:val="es-ES" w:eastAsia="es-MX"/>
        </w:rPr>
        <w:t xml:space="preserve">En ese sentido, las Entidades Estatales tienen autonomía para estructurar los requisitos habilitantes en los procesos que adelantan, </w:t>
      </w:r>
      <w:r w:rsidRPr="00275B0F">
        <w:rPr>
          <w:rFonts w:ascii="Verdana" w:eastAsia="Times New Roman" w:hAnsi="Verdana" w:cs="Arial"/>
          <w:i/>
          <w:iCs/>
          <w:lang w:val="es-ES" w:eastAsia="es-MX"/>
        </w:rPr>
        <w:t>pero tal facultad no puede ejercerse de forma arbitraria, caprichosa y, mucho menos, con el ánimo de direccionar el proceso de contratación</w:t>
      </w:r>
      <w:r w:rsidRPr="00275B0F">
        <w:rPr>
          <w:rFonts w:ascii="Verdana" w:eastAsia="Times New Roman" w:hAnsi="Verdana" w:cs="Arial"/>
          <w:lang w:val="es-ES" w:eastAsia="es-MX"/>
        </w:rPr>
        <w:t xml:space="preserve"> o favorecer a alguno de los proponentes. Tampoco puede suceder que el ejercicio de dicha atribución se realice con desconocimiento de los límites impuestos por la normativa vigente, como, por ejemplo, el parágrafo 2 del artículo 5 de la Ley 1150 de 2007, que prohíbe exigir certificaciones de sistemas de gestión de calidad como requisito habilitante. </w:t>
      </w:r>
    </w:p>
    <w:p w14:paraId="0BF0B0D0" w14:textId="3C1DD13C" w:rsidR="00192922" w:rsidRPr="00041F07" w:rsidRDefault="00192922" w:rsidP="00192922">
      <w:pPr>
        <w:tabs>
          <w:tab w:val="left" w:pos="426"/>
        </w:tabs>
        <w:spacing w:after="120" w:line="276" w:lineRule="auto"/>
        <w:jc w:val="both"/>
        <w:rPr>
          <w:rFonts w:ascii="Verdana" w:eastAsia="Times New Roman" w:hAnsi="Verdana" w:cs="Arial"/>
          <w:lang w:val="es-ES" w:eastAsia="es-MX"/>
        </w:rPr>
      </w:pPr>
      <w:proofErr w:type="spellStart"/>
      <w:r>
        <w:rPr>
          <w:rFonts w:ascii="Verdana" w:eastAsia="Times New Roman" w:hAnsi="Verdana" w:cs="Arial"/>
          <w:lang w:val="es-ES" w:eastAsia="es-MX"/>
        </w:rPr>
        <w:t>iii</w:t>
      </w:r>
      <w:proofErr w:type="spellEnd"/>
      <w:r>
        <w:rPr>
          <w:rFonts w:ascii="Verdana" w:eastAsia="Times New Roman" w:hAnsi="Verdana" w:cs="Arial"/>
          <w:lang w:val="es-ES" w:eastAsia="es-MX"/>
        </w:rPr>
        <w:t>.</w:t>
      </w:r>
      <w:r w:rsidRPr="00275B0F">
        <w:rPr>
          <w:rFonts w:ascii="Verdana" w:eastAsia="Calibri" w:hAnsi="Verdana"/>
          <w:color w:val="000000" w:themeColor="text1"/>
        </w:rPr>
        <w:t>Ahora bien,</w:t>
      </w:r>
      <w:r w:rsidRPr="00275B0F">
        <w:rPr>
          <w:rFonts w:ascii="Verdana" w:hAnsi="Verdana"/>
        </w:rPr>
        <w:t xml:space="preserve"> frente</w:t>
      </w:r>
      <w:r w:rsidRPr="00275B0F">
        <w:rPr>
          <w:rFonts w:ascii="Verdana" w:eastAsia="Times New Roman" w:hAnsi="Verdana" w:cs="Arial"/>
          <w:color w:val="000000" w:themeColor="text1"/>
          <w:lang w:val="es-ES" w:eastAsia="es-ES"/>
        </w:rPr>
        <w:t xml:space="preserve"> a la exigencia de que el proponente cuente con establecimiento de comercio</w:t>
      </w:r>
      <w:r w:rsidR="00417621">
        <w:rPr>
          <w:rFonts w:ascii="Verdana" w:eastAsia="Times New Roman" w:hAnsi="Verdana" w:cs="Arial"/>
          <w:color w:val="000000" w:themeColor="text1"/>
          <w:lang w:val="es-ES" w:eastAsia="es-ES"/>
        </w:rPr>
        <w:t xml:space="preserve"> en el departamento donde se celebra el proceso de selección</w:t>
      </w:r>
      <w:r w:rsidRPr="00275B0F">
        <w:rPr>
          <w:rFonts w:ascii="Verdana" w:eastAsia="Times New Roman" w:hAnsi="Verdana" w:cs="Arial"/>
          <w:color w:val="000000" w:themeColor="text1"/>
          <w:lang w:val="es-ES" w:eastAsia="es-ES"/>
        </w:rPr>
        <w:t>– tema que señala en su consulta -</w:t>
      </w:r>
      <w:r w:rsidRPr="00275B0F">
        <w:rPr>
          <w:rFonts w:ascii="Verdana" w:eastAsia="Calibri" w:hAnsi="Verdana" w:cs="Arial"/>
          <w:bCs/>
          <w:lang w:val="es-ES_tradnl"/>
        </w:rPr>
        <w:t>, es necesario tener en cuenta que, la actividad comercial</w:t>
      </w:r>
      <w:r w:rsidRPr="00275B0F">
        <w:rPr>
          <w:rFonts w:ascii="Verdana" w:eastAsia="Calibri" w:hAnsi="Verdana" w:cs="Arial"/>
          <w:bCs/>
          <w:vertAlign w:val="superscript"/>
          <w:lang w:val="es-ES_tradnl"/>
        </w:rPr>
        <w:footnoteReference w:id="6"/>
      </w:r>
      <w:r w:rsidRPr="00275B0F">
        <w:rPr>
          <w:rFonts w:ascii="Verdana" w:eastAsia="Calibri" w:hAnsi="Verdana" w:cs="Arial"/>
          <w:bCs/>
          <w:lang w:val="es-ES_tradnl"/>
        </w:rPr>
        <w:t xml:space="preserve"> se realiza a través de establecimientos de comercio sujetos al registro mercantil. En efecto, de conformidad con el artículo 25 del Código de Comercio, “Se entenderá por empresa toda actividad económica organizada para la producción, transformación, circulación, administración o custodia de bienes, o para la prestación de servicios. </w:t>
      </w:r>
      <w:r w:rsidRPr="00275B0F">
        <w:rPr>
          <w:rFonts w:ascii="Verdana" w:eastAsia="Calibri" w:hAnsi="Verdana" w:cs="Arial"/>
          <w:bCs/>
          <w:i/>
          <w:iCs/>
          <w:lang w:val="es-ES_tradnl"/>
        </w:rPr>
        <w:t>Dicha actividad se realizará a través de uno o más establecimientos de comercio</w:t>
      </w:r>
      <w:r w:rsidRPr="00275B0F">
        <w:rPr>
          <w:rFonts w:ascii="Verdana" w:eastAsia="Calibri" w:hAnsi="Verdana" w:cs="Arial"/>
          <w:bCs/>
          <w:lang w:val="es-ES_tradnl"/>
        </w:rPr>
        <w:t xml:space="preserve">” </w:t>
      </w:r>
      <w:r w:rsidRPr="00275B0F">
        <w:rPr>
          <w:rFonts w:ascii="Verdana" w:hAnsi="Verdana" w:cs="Arial"/>
          <w:lang w:eastAsia="es-CO"/>
        </w:rPr>
        <w:t>(Énfasis fuera de texto)</w:t>
      </w:r>
      <w:r w:rsidRPr="00275B0F">
        <w:rPr>
          <w:rFonts w:ascii="Verdana" w:eastAsia="Calibri" w:hAnsi="Verdana" w:cs="Arial"/>
          <w:bCs/>
          <w:lang w:val="es-ES_tradnl"/>
        </w:rPr>
        <w:t xml:space="preserve">. </w:t>
      </w:r>
    </w:p>
    <w:p w14:paraId="2BBBD5DC" w14:textId="77777777" w:rsidR="00192922" w:rsidRPr="00275B0F" w:rsidRDefault="00192922" w:rsidP="00192922">
      <w:pPr>
        <w:spacing w:after="120" w:line="276" w:lineRule="auto"/>
        <w:ind w:firstLine="709"/>
        <w:jc w:val="both"/>
        <w:rPr>
          <w:rFonts w:ascii="Verdana" w:eastAsia="Calibri" w:hAnsi="Verdana" w:cs="Arial"/>
          <w:bCs/>
          <w:lang w:val="es-ES_tradnl"/>
        </w:rPr>
      </w:pPr>
      <w:r w:rsidRPr="00275B0F">
        <w:rPr>
          <w:rFonts w:ascii="Verdana" w:hAnsi="Verdana" w:cs="Arial"/>
        </w:rPr>
        <w:lastRenderedPageBreak/>
        <w:t>El establecimiento de comercio</w:t>
      </w:r>
      <w:r w:rsidRPr="00275B0F">
        <w:rPr>
          <w:rFonts w:ascii="Verdana" w:hAnsi="Verdana" w:cs="Arial"/>
          <w:vertAlign w:val="superscript"/>
        </w:rPr>
        <w:footnoteReference w:id="7"/>
      </w:r>
      <w:r w:rsidRPr="00275B0F">
        <w:rPr>
          <w:rFonts w:ascii="Verdana" w:hAnsi="Verdana" w:cs="Arial"/>
        </w:rPr>
        <w:t xml:space="preserve"> es el instrumento del que se vale el empresario para cumplir los fines de su empresa y por medio del cual se realiza la actividad organizada. La doctrina lo define como el conjunto de bienes materiales e inmateriales organizados para una finalidad económica en el que la organización adquiere un significado fundamental como factor aglutinante de los elementos que integran la hacienda, teniendo en cuenta la función económica a la que están destinados todos: la producción o distribución de bienes y servicios en el mercado</w:t>
      </w:r>
      <w:r w:rsidRPr="00275B0F">
        <w:rPr>
          <w:rFonts w:ascii="Verdana" w:eastAsia="Calibri" w:hAnsi="Verdana" w:cs="Arial"/>
          <w:bCs/>
          <w:vertAlign w:val="superscript"/>
          <w:lang w:val="es-ES_tradnl"/>
        </w:rPr>
        <w:footnoteReference w:id="8"/>
      </w:r>
      <w:r w:rsidRPr="00275B0F">
        <w:rPr>
          <w:rFonts w:ascii="Verdana" w:eastAsia="Calibri" w:hAnsi="Verdana" w:cs="Arial"/>
          <w:bCs/>
          <w:lang w:val="es-ES_tradnl"/>
        </w:rPr>
        <w:t xml:space="preserve">. </w:t>
      </w:r>
    </w:p>
    <w:p w14:paraId="60081889" w14:textId="77777777" w:rsidR="00192922" w:rsidRPr="00275B0F" w:rsidRDefault="00192922" w:rsidP="00192922">
      <w:pPr>
        <w:spacing w:after="120" w:line="276" w:lineRule="auto"/>
        <w:ind w:firstLine="708"/>
        <w:jc w:val="both"/>
        <w:rPr>
          <w:rFonts w:ascii="Verdana" w:hAnsi="Verdana" w:cs="Arial"/>
        </w:rPr>
      </w:pPr>
      <w:r w:rsidRPr="00275B0F">
        <w:rPr>
          <w:rFonts w:ascii="Verdana" w:eastAsia="Calibri" w:hAnsi="Verdana" w:cs="Arial"/>
          <w:bCs/>
          <w:lang w:val="es-ES_tradnl"/>
        </w:rPr>
        <w:t>Así las cosas, es posible señalar que los establecimientos de comercio son un conjunto de bienes tendientes a cumplir con los fines de la empresa. Si bien la titularidad de estos radica en las personas naturales o jurídicas, ellos no están ligados con la capacidad jurídica de estas para contraer obligaciones</w:t>
      </w:r>
      <w:r w:rsidRPr="00275B0F">
        <w:rPr>
          <w:rFonts w:ascii="Verdana" w:eastAsia="Times New Roman" w:hAnsi="Verdana" w:cs="Arial"/>
          <w:lang w:eastAsia="es-ES_tradnl"/>
        </w:rPr>
        <w:t>.</w:t>
      </w:r>
      <w:r w:rsidRPr="00275B0F">
        <w:rPr>
          <w:rFonts w:ascii="Verdana" w:hAnsi="Verdana" w:cs="Arial"/>
        </w:rPr>
        <w:t xml:space="preserve"> De esta manera, se concluye que el establecimiento de comercio no está relacionado con la capacidad jurídica del proponente, por lo que no resulta procedente su requerimiento como un requisito habilitante asociado a la capacidad jurídica. </w:t>
      </w:r>
    </w:p>
    <w:p w14:paraId="31A221C7" w14:textId="77777777" w:rsidR="00192922" w:rsidRPr="00275B0F" w:rsidRDefault="00192922" w:rsidP="00192922">
      <w:pPr>
        <w:spacing w:after="120" w:line="276" w:lineRule="auto"/>
        <w:ind w:firstLine="708"/>
        <w:jc w:val="both"/>
        <w:rPr>
          <w:rFonts w:ascii="Verdana" w:hAnsi="Verdana" w:cs="Arial"/>
        </w:rPr>
      </w:pPr>
      <w:r w:rsidRPr="00275B0F">
        <w:rPr>
          <w:rFonts w:ascii="Verdana" w:hAnsi="Verdana" w:cs="Arial"/>
        </w:rPr>
        <w:t xml:space="preserve">En este contexto, en principio no se advierte la viabilidad de exigir la existencia de un establecimiento de comercio o “local” propio como condición habilitante para la ejecución de un contrato </w:t>
      </w:r>
      <w:r>
        <w:rPr>
          <w:rFonts w:ascii="Verdana" w:hAnsi="Verdana" w:cs="Arial"/>
        </w:rPr>
        <w:t>estatal</w:t>
      </w:r>
      <w:r w:rsidRPr="00275B0F">
        <w:rPr>
          <w:rFonts w:ascii="Verdana" w:hAnsi="Verdana" w:cs="Arial"/>
        </w:rPr>
        <w:t>. No obstante, debido a que la entidad cuenta con discrecionalidad para determinar los requisitos habilitantes, resulta indispensable analizar dicho requerimiento a la luz de las condiciones técnicas específicas del contrato y si constituye un requisito estrictamente indispensable para garantizar el adecuado desarrollo del objeto contractual y la correcta prestación del servicio.</w:t>
      </w:r>
    </w:p>
    <w:p w14:paraId="33F69940" w14:textId="58651AD8" w:rsidR="00192922" w:rsidRPr="00275B0F" w:rsidRDefault="00192922" w:rsidP="00192922">
      <w:pPr>
        <w:spacing w:after="120" w:line="276" w:lineRule="auto"/>
        <w:ind w:firstLine="708"/>
        <w:jc w:val="both"/>
        <w:rPr>
          <w:rFonts w:ascii="Verdana" w:hAnsi="Verdana"/>
        </w:rPr>
      </w:pPr>
      <w:r w:rsidRPr="00275B0F">
        <w:rPr>
          <w:rFonts w:ascii="Verdana" w:hAnsi="Verdana"/>
        </w:rPr>
        <w:t>En consecuencia, aunque no</w:t>
      </w:r>
      <w:r w:rsidR="00417621">
        <w:rPr>
          <w:rFonts w:ascii="Verdana" w:hAnsi="Verdana"/>
        </w:rPr>
        <w:t xml:space="preserve"> </w:t>
      </w:r>
      <w:r w:rsidRPr="00275B0F">
        <w:rPr>
          <w:rFonts w:ascii="Verdana" w:hAnsi="Verdana"/>
        </w:rPr>
        <w:t xml:space="preserve">es lo recomendable, si la entidad decide, en el ejercicio de su autonomía y discrecionalidad, exigirlo como un requisito </w:t>
      </w:r>
      <w:r w:rsidRPr="00275B0F">
        <w:rPr>
          <w:rFonts w:ascii="Verdana" w:hAnsi="Verdana"/>
        </w:rPr>
        <w:lastRenderedPageBreak/>
        <w:t>habilitante de carácter técnico en los procesos de contratación, debe estar precedida de una justificación técnica y objetiva por parte de la entidad contratante. Esta exigencia no puede responder a criterios arbitrarios o caprichosos, sino que debe sustentarse en la necesidad concreta de garantizar la adecuada ejecución del objeto contractual, esto es, la prestación eficiente del servicio contratado. Así, resulta indispensable que se demuestre que la presencia de un establecimiento de comercio o “local” propio del contratista es determinante para el desarrollo del contrato.</w:t>
      </w:r>
    </w:p>
    <w:p w14:paraId="1661EA71" w14:textId="77777777" w:rsidR="00192922" w:rsidRPr="00275B0F" w:rsidRDefault="00192922" w:rsidP="00192922">
      <w:pPr>
        <w:widowControl w:val="0"/>
        <w:autoSpaceDE w:val="0"/>
        <w:autoSpaceDN w:val="0"/>
        <w:spacing w:after="120" w:line="276" w:lineRule="auto"/>
        <w:ind w:right="102" w:firstLine="567"/>
        <w:jc w:val="both"/>
        <w:rPr>
          <w:rFonts w:ascii="Verdana" w:hAnsi="Verdana"/>
        </w:rPr>
      </w:pPr>
      <w:r w:rsidRPr="00275B0F">
        <w:rPr>
          <w:rFonts w:ascii="Verdana" w:hAnsi="Verdana"/>
        </w:rPr>
        <w:t>Este tipo de requisitos deben ser evaluados cuidadosamente, atendiendo a si su cumplimiento es verdaderamente necesario para garantizar la operatividad del contratista, o si existen otros medios igualmente eficaces para garantizar la adecuada ejecución del contrato. De lo contrario, la inclusión de este tipo de condiciones podría derivar en restricciones injustificadas que pueden vulnerar los principios de igualdad y libre concurrencia que rigen la contratación pública.</w:t>
      </w:r>
    </w:p>
    <w:p w14:paraId="456BC1C0" w14:textId="77777777" w:rsidR="00192922" w:rsidRPr="00275B0F" w:rsidRDefault="00192922" w:rsidP="00192922">
      <w:pPr>
        <w:widowControl w:val="0"/>
        <w:autoSpaceDE w:val="0"/>
        <w:autoSpaceDN w:val="0"/>
        <w:spacing w:after="120" w:line="276" w:lineRule="auto"/>
        <w:ind w:right="102" w:firstLine="567"/>
        <w:jc w:val="both"/>
      </w:pPr>
      <w:r w:rsidRPr="00275B0F">
        <w:rPr>
          <w:rFonts w:ascii="Verdana" w:hAnsi="Verdana"/>
        </w:rPr>
        <w:t>Al respecto, el Consejo de Estado enfatizó que “La Administración no puede establecer requisitos carentes de función legal y al pretender sustentarlos en la posibilidad física de hacerlo (v. gr. abrir una sucursal) no es más que otra evidencia de su mero capricho”. Asimismo, sobre la exigencia de contar con domicilio en el lugar de ejecución del contrato señaló que “resulta en una exigencia infundada, pues dicho atributo no se corresponde con las razones aducidas para su exigencia, no afecta la prestación del servicio por contratar, tampoco concierne a un elemento sin el cual no puede efectuarse la prestación del servicio de transporte escolar; por el contrario, lo que se advierte es que éste configura una regla ajena a la selección objetiva, en tanto que establece un supuesto que limita, sin justificación, la participación de multiplicidad de oferentes al proceso de contratación</w:t>
      </w:r>
      <w:r w:rsidRPr="00275B0F">
        <w:rPr>
          <w:vertAlign w:val="superscript"/>
        </w:rPr>
        <w:footnoteReference w:id="9"/>
      </w:r>
      <w:r w:rsidRPr="00275B0F">
        <w:t>”.</w:t>
      </w:r>
    </w:p>
    <w:p w14:paraId="51F4AE47" w14:textId="6FCE9FFC" w:rsidR="00192922" w:rsidRPr="00275B0F" w:rsidRDefault="00192922" w:rsidP="00192922">
      <w:pPr>
        <w:widowControl w:val="0"/>
        <w:autoSpaceDE w:val="0"/>
        <w:autoSpaceDN w:val="0"/>
        <w:spacing w:after="120" w:line="276" w:lineRule="auto"/>
        <w:ind w:right="102" w:firstLine="567"/>
        <w:jc w:val="both"/>
        <w:rPr>
          <w:rFonts w:ascii="Verdana" w:hAnsi="Verdana"/>
        </w:rPr>
      </w:pPr>
      <w:r w:rsidRPr="00275B0F">
        <w:rPr>
          <w:rFonts w:ascii="Verdana" w:hAnsi="Verdana"/>
        </w:rPr>
        <w:t>En este sentido, exigir la existencia de un</w:t>
      </w:r>
      <w:r w:rsidR="00417621">
        <w:rPr>
          <w:rFonts w:ascii="Verdana" w:hAnsi="Verdana"/>
        </w:rPr>
        <w:t xml:space="preserve"> establecimiento comercial en el lugar de realización del proceso de selección o de</w:t>
      </w:r>
      <w:r w:rsidRPr="00275B0F">
        <w:rPr>
          <w:rFonts w:ascii="Verdana" w:hAnsi="Verdana"/>
        </w:rPr>
        <w:t xml:space="preserve"> “local” propio puede convertirse en una barrera de acceso que limita injustificadamente la participación de oferentes que, si bien no tienen presencia física propia, cuentan con las capacidades jurídicas, financieras, técnicas y de experiencia requeridas </w:t>
      </w:r>
      <w:r w:rsidRPr="00275B0F">
        <w:rPr>
          <w:rFonts w:ascii="Verdana" w:hAnsi="Verdana"/>
        </w:rPr>
        <w:lastRenderedPageBreak/>
        <w:t>para ejecutar adecuadamente el contrato. Por ello, tales requisitos deben analizarse bajo el principio de proporcionalidad y de adecuación, conforme se explicó, salvo que exista una norma especial que imponga dicha condición para efectos de la prestación del servicio.</w:t>
      </w:r>
    </w:p>
    <w:p w14:paraId="32CEB73B" w14:textId="2E7291C5" w:rsidR="00192922" w:rsidRPr="00275B0F" w:rsidRDefault="00192922" w:rsidP="00192922">
      <w:pPr>
        <w:widowControl w:val="0"/>
        <w:autoSpaceDE w:val="0"/>
        <w:autoSpaceDN w:val="0"/>
        <w:spacing w:after="120" w:line="276" w:lineRule="auto"/>
        <w:ind w:right="102" w:firstLine="709"/>
        <w:jc w:val="both"/>
        <w:rPr>
          <w:rFonts w:ascii="Verdana" w:hAnsi="Verdana"/>
        </w:rPr>
      </w:pPr>
      <w:r w:rsidRPr="00275B0F">
        <w:rPr>
          <w:rFonts w:ascii="Verdana" w:hAnsi="Verdana"/>
        </w:rPr>
        <w:t xml:space="preserve">Sin perjuicio de lo anterior, se reitera que la estructuración de los requisitos habilitantes corresponde a cada entidad estatal ateniendo a las circunstancias particulares y teniendo en cuenta la naturaleza del objeto a contratar, por lo que en cada caso se deberá realizar un análisis detallado si los requisitos establecidos, particularmente solicitar </w:t>
      </w:r>
      <w:r w:rsidR="00417621">
        <w:rPr>
          <w:rFonts w:ascii="Verdana" w:hAnsi="Verdana"/>
        </w:rPr>
        <w:t xml:space="preserve">establecimiento de comercio, </w:t>
      </w:r>
      <w:r w:rsidRPr="00275B0F">
        <w:rPr>
          <w:rFonts w:ascii="Verdana" w:hAnsi="Verdana"/>
        </w:rPr>
        <w:t xml:space="preserve">sucursal u oficina en una ubicación geográfica especifica, efectivamente configura una restricción a la libre concurrencia y si estos han sido determinados de forma desproporcional y arbitraria. </w:t>
      </w:r>
    </w:p>
    <w:p w14:paraId="3F581951" w14:textId="77777777" w:rsidR="00192922" w:rsidRPr="00275B0F" w:rsidRDefault="00192922" w:rsidP="00192922">
      <w:pPr>
        <w:pBdr>
          <w:top w:val="nil"/>
          <w:left w:val="nil"/>
          <w:bottom w:val="nil"/>
          <w:right w:val="nil"/>
          <w:between w:val="nil"/>
        </w:pBdr>
        <w:spacing w:after="120" w:line="276" w:lineRule="auto"/>
        <w:ind w:firstLine="708"/>
        <w:jc w:val="both"/>
        <w:rPr>
          <w:rFonts w:ascii="Verdana" w:eastAsia="Calibri" w:hAnsi="Verdana" w:cs="Arial"/>
          <w:color w:val="000000" w:themeColor="text1"/>
        </w:rPr>
      </w:pPr>
      <w:r w:rsidRPr="00275B0F">
        <w:rPr>
          <w:rFonts w:ascii="Verdana" w:hAnsi="Verdana" w:cs="Arial"/>
          <w:lang w:eastAsia="es-ES"/>
        </w:rPr>
        <w:t>Al margen de la explicación precedente debe advertirse que, el análisis requerido para resolver problemas específicos en torno a la gestión contractual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31D00BD2" w14:textId="77777777" w:rsidR="00192922" w:rsidRPr="00C01831" w:rsidRDefault="00192922" w:rsidP="00192922">
      <w:pPr>
        <w:spacing w:after="120" w:line="276" w:lineRule="auto"/>
        <w:ind w:firstLine="709"/>
        <w:jc w:val="both"/>
        <w:rPr>
          <w:rFonts w:ascii="Verdana" w:hAnsi="Verdana" w:cs="Arial"/>
          <w:lang w:eastAsia="es-ES"/>
        </w:rPr>
      </w:pPr>
      <w:r w:rsidRPr="00275B0F">
        <w:rPr>
          <w:rFonts w:ascii="Verdana" w:hAnsi="Verdana" w:cs="Arial"/>
          <w:lang w:eastAsia="es-ES"/>
        </w:rPr>
        <w:t>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bookmarkStart w:id="16" w:name="_Hlk204856061"/>
      <w:bookmarkStart w:id="17" w:name="_Hlk78820161"/>
      <w:bookmarkStart w:id="18" w:name="_Hlk204854194"/>
    </w:p>
    <w:bookmarkEnd w:id="16"/>
    <w:bookmarkEnd w:id="17"/>
    <w:p w14:paraId="15625780" w14:textId="77777777" w:rsidR="00192922" w:rsidRPr="001F283D" w:rsidRDefault="00192922" w:rsidP="00192922">
      <w:pPr>
        <w:tabs>
          <w:tab w:val="left" w:pos="142"/>
          <w:tab w:val="left" w:pos="284"/>
        </w:tabs>
        <w:spacing w:after="0" w:line="276" w:lineRule="auto"/>
        <w:rPr>
          <w:rFonts w:ascii="Verdana" w:eastAsia="Century Gothic" w:hAnsi="Verdana" w:cs="Century Gothic"/>
          <w:b/>
          <w:bCs/>
        </w:rPr>
      </w:pPr>
      <w:r>
        <w:rPr>
          <w:rFonts w:ascii="Verdana" w:eastAsia="Century Gothic" w:hAnsi="Verdana" w:cs="Century Gothic"/>
          <w:b/>
          <w:bCs/>
        </w:rPr>
        <w:t xml:space="preserve">4. </w:t>
      </w:r>
      <w:r w:rsidRPr="001F283D">
        <w:rPr>
          <w:rFonts w:ascii="Verdana" w:eastAsia="Century Gothic" w:hAnsi="Verdana" w:cs="Century Gothic"/>
          <w:b/>
          <w:bCs/>
        </w:rPr>
        <w:t>Referencias normativas:</w:t>
      </w:r>
    </w:p>
    <w:bookmarkEnd w:id="18"/>
    <w:p w14:paraId="78C385AA" w14:textId="77777777" w:rsidR="00192922" w:rsidRPr="00593A5F" w:rsidRDefault="00192922" w:rsidP="00192922">
      <w:pPr>
        <w:widowControl w:val="0"/>
        <w:autoSpaceDE w:val="0"/>
        <w:autoSpaceDN w:val="0"/>
        <w:spacing w:after="0" w:line="276" w:lineRule="auto"/>
        <w:jc w:val="both"/>
        <w:rPr>
          <w:rFonts w:ascii="Verdana"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192922" w:rsidRPr="002407CE" w14:paraId="37124C2D" w14:textId="77777777" w:rsidTr="00D61250">
        <w:trPr>
          <w:trHeight w:val="870"/>
          <w:jc w:val="center"/>
        </w:trPr>
        <w:tc>
          <w:tcPr>
            <w:tcW w:w="8647" w:type="dxa"/>
          </w:tcPr>
          <w:p w14:paraId="7FEBC57D" w14:textId="77777777" w:rsidR="00192922" w:rsidRPr="00275B0F" w:rsidRDefault="00192922" w:rsidP="00192922">
            <w:pPr>
              <w:numPr>
                <w:ilvl w:val="0"/>
                <w:numId w:val="5"/>
              </w:numPr>
              <w:spacing w:after="160" w:line="276" w:lineRule="auto"/>
              <w:ind w:left="357" w:hanging="357"/>
              <w:contextualSpacing/>
              <w:jc w:val="both"/>
              <w:rPr>
                <w:rFonts w:ascii="Verdana" w:eastAsia="Calibri" w:hAnsi="Verdana" w:cs="Arial"/>
                <w:lang w:val="es-ES" w:eastAsia="es-MX"/>
              </w:rPr>
            </w:pPr>
            <w:r w:rsidRPr="00275B0F">
              <w:rPr>
                <w:rFonts w:ascii="Verdana" w:eastAsia="Calibri" w:hAnsi="Verdana" w:cs="Arial"/>
                <w:lang w:val="es-ES" w:eastAsia="es-MX"/>
              </w:rPr>
              <w:lastRenderedPageBreak/>
              <w:t xml:space="preserve">Ley 1150 de 2007: Artículo 5 y artículo 6. </w:t>
            </w:r>
          </w:p>
          <w:p w14:paraId="13043AA2" w14:textId="77777777" w:rsidR="00192922" w:rsidRPr="00275B0F" w:rsidRDefault="00192922" w:rsidP="00192922">
            <w:pPr>
              <w:numPr>
                <w:ilvl w:val="0"/>
                <w:numId w:val="5"/>
              </w:numPr>
              <w:spacing w:after="160" w:line="276" w:lineRule="auto"/>
              <w:ind w:left="357" w:hanging="357"/>
              <w:contextualSpacing/>
              <w:jc w:val="both"/>
              <w:rPr>
                <w:rFonts w:ascii="Verdana" w:eastAsia="Calibri" w:hAnsi="Verdana" w:cs="Arial"/>
                <w:lang w:val="es-ES" w:eastAsia="es-MX"/>
              </w:rPr>
            </w:pPr>
            <w:r w:rsidRPr="00275B0F">
              <w:rPr>
                <w:rFonts w:ascii="Verdana" w:eastAsia="Calibri" w:hAnsi="Verdana" w:cs="Arial"/>
                <w:lang w:val="es-ES" w:eastAsia="es-MX"/>
              </w:rPr>
              <w:t xml:space="preserve">Ley 1437 de 2011: Artículo 44. </w:t>
            </w:r>
          </w:p>
          <w:p w14:paraId="244A13D2" w14:textId="77777777" w:rsidR="00192922" w:rsidRPr="00275B0F" w:rsidRDefault="00192922" w:rsidP="00192922">
            <w:pPr>
              <w:numPr>
                <w:ilvl w:val="0"/>
                <w:numId w:val="5"/>
              </w:numPr>
              <w:spacing w:after="160" w:line="276" w:lineRule="auto"/>
              <w:ind w:left="357" w:hanging="357"/>
              <w:contextualSpacing/>
              <w:jc w:val="both"/>
              <w:rPr>
                <w:rFonts w:ascii="Verdana" w:eastAsia="Calibri" w:hAnsi="Verdana" w:cs="Arial"/>
                <w:lang w:val="es-ES" w:eastAsia="es-MX"/>
              </w:rPr>
            </w:pPr>
            <w:r w:rsidRPr="00275B0F">
              <w:rPr>
                <w:rFonts w:ascii="Verdana" w:eastAsia="Calibri" w:hAnsi="Verdana" w:cs="Arial"/>
                <w:lang w:val="es-ES" w:eastAsia="es-MX"/>
              </w:rPr>
              <w:t>Código de Comercio: Artículo 25.</w:t>
            </w:r>
          </w:p>
          <w:p w14:paraId="48E73741" w14:textId="77777777" w:rsidR="00192922" w:rsidRPr="00275B0F" w:rsidRDefault="00192922" w:rsidP="00192922">
            <w:pPr>
              <w:numPr>
                <w:ilvl w:val="0"/>
                <w:numId w:val="5"/>
              </w:numPr>
              <w:spacing w:after="160" w:line="276" w:lineRule="auto"/>
              <w:ind w:left="357" w:hanging="357"/>
              <w:contextualSpacing/>
              <w:jc w:val="both"/>
              <w:rPr>
                <w:rFonts w:ascii="Verdana" w:eastAsia="Calibri" w:hAnsi="Verdana" w:cs="Arial"/>
                <w:lang w:val="es-ES" w:eastAsia="es-MX"/>
              </w:rPr>
            </w:pPr>
            <w:r w:rsidRPr="00275B0F">
              <w:rPr>
                <w:rFonts w:ascii="Verdana" w:eastAsia="Calibri" w:hAnsi="Verdana" w:cs="Arial"/>
                <w:lang w:val="es-ES" w:eastAsia="es-MX"/>
              </w:rPr>
              <w:t xml:space="preserve">Decreto 1082 de 2015: Artículo 2.2.1.1.1.6.2. </w:t>
            </w:r>
          </w:p>
          <w:p w14:paraId="693F9BE4" w14:textId="77777777" w:rsidR="00192922" w:rsidRPr="00275B0F" w:rsidRDefault="00192922" w:rsidP="00192922">
            <w:pPr>
              <w:numPr>
                <w:ilvl w:val="0"/>
                <w:numId w:val="5"/>
              </w:numPr>
              <w:spacing w:after="160" w:line="276" w:lineRule="auto"/>
              <w:ind w:left="357" w:hanging="357"/>
              <w:contextualSpacing/>
              <w:jc w:val="both"/>
              <w:rPr>
                <w:rFonts w:ascii="Verdana" w:eastAsia="Calibri" w:hAnsi="Verdana" w:cs="Arial"/>
                <w:lang w:val="es-ES" w:eastAsia="es-MX"/>
              </w:rPr>
            </w:pPr>
            <w:r w:rsidRPr="00275B0F">
              <w:rPr>
                <w:rFonts w:ascii="Verdana" w:hAnsi="Verdana"/>
                <w:lang w:val="es-ES"/>
              </w:rPr>
              <w:t xml:space="preserve">Consejo de Estado. Sección Tercera. Subsección A. Sentencia del 19 de mayo de 2025. </w:t>
            </w:r>
            <w:proofErr w:type="spellStart"/>
            <w:r w:rsidRPr="00275B0F">
              <w:rPr>
                <w:rFonts w:ascii="Verdana" w:hAnsi="Verdana"/>
                <w:lang w:val="es-ES"/>
              </w:rPr>
              <w:t>Exp</w:t>
            </w:r>
            <w:proofErr w:type="spellEnd"/>
            <w:r w:rsidRPr="00275B0F">
              <w:rPr>
                <w:rFonts w:ascii="Verdana" w:hAnsi="Verdana"/>
                <w:lang w:val="es-ES"/>
              </w:rPr>
              <w:t>. 69503. C.P. José Roberto Sáchica Méndez.</w:t>
            </w:r>
          </w:p>
          <w:p w14:paraId="484C6D84" w14:textId="77777777" w:rsidR="00192922" w:rsidRPr="00B95DCD" w:rsidRDefault="00192922" w:rsidP="00192922">
            <w:pPr>
              <w:numPr>
                <w:ilvl w:val="0"/>
                <w:numId w:val="5"/>
              </w:numPr>
              <w:spacing w:after="160" w:line="276" w:lineRule="auto"/>
              <w:ind w:left="357" w:hanging="357"/>
              <w:contextualSpacing/>
              <w:jc w:val="both"/>
              <w:rPr>
                <w:rFonts w:ascii="Verdana" w:hAnsi="Verdana" w:cs="Arial"/>
                <w:color w:val="000000" w:themeColor="text1"/>
                <w:lang w:val="es-ES"/>
              </w:rPr>
            </w:pPr>
            <w:r w:rsidRPr="00275B0F">
              <w:rPr>
                <w:rFonts w:ascii="Verdana" w:eastAsia="Calibri" w:hAnsi="Verdana" w:cs="Arial"/>
                <w:lang w:val="es-ES" w:eastAsia="es-MX"/>
              </w:rPr>
              <w:t xml:space="preserve">Agencia Nacional de Contratación Pública – Colombia Compra Eficiente. Manual para determinar y verificar los requisitos habilitantes en los Procesos de Contratación. Disponible en: </w:t>
            </w:r>
            <w:hyperlink r:id="rId14" w:history="1">
              <w:r w:rsidRPr="0045027B">
                <w:rPr>
                  <w:rFonts w:ascii="Verdana" w:hAnsi="Verdana"/>
                  <w:color w:val="0000FF"/>
                  <w:u w:val="single"/>
                  <w:lang w:val="es-ES"/>
                </w:rPr>
                <w:t>cce-eicp-ma-04._manual_requisitos_habilitantes_v3_29-09-2023.pdf</w:t>
              </w:r>
            </w:hyperlink>
            <w:r w:rsidRPr="00275B0F">
              <w:rPr>
                <w:rFonts w:ascii="Geomanist Light" w:hAnsi="Geomanist Light"/>
                <w:lang w:val="es-ES"/>
              </w:rPr>
              <w:t xml:space="preserve"> </w:t>
            </w:r>
          </w:p>
        </w:tc>
      </w:tr>
    </w:tbl>
    <w:p w14:paraId="5401316A" w14:textId="77777777" w:rsidR="00192922" w:rsidRPr="00277E26" w:rsidRDefault="00192922" w:rsidP="00192922">
      <w:pPr>
        <w:widowControl w:val="0"/>
        <w:autoSpaceDE w:val="0"/>
        <w:autoSpaceDN w:val="0"/>
        <w:spacing w:after="0" w:line="276" w:lineRule="auto"/>
        <w:jc w:val="both"/>
        <w:rPr>
          <w:rFonts w:ascii="Verdana" w:hAnsi="Verdana" w:cs="Arial"/>
        </w:rPr>
      </w:pPr>
    </w:p>
    <w:p w14:paraId="4CD18BE5" w14:textId="77777777" w:rsidR="00192922" w:rsidRPr="001F283D" w:rsidRDefault="00192922" w:rsidP="00192922">
      <w:pPr>
        <w:tabs>
          <w:tab w:val="left" w:pos="142"/>
          <w:tab w:val="left" w:pos="284"/>
        </w:tabs>
        <w:spacing w:after="0" w:line="276" w:lineRule="auto"/>
        <w:jc w:val="both"/>
        <w:rPr>
          <w:rFonts w:ascii="Verdana" w:eastAsia="Century Gothic" w:hAnsi="Verdana" w:cs="Century Gothic"/>
          <w:b/>
          <w:bCs/>
        </w:rPr>
      </w:pPr>
      <w:r>
        <w:rPr>
          <w:rFonts w:ascii="Verdana" w:eastAsia="Century Gothic" w:hAnsi="Verdana" w:cs="Century Gothic"/>
          <w:b/>
          <w:bCs/>
        </w:rPr>
        <w:t xml:space="preserve">5. </w:t>
      </w:r>
      <w:r w:rsidRPr="001F283D">
        <w:rPr>
          <w:rFonts w:ascii="Verdana" w:eastAsia="Century Gothic" w:hAnsi="Verdana" w:cs="Century Gothic"/>
          <w:b/>
          <w:bCs/>
        </w:rPr>
        <w:t>Doctrina de la Agencia Nacional de Contratación Pública:</w:t>
      </w:r>
    </w:p>
    <w:p w14:paraId="1DF0A89C" w14:textId="77777777" w:rsidR="00192922" w:rsidRDefault="00192922" w:rsidP="00192922">
      <w:pPr>
        <w:widowControl w:val="0"/>
        <w:autoSpaceDE w:val="0"/>
        <w:autoSpaceDN w:val="0"/>
        <w:spacing w:after="0" w:line="240" w:lineRule="auto"/>
        <w:jc w:val="both"/>
        <w:rPr>
          <w:rStyle w:val="normaltextrun"/>
          <w:rFonts w:ascii="Verdana" w:hAnsi="Verdana" w:cs="Arial"/>
          <w:highlight w:val="yellow"/>
          <w:shd w:val="clear" w:color="auto" w:fill="FFFFFF"/>
          <w:lang w:val="es-ES"/>
        </w:rPr>
      </w:pPr>
    </w:p>
    <w:p w14:paraId="34812909" w14:textId="69FFC84F" w:rsidR="00192922" w:rsidRPr="00275B0F" w:rsidRDefault="00192922" w:rsidP="00192922">
      <w:pPr>
        <w:widowControl w:val="0"/>
        <w:autoSpaceDE w:val="0"/>
        <w:autoSpaceDN w:val="0"/>
        <w:spacing w:after="0" w:line="276" w:lineRule="auto"/>
        <w:jc w:val="both"/>
        <w:rPr>
          <w:rFonts w:ascii="Verdana" w:hAnsi="Verdana" w:cs="Arial"/>
          <w:color w:val="000000" w:themeColor="text1"/>
          <w:shd w:val="clear" w:color="auto" w:fill="FFFFFF"/>
          <w:lang w:val="es-ES"/>
        </w:rPr>
      </w:pPr>
      <w:r w:rsidRPr="00275B0F">
        <w:rPr>
          <w:rFonts w:ascii="Verdana" w:eastAsia="Calibri" w:hAnsi="Verdana" w:cs="Arial"/>
          <w:color w:val="000000" w:themeColor="text1"/>
          <w:lang w:eastAsia="es-ES_tradnl"/>
        </w:rPr>
        <w:t xml:space="preserve">La Agencia Nacional de Contratación Pública – Colombia Compra Eficiente </w:t>
      </w:r>
      <w:r w:rsidRPr="00275B0F">
        <w:rPr>
          <w:rFonts w:ascii="Verdana" w:eastAsia="Arial" w:hAnsi="Verdana" w:cs="Arial"/>
          <w:lang w:val="es-MX" w:eastAsia="es-ES_tradnl"/>
        </w:rPr>
        <w:t xml:space="preserve">se ha referido a la determinación de los requisitos habilitantes en los conceptos C-120 del 3 de marzo de 2020, C-204 del 31 de marzo de 2020, C-099 del 6 de abril  de 2020, C-195 del 13 de abril de 2020, C-013 del 17 de abril de 2020, C-330 del 27 de mayo de 2020 y C-396 de 16 de julio </w:t>
      </w:r>
      <w:r w:rsidRPr="00275B0F">
        <w:rPr>
          <w:rFonts w:ascii="Verdana" w:hAnsi="Verdana" w:cs="Arial"/>
          <w:shd w:val="clear" w:color="auto" w:fill="FFFFFF"/>
          <w:lang w:val="es-ES"/>
        </w:rPr>
        <w:t>de 2020, C-142 del 30 de marzo de 2022,  C-337 de 18</w:t>
      </w:r>
      <w:r>
        <w:rPr>
          <w:rFonts w:ascii="Verdana" w:hAnsi="Verdana" w:cs="Arial"/>
          <w:shd w:val="clear" w:color="auto" w:fill="FFFFFF"/>
          <w:lang w:val="es-ES"/>
        </w:rPr>
        <w:t xml:space="preserve"> </w:t>
      </w:r>
      <w:r w:rsidRPr="00275B0F">
        <w:rPr>
          <w:rFonts w:ascii="Verdana" w:hAnsi="Verdana" w:cs="Arial"/>
          <w:shd w:val="clear" w:color="auto" w:fill="FFFFFF"/>
          <w:lang w:val="es-ES"/>
        </w:rPr>
        <w:t>de agosto de 2023, C-483 del 26 de septiembre de 2024, Concepto C- 662 de 2024 del 29 de enero de 2025, C–043 del 28 del febrero de 2025, C- 116 del 1 de marzo de 2025, C-1297 del 17 de octubre de 2025</w:t>
      </w:r>
      <w:r w:rsidR="00AF50E2">
        <w:rPr>
          <w:rFonts w:ascii="Verdana" w:hAnsi="Verdana" w:cs="Arial"/>
          <w:shd w:val="clear" w:color="auto" w:fill="FFFFFF"/>
          <w:lang w:val="es-ES"/>
        </w:rPr>
        <w:t xml:space="preserve">, </w:t>
      </w:r>
      <w:r w:rsidR="00AF50E2" w:rsidRPr="00AF50E2">
        <w:rPr>
          <w:rFonts w:ascii="Verdana" w:hAnsi="Verdana" w:cs="Arial"/>
          <w:shd w:val="clear" w:color="auto" w:fill="FFFFFF"/>
          <w:lang w:val="es-ES"/>
        </w:rPr>
        <w:t>Concepto C- 187 de 2025</w:t>
      </w:r>
      <w:r w:rsidR="00AF50E2">
        <w:rPr>
          <w:rFonts w:ascii="Verdana" w:hAnsi="Verdana" w:cs="Arial"/>
          <w:shd w:val="clear" w:color="auto" w:fill="FFFFFF"/>
          <w:lang w:val="es-ES"/>
        </w:rPr>
        <w:t>, y C – 006 de 2026, entre otros</w:t>
      </w:r>
      <w:r w:rsidRPr="00275B0F">
        <w:rPr>
          <w:rFonts w:ascii="Verdana" w:hAnsi="Verdana" w:cs="Arial"/>
          <w:shd w:val="clear" w:color="auto" w:fill="FFFFFF"/>
          <w:lang w:val="es-ES"/>
        </w:rPr>
        <w:t>. Estos se encuentran disponibles para consulta en el Sistema de relatoría de la Agencia, al cual puede accederse a través del siguiente enlace:</w:t>
      </w:r>
      <w:r w:rsidRPr="00275B0F">
        <w:rPr>
          <w:rFonts w:ascii="Verdana" w:hAnsi="Verdana"/>
          <w:lang w:val="es-ES"/>
        </w:rPr>
        <w:t xml:space="preserve"> </w:t>
      </w:r>
      <w:hyperlink r:id="rId15" w:history="1">
        <w:r w:rsidRPr="00275B0F">
          <w:rPr>
            <w:rFonts w:ascii="Verdana" w:hAnsi="Verdana" w:cs="Arial"/>
            <w:color w:val="0000FF"/>
            <w:u w:val="single"/>
            <w:shd w:val="clear" w:color="auto" w:fill="FFFFFF"/>
          </w:rPr>
          <w:t>https://relatoria.colombiacompra.gov.co/busqueda/conceptos</w:t>
        </w:r>
      </w:hyperlink>
      <w:r w:rsidRPr="00275B0F">
        <w:rPr>
          <w:rFonts w:ascii="Verdana" w:hAnsi="Verdana"/>
          <w:color w:val="0000FF"/>
          <w:u w:val="single"/>
        </w:rPr>
        <w:t>.</w:t>
      </w:r>
      <w:r w:rsidRPr="00275B0F">
        <w:rPr>
          <w:rFonts w:ascii="Verdana" w:hAnsi="Verdana" w:cs="Arial"/>
          <w:color w:val="000000" w:themeColor="text1"/>
          <w:shd w:val="clear" w:color="auto" w:fill="FFFFFF"/>
        </w:rPr>
        <w:t xml:space="preserve"> </w:t>
      </w:r>
      <w:r w:rsidRPr="00275B0F">
        <w:rPr>
          <w:rFonts w:ascii="Verdana" w:hAnsi="Verdana" w:cs="Arial"/>
          <w:color w:val="000000" w:themeColor="text1"/>
          <w:shd w:val="clear" w:color="auto" w:fill="FFFFFF"/>
          <w:lang w:val="es-ES"/>
        </w:rPr>
        <w:t xml:space="preserve"> </w:t>
      </w:r>
    </w:p>
    <w:p w14:paraId="5A10193B" w14:textId="77777777" w:rsidR="00192922" w:rsidRPr="00481826" w:rsidRDefault="00192922" w:rsidP="00192922">
      <w:pPr>
        <w:widowControl w:val="0"/>
        <w:autoSpaceDE w:val="0"/>
        <w:autoSpaceDN w:val="0"/>
        <w:spacing w:after="0" w:line="276" w:lineRule="auto"/>
        <w:jc w:val="both"/>
        <w:rPr>
          <w:rFonts w:ascii="Verdana" w:hAnsi="Verdana" w:cs="Arial"/>
          <w:shd w:val="clear" w:color="auto" w:fill="FFFFFF"/>
        </w:rPr>
      </w:pPr>
      <w:r w:rsidRPr="00724A38">
        <w:rPr>
          <w:rStyle w:val="normaltextrun"/>
          <w:rFonts w:ascii="Verdana" w:hAnsi="Verdana" w:cs="Arial"/>
          <w:color w:val="FF0000"/>
          <w:shd w:val="clear" w:color="auto" w:fill="FFFFFF"/>
          <w:lang w:val="es-ES"/>
        </w:rPr>
        <w:t xml:space="preserve"> </w:t>
      </w:r>
    </w:p>
    <w:p w14:paraId="3B04F853" w14:textId="77777777" w:rsidR="00D258A7" w:rsidRPr="00D258A7" w:rsidRDefault="00D258A7" w:rsidP="00D258A7">
      <w:pPr>
        <w:jc w:val="both"/>
        <w:rPr>
          <w:rFonts w:ascii="Verdana" w:eastAsia="Calibri" w:hAnsi="Verdana" w:cs="Times New Roman"/>
        </w:rPr>
      </w:pPr>
      <w:r w:rsidRPr="00D258A7">
        <w:rPr>
          <w:rFonts w:ascii="Verdana" w:eastAsia="Calibri" w:hAnsi="Verdana" w:cs="Times New Roman"/>
        </w:rPr>
        <w:t xml:space="preserve">La sostenibilidad no es una opción, es una obligación. Por ello, la Agencia Nacional de Contratación Pública –Colombia Compra Eficiente– te invita a realizar el </w:t>
      </w:r>
      <w:r w:rsidRPr="00D258A7">
        <w:rPr>
          <w:rFonts w:ascii="Verdana" w:eastAsia="Calibri" w:hAnsi="Verdana" w:cs="Times New Roman"/>
          <w:b/>
          <w:bCs/>
        </w:rPr>
        <w:t>Curso de Contratación Pública Sostenible y Socialmente Responsable</w:t>
      </w:r>
      <w:r w:rsidRPr="00D258A7">
        <w:rPr>
          <w:rFonts w:ascii="Verdana" w:eastAsia="Calibri" w:hAnsi="Verdana" w:cs="Times New Roman"/>
        </w:rPr>
        <w:t>,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w:t>
      </w:r>
      <w:r w:rsidRPr="00D258A7">
        <w:rPr>
          <w:rFonts w:ascii="Verdana" w:eastAsia="Calibri" w:hAnsi="Verdana" w:cs="Times New Roman"/>
        </w:rPr>
        <w:br/>
      </w:r>
      <w:hyperlink r:id="rId16" w:tgtFrame="_new" w:history="1">
        <w:r w:rsidRPr="00D258A7">
          <w:rPr>
            <w:rFonts w:ascii="Verdana" w:eastAsia="Calibri" w:hAnsi="Verdana" w:cs="Times New Roman"/>
            <w:color w:val="0000FF"/>
            <w:u w:val="single"/>
          </w:rPr>
          <w:t>https://formacionvirtual.colombiacompra.gov.co/mod/page/view.php?id=3718</w:t>
        </w:r>
      </w:hyperlink>
    </w:p>
    <w:p w14:paraId="48B76271" w14:textId="77777777" w:rsidR="00D258A7" w:rsidRPr="00D258A7" w:rsidRDefault="00D258A7" w:rsidP="00D258A7">
      <w:pPr>
        <w:jc w:val="both"/>
        <w:rPr>
          <w:rFonts w:ascii="Verdana" w:eastAsia="Calibri" w:hAnsi="Verdana" w:cs="Times New Roman"/>
        </w:rPr>
      </w:pPr>
      <w:r w:rsidRPr="00D258A7">
        <w:rPr>
          <w:rFonts w:ascii="Verdana" w:eastAsia="Calibri" w:hAnsi="Verdana" w:cs="Times New Roman"/>
        </w:rPr>
        <w:t xml:space="preserve">De otro lado, te contamos que esta Agencia ha da un paso decisivo en la estandarización y modernización del </w:t>
      </w:r>
      <w:r w:rsidRPr="00D258A7">
        <w:rPr>
          <w:rFonts w:ascii="Verdana" w:eastAsia="Calibri" w:hAnsi="Verdana" w:cs="Times New Roman"/>
          <w:b/>
          <w:bCs/>
        </w:rPr>
        <w:t>sector  social</w:t>
      </w:r>
      <w:r w:rsidRPr="00D258A7">
        <w:rPr>
          <w:rFonts w:ascii="Verdana" w:eastAsia="Calibri" w:hAnsi="Verdana" w:cs="Times New Roman"/>
        </w:rPr>
        <w:t xml:space="preserve"> con la expedición de las </w:t>
      </w:r>
      <w:r w:rsidRPr="00D258A7">
        <w:rPr>
          <w:rFonts w:ascii="Verdana" w:eastAsia="Calibri" w:hAnsi="Verdana" w:cs="Times New Roman"/>
          <w:b/>
          <w:bCs/>
        </w:rPr>
        <w:lastRenderedPageBreak/>
        <w:t>Resoluciones 539, 540, 541, 952 y 953 de 2025</w:t>
      </w:r>
      <w:r w:rsidRPr="00D258A7">
        <w:rPr>
          <w:rFonts w:ascii="Verdana" w:eastAsia="Calibri" w:hAnsi="Verdana" w:cs="Times New Roman"/>
        </w:rPr>
        <w:t xml:space="preserve">, </w:t>
      </w:r>
      <w:r w:rsidRPr="00D258A7">
        <w:rPr>
          <w:rFonts w:ascii="Verdana" w:eastAsia="Calibri" w:hAnsi="Verdana" w:cs="Times New Roman"/>
          <w:b/>
          <w:bCs/>
        </w:rPr>
        <w:t>mediante las cuales adoptó Documentos Tipo</w:t>
      </w:r>
      <w:r w:rsidRPr="00D258A7">
        <w:rPr>
          <w:rFonts w:ascii="Verdana" w:eastAsia="Calibri" w:hAnsi="Verdana" w:cs="Times New Roman"/>
        </w:rPr>
        <w:t xml:space="preserve"> para las modalidades de selección de</w:t>
      </w:r>
      <w:r w:rsidRPr="00D258A7">
        <w:rPr>
          <w:rFonts w:ascii="Verdana" w:eastAsia="Calibri" w:hAnsi="Verdana" w:cs="Times New Roman"/>
          <w:b/>
          <w:bCs/>
        </w:rPr>
        <w:t xml:space="preserve"> licitación pública (versión 2), selección abreviada de menor cuantía, mínima cuantía, consultoría e interventoría</w:t>
      </w:r>
      <w:r w:rsidRPr="00D258A7">
        <w:rPr>
          <w:rFonts w:ascii="Verdana" w:eastAsia="Calibri" w:hAnsi="Verdana" w:cs="Times New Roman"/>
        </w:rPr>
        <w:t xml:space="preserve">, promoviendo procesos más transparentes, eficientes  competitivos y sostenibles en sectores estratégicos como educación, salud, cultura, recreación, deporte, institucional y vivienda. Consulta y descarga los documentos aquí: </w:t>
      </w:r>
      <w:hyperlink r:id="rId17" w:tgtFrame="_new" w:history="1">
        <w:r w:rsidRPr="00D258A7">
          <w:rPr>
            <w:rFonts w:ascii="Verdana" w:eastAsia="Calibri" w:hAnsi="Verdana" w:cs="Times New Roman"/>
            <w:color w:val="0000FF"/>
            <w:u w:val="single"/>
          </w:rPr>
          <w:t>https://www.colombiacompra.gov.co/normativa-y-relatoria/documentos-tipo</w:t>
        </w:r>
      </w:hyperlink>
    </w:p>
    <w:p w14:paraId="3E485E2B" w14:textId="77777777" w:rsidR="00D258A7" w:rsidRPr="00D258A7" w:rsidRDefault="00D258A7" w:rsidP="00D258A7">
      <w:pPr>
        <w:jc w:val="both"/>
        <w:rPr>
          <w:rFonts w:ascii="Verdana" w:eastAsia="Calibri" w:hAnsi="Verdana" w:cs="Times New Roman"/>
          <w:color w:val="000000"/>
          <w:lang w:val="es-ES_tradnl"/>
        </w:rPr>
      </w:pPr>
      <w:r w:rsidRPr="00D258A7">
        <w:rPr>
          <w:rFonts w:ascii="Verdana" w:eastAsia="Calibri" w:hAnsi="Verdana" w:cs="Times New Roman"/>
        </w:rPr>
        <w:t xml:space="preserve">Si quieres conocer más sobre la aplicación de Documentos Tipo puedes consultar la última versión de la </w:t>
      </w:r>
      <w:r w:rsidRPr="00D258A7">
        <w:rPr>
          <w:rFonts w:ascii="Verdana" w:eastAsia="Calibri" w:hAnsi="Verdana" w:cs="Times New Roman"/>
          <w:b/>
          <w:bCs/>
        </w:rPr>
        <w:t>Guía para la comprensión e implementación de los Documentos Tipo de obra pública de infraestructura de transporte</w:t>
      </w:r>
      <w:r w:rsidRPr="00D258A7">
        <w:rPr>
          <w:rFonts w:ascii="Verdana" w:eastAsia="Calibri" w:hAnsi="Verdana" w:cs="Times New Roman"/>
        </w:rPr>
        <w:t>.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w:t>
      </w:r>
      <w:r w:rsidRPr="00D258A7">
        <w:rPr>
          <w:rFonts w:ascii="Verdana" w:eastAsia="Calibri" w:hAnsi="Verdana" w:cs="Times New Roman"/>
        </w:rPr>
        <w:br/>
      </w:r>
      <w:hyperlink r:id="rId18" w:tgtFrame="_new" w:history="1">
        <w:r w:rsidRPr="00D258A7">
          <w:rPr>
            <w:rFonts w:ascii="Verdana" w:eastAsia="Calibri" w:hAnsi="Verdana" w:cs="Times New Roman"/>
            <w:color w:val="0000FF"/>
            <w:u w:val="single"/>
          </w:rPr>
          <w:t>https://www.colombiacompra.gov.co/archivos/manual/guia-para-la-comprension-e-implementacion-de-los-documentos-tipo-de-obra-publica-de-infraestructura-de-transporte-bajo-las-diferentes-modalidades-de-contratacion-vigentes</w:t>
        </w:r>
      </w:hyperlink>
    </w:p>
    <w:p w14:paraId="79517EA5" w14:textId="77777777" w:rsidR="00D258A7" w:rsidRPr="00D258A7" w:rsidRDefault="00D258A7" w:rsidP="00D258A7">
      <w:pPr>
        <w:spacing w:after="0"/>
        <w:jc w:val="both"/>
        <w:rPr>
          <w:rFonts w:ascii="Verdana" w:eastAsia="Calibri" w:hAnsi="Verdana" w:cs="Times New Roman"/>
        </w:rPr>
      </w:pPr>
      <w:r w:rsidRPr="00D258A7">
        <w:rPr>
          <w:rFonts w:ascii="Verdana" w:eastAsia="Calibri" w:hAnsi="Verdana" w:cs="Times New Roman"/>
        </w:rPr>
        <w:t xml:space="preserve">Aprovechamos la oportunidad de manifestar la entera disposición de la Agencia Nacional de Contratación Pública –Colombia Compra Eficiente– para atender las peticiones o solicitudes, así como para brindar el apoyo que se requiera en el marco de nuestras funciones a través de nuestros diferentes canales de atención: </w:t>
      </w:r>
    </w:p>
    <w:p w14:paraId="467476C7" w14:textId="77777777" w:rsidR="00D258A7" w:rsidRPr="00D258A7" w:rsidRDefault="00D258A7" w:rsidP="00D258A7">
      <w:pPr>
        <w:spacing w:after="0"/>
        <w:jc w:val="both"/>
        <w:rPr>
          <w:rFonts w:ascii="Verdana" w:eastAsia="Calibri" w:hAnsi="Verdana" w:cs="Times New Roman"/>
        </w:rPr>
      </w:pPr>
    </w:p>
    <w:p w14:paraId="7CFD8D47" w14:textId="77777777" w:rsidR="00D258A7" w:rsidRPr="00D258A7" w:rsidRDefault="00D258A7" w:rsidP="00D258A7">
      <w:pPr>
        <w:numPr>
          <w:ilvl w:val="0"/>
          <w:numId w:val="3"/>
        </w:numPr>
        <w:spacing w:after="0" w:line="240" w:lineRule="auto"/>
        <w:contextualSpacing/>
        <w:jc w:val="both"/>
        <w:rPr>
          <w:rFonts w:ascii="Verdana" w:eastAsia="Verdana" w:hAnsi="Verdana" w:cs="Verdana"/>
          <w:color w:val="4472C4"/>
          <w:u w:val="single"/>
          <w:lang w:val="es-MX"/>
        </w:rPr>
      </w:pPr>
      <w:r w:rsidRPr="00D258A7">
        <w:rPr>
          <w:rFonts w:ascii="Verdana" w:eastAsia="Verdana" w:hAnsi="Verdana" w:cs="Verdana"/>
          <w:lang w:val="es-MX"/>
        </w:rPr>
        <w:t xml:space="preserve">Línea nacional gratuita o servicio a la ciudadanía (Mesa de servicio): </w:t>
      </w:r>
      <w:r w:rsidRPr="00D258A7">
        <w:rPr>
          <w:rFonts w:ascii="Verdana" w:eastAsia="Calibri" w:hAnsi="Verdana" w:cs="Times New Roman"/>
          <w:color w:val="0000FF"/>
          <w:u w:val="single"/>
          <w:lang w:val="es-ES"/>
        </w:rPr>
        <w:t>01800 0520808</w:t>
      </w:r>
    </w:p>
    <w:p w14:paraId="2621C698" w14:textId="77777777" w:rsidR="00D258A7" w:rsidRPr="00D258A7" w:rsidRDefault="00D258A7" w:rsidP="00D258A7">
      <w:pPr>
        <w:numPr>
          <w:ilvl w:val="0"/>
          <w:numId w:val="3"/>
        </w:numPr>
        <w:spacing w:after="0" w:line="256" w:lineRule="auto"/>
        <w:contextualSpacing/>
        <w:rPr>
          <w:rFonts w:ascii="Verdana" w:eastAsia="Verdana" w:hAnsi="Verdana" w:cs="Verdana"/>
          <w:color w:val="4472C4"/>
          <w:u w:val="single"/>
          <w:lang w:val="es-MX"/>
        </w:rPr>
      </w:pPr>
      <w:r w:rsidRPr="00D258A7">
        <w:rPr>
          <w:rFonts w:ascii="Verdana" w:eastAsia="Verdana" w:hAnsi="Verdana" w:cs="Verdana"/>
          <w:lang w:val="es-MX"/>
        </w:rPr>
        <w:t>Línea en Bogotá (Mesa de servicio):</w:t>
      </w:r>
      <w:r w:rsidRPr="00D258A7">
        <w:rPr>
          <w:rFonts w:ascii="Verdana" w:eastAsia="Calibri" w:hAnsi="Verdana" w:cs="Times New Roman"/>
          <w:color w:val="0000FF"/>
          <w:u w:val="single"/>
          <w:lang w:val="es-ES"/>
        </w:rPr>
        <w:t>+57 601 7456788</w:t>
      </w:r>
    </w:p>
    <w:p w14:paraId="78CC7AF9" w14:textId="77777777" w:rsidR="00D258A7" w:rsidRPr="00D258A7" w:rsidRDefault="00D258A7" w:rsidP="00D258A7">
      <w:pPr>
        <w:numPr>
          <w:ilvl w:val="0"/>
          <w:numId w:val="3"/>
        </w:numPr>
        <w:spacing w:after="0" w:line="256" w:lineRule="auto"/>
        <w:contextualSpacing/>
        <w:rPr>
          <w:rFonts w:ascii="Verdana" w:eastAsia="Verdana" w:hAnsi="Verdana" w:cs="Verdana"/>
          <w:color w:val="0000FF"/>
          <w:u w:val="single"/>
          <w:lang w:val="es-MX"/>
        </w:rPr>
      </w:pPr>
      <w:r w:rsidRPr="00D258A7">
        <w:rPr>
          <w:rFonts w:ascii="Verdana" w:eastAsia="Verdana" w:hAnsi="Verdana" w:cs="Verdana"/>
          <w:lang w:val="es-MX"/>
        </w:rPr>
        <w:t xml:space="preserve">Correo de radicación de correspondencia: </w:t>
      </w:r>
      <w:hyperlink r:id="rId19" w:history="1">
        <w:r w:rsidRPr="00D258A7">
          <w:rPr>
            <w:rFonts w:ascii="Verdana" w:eastAsia="Verdana" w:hAnsi="Verdana" w:cs="Verdana"/>
            <w:color w:val="0000FF"/>
            <w:u w:val="single"/>
            <w:lang w:val="es-MX"/>
          </w:rPr>
          <w:t>ventanilladeradicacion@colombiacompra.gov.co</w:t>
        </w:r>
      </w:hyperlink>
    </w:p>
    <w:p w14:paraId="5796A6C7" w14:textId="77777777" w:rsidR="00D258A7" w:rsidRPr="00D258A7" w:rsidRDefault="00D258A7" w:rsidP="00D258A7">
      <w:pPr>
        <w:numPr>
          <w:ilvl w:val="0"/>
          <w:numId w:val="3"/>
        </w:numPr>
        <w:spacing w:after="0" w:line="256" w:lineRule="auto"/>
        <w:contextualSpacing/>
        <w:rPr>
          <w:rFonts w:ascii="Verdana" w:eastAsia="Verdana" w:hAnsi="Verdana" w:cs="Verdana"/>
          <w:color w:val="0000FF"/>
          <w:u w:val="single"/>
          <w:lang w:val="es-MX"/>
        </w:rPr>
      </w:pPr>
      <w:r w:rsidRPr="00D258A7">
        <w:rPr>
          <w:rFonts w:ascii="Verdana" w:eastAsia="Verdana" w:hAnsi="Verdana" w:cs="Verdana"/>
          <w:lang w:val="es-ES"/>
        </w:rPr>
        <w:t xml:space="preserve">Formulario web para PQRSD: </w:t>
      </w:r>
      <w:hyperlink r:id="rId20" w:history="1">
        <w:r w:rsidRPr="00D258A7">
          <w:rPr>
            <w:rFonts w:ascii="Verdana" w:eastAsia="Verdana" w:hAnsi="Verdana" w:cs="Verdana"/>
            <w:color w:val="0000FF"/>
            <w:u w:val="single"/>
            <w:lang w:val="es-MX"/>
          </w:rPr>
          <w:t>https://www.colombiacompra.gov.co/pqrsd/informacion-importante-antes-de-formular-una-pqrsd</w:t>
        </w:r>
      </w:hyperlink>
    </w:p>
    <w:p w14:paraId="498917F4" w14:textId="77777777" w:rsidR="00D258A7" w:rsidRPr="00D258A7" w:rsidRDefault="00D258A7" w:rsidP="00D258A7">
      <w:pPr>
        <w:spacing w:after="0" w:line="240" w:lineRule="auto"/>
        <w:ind w:left="720"/>
        <w:jc w:val="both"/>
        <w:rPr>
          <w:rFonts w:ascii="Verdana" w:eastAsia="Calibri" w:hAnsi="Verdana" w:cs="Times New Roman"/>
        </w:rPr>
      </w:pPr>
    </w:p>
    <w:p w14:paraId="2B68C88E" w14:textId="77777777" w:rsidR="00D258A7" w:rsidRPr="00D258A7" w:rsidRDefault="00D258A7" w:rsidP="00D258A7">
      <w:pPr>
        <w:spacing w:after="0" w:line="240" w:lineRule="auto"/>
        <w:rPr>
          <w:rFonts w:ascii="Verdana" w:eastAsia="Calibri" w:hAnsi="Verdana" w:cs="Times New Roman"/>
        </w:rPr>
      </w:pPr>
      <w:r w:rsidRPr="00D258A7">
        <w:rPr>
          <w:rFonts w:ascii="Verdana" w:eastAsia="Calibri" w:hAnsi="Verdana" w:cs="Times New Roman"/>
        </w:rPr>
        <w:lastRenderedPageBreak/>
        <w:t>Evalúa el servicio que ofrece la Agencia por el canal de atención de PQRSD en el siguiente enlace :</w:t>
      </w:r>
      <w:hyperlink r:id="rId21" w:tgtFrame="_blank" w:tooltip="https://forms.office.com/r/pphywvs2sz" w:history="1">
        <w:r w:rsidRPr="00D258A7">
          <w:rPr>
            <w:rFonts w:ascii="Verdana" w:eastAsia="Calibri" w:hAnsi="Verdana" w:cs="Times New Roman"/>
            <w:color w:val="0000FF"/>
            <w:u w:val="single"/>
          </w:rPr>
          <w:t>https://forms.office.com/r/pPHyWVs2SZ</w:t>
        </w:r>
      </w:hyperlink>
      <w:r w:rsidRPr="00D258A7">
        <w:rPr>
          <w:rFonts w:ascii="Verdana" w:eastAsia="Calibri" w:hAnsi="Verdana" w:cs="Times New Roman"/>
        </w:rPr>
        <w:t xml:space="preserve"> .¡Ayúdanos a mejorar porque el compromiso es de todos!</w:t>
      </w:r>
    </w:p>
    <w:p w14:paraId="6DE2AC0D" w14:textId="77777777" w:rsidR="00D258A7" w:rsidRPr="00D258A7" w:rsidRDefault="00D258A7" w:rsidP="00D258A7">
      <w:pPr>
        <w:spacing w:after="0" w:line="240" w:lineRule="auto"/>
        <w:rPr>
          <w:rFonts w:ascii="Verdana" w:eastAsia="Calibri" w:hAnsi="Verdana" w:cs="Times New Roman"/>
        </w:rPr>
      </w:pPr>
    </w:p>
    <w:p w14:paraId="2BEF5EF7" w14:textId="77777777" w:rsidR="00D258A7" w:rsidRPr="00D258A7" w:rsidRDefault="00D258A7" w:rsidP="00D258A7">
      <w:pPr>
        <w:spacing w:after="0" w:line="240" w:lineRule="auto"/>
        <w:jc w:val="both"/>
        <w:rPr>
          <w:rFonts w:ascii="Verdana" w:eastAsia="Calibri" w:hAnsi="Verdana" w:cs="Times New Roman"/>
        </w:rPr>
      </w:pPr>
      <w:r w:rsidRPr="00D258A7">
        <w:rPr>
          <w:rFonts w:ascii="Verdana" w:eastAsia="Calibri" w:hAnsi="Verdana" w:cs="Times New Roman"/>
        </w:rPr>
        <w:t xml:space="preserve">Por último, lo invitamos a seguirnos en las redes sociales en las cuales se difunde información institucional: </w:t>
      </w:r>
    </w:p>
    <w:p w14:paraId="191B0752" w14:textId="77777777" w:rsidR="00D258A7" w:rsidRPr="00D258A7" w:rsidRDefault="00D258A7" w:rsidP="00D258A7">
      <w:pPr>
        <w:spacing w:after="0" w:line="240" w:lineRule="auto"/>
        <w:jc w:val="both"/>
        <w:rPr>
          <w:rFonts w:ascii="Verdana" w:eastAsia="Calibri" w:hAnsi="Verdana" w:cs="Times New Roman"/>
        </w:rPr>
      </w:pPr>
    </w:p>
    <w:p w14:paraId="3CF4833F" w14:textId="77777777" w:rsidR="00D258A7" w:rsidRPr="00D258A7" w:rsidRDefault="00D258A7" w:rsidP="00D258A7">
      <w:pPr>
        <w:spacing w:after="0" w:line="240" w:lineRule="auto"/>
        <w:jc w:val="both"/>
        <w:rPr>
          <w:rFonts w:ascii="Verdana" w:eastAsia="Calibri" w:hAnsi="Verdana" w:cs="Times New Roman"/>
        </w:rPr>
      </w:pPr>
      <w:r w:rsidRPr="00D258A7">
        <w:rPr>
          <w:rFonts w:ascii="Verdana" w:eastAsia="Calibri" w:hAnsi="Verdana" w:cs="Times New Roman"/>
        </w:rPr>
        <w:t xml:space="preserve">Twitter: </w:t>
      </w:r>
      <w:r w:rsidRPr="00D258A7">
        <w:rPr>
          <w:rFonts w:ascii="Verdana" w:eastAsia="Calibri" w:hAnsi="Verdana" w:cs="Times New Roman"/>
          <w:color w:val="0000FF"/>
          <w:u w:val="single"/>
        </w:rPr>
        <w:t>@colombiacompra</w:t>
      </w:r>
      <w:r w:rsidRPr="00D258A7">
        <w:rPr>
          <w:rFonts w:ascii="Verdana" w:eastAsia="Calibri" w:hAnsi="Verdana" w:cs="Times New Roman"/>
        </w:rPr>
        <w:t xml:space="preserve"> </w:t>
      </w:r>
    </w:p>
    <w:p w14:paraId="0B5BD30B" w14:textId="77777777" w:rsidR="00D258A7" w:rsidRPr="00D258A7" w:rsidRDefault="00D258A7" w:rsidP="00D258A7">
      <w:pPr>
        <w:spacing w:after="0" w:line="240" w:lineRule="auto"/>
        <w:jc w:val="both"/>
        <w:rPr>
          <w:rFonts w:ascii="Verdana" w:eastAsia="Calibri" w:hAnsi="Verdana" w:cs="Times New Roman"/>
        </w:rPr>
      </w:pPr>
      <w:r w:rsidRPr="00D258A7">
        <w:rPr>
          <w:rFonts w:ascii="Verdana" w:eastAsia="Calibri" w:hAnsi="Verdana" w:cs="Times New Roman"/>
        </w:rPr>
        <w:t xml:space="preserve">Facebook: </w:t>
      </w:r>
      <w:proofErr w:type="spellStart"/>
      <w:r w:rsidRPr="00D258A7">
        <w:rPr>
          <w:rFonts w:ascii="Verdana" w:eastAsia="Calibri" w:hAnsi="Verdana" w:cs="Times New Roman"/>
          <w:color w:val="0000FF"/>
          <w:u w:val="single"/>
        </w:rPr>
        <w:t>ColombiaCompraEficiente</w:t>
      </w:r>
      <w:proofErr w:type="spellEnd"/>
    </w:p>
    <w:p w14:paraId="5CBC0797" w14:textId="77777777" w:rsidR="00D258A7" w:rsidRPr="00D258A7" w:rsidRDefault="00D258A7" w:rsidP="00D258A7">
      <w:pPr>
        <w:spacing w:after="0" w:line="240" w:lineRule="auto"/>
        <w:jc w:val="both"/>
        <w:rPr>
          <w:rFonts w:ascii="Verdana" w:eastAsia="Calibri" w:hAnsi="Verdana" w:cs="Times New Roman"/>
        </w:rPr>
      </w:pPr>
      <w:r w:rsidRPr="00D258A7">
        <w:rPr>
          <w:rFonts w:ascii="Verdana" w:eastAsia="Calibri" w:hAnsi="Verdana" w:cs="Times New Roman"/>
        </w:rPr>
        <w:t xml:space="preserve">LinkedIn: </w:t>
      </w:r>
      <w:r w:rsidRPr="00D258A7">
        <w:rPr>
          <w:rFonts w:ascii="Verdana" w:eastAsia="Calibri" w:hAnsi="Verdana" w:cs="Times New Roman"/>
          <w:color w:val="0000FF"/>
          <w:u w:val="single"/>
        </w:rPr>
        <w:t>Agencia Nacional de Contratación Pública - Colombia Compra Eficiente</w:t>
      </w:r>
      <w:r w:rsidRPr="00D258A7">
        <w:rPr>
          <w:rFonts w:ascii="Verdana" w:eastAsia="Calibri" w:hAnsi="Verdana" w:cs="Times New Roman"/>
        </w:rPr>
        <w:t xml:space="preserve"> Instagram: </w:t>
      </w:r>
      <w:r w:rsidRPr="00D258A7">
        <w:rPr>
          <w:rFonts w:ascii="Verdana" w:eastAsia="Calibri" w:hAnsi="Verdana" w:cs="Times New Roman"/>
          <w:color w:val="0000FF"/>
          <w:u w:val="single"/>
        </w:rPr>
        <w:t>@colombiacompraeficiente_cce</w:t>
      </w:r>
    </w:p>
    <w:p w14:paraId="347C0758" w14:textId="77777777" w:rsidR="00D258A7" w:rsidRPr="00D258A7" w:rsidRDefault="00D258A7" w:rsidP="00D258A7">
      <w:pPr>
        <w:widowControl w:val="0"/>
        <w:autoSpaceDE w:val="0"/>
        <w:autoSpaceDN w:val="0"/>
        <w:spacing w:after="120" w:line="276" w:lineRule="auto"/>
        <w:jc w:val="both"/>
        <w:rPr>
          <w:rFonts w:ascii="Verdana" w:eastAsia="Calibri" w:hAnsi="Verdana" w:cs="Arial"/>
          <w:color w:val="FF0000"/>
          <w:shd w:val="clear" w:color="auto" w:fill="FFFFFF"/>
          <w:lang w:val="es-ES_tradnl"/>
        </w:rPr>
      </w:pPr>
      <w:r w:rsidRPr="00D258A7">
        <w:rPr>
          <w:rFonts w:ascii="Verdana" w:eastAsia="Calibri" w:hAnsi="Verdana" w:cs="Arial"/>
          <w:color w:val="FF0000"/>
          <w:shd w:val="clear" w:color="auto" w:fill="FFFFFF"/>
          <w:lang w:val="es-ES_tradnl"/>
        </w:rPr>
        <w:t xml:space="preserve">              </w:t>
      </w:r>
    </w:p>
    <w:p w14:paraId="15328C7E" w14:textId="77777777" w:rsidR="00D258A7" w:rsidRPr="00D258A7" w:rsidRDefault="00D258A7" w:rsidP="00D258A7">
      <w:pPr>
        <w:widowControl w:val="0"/>
        <w:autoSpaceDE w:val="0"/>
        <w:autoSpaceDN w:val="0"/>
        <w:spacing w:after="0" w:line="276" w:lineRule="auto"/>
        <w:jc w:val="both"/>
        <w:rPr>
          <w:rFonts w:ascii="Verdana" w:eastAsia="Calibri" w:hAnsi="Verdana" w:cs="Arial"/>
          <w:lang w:val="es-ES_tradnl"/>
        </w:rPr>
      </w:pPr>
      <w:r w:rsidRPr="00D258A7">
        <w:rPr>
          <w:rFonts w:ascii="Verdana" w:eastAsia="Calibri" w:hAnsi="Verdana" w:cs="Arial"/>
        </w:rPr>
        <w:t xml:space="preserve">Este concepto tiene el alcance previsto en el artículo 28 del Código de Procedimiento Administrativo y de lo Contencioso Administrativo </w:t>
      </w:r>
      <w:r w:rsidRPr="00D258A7">
        <w:rPr>
          <w:rFonts w:ascii="Verdana" w:eastAsia="Calibri" w:hAnsi="Verdana" w:cs="Arial"/>
          <w:lang w:val="es-ES_tradnl"/>
        </w:rPr>
        <w:t>y las expresiones aquí utilizadas con mayúscula inicial deben ser entendidas con el significado que les otorga el artículo 2.2.1.1.1.3.1. del Decreto 1082 de 2015.</w:t>
      </w:r>
    </w:p>
    <w:p w14:paraId="4F44893A" w14:textId="77777777" w:rsidR="00D258A7" w:rsidRPr="00D258A7" w:rsidRDefault="00D258A7" w:rsidP="00D258A7">
      <w:pPr>
        <w:widowControl w:val="0"/>
        <w:autoSpaceDE w:val="0"/>
        <w:autoSpaceDN w:val="0"/>
        <w:spacing w:after="0" w:line="276" w:lineRule="auto"/>
        <w:jc w:val="both"/>
        <w:rPr>
          <w:rFonts w:ascii="Verdana" w:eastAsia="Calibri" w:hAnsi="Verdana" w:cs="Arial"/>
        </w:rPr>
      </w:pPr>
    </w:p>
    <w:p w14:paraId="13514C8A" w14:textId="77777777" w:rsidR="00D258A7" w:rsidRPr="00D258A7" w:rsidRDefault="00D258A7" w:rsidP="00D258A7">
      <w:pPr>
        <w:spacing w:after="0" w:line="240" w:lineRule="auto"/>
        <w:rPr>
          <w:rFonts w:ascii="Verdana" w:eastAsia="Calibri" w:hAnsi="Verdana" w:cs="Arial"/>
          <w:lang w:eastAsia="es-CO"/>
        </w:rPr>
      </w:pPr>
      <w:r w:rsidRPr="00D258A7">
        <w:rPr>
          <w:rFonts w:ascii="Verdana" w:eastAsia="Times New Roman" w:hAnsi="Verdana" w:cs="Arial"/>
          <w:lang w:eastAsia="es-CO"/>
        </w:rPr>
        <w:t>Atentamente,</w:t>
      </w:r>
      <w:r w:rsidRPr="00D258A7">
        <w:rPr>
          <w:rFonts w:ascii="Verdana" w:eastAsia="Calibri" w:hAnsi="Verdana" w:cs="Arial"/>
          <w:lang w:eastAsia="es-CO"/>
        </w:rPr>
        <w:t xml:space="preserve"> </w:t>
      </w:r>
    </w:p>
    <w:p w14:paraId="726F8317" w14:textId="77777777" w:rsidR="00D258A7" w:rsidRPr="00AF50E2" w:rsidRDefault="00D258A7" w:rsidP="00D258A7">
      <w:pPr>
        <w:spacing w:after="120" w:line="276" w:lineRule="auto"/>
        <w:jc w:val="both"/>
        <w:rPr>
          <w:rFonts w:ascii="Verdana" w:eastAsia="Calibri" w:hAnsi="Verdana" w:cs="Times New Roman"/>
        </w:rPr>
      </w:pPr>
    </w:p>
    <w:p w14:paraId="6295EEF9" w14:textId="77777777" w:rsidR="00AF50E2" w:rsidRDefault="00AF50E2" w:rsidP="00192922">
      <w:pPr>
        <w:spacing w:after="0" w:line="256" w:lineRule="auto"/>
        <w:jc w:val="center"/>
        <w:rPr>
          <w:noProof/>
        </w:rPr>
      </w:pPr>
    </w:p>
    <w:p w14:paraId="33A2A839" w14:textId="3C64CBE0" w:rsidR="00AF50E2" w:rsidRPr="001D36FE" w:rsidRDefault="00444113" w:rsidP="00192922">
      <w:pPr>
        <w:spacing w:after="0" w:line="256" w:lineRule="auto"/>
        <w:jc w:val="center"/>
        <w:rPr>
          <w:noProof/>
        </w:rPr>
      </w:pPr>
      <w:r w:rsidRPr="002C3AD6">
        <w:rPr>
          <w:rFonts w:ascii="Century Gothic" w:hAnsi="Century Gothic"/>
          <w:noProof/>
        </w:rPr>
        <w:drawing>
          <wp:inline distT="0" distB="0" distL="0" distR="0" wp14:anchorId="01EE2F8A" wp14:editId="29A26879">
            <wp:extent cx="3772426" cy="1400370"/>
            <wp:effectExtent l="0" t="0" r="0" b="9525"/>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22"/>
                    <a:stretch>
                      <a:fillRect/>
                    </a:stretch>
                  </pic:blipFill>
                  <pic:spPr>
                    <a:xfrm>
                      <a:off x="0" y="0"/>
                      <a:ext cx="3772426" cy="1400370"/>
                    </a:xfrm>
                    <a:prstGeom prst="rect">
                      <a:avLst/>
                    </a:prstGeom>
                  </pic:spPr>
                </pic:pic>
              </a:graphicData>
            </a:graphic>
          </wp:inline>
        </w:drawing>
      </w:r>
    </w:p>
    <w:bookmarkEnd w:id="0"/>
    <w:bookmarkEnd w:id="1"/>
    <w:p w14:paraId="5EC4BEDE" w14:textId="77777777" w:rsidR="00192922" w:rsidRDefault="00192922" w:rsidP="00192922">
      <w:pPr>
        <w:spacing w:after="0"/>
        <w:rPr>
          <w:rFonts w:ascii="Verdana" w:hAnsi="Verdana"/>
        </w:rPr>
      </w:pPr>
    </w:p>
    <w:p w14:paraId="3CDB30DA" w14:textId="77777777" w:rsidR="00192922" w:rsidRDefault="00192922" w:rsidP="00192922">
      <w:pPr>
        <w:spacing w:after="0"/>
        <w:rPr>
          <w:rFonts w:ascii="Verdana" w:hAnsi="Verdana"/>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192922" w:rsidRPr="002423D6" w14:paraId="46B633A2" w14:textId="77777777" w:rsidTr="00D61250">
        <w:trPr>
          <w:trHeight w:val="315"/>
        </w:trPr>
        <w:tc>
          <w:tcPr>
            <w:tcW w:w="893" w:type="dxa"/>
            <w:vAlign w:val="center"/>
            <w:hideMark/>
          </w:tcPr>
          <w:p w14:paraId="3FEDEBBE" w14:textId="77777777" w:rsidR="00192922" w:rsidRPr="002423D6" w:rsidRDefault="00192922" w:rsidP="00D61250">
            <w:pPr>
              <w:contextualSpacing/>
              <w:rPr>
                <w:rFonts w:ascii="Verdana" w:hAnsi="Verdana" w:cs="Arial"/>
                <w:color w:val="000000" w:themeColor="text1"/>
                <w:sz w:val="16"/>
                <w:szCs w:val="16"/>
                <w:lang w:val="es-ES" w:eastAsia="es-ES"/>
              </w:rPr>
            </w:pPr>
            <w:r w:rsidRPr="002423D6">
              <w:rPr>
                <w:rFonts w:ascii="Verdana" w:hAnsi="Verdana" w:cs="Arial"/>
                <w:color w:val="000000" w:themeColor="text1"/>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2579BBFB" w14:textId="75CFE536" w:rsidR="00192922" w:rsidRPr="002423D6" w:rsidRDefault="00AF50E2" w:rsidP="00D61250">
            <w:pPr>
              <w:contextualSpacing/>
              <w:rPr>
                <w:rFonts w:ascii="Verdana" w:eastAsia="Arial" w:hAnsi="Verdana" w:cs="Arial"/>
                <w:color w:val="000000" w:themeColor="text1"/>
                <w:sz w:val="16"/>
                <w:szCs w:val="16"/>
              </w:rPr>
            </w:pPr>
            <w:r>
              <w:rPr>
                <w:rFonts w:ascii="Verdana" w:eastAsia="Arial" w:hAnsi="Verdana" w:cs="Arial"/>
                <w:color w:val="000000" w:themeColor="text1"/>
                <w:sz w:val="16"/>
                <w:szCs w:val="16"/>
              </w:rPr>
              <w:t xml:space="preserve">Camilo J Martínez </w:t>
            </w:r>
            <w:proofErr w:type="spellStart"/>
            <w:r>
              <w:rPr>
                <w:rFonts w:ascii="Verdana" w:eastAsia="Arial" w:hAnsi="Verdana" w:cs="Arial"/>
                <w:color w:val="000000" w:themeColor="text1"/>
                <w:sz w:val="16"/>
                <w:szCs w:val="16"/>
              </w:rPr>
              <w:t>Martínez</w:t>
            </w:r>
            <w:proofErr w:type="spellEnd"/>
            <w:r>
              <w:rPr>
                <w:rFonts w:ascii="Verdana" w:eastAsia="Arial" w:hAnsi="Verdana" w:cs="Arial"/>
                <w:color w:val="000000" w:themeColor="text1"/>
                <w:sz w:val="16"/>
                <w:szCs w:val="16"/>
              </w:rPr>
              <w:t xml:space="preserve"> </w:t>
            </w:r>
          </w:p>
          <w:p w14:paraId="4A2D4B7F" w14:textId="1E73E7BF" w:rsidR="00192922" w:rsidRPr="002423D6" w:rsidRDefault="00AF50E2" w:rsidP="00D61250">
            <w:pPr>
              <w:contextualSpacing/>
              <w:rPr>
                <w:rFonts w:ascii="Verdana" w:eastAsia="Arial" w:hAnsi="Verdana" w:cs="Arial"/>
                <w:color w:val="000000" w:themeColor="text1"/>
                <w:sz w:val="16"/>
                <w:szCs w:val="16"/>
              </w:rPr>
            </w:pPr>
            <w:r>
              <w:rPr>
                <w:rStyle w:val="normaltextrun"/>
                <w:rFonts w:ascii="Verdana" w:eastAsia="Arial" w:hAnsi="Verdana" w:cs="Arial"/>
                <w:color w:val="000000" w:themeColor="text1"/>
                <w:sz w:val="16"/>
                <w:szCs w:val="16"/>
              </w:rPr>
              <w:t xml:space="preserve">Contratista </w:t>
            </w:r>
            <w:r w:rsidR="00192922" w:rsidRPr="002423D6">
              <w:rPr>
                <w:rStyle w:val="normaltextrun"/>
                <w:rFonts w:ascii="Verdana" w:eastAsia="Arial" w:hAnsi="Verdana" w:cs="Arial"/>
                <w:color w:val="000000" w:themeColor="text1"/>
                <w:sz w:val="16"/>
                <w:szCs w:val="16"/>
              </w:rPr>
              <w:t>de la Subdirección de Gestión Contractual</w:t>
            </w:r>
          </w:p>
        </w:tc>
      </w:tr>
      <w:tr w:rsidR="00192922" w:rsidRPr="002423D6" w14:paraId="20FB4BAE" w14:textId="77777777" w:rsidTr="00D61250">
        <w:trPr>
          <w:trHeight w:val="330"/>
        </w:trPr>
        <w:tc>
          <w:tcPr>
            <w:tcW w:w="893" w:type="dxa"/>
            <w:vAlign w:val="center"/>
            <w:hideMark/>
          </w:tcPr>
          <w:p w14:paraId="56E7A84A" w14:textId="77777777" w:rsidR="00192922" w:rsidRPr="002423D6" w:rsidRDefault="00192922" w:rsidP="00D61250">
            <w:pPr>
              <w:contextualSpacing/>
              <w:rPr>
                <w:rFonts w:ascii="Verdana" w:hAnsi="Verdana" w:cs="Arial"/>
                <w:color w:val="000000" w:themeColor="text1"/>
                <w:sz w:val="16"/>
                <w:szCs w:val="16"/>
                <w:lang w:val="es-ES" w:eastAsia="es-ES"/>
              </w:rPr>
            </w:pPr>
            <w:r w:rsidRPr="002423D6">
              <w:rPr>
                <w:rFonts w:ascii="Verdana" w:hAnsi="Verdana" w:cs="Arial"/>
                <w:color w:val="000000" w:themeColor="text1"/>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103001F1" w14:textId="3B6EE985" w:rsidR="00192922" w:rsidRPr="002423D6" w:rsidRDefault="00AF50E2" w:rsidP="00D61250">
            <w:pPr>
              <w:pStyle w:val="paragraph"/>
              <w:spacing w:before="0" w:beforeAutospacing="0" w:after="0" w:afterAutospacing="0"/>
              <w:contextualSpacing/>
              <w:textAlignment w:val="baseline"/>
              <w:rPr>
                <w:rFonts w:ascii="Verdana" w:hAnsi="Verdana" w:cs="Segoe UI"/>
                <w:color w:val="000000" w:themeColor="text1"/>
                <w:sz w:val="16"/>
                <w:szCs w:val="16"/>
              </w:rPr>
            </w:pPr>
            <w:r>
              <w:rPr>
                <w:rFonts w:ascii="Verdana" w:hAnsi="Verdana" w:cs="Segoe UI"/>
                <w:color w:val="000000" w:themeColor="text1"/>
                <w:sz w:val="16"/>
                <w:szCs w:val="16"/>
              </w:rPr>
              <w:t>Diana Saavedra</w:t>
            </w:r>
          </w:p>
          <w:p w14:paraId="1CC732F9" w14:textId="38EBD1DD" w:rsidR="00192922" w:rsidRPr="002423D6" w:rsidRDefault="00AF50E2" w:rsidP="00D61250">
            <w:pPr>
              <w:pStyle w:val="paragraph"/>
              <w:spacing w:before="0" w:beforeAutospacing="0" w:after="0" w:afterAutospacing="0"/>
              <w:contextualSpacing/>
              <w:textAlignment w:val="baseline"/>
              <w:rPr>
                <w:rFonts w:ascii="Verdana" w:hAnsi="Verdana" w:cs="Segoe UI"/>
                <w:color w:val="000000" w:themeColor="text1"/>
                <w:sz w:val="16"/>
                <w:szCs w:val="16"/>
              </w:rPr>
            </w:pPr>
            <w:r>
              <w:rPr>
                <w:rStyle w:val="normaltextrun"/>
                <w:rFonts w:ascii="Verdana" w:hAnsi="Verdana" w:cs="Arial"/>
                <w:color w:val="000000" w:themeColor="text1"/>
                <w:sz w:val="16"/>
                <w:szCs w:val="16"/>
                <w:lang w:val="es-ES"/>
              </w:rPr>
              <w:t xml:space="preserve">Contratista </w:t>
            </w:r>
            <w:r w:rsidR="00192922" w:rsidRPr="002423D6">
              <w:rPr>
                <w:rStyle w:val="normaltextrun"/>
                <w:rFonts w:ascii="Verdana" w:hAnsi="Verdana" w:cs="Arial"/>
                <w:color w:val="000000" w:themeColor="text1"/>
                <w:sz w:val="16"/>
                <w:szCs w:val="16"/>
                <w:lang w:val="es-ES"/>
              </w:rPr>
              <w:t>de la Subdirección de Gestión Contractual</w:t>
            </w:r>
            <w:r w:rsidR="00192922" w:rsidRPr="002423D6">
              <w:rPr>
                <w:rStyle w:val="eop"/>
                <w:rFonts w:ascii="Verdana" w:hAnsi="Verdana" w:cs="Arial"/>
                <w:color w:val="000000" w:themeColor="text1"/>
                <w:sz w:val="16"/>
                <w:szCs w:val="16"/>
              </w:rPr>
              <w:t> </w:t>
            </w:r>
          </w:p>
        </w:tc>
      </w:tr>
      <w:tr w:rsidR="00192922" w:rsidRPr="002423D6" w14:paraId="01ADF550" w14:textId="77777777" w:rsidTr="00D61250">
        <w:trPr>
          <w:trHeight w:val="300"/>
        </w:trPr>
        <w:tc>
          <w:tcPr>
            <w:tcW w:w="893" w:type="dxa"/>
            <w:vAlign w:val="center"/>
          </w:tcPr>
          <w:p w14:paraId="63932827" w14:textId="77777777" w:rsidR="00192922" w:rsidRPr="002423D6" w:rsidRDefault="00192922" w:rsidP="00D61250">
            <w:pPr>
              <w:contextualSpacing/>
              <w:rPr>
                <w:rFonts w:ascii="Verdana" w:hAnsi="Verdana" w:cs="Arial"/>
                <w:color w:val="000000" w:themeColor="text1"/>
                <w:sz w:val="16"/>
                <w:szCs w:val="16"/>
                <w:lang w:val="es-ES" w:eastAsia="es-ES"/>
              </w:rPr>
            </w:pPr>
            <w:r w:rsidRPr="002423D6">
              <w:rPr>
                <w:rFonts w:ascii="Verdana" w:hAnsi="Verdana" w:cs="Arial"/>
                <w:color w:val="000000" w:themeColor="text1"/>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1F78471F" w14:textId="77777777" w:rsidR="00192922" w:rsidRPr="002423D6" w:rsidRDefault="00192922" w:rsidP="00D61250">
            <w:pPr>
              <w:contextualSpacing/>
              <w:rPr>
                <w:rFonts w:ascii="Verdana" w:eastAsia="Calibri" w:hAnsi="Verdana" w:cs="Arial"/>
                <w:color w:val="000000" w:themeColor="text1"/>
                <w:sz w:val="16"/>
                <w:szCs w:val="16"/>
                <w:lang w:val="pt-BR" w:eastAsia="es-ES"/>
              </w:rPr>
            </w:pPr>
            <w:r w:rsidRPr="002423D6">
              <w:rPr>
                <w:rFonts w:ascii="Verdana" w:eastAsia="Calibri" w:hAnsi="Verdana" w:cs="Arial"/>
                <w:color w:val="000000" w:themeColor="text1"/>
                <w:sz w:val="16"/>
                <w:szCs w:val="16"/>
                <w:lang w:val="pt-BR" w:eastAsia="es-ES"/>
              </w:rPr>
              <w:t xml:space="preserve">Carolina Quintero </w:t>
            </w:r>
            <w:proofErr w:type="spellStart"/>
            <w:r w:rsidRPr="002423D6">
              <w:rPr>
                <w:rFonts w:ascii="Verdana" w:eastAsia="Calibri" w:hAnsi="Verdana" w:cs="Arial"/>
                <w:color w:val="000000" w:themeColor="text1"/>
                <w:sz w:val="16"/>
                <w:szCs w:val="16"/>
                <w:lang w:val="pt-BR" w:eastAsia="es-ES"/>
              </w:rPr>
              <w:t>Gacharná</w:t>
            </w:r>
            <w:proofErr w:type="spellEnd"/>
          </w:p>
          <w:p w14:paraId="644D39C4" w14:textId="77777777" w:rsidR="00192922" w:rsidRPr="002423D6" w:rsidRDefault="00192922" w:rsidP="00D61250">
            <w:pPr>
              <w:contextualSpacing/>
              <w:rPr>
                <w:rFonts w:ascii="Verdana" w:eastAsia="Calibri" w:hAnsi="Verdana" w:cs="Arial"/>
                <w:color w:val="000000" w:themeColor="text1"/>
                <w:sz w:val="16"/>
                <w:szCs w:val="16"/>
                <w:lang w:val="pt-BR" w:eastAsia="es-ES"/>
              </w:rPr>
            </w:pPr>
            <w:r w:rsidRPr="002423D6">
              <w:rPr>
                <w:rFonts w:ascii="Verdana" w:eastAsia="Calibri" w:hAnsi="Verdana" w:cs="Arial"/>
                <w:color w:val="000000" w:themeColor="text1"/>
                <w:sz w:val="16"/>
                <w:szCs w:val="16"/>
                <w:lang w:eastAsia="es-ES"/>
              </w:rPr>
              <w:t>Subdirectora</w:t>
            </w:r>
            <w:r w:rsidRPr="002423D6">
              <w:rPr>
                <w:rFonts w:ascii="Verdana" w:eastAsia="Calibri" w:hAnsi="Verdana" w:cs="Arial"/>
                <w:color w:val="000000" w:themeColor="text1"/>
                <w:sz w:val="16"/>
                <w:szCs w:val="16"/>
                <w:lang w:val="pt-BR" w:eastAsia="es-ES"/>
              </w:rPr>
              <w:t xml:space="preserve"> de Gestión </w:t>
            </w:r>
            <w:proofErr w:type="spellStart"/>
            <w:r w:rsidRPr="002423D6">
              <w:rPr>
                <w:rFonts w:ascii="Verdana" w:eastAsia="Calibri" w:hAnsi="Verdana" w:cs="Arial"/>
                <w:color w:val="000000" w:themeColor="text1"/>
                <w:sz w:val="16"/>
                <w:szCs w:val="16"/>
                <w:lang w:val="pt-BR" w:eastAsia="es-ES"/>
              </w:rPr>
              <w:t>Contractual</w:t>
            </w:r>
            <w:proofErr w:type="spellEnd"/>
            <w:r w:rsidRPr="002423D6">
              <w:rPr>
                <w:rFonts w:ascii="Verdana" w:eastAsia="Calibri" w:hAnsi="Verdana" w:cs="Arial"/>
                <w:color w:val="000000" w:themeColor="text1"/>
                <w:sz w:val="16"/>
                <w:szCs w:val="16"/>
                <w:lang w:val="pt-BR" w:eastAsia="es-ES"/>
              </w:rPr>
              <w:t xml:space="preserve"> ANCP – CCE</w:t>
            </w:r>
          </w:p>
        </w:tc>
      </w:tr>
    </w:tbl>
    <w:p w14:paraId="09A8C121" w14:textId="77777777" w:rsidR="00192922" w:rsidRDefault="00192922" w:rsidP="00192922"/>
    <w:p w14:paraId="2A05B1E9" w14:textId="77777777" w:rsidR="00192922" w:rsidRPr="00823C60" w:rsidRDefault="00192922" w:rsidP="00192922"/>
    <w:p w14:paraId="3786F47A" w14:textId="7B2D43A7" w:rsidR="00192922" w:rsidRDefault="00192922" w:rsidP="00192922"/>
    <w:p w14:paraId="4F5DC9CB" w14:textId="77777777" w:rsidR="00192922" w:rsidRPr="00217F82" w:rsidRDefault="00192922" w:rsidP="00192922"/>
    <w:p w14:paraId="5A71DE9D" w14:textId="77777777" w:rsidR="000F5A42" w:rsidRPr="00192922" w:rsidRDefault="000F5A42" w:rsidP="00192922"/>
    <w:sectPr w:rsidR="000F5A42" w:rsidRPr="00192922" w:rsidSect="00D76F5E">
      <w:headerReference w:type="default" r:id="rId23"/>
      <w:footerReference w:type="default" r:id="rId24"/>
      <w:pgSz w:w="12240" w:h="15840"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0078C" w14:textId="77777777" w:rsidR="00E84922" w:rsidRDefault="00E84922" w:rsidP="00D76F5E">
      <w:pPr>
        <w:spacing w:after="0" w:line="240" w:lineRule="auto"/>
      </w:pPr>
      <w:r>
        <w:separator/>
      </w:r>
    </w:p>
  </w:endnote>
  <w:endnote w:type="continuationSeparator" w:id="0">
    <w:p w14:paraId="098D3D7C" w14:textId="77777777" w:rsidR="00E84922" w:rsidRDefault="00E84922" w:rsidP="00D76F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eomanist Light">
    <w:altName w:val="Arial"/>
    <w:panose1 w:val="00000000000000000000"/>
    <w:charset w:val="00"/>
    <w:family w:val="modern"/>
    <w:notTrueType/>
    <w:pitch w:val="variable"/>
    <w:sig w:usb0="A000002F" w:usb1="1000004A" w:usb2="00000000" w:usb3="00000000" w:csb0="00000193"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39FDB" w14:textId="77777777" w:rsidR="00D76F5E" w:rsidRDefault="00D76F5E" w:rsidP="00D61250">
    <w:pPr>
      <w:spacing w:after="0"/>
      <w:rPr>
        <w:rFonts w:ascii="Verdana" w:hAnsi="Verdana"/>
        <w:b/>
        <w:bCs/>
        <w:sz w:val="20"/>
        <w:szCs w:val="20"/>
      </w:rPr>
    </w:pPr>
  </w:p>
  <w:p w14:paraId="125869E8" w14:textId="77777777" w:rsidR="00D76F5E" w:rsidRPr="00174B77" w:rsidRDefault="00D76F5E" w:rsidP="00D61250">
    <w:pPr>
      <w:pBdr>
        <w:top w:val="single" w:sz="4" w:space="1" w:color="auto"/>
      </w:pBdr>
      <w:spacing w:after="0"/>
      <w:rPr>
        <w:rFonts w:ascii="Verdana" w:hAnsi="Verdana"/>
        <w:b/>
        <w:bCs/>
        <w:sz w:val="20"/>
        <w:szCs w:val="20"/>
      </w:rPr>
    </w:pPr>
    <w:r>
      <w:rPr>
        <w:rFonts w:ascii="Verdana" w:hAnsi="Verdana"/>
        <w:b/>
        <w:bCs/>
        <w:sz w:val="20"/>
        <w:szCs w:val="20"/>
      </w:rPr>
      <w:t>A</w:t>
    </w:r>
    <w:r w:rsidRPr="008E4D59">
      <w:rPr>
        <w:rFonts w:ascii="Verdana" w:hAnsi="Verdana"/>
        <w:b/>
        <w:bCs/>
        <w:sz w:val="20"/>
        <w:szCs w:val="20"/>
      </w:rPr>
      <w:t>gencia Nacional de Contratación</w:t>
    </w:r>
    <w:r>
      <w:rPr>
        <w:rFonts w:ascii="Verdana" w:hAnsi="Verdana"/>
        <w:b/>
        <w:bCs/>
        <w:sz w:val="20"/>
        <w:szCs w:val="20"/>
      </w:rPr>
      <w:t xml:space="preserve"> </w:t>
    </w:r>
    <w:r w:rsidRPr="008E4D59">
      <w:rPr>
        <w:rFonts w:ascii="Verdana" w:hAnsi="Verdana"/>
        <w:b/>
        <w:bCs/>
        <w:sz w:val="20"/>
        <w:szCs w:val="20"/>
      </w:rPr>
      <w:t>Pública</w:t>
    </w:r>
    <w:r>
      <w:rPr>
        <w:rFonts w:ascii="Verdana" w:hAnsi="Verdana"/>
        <w:b/>
        <w:bCs/>
        <w:sz w:val="20"/>
        <w:szCs w:val="20"/>
      </w:rPr>
      <w:t xml:space="preserve">                                              </w:t>
    </w:r>
    <w:r w:rsidRPr="002E1330">
      <w:rPr>
        <w:rFonts w:ascii="Verdana" w:eastAsiaTheme="majorEastAsia" w:hAnsi="Verdana" w:cstheme="majorBidi"/>
        <w:b/>
        <w:bCs/>
        <w:sz w:val="16"/>
        <w:szCs w:val="16"/>
        <w:lang w:val="es-ES"/>
      </w:rPr>
      <w:t xml:space="preserve">pág. </w:t>
    </w:r>
    <w:r w:rsidRPr="002E1330">
      <w:rPr>
        <w:rFonts w:ascii="Verdana" w:eastAsiaTheme="minorEastAsia" w:hAnsi="Verdana"/>
        <w:b/>
        <w:bCs/>
        <w:sz w:val="16"/>
        <w:szCs w:val="16"/>
      </w:rPr>
      <w:fldChar w:fldCharType="begin"/>
    </w:r>
    <w:r w:rsidRPr="002E1330">
      <w:rPr>
        <w:rFonts w:ascii="Verdana" w:hAnsi="Verdana"/>
        <w:b/>
        <w:bCs/>
        <w:sz w:val="16"/>
        <w:szCs w:val="16"/>
      </w:rPr>
      <w:instrText>PAGE    \* MERGEFORMAT</w:instrText>
    </w:r>
    <w:r w:rsidRPr="002E1330">
      <w:rPr>
        <w:rFonts w:ascii="Verdana" w:eastAsiaTheme="minorEastAsia" w:hAnsi="Verdana"/>
        <w:b/>
        <w:bCs/>
        <w:sz w:val="16"/>
        <w:szCs w:val="16"/>
      </w:rPr>
      <w:fldChar w:fldCharType="separate"/>
    </w:r>
    <w:r>
      <w:rPr>
        <w:rFonts w:ascii="Verdana" w:eastAsiaTheme="minorEastAsia" w:hAnsi="Verdana"/>
        <w:b/>
        <w:bCs/>
        <w:sz w:val="16"/>
        <w:szCs w:val="16"/>
      </w:rPr>
      <w:t>1</w:t>
    </w:r>
    <w:r w:rsidRPr="002E1330">
      <w:rPr>
        <w:rFonts w:ascii="Verdana" w:eastAsiaTheme="majorEastAsia" w:hAnsi="Verdana" w:cstheme="majorBidi"/>
        <w:b/>
        <w:bCs/>
        <w:sz w:val="16"/>
        <w:szCs w:val="16"/>
      </w:rPr>
      <w:fldChar w:fldCharType="end"/>
    </w:r>
    <w:r>
      <w:rPr>
        <w:rFonts w:ascii="Verdana" w:hAnsi="Verdana"/>
        <w:b/>
        <w:bCs/>
        <w:sz w:val="20"/>
        <w:szCs w:val="20"/>
      </w:rPr>
      <w:t xml:space="preserve">              </w:t>
    </w:r>
    <w:r w:rsidRPr="008E4D59">
      <w:rPr>
        <w:rFonts w:ascii="Verdana" w:hAnsi="Verdana"/>
        <w:b/>
        <w:bCs/>
        <w:sz w:val="20"/>
        <w:szCs w:val="20"/>
      </w:rPr>
      <w:t xml:space="preserve">Colombia Compra Eficiente         </w:t>
    </w:r>
    <w:r w:rsidRPr="008E4D59">
      <w:rPr>
        <w:rFonts w:ascii="Verdana" w:hAnsi="Verdana"/>
        <w:b/>
        <w:bCs/>
        <w:sz w:val="20"/>
        <w:szCs w:val="20"/>
        <w:lang w:val="es-ES"/>
      </w:rPr>
      <w:t xml:space="preserve"> </w:t>
    </w:r>
    <w:r>
      <w:rPr>
        <w:rFonts w:ascii="Verdana" w:hAnsi="Verdana"/>
        <w:b/>
        <w:bCs/>
        <w:sz w:val="20"/>
        <w:szCs w:val="20"/>
      </w:rPr>
      <w:t xml:space="preserve">                                                  </w:t>
    </w:r>
  </w:p>
  <w:p w14:paraId="64E3987C" w14:textId="77777777" w:rsidR="00D76F5E" w:rsidRDefault="00D76F5E" w:rsidP="00D61250">
    <w:pPr>
      <w:spacing w:after="0"/>
      <w:jc w:val="both"/>
      <w:rPr>
        <w:rFonts w:ascii="Verdana" w:hAnsi="Verdana"/>
        <w:sz w:val="18"/>
        <w:szCs w:val="18"/>
      </w:rPr>
    </w:pPr>
    <w:r w:rsidRPr="00E41027">
      <w:rPr>
        <w:rFonts w:ascii="Verdana" w:hAnsi="Verdana"/>
        <w:sz w:val="18"/>
        <w:szCs w:val="18"/>
      </w:rPr>
      <w:t>Dirección: Carrera 7 # 26 – 20 - Bogotá, Colombia</w:t>
    </w:r>
  </w:p>
  <w:p w14:paraId="0A5DB786" w14:textId="77777777" w:rsidR="00D76F5E" w:rsidRPr="00E41027" w:rsidRDefault="00D76F5E" w:rsidP="00D61250">
    <w:pPr>
      <w:spacing w:after="0"/>
      <w:jc w:val="both"/>
      <w:rPr>
        <w:rFonts w:ascii="Verdana" w:hAnsi="Verdana"/>
        <w:sz w:val="18"/>
        <w:szCs w:val="18"/>
      </w:rPr>
    </w:pPr>
    <w:r w:rsidRPr="00E41027">
      <w:rPr>
        <w:rFonts w:ascii="Verdana" w:hAnsi="Verdana"/>
        <w:sz w:val="18"/>
        <w:szCs w:val="18"/>
      </w:rPr>
      <w:t>Mesa de servicio: (+57) 601 7456788</w:t>
    </w:r>
  </w:p>
  <w:p w14:paraId="4856476D" w14:textId="77777777" w:rsidR="00D76F5E" w:rsidRDefault="00D76F5E" w:rsidP="00D61250">
    <w:pPr>
      <w:pStyle w:val="Piedepgina"/>
    </w:pPr>
    <w:r w:rsidRPr="00E41027">
      <w:rPr>
        <w:rFonts w:ascii="Verdana" w:hAnsi="Verdana"/>
        <w:sz w:val="18"/>
        <w:szCs w:val="18"/>
      </w:rPr>
      <w:t>Atención al ciudadano:</w:t>
    </w:r>
    <w:r>
      <w:rPr>
        <w:rFonts w:ascii="Verdana" w:hAnsi="Verdana"/>
        <w:sz w:val="18"/>
        <w:szCs w:val="18"/>
      </w:rPr>
      <w:t xml:space="preserve"> </w:t>
    </w:r>
    <w:r w:rsidRPr="00E41027">
      <w:rPr>
        <w:rFonts w:ascii="Verdana" w:hAnsi="Verdana"/>
        <w:sz w:val="18"/>
        <w:szCs w:val="18"/>
      </w:rPr>
      <w:t>(+57) 601 7956600</w:t>
    </w:r>
    <w:r>
      <w:rPr>
        <w:rFonts w:ascii="Verdana" w:hAnsi="Verdana"/>
        <w:sz w:val="18"/>
        <w:szCs w:val="18"/>
      </w:rPr>
      <w:t xml:space="preserve">             </w:t>
    </w:r>
    <w:r>
      <w:rPr>
        <w:rFonts w:ascii="Century Gothic" w:hAnsi="Century Gothic"/>
        <w:sz w:val="18"/>
        <w:szCs w:val="18"/>
      </w:rPr>
      <w:t>Código: CCE-DES-FM-17 Versión: 4</w:t>
    </w:r>
    <w:r w:rsidRPr="0086556C">
      <w:rPr>
        <w:rFonts w:ascii="Century Gothic" w:hAnsi="Century Gothic"/>
        <w:sz w:val="18"/>
        <w:szCs w:val="18"/>
      </w:rPr>
      <w:t xml:space="preserve"> </w:t>
    </w:r>
    <w:r>
      <w:rPr>
        <w:rFonts w:ascii="Century Gothic" w:hAnsi="Century Gothic"/>
        <w:sz w:val="18"/>
        <w:szCs w:val="18"/>
      </w:rPr>
      <w:t>Fecha: 13-12-2023</w:t>
    </w:r>
  </w:p>
  <w:p w14:paraId="30FEFFD5" w14:textId="77777777" w:rsidR="00D76F5E" w:rsidRPr="007D04B2" w:rsidRDefault="00D76F5E" w:rsidP="00D61250">
    <w:pPr>
      <w:pStyle w:val="Piedepgina"/>
    </w:pPr>
  </w:p>
  <w:p w14:paraId="41A9630C" w14:textId="77777777" w:rsidR="00D76F5E" w:rsidRPr="000849D5" w:rsidRDefault="00D76F5E" w:rsidP="00D6125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BC066" w14:textId="77777777" w:rsidR="00E84922" w:rsidRDefault="00E84922" w:rsidP="00D76F5E">
      <w:pPr>
        <w:spacing w:after="0" w:line="240" w:lineRule="auto"/>
      </w:pPr>
      <w:r>
        <w:separator/>
      </w:r>
    </w:p>
  </w:footnote>
  <w:footnote w:type="continuationSeparator" w:id="0">
    <w:p w14:paraId="11AAD960" w14:textId="77777777" w:rsidR="00E84922" w:rsidRDefault="00E84922" w:rsidP="00D76F5E">
      <w:pPr>
        <w:spacing w:after="0" w:line="240" w:lineRule="auto"/>
      </w:pPr>
      <w:r>
        <w:continuationSeparator/>
      </w:r>
    </w:p>
  </w:footnote>
  <w:footnote w:id="1">
    <w:p w14:paraId="23898F84" w14:textId="30212B76" w:rsidR="00417621" w:rsidRPr="00417621" w:rsidRDefault="00417621">
      <w:pPr>
        <w:pStyle w:val="Textonotapie"/>
        <w:rPr>
          <w:rFonts w:ascii="Verdana" w:hAnsi="Verdana"/>
          <w:sz w:val="16"/>
          <w:szCs w:val="16"/>
          <w:lang w:val="es-ES_tradnl"/>
        </w:rPr>
      </w:pPr>
      <w:r w:rsidRPr="00417621">
        <w:rPr>
          <w:rStyle w:val="Refdenotaalpie"/>
          <w:rFonts w:ascii="Verdana" w:hAnsi="Verdana"/>
          <w:sz w:val="16"/>
          <w:szCs w:val="16"/>
        </w:rPr>
        <w:footnoteRef/>
      </w:r>
      <w:r w:rsidRPr="00417621">
        <w:rPr>
          <w:rFonts w:ascii="Verdana" w:hAnsi="Verdana"/>
          <w:sz w:val="16"/>
          <w:szCs w:val="16"/>
        </w:rPr>
        <w:t xml:space="preserve"> Manual para Determinar y Verificar los Requisitos Habilitantes</w:t>
      </w:r>
      <w:r>
        <w:rPr>
          <w:rFonts w:ascii="Verdana" w:hAnsi="Verdana"/>
          <w:sz w:val="16"/>
          <w:szCs w:val="16"/>
        </w:rPr>
        <w:t xml:space="preserve">. Agencia Nacional de Contratación Pública Colombia compra Eficiente. 2023: </w:t>
      </w:r>
      <w:hyperlink r:id="rId1" w:history="1">
        <w:r w:rsidRPr="008A564D">
          <w:rPr>
            <w:rStyle w:val="Hipervnculo"/>
            <w:rFonts w:ascii="Verdana" w:hAnsi="Verdana"/>
            <w:sz w:val="16"/>
            <w:szCs w:val="16"/>
          </w:rPr>
          <w:t>https://www.colombiacompra.gov.co/archivos/manual/manual-para-determinar-y-verificar-los-requisitos-habilitantes-en-los-procesos-de-contratacion</w:t>
        </w:r>
      </w:hyperlink>
      <w:r>
        <w:rPr>
          <w:rFonts w:ascii="Verdana" w:hAnsi="Verdana"/>
          <w:sz w:val="16"/>
          <w:szCs w:val="16"/>
        </w:rPr>
        <w:t xml:space="preserve"> </w:t>
      </w:r>
    </w:p>
  </w:footnote>
  <w:footnote w:id="2">
    <w:p w14:paraId="0E6F1F4B" w14:textId="77777777" w:rsidR="00192922" w:rsidRPr="000418A8" w:rsidRDefault="00192922" w:rsidP="00192922">
      <w:pPr>
        <w:pStyle w:val="NormalWeb"/>
        <w:snapToGrid w:val="0"/>
        <w:spacing w:before="0" w:beforeAutospacing="0" w:after="0" w:afterAutospacing="0"/>
        <w:ind w:firstLine="709"/>
        <w:contextualSpacing/>
        <w:jc w:val="both"/>
        <w:rPr>
          <w:rFonts w:ascii="Verdana" w:hAnsi="Verdana" w:cs="Arial"/>
          <w:sz w:val="16"/>
          <w:szCs w:val="16"/>
        </w:rPr>
      </w:pPr>
      <w:r w:rsidRPr="000418A8">
        <w:rPr>
          <w:rStyle w:val="Refdenotaalpie"/>
          <w:rFonts w:ascii="Verdana" w:eastAsiaTheme="majorEastAsia" w:hAnsi="Verdana" w:cs="Arial"/>
          <w:sz w:val="16"/>
          <w:szCs w:val="16"/>
        </w:rPr>
        <w:footnoteRef/>
      </w:r>
      <w:r w:rsidRPr="000418A8">
        <w:rPr>
          <w:rFonts w:ascii="Verdana" w:hAnsi="Verdana" w:cs="Arial"/>
          <w:sz w:val="16"/>
          <w:szCs w:val="16"/>
        </w:rPr>
        <w:t xml:space="preserve"> </w:t>
      </w:r>
      <w:r w:rsidRPr="000418A8">
        <w:rPr>
          <w:rFonts w:ascii="Verdana" w:hAnsi="Verdana" w:cs="Arial"/>
          <w:sz w:val="16"/>
          <w:szCs w:val="16"/>
          <w:lang w:val="es-ES"/>
        </w:rPr>
        <w:t>“</w:t>
      </w:r>
      <w:r w:rsidRPr="000418A8">
        <w:rPr>
          <w:rFonts w:ascii="Verdana" w:hAnsi="Verdana" w:cs="Arial"/>
          <w:sz w:val="16"/>
          <w:szCs w:val="16"/>
        </w:rPr>
        <w:t xml:space="preserve">Para poder participar en los procesos de selección de los contratos de obra, la capacidad residual del proponente o K de contratación deberá ser igual o superior al que la entidad haya establecido para el efecto en los pliegos de condiciones. </w:t>
      </w:r>
    </w:p>
    <w:p w14:paraId="58103A9D" w14:textId="77777777" w:rsidR="00192922" w:rsidRPr="000418A8" w:rsidRDefault="00192922" w:rsidP="00192922">
      <w:pPr>
        <w:snapToGrid w:val="0"/>
        <w:spacing w:after="0" w:line="240" w:lineRule="auto"/>
        <w:ind w:firstLine="708"/>
        <w:contextualSpacing/>
        <w:jc w:val="both"/>
        <w:rPr>
          <w:rFonts w:ascii="Verdana" w:hAnsi="Verdana" w:cs="Arial"/>
          <w:sz w:val="16"/>
          <w:szCs w:val="16"/>
        </w:rPr>
      </w:pPr>
      <w:r w:rsidRPr="000418A8">
        <w:rPr>
          <w:rFonts w:ascii="Verdana" w:hAnsi="Verdana" w:cs="Arial"/>
          <w:sz w:val="16"/>
          <w:szCs w:val="16"/>
        </w:rPr>
        <w:t>Para establecer la capacidad residual del proponente o K de contratación, se deberán considerar todos los contratos que tenga en ejecución el proponente al momento de presentar la oferta. El desarrollo y ejecución del contrato podrá dar lugar a que los valores que sean cancelados al contratista se consideren para establecer el real K de contratación, en cada oportunidad. El Gobierno Nacional reglamentará la materia.</w:t>
      </w:r>
    </w:p>
  </w:footnote>
  <w:footnote w:id="3">
    <w:p w14:paraId="01A585FC" w14:textId="77777777" w:rsidR="00192922" w:rsidRPr="000418A8" w:rsidRDefault="00192922" w:rsidP="00192922">
      <w:pPr>
        <w:pStyle w:val="Textonotapie"/>
        <w:ind w:firstLine="708"/>
        <w:contextualSpacing/>
        <w:jc w:val="both"/>
        <w:rPr>
          <w:rFonts w:ascii="Verdana" w:hAnsi="Verdana"/>
          <w:sz w:val="16"/>
          <w:szCs w:val="16"/>
        </w:rPr>
      </w:pPr>
      <w:r w:rsidRPr="000418A8">
        <w:rPr>
          <w:rStyle w:val="Refdenotaalpie"/>
          <w:rFonts w:ascii="Verdana" w:hAnsi="Verdana"/>
          <w:sz w:val="16"/>
          <w:szCs w:val="16"/>
        </w:rPr>
        <w:footnoteRef/>
      </w:r>
      <w:r w:rsidRPr="000418A8">
        <w:rPr>
          <w:rFonts w:ascii="Verdana" w:hAnsi="Verdana"/>
          <w:sz w:val="16"/>
          <w:szCs w:val="16"/>
        </w:rPr>
        <w:t xml:space="preserve"> El </w:t>
      </w:r>
      <w:r w:rsidRPr="000418A8">
        <w:rPr>
          <w:rFonts w:ascii="Verdana" w:eastAsia="Times New Roman" w:hAnsi="Verdana" w:cs="Arial"/>
          <w:sz w:val="16"/>
          <w:szCs w:val="16"/>
          <w:lang w:val="es-ES" w:eastAsia="es-MX"/>
        </w:rPr>
        <w:t>“Manual para determinar y verificar los requisitos habilitantes en los Procesos de Contratación”</w:t>
      </w:r>
      <w:r w:rsidRPr="000418A8">
        <w:rPr>
          <w:rFonts w:ascii="Verdana" w:eastAsia="Calibri" w:hAnsi="Verdana" w:cs="Arial"/>
          <w:sz w:val="16"/>
          <w:szCs w:val="16"/>
          <w:lang w:val="es-ES" w:eastAsia="es-MX"/>
        </w:rPr>
        <w:t>,</w:t>
      </w:r>
      <w:r w:rsidRPr="000418A8">
        <w:rPr>
          <w:rFonts w:ascii="Verdana" w:eastAsia="Times New Roman" w:hAnsi="Verdana" w:cs="Arial"/>
          <w:sz w:val="16"/>
          <w:szCs w:val="16"/>
          <w:lang w:val="es-ES" w:eastAsia="es-MX"/>
        </w:rPr>
        <w:t xml:space="preserve"> expedido por la </w:t>
      </w:r>
      <w:r w:rsidRPr="000418A8">
        <w:rPr>
          <w:rFonts w:ascii="Verdana" w:eastAsia="Calibri" w:hAnsi="Verdana" w:cs="Arial"/>
          <w:sz w:val="16"/>
          <w:szCs w:val="16"/>
          <w:lang w:val="es-ES" w:eastAsia="es-MX"/>
        </w:rPr>
        <w:t xml:space="preserve">Agencia Nacional de Contratación Pública – Colombia Compra Eficiente, puede ser consultado en el siguiente enlace: </w:t>
      </w:r>
      <w:hyperlink r:id="rId2" w:history="1">
        <w:r w:rsidRPr="000418A8">
          <w:rPr>
            <w:rStyle w:val="Hipervnculo"/>
            <w:rFonts w:ascii="Verdana" w:eastAsia="Calibri" w:hAnsi="Verdana" w:cs="Arial"/>
            <w:sz w:val="16"/>
            <w:szCs w:val="16"/>
            <w:lang w:val="es-ES" w:eastAsia="es-MX"/>
          </w:rPr>
          <w:t>https://colombiacompra.gov.co/sites/cce_public/files/cce_documents/cce-eicp-ma-04._manual_requisitos_habilitantes_v3_29-09-2023.pdf</w:t>
        </w:r>
      </w:hyperlink>
      <w:r w:rsidRPr="000418A8">
        <w:rPr>
          <w:rFonts w:ascii="Verdana" w:eastAsia="Calibri" w:hAnsi="Verdana" w:cs="Arial"/>
          <w:sz w:val="16"/>
          <w:szCs w:val="16"/>
          <w:lang w:val="es-ES" w:eastAsia="es-MX"/>
        </w:rPr>
        <w:t xml:space="preserve">  </w:t>
      </w:r>
    </w:p>
  </w:footnote>
  <w:footnote w:id="4">
    <w:p w14:paraId="4611CC12" w14:textId="77777777" w:rsidR="00192922" w:rsidRPr="000418A8" w:rsidRDefault="00192922" w:rsidP="00192922">
      <w:pPr>
        <w:pStyle w:val="NormalWeb"/>
        <w:snapToGrid w:val="0"/>
        <w:spacing w:before="0" w:beforeAutospacing="0" w:after="0" w:afterAutospacing="0"/>
        <w:ind w:firstLine="709"/>
        <w:contextualSpacing/>
        <w:jc w:val="both"/>
        <w:rPr>
          <w:rFonts w:ascii="Verdana" w:hAnsi="Verdana" w:cs="Arial"/>
          <w:sz w:val="16"/>
          <w:szCs w:val="16"/>
          <w:lang w:val="es-ES"/>
        </w:rPr>
      </w:pPr>
      <w:r w:rsidRPr="000418A8">
        <w:rPr>
          <w:rStyle w:val="Refdenotaalpie"/>
          <w:rFonts w:ascii="Verdana" w:eastAsiaTheme="majorEastAsia" w:hAnsi="Verdana" w:cs="Arial"/>
          <w:sz w:val="16"/>
          <w:szCs w:val="16"/>
        </w:rPr>
        <w:footnoteRef/>
      </w:r>
      <w:r w:rsidRPr="000418A8">
        <w:rPr>
          <w:rStyle w:val="Refdenotaalpie"/>
          <w:rFonts w:ascii="Verdana" w:eastAsiaTheme="majorEastAsia" w:hAnsi="Verdana" w:cs="Arial"/>
          <w:sz w:val="16"/>
          <w:szCs w:val="16"/>
        </w:rPr>
        <w:t xml:space="preserve"> </w:t>
      </w:r>
      <w:r w:rsidRPr="000418A8">
        <w:rPr>
          <w:rFonts w:ascii="Verdana" w:hAnsi="Verdana" w:cs="Arial"/>
          <w:sz w:val="16"/>
          <w:szCs w:val="16"/>
        </w:rPr>
        <w:t>“</w:t>
      </w:r>
      <w:r w:rsidRPr="000418A8">
        <w:rPr>
          <w:rFonts w:ascii="Verdana" w:hAnsi="Verdana" w:cs="Arial"/>
          <w:sz w:val="16"/>
          <w:szCs w:val="16"/>
          <w:lang w:val="es-ES"/>
        </w:rPr>
        <w:t>Artículo 2.2.1.1.1.6.2. Determinación de los Requisitos Habilitantes. La Entidad Estatal debe establecer los requisitos habilitantes en los pliegos de condiciones o en la invitación, teniendo en cuenta: (a) el Riesgo del Proceso de Contratación; (b) el valor del contrato objeto del Proceso de Contratación; (c) el análisis del sector económico respectivo; y (d) el conocimiento de fondo de los posibles oferentes desde la perspectiva comercial. La Entidad Estatal no debe limitarse a la aplicación mecánica de fórmulas financieras para verificar los requisitos habilitantes.</w:t>
      </w:r>
    </w:p>
    <w:p w14:paraId="33CE98DF" w14:textId="77777777" w:rsidR="00192922" w:rsidRPr="0045027B" w:rsidRDefault="00192922" w:rsidP="00192922">
      <w:pPr>
        <w:pStyle w:val="NormalWeb"/>
        <w:snapToGrid w:val="0"/>
        <w:spacing w:before="0" w:beforeAutospacing="0" w:after="0" w:afterAutospacing="0"/>
        <w:ind w:firstLine="709"/>
        <w:contextualSpacing/>
        <w:jc w:val="both"/>
        <w:rPr>
          <w:rFonts w:ascii="Verdana" w:hAnsi="Verdana" w:cs="Arial"/>
          <w:sz w:val="16"/>
          <w:szCs w:val="16"/>
          <w:lang w:val="es-ES"/>
        </w:rPr>
      </w:pPr>
      <w:r w:rsidRPr="000418A8">
        <w:rPr>
          <w:rFonts w:ascii="Verdana" w:hAnsi="Verdana" w:cs="Arial"/>
          <w:sz w:val="16"/>
          <w:szCs w:val="16"/>
          <w:lang w:val="es-ES"/>
        </w:rPr>
        <w:t xml:space="preserve">Parágrafo Transitorio. De conformidad con los parágrafos transitorios de los artículos 2.2.1.1.1.5.2. y 2.2.1.1.1.5.6., yen desarrollo del deber de análisis de las Entidades Estatales, de que trata el artículo 2.2.1.1.1.6.1. de este Decreto, a partir del 1 de julio de 2021 las Entidades Estatales establecerán y evaluarán los requisitos habilitantes de capacidad financiera y organizacional teniendo en cuenta la información que </w:t>
      </w:r>
      <w:r w:rsidRPr="0045027B">
        <w:rPr>
          <w:rFonts w:ascii="Verdana" w:hAnsi="Verdana" w:cs="Arial"/>
          <w:sz w:val="16"/>
          <w:szCs w:val="16"/>
          <w:lang w:val="es-ES"/>
        </w:rPr>
        <w:t>conste en el Registro Único de Proponentes. En todo caso, se establecerán indicadores proporcionales al procedimiento de contratación.</w:t>
      </w:r>
    </w:p>
    <w:p w14:paraId="17CB6926" w14:textId="77777777" w:rsidR="00192922" w:rsidRPr="0045027B" w:rsidRDefault="00192922" w:rsidP="00192922">
      <w:pPr>
        <w:pStyle w:val="NormalWeb"/>
        <w:snapToGrid w:val="0"/>
        <w:spacing w:before="0" w:beforeAutospacing="0" w:after="0" w:afterAutospacing="0"/>
        <w:ind w:firstLine="708"/>
        <w:contextualSpacing/>
        <w:jc w:val="both"/>
        <w:rPr>
          <w:rFonts w:ascii="Verdana" w:hAnsi="Verdana" w:cs="Arial"/>
          <w:sz w:val="16"/>
          <w:szCs w:val="16"/>
          <w:lang w:val="es-ES"/>
        </w:rPr>
      </w:pPr>
      <w:r w:rsidRPr="0045027B">
        <w:rPr>
          <w:rFonts w:ascii="Verdana" w:hAnsi="Verdana" w:cs="Arial"/>
          <w:sz w:val="16"/>
          <w:szCs w:val="16"/>
          <w:lang w:val="es-ES"/>
        </w:rPr>
        <w:t>Para ello, atendiendo a las condiciones aludidas, en relación con los indicadores de la capacidad financiera y organizacional, de los procesos de selección cuyo acto administrativo de apertura o invitación se publique a partir del 1 de julio de 2021, se tendrá en cuenta la información vigente y en firme en el RUP, por lo que las Entidades Estatales evaluarán estos indicadores, teniendo en cuenta el mejor año fiscal que se refleje en el registro de cada proponente</w:t>
      </w:r>
      <w:r w:rsidRPr="0045027B">
        <w:rPr>
          <w:rFonts w:ascii="Verdana" w:hAnsi="Verdana" w:cs="Verdana"/>
          <w:sz w:val="16"/>
          <w:szCs w:val="16"/>
          <w:lang w:val="es-ES"/>
        </w:rPr>
        <w:t>”</w:t>
      </w:r>
      <w:r w:rsidRPr="0045027B">
        <w:rPr>
          <w:rFonts w:ascii="Verdana" w:hAnsi="Verdana" w:cs="Arial"/>
          <w:sz w:val="16"/>
          <w:szCs w:val="16"/>
          <w:lang w:val="es-ES"/>
        </w:rPr>
        <w:t>.</w:t>
      </w:r>
    </w:p>
    <w:p w14:paraId="718D8AE1" w14:textId="77777777" w:rsidR="00192922" w:rsidRPr="0045027B" w:rsidRDefault="00192922" w:rsidP="00192922">
      <w:pPr>
        <w:pStyle w:val="NormalWeb"/>
        <w:snapToGrid w:val="0"/>
        <w:spacing w:before="0" w:beforeAutospacing="0" w:after="0" w:afterAutospacing="0"/>
        <w:ind w:firstLine="708"/>
        <w:contextualSpacing/>
        <w:jc w:val="both"/>
        <w:rPr>
          <w:rStyle w:val="Refdenotaalpie"/>
          <w:rFonts w:ascii="Verdana" w:eastAsiaTheme="majorEastAsia" w:hAnsi="Verdana"/>
          <w:sz w:val="16"/>
          <w:szCs w:val="16"/>
        </w:rPr>
      </w:pPr>
    </w:p>
  </w:footnote>
  <w:footnote w:id="5">
    <w:p w14:paraId="5E15BCCB" w14:textId="77777777" w:rsidR="00192922" w:rsidRPr="0045027B" w:rsidRDefault="00192922" w:rsidP="00192922">
      <w:pPr>
        <w:pStyle w:val="Textonotapie"/>
        <w:ind w:firstLine="708"/>
        <w:contextualSpacing/>
        <w:jc w:val="both"/>
        <w:rPr>
          <w:rFonts w:ascii="Verdana" w:hAnsi="Verdana"/>
          <w:sz w:val="16"/>
          <w:szCs w:val="16"/>
        </w:rPr>
      </w:pPr>
      <w:r w:rsidRPr="0045027B">
        <w:rPr>
          <w:rStyle w:val="Refdenotaalpie"/>
          <w:rFonts w:ascii="Verdana" w:hAnsi="Verdana"/>
          <w:sz w:val="16"/>
          <w:szCs w:val="16"/>
        </w:rPr>
        <w:footnoteRef/>
      </w:r>
      <w:r w:rsidRPr="0045027B">
        <w:rPr>
          <w:rFonts w:ascii="Verdana" w:hAnsi="Verdana"/>
          <w:sz w:val="16"/>
          <w:szCs w:val="16"/>
        </w:rPr>
        <w:t xml:space="preserve"> </w:t>
      </w:r>
      <w:bookmarkStart w:id="15" w:name="44"/>
      <w:r w:rsidRPr="0045027B">
        <w:rPr>
          <w:rFonts w:ascii="Verdana" w:hAnsi="Verdana"/>
          <w:sz w:val="16"/>
          <w:szCs w:val="16"/>
        </w:rPr>
        <w:t xml:space="preserve">Sobre el particular el </w:t>
      </w:r>
      <w:r w:rsidRPr="0045027B">
        <w:rPr>
          <w:rFonts w:ascii="Verdana" w:hAnsi="Verdana"/>
          <w:sz w:val="16"/>
          <w:szCs w:val="16"/>
          <w:lang w:val="es-CO"/>
        </w:rPr>
        <w:t>artículo 44 de la Ley 1437 de 2011, dispone: “Decisiones Discrecionales.</w:t>
      </w:r>
      <w:bookmarkEnd w:id="15"/>
      <w:r w:rsidRPr="0045027B">
        <w:rPr>
          <w:rFonts w:ascii="Verdana" w:hAnsi="Verdana"/>
          <w:sz w:val="16"/>
          <w:szCs w:val="16"/>
          <w:lang w:val="es-CO"/>
        </w:rPr>
        <w:t xml:space="preserve"> En la medida en que el contenido de una decisión de carácter general o particular sea discrecional, debe ser adecuada a los fines de la norma que la autoriza, y proporcional a los hechos que le sirven de causa”.</w:t>
      </w:r>
    </w:p>
  </w:footnote>
  <w:footnote w:id="6">
    <w:p w14:paraId="02F896AF" w14:textId="77777777" w:rsidR="00192922" w:rsidRPr="0045027B" w:rsidRDefault="00192922" w:rsidP="00192922">
      <w:pPr>
        <w:spacing w:line="240" w:lineRule="auto"/>
        <w:ind w:firstLine="708"/>
        <w:contextualSpacing/>
        <w:jc w:val="both"/>
        <w:rPr>
          <w:rFonts w:ascii="Verdana" w:eastAsia="Calibri" w:hAnsi="Verdana" w:cs="Arial"/>
          <w:sz w:val="16"/>
          <w:szCs w:val="16"/>
          <w:lang w:val="es-ES_tradnl"/>
        </w:rPr>
      </w:pPr>
      <w:r w:rsidRPr="0045027B">
        <w:rPr>
          <w:rStyle w:val="Refdenotaalpie"/>
          <w:rFonts w:ascii="Verdana" w:hAnsi="Verdana"/>
          <w:sz w:val="16"/>
          <w:szCs w:val="16"/>
        </w:rPr>
        <w:footnoteRef/>
      </w:r>
      <w:r w:rsidRPr="0045027B">
        <w:rPr>
          <w:rFonts w:ascii="Verdana" w:hAnsi="Verdana"/>
          <w:sz w:val="16"/>
          <w:szCs w:val="16"/>
        </w:rPr>
        <w:t xml:space="preserve"> L</w:t>
      </w:r>
      <w:r w:rsidRPr="0045027B">
        <w:rPr>
          <w:rFonts w:ascii="Verdana" w:eastAsia="Calibri" w:hAnsi="Verdana" w:cs="Arial"/>
          <w:sz w:val="16"/>
          <w:szCs w:val="16"/>
          <w:lang w:val="es-ES_tradnl"/>
        </w:rPr>
        <w:t xml:space="preserve">a ley colombiana no consagra una definición de actos de comercio, sino que incorpora un listado de actos y actividades considerados como mercantiles, que incluye una gama muy variada de operaciones usuales en la vida de los negocios. En ese sentido, el artículo 20 del Código de Comercio agrupa una gran variedad de actividades bajo la categoría de “acto de comercio”, sin que dicha enumeración sea taxativa en </w:t>
      </w:r>
      <w:r w:rsidRPr="0045027B">
        <w:rPr>
          <w:rFonts w:ascii="Verdana" w:hAnsi="Verdana" w:cs="Arial"/>
          <w:sz w:val="16"/>
          <w:szCs w:val="16"/>
        </w:rPr>
        <w:t xml:space="preserve">nuestro sistema jurídico. Así las cosas, no se define estáticamente el acto de comercio, permitiendo mediante la analogía realizar la ampliación dinámica del derecho mercantil facilitando su adaptación a un cambiante mundo de negocios. Adicionalmente, la ley provee un criterio auxiliar que permite ampliar la cobertura del derecho comercial con la calificación de mercantiles de actos que en principio no lo son, pero que guardan relación estrecha con actividades de esta naturaleza. En el artículo 21 del Código de Comercio se incluyen actos no previstos en el artículo 20 que realiza el comerciante o empresario mercantil en desarrollo de su actividad mercantil y que facilitan su ejercicio y que en razón a ello adquieren comercialidad. </w:t>
      </w:r>
    </w:p>
  </w:footnote>
  <w:footnote w:id="7">
    <w:p w14:paraId="15B9705F" w14:textId="77777777" w:rsidR="00192922" w:rsidRDefault="00192922" w:rsidP="00192922">
      <w:pPr>
        <w:spacing w:line="240" w:lineRule="auto"/>
        <w:ind w:firstLine="708"/>
        <w:contextualSpacing/>
        <w:jc w:val="both"/>
        <w:rPr>
          <w:rFonts w:ascii="Verdana" w:hAnsi="Verdana"/>
          <w:sz w:val="16"/>
          <w:szCs w:val="16"/>
        </w:rPr>
      </w:pPr>
      <w:r w:rsidRPr="0045027B">
        <w:rPr>
          <w:rStyle w:val="Refdenotaalpie"/>
          <w:rFonts w:ascii="Verdana" w:hAnsi="Verdana"/>
          <w:sz w:val="16"/>
          <w:szCs w:val="16"/>
        </w:rPr>
        <w:footnoteRef/>
      </w:r>
      <w:r w:rsidRPr="0045027B">
        <w:rPr>
          <w:rFonts w:ascii="Verdana" w:hAnsi="Verdana"/>
          <w:sz w:val="16"/>
          <w:szCs w:val="16"/>
        </w:rPr>
        <w:t xml:space="preserve"> Código de Comercio. Artículo</w:t>
      </w:r>
      <w:r w:rsidRPr="0045027B">
        <w:rPr>
          <w:rFonts w:ascii="Verdana" w:hAnsi="Verdana"/>
          <w:spacing w:val="1"/>
          <w:sz w:val="16"/>
          <w:szCs w:val="16"/>
        </w:rPr>
        <w:t xml:space="preserve"> </w:t>
      </w:r>
      <w:r w:rsidRPr="0045027B">
        <w:rPr>
          <w:rFonts w:ascii="Verdana" w:hAnsi="Verdana"/>
          <w:sz w:val="16"/>
          <w:szCs w:val="16"/>
        </w:rPr>
        <w:t xml:space="preserve">515. </w:t>
      </w:r>
      <w:r w:rsidRPr="0045027B">
        <w:rPr>
          <w:rFonts w:ascii="Verdana" w:hAnsi="Verdana"/>
          <w:spacing w:val="1"/>
          <w:sz w:val="16"/>
          <w:szCs w:val="16"/>
        </w:rPr>
        <w:t>“</w:t>
      </w:r>
      <w:r w:rsidRPr="0045027B">
        <w:rPr>
          <w:rFonts w:ascii="Verdana" w:hAnsi="Verdana"/>
          <w:sz w:val="16"/>
          <w:szCs w:val="16"/>
        </w:rPr>
        <w:t>Se</w:t>
      </w:r>
      <w:r w:rsidRPr="0045027B">
        <w:rPr>
          <w:rFonts w:ascii="Verdana" w:hAnsi="Verdana"/>
          <w:spacing w:val="1"/>
          <w:sz w:val="16"/>
          <w:szCs w:val="16"/>
        </w:rPr>
        <w:t xml:space="preserve"> </w:t>
      </w:r>
      <w:r w:rsidRPr="0045027B">
        <w:rPr>
          <w:rFonts w:ascii="Verdana" w:hAnsi="Verdana"/>
          <w:sz w:val="16"/>
          <w:szCs w:val="16"/>
        </w:rPr>
        <w:t>entiende</w:t>
      </w:r>
      <w:r w:rsidRPr="0045027B">
        <w:rPr>
          <w:rFonts w:ascii="Verdana" w:hAnsi="Verdana"/>
          <w:spacing w:val="1"/>
          <w:sz w:val="16"/>
          <w:szCs w:val="16"/>
        </w:rPr>
        <w:t xml:space="preserve"> </w:t>
      </w:r>
      <w:r w:rsidRPr="0045027B">
        <w:rPr>
          <w:rFonts w:ascii="Verdana" w:hAnsi="Verdana"/>
          <w:sz w:val="16"/>
          <w:szCs w:val="16"/>
        </w:rPr>
        <w:t>por</w:t>
      </w:r>
      <w:r w:rsidRPr="0045027B">
        <w:rPr>
          <w:rFonts w:ascii="Verdana" w:hAnsi="Verdana"/>
          <w:spacing w:val="1"/>
          <w:sz w:val="16"/>
          <w:szCs w:val="16"/>
        </w:rPr>
        <w:t xml:space="preserve"> </w:t>
      </w:r>
      <w:r w:rsidRPr="0045027B">
        <w:rPr>
          <w:rFonts w:ascii="Verdana" w:hAnsi="Verdana"/>
          <w:sz w:val="16"/>
          <w:szCs w:val="16"/>
        </w:rPr>
        <w:t>establecimiento</w:t>
      </w:r>
      <w:r w:rsidRPr="0045027B">
        <w:rPr>
          <w:rFonts w:ascii="Verdana" w:hAnsi="Verdana"/>
          <w:spacing w:val="1"/>
          <w:sz w:val="16"/>
          <w:szCs w:val="16"/>
        </w:rPr>
        <w:t xml:space="preserve"> </w:t>
      </w:r>
      <w:r w:rsidRPr="0045027B">
        <w:rPr>
          <w:rFonts w:ascii="Verdana" w:hAnsi="Verdana"/>
          <w:sz w:val="16"/>
          <w:szCs w:val="16"/>
        </w:rPr>
        <w:t>de</w:t>
      </w:r>
      <w:r w:rsidRPr="0045027B">
        <w:rPr>
          <w:rFonts w:ascii="Verdana" w:hAnsi="Verdana"/>
          <w:spacing w:val="1"/>
          <w:sz w:val="16"/>
          <w:szCs w:val="16"/>
        </w:rPr>
        <w:t xml:space="preserve"> </w:t>
      </w:r>
      <w:r w:rsidRPr="0045027B">
        <w:rPr>
          <w:rFonts w:ascii="Verdana" w:hAnsi="Verdana"/>
          <w:sz w:val="16"/>
          <w:szCs w:val="16"/>
        </w:rPr>
        <w:t>comercio</w:t>
      </w:r>
      <w:r w:rsidRPr="0045027B">
        <w:rPr>
          <w:rFonts w:ascii="Verdana" w:hAnsi="Verdana"/>
          <w:spacing w:val="1"/>
          <w:sz w:val="16"/>
          <w:szCs w:val="16"/>
        </w:rPr>
        <w:t xml:space="preserve"> </w:t>
      </w:r>
      <w:r w:rsidRPr="0045027B">
        <w:rPr>
          <w:rFonts w:ascii="Verdana" w:hAnsi="Verdana"/>
          <w:sz w:val="16"/>
          <w:szCs w:val="16"/>
        </w:rPr>
        <w:t>un</w:t>
      </w:r>
      <w:r w:rsidRPr="0045027B">
        <w:rPr>
          <w:rFonts w:ascii="Verdana" w:hAnsi="Verdana"/>
          <w:spacing w:val="1"/>
          <w:sz w:val="16"/>
          <w:szCs w:val="16"/>
        </w:rPr>
        <w:t xml:space="preserve"> </w:t>
      </w:r>
      <w:r w:rsidRPr="0045027B">
        <w:rPr>
          <w:rFonts w:ascii="Verdana" w:hAnsi="Verdana"/>
          <w:sz w:val="16"/>
          <w:szCs w:val="16"/>
        </w:rPr>
        <w:t>conjunto de bienes organizados por el empresario para realizar los</w:t>
      </w:r>
      <w:r w:rsidRPr="0045027B">
        <w:rPr>
          <w:rFonts w:ascii="Verdana" w:hAnsi="Verdana"/>
          <w:spacing w:val="1"/>
          <w:sz w:val="16"/>
          <w:szCs w:val="16"/>
        </w:rPr>
        <w:t xml:space="preserve"> </w:t>
      </w:r>
      <w:r w:rsidRPr="0045027B">
        <w:rPr>
          <w:rFonts w:ascii="Verdana" w:hAnsi="Verdana"/>
          <w:sz w:val="16"/>
          <w:szCs w:val="16"/>
        </w:rPr>
        <w:t>fines</w:t>
      </w:r>
      <w:r w:rsidRPr="0045027B">
        <w:rPr>
          <w:rFonts w:ascii="Verdana" w:hAnsi="Verdana"/>
          <w:spacing w:val="1"/>
          <w:sz w:val="16"/>
          <w:szCs w:val="16"/>
        </w:rPr>
        <w:t xml:space="preserve"> </w:t>
      </w:r>
      <w:r w:rsidRPr="0045027B">
        <w:rPr>
          <w:rFonts w:ascii="Verdana" w:hAnsi="Verdana"/>
          <w:sz w:val="16"/>
          <w:szCs w:val="16"/>
        </w:rPr>
        <w:t>de</w:t>
      </w:r>
      <w:r w:rsidRPr="0045027B">
        <w:rPr>
          <w:rFonts w:ascii="Verdana" w:hAnsi="Verdana"/>
          <w:spacing w:val="1"/>
          <w:sz w:val="16"/>
          <w:szCs w:val="16"/>
        </w:rPr>
        <w:t xml:space="preserve"> </w:t>
      </w:r>
      <w:r w:rsidRPr="0045027B">
        <w:rPr>
          <w:rFonts w:ascii="Verdana" w:hAnsi="Verdana"/>
          <w:sz w:val="16"/>
          <w:szCs w:val="16"/>
        </w:rPr>
        <w:t>la</w:t>
      </w:r>
      <w:r w:rsidRPr="0045027B">
        <w:rPr>
          <w:rFonts w:ascii="Verdana" w:hAnsi="Verdana"/>
          <w:spacing w:val="1"/>
          <w:sz w:val="16"/>
          <w:szCs w:val="16"/>
        </w:rPr>
        <w:t xml:space="preserve"> </w:t>
      </w:r>
      <w:r w:rsidRPr="0045027B">
        <w:rPr>
          <w:rFonts w:ascii="Verdana" w:hAnsi="Verdana"/>
          <w:sz w:val="16"/>
          <w:szCs w:val="16"/>
        </w:rPr>
        <w:t>empresa.</w:t>
      </w:r>
      <w:r w:rsidRPr="0045027B">
        <w:rPr>
          <w:rFonts w:ascii="Verdana" w:hAnsi="Verdana"/>
          <w:spacing w:val="1"/>
          <w:sz w:val="16"/>
          <w:szCs w:val="16"/>
        </w:rPr>
        <w:t xml:space="preserve"> </w:t>
      </w:r>
      <w:r w:rsidRPr="0045027B">
        <w:rPr>
          <w:rFonts w:ascii="Verdana" w:hAnsi="Verdana"/>
          <w:sz w:val="16"/>
          <w:szCs w:val="16"/>
        </w:rPr>
        <w:t>Una</w:t>
      </w:r>
      <w:r w:rsidRPr="0045027B">
        <w:rPr>
          <w:rFonts w:ascii="Verdana" w:hAnsi="Verdana"/>
          <w:spacing w:val="1"/>
          <w:sz w:val="16"/>
          <w:szCs w:val="16"/>
        </w:rPr>
        <w:t xml:space="preserve"> </w:t>
      </w:r>
      <w:r w:rsidRPr="0045027B">
        <w:rPr>
          <w:rFonts w:ascii="Verdana" w:hAnsi="Verdana"/>
          <w:sz w:val="16"/>
          <w:szCs w:val="16"/>
        </w:rPr>
        <w:t>misma</w:t>
      </w:r>
      <w:r w:rsidRPr="0045027B">
        <w:rPr>
          <w:rFonts w:ascii="Verdana" w:hAnsi="Verdana"/>
          <w:spacing w:val="1"/>
          <w:sz w:val="16"/>
          <w:szCs w:val="16"/>
        </w:rPr>
        <w:t xml:space="preserve"> </w:t>
      </w:r>
      <w:r w:rsidRPr="0045027B">
        <w:rPr>
          <w:rFonts w:ascii="Verdana" w:hAnsi="Verdana"/>
          <w:sz w:val="16"/>
          <w:szCs w:val="16"/>
        </w:rPr>
        <w:t>persona</w:t>
      </w:r>
      <w:r w:rsidRPr="0045027B">
        <w:rPr>
          <w:rFonts w:ascii="Verdana" w:hAnsi="Verdana"/>
          <w:spacing w:val="1"/>
          <w:sz w:val="16"/>
          <w:szCs w:val="16"/>
        </w:rPr>
        <w:t xml:space="preserve"> </w:t>
      </w:r>
      <w:r w:rsidRPr="0045027B">
        <w:rPr>
          <w:rFonts w:ascii="Verdana" w:hAnsi="Verdana"/>
          <w:sz w:val="16"/>
          <w:szCs w:val="16"/>
        </w:rPr>
        <w:t>podrá</w:t>
      </w:r>
      <w:r w:rsidRPr="0045027B">
        <w:rPr>
          <w:rFonts w:ascii="Verdana" w:hAnsi="Verdana"/>
          <w:spacing w:val="1"/>
          <w:sz w:val="16"/>
          <w:szCs w:val="16"/>
        </w:rPr>
        <w:t xml:space="preserve"> </w:t>
      </w:r>
      <w:r w:rsidRPr="0045027B">
        <w:rPr>
          <w:rFonts w:ascii="Verdana" w:hAnsi="Verdana"/>
          <w:sz w:val="16"/>
          <w:szCs w:val="16"/>
        </w:rPr>
        <w:t>tener</w:t>
      </w:r>
      <w:r w:rsidRPr="0045027B">
        <w:rPr>
          <w:rFonts w:ascii="Verdana" w:hAnsi="Verdana"/>
          <w:spacing w:val="1"/>
          <w:sz w:val="16"/>
          <w:szCs w:val="16"/>
        </w:rPr>
        <w:t xml:space="preserve"> </w:t>
      </w:r>
      <w:r w:rsidRPr="0045027B">
        <w:rPr>
          <w:rFonts w:ascii="Verdana" w:hAnsi="Verdana"/>
          <w:sz w:val="16"/>
          <w:szCs w:val="16"/>
        </w:rPr>
        <w:t>varios</w:t>
      </w:r>
      <w:r w:rsidRPr="0045027B">
        <w:rPr>
          <w:rFonts w:ascii="Verdana" w:hAnsi="Verdana"/>
          <w:spacing w:val="1"/>
          <w:sz w:val="16"/>
          <w:szCs w:val="16"/>
        </w:rPr>
        <w:t xml:space="preserve"> </w:t>
      </w:r>
      <w:r w:rsidRPr="0045027B">
        <w:rPr>
          <w:rFonts w:ascii="Verdana" w:hAnsi="Verdana"/>
          <w:sz w:val="16"/>
          <w:szCs w:val="16"/>
        </w:rPr>
        <w:t>establecimientos de comercio, y, a su vez, un solo establecimiento de</w:t>
      </w:r>
      <w:r w:rsidRPr="0045027B">
        <w:rPr>
          <w:rFonts w:ascii="Verdana" w:hAnsi="Verdana"/>
          <w:spacing w:val="-71"/>
          <w:sz w:val="16"/>
          <w:szCs w:val="16"/>
        </w:rPr>
        <w:t xml:space="preserve"> </w:t>
      </w:r>
      <w:r w:rsidRPr="0045027B">
        <w:rPr>
          <w:rFonts w:ascii="Verdana" w:hAnsi="Verdana"/>
          <w:w w:val="95"/>
          <w:sz w:val="16"/>
          <w:szCs w:val="16"/>
        </w:rPr>
        <w:t>comercio podrá pertenecer a varias personas, y destinarse al desarrollo</w:t>
      </w:r>
      <w:r w:rsidRPr="0045027B">
        <w:rPr>
          <w:rFonts w:ascii="Verdana" w:hAnsi="Verdana"/>
          <w:spacing w:val="1"/>
          <w:w w:val="95"/>
          <w:sz w:val="16"/>
          <w:szCs w:val="16"/>
        </w:rPr>
        <w:t xml:space="preserve"> </w:t>
      </w:r>
      <w:r w:rsidRPr="0045027B">
        <w:rPr>
          <w:rFonts w:ascii="Verdana" w:hAnsi="Verdana"/>
          <w:sz w:val="16"/>
          <w:szCs w:val="16"/>
        </w:rPr>
        <w:t>de</w:t>
      </w:r>
      <w:r w:rsidRPr="0045027B">
        <w:rPr>
          <w:rFonts w:ascii="Verdana" w:hAnsi="Verdana"/>
          <w:spacing w:val="-2"/>
          <w:sz w:val="16"/>
          <w:szCs w:val="16"/>
        </w:rPr>
        <w:t xml:space="preserve"> </w:t>
      </w:r>
      <w:r w:rsidRPr="0045027B">
        <w:rPr>
          <w:rFonts w:ascii="Verdana" w:hAnsi="Verdana"/>
          <w:sz w:val="16"/>
          <w:szCs w:val="16"/>
        </w:rPr>
        <w:t>diversas</w:t>
      </w:r>
      <w:r w:rsidRPr="0045027B">
        <w:rPr>
          <w:rFonts w:ascii="Verdana" w:hAnsi="Verdana"/>
          <w:spacing w:val="-2"/>
          <w:sz w:val="16"/>
          <w:szCs w:val="16"/>
        </w:rPr>
        <w:t xml:space="preserve"> </w:t>
      </w:r>
      <w:r w:rsidRPr="0045027B">
        <w:rPr>
          <w:rFonts w:ascii="Verdana" w:hAnsi="Verdana"/>
          <w:sz w:val="16"/>
          <w:szCs w:val="16"/>
        </w:rPr>
        <w:t>actividades</w:t>
      </w:r>
      <w:r w:rsidRPr="0045027B">
        <w:rPr>
          <w:rFonts w:ascii="Verdana" w:hAnsi="Verdana"/>
          <w:spacing w:val="-2"/>
          <w:sz w:val="16"/>
          <w:szCs w:val="16"/>
        </w:rPr>
        <w:t xml:space="preserve"> </w:t>
      </w:r>
      <w:r w:rsidRPr="0045027B">
        <w:rPr>
          <w:rFonts w:ascii="Verdana" w:hAnsi="Verdana"/>
          <w:sz w:val="16"/>
          <w:szCs w:val="16"/>
        </w:rPr>
        <w:t>comerciales”.</w:t>
      </w:r>
    </w:p>
  </w:footnote>
  <w:footnote w:id="8">
    <w:p w14:paraId="0618BA38" w14:textId="77777777" w:rsidR="00192922" w:rsidRPr="0045027B" w:rsidRDefault="00192922" w:rsidP="00192922">
      <w:pPr>
        <w:pStyle w:val="Car1"/>
        <w:ind w:firstLine="709"/>
        <w:jc w:val="both"/>
        <w:rPr>
          <w:rFonts w:ascii="Verdana" w:hAnsi="Verdana" w:cs="Arial"/>
          <w:sz w:val="16"/>
          <w:szCs w:val="16"/>
          <w:lang w:val="es-ES_tradnl"/>
        </w:rPr>
      </w:pPr>
      <w:r w:rsidRPr="0045027B">
        <w:rPr>
          <w:rStyle w:val="Refdenotaalpie"/>
          <w:rFonts w:ascii="Verdana" w:hAnsi="Verdana" w:cs="Arial"/>
          <w:sz w:val="16"/>
          <w:szCs w:val="16"/>
        </w:rPr>
        <w:footnoteRef/>
      </w:r>
      <w:r w:rsidRPr="0045027B">
        <w:rPr>
          <w:rFonts w:ascii="Verdana" w:hAnsi="Verdana" w:cs="Arial"/>
          <w:sz w:val="16"/>
          <w:szCs w:val="16"/>
        </w:rPr>
        <w:t xml:space="preserve"> </w:t>
      </w:r>
      <w:r w:rsidRPr="0045027B">
        <w:rPr>
          <w:rFonts w:ascii="Verdana" w:hAnsi="Verdana" w:cs="Arial"/>
          <w:sz w:val="16"/>
          <w:szCs w:val="16"/>
          <w:lang w:val="es-CO"/>
        </w:rPr>
        <w:t xml:space="preserve">Al respecto, la doctrina ha señalado que </w:t>
      </w:r>
      <w:r w:rsidRPr="0045027B">
        <w:rPr>
          <w:rFonts w:ascii="Verdana" w:eastAsia="Calibri" w:hAnsi="Verdana" w:cs="Arial"/>
          <w:sz w:val="16"/>
          <w:szCs w:val="16"/>
          <w:lang w:val="es-ES_tradnl"/>
        </w:rPr>
        <w:t xml:space="preserve">“inseparable del elemento objetivo – actividad económica organizada- y del subjetivo – empresario mercantil - </w:t>
      </w:r>
      <w:r w:rsidRPr="0045027B">
        <w:rPr>
          <w:rFonts w:ascii="Verdana" w:hAnsi="Verdana" w:cs="Arial"/>
          <w:sz w:val="16"/>
          <w:szCs w:val="16"/>
          <w:lang w:val="es-CO"/>
        </w:rPr>
        <w:t xml:space="preserve">la empresa comercial requiere un elemento funcional llamado establecimiento de comercio, que es un conjunto heterogéneo de bienes destinados específicamente por el empresario a desarrollar la actividad organizada. Así lo establece la definición prevista en el artículo 25 del Código de Comercio: “[…] Dicha </w:t>
      </w:r>
      <w:r w:rsidRPr="0045027B">
        <w:rPr>
          <w:rFonts w:ascii="Verdana" w:hAnsi="Verdana" w:cs="Arial"/>
          <w:sz w:val="16"/>
          <w:szCs w:val="16"/>
          <w:lang w:val="es-ES_tradnl"/>
        </w:rPr>
        <w:t>actividad se realizará a través de uno o más establecimientos de comercio”</w:t>
      </w:r>
      <w:r w:rsidRPr="0045027B">
        <w:rPr>
          <w:rFonts w:ascii="Verdana" w:eastAsia="Calibri" w:hAnsi="Verdana" w:cs="Arial"/>
          <w:sz w:val="16"/>
          <w:szCs w:val="16"/>
          <w:lang w:val="es-ES_tradnl"/>
        </w:rPr>
        <w:t>”</w:t>
      </w:r>
      <w:r w:rsidRPr="0045027B">
        <w:rPr>
          <w:rFonts w:ascii="Verdana" w:hAnsi="Verdana" w:cs="Arial"/>
          <w:sz w:val="16"/>
          <w:szCs w:val="16"/>
          <w:lang w:val="es-ES_tradnl"/>
        </w:rPr>
        <w:t>. (CASTRO DE CIFUENTES, Marcela. Derecho Comercial. Actos de comercio, empresas comerciantes y empresarios. Universidad de los Andes. 2016. Pág. 109).</w:t>
      </w:r>
    </w:p>
    <w:p w14:paraId="7DACA851" w14:textId="77777777" w:rsidR="00192922" w:rsidRDefault="00192922" w:rsidP="00192922">
      <w:pPr>
        <w:pStyle w:val="Textonotapie"/>
        <w:jc w:val="both"/>
        <w:rPr>
          <w:rFonts w:ascii="Verdana" w:hAnsi="Verdana" w:cs="Arial"/>
          <w:sz w:val="16"/>
          <w:szCs w:val="16"/>
          <w:lang w:val="es-ES_tradnl"/>
        </w:rPr>
      </w:pPr>
    </w:p>
  </w:footnote>
  <w:footnote w:id="9">
    <w:p w14:paraId="63C2318C" w14:textId="77777777" w:rsidR="00192922" w:rsidRPr="000418A8" w:rsidRDefault="00192922" w:rsidP="00192922">
      <w:pPr>
        <w:pStyle w:val="Textonotapie"/>
        <w:ind w:firstLine="709"/>
        <w:jc w:val="both"/>
        <w:rPr>
          <w:rFonts w:ascii="Verdana" w:hAnsi="Verdana"/>
          <w:sz w:val="16"/>
          <w:szCs w:val="16"/>
          <w:lang w:val="es-ES"/>
        </w:rPr>
      </w:pPr>
      <w:r w:rsidRPr="000418A8">
        <w:rPr>
          <w:rStyle w:val="Refdenotaalpie"/>
          <w:rFonts w:ascii="Verdana" w:hAnsi="Verdana"/>
          <w:sz w:val="16"/>
          <w:szCs w:val="16"/>
        </w:rPr>
        <w:footnoteRef/>
      </w:r>
      <w:r w:rsidRPr="000418A8">
        <w:rPr>
          <w:rFonts w:ascii="Verdana" w:hAnsi="Verdana"/>
          <w:sz w:val="16"/>
          <w:szCs w:val="16"/>
        </w:rPr>
        <w:t xml:space="preserve"> </w:t>
      </w:r>
      <w:r w:rsidRPr="000418A8">
        <w:rPr>
          <w:rFonts w:ascii="Verdana" w:hAnsi="Verdana"/>
          <w:sz w:val="16"/>
          <w:szCs w:val="16"/>
          <w:lang w:val="es-ES"/>
        </w:rPr>
        <w:t xml:space="preserve">Consejo de Estado. Sección Tercera. Subsección A. Sentencia del 19 de mayo de 2025. </w:t>
      </w:r>
      <w:r w:rsidRPr="000418A8">
        <w:rPr>
          <w:rFonts w:ascii="Verdana" w:hAnsi="Verdana"/>
          <w:sz w:val="16"/>
          <w:szCs w:val="16"/>
          <w:lang w:val="es-ES"/>
        </w:rPr>
        <w:t xml:space="preserve">Exp. 69503. C.P. José Roberto Sáchica Méndez.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E34D0" w14:textId="77777777" w:rsidR="00D76F5E" w:rsidRDefault="00D76F5E" w:rsidP="00D61250">
    <w:pPr>
      <w:pStyle w:val="Encabezado"/>
    </w:pPr>
    <w:r>
      <w:rPr>
        <w:rFonts w:ascii="Geomanist Bold" w:hAnsi="Geomanist Bold"/>
        <w:b/>
        <w:bCs/>
        <w:noProof/>
        <w:color w:val="002060"/>
        <w:sz w:val="24"/>
        <w:szCs w:val="24"/>
      </w:rPr>
      <w:drawing>
        <wp:anchor distT="0" distB="0" distL="114300" distR="114300" simplePos="0" relativeHeight="251658241" behindDoc="1" locked="0" layoutInCell="1" allowOverlap="1" wp14:anchorId="34B37FFB" wp14:editId="65417D40">
          <wp:simplePos x="0" y="0"/>
          <wp:positionH relativeFrom="margin">
            <wp:align>center</wp:align>
          </wp:positionH>
          <wp:positionV relativeFrom="paragraph">
            <wp:posOffset>-325755</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Pr>
        <w:rFonts w:ascii="Geomanist Bold" w:hAnsi="Geomanist Bold"/>
        <w:b/>
        <w:bCs/>
        <w:noProof/>
        <w:color w:val="002060"/>
        <w:sz w:val="24"/>
        <w:szCs w:val="24"/>
      </w:rPr>
      <w:drawing>
        <wp:anchor distT="0" distB="0" distL="114300" distR="114300" simplePos="0" relativeHeight="251658240" behindDoc="0" locked="0" layoutInCell="1" allowOverlap="1" wp14:anchorId="1C6EDB84" wp14:editId="63E81391">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descr="Imagen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149914" name="Imagen 962149914" descr="Imagen en blanco y negro&#10;&#10;Descripción generada automáticamente con confianza media"/>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48CD056D" w14:textId="77777777" w:rsidR="00D76F5E" w:rsidRDefault="00D76F5E" w:rsidP="00D61250">
    <w:pPr>
      <w:pStyle w:val="Encabezado"/>
    </w:pPr>
  </w:p>
  <w:p w14:paraId="7C55F5CB" w14:textId="77777777" w:rsidR="00D76F5E" w:rsidRDefault="00D76F5E" w:rsidP="00D61250">
    <w:pPr>
      <w:pStyle w:val="Encabezado"/>
    </w:pPr>
  </w:p>
  <w:p w14:paraId="686D9AEE" w14:textId="77777777" w:rsidR="00D22F51" w:rsidRPr="00515FB5" w:rsidRDefault="00D22F51" w:rsidP="00D6125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visibility:visible" o:bullet="t">
        <v:imagedata r:id="rId1" o:title=""/>
      </v:shape>
    </w:pict>
  </w:numPicBullet>
  <w:abstractNum w:abstractNumId="0" w15:restartNumberingAfterBreak="0">
    <w:nsid w:val="01C06310"/>
    <w:multiLevelType w:val="multilevel"/>
    <w:tmpl w:val="25FEEF8E"/>
    <w:lvl w:ilvl="0">
      <w:start w:val="1"/>
      <w:numFmt w:val="decimal"/>
      <w:lvlText w:val="%1."/>
      <w:lvlJc w:val="left"/>
      <w:pPr>
        <w:ind w:left="4046" w:hanging="360"/>
      </w:pPr>
      <w:rPr>
        <w:b/>
        <w:color w:val="000000" w:themeColor="text1"/>
      </w:rPr>
    </w:lvl>
    <w:lvl w:ilvl="1">
      <w:start w:val="2"/>
      <w:numFmt w:val="decimal"/>
      <w:isLgl/>
      <w:lvlText w:val="%1.%2"/>
      <w:lvlJc w:val="left"/>
      <w:pPr>
        <w:ind w:left="9927" w:hanging="360"/>
      </w:pPr>
    </w:lvl>
    <w:lvl w:ilvl="2">
      <w:start w:val="1"/>
      <w:numFmt w:val="decimal"/>
      <w:isLgl/>
      <w:lvlText w:val="%1.%2.%3"/>
      <w:lvlJc w:val="left"/>
      <w:pPr>
        <w:ind w:left="10647" w:hanging="720"/>
      </w:pPr>
    </w:lvl>
    <w:lvl w:ilvl="3">
      <w:start w:val="1"/>
      <w:numFmt w:val="decimal"/>
      <w:isLgl/>
      <w:lvlText w:val="%1.%2.%3.%4"/>
      <w:lvlJc w:val="left"/>
      <w:pPr>
        <w:ind w:left="10647" w:hanging="720"/>
      </w:pPr>
    </w:lvl>
    <w:lvl w:ilvl="4">
      <w:start w:val="1"/>
      <w:numFmt w:val="decimal"/>
      <w:isLgl/>
      <w:lvlText w:val="%1.%2.%3.%4.%5"/>
      <w:lvlJc w:val="left"/>
      <w:pPr>
        <w:ind w:left="11007" w:hanging="1080"/>
      </w:pPr>
    </w:lvl>
    <w:lvl w:ilvl="5">
      <w:start w:val="1"/>
      <w:numFmt w:val="decimal"/>
      <w:isLgl/>
      <w:lvlText w:val="%1.%2.%3.%4.%5.%6"/>
      <w:lvlJc w:val="left"/>
      <w:pPr>
        <w:ind w:left="11007" w:hanging="1080"/>
      </w:pPr>
    </w:lvl>
    <w:lvl w:ilvl="6">
      <w:start w:val="1"/>
      <w:numFmt w:val="decimal"/>
      <w:isLgl/>
      <w:lvlText w:val="%1.%2.%3.%4.%5.%6.%7"/>
      <w:lvlJc w:val="left"/>
      <w:pPr>
        <w:ind w:left="11367" w:hanging="1440"/>
      </w:pPr>
    </w:lvl>
    <w:lvl w:ilvl="7">
      <w:start w:val="1"/>
      <w:numFmt w:val="decimal"/>
      <w:isLgl/>
      <w:lvlText w:val="%1.%2.%3.%4.%5.%6.%7.%8"/>
      <w:lvlJc w:val="left"/>
      <w:pPr>
        <w:ind w:left="11367" w:hanging="1440"/>
      </w:pPr>
    </w:lvl>
    <w:lvl w:ilvl="8">
      <w:start w:val="1"/>
      <w:numFmt w:val="decimal"/>
      <w:isLgl/>
      <w:lvlText w:val="%1.%2.%3.%4.%5.%6.%7.%8.%9"/>
      <w:lvlJc w:val="left"/>
      <w:pPr>
        <w:ind w:left="11727" w:hanging="1800"/>
      </w:pPr>
    </w:lvl>
  </w:abstractNum>
  <w:abstractNum w:abstractNumId="1" w15:restartNumberingAfterBreak="0">
    <w:nsid w:val="079A5723"/>
    <w:multiLevelType w:val="hybridMultilevel"/>
    <w:tmpl w:val="28AEE5C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54E78AA"/>
    <w:multiLevelType w:val="multilevel"/>
    <w:tmpl w:val="E7149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C04B3A"/>
    <w:multiLevelType w:val="hybridMultilevel"/>
    <w:tmpl w:val="B6346102"/>
    <w:lvl w:ilvl="0" w:tplc="56A43892">
      <w:start w:val="2"/>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636C03B0"/>
    <w:multiLevelType w:val="hybridMultilevel"/>
    <w:tmpl w:val="87183FAA"/>
    <w:lvl w:ilvl="0" w:tplc="240A0007">
      <w:start w:val="1"/>
      <w:numFmt w:val="bullet"/>
      <w:lvlText w:val=""/>
      <w:lvlPicBulletId w:val="0"/>
      <w:lvlJc w:val="left"/>
      <w:pPr>
        <w:ind w:left="785" w:hanging="360"/>
      </w:pPr>
      <w:rPr>
        <w:rFonts w:ascii="Symbol" w:hAnsi="Symbol" w:hint="default"/>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num w:numId="1" w16cid:durableId="341274352">
    <w:abstractNumId w:val="0"/>
  </w:num>
  <w:num w:numId="2" w16cid:durableId="679089576">
    <w:abstractNumId w:val="4"/>
  </w:num>
  <w:num w:numId="3" w16cid:durableId="390349800">
    <w:abstractNumId w:val="5"/>
  </w:num>
  <w:num w:numId="4" w16cid:durableId="619845936">
    <w:abstractNumId w:val="2"/>
  </w:num>
  <w:num w:numId="5" w16cid:durableId="119418375">
    <w:abstractNumId w:val="1"/>
  </w:num>
  <w:num w:numId="6" w16cid:durableId="4530646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F5E"/>
    <w:rsid w:val="00037699"/>
    <w:rsid w:val="00041F07"/>
    <w:rsid w:val="000C3A55"/>
    <w:rsid w:val="000F5A42"/>
    <w:rsid w:val="000F6DE1"/>
    <w:rsid w:val="00141295"/>
    <w:rsid w:val="00171BAB"/>
    <w:rsid w:val="00192922"/>
    <w:rsid w:val="00243CB7"/>
    <w:rsid w:val="0024491A"/>
    <w:rsid w:val="002A2CBD"/>
    <w:rsid w:val="00382888"/>
    <w:rsid w:val="003C17B1"/>
    <w:rsid w:val="003C4300"/>
    <w:rsid w:val="00411052"/>
    <w:rsid w:val="00417621"/>
    <w:rsid w:val="00444113"/>
    <w:rsid w:val="0048169E"/>
    <w:rsid w:val="00481826"/>
    <w:rsid w:val="004F19C5"/>
    <w:rsid w:val="00553736"/>
    <w:rsid w:val="00556FA9"/>
    <w:rsid w:val="00614307"/>
    <w:rsid w:val="0062116D"/>
    <w:rsid w:val="00684573"/>
    <w:rsid w:val="006C1B4D"/>
    <w:rsid w:val="006D7EEA"/>
    <w:rsid w:val="00732BE3"/>
    <w:rsid w:val="007F40FE"/>
    <w:rsid w:val="007F63F3"/>
    <w:rsid w:val="00865E65"/>
    <w:rsid w:val="00881C78"/>
    <w:rsid w:val="00882308"/>
    <w:rsid w:val="008972BF"/>
    <w:rsid w:val="008C09C4"/>
    <w:rsid w:val="008C4623"/>
    <w:rsid w:val="009018A0"/>
    <w:rsid w:val="00950A4B"/>
    <w:rsid w:val="00997570"/>
    <w:rsid w:val="009B55FE"/>
    <w:rsid w:val="009B6346"/>
    <w:rsid w:val="009D7CF4"/>
    <w:rsid w:val="00A12218"/>
    <w:rsid w:val="00A51424"/>
    <w:rsid w:val="00A87E51"/>
    <w:rsid w:val="00A90678"/>
    <w:rsid w:val="00AE0DEE"/>
    <w:rsid w:val="00AF50E2"/>
    <w:rsid w:val="00B32702"/>
    <w:rsid w:val="00B469A9"/>
    <w:rsid w:val="00BE6C75"/>
    <w:rsid w:val="00C01831"/>
    <w:rsid w:val="00C36C2B"/>
    <w:rsid w:val="00C67EA2"/>
    <w:rsid w:val="00CE3CAA"/>
    <w:rsid w:val="00D121EC"/>
    <w:rsid w:val="00D22F51"/>
    <w:rsid w:val="00D258A7"/>
    <w:rsid w:val="00D54A39"/>
    <w:rsid w:val="00D61250"/>
    <w:rsid w:val="00D76F5E"/>
    <w:rsid w:val="00D77FDB"/>
    <w:rsid w:val="00DE01CA"/>
    <w:rsid w:val="00E00E96"/>
    <w:rsid w:val="00E012CC"/>
    <w:rsid w:val="00E41F7D"/>
    <w:rsid w:val="00E819CC"/>
    <w:rsid w:val="00E84922"/>
    <w:rsid w:val="00FD5E70"/>
    <w:rsid w:val="00FD6CD2"/>
    <w:rsid w:val="00FE2515"/>
    <w:rsid w:val="00FE642E"/>
    <w:rsid w:val="676726B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4D048"/>
  <w15:chartTrackingRefBased/>
  <w15:docId w15:val="{DED17497-AA44-46A2-9B86-4FF608210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F5E"/>
    <w:rPr>
      <w:kern w:val="0"/>
      <w14:ligatures w14:val="none"/>
    </w:rPr>
  </w:style>
  <w:style w:type="paragraph" w:styleId="Ttulo1">
    <w:name w:val="heading 1"/>
    <w:basedOn w:val="Normal"/>
    <w:next w:val="Normal"/>
    <w:link w:val="Ttulo1Car"/>
    <w:uiPriority w:val="9"/>
    <w:qFormat/>
    <w:rsid w:val="00D76F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76F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76F5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76F5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76F5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76F5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76F5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76F5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76F5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76F5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76F5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76F5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76F5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76F5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76F5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76F5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76F5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76F5E"/>
    <w:rPr>
      <w:rFonts w:eastAsiaTheme="majorEastAsia" w:cstheme="majorBidi"/>
      <w:color w:val="272727" w:themeColor="text1" w:themeTint="D8"/>
    </w:rPr>
  </w:style>
  <w:style w:type="paragraph" w:styleId="Ttulo">
    <w:name w:val="Title"/>
    <w:basedOn w:val="Normal"/>
    <w:next w:val="Normal"/>
    <w:link w:val="TtuloCar"/>
    <w:uiPriority w:val="10"/>
    <w:qFormat/>
    <w:rsid w:val="00D76F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76F5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76F5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76F5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76F5E"/>
    <w:pPr>
      <w:spacing w:before="160"/>
      <w:jc w:val="center"/>
    </w:pPr>
    <w:rPr>
      <w:i/>
      <w:iCs/>
      <w:color w:val="404040" w:themeColor="text1" w:themeTint="BF"/>
    </w:rPr>
  </w:style>
  <w:style w:type="character" w:customStyle="1" w:styleId="CitaCar">
    <w:name w:val="Cita Car"/>
    <w:basedOn w:val="Fuentedeprrafopredeter"/>
    <w:link w:val="Cita"/>
    <w:uiPriority w:val="29"/>
    <w:rsid w:val="00D76F5E"/>
    <w:rPr>
      <w:i/>
      <w:iCs/>
      <w:color w:val="404040" w:themeColor="text1" w:themeTint="BF"/>
    </w:r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
    <w:basedOn w:val="Normal"/>
    <w:link w:val="PrrafodelistaCar"/>
    <w:uiPriority w:val="34"/>
    <w:qFormat/>
    <w:rsid w:val="00D76F5E"/>
    <w:pPr>
      <w:ind w:left="720"/>
      <w:contextualSpacing/>
    </w:pPr>
  </w:style>
  <w:style w:type="character" w:styleId="nfasisintenso">
    <w:name w:val="Intense Emphasis"/>
    <w:basedOn w:val="Fuentedeprrafopredeter"/>
    <w:uiPriority w:val="21"/>
    <w:qFormat/>
    <w:rsid w:val="00D76F5E"/>
    <w:rPr>
      <w:i/>
      <w:iCs/>
      <w:color w:val="0F4761" w:themeColor="accent1" w:themeShade="BF"/>
    </w:rPr>
  </w:style>
  <w:style w:type="paragraph" w:styleId="Citadestacada">
    <w:name w:val="Intense Quote"/>
    <w:basedOn w:val="Normal"/>
    <w:next w:val="Normal"/>
    <w:link w:val="CitadestacadaCar"/>
    <w:uiPriority w:val="30"/>
    <w:qFormat/>
    <w:rsid w:val="00D76F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76F5E"/>
    <w:rPr>
      <w:i/>
      <w:iCs/>
      <w:color w:val="0F4761" w:themeColor="accent1" w:themeShade="BF"/>
    </w:rPr>
  </w:style>
  <w:style w:type="character" w:styleId="Referenciaintensa">
    <w:name w:val="Intense Reference"/>
    <w:basedOn w:val="Fuentedeprrafopredeter"/>
    <w:uiPriority w:val="32"/>
    <w:qFormat/>
    <w:rsid w:val="00D76F5E"/>
    <w:rPr>
      <w:b/>
      <w:bCs/>
      <w:smallCaps/>
      <w:color w:val="0F4761" w:themeColor="accent1" w:themeShade="BF"/>
      <w:spacing w:val="5"/>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D76F5E"/>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D76F5E"/>
    <w:pPr>
      <w:spacing w:after="0" w:line="240" w:lineRule="auto"/>
    </w:pPr>
    <w:rPr>
      <w:kern w:val="2"/>
      <w:sz w:val="20"/>
      <w:szCs w:val="20"/>
      <w:lang w:val="es-MX"/>
      <w14:ligatures w14:val="standardContextual"/>
    </w:rPr>
  </w:style>
  <w:style w:type="character" w:customStyle="1" w:styleId="TextonotapieCar1">
    <w:name w:val="Texto nota pie Car1"/>
    <w:basedOn w:val="Fuentedeprrafopredeter"/>
    <w:uiPriority w:val="99"/>
    <w:semiHidden/>
    <w:rsid w:val="00D76F5E"/>
    <w:rPr>
      <w:kern w:val="0"/>
      <w:sz w:val="20"/>
      <w:szCs w:val="20"/>
      <w14:ligatures w14:val="none"/>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D76F5E"/>
    <w:rPr>
      <w:vertAlign w:val="superscript"/>
    </w:rPr>
  </w:style>
  <w:style w:type="paragraph" w:customStyle="1" w:styleId="Appelnotedebasde">
    <w:name w:val="Appel note de bas de..."/>
    <w:basedOn w:val="Normal"/>
    <w:link w:val="Refdenotaalpie"/>
    <w:uiPriority w:val="99"/>
    <w:rsid w:val="00D76F5E"/>
    <w:pPr>
      <w:spacing w:line="240" w:lineRule="exact"/>
    </w:pPr>
    <w:rPr>
      <w:kern w:val="2"/>
      <w:vertAlign w:val="superscript"/>
      <w14:ligatures w14:val="standardContextual"/>
    </w:rPr>
  </w:style>
  <w:style w:type="paragraph" w:styleId="Encabezado">
    <w:name w:val="header"/>
    <w:basedOn w:val="Normal"/>
    <w:link w:val="EncabezadoCar"/>
    <w:uiPriority w:val="99"/>
    <w:unhideWhenUsed/>
    <w:rsid w:val="00D76F5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76F5E"/>
    <w:rPr>
      <w:kern w:val="0"/>
      <w14:ligatures w14:val="none"/>
    </w:rPr>
  </w:style>
  <w:style w:type="paragraph" w:styleId="Piedepgina">
    <w:name w:val="footer"/>
    <w:basedOn w:val="Normal"/>
    <w:link w:val="PiedepginaCar"/>
    <w:uiPriority w:val="99"/>
    <w:unhideWhenUsed/>
    <w:rsid w:val="00D76F5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76F5E"/>
    <w:rPr>
      <w:kern w:val="0"/>
      <w14:ligatures w14:val="none"/>
    </w:rPr>
  </w:style>
  <w:style w:type="table" w:styleId="Tablaconcuadrcula">
    <w:name w:val="Table Grid"/>
    <w:basedOn w:val="Tablanormal"/>
    <w:uiPriority w:val="39"/>
    <w:qFormat/>
    <w:rsid w:val="00D76F5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76F5E"/>
    <w:rPr>
      <w:color w:val="467886" w:themeColor="hyperlink"/>
      <w:u w:val="single"/>
    </w:rPr>
  </w:style>
  <w:style w:type="character" w:customStyle="1" w:styleId="normaltextrun">
    <w:name w:val="normaltextrun"/>
    <w:basedOn w:val="Fuentedeprrafopredeter"/>
    <w:rsid w:val="00D76F5E"/>
  </w:style>
  <w:style w:type="character" w:customStyle="1" w:styleId="eop">
    <w:name w:val="eop"/>
    <w:basedOn w:val="Fuentedeprrafopredeter"/>
    <w:rsid w:val="00D76F5E"/>
  </w:style>
  <w:style w:type="paragraph" w:customStyle="1" w:styleId="paragraph">
    <w:name w:val="paragraph"/>
    <w:basedOn w:val="Normal"/>
    <w:rsid w:val="00D76F5E"/>
    <w:pPr>
      <w:spacing w:before="100" w:beforeAutospacing="1" w:after="100" w:afterAutospacing="1" w:line="240" w:lineRule="auto"/>
    </w:pPr>
    <w:rPr>
      <w:rFonts w:ascii="Times New Roman" w:eastAsia="Times New Roman" w:hAnsi="Times New Roman" w:cs="Times New Roman"/>
      <w:sz w:val="24"/>
      <w:szCs w:val="24"/>
      <w:lang w:eastAsia="es-ES_tradnl"/>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D76F5E"/>
  </w:style>
  <w:style w:type="paragraph" w:styleId="NormalWeb">
    <w:name w:val="Normal (Web)"/>
    <w:basedOn w:val="Normal"/>
    <w:link w:val="NormalWebCar"/>
    <w:uiPriority w:val="99"/>
    <w:unhideWhenUsed/>
    <w:rsid w:val="00D76F5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NormalWebCar">
    <w:name w:val="Normal (Web) Car"/>
    <w:link w:val="NormalWeb"/>
    <w:uiPriority w:val="99"/>
    <w:locked/>
    <w:rsid w:val="00D76F5E"/>
    <w:rPr>
      <w:rFonts w:ascii="Times New Roman" w:eastAsia="Times New Roman" w:hAnsi="Times New Roman" w:cs="Times New Roman"/>
      <w:kern w:val="0"/>
      <w:sz w:val="24"/>
      <w:szCs w:val="24"/>
      <w:lang w:eastAsia="es-CO"/>
      <w14:ligatures w14:val="none"/>
    </w:rPr>
  </w:style>
  <w:style w:type="character" w:styleId="Mencinsinresolver">
    <w:name w:val="Unresolved Mention"/>
    <w:basedOn w:val="Fuentedeprrafopredeter"/>
    <w:uiPriority w:val="99"/>
    <w:semiHidden/>
    <w:unhideWhenUsed/>
    <w:rsid w:val="00D76F5E"/>
    <w:rPr>
      <w:color w:val="605E5C"/>
      <w:shd w:val="clear" w:color="auto" w:fill="E1DFDD"/>
    </w:rPr>
  </w:style>
  <w:style w:type="paragraph" w:styleId="Sinespaciado">
    <w:name w:val="No Spacing"/>
    <w:aliases w:val="No Indent"/>
    <w:uiPriority w:val="3"/>
    <w:qFormat/>
    <w:rsid w:val="00171BAB"/>
    <w:pPr>
      <w:spacing w:after="0" w:line="240" w:lineRule="auto"/>
    </w:pPr>
    <w:rPr>
      <w:kern w:val="0"/>
      <w:sz w:val="24"/>
      <w:lang w:val="es-MX"/>
      <w14:ligatures w14:val="none"/>
    </w:rPr>
  </w:style>
  <w:style w:type="paragraph" w:customStyle="1" w:styleId="Car1">
    <w:name w:val="Car1"/>
    <w:basedOn w:val="Normal"/>
    <w:next w:val="Textonotapie"/>
    <w:uiPriority w:val="99"/>
    <w:unhideWhenUsed/>
    <w:qFormat/>
    <w:rsid w:val="00C01831"/>
    <w:pPr>
      <w:spacing w:after="0" w:line="240" w:lineRule="auto"/>
    </w:pPr>
    <w:rPr>
      <w:sz w:val="20"/>
      <w:szCs w:val="20"/>
      <w:lang w:val="es-MX"/>
    </w:rPr>
  </w:style>
  <w:style w:type="paragraph" w:styleId="Textoindependiente">
    <w:name w:val="Body Text"/>
    <w:basedOn w:val="Normal"/>
    <w:link w:val="TextoindependienteCar"/>
    <w:uiPriority w:val="1"/>
    <w:qFormat/>
    <w:rsid w:val="0062116D"/>
    <w:pPr>
      <w:widowControl w:val="0"/>
      <w:autoSpaceDE w:val="0"/>
      <w:autoSpaceDN w:val="0"/>
      <w:spacing w:after="0" w:line="240" w:lineRule="auto"/>
    </w:pPr>
    <w:rPr>
      <w:rFonts w:ascii="Verdana" w:eastAsia="Verdana" w:hAnsi="Verdana" w:cs="Verdana"/>
      <w:lang w:val="es-ES"/>
    </w:rPr>
  </w:style>
  <w:style w:type="character" w:customStyle="1" w:styleId="TextoindependienteCar">
    <w:name w:val="Texto independiente Car"/>
    <w:basedOn w:val="Fuentedeprrafopredeter"/>
    <w:link w:val="Textoindependiente"/>
    <w:uiPriority w:val="1"/>
    <w:rsid w:val="0062116D"/>
    <w:rPr>
      <w:rFonts w:ascii="Verdana" w:eastAsia="Verdana" w:hAnsi="Verdana" w:cs="Verdana"/>
      <w:kern w:val="0"/>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otificaciones@ccbarranca.org.co" TargetMode="External"/><Relationship Id="rId18"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forms.office.com/r/pPHyWVs2SZ" TargetMode="External"/><Relationship Id="rId7" Type="http://schemas.openxmlformats.org/officeDocument/2006/relationships/settings" Target="settings.xml"/><Relationship Id="rId12" Type="http://schemas.openxmlformats.org/officeDocument/2006/relationships/hyperlink" Target="mailto:katherine.villalba@ccbarranca.org.co" TargetMode="External"/><Relationship Id="rId17" Type="http://schemas.openxmlformats.org/officeDocument/2006/relationships/hyperlink" Target="https://www.colombiacompra.gov.co/normativa-y-relatoria/documentos-tipo"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formacionvirtual.colombiacompra.gov.co/mod/page/view.php?id=3718" TargetMode="External"/><Relationship Id="rId20" Type="http://schemas.openxmlformats.org/officeDocument/2006/relationships/hyperlink" Target="https://www.colombiacompra.gov.co/pqrsd/informacion-importante-antes-de-formular-una-pqrs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relatoria.colombiacompra.gov.co/busqueda/conceptos"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ventanilladeradicacion@colombiacompra.gov.co"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peraciones.colombiacompra.gov.co/sites/cce_public/files/cce_documents/cce-eicp-ma-04._manual_requisitos_habilitantes_v3_29-09-2023.pdf" TargetMode="External"/><Relationship Id="rId22" Type="http://schemas.openxmlformats.org/officeDocument/2006/relationships/image" Target="media/image3.png"/></Relationships>
</file>

<file path=word/_rels/footnotes.xml.rels><?xml version="1.0" encoding="UTF-8" standalone="yes"?>
<Relationships xmlns="http://schemas.openxmlformats.org/package/2006/relationships"><Relationship Id="rId2" Type="http://schemas.openxmlformats.org/officeDocument/2006/relationships/hyperlink" Target="https://colombiacompra.gov.co/sites/cce_public/files/cce_documents/cce-eicp-ma-04._manual_requisitos_habilitantes_v3_29-09-2023.pdf" TargetMode="External"/><Relationship Id="rId1" Type="http://schemas.openxmlformats.org/officeDocument/2006/relationships/hyperlink" Target="https://www.colombiacompra.gov.co/archivos/manual/manual-para-determinar-y-verificar-los-requisitos-habilitantes-en-los-procesos-de-contratacio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DE752A3-E87D-9447-A204-E4AB0156A81A}">
  <ds:schemaRefs>
    <ds:schemaRef ds:uri="http://schemas.openxmlformats.org/officeDocument/2006/bibliography"/>
  </ds:schemaRefs>
</ds:datastoreItem>
</file>

<file path=customXml/itemProps2.xml><?xml version="1.0" encoding="utf-8"?>
<ds:datastoreItem xmlns:ds="http://schemas.openxmlformats.org/officeDocument/2006/customXml" ds:itemID="{FC469A16-D961-46AC-B9CC-61AD0A00AD9A}">
  <ds:schemaRefs>
    <ds:schemaRef ds:uri="http://schemas.microsoft.com/sharepoint/v3/contenttype/forms"/>
  </ds:schemaRefs>
</ds:datastoreItem>
</file>

<file path=customXml/itemProps3.xml><?xml version="1.0" encoding="utf-8"?>
<ds:datastoreItem xmlns:ds="http://schemas.openxmlformats.org/officeDocument/2006/customXml" ds:itemID="{ADDF2346-82CF-4BA5-A7F1-AFE7D1334F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FDF269-54C7-49AD-9DEB-DD6DE0C37826}">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4</TotalTime>
  <Pages>18</Pages>
  <Words>5324</Words>
  <Characters>29283</Characters>
  <Application>Microsoft Office Word</Application>
  <DocSecurity>0</DocSecurity>
  <Lines>244</Lines>
  <Paragraphs>69</Paragraphs>
  <ScaleCrop>false</ScaleCrop>
  <Company/>
  <LinksUpToDate>false</LinksUpToDate>
  <CharactersWithSpaces>34538</CharactersWithSpaces>
  <SharedDoc>false</SharedDoc>
  <HLinks>
    <vt:vector size="30" baseType="variant">
      <vt:variant>
        <vt:i4>6029407</vt:i4>
      </vt:variant>
      <vt:variant>
        <vt:i4>9</vt:i4>
      </vt:variant>
      <vt:variant>
        <vt:i4>0</vt:i4>
      </vt:variant>
      <vt:variant>
        <vt:i4>5</vt:i4>
      </vt:variant>
      <vt:variant>
        <vt:lpwstr>http://www.colombiacompra.gov.co/</vt:lpwstr>
      </vt:variant>
      <vt:variant>
        <vt:lpwstr/>
      </vt:variant>
      <vt:variant>
        <vt:i4>7471218</vt:i4>
      </vt:variant>
      <vt:variant>
        <vt:i4>6</vt:i4>
      </vt:variant>
      <vt:variant>
        <vt:i4>0</vt:i4>
      </vt:variant>
      <vt:variant>
        <vt:i4>5</vt:i4>
      </vt:variant>
      <vt:variant>
        <vt:lpwstr>https://relatoria.colombiacompra.gov.co/busqueda/conceptos</vt:lpwstr>
      </vt:variant>
      <vt:variant>
        <vt:lpwstr/>
      </vt:variant>
      <vt:variant>
        <vt:i4>721019</vt:i4>
      </vt:variant>
      <vt:variant>
        <vt:i4>3</vt:i4>
      </vt:variant>
      <vt:variant>
        <vt:i4>0</vt:i4>
      </vt:variant>
      <vt:variant>
        <vt:i4>5</vt:i4>
      </vt:variant>
      <vt:variant>
        <vt:lpwstr>https://operaciones.colombiacompra.gov.co/sites/cce_public/files/cce_documents/cce-eicp-ma-04._manual_requisitos_habilitantes_v3_29-09-2023.pdf</vt:lpwstr>
      </vt:variant>
      <vt:variant>
        <vt:lpwstr/>
      </vt:variant>
      <vt:variant>
        <vt:i4>8061020</vt:i4>
      </vt:variant>
      <vt:variant>
        <vt:i4>0</vt:i4>
      </vt:variant>
      <vt:variant>
        <vt:i4>0</vt:i4>
      </vt:variant>
      <vt:variant>
        <vt:i4>5</vt:i4>
      </vt:variant>
      <vt:variant>
        <vt:lpwstr>mailto:andresabog@outlook.com</vt:lpwstr>
      </vt:variant>
      <vt:variant>
        <vt:lpwstr/>
      </vt:variant>
      <vt:variant>
        <vt:i4>5111908</vt:i4>
      </vt:variant>
      <vt:variant>
        <vt:i4>0</vt:i4>
      </vt:variant>
      <vt:variant>
        <vt:i4>0</vt:i4>
      </vt:variant>
      <vt:variant>
        <vt:i4>5</vt:i4>
      </vt:variant>
      <vt:variant>
        <vt:lpwstr>https://colombiacompra.gov.co/sites/cce_public/files/cce_documents/cce-eicp-ma-04._manual_requisitos_habilitantes_v3_29-09-2023.pdf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Andreina Cerpa Muñoz</dc:creator>
  <cp:keywords/>
  <dc:description/>
  <cp:lastModifiedBy>Sergio Andrés Rivera Cano</cp:lastModifiedBy>
  <cp:revision>5</cp:revision>
  <dcterms:created xsi:type="dcterms:W3CDTF">2026-06-08T21:58:00Z</dcterms:created>
  <dcterms:modified xsi:type="dcterms:W3CDTF">2026-06-24T00:45:00Z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