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759F9" w:rsidR="003E1B03" w:rsidP="003E1B03" w:rsidRDefault="003E1B03" w14:paraId="76086F18" w14:textId="77777777">
      <w:pPr>
        <w:spacing w:after="0" w:line="240" w:lineRule="auto"/>
        <w:contextualSpacing/>
        <w:jc w:val="both"/>
        <w:rPr>
          <w:rFonts w:ascii="Verdana" w:hAnsi="Verdana" w:cs="Arial"/>
          <w:b/>
          <w:lang w:val="es-ES" w:eastAsia="es-ES_tradnl"/>
        </w:rPr>
      </w:pPr>
      <w:r w:rsidRPr="000759F9">
        <w:rPr>
          <w:rFonts w:ascii="Verdana" w:hAnsi="Verdana" w:cs="Arial"/>
          <w:b/>
          <w:lang w:val="es-ES" w:eastAsia="es-ES_tradnl"/>
        </w:rPr>
        <w:t>REGISTRO ÚNICO DE PROPONENTES – RUP – Concepto</w:t>
      </w:r>
    </w:p>
    <w:p w:rsidRPr="000759F9" w:rsidR="003E1B03" w:rsidP="003E1B03" w:rsidRDefault="003E1B03" w14:paraId="3C9AD837" w14:textId="77777777">
      <w:pPr>
        <w:spacing w:after="0" w:line="240" w:lineRule="auto"/>
        <w:contextualSpacing/>
        <w:jc w:val="both"/>
        <w:rPr>
          <w:rFonts w:ascii="Verdana" w:hAnsi="Verdana" w:cs="Arial"/>
          <w:b/>
          <w:lang w:val="es-ES" w:eastAsia="es-ES_tradnl"/>
        </w:rPr>
      </w:pPr>
    </w:p>
    <w:p w:rsidRPr="000759F9" w:rsidR="003E1B03" w:rsidP="003E1B03" w:rsidRDefault="003E1B03" w14:paraId="1B65906C" w14:textId="77777777">
      <w:pPr>
        <w:spacing w:after="0" w:line="240" w:lineRule="auto"/>
        <w:jc w:val="both"/>
        <w:rPr>
          <w:rFonts w:ascii="Verdana" w:hAnsi="Verdana" w:eastAsia="Times New Roman" w:cs="Arial"/>
          <w:sz w:val="20"/>
          <w:lang w:eastAsia="es-ES_tradnl"/>
        </w:rPr>
      </w:pPr>
      <w:r w:rsidRPr="000759F9">
        <w:rPr>
          <w:rFonts w:ascii="Verdana" w:hAnsi="Verdana" w:eastAsia="Times New Roman" w:cs="Arial"/>
          <w:sz w:val="20"/>
          <w:lang w:eastAsia="es-ES_tradnl"/>
        </w:rPr>
        <w:t>El RUP como instrumento en el que consta la información relacionada con las personas naturales y jurídicas,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 […]</w:t>
      </w:r>
    </w:p>
    <w:p w:rsidRPr="000759F9" w:rsidR="003E1B03" w:rsidP="003E1B03" w:rsidRDefault="003E1B03" w14:paraId="22623BEE" w14:textId="77777777">
      <w:pPr>
        <w:spacing w:after="0"/>
        <w:jc w:val="both"/>
        <w:rPr>
          <w:rFonts w:ascii="Verdana" w:hAnsi="Verdana" w:eastAsia="Times New Roman" w:cs="Arial"/>
          <w:sz w:val="20"/>
          <w:lang w:eastAsia="es-ES_tradnl"/>
        </w:rPr>
      </w:pPr>
    </w:p>
    <w:p w:rsidR="003E1B03" w:rsidP="003E1B03" w:rsidRDefault="003E1B03" w14:paraId="2DA1D1E2" w14:textId="77777777">
      <w:pPr>
        <w:spacing w:after="0" w:line="240" w:lineRule="auto"/>
        <w:contextualSpacing/>
        <w:jc w:val="both"/>
        <w:rPr>
          <w:rFonts w:ascii="Verdana" w:hAnsi="Verdana" w:cs="Arial"/>
          <w:b/>
          <w:lang w:val="es-ES" w:eastAsia="es-ES_tradnl"/>
        </w:rPr>
      </w:pPr>
      <w:r w:rsidRPr="000759F9">
        <w:rPr>
          <w:rFonts w:ascii="Verdana" w:hAnsi="Verdana" w:cs="Arial"/>
          <w:b/>
          <w:lang w:val="es-ES" w:eastAsia="es-ES_tradnl"/>
        </w:rPr>
        <w:t>REGISTRO ÚNICO DE PROPONENTES – RUP –</w:t>
      </w:r>
      <w:r>
        <w:rPr>
          <w:rFonts w:ascii="Verdana" w:hAnsi="Verdana" w:cs="Arial"/>
          <w:b/>
          <w:lang w:val="es-ES" w:eastAsia="es-ES_tradnl"/>
        </w:rPr>
        <w:t xml:space="preserve"> Obligación - Inscripción</w:t>
      </w:r>
    </w:p>
    <w:p w:rsidR="003E1B03" w:rsidP="003E1B03" w:rsidRDefault="003E1B03" w14:paraId="33FD9C53" w14:textId="77777777">
      <w:pPr>
        <w:spacing w:after="0" w:line="240" w:lineRule="auto"/>
        <w:contextualSpacing/>
        <w:jc w:val="both"/>
        <w:rPr>
          <w:rFonts w:ascii="Verdana" w:hAnsi="Verdana" w:cs="Arial"/>
          <w:b/>
          <w:lang w:val="es-ES" w:eastAsia="es-ES_tradnl"/>
        </w:rPr>
      </w:pPr>
    </w:p>
    <w:p w:rsidRPr="000759F9" w:rsidR="003E1B03" w:rsidP="003E1B03" w:rsidRDefault="003E1B03" w14:paraId="2362F219" w14:textId="77777777">
      <w:pPr>
        <w:spacing w:after="120" w:line="240" w:lineRule="auto"/>
        <w:jc w:val="both"/>
        <w:rPr>
          <w:rFonts w:ascii="Verdana" w:hAnsi="Verdana" w:eastAsia="Times New Roman" w:cs="Arial"/>
          <w:sz w:val="20"/>
          <w:szCs w:val="20"/>
          <w:lang w:eastAsia="es-ES_tradnl"/>
        </w:rPr>
      </w:pPr>
      <w:r w:rsidRPr="000759F9">
        <w:rPr>
          <w:rFonts w:ascii="Verdana" w:hAnsi="Verdana" w:eastAsia="Times New Roman" w:cs="Arial"/>
          <w:sz w:val="20"/>
          <w:szCs w:val="20"/>
          <w:lang w:eastAsia="es-ES_tradnl"/>
        </w:rPr>
        <w:t xml:space="preserve">[…] el inciso 1 del artículo 6 de la Ley 1150 de 2007, mediante el cual se regulan los sujetos que deben inscribirse en el RUP, señaló que deben hacerlo las personas, naturales o jurídicas, nacionales o extranjeras que tengan domicilio o sucursal en el país. Estas personas tienen la obligación de registrarse en el RUP, en dos (2) casos: a) pretendan celebrar contratos estatales y b) el Procedimiento de Contratación sea de aquellos en los cuales no se exceptúa el RUP, de acuerdo con el inciso 2 del artículo 6 de la Ley 1150 de 2007. </w:t>
      </w:r>
    </w:p>
    <w:p w:rsidRPr="000759F9" w:rsidR="003E1B03" w:rsidP="003E1B03" w:rsidRDefault="003E1B03" w14:paraId="25EE69AC" w14:textId="77777777">
      <w:pPr>
        <w:widowControl w:val="0"/>
        <w:autoSpaceDE w:val="0"/>
        <w:autoSpaceDN w:val="0"/>
        <w:spacing w:after="120" w:line="240" w:lineRule="auto"/>
        <w:jc w:val="both"/>
        <w:rPr>
          <w:rFonts w:ascii="Verdana" w:hAnsi="Verdana" w:eastAsia="Times New Roman" w:cs="Arial"/>
          <w:sz w:val="20"/>
          <w:szCs w:val="20"/>
          <w:lang w:eastAsia="es-ES_tradnl"/>
        </w:rPr>
      </w:pPr>
      <w:r w:rsidRPr="000759F9">
        <w:rPr>
          <w:rFonts w:ascii="Verdana" w:hAnsi="Verdana" w:eastAsia="Times New Roman" w:cs="Arial"/>
          <w:sz w:val="20"/>
          <w:szCs w:val="20"/>
          <w:lang w:eastAsia="es-ES_tradnl"/>
        </w:rPr>
        <w:t>En desarrollo del marco legal expuesto, el Decreto 1082 de 2015 dispone quiénes deben inscribirse en el RUP, el momento de la renovación del registro, la información requerida para la inscripción, renovación o actualización y la posibilidad de solicitar la cancelación de la inscripción, en cualquier momento ante la cámara de comercio correspondiente. […]</w:t>
      </w:r>
    </w:p>
    <w:p w:rsidR="003E1B03" w:rsidP="003E1B03" w:rsidRDefault="003E1B03" w14:paraId="4658B4FD" w14:textId="77777777">
      <w:pPr>
        <w:spacing w:after="0" w:line="240" w:lineRule="auto"/>
        <w:contextualSpacing/>
        <w:jc w:val="both"/>
        <w:rPr>
          <w:rFonts w:ascii="Verdana" w:hAnsi="Verdana" w:cs="Arial"/>
          <w:b/>
          <w:lang w:val="es-ES" w:eastAsia="es-ES_tradnl"/>
        </w:rPr>
      </w:pPr>
      <w:r w:rsidRPr="000759F9">
        <w:rPr>
          <w:rFonts w:ascii="Verdana" w:hAnsi="Verdana" w:cs="Arial"/>
          <w:b/>
          <w:lang w:val="es-ES" w:eastAsia="es-ES_tradnl"/>
        </w:rPr>
        <w:t xml:space="preserve">REGISTRO ÚNICO DE PROPONENTES – RUP </w:t>
      </w:r>
      <w:r>
        <w:rPr>
          <w:rFonts w:ascii="Verdana" w:hAnsi="Verdana" w:cs="Arial"/>
          <w:b/>
          <w:lang w:val="es-ES" w:eastAsia="es-ES_tradnl"/>
        </w:rPr>
        <w:t>- Firmeza</w:t>
      </w:r>
    </w:p>
    <w:p w:rsidRPr="000759F9" w:rsidR="003E1B03" w:rsidP="003E1B03" w:rsidRDefault="003E1B03" w14:paraId="54242F04" w14:textId="77777777">
      <w:pPr>
        <w:spacing w:after="0" w:line="240" w:lineRule="auto"/>
        <w:contextualSpacing/>
        <w:jc w:val="both"/>
        <w:rPr>
          <w:rFonts w:ascii="Verdana" w:hAnsi="Verdana" w:cs="Arial"/>
          <w:bCs/>
          <w:sz w:val="20"/>
          <w:szCs w:val="20"/>
          <w:lang w:val="es-ES" w:eastAsia="es-ES_tradnl"/>
        </w:rPr>
      </w:pPr>
    </w:p>
    <w:p w:rsidRPr="000759F9" w:rsidR="003E1B03" w:rsidP="003E1B03" w:rsidRDefault="003E1B03" w14:paraId="0B2C95E1" w14:textId="77777777">
      <w:pPr>
        <w:widowControl w:val="0"/>
        <w:autoSpaceDE w:val="0"/>
        <w:autoSpaceDN w:val="0"/>
        <w:spacing w:after="120" w:line="240" w:lineRule="auto"/>
        <w:jc w:val="both"/>
        <w:rPr>
          <w:rFonts w:ascii="Verdana" w:hAnsi="Verdana" w:eastAsia="Arial" w:cs="Arial"/>
          <w:b/>
          <w:sz w:val="20"/>
          <w:szCs w:val="20"/>
          <w:lang w:val="es-ES"/>
        </w:rPr>
      </w:pPr>
      <w:r>
        <w:rPr>
          <w:rFonts w:ascii="Verdana" w:hAnsi="Verdana" w:cs="Arial"/>
          <w:sz w:val="20"/>
          <w:szCs w:val="20"/>
        </w:rPr>
        <w:t xml:space="preserve">[…] </w:t>
      </w:r>
      <w:r w:rsidRPr="000759F9">
        <w:rPr>
          <w:rFonts w:ascii="Verdana" w:hAnsi="Verdana" w:cs="Arial"/>
          <w:sz w:val="20"/>
          <w:szCs w:val="20"/>
        </w:rPr>
        <w:t>Ahora bien, en relación con la firmeza del RUP, debe señalarse que, en concordancia</w:t>
      </w:r>
      <w:r w:rsidRPr="000759F9">
        <w:rPr>
          <w:rFonts w:ascii="Verdana" w:hAnsi="Verdana" w:cs="Arial"/>
          <w:spacing w:val="-4"/>
          <w:sz w:val="20"/>
          <w:szCs w:val="20"/>
        </w:rPr>
        <w:t xml:space="preserve"> </w:t>
      </w:r>
      <w:r w:rsidRPr="000759F9">
        <w:rPr>
          <w:rFonts w:ascii="Verdana" w:hAnsi="Verdana" w:cs="Arial"/>
          <w:sz w:val="20"/>
          <w:szCs w:val="20"/>
        </w:rPr>
        <w:t>con</w:t>
      </w:r>
      <w:r w:rsidRPr="000759F9">
        <w:rPr>
          <w:rFonts w:ascii="Verdana" w:hAnsi="Verdana" w:cs="Arial"/>
          <w:spacing w:val="-5"/>
          <w:sz w:val="20"/>
          <w:szCs w:val="20"/>
        </w:rPr>
        <w:t xml:space="preserve"> </w:t>
      </w:r>
      <w:r w:rsidRPr="000759F9">
        <w:rPr>
          <w:rFonts w:ascii="Verdana" w:hAnsi="Verdana" w:cs="Arial"/>
          <w:sz w:val="20"/>
          <w:szCs w:val="20"/>
        </w:rPr>
        <w:t>lo</w:t>
      </w:r>
      <w:r w:rsidRPr="000759F9">
        <w:rPr>
          <w:rFonts w:ascii="Verdana" w:hAnsi="Verdana" w:cs="Arial"/>
          <w:spacing w:val="-4"/>
          <w:sz w:val="20"/>
          <w:szCs w:val="20"/>
        </w:rPr>
        <w:t xml:space="preserve"> </w:t>
      </w:r>
      <w:r w:rsidRPr="000759F9">
        <w:rPr>
          <w:rFonts w:ascii="Verdana" w:hAnsi="Verdana" w:cs="Arial"/>
          <w:sz w:val="20"/>
          <w:szCs w:val="20"/>
        </w:rPr>
        <w:t>establecido</w:t>
      </w:r>
      <w:r w:rsidRPr="000759F9">
        <w:rPr>
          <w:rFonts w:ascii="Verdana" w:hAnsi="Verdana" w:cs="Arial"/>
          <w:spacing w:val="-4"/>
          <w:sz w:val="20"/>
          <w:szCs w:val="20"/>
        </w:rPr>
        <w:t xml:space="preserve"> </w:t>
      </w:r>
      <w:r w:rsidRPr="000759F9">
        <w:rPr>
          <w:rFonts w:ascii="Verdana" w:hAnsi="Verdana" w:cs="Arial"/>
          <w:sz w:val="20"/>
          <w:szCs w:val="20"/>
        </w:rPr>
        <w:t>en</w:t>
      </w:r>
      <w:r w:rsidRPr="000759F9">
        <w:rPr>
          <w:rFonts w:ascii="Verdana" w:hAnsi="Verdana" w:cs="Arial"/>
          <w:spacing w:val="-5"/>
          <w:sz w:val="20"/>
          <w:szCs w:val="20"/>
        </w:rPr>
        <w:t xml:space="preserve"> </w:t>
      </w:r>
      <w:r w:rsidRPr="000759F9">
        <w:rPr>
          <w:rFonts w:ascii="Verdana" w:hAnsi="Verdana" w:cs="Arial"/>
          <w:sz w:val="20"/>
          <w:szCs w:val="20"/>
        </w:rPr>
        <w:t>el</w:t>
      </w:r>
      <w:r w:rsidRPr="000759F9">
        <w:rPr>
          <w:rFonts w:ascii="Verdana" w:hAnsi="Verdana" w:cs="Arial"/>
          <w:spacing w:val="-4"/>
          <w:sz w:val="20"/>
          <w:szCs w:val="20"/>
        </w:rPr>
        <w:t xml:space="preserve"> </w:t>
      </w:r>
      <w:r w:rsidRPr="000759F9">
        <w:rPr>
          <w:rFonts w:ascii="Verdana" w:hAnsi="Verdana" w:cs="Arial"/>
          <w:sz w:val="20"/>
          <w:szCs w:val="20"/>
        </w:rPr>
        <w:t>numeral</w:t>
      </w:r>
      <w:r w:rsidRPr="000759F9">
        <w:rPr>
          <w:rFonts w:ascii="Verdana" w:hAnsi="Verdana" w:cs="Arial"/>
          <w:spacing w:val="-4"/>
          <w:sz w:val="20"/>
          <w:szCs w:val="20"/>
        </w:rPr>
        <w:t xml:space="preserve"> </w:t>
      </w:r>
      <w:r w:rsidRPr="000759F9">
        <w:rPr>
          <w:rFonts w:ascii="Verdana" w:hAnsi="Verdana" w:cs="Arial"/>
          <w:sz w:val="20"/>
          <w:szCs w:val="20"/>
        </w:rPr>
        <w:t>6.3</w:t>
      </w:r>
      <w:r w:rsidRPr="000759F9">
        <w:rPr>
          <w:rFonts w:ascii="Verdana" w:hAnsi="Verdana" w:cs="Arial"/>
          <w:spacing w:val="-5"/>
          <w:sz w:val="20"/>
          <w:szCs w:val="20"/>
        </w:rPr>
        <w:t xml:space="preserve"> </w:t>
      </w:r>
      <w:r w:rsidRPr="000759F9">
        <w:rPr>
          <w:rFonts w:ascii="Verdana" w:hAnsi="Verdana" w:cs="Arial"/>
          <w:sz w:val="20"/>
          <w:szCs w:val="20"/>
        </w:rPr>
        <w:t>de</w:t>
      </w:r>
      <w:r w:rsidRPr="000759F9">
        <w:rPr>
          <w:rFonts w:ascii="Verdana" w:hAnsi="Verdana" w:cs="Arial"/>
          <w:spacing w:val="-4"/>
          <w:sz w:val="20"/>
          <w:szCs w:val="20"/>
        </w:rPr>
        <w:t xml:space="preserve"> </w:t>
      </w:r>
      <w:r w:rsidRPr="000759F9">
        <w:rPr>
          <w:rFonts w:ascii="Verdana" w:hAnsi="Verdana" w:cs="Arial"/>
          <w:sz w:val="20"/>
          <w:szCs w:val="20"/>
        </w:rPr>
        <w:t>la</w:t>
      </w:r>
      <w:r w:rsidRPr="000759F9">
        <w:rPr>
          <w:rFonts w:ascii="Verdana" w:hAnsi="Verdana" w:cs="Arial"/>
          <w:spacing w:val="-4"/>
          <w:sz w:val="20"/>
          <w:szCs w:val="20"/>
        </w:rPr>
        <w:t xml:space="preserve"> </w:t>
      </w:r>
      <w:r w:rsidRPr="000759F9">
        <w:rPr>
          <w:rFonts w:ascii="Verdana" w:hAnsi="Verdana" w:cs="Arial"/>
          <w:sz w:val="20"/>
          <w:szCs w:val="20"/>
        </w:rPr>
        <w:t>Ley</w:t>
      </w:r>
      <w:r w:rsidRPr="000759F9">
        <w:rPr>
          <w:rFonts w:ascii="Verdana" w:hAnsi="Verdana" w:cs="Arial"/>
          <w:spacing w:val="-4"/>
          <w:sz w:val="20"/>
          <w:szCs w:val="20"/>
        </w:rPr>
        <w:t xml:space="preserve"> </w:t>
      </w:r>
      <w:r w:rsidRPr="000759F9">
        <w:rPr>
          <w:rFonts w:ascii="Verdana" w:hAnsi="Verdana" w:cs="Arial"/>
          <w:sz w:val="20"/>
          <w:szCs w:val="20"/>
        </w:rPr>
        <w:t>1150</w:t>
      </w:r>
      <w:r w:rsidRPr="000759F9">
        <w:rPr>
          <w:rFonts w:ascii="Verdana" w:hAnsi="Verdana" w:cs="Arial"/>
          <w:spacing w:val="-5"/>
          <w:sz w:val="20"/>
          <w:szCs w:val="20"/>
        </w:rPr>
        <w:t xml:space="preserve"> </w:t>
      </w:r>
      <w:r w:rsidRPr="000759F9">
        <w:rPr>
          <w:rFonts w:ascii="Verdana" w:hAnsi="Verdana" w:cs="Arial"/>
          <w:sz w:val="20"/>
          <w:szCs w:val="20"/>
        </w:rPr>
        <w:t>de</w:t>
      </w:r>
      <w:r w:rsidRPr="000759F9">
        <w:rPr>
          <w:rFonts w:ascii="Verdana" w:hAnsi="Verdana" w:cs="Arial"/>
          <w:spacing w:val="-4"/>
          <w:sz w:val="20"/>
          <w:szCs w:val="20"/>
        </w:rPr>
        <w:t xml:space="preserve"> </w:t>
      </w:r>
      <w:r w:rsidRPr="000759F9">
        <w:rPr>
          <w:rFonts w:ascii="Verdana" w:hAnsi="Verdana" w:cs="Arial"/>
          <w:sz w:val="20"/>
          <w:szCs w:val="20"/>
        </w:rPr>
        <w:t>2007, la cámara de comercio, verificada la información aportada por el proponente, publicará el acto de inscripción del RUP. Contra dicho acto cualquier</w:t>
      </w:r>
      <w:r w:rsidRPr="000759F9">
        <w:rPr>
          <w:rFonts w:ascii="Verdana" w:hAnsi="Verdana" w:cs="Arial"/>
          <w:spacing w:val="1"/>
          <w:sz w:val="20"/>
          <w:szCs w:val="20"/>
        </w:rPr>
        <w:t xml:space="preserve"> </w:t>
      </w:r>
      <w:r w:rsidRPr="000759F9">
        <w:rPr>
          <w:rFonts w:ascii="Verdana" w:hAnsi="Verdana" w:cs="Arial"/>
          <w:sz w:val="20"/>
          <w:szCs w:val="20"/>
        </w:rPr>
        <w:t>persona podrá interponer recurso de reposición dentro de los diez (10) días hábiles</w:t>
      </w:r>
      <w:r w:rsidRPr="000759F9">
        <w:rPr>
          <w:rFonts w:ascii="Verdana" w:hAnsi="Verdana" w:cs="Arial"/>
          <w:spacing w:val="1"/>
          <w:sz w:val="20"/>
          <w:szCs w:val="20"/>
        </w:rPr>
        <w:t xml:space="preserve"> </w:t>
      </w:r>
      <w:r w:rsidRPr="000759F9">
        <w:rPr>
          <w:rFonts w:ascii="Verdana" w:hAnsi="Verdana" w:cs="Arial"/>
          <w:sz w:val="20"/>
          <w:szCs w:val="20"/>
        </w:rPr>
        <w:t>siguientes</w:t>
      </w:r>
      <w:r w:rsidRPr="000759F9">
        <w:rPr>
          <w:rFonts w:ascii="Verdana" w:hAnsi="Verdana" w:cs="Arial"/>
          <w:spacing w:val="1"/>
          <w:sz w:val="20"/>
          <w:szCs w:val="20"/>
        </w:rPr>
        <w:t xml:space="preserve"> </w:t>
      </w:r>
      <w:r w:rsidRPr="000759F9">
        <w:rPr>
          <w:rFonts w:ascii="Verdana" w:hAnsi="Verdana" w:cs="Arial"/>
          <w:sz w:val="20"/>
          <w:szCs w:val="20"/>
        </w:rPr>
        <w:t>contados</w:t>
      </w:r>
      <w:r w:rsidRPr="000759F9">
        <w:rPr>
          <w:rFonts w:ascii="Verdana" w:hAnsi="Verdana" w:cs="Arial"/>
          <w:spacing w:val="1"/>
          <w:sz w:val="20"/>
          <w:szCs w:val="20"/>
        </w:rPr>
        <w:t xml:space="preserve"> </w:t>
      </w:r>
      <w:r w:rsidRPr="000759F9">
        <w:rPr>
          <w:rFonts w:ascii="Verdana" w:hAnsi="Verdana" w:cs="Arial"/>
          <w:sz w:val="20"/>
          <w:szCs w:val="20"/>
        </w:rPr>
        <w:t>a</w:t>
      </w:r>
      <w:r w:rsidRPr="000759F9">
        <w:rPr>
          <w:rFonts w:ascii="Verdana" w:hAnsi="Verdana" w:cs="Arial"/>
          <w:spacing w:val="1"/>
          <w:sz w:val="20"/>
          <w:szCs w:val="20"/>
        </w:rPr>
        <w:t xml:space="preserve"> </w:t>
      </w:r>
      <w:r w:rsidRPr="000759F9">
        <w:rPr>
          <w:rFonts w:ascii="Verdana" w:hAnsi="Verdana" w:cs="Arial"/>
          <w:sz w:val="20"/>
          <w:szCs w:val="20"/>
        </w:rPr>
        <w:t>partir</w:t>
      </w:r>
      <w:r w:rsidRPr="000759F9">
        <w:rPr>
          <w:rFonts w:ascii="Verdana" w:hAnsi="Verdana" w:cs="Arial"/>
          <w:spacing w:val="1"/>
          <w:sz w:val="20"/>
          <w:szCs w:val="20"/>
        </w:rPr>
        <w:t xml:space="preserve"> </w:t>
      </w:r>
      <w:r w:rsidRPr="000759F9">
        <w:rPr>
          <w:rFonts w:ascii="Verdana" w:hAnsi="Verdana" w:cs="Arial"/>
          <w:sz w:val="20"/>
          <w:szCs w:val="20"/>
        </w:rPr>
        <w:t>de</w:t>
      </w:r>
      <w:r w:rsidRPr="000759F9">
        <w:rPr>
          <w:rFonts w:ascii="Verdana" w:hAnsi="Verdana" w:cs="Arial"/>
          <w:spacing w:val="1"/>
          <w:sz w:val="20"/>
          <w:szCs w:val="20"/>
        </w:rPr>
        <w:t xml:space="preserve"> </w:t>
      </w:r>
      <w:r w:rsidRPr="000759F9">
        <w:rPr>
          <w:rFonts w:ascii="Verdana" w:hAnsi="Verdana" w:cs="Arial"/>
          <w:sz w:val="20"/>
          <w:szCs w:val="20"/>
        </w:rPr>
        <w:t>su</w:t>
      </w:r>
      <w:r w:rsidRPr="000759F9">
        <w:rPr>
          <w:rFonts w:ascii="Verdana" w:hAnsi="Verdana" w:cs="Arial"/>
          <w:spacing w:val="1"/>
          <w:sz w:val="20"/>
          <w:szCs w:val="20"/>
        </w:rPr>
        <w:t xml:space="preserve"> </w:t>
      </w:r>
      <w:r w:rsidRPr="000759F9">
        <w:rPr>
          <w:rFonts w:ascii="Verdana" w:hAnsi="Verdana" w:cs="Arial"/>
          <w:sz w:val="20"/>
          <w:szCs w:val="20"/>
        </w:rPr>
        <w:t>publicación</w:t>
      </w:r>
      <w:r w:rsidRPr="000759F9">
        <w:rPr>
          <w:rFonts w:ascii="Verdana" w:hAnsi="Verdana" w:cs="Arial"/>
          <w:spacing w:val="1"/>
          <w:sz w:val="20"/>
          <w:szCs w:val="20"/>
        </w:rPr>
        <w:t xml:space="preserve"> </w:t>
      </w:r>
      <w:r w:rsidRPr="000759F9">
        <w:rPr>
          <w:rFonts w:ascii="Verdana" w:hAnsi="Verdana" w:cs="Arial"/>
          <w:sz w:val="20"/>
          <w:szCs w:val="20"/>
        </w:rPr>
        <w:t>–posibilidad</w:t>
      </w:r>
      <w:r w:rsidRPr="000759F9">
        <w:rPr>
          <w:rFonts w:ascii="Verdana" w:hAnsi="Verdana" w:cs="Arial"/>
          <w:spacing w:val="1"/>
          <w:sz w:val="20"/>
          <w:szCs w:val="20"/>
        </w:rPr>
        <w:t xml:space="preserve"> </w:t>
      </w:r>
      <w:r w:rsidRPr="000759F9">
        <w:rPr>
          <w:rFonts w:ascii="Verdana" w:hAnsi="Verdana" w:cs="Arial"/>
          <w:sz w:val="20"/>
          <w:szCs w:val="20"/>
        </w:rPr>
        <w:t>aplicable</w:t>
      </w:r>
      <w:r w:rsidRPr="000759F9">
        <w:rPr>
          <w:rFonts w:ascii="Verdana" w:hAnsi="Verdana" w:cs="Arial"/>
          <w:spacing w:val="1"/>
          <w:sz w:val="20"/>
          <w:szCs w:val="20"/>
        </w:rPr>
        <w:t xml:space="preserve"> </w:t>
      </w:r>
      <w:r w:rsidRPr="000759F9">
        <w:rPr>
          <w:rFonts w:ascii="Verdana" w:hAnsi="Verdana" w:cs="Arial"/>
          <w:sz w:val="20"/>
          <w:szCs w:val="20"/>
        </w:rPr>
        <w:t>frente</w:t>
      </w:r>
      <w:r w:rsidRPr="000759F9">
        <w:rPr>
          <w:rFonts w:ascii="Verdana" w:hAnsi="Verdana" w:cs="Arial"/>
          <w:spacing w:val="1"/>
          <w:sz w:val="20"/>
          <w:szCs w:val="20"/>
        </w:rPr>
        <w:t xml:space="preserve"> </w:t>
      </w:r>
      <w:r w:rsidRPr="000759F9">
        <w:rPr>
          <w:rFonts w:ascii="Verdana" w:hAnsi="Verdana" w:cs="Arial"/>
          <w:sz w:val="20"/>
          <w:szCs w:val="20"/>
        </w:rPr>
        <w:t>a</w:t>
      </w:r>
      <w:r w:rsidRPr="000759F9">
        <w:rPr>
          <w:rFonts w:ascii="Verdana" w:hAnsi="Verdana" w:cs="Arial"/>
          <w:spacing w:val="1"/>
          <w:sz w:val="20"/>
          <w:szCs w:val="20"/>
        </w:rPr>
        <w:t xml:space="preserve"> </w:t>
      </w:r>
      <w:r w:rsidRPr="000759F9">
        <w:rPr>
          <w:rFonts w:ascii="Verdana" w:hAnsi="Verdana" w:cs="Arial"/>
          <w:sz w:val="20"/>
          <w:szCs w:val="20"/>
        </w:rPr>
        <w:t>la</w:t>
      </w:r>
      <w:r w:rsidRPr="000759F9">
        <w:rPr>
          <w:rFonts w:ascii="Verdana" w:hAnsi="Verdana" w:cs="Arial"/>
          <w:spacing w:val="1"/>
          <w:sz w:val="20"/>
          <w:szCs w:val="20"/>
        </w:rPr>
        <w:t xml:space="preserve"> </w:t>
      </w:r>
      <w:r w:rsidRPr="000759F9">
        <w:rPr>
          <w:rFonts w:ascii="Verdana" w:hAnsi="Verdana" w:cs="Arial"/>
          <w:i/>
          <w:sz w:val="20"/>
          <w:szCs w:val="20"/>
        </w:rPr>
        <w:t>inscripción, renovación o actualización–</w:t>
      </w:r>
      <w:r w:rsidRPr="000759F9">
        <w:rPr>
          <w:rFonts w:ascii="Verdana" w:hAnsi="Verdana" w:cs="Arial"/>
          <w:sz w:val="20"/>
          <w:szCs w:val="20"/>
        </w:rPr>
        <w:t>. En firme el acto administrativo que realiza la</w:t>
      </w:r>
      <w:r w:rsidRPr="000759F9">
        <w:rPr>
          <w:rFonts w:ascii="Verdana" w:hAnsi="Verdana" w:cs="Arial"/>
          <w:spacing w:val="1"/>
          <w:sz w:val="20"/>
          <w:szCs w:val="20"/>
        </w:rPr>
        <w:t xml:space="preserve"> </w:t>
      </w:r>
      <w:r w:rsidRPr="000759F9">
        <w:rPr>
          <w:rFonts w:ascii="Verdana" w:hAnsi="Verdana" w:cs="Arial"/>
          <w:sz w:val="20"/>
          <w:szCs w:val="20"/>
        </w:rPr>
        <w:t>inscripción</w:t>
      </w:r>
      <w:r w:rsidRPr="000759F9">
        <w:rPr>
          <w:rFonts w:ascii="Verdana" w:hAnsi="Verdana" w:cs="Arial"/>
          <w:spacing w:val="-8"/>
          <w:sz w:val="20"/>
          <w:szCs w:val="20"/>
        </w:rPr>
        <w:t xml:space="preserve"> </w:t>
      </w:r>
      <w:r w:rsidRPr="000759F9">
        <w:rPr>
          <w:rFonts w:ascii="Verdana" w:hAnsi="Verdana" w:cs="Arial"/>
          <w:sz w:val="20"/>
          <w:szCs w:val="20"/>
        </w:rPr>
        <w:t>en</w:t>
      </w:r>
      <w:r w:rsidRPr="000759F9">
        <w:rPr>
          <w:rFonts w:ascii="Verdana" w:hAnsi="Verdana" w:cs="Arial"/>
          <w:spacing w:val="-9"/>
          <w:sz w:val="20"/>
          <w:szCs w:val="20"/>
        </w:rPr>
        <w:t xml:space="preserve"> </w:t>
      </w:r>
      <w:r w:rsidRPr="000759F9">
        <w:rPr>
          <w:rFonts w:ascii="Verdana" w:hAnsi="Verdana" w:cs="Arial"/>
          <w:sz w:val="20"/>
          <w:szCs w:val="20"/>
        </w:rPr>
        <w:t>el</w:t>
      </w:r>
      <w:r w:rsidRPr="000759F9">
        <w:rPr>
          <w:rFonts w:ascii="Verdana" w:hAnsi="Verdana" w:cs="Arial"/>
          <w:spacing w:val="-9"/>
          <w:sz w:val="20"/>
          <w:szCs w:val="20"/>
        </w:rPr>
        <w:t xml:space="preserve"> </w:t>
      </w:r>
      <w:r w:rsidRPr="000759F9">
        <w:rPr>
          <w:rFonts w:ascii="Verdana" w:hAnsi="Verdana" w:cs="Arial"/>
          <w:sz w:val="20"/>
          <w:szCs w:val="20"/>
        </w:rPr>
        <w:t>RUP</w:t>
      </w:r>
      <w:r w:rsidRPr="000759F9">
        <w:rPr>
          <w:rFonts w:ascii="Verdana" w:hAnsi="Verdana" w:cs="Arial"/>
          <w:spacing w:val="-7"/>
          <w:sz w:val="20"/>
          <w:szCs w:val="20"/>
        </w:rPr>
        <w:t xml:space="preserve"> </w:t>
      </w:r>
      <w:r w:rsidRPr="000759F9">
        <w:rPr>
          <w:rFonts w:ascii="Verdana" w:hAnsi="Verdana" w:cs="Arial"/>
          <w:sz w:val="20"/>
          <w:szCs w:val="20"/>
        </w:rPr>
        <w:t>se</w:t>
      </w:r>
      <w:r w:rsidRPr="000759F9">
        <w:rPr>
          <w:rFonts w:ascii="Verdana" w:hAnsi="Verdana" w:cs="Arial"/>
          <w:spacing w:val="-9"/>
          <w:sz w:val="20"/>
          <w:szCs w:val="20"/>
        </w:rPr>
        <w:t xml:space="preserve"> </w:t>
      </w:r>
      <w:r w:rsidRPr="000759F9">
        <w:rPr>
          <w:rFonts w:ascii="Verdana" w:hAnsi="Verdana" w:cs="Arial"/>
          <w:sz w:val="20"/>
          <w:szCs w:val="20"/>
        </w:rPr>
        <w:t>podrá</w:t>
      </w:r>
      <w:r w:rsidRPr="000759F9">
        <w:rPr>
          <w:rFonts w:ascii="Verdana" w:hAnsi="Verdana" w:cs="Arial"/>
          <w:spacing w:val="-9"/>
          <w:sz w:val="20"/>
          <w:szCs w:val="20"/>
        </w:rPr>
        <w:t xml:space="preserve"> </w:t>
      </w:r>
      <w:r w:rsidRPr="000759F9">
        <w:rPr>
          <w:rFonts w:ascii="Verdana" w:hAnsi="Verdana" w:cs="Arial"/>
          <w:sz w:val="20"/>
          <w:szCs w:val="20"/>
        </w:rPr>
        <w:t>demandar</w:t>
      </w:r>
      <w:r w:rsidRPr="000759F9">
        <w:rPr>
          <w:rFonts w:ascii="Verdana" w:hAnsi="Verdana" w:cs="Arial"/>
          <w:spacing w:val="-9"/>
          <w:sz w:val="20"/>
          <w:szCs w:val="20"/>
        </w:rPr>
        <w:t xml:space="preserve"> </w:t>
      </w:r>
      <w:r w:rsidRPr="000759F9">
        <w:rPr>
          <w:rFonts w:ascii="Verdana" w:hAnsi="Verdana" w:cs="Arial"/>
          <w:sz w:val="20"/>
          <w:szCs w:val="20"/>
        </w:rPr>
        <w:t>su</w:t>
      </w:r>
      <w:r w:rsidRPr="000759F9">
        <w:rPr>
          <w:rFonts w:ascii="Verdana" w:hAnsi="Verdana" w:cs="Arial"/>
          <w:spacing w:val="-8"/>
          <w:sz w:val="20"/>
          <w:szCs w:val="20"/>
        </w:rPr>
        <w:t xml:space="preserve"> </w:t>
      </w:r>
      <w:r w:rsidRPr="000759F9">
        <w:rPr>
          <w:rFonts w:ascii="Verdana" w:hAnsi="Verdana" w:cs="Arial"/>
          <w:sz w:val="20"/>
          <w:szCs w:val="20"/>
        </w:rPr>
        <w:t>nulidad,</w:t>
      </w:r>
      <w:r w:rsidRPr="000759F9">
        <w:rPr>
          <w:rFonts w:ascii="Verdana" w:hAnsi="Verdana" w:cs="Arial"/>
          <w:spacing w:val="-9"/>
          <w:sz w:val="20"/>
          <w:szCs w:val="20"/>
        </w:rPr>
        <w:t xml:space="preserve"> </w:t>
      </w:r>
      <w:r w:rsidRPr="000759F9">
        <w:rPr>
          <w:rFonts w:ascii="Verdana" w:hAnsi="Verdana" w:cs="Arial"/>
          <w:sz w:val="20"/>
          <w:szCs w:val="20"/>
        </w:rPr>
        <w:t>sin que la</w:t>
      </w:r>
      <w:r w:rsidRPr="000759F9">
        <w:rPr>
          <w:rFonts w:ascii="Verdana" w:hAnsi="Verdana" w:cs="Arial"/>
          <w:spacing w:val="-9"/>
          <w:sz w:val="20"/>
          <w:szCs w:val="20"/>
        </w:rPr>
        <w:t xml:space="preserve"> </w:t>
      </w:r>
      <w:r w:rsidRPr="000759F9">
        <w:rPr>
          <w:rFonts w:ascii="Verdana" w:hAnsi="Verdana" w:cs="Arial"/>
          <w:sz w:val="20"/>
          <w:szCs w:val="20"/>
        </w:rPr>
        <w:t>presentación</w:t>
      </w:r>
      <w:r w:rsidRPr="000759F9">
        <w:rPr>
          <w:rFonts w:ascii="Verdana" w:hAnsi="Verdana" w:cs="Arial"/>
          <w:spacing w:val="-2"/>
          <w:sz w:val="20"/>
          <w:szCs w:val="20"/>
        </w:rPr>
        <w:t xml:space="preserve"> </w:t>
      </w:r>
      <w:r w:rsidRPr="000759F9">
        <w:rPr>
          <w:rFonts w:ascii="Verdana" w:hAnsi="Verdana" w:cs="Arial"/>
          <w:sz w:val="20"/>
          <w:szCs w:val="20"/>
        </w:rPr>
        <w:t>de</w:t>
      </w:r>
      <w:r w:rsidRPr="000759F9">
        <w:rPr>
          <w:rFonts w:ascii="Verdana" w:hAnsi="Verdana" w:cs="Arial"/>
          <w:spacing w:val="-2"/>
          <w:sz w:val="20"/>
          <w:szCs w:val="20"/>
        </w:rPr>
        <w:t xml:space="preserve"> </w:t>
      </w:r>
      <w:r w:rsidRPr="000759F9">
        <w:rPr>
          <w:rFonts w:ascii="Verdana" w:hAnsi="Verdana" w:cs="Arial"/>
          <w:sz w:val="20"/>
          <w:szCs w:val="20"/>
        </w:rPr>
        <w:t>la</w:t>
      </w:r>
      <w:r w:rsidRPr="000759F9">
        <w:rPr>
          <w:rFonts w:ascii="Verdana" w:hAnsi="Verdana" w:cs="Arial"/>
          <w:spacing w:val="-2"/>
          <w:sz w:val="20"/>
          <w:szCs w:val="20"/>
        </w:rPr>
        <w:t xml:space="preserve"> </w:t>
      </w:r>
      <w:r w:rsidRPr="000759F9">
        <w:rPr>
          <w:rFonts w:ascii="Verdana" w:hAnsi="Verdana" w:cs="Arial"/>
          <w:sz w:val="20"/>
          <w:szCs w:val="20"/>
        </w:rPr>
        <w:t>demanda</w:t>
      </w:r>
      <w:r w:rsidRPr="000759F9">
        <w:rPr>
          <w:rFonts w:ascii="Verdana" w:hAnsi="Verdana" w:cs="Arial"/>
          <w:spacing w:val="-1"/>
          <w:sz w:val="20"/>
          <w:szCs w:val="20"/>
        </w:rPr>
        <w:t xml:space="preserve"> </w:t>
      </w:r>
      <w:r w:rsidRPr="000759F9">
        <w:rPr>
          <w:rFonts w:ascii="Verdana" w:hAnsi="Verdana" w:cs="Arial"/>
          <w:sz w:val="20"/>
          <w:szCs w:val="20"/>
        </w:rPr>
        <w:t>suspenda</w:t>
      </w:r>
      <w:r w:rsidRPr="000759F9">
        <w:rPr>
          <w:rFonts w:ascii="Verdana" w:hAnsi="Verdana" w:cs="Arial"/>
          <w:spacing w:val="-2"/>
          <w:sz w:val="20"/>
          <w:szCs w:val="20"/>
        </w:rPr>
        <w:t xml:space="preserve"> </w:t>
      </w:r>
      <w:r w:rsidRPr="000759F9">
        <w:rPr>
          <w:rFonts w:ascii="Verdana" w:hAnsi="Verdana" w:cs="Arial"/>
          <w:sz w:val="20"/>
          <w:szCs w:val="20"/>
        </w:rPr>
        <w:t>la</w:t>
      </w:r>
      <w:r w:rsidRPr="000759F9">
        <w:rPr>
          <w:rFonts w:ascii="Verdana" w:hAnsi="Verdana" w:cs="Arial"/>
          <w:spacing w:val="-2"/>
          <w:sz w:val="20"/>
          <w:szCs w:val="20"/>
        </w:rPr>
        <w:t xml:space="preserve"> </w:t>
      </w:r>
      <w:r w:rsidRPr="000759F9">
        <w:rPr>
          <w:rFonts w:ascii="Verdana" w:hAnsi="Verdana" w:cs="Arial"/>
          <w:sz w:val="20"/>
          <w:szCs w:val="20"/>
        </w:rPr>
        <w:t>inscripción</w:t>
      </w:r>
      <w:r w:rsidRPr="000759F9">
        <w:rPr>
          <w:rFonts w:ascii="Verdana" w:hAnsi="Verdana" w:cs="Arial"/>
          <w:spacing w:val="-2"/>
          <w:sz w:val="20"/>
          <w:szCs w:val="20"/>
        </w:rPr>
        <w:t xml:space="preserve"> </w:t>
      </w:r>
      <w:r w:rsidRPr="000759F9">
        <w:rPr>
          <w:rFonts w:ascii="Verdana" w:hAnsi="Verdana" w:cs="Arial"/>
          <w:sz w:val="20"/>
          <w:szCs w:val="20"/>
        </w:rPr>
        <w:t>del registro.</w:t>
      </w:r>
      <w:r>
        <w:rPr>
          <w:rFonts w:ascii="Verdana" w:hAnsi="Verdana" w:cs="Arial"/>
          <w:sz w:val="20"/>
          <w:szCs w:val="20"/>
        </w:rPr>
        <w:t xml:space="preserve"> […]</w:t>
      </w:r>
    </w:p>
    <w:p w:rsidRPr="000C6E3B" w:rsidR="003E1B03" w:rsidP="003E1B03" w:rsidRDefault="003E1B03" w14:paraId="487EA205" w14:textId="77777777">
      <w:pPr>
        <w:spacing w:after="0" w:line="240" w:lineRule="auto"/>
        <w:contextualSpacing/>
        <w:jc w:val="both"/>
        <w:rPr>
          <w:rFonts w:ascii="Verdana" w:hAnsi="Verdana" w:cs="Arial"/>
          <w:bCs/>
          <w:sz w:val="20"/>
          <w:szCs w:val="20"/>
          <w:lang w:val="es-ES" w:eastAsia="es-ES_tradnl"/>
        </w:rPr>
      </w:pPr>
    </w:p>
    <w:p w:rsidRPr="000C6E3B" w:rsidR="003E1B03" w:rsidP="003E1B03" w:rsidRDefault="003E1B03" w14:paraId="3D1A6605" w14:textId="77777777">
      <w:pPr>
        <w:spacing w:after="0" w:line="240" w:lineRule="auto"/>
        <w:contextualSpacing/>
        <w:jc w:val="both"/>
        <w:rPr>
          <w:rFonts w:ascii="Verdana" w:hAnsi="Verdana" w:cs="Arial"/>
          <w:b/>
          <w:lang w:val="es-ES" w:eastAsia="es-ES_tradnl"/>
        </w:rPr>
      </w:pPr>
      <w:r w:rsidRPr="000C6E3B">
        <w:rPr>
          <w:rFonts w:ascii="Verdana" w:hAnsi="Verdana" w:cs="Arial"/>
          <w:b/>
          <w:lang w:val="es-ES" w:eastAsia="es-ES_tradnl"/>
        </w:rPr>
        <w:t xml:space="preserve">REGISTRO ÚNICO DE PROPONENTES – RUP – Firmeza – Renovación </w:t>
      </w:r>
    </w:p>
    <w:p w:rsidR="003E1B03" w:rsidP="003E1B03" w:rsidRDefault="003E1B03" w14:paraId="38C89D3E" w14:textId="77777777">
      <w:pPr>
        <w:spacing w:after="0"/>
        <w:rPr>
          <w:rFonts w:ascii="Verdana" w:hAnsi="Verdana"/>
          <w:color w:val="ED7D31" w:themeColor="accent2"/>
          <w:highlight w:val="lightGray"/>
          <w:lang w:val="es-ES"/>
        </w:rPr>
      </w:pPr>
    </w:p>
    <w:p w:rsidRPr="000C6E3B" w:rsidR="003E1B03" w:rsidP="003E1B03" w:rsidRDefault="003E1B03" w14:paraId="03451BAF" w14:textId="77777777">
      <w:pPr>
        <w:spacing w:after="0" w:line="240" w:lineRule="auto"/>
        <w:contextualSpacing/>
        <w:jc w:val="both"/>
        <w:rPr>
          <w:rFonts w:ascii="Verdana" w:hAnsi="Verdana" w:cs="Arial"/>
          <w:sz w:val="20"/>
          <w:szCs w:val="20"/>
        </w:rPr>
      </w:pPr>
      <w:r>
        <w:rPr>
          <w:rFonts w:ascii="Verdana" w:hAnsi="Verdana" w:cs="Arial"/>
          <w:sz w:val="20"/>
          <w:szCs w:val="20"/>
        </w:rPr>
        <w:t xml:space="preserve">[…] </w:t>
      </w:r>
      <w:r w:rsidRPr="000C6E3B">
        <w:rPr>
          <w:rFonts w:ascii="Verdana" w:hAnsi="Verdana" w:cs="Arial"/>
          <w:sz w:val="20"/>
          <w:szCs w:val="20"/>
        </w:rPr>
        <w:t xml:space="preserve">Tratándose del trámite de </w:t>
      </w:r>
      <w:r w:rsidRPr="000C6E3B">
        <w:rPr>
          <w:rFonts w:ascii="Verdana" w:hAnsi="Verdana" w:cs="Arial"/>
          <w:i/>
          <w:iCs/>
          <w:sz w:val="20"/>
          <w:szCs w:val="20"/>
        </w:rPr>
        <w:t>renovación</w:t>
      </w:r>
      <w:r w:rsidRPr="000C6E3B">
        <w:rPr>
          <w:rFonts w:ascii="Verdana" w:hAnsi="Verdana" w:cs="Arial"/>
          <w:sz w:val="20"/>
          <w:szCs w:val="20"/>
        </w:rPr>
        <w:t xml:space="preserve">,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w:t>
      </w:r>
      <w:r w:rsidRPr="000C6E3B">
        <w:rPr>
          <w:rFonts w:ascii="Verdana" w:hAnsi="Verdana" w:cs="Arial"/>
          <w:sz w:val="20"/>
          <w:szCs w:val="20"/>
        </w:rPr>
        <w:t>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r>
        <w:rPr>
          <w:rFonts w:ascii="Verdana" w:hAnsi="Verdana" w:cs="Arial"/>
          <w:sz w:val="20"/>
          <w:szCs w:val="20"/>
        </w:rPr>
        <w:t xml:space="preserve"> [...]</w:t>
      </w:r>
    </w:p>
    <w:p w:rsidRPr="000759F9" w:rsidR="003E1B03" w:rsidP="003E1B03" w:rsidRDefault="003E1B03" w14:paraId="0D43B8FB" w14:textId="77777777">
      <w:pPr>
        <w:spacing w:after="0"/>
        <w:rPr>
          <w:rFonts w:ascii="Verdana" w:hAnsi="Verdana"/>
          <w:color w:val="ED7D31" w:themeColor="accent2"/>
          <w:highlight w:val="lightGray"/>
          <w:lang w:val="es-ES"/>
        </w:rPr>
      </w:pPr>
    </w:p>
    <w:p w:rsidR="003E1B03" w:rsidP="003E1B03" w:rsidRDefault="003E1B03" w14:paraId="7A1C35B2" w14:textId="77777777">
      <w:pPr>
        <w:spacing w:after="0" w:line="240" w:lineRule="auto"/>
        <w:contextualSpacing/>
        <w:jc w:val="both"/>
        <w:rPr>
          <w:rFonts w:ascii="Verdana" w:hAnsi="Verdana" w:cs="Arial"/>
          <w:b/>
          <w:lang w:val="es-ES" w:eastAsia="es-ES_tradnl"/>
        </w:rPr>
      </w:pPr>
      <w:r w:rsidRPr="000C6E3B">
        <w:rPr>
          <w:rFonts w:ascii="Verdana" w:hAnsi="Verdana" w:cs="Arial"/>
          <w:b/>
          <w:lang w:val="es-ES" w:eastAsia="es-ES_tradnl"/>
        </w:rPr>
        <w:t xml:space="preserve">REGISTRO ÚNICO DE PROPONENTES – RUP – Firmeza – Actualización </w:t>
      </w:r>
    </w:p>
    <w:p w:rsidRPr="00414CF9" w:rsidR="003E1B03" w:rsidP="003E1B03" w:rsidRDefault="003E1B03" w14:paraId="2744ED8F" w14:textId="77777777">
      <w:pPr>
        <w:spacing w:after="0" w:line="240" w:lineRule="auto"/>
        <w:contextualSpacing/>
        <w:jc w:val="both"/>
        <w:rPr>
          <w:rFonts w:ascii="Verdana" w:hAnsi="Verdana" w:cs="Arial"/>
          <w:b/>
          <w:lang w:val="es-ES" w:eastAsia="es-ES_tradnl"/>
        </w:rPr>
      </w:pPr>
    </w:p>
    <w:p w:rsidR="003E1B03" w:rsidP="003E1B03" w:rsidRDefault="003E1B03" w14:paraId="1A5A53E7" w14:textId="77777777">
      <w:pPr>
        <w:spacing w:after="0" w:line="240" w:lineRule="auto"/>
        <w:contextualSpacing/>
        <w:jc w:val="both"/>
        <w:rPr>
          <w:rFonts w:ascii="Verdana" w:hAnsi="Verdana" w:cs="Arial"/>
          <w:sz w:val="20"/>
          <w:szCs w:val="20"/>
        </w:rPr>
      </w:pPr>
      <w:r>
        <w:rPr>
          <w:rFonts w:ascii="Verdana" w:hAnsi="Verdana" w:cs="Arial"/>
          <w:sz w:val="20"/>
          <w:szCs w:val="20"/>
        </w:rPr>
        <w:t xml:space="preserve">[…] </w:t>
      </w:r>
      <w:r w:rsidRPr="000C6E3B">
        <w:rPr>
          <w:rFonts w:ascii="Verdana" w:hAnsi="Verdana" w:cs="Arial"/>
          <w:sz w:val="20"/>
          <w:szCs w:val="20"/>
        </w:rPr>
        <w:t>el deber de renovación, para impedir que el RUP deje de producir efectos consiste en “presentar la información para renovar su registro antes del quinto día hábil del mes de abril de cada año”.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r>
        <w:rPr>
          <w:rFonts w:ascii="Verdana" w:hAnsi="Verdana" w:cs="Arial"/>
          <w:sz w:val="20"/>
          <w:szCs w:val="20"/>
        </w:rPr>
        <w:t xml:space="preserve"> […]</w:t>
      </w:r>
    </w:p>
    <w:p w:rsidRPr="00490341" w:rsidR="003E1B03" w:rsidP="003E1B03" w:rsidRDefault="003E1B03" w14:paraId="16518D4D" w14:textId="77777777">
      <w:pPr>
        <w:spacing w:after="0" w:line="240" w:lineRule="auto"/>
        <w:contextualSpacing/>
        <w:jc w:val="both"/>
        <w:rPr>
          <w:rFonts w:ascii="Verdana" w:hAnsi="Verdana" w:cs="Arial"/>
          <w:sz w:val="20"/>
          <w:szCs w:val="20"/>
        </w:rPr>
      </w:pPr>
    </w:p>
    <w:p w:rsidR="003E1B03" w:rsidP="003E1B03" w:rsidRDefault="003E1B03" w14:paraId="51A68848" w14:textId="77777777">
      <w:pPr>
        <w:spacing w:after="0" w:line="240" w:lineRule="auto"/>
        <w:contextualSpacing/>
        <w:jc w:val="both"/>
        <w:rPr>
          <w:rFonts w:ascii="Verdana" w:hAnsi="Verdana" w:cs="Arial"/>
          <w:b/>
          <w:lang w:val="es-ES" w:eastAsia="es-ES_tradnl"/>
        </w:rPr>
      </w:pPr>
      <w:r w:rsidRPr="000C6E3B">
        <w:rPr>
          <w:rFonts w:ascii="Verdana" w:hAnsi="Verdana" w:cs="Arial"/>
          <w:b/>
          <w:lang w:val="es-ES" w:eastAsia="es-ES_tradnl"/>
        </w:rPr>
        <w:t>REGISTRO ÚNICO DE PROPONENTES – RUP – Firmeza – Cierre del Proceso</w:t>
      </w:r>
    </w:p>
    <w:p w:rsidRPr="00490341" w:rsidR="003E1B03" w:rsidP="003E1B03" w:rsidRDefault="003E1B03" w14:paraId="7CC70CAB" w14:textId="77777777">
      <w:pPr>
        <w:spacing w:after="0" w:line="240" w:lineRule="auto"/>
        <w:contextualSpacing/>
        <w:jc w:val="both"/>
        <w:rPr>
          <w:rFonts w:ascii="Verdana" w:hAnsi="Verdana" w:cs="Arial"/>
          <w:b/>
          <w:lang w:val="es-ES" w:eastAsia="es-ES_tradnl"/>
        </w:rPr>
      </w:pPr>
    </w:p>
    <w:p w:rsidRPr="00490341" w:rsidR="003E1B03" w:rsidP="001542F4" w:rsidRDefault="003E1B03" w14:paraId="7B3DE624" w14:textId="77777777">
      <w:pPr>
        <w:spacing w:after="120" w:line="240" w:lineRule="auto"/>
        <w:jc w:val="both"/>
        <w:rPr>
          <w:rFonts w:ascii="Verdana" w:hAnsi="Verdana" w:cs="Arial"/>
          <w:sz w:val="20"/>
          <w:szCs w:val="20"/>
        </w:rPr>
      </w:pPr>
      <w:r w:rsidRPr="00490341">
        <w:rPr>
          <w:rFonts w:ascii="Verdana" w:hAnsi="Verdana" w:cs="Arial"/>
          <w:sz w:val="20"/>
          <w:szCs w:val="20"/>
        </w:rPr>
        <w:t xml:space="preserve">[…] tratándose del trámite administrativo de la </w:t>
      </w:r>
      <w:r w:rsidRPr="00490341">
        <w:rPr>
          <w:rFonts w:ascii="Verdana" w:hAnsi="Verdana" w:cs="Arial"/>
          <w:i/>
          <w:iCs/>
          <w:sz w:val="20"/>
          <w:szCs w:val="20"/>
        </w:rPr>
        <w:t>actualización</w:t>
      </w:r>
      <w:r w:rsidRPr="00490341">
        <w:rPr>
          <w:rFonts w:ascii="Verdana" w:hAnsi="Verdana" w:cs="Arial"/>
          <w:sz w:val="20"/>
          <w:szCs w:val="20"/>
        </w:rPr>
        <w:t>, sucede algo similar con la renovación, en el sentido de que, si la actualización no estaba en firme para el momento del cierre del proceso, en la evaluación se tendrá en cuenta únicamente la información que estaba en firme para dicho momento. Lo que no deben hacer las entidades es rechazar la oferta bajo el argumento de que la actualización no está en firme –como si no hubiera una inscripción vigente en el RUP–, ya que simplemente se debe evaluar la oferta prescindiendo de la nueva información incluida –que no adquirió firmeza–, pues, aunque la nueva información –actualización– esté pendiente de adquirir firmeza, para el momento del cierre del proceso el oferente tenía su inscripción vigente y en firme […]</w:t>
      </w:r>
    </w:p>
    <w:p w:rsidRPr="00490341" w:rsidR="003E1B03" w:rsidP="003E1B03" w:rsidRDefault="003E1B03" w14:paraId="10B2F42F" w14:textId="77777777">
      <w:pPr>
        <w:pStyle w:val="Prrafodelista"/>
        <w:spacing w:line="276" w:lineRule="auto"/>
        <w:ind w:left="0"/>
        <w:contextualSpacing w:val="0"/>
        <w:jc w:val="both"/>
        <w:rPr>
          <w:rFonts w:ascii="Verdana" w:hAnsi="Verdana" w:eastAsia="Times New Roman" w:cs="Arial"/>
          <w:color w:val="ED7D31" w:themeColor="accent2"/>
          <w:sz w:val="20"/>
          <w:szCs w:val="20"/>
          <w:lang w:val="es-CO" w:eastAsia="es-CO"/>
        </w:rPr>
      </w:pPr>
    </w:p>
    <w:p w:rsidR="003E1B03" w:rsidP="003E1B03" w:rsidRDefault="003E1B03" w14:paraId="3C4E615A" w14:textId="77777777">
      <w:pPr>
        <w:spacing w:after="0" w:line="240" w:lineRule="auto"/>
        <w:rPr>
          <w:rFonts w:ascii="Verdana" w:hAnsi="Verdana"/>
        </w:rPr>
      </w:pPr>
    </w:p>
    <w:p w:rsidR="001542F4" w:rsidP="003E1B03" w:rsidRDefault="001542F4" w14:paraId="1666145F" w14:textId="77777777">
      <w:pPr>
        <w:spacing w:after="0" w:line="240" w:lineRule="auto"/>
        <w:rPr>
          <w:rFonts w:ascii="Verdana" w:hAnsi="Verdana"/>
        </w:rPr>
      </w:pPr>
    </w:p>
    <w:p w:rsidR="001542F4" w:rsidP="003E1B03" w:rsidRDefault="001542F4" w14:paraId="51EC47C1" w14:textId="77777777">
      <w:pPr>
        <w:spacing w:after="0" w:line="240" w:lineRule="auto"/>
        <w:rPr>
          <w:rFonts w:ascii="Verdana" w:hAnsi="Verdana"/>
        </w:rPr>
      </w:pPr>
    </w:p>
    <w:p w:rsidRPr="00792784" w:rsidR="003E1B03" w:rsidP="003E1B03" w:rsidRDefault="003E1B03" w14:paraId="25F98EF7" w14:textId="5FD28777">
      <w:pPr>
        <w:spacing w:after="0" w:line="240" w:lineRule="auto"/>
        <w:rPr>
          <w:rFonts w:ascii="Verdana" w:hAnsi="Verdana"/>
        </w:rPr>
      </w:pPr>
      <w:r w:rsidRPr="00792784">
        <w:rPr>
          <w:rFonts w:ascii="Verdana" w:hAnsi="Verdana"/>
        </w:rPr>
        <w:t xml:space="preserve">Bogotá D.C., </w:t>
      </w:r>
      <w:r w:rsidR="00F46DFA">
        <w:rPr>
          <w:rFonts w:ascii="Verdana" w:hAnsi="Verdana"/>
        </w:rPr>
        <w:t>11 Junio 2026</w:t>
      </w:r>
    </w:p>
    <w:p w:rsidRPr="00792784" w:rsidR="003E1B03" w:rsidP="003E1B03" w:rsidRDefault="003E1B03" w14:paraId="71EE6854" w14:textId="77777777">
      <w:pPr>
        <w:spacing w:after="0" w:line="240" w:lineRule="auto"/>
        <w:rPr>
          <w:rFonts w:ascii="Verdana" w:hAnsi="Verdana"/>
          <w:color w:val="ED7D31" w:themeColor="accent2"/>
          <w:highlight w:val="lightGray"/>
          <w:lang w:val="es-ES"/>
        </w:rPr>
      </w:pPr>
    </w:p>
    <w:p w:rsidRPr="00792784" w:rsidR="003E1B03" w:rsidP="003E1B03" w:rsidRDefault="00F46DFA" w14:paraId="62254D1C" w14:textId="0A9C2E77">
      <w:pPr>
        <w:spacing w:after="0" w:line="240" w:lineRule="auto"/>
        <w:rPr>
          <w:rFonts w:ascii="Verdana" w:hAnsi="Verdana"/>
          <w:lang w:val="es-ES"/>
        </w:rPr>
      </w:pPr>
      <w:bookmarkStart w:name="_Hlk143780582" w:id="0"/>
      <w:r w:rsidRPr="00F46DFA">
        <w:rPr>
          <w:rFonts w:ascii="Verdana" w:hAnsi="Verdana" w:eastAsia="Calibri" w:cs="Arial"/>
          <w:lang w:val="es-ES" w:eastAsia="es-ES"/>
        </w:rPr>
        <w:drawing>
          <wp:anchor distT="0" distB="0" distL="114300" distR="114300" simplePos="0" relativeHeight="251659264" behindDoc="1" locked="0" layoutInCell="1" allowOverlap="1" wp14:anchorId="5195801F" wp14:editId="02773504">
            <wp:simplePos x="0" y="0"/>
            <wp:positionH relativeFrom="column">
              <wp:posOffset>3371988</wp:posOffset>
            </wp:positionH>
            <wp:positionV relativeFrom="paragraph">
              <wp:posOffset>12065</wp:posOffset>
            </wp:positionV>
            <wp:extent cx="2154804" cy="618002"/>
            <wp:effectExtent l="0" t="0" r="0" b="0"/>
            <wp:wrapNone/>
            <wp:docPr id="17163151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15103" name=""/>
                    <pic:cNvPicPr/>
                  </pic:nvPicPr>
                  <pic:blipFill>
                    <a:blip r:embed="rId10">
                      <a:extLst>
                        <a:ext uri="{28A0092B-C50C-407E-A947-70E740481C1C}">
                          <a14:useLocalDpi xmlns:a14="http://schemas.microsoft.com/office/drawing/2010/main" val="0"/>
                        </a:ext>
                      </a:extLst>
                    </a:blip>
                    <a:stretch>
                      <a:fillRect/>
                    </a:stretch>
                  </pic:blipFill>
                  <pic:spPr>
                    <a:xfrm>
                      <a:off x="0" y="0"/>
                      <a:ext cx="2154804" cy="618002"/>
                    </a:xfrm>
                    <a:prstGeom prst="rect">
                      <a:avLst/>
                    </a:prstGeom>
                  </pic:spPr>
                </pic:pic>
              </a:graphicData>
            </a:graphic>
            <wp14:sizeRelH relativeFrom="margin">
              <wp14:pctWidth>0</wp14:pctWidth>
            </wp14:sizeRelH>
            <wp14:sizeRelV relativeFrom="margin">
              <wp14:pctHeight>0</wp14:pctHeight>
            </wp14:sizeRelV>
          </wp:anchor>
        </w:drawing>
      </w:r>
      <w:r w:rsidRPr="00792784" w:rsidR="003E1B03">
        <w:rPr>
          <w:rFonts w:ascii="Verdana" w:hAnsi="Verdana" w:eastAsia="Calibri" w:cs="Arial"/>
          <w:lang w:val="es-ES" w:eastAsia="es-ES"/>
        </w:rPr>
        <w:t>Señor</w:t>
      </w:r>
    </w:p>
    <w:p w:rsidRPr="00792784" w:rsidR="003E1B03" w:rsidP="003E1B03" w:rsidRDefault="003E1B03" w14:paraId="4C0C08E8" w14:textId="77777777">
      <w:pPr>
        <w:spacing w:after="0" w:line="240" w:lineRule="auto"/>
        <w:rPr>
          <w:rFonts w:ascii="Verdana" w:hAnsi="Verdana"/>
        </w:rPr>
      </w:pPr>
      <w:r w:rsidRPr="00792784">
        <w:rPr>
          <w:rFonts w:ascii="Verdana" w:hAnsi="Verdana" w:eastAsia="Calibri" w:cs="Arial"/>
          <w:b/>
          <w:bCs/>
          <w:lang w:eastAsia="es-ES"/>
        </w:rPr>
        <w:t>Hugo Alberto Galarza Florian</w:t>
      </w:r>
    </w:p>
    <w:p w:rsidRPr="00792784" w:rsidR="003E1B03" w:rsidP="003E1B03" w:rsidRDefault="003E1B03" w14:paraId="04BE8F0A" w14:textId="77777777">
      <w:pPr>
        <w:spacing w:after="0" w:line="240" w:lineRule="auto"/>
        <w:rPr>
          <w:rFonts w:ascii="Verdana" w:hAnsi="Verdana" w:eastAsia="Calibri" w:cs="Arial"/>
          <w:color w:val="0000FF"/>
          <w:lang w:eastAsia="es-ES"/>
        </w:rPr>
      </w:pPr>
      <w:hyperlink w:history="1" r:id="rId11">
        <w:r w:rsidRPr="00792784">
          <w:rPr>
            <w:rStyle w:val="Hipervnculo"/>
            <w:rFonts w:ascii="Verdana" w:hAnsi="Verdana" w:eastAsia="Calibri" w:cs="Arial"/>
            <w:lang w:eastAsia="es-ES"/>
          </w:rPr>
          <w:t>hualgaflo@hotmail.com</w:t>
        </w:r>
      </w:hyperlink>
    </w:p>
    <w:p w:rsidRPr="00792784" w:rsidR="003E1B03" w:rsidP="003E1B03" w:rsidRDefault="003E1B03" w14:paraId="1D82358C" w14:textId="77777777">
      <w:pPr>
        <w:spacing w:after="0" w:line="240" w:lineRule="auto"/>
        <w:rPr>
          <w:rFonts w:ascii="Verdana" w:hAnsi="Verdana" w:eastAsia="Calibri" w:cs="Arial"/>
          <w:lang w:val="es-ES" w:eastAsia="es-ES"/>
        </w:rPr>
      </w:pPr>
      <w:r w:rsidRPr="00792784">
        <w:rPr>
          <w:rFonts w:ascii="Verdana" w:hAnsi="Verdana" w:eastAsia="Calibri" w:cs="Arial"/>
          <w:lang w:val="es-ES" w:eastAsia="es-ES"/>
        </w:rPr>
        <w:t>Bogotá D.C</w:t>
      </w:r>
    </w:p>
    <w:p w:rsidRPr="00792784" w:rsidR="003E1B03" w:rsidP="003E1B03" w:rsidRDefault="003E1B03" w14:paraId="274CF734" w14:textId="77777777">
      <w:pPr>
        <w:spacing w:after="0" w:line="240" w:lineRule="auto"/>
        <w:rPr>
          <w:rFonts w:ascii="Verdana" w:hAnsi="Verdana" w:eastAsia="Calibri" w:cs="Arial"/>
          <w:color w:val="ED7D31" w:themeColor="accent2"/>
          <w:highlight w:val="lightGray"/>
          <w:lang w:val="es-ES" w:eastAsia="es-ES"/>
        </w:rPr>
      </w:pPr>
    </w:p>
    <w:p w:rsidRPr="00792784" w:rsidR="003E1B03" w:rsidP="003E1B03" w:rsidRDefault="003E1B03" w14:paraId="4EB45A56" w14:textId="77777777">
      <w:pPr>
        <w:spacing w:after="0" w:line="240" w:lineRule="auto"/>
        <w:rPr>
          <w:rFonts w:ascii="Verdana" w:hAnsi="Verdana" w:eastAsia="Calibri" w:cs="Arial"/>
          <w:b/>
          <w:bCs/>
          <w:color w:val="ED7D31" w:themeColor="accent2"/>
          <w:highlight w:val="lightGray"/>
          <w:lang w:val="es-ES" w:eastAsia="es-ES"/>
        </w:rPr>
      </w:pPr>
    </w:p>
    <w:tbl>
      <w:tblPr>
        <w:tblStyle w:val="Tablaconcuadrcula"/>
        <w:tblW w:w="8510"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410"/>
        <w:gridCol w:w="6100"/>
      </w:tblGrid>
      <w:tr w:rsidRPr="00792784" w:rsidR="003E1B03" w:rsidTr="00814D18" w14:paraId="73C100AA" w14:textId="77777777">
        <w:trPr>
          <w:trHeight w:val="300"/>
        </w:trPr>
        <w:tc>
          <w:tcPr>
            <w:tcW w:w="2410" w:type="dxa"/>
          </w:tcPr>
          <w:p w:rsidRPr="00792784" w:rsidR="003E1B03" w:rsidP="00814D18" w:rsidRDefault="003E1B03" w14:paraId="77FA63EA" w14:textId="77777777">
            <w:pPr>
              <w:ind w:left="-142"/>
              <w:jc w:val="both"/>
              <w:rPr>
                <w:rFonts w:ascii="Verdana" w:hAnsi="Verdana" w:eastAsia="Calibri" w:cs="Arial"/>
                <w:b/>
                <w:bCs/>
                <w:highlight w:val="lightGray"/>
                <w:lang w:val="es-ES" w:eastAsia="es-ES_tradnl"/>
              </w:rPr>
            </w:pPr>
          </w:p>
        </w:tc>
        <w:tc>
          <w:tcPr>
            <w:tcW w:w="6100" w:type="dxa"/>
          </w:tcPr>
          <w:p w:rsidRPr="00792784" w:rsidR="003E1B03" w:rsidP="00814D18" w:rsidRDefault="003E1B03" w14:paraId="5BD7FD92" w14:textId="77777777">
            <w:pPr>
              <w:ind w:left="3"/>
              <w:jc w:val="both"/>
              <w:rPr>
                <w:rFonts w:ascii="Verdana" w:hAnsi="Verdana" w:eastAsia="Calibri" w:cs="Arial"/>
                <w:b/>
                <w:bCs/>
                <w:highlight w:val="lightGray"/>
                <w:lang w:val="es-ES" w:eastAsia="es-ES"/>
              </w:rPr>
            </w:pPr>
            <w:r w:rsidRPr="00792784">
              <w:rPr>
                <w:rFonts w:ascii="Verdana" w:hAnsi="Verdana" w:eastAsia="Calibri" w:cs="Arial"/>
                <w:b/>
                <w:bCs/>
                <w:lang w:val="es-ES" w:eastAsia="es-ES"/>
              </w:rPr>
              <w:t>Concepto C-729 de 2026</w:t>
            </w:r>
          </w:p>
          <w:p w:rsidRPr="00792784" w:rsidR="003E1B03" w:rsidP="00814D18" w:rsidRDefault="003E1B03" w14:paraId="0827A3BB" w14:textId="77777777">
            <w:pPr>
              <w:ind w:left="3"/>
              <w:jc w:val="both"/>
              <w:rPr>
                <w:rFonts w:ascii="Verdana" w:hAnsi="Verdana" w:eastAsia="Calibri" w:cs="Arial"/>
                <w:b/>
                <w:bCs/>
                <w:highlight w:val="lightGray"/>
                <w:lang w:val="es-ES" w:eastAsia="es-ES"/>
              </w:rPr>
            </w:pPr>
          </w:p>
        </w:tc>
      </w:tr>
      <w:tr w:rsidRPr="00792784" w:rsidR="003E1B03" w:rsidTr="00814D18" w14:paraId="67CFCC62" w14:textId="77777777">
        <w:trPr>
          <w:trHeight w:val="300"/>
        </w:trPr>
        <w:tc>
          <w:tcPr>
            <w:tcW w:w="2410" w:type="dxa"/>
          </w:tcPr>
          <w:p w:rsidRPr="00792784" w:rsidR="003E1B03" w:rsidP="00814D18" w:rsidRDefault="003E1B03" w14:paraId="4E4381C1" w14:textId="77777777">
            <w:pPr>
              <w:ind w:left="424" w:firstLine="142"/>
              <w:jc w:val="both"/>
              <w:rPr>
                <w:rFonts w:ascii="Verdana" w:hAnsi="Verdana" w:eastAsia="Calibri" w:cs="Arial"/>
                <w:color w:val="ED7D31" w:themeColor="accent2"/>
                <w:highlight w:val="lightGray"/>
                <w:lang w:val="es-ES" w:eastAsia="es-ES_tradnl"/>
              </w:rPr>
            </w:pPr>
            <w:r w:rsidRPr="00792784">
              <w:rPr>
                <w:rFonts w:ascii="Verdana" w:hAnsi="Verdana" w:eastAsia="Calibri" w:cs="Arial"/>
                <w:b/>
                <w:lang w:val="es-ES" w:eastAsia="es-ES_tradnl"/>
              </w:rPr>
              <w:t>Temas:</w:t>
            </w:r>
            <w:r w:rsidRPr="00792784">
              <w:rPr>
                <w:rFonts w:ascii="Verdana" w:hAnsi="Verdana" w:eastAsia="Calibri" w:cs="Arial"/>
                <w:lang w:val="es-ES" w:eastAsia="es-ES_tradnl"/>
              </w:rPr>
              <w:t xml:space="preserve"> </w:t>
            </w:r>
            <w:r w:rsidRPr="00792784">
              <w:rPr>
                <w:rFonts w:ascii="Verdana" w:hAnsi="Verdana" w:eastAsia="Calibri" w:cs="Arial"/>
                <w:highlight w:val="lightGray"/>
                <w:lang w:val="es-ES" w:eastAsia="es-ES_tradnl"/>
              </w:rPr>
              <w:t xml:space="preserve">                 </w:t>
            </w:r>
          </w:p>
        </w:tc>
        <w:tc>
          <w:tcPr>
            <w:tcW w:w="6100" w:type="dxa"/>
          </w:tcPr>
          <w:p w:rsidRPr="00490341" w:rsidR="003E1B03" w:rsidP="00814D18" w:rsidRDefault="003E1B03" w14:paraId="0ED596AB" w14:textId="77777777">
            <w:pPr>
              <w:contextualSpacing/>
              <w:jc w:val="both"/>
              <w:rPr>
                <w:rFonts w:ascii="Verdana" w:hAnsi="Verdana" w:cs="Arial"/>
                <w:sz w:val="20"/>
                <w:szCs w:val="20"/>
              </w:rPr>
            </w:pPr>
            <w:r w:rsidRPr="00490341">
              <w:rPr>
                <w:rFonts w:ascii="Verdana" w:hAnsi="Verdana" w:eastAsia="Calibri" w:cs="Arial"/>
              </w:rPr>
              <w:t xml:space="preserve">REGISTRO ÚNICO DE PROPONENTES – RUP – Concepto / REGISTRO ÚNICO DE PROPONENTES – RUP – Obligación - Inscripción / REGISTRO ÚNICO DE PROPONENTES – RUP - Firmeza / REGISTRO ÚNICO DE PROPONENTES – RUP – Firmeza – Actualización / </w:t>
            </w:r>
            <w:r w:rsidRPr="00490341">
              <w:rPr>
                <w:rFonts w:ascii="Verdana" w:hAnsi="Verdana" w:cs="Arial"/>
                <w:lang w:val="es-ES" w:eastAsia="es-ES_tradnl"/>
              </w:rPr>
              <w:t>REGISTRO ÚNICO DE PROPONENTES – RUP – Firmeza – Cierre del Proceso</w:t>
            </w:r>
          </w:p>
          <w:p w:rsidRPr="00792784" w:rsidR="003E1B03" w:rsidP="00814D18" w:rsidRDefault="003E1B03" w14:paraId="3301D186" w14:textId="77777777">
            <w:pPr>
              <w:jc w:val="both"/>
              <w:rPr>
                <w:rFonts w:ascii="Verdana" w:hAnsi="Verdana" w:eastAsia="Calibri" w:cs="Arial"/>
                <w:color w:val="ED7D31" w:themeColor="accent2"/>
              </w:rPr>
            </w:pPr>
          </w:p>
        </w:tc>
      </w:tr>
      <w:tr w:rsidRPr="00792784" w:rsidR="003E1B03" w:rsidTr="00814D18" w14:paraId="5124243D" w14:textId="77777777">
        <w:trPr>
          <w:trHeight w:val="87"/>
        </w:trPr>
        <w:tc>
          <w:tcPr>
            <w:tcW w:w="2410" w:type="dxa"/>
          </w:tcPr>
          <w:p w:rsidRPr="00792784" w:rsidR="003E1B03" w:rsidP="00814D18" w:rsidRDefault="003E1B03" w14:paraId="29E0A91D" w14:textId="77777777">
            <w:pPr>
              <w:ind w:left="561"/>
              <w:jc w:val="both"/>
              <w:rPr>
                <w:rFonts w:ascii="Verdana" w:hAnsi="Verdana" w:eastAsia="Calibri" w:cs="Arial"/>
                <w:b/>
                <w:lang w:val="es-ES" w:eastAsia="es-ES_tradnl"/>
              </w:rPr>
            </w:pPr>
            <w:r w:rsidRPr="00792784">
              <w:rPr>
                <w:rFonts w:ascii="Verdana" w:hAnsi="Verdana" w:eastAsia="Calibri" w:cs="Arial"/>
                <w:b/>
                <w:lang w:val="es-ES" w:eastAsia="es-ES_tradnl"/>
              </w:rPr>
              <w:t>Radicación:</w:t>
            </w:r>
            <w:r w:rsidRPr="00792784">
              <w:rPr>
                <w:rFonts w:ascii="Verdana" w:hAnsi="Verdana" w:eastAsia="Calibri" w:cs="Arial"/>
                <w:lang w:val="es-ES" w:eastAsia="es-ES_tradnl"/>
              </w:rPr>
              <w:t xml:space="preserve">              </w:t>
            </w:r>
          </w:p>
        </w:tc>
        <w:tc>
          <w:tcPr>
            <w:tcW w:w="6100" w:type="dxa"/>
          </w:tcPr>
          <w:p w:rsidRPr="00792784" w:rsidR="003E1B03" w:rsidP="00814D18" w:rsidRDefault="003E1B03" w14:paraId="2AC48B63" w14:textId="77777777">
            <w:pPr>
              <w:ind w:left="3"/>
              <w:jc w:val="both"/>
              <w:rPr>
                <w:rFonts w:ascii="Verdana" w:hAnsi="Verdana"/>
                <w:lang w:val="es-ES"/>
              </w:rPr>
            </w:pPr>
            <w:r w:rsidRPr="00792784">
              <w:rPr>
                <w:rFonts w:ascii="Verdana" w:hAnsi="Verdana" w:eastAsia="Calibri" w:cs="Arial"/>
                <w:lang w:val="es-ES" w:eastAsia="es-ES"/>
              </w:rPr>
              <w:t>Respuesta a consulta con radicado No. 1_2026_05_04_005979</w:t>
            </w:r>
          </w:p>
        </w:tc>
      </w:tr>
    </w:tbl>
    <w:p w:rsidRPr="00792784" w:rsidR="003E1B03" w:rsidP="003E1B03" w:rsidRDefault="003E1B03" w14:paraId="728F18BD" w14:textId="77777777">
      <w:pPr>
        <w:spacing w:after="0" w:line="240" w:lineRule="auto"/>
        <w:jc w:val="both"/>
        <w:rPr>
          <w:rFonts w:ascii="Verdana" w:hAnsi="Verdana" w:eastAsia="Calibri" w:cs="Arial"/>
          <w:color w:val="ED7D31" w:themeColor="accent2"/>
          <w:highlight w:val="lightGray"/>
          <w:lang w:val="es-ES" w:eastAsia="es-ES"/>
        </w:rPr>
      </w:pPr>
    </w:p>
    <w:p w:rsidRPr="00792784" w:rsidR="003E1B03" w:rsidP="003E1B03" w:rsidRDefault="003E1B03" w14:paraId="76B51008" w14:textId="77777777">
      <w:pPr>
        <w:spacing w:after="0" w:line="240" w:lineRule="auto"/>
        <w:jc w:val="both"/>
        <w:rPr>
          <w:rFonts w:ascii="Verdana" w:hAnsi="Verdana" w:eastAsia="Calibri" w:cs="Arial"/>
          <w:color w:val="ED7D31" w:themeColor="accent2"/>
          <w:highlight w:val="lightGray"/>
          <w:lang w:val="es-ES" w:eastAsia="es-ES"/>
        </w:rPr>
      </w:pPr>
    </w:p>
    <w:p w:rsidRPr="00792784" w:rsidR="003E1B03" w:rsidP="003E1B03" w:rsidRDefault="003E1B03" w14:paraId="1B34E909" w14:textId="77777777">
      <w:pPr>
        <w:spacing w:after="0" w:line="276" w:lineRule="auto"/>
        <w:jc w:val="both"/>
        <w:rPr>
          <w:rFonts w:ascii="Verdana" w:hAnsi="Verdana" w:eastAsia="Calibri" w:cs="Arial"/>
          <w:lang w:val="es-ES" w:eastAsia="es-ES"/>
        </w:rPr>
      </w:pPr>
      <w:r w:rsidRPr="00792784">
        <w:rPr>
          <w:rFonts w:ascii="Verdana" w:hAnsi="Verdana" w:eastAsia="Calibri" w:cs="Arial"/>
          <w:lang w:val="es-ES" w:eastAsia="es-ES"/>
        </w:rPr>
        <w:t>Estimado señor Galarza,</w:t>
      </w:r>
    </w:p>
    <w:p w:rsidRPr="00792784" w:rsidR="003E1B03" w:rsidP="003E1B03" w:rsidRDefault="003E1B03" w14:paraId="57DCC7EC" w14:textId="77777777">
      <w:pPr>
        <w:tabs>
          <w:tab w:val="left" w:pos="3768"/>
        </w:tabs>
        <w:spacing w:after="0" w:line="276" w:lineRule="auto"/>
        <w:jc w:val="both"/>
        <w:rPr>
          <w:rFonts w:ascii="Verdana" w:hAnsi="Verdana" w:eastAsia="Calibri" w:cs="Arial"/>
          <w:lang w:val="es-ES" w:eastAsia="es-ES"/>
        </w:rPr>
      </w:pPr>
      <w:r w:rsidRPr="00792784">
        <w:rPr>
          <w:rFonts w:ascii="Verdana" w:hAnsi="Verdana" w:eastAsia="Calibri" w:cs="Arial"/>
          <w:lang w:val="es-ES" w:eastAsia="es-ES"/>
        </w:rPr>
        <w:tab/>
      </w:r>
    </w:p>
    <w:p w:rsidRPr="00792784" w:rsidR="003E1B03" w:rsidP="003E1B03" w:rsidRDefault="003E1B03" w14:paraId="4BEE97C7" w14:textId="77777777">
      <w:pPr>
        <w:spacing w:after="0" w:line="276" w:lineRule="auto"/>
        <w:jc w:val="both"/>
        <w:rPr>
          <w:rFonts w:ascii="Verdana" w:hAnsi="Verdana" w:eastAsia="Calibri" w:cs="Arial"/>
          <w:lang w:val="es-ES" w:eastAsia="es-ES"/>
        </w:rPr>
      </w:pPr>
      <w:r w:rsidRPr="00792784">
        <w:rPr>
          <w:rFonts w:ascii="Verdana" w:hAnsi="Verdana" w:eastAsia="Calibri" w:cs="Arial"/>
          <w:lang w:val="es-ES" w:eastAsia="es-ES"/>
        </w:rPr>
        <w:t>En ejercicio de la competencia otorgada por los artículos 3, numeral 5º, y 11, numeral 8º, del Decreto Ley 4170 de 2011,</w:t>
      </w:r>
      <w:r w:rsidRPr="00792784">
        <w:rPr>
          <w:rFonts w:ascii="Verdana" w:hAnsi="Verdana" w:eastAsia="Arial MT" w:cs="Arial MT"/>
          <w:lang w:val="es-ES" w:eastAsia="es-ES"/>
        </w:rPr>
        <w:t xml:space="preserve"> </w:t>
      </w:r>
      <w:r w:rsidRPr="00792784">
        <w:rPr>
          <w:rFonts w:ascii="Verdana" w:hAnsi="Verdana" w:cs="Arial"/>
          <w:lang w:val="es-ES"/>
        </w:rPr>
        <w:t xml:space="preserve">así como lo establecido en el artículo 4 de la Resolución 469 de 2025 expedida por esta Entidad, </w:t>
      </w:r>
      <w:r w:rsidRPr="00792784">
        <w:rPr>
          <w:rFonts w:ascii="Verdana" w:hAnsi="Verdana" w:eastAsia="Calibri" w:cs="Arial"/>
          <w:lang w:val="es-ES" w:eastAsia="es-ES"/>
        </w:rPr>
        <w:t xml:space="preserve">la Agencia Nacional de Contratación Pública – Colombia Compra Eficiente– responde su solicitud de consulta de fecha 04 de mayo de 2026, en la cual manifiesta lo siguiente: </w:t>
      </w:r>
    </w:p>
    <w:p w:rsidRPr="00792784" w:rsidR="003E1B03" w:rsidP="003E1B03" w:rsidRDefault="003E1B03" w14:paraId="1B418E7A" w14:textId="77777777">
      <w:pPr>
        <w:tabs>
          <w:tab w:val="left" w:pos="142"/>
          <w:tab w:val="left" w:pos="284"/>
        </w:tabs>
        <w:spacing w:after="0" w:line="276" w:lineRule="auto"/>
        <w:jc w:val="both"/>
        <w:rPr>
          <w:rFonts w:ascii="Verdana" w:hAnsi="Verdana" w:eastAsia="Century Gothic" w:cs="Century Gothic"/>
          <w:b/>
          <w:bCs/>
          <w:color w:val="ED7D31" w:themeColor="accent2"/>
          <w:highlight w:val="lightGray"/>
          <w:lang w:val="es-ES"/>
        </w:rPr>
      </w:pPr>
    </w:p>
    <w:p w:rsidRPr="00792784" w:rsidR="003E1B03" w:rsidP="003E1B03" w:rsidRDefault="003E1B03" w14:paraId="3D03A85A" w14:textId="77777777">
      <w:pPr>
        <w:spacing w:after="0" w:line="240" w:lineRule="auto"/>
        <w:ind w:left="709" w:right="709"/>
        <w:contextualSpacing/>
        <w:jc w:val="both"/>
        <w:rPr>
          <w:rFonts w:ascii="Verdana" w:hAnsi="Verdana" w:eastAsia="Century Gothic" w:cs="Century Gothic"/>
          <w:i/>
          <w:iCs/>
          <w:sz w:val="20"/>
          <w:szCs w:val="20"/>
        </w:rPr>
      </w:pPr>
      <w:r w:rsidRPr="00792784">
        <w:rPr>
          <w:rFonts w:ascii="Verdana" w:hAnsi="Verdana" w:eastAsia="Century Gothic" w:cs="Century Gothic"/>
          <w:i/>
          <w:iCs/>
          <w:sz w:val="20"/>
          <w:szCs w:val="20"/>
          <w:lang w:val="es-ES"/>
        </w:rPr>
        <w:t>“</w:t>
      </w:r>
      <w:r w:rsidRPr="00792784">
        <w:rPr>
          <w:rFonts w:ascii="Verdana" w:hAnsi="Verdana" w:eastAsia="Century Gothic" w:cs="Century Gothic"/>
          <w:i/>
          <w:iCs/>
          <w:sz w:val="20"/>
          <w:szCs w:val="20"/>
        </w:rPr>
        <w:t>Requiero una consulta, presenté en una licitación con fecha cierre el 24 de abril de 2026, con RUP, y certificado de existencia y representación legal de fecha 30 de marzo de 2026. es decir que para la fecha de cierre estos documentos se encontraban vigentes y en firme. Puede la entidad estatal no otorgar los puntos ponderables, por no corresponder los certificados a los actualizados vigencia 2026? o solo debemos subsanar que dentro de los plazos establecidos presentamos los documentos de renovación?”</w:t>
      </w:r>
    </w:p>
    <w:p w:rsidRPr="00792784" w:rsidR="003E1B03" w:rsidP="003E1B03" w:rsidRDefault="003E1B03" w14:paraId="505E49DA" w14:textId="77777777">
      <w:pPr>
        <w:spacing w:after="0" w:line="240" w:lineRule="auto"/>
        <w:ind w:left="709" w:right="709"/>
        <w:contextualSpacing/>
        <w:jc w:val="both"/>
        <w:rPr>
          <w:rFonts w:ascii="Verdana" w:hAnsi="Verdana" w:eastAsia="Century Gothic" w:cs="Century Gothic"/>
          <w:i/>
          <w:iCs/>
          <w:color w:val="ED7D31" w:themeColor="accent2"/>
          <w:sz w:val="20"/>
          <w:szCs w:val="20"/>
          <w:lang w:val="es-ES"/>
        </w:rPr>
      </w:pPr>
    </w:p>
    <w:p w:rsidRPr="00792784" w:rsidR="003E1B03" w:rsidP="003E1B03" w:rsidRDefault="003E1B03" w14:paraId="4C442323" w14:textId="77777777">
      <w:pPr>
        <w:spacing w:after="120" w:line="276" w:lineRule="auto"/>
        <w:ind w:firstLine="708"/>
        <w:jc w:val="both"/>
        <w:rPr>
          <w:rFonts w:ascii="Verdana" w:hAnsi="Verdana" w:eastAsia="Calibri" w:cs="Arial"/>
          <w:lang w:val="es-ES" w:eastAsia="es-ES"/>
        </w:rPr>
      </w:pPr>
      <w:r w:rsidRPr="00792784">
        <w:rPr>
          <w:rFonts w:ascii="Verdana" w:hAnsi="Verdana" w:eastAsia="Calibri" w:cs="Arial"/>
          <w:lang w:val="es-ES" w:eastAsia="es-ES"/>
        </w:rPr>
        <w:t xml:space="preserve">De manera preliminar, resulta necesario acotar que esta entidad solo tiene </w:t>
      </w:r>
      <w:r>
        <w:rPr>
          <w:rFonts w:ascii="Verdana" w:hAnsi="Verdana" w:eastAsia="Calibri" w:cs="Arial"/>
          <w:lang w:val="es-ES" w:eastAsia="es-ES"/>
        </w:rPr>
        <w:t>c</w:t>
      </w:r>
      <w:r w:rsidRPr="00792784">
        <w:rPr>
          <w:rFonts w:ascii="Verdana" w:hAnsi="Verdana" w:eastAsia="Calibri" w:cs="Arial"/>
          <w:lang w:val="es-ES" w:eastAsia="es-ES"/>
        </w:rPr>
        <w:t xml:space="preserve">ompetencia para responder consultas sobre la aplicación de normas de carácter </w:t>
      </w:r>
      <w:r w:rsidRPr="00792784">
        <w:rPr>
          <w:rFonts w:ascii="Verdana" w:hAnsi="Verdana" w:eastAsia="Calibri" w:cs="Arial"/>
          <w:lang w:val="es-ES" w:eastAsia="es-ES"/>
        </w:rPr>
        <w:t xml:space="preserve">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92784">
        <w:rPr>
          <w:rFonts w:ascii="Verdana" w:hAnsi="Verdana"/>
          <w:lang w:val="es-ES"/>
        </w:rPr>
        <w:tab/>
      </w:r>
    </w:p>
    <w:p w:rsidRPr="00792784" w:rsidR="003E1B03" w:rsidP="003E1B03" w:rsidRDefault="003E1B03" w14:paraId="6D04C19D" w14:textId="77777777">
      <w:pPr>
        <w:spacing w:after="0" w:line="276" w:lineRule="auto"/>
        <w:ind w:firstLine="709"/>
        <w:jc w:val="both"/>
        <w:rPr>
          <w:rFonts w:ascii="Verdana" w:hAnsi="Verdana" w:eastAsia="Calibri" w:cs="Arial"/>
          <w:lang w:val="es-ES" w:eastAsia="es-ES"/>
        </w:rPr>
      </w:pPr>
      <w:r w:rsidRPr="00792784">
        <w:rPr>
          <w:rFonts w:ascii="Verdana" w:hAnsi="Verdana" w:eastAsia="Calibri"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rsidRPr="00792784" w:rsidR="003E1B03" w:rsidP="003E1B03" w:rsidRDefault="003E1B03" w14:paraId="6A84A44F" w14:textId="77777777">
      <w:pPr>
        <w:spacing w:after="0" w:line="276" w:lineRule="auto"/>
        <w:ind w:firstLine="709"/>
        <w:jc w:val="both"/>
        <w:rPr>
          <w:rFonts w:ascii="Verdana" w:hAnsi="Verdana" w:eastAsia="Calibri" w:cs="Arial"/>
          <w:color w:val="ED7D31" w:themeColor="accent2"/>
          <w:lang w:val="es-ES" w:eastAsia="es-ES"/>
        </w:rPr>
      </w:pPr>
    </w:p>
    <w:p w:rsidRPr="00792784" w:rsidR="003E1B03" w:rsidP="003E1B03" w:rsidRDefault="003E1B03" w14:paraId="7DA069B3" w14:textId="77777777">
      <w:pPr>
        <w:tabs>
          <w:tab w:val="left" w:pos="142"/>
          <w:tab w:val="left" w:pos="284"/>
        </w:tabs>
        <w:spacing w:after="0" w:line="276" w:lineRule="auto"/>
        <w:jc w:val="both"/>
        <w:rPr>
          <w:rFonts w:ascii="Verdana" w:hAnsi="Verdana" w:eastAsia="Century Gothic" w:cs="Century Gothic"/>
          <w:b/>
          <w:lang w:val="es-ES"/>
        </w:rPr>
      </w:pPr>
      <w:r w:rsidRPr="00792784">
        <w:rPr>
          <w:rFonts w:ascii="Verdana" w:hAnsi="Verdana" w:eastAsia="Century Gothic" w:cs="Century Gothic"/>
          <w:b/>
          <w:lang w:val="es-ES"/>
        </w:rPr>
        <w:t>1. Problema planteado:</w:t>
      </w:r>
    </w:p>
    <w:p w:rsidRPr="00792784" w:rsidR="003E1B03" w:rsidP="003E1B03" w:rsidRDefault="003E1B03" w14:paraId="0E03F3AA" w14:textId="77777777">
      <w:pPr>
        <w:tabs>
          <w:tab w:val="left" w:pos="426"/>
        </w:tabs>
        <w:spacing w:after="0" w:line="276" w:lineRule="auto"/>
        <w:jc w:val="both"/>
        <w:rPr>
          <w:rFonts w:ascii="Verdana" w:hAnsi="Verdana" w:eastAsia="Century Gothic" w:cs="Century Gothic"/>
          <w:highlight w:val="lightGray"/>
          <w:lang w:val="es-ES"/>
        </w:rPr>
      </w:pPr>
    </w:p>
    <w:p w:rsidRPr="00481EE0" w:rsidR="003E1B03" w:rsidP="003E1B03" w:rsidRDefault="003E1B03" w14:paraId="48A76925" w14:textId="77777777">
      <w:pPr>
        <w:spacing w:after="0" w:line="276" w:lineRule="auto"/>
        <w:jc w:val="both"/>
        <w:rPr>
          <w:rFonts w:ascii="Verdana" w:hAnsi="Verdana" w:eastAsia="Century Gothic" w:cs="Century Gothic"/>
        </w:rPr>
      </w:pPr>
      <w:r w:rsidRPr="00792784">
        <w:rPr>
          <w:rFonts w:ascii="Verdana" w:hAnsi="Verdana" w:eastAsia="Century Gothic" w:cs="Century Gothic"/>
          <w:lang w:val="es-ES"/>
        </w:rPr>
        <w:t>De acuerdo con el contenido de su solicitud, esta Agencia resolverá el siguiente problema jurídico</w:t>
      </w:r>
      <w:r w:rsidRPr="00481EE0">
        <w:rPr>
          <w:rFonts w:ascii="Verdana" w:hAnsi="Verdana" w:eastAsia="Century Gothic" w:cs="Century Gothic"/>
          <w:lang w:val="es-ES"/>
        </w:rPr>
        <w:t xml:space="preserve">: </w:t>
      </w:r>
      <w:r w:rsidRPr="00481EE0">
        <w:rPr>
          <w:rFonts w:ascii="Verdana" w:hAnsi="Verdana" w:eastAsia="Century Gothic" w:cs="Century Gothic"/>
        </w:rPr>
        <w:t>¿La renovación del RUP posterior al cierre del proceso afecta la validez del RUP que se encontraba vigente y en firme al momento de presentar la oferta?</w:t>
      </w:r>
    </w:p>
    <w:p w:rsidRPr="00792784" w:rsidR="003E1B03" w:rsidP="003E1B03" w:rsidRDefault="003E1B03" w14:paraId="5979869C" w14:textId="77777777">
      <w:pPr>
        <w:spacing w:after="0" w:line="276" w:lineRule="auto"/>
        <w:jc w:val="both"/>
        <w:rPr>
          <w:rFonts w:ascii="Verdana" w:hAnsi="Verdana" w:eastAsia="Century Gothic" w:cs="Century Gothic"/>
          <w:color w:val="ED7D31" w:themeColor="accent2"/>
          <w:highlight w:val="lightGray"/>
        </w:rPr>
      </w:pPr>
    </w:p>
    <w:p w:rsidRPr="00792784" w:rsidR="003E1B03" w:rsidP="003E1B03" w:rsidRDefault="003E1B03" w14:paraId="262DE42B" w14:textId="77777777">
      <w:pPr>
        <w:tabs>
          <w:tab w:val="left" w:pos="142"/>
          <w:tab w:val="left" w:pos="284"/>
        </w:tabs>
        <w:spacing w:after="0" w:line="276" w:lineRule="auto"/>
        <w:jc w:val="both"/>
        <w:rPr>
          <w:rFonts w:ascii="Verdana" w:hAnsi="Verdana" w:eastAsia="Century Gothic" w:cs="Century Gothic"/>
          <w:b/>
          <w:lang w:val="es-ES"/>
        </w:rPr>
      </w:pPr>
      <w:r w:rsidRPr="00792784">
        <w:rPr>
          <w:rFonts w:ascii="Verdana" w:hAnsi="Verdana" w:eastAsia="Century Gothic" w:cs="Century Gothic"/>
          <w:b/>
          <w:lang w:val="es-ES"/>
        </w:rPr>
        <w:t>2. Respuesta:</w:t>
      </w:r>
    </w:p>
    <w:p w:rsidRPr="00792784" w:rsidR="003E1B03" w:rsidP="003E1B03" w:rsidRDefault="003E1B03" w14:paraId="499702C3" w14:textId="77777777">
      <w:pPr>
        <w:tabs>
          <w:tab w:val="left" w:pos="142"/>
          <w:tab w:val="left" w:pos="284"/>
        </w:tabs>
        <w:spacing w:after="0" w:line="276" w:lineRule="auto"/>
        <w:jc w:val="both"/>
        <w:rPr>
          <w:rFonts w:ascii="Verdana" w:hAnsi="Verdana" w:eastAsia="Century Gothic" w:cs="Century Gothic"/>
          <w:b/>
          <w:color w:val="ED7D31" w:themeColor="accent2"/>
          <w:lang w:val="es-ES"/>
        </w:rPr>
      </w:pPr>
    </w:p>
    <w:tbl>
      <w:tblPr>
        <w:tblStyle w:val="Tablaconcuadrcul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8828"/>
      </w:tblGrid>
      <w:tr w:rsidRPr="00006D3A" w:rsidR="003E1B03" w:rsidTr="00814D18" w14:paraId="3A1CA34A" w14:textId="77777777">
        <w:tc>
          <w:tcPr>
            <w:tcW w:w="8828" w:type="dxa"/>
          </w:tcPr>
          <w:p w:rsidRPr="00B95954" w:rsidR="00A36B68" w:rsidP="00370888" w:rsidRDefault="003E1B03" w14:paraId="4EB293FD" w14:textId="25678D55">
            <w:pPr>
              <w:spacing w:after="120" w:line="276" w:lineRule="auto"/>
              <w:contextualSpacing/>
              <w:jc w:val="both"/>
              <w:rPr>
                <w:rFonts w:ascii="Verdana" w:hAnsi="Verdana" w:eastAsia="Calibri" w:cs="Arial"/>
              </w:rPr>
            </w:pPr>
            <w:r w:rsidRPr="00B95954">
              <w:rPr>
                <w:rFonts w:ascii="Verdana" w:hAnsi="Verdana" w:eastAsia="Calibri" w:cs="Arial"/>
              </w:rPr>
              <w:t>Para responder el problema jurídico planteado, es preciso señalar, en primer lugar, que para participar en los procesos de contratación en los cuales resulta exigible el Registro Único de Proponentes (RUP), los oferentes deben acreditar que su inscripción se encontraba vigente y en firme antes de la fecha de cierre del respectivo proceso de selección, toda vez que únicamente a partir de la firmeza del acto de inscripción se producen los efectos jurídicos previstos en el artículo 6 de la Ley 1150 de 2007.</w:t>
            </w:r>
          </w:p>
          <w:p w:rsidRPr="00B95954" w:rsidR="003E1B03" w:rsidP="00370888" w:rsidRDefault="003E1B03" w14:paraId="5DCB0B3E" w14:textId="77777777">
            <w:pPr>
              <w:spacing w:after="120" w:line="276" w:lineRule="auto"/>
              <w:ind w:firstLine="709"/>
              <w:contextualSpacing/>
              <w:jc w:val="both"/>
              <w:rPr>
                <w:rFonts w:ascii="Verdana" w:hAnsi="Verdana" w:eastAsia="Calibri" w:cs="Arial"/>
              </w:rPr>
            </w:pPr>
            <w:r w:rsidRPr="00B95954">
              <w:rPr>
                <w:rFonts w:ascii="Verdana" w:hAnsi="Verdana" w:eastAsia="Calibri" w:cs="Arial"/>
              </w:rPr>
              <w:t xml:space="preserve">Ahora bien, de acuerdo con el artículo 2.2.1.1.1.5.1 del Decreto 1082 de 2015, las personas inscritas en el RUP deben presentar la información para su renovación a más tardar el quinto día hábil del mes de abril de cada año. </w:t>
            </w:r>
            <w:r w:rsidRPr="00B95954">
              <w:rPr>
                <w:rFonts w:ascii="Verdana" w:hAnsi="Verdana" w:eastAsia="Calibri" w:cs="Arial"/>
              </w:rPr>
              <w:t>Cuando el proponente cumple oportunamente con esta carga, el registro conserva sus efectos jurídicos mientras culmina el trámite de renovación y adquiere firmeza la nueva información.</w:t>
            </w:r>
          </w:p>
          <w:p w:rsidRPr="00B95954" w:rsidR="003E1B03" w:rsidP="00370888" w:rsidRDefault="003E1B03" w14:paraId="009783F4" w14:textId="77777777">
            <w:pPr>
              <w:spacing w:after="120" w:line="276" w:lineRule="auto"/>
              <w:ind w:firstLine="709"/>
              <w:jc w:val="both"/>
              <w:rPr>
                <w:rFonts w:ascii="Verdana" w:hAnsi="Verdana" w:eastAsia="Calibri" w:cs="Arial"/>
              </w:rPr>
            </w:pPr>
            <w:r w:rsidRPr="00B95954">
              <w:rPr>
                <w:rFonts w:ascii="Verdana" w:hAnsi="Verdana" w:eastAsia="Calibri" w:cs="Arial"/>
              </w:rPr>
              <w:t>En consecuencia, la renovación del RUP con posterioridad al cierre del proceso no afecta la validez ni la eficacia del RUP que se encontraba vigente y en firme al momento de presentar la oferta, siempre que el proponente hubiera presentado oportunamente la solicitud de renovación dentro del término legal. Por tanto, la entidad estatal debe verificar los requisitos habilitantes y los factores acreditados mediante el RUP con base en la información que se encontraba vigente y en firme al cierre del proceso de selección.</w:t>
            </w:r>
          </w:p>
          <w:p w:rsidRPr="00B95954" w:rsidR="003E1B03" w:rsidP="00370888" w:rsidRDefault="003E1B03" w14:paraId="5DE3C6BD" w14:textId="77777777">
            <w:pPr>
              <w:spacing w:after="120" w:line="276" w:lineRule="auto"/>
              <w:ind w:firstLine="709"/>
              <w:jc w:val="both"/>
              <w:rPr>
                <w:rFonts w:ascii="Verdana" w:hAnsi="Verdana" w:eastAsia="Calibri" w:cs="Arial"/>
              </w:rPr>
            </w:pPr>
            <w:r w:rsidRPr="00B95954">
              <w:rPr>
                <w:rFonts w:ascii="Verdana" w:hAnsi="Verdana" w:eastAsia="Calibri" w:cs="Arial"/>
              </w:rPr>
              <w:t>En este sentido, la jurisprudencia del Consejo de Estado ha precisado que durante el período comprendido entre la solicitud de renovación y la firmeza del nuevo registro, debe emplearse la información contenida en el RUP que se encontraba previamente vigente y en firme, cuyos efectos no han cesado. Por consiguiente, cuando la renovación adquiere firmeza con posterioridad al cierre del proceso de selección, la evaluación de las ofertas debe realizarse con fundamento en la información del RUP vigente y en firme al momento de la presentación de la oferta, sin que la nueva información pueda ser utilizada para favorecer o perjudicar al proponente.</w:t>
            </w:r>
          </w:p>
          <w:p w:rsidRPr="00B95954" w:rsidR="003E1B03" w:rsidP="00370888" w:rsidRDefault="003E1B03" w14:paraId="346FE655" w14:textId="77777777">
            <w:pPr>
              <w:spacing w:after="120" w:line="276" w:lineRule="auto"/>
              <w:ind w:firstLine="709"/>
              <w:jc w:val="both"/>
              <w:rPr>
                <w:rFonts w:ascii="Verdana" w:hAnsi="Verdana" w:eastAsia="Calibri" w:cs="Arial"/>
              </w:rPr>
            </w:pPr>
            <w:r w:rsidRPr="00B95954">
              <w:rPr>
                <w:rFonts w:ascii="Verdana" w:hAnsi="Verdana" w:eastAsia="Calibri" w:cs="Arial"/>
              </w:rPr>
              <w:t>No obstante, lo anterior no exime a los proponentes del deber legal de renovar oportunamente su inscripción en el RUP. Por el contrario, la renovación constituye una obligación, cuyo cumplimiento resulta necesario para conservar la vigencia y los efectos del registro. En tal sentido, aunque la información renovada solo produzca efectos una vez adquiera firmeza, la presentación oportuna de la solicitud de renovación dentro del término previsto por la normativa vigente permite que el RUP previamente vigente continúe produciendo efectos mientras culmina el respectivo trámite administrativo.</w:t>
            </w:r>
          </w:p>
          <w:p w:rsidRPr="00006D3A" w:rsidR="003E1B03" w:rsidP="00814D18" w:rsidRDefault="003E1B03" w14:paraId="1FEBF4D7" w14:textId="77777777">
            <w:pPr>
              <w:spacing w:after="120" w:line="276" w:lineRule="auto"/>
              <w:ind w:firstLine="709"/>
              <w:contextualSpacing/>
              <w:jc w:val="both"/>
              <w:rPr>
                <w:rFonts w:ascii="Verdana" w:hAnsi="Verdana" w:eastAsia="Calibri" w:cs="Arial"/>
                <w:color w:val="ED7D31" w:themeColor="accent2"/>
              </w:rPr>
            </w:pPr>
            <w:r w:rsidRPr="00B95954">
              <w:rPr>
                <w:rFonts w:ascii="Verdana" w:hAnsi="Verdana" w:eastAsia="Calibri" w:cs="Arial"/>
              </w:rPr>
              <w:t>Finalmente, se precisa que esta Agencia no puede definir un</w:t>
            </w:r>
            <w:r w:rsidRPr="00B95954">
              <w:t xml:space="preserve"> </w:t>
            </w:r>
            <w:r w:rsidRPr="00B95954">
              <w:rPr>
                <w:rFonts w:ascii="Verdana" w:hAnsi="Verdana" w:eastAsia="Calibri" w:cs="Arial"/>
              </w:rPr>
              <w:t xml:space="preserve">criterio universal y absoluto por vía consultiva, sino que brinda elementos hermenéuticos de carácter general para que los partícipes del sistema de compras y contratación pública adopten la decisión que corresponda, lo o es acorde con el principio de juridicidad. Por lo anterior, previo concepto de sus órganos asesores, la solución de estos temas corresponde a la entidad de </w:t>
            </w:r>
            <w:r w:rsidRPr="00B95954">
              <w:rPr>
                <w:rFonts w:ascii="Verdana" w:hAnsi="Verdana" w:eastAsia="Calibri" w:cs="Arial"/>
              </w:rPr>
              <w:t xml:space="preserve">adoptar la decisión correspondiente y, en caso de conflicto, a las autoridades judiciales, fiscales y disciplinarias. De esta manera, corresponderá a cada contratante definir la viabilidad técnica, jurídica y financiera de establecer un proceso de contratación, así como determinar la forma en la que estos grupos se estructuran atendiendo a las normas que regulan el sector objeto del contrato. </w:t>
            </w:r>
          </w:p>
        </w:tc>
      </w:tr>
    </w:tbl>
    <w:p w:rsidRPr="00006D3A" w:rsidR="003E1B03" w:rsidP="003E1B03" w:rsidRDefault="003E1B03" w14:paraId="77B116C9" w14:textId="77777777">
      <w:pPr>
        <w:tabs>
          <w:tab w:val="left" w:pos="142"/>
          <w:tab w:val="left" w:pos="284"/>
        </w:tabs>
        <w:spacing w:after="0" w:line="276" w:lineRule="auto"/>
        <w:jc w:val="both"/>
        <w:rPr>
          <w:rFonts w:ascii="Verdana" w:hAnsi="Verdana" w:eastAsia="Century Gothic" w:cs="Century Gothic"/>
          <w:b/>
          <w:bCs/>
          <w:color w:val="ED7D31" w:themeColor="accent2"/>
          <w:lang w:val="es-ES"/>
        </w:rPr>
      </w:pPr>
    </w:p>
    <w:p w:rsidRPr="00006D3A" w:rsidR="003E1B03" w:rsidP="003E1B03" w:rsidRDefault="003E1B03" w14:paraId="5FC4131B" w14:textId="77777777">
      <w:pPr>
        <w:tabs>
          <w:tab w:val="left" w:pos="142"/>
          <w:tab w:val="left" w:pos="284"/>
        </w:tabs>
        <w:spacing w:after="0" w:line="276" w:lineRule="auto"/>
        <w:jc w:val="both"/>
        <w:rPr>
          <w:rFonts w:ascii="Verdana" w:hAnsi="Verdana" w:eastAsia="Century Gothic" w:cs="Century Gothic"/>
          <w:b/>
          <w:lang w:val="es-ES"/>
        </w:rPr>
      </w:pPr>
      <w:r w:rsidRPr="00006D3A">
        <w:rPr>
          <w:rFonts w:ascii="Verdana" w:hAnsi="Verdana" w:eastAsia="Century Gothic" w:cs="Century Gothic"/>
          <w:b/>
          <w:lang w:val="es-ES"/>
        </w:rPr>
        <w:t>3. Razones de la respuesta:</w:t>
      </w:r>
    </w:p>
    <w:p w:rsidRPr="00006D3A" w:rsidR="003E1B03" w:rsidP="003E1B03" w:rsidRDefault="003E1B03" w14:paraId="001DD6D8" w14:textId="77777777">
      <w:pPr>
        <w:spacing w:after="0" w:line="276" w:lineRule="auto"/>
        <w:jc w:val="both"/>
        <w:rPr>
          <w:rFonts w:ascii="Verdana" w:hAnsi="Verdana" w:eastAsia="Calibri" w:cs="Arial"/>
          <w:lang w:val="es-ES"/>
        </w:rPr>
      </w:pPr>
    </w:p>
    <w:p w:rsidRPr="00006D3A" w:rsidR="003E1B03" w:rsidP="003E1B03" w:rsidRDefault="003E1B03" w14:paraId="13C7BC64" w14:textId="77777777">
      <w:pPr>
        <w:spacing w:after="0" w:line="276" w:lineRule="auto"/>
        <w:jc w:val="both"/>
        <w:rPr>
          <w:rFonts w:ascii="Verdana" w:hAnsi="Verdana" w:eastAsia="Calibri" w:cs="Arial"/>
          <w:lang w:val="es-ES"/>
        </w:rPr>
      </w:pPr>
      <w:r w:rsidRPr="00006D3A">
        <w:rPr>
          <w:rFonts w:ascii="Verdana" w:hAnsi="Verdana" w:eastAsia="Calibri" w:cs="Arial"/>
          <w:lang w:val="es-ES"/>
        </w:rPr>
        <w:t xml:space="preserve">Las respuestas anteriores se sustentan en las siguientes consideraciones: </w:t>
      </w:r>
    </w:p>
    <w:p w:rsidRPr="00006D3A" w:rsidR="003E1B03" w:rsidP="003E1B03" w:rsidRDefault="003E1B03" w14:paraId="70930A57" w14:textId="77777777">
      <w:pPr>
        <w:tabs>
          <w:tab w:val="left" w:pos="142"/>
          <w:tab w:val="left" w:pos="284"/>
        </w:tabs>
        <w:spacing w:after="0" w:line="276" w:lineRule="auto"/>
        <w:jc w:val="both"/>
        <w:rPr>
          <w:rFonts w:ascii="Verdana" w:hAnsi="Verdana" w:eastAsia="Century Gothic" w:cs="Century Gothic"/>
          <w:b/>
          <w:color w:val="ED7D31" w:themeColor="accent2"/>
          <w:lang w:val="es-ES"/>
        </w:rPr>
      </w:pPr>
    </w:p>
    <w:p w:rsidRPr="00006D3A" w:rsidR="003E1B03" w:rsidP="003E1B03" w:rsidRDefault="003E1B03" w14:paraId="540094C9" w14:textId="77777777">
      <w:pPr>
        <w:spacing w:after="0" w:line="276" w:lineRule="auto"/>
        <w:contextualSpacing/>
        <w:jc w:val="both"/>
        <w:rPr>
          <w:rFonts w:ascii="Verdana" w:hAnsi="Verdana" w:eastAsia="Times New Roman" w:cs="Arial"/>
          <w:szCs w:val="24"/>
          <w:lang w:eastAsia="es-ES_tradnl"/>
        </w:rPr>
      </w:pPr>
      <w:bookmarkStart w:name="_Hlk102983874" w:id="1"/>
      <w:bookmarkStart w:name="_Hlk102388095" w:id="2"/>
      <w:r w:rsidRPr="00006D3A">
        <w:rPr>
          <w:rFonts w:ascii="Verdana" w:hAnsi="Verdana" w:cs="Arial"/>
          <w:bCs/>
          <w:lang w:val="es-ES_tradnl" w:eastAsia="es-ES" w:bidi="es-ES"/>
        </w:rPr>
        <w:t>i.</w:t>
      </w:r>
      <w:r w:rsidRPr="00006D3A">
        <w:rPr>
          <w:rFonts w:ascii="Verdana" w:hAnsi="Verdana" w:eastAsia="Calibri" w:cs="Arial"/>
        </w:rPr>
        <w:t xml:space="preserve"> </w:t>
      </w:r>
      <w:bookmarkStart w:name="_Hlk107927289" w:id="3"/>
      <w:r w:rsidRPr="00006D3A">
        <w:rPr>
          <w:rFonts w:ascii="Verdana" w:hAnsi="Verdana" w:eastAsia="Times New Roman" w:cs="Arial"/>
          <w:szCs w:val="24"/>
          <w:lang w:eastAsia="es-ES_tradnl"/>
        </w:rPr>
        <w:t xml:space="preserve">El RUP como instrumento en el que consta la información relacionada con las personas naturales y jurídicas,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 </w:t>
      </w:r>
      <w:bookmarkEnd w:id="3"/>
      <w:r w:rsidRPr="00006D3A">
        <w:rPr>
          <w:rFonts w:ascii="Verdana" w:hAnsi="Verdana" w:eastAsia="Times New Roman" w:cs="Arial"/>
          <w:szCs w:val="24"/>
          <w:lang w:eastAsia="es-ES_tradnl"/>
        </w:rPr>
        <w:t>El Consejo de Estado definió la naturaleza y finalidad del RUP de la siguiente forma:</w:t>
      </w:r>
    </w:p>
    <w:p w:rsidRPr="00006D3A" w:rsidR="003E1B03" w:rsidP="003E1B03" w:rsidRDefault="003E1B03" w14:paraId="3558C5B3" w14:textId="77777777">
      <w:pPr>
        <w:spacing w:after="0" w:line="276" w:lineRule="auto"/>
        <w:ind w:right="426"/>
        <w:contextualSpacing/>
        <w:rPr>
          <w:rFonts w:ascii="Verdana" w:hAnsi="Verdana" w:eastAsia="Times New Roman" w:cs="Arial"/>
          <w:szCs w:val="24"/>
          <w:lang w:eastAsia="es-ES_tradnl"/>
        </w:rPr>
      </w:pPr>
    </w:p>
    <w:p w:rsidRPr="00006D3A" w:rsidR="003E1B03" w:rsidP="003E1B03" w:rsidRDefault="003E1B03" w14:paraId="29A54656" w14:textId="77777777">
      <w:pPr>
        <w:tabs>
          <w:tab w:val="left" w:pos="8505"/>
        </w:tabs>
        <w:spacing w:after="0" w:line="240" w:lineRule="auto"/>
        <w:ind w:left="709" w:right="709"/>
        <w:contextualSpacing/>
        <w:jc w:val="both"/>
        <w:rPr>
          <w:rFonts w:ascii="Verdana" w:hAnsi="Verdana" w:eastAsia="Times New Roman" w:cs="Arial"/>
          <w:sz w:val="20"/>
          <w:szCs w:val="20"/>
          <w:lang w:eastAsia="es-ES_tradnl"/>
        </w:rPr>
      </w:pPr>
      <w:r w:rsidRPr="00006D3A">
        <w:rPr>
          <w:rFonts w:ascii="Verdana" w:hAnsi="Verdana" w:eastAsia="Times New Roman" w:cs="Arial"/>
          <w:sz w:val="20"/>
          <w:szCs w:val="20"/>
          <w:lang w:eastAsia="es-ES_tradnl"/>
        </w:rPr>
        <w:t>El Registro de Proponentes es un registro de creación legal en el cual se inscriben las personas naturales o jurídicas que aspiran a celebrar con entidades estatales contratos de obra, consultoría, suministro y compraventa de bienes muebles. Tiene como finalidad suministrar la información necesaria de un contratista inscrito, en lo relacionado con su experiencia, capacidad jurídica, capacidad técnica, capacidad de organización y capacidad financiera. En los términos del artículo 22 de la Ley 80 de 1993, todas las personas naturales o jurídicas que aspiren a celebrar dichos contratos con las entidades estatales deberán inscribirse en el Registro de Proponentes de la Cámara de Comercio de su jurisdicción y deberán estar clasificadas y calificadas según lo dispuesto en esta norma</w:t>
      </w:r>
      <w:r w:rsidRPr="00006D3A">
        <w:rPr>
          <w:rFonts w:ascii="Verdana" w:hAnsi="Verdana" w:eastAsia="Times New Roman" w:cs="Arial"/>
          <w:sz w:val="20"/>
          <w:szCs w:val="20"/>
          <w:vertAlign w:val="superscript"/>
          <w:lang w:eastAsia="es-ES_tradnl"/>
        </w:rPr>
        <w:footnoteReference w:id="1"/>
      </w:r>
      <w:r w:rsidRPr="00006D3A">
        <w:rPr>
          <w:rFonts w:ascii="Verdana" w:hAnsi="Verdana" w:eastAsia="Times New Roman" w:cs="Arial"/>
          <w:sz w:val="20"/>
          <w:szCs w:val="20"/>
          <w:lang w:eastAsia="es-ES_tradnl"/>
        </w:rPr>
        <w:t>.</w:t>
      </w:r>
    </w:p>
    <w:p w:rsidRPr="00006D3A" w:rsidR="003E1B03" w:rsidP="003E1B03" w:rsidRDefault="003E1B03" w14:paraId="448810B5" w14:textId="77777777">
      <w:pPr>
        <w:spacing w:after="0" w:line="276" w:lineRule="auto"/>
        <w:contextualSpacing/>
        <w:jc w:val="both"/>
        <w:rPr>
          <w:rFonts w:ascii="Verdana" w:hAnsi="Verdana" w:eastAsia="Times New Roman" w:cs="Arial"/>
          <w:lang w:eastAsia="es-ES_tradnl"/>
        </w:rPr>
      </w:pPr>
    </w:p>
    <w:p w:rsidRPr="00006D3A" w:rsidR="003E1B03" w:rsidP="003E1B03" w:rsidRDefault="003E1B03" w14:paraId="32F5C3D3" w14:textId="77777777">
      <w:pPr>
        <w:spacing w:after="120" w:line="276" w:lineRule="auto"/>
        <w:ind w:firstLine="709"/>
        <w:jc w:val="both"/>
        <w:rPr>
          <w:rFonts w:ascii="Verdana" w:hAnsi="Verdana" w:eastAsia="Times New Roman" w:cs="Arial"/>
          <w:lang w:eastAsia="es-ES_tradnl"/>
        </w:rPr>
      </w:pPr>
      <w:r w:rsidRPr="00006D3A">
        <w:rPr>
          <w:rFonts w:ascii="Verdana" w:hAnsi="Verdana" w:eastAsia="Times New Roman" w:cs="Arial"/>
          <w:lang w:eastAsia="es-ES_tradnl"/>
        </w:rPr>
        <w:t>El artículo 6.1 de la Ley 1150 de 2007 dispone que el RUP es plena prueba de la información que contiene</w:t>
      </w:r>
      <w:r w:rsidRPr="00006D3A">
        <w:rPr>
          <w:rFonts w:ascii="Verdana" w:hAnsi="Verdana" w:eastAsia="Times New Roman" w:cs="Arial"/>
          <w:vertAlign w:val="superscript"/>
          <w:lang w:eastAsia="es-ES_tradnl"/>
        </w:rPr>
        <w:footnoteReference w:id="2"/>
      </w:r>
      <w:r w:rsidRPr="00006D3A">
        <w:rPr>
          <w:rFonts w:ascii="Verdana" w:hAnsi="Verdana" w:eastAsia="Times New Roman" w:cs="Arial"/>
          <w:lang w:eastAsia="es-ES_tradnl"/>
        </w:rPr>
        <w:t xml:space="preserve">. Por su parte, el artículo 5.1, al fijar los criterios </w:t>
      </w:r>
      <w:r w:rsidRPr="00006D3A">
        <w:rPr>
          <w:rFonts w:ascii="Verdana" w:hAnsi="Verdana" w:eastAsia="Times New Roman" w:cs="Arial"/>
          <w:lang w:eastAsia="es-ES_tradnl"/>
        </w:rPr>
        <w:t>que deben tener en cuenta las Entidades Estatales para garantizar la selección objetiva, dispone que las cámaras de comercio verificarán la información suministrada por las personas naturales o jurídicas para la inscripción en el registro. Esta información debe tenerse en cuenta por parte de las Entidades Estatales en los Procedimientos de Contratación en los que es exigible el RUP</w:t>
      </w:r>
      <w:r w:rsidRPr="00006D3A">
        <w:rPr>
          <w:rFonts w:ascii="Verdana" w:hAnsi="Verdana" w:eastAsia="Times New Roman" w:cs="Arial"/>
          <w:vertAlign w:val="superscript"/>
          <w:lang w:eastAsia="es-ES_tradnl"/>
        </w:rPr>
        <w:footnoteReference w:id="3"/>
      </w:r>
      <w:r w:rsidRPr="00006D3A">
        <w:rPr>
          <w:rFonts w:ascii="Verdana" w:hAnsi="Verdana" w:eastAsia="Times New Roman" w:cs="Arial"/>
          <w:lang w:eastAsia="es-ES_tradnl"/>
        </w:rPr>
        <w:t xml:space="preserve">. </w:t>
      </w:r>
    </w:p>
    <w:p w:rsidRPr="00006D3A" w:rsidR="003E1B03" w:rsidP="003E1B03" w:rsidRDefault="003E1B03" w14:paraId="196647DA" w14:textId="77777777">
      <w:pPr>
        <w:spacing w:after="120" w:line="276" w:lineRule="auto"/>
        <w:ind w:firstLine="709"/>
        <w:jc w:val="both"/>
        <w:rPr>
          <w:rFonts w:ascii="Verdana" w:hAnsi="Verdana" w:eastAsia="Times New Roman" w:cs="Arial"/>
          <w:lang w:eastAsia="es-ES_tradnl"/>
        </w:rPr>
      </w:pPr>
      <w:r w:rsidRPr="00006D3A">
        <w:rPr>
          <w:rFonts w:ascii="Verdana" w:hAnsi="Verdana" w:eastAsia="Times New Roman" w:cs="Arial"/>
          <w:lang w:eastAsia="es-ES_tradnl"/>
        </w:rPr>
        <w:t xml:space="preserve">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w:t>
      </w:r>
    </w:p>
    <w:p w:rsidRPr="00006D3A" w:rsidR="003E1B03" w:rsidP="003E1B03" w:rsidRDefault="003E1B03" w14:paraId="03DF33A4" w14:textId="77777777">
      <w:pPr>
        <w:spacing w:after="120" w:line="276" w:lineRule="auto"/>
        <w:ind w:firstLine="709"/>
        <w:jc w:val="both"/>
        <w:rPr>
          <w:rFonts w:ascii="Verdana" w:hAnsi="Verdana" w:eastAsia="Times New Roman" w:cs="Arial"/>
          <w:lang w:eastAsia="es-ES_tradnl"/>
        </w:rPr>
      </w:pPr>
      <w:r w:rsidRPr="00006D3A">
        <w:rPr>
          <w:rFonts w:ascii="Verdana" w:hAnsi="Verdana" w:eastAsia="Times New Roman" w:cs="Arial"/>
          <w:lang w:val="es-ES_tradnl" w:eastAsia="es-ES_tradnl"/>
        </w:rPr>
        <w:t xml:space="preserve">Las anteriores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excepciones previstas de forma taxativa en la ley. </w:t>
      </w:r>
      <w:r w:rsidRPr="00006D3A">
        <w:rPr>
          <w:rFonts w:ascii="Verdana" w:hAnsi="Verdana" w:eastAsia="Times New Roman" w:cs="Arial"/>
          <w:lang w:eastAsia="es-ES_tradnl"/>
        </w:rPr>
        <w:t xml:space="preserve">Adicionalmente, el numeral 6.1. del artículo 6 de la Ley 1150 de 2007 establece que cuando sea necesario verificar requisitos o información que no reposa en RUP, la entidad podrá solicitar </w:t>
      </w:r>
      <w:r w:rsidRPr="00006D3A">
        <w:rPr>
          <w:rFonts w:ascii="Verdana" w:hAnsi="Verdana" w:eastAsia="Times New Roman" w:cs="Arial"/>
          <w:lang w:eastAsia="es-ES_tradnl"/>
        </w:rPr>
        <w:t>información adicional –por ejemplo, longitudes de obra, especificaciones técnicas, etc.– solo para complementar la información contenida en el RUP</w:t>
      </w:r>
      <w:r w:rsidRPr="00006D3A">
        <w:rPr>
          <w:rFonts w:ascii="Verdana" w:hAnsi="Verdana" w:eastAsia="Times New Roman" w:cs="Arial"/>
          <w:vertAlign w:val="superscript"/>
          <w:lang w:eastAsia="es-ES_tradnl"/>
        </w:rPr>
        <w:footnoteReference w:id="4"/>
      </w:r>
      <w:r w:rsidRPr="00006D3A">
        <w:rPr>
          <w:rFonts w:ascii="Verdana" w:hAnsi="Verdana" w:eastAsia="Times New Roman" w:cs="Arial"/>
          <w:lang w:eastAsia="es-ES_tradnl"/>
        </w:rPr>
        <w:t>.</w:t>
      </w:r>
    </w:p>
    <w:p w:rsidRPr="00006D3A" w:rsidR="003E1B03" w:rsidP="003E1B03" w:rsidRDefault="003E1B03" w14:paraId="24CCCBF5" w14:textId="77777777">
      <w:pPr>
        <w:spacing w:after="120" w:line="276" w:lineRule="auto"/>
        <w:ind w:firstLine="709"/>
        <w:jc w:val="both"/>
        <w:rPr>
          <w:rFonts w:ascii="Verdana" w:hAnsi="Verdana" w:eastAsia="Times New Roman" w:cs="Arial"/>
          <w:lang w:eastAsia="es-ES_tradnl"/>
        </w:rPr>
      </w:pPr>
      <w:r w:rsidRPr="00006D3A">
        <w:rPr>
          <w:rFonts w:ascii="Verdana" w:hAnsi="Verdana" w:eastAsia="Times New Roman" w:cs="Arial"/>
          <w:lang w:eastAsia="es-ES_tradnl"/>
        </w:rPr>
        <w:t>Cuando se trata de los procesos exceptuados de la obligación de inscripción en el RUP, como las entidades no pueden solicitarlo, para verificar las condiciones de experiencia, capacidad financiera y de organización de los proponentes, deben recurrir a otros medios de prueba que garanticen la selección objetiva, siempre que sean adecuados y proporcionales para promover la libre participación de los oferentes</w:t>
      </w:r>
      <w:r w:rsidRPr="00006D3A">
        <w:rPr>
          <w:rFonts w:ascii="Verdana" w:hAnsi="Verdana" w:eastAsia="Times New Roman" w:cs="Arial"/>
          <w:vertAlign w:val="superscript"/>
          <w:lang w:eastAsia="es-ES_tradnl"/>
        </w:rPr>
        <w:footnoteReference w:id="5"/>
      </w:r>
      <w:r w:rsidRPr="00006D3A">
        <w:rPr>
          <w:rFonts w:ascii="Verdana" w:hAnsi="Verdana" w:eastAsia="Times New Roman" w:cs="Arial"/>
          <w:lang w:eastAsia="es-ES_tradnl"/>
        </w:rPr>
        <w:t>. Lo anterior fue ratificado por el Consejo de Estado cuando enumeró las excepciones en las cuales las entidades tienen la obligación de verificar los requisitos habilitantes de los proponentes</w:t>
      </w:r>
      <w:r w:rsidRPr="00006D3A">
        <w:rPr>
          <w:rFonts w:ascii="Verdana" w:hAnsi="Verdana" w:eastAsia="Times New Roman" w:cs="Arial"/>
          <w:vertAlign w:val="superscript"/>
          <w:lang w:eastAsia="es-ES_tradnl"/>
        </w:rPr>
        <w:footnoteReference w:id="6"/>
      </w:r>
      <w:r w:rsidRPr="00006D3A">
        <w:rPr>
          <w:rFonts w:ascii="Verdana" w:hAnsi="Verdana" w:eastAsia="Times New Roman" w:cs="Arial"/>
          <w:lang w:eastAsia="es-ES_tradnl"/>
        </w:rPr>
        <w:t xml:space="preserve">.  </w:t>
      </w:r>
    </w:p>
    <w:p w:rsidRPr="00006D3A" w:rsidR="003E1B03" w:rsidP="003E1B03" w:rsidRDefault="003E1B03" w14:paraId="5FB94461" w14:textId="77777777">
      <w:pPr>
        <w:spacing w:after="120" w:line="276" w:lineRule="auto"/>
        <w:ind w:firstLine="709"/>
        <w:jc w:val="both"/>
        <w:rPr>
          <w:rFonts w:ascii="Verdana" w:hAnsi="Verdana" w:eastAsia="Times New Roman" w:cs="Arial"/>
          <w:lang w:eastAsia="es-ES_tradnl"/>
        </w:rPr>
      </w:pPr>
      <w:r w:rsidRPr="00006D3A">
        <w:rPr>
          <w:rFonts w:ascii="Verdana" w:hAnsi="Verdana" w:eastAsia="Times New Roman" w:cs="Arial"/>
          <w:lang w:eastAsia="es-ES_tradnl"/>
        </w:rPr>
        <w:t>Ahora bien, el inciso 1 del artículo 6 de la Ley 1150 de 2007</w:t>
      </w:r>
      <w:r w:rsidRPr="00006D3A">
        <w:rPr>
          <w:rFonts w:ascii="Verdana" w:hAnsi="Verdana" w:eastAsia="Times New Roman" w:cs="Arial"/>
          <w:vertAlign w:val="superscript"/>
          <w:lang w:eastAsia="es-ES_tradnl"/>
        </w:rPr>
        <w:footnoteReference w:id="7"/>
      </w:r>
      <w:r w:rsidRPr="00006D3A">
        <w:rPr>
          <w:rFonts w:ascii="Verdana" w:hAnsi="Verdana" w:eastAsia="Times New Roman" w:cs="Arial"/>
          <w:lang w:eastAsia="es-ES_tradnl"/>
        </w:rPr>
        <w:t>, mediante el cual se regulan los sujetos que deben inscribirse en el RUP, señaló que deben hacerlo las personas, naturales o jurídicas, nacionales o extranjeras que tengan domicilio o sucursal en el país. Estas personas tienen la obligación de registrarse en el RUP, en dos (2) casos: a) pretendan celebrar contratos estatales y b) el Procedimiento de Contratación sea de aquellos en los cuales no se exceptúa el RUP, de acuerdo con el inciso 2 del artículo 6 de la Ley 1150 de 2007</w:t>
      </w:r>
      <w:r w:rsidRPr="00006D3A">
        <w:rPr>
          <w:rFonts w:ascii="Verdana" w:hAnsi="Verdana" w:eastAsia="Times New Roman" w:cs="Arial"/>
          <w:vertAlign w:val="superscript"/>
          <w:lang w:eastAsia="es-ES_tradnl"/>
        </w:rPr>
        <w:footnoteReference w:id="8"/>
      </w:r>
      <w:r w:rsidRPr="00006D3A">
        <w:rPr>
          <w:rFonts w:ascii="Verdana" w:hAnsi="Verdana" w:eastAsia="Times New Roman" w:cs="Arial"/>
          <w:lang w:eastAsia="es-ES_tradnl"/>
        </w:rPr>
        <w:t xml:space="preserve">. </w:t>
      </w:r>
    </w:p>
    <w:p w:rsidRPr="00006D3A" w:rsidR="003E1B03" w:rsidP="003E1B03" w:rsidRDefault="003E1B03" w14:paraId="618116ED" w14:textId="77777777">
      <w:pPr>
        <w:widowControl w:val="0"/>
        <w:autoSpaceDE w:val="0"/>
        <w:autoSpaceDN w:val="0"/>
        <w:spacing w:after="120" w:line="276" w:lineRule="auto"/>
        <w:ind w:firstLine="709"/>
        <w:jc w:val="both"/>
        <w:rPr>
          <w:rFonts w:ascii="Verdana" w:hAnsi="Verdana" w:eastAsia="Times New Roman" w:cs="Arial"/>
          <w:lang w:eastAsia="es-ES_tradnl"/>
        </w:rPr>
      </w:pPr>
      <w:r w:rsidRPr="00006D3A">
        <w:rPr>
          <w:rFonts w:ascii="Verdana" w:hAnsi="Verdana" w:eastAsia="Times New Roman" w:cs="Arial"/>
          <w:lang w:eastAsia="es-ES_tradnl"/>
        </w:rPr>
        <w:t>En desarrollo del marco legal expuesto, el Decreto 1082 de 2015</w:t>
      </w:r>
      <w:r w:rsidRPr="00006D3A">
        <w:rPr>
          <w:rFonts w:ascii="Verdana" w:hAnsi="Verdana" w:eastAsia="Times New Roman" w:cs="Arial"/>
          <w:vertAlign w:val="superscript"/>
          <w:lang w:eastAsia="es-ES_tradnl"/>
        </w:rPr>
        <w:footnoteReference w:id="9"/>
      </w:r>
      <w:r w:rsidRPr="00006D3A">
        <w:rPr>
          <w:rFonts w:ascii="Verdana" w:hAnsi="Verdana" w:eastAsia="Times New Roman" w:cs="Arial"/>
          <w:lang w:eastAsia="es-ES_tradnl"/>
        </w:rPr>
        <w:t xml:space="preserve"> dispone quiénes deben inscribirse en el RUP, el momento de la renovación del registro, la información requerida para la inscripción, renovación o actualización</w:t>
      </w:r>
      <w:r w:rsidRPr="00006D3A">
        <w:rPr>
          <w:rStyle w:val="Refdenotaalpie"/>
          <w:rFonts w:ascii="Verdana" w:hAnsi="Verdana" w:eastAsia="Times New Roman" w:cs="Arial"/>
          <w:lang w:eastAsia="es-ES_tradnl"/>
        </w:rPr>
        <w:footnoteReference w:id="10"/>
      </w:r>
      <w:r w:rsidRPr="00006D3A">
        <w:rPr>
          <w:rFonts w:ascii="Verdana" w:hAnsi="Verdana" w:eastAsia="Times New Roman" w:cs="Arial"/>
          <w:lang w:eastAsia="es-ES_tradnl"/>
        </w:rPr>
        <w:t xml:space="preserve"> y la </w:t>
      </w:r>
      <w:r w:rsidRPr="00006D3A">
        <w:rPr>
          <w:rFonts w:ascii="Verdana" w:hAnsi="Verdana" w:eastAsia="Times New Roman" w:cs="Arial"/>
          <w:lang w:eastAsia="es-ES_tradnl"/>
        </w:rPr>
        <w:t>posibilidad de solicitar la cancelación de la inscripción, en cualquier momento ante la cámara de comercio correspondiente</w:t>
      </w:r>
      <w:r w:rsidRPr="00006D3A">
        <w:rPr>
          <w:rFonts w:ascii="Verdana" w:hAnsi="Verdana" w:eastAsia="Times New Roman" w:cs="Arial"/>
          <w:vertAlign w:val="superscript"/>
          <w:lang w:eastAsia="es-ES_tradnl"/>
        </w:rPr>
        <w:footnoteReference w:id="11"/>
      </w:r>
      <w:r w:rsidRPr="00006D3A">
        <w:rPr>
          <w:rFonts w:ascii="Verdana" w:hAnsi="Verdana" w:eastAsia="Times New Roman" w:cs="Arial"/>
          <w:lang w:eastAsia="es-ES_tradnl"/>
        </w:rPr>
        <w:t>.</w:t>
      </w:r>
    </w:p>
    <w:p w:rsidRPr="00006D3A" w:rsidR="003E1B03" w:rsidP="003E1B03" w:rsidRDefault="003E1B03" w14:paraId="30596C33" w14:textId="77777777">
      <w:pPr>
        <w:widowControl w:val="0"/>
        <w:autoSpaceDE w:val="0"/>
        <w:autoSpaceDN w:val="0"/>
        <w:spacing w:after="120" w:line="276" w:lineRule="auto"/>
        <w:ind w:firstLine="709"/>
        <w:jc w:val="both"/>
        <w:rPr>
          <w:rFonts w:ascii="Verdana" w:hAnsi="Verdana" w:eastAsia="Arial" w:cs="Arial"/>
          <w:b/>
          <w:lang w:val="es-ES"/>
        </w:rPr>
      </w:pPr>
      <w:r w:rsidRPr="00006D3A">
        <w:rPr>
          <w:rFonts w:ascii="Verdana" w:hAnsi="Verdana" w:eastAsia="Times New Roman" w:cs="Arial"/>
          <w:lang w:eastAsia="es-ES_tradnl"/>
        </w:rPr>
        <w:t>En síntesis, se tiene que la obligación de inscribirse en el RUP es extensible a toda persona natural o jurídica, interesada en participar en un Proceso de Contratación estatal, cuando este no esté exceptuado de esta obligación, conforme con lo previsto en el inciso 2 del artículo 6 de la Ley 1150 de 2007.</w:t>
      </w:r>
      <w:bookmarkStart w:name="_Hlk104368148" w:id="4"/>
    </w:p>
    <w:p w:rsidRPr="00392E37" w:rsidR="003E1B03" w:rsidP="003E1B03" w:rsidRDefault="003E1B03" w14:paraId="71989BCB" w14:textId="77777777">
      <w:pPr>
        <w:widowControl w:val="0"/>
        <w:autoSpaceDE w:val="0"/>
        <w:autoSpaceDN w:val="0"/>
        <w:spacing w:after="120" w:line="276" w:lineRule="auto"/>
        <w:ind w:firstLine="709"/>
        <w:jc w:val="both"/>
        <w:rPr>
          <w:rFonts w:ascii="Verdana" w:hAnsi="Verdana" w:eastAsia="Arial" w:cs="Arial"/>
          <w:b/>
          <w:lang w:val="es-ES"/>
        </w:rPr>
      </w:pPr>
      <w:bookmarkStart w:name="_Hlk107927340" w:id="5"/>
      <w:r w:rsidRPr="00006D3A">
        <w:rPr>
          <w:rFonts w:ascii="Verdana" w:hAnsi="Verdana" w:cs="Arial"/>
        </w:rPr>
        <w:t>Ahora bien, en relación con la firmeza del RUP, debe señalarse que, en concordancia</w:t>
      </w:r>
      <w:r w:rsidRPr="00006D3A">
        <w:rPr>
          <w:rFonts w:ascii="Verdana" w:hAnsi="Verdana" w:cs="Arial"/>
          <w:spacing w:val="-4"/>
        </w:rPr>
        <w:t xml:space="preserve"> </w:t>
      </w:r>
      <w:r w:rsidRPr="00006D3A">
        <w:rPr>
          <w:rFonts w:ascii="Verdana" w:hAnsi="Verdana" w:cs="Arial"/>
        </w:rPr>
        <w:t>con</w:t>
      </w:r>
      <w:r w:rsidRPr="00006D3A">
        <w:rPr>
          <w:rFonts w:ascii="Verdana" w:hAnsi="Verdana" w:cs="Arial"/>
          <w:spacing w:val="-5"/>
        </w:rPr>
        <w:t xml:space="preserve"> </w:t>
      </w:r>
      <w:r w:rsidRPr="00006D3A">
        <w:rPr>
          <w:rFonts w:ascii="Verdana" w:hAnsi="Verdana" w:cs="Arial"/>
        </w:rPr>
        <w:t>lo</w:t>
      </w:r>
      <w:r w:rsidRPr="00006D3A">
        <w:rPr>
          <w:rFonts w:ascii="Verdana" w:hAnsi="Verdana" w:cs="Arial"/>
          <w:spacing w:val="-4"/>
        </w:rPr>
        <w:t xml:space="preserve"> </w:t>
      </w:r>
      <w:r w:rsidRPr="00006D3A">
        <w:rPr>
          <w:rFonts w:ascii="Verdana" w:hAnsi="Verdana" w:cs="Arial"/>
        </w:rPr>
        <w:t>establecido</w:t>
      </w:r>
      <w:r w:rsidRPr="00006D3A">
        <w:rPr>
          <w:rFonts w:ascii="Verdana" w:hAnsi="Verdana" w:cs="Arial"/>
          <w:spacing w:val="-4"/>
        </w:rPr>
        <w:t xml:space="preserve"> </w:t>
      </w:r>
      <w:r w:rsidRPr="00006D3A">
        <w:rPr>
          <w:rFonts w:ascii="Verdana" w:hAnsi="Verdana" w:cs="Arial"/>
        </w:rPr>
        <w:t>en</w:t>
      </w:r>
      <w:r w:rsidRPr="00006D3A">
        <w:rPr>
          <w:rFonts w:ascii="Verdana" w:hAnsi="Verdana" w:cs="Arial"/>
          <w:spacing w:val="-5"/>
        </w:rPr>
        <w:t xml:space="preserve"> </w:t>
      </w:r>
      <w:r w:rsidRPr="00006D3A">
        <w:rPr>
          <w:rFonts w:ascii="Verdana" w:hAnsi="Verdana" w:cs="Arial"/>
        </w:rPr>
        <w:t>el</w:t>
      </w:r>
      <w:r w:rsidRPr="00006D3A">
        <w:rPr>
          <w:rFonts w:ascii="Verdana" w:hAnsi="Verdana" w:cs="Arial"/>
          <w:spacing w:val="-4"/>
        </w:rPr>
        <w:t xml:space="preserve"> </w:t>
      </w:r>
      <w:r w:rsidRPr="00006D3A">
        <w:rPr>
          <w:rFonts w:ascii="Verdana" w:hAnsi="Verdana" w:cs="Arial"/>
        </w:rPr>
        <w:t>numeral</w:t>
      </w:r>
      <w:r w:rsidRPr="00006D3A">
        <w:rPr>
          <w:rFonts w:ascii="Verdana" w:hAnsi="Verdana" w:cs="Arial"/>
          <w:spacing w:val="-4"/>
        </w:rPr>
        <w:t xml:space="preserve"> </w:t>
      </w:r>
      <w:r w:rsidRPr="00006D3A">
        <w:rPr>
          <w:rFonts w:ascii="Verdana" w:hAnsi="Verdana" w:cs="Arial"/>
        </w:rPr>
        <w:t>6.3</w:t>
      </w:r>
      <w:r w:rsidRPr="00006D3A">
        <w:rPr>
          <w:rFonts w:ascii="Verdana" w:hAnsi="Verdana" w:cs="Arial"/>
          <w:spacing w:val="-5"/>
        </w:rPr>
        <w:t xml:space="preserve"> </w:t>
      </w:r>
      <w:r w:rsidRPr="00006D3A">
        <w:rPr>
          <w:rFonts w:ascii="Verdana" w:hAnsi="Verdana" w:cs="Arial"/>
        </w:rPr>
        <w:t>de</w:t>
      </w:r>
      <w:r w:rsidRPr="00006D3A">
        <w:rPr>
          <w:rFonts w:ascii="Verdana" w:hAnsi="Verdana" w:cs="Arial"/>
          <w:spacing w:val="-4"/>
        </w:rPr>
        <w:t xml:space="preserve"> </w:t>
      </w:r>
      <w:r w:rsidRPr="00006D3A">
        <w:rPr>
          <w:rFonts w:ascii="Verdana" w:hAnsi="Verdana" w:cs="Arial"/>
        </w:rPr>
        <w:t>la</w:t>
      </w:r>
      <w:r w:rsidRPr="00006D3A">
        <w:rPr>
          <w:rFonts w:ascii="Verdana" w:hAnsi="Verdana" w:cs="Arial"/>
          <w:spacing w:val="-4"/>
        </w:rPr>
        <w:t xml:space="preserve"> </w:t>
      </w:r>
      <w:r w:rsidRPr="00006D3A">
        <w:rPr>
          <w:rFonts w:ascii="Verdana" w:hAnsi="Verdana" w:cs="Arial"/>
        </w:rPr>
        <w:t>Ley</w:t>
      </w:r>
      <w:r w:rsidRPr="00006D3A">
        <w:rPr>
          <w:rFonts w:ascii="Verdana" w:hAnsi="Verdana" w:cs="Arial"/>
          <w:spacing w:val="-4"/>
        </w:rPr>
        <w:t xml:space="preserve"> </w:t>
      </w:r>
      <w:r w:rsidRPr="00006D3A">
        <w:rPr>
          <w:rFonts w:ascii="Verdana" w:hAnsi="Verdana" w:cs="Arial"/>
        </w:rPr>
        <w:t>1150</w:t>
      </w:r>
      <w:r w:rsidRPr="00006D3A">
        <w:rPr>
          <w:rFonts w:ascii="Verdana" w:hAnsi="Verdana" w:cs="Arial"/>
          <w:spacing w:val="-5"/>
        </w:rPr>
        <w:t xml:space="preserve"> </w:t>
      </w:r>
      <w:r w:rsidRPr="00006D3A">
        <w:rPr>
          <w:rFonts w:ascii="Verdana" w:hAnsi="Verdana" w:cs="Arial"/>
        </w:rPr>
        <w:t>de</w:t>
      </w:r>
      <w:r w:rsidRPr="00006D3A">
        <w:rPr>
          <w:rFonts w:ascii="Verdana" w:hAnsi="Verdana" w:cs="Arial"/>
          <w:spacing w:val="-4"/>
        </w:rPr>
        <w:t xml:space="preserve"> </w:t>
      </w:r>
      <w:r w:rsidRPr="00006D3A">
        <w:rPr>
          <w:rFonts w:ascii="Verdana" w:hAnsi="Verdana" w:cs="Arial"/>
        </w:rPr>
        <w:t>2007, la cámara de comercio, verificada la información aportada por el proponente, publicará el acto de inscripción del RUP. Contra dicho acto cualquier</w:t>
      </w:r>
      <w:r w:rsidRPr="00006D3A">
        <w:rPr>
          <w:rFonts w:ascii="Verdana" w:hAnsi="Verdana" w:cs="Arial"/>
          <w:spacing w:val="1"/>
        </w:rPr>
        <w:t xml:space="preserve"> </w:t>
      </w:r>
      <w:r w:rsidRPr="00006D3A">
        <w:rPr>
          <w:rFonts w:ascii="Verdana" w:hAnsi="Verdana" w:cs="Arial"/>
        </w:rPr>
        <w:t>persona podrá interponer recurso de reposición dentro de los diez (10) días hábiles</w:t>
      </w:r>
      <w:r w:rsidRPr="00006D3A">
        <w:rPr>
          <w:rFonts w:ascii="Verdana" w:hAnsi="Verdana" w:cs="Arial"/>
          <w:spacing w:val="1"/>
        </w:rPr>
        <w:t xml:space="preserve"> </w:t>
      </w:r>
      <w:r w:rsidRPr="00006D3A">
        <w:rPr>
          <w:rFonts w:ascii="Verdana" w:hAnsi="Verdana" w:cs="Arial"/>
        </w:rPr>
        <w:t>siguientes</w:t>
      </w:r>
      <w:r w:rsidRPr="00006D3A">
        <w:rPr>
          <w:rFonts w:ascii="Verdana" w:hAnsi="Verdana" w:cs="Arial"/>
          <w:spacing w:val="1"/>
        </w:rPr>
        <w:t xml:space="preserve"> </w:t>
      </w:r>
      <w:r w:rsidRPr="00006D3A">
        <w:rPr>
          <w:rFonts w:ascii="Verdana" w:hAnsi="Verdana" w:cs="Arial"/>
        </w:rPr>
        <w:t>contados</w:t>
      </w:r>
      <w:r w:rsidRPr="00006D3A">
        <w:rPr>
          <w:rFonts w:ascii="Verdana" w:hAnsi="Verdana" w:cs="Arial"/>
          <w:spacing w:val="1"/>
        </w:rPr>
        <w:t xml:space="preserve"> </w:t>
      </w:r>
      <w:r w:rsidRPr="00006D3A">
        <w:rPr>
          <w:rFonts w:ascii="Verdana" w:hAnsi="Verdana" w:cs="Arial"/>
        </w:rPr>
        <w:t>a</w:t>
      </w:r>
      <w:r w:rsidRPr="00006D3A">
        <w:rPr>
          <w:rFonts w:ascii="Verdana" w:hAnsi="Verdana" w:cs="Arial"/>
          <w:spacing w:val="1"/>
        </w:rPr>
        <w:t xml:space="preserve"> </w:t>
      </w:r>
      <w:r w:rsidRPr="00006D3A">
        <w:rPr>
          <w:rFonts w:ascii="Verdana" w:hAnsi="Verdana" w:cs="Arial"/>
        </w:rPr>
        <w:t>partir</w:t>
      </w:r>
      <w:r w:rsidRPr="00006D3A">
        <w:rPr>
          <w:rFonts w:ascii="Verdana" w:hAnsi="Verdana" w:cs="Arial"/>
          <w:spacing w:val="1"/>
        </w:rPr>
        <w:t xml:space="preserve"> </w:t>
      </w:r>
      <w:r w:rsidRPr="00006D3A">
        <w:rPr>
          <w:rFonts w:ascii="Verdana" w:hAnsi="Verdana" w:cs="Arial"/>
        </w:rPr>
        <w:t>de</w:t>
      </w:r>
      <w:r w:rsidRPr="00006D3A">
        <w:rPr>
          <w:rFonts w:ascii="Verdana" w:hAnsi="Verdana" w:cs="Arial"/>
          <w:spacing w:val="1"/>
        </w:rPr>
        <w:t xml:space="preserve"> </w:t>
      </w:r>
      <w:r w:rsidRPr="00006D3A">
        <w:rPr>
          <w:rFonts w:ascii="Verdana" w:hAnsi="Verdana" w:cs="Arial"/>
        </w:rPr>
        <w:t>su</w:t>
      </w:r>
      <w:r w:rsidRPr="00006D3A">
        <w:rPr>
          <w:rFonts w:ascii="Verdana" w:hAnsi="Verdana" w:cs="Arial"/>
          <w:spacing w:val="1"/>
        </w:rPr>
        <w:t xml:space="preserve"> </w:t>
      </w:r>
      <w:r w:rsidRPr="00006D3A">
        <w:rPr>
          <w:rFonts w:ascii="Verdana" w:hAnsi="Verdana" w:cs="Arial"/>
        </w:rPr>
        <w:t>publicación</w:t>
      </w:r>
      <w:r w:rsidRPr="00006D3A">
        <w:rPr>
          <w:rFonts w:ascii="Verdana" w:hAnsi="Verdana" w:cs="Arial"/>
          <w:spacing w:val="1"/>
        </w:rPr>
        <w:t xml:space="preserve"> </w:t>
      </w:r>
      <w:r w:rsidRPr="00006D3A">
        <w:rPr>
          <w:rFonts w:ascii="Verdana" w:hAnsi="Verdana" w:cs="Arial"/>
        </w:rPr>
        <w:t>–posibilidad</w:t>
      </w:r>
      <w:r w:rsidRPr="00006D3A">
        <w:rPr>
          <w:rFonts w:ascii="Verdana" w:hAnsi="Verdana" w:cs="Arial"/>
          <w:spacing w:val="1"/>
        </w:rPr>
        <w:t xml:space="preserve"> </w:t>
      </w:r>
      <w:r w:rsidRPr="00006D3A">
        <w:rPr>
          <w:rFonts w:ascii="Verdana" w:hAnsi="Verdana" w:cs="Arial"/>
        </w:rPr>
        <w:t>aplicable</w:t>
      </w:r>
      <w:r w:rsidRPr="00006D3A">
        <w:rPr>
          <w:rFonts w:ascii="Verdana" w:hAnsi="Verdana" w:cs="Arial"/>
          <w:spacing w:val="1"/>
        </w:rPr>
        <w:t xml:space="preserve"> </w:t>
      </w:r>
      <w:r w:rsidRPr="00006D3A">
        <w:rPr>
          <w:rFonts w:ascii="Verdana" w:hAnsi="Verdana" w:cs="Arial"/>
        </w:rPr>
        <w:t>frente</w:t>
      </w:r>
      <w:r w:rsidRPr="00006D3A">
        <w:rPr>
          <w:rFonts w:ascii="Verdana" w:hAnsi="Verdana" w:cs="Arial"/>
          <w:spacing w:val="1"/>
        </w:rPr>
        <w:t xml:space="preserve"> </w:t>
      </w:r>
      <w:r w:rsidRPr="00006D3A">
        <w:rPr>
          <w:rFonts w:ascii="Verdana" w:hAnsi="Verdana" w:cs="Arial"/>
        </w:rPr>
        <w:t>a</w:t>
      </w:r>
      <w:r w:rsidRPr="00006D3A">
        <w:rPr>
          <w:rFonts w:ascii="Verdana" w:hAnsi="Verdana" w:cs="Arial"/>
          <w:spacing w:val="1"/>
        </w:rPr>
        <w:t xml:space="preserve"> </w:t>
      </w:r>
      <w:r w:rsidRPr="00006D3A">
        <w:rPr>
          <w:rFonts w:ascii="Verdana" w:hAnsi="Verdana" w:cs="Arial"/>
        </w:rPr>
        <w:t>la</w:t>
      </w:r>
      <w:r w:rsidRPr="00006D3A">
        <w:rPr>
          <w:rFonts w:ascii="Verdana" w:hAnsi="Verdana" w:cs="Arial"/>
          <w:spacing w:val="1"/>
        </w:rPr>
        <w:t xml:space="preserve"> </w:t>
      </w:r>
      <w:r w:rsidRPr="00006D3A">
        <w:rPr>
          <w:rFonts w:ascii="Verdana" w:hAnsi="Verdana" w:cs="Arial"/>
          <w:i/>
        </w:rPr>
        <w:t>inscripción, renovación o actualización–</w:t>
      </w:r>
      <w:bookmarkEnd w:id="4"/>
      <w:r w:rsidRPr="00006D3A">
        <w:rPr>
          <w:rStyle w:val="Refdenotaalpie"/>
          <w:rFonts w:ascii="Verdana" w:hAnsi="Verdana" w:cs="Arial"/>
          <w:iCs/>
        </w:rPr>
        <w:footnoteReference w:id="12"/>
      </w:r>
      <w:r w:rsidRPr="00006D3A">
        <w:rPr>
          <w:rFonts w:ascii="Verdana" w:hAnsi="Verdana" w:cs="Arial"/>
        </w:rPr>
        <w:t xml:space="preserve">. </w:t>
      </w:r>
      <w:bookmarkEnd w:id="5"/>
      <w:r w:rsidRPr="00006D3A">
        <w:rPr>
          <w:rFonts w:ascii="Verdana" w:hAnsi="Verdana" w:cs="Arial"/>
        </w:rPr>
        <w:t xml:space="preserve">En firme el acto administrativo que </w:t>
      </w:r>
      <w:r w:rsidRPr="00006D3A">
        <w:rPr>
          <w:rFonts w:ascii="Verdana" w:hAnsi="Verdana" w:cs="Arial"/>
        </w:rPr>
        <w:t>realiza la</w:t>
      </w:r>
      <w:r w:rsidRPr="00006D3A">
        <w:rPr>
          <w:rFonts w:ascii="Verdana" w:hAnsi="Verdana" w:cs="Arial"/>
          <w:spacing w:val="1"/>
        </w:rPr>
        <w:t xml:space="preserve"> </w:t>
      </w:r>
      <w:r w:rsidRPr="00006D3A">
        <w:rPr>
          <w:rFonts w:ascii="Verdana" w:hAnsi="Verdana" w:cs="Arial"/>
        </w:rPr>
        <w:t>inscripción</w:t>
      </w:r>
      <w:r w:rsidRPr="00006D3A">
        <w:rPr>
          <w:rFonts w:ascii="Verdana" w:hAnsi="Verdana" w:cs="Arial"/>
          <w:spacing w:val="-8"/>
        </w:rPr>
        <w:t xml:space="preserve"> </w:t>
      </w:r>
      <w:r w:rsidRPr="00006D3A">
        <w:rPr>
          <w:rFonts w:ascii="Verdana" w:hAnsi="Verdana" w:cs="Arial"/>
        </w:rPr>
        <w:t>en</w:t>
      </w:r>
      <w:r w:rsidRPr="00006D3A">
        <w:rPr>
          <w:rFonts w:ascii="Verdana" w:hAnsi="Verdana" w:cs="Arial"/>
          <w:spacing w:val="-9"/>
        </w:rPr>
        <w:t xml:space="preserve"> </w:t>
      </w:r>
      <w:r w:rsidRPr="00006D3A">
        <w:rPr>
          <w:rFonts w:ascii="Verdana" w:hAnsi="Verdana" w:cs="Arial"/>
        </w:rPr>
        <w:t>el</w:t>
      </w:r>
      <w:r w:rsidRPr="00006D3A">
        <w:rPr>
          <w:rFonts w:ascii="Verdana" w:hAnsi="Verdana" w:cs="Arial"/>
          <w:spacing w:val="-9"/>
        </w:rPr>
        <w:t xml:space="preserve"> </w:t>
      </w:r>
      <w:r w:rsidRPr="00006D3A">
        <w:rPr>
          <w:rFonts w:ascii="Verdana" w:hAnsi="Verdana" w:cs="Arial"/>
        </w:rPr>
        <w:t>RUP</w:t>
      </w:r>
      <w:r w:rsidRPr="00006D3A">
        <w:rPr>
          <w:rFonts w:ascii="Verdana" w:hAnsi="Verdana" w:cs="Arial"/>
          <w:spacing w:val="-7"/>
        </w:rPr>
        <w:t xml:space="preserve"> </w:t>
      </w:r>
      <w:r w:rsidRPr="00006D3A">
        <w:rPr>
          <w:rFonts w:ascii="Verdana" w:hAnsi="Verdana" w:cs="Arial"/>
        </w:rPr>
        <w:t>se</w:t>
      </w:r>
      <w:r w:rsidRPr="00006D3A">
        <w:rPr>
          <w:rFonts w:ascii="Verdana" w:hAnsi="Verdana" w:cs="Arial"/>
          <w:spacing w:val="-9"/>
        </w:rPr>
        <w:t xml:space="preserve"> </w:t>
      </w:r>
      <w:r w:rsidRPr="00006D3A">
        <w:rPr>
          <w:rFonts w:ascii="Verdana" w:hAnsi="Verdana" w:cs="Arial"/>
        </w:rPr>
        <w:t>podrá</w:t>
      </w:r>
      <w:r w:rsidRPr="00006D3A">
        <w:rPr>
          <w:rFonts w:ascii="Verdana" w:hAnsi="Verdana" w:cs="Arial"/>
          <w:spacing w:val="-9"/>
        </w:rPr>
        <w:t xml:space="preserve"> </w:t>
      </w:r>
      <w:r w:rsidRPr="00006D3A">
        <w:rPr>
          <w:rFonts w:ascii="Verdana" w:hAnsi="Verdana" w:cs="Arial"/>
        </w:rPr>
        <w:t>demandar</w:t>
      </w:r>
      <w:r w:rsidRPr="00006D3A">
        <w:rPr>
          <w:rFonts w:ascii="Verdana" w:hAnsi="Verdana" w:cs="Arial"/>
          <w:spacing w:val="-9"/>
        </w:rPr>
        <w:t xml:space="preserve"> </w:t>
      </w:r>
      <w:r w:rsidRPr="00006D3A">
        <w:rPr>
          <w:rFonts w:ascii="Verdana" w:hAnsi="Verdana" w:cs="Arial"/>
        </w:rPr>
        <w:t>su</w:t>
      </w:r>
      <w:r w:rsidRPr="00006D3A">
        <w:rPr>
          <w:rFonts w:ascii="Verdana" w:hAnsi="Verdana" w:cs="Arial"/>
          <w:spacing w:val="-8"/>
        </w:rPr>
        <w:t xml:space="preserve"> </w:t>
      </w:r>
      <w:r w:rsidRPr="00006D3A">
        <w:rPr>
          <w:rFonts w:ascii="Verdana" w:hAnsi="Verdana" w:cs="Arial"/>
        </w:rPr>
        <w:t>nulidad,</w:t>
      </w:r>
      <w:r w:rsidRPr="00006D3A">
        <w:rPr>
          <w:rFonts w:ascii="Verdana" w:hAnsi="Verdana" w:cs="Arial"/>
          <w:spacing w:val="-9"/>
        </w:rPr>
        <w:t xml:space="preserve"> </w:t>
      </w:r>
      <w:r w:rsidRPr="00006D3A">
        <w:rPr>
          <w:rFonts w:ascii="Verdana" w:hAnsi="Verdana" w:cs="Arial"/>
        </w:rPr>
        <w:t>sin que la</w:t>
      </w:r>
      <w:r w:rsidRPr="00006D3A">
        <w:rPr>
          <w:rFonts w:ascii="Verdana" w:hAnsi="Verdana" w:cs="Arial"/>
          <w:spacing w:val="-9"/>
        </w:rPr>
        <w:t xml:space="preserve"> </w:t>
      </w:r>
      <w:r w:rsidRPr="00006D3A">
        <w:rPr>
          <w:rFonts w:ascii="Verdana" w:hAnsi="Verdana" w:cs="Arial"/>
        </w:rPr>
        <w:t>presentación</w:t>
      </w:r>
      <w:r w:rsidRPr="00006D3A">
        <w:rPr>
          <w:rFonts w:ascii="Verdana" w:hAnsi="Verdana" w:cs="Arial"/>
          <w:spacing w:val="-2"/>
        </w:rPr>
        <w:t xml:space="preserve"> </w:t>
      </w:r>
      <w:r w:rsidRPr="00006D3A">
        <w:rPr>
          <w:rFonts w:ascii="Verdana" w:hAnsi="Verdana" w:cs="Arial"/>
        </w:rPr>
        <w:t>de</w:t>
      </w:r>
      <w:r w:rsidRPr="00006D3A">
        <w:rPr>
          <w:rFonts w:ascii="Verdana" w:hAnsi="Verdana" w:cs="Arial"/>
          <w:spacing w:val="-2"/>
        </w:rPr>
        <w:t xml:space="preserve"> </w:t>
      </w:r>
      <w:r w:rsidRPr="00006D3A">
        <w:rPr>
          <w:rFonts w:ascii="Verdana" w:hAnsi="Verdana" w:cs="Arial"/>
        </w:rPr>
        <w:t>la</w:t>
      </w:r>
      <w:r w:rsidRPr="00006D3A">
        <w:rPr>
          <w:rFonts w:ascii="Verdana" w:hAnsi="Verdana" w:cs="Arial"/>
          <w:spacing w:val="-2"/>
        </w:rPr>
        <w:t xml:space="preserve"> </w:t>
      </w:r>
      <w:r w:rsidRPr="00006D3A">
        <w:rPr>
          <w:rFonts w:ascii="Verdana" w:hAnsi="Verdana" w:cs="Arial"/>
        </w:rPr>
        <w:t>demanda</w:t>
      </w:r>
      <w:r w:rsidRPr="00006D3A">
        <w:rPr>
          <w:rFonts w:ascii="Verdana" w:hAnsi="Verdana" w:cs="Arial"/>
          <w:spacing w:val="-1"/>
        </w:rPr>
        <w:t xml:space="preserve"> </w:t>
      </w:r>
      <w:r w:rsidRPr="00006D3A">
        <w:rPr>
          <w:rFonts w:ascii="Verdana" w:hAnsi="Verdana" w:cs="Arial"/>
        </w:rPr>
        <w:t>suspenda</w:t>
      </w:r>
      <w:r w:rsidRPr="00006D3A">
        <w:rPr>
          <w:rFonts w:ascii="Verdana" w:hAnsi="Verdana" w:cs="Arial"/>
          <w:spacing w:val="-2"/>
        </w:rPr>
        <w:t xml:space="preserve"> </w:t>
      </w:r>
      <w:r w:rsidRPr="00006D3A">
        <w:rPr>
          <w:rFonts w:ascii="Verdana" w:hAnsi="Verdana" w:cs="Arial"/>
        </w:rPr>
        <w:t>la</w:t>
      </w:r>
      <w:r w:rsidRPr="00006D3A">
        <w:rPr>
          <w:rFonts w:ascii="Verdana" w:hAnsi="Verdana" w:cs="Arial"/>
          <w:spacing w:val="-2"/>
        </w:rPr>
        <w:t xml:space="preserve"> </w:t>
      </w:r>
      <w:r w:rsidRPr="00006D3A">
        <w:rPr>
          <w:rFonts w:ascii="Verdana" w:hAnsi="Verdana" w:cs="Arial"/>
        </w:rPr>
        <w:t>inscripción</w:t>
      </w:r>
      <w:r w:rsidRPr="00006D3A">
        <w:rPr>
          <w:rFonts w:ascii="Verdana" w:hAnsi="Verdana" w:cs="Arial"/>
          <w:spacing w:val="-2"/>
        </w:rPr>
        <w:t xml:space="preserve"> </w:t>
      </w:r>
      <w:r w:rsidRPr="00006D3A">
        <w:rPr>
          <w:rFonts w:ascii="Verdana" w:hAnsi="Verdana" w:cs="Arial"/>
        </w:rPr>
        <w:t>del registro.</w:t>
      </w:r>
    </w:p>
    <w:p w:rsidRPr="00392E37" w:rsidR="003E1B03" w:rsidP="003E1B03" w:rsidRDefault="003E1B03" w14:paraId="069DAE97" w14:textId="77777777">
      <w:pPr>
        <w:spacing w:after="0" w:line="276" w:lineRule="auto"/>
        <w:contextualSpacing/>
        <w:jc w:val="both"/>
        <w:rPr>
          <w:rFonts w:ascii="Verdana" w:hAnsi="Verdana" w:cs="Arial"/>
          <w:b/>
          <w:lang w:val="es-ES" w:eastAsia="es-ES_tradnl"/>
        </w:rPr>
      </w:pPr>
      <w:r>
        <w:rPr>
          <w:rFonts w:ascii="Verdana" w:hAnsi="Verdana" w:cs="Arial"/>
        </w:rPr>
        <w:t xml:space="preserve">ii. </w:t>
      </w:r>
      <w:r w:rsidRPr="00392E37">
        <w:rPr>
          <w:rFonts w:ascii="Verdana" w:hAnsi="Verdana" w:cs="Arial"/>
        </w:rPr>
        <w:t xml:space="preserve">De otro lado, el artículo 2.2.1.1.1.5.1. del Decreto 1082 de 2015 señala que las personas inscritas en el RUP </w:t>
      </w:r>
      <w:r w:rsidRPr="00392E37">
        <w:rPr>
          <w:rFonts w:ascii="Verdana" w:hAnsi="Verdana" w:cs="Arial"/>
          <w:i/>
          <w:iCs/>
        </w:rPr>
        <w:t>deben presentar la información para renovar su registro a más tardar el quinto día hábil del mes de abril de cada año</w:t>
      </w:r>
      <w:r w:rsidRPr="00392E37">
        <w:rPr>
          <w:rFonts w:ascii="Verdana" w:hAnsi="Verdana" w:cs="Arial"/>
        </w:rPr>
        <w:t>, de lo contrario cesan los efectos del RUP</w:t>
      </w:r>
      <w:r w:rsidRPr="00392E37">
        <w:rPr>
          <w:rStyle w:val="Refdenotaalpie"/>
          <w:rFonts w:ascii="Verdana" w:hAnsi="Verdana" w:cs="Arial"/>
        </w:rPr>
        <w:footnoteReference w:id="13"/>
      </w:r>
      <w:r>
        <w:rPr>
          <w:rFonts w:ascii="Verdana" w:hAnsi="Verdana" w:cs="Arial"/>
        </w:rPr>
        <w:t>. S</w:t>
      </w:r>
      <w:r w:rsidRPr="00392E37">
        <w:rPr>
          <w:rFonts w:ascii="Verdana" w:hAnsi="Verdana" w:cs="Arial"/>
        </w:rPr>
        <w:t>in perjuicio de lo indicado, para el año 2020, conforme al Decreto Legislativo 434 de 2020, debió entenderse a más tardar el quinto día hábil del mes de julio de 2020. El Consejo de Estado, en sentencia del 19 de septiembre de 2019, señaló la finalidad de la renovación del RUP y las consecuencias de no hacerlo en el término previsto</w:t>
      </w:r>
      <w:r>
        <w:rPr>
          <w:rFonts w:ascii="Verdana" w:hAnsi="Verdana" w:cs="Arial"/>
        </w:rPr>
        <w:t>, así</w:t>
      </w:r>
      <w:r w:rsidRPr="00392E37">
        <w:rPr>
          <w:rFonts w:ascii="Verdana" w:hAnsi="Verdana" w:cs="Arial"/>
        </w:rPr>
        <w:t>:</w:t>
      </w:r>
    </w:p>
    <w:p w:rsidRPr="00392E37" w:rsidR="003E1B03" w:rsidP="003E1B03" w:rsidRDefault="003E1B03" w14:paraId="6A3F8370" w14:textId="77777777">
      <w:pPr>
        <w:spacing w:after="0" w:line="276" w:lineRule="auto"/>
        <w:contextualSpacing/>
        <w:jc w:val="both"/>
        <w:rPr>
          <w:rFonts w:ascii="Verdana" w:hAnsi="Verdana" w:cs="Arial"/>
        </w:rPr>
      </w:pPr>
    </w:p>
    <w:p w:rsidRPr="007D7696" w:rsidR="003E1B03" w:rsidP="003E1B03" w:rsidRDefault="003E1B03" w14:paraId="21A23C73" w14:textId="77777777">
      <w:pPr>
        <w:widowControl w:val="0"/>
        <w:autoSpaceDE w:val="0"/>
        <w:autoSpaceDN w:val="0"/>
        <w:spacing w:after="0" w:line="240" w:lineRule="auto"/>
        <w:ind w:left="709" w:right="709"/>
        <w:contextualSpacing/>
        <w:jc w:val="both"/>
        <w:rPr>
          <w:rFonts w:ascii="Verdana" w:hAnsi="Verdana" w:eastAsia="Arial MT" w:cs="Arial"/>
          <w:sz w:val="20"/>
          <w:szCs w:val="20"/>
          <w:lang w:val="es-ES"/>
        </w:rPr>
      </w:pPr>
      <w:r w:rsidRPr="007D7696">
        <w:rPr>
          <w:rFonts w:ascii="Verdana" w:hAnsi="Verdana" w:eastAsia="Arial MT" w:cs="Arial"/>
          <w:sz w:val="20"/>
          <w:szCs w:val="20"/>
          <w:lang w:val="es-ES"/>
        </w:rPr>
        <w:t>Al respecto, no puede perderse de vista que la finalidad principal de la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renovación del RUP, al margen de que con ese acto se nutra del registro de</w:t>
      </w:r>
      <w:r w:rsidRPr="007D7696">
        <w:rPr>
          <w:rFonts w:ascii="Verdana" w:hAnsi="Verdana" w:eastAsia="Arial MT" w:cs="Arial"/>
          <w:spacing w:val="-56"/>
          <w:sz w:val="20"/>
          <w:szCs w:val="20"/>
          <w:lang w:val="es-ES"/>
        </w:rPr>
        <w:t xml:space="preserve"> </w:t>
      </w:r>
      <w:r w:rsidRPr="007D7696">
        <w:rPr>
          <w:rFonts w:ascii="Verdana" w:hAnsi="Verdana" w:eastAsia="Arial MT" w:cs="Arial"/>
          <w:sz w:val="20"/>
          <w:szCs w:val="20"/>
          <w:lang w:val="es-ES"/>
        </w:rPr>
        <w:t>nueva</w:t>
      </w:r>
      <w:r w:rsidRPr="007D7696">
        <w:rPr>
          <w:rFonts w:ascii="Verdana" w:hAnsi="Verdana" w:eastAsia="Arial MT" w:cs="Arial"/>
          <w:spacing w:val="-6"/>
          <w:sz w:val="20"/>
          <w:szCs w:val="20"/>
          <w:lang w:val="es-ES"/>
        </w:rPr>
        <w:t xml:space="preserve"> </w:t>
      </w:r>
      <w:r w:rsidRPr="007D7696">
        <w:rPr>
          <w:rFonts w:ascii="Verdana" w:hAnsi="Verdana" w:eastAsia="Arial MT" w:cs="Arial"/>
          <w:sz w:val="20"/>
          <w:szCs w:val="20"/>
          <w:lang w:val="es-ES"/>
        </w:rPr>
        <w:t>información,</w:t>
      </w:r>
      <w:r w:rsidRPr="007D7696">
        <w:rPr>
          <w:rFonts w:ascii="Verdana" w:hAnsi="Verdana" w:eastAsia="Arial MT" w:cs="Arial"/>
          <w:spacing w:val="-4"/>
          <w:sz w:val="20"/>
          <w:szCs w:val="20"/>
          <w:lang w:val="es-ES"/>
        </w:rPr>
        <w:t xml:space="preserve"> </w:t>
      </w:r>
      <w:r w:rsidRPr="007D7696">
        <w:rPr>
          <w:rFonts w:ascii="Verdana" w:hAnsi="Verdana" w:eastAsia="Arial MT" w:cs="Arial"/>
          <w:sz w:val="20"/>
          <w:szCs w:val="20"/>
          <w:lang w:val="es-ES"/>
        </w:rPr>
        <w:t>es</w:t>
      </w:r>
      <w:r w:rsidRPr="007D7696">
        <w:rPr>
          <w:rFonts w:ascii="Verdana" w:hAnsi="Verdana" w:eastAsia="Arial MT" w:cs="Arial"/>
          <w:spacing w:val="-5"/>
          <w:sz w:val="20"/>
          <w:szCs w:val="20"/>
          <w:lang w:val="es-ES"/>
        </w:rPr>
        <w:t xml:space="preserve"> </w:t>
      </w:r>
      <w:r w:rsidRPr="007D7696">
        <w:rPr>
          <w:rFonts w:ascii="Verdana" w:hAnsi="Verdana" w:eastAsia="Arial MT" w:cs="Arial"/>
          <w:sz w:val="20"/>
          <w:szCs w:val="20"/>
          <w:lang w:val="es-ES"/>
        </w:rPr>
        <w:t>conservar</w:t>
      </w:r>
      <w:r w:rsidRPr="007D7696">
        <w:rPr>
          <w:rFonts w:ascii="Verdana" w:hAnsi="Verdana" w:eastAsia="Arial MT" w:cs="Arial"/>
          <w:spacing w:val="-5"/>
          <w:sz w:val="20"/>
          <w:szCs w:val="20"/>
          <w:lang w:val="es-ES"/>
        </w:rPr>
        <w:t xml:space="preserve"> </w:t>
      </w:r>
      <w:r w:rsidRPr="007D7696">
        <w:rPr>
          <w:rFonts w:ascii="Verdana" w:hAnsi="Verdana" w:eastAsia="Arial MT" w:cs="Arial"/>
          <w:sz w:val="20"/>
          <w:szCs w:val="20"/>
          <w:lang w:val="es-ES"/>
        </w:rPr>
        <w:t>su</w:t>
      </w:r>
      <w:r w:rsidRPr="007D7696">
        <w:rPr>
          <w:rFonts w:ascii="Verdana" w:hAnsi="Verdana" w:eastAsia="Arial MT" w:cs="Arial"/>
          <w:spacing w:val="-5"/>
          <w:sz w:val="20"/>
          <w:szCs w:val="20"/>
          <w:lang w:val="es-ES"/>
        </w:rPr>
        <w:t xml:space="preserve"> </w:t>
      </w:r>
      <w:r w:rsidRPr="007D7696">
        <w:rPr>
          <w:rFonts w:ascii="Verdana" w:hAnsi="Verdana" w:eastAsia="Arial MT" w:cs="Arial"/>
          <w:sz w:val="20"/>
          <w:szCs w:val="20"/>
          <w:lang w:val="es-ES"/>
        </w:rPr>
        <w:t>vigencia,</w:t>
      </w:r>
      <w:r w:rsidRPr="007D7696">
        <w:rPr>
          <w:rFonts w:ascii="Verdana" w:hAnsi="Verdana" w:eastAsia="Arial MT" w:cs="Arial"/>
          <w:spacing w:val="-5"/>
          <w:sz w:val="20"/>
          <w:szCs w:val="20"/>
          <w:lang w:val="es-ES"/>
        </w:rPr>
        <w:t xml:space="preserve"> </w:t>
      </w:r>
      <w:r w:rsidRPr="007D7696">
        <w:rPr>
          <w:rFonts w:ascii="Verdana" w:hAnsi="Verdana" w:eastAsia="Arial MT" w:cs="Arial"/>
          <w:sz w:val="20"/>
          <w:szCs w:val="20"/>
          <w:lang w:val="es-ES"/>
        </w:rPr>
        <w:t>propósito</w:t>
      </w:r>
      <w:r w:rsidRPr="007D7696">
        <w:rPr>
          <w:rFonts w:ascii="Verdana" w:hAnsi="Verdana" w:eastAsia="Arial MT" w:cs="Arial"/>
          <w:spacing w:val="-5"/>
          <w:sz w:val="20"/>
          <w:szCs w:val="20"/>
          <w:lang w:val="es-ES"/>
        </w:rPr>
        <w:t xml:space="preserve"> </w:t>
      </w:r>
      <w:r w:rsidRPr="007D7696">
        <w:rPr>
          <w:rFonts w:ascii="Verdana" w:hAnsi="Verdana" w:eastAsia="Arial MT" w:cs="Arial"/>
          <w:sz w:val="20"/>
          <w:szCs w:val="20"/>
          <w:lang w:val="es-ES"/>
        </w:rPr>
        <w:t>que,</w:t>
      </w:r>
      <w:r w:rsidRPr="007D7696">
        <w:rPr>
          <w:rFonts w:ascii="Verdana" w:hAnsi="Verdana" w:eastAsia="Arial MT" w:cs="Arial"/>
          <w:spacing w:val="-5"/>
          <w:sz w:val="20"/>
          <w:szCs w:val="20"/>
          <w:lang w:val="es-ES"/>
        </w:rPr>
        <w:t xml:space="preserve"> </w:t>
      </w:r>
      <w:r w:rsidRPr="007D7696">
        <w:rPr>
          <w:rFonts w:ascii="Verdana" w:hAnsi="Verdana" w:eastAsia="Arial MT" w:cs="Arial"/>
          <w:sz w:val="20"/>
          <w:szCs w:val="20"/>
          <w:lang w:val="es-ES"/>
        </w:rPr>
        <w:t>de</w:t>
      </w:r>
      <w:r w:rsidRPr="007D7696">
        <w:rPr>
          <w:rFonts w:ascii="Verdana" w:hAnsi="Verdana" w:eastAsia="Arial MT" w:cs="Arial"/>
          <w:spacing w:val="-5"/>
          <w:sz w:val="20"/>
          <w:szCs w:val="20"/>
          <w:lang w:val="es-ES"/>
        </w:rPr>
        <w:t xml:space="preserve"> </w:t>
      </w:r>
      <w:r w:rsidRPr="007D7696">
        <w:rPr>
          <w:rFonts w:ascii="Verdana" w:hAnsi="Verdana" w:eastAsia="Arial MT" w:cs="Arial"/>
          <w:sz w:val="20"/>
          <w:szCs w:val="20"/>
          <w:lang w:val="es-ES"/>
        </w:rPr>
        <w:t>acuerdo con el</w:t>
      </w:r>
      <w:r w:rsidRPr="007D7696">
        <w:rPr>
          <w:rFonts w:ascii="Verdana" w:hAnsi="Verdana" w:eastAsia="Arial MT" w:cs="Arial"/>
          <w:spacing w:val="-4"/>
          <w:sz w:val="20"/>
          <w:szCs w:val="20"/>
          <w:lang w:val="es-ES"/>
        </w:rPr>
        <w:t xml:space="preserve"> </w:t>
      </w:r>
      <w:r w:rsidRPr="007D7696">
        <w:rPr>
          <w:rFonts w:ascii="Verdana" w:hAnsi="Verdana" w:eastAsia="Arial MT" w:cs="Arial"/>
          <w:sz w:val="20"/>
          <w:szCs w:val="20"/>
          <w:lang w:val="es-ES"/>
        </w:rPr>
        <w:t>artículo 8 del Decreto 1510 de 2013, solo ha de cumplirse si el mismo se</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realiza dentro del plazo allí establecido, comprendido entre el 1 de enero</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hasta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el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quinto</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día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hábil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del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mes</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de</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abril.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En</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defecto,</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la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disposición</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reglamentaria establece como consecuencia la cesación de los efectos del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RUP.</w:t>
      </w:r>
    </w:p>
    <w:p w:rsidRPr="007D7696" w:rsidR="003E1B03" w:rsidP="003E1B03" w:rsidRDefault="003E1B03" w14:paraId="67F5DCAB" w14:textId="77777777">
      <w:pPr>
        <w:widowControl w:val="0"/>
        <w:autoSpaceDE w:val="0"/>
        <w:autoSpaceDN w:val="0"/>
        <w:spacing w:after="0" w:line="240" w:lineRule="auto"/>
        <w:ind w:left="709" w:right="709"/>
        <w:contextualSpacing/>
        <w:rPr>
          <w:rFonts w:ascii="Verdana" w:hAnsi="Verdana" w:eastAsia="Arial MT" w:cs="Arial"/>
          <w:sz w:val="20"/>
          <w:szCs w:val="20"/>
          <w:lang w:val="es-ES"/>
        </w:rPr>
      </w:pPr>
    </w:p>
    <w:p w:rsidRPr="007D7696" w:rsidR="003E1B03" w:rsidP="003E1B03" w:rsidRDefault="003E1B03" w14:paraId="5E1F849B" w14:textId="77777777">
      <w:pPr>
        <w:widowControl w:val="0"/>
        <w:autoSpaceDE w:val="0"/>
        <w:autoSpaceDN w:val="0"/>
        <w:spacing w:after="0" w:line="240" w:lineRule="auto"/>
        <w:ind w:left="709" w:right="709"/>
        <w:contextualSpacing/>
        <w:jc w:val="both"/>
        <w:rPr>
          <w:rFonts w:ascii="Verdana" w:hAnsi="Verdana" w:eastAsia="Arial MT" w:cs="Arial"/>
          <w:sz w:val="20"/>
          <w:szCs w:val="20"/>
          <w:lang w:val="es-ES"/>
        </w:rPr>
      </w:pPr>
      <w:r w:rsidRPr="007D7696">
        <w:rPr>
          <w:rFonts w:ascii="Verdana" w:hAnsi="Verdana" w:eastAsia="Arial MT" w:cs="Arial"/>
          <w:i/>
          <w:iCs/>
          <w:sz w:val="20"/>
          <w:szCs w:val="20"/>
          <w:lang w:val="es-ES"/>
        </w:rPr>
        <w:t>Ante ese panorama, el incumplimiento del deber de renovar el RUP en el</w:t>
      </w:r>
      <w:r w:rsidRPr="007D7696">
        <w:rPr>
          <w:rFonts w:ascii="Verdana" w:hAnsi="Verdana" w:eastAsia="Arial MT" w:cs="Arial"/>
          <w:i/>
          <w:iCs/>
          <w:spacing w:val="1"/>
          <w:sz w:val="20"/>
          <w:szCs w:val="20"/>
          <w:lang w:val="es-ES"/>
        </w:rPr>
        <w:t xml:space="preserve"> </w:t>
      </w:r>
      <w:r w:rsidRPr="007D7696">
        <w:rPr>
          <w:rFonts w:ascii="Verdana" w:hAnsi="Verdana" w:eastAsia="Arial MT" w:cs="Arial"/>
          <w:i/>
          <w:iCs/>
          <w:sz w:val="20"/>
          <w:szCs w:val="20"/>
          <w:lang w:val="es-ES"/>
        </w:rPr>
        <w:t>período trae como consecuencia la cesación de efectos respecto de la</w:t>
      </w:r>
      <w:r w:rsidRPr="007D7696">
        <w:rPr>
          <w:rFonts w:ascii="Verdana" w:hAnsi="Verdana" w:eastAsia="Arial MT" w:cs="Arial"/>
          <w:i/>
          <w:iCs/>
          <w:spacing w:val="1"/>
          <w:sz w:val="20"/>
          <w:szCs w:val="20"/>
          <w:lang w:val="es-ES"/>
        </w:rPr>
        <w:t xml:space="preserve"> </w:t>
      </w:r>
      <w:r w:rsidRPr="007D7696">
        <w:rPr>
          <w:rFonts w:ascii="Verdana" w:hAnsi="Verdana" w:eastAsia="Arial MT" w:cs="Arial"/>
          <w:i/>
          <w:iCs/>
          <w:sz w:val="20"/>
          <w:szCs w:val="20"/>
          <w:lang w:val="es-ES"/>
        </w:rPr>
        <w:t>información</w:t>
      </w:r>
      <w:r w:rsidRPr="007D7696">
        <w:rPr>
          <w:rFonts w:ascii="Verdana" w:hAnsi="Verdana" w:eastAsia="Arial MT" w:cs="Arial"/>
          <w:i/>
          <w:iCs/>
          <w:spacing w:val="-8"/>
          <w:sz w:val="20"/>
          <w:szCs w:val="20"/>
          <w:lang w:val="es-ES"/>
        </w:rPr>
        <w:t xml:space="preserve"> </w:t>
      </w:r>
      <w:r w:rsidRPr="007D7696">
        <w:rPr>
          <w:rFonts w:ascii="Verdana" w:hAnsi="Verdana" w:eastAsia="Arial MT" w:cs="Arial"/>
          <w:i/>
          <w:iCs/>
          <w:sz w:val="20"/>
          <w:szCs w:val="20"/>
          <w:lang w:val="es-ES"/>
        </w:rPr>
        <w:t>certificada</w:t>
      </w:r>
      <w:r w:rsidRPr="007D7696">
        <w:rPr>
          <w:rFonts w:ascii="Verdana" w:hAnsi="Verdana" w:eastAsia="Arial MT" w:cs="Arial"/>
          <w:i/>
          <w:iCs/>
          <w:spacing w:val="-8"/>
          <w:sz w:val="20"/>
          <w:szCs w:val="20"/>
          <w:lang w:val="es-ES"/>
        </w:rPr>
        <w:t xml:space="preserve"> </w:t>
      </w:r>
      <w:r w:rsidRPr="007D7696">
        <w:rPr>
          <w:rFonts w:ascii="Verdana" w:hAnsi="Verdana" w:eastAsia="Arial MT" w:cs="Arial"/>
          <w:i/>
          <w:iCs/>
          <w:sz w:val="20"/>
          <w:szCs w:val="20"/>
          <w:lang w:val="es-ES"/>
        </w:rPr>
        <w:t>en</w:t>
      </w:r>
      <w:r w:rsidRPr="007D7696">
        <w:rPr>
          <w:rFonts w:ascii="Verdana" w:hAnsi="Verdana" w:eastAsia="Arial MT" w:cs="Arial"/>
          <w:i/>
          <w:iCs/>
          <w:spacing w:val="-9"/>
          <w:sz w:val="20"/>
          <w:szCs w:val="20"/>
          <w:lang w:val="es-ES"/>
        </w:rPr>
        <w:t xml:space="preserve"> </w:t>
      </w:r>
      <w:r w:rsidRPr="007D7696">
        <w:rPr>
          <w:rFonts w:ascii="Verdana" w:hAnsi="Verdana" w:eastAsia="Arial MT" w:cs="Arial"/>
          <w:i/>
          <w:iCs/>
          <w:sz w:val="20"/>
          <w:szCs w:val="20"/>
          <w:lang w:val="es-ES"/>
        </w:rPr>
        <w:t>ese</w:t>
      </w:r>
      <w:r w:rsidRPr="007D7696">
        <w:rPr>
          <w:rFonts w:ascii="Verdana" w:hAnsi="Verdana" w:eastAsia="Arial MT" w:cs="Arial"/>
          <w:i/>
          <w:iCs/>
          <w:spacing w:val="-8"/>
          <w:sz w:val="20"/>
          <w:szCs w:val="20"/>
          <w:lang w:val="es-ES"/>
        </w:rPr>
        <w:t xml:space="preserve"> </w:t>
      </w:r>
      <w:r w:rsidRPr="007D7696">
        <w:rPr>
          <w:rFonts w:ascii="Verdana" w:hAnsi="Verdana" w:eastAsia="Arial MT" w:cs="Arial"/>
          <w:i/>
          <w:iCs/>
          <w:sz w:val="20"/>
          <w:szCs w:val="20"/>
          <w:lang w:val="es-ES"/>
        </w:rPr>
        <w:t>documento</w:t>
      </w:r>
      <w:r w:rsidRPr="007D7696">
        <w:rPr>
          <w:rFonts w:ascii="Verdana" w:hAnsi="Verdana" w:eastAsia="Arial MT" w:cs="Arial"/>
          <w:spacing w:val="-9"/>
          <w:sz w:val="20"/>
          <w:szCs w:val="20"/>
          <w:lang w:val="es-ES"/>
        </w:rPr>
        <w:t xml:space="preserve"> </w:t>
      </w:r>
      <w:r w:rsidRPr="007D7696">
        <w:rPr>
          <w:rFonts w:ascii="Verdana" w:hAnsi="Verdana" w:eastAsia="Arial MT" w:cs="Arial"/>
          <w:sz w:val="20"/>
          <w:szCs w:val="20"/>
          <w:lang w:val="es-ES"/>
        </w:rPr>
        <w:t>y,</w:t>
      </w:r>
      <w:r w:rsidRPr="007D7696">
        <w:rPr>
          <w:rFonts w:ascii="Verdana" w:hAnsi="Verdana" w:eastAsia="Arial MT" w:cs="Arial"/>
          <w:spacing w:val="-8"/>
          <w:sz w:val="20"/>
          <w:szCs w:val="20"/>
          <w:lang w:val="es-ES"/>
        </w:rPr>
        <w:t xml:space="preserve"> </w:t>
      </w:r>
      <w:r w:rsidRPr="007D7696">
        <w:rPr>
          <w:rFonts w:ascii="Verdana" w:hAnsi="Verdana" w:eastAsia="Arial MT" w:cs="Arial"/>
          <w:sz w:val="20"/>
          <w:szCs w:val="20"/>
          <w:lang w:val="es-ES"/>
        </w:rPr>
        <w:t>por</w:t>
      </w:r>
      <w:r w:rsidRPr="007D7696">
        <w:rPr>
          <w:rFonts w:ascii="Verdana" w:hAnsi="Verdana" w:eastAsia="Arial MT" w:cs="Arial"/>
          <w:spacing w:val="-9"/>
          <w:sz w:val="20"/>
          <w:szCs w:val="20"/>
          <w:lang w:val="es-ES"/>
        </w:rPr>
        <w:t xml:space="preserve"> </w:t>
      </w:r>
      <w:r w:rsidRPr="007D7696">
        <w:rPr>
          <w:rFonts w:ascii="Verdana" w:hAnsi="Verdana" w:eastAsia="Arial MT" w:cs="Arial"/>
          <w:sz w:val="20"/>
          <w:szCs w:val="20"/>
          <w:lang w:val="es-ES"/>
        </w:rPr>
        <w:t>contera,</w:t>
      </w:r>
      <w:r w:rsidRPr="007D7696">
        <w:rPr>
          <w:rFonts w:ascii="Verdana" w:hAnsi="Verdana" w:eastAsia="Arial MT" w:cs="Arial"/>
          <w:spacing w:val="-8"/>
          <w:sz w:val="20"/>
          <w:szCs w:val="20"/>
          <w:lang w:val="es-ES"/>
        </w:rPr>
        <w:t xml:space="preserve"> </w:t>
      </w:r>
      <w:r w:rsidRPr="007D7696">
        <w:rPr>
          <w:rFonts w:ascii="Verdana" w:hAnsi="Verdana" w:eastAsia="Arial MT" w:cs="Arial"/>
          <w:sz w:val="20"/>
          <w:szCs w:val="20"/>
          <w:lang w:val="es-ES"/>
        </w:rPr>
        <w:t>la</w:t>
      </w:r>
      <w:r w:rsidRPr="007D7696">
        <w:rPr>
          <w:rFonts w:ascii="Verdana" w:hAnsi="Verdana" w:eastAsia="Arial MT" w:cs="Arial"/>
          <w:spacing w:val="-9"/>
          <w:sz w:val="20"/>
          <w:szCs w:val="20"/>
          <w:lang w:val="es-ES"/>
        </w:rPr>
        <w:t xml:space="preserve"> </w:t>
      </w:r>
      <w:r w:rsidRPr="007D7696">
        <w:rPr>
          <w:rFonts w:ascii="Verdana" w:hAnsi="Verdana" w:eastAsia="Arial MT" w:cs="Arial"/>
          <w:sz w:val="20"/>
          <w:szCs w:val="20"/>
          <w:lang w:val="es-ES"/>
        </w:rPr>
        <w:t>falta</w:t>
      </w:r>
      <w:r w:rsidRPr="007D7696">
        <w:rPr>
          <w:rFonts w:ascii="Verdana" w:hAnsi="Verdana" w:eastAsia="Arial MT" w:cs="Arial"/>
          <w:spacing w:val="-7"/>
          <w:sz w:val="20"/>
          <w:szCs w:val="20"/>
          <w:lang w:val="es-ES"/>
        </w:rPr>
        <w:t xml:space="preserve"> </w:t>
      </w:r>
      <w:r w:rsidRPr="007D7696">
        <w:rPr>
          <w:rFonts w:ascii="Verdana" w:hAnsi="Verdana" w:eastAsia="Arial MT" w:cs="Arial"/>
          <w:sz w:val="20"/>
          <w:szCs w:val="20"/>
          <w:lang w:val="es-ES"/>
        </w:rPr>
        <w:t>de vocación como</w:t>
      </w:r>
      <w:r w:rsidRPr="007D7696">
        <w:rPr>
          <w:rFonts w:ascii="Verdana" w:hAnsi="Verdana" w:eastAsia="Arial MT" w:cs="Arial"/>
          <w:spacing w:val="-9"/>
          <w:sz w:val="20"/>
          <w:szCs w:val="20"/>
          <w:lang w:val="es-ES"/>
        </w:rPr>
        <w:t xml:space="preserve"> </w:t>
      </w:r>
      <w:r w:rsidRPr="007D7696">
        <w:rPr>
          <w:rFonts w:ascii="Verdana" w:hAnsi="Verdana" w:eastAsia="Arial MT" w:cs="Arial"/>
          <w:sz w:val="20"/>
          <w:szCs w:val="20"/>
          <w:lang w:val="es-ES"/>
        </w:rPr>
        <w:t>plena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prueba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para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acreditar</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el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cumplimiento</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de</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los</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requisitos</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habilitantes del proponente, anomalía que en manera alguna se sanea o</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convalida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por</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el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hecho</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de</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realizar</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una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renovación</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por</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fuera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del</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plazo reglamentado, en tanto no resulta jurídicamente admisible extender una</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vigencia que por ministerio de la ley se encuentra vencida y cuyos efectos</w:t>
      </w:r>
      <w:r w:rsidRPr="007D7696">
        <w:rPr>
          <w:rFonts w:ascii="Verdana" w:hAnsi="Verdana" w:eastAsia="Arial MT" w:cs="Arial"/>
          <w:spacing w:val="1"/>
          <w:sz w:val="20"/>
          <w:szCs w:val="20"/>
          <w:lang w:val="es-ES"/>
        </w:rPr>
        <w:t xml:space="preserve"> </w:t>
      </w:r>
      <w:r w:rsidRPr="007D7696">
        <w:rPr>
          <w:rFonts w:ascii="Verdana" w:hAnsi="Verdana" w:eastAsia="Arial MT" w:cs="Arial"/>
          <w:sz w:val="20"/>
          <w:szCs w:val="20"/>
          <w:lang w:val="es-ES"/>
        </w:rPr>
        <w:t>cesaron,</w:t>
      </w:r>
      <w:r w:rsidRPr="007D7696">
        <w:rPr>
          <w:rFonts w:ascii="Verdana" w:hAnsi="Verdana" w:eastAsia="Arial MT" w:cs="Arial"/>
          <w:spacing w:val="-3"/>
          <w:sz w:val="20"/>
          <w:szCs w:val="20"/>
          <w:lang w:val="es-ES"/>
        </w:rPr>
        <w:t xml:space="preserve"> </w:t>
      </w:r>
      <w:r w:rsidRPr="007D7696">
        <w:rPr>
          <w:rFonts w:ascii="Verdana" w:hAnsi="Verdana" w:eastAsia="Arial MT" w:cs="Arial"/>
          <w:sz w:val="20"/>
          <w:szCs w:val="20"/>
          <w:lang w:val="es-ES"/>
        </w:rPr>
        <w:t>precisamente</w:t>
      </w:r>
      <w:r w:rsidRPr="007D7696">
        <w:rPr>
          <w:rFonts w:ascii="Verdana" w:hAnsi="Verdana" w:eastAsia="Arial MT" w:cs="Arial"/>
          <w:spacing w:val="-3"/>
          <w:sz w:val="20"/>
          <w:szCs w:val="20"/>
          <w:lang w:val="es-ES"/>
        </w:rPr>
        <w:t xml:space="preserve"> </w:t>
      </w:r>
      <w:r w:rsidRPr="007D7696">
        <w:rPr>
          <w:rFonts w:ascii="Verdana" w:hAnsi="Verdana" w:eastAsia="Arial MT" w:cs="Arial"/>
          <w:sz w:val="20"/>
          <w:szCs w:val="20"/>
          <w:lang w:val="es-ES"/>
        </w:rPr>
        <w:t>por</w:t>
      </w:r>
      <w:r w:rsidRPr="007D7696">
        <w:rPr>
          <w:rFonts w:ascii="Verdana" w:hAnsi="Verdana" w:eastAsia="Arial MT" w:cs="Arial"/>
          <w:spacing w:val="-3"/>
          <w:sz w:val="20"/>
          <w:szCs w:val="20"/>
          <w:lang w:val="es-ES"/>
        </w:rPr>
        <w:t xml:space="preserve"> </w:t>
      </w:r>
      <w:r w:rsidRPr="007D7696">
        <w:rPr>
          <w:rFonts w:ascii="Verdana" w:hAnsi="Verdana" w:eastAsia="Arial MT" w:cs="Arial"/>
          <w:sz w:val="20"/>
          <w:szCs w:val="20"/>
          <w:lang w:val="es-ES"/>
        </w:rPr>
        <w:t>no</w:t>
      </w:r>
      <w:r w:rsidRPr="007D7696">
        <w:rPr>
          <w:rFonts w:ascii="Verdana" w:hAnsi="Verdana" w:eastAsia="Arial MT" w:cs="Arial"/>
          <w:spacing w:val="-2"/>
          <w:sz w:val="20"/>
          <w:szCs w:val="20"/>
          <w:lang w:val="es-ES"/>
        </w:rPr>
        <w:t xml:space="preserve"> </w:t>
      </w:r>
      <w:r w:rsidRPr="007D7696">
        <w:rPr>
          <w:rFonts w:ascii="Verdana" w:hAnsi="Verdana" w:eastAsia="Arial MT" w:cs="Arial"/>
          <w:sz w:val="20"/>
          <w:szCs w:val="20"/>
          <w:lang w:val="es-ES"/>
        </w:rPr>
        <w:t>haberse</w:t>
      </w:r>
      <w:r w:rsidRPr="007D7696">
        <w:rPr>
          <w:rFonts w:ascii="Verdana" w:hAnsi="Verdana" w:eastAsia="Arial MT" w:cs="Arial"/>
          <w:spacing w:val="-3"/>
          <w:sz w:val="20"/>
          <w:szCs w:val="20"/>
          <w:lang w:val="es-ES"/>
        </w:rPr>
        <w:t xml:space="preserve"> </w:t>
      </w:r>
      <w:r w:rsidRPr="007D7696">
        <w:rPr>
          <w:rFonts w:ascii="Verdana" w:hAnsi="Verdana" w:eastAsia="Arial MT" w:cs="Arial"/>
          <w:sz w:val="20"/>
          <w:szCs w:val="20"/>
          <w:lang w:val="es-ES"/>
        </w:rPr>
        <w:t>renovado</w:t>
      </w:r>
      <w:r w:rsidRPr="007D7696">
        <w:rPr>
          <w:rFonts w:ascii="Verdana" w:hAnsi="Verdana" w:eastAsia="Arial MT" w:cs="Arial"/>
          <w:spacing w:val="-3"/>
          <w:sz w:val="20"/>
          <w:szCs w:val="20"/>
          <w:lang w:val="es-ES"/>
        </w:rPr>
        <w:t xml:space="preserve"> </w:t>
      </w:r>
      <w:r w:rsidRPr="007D7696">
        <w:rPr>
          <w:rFonts w:ascii="Verdana" w:hAnsi="Verdana" w:eastAsia="Arial MT" w:cs="Arial"/>
          <w:sz w:val="20"/>
          <w:szCs w:val="20"/>
          <w:lang w:val="es-ES"/>
        </w:rPr>
        <w:t>en</w:t>
      </w:r>
      <w:r w:rsidRPr="007D7696">
        <w:rPr>
          <w:rFonts w:ascii="Verdana" w:hAnsi="Verdana" w:eastAsia="Arial MT" w:cs="Arial"/>
          <w:spacing w:val="-2"/>
          <w:sz w:val="20"/>
          <w:szCs w:val="20"/>
          <w:lang w:val="es-ES"/>
        </w:rPr>
        <w:t xml:space="preserve"> </w:t>
      </w:r>
      <w:r w:rsidRPr="007D7696">
        <w:rPr>
          <w:rFonts w:ascii="Verdana" w:hAnsi="Verdana" w:eastAsia="Arial MT" w:cs="Arial"/>
          <w:sz w:val="20"/>
          <w:szCs w:val="20"/>
          <w:lang w:val="es-ES"/>
        </w:rPr>
        <w:t>el</w:t>
      </w:r>
      <w:r w:rsidRPr="007D7696">
        <w:rPr>
          <w:rFonts w:ascii="Verdana" w:hAnsi="Verdana" w:eastAsia="Arial MT" w:cs="Arial"/>
          <w:spacing w:val="-3"/>
          <w:sz w:val="20"/>
          <w:szCs w:val="20"/>
          <w:lang w:val="es-ES"/>
        </w:rPr>
        <w:t xml:space="preserve"> </w:t>
      </w:r>
      <w:r w:rsidRPr="007D7696">
        <w:rPr>
          <w:rFonts w:ascii="Verdana" w:hAnsi="Verdana" w:eastAsia="Arial MT" w:cs="Arial"/>
          <w:sz w:val="20"/>
          <w:szCs w:val="20"/>
          <w:lang w:val="es-ES"/>
        </w:rPr>
        <w:t>término</w:t>
      </w:r>
      <w:r w:rsidRPr="007D7696">
        <w:rPr>
          <w:rFonts w:ascii="Verdana" w:hAnsi="Verdana" w:eastAsia="Arial MT" w:cs="Arial"/>
          <w:spacing w:val="-3"/>
          <w:sz w:val="20"/>
          <w:szCs w:val="20"/>
          <w:lang w:val="es-ES"/>
        </w:rPr>
        <w:t xml:space="preserve"> </w:t>
      </w:r>
      <w:r w:rsidRPr="007D7696">
        <w:rPr>
          <w:rFonts w:ascii="Verdana" w:hAnsi="Verdana" w:eastAsia="Arial MT" w:cs="Arial"/>
          <w:sz w:val="20"/>
          <w:szCs w:val="20"/>
          <w:lang w:val="es-ES"/>
        </w:rPr>
        <w:t>señalado</w:t>
      </w:r>
      <w:r w:rsidRPr="007D7696">
        <w:rPr>
          <w:rStyle w:val="Refdenotaalpie"/>
          <w:rFonts w:ascii="Verdana" w:hAnsi="Verdana" w:eastAsia="Arial MT" w:cs="Arial"/>
          <w:sz w:val="20"/>
          <w:szCs w:val="20"/>
          <w:lang w:val="es-ES"/>
        </w:rPr>
        <w:footnoteReference w:id="14"/>
      </w:r>
      <w:r w:rsidRPr="007D7696">
        <w:rPr>
          <w:rFonts w:ascii="Verdana" w:hAnsi="Verdana" w:eastAsia="Arial MT" w:cs="Arial"/>
          <w:sz w:val="20"/>
          <w:szCs w:val="20"/>
          <w:lang w:val="es-ES"/>
        </w:rPr>
        <w:t>. [Énfasis fuera del texto original]</w:t>
      </w:r>
    </w:p>
    <w:p w:rsidRPr="00392E37" w:rsidR="003E1B03" w:rsidP="003E1B03" w:rsidRDefault="003E1B03" w14:paraId="7A2F0B24" w14:textId="77777777">
      <w:pPr>
        <w:widowControl w:val="0"/>
        <w:autoSpaceDE w:val="0"/>
        <w:autoSpaceDN w:val="0"/>
        <w:spacing w:after="0" w:line="276" w:lineRule="auto"/>
        <w:contextualSpacing/>
        <w:rPr>
          <w:rFonts w:ascii="Verdana" w:hAnsi="Verdana" w:eastAsia="Arial MT" w:cs="Arial"/>
          <w:lang w:val="es-ES"/>
        </w:rPr>
      </w:pPr>
    </w:p>
    <w:p w:rsidRPr="00392E37" w:rsidR="003E1B03" w:rsidP="003E1B03" w:rsidRDefault="003E1B03" w14:paraId="79CB664D" w14:textId="77777777">
      <w:pPr>
        <w:spacing w:after="120" w:line="276" w:lineRule="auto"/>
        <w:ind w:firstLine="709"/>
        <w:jc w:val="both"/>
        <w:rPr>
          <w:rFonts w:ascii="Verdana" w:hAnsi="Verdana" w:cs="Arial"/>
        </w:rPr>
      </w:pPr>
      <w:r w:rsidRPr="00392E37">
        <w:rPr>
          <w:rFonts w:ascii="Verdana" w:hAnsi="Verdana" w:cs="Arial"/>
        </w:rPr>
        <w:t>Conforme a lo anterior, y en armonía con lo señalado en el artículo 2.2.1.1.1.5.1. del Decreto 1082 de 2015, si el proponente no presenta la información para renovar su registro antes del quinto día hábil del mes de abril de cada año, cesarán los efectos del RUP. Lo anterior implica que el proponente que no cumpla con la carga indicada no se puede presentar a los procedimientos de selección, en los casos en que es necesario estar inscrito en el RUP, porque no tendría capacidad para hacerlo y, por tanto, tendría que inscribirse nuevamente, caso en el que solo se podrá presentar cuando la inscripción esté en firme.</w:t>
      </w:r>
    </w:p>
    <w:p w:rsidRPr="00392E37" w:rsidR="003E1B03" w:rsidP="003E1B03" w:rsidRDefault="003E1B03" w14:paraId="0B208C7D" w14:textId="77777777">
      <w:pPr>
        <w:spacing w:after="120" w:line="276" w:lineRule="auto"/>
        <w:ind w:firstLine="709"/>
        <w:jc w:val="both"/>
        <w:rPr>
          <w:rFonts w:ascii="Verdana" w:hAnsi="Verdana" w:cs="Arial"/>
        </w:rPr>
      </w:pPr>
      <w:r w:rsidRPr="00392E37">
        <w:rPr>
          <w:rFonts w:ascii="Verdana" w:hAnsi="Verdana" w:cs="Arial"/>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rsidRPr="00392E37" w:rsidR="003E1B03" w:rsidP="003E1B03" w:rsidRDefault="003E1B03" w14:paraId="7ABA5C44" w14:textId="77777777">
      <w:pPr>
        <w:spacing w:after="120" w:line="276" w:lineRule="auto"/>
        <w:ind w:firstLine="709"/>
        <w:jc w:val="both"/>
        <w:rPr>
          <w:rFonts w:ascii="Verdana" w:hAnsi="Verdana" w:cs="Arial"/>
        </w:rPr>
      </w:pPr>
      <w:r w:rsidRPr="00392E37">
        <w:rPr>
          <w:rFonts w:ascii="Verdana" w:hAnsi="Verdana" w:cs="Arial"/>
        </w:rPr>
        <w:t xml:space="preserve">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 inscrita en el certificado, se podrá acreditar a través del medio documental expedido por la cámara de comercio correspondiente. Así, por no </w:t>
      </w:r>
      <w:r w:rsidRPr="00392E37">
        <w:rPr>
          <w:rFonts w:ascii="Verdana" w:hAnsi="Verdana" w:cs="Arial"/>
        </w:rPr>
        <w:t>existir tarifa legal que permita establecer la forma de acreditar el trámite de renovación, la Entidad Estatal debe verificar que el documento aportado por el proponente ofrezca certeza sobre el estado de este.</w:t>
      </w:r>
    </w:p>
    <w:p w:rsidRPr="00392E37" w:rsidR="003E1B03" w:rsidP="003E1B03" w:rsidRDefault="003E1B03" w14:paraId="5A729A22" w14:textId="77777777">
      <w:pPr>
        <w:spacing w:after="120" w:line="276" w:lineRule="auto"/>
        <w:jc w:val="both"/>
        <w:rPr>
          <w:rFonts w:ascii="Verdana" w:hAnsi="Verdana" w:cs="Arial"/>
        </w:rPr>
      </w:pPr>
      <w:r>
        <w:rPr>
          <w:rFonts w:ascii="Verdana" w:hAnsi="Verdana" w:cs="Arial"/>
        </w:rPr>
        <w:t xml:space="preserve">iii. </w:t>
      </w:r>
      <w:r w:rsidRPr="00392E37">
        <w:rPr>
          <w:rFonts w:ascii="Verdana" w:hAnsi="Verdana" w:cs="Arial"/>
        </w:rPr>
        <w:t>Dicho esto, la firmeza del acto de inscripción, renovación y actualización del RUP debe armonizarse con las prescripciones establecidas para la generalidad de los actos administrativos, esto es, de acuerdo con el artículo 87 de la Ley 1437 de 2011</w:t>
      </w:r>
      <w:r w:rsidRPr="00392E37">
        <w:rPr>
          <w:rStyle w:val="Refdenotaalpie"/>
          <w:rFonts w:ascii="Verdana" w:hAnsi="Verdana" w:cs="Arial"/>
        </w:rPr>
        <w:footnoteReference w:id="15"/>
      </w:r>
      <w:r w:rsidRPr="00392E37">
        <w:rPr>
          <w:rFonts w:ascii="Verdana" w:hAnsi="Verdana" w:cs="Arial"/>
        </w:rPr>
        <w:t xml:space="preserve">. </w:t>
      </w:r>
    </w:p>
    <w:p w:rsidRPr="00392E37" w:rsidR="003E1B03" w:rsidP="003E1B03" w:rsidRDefault="003E1B03" w14:paraId="798FE6E3" w14:textId="77777777">
      <w:pPr>
        <w:spacing w:after="120" w:line="276" w:lineRule="auto"/>
        <w:ind w:firstLine="709"/>
        <w:jc w:val="both"/>
        <w:rPr>
          <w:rFonts w:ascii="Verdana" w:hAnsi="Verdana" w:cs="Arial"/>
        </w:rPr>
      </w:pPr>
      <w:bookmarkStart w:name="_Hlk175919998" w:id="6"/>
      <w:r w:rsidRPr="00392E37">
        <w:rPr>
          <w:rFonts w:ascii="Verdana" w:hAnsi="Verdana" w:cs="Arial"/>
        </w:rPr>
        <w:t>Conforme a lo anterior, la persona natural o jurídica podrá presentarse a los procedimientos de selección cuando el acto administrativo que realiza la inscripción del RUP se encuentra en firme, porque su inscripción es un requisito para las personas naturales y jurídicas, nacionales o extranjeras con domicilio en Colombia, que aspiran celebrar contratos con las Entidades Estatales, salvo las excepciones establecidas en la ley.</w:t>
      </w:r>
    </w:p>
    <w:bookmarkEnd w:id="6"/>
    <w:p w:rsidRPr="00392E37" w:rsidR="003E1B03" w:rsidP="003E1B03" w:rsidRDefault="003E1B03" w14:paraId="209978D2" w14:textId="77777777">
      <w:pPr>
        <w:spacing w:after="120" w:line="276" w:lineRule="auto"/>
        <w:ind w:firstLine="709"/>
        <w:jc w:val="both"/>
        <w:rPr>
          <w:rFonts w:ascii="Verdana" w:hAnsi="Verdana" w:cs="Arial"/>
        </w:rPr>
      </w:pPr>
      <w:r w:rsidRPr="00392E37">
        <w:rPr>
          <w:rFonts w:ascii="Verdana" w:hAnsi="Verdana" w:cs="Arial"/>
        </w:rPr>
        <w:t>Así, la firmeza del RUP es una condición de ejecutoriedad, para consolidar los efectos del acto administrativo de inscripción. En palabras del Consejo de Estado “El fenómeno procesal de la firmeza implica en principio, que la decisión se torna incuestionable en sede administrativa, lo que a su vez conlleva su ejecutoriedad”</w:t>
      </w:r>
      <w:r w:rsidRPr="00392E37">
        <w:rPr>
          <w:rStyle w:val="Refdenotaalpie"/>
          <w:rFonts w:ascii="Verdana" w:hAnsi="Verdana" w:cs="Arial"/>
        </w:rPr>
        <w:footnoteReference w:id="16"/>
      </w:r>
      <w:r w:rsidRPr="00392E37">
        <w:rPr>
          <w:rFonts w:ascii="Verdana" w:hAnsi="Verdana" w:cs="Arial"/>
        </w:rPr>
        <w:t>.</w:t>
      </w:r>
    </w:p>
    <w:p w:rsidRPr="00392E37" w:rsidR="003E1B03" w:rsidP="003E1B03" w:rsidRDefault="003E1B03" w14:paraId="3ABCC890" w14:textId="77777777">
      <w:pPr>
        <w:spacing w:after="120" w:line="276" w:lineRule="auto"/>
        <w:ind w:firstLine="709"/>
        <w:jc w:val="both"/>
        <w:rPr>
          <w:rFonts w:ascii="Verdana" w:hAnsi="Verdana" w:cs="Arial"/>
        </w:rPr>
      </w:pPr>
      <w:r w:rsidRPr="00392E37">
        <w:rPr>
          <w:rFonts w:ascii="Verdana" w:hAnsi="Verdana" w:cs="Arial"/>
        </w:rPr>
        <w:t>Es importante resaltar que los distintos eventos de firmeza señalados en el artículo 87 del CPACA involucran la exigencia de la publicidad, comunicación o notificación del acto, además de incluir la necesidad de resolver los recursos administrativos interpuestos contra la decisión, como expresión del debido proceso y del derecho de defensa en sede administrativa.</w:t>
      </w:r>
    </w:p>
    <w:p w:rsidRPr="00392E37" w:rsidR="003E1B03" w:rsidP="003E1B03" w:rsidRDefault="003E1B03" w14:paraId="7766FF98" w14:textId="77777777">
      <w:pPr>
        <w:spacing w:after="120" w:line="276" w:lineRule="auto"/>
        <w:ind w:firstLine="709"/>
        <w:jc w:val="both"/>
        <w:rPr>
          <w:rFonts w:ascii="Verdana" w:hAnsi="Verdana" w:cs="Arial"/>
        </w:rPr>
      </w:pPr>
      <w:r w:rsidRPr="00392E37">
        <w:rPr>
          <w:rFonts w:ascii="Verdana" w:hAnsi="Verdana" w:cs="Arial"/>
        </w:rPr>
        <w:t>El artículo 6.3 de la Ley 1150 de 2007 regula la impugnación del acto de inscripción de información en el RUP, para que cualquier persona presente recurso de reposición durante los diez (10) días hábiles siguientes a su publicación, tiempo después del cual el acto administrativo adquiere firmeza y será oponible a terceros, adquiriendo su presunción de legalidad, siempre que durante el término indicado no se presenten recursos. Si ocurre lo último, para que el acto de inscripción o renovación quede en firme, o que la actualización de la nueva información adquiera firmeza, será necesario que se resuelvan dichos recursos.</w:t>
      </w:r>
    </w:p>
    <w:p w:rsidRPr="00392E37" w:rsidR="003E1B03" w:rsidP="003E1B03" w:rsidRDefault="003E1B03" w14:paraId="45686EC4" w14:textId="77777777">
      <w:pPr>
        <w:spacing w:after="120" w:line="276" w:lineRule="auto"/>
        <w:ind w:firstLine="709"/>
        <w:jc w:val="both"/>
        <w:rPr>
          <w:rFonts w:ascii="Verdana" w:hAnsi="Verdana" w:cs="Arial"/>
        </w:rPr>
      </w:pPr>
      <w:r w:rsidRPr="00392E37">
        <w:rPr>
          <w:rFonts w:ascii="Verdana" w:hAnsi="Verdana" w:cs="Arial"/>
        </w:rPr>
        <w:t>Expuestas las reglas generales en torno a la necesidad de la firmeza de los actos de inscripción, renovación y actualización, se señalarán las consecuencias en cada supuesto de que la información incluida en el RUP esté pendiente de quedar en firme, pues en cada uno se generan efectos distintos.</w:t>
      </w:r>
    </w:p>
    <w:p w:rsidRPr="00392E37" w:rsidR="003E1B03" w:rsidP="003E1B03" w:rsidRDefault="003E1B03" w14:paraId="526E3B7B" w14:textId="77777777">
      <w:pPr>
        <w:spacing w:after="120" w:line="276" w:lineRule="auto"/>
        <w:ind w:firstLine="709"/>
        <w:jc w:val="both"/>
        <w:rPr>
          <w:rFonts w:ascii="Verdana" w:hAnsi="Verdana" w:cs="Arial"/>
        </w:rPr>
      </w:pPr>
      <w:bookmarkStart w:name="_Hlk104368216" w:id="7"/>
      <w:r w:rsidRPr="00392E37">
        <w:rPr>
          <w:rFonts w:ascii="Verdana" w:hAnsi="Verdana" w:cs="Arial"/>
        </w:rPr>
        <w:t xml:space="preserve">En relación con la </w:t>
      </w:r>
      <w:r w:rsidRPr="00392E37">
        <w:rPr>
          <w:rFonts w:ascii="Verdana" w:hAnsi="Verdana" w:cs="Arial"/>
          <w:i/>
          <w:iCs/>
        </w:rPr>
        <w:t>inscripción</w:t>
      </w:r>
      <w:r w:rsidRPr="00392E37">
        <w:rPr>
          <w:rFonts w:ascii="Verdana" w:hAnsi="Verdana" w:cs="Arial"/>
        </w:rPr>
        <w:t xml:space="preserve"> –ya sea por primera vez o porque no se renueva a tiempo y se debe realizar el trámite como una inscripción inicial–, se debe considerar lo prescrito en el parágrafo 1 del artículo 5 de la Ley 1150 de 2007, modificado por el artículo 5 de la Ley 1882 de 2018</w:t>
      </w:r>
      <w:r w:rsidRPr="00392E37">
        <w:rPr>
          <w:rStyle w:val="Refdenotaalpie"/>
          <w:rFonts w:ascii="Verdana" w:hAnsi="Verdana" w:cs="Arial"/>
        </w:rPr>
        <w:footnoteReference w:id="17"/>
      </w:r>
      <w:r w:rsidRPr="00392E37">
        <w:rPr>
          <w:rFonts w:ascii="Verdana" w:hAnsi="Verdana" w:cs="Arial"/>
        </w:rPr>
        <w:t>, que establece que los proponentes no pueden acreditar circunstancias ocurridas con posterioridad al cierre del proceso, unido a lo expresado por la Sala de Consulta y Servicio Civil del Consejo de Estado, quien interpretó una norma de igual contenido a la anterior</w:t>
      </w:r>
      <w:r w:rsidRPr="00392E37">
        <w:rPr>
          <w:rStyle w:val="Refdenotaalpie"/>
          <w:rFonts w:ascii="Verdana" w:hAnsi="Verdana" w:cs="Arial"/>
        </w:rPr>
        <w:footnoteReference w:id="18"/>
      </w:r>
      <w:r w:rsidRPr="00392E37">
        <w:rPr>
          <w:rFonts w:ascii="Verdana" w:hAnsi="Verdana" w:cs="Arial"/>
        </w:rPr>
        <w:t xml:space="preserve">, señalando que el proponente debe cumplir materialmente para la fecha del cierre del proceso con los requisitos que se requieren para presentar </w:t>
      </w:r>
      <w:r w:rsidRPr="00392E37">
        <w:rPr>
          <w:rFonts w:ascii="Verdana" w:hAnsi="Verdana" w:cs="Arial"/>
        </w:rPr>
        <w:t>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bookmarkEnd w:id="7"/>
      <w:r w:rsidRPr="00392E37">
        <w:rPr>
          <w:rStyle w:val="Refdenotaalpie"/>
          <w:rFonts w:ascii="Verdana" w:hAnsi="Verdana" w:cs="Arial"/>
        </w:rPr>
        <w:footnoteReference w:id="19"/>
      </w:r>
      <w:r w:rsidRPr="00392E37">
        <w:rPr>
          <w:rFonts w:ascii="Verdana" w:hAnsi="Verdana" w:cs="Arial"/>
        </w:rPr>
        <w:t>.</w:t>
      </w:r>
    </w:p>
    <w:p w:rsidRPr="00392E37" w:rsidR="003E1B03" w:rsidP="003E1B03" w:rsidRDefault="003E1B03" w14:paraId="69ECB533" w14:textId="77777777">
      <w:pPr>
        <w:spacing w:after="120" w:line="276" w:lineRule="auto"/>
        <w:ind w:firstLine="709"/>
        <w:jc w:val="both"/>
        <w:rPr>
          <w:rFonts w:ascii="Verdana" w:hAnsi="Verdana" w:cs="Arial"/>
        </w:rPr>
      </w:pPr>
      <w:bookmarkStart w:name="_Hlk107927422" w:id="8"/>
      <w:r w:rsidRPr="00392E37">
        <w:rPr>
          <w:rFonts w:ascii="Verdana" w:hAnsi="Verdana" w:cs="Arial"/>
        </w:rPr>
        <w:t>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no tenía capacidad para contratar, y no puede acreditar circunstancias ocurridas con posterioridad a la fecha del cierre del proceso, reiterando que la inscripción debe estar en firme antes del cierre, pues la inscripción solo se materializa y es oponible a terceros cuando el acto administrativo está en firme.</w:t>
      </w:r>
    </w:p>
    <w:p w:rsidR="003E1B03" w:rsidP="003E1B03" w:rsidRDefault="003E1B03" w14:paraId="38F0455D" w14:textId="77777777">
      <w:pPr>
        <w:spacing w:after="120" w:line="276" w:lineRule="auto"/>
        <w:ind w:firstLine="709"/>
        <w:jc w:val="both"/>
        <w:rPr>
          <w:rFonts w:ascii="Verdana" w:hAnsi="Verdana" w:cs="Arial"/>
        </w:rPr>
      </w:pPr>
      <w:bookmarkStart w:name="_Hlk107927453" w:id="9"/>
      <w:bookmarkStart w:name="_Hlk104368238" w:id="10"/>
      <w:bookmarkEnd w:id="8"/>
      <w:r w:rsidRPr="00392E37">
        <w:rPr>
          <w:rFonts w:ascii="Verdana" w:hAnsi="Verdana" w:cs="Arial"/>
        </w:rPr>
        <w:t xml:space="preserve">Tratándose del trámite de </w:t>
      </w:r>
      <w:r w:rsidRPr="00392E37">
        <w:rPr>
          <w:rFonts w:ascii="Verdana" w:hAnsi="Verdana" w:cs="Arial"/>
          <w:i/>
          <w:iCs/>
        </w:rPr>
        <w:t>renovación</w:t>
      </w:r>
      <w:r w:rsidRPr="00392E37">
        <w:rPr>
          <w:rFonts w:ascii="Verdana" w:hAnsi="Verdana" w:cs="Arial"/>
        </w:rPr>
        <w:t xml:space="preserve">,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w:t>
      </w:r>
    </w:p>
    <w:p w:rsidRPr="00392E37" w:rsidR="003E1B03" w:rsidP="003E1B03" w:rsidRDefault="003E1B03" w14:paraId="74A1C079" w14:textId="77777777">
      <w:pPr>
        <w:spacing w:after="120" w:line="276" w:lineRule="auto"/>
        <w:ind w:firstLine="709"/>
        <w:jc w:val="both"/>
        <w:rPr>
          <w:rFonts w:ascii="Verdana" w:hAnsi="Verdana" w:cs="Arial"/>
        </w:rPr>
      </w:pPr>
      <w:r w:rsidRPr="00392E37">
        <w:rPr>
          <w:rFonts w:ascii="Verdana" w:hAnsi="Verdana" w:cs="Arial"/>
        </w:rPr>
        <w:t xml:space="preserve">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w:t>
      </w:r>
      <w:r w:rsidRPr="00392E37">
        <w:rPr>
          <w:rFonts w:ascii="Verdana" w:hAnsi="Verdana" w:cs="Arial"/>
        </w:rPr>
        <w:t>podrá “acreditar circunstancias ocurridas con posterioridad al cierre del proceso”, por lo que la evaluación se realizará con la información del RUP en firme antes del cierre, independientemente de que la nueva información favorezca o perjudique al proponente.</w:t>
      </w:r>
    </w:p>
    <w:p w:rsidR="003E1B03" w:rsidP="003E1B03" w:rsidRDefault="003E1B03" w14:paraId="7C61CAEE" w14:textId="77777777">
      <w:pPr>
        <w:spacing w:after="120" w:line="276" w:lineRule="auto"/>
        <w:ind w:firstLine="709"/>
        <w:jc w:val="both"/>
        <w:rPr>
          <w:rFonts w:ascii="Verdana" w:hAnsi="Verdana" w:cs="Arial"/>
        </w:rPr>
      </w:pPr>
      <w:bookmarkStart w:name="_Hlk107927497" w:id="11"/>
      <w:bookmarkEnd w:id="9"/>
      <w:bookmarkEnd w:id="10"/>
      <w:r w:rsidRPr="00392E37">
        <w:rPr>
          <w:rFonts w:ascii="Verdana" w:hAnsi="Verdana" w:cs="Arial"/>
        </w:rPr>
        <w:t>Ahora bien, el deber de renovación, para impedir que el RUP deje de producir efectos consiste en “presentar la información para renovar su registro antes del quinto día hábil del mes de abril de cada año”</w:t>
      </w:r>
      <w:r w:rsidRPr="00392E37">
        <w:rPr>
          <w:rStyle w:val="Refdenotaalpie"/>
          <w:rFonts w:ascii="Verdana" w:hAnsi="Verdana" w:cs="Arial"/>
        </w:rPr>
        <w:footnoteReference w:id="20"/>
      </w:r>
      <w:r w:rsidRPr="00392E37">
        <w:rPr>
          <w:rFonts w:ascii="Verdana" w:hAnsi="Verdana" w:cs="Arial"/>
        </w:rPr>
        <w:t xml:space="preserve">.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w:t>
      </w:r>
    </w:p>
    <w:p w:rsidRPr="00392E37" w:rsidR="003E1B03" w:rsidP="003E1B03" w:rsidRDefault="003E1B03" w14:paraId="4EB2F8BB" w14:textId="77777777">
      <w:pPr>
        <w:spacing w:after="120" w:line="276" w:lineRule="auto"/>
        <w:ind w:firstLine="709"/>
        <w:jc w:val="both"/>
        <w:rPr>
          <w:rFonts w:ascii="Verdana" w:hAnsi="Verdana" w:cs="Arial"/>
        </w:rPr>
      </w:pPr>
      <w:r w:rsidRPr="00392E37">
        <w:rPr>
          <w:rFonts w:ascii="Verdana" w:hAnsi="Verdana" w:cs="Arial"/>
        </w:rPr>
        <w:t>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bookmarkEnd w:id="11"/>
    <w:p w:rsidRPr="00392E37" w:rsidR="003E1B03" w:rsidP="003E1B03" w:rsidRDefault="003E1B03" w14:paraId="42FD09E8" w14:textId="77777777">
      <w:pPr>
        <w:spacing w:after="0" w:line="276" w:lineRule="auto"/>
        <w:ind w:firstLine="709"/>
        <w:contextualSpacing/>
        <w:jc w:val="both"/>
        <w:rPr>
          <w:rFonts w:ascii="Verdana" w:hAnsi="Verdana" w:cs="Arial"/>
        </w:rPr>
      </w:pPr>
      <w:r w:rsidRPr="00392E37">
        <w:rPr>
          <w:rFonts w:ascii="Verdana" w:hAnsi="Verdana" w:cs="Arial"/>
        </w:rPr>
        <w:t>En concordancia con lo anterior, la Circular Externa Única de Colombia Compra Eficiente</w:t>
      </w:r>
      <w:r w:rsidRPr="00392E37">
        <w:rPr>
          <w:rStyle w:val="Refdenotaalpie"/>
          <w:rFonts w:ascii="Verdana" w:hAnsi="Verdana" w:cs="Arial"/>
        </w:rPr>
        <w:footnoteReference w:id="21"/>
      </w:r>
      <w:r w:rsidRPr="00392E37">
        <w:rPr>
          <w:rFonts w:ascii="Verdana" w:hAnsi="Verdana" w:cs="Arial"/>
        </w:rPr>
        <w:t xml:space="preserve"> en su numeral 12.3. recoge la tesis antes planteada respecto de la renovación del RUP al indicar: </w:t>
      </w:r>
    </w:p>
    <w:p w:rsidRPr="00392E37" w:rsidR="003E1B03" w:rsidP="003E1B03" w:rsidRDefault="003E1B03" w14:paraId="0071D94F" w14:textId="77777777">
      <w:pPr>
        <w:spacing w:after="0" w:line="276" w:lineRule="auto"/>
        <w:ind w:firstLine="709"/>
        <w:contextualSpacing/>
        <w:jc w:val="both"/>
        <w:rPr>
          <w:rFonts w:ascii="Verdana" w:hAnsi="Verdana" w:cs="Arial"/>
        </w:rPr>
      </w:pPr>
    </w:p>
    <w:p w:rsidRPr="00E075ED" w:rsidR="003E1B03" w:rsidP="003E1B03" w:rsidRDefault="003E1B03" w14:paraId="2AAA5EE0" w14:textId="77777777">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El artículo 2.2.1.1.1.5.1. del Decreto</w:t>
      </w:r>
      <w:r>
        <w:rPr>
          <w:rFonts w:ascii="Verdana" w:hAnsi="Verdana" w:cs="Arial"/>
          <w:sz w:val="20"/>
          <w:szCs w:val="20"/>
        </w:rPr>
        <w:t xml:space="preserve"> Reglamentario</w:t>
      </w:r>
      <w:r w:rsidRPr="00E075ED">
        <w:rPr>
          <w:rFonts w:ascii="Verdana" w:hAnsi="Verdana" w:cs="Arial"/>
          <w:sz w:val="20"/>
          <w:szCs w:val="20"/>
        </w:rPr>
        <w:t xml:space="preserve"> 1082 de 2015 establece que las personas inscritas en el RUP deben presentar la información para renovar su registro a más tardar el quinto día hábil del mes de abril de cada año, pues de lo contrario cesan los efectos del RUP.</w:t>
      </w:r>
    </w:p>
    <w:p w:rsidRPr="00E075ED" w:rsidR="003E1B03" w:rsidP="003E1B03" w:rsidRDefault="003E1B03" w14:paraId="65069389" w14:textId="77777777">
      <w:pPr>
        <w:spacing w:after="0" w:line="240" w:lineRule="auto"/>
        <w:ind w:left="709" w:right="709"/>
        <w:contextualSpacing/>
        <w:jc w:val="both"/>
        <w:rPr>
          <w:rFonts w:ascii="Verdana" w:hAnsi="Verdana" w:cs="Arial"/>
          <w:sz w:val="20"/>
          <w:szCs w:val="20"/>
        </w:rPr>
      </w:pPr>
    </w:p>
    <w:p w:rsidRPr="00E075ED" w:rsidR="003E1B03" w:rsidP="003E1B03" w:rsidRDefault="003E1B03" w14:paraId="4856E425" w14:textId="77777777">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Al cierre del procedimiento de selección, es decir, hasta el plazo para presentar ofertas, el RUP debe encontrarse vigente, esto es, que el </w:t>
      </w:r>
      <w:r w:rsidRPr="00E075ED">
        <w:rPr>
          <w:rFonts w:ascii="Verdana" w:hAnsi="Verdana" w:cs="Arial"/>
          <w:sz w:val="20"/>
          <w:szCs w:val="20"/>
        </w:rPr>
        <w:t xml:space="preserve">proponente haya presentado la información para renovar el registro en el término anteriormente establecido. </w:t>
      </w:r>
    </w:p>
    <w:p w:rsidRPr="00E075ED" w:rsidR="003E1B03" w:rsidP="003E1B03" w:rsidRDefault="003E1B03" w14:paraId="487B3ADB" w14:textId="77777777">
      <w:pPr>
        <w:spacing w:after="0" w:line="240" w:lineRule="auto"/>
        <w:ind w:left="709" w:right="709"/>
        <w:contextualSpacing/>
        <w:jc w:val="both"/>
        <w:rPr>
          <w:rFonts w:ascii="Verdana" w:hAnsi="Verdana" w:cs="Arial"/>
          <w:sz w:val="20"/>
          <w:szCs w:val="20"/>
        </w:rPr>
      </w:pPr>
    </w:p>
    <w:p w:rsidRPr="00E075ED" w:rsidR="003E1B03" w:rsidP="003E1B03" w:rsidRDefault="003E1B03" w14:paraId="3A8DAE1D" w14:textId="77777777">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Tratándose del trámite de renovación, la persona que haya presentado la información para renovar su registro a más tardar el quinto día hábil del mes de abril, cumpliendo con el requisito exigido en el artículo 2.2.1.1.1.5.1. del Decreto 1082 de 2015, puede participar en los procedimientos de selección, debiéndose tener en cuenta la información antigua, esto es, la que estuviera en firme antes del cierre del proceso. </w:t>
      </w:r>
      <w:r w:rsidRPr="00E075ED">
        <w:rPr>
          <w:rFonts w:ascii="Verdana" w:hAnsi="Verdana" w:cs="Arial"/>
          <w:i/>
          <w:iCs/>
          <w:sz w:val="20"/>
          <w:szCs w:val="20"/>
        </w:rPr>
        <w:t>Así, en el periodo comprendido entre el momento de la solicitud de renovación y el momento en que adquiera firmeza la información renovada, debe emplearse la información del RUP que está en firme antes de iniciar el trámite de renovación, cuyos efectos no habrían cesado y se encontraría vigente. En todo caso, la evaluación de las ofertas se realizará con la información del RUP en firme antes del cierre del proceso.</w:t>
      </w:r>
      <w:r w:rsidRPr="00E075ED">
        <w:rPr>
          <w:rFonts w:ascii="Verdana" w:hAnsi="Verdana" w:cs="Arial"/>
          <w:sz w:val="20"/>
          <w:szCs w:val="20"/>
        </w:rPr>
        <w:t xml:space="preserve"> </w:t>
      </w:r>
    </w:p>
    <w:p w:rsidRPr="00E075ED" w:rsidR="003E1B03" w:rsidP="003E1B03" w:rsidRDefault="003E1B03" w14:paraId="685D5E1B" w14:textId="77777777">
      <w:pPr>
        <w:spacing w:after="0" w:line="240" w:lineRule="auto"/>
        <w:ind w:left="709" w:right="709"/>
        <w:contextualSpacing/>
        <w:jc w:val="both"/>
        <w:rPr>
          <w:rFonts w:ascii="Verdana" w:hAnsi="Verdana" w:cs="Arial"/>
          <w:sz w:val="20"/>
          <w:szCs w:val="20"/>
        </w:rPr>
      </w:pPr>
    </w:p>
    <w:p w:rsidRPr="00E075ED" w:rsidR="003E1B03" w:rsidP="003E1B03" w:rsidRDefault="003E1B03" w14:paraId="60F02E43" w14:textId="77777777">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Para verificar que los efectos del RUP no han cesado, en los eventos que el proponente presentó la información para renovar su registro, es necesario que el certificado contenga la anotación de que el inscrito, a más tardar el quinto día hábil de abril de cada año, radicó ante la cámara de comercio los documentos para su renovación. En todo caso, si tal circunstancia no estuviese inscrita en el certificado, podrá acreditarse mediante el medio documental expedido por la cámara de comercio correspondiente. De este modo, al no existir tarifa legal que permita establecer la forma de acreditar el trámite de renovación, la entidad estatal debe verificar que el documento aportado por el proponente ofrezca certeza sobre el estado del trámite. </w:t>
      </w:r>
    </w:p>
    <w:p w:rsidRPr="00E075ED" w:rsidR="003E1B03" w:rsidP="003E1B03" w:rsidRDefault="003E1B03" w14:paraId="792BB53A" w14:textId="77777777">
      <w:pPr>
        <w:spacing w:after="0" w:line="240" w:lineRule="auto"/>
        <w:ind w:left="709" w:right="709"/>
        <w:contextualSpacing/>
        <w:jc w:val="both"/>
        <w:rPr>
          <w:rFonts w:ascii="Verdana" w:hAnsi="Verdana" w:cs="Arial"/>
          <w:sz w:val="20"/>
          <w:szCs w:val="20"/>
        </w:rPr>
      </w:pPr>
    </w:p>
    <w:p w:rsidRPr="00E075ED" w:rsidR="003E1B03" w:rsidP="003E1B03" w:rsidRDefault="003E1B03" w14:paraId="1CD459B3" w14:textId="77777777">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La firmeza del acto de inscripción, renovación y actualización del RUP debe armonizarse con las prescripciones establecidas para la generalidad de los actos administrativos, esto es, de acuerdo con el artículo 87 de la Ley 1437 de 2011. Conforme con lo anterior, la persona natural o jurídica podrá presentarse a los procedimientos de selección cuanto el acto administrativo que realiza la inscripción del RUP se encuentra en firme, porque es un requisito para las personas naturales o jurídicas nacionales o extranjeras domiciliadas o con sucursal en Colombia, que aspiran celebrar contratos con las entidades estatales, estar inscritas en él, salvo las excepciones establecidas en la ley”. [Énfasis fuera del texto original]</w:t>
      </w:r>
    </w:p>
    <w:p w:rsidRPr="007D7696" w:rsidR="003E1B03" w:rsidP="003E1B03" w:rsidRDefault="003E1B03" w14:paraId="1981E399" w14:textId="77777777">
      <w:pPr>
        <w:spacing w:after="0" w:line="276" w:lineRule="auto"/>
        <w:ind w:left="709" w:right="709"/>
        <w:contextualSpacing/>
        <w:jc w:val="both"/>
        <w:rPr>
          <w:rFonts w:ascii="Verdana" w:hAnsi="Verdana" w:cs="Arial"/>
        </w:rPr>
      </w:pPr>
    </w:p>
    <w:p w:rsidRPr="00392E37" w:rsidR="003E1B03" w:rsidP="003E1B03" w:rsidRDefault="003E1B03" w14:paraId="27052792" w14:textId="77777777">
      <w:pPr>
        <w:spacing w:after="120" w:line="276" w:lineRule="auto"/>
        <w:ind w:firstLine="709"/>
        <w:jc w:val="both"/>
        <w:rPr>
          <w:rFonts w:ascii="Verdana" w:hAnsi="Verdana" w:cs="Arial"/>
        </w:rPr>
      </w:pPr>
      <w:r w:rsidRPr="00392E37">
        <w:rPr>
          <w:rFonts w:ascii="Verdana" w:hAnsi="Verdana" w:cs="Arial"/>
        </w:rPr>
        <w:t xml:space="preserve">En efecto, la Circular Externa Única establece que, con el fin de que el RUP se mantenga vigente y continúe produciendo efectos, se debe realizar la renovación de este, consistente en que el proponente presente, antes del quinto día hábil del mes de abril de cada año, la información requerida ante la cámara de comercio respectiva. </w:t>
      </w:r>
    </w:p>
    <w:p w:rsidRPr="00006D3A" w:rsidR="003E1B03" w:rsidP="003E1B03" w:rsidRDefault="003E1B03" w14:paraId="0BCBCE5B" w14:textId="77777777">
      <w:pPr>
        <w:spacing w:after="120" w:line="276" w:lineRule="auto"/>
        <w:ind w:firstLine="709"/>
        <w:jc w:val="both"/>
        <w:rPr>
          <w:rFonts w:ascii="Verdana" w:hAnsi="Verdana" w:cs="Arial"/>
        </w:rPr>
      </w:pPr>
      <w:r>
        <w:rPr>
          <w:rFonts w:ascii="Verdana" w:hAnsi="Verdana" w:cs="Arial"/>
        </w:rPr>
        <w:t>Ahora bien</w:t>
      </w:r>
      <w:r w:rsidRPr="00392E37">
        <w:rPr>
          <w:rFonts w:ascii="Verdana" w:hAnsi="Verdana" w:cs="Arial"/>
        </w:rPr>
        <w:t xml:space="preserve">, tratándose del trámite administrativo de la </w:t>
      </w:r>
      <w:r w:rsidRPr="00392E37">
        <w:rPr>
          <w:rFonts w:ascii="Verdana" w:hAnsi="Verdana" w:cs="Arial"/>
          <w:i/>
          <w:iCs/>
        </w:rPr>
        <w:t>actualización</w:t>
      </w:r>
      <w:r w:rsidRPr="00392E37">
        <w:rPr>
          <w:rFonts w:ascii="Verdana" w:hAnsi="Verdana" w:cs="Arial"/>
        </w:rPr>
        <w:t xml:space="preserve">, sucede algo similar con la renovación, en el sentido de que, si la actualización no estaba en firme para el momento del cierre del proceso, en la evaluación se tendrá en cuenta únicamente la información que estaba en firme para dicho momento. Lo que no deben hacer las entidades es rechazar la oferta bajo el argumento de que la actualización no está en firme –como si no hubiera una inscripción vigente en el RUP–, ya que simplemente se debe evaluar la oferta prescindiendo de la nueva información incluida –que no adquirió firmeza–, pues, aunque la nueva información –actualización– esté pendiente de adquirir firmeza, para el momento del cierre del proceso el oferente tenía su inscripción vigente y en </w:t>
      </w:r>
      <w:r w:rsidRPr="00006D3A">
        <w:rPr>
          <w:rFonts w:ascii="Verdana" w:hAnsi="Verdana" w:cs="Arial"/>
        </w:rPr>
        <w:t>firme.</w:t>
      </w:r>
    </w:p>
    <w:p w:rsidRPr="00006D3A" w:rsidR="003E1B03" w:rsidP="003E1B03" w:rsidRDefault="003E1B03" w14:paraId="24B82305" w14:textId="77777777">
      <w:pPr>
        <w:spacing w:after="120" w:line="276" w:lineRule="auto"/>
        <w:ind w:firstLine="708"/>
        <w:jc w:val="both"/>
        <w:rPr>
          <w:rFonts w:ascii="Verdana" w:hAnsi="Verdana" w:eastAsia="Calibri" w:cs="Arial"/>
        </w:rPr>
      </w:pPr>
      <w:r w:rsidRPr="00006D3A">
        <w:rPr>
          <w:rFonts w:ascii="Verdana" w:hAnsi="Verdana" w:eastAsia="Calibri" w:cs="Arial"/>
        </w:rPr>
        <w:t>Finalmente, se precisa que esta Agencia no puede definir un</w:t>
      </w:r>
      <w:r w:rsidRPr="00006D3A">
        <w:t xml:space="preserve"> </w:t>
      </w:r>
      <w:r w:rsidRPr="00006D3A">
        <w:rPr>
          <w:rFonts w:ascii="Verdana" w:hAnsi="Verdana" w:eastAsia="Calibri" w:cs="Arial"/>
        </w:rPr>
        <w:t xml:space="preserve">criterio universal y absoluto por vía consultiva, sino que brinda elementos hermenéuticos de carácter general para que los partícipes del sistema de compras y contratación pública adopten la decisión que corresponda, lo o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establecer un proceso de contratación, así como determinar la forma en la que estos grupos se estructuran atendiendo a las normas que regulan el sector objeto del contrato. </w:t>
      </w:r>
    </w:p>
    <w:bookmarkEnd w:id="1"/>
    <w:bookmarkEnd w:id="2"/>
    <w:p w:rsidRPr="00E946E0" w:rsidR="003E1B03" w:rsidP="003E1B03" w:rsidRDefault="003E1B03" w14:paraId="472445DE" w14:textId="77777777">
      <w:pPr>
        <w:spacing w:after="0" w:line="276" w:lineRule="auto"/>
        <w:jc w:val="both"/>
        <w:rPr>
          <w:rFonts w:ascii="Verdana" w:hAnsi="Verdana" w:eastAsia="Century Gothic" w:cs="Century Gothic"/>
          <w:b/>
          <w:lang w:val="es-ES"/>
        </w:rPr>
      </w:pPr>
      <w:r w:rsidRPr="00E946E0">
        <w:rPr>
          <w:rFonts w:ascii="Verdana" w:hAnsi="Verdana" w:eastAsia="Century Gothic" w:cs="Century Gothic"/>
          <w:b/>
          <w:lang w:val="es-ES"/>
        </w:rPr>
        <w:t>4. Referencias normativas, jurisprudenciales y otras fuentes:</w:t>
      </w:r>
    </w:p>
    <w:p w:rsidRPr="00792784" w:rsidR="003E1B03" w:rsidP="003E1B03" w:rsidRDefault="003E1B03" w14:paraId="55992153" w14:textId="77777777">
      <w:pPr>
        <w:spacing w:after="0" w:line="276" w:lineRule="auto"/>
        <w:jc w:val="both"/>
        <w:rPr>
          <w:rFonts w:ascii="Verdana" w:hAnsi="Verdana" w:eastAsia="Century Gothic" w:cs="Century Gothic"/>
          <w:b/>
          <w:color w:val="ED7D31" w:themeColor="accent2"/>
          <w:lang w:val="es-ES"/>
        </w:rPr>
      </w:pPr>
    </w:p>
    <w:tbl>
      <w:tblPr>
        <w:tblStyle w:val="Tablaconcuadrcula"/>
        <w:tblW w:w="8647" w:type="dxa"/>
        <w:tblInd w:w="137"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8647"/>
      </w:tblGrid>
      <w:tr w:rsidRPr="00792784" w:rsidR="003E1B03" w:rsidTr="00814D18" w14:paraId="2C527240" w14:textId="77777777">
        <w:trPr>
          <w:trHeight w:val="453"/>
        </w:trPr>
        <w:tc>
          <w:tcPr>
            <w:tcW w:w="8647" w:type="dxa"/>
          </w:tcPr>
          <w:p w:rsidRPr="00006D3A" w:rsidR="003E1B03" w:rsidP="00814D18" w:rsidRDefault="003E1B03" w14:paraId="6EA05886" w14:textId="77777777">
            <w:pPr>
              <w:widowControl w:val="0"/>
              <w:numPr>
                <w:ilvl w:val="0"/>
                <w:numId w:val="16"/>
              </w:numPr>
              <w:autoSpaceDE w:val="0"/>
              <w:autoSpaceDN w:val="0"/>
              <w:spacing w:line="276" w:lineRule="auto"/>
              <w:jc w:val="both"/>
              <w:rPr>
                <w:rFonts w:ascii="Verdana" w:hAnsi="Verdana" w:eastAsia="Calibri" w:cs="Arial"/>
                <w:lang w:val="es-ES"/>
              </w:rPr>
            </w:pPr>
            <w:r w:rsidRPr="00006D3A">
              <w:rPr>
                <w:rFonts w:ascii="Verdana" w:hAnsi="Verdana" w:eastAsia="Calibri" w:cs="Arial"/>
                <w:lang w:val="es-ES"/>
              </w:rPr>
              <w:t>Ley 80 de 1993. Artículo 22</w:t>
            </w:r>
          </w:p>
          <w:p w:rsidR="003E1B03" w:rsidP="00814D18" w:rsidRDefault="003E1B03" w14:paraId="1870F1B0" w14:textId="77777777">
            <w:pPr>
              <w:widowControl w:val="0"/>
              <w:numPr>
                <w:ilvl w:val="0"/>
                <w:numId w:val="16"/>
              </w:numPr>
              <w:autoSpaceDE w:val="0"/>
              <w:autoSpaceDN w:val="0"/>
              <w:spacing w:line="276" w:lineRule="auto"/>
              <w:jc w:val="both"/>
              <w:rPr>
                <w:rFonts w:ascii="Verdana" w:hAnsi="Verdana" w:eastAsia="Calibri" w:cs="Arial"/>
                <w:lang w:val="es-ES"/>
              </w:rPr>
            </w:pPr>
            <w:r w:rsidRPr="00006D3A">
              <w:rPr>
                <w:rFonts w:ascii="Verdana" w:hAnsi="Verdana" w:eastAsia="Calibri" w:cs="Arial"/>
                <w:lang w:val="es-ES"/>
              </w:rPr>
              <w:t>Ley 1150 de 2007. Artículo</w:t>
            </w:r>
            <w:r>
              <w:rPr>
                <w:rFonts w:ascii="Verdana" w:hAnsi="Verdana" w:eastAsia="Calibri" w:cs="Arial"/>
                <w:lang w:val="es-ES"/>
              </w:rPr>
              <w:t>s</w:t>
            </w:r>
            <w:r w:rsidRPr="00006D3A">
              <w:rPr>
                <w:rFonts w:ascii="Verdana" w:hAnsi="Verdana" w:eastAsia="Calibri" w:cs="Arial"/>
                <w:lang w:val="es-ES"/>
              </w:rPr>
              <w:t xml:space="preserve"> </w:t>
            </w:r>
            <w:r>
              <w:rPr>
                <w:rFonts w:ascii="Verdana" w:hAnsi="Verdana" w:eastAsia="Calibri" w:cs="Arial"/>
                <w:lang w:val="es-ES"/>
              </w:rPr>
              <w:t>5 y 6.</w:t>
            </w:r>
          </w:p>
          <w:p w:rsidRPr="00006D3A" w:rsidR="003E1B03" w:rsidP="00814D18" w:rsidRDefault="003E1B03" w14:paraId="3FF49AB8" w14:textId="77777777">
            <w:pPr>
              <w:pStyle w:val="Prrafodelista"/>
              <w:widowControl w:val="0"/>
              <w:numPr>
                <w:ilvl w:val="0"/>
                <w:numId w:val="16"/>
              </w:numPr>
              <w:autoSpaceDE w:val="0"/>
              <w:autoSpaceDN w:val="0"/>
              <w:spacing w:line="276" w:lineRule="auto"/>
              <w:jc w:val="both"/>
              <w:rPr>
                <w:rFonts w:ascii="Verdana" w:hAnsi="Verdana" w:cs="Arial"/>
              </w:rPr>
            </w:pPr>
            <w:r w:rsidRPr="00007B41">
              <w:rPr>
                <w:rFonts w:ascii="Verdana" w:hAnsi="Verdana" w:cs="Arial"/>
              </w:rPr>
              <w:t>Ley 1437 de 2011</w:t>
            </w:r>
            <w:r>
              <w:rPr>
                <w:rFonts w:ascii="Verdana" w:hAnsi="Verdana" w:cs="Arial"/>
              </w:rPr>
              <w:t>. A</w:t>
            </w:r>
            <w:r w:rsidRPr="00007B41">
              <w:rPr>
                <w:rFonts w:ascii="Verdana" w:hAnsi="Verdana" w:cs="Arial"/>
              </w:rPr>
              <w:t>rtículo 87.</w:t>
            </w:r>
          </w:p>
          <w:p w:rsidRPr="00007B41" w:rsidR="003E1B03" w:rsidP="00814D18" w:rsidRDefault="003E1B03" w14:paraId="25E05E03" w14:textId="77777777">
            <w:pPr>
              <w:pStyle w:val="Prrafodelista"/>
              <w:widowControl w:val="0"/>
              <w:numPr>
                <w:ilvl w:val="0"/>
                <w:numId w:val="16"/>
              </w:numPr>
              <w:autoSpaceDE w:val="0"/>
              <w:autoSpaceDN w:val="0"/>
              <w:spacing w:line="276" w:lineRule="auto"/>
              <w:jc w:val="both"/>
              <w:rPr>
                <w:rFonts w:ascii="Verdana" w:hAnsi="Verdana" w:cs="Arial"/>
              </w:rPr>
            </w:pPr>
            <w:r w:rsidRPr="00007B41">
              <w:rPr>
                <w:rFonts w:ascii="Verdana" w:hAnsi="Verdana" w:cs="Arial"/>
              </w:rPr>
              <w:t>Decreto 1082 de 2015</w:t>
            </w:r>
            <w:r>
              <w:rPr>
                <w:rFonts w:ascii="Verdana" w:hAnsi="Verdana" w:cs="Arial"/>
              </w:rPr>
              <w:t>. A</w:t>
            </w:r>
            <w:r w:rsidRPr="00007B41">
              <w:rPr>
                <w:rFonts w:ascii="Verdana" w:hAnsi="Verdana" w:cs="Arial"/>
              </w:rPr>
              <w:t>rtículos 2.2.1.1.1.5.1. y 2.2.1.1.1.5.2.</w:t>
            </w:r>
          </w:p>
          <w:p w:rsidRPr="00006D3A" w:rsidR="003E1B03" w:rsidP="00814D18" w:rsidRDefault="003E1B03" w14:paraId="2B835269" w14:textId="77777777">
            <w:pPr>
              <w:widowControl w:val="0"/>
              <w:numPr>
                <w:ilvl w:val="0"/>
                <w:numId w:val="16"/>
              </w:numPr>
              <w:autoSpaceDE w:val="0"/>
              <w:autoSpaceDN w:val="0"/>
              <w:spacing w:line="276" w:lineRule="auto"/>
              <w:jc w:val="both"/>
              <w:rPr>
                <w:rFonts w:ascii="Verdana" w:hAnsi="Verdana" w:eastAsia="Calibri" w:cs="Arial"/>
                <w:lang w:val="es-ES"/>
              </w:rPr>
            </w:pPr>
            <w:r w:rsidRPr="00006D3A">
              <w:rPr>
                <w:rFonts w:ascii="Verdana" w:hAnsi="Verdana" w:eastAsia="Calibri" w:cs="Arial"/>
                <w:lang w:val="es-ES"/>
              </w:rPr>
              <w:t>Consejo de Estado. Sección Cuarta. Sentencia del 19 de noviembre de 1999. Exp. 9.453. CP. Daniel Manrique Guzmán.</w:t>
            </w:r>
          </w:p>
          <w:p w:rsidRPr="00006D3A" w:rsidR="003E1B03" w:rsidP="00814D18" w:rsidRDefault="003E1B03" w14:paraId="67FD5E42" w14:textId="77777777">
            <w:pPr>
              <w:widowControl w:val="0"/>
              <w:numPr>
                <w:ilvl w:val="0"/>
                <w:numId w:val="16"/>
              </w:numPr>
              <w:autoSpaceDE w:val="0"/>
              <w:autoSpaceDN w:val="0"/>
              <w:spacing w:line="276" w:lineRule="auto"/>
              <w:jc w:val="both"/>
              <w:rPr>
                <w:rFonts w:ascii="Verdana" w:hAnsi="Verdana" w:eastAsia="Calibri" w:cs="Arial"/>
                <w:color w:val="ED7D31" w:themeColor="accent2"/>
                <w:lang w:val="es-ES"/>
              </w:rPr>
            </w:pPr>
            <w:r w:rsidRPr="00006D3A">
              <w:rPr>
                <w:rFonts w:ascii="Verdana" w:hAnsi="Verdana" w:eastAsia="Calibri" w:cs="Arial"/>
                <w:lang w:val="es-ES"/>
              </w:rPr>
              <w:t>Consejo de Estado. Sección Tercera. Subsección B. Sentencia del 6 de junio de 2013. Exp. 25151. C.P. Stella Conto Díaz del Castillo.</w:t>
            </w:r>
          </w:p>
          <w:p w:rsidRPr="00792784" w:rsidR="003E1B03" w:rsidP="00814D18" w:rsidRDefault="003E1B03" w14:paraId="7E15FB31" w14:textId="77777777">
            <w:pPr>
              <w:widowControl w:val="0"/>
              <w:numPr>
                <w:ilvl w:val="0"/>
                <w:numId w:val="16"/>
              </w:numPr>
              <w:autoSpaceDE w:val="0"/>
              <w:autoSpaceDN w:val="0"/>
              <w:spacing w:line="276" w:lineRule="auto"/>
              <w:jc w:val="both"/>
              <w:rPr>
                <w:rFonts w:ascii="Verdana" w:hAnsi="Verdana" w:eastAsia="Calibri" w:cs="Arial"/>
                <w:color w:val="ED7D31" w:themeColor="accent2"/>
                <w:lang w:val="es-ES"/>
              </w:rPr>
            </w:pPr>
            <w:r>
              <w:rPr>
                <w:rFonts w:ascii="Verdana" w:hAnsi="Verdana" w:eastAsia="Calibri" w:cs="Arial"/>
                <w:lang w:val="es-ES"/>
              </w:rPr>
              <w:t xml:space="preserve">Agencia Nacional de Contratación Pública – Colombia Compra Eficiente. </w:t>
            </w:r>
            <w:r w:rsidRPr="00007B41">
              <w:rPr>
                <w:rFonts w:ascii="Verdana" w:hAnsi="Verdana" w:cs="Arial"/>
              </w:rPr>
              <w:t>Circular Externa Única</w:t>
            </w:r>
            <w:r>
              <w:rPr>
                <w:rFonts w:ascii="Verdana" w:hAnsi="Verdana" w:cs="Arial"/>
              </w:rPr>
              <w:t xml:space="preserve">. Disponible en: </w:t>
            </w:r>
            <w:hyperlink w:history="1" r:id="rId12">
              <w:r w:rsidRPr="00CD75CF">
                <w:rPr>
                  <w:rStyle w:val="Hipervnculo"/>
                  <w:rFonts w:ascii="Verdana" w:hAnsi="Verdana" w:cs="Arial"/>
                </w:rPr>
                <w:t>https://www.colombiacompra.gov.co/normativa-y-relatoria/circular-unica-externa</w:t>
              </w:r>
            </w:hyperlink>
            <w:r>
              <w:rPr>
                <w:rFonts w:ascii="Verdana" w:hAnsi="Verdana" w:cs="Arial"/>
              </w:rPr>
              <w:t xml:space="preserve"> </w:t>
            </w:r>
          </w:p>
        </w:tc>
      </w:tr>
    </w:tbl>
    <w:p w:rsidRPr="00792784" w:rsidR="003E1B03" w:rsidP="003E1B03" w:rsidRDefault="003E1B03" w14:paraId="71F5C701" w14:textId="77777777">
      <w:pPr>
        <w:widowControl w:val="0"/>
        <w:autoSpaceDE w:val="0"/>
        <w:autoSpaceDN w:val="0"/>
        <w:spacing w:after="0" w:line="276" w:lineRule="auto"/>
        <w:jc w:val="both"/>
        <w:rPr>
          <w:rFonts w:ascii="Verdana" w:hAnsi="Verdana" w:cs="Arial"/>
          <w:color w:val="ED7D31" w:themeColor="accent2"/>
          <w:highlight w:val="lightGray"/>
          <w:lang w:val="es-ES"/>
        </w:rPr>
      </w:pPr>
    </w:p>
    <w:p w:rsidRPr="00E61388" w:rsidR="003E1B03" w:rsidP="003E1B03" w:rsidRDefault="003E1B03" w14:paraId="7CE075AF" w14:textId="77777777">
      <w:pPr>
        <w:tabs>
          <w:tab w:val="left" w:pos="142"/>
          <w:tab w:val="left" w:pos="284"/>
        </w:tabs>
        <w:spacing w:after="0" w:line="276" w:lineRule="auto"/>
        <w:jc w:val="both"/>
        <w:rPr>
          <w:rFonts w:ascii="Verdana" w:hAnsi="Verdana" w:eastAsia="Century Gothic" w:cs="Century Gothic"/>
          <w:b/>
          <w:lang w:val="es-ES"/>
        </w:rPr>
      </w:pPr>
      <w:r w:rsidRPr="00E61388">
        <w:rPr>
          <w:rFonts w:ascii="Verdana" w:hAnsi="Verdana" w:eastAsia="Century Gothic" w:cs="Century Gothic"/>
          <w:b/>
          <w:lang w:val="es-ES"/>
        </w:rPr>
        <w:t>5. Doctrina de la Agencia Nacional de Contratación Pública:</w:t>
      </w:r>
    </w:p>
    <w:p w:rsidRPr="00E946E0" w:rsidR="003E1B03" w:rsidP="003E1B03" w:rsidRDefault="003E1B03" w14:paraId="4A0FB262" w14:textId="77777777">
      <w:pPr>
        <w:tabs>
          <w:tab w:val="left" w:pos="142"/>
          <w:tab w:val="left" w:pos="284"/>
        </w:tabs>
        <w:spacing w:after="0" w:line="276" w:lineRule="auto"/>
        <w:jc w:val="both"/>
        <w:rPr>
          <w:rFonts w:ascii="Verdana" w:hAnsi="Verdana" w:eastAsia="Century Gothic" w:cs="Century Gothic"/>
          <w:b/>
          <w:lang w:val="es-ES"/>
        </w:rPr>
      </w:pPr>
    </w:p>
    <w:p w:rsidRPr="00E946E0" w:rsidR="003E1B03" w:rsidP="003E1B03" w:rsidRDefault="003E1B03" w14:paraId="573B4486" w14:textId="77777777">
      <w:pPr>
        <w:spacing w:after="0" w:line="276" w:lineRule="auto"/>
        <w:jc w:val="both"/>
        <w:rPr>
          <w:rFonts w:ascii="Verdana" w:hAnsi="Verdana" w:eastAsia="Calibri" w:cs="Arial"/>
          <w:lang w:eastAsia="es-ES_tradnl"/>
        </w:rPr>
      </w:pPr>
      <w:r w:rsidRPr="00E946E0">
        <w:rPr>
          <w:rFonts w:ascii="Verdana" w:hAnsi="Verdana" w:cs="Arial"/>
          <w:bCs/>
          <w:shd w:val="clear" w:color="auto" w:fill="FFFFFF"/>
        </w:rPr>
        <w:t xml:space="preserve">La Agencia Nacional de Contratación Pública – Colombia Compra Eficiente, </w:t>
      </w:r>
      <w:r w:rsidRPr="00E946E0">
        <w:rPr>
          <w:rFonts w:ascii="Verdana" w:hAnsi="Verdana" w:eastAsia="Calibri" w:cs="Arial"/>
          <w:lang w:val="es-ES" w:eastAsia="es-ES"/>
        </w:rPr>
        <w:t>se ha pronunciado sobre el RUP</w:t>
      </w:r>
      <w:r w:rsidRPr="00E946E0">
        <w:rPr>
          <w:rFonts w:ascii="Verdana" w:hAnsi="Verdana" w:cs="Arial"/>
          <w:bCs/>
          <w:shd w:val="clear" w:color="auto" w:fill="FFFFFF"/>
        </w:rPr>
        <w:t xml:space="preserve"> su</w:t>
      </w:r>
      <w:r w:rsidRPr="00E946E0">
        <w:rPr>
          <w:rFonts w:ascii="Verdana" w:hAnsi="Verdana" w:eastAsia="Calibri" w:cs="Arial"/>
          <w:lang w:val="es-ES_tradnl" w:eastAsia="es-ES_tradnl"/>
        </w:rPr>
        <w:t xml:space="preserve"> firmeza, renovación y actualización en los conceptos C–005  del 14 de febrero de 2020, C–148 del 22 de abril de 2020, C–330 del 27 de mayo de 2020, C–303 del 3 de junio de 2020, C–328 de 30 de junio de 2020, C–454 del 6 de julio de 2020, C–374 del 23 de julio de 2020, C–466 del 24 de julio de 2020, C–420 del 28 de julio de 2020, C–534 del 12 de agosto de 2020, C-703 del 12 de enero de 2022, C-360 del 25 de mayo de 2022, C-426 del 5 de julio de 2022, C-325 del 29 de julio de 2024, C-353 del 30 de agosto de 2024, C-1006 del 30 de diciembre de 2024, C-321 del 17 de junio de 2025, </w:t>
      </w:r>
      <w:r w:rsidRPr="00E946E0">
        <w:rPr>
          <w:rFonts w:ascii="Verdana" w:hAnsi="Verdana" w:eastAsia="Calibri" w:cs="Arial"/>
          <w:lang w:eastAsia="es-ES_tradnl"/>
        </w:rPr>
        <w:t>C-544 del 16 de junio 2025, C-1874 del 28 de enero de 2026, entre otros.</w:t>
      </w:r>
    </w:p>
    <w:p w:rsidRPr="00B52E6D" w:rsidR="003E1B03" w:rsidP="003E1B03" w:rsidRDefault="003E1B03" w14:paraId="17C0AA3D" w14:textId="77777777">
      <w:pPr>
        <w:spacing w:after="0" w:line="276" w:lineRule="auto"/>
        <w:jc w:val="both"/>
        <w:rPr>
          <w:rFonts w:ascii="Verdana" w:hAnsi="Verdana" w:cs="Arial"/>
          <w:shd w:val="clear" w:color="auto" w:fill="FFFFFF"/>
          <w:lang w:val="es-ES"/>
        </w:rPr>
      </w:pPr>
    </w:p>
    <w:p w:rsidRPr="00B52E6D" w:rsidR="003E1B03" w:rsidP="003E1B03" w:rsidRDefault="003E1B03" w14:paraId="554FACAB" w14:textId="77777777">
      <w:pPr>
        <w:spacing w:after="0" w:line="276" w:lineRule="auto"/>
        <w:jc w:val="both"/>
        <w:rPr>
          <w:rFonts w:ascii="Verdana" w:hAnsi="Verdana"/>
          <w:lang w:val="es-ES"/>
        </w:rPr>
      </w:pPr>
      <w:r w:rsidRPr="00B52E6D">
        <w:rPr>
          <w:rFonts w:ascii="Verdana" w:hAnsi="Verdana" w:cs="Arial"/>
          <w:shd w:val="clear" w:color="auto" w:fill="FFFFFF"/>
          <w:lang w:val="es-ES"/>
        </w:rPr>
        <w:t>Estos</w:t>
      </w:r>
      <w:r w:rsidRPr="00B52E6D">
        <w:rPr>
          <w:rFonts w:ascii="Verdana" w:hAnsi="Verdana"/>
          <w:lang w:val="es-ES"/>
        </w:rPr>
        <w:t xml:space="preserve"> y otros se encuentran disponibles para consulta en el Sistema de relatoría de la Agencia, al cual se puede acceder a través del siguiente enlace:</w:t>
      </w:r>
      <w:r w:rsidRPr="00B52E6D">
        <w:rPr>
          <w:rFonts w:ascii="Verdana" w:hAnsi="Verdana" w:cs="Arial"/>
          <w:shd w:val="clear" w:color="auto" w:fill="FFFFFF"/>
          <w:lang w:val="es-ES"/>
        </w:rPr>
        <w:t xml:space="preserve"> </w:t>
      </w:r>
      <w:hyperlink w:history="1" r:id="rId13">
        <w:r w:rsidRPr="00B52E6D">
          <w:rPr>
            <w:rStyle w:val="Hipervnculo"/>
            <w:rFonts w:ascii="Verdana" w:hAnsi="Verdana" w:cs="Arial"/>
            <w:shd w:val="clear" w:color="auto" w:fill="FFFFFF"/>
            <w:lang w:val="es-ES"/>
          </w:rPr>
          <w:t>https://relatoria.colombiacompra.gov.co/busqueda/conceptos</w:t>
        </w:r>
      </w:hyperlink>
    </w:p>
    <w:p w:rsidRPr="00B52E6D" w:rsidR="003E1B03" w:rsidP="003E1B03" w:rsidRDefault="003E1B03" w14:paraId="6C9FF309" w14:textId="77777777">
      <w:pPr>
        <w:spacing w:after="0" w:line="276" w:lineRule="auto"/>
        <w:jc w:val="both"/>
        <w:rPr>
          <w:rFonts w:ascii="Verdana" w:hAnsi="Verdana" w:cs="Arial"/>
          <w:shd w:val="clear" w:color="auto" w:fill="FFFFFF"/>
        </w:rPr>
      </w:pPr>
    </w:p>
    <w:p w:rsidRPr="00255E89" w:rsidR="003E1B03" w:rsidP="003E1B03" w:rsidRDefault="003E1B03" w14:paraId="4F3B9515" w14:textId="77777777">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Por último, lo invitamos a seguirnos en las redes sociales en las cuales se difunde información institucional: </w:t>
      </w:r>
    </w:p>
    <w:p w:rsidRPr="00064773" w:rsidR="003E1B03" w:rsidP="003E1B03" w:rsidRDefault="003E1B03" w14:paraId="3BD3275D" w14:textId="77777777">
      <w:pPr>
        <w:spacing w:after="0" w:line="276" w:lineRule="auto"/>
        <w:jc w:val="both"/>
        <w:rPr>
          <w:rFonts w:ascii="Verdana" w:hAnsi="Verdana" w:cs="Arial"/>
          <w:shd w:val="clear" w:color="auto" w:fill="FFFFFF"/>
        </w:rPr>
      </w:pPr>
    </w:p>
    <w:p w:rsidRPr="00B52E6D" w:rsidR="003E1B03" w:rsidP="003E1B03" w:rsidRDefault="003E1B03" w14:paraId="2E99E15E" w14:textId="77777777">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Twitter: </w:t>
      </w:r>
      <w:r w:rsidRPr="00B52E6D">
        <w:rPr>
          <w:rStyle w:val="Hipervnculo"/>
          <w:rFonts w:ascii="Verdana" w:hAnsi="Verdana"/>
          <w:lang w:val="es-ES"/>
        </w:rPr>
        <w:t>@colombiacompra</w:t>
      </w:r>
      <w:r w:rsidRPr="00B52E6D">
        <w:rPr>
          <w:rStyle w:val="Hipervnculo"/>
          <w:rFonts w:ascii="Verdana" w:hAnsi="Verdana"/>
          <w:color w:val="auto"/>
          <w:lang w:val="es-ES"/>
        </w:rPr>
        <w:t xml:space="preserve"> </w:t>
      </w:r>
    </w:p>
    <w:p w:rsidRPr="00B52E6D" w:rsidR="003E1B03" w:rsidP="003E1B03" w:rsidRDefault="003E1B03" w14:paraId="6067B108" w14:textId="77777777">
      <w:pPr>
        <w:spacing w:after="0" w:line="276" w:lineRule="auto"/>
        <w:jc w:val="both"/>
        <w:rPr>
          <w:rFonts w:ascii="Verdana" w:hAnsi="Verdana" w:cs="Arial"/>
          <w:shd w:val="clear" w:color="auto" w:fill="FFFFFF"/>
        </w:rPr>
      </w:pPr>
      <w:r w:rsidRPr="00B52E6D">
        <w:rPr>
          <w:rFonts w:ascii="Verdana" w:hAnsi="Verdana" w:cs="Arial"/>
          <w:shd w:val="clear" w:color="auto" w:fill="FFFFFF"/>
        </w:rPr>
        <w:t>Facebook:</w:t>
      </w:r>
      <w:r w:rsidRPr="00B52E6D">
        <w:rPr>
          <w:rStyle w:val="Hipervnculo"/>
          <w:rFonts w:ascii="Verdana" w:hAnsi="Verdana"/>
          <w:lang w:val="es-ES"/>
        </w:rPr>
        <w:t xml:space="preserve"> ColombiaCompraEficiente</w:t>
      </w:r>
    </w:p>
    <w:p w:rsidRPr="00B52E6D" w:rsidR="003E1B03" w:rsidP="003E1B03" w:rsidRDefault="003E1B03" w14:paraId="04FF709A" w14:textId="77777777">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LinkedIn: </w:t>
      </w:r>
      <w:r w:rsidRPr="00B52E6D">
        <w:rPr>
          <w:rStyle w:val="Hipervnculo"/>
          <w:rFonts w:ascii="Verdana" w:hAnsi="Verdana"/>
          <w:lang w:val="es-ES"/>
        </w:rPr>
        <w:t>Agencia Nacional de Contratación Pública - Colombia Compra Eficiente</w:t>
      </w:r>
      <w:r w:rsidRPr="00B52E6D">
        <w:rPr>
          <w:rFonts w:ascii="Verdana" w:hAnsi="Verdana" w:cs="Arial"/>
          <w:color w:val="0000FF"/>
          <w:shd w:val="clear" w:color="auto" w:fill="FFFFFF"/>
        </w:rPr>
        <w:t xml:space="preserve"> </w:t>
      </w:r>
    </w:p>
    <w:p w:rsidRPr="00B52E6D" w:rsidR="003E1B03" w:rsidP="003E1B03" w:rsidRDefault="003E1B03" w14:paraId="568F7E9D" w14:textId="77777777">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Instagram: </w:t>
      </w:r>
      <w:r w:rsidRPr="00B52E6D">
        <w:rPr>
          <w:rStyle w:val="Hipervnculo"/>
          <w:rFonts w:ascii="Verdana" w:hAnsi="Verdana"/>
          <w:lang w:val="es-ES"/>
        </w:rPr>
        <w:t>@colombiacompraeficiente_cce</w:t>
      </w:r>
    </w:p>
    <w:p w:rsidRPr="00B52E6D" w:rsidR="003E1B03" w:rsidP="003E1B03" w:rsidRDefault="003E1B03" w14:paraId="59F92F7D" w14:textId="77777777">
      <w:pPr>
        <w:widowControl w:val="0"/>
        <w:autoSpaceDE w:val="0"/>
        <w:autoSpaceDN w:val="0"/>
        <w:spacing w:after="0" w:line="276" w:lineRule="auto"/>
        <w:jc w:val="both"/>
        <w:rPr>
          <w:rFonts w:ascii="Verdana" w:hAnsi="Verdana" w:cs="Arial"/>
          <w:lang w:val="es-ES"/>
        </w:rPr>
      </w:pPr>
    </w:p>
    <w:p w:rsidRPr="00B52E6D" w:rsidR="003E1B03" w:rsidP="003E1B03" w:rsidRDefault="003E1B03" w14:paraId="479FC22D" w14:textId="77777777">
      <w:pPr>
        <w:widowControl w:val="0"/>
        <w:autoSpaceDE w:val="0"/>
        <w:autoSpaceDN w:val="0"/>
        <w:spacing w:after="0" w:line="276" w:lineRule="auto"/>
        <w:jc w:val="both"/>
        <w:rPr>
          <w:rFonts w:ascii="Verdana" w:hAnsi="Verdana" w:cs="Arial"/>
          <w:lang w:val="es-ES"/>
        </w:rPr>
      </w:pPr>
      <w:r w:rsidRPr="00B52E6D">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rsidRPr="00B52E6D" w:rsidR="003E1B03" w:rsidP="003E1B03" w:rsidRDefault="003E1B03" w14:paraId="56E9042D" w14:textId="77777777">
      <w:pPr>
        <w:widowControl w:val="0"/>
        <w:autoSpaceDE w:val="0"/>
        <w:autoSpaceDN w:val="0"/>
        <w:spacing w:after="0" w:line="276" w:lineRule="auto"/>
        <w:jc w:val="both"/>
        <w:rPr>
          <w:rFonts w:ascii="Verdana" w:hAnsi="Verdana" w:cs="Arial"/>
          <w:lang w:val="es-ES"/>
        </w:rPr>
      </w:pPr>
    </w:p>
    <w:p w:rsidR="003E1B03" w:rsidP="003E1B03" w:rsidRDefault="003E1B03" w14:paraId="4452054B" w14:textId="77777777">
      <w:pPr>
        <w:spacing w:after="0" w:line="276" w:lineRule="auto"/>
        <w:rPr>
          <w:rFonts w:ascii="Verdana" w:hAnsi="Verdana" w:cs="Arial"/>
          <w:lang w:val="es-ES" w:eastAsia="es-CO"/>
        </w:rPr>
      </w:pPr>
      <w:r w:rsidRPr="006F76C5">
        <w:rPr>
          <w:rFonts w:ascii="Verdana" w:hAnsi="Verdana" w:eastAsia="Times New Roman" w:cs="Arial"/>
          <w:lang w:val="es-ES" w:eastAsia="es-CO"/>
        </w:rPr>
        <w:t>Atentamente,</w:t>
      </w:r>
      <w:r w:rsidRPr="006F76C5">
        <w:rPr>
          <w:rFonts w:ascii="Verdana" w:hAnsi="Verdana" w:cs="Arial"/>
          <w:lang w:val="es-ES" w:eastAsia="es-CO"/>
        </w:rPr>
        <w:t xml:space="preserve"> </w:t>
      </w:r>
    </w:p>
    <w:p w:rsidR="003E1B03" w:rsidP="003E1B03" w:rsidRDefault="003E1B03" w14:paraId="19A1EB03" w14:textId="624954B0">
      <w:pPr>
        <w:spacing w:after="0" w:line="276" w:lineRule="auto"/>
        <w:rPr>
          <w:rFonts w:ascii="Verdana" w:hAnsi="Verdana" w:eastAsia="Calibri" w:cs="Times New Roman"/>
          <w:noProof/>
          <w:color w:val="EE0000"/>
          <w14:ligatures w14:val="standardContextual"/>
        </w:rPr>
      </w:pPr>
    </w:p>
    <w:p w:rsidRPr="00235D3B" w:rsidR="00F46DFA" w:rsidP="00F46DFA" w:rsidRDefault="00F46DFA" w14:paraId="4A0EF812" w14:textId="57A75844">
      <w:pPr>
        <w:spacing w:after="0" w:line="276" w:lineRule="auto"/>
        <w:jc w:val="center"/>
        <w:rPr>
          <w:rFonts w:ascii="Verdana" w:hAnsi="Verdana" w:cs="Arial"/>
          <w:lang w:val="es-ES" w:eastAsia="es-CO"/>
        </w:rPr>
      </w:pPr>
      <w:r w:rsidRPr="00F46DFA">
        <w:rPr>
          <w:rFonts w:ascii="Verdana" w:hAnsi="Verdana" w:cs="Arial"/>
          <w:lang w:val="es-ES" w:eastAsia="es-CO"/>
        </w:rPr>
        <w:drawing>
          <wp:inline distT="0" distB="0" distL="0" distR="0" wp14:anchorId="49F20DB5" wp14:editId="6604ACE5">
            <wp:extent cx="2819794" cy="990738"/>
            <wp:effectExtent l="0" t="0" r="0" b="0"/>
            <wp:docPr id="15032977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97760" name=""/>
                    <pic:cNvPicPr/>
                  </pic:nvPicPr>
                  <pic:blipFill>
                    <a:blip r:embed="rId14"/>
                    <a:stretch>
                      <a:fillRect/>
                    </a:stretch>
                  </pic:blipFill>
                  <pic:spPr>
                    <a:xfrm>
                      <a:off x="0" y="0"/>
                      <a:ext cx="2819794" cy="990738"/>
                    </a:xfrm>
                    <a:prstGeom prst="rect">
                      <a:avLst/>
                    </a:prstGeom>
                  </pic:spPr>
                </pic:pic>
              </a:graphicData>
            </a:graphic>
          </wp:inline>
        </w:drawing>
      </w:r>
    </w:p>
    <w:p w:rsidRPr="00797350" w:rsidR="003E1B03" w:rsidP="003E1B03" w:rsidRDefault="003E1B03" w14:paraId="6B3A5936" w14:textId="77777777">
      <w:pPr>
        <w:spacing w:after="0" w:line="276" w:lineRule="auto"/>
        <w:rPr>
          <w:rFonts w:ascii="Verdana" w:hAnsi="Verdana" w:cs="Arial"/>
          <w:highlight w:val="lightGray"/>
          <w:lang w:val="es-ES" w:eastAsia="es-CO"/>
        </w:rPr>
      </w:pPr>
    </w:p>
    <w:tbl>
      <w:tblPr>
        <w:tblStyle w:val="Tablaconcuadrcula"/>
        <w:tblW w:w="65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3"/>
        <w:gridCol w:w="5628"/>
      </w:tblGrid>
      <w:tr w:rsidRPr="00797350" w:rsidR="003E1B03" w:rsidTr="00814D18" w14:paraId="3F3397AF" w14:textId="77777777">
        <w:trPr>
          <w:trHeight w:val="315"/>
        </w:trPr>
        <w:tc>
          <w:tcPr>
            <w:tcW w:w="893" w:type="dxa"/>
            <w:vAlign w:val="center"/>
            <w:hideMark/>
          </w:tcPr>
          <w:p w:rsidRPr="00797350" w:rsidR="003E1B03" w:rsidP="00814D18" w:rsidRDefault="003E1B03" w14:paraId="387D4C60" w14:textId="77777777">
            <w:pPr>
              <w:contextualSpacing/>
              <w:rPr>
                <w:rFonts w:ascii="Verdana" w:hAnsi="Verdana" w:cs="Arial"/>
                <w:sz w:val="16"/>
                <w:szCs w:val="16"/>
                <w:lang w:val="es-ES" w:eastAsia="es-ES"/>
              </w:rPr>
            </w:pPr>
            <w:r w:rsidRPr="00797350">
              <w:rPr>
                <w:rFonts w:ascii="Verdana" w:hAnsi="Verdana" w:cs="Arial"/>
                <w:sz w:val="16"/>
                <w:szCs w:val="16"/>
                <w:lang w:val="es-ES" w:eastAsia="es-ES"/>
              </w:rPr>
              <w:t>Elaboró:</w:t>
            </w:r>
          </w:p>
        </w:tc>
        <w:tc>
          <w:tcPr>
            <w:tcW w:w="5628" w:type="dxa"/>
            <w:tcBorders>
              <w:top w:val="nil"/>
              <w:left w:val="nil"/>
              <w:bottom w:val="dotted" w:color="7F7F7F" w:themeColor="text1" w:themeTint="80" w:sz="4" w:space="0"/>
              <w:right w:val="nil"/>
            </w:tcBorders>
            <w:vAlign w:val="center"/>
            <w:hideMark/>
          </w:tcPr>
          <w:p w:rsidRPr="00797350" w:rsidR="003E1B03" w:rsidP="00814D18" w:rsidRDefault="003E1B03" w14:paraId="39E7DE1C" w14:textId="77777777">
            <w:pPr>
              <w:rPr>
                <w:rFonts w:ascii="Verdana" w:hAnsi="Verdana" w:eastAsia="Times New Roman" w:cs="Arial"/>
                <w:sz w:val="16"/>
                <w:szCs w:val="16"/>
                <w:lang w:eastAsia="es-ES"/>
              </w:rPr>
            </w:pPr>
            <w:r w:rsidRPr="00797350">
              <w:rPr>
                <w:rFonts w:ascii="Verdana" w:hAnsi="Verdana" w:eastAsia="Times New Roman" w:cs="Arial"/>
                <w:sz w:val="16"/>
                <w:szCs w:val="16"/>
                <w:lang w:eastAsia="es-ES"/>
              </w:rPr>
              <w:t>Camila Alejandra Naranjo Gómez</w:t>
            </w:r>
          </w:p>
          <w:p w:rsidRPr="00797350" w:rsidR="003E1B03" w:rsidP="00814D18" w:rsidRDefault="003E1B03" w14:paraId="0F40ACD8" w14:textId="77777777">
            <w:pPr>
              <w:contextualSpacing/>
              <w:rPr>
                <w:rFonts w:ascii="Verdana" w:hAnsi="Verdana" w:eastAsia="Arial" w:cs="Arial"/>
                <w:sz w:val="16"/>
                <w:szCs w:val="16"/>
                <w:lang w:val="es-ES"/>
              </w:rPr>
            </w:pPr>
            <w:r w:rsidRPr="00797350">
              <w:rPr>
                <w:rFonts w:ascii="Verdana" w:hAnsi="Verdana" w:eastAsia="Times New Roman" w:cs="Arial"/>
                <w:sz w:val="16"/>
                <w:szCs w:val="16"/>
                <w:lang w:eastAsia="es-ES"/>
              </w:rPr>
              <w:t>Analista T2-02 de la Subdirección de Gestión Contractual</w:t>
            </w:r>
          </w:p>
        </w:tc>
      </w:tr>
      <w:tr w:rsidRPr="00797350" w:rsidR="003E1B03" w:rsidTr="00814D18" w14:paraId="3C74ED3D" w14:textId="77777777">
        <w:trPr>
          <w:trHeight w:val="330"/>
        </w:trPr>
        <w:tc>
          <w:tcPr>
            <w:tcW w:w="893" w:type="dxa"/>
            <w:vAlign w:val="center"/>
            <w:hideMark/>
          </w:tcPr>
          <w:p w:rsidRPr="00797350" w:rsidR="003E1B03" w:rsidP="00814D18" w:rsidRDefault="003E1B03" w14:paraId="394EFDC6" w14:textId="77777777">
            <w:pPr>
              <w:contextualSpacing/>
              <w:rPr>
                <w:rFonts w:ascii="Verdana" w:hAnsi="Verdana" w:cs="Arial"/>
                <w:sz w:val="16"/>
                <w:szCs w:val="16"/>
                <w:lang w:val="es-ES" w:eastAsia="es-ES"/>
              </w:rPr>
            </w:pPr>
            <w:r w:rsidRPr="00797350">
              <w:rPr>
                <w:rFonts w:ascii="Verdana" w:hAnsi="Verdana" w:cs="Arial"/>
                <w:sz w:val="16"/>
                <w:szCs w:val="16"/>
                <w:lang w:val="es-ES" w:eastAsia="es-ES"/>
              </w:rPr>
              <w:t>Revisó:</w:t>
            </w:r>
          </w:p>
        </w:tc>
        <w:tc>
          <w:tcPr>
            <w:tcW w:w="5628" w:type="dxa"/>
            <w:tcBorders>
              <w:top w:val="dotted" w:color="7F7F7F" w:themeColor="text1" w:themeTint="80" w:sz="4" w:space="0"/>
              <w:left w:val="nil"/>
              <w:bottom w:val="dotted" w:color="7F7F7F" w:themeColor="text1" w:themeTint="80" w:sz="4" w:space="0"/>
              <w:right w:val="nil"/>
            </w:tcBorders>
            <w:vAlign w:val="center"/>
            <w:hideMark/>
          </w:tcPr>
          <w:p w:rsidRPr="00797350" w:rsidR="003E1B03" w:rsidP="00814D18" w:rsidRDefault="003E1B03" w14:paraId="266A6FAB" w14:textId="77777777">
            <w:pPr>
              <w:rPr>
                <w:rFonts w:ascii="Verdana" w:hAnsi="Verdana" w:eastAsia="Times New Roman" w:cs="Arial"/>
                <w:sz w:val="16"/>
                <w:szCs w:val="16"/>
                <w:lang w:eastAsia="es-ES"/>
              </w:rPr>
            </w:pPr>
            <w:r w:rsidRPr="00797350">
              <w:rPr>
                <w:rFonts w:ascii="Verdana" w:hAnsi="Verdana" w:eastAsia="Times New Roman" w:cs="Arial"/>
                <w:sz w:val="16"/>
                <w:szCs w:val="16"/>
                <w:lang w:eastAsia="es-ES"/>
              </w:rPr>
              <w:t>Diana Luc</w:t>
            </w:r>
            <w:r>
              <w:rPr>
                <w:rFonts w:ascii="Verdana" w:hAnsi="Verdana" w:eastAsia="Times New Roman" w:cs="Arial"/>
                <w:sz w:val="16"/>
                <w:szCs w:val="16"/>
                <w:lang w:eastAsia="es-ES"/>
              </w:rPr>
              <w:t>í</w:t>
            </w:r>
            <w:r w:rsidRPr="00797350">
              <w:rPr>
                <w:rFonts w:ascii="Verdana" w:hAnsi="Verdana" w:eastAsia="Times New Roman" w:cs="Arial"/>
                <w:sz w:val="16"/>
                <w:szCs w:val="16"/>
                <w:lang w:eastAsia="es-ES"/>
              </w:rPr>
              <w:t>a Saavedra Castañeda</w:t>
            </w:r>
          </w:p>
          <w:p w:rsidRPr="00797350" w:rsidR="003E1B03" w:rsidP="00814D18" w:rsidRDefault="003E1B03" w14:paraId="5C4ACBAF" w14:textId="77777777">
            <w:pPr>
              <w:pStyle w:val="paragraph"/>
              <w:spacing w:before="0" w:beforeAutospacing="0" w:after="0" w:afterAutospacing="0"/>
              <w:contextualSpacing/>
              <w:textAlignment w:val="baseline"/>
              <w:rPr>
                <w:rFonts w:ascii="Verdana" w:hAnsi="Verdana" w:cs="Segoe UI"/>
                <w:sz w:val="16"/>
                <w:szCs w:val="16"/>
                <w:lang w:val="es-ES"/>
              </w:rPr>
            </w:pPr>
            <w:r w:rsidRPr="00797350">
              <w:rPr>
                <w:rFonts w:ascii="Verdana" w:hAnsi="Verdana" w:cs="Arial"/>
                <w:sz w:val="16"/>
                <w:szCs w:val="16"/>
                <w:lang w:eastAsia="es-ES"/>
              </w:rPr>
              <w:t>Contratista de la Subdirección de Gestión Contractual</w:t>
            </w:r>
          </w:p>
        </w:tc>
      </w:tr>
      <w:tr w:rsidRPr="009F79FE" w:rsidR="003E1B03" w:rsidTr="00814D18" w14:paraId="338CCB36" w14:textId="77777777">
        <w:trPr>
          <w:trHeight w:val="300"/>
        </w:trPr>
        <w:tc>
          <w:tcPr>
            <w:tcW w:w="893" w:type="dxa"/>
            <w:vAlign w:val="center"/>
          </w:tcPr>
          <w:p w:rsidRPr="00797350" w:rsidR="003E1B03" w:rsidP="00814D18" w:rsidRDefault="003E1B03" w14:paraId="6CBE0FE1" w14:textId="77777777">
            <w:pPr>
              <w:contextualSpacing/>
              <w:rPr>
                <w:rFonts w:ascii="Verdana" w:hAnsi="Verdana" w:cs="Arial"/>
                <w:sz w:val="16"/>
                <w:szCs w:val="16"/>
                <w:lang w:val="es-ES" w:eastAsia="es-ES"/>
              </w:rPr>
            </w:pPr>
            <w:r w:rsidRPr="00797350">
              <w:rPr>
                <w:rFonts w:ascii="Verdana" w:hAnsi="Verdana" w:cs="Arial"/>
                <w:sz w:val="16"/>
                <w:szCs w:val="16"/>
                <w:lang w:val="es-ES" w:eastAsia="es-ES"/>
              </w:rPr>
              <w:t>Aprobó:</w:t>
            </w:r>
          </w:p>
        </w:tc>
        <w:tc>
          <w:tcPr>
            <w:tcW w:w="5628" w:type="dxa"/>
            <w:tcBorders>
              <w:top w:val="dotted" w:color="7F7F7F" w:themeColor="text1" w:themeTint="80" w:sz="4" w:space="0"/>
              <w:left w:val="nil"/>
              <w:bottom w:val="dotted" w:color="7F7F7F" w:themeColor="text1" w:themeTint="80" w:sz="4" w:space="0"/>
              <w:right w:val="nil"/>
            </w:tcBorders>
            <w:vAlign w:val="center"/>
          </w:tcPr>
          <w:p w:rsidRPr="00797350" w:rsidR="003E1B03" w:rsidP="00814D18" w:rsidRDefault="003E1B03" w14:paraId="527418F5" w14:textId="77777777">
            <w:pPr>
              <w:contextualSpacing/>
              <w:rPr>
                <w:rFonts w:ascii="Verdana" w:hAnsi="Verdana" w:eastAsia="Calibri" w:cs="Arial"/>
                <w:sz w:val="16"/>
                <w:szCs w:val="16"/>
                <w:lang w:val="es-ES" w:eastAsia="es-ES"/>
              </w:rPr>
            </w:pPr>
            <w:r w:rsidRPr="00797350">
              <w:rPr>
                <w:rFonts w:ascii="Verdana" w:hAnsi="Verdana" w:eastAsia="Calibri" w:cs="Arial"/>
                <w:sz w:val="16"/>
                <w:szCs w:val="16"/>
                <w:lang w:val="es-ES" w:eastAsia="es-ES"/>
              </w:rPr>
              <w:t>Carolina Quintero Gacharná</w:t>
            </w:r>
          </w:p>
          <w:p w:rsidRPr="00797350" w:rsidR="003E1B03" w:rsidP="00814D18" w:rsidRDefault="003E1B03" w14:paraId="4AEE5056" w14:textId="77777777">
            <w:pPr>
              <w:contextualSpacing/>
              <w:rPr>
                <w:rFonts w:ascii="Verdana" w:hAnsi="Verdana" w:eastAsia="Calibri" w:cs="Arial"/>
                <w:sz w:val="16"/>
                <w:szCs w:val="16"/>
                <w:lang w:val="es-ES" w:eastAsia="es-ES"/>
              </w:rPr>
            </w:pPr>
            <w:r w:rsidRPr="00797350">
              <w:rPr>
                <w:rFonts w:ascii="Verdana" w:hAnsi="Verdana" w:eastAsia="Calibri" w:cs="Arial"/>
                <w:sz w:val="16"/>
                <w:szCs w:val="16"/>
                <w:lang w:val="es-ES" w:eastAsia="es-ES"/>
              </w:rPr>
              <w:t>Subdirectora de Gestión Contractual ANCP – CCE</w:t>
            </w:r>
          </w:p>
        </w:tc>
      </w:tr>
      <w:bookmarkEnd w:id="0"/>
    </w:tbl>
    <w:p w:rsidR="003E1B03" w:rsidP="003E1B03" w:rsidRDefault="003E1B03" w14:paraId="3B5C9389" w14:textId="77777777"/>
    <w:p w:rsidRPr="00FE55BD" w:rsidR="003E1B03" w:rsidP="003E1B03" w:rsidRDefault="003E1B03" w14:paraId="6994BC18" w14:textId="32397BA6"/>
    <w:p w:rsidRPr="006E5B7C" w:rsidR="003E1B03" w:rsidP="003E1B03" w:rsidRDefault="003E1B03" w14:paraId="0A00CFF2" w14:textId="77777777"/>
    <w:p w:rsidRPr="003E1B03" w:rsidR="00127233" w:rsidP="003E1B03" w:rsidRDefault="00127233" w14:paraId="0F293BF4" w14:textId="0BDCCB10"/>
    <w:sectPr w:rsidRPr="003E1B03" w:rsidR="00127233" w:rsidSect="007C0C0F">
      <w:headerReference w:type="default" r:id="rId15"/>
      <w:footerReference w:type="default" r:id="rId16"/>
      <w:pgSz w:w="12240" w:h="15840" w:orient="portrait"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90C" w:rsidP="004A1847" w:rsidRDefault="009D590C" w14:paraId="275C5326" w14:textId="77777777">
      <w:pPr>
        <w:spacing w:after="0" w:line="240" w:lineRule="auto"/>
      </w:pPr>
      <w:r>
        <w:separator/>
      </w:r>
    </w:p>
  </w:endnote>
  <w:endnote w:type="continuationSeparator" w:id="0">
    <w:p w:rsidR="009D590C" w:rsidP="004A1847" w:rsidRDefault="009D590C" w14:paraId="2D59CBD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847" w:rsidRDefault="004A1847" w14:paraId="18911A32" w14:textId="6CE791A4">
    <w:pPr>
      <w:pStyle w:val="Piedepgina"/>
    </w:pPr>
  </w:p>
  <w:p w:rsidRPr="00174B77" w:rsidR="00D520D8" w:rsidP="07C73DD1" w:rsidRDefault="07C73DD1" w14:paraId="594D6D9F" w14:textId="77777777">
    <w:pPr>
      <w:pBdr>
        <w:top w:val="single" w:color="000000" w:sz="4" w:space="1"/>
      </w:pBdr>
      <w:spacing w:after="0"/>
      <w:rPr>
        <w:rFonts w:ascii="Verdana" w:hAnsi="Verdana" w:eastAsia="Verdana" w:cs="Verdana"/>
        <w:b/>
        <w:bCs/>
        <w:sz w:val="18"/>
        <w:szCs w:val="18"/>
      </w:rPr>
    </w:pPr>
    <w:r w:rsidRPr="07C73DD1">
      <w:rPr>
        <w:rFonts w:ascii="Verdana" w:hAnsi="Verdana" w:eastAsia="Verdana" w:cs="Verdana"/>
        <w:b/>
        <w:bCs/>
        <w:sz w:val="18"/>
        <w:szCs w:val="18"/>
      </w:rPr>
      <w:t xml:space="preserve">Agencia Nacional de Contratación Pública                                              </w:t>
    </w:r>
    <w:r w:rsidRPr="07C73DD1">
      <w:rPr>
        <w:rFonts w:ascii="Verdana" w:hAnsi="Verdana" w:eastAsia="Verdana" w:cs="Verdana"/>
        <w:b/>
        <w:bCs/>
        <w:sz w:val="18"/>
        <w:szCs w:val="18"/>
        <w:lang w:val="es-ES"/>
      </w:rPr>
      <w:t xml:space="preserve">pág. </w:t>
    </w:r>
    <w:r w:rsidRPr="07C73DD1" w:rsidR="00D520D8">
      <w:rPr>
        <w:rFonts w:ascii="Verdana" w:hAnsi="Verdana" w:eastAsia="Verdana" w:cs="Verdana"/>
        <w:b/>
        <w:bCs/>
        <w:sz w:val="18"/>
        <w:szCs w:val="18"/>
      </w:rPr>
      <w:fldChar w:fldCharType="begin"/>
    </w:r>
    <w:r w:rsidRPr="07C73DD1" w:rsidR="00D520D8">
      <w:rPr>
        <w:rFonts w:ascii="Verdana" w:hAnsi="Verdana"/>
        <w:b/>
        <w:bCs/>
        <w:sz w:val="16"/>
        <w:szCs w:val="16"/>
      </w:rPr>
      <w:instrText>PAGE    \* MERGEFORMAT</w:instrText>
    </w:r>
    <w:r w:rsidRPr="07C73DD1" w:rsidR="00D520D8">
      <w:rPr>
        <w:rFonts w:ascii="Verdana" w:hAnsi="Verdana" w:eastAsiaTheme="minorEastAsia"/>
        <w:b/>
        <w:bCs/>
        <w:sz w:val="16"/>
        <w:szCs w:val="16"/>
      </w:rPr>
      <w:fldChar w:fldCharType="separate"/>
    </w:r>
    <w:r w:rsidRPr="07C73DD1">
      <w:rPr>
        <w:rFonts w:ascii="Verdana" w:hAnsi="Verdana" w:eastAsia="Verdana" w:cs="Verdana"/>
        <w:b/>
        <w:bCs/>
        <w:sz w:val="18"/>
        <w:szCs w:val="18"/>
      </w:rPr>
      <w:t>1</w:t>
    </w:r>
    <w:r w:rsidRPr="07C73DD1" w:rsidR="00D520D8">
      <w:rPr>
        <w:rFonts w:ascii="Verdana" w:hAnsi="Verdana" w:eastAsia="Verdana" w:cs="Verdana"/>
        <w:b/>
        <w:bCs/>
        <w:sz w:val="18"/>
        <w:szCs w:val="18"/>
      </w:rPr>
      <w:fldChar w:fldCharType="end"/>
    </w:r>
    <w:r w:rsidRPr="07C73DD1">
      <w:rPr>
        <w:rFonts w:ascii="Verdana" w:hAnsi="Verdana" w:eastAsia="Verdana" w:cs="Verdana"/>
        <w:b/>
        <w:bCs/>
        <w:sz w:val="18"/>
        <w:szCs w:val="18"/>
      </w:rPr>
      <w:t xml:space="preserve">              Colombia Compra Eficiente         </w:t>
    </w:r>
    <w:r w:rsidRPr="07C73DD1">
      <w:rPr>
        <w:rFonts w:ascii="Verdana" w:hAnsi="Verdana" w:eastAsia="Verdana" w:cs="Verdana"/>
        <w:b/>
        <w:bCs/>
        <w:sz w:val="18"/>
        <w:szCs w:val="18"/>
        <w:lang w:val="es-ES"/>
      </w:rPr>
      <w:t xml:space="preserve"> </w:t>
    </w:r>
    <w:r w:rsidRPr="07C73DD1">
      <w:rPr>
        <w:rFonts w:ascii="Verdana" w:hAnsi="Verdana" w:eastAsia="Verdana" w:cs="Verdana"/>
        <w:b/>
        <w:bCs/>
        <w:sz w:val="18"/>
        <w:szCs w:val="18"/>
      </w:rPr>
      <w:t xml:space="preserve">                                                  </w:t>
    </w:r>
  </w:p>
  <w:p w:rsidR="00D520D8" w:rsidP="07C73DD1" w:rsidRDefault="07C73DD1" w14:paraId="0A735DD5" w14:textId="77777777">
    <w:pPr>
      <w:spacing w:after="0"/>
      <w:jc w:val="both"/>
      <w:rPr>
        <w:rFonts w:ascii="Verdana" w:hAnsi="Verdana" w:eastAsia="Verdana" w:cs="Verdana"/>
        <w:sz w:val="18"/>
        <w:szCs w:val="18"/>
      </w:rPr>
    </w:pPr>
    <w:r w:rsidRPr="07C73DD1">
      <w:rPr>
        <w:rFonts w:ascii="Verdana" w:hAnsi="Verdana" w:eastAsia="Verdana" w:cs="Verdana"/>
        <w:sz w:val="18"/>
        <w:szCs w:val="18"/>
      </w:rPr>
      <w:t>Dirección: Carrera 7 # 26 – 20 - Bogotá, Colombia</w:t>
    </w:r>
  </w:p>
  <w:p w:rsidRPr="00E41027" w:rsidR="00D520D8" w:rsidP="07C73DD1" w:rsidRDefault="07C73DD1" w14:paraId="06E36B88" w14:textId="77777777">
    <w:pPr>
      <w:spacing w:after="0"/>
      <w:jc w:val="both"/>
      <w:rPr>
        <w:rFonts w:ascii="Verdana" w:hAnsi="Verdana" w:eastAsia="Verdana" w:cs="Verdana"/>
        <w:sz w:val="18"/>
        <w:szCs w:val="18"/>
      </w:rPr>
    </w:pPr>
    <w:r w:rsidRPr="07C73DD1">
      <w:rPr>
        <w:rFonts w:ascii="Verdana" w:hAnsi="Verdana" w:eastAsia="Verdana" w:cs="Verdana"/>
        <w:sz w:val="18"/>
        <w:szCs w:val="18"/>
      </w:rPr>
      <w:t>Mesa de servicio: (+57) 601 7456788</w:t>
    </w:r>
  </w:p>
  <w:p w:rsidR="006219F8" w:rsidP="07C73DD1" w:rsidRDefault="07C73DD1" w14:paraId="744661F5" w14:textId="22B9E88F">
    <w:pPr>
      <w:pBdr>
        <w:top w:val="nil"/>
        <w:left w:val="nil"/>
        <w:bottom w:val="nil"/>
        <w:right w:val="nil"/>
        <w:between w:val="nil"/>
      </w:pBdr>
      <w:tabs>
        <w:tab w:val="center" w:pos="4419"/>
        <w:tab w:val="right" w:pos="8838"/>
        <w:tab w:val="center" w:pos="5400"/>
      </w:tabs>
      <w:spacing w:after="0"/>
      <w:jc w:val="right"/>
      <w:rPr>
        <w:rFonts w:ascii="Verdana" w:hAnsi="Verdana" w:eastAsia="Verdana" w:cs="Verdana"/>
        <w:sz w:val="18"/>
        <w:szCs w:val="18"/>
        <w:lang w:eastAsia="es-CO"/>
      </w:rPr>
    </w:pPr>
    <w:r w:rsidRPr="07C73DD1">
      <w:rPr>
        <w:rFonts w:ascii="Verdana" w:hAnsi="Verdana" w:eastAsia="Verdana" w:cs="Verdana"/>
        <w:b/>
        <w:bCs/>
        <w:color w:val="000000" w:themeColor="text1"/>
        <w:sz w:val="18"/>
        <w:szCs w:val="18"/>
        <w:lang w:eastAsia="es-CO"/>
      </w:rPr>
      <w:t xml:space="preserve">Código: </w:t>
    </w:r>
    <w:r w:rsidRPr="07C73DD1">
      <w:rPr>
        <w:rFonts w:ascii="Verdana" w:hAnsi="Verdana" w:eastAsia="Verdana" w:cs="Verdana"/>
        <w:color w:val="000000" w:themeColor="text1"/>
        <w:sz w:val="18"/>
        <w:szCs w:val="18"/>
        <w:lang w:eastAsia="es-CO"/>
      </w:rPr>
      <w:t xml:space="preserve">CCE-REC-FM-17 </w:t>
    </w:r>
    <w:r w:rsidRPr="07C73DD1">
      <w:rPr>
        <w:rFonts w:ascii="Verdana" w:hAnsi="Verdana" w:eastAsia="Verdana" w:cs="Verdana"/>
        <w:b/>
        <w:bCs/>
        <w:color w:val="000000" w:themeColor="text1"/>
        <w:sz w:val="18"/>
        <w:szCs w:val="18"/>
        <w:lang w:eastAsia="es-CO"/>
      </w:rPr>
      <w:t xml:space="preserve">V: </w:t>
    </w:r>
    <w:r w:rsidRPr="07C73DD1">
      <w:rPr>
        <w:rFonts w:ascii="Verdana" w:hAnsi="Verdana" w:eastAsia="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90C" w:rsidP="004A1847" w:rsidRDefault="009D590C" w14:paraId="64D0D292" w14:textId="77777777">
      <w:pPr>
        <w:spacing w:after="0" w:line="240" w:lineRule="auto"/>
      </w:pPr>
      <w:r>
        <w:separator/>
      </w:r>
    </w:p>
  </w:footnote>
  <w:footnote w:type="continuationSeparator" w:id="0">
    <w:p w:rsidR="009D590C" w:rsidP="004A1847" w:rsidRDefault="009D590C" w14:paraId="2274DA3C" w14:textId="77777777">
      <w:pPr>
        <w:spacing w:after="0" w:line="240" w:lineRule="auto"/>
      </w:pPr>
      <w:r>
        <w:continuationSeparator/>
      </w:r>
    </w:p>
  </w:footnote>
  <w:footnote w:id="1">
    <w:p w:rsidRPr="00E946E0" w:rsidR="003E1B03" w:rsidP="003E1B03" w:rsidRDefault="003E1B03" w14:paraId="1CDC05B0" w14:textId="77777777">
      <w:pPr>
        <w:pStyle w:val="Textonotapie"/>
        <w:ind w:firstLine="708"/>
        <w:contextualSpacing/>
        <w:jc w:val="both"/>
        <w:rPr>
          <w:rFonts w:ascii="Verdana" w:hAnsi="Verdana" w:cs="Arial"/>
          <w:sz w:val="16"/>
          <w:szCs w:val="16"/>
        </w:rPr>
      </w:pPr>
      <w:r w:rsidRPr="00E946E0">
        <w:rPr>
          <w:rStyle w:val="Refdenotaalpie"/>
          <w:rFonts w:ascii="Verdana" w:hAnsi="Verdana" w:cs="Arial"/>
          <w:sz w:val="16"/>
          <w:szCs w:val="16"/>
        </w:rPr>
        <w:footnoteRef/>
      </w:r>
      <w:r w:rsidRPr="00E946E0">
        <w:rPr>
          <w:rFonts w:ascii="Verdana" w:hAnsi="Verdana" w:cs="Arial"/>
          <w:sz w:val="16"/>
          <w:szCs w:val="16"/>
        </w:rPr>
        <w:t xml:space="preserve"> Consejo de Estado. Sección Tercera. Subsección B. Sentencia del 6 de junio de 2013. Exp. 25151. C.P. Stella Conto Díaz del Castillo.</w:t>
      </w:r>
    </w:p>
    <w:p w:rsidRPr="00E946E0" w:rsidR="003E1B03" w:rsidP="003E1B03" w:rsidRDefault="003E1B03" w14:paraId="3FD2F80B" w14:textId="77777777">
      <w:pPr>
        <w:pStyle w:val="Textonotapie"/>
        <w:ind w:firstLine="709"/>
        <w:contextualSpacing/>
        <w:jc w:val="both"/>
        <w:rPr>
          <w:rFonts w:ascii="Verdana" w:hAnsi="Verdana" w:cs="Arial"/>
          <w:sz w:val="16"/>
          <w:szCs w:val="16"/>
        </w:rPr>
      </w:pPr>
    </w:p>
  </w:footnote>
  <w:footnote w:id="2">
    <w:p w:rsidRPr="00E946E0" w:rsidR="003E1B03" w:rsidP="003E1B03" w:rsidRDefault="003E1B03" w14:paraId="1B82A64C" w14:textId="77777777">
      <w:pPr>
        <w:pStyle w:val="Textonotapie"/>
        <w:ind w:firstLine="709"/>
        <w:contextualSpacing/>
        <w:jc w:val="both"/>
        <w:rPr>
          <w:rFonts w:ascii="Verdana" w:hAnsi="Verdana" w:cs="Arial"/>
          <w:sz w:val="16"/>
          <w:szCs w:val="16"/>
        </w:rPr>
      </w:pPr>
      <w:r w:rsidRPr="00E946E0">
        <w:rPr>
          <w:rStyle w:val="Refdenotaalpie"/>
          <w:rFonts w:ascii="Verdana" w:hAnsi="Verdana" w:cs="Arial"/>
          <w:sz w:val="16"/>
          <w:szCs w:val="16"/>
        </w:rPr>
        <w:footnoteRef/>
      </w:r>
      <w:r w:rsidRPr="00E946E0">
        <w:rPr>
          <w:rFonts w:ascii="Verdana" w:hAnsi="Verdana" w:cs="Arial"/>
          <w:sz w:val="16"/>
          <w:szCs w:val="16"/>
        </w:rPr>
        <w:t xml:space="preserve"> Ley 1150 de 2007: “Artículo 6. De la verificación de las condiciones de los proponentes.</w:t>
      </w:r>
    </w:p>
    <w:p w:rsidRPr="00E946E0" w:rsidR="003E1B03" w:rsidP="003E1B03" w:rsidRDefault="003E1B03" w14:paraId="7E328573" w14:textId="77777777">
      <w:pPr>
        <w:pStyle w:val="Textonotapie"/>
        <w:ind w:firstLine="709"/>
        <w:contextualSpacing/>
        <w:jc w:val="both"/>
        <w:rPr>
          <w:rFonts w:ascii="Verdana" w:hAnsi="Verdana" w:cs="Arial"/>
          <w:sz w:val="16"/>
          <w:szCs w:val="16"/>
          <w:lang w:eastAsia="es-CO"/>
        </w:rPr>
      </w:pPr>
      <w:r w:rsidRPr="00E946E0">
        <w:rPr>
          <w:rFonts w:ascii="Verdana" w:hAnsi="Verdana" w:cs="Arial"/>
          <w:sz w:val="16"/>
          <w:szCs w:val="16"/>
          <w:lang w:eastAsia="es-CO"/>
        </w:rPr>
        <w:t>[…]</w:t>
      </w:r>
    </w:p>
    <w:p w:rsidRPr="00E946E0" w:rsidR="003E1B03" w:rsidP="003E1B03" w:rsidRDefault="003E1B03" w14:paraId="733696CB" w14:textId="77777777">
      <w:pPr>
        <w:pStyle w:val="Textonotapie"/>
        <w:ind w:firstLine="709"/>
        <w:contextualSpacing/>
        <w:jc w:val="both"/>
        <w:rPr>
          <w:rFonts w:ascii="Verdana" w:hAnsi="Verdana" w:cs="Arial"/>
          <w:sz w:val="16"/>
          <w:szCs w:val="16"/>
          <w:lang w:eastAsia="es-CO"/>
        </w:rPr>
      </w:pPr>
      <w:r w:rsidRPr="00E946E0">
        <w:rPr>
          <w:rFonts w:ascii="Verdana" w:hAnsi="Verdana" w:cs="Arial"/>
          <w:sz w:val="16"/>
          <w:szCs w:val="16"/>
          <w:lang w:eastAsia="es-CO"/>
        </w:rPr>
        <w:t>6.1. […]</w:t>
      </w:r>
    </w:p>
    <w:p w:rsidRPr="00E946E0" w:rsidR="003E1B03" w:rsidP="003E1B03" w:rsidRDefault="003E1B03" w14:paraId="1043DA11" w14:textId="77777777">
      <w:pPr>
        <w:pStyle w:val="Textonotapie"/>
        <w:ind w:firstLine="709"/>
        <w:contextualSpacing/>
        <w:jc w:val="both"/>
        <w:rPr>
          <w:rFonts w:ascii="Verdana" w:hAnsi="Verdana" w:cs="Arial"/>
          <w:sz w:val="16"/>
          <w:szCs w:val="16"/>
          <w:lang w:eastAsia="es-CO"/>
        </w:rPr>
      </w:pPr>
      <w:r w:rsidRPr="00E946E0">
        <w:rPr>
          <w:rFonts w:ascii="Verdana" w:hAnsi="Verdana" w:cs="Arial"/>
          <w:sz w:val="16"/>
          <w:szCs w:val="16"/>
          <w:lang w:eastAsia="es-CO"/>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rsidRPr="00E946E0" w:rsidR="003E1B03" w:rsidP="003E1B03" w:rsidRDefault="003E1B03" w14:paraId="16117C72" w14:textId="77777777">
      <w:pPr>
        <w:pStyle w:val="Textonotapie"/>
        <w:ind w:firstLine="709"/>
        <w:contextualSpacing/>
        <w:jc w:val="both"/>
        <w:rPr>
          <w:rFonts w:ascii="Verdana" w:hAnsi="Verdana" w:cs="Arial"/>
          <w:sz w:val="16"/>
          <w:szCs w:val="16"/>
          <w:lang w:eastAsia="es-CO"/>
        </w:rPr>
      </w:pPr>
      <w:r w:rsidRPr="00E946E0">
        <w:rPr>
          <w:rFonts w:ascii="Verdana" w:hAnsi="Verdana" w:cs="Arial"/>
          <w:sz w:val="16"/>
          <w:szCs w:val="16"/>
          <w:lang w:eastAsia="es-CO"/>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rsidRPr="00E946E0" w:rsidR="003E1B03" w:rsidP="003E1B03" w:rsidRDefault="003E1B03" w14:paraId="37DFD2B8" w14:textId="77777777">
      <w:pPr>
        <w:pStyle w:val="Textonotapie"/>
        <w:ind w:firstLine="709"/>
        <w:contextualSpacing/>
        <w:jc w:val="both"/>
        <w:rPr>
          <w:rFonts w:ascii="Verdana" w:hAnsi="Verdana" w:cs="Arial"/>
          <w:sz w:val="16"/>
          <w:szCs w:val="16"/>
          <w:lang w:eastAsia="es-CO"/>
        </w:rPr>
      </w:pPr>
      <w:r w:rsidRPr="00E946E0">
        <w:rPr>
          <w:rFonts w:ascii="Verdana" w:hAnsi="Verdana" w:cs="Arial"/>
          <w:sz w:val="16"/>
          <w:szCs w:val="16"/>
          <w:lang w:eastAsia="es-CO"/>
        </w:rPr>
        <w:t>[…]”.</w:t>
      </w:r>
    </w:p>
    <w:p w:rsidRPr="00E946E0" w:rsidR="003E1B03" w:rsidP="003E1B03" w:rsidRDefault="003E1B03" w14:paraId="20A3A441" w14:textId="77777777">
      <w:pPr>
        <w:pStyle w:val="Textonotapie"/>
        <w:ind w:firstLine="709"/>
        <w:contextualSpacing/>
        <w:jc w:val="both"/>
        <w:rPr>
          <w:rFonts w:ascii="Verdana" w:hAnsi="Verdana" w:cs="Arial"/>
          <w:sz w:val="16"/>
          <w:szCs w:val="16"/>
          <w:lang w:val="es-ES"/>
        </w:rPr>
      </w:pPr>
    </w:p>
  </w:footnote>
  <w:footnote w:id="3">
    <w:p w:rsidRPr="00E946E0" w:rsidR="003E1B03" w:rsidP="003E1B03" w:rsidRDefault="003E1B03" w14:paraId="40E1090F" w14:textId="77777777">
      <w:pPr>
        <w:pStyle w:val="Textonotapie"/>
        <w:ind w:firstLine="709"/>
        <w:contextualSpacing/>
        <w:jc w:val="both"/>
        <w:rPr>
          <w:rFonts w:ascii="Verdana" w:hAnsi="Verdana" w:cs="Arial"/>
          <w:sz w:val="16"/>
          <w:szCs w:val="16"/>
          <w:lang w:eastAsia="es-CO"/>
        </w:rPr>
      </w:pPr>
      <w:r w:rsidRPr="00E946E0">
        <w:rPr>
          <w:rStyle w:val="Refdenotaalpie"/>
          <w:rFonts w:ascii="Verdana" w:hAnsi="Verdana" w:cs="Arial"/>
          <w:sz w:val="16"/>
          <w:szCs w:val="16"/>
        </w:rPr>
        <w:footnoteRef/>
      </w:r>
      <w:r w:rsidRPr="00E946E0">
        <w:rPr>
          <w:rFonts w:ascii="Verdana" w:hAnsi="Verdana" w:cs="Arial"/>
          <w:sz w:val="16"/>
          <w:szCs w:val="16"/>
        </w:rPr>
        <w:t xml:space="preserve"> Ley 1150 de 2007: “Artículo 5. De la selección objetiva.</w:t>
      </w:r>
      <w:r w:rsidRPr="00E946E0">
        <w:rPr>
          <w:rFonts w:ascii="Verdana" w:hAnsi="Verdana" w:cs="Arial"/>
          <w:sz w:val="16"/>
          <w:szCs w:val="16"/>
          <w:lang w:eastAsia="es-CO"/>
        </w:rPr>
        <w:t xml:space="preserve"> </w:t>
      </w:r>
    </w:p>
    <w:p w:rsidRPr="00E946E0" w:rsidR="003E1B03" w:rsidP="003E1B03" w:rsidRDefault="003E1B03" w14:paraId="14256E2D" w14:textId="77777777">
      <w:pPr>
        <w:pStyle w:val="Textonotapie"/>
        <w:ind w:firstLine="709"/>
        <w:contextualSpacing/>
        <w:jc w:val="both"/>
        <w:rPr>
          <w:rFonts w:ascii="Verdana" w:hAnsi="Verdana" w:cs="Arial"/>
          <w:sz w:val="16"/>
          <w:szCs w:val="16"/>
          <w:lang w:eastAsia="es-CO"/>
        </w:rPr>
      </w:pPr>
      <w:r w:rsidRPr="00E946E0">
        <w:rPr>
          <w:rFonts w:ascii="Verdana" w:hAnsi="Verdana" w:cs="Arial"/>
          <w:sz w:val="16"/>
          <w:szCs w:val="16"/>
          <w:lang w:eastAsia="es-CO"/>
        </w:rPr>
        <w:t>[…]</w:t>
      </w:r>
    </w:p>
    <w:p w:rsidRPr="00E946E0" w:rsidR="003E1B03" w:rsidP="003E1B03" w:rsidRDefault="003E1B03" w14:paraId="7B007322" w14:textId="77777777">
      <w:pPr>
        <w:pStyle w:val="Textonotapie"/>
        <w:ind w:firstLine="709"/>
        <w:contextualSpacing/>
        <w:jc w:val="both"/>
        <w:rPr>
          <w:rFonts w:ascii="Verdana" w:hAnsi="Verdana" w:cs="Arial"/>
          <w:sz w:val="16"/>
          <w:szCs w:val="16"/>
          <w:lang w:eastAsia="es-CO"/>
        </w:rPr>
      </w:pPr>
      <w:r w:rsidRPr="00E946E0">
        <w:rPr>
          <w:rFonts w:ascii="Verdana" w:hAnsi="Verdana" w:cs="Arial"/>
          <w:sz w:val="16"/>
          <w:szCs w:val="16"/>
          <w:lang w:eastAsia="es-CO"/>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 […]”.</w:t>
      </w:r>
    </w:p>
    <w:p w:rsidRPr="00A60AC8" w:rsidR="003E1B03" w:rsidP="003E1B03" w:rsidRDefault="003E1B03" w14:paraId="5B4DE7CB" w14:textId="77777777">
      <w:pPr>
        <w:pStyle w:val="Textonotapie"/>
        <w:ind w:firstLine="709"/>
        <w:contextualSpacing/>
        <w:jc w:val="both"/>
        <w:rPr>
          <w:rFonts w:ascii="Verdana" w:hAnsi="Verdana" w:cs="Arial"/>
          <w:sz w:val="16"/>
          <w:szCs w:val="16"/>
          <w:lang w:val="es-ES"/>
        </w:rPr>
      </w:pPr>
    </w:p>
  </w:footnote>
  <w:footnote w:id="4">
    <w:p w:rsidRPr="00A60AC8" w:rsidR="003E1B03" w:rsidP="003E1B03" w:rsidRDefault="003E1B03" w14:paraId="56C24E1B" w14:textId="77777777">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 xml:space="preserve"> “6.1. [...] No obstante lo anterior, sólo en aquellos casos en que por las características del objeto a contratar se requiera la verificación de requisitos del proponente adicionales a los contenidos en el Registro, la entidad podrá hacer tal verificación en forma directa”.</w:t>
      </w:r>
    </w:p>
    <w:p w:rsidRPr="00A60AC8" w:rsidR="003E1B03" w:rsidP="003E1B03" w:rsidRDefault="003E1B03" w14:paraId="773B4935" w14:textId="77777777">
      <w:pPr>
        <w:pStyle w:val="Textonotapie"/>
        <w:ind w:firstLine="709"/>
        <w:contextualSpacing/>
        <w:jc w:val="both"/>
        <w:rPr>
          <w:rFonts w:ascii="Verdana" w:hAnsi="Verdana" w:cs="Arial"/>
          <w:sz w:val="16"/>
          <w:szCs w:val="16"/>
          <w:lang w:eastAsia="es-CO"/>
        </w:rPr>
      </w:pPr>
    </w:p>
  </w:footnote>
  <w:footnote w:id="5">
    <w:p w:rsidRPr="00A60AC8" w:rsidR="003E1B03" w:rsidP="003E1B03" w:rsidRDefault="003E1B03" w14:paraId="38746992" w14:textId="77777777">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 xml:space="preserve">Ley 1150 de 2007: “Artículo 6.  De la verificación de las condiciones de los proponentes. </w:t>
      </w:r>
    </w:p>
    <w:p w:rsidRPr="00A60AC8" w:rsidR="003E1B03" w:rsidP="003E1B03" w:rsidRDefault="003E1B03" w14:paraId="6502CE7E" w14:textId="77777777">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 xml:space="preserve">[...] </w:t>
      </w:r>
    </w:p>
    <w:p w:rsidRPr="00A60AC8" w:rsidR="003E1B03" w:rsidP="003E1B03" w:rsidRDefault="003E1B03" w14:paraId="37B8AA6A" w14:textId="77777777">
      <w:pPr>
        <w:pStyle w:val="Textonotapie"/>
        <w:contextualSpacing/>
        <w:jc w:val="both"/>
        <w:rPr>
          <w:rFonts w:ascii="Verdana" w:hAnsi="Verdana" w:cs="Arial"/>
          <w:sz w:val="16"/>
          <w:szCs w:val="16"/>
          <w:lang w:eastAsia="es-CO"/>
        </w:rPr>
      </w:pPr>
      <w:r w:rsidRPr="00A60AC8">
        <w:rPr>
          <w:rFonts w:ascii="Verdana" w:hAnsi="Verdana" w:cs="Arial"/>
          <w:sz w:val="16"/>
          <w:szCs w:val="16"/>
          <w:lang w:eastAsia="es-CO"/>
        </w:rPr>
        <w:t xml:space="preserve">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p w:rsidRPr="00A60AC8" w:rsidR="003E1B03" w:rsidP="003E1B03" w:rsidRDefault="003E1B03" w14:paraId="426E7AE6" w14:textId="77777777">
      <w:pPr>
        <w:pStyle w:val="Textonotapie"/>
        <w:ind w:firstLine="709"/>
        <w:contextualSpacing/>
        <w:jc w:val="both"/>
        <w:rPr>
          <w:rFonts w:ascii="Verdana" w:hAnsi="Verdana" w:cs="Arial"/>
          <w:sz w:val="16"/>
          <w:szCs w:val="16"/>
        </w:rPr>
      </w:pPr>
    </w:p>
  </w:footnote>
  <w:footnote w:id="6">
    <w:p w:rsidRPr="00A60AC8" w:rsidR="003E1B03" w:rsidP="003E1B03" w:rsidRDefault="003E1B03" w14:paraId="236DB3F4" w14:textId="77777777">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Consejo de Estado. Sala de Consulta y Servicio Civil. Consulta del 20 de mayo de 2010. Exp.1992. C. P. Enrique José Arboleda Perdomo.</w:t>
      </w:r>
    </w:p>
    <w:p w:rsidRPr="00A60AC8" w:rsidR="003E1B03" w:rsidP="003E1B03" w:rsidRDefault="003E1B03" w14:paraId="429D6EC8" w14:textId="77777777">
      <w:pPr>
        <w:pStyle w:val="Textonotapie"/>
        <w:ind w:firstLine="709"/>
        <w:contextualSpacing/>
        <w:jc w:val="both"/>
        <w:rPr>
          <w:rFonts w:ascii="Verdana" w:hAnsi="Verdana" w:cs="Arial"/>
          <w:sz w:val="16"/>
          <w:szCs w:val="16"/>
        </w:rPr>
      </w:pPr>
    </w:p>
  </w:footnote>
  <w:footnote w:id="7">
    <w:p w:rsidRPr="00A60AC8" w:rsidR="003E1B03" w:rsidP="003E1B03" w:rsidRDefault="003E1B03" w14:paraId="2CAFD203" w14:textId="77777777">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lang w:eastAsia="es-CO"/>
        </w:rPr>
        <w:t xml:space="preserve">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 </w:t>
      </w:r>
      <w:r w:rsidRPr="00A60AC8">
        <w:rPr>
          <w:rFonts w:ascii="Verdana" w:hAnsi="Verdana" w:cs="Arial"/>
          <w:sz w:val="16"/>
          <w:szCs w:val="16"/>
        </w:rPr>
        <w:t xml:space="preserve"> </w:t>
      </w:r>
    </w:p>
    <w:p w:rsidRPr="00A60AC8" w:rsidR="003E1B03" w:rsidP="003E1B03" w:rsidRDefault="003E1B03" w14:paraId="70189162" w14:textId="77777777">
      <w:pPr>
        <w:pStyle w:val="Textonotapie"/>
        <w:ind w:firstLine="708"/>
        <w:contextualSpacing/>
        <w:jc w:val="both"/>
        <w:rPr>
          <w:rFonts w:ascii="Verdana" w:hAnsi="Verdana" w:cs="Arial"/>
          <w:sz w:val="16"/>
          <w:szCs w:val="16"/>
          <w:lang w:val="es-CO"/>
        </w:rPr>
      </w:pPr>
    </w:p>
  </w:footnote>
  <w:footnote w:id="8">
    <w:p w:rsidRPr="00A60AC8" w:rsidR="003E1B03" w:rsidP="003E1B03" w:rsidRDefault="003E1B03" w14:paraId="798E43B3" w14:textId="77777777">
      <w:pPr>
        <w:pStyle w:val="Textonotapie"/>
        <w:ind w:firstLine="708"/>
        <w:contextualSpacing/>
        <w:jc w:val="both"/>
        <w:rPr>
          <w:rFonts w:ascii="Verdana" w:hAnsi="Verdana" w:cs="Arial"/>
          <w:sz w:val="16"/>
          <w:szCs w:val="16"/>
          <w:lang w:val="es-CO"/>
        </w:rPr>
      </w:pPr>
      <w:r w:rsidRPr="00A60AC8">
        <w:rPr>
          <w:rStyle w:val="Refdenotaalpie"/>
          <w:rFonts w:ascii="Verdana" w:hAnsi="Verdana" w:cs="Arial"/>
          <w:sz w:val="16"/>
          <w:szCs w:val="16"/>
        </w:rPr>
        <w:footnoteRef/>
      </w:r>
      <w:r w:rsidRPr="00A60AC8">
        <w:rPr>
          <w:rFonts w:ascii="Verdana" w:hAnsi="Verdana" w:cs="Arial"/>
          <w:sz w:val="16"/>
          <w:szCs w:val="16"/>
          <w:lang w:eastAsia="es-CO"/>
        </w:rPr>
        <w:t xml:space="preserve"> “¨[...]</w:t>
      </w:r>
      <w:r w:rsidRPr="00A60AC8">
        <w:rPr>
          <w:rFonts w:ascii="Verdana" w:hAnsi="Verdana" w:cs="Arial"/>
          <w:sz w:val="16"/>
          <w:szCs w:val="16"/>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sidRPr="00A60AC8">
        <w:rPr>
          <w:rFonts w:ascii="Verdana" w:hAnsi="Verdana" w:cs="Arial"/>
          <w:sz w:val="16"/>
          <w:szCs w:val="16"/>
          <w:lang w:eastAsia="es-CO"/>
        </w:rPr>
        <w:t xml:space="preserve">[...]”. </w:t>
      </w:r>
      <w:r w:rsidRPr="00A60AC8">
        <w:rPr>
          <w:rFonts w:ascii="Verdana" w:hAnsi="Verdana" w:cs="Arial"/>
          <w:sz w:val="16"/>
          <w:szCs w:val="16"/>
        </w:rPr>
        <w:t xml:space="preserve"> </w:t>
      </w:r>
    </w:p>
    <w:p w:rsidRPr="00A60AC8" w:rsidR="003E1B03" w:rsidP="003E1B03" w:rsidRDefault="003E1B03" w14:paraId="61C827D5" w14:textId="77777777">
      <w:pPr>
        <w:pStyle w:val="Textonotapie"/>
        <w:ind w:firstLine="709"/>
        <w:contextualSpacing/>
        <w:jc w:val="both"/>
        <w:rPr>
          <w:rFonts w:ascii="Verdana" w:hAnsi="Verdana" w:cs="Arial"/>
          <w:b/>
          <w:bCs/>
          <w:sz w:val="16"/>
          <w:szCs w:val="16"/>
        </w:rPr>
      </w:pPr>
    </w:p>
  </w:footnote>
  <w:footnote w:id="9">
    <w:p w:rsidRPr="00A60AC8" w:rsidR="003E1B03" w:rsidP="003E1B03" w:rsidRDefault="003E1B03" w14:paraId="56ACEF51" w14:textId="77777777">
      <w:pPr>
        <w:pStyle w:val="Textonotapie"/>
        <w:ind w:firstLine="708"/>
        <w:contextualSpacing/>
        <w:jc w:val="both"/>
        <w:rPr>
          <w:rFonts w:ascii="Verdana" w:hAnsi="Verdana" w:cs="Arial"/>
          <w:sz w:val="16"/>
          <w:szCs w:val="16"/>
          <w:shd w:val="clear" w:color="auto" w:fill="FFFFFF"/>
        </w:rPr>
      </w:pPr>
      <w:r w:rsidRPr="00A60AC8">
        <w:rPr>
          <w:rStyle w:val="Refdenotaalpie"/>
          <w:rFonts w:ascii="Verdana" w:hAnsi="Verdana" w:cs="Arial"/>
          <w:b/>
          <w:bCs/>
          <w:sz w:val="16"/>
          <w:szCs w:val="16"/>
        </w:rPr>
        <w:footnoteRef/>
      </w:r>
      <w:r w:rsidRPr="00A60AC8">
        <w:rPr>
          <w:rFonts w:ascii="Verdana" w:hAnsi="Verdana" w:cs="Arial"/>
          <w:b/>
          <w:bCs/>
          <w:sz w:val="16"/>
          <w:szCs w:val="16"/>
          <w:lang w:eastAsia="es-CO"/>
        </w:rPr>
        <w:t xml:space="preserve"> </w:t>
      </w:r>
      <w:r w:rsidRPr="00A60AC8">
        <w:rPr>
          <w:rFonts w:ascii="Verdana" w:hAnsi="Verdana" w:cs="Arial"/>
          <w:sz w:val="16"/>
          <w:szCs w:val="16"/>
        </w:rPr>
        <w:t>Decreto 1082 de 2015: “</w:t>
      </w:r>
      <w:r w:rsidRPr="00A60AC8">
        <w:rPr>
          <w:rStyle w:val="Fuerte"/>
          <w:rFonts w:ascii="Verdana" w:hAnsi="Verdana" w:cs="Arial"/>
          <w:b w:val="0"/>
          <w:bCs w:val="0"/>
          <w:sz w:val="16"/>
          <w:szCs w:val="16"/>
          <w:shd w:val="clear" w:color="auto" w:fill="FFFFFF"/>
        </w:rPr>
        <w:t xml:space="preserve">Artículo 2.2.1.1.1.5.1. </w:t>
      </w:r>
      <w:r w:rsidRPr="00A60AC8">
        <w:rPr>
          <w:rStyle w:val="nfasis"/>
          <w:rFonts w:ascii="Verdana" w:hAnsi="Verdana" w:cs="Arial"/>
          <w:bCs/>
          <w:sz w:val="16"/>
          <w:szCs w:val="16"/>
          <w:shd w:val="clear" w:color="auto" w:fill="FFFFFF"/>
        </w:rPr>
        <w:t>Inscripción, renovación, actualización y cancelación del RUP.</w:t>
      </w:r>
      <w:r w:rsidRPr="00A60AC8">
        <w:rPr>
          <w:rStyle w:val="nfasis"/>
          <w:rFonts w:ascii="Verdana" w:hAnsi="Verdana" w:cs="Arial"/>
          <w:sz w:val="16"/>
          <w:szCs w:val="16"/>
          <w:shd w:val="clear" w:color="auto" w:fill="FFFFFF"/>
        </w:rPr>
        <w:t xml:space="preserve"> </w:t>
      </w:r>
      <w:r w:rsidRPr="00A60AC8">
        <w:rPr>
          <w:rFonts w:ascii="Verdana" w:hAnsi="Verdana" w:cs="Arial"/>
          <w:sz w:val="16"/>
          <w:szCs w:val="16"/>
          <w:shd w:val="clear" w:color="auto" w:fill="FFFFFF"/>
        </w:rPr>
        <w:t>Las personas naturales y jurídicas, nacionales o extranjeras, con domicilio en Colombia, interesadas en participar en Procesos de Contratación convocados por las Entidades Estatales, deben estar inscritas en el RUP, salvo las excepciones previstas de forma taxativa en la ley</w:t>
      </w:r>
      <w:r w:rsidRPr="00A60AC8">
        <w:rPr>
          <w:rFonts w:ascii="Verdana" w:hAnsi="Verdana" w:cs="Arial"/>
          <w:sz w:val="16"/>
          <w:szCs w:val="16"/>
          <w:lang w:eastAsia="es-CO"/>
        </w:rPr>
        <w:t>”</w:t>
      </w:r>
      <w:r w:rsidRPr="00A60AC8">
        <w:rPr>
          <w:rFonts w:ascii="Verdana" w:hAnsi="Verdana" w:cs="Arial"/>
          <w:sz w:val="16"/>
          <w:szCs w:val="16"/>
          <w:shd w:val="clear" w:color="auto" w:fill="FFFFFF"/>
        </w:rPr>
        <w:t>.</w:t>
      </w:r>
    </w:p>
    <w:p w:rsidRPr="00A60AC8" w:rsidR="003E1B03" w:rsidP="003E1B03" w:rsidRDefault="003E1B03" w14:paraId="4365E791" w14:textId="77777777">
      <w:pPr>
        <w:pStyle w:val="Textonotapie"/>
        <w:ind w:firstLine="708"/>
        <w:contextualSpacing/>
        <w:jc w:val="both"/>
        <w:rPr>
          <w:rFonts w:ascii="Verdana" w:hAnsi="Verdana" w:cs="Arial"/>
          <w:sz w:val="16"/>
          <w:szCs w:val="16"/>
          <w:lang w:val="es-CO"/>
        </w:rPr>
      </w:pPr>
    </w:p>
  </w:footnote>
  <w:footnote w:id="10">
    <w:p w:rsidRPr="00A60AC8" w:rsidR="003E1B03" w:rsidP="003E1B03" w:rsidRDefault="003E1B03" w14:paraId="37718A28"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Decreto 1082 de 2015: “</w:t>
      </w:r>
      <w:r w:rsidRPr="00A60AC8">
        <w:rPr>
          <w:rStyle w:val="Fuerte"/>
          <w:rFonts w:ascii="Verdana" w:hAnsi="Verdana" w:cs="Arial"/>
          <w:b w:val="0"/>
          <w:bCs w:val="0"/>
          <w:sz w:val="16"/>
          <w:szCs w:val="16"/>
        </w:rPr>
        <w:t xml:space="preserve">Artículo 2.2.1.1.1.5.2. </w:t>
      </w:r>
      <w:r w:rsidRPr="00A60AC8">
        <w:rPr>
          <w:rStyle w:val="nfasis"/>
          <w:rFonts w:ascii="Verdana" w:hAnsi="Verdana" w:cs="Arial" w:eastAsiaTheme="majorEastAsia"/>
          <w:sz w:val="16"/>
          <w:szCs w:val="16"/>
        </w:rPr>
        <w:t xml:space="preserve">Información para inscripción, renovación o actualización. </w:t>
      </w:r>
      <w:r w:rsidRPr="00A60AC8">
        <w:rPr>
          <w:rFonts w:ascii="Verdana" w:hAnsi="Verdana" w:cs="Arial"/>
          <w:sz w:val="16"/>
          <w:szCs w:val="16"/>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rsidRPr="00A60AC8" w:rsidR="003E1B03" w:rsidP="003E1B03" w:rsidRDefault="003E1B03" w14:paraId="19CDEA43" w14:textId="77777777">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r>
      <w:r w:rsidRPr="00A60AC8">
        <w:rPr>
          <w:rFonts w:ascii="Verdana" w:hAnsi="Verdana" w:cs="Arial"/>
          <w:sz w:val="16"/>
          <w:szCs w:val="16"/>
        </w:rPr>
        <w:t>1. Si es una persona natural:</w:t>
      </w:r>
    </w:p>
    <w:p w:rsidRPr="00A60AC8" w:rsidR="003E1B03" w:rsidP="003E1B03" w:rsidRDefault="003E1B03" w14:paraId="0BA0DBFE" w14:textId="77777777">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r>
      <w:r w:rsidRPr="00A60AC8">
        <w:rPr>
          <w:rFonts w:ascii="Verdana" w:hAnsi="Verdana" w:cs="Arial"/>
          <w:sz w:val="16"/>
          <w:szCs w:val="16"/>
        </w:rPr>
        <w:t>1.1. Bienes, obras y servicios que ofrecerá a las Entidades Estatales, identificados con el Clasificador de Bienes y Servicios en el tercer nivel.</w:t>
      </w:r>
    </w:p>
    <w:p w:rsidRPr="00A60AC8" w:rsidR="003E1B03" w:rsidP="003E1B03" w:rsidRDefault="003E1B03" w14:paraId="352455F9"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w:t>
      </w:r>
      <w:r w:rsidRPr="00A60AC8">
        <w:rPr>
          <w:rFonts w:ascii="Verdana" w:hAnsi="Verdana" w:cs="Arial"/>
          <w:sz w:val="16"/>
          <w:szCs w:val="16"/>
        </w:rPr>
        <w:softHyphen/>
      </w:r>
      <w:r w:rsidRPr="00A60AC8">
        <w:rPr>
          <w:rFonts w:ascii="Verdana" w:hAnsi="Verdana" w:cs="Arial"/>
          <w:sz w:val="16"/>
          <w:szCs w:val="16"/>
        </w:rPr>
        <w:t>sificador de Bienes y Servicios en el tercer nivel.</w:t>
      </w:r>
    </w:p>
    <w:p w:rsidRPr="00A60AC8" w:rsidR="003E1B03" w:rsidP="003E1B03" w:rsidRDefault="003E1B03" w14:paraId="4E02FBDC"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1.3. Si la persona está obligada a llevar contabilidad, copia de la información contable del último año exigida por las normas tributarias.</w:t>
      </w:r>
    </w:p>
    <w:p w:rsidRPr="00A60AC8" w:rsidR="003E1B03" w:rsidP="003E1B03" w:rsidRDefault="003E1B03" w14:paraId="63850EEC"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1.4. Certificado expedido por la persona natural o su contador, relativa al tamaño empre</w:t>
      </w:r>
      <w:r w:rsidRPr="00A60AC8">
        <w:rPr>
          <w:rFonts w:ascii="Verdana" w:hAnsi="Verdana" w:cs="Arial"/>
          <w:sz w:val="16"/>
          <w:szCs w:val="16"/>
        </w:rPr>
        <w:softHyphen/>
      </w:r>
      <w:r w:rsidRPr="00A60AC8">
        <w:rPr>
          <w:rFonts w:ascii="Verdana" w:hAnsi="Verdana" w:cs="Arial"/>
          <w:sz w:val="16"/>
          <w:szCs w:val="16"/>
        </w:rPr>
        <w:t>sarial de acuerdo con la definición legal y reglamentaria.</w:t>
      </w:r>
    </w:p>
    <w:p w:rsidRPr="00A60AC8" w:rsidR="003E1B03" w:rsidP="003E1B03" w:rsidRDefault="003E1B03" w14:paraId="029A5213" w14:textId="77777777">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r>
      <w:r w:rsidRPr="00A60AC8">
        <w:rPr>
          <w:rFonts w:ascii="Verdana" w:hAnsi="Verdana" w:cs="Arial"/>
          <w:sz w:val="16"/>
          <w:szCs w:val="16"/>
        </w:rPr>
        <w:t>2. Si es una persona jurídica:</w:t>
      </w:r>
    </w:p>
    <w:p w:rsidRPr="00A60AC8" w:rsidR="003E1B03" w:rsidP="003E1B03" w:rsidRDefault="003E1B03" w14:paraId="754B4A50" w14:textId="77777777">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r>
      <w:r w:rsidRPr="00A60AC8">
        <w:rPr>
          <w:rFonts w:ascii="Verdana" w:hAnsi="Verdana" w:cs="Arial"/>
          <w:sz w:val="16"/>
          <w:szCs w:val="16"/>
        </w:rPr>
        <w:t>2.1. Bienes, obras y servicios que ofrecerá a las Entidades Estatales, identificados con el Clasificador de Bienes y Servicios en el tercer nivel.</w:t>
      </w:r>
    </w:p>
    <w:p w:rsidRPr="00A60AC8" w:rsidR="003E1B03" w:rsidP="003E1B03" w:rsidRDefault="003E1B03" w14:paraId="646ECDBB"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2.2. Certificado expedido por el representante legal y el revisor fiscal, si la persona jurídica está obligada a tenerlo, o el auditor o contador, en el que conste que el interesado no es parte de un grupo empresarial, no ejerce control sobre otras sociedades y no hay situación de control sobre el interesado, en los términos del Código de Comercio. Si el grupo empresarial o la circunstancia de control existe, en el certificado debe constar la identificación de los miembros del grupo empresarial, la situación de control y los controlantes y controlados.</w:t>
      </w:r>
    </w:p>
    <w:p w:rsidRPr="00A60AC8" w:rsidR="003E1B03" w:rsidP="003E1B03" w:rsidRDefault="003E1B03" w14:paraId="09D77AA5"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2.3. Estados financieros de la sociedad y los estados financieros consolidados del grupo empresarial, cuando la norma aplicable lo exige, auditados con sus notas y los siguientes anexos, suscritos por el representante legal y el revisor fiscal, si la persona jurídica está obligada a tenerlo, o suscritos por el representante legal y el auditor o contador si la persona jurídica no está obligada a tener revisor fiscal:</w:t>
      </w:r>
    </w:p>
    <w:p w:rsidRPr="00A60AC8" w:rsidR="003E1B03" w:rsidP="003E1B03" w:rsidRDefault="003E1B03" w14:paraId="2A88BB26" w14:textId="77777777">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 xml:space="preserve"> </w:t>
      </w:r>
      <w:r w:rsidRPr="00A60AC8">
        <w:rPr>
          <w:rFonts w:ascii="Verdana" w:hAnsi="Verdana" w:cs="Arial"/>
          <w:sz w:val="16"/>
          <w:szCs w:val="16"/>
        </w:rPr>
        <w:tab/>
      </w:r>
      <w:r w:rsidRPr="00A60AC8">
        <w:rPr>
          <w:rFonts w:ascii="Verdana" w:hAnsi="Verdana" w:cs="Arial"/>
          <w:sz w:val="16"/>
          <w:szCs w:val="16"/>
        </w:rPr>
        <w:t>I. Principales cuentas detalladas del balance general.</w:t>
      </w:r>
    </w:p>
    <w:p w:rsidRPr="00A60AC8" w:rsidR="003E1B03" w:rsidP="003E1B03" w:rsidRDefault="003E1B03" w14:paraId="5A8064EA"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II. Principales cuentas del estado de pérdidas y ganancias.</w:t>
      </w:r>
    </w:p>
    <w:p w:rsidRPr="00A60AC8" w:rsidR="003E1B03" w:rsidP="003E1B03" w:rsidRDefault="003E1B03" w14:paraId="0AAC431F"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III. Cuentas contingentes deudoras y acreedoras.</w:t>
      </w:r>
    </w:p>
    <w:p w:rsidRPr="00A60AC8" w:rsidR="003E1B03" w:rsidP="003E1B03" w:rsidRDefault="003E1B03" w14:paraId="0D97B523"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Si el interesado no tiene antigüedad suficiente para tener estados financieros auditados a 31 de diciembre, debe inscribirse con estados financieros de corte trimestral, suscritos por el representante legal y el auditor o contador o estados financieros de apertura.</w:t>
      </w:r>
    </w:p>
    <w:p w:rsidRPr="00A60AC8" w:rsidR="003E1B03" w:rsidP="003E1B03" w:rsidRDefault="003E1B03" w14:paraId="100CAE06"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2.4. Copia de los documentos adicionales exigidos por la Superintendencia de Sociedades respecto de las sociedades sometidas a su inspección, vigilancia o control.</w:t>
      </w:r>
    </w:p>
    <w:p w:rsidRPr="00A60AC8" w:rsidR="003E1B03" w:rsidP="003E1B03" w:rsidRDefault="003E1B03" w14:paraId="517CD965"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A60AC8">
        <w:rPr>
          <w:rFonts w:ascii="Verdana" w:hAnsi="Verdana" w:cs="Arial"/>
          <w:sz w:val="16"/>
          <w:szCs w:val="16"/>
        </w:rPr>
        <w:softHyphen/>
      </w:r>
      <w:r w:rsidRPr="00A60AC8">
        <w:rPr>
          <w:rFonts w:ascii="Verdana" w:hAnsi="Verdana" w:cs="Arial"/>
          <w:sz w:val="16"/>
          <w:szCs w:val="16"/>
        </w:rPr>
        <w:t>ficador de Bienes y Servicios en el tercer nivel. Si la constitución del interesado es menor a tres (3) años, puede acreditar la experiencia de sus accionistas, socios o constituyentes.</w:t>
      </w:r>
    </w:p>
    <w:p w:rsidRPr="00A60AC8" w:rsidR="003E1B03" w:rsidP="003E1B03" w:rsidRDefault="003E1B03" w14:paraId="3DACE0E4"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2.6. Certificado expedido por el representante legal y el revisor fiscal, si la persona jurídica está obligada a tenerlo, o el auditor o contador, relativa al tamaño empresarial de acuerdo con la definición legal y reglamentaria.</w:t>
      </w:r>
    </w:p>
    <w:p w:rsidRPr="00A60AC8" w:rsidR="003E1B03" w:rsidP="003E1B03" w:rsidRDefault="003E1B03" w14:paraId="2C3C6591" w14:textId="77777777">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Las sucursales de sociedad extranjera deben presentar para registro la información contable y financiera de su casa matriz. Los estados financieros de las sociedades extranjeras deben ser presentados de conformidad con las normas aplicables en el país en el que son emitidos.</w:t>
      </w:r>
    </w:p>
    <w:p w:rsidRPr="00A60AC8" w:rsidR="003E1B03" w:rsidP="003E1B03" w:rsidRDefault="003E1B03" w14:paraId="2411443E" w14:textId="77777777">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Los proponentes que terminan su año contable en una fecha distinta al 31 de diciembre, deben actualizar la información financiera en la fecha correspondiente; sin perjuicio de la obligación de renovar el RUP de acuerdo con lo establecido en el artículo 2.2.1.1.1.5.1</w:t>
      </w:r>
      <w:r w:rsidRPr="00A60AC8">
        <w:rPr>
          <w:rStyle w:val="Fuerte"/>
          <w:rFonts w:ascii="Verdana" w:hAnsi="Verdana" w:cs="Arial"/>
          <w:sz w:val="16"/>
          <w:szCs w:val="16"/>
        </w:rPr>
        <w:t xml:space="preserve"> </w:t>
      </w:r>
      <w:r w:rsidRPr="00A60AC8">
        <w:rPr>
          <w:rFonts w:ascii="Verdana" w:hAnsi="Verdana" w:cs="Arial"/>
          <w:sz w:val="16"/>
          <w:szCs w:val="16"/>
        </w:rPr>
        <w:t>del presente decreto”.</w:t>
      </w:r>
    </w:p>
    <w:p w:rsidRPr="00A60AC8" w:rsidR="003E1B03" w:rsidP="003E1B03" w:rsidRDefault="003E1B03" w14:paraId="4573CCD3" w14:textId="77777777">
      <w:pPr>
        <w:pStyle w:val="Textonotapie"/>
        <w:ind w:firstLine="708"/>
        <w:contextualSpacing/>
        <w:jc w:val="both"/>
        <w:rPr>
          <w:rFonts w:ascii="Verdana" w:hAnsi="Verdana" w:cs="Arial"/>
          <w:sz w:val="16"/>
          <w:szCs w:val="16"/>
        </w:rPr>
      </w:pPr>
    </w:p>
  </w:footnote>
  <w:footnote w:id="11">
    <w:p w:rsidRPr="00A60AC8" w:rsidR="003E1B03" w:rsidP="003E1B03" w:rsidRDefault="003E1B03" w14:paraId="06858D61" w14:textId="77777777">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Decreto 1082 de 2015:</w:t>
      </w:r>
      <w:r w:rsidRPr="00A60AC8">
        <w:rPr>
          <w:rFonts w:ascii="Verdana" w:hAnsi="Verdana" w:cs="Arial"/>
          <w:sz w:val="16"/>
          <w:szCs w:val="16"/>
        </w:rPr>
        <w:t xml:space="preserve"> </w:t>
      </w:r>
      <w:r w:rsidRPr="00A60AC8">
        <w:rPr>
          <w:rFonts w:ascii="Verdana" w:hAnsi="Verdana" w:cs="Arial"/>
          <w:sz w:val="16"/>
          <w:szCs w:val="16"/>
          <w:lang w:eastAsia="es-CO"/>
        </w:rPr>
        <w:t>“Artículo 2.2.1.1.1.5.1. Inscripción, renovación, actualización y cancelación del RUP. Las personas naturales y jurídicas, nacionales o extranjeras, con domicilio en Colombia, interesadas en participar en Procesos de Contratación convocados por las Entidades Estatales, deben estar inscritas en el RUP, salvo las excepciones previstas de forma taxativa en la ley.”</w:t>
      </w:r>
    </w:p>
    <w:p w:rsidRPr="00A60AC8" w:rsidR="003E1B03" w:rsidP="003E1B03" w:rsidRDefault="003E1B03" w14:paraId="4C8D63BB" w14:textId="77777777">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rsidRPr="00A60AC8" w:rsidR="003E1B03" w:rsidP="003E1B03" w:rsidRDefault="003E1B03" w14:paraId="6737DE30" w14:textId="77777777">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Los inscritos en el RUP pueden en cualquier momento solicitar a la cámara de comercio cancelar su inscripción”.</w:t>
      </w:r>
    </w:p>
    <w:p w:rsidRPr="00A60AC8" w:rsidR="003E1B03" w:rsidP="003E1B03" w:rsidRDefault="003E1B03" w14:paraId="6553CECC" w14:textId="77777777">
      <w:pPr>
        <w:pStyle w:val="Textonotapie"/>
        <w:ind w:firstLine="709"/>
        <w:contextualSpacing/>
        <w:jc w:val="both"/>
        <w:rPr>
          <w:rFonts w:ascii="Verdana" w:hAnsi="Verdana" w:cs="Arial"/>
          <w:sz w:val="16"/>
          <w:szCs w:val="16"/>
          <w:lang w:val="es-ES"/>
        </w:rPr>
      </w:pPr>
    </w:p>
  </w:footnote>
  <w:footnote w:id="12">
    <w:p w:rsidRPr="00A60AC8" w:rsidR="003E1B03" w:rsidP="003E1B03" w:rsidRDefault="003E1B03" w14:paraId="5B314F82" w14:textId="77777777">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“6.3. De la impugnación de la inscripción en el Registro Único de Proponentes (RUP). Realizada la verificación a que se refiere el numeral 6.1</w:t>
      </w:r>
      <w:r w:rsidRPr="00A60AC8">
        <w:rPr>
          <w:rFonts w:ascii="Verdana" w:hAnsi="Verdana" w:cs="Arial"/>
          <w:spacing w:val="1"/>
          <w:sz w:val="16"/>
          <w:szCs w:val="16"/>
        </w:rPr>
        <w:t xml:space="preserve"> </w:t>
      </w:r>
      <w:r w:rsidRPr="00A60AC8">
        <w:rPr>
          <w:rFonts w:ascii="Verdana" w:hAnsi="Verdana" w:cs="Arial"/>
          <w:spacing w:val="-1"/>
          <w:sz w:val="16"/>
          <w:szCs w:val="16"/>
        </w:rPr>
        <w:t>del</w:t>
      </w:r>
      <w:r w:rsidRPr="00A60AC8">
        <w:rPr>
          <w:rFonts w:ascii="Verdana" w:hAnsi="Verdana" w:cs="Arial"/>
          <w:spacing w:val="-8"/>
          <w:sz w:val="16"/>
          <w:szCs w:val="16"/>
        </w:rPr>
        <w:t xml:space="preserve"> </w:t>
      </w:r>
      <w:r w:rsidRPr="00A60AC8">
        <w:rPr>
          <w:rFonts w:ascii="Verdana" w:hAnsi="Verdana" w:cs="Arial"/>
          <w:spacing w:val="-1"/>
          <w:sz w:val="16"/>
          <w:szCs w:val="16"/>
        </w:rPr>
        <w:t>presente</w:t>
      </w:r>
      <w:r w:rsidRPr="00A60AC8">
        <w:rPr>
          <w:rFonts w:ascii="Verdana" w:hAnsi="Verdana" w:cs="Arial"/>
          <w:spacing w:val="-8"/>
          <w:sz w:val="16"/>
          <w:szCs w:val="16"/>
        </w:rPr>
        <w:t xml:space="preserve"> </w:t>
      </w:r>
      <w:r w:rsidRPr="00A60AC8">
        <w:rPr>
          <w:rFonts w:ascii="Verdana" w:hAnsi="Verdana" w:cs="Arial"/>
          <w:spacing w:val="-1"/>
          <w:sz w:val="16"/>
          <w:szCs w:val="16"/>
        </w:rPr>
        <w:t>artículo,</w:t>
      </w:r>
      <w:r w:rsidRPr="00A60AC8">
        <w:rPr>
          <w:rFonts w:ascii="Verdana" w:hAnsi="Verdana" w:cs="Arial"/>
          <w:spacing w:val="-8"/>
          <w:sz w:val="16"/>
          <w:szCs w:val="16"/>
        </w:rPr>
        <w:t xml:space="preserve"> </w:t>
      </w:r>
      <w:r w:rsidRPr="00A60AC8">
        <w:rPr>
          <w:rFonts w:ascii="Verdana" w:hAnsi="Verdana" w:cs="Arial"/>
          <w:spacing w:val="-1"/>
          <w:sz w:val="16"/>
          <w:szCs w:val="16"/>
        </w:rPr>
        <w:t>la</w:t>
      </w:r>
      <w:r w:rsidRPr="00A60AC8">
        <w:rPr>
          <w:rFonts w:ascii="Verdana" w:hAnsi="Verdana" w:cs="Arial"/>
          <w:spacing w:val="-7"/>
          <w:sz w:val="16"/>
          <w:szCs w:val="16"/>
        </w:rPr>
        <w:t xml:space="preserve"> </w:t>
      </w:r>
      <w:r w:rsidRPr="00A60AC8">
        <w:rPr>
          <w:rFonts w:ascii="Verdana" w:hAnsi="Verdana" w:cs="Arial"/>
          <w:spacing w:val="-1"/>
          <w:sz w:val="16"/>
          <w:szCs w:val="16"/>
        </w:rPr>
        <w:t>Cámara</w:t>
      </w:r>
      <w:r w:rsidRPr="00A60AC8">
        <w:rPr>
          <w:rFonts w:ascii="Verdana" w:hAnsi="Verdana" w:cs="Arial"/>
          <w:spacing w:val="-8"/>
          <w:sz w:val="16"/>
          <w:szCs w:val="16"/>
        </w:rPr>
        <w:t xml:space="preserve"> </w:t>
      </w:r>
      <w:r w:rsidRPr="00A60AC8">
        <w:rPr>
          <w:rFonts w:ascii="Verdana" w:hAnsi="Verdana" w:cs="Arial"/>
          <w:spacing w:val="-1"/>
          <w:sz w:val="16"/>
          <w:szCs w:val="16"/>
        </w:rPr>
        <w:t>publicará</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acto</w:t>
      </w:r>
      <w:r w:rsidRPr="00A60AC8">
        <w:rPr>
          <w:rFonts w:ascii="Verdana" w:hAnsi="Verdana" w:cs="Arial"/>
          <w:spacing w:val="-7"/>
          <w:sz w:val="16"/>
          <w:szCs w:val="16"/>
        </w:rPr>
        <w:t xml:space="preserve"> </w:t>
      </w:r>
      <w:r w:rsidRPr="00A60AC8">
        <w:rPr>
          <w:rFonts w:ascii="Verdana" w:hAnsi="Verdana" w:cs="Arial"/>
          <w:spacing w:val="-1"/>
          <w:sz w:val="16"/>
          <w:szCs w:val="16"/>
        </w:rPr>
        <w:t>de</w:t>
      </w:r>
      <w:r w:rsidRPr="00A60AC8">
        <w:rPr>
          <w:rFonts w:ascii="Verdana" w:hAnsi="Verdana" w:cs="Arial"/>
          <w:spacing w:val="-8"/>
          <w:sz w:val="16"/>
          <w:szCs w:val="16"/>
        </w:rPr>
        <w:t xml:space="preserve"> </w:t>
      </w:r>
      <w:r w:rsidRPr="00A60AC8">
        <w:rPr>
          <w:rFonts w:ascii="Verdana" w:hAnsi="Verdana" w:cs="Arial"/>
          <w:spacing w:val="-1"/>
          <w:sz w:val="16"/>
          <w:szCs w:val="16"/>
        </w:rPr>
        <w:t>inscripción,</w:t>
      </w:r>
      <w:r w:rsidRPr="00A60AC8">
        <w:rPr>
          <w:rFonts w:ascii="Verdana" w:hAnsi="Verdana" w:cs="Arial"/>
          <w:spacing w:val="-8"/>
          <w:sz w:val="16"/>
          <w:szCs w:val="16"/>
        </w:rPr>
        <w:t xml:space="preserve"> </w:t>
      </w:r>
      <w:r w:rsidRPr="00A60AC8">
        <w:rPr>
          <w:rFonts w:ascii="Verdana" w:hAnsi="Verdana" w:cs="Arial"/>
          <w:spacing w:val="-1"/>
          <w:sz w:val="16"/>
          <w:szCs w:val="16"/>
        </w:rPr>
        <w:t>contra</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cual</w:t>
      </w:r>
      <w:r w:rsidRPr="00A60AC8">
        <w:rPr>
          <w:rFonts w:ascii="Verdana" w:hAnsi="Verdana" w:cs="Arial"/>
          <w:spacing w:val="-8"/>
          <w:sz w:val="16"/>
          <w:szCs w:val="16"/>
        </w:rPr>
        <w:t xml:space="preserve"> </w:t>
      </w:r>
      <w:r w:rsidRPr="00A60AC8">
        <w:rPr>
          <w:rFonts w:ascii="Verdana" w:hAnsi="Verdana" w:cs="Arial"/>
          <w:spacing w:val="-1"/>
          <w:sz w:val="16"/>
          <w:szCs w:val="16"/>
        </w:rPr>
        <w:t>cualquier</w:t>
      </w:r>
      <w:r w:rsidRPr="00A60AC8">
        <w:rPr>
          <w:rFonts w:ascii="Verdana" w:hAnsi="Verdana" w:cs="Arial"/>
          <w:spacing w:val="-8"/>
          <w:sz w:val="16"/>
          <w:szCs w:val="16"/>
        </w:rPr>
        <w:t xml:space="preserve"> </w:t>
      </w:r>
      <w:r w:rsidRPr="00A60AC8">
        <w:rPr>
          <w:rFonts w:ascii="Verdana" w:hAnsi="Verdana" w:cs="Arial"/>
          <w:spacing w:val="-1"/>
          <w:sz w:val="16"/>
          <w:szCs w:val="16"/>
        </w:rPr>
        <w:t>persona</w:t>
      </w:r>
      <w:r w:rsidRPr="00A60AC8">
        <w:rPr>
          <w:rFonts w:ascii="Verdana" w:hAnsi="Verdana" w:cs="Arial"/>
          <w:spacing w:val="-8"/>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interponer</w:t>
      </w:r>
      <w:r w:rsidRPr="00A60AC8">
        <w:rPr>
          <w:rFonts w:ascii="Verdana" w:hAnsi="Verdana" w:cs="Arial"/>
          <w:spacing w:val="-8"/>
          <w:sz w:val="16"/>
          <w:szCs w:val="16"/>
        </w:rPr>
        <w:t xml:space="preserve"> </w:t>
      </w:r>
      <w:r w:rsidRPr="00A60AC8">
        <w:rPr>
          <w:rFonts w:ascii="Verdana" w:hAnsi="Verdana" w:cs="Arial"/>
          <w:sz w:val="16"/>
          <w:szCs w:val="16"/>
        </w:rPr>
        <w:t>recurso</w:t>
      </w:r>
      <w:r w:rsidRPr="00A60AC8">
        <w:rPr>
          <w:rFonts w:ascii="Verdana" w:hAnsi="Verdana" w:cs="Arial"/>
          <w:spacing w:val="-8"/>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reposición</w:t>
      </w:r>
      <w:r w:rsidRPr="00A60AC8">
        <w:rPr>
          <w:rFonts w:ascii="Verdana" w:hAnsi="Verdana" w:cs="Arial"/>
          <w:spacing w:val="-8"/>
          <w:sz w:val="16"/>
          <w:szCs w:val="16"/>
        </w:rPr>
        <w:t xml:space="preserve"> </w:t>
      </w:r>
      <w:r w:rsidRPr="00A60AC8">
        <w:rPr>
          <w:rFonts w:ascii="Verdana" w:hAnsi="Verdana" w:cs="Arial"/>
          <w:sz w:val="16"/>
          <w:szCs w:val="16"/>
        </w:rPr>
        <w:t>ante</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8"/>
          <w:sz w:val="16"/>
          <w:szCs w:val="16"/>
        </w:rPr>
        <w:t xml:space="preserve"> </w:t>
      </w:r>
      <w:r w:rsidRPr="00A60AC8">
        <w:rPr>
          <w:rFonts w:ascii="Verdana" w:hAnsi="Verdana" w:cs="Arial"/>
          <w:sz w:val="16"/>
          <w:szCs w:val="16"/>
        </w:rPr>
        <w:t>respectiva</w:t>
      </w:r>
      <w:r w:rsidRPr="00A60AC8">
        <w:rPr>
          <w:rFonts w:ascii="Verdana" w:hAnsi="Verdana" w:cs="Arial"/>
          <w:spacing w:val="-7"/>
          <w:sz w:val="16"/>
          <w:szCs w:val="16"/>
        </w:rPr>
        <w:t xml:space="preserve"> </w:t>
      </w:r>
      <w:r w:rsidRPr="00A60AC8">
        <w:rPr>
          <w:rFonts w:ascii="Verdana" w:hAnsi="Verdana" w:cs="Arial"/>
          <w:sz w:val="16"/>
          <w:szCs w:val="16"/>
        </w:rPr>
        <w:t>Cámara</w:t>
      </w:r>
      <w:r w:rsidRPr="00A60AC8">
        <w:rPr>
          <w:rFonts w:ascii="Verdana" w:hAnsi="Verdana" w:cs="Arial"/>
          <w:spacing w:val="1"/>
          <w:sz w:val="16"/>
          <w:szCs w:val="16"/>
        </w:rPr>
        <w:t xml:space="preserve"> </w:t>
      </w:r>
      <w:r w:rsidRPr="00A60AC8">
        <w:rPr>
          <w:rFonts w:ascii="Verdana" w:hAnsi="Verdana" w:cs="Arial"/>
          <w:sz w:val="16"/>
          <w:szCs w:val="16"/>
        </w:rPr>
        <w:t>de Comercio, durante los diez (10) días hábiles siguientes a la publicación, sin que para ello requiera demostrar interés alguno. Para que la impugnación sea</w:t>
      </w:r>
      <w:r w:rsidRPr="00A60AC8">
        <w:rPr>
          <w:rFonts w:ascii="Verdana" w:hAnsi="Verdana" w:cs="Arial"/>
          <w:spacing w:val="1"/>
          <w:sz w:val="16"/>
          <w:szCs w:val="16"/>
        </w:rPr>
        <w:t xml:space="preserve"> </w:t>
      </w:r>
      <w:r w:rsidRPr="00A60AC8">
        <w:rPr>
          <w:rFonts w:ascii="Verdana" w:hAnsi="Verdana" w:cs="Arial"/>
          <w:sz w:val="16"/>
          <w:szCs w:val="16"/>
        </w:rPr>
        <w:t>admisible deberá prestarse caución bancaria o de compañía de seguros para garantizar los perjuicios que se puedan causar al inscrito. Contra la decisión que</w:t>
      </w:r>
      <w:r w:rsidRPr="00A60AC8">
        <w:rPr>
          <w:rFonts w:ascii="Verdana" w:hAnsi="Verdana" w:cs="Arial"/>
          <w:spacing w:val="1"/>
          <w:sz w:val="16"/>
          <w:szCs w:val="16"/>
        </w:rPr>
        <w:t xml:space="preserve"> </w:t>
      </w:r>
      <w:r w:rsidRPr="00A60AC8">
        <w:rPr>
          <w:rFonts w:ascii="Verdana" w:hAnsi="Verdana" w:cs="Arial"/>
          <w:sz w:val="16"/>
          <w:szCs w:val="16"/>
        </w:rPr>
        <w:t>resuelva</w:t>
      </w:r>
      <w:r w:rsidRPr="00A60AC8">
        <w:rPr>
          <w:rFonts w:ascii="Verdana" w:hAnsi="Verdana" w:cs="Arial"/>
          <w:spacing w:val="-2"/>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recurso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reposición,</w:t>
      </w:r>
      <w:r w:rsidRPr="00A60AC8">
        <w:rPr>
          <w:rFonts w:ascii="Verdana" w:hAnsi="Verdana" w:cs="Arial"/>
          <w:spacing w:val="-1"/>
          <w:sz w:val="16"/>
          <w:szCs w:val="16"/>
        </w:rPr>
        <w:t xml:space="preserve"> </w:t>
      </w:r>
      <w:r w:rsidRPr="00A60AC8">
        <w:rPr>
          <w:rFonts w:ascii="Verdana" w:hAnsi="Verdana" w:cs="Arial"/>
          <w:sz w:val="16"/>
          <w:szCs w:val="16"/>
        </w:rPr>
        <w:t>no</w:t>
      </w:r>
      <w:r w:rsidRPr="00A60AC8">
        <w:rPr>
          <w:rFonts w:ascii="Verdana" w:hAnsi="Verdana" w:cs="Arial"/>
          <w:spacing w:val="-1"/>
          <w:sz w:val="16"/>
          <w:szCs w:val="16"/>
        </w:rPr>
        <w:t xml:space="preserve"> </w:t>
      </w:r>
      <w:r w:rsidRPr="00A60AC8">
        <w:rPr>
          <w:rFonts w:ascii="Verdana" w:hAnsi="Verdana" w:cs="Arial"/>
          <w:sz w:val="16"/>
          <w:szCs w:val="16"/>
        </w:rPr>
        <w:t>procederá</w:t>
      </w:r>
      <w:r w:rsidRPr="00A60AC8">
        <w:rPr>
          <w:rFonts w:ascii="Verdana" w:hAnsi="Verdana" w:cs="Arial"/>
          <w:spacing w:val="-1"/>
          <w:sz w:val="16"/>
          <w:szCs w:val="16"/>
        </w:rPr>
        <w:t xml:space="preserve"> </w:t>
      </w:r>
      <w:r w:rsidRPr="00A60AC8">
        <w:rPr>
          <w:rFonts w:ascii="Verdana" w:hAnsi="Verdana" w:cs="Arial"/>
          <w:sz w:val="16"/>
          <w:szCs w:val="16"/>
        </w:rPr>
        <w:t>apelación.</w:t>
      </w:r>
    </w:p>
    <w:p w:rsidRPr="00A60AC8" w:rsidR="003E1B03" w:rsidP="003E1B03" w:rsidRDefault="003E1B03" w14:paraId="0DC4218B"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firme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inscripción,</w:t>
      </w:r>
      <w:r w:rsidRPr="00A60AC8">
        <w:rPr>
          <w:rFonts w:ascii="Verdana" w:hAnsi="Verdana" w:cs="Arial"/>
          <w:spacing w:val="-7"/>
          <w:sz w:val="16"/>
          <w:szCs w:val="16"/>
        </w:rPr>
        <w:t xml:space="preserve"> </w:t>
      </w:r>
      <w:r w:rsidRPr="00A60AC8">
        <w:rPr>
          <w:rFonts w:ascii="Verdana" w:hAnsi="Verdana" w:cs="Arial"/>
          <w:sz w:val="16"/>
          <w:szCs w:val="16"/>
        </w:rPr>
        <w:t>cualquier</w:t>
      </w:r>
      <w:r w:rsidRPr="00A60AC8">
        <w:rPr>
          <w:rFonts w:ascii="Verdana" w:hAnsi="Verdana" w:cs="Arial"/>
          <w:spacing w:val="-7"/>
          <w:sz w:val="16"/>
          <w:szCs w:val="16"/>
        </w:rPr>
        <w:t xml:space="preserve"> </w:t>
      </w:r>
      <w:r w:rsidRPr="00A60AC8">
        <w:rPr>
          <w:rFonts w:ascii="Verdana" w:hAnsi="Verdana" w:cs="Arial"/>
          <w:sz w:val="16"/>
          <w:szCs w:val="16"/>
        </w:rPr>
        <w:t>persona</w:t>
      </w:r>
      <w:r w:rsidRPr="00A60AC8">
        <w:rPr>
          <w:rFonts w:ascii="Verdana" w:hAnsi="Verdana" w:cs="Arial"/>
          <w:spacing w:val="-7"/>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demandar</w:t>
      </w:r>
      <w:r w:rsidRPr="00A60AC8">
        <w:rPr>
          <w:rFonts w:ascii="Verdana" w:hAnsi="Verdana" w:cs="Arial"/>
          <w:spacing w:val="-7"/>
          <w:sz w:val="16"/>
          <w:szCs w:val="16"/>
        </w:rPr>
        <w:t xml:space="preserve"> </w:t>
      </w:r>
      <w:r w:rsidRPr="00A60AC8">
        <w:rPr>
          <w:rFonts w:ascii="Verdana" w:hAnsi="Verdana" w:cs="Arial"/>
          <w:sz w:val="16"/>
          <w:szCs w:val="16"/>
        </w:rPr>
        <w:t>su</w:t>
      </w:r>
      <w:r w:rsidRPr="00A60AC8">
        <w:rPr>
          <w:rFonts w:ascii="Verdana" w:hAnsi="Verdana" w:cs="Arial"/>
          <w:spacing w:val="-7"/>
          <w:sz w:val="16"/>
          <w:szCs w:val="16"/>
        </w:rPr>
        <w:t xml:space="preserve"> </w:t>
      </w:r>
      <w:r w:rsidRPr="00A60AC8">
        <w:rPr>
          <w:rFonts w:ascii="Verdana" w:hAnsi="Verdana" w:cs="Arial"/>
          <w:sz w:val="16"/>
          <w:szCs w:val="16"/>
        </w:rPr>
        <w:t>nulidad</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desarrollo</w:t>
      </w:r>
      <w:r w:rsidRPr="00A60AC8">
        <w:rPr>
          <w:rFonts w:ascii="Verdana" w:hAnsi="Verdana" w:cs="Arial"/>
          <w:spacing w:val="-6"/>
          <w:sz w:val="16"/>
          <w:szCs w:val="16"/>
        </w:rPr>
        <w:t xml:space="preserve"> </w:t>
      </w:r>
      <w:r w:rsidRPr="00A60AC8">
        <w:rPr>
          <w:rFonts w:ascii="Verdana" w:hAnsi="Verdana" w:cs="Arial"/>
          <w:sz w:val="16"/>
          <w:szCs w:val="16"/>
        </w:rPr>
        <w:t>de</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acción</w:t>
      </w:r>
      <w:r w:rsidRPr="00A60AC8">
        <w:rPr>
          <w:rFonts w:ascii="Verdana" w:hAnsi="Verdana" w:cs="Arial"/>
          <w:spacing w:val="-7"/>
          <w:sz w:val="16"/>
          <w:szCs w:val="16"/>
        </w:rPr>
        <w:t xml:space="preserve"> </w:t>
      </w:r>
      <w:r w:rsidRPr="00A60AC8">
        <w:rPr>
          <w:rFonts w:ascii="Verdana" w:hAnsi="Verdana" w:cs="Arial"/>
          <w:sz w:val="16"/>
          <w:szCs w:val="16"/>
        </w:rPr>
        <w:t>prevista</w:t>
      </w:r>
      <w:r w:rsidRPr="00A60AC8">
        <w:rPr>
          <w:rFonts w:ascii="Verdana" w:hAnsi="Verdana" w:cs="Arial"/>
          <w:spacing w:val="-6"/>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Código</w:t>
      </w:r>
      <w:r w:rsidRPr="00A60AC8">
        <w:rPr>
          <w:rFonts w:ascii="Verdana" w:hAnsi="Verdana" w:cs="Arial"/>
          <w:spacing w:val="-7"/>
          <w:sz w:val="16"/>
          <w:szCs w:val="16"/>
        </w:rPr>
        <w:t xml:space="preserve"> </w:t>
      </w:r>
      <w:r w:rsidRPr="00A60AC8">
        <w:rPr>
          <w:rFonts w:ascii="Verdana" w:hAnsi="Verdana" w:cs="Arial"/>
          <w:sz w:val="16"/>
          <w:szCs w:val="16"/>
        </w:rPr>
        <w:t>Contencioso</w:t>
      </w:r>
      <w:r w:rsidRPr="00A60AC8">
        <w:rPr>
          <w:rFonts w:ascii="Verdana" w:hAnsi="Verdana" w:cs="Arial"/>
          <w:spacing w:val="-7"/>
          <w:sz w:val="16"/>
          <w:szCs w:val="16"/>
        </w:rPr>
        <w:t xml:space="preserve"> </w:t>
      </w:r>
      <w:r w:rsidRPr="00A60AC8">
        <w:rPr>
          <w:rFonts w:ascii="Verdana" w:hAnsi="Verdana" w:cs="Arial"/>
          <w:sz w:val="16"/>
          <w:szCs w:val="16"/>
        </w:rPr>
        <w:t>Administrativo.</w:t>
      </w:r>
    </w:p>
    <w:p w:rsidRPr="00A60AC8" w:rsidR="003E1B03" w:rsidP="003E1B03" w:rsidRDefault="003E1B03" w14:paraId="384799E1" w14:textId="77777777">
      <w:pPr>
        <w:spacing w:after="0" w:line="240" w:lineRule="auto"/>
        <w:contextualSpacing/>
        <w:jc w:val="both"/>
        <w:rPr>
          <w:rFonts w:ascii="Verdana" w:hAnsi="Verdana" w:cs="Arial"/>
          <w:sz w:val="16"/>
          <w:szCs w:val="16"/>
        </w:rPr>
      </w:pPr>
      <w:r w:rsidRPr="00A60AC8">
        <w:rPr>
          <w:rFonts w:ascii="Verdana" w:hAnsi="Verdana" w:cs="Arial"/>
          <w:sz w:val="16"/>
          <w:szCs w:val="16"/>
        </w:rPr>
        <w:t>Para</w:t>
      </w:r>
      <w:r w:rsidRPr="00A60AC8">
        <w:rPr>
          <w:rFonts w:ascii="Verdana" w:hAnsi="Verdana" w:cs="Arial"/>
          <w:spacing w:val="-5"/>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efecto</w:t>
      </w:r>
      <w:r w:rsidRPr="00A60AC8">
        <w:rPr>
          <w:rFonts w:ascii="Verdana" w:hAnsi="Verdana" w:cs="Arial"/>
          <w:spacing w:val="-4"/>
          <w:sz w:val="16"/>
          <w:szCs w:val="16"/>
        </w:rPr>
        <w:t xml:space="preserve"> </w:t>
      </w:r>
      <w:r w:rsidRPr="00A60AC8">
        <w:rPr>
          <w:rFonts w:ascii="Verdana" w:hAnsi="Verdana" w:cs="Arial"/>
          <w:sz w:val="16"/>
          <w:szCs w:val="16"/>
        </w:rPr>
        <w:t>será</w:t>
      </w:r>
      <w:r w:rsidRPr="00A60AC8">
        <w:rPr>
          <w:rFonts w:ascii="Verdana" w:hAnsi="Verdana" w:cs="Arial"/>
          <w:spacing w:val="-5"/>
          <w:sz w:val="16"/>
          <w:szCs w:val="16"/>
        </w:rPr>
        <w:t xml:space="preserve"> </w:t>
      </w:r>
      <w:r w:rsidRPr="00A60AC8">
        <w:rPr>
          <w:rFonts w:ascii="Verdana" w:hAnsi="Verdana" w:cs="Arial"/>
          <w:sz w:val="16"/>
          <w:szCs w:val="16"/>
        </w:rPr>
        <w:t>competente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Juez</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5"/>
          <w:sz w:val="16"/>
          <w:szCs w:val="16"/>
        </w:rPr>
        <w:t xml:space="preserve"> </w:t>
      </w:r>
      <w:r w:rsidRPr="00A60AC8">
        <w:rPr>
          <w:rFonts w:ascii="Verdana" w:hAnsi="Verdana" w:cs="Arial"/>
          <w:sz w:val="16"/>
          <w:szCs w:val="16"/>
        </w:rPr>
        <w:t>lo</w:t>
      </w:r>
      <w:r w:rsidRPr="00A60AC8">
        <w:rPr>
          <w:rFonts w:ascii="Verdana" w:hAnsi="Verdana" w:cs="Arial"/>
          <w:spacing w:val="-4"/>
          <w:sz w:val="16"/>
          <w:szCs w:val="16"/>
        </w:rPr>
        <w:t xml:space="preserve"> </w:t>
      </w:r>
      <w:r w:rsidRPr="00A60AC8">
        <w:rPr>
          <w:rFonts w:ascii="Verdana" w:hAnsi="Verdana" w:cs="Arial"/>
          <w:sz w:val="16"/>
          <w:szCs w:val="16"/>
        </w:rPr>
        <w:t>Contencioso</w:t>
      </w:r>
      <w:r w:rsidRPr="00A60AC8">
        <w:rPr>
          <w:rFonts w:ascii="Verdana" w:hAnsi="Verdana" w:cs="Arial"/>
          <w:spacing w:val="-5"/>
          <w:sz w:val="16"/>
          <w:szCs w:val="16"/>
        </w:rPr>
        <w:t xml:space="preserve"> </w:t>
      </w:r>
      <w:r w:rsidRPr="00A60AC8">
        <w:rPr>
          <w:rFonts w:ascii="Verdana" w:hAnsi="Verdana" w:cs="Arial"/>
          <w:sz w:val="16"/>
          <w:szCs w:val="16"/>
        </w:rPr>
        <w:t>Administrativo</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5"/>
          <w:sz w:val="16"/>
          <w:szCs w:val="16"/>
        </w:rPr>
        <w:t xml:space="preserve"> </w:t>
      </w:r>
      <w:r w:rsidRPr="00A60AC8">
        <w:rPr>
          <w:rFonts w:ascii="Verdana" w:hAnsi="Verdana" w:cs="Arial"/>
          <w:sz w:val="16"/>
          <w:szCs w:val="16"/>
        </w:rPr>
        <w:t>única</w:t>
      </w:r>
      <w:r w:rsidRPr="00A60AC8">
        <w:rPr>
          <w:rFonts w:ascii="Verdana" w:hAnsi="Verdana" w:cs="Arial"/>
          <w:spacing w:val="-4"/>
          <w:sz w:val="16"/>
          <w:szCs w:val="16"/>
        </w:rPr>
        <w:t xml:space="preserve"> </w:t>
      </w:r>
      <w:r w:rsidRPr="00A60AC8">
        <w:rPr>
          <w:rFonts w:ascii="Verdana" w:hAnsi="Verdana" w:cs="Arial"/>
          <w:sz w:val="16"/>
          <w:szCs w:val="16"/>
        </w:rPr>
        <w:t>instancia.</w:t>
      </w:r>
    </w:p>
    <w:p w:rsidRPr="00A60AC8" w:rsidR="003E1B03" w:rsidP="003E1B03" w:rsidRDefault="003E1B03" w14:paraId="2DE7120C"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 presentación de la demanda no suspenderá la inscripción, ni será causal de suspensión de los procesos de selección en curso en los que el</w:t>
      </w:r>
      <w:r w:rsidRPr="00A60AC8">
        <w:rPr>
          <w:rFonts w:ascii="Verdana" w:hAnsi="Verdana" w:cs="Arial"/>
          <w:spacing w:val="1"/>
          <w:sz w:val="16"/>
          <w:szCs w:val="16"/>
        </w:rPr>
        <w:t xml:space="preserve"> </w:t>
      </w:r>
      <w:r w:rsidRPr="00A60AC8">
        <w:rPr>
          <w:rFonts w:ascii="Verdana" w:hAnsi="Verdana" w:cs="Arial"/>
          <w:spacing w:val="-1"/>
          <w:sz w:val="16"/>
          <w:szCs w:val="16"/>
        </w:rPr>
        <w:t>proponente</w:t>
      </w:r>
      <w:r w:rsidRPr="00A60AC8">
        <w:rPr>
          <w:rFonts w:ascii="Verdana" w:hAnsi="Verdana" w:cs="Arial"/>
          <w:spacing w:val="-8"/>
          <w:sz w:val="16"/>
          <w:szCs w:val="16"/>
        </w:rPr>
        <w:t xml:space="preserve"> </w:t>
      </w:r>
      <w:r w:rsidRPr="00A60AC8">
        <w:rPr>
          <w:rFonts w:ascii="Verdana" w:hAnsi="Verdana" w:cs="Arial"/>
          <w:spacing w:val="-1"/>
          <w:sz w:val="16"/>
          <w:szCs w:val="16"/>
        </w:rPr>
        <w:t>sea</w:t>
      </w:r>
      <w:r w:rsidRPr="00A60AC8">
        <w:rPr>
          <w:rFonts w:ascii="Verdana" w:hAnsi="Verdana" w:cs="Arial"/>
          <w:spacing w:val="-8"/>
          <w:sz w:val="16"/>
          <w:szCs w:val="16"/>
        </w:rPr>
        <w:t xml:space="preserve"> </w:t>
      </w:r>
      <w:r w:rsidRPr="00A60AC8">
        <w:rPr>
          <w:rFonts w:ascii="Verdana" w:hAnsi="Verdana" w:cs="Arial"/>
          <w:spacing w:val="-1"/>
          <w:sz w:val="16"/>
          <w:szCs w:val="16"/>
        </w:rPr>
        <w:t>parte.</w:t>
      </w:r>
      <w:r w:rsidRPr="00A60AC8">
        <w:rPr>
          <w:rFonts w:ascii="Verdana" w:hAnsi="Verdana" w:cs="Arial"/>
          <w:spacing w:val="-7"/>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proceso</w:t>
      </w:r>
      <w:r w:rsidRPr="00A60AC8">
        <w:rPr>
          <w:rFonts w:ascii="Verdana" w:hAnsi="Verdana" w:cs="Arial"/>
          <w:spacing w:val="-7"/>
          <w:sz w:val="16"/>
          <w:szCs w:val="16"/>
        </w:rPr>
        <w:t xml:space="preserve"> </w:t>
      </w:r>
      <w:r w:rsidRPr="00A60AC8">
        <w:rPr>
          <w:rFonts w:ascii="Verdana" w:hAnsi="Verdana" w:cs="Arial"/>
          <w:spacing w:val="-1"/>
          <w:sz w:val="16"/>
          <w:szCs w:val="16"/>
        </w:rPr>
        <w:t>se</w:t>
      </w:r>
      <w:r w:rsidRPr="00A60AC8">
        <w:rPr>
          <w:rFonts w:ascii="Verdana" w:hAnsi="Verdana" w:cs="Arial"/>
          <w:spacing w:val="-8"/>
          <w:sz w:val="16"/>
          <w:szCs w:val="16"/>
        </w:rPr>
        <w:t xml:space="preserve"> </w:t>
      </w:r>
      <w:r w:rsidRPr="00A60AC8">
        <w:rPr>
          <w:rFonts w:ascii="Verdana" w:hAnsi="Verdana" w:cs="Arial"/>
          <w:spacing w:val="-1"/>
          <w:sz w:val="16"/>
          <w:szCs w:val="16"/>
        </w:rPr>
        <w:t>tramitará</w:t>
      </w:r>
      <w:r w:rsidRPr="00A60AC8">
        <w:rPr>
          <w:rFonts w:ascii="Verdana" w:hAnsi="Verdana" w:cs="Arial"/>
          <w:spacing w:val="-7"/>
          <w:sz w:val="16"/>
          <w:szCs w:val="16"/>
        </w:rPr>
        <w:t xml:space="preserve"> </w:t>
      </w:r>
      <w:r w:rsidRPr="00A60AC8">
        <w:rPr>
          <w:rFonts w:ascii="Verdana" w:hAnsi="Verdana" w:cs="Arial"/>
          <w:spacing w:val="-1"/>
          <w:sz w:val="16"/>
          <w:szCs w:val="16"/>
        </w:rPr>
        <w:t>por</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procedimiento</w:t>
      </w:r>
      <w:r w:rsidRPr="00A60AC8">
        <w:rPr>
          <w:rFonts w:ascii="Verdana" w:hAnsi="Verdana" w:cs="Arial"/>
          <w:spacing w:val="-7"/>
          <w:sz w:val="16"/>
          <w:szCs w:val="16"/>
        </w:rPr>
        <w:t xml:space="preserve"> </w:t>
      </w:r>
      <w:r w:rsidRPr="00A60AC8">
        <w:rPr>
          <w:rFonts w:ascii="Verdana" w:hAnsi="Verdana" w:cs="Arial"/>
          <w:spacing w:val="-1"/>
          <w:sz w:val="16"/>
          <w:szCs w:val="16"/>
        </w:rPr>
        <w:t>ordinario</w:t>
      </w:r>
      <w:r w:rsidRPr="00A60AC8">
        <w:rPr>
          <w:rFonts w:ascii="Verdana" w:hAnsi="Verdana" w:cs="Arial"/>
          <w:spacing w:val="-8"/>
          <w:sz w:val="16"/>
          <w:szCs w:val="16"/>
        </w:rPr>
        <w:t xml:space="preserve"> </w:t>
      </w:r>
      <w:r w:rsidRPr="00A60AC8">
        <w:rPr>
          <w:rFonts w:ascii="Verdana" w:hAnsi="Verdana" w:cs="Arial"/>
          <w:spacing w:val="-1"/>
          <w:sz w:val="16"/>
          <w:szCs w:val="16"/>
        </w:rPr>
        <w:t>a</w:t>
      </w:r>
      <w:r w:rsidRPr="00A60AC8">
        <w:rPr>
          <w:rFonts w:ascii="Verdana" w:hAnsi="Verdana" w:cs="Arial"/>
          <w:spacing w:val="-7"/>
          <w:sz w:val="16"/>
          <w:szCs w:val="16"/>
        </w:rPr>
        <w:t xml:space="preserve"> </w:t>
      </w:r>
      <w:r w:rsidRPr="00A60AC8">
        <w:rPr>
          <w:rFonts w:ascii="Verdana" w:hAnsi="Verdana" w:cs="Arial"/>
          <w:spacing w:val="-1"/>
          <w:sz w:val="16"/>
          <w:szCs w:val="16"/>
        </w:rPr>
        <w:t>que</w:t>
      </w:r>
      <w:r w:rsidRPr="00A60AC8">
        <w:rPr>
          <w:rFonts w:ascii="Verdana" w:hAnsi="Verdana" w:cs="Arial"/>
          <w:spacing w:val="-8"/>
          <w:sz w:val="16"/>
          <w:szCs w:val="16"/>
        </w:rPr>
        <w:t xml:space="preserve"> </w:t>
      </w:r>
      <w:r w:rsidRPr="00A60AC8">
        <w:rPr>
          <w:rFonts w:ascii="Verdana" w:hAnsi="Verdana" w:cs="Arial"/>
          <w:spacing w:val="-1"/>
          <w:sz w:val="16"/>
          <w:szCs w:val="16"/>
        </w:rPr>
        <w:t>se</w:t>
      </w:r>
      <w:r w:rsidRPr="00A60AC8">
        <w:rPr>
          <w:rFonts w:ascii="Verdana" w:hAnsi="Verdana" w:cs="Arial"/>
          <w:spacing w:val="-7"/>
          <w:sz w:val="16"/>
          <w:szCs w:val="16"/>
        </w:rPr>
        <w:t xml:space="preserve"> </w:t>
      </w:r>
      <w:r w:rsidRPr="00A60AC8">
        <w:rPr>
          <w:rFonts w:ascii="Verdana" w:hAnsi="Verdana" w:cs="Arial"/>
          <w:spacing w:val="-1"/>
          <w:sz w:val="16"/>
          <w:szCs w:val="16"/>
        </w:rPr>
        <w:t>refiere</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Código</w:t>
      </w:r>
      <w:r w:rsidRPr="00A60AC8">
        <w:rPr>
          <w:rFonts w:ascii="Verdana" w:hAnsi="Verdana" w:cs="Arial"/>
          <w:spacing w:val="-8"/>
          <w:sz w:val="16"/>
          <w:szCs w:val="16"/>
        </w:rPr>
        <w:t xml:space="preserve"> </w:t>
      </w:r>
      <w:r w:rsidRPr="00A60AC8">
        <w:rPr>
          <w:rFonts w:ascii="Verdana" w:hAnsi="Verdana" w:cs="Arial"/>
          <w:spacing w:val="-1"/>
          <w:sz w:val="16"/>
          <w:szCs w:val="16"/>
        </w:rPr>
        <w:t>Contencioso</w:t>
      </w:r>
      <w:r w:rsidRPr="00A60AC8">
        <w:rPr>
          <w:rFonts w:ascii="Verdana" w:hAnsi="Verdana" w:cs="Arial"/>
          <w:spacing w:val="-8"/>
          <w:sz w:val="16"/>
          <w:szCs w:val="16"/>
        </w:rPr>
        <w:t xml:space="preserve"> </w:t>
      </w:r>
      <w:r w:rsidRPr="00A60AC8">
        <w:rPr>
          <w:rFonts w:ascii="Verdana" w:hAnsi="Verdana" w:cs="Arial"/>
          <w:spacing w:val="-1"/>
          <w:sz w:val="16"/>
          <w:szCs w:val="16"/>
        </w:rPr>
        <w:t>Administrativo.</w:t>
      </w:r>
      <w:r w:rsidRPr="00A60AC8">
        <w:rPr>
          <w:rFonts w:ascii="Verdana" w:hAnsi="Verdana" w:cs="Arial"/>
          <w:spacing w:val="-6"/>
          <w:sz w:val="16"/>
          <w:szCs w:val="16"/>
        </w:rPr>
        <w:t xml:space="preserve"> </w:t>
      </w:r>
      <w:r w:rsidRPr="00A60AC8">
        <w:rPr>
          <w:rFonts w:ascii="Verdana" w:hAnsi="Verdana" w:cs="Arial"/>
          <w:sz w:val="16"/>
          <w:szCs w:val="16"/>
        </w:rPr>
        <w:t>Adoptada</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decisión,</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misma</w:t>
      </w:r>
      <w:r w:rsidRPr="00A60AC8">
        <w:rPr>
          <w:rFonts w:ascii="Verdana" w:hAnsi="Verdana" w:cs="Arial"/>
          <w:spacing w:val="1"/>
          <w:sz w:val="16"/>
          <w:szCs w:val="16"/>
        </w:rPr>
        <w:t xml:space="preserve"> </w:t>
      </w:r>
      <w:r w:rsidRPr="00A60AC8">
        <w:rPr>
          <w:rFonts w:ascii="Verdana" w:hAnsi="Verdana" w:cs="Arial"/>
          <w:sz w:val="16"/>
          <w:szCs w:val="16"/>
        </w:rPr>
        <w:t>sólo</w:t>
      </w:r>
      <w:r w:rsidRPr="00A60AC8">
        <w:rPr>
          <w:rFonts w:ascii="Verdana" w:hAnsi="Verdana" w:cs="Arial"/>
          <w:spacing w:val="-2"/>
          <w:sz w:val="16"/>
          <w:szCs w:val="16"/>
        </w:rPr>
        <w:t xml:space="preserve"> </w:t>
      </w:r>
      <w:r w:rsidRPr="00A60AC8">
        <w:rPr>
          <w:rFonts w:ascii="Verdana" w:hAnsi="Verdana" w:cs="Arial"/>
          <w:sz w:val="16"/>
          <w:szCs w:val="16"/>
        </w:rPr>
        <w:t>tendrá</w:t>
      </w:r>
      <w:r w:rsidRPr="00A60AC8">
        <w:rPr>
          <w:rFonts w:ascii="Verdana" w:hAnsi="Verdana" w:cs="Arial"/>
          <w:spacing w:val="-1"/>
          <w:sz w:val="16"/>
          <w:szCs w:val="16"/>
        </w:rPr>
        <w:t xml:space="preserve"> </w:t>
      </w:r>
      <w:r w:rsidRPr="00A60AC8">
        <w:rPr>
          <w:rFonts w:ascii="Verdana" w:hAnsi="Verdana" w:cs="Arial"/>
          <w:sz w:val="16"/>
          <w:szCs w:val="16"/>
        </w:rPr>
        <w:t>efectos</w:t>
      </w:r>
      <w:r w:rsidRPr="00A60AC8">
        <w:rPr>
          <w:rFonts w:ascii="Verdana" w:hAnsi="Verdana" w:cs="Arial"/>
          <w:spacing w:val="-1"/>
          <w:sz w:val="16"/>
          <w:szCs w:val="16"/>
        </w:rPr>
        <w:t xml:space="preserve"> </w:t>
      </w:r>
      <w:r w:rsidRPr="00A60AC8">
        <w:rPr>
          <w:rFonts w:ascii="Verdana" w:hAnsi="Verdana" w:cs="Arial"/>
          <w:sz w:val="16"/>
          <w:szCs w:val="16"/>
        </w:rPr>
        <w:t>hacia</w:t>
      </w:r>
      <w:r w:rsidRPr="00A60AC8">
        <w:rPr>
          <w:rFonts w:ascii="Verdana" w:hAnsi="Verdana" w:cs="Arial"/>
          <w:spacing w:val="-1"/>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futuro.</w:t>
      </w:r>
    </w:p>
    <w:p w:rsidRPr="00A60AC8" w:rsidR="003E1B03" w:rsidP="003E1B03" w:rsidRDefault="003E1B03" w14:paraId="14AC30E0"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Cuando en desarrollo de un proceso de selección una entidad estatal advierta la existencia de posibles irregularidades en el contenido de la</w:t>
      </w:r>
      <w:r w:rsidRPr="00A60AC8">
        <w:rPr>
          <w:rFonts w:ascii="Verdana" w:hAnsi="Verdana" w:cs="Arial"/>
          <w:spacing w:val="1"/>
          <w:sz w:val="16"/>
          <w:szCs w:val="16"/>
        </w:rPr>
        <w:t xml:space="preserve"> </w:t>
      </w:r>
      <w:r w:rsidRPr="00A60AC8">
        <w:rPr>
          <w:rFonts w:ascii="Verdana" w:hAnsi="Verdana" w:cs="Arial"/>
          <w:spacing w:val="-1"/>
          <w:sz w:val="16"/>
          <w:szCs w:val="16"/>
        </w:rPr>
        <w:t>información</w:t>
      </w:r>
      <w:r w:rsidRPr="00A60AC8">
        <w:rPr>
          <w:rFonts w:ascii="Verdana" w:hAnsi="Verdana" w:cs="Arial"/>
          <w:spacing w:val="-7"/>
          <w:sz w:val="16"/>
          <w:szCs w:val="16"/>
        </w:rPr>
        <w:t xml:space="preserve"> </w:t>
      </w:r>
      <w:r w:rsidRPr="00A60AC8">
        <w:rPr>
          <w:rFonts w:ascii="Verdana" w:hAnsi="Verdana" w:cs="Arial"/>
          <w:spacing w:val="-1"/>
          <w:sz w:val="16"/>
          <w:szCs w:val="16"/>
        </w:rPr>
        <w:t>del</w:t>
      </w:r>
      <w:r w:rsidRPr="00A60AC8">
        <w:rPr>
          <w:rFonts w:ascii="Verdana" w:hAnsi="Verdana" w:cs="Arial"/>
          <w:spacing w:val="-7"/>
          <w:sz w:val="16"/>
          <w:szCs w:val="16"/>
        </w:rPr>
        <w:t xml:space="preserve"> </w:t>
      </w:r>
      <w:r w:rsidRPr="00A60AC8">
        <w:rPr>
          <w:rFonts w:ascii="Verdana" w:hAnsi="Verdana" w:cs="Arial"/>
          <w:spacing w:val="-1"/>
          <w:sz w:val="16"/>
          <w:szCs w:val="16"/>
        </w:rPr>
        <w:t>RUP,</w:t>
      </w:r>
      <w:r w:rsidRPr="00A60AC8">
        <w:rPr>
          <w:rFonts w:ascii="Verdana" w:hAnsi="Verdana" w:cs="Arial"/>
          <w:spacing w:val="-6"/>
          <w:sz w:val="16"/>
          <w:szCs w:val="16"/>
        </w:rPr>
        <w:t xml:space="preserve"> </w:t>
      </w:r>
      <w:r w:rsidRPr="00A60AC8">
        <w:rPr>
          <w:rFonts w:ascii="Verdana" w:hAnsi="Verdana" w:cs="Arial"/>
          <w:spacing w:val="-1"/>
          <w:sz w:val="16"/>
          <w:szCs w:val="16"/>
        </w:rPr>
        <w:t>que</w:t>
      </w:r>
      <w:r w:rsidRPr="00A60AC8">
        <w:rPr>
          <w:rFonts w:ascii="Verdana" w:hAnsi="Verdana" w:cs="Arial"/>
          <w:spacing w:val="-7"/>
          <w:sz w:val="16"/>
          <w:szCs w:val="16"/>
        </w:rPr>
        <w:t xml:space="preserve"> </w:t>
      </w:r>
      <w:r w:rsidRPr="00A60AC8">
        <w:rPr>
          <w:rFonts w:ascii="Verdana" w:hAnsi="Verdana" w:cs="Arial"/>
          <w:spacing w:val="-1"/>
          <w:sz w:val="16"/>
          <w:szCs w:val="16"/>
        </w:rPr>
        <w:t>puedan</w:t>
      </w:r>
      <w:r w:rsidRPr="00A60AC8">
        <w:rPr>
          <w:rFonts w:ascii="Verdana" w:hAnsi="Verdana" w:cs="Arial"/>
          <w:spacing w:val="-7"/>
          <w:sz w:val="16"/>
          <w:szCs w:val="16"/>
        </w:rPr>
        <w:t xml:space="preserve"> </w:t>
      </w:r>
      <w:r w:rsidRPr="00A60AC8">
        <w:rPr>
          <w:rFonts w:ascii="Verdana" w:hAnsi="Verdana" w:cs="Arial"/>
          <w:spacing w:val="-1"/>
          <w:sz w:val="16"/>
          <w:szCs w:val="16"/>
        </w:rPr>
        <w:t>afectar</w:t>
      </w:r>
      <w:r w:rsidRPr="00A60AC8">
        <w:rPr>
          <w:rFonts w:ascii="Verdana" w:hAnsi="Verdana" w:cs="Arial"/>
          <w:spacing w:val="-6"/>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cumplimiento</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8"/>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requisitos</w:t>
      </w:r>
      <w:r w:rsidRPr="00A60AC8">
        <w:rPr>
          <w:rFonts w:ascii="Verdana" w:hAnsi="Verdana" w:cs="Arial"/>
          <w:spacing w:val="-7"/>
          <w:sz w:val="16"/>
          <w:szCs w:val="16"/>
        </w:rPr>
        <w:t xml:space="preserve"> </w:t>
      </w:r>
      <w:r w:rsidRPr="00A60AC8">
        <w:rPr>
          <w:rFonts w:ascii="Verdana" w:hAnsi="Verdana" w:cs="Arial"/>
          <w:sz w:val="16"/>
          <w:szCs w:val="16"/>
        </w:rPr>
        <w:t>exigidos</w:t>
      </w:r>
      <w:r w:rsidRPr="00A60AC8">
        <w:rPr>
          <w:rFonts w:ascii="Verdana" w:hAnsi="Verdana" w:cs="Arial"/>
          <w:spacing w:val="-6"/>
          <w:sz w:val="16"/>
          <w:szCs w:val="16"/>
        </w:rPr>
        <w:t xml:space="preserve"> </w:t>
      </w:r>
      <w:r w:rsidRPr="00A60AC8">
        <w:rPr>
          <w:rFonts w:ascii="Verdana" w:hAnsi="Verdana" w:cs="Arial"/>
          <w:sz w:val="16"/>
          <w:szCs w:val="16"/>
        </w:rPr>
        <w:t>al</w:t>
      </w:r>
      <w:r w:rsidRPr="00A60AC8">
        <w:rPr>
          <w:rFonts w:ascii="Verdana" w:hAnsi="Verdana" w:cs="Arial"/>
          <w:spacing w:val="-8"/>
          <w:sz w:val="16"/>
          <w:szCs w:val="16"/>
        </w:rPr>
        <w:t xml:space="preserve"> </w:t>
      </w:r>
      <w:r w:rsidRPr="00A60AC8">
        <w:rPr>
          <w:rFonts w:ascii="Verdana" w:hAnsi="Verdana" w:cs="Arial"/>
          <w:sz w:val="16"/>
          <w:szCs w:val="16"/>
        </w:rPr>
        <w:t>proponente</w:t>
      </w:r>
      <w:r w:rsidRPr="00A60AC8">
        <w:rPr>
          <w:rFonts w:ascii="Verdana" w:hAnsi="Verdana" w:cs="Arial"/>
          <w:spacing w:val="-6"/>
          <w:sz w:val="16"/>
          <w:szCs w:val="16"/>
        </w:rPr>
        <w:t xml:space="preserve"> </w:t>
      </w:r>
      <w:r w:rsidRPr="00A60AC8">
        <w:rPr>
          <w:rFonts w:ascii="Verdana" w:hAnsi="Verdana" w:cs="Arial"/>
          <w:sz w:val="16"/>
          <w:szCs w:val="16"/>
        </w:rPr>
        <w:t>dentro</w:t>
      </w:r>
      <w:r w:rsidRPr="00A60AC8">
        <w:rPr>
          <w:rFonts w:ascii="Verdana" w:hAnsi="Verdana" w:cs="Arial"/>
          <w:spacing w:val="-6"/>
          <w:sz w:val="16"/>
          <w:szCs w:val="16"/>
        </w:rPr>
        <w:t xml:space="preserve"> </w:t>
      </w:r>
      <w:r w:rsidRPr="00A60AC8">
        <w:rPr>
          <w:rFonts w:ascii="Verdana" w:hAnsi="Verdana" w:cs="Arial"/>
          <w:sz w:val="16"/>
          <w:szCs w:val="16"/>
        </w:rPr>
        <w:t>del</w:t>
      </w:r>
      <w:r w:rsidRPr="00A60AC8">
        <w:rPr>
          <w:rFonts w:ascii="Verdana" w:hAnsi="Verdana" w:cs="Arial"/>
          <w:spacing w:val="-7"/>
          <w:sz w:val="16"/>
          <w:szCs w:val="16"/>
        </w:rPr>
        <w:t xml:space="preserve"> </w:t>
      </w:r>
      <w:r w:rsidRPr="00A60AC8">
        <w:rPr>
          <w:rFonts w:ascii="Verdana" w:hAnsi="Verdana" w:cs="Arial"/>
          <w:sz w:val="16"/>
          <w:szCs w:val="16"/>
        </w:rPr>
        <w:t>proceso</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que</w:t>
      </w:r>
      <w:r w:rsidRPr="00A60AC8">
        <w:rPr>
          <w:rFonts w:ascii="Verdana" w:hAnsi="Verdana" w:cs="Arial"/>
          <w:spacing w:val="-7"/>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trate,</w:t>
      </w:r>
      <w:r w:rsidRPr="00A60AC8">
        <w:rPr>
          <w:rFonts w:ascii="Verdana" w:hAnsi="Verdana" w:cs="Arial"/>
          <w:spacing w:val="-6"/>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suspender</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proceso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selección</w:t>
      </w:r>
      <w:r w:rsidRPr="00A60AC8">
        <w:rPr>
          <w:rFonts w:ascii="Verdana" w:hAnsi="Verdana" w:cs="Arial"/>
          <w:spacing w:val="-7"/>
          <w:sz w:val="16"/>
          <w:szCs w:val="16"/>
        </w:rPr>
        <w:t xml:space="preserve"> </w:t>
      </w:r>
      <w:r w:rsidRPr="00A60AC8">
        <w:rPr>
          <w:rFonts w:ascii="Verdana" w:hAnsi="Verdana" w:cs="Arial"/>
          <w:sz w:val="16"/>
          <w:szCs w:val="16"/>
        </w:rPr>
        <w:t>e</w:t>
      </w:r>
      <w:r w:rsidRPr="00A60AC8">
        <w:rPr>
          <w:rFonts w:ascii="Verdana" w:hAnsi="Verdana" w:cs="Arial"/>
          <w:spacing w:val="-7"/>
          <w:sz w:val="16"/>
          <w:szCs w:val="16"/>
        </w:rPr>
        <w:t xml:space="preserve"> </w:t>
      </w:r>
      <w:r w:rsidRPr="00A60AC8">
        <w:rPr>
          <w:rFonts w:ascii="Verdana" w:hAnsi="Verdana" w:cs="Arial"/>
          <w:sz w:val="16"/>
          <w:szCs w:val="16"/>
        </w:rPr>
        <w:t>impugnar</w:t>
      </w:r>
      <w:r w:rsidRPr="00A60AC8">
        <w:rPr>
          <w:rFonts w:ascii="Verdana" w:hAnsi="Verdana" w:cs="Arial"/>
          <w:spacing w:val="-7"/>
          <w:sz w:val="16"/>
          <w:szCs w:val="16"/>
        </w:rPr>
        <w:t xml:space="preserve"> </w:t>
      </w:r>
      <w:r w:rsidRPr="00A60AC8">
        <w:rPr>
          <w:rFonts w:ascii="Verdana" w:hAnsi="Verdana" w:cs="Arial"/>
          <w:sz w:val="16"/>
          <w:szCs w:val="16"/>
        </w:rPr>
        <w:t>ante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Cámara</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Comercio</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inscripción,</w:t>
      </w:r>
      <w:r w:rsidRPr="00A60AC8">
        <w:rPr>
          <w:rFonts w:ascii="Verdana" w:hAnsi="Verdana" w:cs="Arial"/>
          <w:spacing w:val="-7"/>
          <w:sz w:val="16"/>
          <w:szCs w:val="16"/>
        </w:rPr>
        <w:t xml:space="preserve"> </w:t>
      </w:r>
      <w:r w:rsidRPr="00A60AC8">
        <w:rPr>
          <w:rFonts w:ascii="Verdana" w:hAnsi="Verdana" w:cs="Arial"/>
          <w:sz w:val="16"/>
          <w:szCs w:val="16"/>
        </w:rPr>
        <w:t>para</w:t>
      </w:r>
      <w:r w:rsidRPr="00A60AC8">
        <w:rPr>
          <w:rFonts w:ascii="Verdana" w:hAnsi="Verdana" w:cs="Arial"/>
          <w:spacing w:val="-7"/>
          <w:sz w:val="16"/>
          <w:szCs w:val="16"/>
        </w:rPr>
        <w:t xml:space="preserve"> </w:t>
      </w:r>
      <w:r w:rsidRPr="00A60AC8">
        <w:rPr>
          <w:rFonts w:ascii="Verdana" w:hAnsi="Verdana" w:cs="Arial"/>
          <w:sz w:val="16"/>
          <w:szCs w:val="16"/>
        </w:rPr>
        <w:t>lo</w:t>
      </w:r>
      <w:r w:rsidRPr="00A60AC8">
        <w:rPr>
          <w:rFonts w:ascii="Verdana" w:hAnsi="Verdana" w:cs="Arial"/>
          <w:spacing w:val="-7"/>
          <w:sz w:val="16"/>
          <w:szCs w:val="16"/>
        </w:rPr>
        <w:t xml:space="preserve"> </w:t>
      </w:r>
      <w:r w:rsidRPr="00A60AC8">
        <w:rPr>
          <w:rFonts w:ascii="Verdana" w:hAnsi="Verdana" w:cs="Arial"/>
          <w:sz w:val="16"/>
          <w:szCs w:val="16"/>
        </w:rPr>
        <w:t>cual</w:t>
      </w:r>
      <w:r w:rsidRPr="00A60AC8">
        <w:rPr>
          <w:rFonts w:ascii="Verdana" w:hAnsi="Verdana" w:cs="Arial"/>
          <w:spacing w:val="-7"/>
          <w:sz w:val="16"/>
          <w:szCs w:val="16"/>
        </w:rPr>
        <w:t xml:space="preserve"> </w:t>
      </w:r>
      <w:r w:rsidRPr="00A60AC8">
        <w:rPr>
          <w:rFonts w:ascii="Verdana" w:hAnsi="Verdana" w:cs="Arial"/>
          <w:sz w:val="16"/>
          <w:szCs w:val="16"/>
        </w:rPr>
        <w:t>no</w:t>
      </w:r>
      <w:r w:rsidRPr="00A60AC8">
        <w:rPr>
          <w:rFonts w:ascii="Verdana" w:hAnsi="Verdana" w:cs="Arial"/>
          <w:spacing w:val="-7"/>
          <w:sz w:val="16"/>
          <w:szCs w:val="16"/>
        </w:rPr>
        <w:t xml:space="preserve"> </w:t>
      </w:r>
      <w:r w:rsidRPr="00A60AC8">
        <w:rPr>
          <w:rFonts w:ascii="Verdana" w:hAnsi="Verdana" w:cs="Arial"/>
          <w:sz w:val="16"/>
          <w:szCs w:val="16"/>
        </w:rPr>
        <w:t>estarán</w:t>
      </w:r>
      <w:r w:rsidRPr="00A60AC8">
        <w:rPr>
          <w:rFonts w:ascii="Verdana" w:hAnsi="Verdana" w:cs="Arial"/>
          <w:spacing w:val="-7"/>
          <w:sz w:val="16"/>
          <w:szCs w:val="16"/>
        </w:rPr>
        <w:t xml:space="preserve"> </w:t>
      </w:r>
      <w:r w:rsidRPr="00A60AC8">
        <w:rPr>
          <w:rFonts w:ascii="Verdana" w:hAnsi="Verdana" w:cs="Arial"/>
          <w:sz w:val="16"/>
          <w:szCs w:val="16"/>
        </w:rPr>
        <w:t>obligadas</w:t>
      </w:r>
      <w:r w:rsidRPr="00A60AC8">
        <w:rPr>
          <w:rFonts w:ascii="Verdana" w:hAnsi="Verdana" w:cs="Arial"/>
          <w:spacing w:val="-7"/>
          <w:sz w:val="16"/>
          <w:szCs w:val="16"/>
        </w:rPr>
        <w:t xml:space="preserve"> </w:t>
      </w:r>
      <w:r w:rsidRPr="00A60AC8">
        <w:rPr>
          <w:rFonts w:ascii="Verdana" w:hAnsi="Verdana" w:cs="Arial"/>
          <w:sz w:val="16"/>
          <w:szCs w:val="16"/>
        </w:rPr>
        <w:t>a</w:t>
      </w:r>
      <w:r w:rsidRPr="00A60AC8">
        <w:rPr>
          <w:rFonts w:ascii="Verdana" w:hAnsi="Verdana" w:cs="Arial"/>
          <w:spacing w:val="-7"/>
          <w:sz w:val="16"/>
          <w:szCs w:val="16"/>
        </w:rPr>
        <w:t xml:space="preserve"> </w:t>
      </w:r>
      <w:r w:rsidRPr="00A60AC8">
        <w:rPr>
          <w:rFonts w:ascii="Verdana" w:hAnsi="Verdana" w:cs="Arial"/>
          <w:sz w:val="16"/>
          <w:szCs w:val="16"/>
        </w:rPr>
        <w:t>prestar</w:t>
      </w:r>
      <w:r w:rsidRPr="00A60AC8">
        <w:rPr>
          <w:rFonts w:ascii="Verdana" w:hAnsi="Verdana" w:cs="Arial"/>
          <w:spacing w:val="-7"/>
          <w:sz w:val="16"/>
          <w:szCs w:val="16"/>
        </w:rPr>
        <w:t xml:space="preserve"> </w:t>
      </w:r>
      <w:r w:rsidRPr="00A60AC8">
        <w:rPr>
          <w:rFonts w:ascii="Verdana" w:hAnsi="Verdana" w:cs="Arial"/>
          <w:sz w:val="16"/>
          <w:szCs w:val="16"/>
        </w:rPr>
        <w:t>caución.</w:t>
      </w:r>
      <w:r w:rsidRPr="00A60AC8">
        <w:rPr>
          <w:rFonts w:ascii="Verdana" w:hAnsi="Verdana" w:cs="Arial"/>
          <w:spacing w:val="-7"/>
          <w:sz w:val="16"/>
          <w:szCs w:val="16"/>
        </w:rPr>
        <w:t xml:space="preserve"> </w:t>
      </w:r>
      <w:r w:rsidRPr="00A60AC8">
        <w:rPr>
          <w:rFonts w:ascii="Verdana" w:hAnsi="Verdana" w:cs="Arial"/>
          <w:sz w:val="16"/>
          <w:szCs w:val="16"/>
        </w:rPr>
        <w:t>Para</w:t>
      </w:r>
      <w:r w:rsidRPr="00A60AC8">
        <w:rPr>
          <w:rFonts w:ascii="Verdana" w:hAnsi="Verdana" w:cs="Arial"/>
          <w:spacing w:val="-6"/>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trámite</w:t>
      </w:r>
      <w:r w:rsidRPr="00A60AC8">
        <w:rPr>
          <w:rFonts w:ascii="Verdana" w:hAnsi="Verdana" w:cs="Arial"/>
          <w:spacing w:val="-7"/>
          <w:sz w:val="16"/>
          <w:szCs w:val="16"/>
        </w:rPr>
        <w:t xml:space="preserve"> </w:t>
      </w:r>
      <w:r w:rsidRPr="00A60AC8">
        <w:rPr>
          <w:rFonts w:ascii="Verdana" w:hAnsi="Verdana" w:cs="Arial"/>
          <w:sz w:val="16"/>
          <w:szCs w:val="16"/>
        </w:rPr>
        <w:t>y</w:t>
      </w:r>
      <w:r w:rsidRPr="00A60AC8">
        <w:rPr>
          <w:rFonts w:ascii="Verdana" w:hAnsi="Verdana" w:cs="Arial"/>
          <w:spacing w:val="-7"/>
          <w:sz w:val="16"/>
          <w:szCs w:val="16"/>
        </w:rPr>
        <w:t xml:space="preserve"> </w:t>
      </w:r>
      <w:r w:rsidRPr="00A60AC8">
        <w:rPr>
          <w:rFonts w:ascii="Verdana" w:hAnsi="Verdana" w:cs="Arial"/>
          <w:sz w:val="16"/>
          <w:szCs w:val="16"/>
        </w:rPr>
        <w:t>adopción</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decisión</w:t>
      </w:r>
      <w:r w:rsidRPr="00A60AC8">
        <w:rPr>
          <w:rFonts w:ascii="Verdana" w:hAnsi="Verdana" w:cs="Arial"/>
          <w:spacing w:val="1"/>
          <w:sz w:val="16"/>
          <w:szCs w:val="16"/>
        </w:rPr>
        <w:t xml:space="preserve"> </w:t>
      </w:r>
      <w:r w:rsidRPr="00A60AC8">
        <w:rPr>
          <w:rFonts w:ascii="Verdana" w:hAnsi="Verdana" w:cs="Arial"/>
          <w:sz w:val="16"/>
          <w:szCs w:val="16"/>
        </w:rPr>
        <w:t>las</w:t>
      </w:r>
      <w:r w:rsidRPr="00A60AC8">
        <w:rPr>
          <w:rFonts w:ascii="Verdana" w:hAnsi="Verdana" w:cs="Arial"/>
          <w:spacing w:val="-5"/>
          <w:sz w:val="16"/>
          <w:szCs w:val="16"/>
        </w:rPr>
        <w:t xml:space="preserve"> </w:t>
      </w:r>
      <w:r w:rsidRPr="00A60AC8">
        <w:rPr>
          <w:rFonts w:ascii="Verdana" w:hAnsi="Verdana" w:cs="Arial"/>
          <w:sz w:val="16"/>
          <w:szCs w:val="16"/>
        </w:rPr>
        <w:t>Cámaras</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Comercio</w:t>
      </w:r>
      <w:r w:rsidRPr="00A60AC8">
        <w:rPr>
          <w:rFonts w:ascii="Verdana" w:hAnsi="Verdana" w:cs="Arial"/>
          <w:spacing w:val="-4"/>
          <w:sz w:val="16"/>
          <w:szCs w:val="16"/>
        </w:rPr>
        <w:t xml:space="preserve"> </w:t>
      </w:r>
      <w:r w:rsidRPr="00A60AC8">
        <w:rPr>
          <w:rFonts w:ascii="Verdana" w:hAnsi="Verdana" w:cs="Arial"/>
          <w:sz w:val="16"/>
          <w:szCs w:val="16"/>
        </w:rPr>
        <w:t>tendrán</w:t>
      </w:r>
      <w:r w:rsidRPr="00A60AC8">
        <w:rPr>
          <w:rFonts w:ascii="Verdana" w:hAnsi="Verdana" w:cs="Arial"/>
          <w:spacing w:val="-4"/>
          <w:sz w:val="16"/>
          <w:szCs w:val="16"/>
        </w:rPr>
        <w:t xml:space="preserve"> </w:t>
      </w:r>
      <w:r w:rsidRPr="00A60AC8">
        <w:rPr>
          <w:rFonts w:ascii="Verdana" w:hAnsi="Verdana" w:cs="Arial"/>
          <w:sz w:val="16"/>
          <w:szCs w:val="16"/>
        </w:rPr>
        <w:t>un</w:t>
      </w:r>
      <w:r w:rsidRPr="00A60AC8">
        <w:rPr>
          <w:rFonts w:ascii="Verdana" w:hAnsi="Verdana" w:cs="Arial"/>
          <w:spacing w:val="-4"/>
          <w:sz w:val="16"/>
          <w:szCs w:val="16"/>
        </w:rPr>
        <w:t xml:space="preserve"> </w:t>
      </w:r>
      <w:r w:rsidRPr="00A60AC8">
        <w:rPr>
          <w:rFonts w:ascii="Verdana" w:hAnsi="Verdana" w:cs="Arial"/>
          <w:sz w:val="16"/>
          <w:szCs w:val="16"/>
        </w:rPr>
        <w:t>plazo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veinte</w:t>
      </w:r>
      <w:r w:rsidRPr="00A60AC8">
        <w:rPr>
          <w:rFonts w:ascii="Verdana" w:hAnsi="Verdana" w:cs="Arial"/>
          <w:spacing w:val="-4"/>
          <w:sz w:val="16"/>
          <w:szCs w:val="16"/>
        </w:rPr>
        <w:t xml:space="preserve"> </w:t>
      </w:r>
      <w:r w:rsidRPr="00A60AC8">
        <w:rPr>
          <w:rFonts w:ascii="Verdana" w:hAnsi="Verdana" w:cs="Arial"/>
          <w:sz w:val="16"/>
          <w:szCs w:val="16"/>
        </w:rPr>
        <w:t>(20)</w:t>
      </w:r>
      <w:r w:rsidRPr="00A60AC8">
        <w:rPr>
          <w:rFonts w:ascii="Verdana" w:hAnsi="Verdana" w:cs="Arial"/>
          <w:spacing w:val="-4"/>
          <w:sz w:val="16"/>
          <w:szCs w:val="16"/>
        </w:rPr>
        <w:t xml:space="preserve"> </w:t>
      </w:r>
      <w:r w:rsidRPr="00A60AC8">
        <w:rPr>
          <w:rFonts w:ascii="Verdana" w:hAnsi="Verdana" w:cs="Arial"/>
          <w:sz w:val="16"/>
          <w:szCs w:val="16"/>
        </w:rPr>
        <w:t>días.</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no</w:t>
      </w:r>
      <w:r w:rsidRPr="00A60AC8">
        <w:rPr>
          <w:rFonts w:ascii="Verdana" w:hAnsi="Verdana" w:cs="Arial"/>
          <w:spacing w:val="-4"/>
          <w:sz w:val="16"/>
          <w:szCs w:val="16"/>
        </w:rPr>
        <w:t xml:space="preserve"> </w:t>
      </w:r>
      <w:r w:rsidRPr="00A60AC8">
        <w:rPr>
          <w:rFonts w:ascii="Verdana" w:hAnsi="Verdana" w:cs="Arial"/>
          <w:sz w:val="16"/>
          <w:szCs w:val="16"/>
        </w:rPr>
        <w:t>haberse</w:t>
      </w:r>
      <w:r w:rsidRPr="00A60AC8">
        <w:rPr>
          <w:rFonts w:ascii="Verdana" w:hAnsi="Verdana" w:cs="Arial"/>
          <w:spacing w:val="-4"/>
          <w:sz w:val="16"/>
          <w:szCs w:val="16"/>
        </w:rPr>
        <w:t xml:space="preserve"> </w:t>
      </w:r>
      <w:r w:rsidRPr="00A60AC8">
        <w:rPr>
          <w:rFonts w:ascii="Verdana" w:hAnsi="Verdana" w:cs="Arial"/>
          <w:sz w:val="16"/>
          <w:szCs w:val="16"/>
        </w:rPr>
        <w:t>adoptado</w:t>
      </w:r>
      <w:r w:rsidRPr="00A60AC8">
        <w:rPr>
          <w:rFonts w:ascii="Verdana" w:hAnsi="Verdana" w:cs="Arial"/>
          <w:spacing w:val="-4"/>
          <w:sz w:val="16"/>
          <w:szCs w:val="16"/>
        </w:rPr>
        <w:t xml:space="preserve"> </w:t>
      </w:r>
      <w:r w:rsidRPr="00A60AC8">
        <w:rPr>
          <w:rFonts w:ascii="Verdana" w:hAnsi="Verdana" w:cs="Arial"/>
          <w:sz w:val="16"/>
          <w:szCs w:val="16"/>
        </w:rPr>
        <w:t>una</w:t>
      </w:r>
      <w:r w:rsidRPr="00A60AC8">
        <w:rPr>
          <w:rFonts w:ascii="Verdana" w:hAnsi="Verdana" w:cs="Arial"/>
          <w:spacing w:val="-4"/>
          <w:sz w:val="16"/>
          <w:szCs w:val="16"/>
        </w:rPr>
        <w:t xml:space="preserve"> </w:t>
      </w:r>
      <w:r w:rsidRPr="00A60AC8">
        <w:rPr>
          <w:rFonts w:ascii="Verdana" w:hAnsi="Verdana" w:cs="Arial"/>
          <w:sz w:val="16"/>
          <w:szCs w:val="16"/>
        </w:rPr>
        <w:t>decisión</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término</w:t>
      </w:r>
      <w:r w:rsidRPr="00A60AC8">
        <w:rPr>
          <w:rFonts w:ascii="Verdana" w:hAnsi="Verdana" w:cs="Arial"/>
          <w:spacing w:val="-4"/>
          <w:sz w:val="16"/>
          <w:szCs w:val="16"/>
        </w:rPr>
        <w:t xml:space="preserve"> </w:t>
      </w:r>
      <w:r w:rsidRPr="00A60AC8">
        <w:rPr>
          <w:rFonts w:ascii="Verdana" w:hAnsi="Verdana" w:cs="Arial"/>
          <w:sz w:val="16"/>
          <w:szCs w:val="16"/>
        </w:rPr>
        <w:t>anterior,</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entidad</w:t>
      </w:r>
      <w:r w:rsidRPr="00A60AC8">
        <w:rPr>
          <w:rFonts w:ascii="Verdana" w:hAnsi="Verdana" w:cs="Arial"/>
          <w:spacing w:val="-4"/>
          <w:sz w:val="16"/>
          <w:szCs w:val="16"/>
        </w:rPr>
        <w:t xml:space="preserve"> </w:t>
      </w:r>
      <w:r w:rsidRPr="00A60AC8">
        <w:rPr>
          <w:rFonts w:ascii="Verdana" w:hAnsi="Verdana" w:cs="Arial"/>
          <w:sz w:val="16"/>
          <w:szCs w:val="16"/>
        </w:rPr>
        <w:t>reanudará</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proceso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selección</w:t>
      </w:r>
      <w:r w:rsidRPr="00A60AC8">
        <w:rPr>
          <w:rFonts w:ascii="Verdana" w:hAnsi="Verdana" w:cs="Arial"/>
          <w:spacing w:val="-2"/>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acuerdo</w:t>
      </w:r>
      <w:r w:rsidRPr="00A60AC8">
        <w:rPr>
          <w:rFonts w:ascii="Verdana" w:hAnsi="Verdana" w:cs="Arial"/>
          <w:spacing w:val="-1"/>
          <w:sz w:val="16"/>
          <w:szCs w:val="16"/>
        </w:rPr>
        <w:t xml:space="preserve"> </w:t>
      </w:r>
      <w:r w:rsidRPr="00A60AC8">
        <w:rPr>
          <w:rFonts w:ascii="Verdana" w:hAnsi="Verdana" w:cs="Arial"/>
          <w:sz w:val="16"/>
          <w:szCs w:val="16"/>
        </w:rPr>
        <w:t>con</w:t>
      </w:r>
      <w:r w:rsidRPr="00A60AC8">
        <w:rPr>
          <w:rFonts w:ascii="Verdana" w:hAnsi="Verdana" w:cs="Arial"/>
          <w:spacing w:val="-1"/>
          <w:sz w:val="16"/>
          <w:szCs w:val="16"/>
        </w:rPr>
        <w:t xml:space="preserve"> </w:t>
      </w:r>
      <w:r w:rsidRPr="00A60AC8">
        <w:rPr>
          <w:rFonts w:ascii="Verdana" w:hAnsi="Verdana" w:cs="Arial"/>
          <w:sz w:val="16"/>
          <w:szCs w:val="16"/>
        </w:rPr>
        <w:t>la</w:t>
      </w:r>
      <w:r w:rsidRPr="00A60AC8">
        <w:rPr>
          <w:rFonts w:ascii="Verdana" w:hAnsi="Verdana" w:cs="Arial"/>
          <w:spacing w:val="-1"/>
          <w:sz w:val="16"/>
          <w:szCs w:val="16"/>
        </w:rPr>
        <w:t xml:space="preserve"> </w:t>
      </w:r>
      <w:r w:rsidRPr="00A60AC8">
        <w:rPr>
          <w:rFonts w:ascii="Verdana" w:hAnsi="Verdana" w:cs="Arial"/>
          <w:sz w:val="16"/>
          <w:szCs w:val="16"/>
        </w:rPr>
        <w:t>información</w:t>
      </w:r>
      <w:r w:rsidRPr="00A60AC8">
        <w:rPr>
          <w:rFonts w:ascii="Verdana" w:hAnsi="Verdana" w:cs="Arial"/>
          <w:spacing w:val="-1"/>
          <w:sz w:val="16"/>
          <w:szCs w:val="16"/>
        </w:rPr>
        <w:t xml:space="preserve"> </w:t>
      </w:r>
      <w:r w:rsidRPr="00A60AC8">
        <w:rPr>
          <w:rFonts w:ascii="Verdana" w:hAnsi="Verdana" w:cs="Arial"/>
          <w:sz w:val="16"/>
          <w:szCs w:val="16"/>
        </w:rPr>
        <w:t>certificada</w:t>
      </w:r>
      <w:r w:rsidRPr="00A60AC8">
        <w:rPr>
          <w:rFonts w:ascii="Verdana" w:hAnsi="Verdana" w:cs="Arial"/>
          <w:spacing w:val="-1"/>
          <w:sz w:val="16"/>
          <w:szCs w:val="16"/>
        </w:rPr>
        <w:t xml:space="preserve"> </w:t>
      </w:r>
      <w:r w:rsidRPr="00A60AC8">
        <w:rPr>
          <w:rFonts w:ascii="Verdana" w:hAnsi="Verdana" w:cs="Arial"/>
          <w:sz w:val="16"/>
          <w:szCs w:val="16"/>
        </w:rPr>
        <w:t>en</w:t>
      </w:r>
      <w:r w:rsidRPr="00A60AC8">
        <w:rPr>
          <w:rFonts w:ascii="Verdana" w:hAnsi="Verdana" w:cs="Arial"/>
          <w:spacing w:val="-2"/>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RUP.</w:t>
      </w:r>
    </w:p>
    <w:p w:rsidRPr="00A60AC8" w:rsidR="003E1B03" w:rsidP="003E1B03" w:rsidRDefault="003E1B03" w14:paraId="2CDBC509"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En el evento en que la Cámara de Comercio establezca la existencia de graves inconsistencias se le cancelará la inscripción en el registro</w:t>
      </w:r>
      <w:r w:rsidRPr="00A60AC8">
        <w:rPr>
          <w:rFonts w:ascii="Verdana" w:hAnsi="Verdana" w:cs="Arial"/>
          <w:spacing w:val="1"/>
          <w:sz w:val="16"/>
          <w:szCs w:val="16"/>
        </w:rPr>
        <w:t xml:space="preserve"> </w:t>
      </w:r>
      <w:r w:rsidRPr="00A60AC8">
        <w:rPr>
          <w:rFonts w:ascii="Verdana" w:hAnsi="Verdana" w:cs="Arial"/>
          <w:sz w:val="16"/>
          <w:szCs w:val="16"/>
        </w:rPr>
        <w:t>quedando en tal caso inhabilitado para contratar con las entidades estatales por el término de cinco (5) años, sin perjuicio de las acciones penales a que haya</w:t>
      </w:r>
      <w:r w:rsidRPr="00A60AC8">
        <w:rPr>
          <w:rFonts w:ascii="Verdana" w:hAnsi="Verdana" w:cs="Arial"/>
          <w:spacing w:val="1"/>
          <w:sz w:val="16"/>
          <w:szCs w:val="16"/>
        </w:rPr>
        <w:t xml:space="preserve"> </w:t>
      </w:r>
      <w:r w:rsidRPr="00A60AC8">
        <w:rPr>
          <w:rFonts w:ascii="Verdana" w:hAnsi="Verdana" w:cs="Arial"/>
          <w:sz w:val="16"/>
          <w:szCs w:val="16"/>
        </w:rPr>
        <w:t>lugar.</w:t>
      </w:r>
      <w:r w:rsidRPr="00A60AC8">
        <w:rPr>
          <w:rFonts w:ascii="Verdana" w:hAnsi="Verdana" w:cs="Arial"/>
          <w:spacing w:val="-1"/>
          <w:sz w:val="16"/>
          <w:szCs w:val="16"/>
        </w:rPr>
        <w:t xml:space="preserve"> </w:t>
      </w:r>
      <w:r w:rsidRPr="00A60AC8">
        <w:rPr>
          <w:rFonts w:ascii="Verdana" w:hAnsi="Verdana" w:cs="Arial"/>
          <w:sz w:val="16"/>
          <w:szCs w:val="16"/>
        </w:rPr>
        <w:t>En</w:t>
      </w:r>
      <w:r w:rsidRPr="00A60AC8">
        <w:rPr>
          <w:rFonts w:ascii="Verdana" w:hAnsi="Verdana" w:cs="Arial"/>
          <w:spacing w:val="-1"/>
          <w:sz w:val="16"/>
          <w:szCs w:val="16"/>
        </w:rPr>
        <w:t xml:space="preserve"> </w:t>
      </w:r>
      <w:r w:rsidRPr="00A60AC8">
        <w:rPr>
          <w:rFonts w:ascii="Verdana" w:hAnsi="Verdana" w:cs="Arial"/>
          <w:sz w:val="16"/>
          <w:szCs w:val="16"/>
        </w:rPr>
        <w:t>caso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reincidencia</w:t>
      </w:r>
      <w:r w:rsidRPr="00A60AC8">
        <w:rPr>
          <w:rFonts w:ascii="Verdana" w:hAnsi="Verdana" w:cs="Arial"/>
          <w:spacing w:val="-1"/>
          <w:sz w:val="16"/>
          <w:szCs w:val="16"/>
        </w:rPr>
        <w:t xml:space="preserve"> </w:t>
      </w:r>
      <w:r w:rsidRPr="00A60AC8">
        <w:rPr>
          <w:rFonts w:ascii="Verdana" w:hAnsi="Verdana" w:cs="Arial"/>
          <w:sz w:val="16"/>
          <w:szCs w:val="16"/>
        </w:rPr>
        <w:t>la</w:t>
      </w:r>
      <w:r w:rsidRPr="00A60AC8">
        <w:rPr>
          <w:rFonts w:ascii="Verdana" w:hAnsi="Verdana" w:cs="Arial"/>
          <w:spacing w:val="-2"/>
          <w:sz w:val="16"/>
          <w:szCs w:val="16"/>
        </w:rPr>
        <w:t xml:space="preserve"> </w:t>
      </w:r>
      <w:r w:rsidRPr="00A60AC8">
        <w:rPr>
          <w:rFonts w:ascii="Verdana" w:hAnsi="Verdana" w:cs="Arial"/>
          <w:sz w:val="16"/>
          <w:szCs w:val="16"/>
        </w:rPr>
        <w:t>inhabilidad</w:t>
      </w:r>
      <w:r w:rsidRPr="00A60AC8">
        <w:rPr>
          <w:rFonts w:ascii="Verdana" w:hAnsi="Verdana" w:cs="Arial"/>
          <w:spacing w:val="-1"/>
          <w:sz w:val="16"/>
          <w:szCs w:val="16"/>
        </w:rPr>
        <w:t xml:space="preserve"> </w:t>
      </w:r>
      <w:r w:rsidRPr="00A60AC8">
        <w:rPr>
          <w:rFonts w:ascii="Verdana" w:hAnsi="Verdana" w:cs="Arial"/>
          <w:sz w:val="16"/>
          <w:szCs w:val="16"/>
        </w:rPr>
        <w:t>será</w:t>
      </w:r>
      <w:r w:rsidRPr="00A60AC8">
        <w:rPr>
          <w:rFonts w:ascii="Verdana" w:hAnsi="Verdana" w:cs="Arial"/>
          <w:spacing w:val="-1"/>
          <w:sz w:val="16"/>
          <w:szCs w:val="16"/>
        </w:rPr>
        <w:t xml:space="preserve"> </w:t>
      </w:r>
      <w:r w:rsidRPr="00A60AC8">
        <w:rPr>
          <w:rFonts w:ascii="Verdana" w:hAnsi="Verdana" w:cs="Arial"/>
          <w:sz w:val="16"/>
          <w:szCs w:val="16"/>
        </w:rPr>
        <w:t>permanente.</w:t>
      </w:r>
    </w:p>
    <w:p w:rsidRPr="00A60AC8" w:rsidR="003E1B03" w:rsidP="003E1B03" w:rsidRDefault="003E1B03" w14:paraId="0622C4F0"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Las</w:t>
      </w:r>
      <w:r w:rsidRPr="00A60AC8">
        <w:rPr>
          <w:rFonts w:ascii="Verdana" w:hAnsi="Verdana" w:cs="Arial"/>
          <w:spacing w:val="-8"/>
          <w:sz w:val="16"/>
          <w:szCs w:val="16"/>
        </w:rPr>
        <w:t xml:space="preserve"> </w:t>
      </w:r>
      <w:r w:rsidRPr="00A60AC8">
        <w:rPr>
          <w:rFonts w:ascii="Verdana" w:hAnsi="Verdana" w:cs="Arial"/>
          <w:sz w:val="16"/>
          <w:szCs w:val="16"/>
        </w:rPr>
        <w:t>mismas</w:t>
      </w:r>
      <w:r w:rsidRPr="00A60AC8">
        <w:rPr>
          <w:rFonts w:ascii="Verdana" w:hAnsi="Verdana" w:cs="Arial"/>
          <w:spacing w:val="-7"/>
          <w:sz w:val="16"/>
          <w:szCs w:val="16"/>
        </w:rPr>
        <w:t xml:space="preserve"> </w:t>
      </w:r>
      <w:r w:rsidRPr="00A60AC8">
        <w:rPr>
          <w:rFonts w:ascii="Verdana" w:hAnsi="Verdana" w:cs="Arial"/>
          <w:sz w:val="16"/>
          <w:szCs w:val="16"/>
        </w:rPr>
        <w:t>sanciones</w:t>
      </w:r>
      <w:r w:rsidRPr="00A60AC8">
        <w:rPr>
          <w:rFonts w:ascii="Verdana" w:hAnsi="Verdana" w:cs="Arial"/>
          <w:spacing w:val="-7"/>
          <w:sz w:val="16"/>
          <w:szCs w:val="16"/>
        </w:rPr>
        <w:t xml:space="preserve"> </w:t>
      </w:r>
      <w:r w:rsidRPr="00A60AC8">
        <w:rPr>
          <w:rFonts w:ascii="Verdana" w:hAnsi="Verdana" w:cs="Arial"/>
          <w:sz w:val="16"/>
          <w:szCs w:val="16"/>
        </w:rPr>
        <w:t>previstas</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inciso</w:t>
      </w:r>
      <w:r w:rsidRPr="00A60AC8">
        <w:rPr>
          <w:rFonts w:ascii="Verdana" w:hAnsi="Verdana" w:cs="Arial"/>
          <w:spacing w:val="-7"/>
          <w:sz w:val="16"/>
          <w:szCs w:val="16"/>
        </w:rPr>
        <w:t xml:space="preserve"> </w:t>
      </w:r>
      <w:r w:rsidRPr="00A60AC8">
        <w:rPr>
          <w:rFonts w:ascii="Verdana" w:hAnsi="Verdana" w:cs="Arial"/>
          <w:sz w:val="16"/>
          <w:szCs w:val="16"/>
        </w:rPr>
        <w:t>anterior</w:t>
      </w:r>
      <w:r w:rsidRPr="00A60AC8">
        <w:rPr>
          <w:rFonts w:ascii="Verdana" w:hAnsi="Verdana" w:cs="Arial"/>
          <w:spacing w:val="-7"/>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predicarán</w:t>
      </w:r>
      <w:r w:rsidRPr="00A60AC8">
        <w:rPr>
          <w:rFonts w:ascii="Verdana" w:hAnsi="Verdana" w:cs="Arial"/>
          <w:spacing w:val="-8"/>
          <w:sz w:val="16"/>
          <w:szCs w:val="16"/>
        </w:rPr>
        <w:t xml:space="preserve"> </w:t>
      </w:r>
      <w:r w:rsidRPr="00A60AC8">
        <w:rPr>
          <w:rFonts w:ascii="Verdana" w:hAnsi="Verdana" w:cs="Arial"/>
          <w:sz w:val="16"/>
          <w:szCs w:val="16"/>
        </w:rPr>
        <w:t>en</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evento</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que</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Juez</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lo</w:t>
      </w:r>
      <w:r w:rsidRPr="00A60AC8">
        <w:rPr>
          <w:rFonts w:ascii="Verdana" w:hAnsi="Verdana" w:cs="Arial"/>
          <w:spacing w:val="-8"/>
          <w:sz w:val="16"/>
          <w:szCs w:val="16"/>
        </w:rPr>
        <w:t xml:space="preserve"> </w:t>
      </w:r>
      <w:r w:rsidRPr="00A60AC8">
        <w:rPr>
          <w:rFonts w:ascii="Verdana" w:hAnsi="Verdana" w:cs="Arial"/>
          <w:sz w:val="16"/>
          <w:szCs w:val="16"/>
        </w:rPr>
        <w:t>Contencioso</w:t>
      </w:r>
      <w:r w:rsidRPr="00A60AC8">
        <w:rPr>
          <w:rFonts w:ascii="Verdana" w:hAnsi="Verdana" w:cs="Arial"/>
          <w:spacing w:val="-7"/>
          <w:sz w:val="16"/>
          <w:szCs w:val="16"/>
        </w:rPr>
        <w:t xml:space="preserve"> </w:t>
      </w:r>
      <w:r w:rsidRPr="00A60AC8">
        <w:rPr>
          <w:rFonts w:ascii="Verdana" w:hAnsi="Verdana" w:cs="Arial"/>
          <w:sz w:val="16"/>
          <w:szCs w:val="16"/>
        </w:rPr>
        <w:t>Administrativa</w:t>
      </w:r>
      <w:r w:rsidRPr="00A60AC8">
        <w:rPr>
          <w:rFonts w:ascii="Verdana" w:hAnsi="Verdana" w:cs="Arial"/>
          <w:spacing w:val="-6"/>
          <w:sz w:val="16"/>
          <w:szCs w:val="16"/>
        </w:rPr>
        <w:t xml:space="preserve"> </w:t>
      </w:r>
      <w:r w:rsidRPr="00A60AC8">
        <w:rPr>
          <w:rFonts w:ascii="Verdana" w:hAnsi="Verdana" w:cs="Arial"/>
          <w:sz w:val="16"/>
          <w:szCs w:val="16"/>
        </w:rPr>
        <w:t>declare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8"/>
          <w:sz w:val="16"/>
          <w:szCs w:val="16"/>
        </w:rPr>
        <w:t xml:space="preserve"> </w:t>
      </w:r>
      <w:r w:rsidRPr="00A60AC8">
        <w:rPr>
          <w:rFonts w:ascii="Verdana" w:hAnsi="Verdana" w:cs="Arial"/>
          <w:sz w:val="16"/>
          <w:szCs w:val="16"/>
        </w:rPr>
        <w:t>nulidad</w:t>
      </w:r>
      <w:r w:rsidRPr="00A60AC8">
        <w:rPr>
          <w:rFonts w:ascii="Verdana" w:hAnsi="Verdana" w:cs="Arial"/>
          <w:spacing w:val="1"/>
          <w:sz w:val="16"/>
          <w:szCs w:val="16"/>
        </w:rPr>
        <w:t xml:space="preserve"> </w:t>
      </w:r>
      <w:r w:rsidRPr="00A60AC8">
        <w:rPr>
          <w:rFonts w:ascii="Verdana" w:hAnsi="Verdana" w:cs="Arial"/>
          <w:sz w:val="16"/>
          <w:szCs w:val="16"/>
        </w:rPr>
        <w:t>del</w:t>
      </w:r>
      <w:r w:rsidRPr="00A60AC8">
        <w:rPr>
          <w:rFonts w:ascii="Verdana" w:hAnsi="Verdana" w:cs="Arial"/>
          <w:spacing w:val="-2"/>
          <w:sz w:val="16"/>
          <w:szCs w:val="16"/>
        </w:rPr>
        <w:t xml:space="preserve"> </w:t>
      </w:r>
      <w:r w:rsidRPr="00A60AC8">
        <w:rPr>
          <w:rFonts w:ascii="Verdana" w:hAnsi="Verdana" w:cs="Arial"/>
          <w:sz w:val="16"/>
          <w:szCs w:val="16"/>
        </w:rPr>
        <w:t>acto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inscripción.</w:t>
      </w:r>
    </w:p>
    <w:p w:rsidRPr="00A60AC8" w:rsidR="003E1B03" w:rsidP="003E1B03" w:rsidRDefault="003E1B03" w14:paraId="7EE9D66B" w14:textId="77777777">
      <w:pPr>
        <w:spacing w:after="0" w:line="240" w:lineRule="auto"/>
        <w:contextualSpacing/>
        <w:jc w:val="both"/>
        <w:rPr>
          <w:rFonts w:ascii="Verdana" w:hAnsi="Verdana" w:cs="Arial"/>
          <w:sz w:val="16"/>
          <w:szCs w:val="16"/>
        </w:rPr>
      </w:pP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información</w:t>
      </w:r>
      <w:r w:rsidRPr="00A60AC8">
        <w:rPr>
          <w:rFonts w:ascii="Verdana" w:hAnsi="Verdana" w:cs="Arial"/>
          <w:spacing w:val="-3"/>
          <w:sz w:val="16"/>
          <w:szCs w:val="16"/>
        </w:rPr>
        <w:t xml:space="preserve"> </w:t>
      </w:r>
      <w:r w:rsidRPr="00A60AC8">
        <w:rPr>
          <w:rFonts w:ascii="Verdana" w:hAnsi="Verdana" w:cs="Arial"/>
          <w:sz w:val="16"/>
          <w:szCs w:val="16"/>
        </w:rPr>
        <w:t>contenida</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3"/>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registro</w:t>
      </w:r>
      <w:r w:rsidRPr="00A60AC8">
        <w:rPr>
          <w:rFonts w:ascii="Verdana" w:hAnsi="Verdana" w:cs="Arial"/>
          <w:spacing w:val="-4"/>
          <w:sz w:val="16"/>
          <w:szCs w:val="16"/>
        </w:rPr>
        <w:t xml:space="preserve"> </w:t>
      </w:r>
      <w:r w:rsidRPr="00A60AC8">
        <w:rPr>
          <w:rFonts w:ascii="Verdana" w:hAnsi="Verdana" w:cs="Arial"/>
          <w:sz w:val="16"/>
          <w:szCs w:val="16"/>
        </w:rPr>
        <w:t>es</w:t>
      </w:r>
      <w:r w:rsidRPr="00A60AC8">
        <w:rPr>
          <w:rFonts w:ascii="Verdana" w:hAnsi="Verdana" w:cs="Arial"/>
          <w:spacing w:val="-3"/>
          <w:sz w:val="16"/>
          <w:szCs w:val="16"/>
        </w:rPr>
        <w:t xml:space="preserve"> </w:t>
      </w:r>
      <w:r w:rsidRPr="00A60AC8">
        <w:rPr>
          <w:rFonts w:ascii="Verdana" w:hAnsi="Verdana" w:cs="Arial"/>
          <w:sz w:val="16"/>
          <w:szCs w:val="16"/>
        </w:rPr>
        <w:t>pública</w:t>
      </w:r>
      <w:r w:rsidRPr="00A60AC8">
        <w:rPr>
          <w:rFonts w:ascii="Verdana" w:hAnsi="Verdana" w:cs="Arial"/>
          <w:spacing w:val="-3"/>
          <w:sz w:val="16"/>
          <w:szCs w:val="16"/>
        </w:rPr>
        <w:t xml:space="preserve"> </w:t>
      </w:r>
      <w:r w:rsidRPr="00A60AC8">
        <w:rPr>
          <w:rFonts w:ascii="Verdana" w:hAnsi="Verdana" w:cs="Arial"/>
          <w:sz w:val="16"/>
          <w:szCs w:val="16"/>
        </w:rPr>
        <w:t>y</w:t>
      </w:r>
      <w:r w:rsidRPr="00A60AC8">
        <w:rPr>
          <w:rFonts w:ascii="Verdana" w:hAnsi="Verdana" w:cs="Arial"/>
          <w:spacing w:val="-4"/>
          <w:sz w:val="16"/>
          <w:szCs w:val="16"/>
        </w:rPr>
        <w:t xml:space="preserve"> </w:t>
      </w:r>
      <w:r w:rsidRPr="00A60AC8">
        <w:rPr>
          <w:rFonts w:ascii="Verdana" w:hAnsi="Verdana" w:cs="Arial"/>
          <w:sz w:val="16"/>
          <w:szCs w:val="16"/>
        </w:rPr>
        <w:t>su</w:t>
      </w:r>
      <w:r w:rsidRPr="00A60AC8">
        <w:rPr>
          <w:rFonts w:ascii="Verdana" w:hAnsi="Verdana" w:cs="Arial"/>
          <w:spacing w:val="-3"/>
          <w:sz w:val="16"/>
          <w:szCs w:val="16"/>
        </w:rPr>
        <w:t xml:space="preserve"> </w:t>
      </w:r>
      <w:r w:rsidRPr="00A60AC8">
        <w:rPr>
          <w:rFonts w:ascii="Verdana" w:hAnsi="Verdana" w:cs="Arial"/>
          <w:sz w:val="16"/>
          <w:szCs w:val="16"/>
        </w:rPr>
        <w:t>consulta</w:t>
      </w:r>
      <w:r w:rsidRPr="00A60AC8">
        <w:rPr>
          <w:rFonts w:ascii="Verdana" w:hAnsi="Verdana" w:cs="Arial"/>
          <w:spacing w:val="-3"/>
          <w:sz w:val="16"/>
          <w:szCs w:val="16"/>
        </w:rPr>
        <w:t xml:space="preserve"> </w:t>
      </w:r>
      <w:r w:rsidRPr="00A60AC8">
        <w:rPr>
          <w:rFonts w:ascii="Verdana" w:hAnsi="Verdana" w:cs="Arial"/>
          <w:sz w:val="16"/>
          <w:szCs w:val="16"/>
        </w:rPr>
        <w:t>será</w:t>
      </w:r>
      <w:r w:rsidRPr="00A60AC8">
        <w:rPr>
          <w:rFonts w:ascii="Verdana" w:hAnsi="Verdana" w:cs="Arial"/>
          <w:spacing w:val="-4"/>
          <w:sz w:val="16"/>
          <w:szCs w:val="16"/>
        </w:rPr>
        <w:t xml:space="preserve"> </w:t>
      </w:r>
      <w:r w:rsidRPr="00A60AC8">
        <w:rPr>
          <w:rFonts w:ascii="Verdana" w:hAnsi="Verdana" w:cs="Arial"/>
          <w:sz w:val="16"/>
          <w:szCs w:val="16"/>
        </w:rPr>
        <w:t>gratuita”.</w:t>
      </w:r>
    </w:p>
    <w:p w:rsidRPr="00A60AC8" w:rsidR="003E1B03" w:rsidP="003E1B03" w:rsidRDefault="003E1B03" w14:paraId="6BD3BFA7" w14:textId="77777777">
      <w:pPr>
        <w:pStyle w:val="Textonotapie"/>
        <w:contextualSpacing/>
        <w:jc w:val="both"/>
        <w:rPr>
          <w:rFonts w:ascii="Verdana" w:hAnsi="Verdana" w:cs="Arial"/>
          <w:sz w:val="16"/>
          <w:szCs w:val="16"/>
        </w:rPr>
      </w:pPr>
    </w:p>
  </w:footnote>
  <w:footnote w:id="13">
    <w:p w:rsidRPr="00A60AC8" w:rsidR="003E1B03" w:rsidP="003E1B03" w:rsidRDefault="003E1B03" w14:paraId="356C6261" w14:textId="77777777">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“Artículo 2.2.1.1.1.5.1. Inscripción, renovación, actualización y cancelación del RUP. </w:t>
      </w:r>
    </w:p>
    <w:p w:rsidRPr="00A60AC8" w:rsidR="003E1B03" w:rsidP="003E1B03" w:rsidRDefault="003E1B03" w14:paraId="1A06EEB2"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w:t>
      </w:r>
    </w:p>
    <w:p w:rsidRPr="00A60AC8" w:rsidR="003E1B03" w:rsidP="003E1B03" w:rsidRDefault="003E1B03" w14:paraId="16FFD2C5"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rsidRPr="00A60AC8" w:rsidR="003E1B03" w:rsidP="003E1B03" w:rsidRDefault="003E1B03" w14:paraId="6F459A91" w14:textId="77777777">
      <w:pPr>
        <w:pStyle w:val="Textonotapie"/>
        <w:contextualSpacing/>
        <w:jc w:val="both"/>
        <w:rPr>
          <w:rFonts w:ascii="Verdana" w:hAnsi="Verdana" w:cs="Arial"/>
          <w:sz w:val="16"/>
          <w:szCs w:val="16"/>
        </w:rPr>
      </w:pPr>
    </w:p>
  </w:footnote>
  <w:footnote w:id="14">
    <w:p w:rsidRPr="00A60AC8" w:rsidR="003E1B03" w:rsidP="003E1B03" w:rsidRDefault="003E1B03" w14:paraId="5C47A60F" w14:textId="77777777">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CONSEJO DE ESTADO. Sección Tercera. Subsección A. Sentencia del 19 de septiembre de 2019. Exp. 59.432. C.P. Marta Nubia Velásquez Rico.</w:t>
      </w:r>
    </w:p>
    <w:p w:rsidRPr="00A60AC8" w:rsidR="003E1B03" w:rsidP="003E1B03" w:rsidRDefault="003E1B03" w14:paraId="43BA712E" w14:textId="77777777">
      <w:pPr>
        <w:pStyle w:val="Textonotapie"/>
        <w:contextualSpacing/>
        <w:jc w:val="both"/>
        <w:rPr>
          <w:rFonts w:ascii="Verdana" w:hAnsi="Verdana" w:cs="Arial"/>
          <w:sz w:val="16"/>
          <w:szCs w:val="16"/>
        </w:rPr>
      </w:pPr>
    </w:p>
  </w:footnote>
  <w:footnote w:id="15">
    <w:p w:rsidRPr="00A60AC8" w:rsidR="003E1B03" w:rsidP="003E1B03" w:rsidRDefault="003E1B03" w14:paraId="6294C27B" w14:textId="77777777">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“Artículo</w:t>
      </w:r>
      <w:r w:rsidRPr="00A60AC8">
        <w:rPr>
          <w:rFonts w:ascii="Verdana" w:hAnsi="Verdana" w:cs="Arial"/>
          <w:spacing w:val="-6"/>
          <w:sz w:val="16"/>
          <w:szCs w:val="16"/>
        </w:rPr>
        <w:t xml:space="preserve"> </w:t>
      </w:r>
      <w:r w:rsidRPr="00A60AC8">
        <w:rPr>
          <w:rFonts w:ascii="Verdana" w:hAnsi="Verdana" w:cs="Arial"/>
          <w:sz w:val="16"/>
          <w:szCs w:val="16"/>
        </w:rPr>
        <w:t>87.</w:t>
      </w:r>
      <w:r w:rsidRPr="00A60AC8">
        <w:rPr>
          <w:rFonts w:ascii="Verdana" w:hAnsi="Verdana" w:cs="Arial"/>
          <w:spacing w:val="-6"/>
          <w:sz w:val="16"/>
          <w:szCs w:val="16"/>
        </w:rPr>
        <w:t xml:space="preserve"> </w:t>
      </w:r>
      <w:r w:rsidRPr="00A60AC8">
        <w:rPr>
          <w:rFonts w:ascii="Verdana" w:hAnsi="Verdana" w:cs="Arial"/>
          <w:sz w:val="16"/>
          <w:szCs w:val="16"/>
        </w:rPr>
        <w:t>Firmeza</w:t>
      </w:r>
      <w:r w:rsidRPr="00A60AC8">
        <w:rPr>
          <w:rFonts w:ascii="Verdana" w:hAnsi="Verdana" w:cs="Arial"/>
          <w:spacing w:val="-6"/>
          <w:sz w:val="16"/>
          <w:szCs w:val="16"/>
        </w:rPr>
        <w:t xml:space="preserve"> </w:t>
      </w:r>
      <w:r w:rsidRPr="00A60AC8">
        <w:rPr>
          <w:rFonts w:ascii="Verdana" w:hAnsi="Verdana" w:cs="Arial"/>
          <w:sz w:val="16"/>
          <w:szCs w:val="16"/>
        </w:rPr>
        <w:t>de</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actos</w:t>
      </w:r>
      <w:r w:rsidRPr="00A60AC8">
        <w:rPr>
          <w:rFonts w:ascii="Verdana" w:hAnsi="Verdana" w:cs="Arial"/>
          <w:spacing w:val="-6"/>
          <w:sz w:val="16"/>
          <w:szCs w:val="16"/>
        </w:rPr>
        <w:t xml:space="preserve"> </w:t>
      </w:r>
      <w:r w:rsidRPr="00A60AC8">
        <w:rPr>
          <w:rFonts w:ascii="Verdana" w:hAnsi="Verdana" w:cs="Arial"/>
          <w:sz w:val="16"/>
          <w:szCs w:val="16"/>
        </w:rPr>
        <w:t>administrativos.</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actos</w:t>
      </w:r>
      <w:r w:rsidRPr="00A60AC8">
        <w:rPr>
          <w:rFonts w:ascii="Verdana" w:hAnsi="Verdana" w:cs="Arial"/>
          <w:spacing w:val="-6"/>
          <w:sz w:val="16"/>
          <w:szCs w:val="16"/>
        </w:rPr>
        <w:t xml:space="preserve"> </w:t>
      </w:r>
      <w:r w:rsidRPr="00A60AC8">
        <w:rPr>
          <w:rFonts w:ascii="Verdana" w:hAnsi="Verdana" w:cs="Arial"/>
          <w:sz w:val="16"/>
          <w:szCs w:val="16"/>
        </w:rPr>
        <w:t>administrativos</w:t>
      </w:r>
      <w:r w:rsidRPr="00A60AC8">
        <w:rPr>
          <w:rFonts w:ascii="Verdana" w:hAnsi="Verdana" w:cs="Arial"/>
          <w:spacing w:val="-6"/>
          <w:sz w:val="16"/>
          <w:szCs w:val="16"/>
        </w:rPr>
        <w:t xml:space="preserve"> </w:t>
      </w:r>
      <w:r w:rsidRPr="00A60AC8">
        <w:rPr>
          <w:rFonts w:ascii="Verdana" w:hAnsi="Verdana" w:cs="Arial"/>
          <w:sz w:val="16"/>
          <w:szCs w:val="16"/>
        </w:rPr>
        <w:t>quedarán</w:t>
      </w:r>
      <w:r w:rsidRPr="00A60AC8">
        <w:rPr>
          <w:rFonts w:ascii="Verdana" w:hAnsi="Verdana" w:cs="Arial"/>
          <w:spacing w:val="-6"/>
          <w:sz w:val="16"/>
          <w:szCs w:val="16"/>
        </w:rPr>
        <w:t xml:space="preserve"> </w:t>
      </w:r>
      <w:r w:rsidRPr="00A60AC8">
        <w:rPr>
          <w:rFonts w:ascii="Verdana" w:hAnsi="Verdana" w:cs="Arial"/>
          <w:sz w:val="16"/>
          <w:szCs w:val="16"/>
        </w:rPr>
        <w:t>en</w:t>
      </w:r>
      <w:r w:rsidRPr="00A60AC8">
        <w:rPr>
          <w:rFonts w:ascii="Verdana" w:hAnsi="Verdana" w:cs="Arial"/>
          <w:spacing w:val="-6"/>
          <w:sz w:val="16"/>
          <w:szCs w:val="16"/>
        </w:rPr>
        <w:t xml:space="preserve"> </w:t>
      </w:r>
      <w:r w:rsidRPr="00A60AC8">
        <w:rPr>
          <w:rFonts w:ascii="Verdana" w:hAnsi="Verdana" w:cs="Arial"/>
          <w:sz w:val="16"/>
          <w:szCs w:val="16"/>
        </w:rPr>
        <w:t>firme:</w:t>
      </w:r>
    </w:p>
    <w:p w:rsidRPr="00A60AC8" w:rsidR="003E1B03" w:rsidP="003E1B03" w:rsidRDefault="003E1B03" w14:paraId="7FF5E18A"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1.</w:t>
      </w:r>
      <w:r w:rsidRPr="00A60AC8">
        <w:rPr>
          <w:rFonts w:ascii="Verdana" w:hAnsi="Verdana" w:cs="Arial"/>
          <w:spacing w:val="-4"/>
          <w:sz w:val="16"/>
          <w:szCs w:val="16"/>
        </w:rPr>
        <w:t xml:space="preserve"> </w:t>
      </w:r>
      <w:r w:rsidRPr="00A60AC8">
        <w:rPr>
          <w:rFonts w:ascii="Verdana" w:hAnsi="Verdana" w:cs="Arial"/>
          <w:sz w:val="16"/>
          <w:szCs w:val="16"/>
        </w:rPr>
        <w:t>Cuando</w:t>
      </w:r>
      <w:r w:rsidRPr="00A60AC8">
        <w:rPr>
          <w:rFonts w:ascii="Verdana" w:hAnsi="Verdana" w:cs="Arial"/>
          <w:spacing w:val="-3"/>
          <w:sz w:val="16"/>
          <w:szCs w:val="16"/>
        </w:rPr>
        <w:t xml:space="preserve"> </w:t>
      </w:r>
      <w:r w:rsidRPr="00A60AC8">
        <w:rPr>
          <w:rFonts w:ascii="Verdana" w:hAnsi="Verdana" w:cs="Arial"/>
          <w:sz w:val="16"/>
          <w:szCs w:val="16"/>
        </w:rPr>
        <w:t>contra</w:t>
      </w:r>
      <w:r w:rsidRPr="00A60AC8">
        <w:rPr>
          <w:rFonts w:ascii="Verdana" w:hAnsi="Verdana" w:cs="Arial"/>
          <w:spacing w:val="-4"/>
          <w:sz w:val="16"/>
          <w:szCs w:val="16"/>
        </w:rPr>
        <w:t xml:space="preserve"> </w:t>
      </w:r>
      <w:r w:rsidRPr="00A60AC8">
        <w:rPr>
          <w:rFonts w:ascii="Verdana" w:hAnsi="Verdana" w:cs="Arial"/>
          <w:sz w:val="16"/>
          <w:szCs w:val="16"/>
        </w:rPr>
        <w:t>ellos</w:t>
      </w:r>
      <w:r w:rsidRPr="00A60AC8">
        <w:rPr>
          <w:rFonts w:ascii="Verdana" w:hAnsi="Verdana" w:cs="Arial"/>
          <w:spacing w:val="-3"/>
          <w:sz w:val="16"/>
          <w:szCs w:val="16"/>
        </w:rPr>
        <w:t xml:space="preserve"> </w:t>
      </w:r>
      <w:r w:rsidRPr="00A60AC8">
        <w:rPr>
          <w:rFonts w:ascii="Verdana" w:hAnsi="Verdana" w:cs="Arial"/>
          <w:sz w:val="16"/>
          <w:szCs w:val="16"/>
        </w:rPr>
        <w:t>no</w:t>
      </w:r>
      <w:r w:rsidRPr="00A60AC8">
        <w:rPr>
          <w:rFonts w:ascii="Verdana" w:hAnsi="Verdana" w:cs="Arial"/>
          <w:spacing w:val="-4"/>
          <w:sz w:val="16"/>
          <w:szCs w:val="16"/>
        </w:rPr>
        <w:t xml:space="preserve"> </w:t>
      </w:r>
      <w:r w:rsidRPr="00A60AC8">
        <w:rPr>
          <w:rFonts w:ascii="Verdana" w:hAnsi="Verdana" w:cs="Arial"/>
          <w:sz w:val="16"/>
          <w:szCs w:val="16"/>
        </w:rPr>
        <w:t>proceda</w:t>
      </w:r>
      <w:r w:rsidRPr="00A60AC8">
        <w:rPr>
          <w:rFonts w:ascii="Verdana" w:hAnsi="Verdana" w:cs="Arial"/>
          <w:spacing w:val="-3"/>
          <w:sz w:val="16"/>
          <w:szCs w:val="16"/>
        </w:rPr>
        <w:t xml:space="preserve"> </w:t>
      </w:r>
      <w:r w:rsidRPr="00A60AC8">
        <w:rPr>
          <w:rFonts w:ascii="Verdana" w:hAnsi="Verdana" w:cs="Arial"/>
          <w:sz w:val="16"/>
          <w:szCs w:val="16"/>
        </w:rPr>
        <w:t>ningún</w:t>
      </w:r>
      <w:r w:rsidRPr="00A60AC8">
        <w:rPr>
          <w:rFonts w:ascii="Verdana" w:hAnsi="Verdana" w:cs="Arial"/>
          <w:spacing w:val="-4"/>
          <w:sz w:val="16"/>
          <w:szCs w:val="16"/>
        </w:rPr>
        <w:t xml:space="preserve"> </w:t>
      </w:r>
      <w:r w:rsidRPr="00A60AC8">
        <w:rPr>
          <w:rFonts w:ascii="Verdana" w:hAnsi="Verdana" w:cs="Arial"/>
          <w:sz w:val="16"/>
          <w:szCs w:val="16"/>
        </w:rPr>
        <w:t>recurso,</w:t>
      </w:r>
      <w:r w:rsidRPr="00A60AC8">
        <w:rPr>
          <w:rFonts w:ascii="Verdana" w:hAnsi="Verdana" w:cs="Arial"/>
          <w:spacing w:val="-3"/>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3"/>
          <w:sz w:val="16"/>
          <w:szCs w:val="16"/>
        </w:rPr>
        <w:t xml:space="preserve"> </w:t>
      </w:r>
      <w:r w:rsidRPr="00A60AC8">
        <w:rPr>
          <w:rFonts w:ascii="Verdana" w:hAnsi="Verdana" w:cs="Arial"/>
          <w:sz w:val="16"/>
          <w:szCs w:val="16"/>
        </w:rPr>
        <w:t>al</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3"/>
          <w:sz w:val="16"/>
          <w:szCs w:val="16"/>
        </w:rPr>
        <w:t xml:space="preserve"> </w:t>
      </w:r>
      <w:r w:rsidRPr="00A60AC8">
        <w:rPr>
          <w:rFonts w:ascii="Verdana" w:hAnsi="Verdana" w:cs="Arial"/>
          <w:sz w:val="16"/>
          <w:szCs w:val="16"/>
        </w:rPr>
        <w:t>su</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3"/>
          <w:sz w:val="16"/>
          <w:szCs w:val="16"/>
        </w:rPr>
        <w:t xml:space="preserve"> </w:t>
      </w:r>
      <w:r w:rsidRPr="00A60AC8">
        <w:rPr>
          <w:rFonts w:ascii="Verdana" w:hAnsi="Verdana" w:cs="Arial"/>
          <w:sz w:val="16"/>
          <w:szCs w:val="16"/>
        </w:rPr>
        <w:t>comunicación</w:t>
      </w:r>
      <w:r w:rsidRPr="00A60AC8">
        <w:rPr>
          <w:rFonts w:ascii="Verdana" w:hAnsi="Verdana" w:cs="Arial"/>
          <w:spacing w:val="-4"/>
          <w:sz w:val="16"/>
          <w:szCs w:val="16"/>
        </w:rPr>
        <w:t xml:space="preserve"> </w:t>
      </w:r>
      <w:r w:rsidRPr="00A60AC8">
        <w:rPr>
          <w:rFonts w:ascii="Verdana" w:hAnsi="Verdana" w:cs="Arial"/>
          <w:sz w:val="16"/>
          <w:szCs w:val="16"/>
        </w:rPr>
        <w:t>o</w:t>
      </w:r>
      <w:r w:rsidRPr="00A60AC8">
        <w:rPr>
          <w:rFonts w:ascii="Verdana" w:hAnsi="Verdana" w:cs="Arial"/>
          <w:spacing w:val="-3"/>
          <w:sz w:val="16"/>
          <w:szCs w:val="16"/>
        </w:rPr>
        <w:t xml:space="preserve"> </w:t>
      </w:r>
      <w:r w:rsidRPr="00A60AC8">
        <w:rPr>
          <w:rFonts w:ascii="Verdana" w:hAnsi="Verdana" w:cs="Arial"/>
          <w:sz w:val="16"/>
          <w:szCs w:val="16"/>
        </w:rPr>
        <w:t>publicación</w:t>
      </w:r>
      <w:r w:rsidRPr="00A60AC8">
        <w:rPr>
          <w:rFonts w:ascii="Verdana" w:hAnsi="Verdana" w:cs="Arial"/>
          <w:spacing w:val="-3"/>
          <w:sz w:val="16"/>
          <w:szCs w:val="16"/>
        </w:rPr>
        <w:t xml:space="preserve"> </w:t>
      </w:r>
      <w:r w:rsidRPr="00A60AC8">
        <w:rPr>
          <w:rFonts w:ascii="Verdana" w:hAnsi="Verdana" w:cs="Arial"/>
          <w:sz w:val="16"/>
          <w:szCs w:val="16"/>
        </w:rPr>
        <w:t>según</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caso.</w:t>
      </w:r>
    </w:p>
    <w:p w:rsidRPr="00A60AC8" w:rsidR="003E1B03" w:rsidP="003E1B03" w:rsidRDefault="003E1B03" w14:paraId="16DA6AD0"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2.</w:t>
      </w:r>
      <w:r w:rsidRPr="00A60AC8">
        <w:rPr>
          <w:rFonts w:ascii="Verdana" w:hAnsi="Verdana" w:cs="Arial"/>
          <w:spacing w:val="-5"/>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publicación,</w:t>
      </w:r>
      <w:r w:rsidRPr="00A60AC8">
        <w:rPr>
          <w:rFonts w:ascii="Verdana" w:hAnsi="Verdana" w:cs="Arial"/>
          <w:spacing w:val="-4"/>
          <w:sz w:val="16"/>
          <w:szCs w:val="16"/>
        </w:rPr>
        <w:t xml:space="preserve"> </w:t>
      </w:r>
      <w:r w:rsidRPr="00A60AC8">
        <w:rPr>
          <w:rFonts w:ascii="Verdana" w:hAnsi="Verdana" w:cs="Arial"/>
          <w:sz w:val="16"/>
          <w:szCs w:val="16"/>
        </w:rPr>
        <w:t>comunicación</w:t>
      </w:r>
      <w:r w:rsidRPr="00A60AC8">
        <w:rPr>
          <w:rFonts w:ascii="Verdana" w:hAnsi="Verdana" w:cs="Arial"/>
          <w:spacing w:val="-4"/>
          <w:sz w:val="16"/>
          <w:szCs w:val="16"/>
        </w:rPr>
        <w:t xml:space="preserve"> </w:t>
      </w:r>
      <w:r w:rsidRPr="00A60AC8">
        <w:rPr>
          <w:rFonts w:ascii="Verdana" w:hAnsi="Verdana" w:cs="Arial"/>
          <w:sz w:val="16"/>
          <w:szCs w:val="16"/>
        </w:rPr>
        <w:t>o</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decisión</w:t>
      </w:r>
      <w:r w:rsidRPr="00A60AC8">
        <w:rPr>
          <w:rFonts w:ascii="Verdana" w:hAnsi="Verdana" w:cs="Arial"/>
          <w:spacing w:val="-4"/>
          <w:sz w:val="16"/>
          <w:szCs w:val="16"/>
        </w:rPr>
        <w:t xml:space="preserve"> </w:t>
      </w:r>
      <w:r w:rsidRPr="00A60AC8">
        <w:rPr>
          <w:rFonts w:ascii="Verdana" w:hAnsi="Verdana" w:cs="Arial"/>
          <w:sz w:val="16"/>
          <w:szCs w:val="16"/>
        </w:rPr>
        <w:t>sobre</w:t>
      </w:r>
      <w:r w:rsidRPr="00A60AC8">
        <w:rPr>
          <w:rFonts w:ascii="Verdana" w:hAnsi="Verdana" w:cs="Arial"/>
          <w:spacing w:val="-5"/>
          <w:sz w:val="16"/>
          <w:szCs w:val="16"/>
        </w:rPr>
        <w:t xml:space="preserve"> </w:t>
      </w:r>
      <w:r w:rsidRPr="00A60AC8">
        <w:rPr>
          <w:rFonts w:ascii="Verdana" w:hAnsi="Verdana" w:cs="Arial"/>
          <w:sz w:val="16"/>
          <w:szCs w:val="16"/>
        </w:rPr>
        <w:t>los</w:t>
      </w:r>
      <w:r w:rsidRPr="00A60AC8">
        <w:rPr>
          <w:rFonts w:ascii="Verdana" w:hAnsi="Verdana" w:cs="Arial"/>
          <w:spacing w:val="-4"/>
          <w:sz w:val="16"/>
          <w:szCs w:val="16"/>
        </w:rPr>
        <w:t xml:space="preserve"> </w:t>
      </w:r>
      <w:r w:rsidRPr="00A60AC8">
        <w:rPr>
          <w:rFonts w:ascii="Verdana" w:hAnsi="Verdana" w:cs="Arial"/>
          <w:sz w:val="16"/>
          <w:szCs w:val="16"/>
        </w:rPr>
        <w:t>recursos</w:t>
      </w:r>
      <w:r w:rsidRPr="00A60AC8">
        <w:rPr>
          <w:rFonts w:ascii="Verdana" w:hAnsi="Verdana" w:cs="Arial"/>
          <w:spacing w:val="-4"/>
          <w:sz w:val="16"/>
          <w:szCs w:val="16"/>
        </w:rPr>
        <w:t xml:space="preserve"> </w:t>
      </w:r>
      <w:r w:rsidRPr="00A60AC8">
        <w:rPr>
          <w:rFonts w:ascii="Verdana" w:hAnsi="Verdana" w:cs="Arial"/>
          <w:sz w:val="16"/>
          <w:szCs w:val="16"/>
        </w:rPr>
        <w:t>interpuestos.</w:t>
      </w:r>
    </w:p>
    <w:p w:rsidRPr="00A60AC8" w:rsidR="003E1B03" w:rsidP="003E1B03" w:rsidRDefault="003E1B03" w14:paraId="544074D2"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3.</w:t>
      </w:r>
      <w:r w:rsidRPr="00A60AC8">
        <w:rPr>
          <w:rFonts w:ascii="Verdana" w:hAnsi="Verdana" w:cs="Arial"/>
          <w:spacing w:val="6"/>
          <w:sz w:val="16"/>
          <w:szCs w:val="16"/>
        </w:rPr>
        <w:t xml:space="preserve"> </w:t>
      </w:r>
      <w:r w:rsidRPr="00A60AC8">
        <w:rPr>
          <w:rFonts w:ascii="Verdana" w:hAnsi="Verdana" w:cs="Arial"/>
          <w:sz w:val="16"/>
          <w:szCs w:val="16"/>
        </w:rPr>
        <w:t>Desde</w:t>
      </w:r>
      <w:r w:rsidRPr="00A60AC8">
        <w:rPr>
          <w:rFonts w:ascii="Verdana" w:hAnsi="Verdana" w:cs="Arial"/>
          <w:spacing w:val="6"/>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día</w:t>
      </w:r>
      <w:r w:rsidRPr="00A60AC8">
        <w:rPr>
          <w:rFonts w:ascii="Verdana" w:hAnsi="Verdana" w:cs="Arial"/>
          <w:spacing w:val="6"/>
          <w:sz w:val="16"/>
          <w:szCs w:val="16"/>
        </w:rPr>
        <w:t xml:space="preserve"> </w:t>
      </w:r>
      <w:r w:rsidRPr="00A60AC8">
        <w:rPr>
          <w:rFonts w:ascii="Verdana" w:hAnsi="Verdana" w:cs="Arial"/>
          <w:sz w:val="16"/>
          <w:szCs w:val="16"/>
        </w:rPr>
        <w:t>siguiente</w:t>
      </w:r>
      <w:r w:rsidRPr="00A60AC8">
        <w:rPr>
          <w:rFonts w:ascii="Verdana" w:hAnsi="Verdana" w:cs="Arial"/>
          <w:spacing w:val="6"/>
          <w:sz w:val="16"/>
          <w:szCs w:val="16"/>
        </w:rPr>
        <w:t xml:space="preserve"> </w:t>
      </w:r>
      <w:r w:rsidRPr="00A60AC8">
        <w:rPr>
          <w:rFonts w:ascii="Verdana" w:hAnsi="Verdana" w:cs="Arial"/>
          <w:sz w:val="16"/>
          <w:szCs w:val="16"/>
        </w:rPr>
        <w:t>al</w:t>
      </w:r>
      <w:r w:rsidRPr="00A60AC8">
        <w:rPr>
          <w:rFonts w:ascii="Verdana" w:hAnsi="Verdana" w:cs="Arial"/>
          <w:spacing w:val="7"/>
          <w:sz w:val="16"/>
          <w:szCs w:val="16"/>
        </w:rPr>
        <w:t xml:space="preserve"> </w:t>
      </w:r>
      <w:r w:rsidRPr="00A60AC8">
        <w:rPr>
          <w:rFonts w:ascii="Verdana" w:hAnsi="Verdana" w:cs="Arial"/>
          <w:sz w:val="16"/>
          <w:szCs w:val="16"/>
        </w:rPr>
        <w:t>del</w:t>
      </w:r>
      <w:r w:rsidRPr="00A60AC8">
        <w:rPr>
          <w:rFonts w:ascii="Verdana" w:hAnsi="Verdana" w:cs="Arial"/>
          <w:spacing w:val="6"/>
          <w:sz w:val="16"/>
          <w:szCs w:val="16"/>
        </w:rPr>
        <w:t xml:space="preserve"> </w:t>
      </w:r>
      <w:r w:rsidRPr="00A60AC8">
        <w:rPr>
          <w:rFonts w:ascii="Verdana" w:hAnsi="Verdana" w:cs="Arial"/>
          <w:sz w:val="16"/>
          <w:szCs w:val="16"/>
        </w:rPr>
        <w:t>vencimiento</w:t>
      </w:r>
      <w:r w:rsidRPr="00A60AC8">
        <w:rPr>
          <w:rFonts w:ascii="Verdana" w:hAnsi="Verdana" w:cs="Arial"/>
          <w:spacing w:val="7"/>
          <w:sz w:val="16"/>
          <w:szCs w:val="16"/>
        </w:rPr>
        <w:t xml:space="preserve"> </w:t>
      </w:r>
      <w:r w:rsidRPr="00A60AC8">
        <w:rPr>
          <w:rFonts w:ascii="Verdana" w:hAnsi="Verdana" w:cs="Arial"/>
          <w:sz w:val="16"/>
          <w:szCs w:val="16"/>
        </w:rPr>
        <w:t>del</w:t>
      </w:r>
      <w:r w:rsidRPr="00A60AC8">
        <w:rPr>
          <w:rFonts w:ascii="Verdana" w:hAnsi="Verdana" w:cs="Arial"/>
          <w:spacing w:val="6"/>
          <w:sz w:val="16"/>
          <w:szCs w:val="16"/>
        </w:rPr>
        <w:t xml:space="preserve"> </w:t>
      </w:r>
      <w:r w:rsidRPr="00A60AC8">
        <w:rPr>
          <w:rFonts w:ascii="Verdana" w:hAnsi="Verdana" w:cs="Arial"/>
          <w:sz w:val="16"/>
          <w:szCs w:val="16"/>
        </w:rPr>
        <w:t>término</w:t>
      </w:r>
      <w:r w:rsidRPr="00A60AC8">
        <w:rPr>
          <w:rFonts w:ascii="Verdana" w:hAnsi="Verdana" w:cs="Arial"/>
          <w:spacing w:val="6"/>
          <w:sz w:val="16"/>
          <w:szCs w:val="16"/>
        </w:rPr>
        <w:t xml:space="preserve"> </w:t>
      </w:r>
      <w:r w:rsidRPr="00A60AC8">
        <w:rPr>
          <w:rFonts w:ascii="Verdana" w:hAnsi="Verdana" w:cs="Arial"/>
          <w:sz w:val="16"/>
          <w:szCs w:val="16"/>
        </w:rPr>
        <w:t>para</w:t>
      </w:r>
      <w:r w:rsidRPr="00A60AC8">
        <w:rPr>
          <w:rFonts w:ascii="Verdana" w:hAnsi="Verdana" w:cs="Arial"/>
          <w:spacing w:val="7"/>
          <w:sz w:val="16"/>
          <w:szCs w:val="16"/>
        </w:rPr>
        <w:t xml:space="preserve"> </w:t>
      </w:r>
      <w:r w:rsidRPr="00A60AC8">
        <w:rPr>
          <w:rFonts w:ascii="Verdana" w:hAnsi="Verdana" w:cs="Arial"/>
          <w:sz w:val="16"/>
          <w:szCs w:val="16"/>
        </w:rPr>
        <w:t>interponer</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recursos,</w:t>
      </w:r>
      <w:r w:rsidRPr="00A60AC8">
        <w:rPr>
          <w:rFonts w:ascii="Verdana" w:hAnsi="Verdana" w:cs="Arial"/>
          <w:spacing w:val="7"/>
          <w:sz w:val="16"/>
          <w:szCs w:val="16"/>
        </w:rPr>
        <w:t xml:space="preserve"> </w:t>
      </w:r>
      <w:r w:rsidRPr="00A60AC8">
        <w:rPr>
          <w:rFonts w:ascii="Verdana" w:hAnsi="Verdana" w:cs="Arial"/>
          <w:sz w:val="16"/>
          <w:szCs w:val="16"/>
        </w:rPr>
        <w:t>si</w:t>
      </w:r>
      <w:r w:rsidRPr="00A60AC8">
        <w:rPr>
          <w:rFonts w:ascii="Verdana" w:hAnsi="Verdana" w:cs="Arial"/>
          <w:spacing w:val="6"/>
          <w:sz w:val="16"/>
          <w:szCs w:val="16"/>
        </w:rPr>
        <w:t xml:space="preserve"> </w:t>
      </w:r>
      <w:r w:rsidRPr="00A60AC8">
        <w:rPr>
          <w:rFonts w:ascii="Verdana" w:hAnsi="Verdana" w:cs="Arial"/>
          <w:sz w:val="16"/>
          <w:szCs w:val="16"/>
        </w:rPr>
        <w:t>estos</w:t>
      </w:r>
      <w:r w:rsidRPr="00A60AC8">
        <w:rPr>
          <w:rFonts w:ascii="Verdana" w:hAnsi="Verdana" w:cs="Arial"/>
          <w:spacing w:val="7"/>
          <w:sz w:val="16"/>
          <w:szCs w:val="16"/>
        </w:rPr>
        <w:t xml:space="preserve"> </w:t>
      </w:r>
      <w:r w:rsidRPr="00A60AC8">
        <w:rPr>
          <w:rFonts w:ascii="Verdana" w:hAnsi="Verdana" w:cs="Arial"/>
          <w:sz w:val="16"/>
          <w:szCs w:val="16"/>
        </w:rPr>
        <w:t>no</w:t>
      </w:r>
      <w:r w:rsidRPr="00A60AC8">
        <w:rPr>
          <w:rFonts w:ascii="Verdana" w:hAnsi="Verdana" w:cs="Arial"/>
          <w:spacing w:val="6"/>
          <w:sz w:val="16"/>
          <w:szCs w:val="16"/>
        </w:rPr>
        <w:t xml:space="preserve"> </w:t>
      </w:r>
      <w:r w:rsidRPr="00A60AC8">
        <w:rPr>
          <w:rFonts w:ascii="Verdana" w:hAnsi="Verdana" w:cs="Arial"/>
          <w:sz w:val="16"/>
          <w:szCs w:val="16"/>
        </w:rPr>
        <w:t>fueron</w:t>
      </w:r>
      <w:r w:rsidRPr="00A60AC8">
        <w:rPr>
          <w:rFonts w:ascii="Verdana" w:hAnsi="Verdana" w:cs="Arial"/>
          <w:spacing w:val="6"/>
          <w:sz w:val="16"/>
          <w:szCs w:val="16"/>
        </w:rPr>
        <w:t xml:space="preserve"> </w:t>
      </w:r>
      <w:r w:rsidRPr="00A60AC8">
        <w:rPr>
          <w:rFonts w:ascii="Verdana" w:hAnsi="Verdana" w:cs="Arial"/>
          <w:sz w:val="16"/>
          <w:szCs w:val="16"/>
        </w:rPr>
        <w:t>interpuestos,</w:t>
      </w:r>
      <w:r w:rsidRPr="00A60AC8">
        <w:rPr>
          <w:rFonts w:ascii="Verdana" w:hAnsi="Verdana" w:cs="Arial"/>
          <w:spacing w:val="7"/>
          <w:sz w:val="16"/>
          <w:szCs w:val="16"/>
        </w:rPr>
        <w:t xml:space="preserve"> </w:t>
      </w:r>
      <w:r w:rsidRPr="00A60AC8">
        <w:rPr>
          <w:rFonts w:ascii="Verdana" w:hAnsi="Verdana" w:cs="Arial"/>
          <w:sz w:val="16"/>
          <w:szCs w:val="16"/>
        </w:rPr>
        <w:t>o</w:t>
      </w:r>
      <w:r w:rsidRPr="00A60AC8">
        <w:rPr>
          <w:rFonts w:ascii="Verdana" w:hAnsi="Verdana" w:cs="Arial"/>
          <w:spacing w:val="6"/>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hubiere</w:t>
      </w:r>
      <w:r w:rsidRPr="00A60AC8">
        <w:rPr>
          <w:rFonts w:ascii="Verdana" w:hAnsi="Verdana" w:cs="Arial"/>
          <w:spacing w:val="6"/>
          <w:sz w:val="16"/>
          <w:szCs w:val="16"/>
        </w:rPr>
        <w:t xml:space="preserve"> </w:t>
      </w:r>
      <w:r w:rsidRPr="00A60AC8">
        <w:rPr>
          <w:rFonts w:ascii="Verdana" w:hAnsi="Verdana" w:cs="Arial"/>
          <w:sz w:val="16"/>
          <w:szCs w:val="16"/>
        </w:rPr>
        <w:t>renunciado</w:t>
      </w:r>
      <w:r w:rsidRPr="00A60AC8">
        <w:rPr>
          <w:rFonts w:ascii="Verdana" w:hAnsi="Verdana" w:cs="Arial"/>
          <w:spacing w:val="1"/>
          <w:sz w:val="16"/>
          <w:szCs w:val="16"/>
        </w:rPr>
        <w:t xml:space="preserve"> </w:t>
      </w:r>
      <w:r w:rsidRPr="00A60AC8">
        <w:rPr>
          <w:rFonts w:ascii="Verdana" w:hAnsi="Verdana" w:cs="Arial"/>
          <w:sz w:val="16"/>
          <w:szCs w:val="16"/>
        </w:rPr>
        <w:t>expresamente</w:t>
      </w:r>
      <w:r w:rsidRPr="00A60AC8">
        <w:rPr>
          <w:rFonts w:ascii="Verdana" w:hAnsi="Verdana" w:cs="Arial"/>
          <w:spacing w:val="-2"/>
          <w:sz w:val="16"/>
          <w:szCs w:val="16"/>
        </w:rPr>
        <w:t xml:space="preserve"> </w:t>
      </w:r>
      <w:r w:rsidRPr="00A60AC8">
        <w:rPr>
          <w:rFonts w:ascii="Verdana" w:hAnsi="Verdana" w:cs="Arial"/>
          <w:sz w:val="16"/>
          <w:szCs w:val="16"/>
        </w:rPr>
        <w:t>a</w:t>
      </w:r>
      <w:r w:rsidRPr="00A60AC8">
        <w:rPr>
          <w:rFonts w:ascii="Verdana" w:hAnsi="Verdana" w:cs="Arial"/>
          <w:spacing w:val="-1"/>
          <w:sz w:val="16"/>
          <w:szCs w:val="16"/>
        </w:rPr>
        <w:t xml:space="preserve"> </w:t>
      </w:r>
      <w:r w:rsidRPr="00A60AC8">
        <w:rPr>
          <w:rFonts w:ascii="Verdana" w:hAnsi="Verdana" w:cs="Arial"/>
          <w:sz w:val="16"/>
          <w:szCs w:val="16"/>
        </w:rPr>
        <w:t>ellos.</w:t>
      </w:r>
    </w:p>
    <w:p w:rsidRPr="00A60AC8" w:rsidR="003E1B03" w:rsidP="003E1B03" w:rsidRDefault="003E1B03" w14:paraId="47CE6C2A"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4.</w:t>
      </w:r>
      <w:r w:rsidRPr="00A60AC8">
        <w:rPr>
          <w:rFonts w:ascii="Verdana" w:hAnsi="Verdana" w:cs="Arial"/>
          <w:spacing w:val="-4"/>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al</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aceptación</w:t>
      </w:r>
      <w:r w:rsidRPr="00A60AC8">
        <w:rPr>
          <w:rFonts w:ascii="Verdana" w:hAnsi="Verdana" w:cs="Arial"/>
          <w:spacing w:val="-4"/>
          <w:sz w:val="16"/>
          <w:szCs w:val="16"/>
        </w:rPr>
        <w:t xml:space="preserve"> </w:t>
      </w:r>
      <w:r w:rsidRPr="00A60AC8">
        <w:rPr>
          <w:rFonts w:ascii="Verdana" w:hAnsi="Verdana" w:cs="Arial"/>
          <w:sz w:val="16"/>
          <w:szCs w:val="16"/>
        </w:rPr>
        <w:t>del</w:t>
      </w:r>
      <w:r w:rsidRPr="00A60AC8">
        <w:rPr>
          <w:rFonts w:ascii="Verdana" w:hAnsi="Verdana" w:cs="Arial"/>
          <w:spacing w:val="-4"/>
          <w:sz w:val="16"/>
          <w:szCs w:val="16"/>
        </w:rPr>
        <w:t xml:space="preserve"> </w:t>
      </w:r>
      <w:r w:rsidRPr="00A60AC8">
        <w:rPr>
          <w:rFonts w:ascii="Verdana" w:hAnsi="Verdana" w:cs="Arial"/>
          <w:sz w:val="16"/>
          <w:szCs w:val="16"/>
        </w:rPr>
        <w:t>desistimiento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los</w:t>
      </w:r>
      <w:r w:rsidRPr="00A60AC8">
        <w:rPr>
          <w:rFonts w:ascii="Verdana" w:hAnsi="Verdana" w:cs="Arial"/>
          <w:spacing w:val="-4"/>
          <w:sz w:val="16"/>
          <w:szCs w:val="16"/>
        </w:rPr>
        <w:t xml:space="preserve"> </w:t>
      </w:r>
      <w:r w:rsidRPr="00A60AC8">
        <w:rPr>
          <w:rFonts w:ascii="Verdana" w:hAnsi="Verdana" w:cs="Arial"/>
          <w:sz w:val="16"/>
          <w:szCs w:val="16"/>
        </w:rPr>
        <w:t>recursos.</w:t>
      </w:r>
    </w:p>
    <w:p w:rsidRPr="00A60AC8" w:rsidR="003E1B03" w:rsidP="003E1B03" w:rsidRDefault="003E1B03" w14:paraId="551852DC" w14:textId="77777777">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“5.</w:t>
      </w:r>
      <w:r w:rsidRPr="00A60AC8">
        <w:rPr>
          <w:rFonts w:ascii="Verdana" w:hAnsi="Verdana" w:cs="Arial"/>
          <w:spacing w:val="-5"/>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al</w:t>
      </w:r>
      <w:r w:rsidRPr="00A60AC8">
        <w:rPr>
          <w:rFonts w:ascii="Verdana" w:hAnsi="Verdana" w:cs="Arial"/>
          <w:spacing w:val="-5"/>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protocolización</w:t>
      </w:r>
      <w:r w:rsidRPr="00A60AC8">
        <w:rPr>
          <w:rFonts w:ascii="Verdana" w:hAnsi="Verdana" w:cs="Arial"/>
          <w:spacing w:val="-5"/>
          <w:sz w:val="16"/>
          <w:szCs w:val="16"/>
        </w:rPr>
        <w:t xml:space="preserve"> </w:t>
      </w:r>
      <w:r w:rsidRPr="00A60AC8">
        <w:rPr>
          <w:rFonts w:ascii="Verdana" w:hAnsi="Verdana" w:cs="Arial"/>
          <w:sz w:val="16"/>
          <w:szCs w:val="16"/>
        </w:rPr>
        <w:t>a</w:t>
      </w:r>
      <w:r w:rsidRPr="00A60AC8">
        <w:rPr>
          <w:rFonts w:ascii="Verdana" w:hAnsi="Verdana" w:cs="Arial"/>
          <w:spacing w:val="-4"/>
          <w:sz w:val="16"/>
          <w:szCs w:val="16"/>
        </w:rPr>
        <w:t xml:space="preserve"> </w:t>
      </w:r>
      <w:r w:rsidRPr="00A60AC8">
        <w:rPr>
          <w:rFonts w:ascii="Verdana" w:hAnsi="Verdana" w:cs="Arial"/>
          <w:sz w:val="16"/>
          <w:szCs w:val="16"/>
        </w:rPr>
        <w:t>que</w:t>
      </w:r>
      <w:r w:rsidRPr="00A60AC8">
        <w:rPr>
          <w:rFonts w:ascii="Verdana" w:hAnsi="Verdana" w:cs="Arial"/>
          <w:spacing w:val="-4"/>
          <w:sz w:val="16"/>
          <w:szCs w:val="16"/>
        </w:rPr>
        <w:t xml:space="preserve"> </w:t>
      </w:r>
      <w:r w:rsidRPr="00A60AC8">
        <w:rPr>
          <w:rFonts w:ascii="Verdana" w:hAnsi="Verdana" w:cs="Arial"/>
          <w:sz w:val="16"/>
          <w:szCs w:val="16"/>
        </w:rPr>
        <w:t>alude</w:t>
      </w:r>
      <w:r w:rsidRPr="00A60AC8">
        <w:rPr>
          <w:rFonts w:ascii="Verdana" w:hAnsi="Verdana" w:cs="Arial"/>
          <w:spacing w:val="-5"/>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artículo</w:t>
      </w:r>
      <w:r w:rsidRPr="00A60AC8">
        <w:rPr>
          <w:rFonts w:ascii="Verdana" w:hAnsi="Verdana" w:cs="Arial"/>
          <w:spacing w:val="-5"/>
          <w:sz w:val="16"/>
          <w:szCs w:val="16"/>
        </w:rPr>
        <w:t xml:space="preserve"> </w:t>
      </w:r>
      <w:r w:rsidRPr="00A60AC8">
        <w:rPr>
          <w:rFonts w:ascii="Verdana" w:hAnsi="Verdana" w:cs="Arial"/>
          <w:sz w:val="16"/>
          <w:szCs w:val="16"/>
        </w:rPr>
        <w:t>85</w:t>
      </w:r>
      <w:r w:rsidRPr="00A60AC8">
        <w:rPr>
          <w:rFonts w:ascii="Verdana" w:hAnsi="Verdana" w:cs="Arial"/>
          <w:spacing w:val="-4"/>
          <w:sz w:val="16"/>
          <w:szCs w:val="16"/>
        </w:rPr>
        <w:t xml:space="preserve"> </w:t>
      </w:r>
      <w:r w:rsidRPr="00A60AC8">
        <w:rPr>
          <w:rFonts w:ascii="Verdana" w:hAnsi="Verdana" w:cs="Arial"/>
          <w:sz w:val="16"/>
          <w:szCs w:val="16"/>
        </w:rPr>
        <w:t>para</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silencio</w:t>
      </w:r>
      <w:r w:rsidRPr="00A60AC8">
        <w:rPr>
          <w:rFonts w:ascii="Verdana" w:hAnsi="Verdana" w:cs="Arial"/>
          <w:spacing w:val="-4"/>
          <w:sz w:val="16"/>
          <w:szCs w:val="16"/>
        </w:rPr>
        <w:t xml:space="preserve"> </w:t>
      </w:r>
      <w:r w:rsidRPr="00A60AC8">
        <w:rPr>
          <w:rFonts w:ascii="Verdana" w:hAnsi="Verdana" w:cs="Arial"/>
          <w:sz w:val="16"/>
          <w:szCs w:val="16"/>
        </w:rPr>
        <w:t>administrativo</w:t>
      </w:r>
      <w:r w:rsidRPr="00A60AC8">
        <w:rPr>
          <w:rFonts w:ascii="Verdana" w:hAnsi="Verdana" w:cs="Arial"/>
          <w:spacing w:val="-4"/>
          <w:sz w:val="16"/>
          <w:szCs w:val="16"/>
        </w:rPr>
        <w:t xml:space="preserve"> </w:t>
      </w:r>
      <w:r w:rsidRPr="00A60AC8">
        <w:rPr>
          <w:rFonts w:ascii="Verdana" w:hAnsi="Verdana" w:cs="Arial"/>
          <w:sz w:val="16"/>
          <w:szCs w:val="16"/>
        </w:rPr>
        <w:t>positivo”.</w:t>
      </w:r>
    </w:p>
    <w:p w:rsidRPr="00A60AC8" w:rsidR="003E1B03" w:rsidP="003E1B03" w:rsidRDefault="003E1B03" w14:paraId="212FA654" w14:textId="77777777">
      <w:pPr>
        <w:pStyle w:val="Textonotapie"/>
        <w:contextualSpacing/>
        <w:jc w:val="both"/>
        <w:rPr>
          <w:rFonts w:ascii="Verdana" w:hAnsi="Verdana" w:cs="Arial"/>
          <w:sz w:val="16"/>
          <w:szCs w:val="16"/>
        </w:rPr>
      </w:pPr>
    </w:p>
  </w:footnote>
  <w:footnote w:id="16">
    <w:p w:rsidRPr="00A60AC8" w:rsidR="003E1B03" w:rsidP="003E1B03" w:rsidRDefault="003E1B03" w14:paraId="3C0CA747" w14:textId="77777777">
      <w:pPr>
        <w:spacing w:after="0" w:line="240" w:lineRule="auto"/>
        <w:ind w:firstLine="708"/>
        <w:contextualSpacing/>
        <w:jc w:val="both"/>
        <w:rPr>
          <w:rStyle w:val="Refdenotaalpie"/>
          <w:rFonts w:ascii="Verdana" w:hAnsi="Verdana" w:cs="Arial"/>
          <w:sz w:val="16"/>
          <w:szCs w:val="16"/>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Consejo de Estado. Sección Cuarta. Sentencia del 19 de noviembre de 1999. Exp. 9.453. CP. Daniel Manrique Guzmán.</w:t>
      </w:r>
    </w:p>
    <w:p w:rsidRPr="00A60AC8" w:rsidR="003E1B03" w:rsidP="003E1B03" w:rsidRDefault="003E1B03" w14:paraId="4C7A2290" w14:textId="77777777">
      <w:pPr>
        <w:pStyle w:val="Textonotapie"/>
        <w:contextualSpacing/>
        <w:jc w:val="both"/>
        <w:rPr>
          <w:rFonts w:ascii="Verdana" w:hAnsi="Verdana" w:cs="Arial"/>
          <w:sz w:val="16"/>
          <w:szCs w:val="16"/>
        </w:rPr>
      </w:pPr>
    </w:p>
  </w:footnote>
  <w:footnote w:id="17">
    <w:p w:rsidRPr="00A60AC8" w:rsidR="003E1B03" w:rsidP="003E1B03" w:rsidRDefault="003E1B03" w14:paraId="048CCB01" w14:textId="77777777">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Ley 1882 de 2018: “Artículo 5. Modifíquese el Parágrafo 1 e inclúyanse los parágrafos 3, 4 y 5 de artículo 5° de la Ley 1150 de 2007, los cuales quedarán así:</w:t>
      </w:r>
    </w:p>
    <w:p w:rsidRPr="00A60AC8" w:rsidR="003E1B03" w:rsidP="003E1B03" w:rsidRDefault="003E1B03" w14:paraId="28548CED" w14:textId="77777777">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w:t>
      </w:r>
    </w:p>
    <w:p w:rsidRPr="00A60AC8" w:rsidR="003E1B03" w:rsidP="003E1B03" w:rsidRDefault="003E1B03" w14:paraId="4EAF3657" w14:textId="77777777">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Artículo 5°. De la selección objetiva. […]</w:t>
      </w:r>
    </w:p>
    <w:p w:rsidRPr="00A60AC8" w:rsidR="003E1B03" w:rsidP="003E1B03" w:rsidRDefault="003E1B03" w14:paraId="32C48411" w14:textId="77777777">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rsidRPr="00A60AC8" w:rsidR="003E1B03" w:rsidP="003E1B03" w:rsidRDefault="003E1B03" w14:paraId="380B5F8F" w14:textId="77777777">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vertAlign w:val="baseline"/>
        </w:rPr>
        <w:t>Durante el término otorgado para subsanar las ofertas, los proponentes no podrán acreditar circunstancias ocurridas con posterioridad al cierre del proceso” (</w:t>
      </w:r>
      <w:r w:rsidRPr="00A60AC8">
        <w:rPr>
          <w:rStyle w:val="Refdenotaalpie"/>
          <w:rFonts w:ascii="Verdana" w:hAnsi="Verdana" w:cs="Arial"/>
          <w:sz w:val="16"/>
          <w:szCs w:val="16"/>
        </w:rPr>
        <w:t xml:space="preserve">Cursiva </w:t>
      </w:r>
      <w:r w:rsidRPr="00A60AC8">
        <w:rPr>
          <w:rStyle w:val="Refdenotaalpie"/>
          <w:rFonts w:ascii="Verdana" w:hAnsi="Verdana" w:cs="Arial"/>
          <w:sz w:val="16"/>
          <w:szCs w:val="16"/>
          <w:vertAlign w:val="baseline"/>
        </w:rPr>
        <w:t>fuera de texto).</w:t>
      </w:r>
    </w:p>
    <w:p w:rsidRPr="00A60AC8" w:rsidR="003E1B03" w:rsidP="003E1B03" w:rsidRDefault="003E1B03" w14:paraId="275DD38F" w14:textId="77777777">
      <w:pPr>
        <w:spacing w:after="0" w:line="240" w:lineRule="auto"/>
        <w:ind w:firstLine="708"/>
        <w:contextualSpacing/>
        <w:jc w:val="both"/>
        <w:rPr>
          <w:rFonts w:ascii="Verdana" w:hAnsi="Verdana" w:cs="Arial"/>
          <w:sz w:val="16"/>
          <w:szCs w:val="16"/>
        </w:rPr>
      </w:pPr>
    </w:p>
  </w:footnote>
  <w:footnote w:id="18">
    <w:p w:rsidRPr="00A60AC8" w:rsidR="003E1B03" w:rsidP="003E1B03" w:rsidRDefault="003E1B03" w14:paraId="5589C9EC" w14:textId="77777777">
      <w:pPr>
        <w:spacing w:after="0" w:line="240" w:lineRule="auto"/>
        <w:ind w:firstLine="708"/>
        <w:contextualSpacing/>
        <w:jc w:val="both"/>
        <w:rPr>
          <w:rStyle w:val="Refdenotaalpie"/>
          <w:rFonts w:ascii="Verdana" w:hAnsi="Verdana" w:cs="Arial"/>
          <w:sz w:val="16"/>
          <w:szCs w:val="16"/>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Decreto 2474 de 2008, art</w:t>
      </w:r>
      <w:r w:rsidRPr="00A60AC8">
        <w:rPr>
          <w:rFonts w:ascii="Verdana" w:hAnsi="Verdana" w:cs="Arial"/>
          <w:sz w:val="16"/>
          <w:szCs w:val="16"/>
        </w:rPr>
        <w:t>ículo</w:t>
      </w:r>
      <w:r w:rsidRPr="00A60AC8">
        <w:rPr>
          <w:rStyle w:val="Refdenotaalpie"/>
          <w:rFonts w:ascii="Verdana" w:hAnsi="Verdana" w:cs="Arial"/>
          <w:sz w:val="16"/>
          <w:szCs w:val="16"/>
          <w:vertAlign w:val="baseline"/>
        </w:rPr>
        <w:t xml:space="preserve"> 10, inciso final: “En ningún caso la entidad</w:t>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podrá señalar taxativamente los requisitos o documentos subsanables o no subsanables en el pliego de condiciones, ni permitir que se subsane la falta de capacidad para presentar la oferta, ni que se acrediten circunstancias ocurridas con posterioridad al cierre del proceso” (</w:t>
      </w:r>
      <w:r w:rsidRPr="00A60AC8">
        <w:rPr>
          <w:rStyle w:val="Refdenotaalpie"/>
          <w:rFonts w:ascii="Verdana" w:hAnsi="Verdana" w:cs="Arial"/>
          <w:sz w:val="16"/>
          <w:szCs w:val="16"/>
        </w:rPr>
        <w:t xml:space="preserve">Cursiva </w:t>
      </w:r>
      <w:r w:rsidRPr="00A60AC8">
        <w:rPr>
          <w:rStyle w:val="Refdenotaalpie"/>
          <w:rFonts w:ascii="Verdana" w:hAnsi="Verdana" w:cs="Arial"/>
          <w:sz w:val="16"/>
          <w:szCs w:val="16"/>
          <w:vertAlign w:val="baseline"/>
        </w:rPr>
        <w:t>fuera de texto).</w:t>
      </w:r>
    </w:p>
    <w:p w:rsidRPr="00A60AC8" w:rsidR="003E1B03" w:rsidP="003E1B03" w:rsidRDefault="003E1B03" w14:paraId="22144CAF" w14:textId="77777777">
      <w:pPr>
        <w:pStyle w:val="Textonotapie"/>
        <w:contextualSpacing/>
        <w:jc w:val="both"/>
        <w:rPr>
          <w:rStyle w:val="Refdenotaalpie"/>
          <w:rFonts w:ascii="Verdana" w:hAnsi="Verdana" w:cs="Arial"/>
          <w:sz w:val="16"/>
          <w:szCs w:val="16"/>
          <w:lang w:val="es-CO"/>
        </w:rPr>
      </w:pPr>
    </w:p>
  </w:footnote>
  <w:footnote w:id="19">
    <w:p w:rsidRPr="00A60AC8" w:rsidR="003E1B03" w:rsidP="003E1B03" w:rsidRDefault="003E1B03" w14:paraId="7FCEA944" w14:textId="77777777">
      <w:pPr>
        <w:spacing w:after="0" w:line="240" w:lineRule="auto"/>
        <w:ind w:firstLine="709"/>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vertAlign w:val="baseline"/>
        </w:rPr>
        <w:t xml:space="preserve"> “De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(Consejo de Estado. Sala de Consulta y Servicio Civil. Concepto del 6 de noviembre de 2008. Exp. 1.927. C.P. William Zambrano Cetina).</w:t>
      </w:r>
    </w:p>
    <w:p w:rsidRPr="00A60AC8" w:rsidR="003E1B03" w:rsidP="003E1B03" w:rsidRDefault="003E1B03" w14:paraId="364091C9" w14:textId="77777777">
      <w:pPr>
        <w:pStyle w:val="Textonotapie"/>
        <w:contextualSpacing/>
        <w:jc w:val="both"/>
        <w:rPr>
          <w:rFonts w:ascii="Verdana" w:hAnsi="Verdana" w:cs="Arial"/>
          <w:sz w:val="16"/>
          <w:szCs w:val="16"/>
        </w:rPr>
      </w:pPr>
    </w:p>
  </w:footnote>
  <w:footnote w:id="20">
    <w:p w:rsidRPr="00A60AC8" w:rsidR="003E1B03" w:rsidP="003E1B03" w:rsidRDefault="003E1B03" w14:paraId="66259E10" w14:textId="77777777">
      <w:pPr>
        <w:spacing w:after="0" w:line="240" w:lineRule="auto"/>
        <w:ind w:firstLine="709"/>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Decreto 1082 de 2015, artículo 2.2.1.1.1.5.1., citado previamente.</w:t>
      </w:r>
    </w:p>
    <w:p w:rsidRPr="00A60AC8" w:rsidR="003E1B03" w:rsidP="003E1B03" w:rsidRDefault="003E1B03" w14:paraId="4C2DC80B" w14:textId="77777777">
      <w:pPr>
        <w:pStyle w:val="Textonotapie"/>
        <w:contextualSpacing/>
        <w:jc w:val="both"/>
        <w:rPr>
          <w:rFonts w:ascii="Verdana" w:hAnsi="Verdana" w:cs="Arial"/>
          <w:sz w:val="16"/>
          <w:szCs w:val="16"/>
        </w:rPr>
      </w:pPr>
    </w:p>
  </w:footnote>
  <w:footnote w:id="21">
    <w:p w:rsidRPr="00A60AC8" w:rsidR="003E1B03" w:rsidP="003E1B03" w:rsidRDefault="003E1B03" w14:paraId="13602DFB" w14:textId="77777777">
      <w:pPr>
        <w:pStyle w:val="Textonotapie"/>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La Circular Externa Única de Colombia Compra Eficiente puede ser consultada en el siguiente link: </w:t>
      </w:r>
      <w:hyperlink w:history="1" r:id="rId1">
        <w:r w:rsidRPr="00CD75CF">
          <w:rPr>
            <w:rStyle w:val="Hipervnculo"/>
            <w:rFonts w:ascii="Verdana" w:hAnsi="Verdana" w:cs="Arial"/>
            <w:sz w:val="16"/>
            <w:szCs w:val="16"/>
          </w:rPr>
          <w:t>https://www.colombiacompra.gov.co/normativa-y-relatoria/circular-unica-externa</w:t>
        </w:r>
      </w:hyperlink>
      <w:r>
        <w:rPr>
          <w:rFonts w:ascii="Verdana" w:hAnsi="Verdana"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6841" w:rsidP="00844AE9" w:rsidRDefault="009D3058" w14:paraId="435F4D03" w14:textId="0903BF04">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rsidR="00756841" w:rsidRDefault="00756841" w14:paraId="1BE2B9AE" w14:textId="4B94DB3B">
    <w:pPr>
      <w:pStyle w:val="Encabezado"/>
    </w:pPr>
  </w:p>
  <w:p w:rsidRPr="004A305D" w:rsidR="004A305D" w:rsidP="00B01B1A" w:rsidRDefault="004A305D" w14:paraId="5E18350A" w14:textId="705F7B76">
    <w:pPr>
      <w:spacing w:after="0" w:line="120" w:lineRule="auto"/>
      <w:rPr>
        <w:rFonts w:ascii="Century Gothic" w:hAnsi="Century Gothic" w:eastAsia="Geo" w:cs="Geo"/>
        <w:sz w:val="16"/>
        <w:szCs w:val="16"/>
        <w:lang w:eastAsia="es-CO"/>
      </w:rPr>
    </w:pPr>
  </w:p>
  <w:p w:rsidR="00C925AC" w:rsidP="00844AE9" w:rsidRDefault="00C925AC" w14:paraId="211B7F5D" w14:textId="77777777">
    <w:pPr>
      <w:spacing w:after="0" w:line="240" w:lineRule="auto"/>
      <w:rPr>
        <w:rFonts w:ascii="Verdana" w:hAnsi="Verdana"/>
        <w:sz w:val="24"/>
        <w:szCs w:val="24"/>
      </w:rPr>
    </w:pPr>
  </w:p>
  <w:p w:rsidRPr="00C925AC" w:rsidR="00A14468" w:rsidP="00844AE9" w:rsidRDefault="00A14468" w14:paraId="5A0054B1" w14:textId="77777777">
    <w:pPr>
      <w:spacing w:after="0" w:line="240" w:lineRule="auto"/>
      <w:rPr>
        <w:rFonts w:ascii="Verdana" w:hAnsi="Verdana"/>
        <w:sz w:val="24"/>
        <w:szCs w:val="24"/>
      </w:rPr>
    </w:pPr>
  </w:p>
  <w:p w:rsidRPr="00C925AC" w:rsidR="008A446D" w:rsidP="000D5DA7" w:rsidRDefault="00C925AC" w14:paraId="1FD1C243" w14:textId="37C5500A">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9pt;height:11.9pt" o:bullet="t" type="#_x0000_t75">
        <v:imagedata o:title="mso1B13" r:id="rId1"/>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hint="default" w:ascii="Symbol" w:hAnsi="Symbol"/>
        <w:color w:val="auto"/>
        <w:sz w:val="22"/>
        <w:szCs w:val="22"/>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hint="default" w:ascii="Symbol" w:hAnsi="Symbol"/>
        <w:color w:val="auto"/>
      </w:rPr>
    </w:lvl>
    <w:lvl w:ilvl="1" w:tplc="240A0003" w:tentative="1">
      <w:start w:val="1"/>
      <w:numFmt w:val="bullet"/>
      <w:lvlText w:val="o"/>
      <w:lvlJc w:val="left"/>
      <w:pPr>
        <w:ind w:left="1505" w:hanging="360"/>
      </w:pPr>
      <w:rPr>
        <w:rFonts w:hint="default" w:ascii="Courier New" w:hAnsi="Courier New" w:cs="Courier New"/>
      </w:rPr>
    </w:lvl>
    <w:lvl w:ilvl="2" w:tplc="240A0005" w:tentative="1">
      <w:start w:val="1"/>
      <w:numFmt w:val="bullet"/>
      <w:lvlText w:val=""/>
      <w:lvlJc w:val="left"/>
      <w:pPr>
        <w:ind w:left="2225" w:hanging="360"/>
      </w:pPr>
      <w:rPr>
        <w:rFonts w:hint="default" w:ascii="Wingdings" w:hAnsi="Wingdings"/>
      </w:rPr>
    </w:lvl>
    <w:lvl w:ilvl="3" w:tplc="240A0001" w:tentative="1">
      <w:start w:val="1"/>
      <w:numFmt w:val="bullet"/>
      <w:lvlText w:val=""/>
      <w:lvlJc w:val="left"/>
      <w:pPr>
        <w:ind w:left="2945" w:hanging="360"/>
      </w:pPr>
      <w:rPr>
        <w:rFonts w:hint="default" w:ascii="Symbol" w:hAnsi="Symbol"/>
      </w:rPr>
    </w:lvl>
    <w:lvl w:ilvl="4" w:tplc="240A0003" w:tentative="1">
      <w:start w:val="1"/>
      <w:numFmt w:val="bullet"/>
      <w:lvlText w:val="o"/>
      <w:lvlJc w:val="left"/>
      <w:pPr>
        <w:ind w:left="3665" w:hanging="360"/>
      </w:pPr>
      <w:rPr>
        <w:rFonts w:hint="default" w:ascii="Courier New" w:hAnsi="Courier New" w:cs="Courier New"/>
      </w:rPr>
    </w:lvl>
    <w:lvl w:ilvl="5" w:tplc="240A0005" w:tentative="1">
      <w:start w:val="1"/>
      <w:numFmt w:val="bullet"/>
      <w:lvlText w:val=""/>
      <w:lvlJc w:val="left"/>
      <w:pPr>
        <w:ind w:left="4385" w:hanging="360"/>
      </w:pPr>
      <w:rPr>
        <w:rFonts w:hint="default" w:ascii="Wingdings" w:hAnsi="Wingdings"/>
      </w:rPr>
    </w:lvl>
    <w:lvl w:ilvl="6" w:tplc="240A0001" w:tentative="1">
      <w:start w:val="1"/>
      <w:numFmt w:val="bullet"/>
      <w:lvlText w:val=""/>
      <w:lvlJc w:val="left"/>
      <w:pPr>
        <w:ind w:left="5105" w:hanging="360"/>
      </w:pPr>
      <w:rPr>
        <w:rFonts w:hint="default" w:ascii="Symbol" w:hAnsi="Symbol"/>
      </w:rPr>
    </w:lvl>
    <w:lvl w:ilvl="7" w:tplc="240A0003" w:tentative="1">
      <w:start w:val="1"/>
      <w:numFmt w:val="bullet"/>
      <w:lvlText w:val="o"/>
      <w:lvlJc w:val="left"/>
      <w:pPr>
        <w:ind w:left="5825" w:hanging="360"/>
      </w:pPr>
      <w:rPr>
        <w:rFonts w:hint="default" w:ascii="Courier New" w:hAnsi="Courier New" w:cs="Courier New"/>
      </w:rPr>
    </w:lvl>
    <w:lvl w:ilvl="8" w:tplc="240A0005" w:tentative="1">
      <w:start w:val="1"/>
      <w:numFmt w:val="bullet"/>
      <w:lvlText w:val=""/>
      <w:lvlJc w:val="left"/>
      <w:pPr>
        <w:ind w:left="6545" w:hanging="360"/>
      </w:pPr>
      <w:rPr>
        <w:rFonts w:hint="default" w:ascii="Wingdings" w:hAnsi="Wingdings"/>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31892661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42F4"/>
    <w:rsid w:val="0015699B"/>
    <w:rsid w:val="001A33BF"/>
    <w:rsid w:val="001C1072"/>
    <w:rsid w:val="001C1545"/>
    <w:rsid w:val="001E4177"/>
    <w:rsid w:val="001F0B24"/>
    <w:rsid w:val="001F7DC6"/>
    <w:rsid w:val="002222BD"/>
    <w:rsid w:val="0022400B"/>
    <w:rsid w:val="002421BB"/>
    <w:rsid w:val="0025796E"/>
    <w:rsid w:val="002707A2"/>
    <w:rsid w:val="00282C00"/>
    <w:rsid w:val="002951A0"/>
    <w:rsid w:val="002962BC"/>
    <w:rsid w:val="002A093D"/>
    <w:rsid w:val="002A0DD0"/>
    <w:rsid w:val="002A49AC"/>
    <w:rsid w:val="002A64FD"/>
    <w:rsid w:val="002C7A84"/>
    <w:rsid w:val="002E2BF8"/>
    <w:rsid w:val="002E4FD9"/>
    <w:rsid w:val="0030657A"/>
    <w:rsid w:val="00322A85"/>
    <w:rsid w:val="00324168"/>
    <w:rsid w:val="00330834"/>
    <w:rsid w:val="00341438"/>
    <w:rsid w:val="003448F4"/>
    <w:rsid w:val="00370888"/>
    <w:rsid w:val="00374F5E"/>
    <w:rsid w:val="00377E3E"/>
    <w:rsid w:val="003A779E"/>
    <w:rsid w:val="003D0F4D"/>
    <w:rsid w:val="003D5B0D"/>
    <w:rsid w:val="003E0499"/>
    <w:rsid w:val="003E1B03"/>
    <w:rsid w:val="003E4F80"/>
    <w:rsid w:val="003E6439"/>
    <w:rsid w:val="003F3941"/>
    <w:rsid w:val="00406575"/>
    <w:rsid w:val="00414C74"/>
    <w:rsid w:val="0042722E"/>
    <w:rsid w:val="0044528D"/>
    <w:rsid w:val="00466E39"/>
    <w:rsid w:val="004A1847"/>
    <w:rsid w:val="004A305D"/>
    <w:rsid w:val="004F21C4"/>
    <w:rsid w:val="004F685F"/>
    <w:rsid w:val="005566E8"/>
    <w:rsid w:val="005718B1"/>
    <w:rsid w:val="00574867"/>
    <w:rsid w:val="00591460"/>
    <w:rsid w:val="005A65E0"/>
    <w:rsid w:val="005C3777"/>
    <w:rsid w:val="005C5CDC"/>
    <w:rsid w:val="005D476C"/>
    <w:rsid w:val="006200BF"/>
    <w:rsid w:val="006219F8"/>
    <w:rsid w:val="006302F7"/>
    <w:rsid w:val="00646B9F"/>
    <w:rsid w:val="00665D70"/>
    <w:rsid w:val="006900D9"/>
    <w:rsid w:val="0070109E"/>
    <w:rsid w:val="00706C16"/>
    <w:rsid w:val="007340C3"/>
    <w:rsid w:val="0075235A"/>
    <w:rsid w:val="00756841"/>
    <w:rsid w:val="007649AB"/>
    <w:rsid w:val="00771D0C"/>
    <w:rsid w:val="007833AC"/>
    <w:rsid w:val="007925CC"/>
    <w:rsid w:val="007B268C"/>
    <w:rsid w:val="007B7171"/>
    <w:rsid w:val="007C0C0F"/>
    <w:rsid w:val="007C3DC2"/>
    <w:rsid w:val="007E5497"/>
    <w:rsid w:val="00806F5F"/>
    <w:rsid w:val="00820278"/>
    <w:rsid w:val="0082165C"/>
    <w:rsid w:val="008258C9"/>
    <w:rsid w:val="00844AE9"/>
    <w:rsid w:val="00867F95"/>
    <w:rsid w:val="008843B6"/>
    <w:rsid w:val="00891928"/>
    <w:rsid w:val="008A446D"/>
    <w:rsid w:val="008A76BD"/>
    <w:rsid w:val="008B25F1"/>
    <w:rsid w:val="008D180B"/>
    <w:rsid w:val="008F0EA7"/>
    <w:rsid w:val="00923EEF"/>
    <w:rsid w:val="009419F9"/>
    <w:rsid w:val="0095685E"/>
    <w:rsid w:val="00961B09"/>
    <w:rsid w:val="00965334"/>
    <w:rsid w:val="0097093E"/>
    <w:rsid w:val="009920AE"/>
    <w:rsid w:val="009A0DFA"/>
    <w:rsid w:val="009A1C6F"/>
    <w:rsid w:val="009B2D26"/>
    <w:rsid w:val="009C71FA"/>
    <w:rsid w:val="009C72E7"/>
    <w:rsid w:val="009C7F7E"/>
    <w:rsid w:val="009D3058"/>
    <w:rsid w:val="009D590C"/>
    <w:rsid w:val="009F3A13"/>
    <w:rsid w:val="00A05369"/>
    <w:rsid w:val="00A122D3"/>
    <w:rsid w:val="00A14468"/>
    <w:rsid w:val="00A17F13"/>
    <w:rsid w:val="00A20739"/>
    <w:rsid w:val="00A23AF9"/>
    <w:rsid w:val="00A33C78"/>
    <w:rsid w:val="00A36B68"/>
    <w:rsid w:val="00A77C11"/>
    <w:rsid w:val="00AB0ADB"/>
    <w:rsid w:val="00AD218D"/>
    <w:rsid w:val="00B00C0E"/>
    <w:rsid w:val="00B01B1A"/>
    <w:rsid w:val="00B0381D"/>
    <w:rsid w:val="00B44A47"/>
    <w:rsid w:val="00B72CD3"/>
    <w:rsid w:val="00B72FFF"/>
    <w:rsid w:val="00BA346F"/>
    <w:rsid w:val="00BC3D36"/>
    <w:rsid w:val="00BD54A6"/>
    <w:rsid w:val="00BD7F72"/>
    <w:rsid w:val="00BF7425"/>
    <w:rsid w:val="00C02665"/>
    <w:rsid w:val="00C04FB3"/>
    <w:rsid w:val="00C11D8B"/>
    <w:rsid w:val="00C15139"/>
    <w:rsid w:val="00C330EB"/>
    <w:rsid w:val="00C50D69"/>
    <w:rsid w:val="00C5365C"/>
    <w:rsid w:val="00C754BE"/>
    <w:rsid w:val="00C76B1C"/>
    <w:rsid w:val="00C925AC"/>
    <w:rsid w:val="00CB6357"/>
    <w:rsid w:val="00CC1B26"/>
    <w:rsid w:val="00D361FD"/>
    <w:rsid w:val="00D36CCC"/>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B50AB"/>
    <w:rsid w:val="00EC38A7"/>
    <w:rsid w:val="00EE1AA8"/>
    <w:rsid w:val="00F23FEA"/>
    <w:rsid w:val="00F31EDC"/>
    <w:rsid w:val="00F462B3"/>
    <w:rsid w:val="00F46DFA"/>
    <w:rsid w:val="00F5664F"/>
    <w:rsid w:val="00F666C4"/>
    <w:rsid w:val="00F76AFC"/>
    <w:rsid w:val="00FA47C0"/>
    <w:rsid w:val="00FB5DD1"/>
    <w:rsid w:val="00FC2B5D"/>
    <w:rsid w:val="00FE28F4"/>
    <w:rsid w:val="00FE7007"/>
    <w:rsid w:val="00FF1449"/>
    <w:rsid w:val="00FF7963"/>
    <w:rsid w:val="071B8F93"/>
    <w:rsid w:val="07C73DD1"/>
    <w:rsid w:val="09908A09"/>
    <w:rsid w:val="0B8BE1E7"/>
    <w:rsid w:val="0EFE6349"/>
    <w:rsid w:val="0FF4CCA8"/>
    <w:rsid w:val="13CFC91B"/>
    <w:rsid w:val="19A2EC2C"/>
    <w:rsid w:val="21779BE6"/>
    <w:rsid w:val="23E3BDF3"/>
    <w:rsid w:val="2859CA1B"/>
    <w:rsid w:val="2B97C304"/>
    <w:rsid w:val="2C4D2425"/>
    <w:rsid w:val="2EE1E026"/>
    <w:rsid w:val="2F44F38F"/>
    <w:rsid w:val="30821638"/>
    <w:rsid w:val="32A4F9CF"/>
    <w:rsid w:val="33A1FF93"/>
    <w:rsid w:val="356CEDFD"/>
    <w:rsid w:val="3C591AFD"/>
    <w:rsid w:val="42183F0A"/>
    <w:rsid w:val="423CA04F"/>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5A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ui-provider" w:customStyle="1">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styleId="paragraph" w:customStyle="1">
    <w:name w:val="paragraph"/>
    <w:basedOn w:val="Normal"/>
    <w:rsid w:val="00322A8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tabchar" w:customStyle="1">
    <w:name w:val="tabchar"/>
    <w:basedOn w:val="Fuentedeprrafopredeter"/>
    <w:rsid w:val="00322A85"/>
  </w:style>
  <w:style w:type="character" w:styleId="eop" w:customStyle="1">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blanco" w:customStyle="1">
    <w:name w:val="blanco"/>
    <w:basedOn w:val="Normal"/>
    <w:rsid w:val="00C76B1C"/>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Appelnotedebasde" w:customStyle="1">
    <w:name w:val="Appel note de bas de..."/>
    <w:basedOn w:val="Normal"/>
    <w:link w:val="Refdenotaalpie"/>
    <w:uiPriority w:val="99"/>
    <w:rsid w:val="003E1B03"/>
    <w:pPr>
      <w:spacing w:line="240" w:lineRule="exact"/>
    </w:pPr>
    <w:rPr>
      <w:vertAlign w:val="superscript"/>
    </w:rPr>
  </w:style>
  <w:style w:type="character" w:styleId="NormalWebCar" w:customStyle="1">
    <w:name w:val="Normal (Web) Car"/>
    <w:link w:val="NormalWeb"/>
    <w:uiPriority w:val="99"/>
    <w:locked/>
    <w:rsid w:val="003E1B03"/>
    <w:rPr>
      <w:rFonts w:ascii="Times New Roman" w:hAnsi="Times New Roman" w:eastAsia="Times New Roman" w:cs="Times New Roman"/>
      <w:sz w:val="24"/>
      <w:szCs w:val="24"/>
      <w:lang w:eastAsia="es-CO"/>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E1B03"/>
    <w:rPr>
      <w:rFonts w:ascii="Geomanist Light" w:hAnsi="Geomanist Light"/>
      <w:lang w:val="es-ES"/>
    </w:rPr>
  </w:style>
  <w:style w:type="character" w:styleId="Fuerte">
    <w:name w:val="Strong"/>
    <w:basedOn w:val="Fuentedeprrafopredeter"/>
    <w:uiPriority w:val="22"/>
    <w:qFormat/>
    <w:rsid w:val="003E1B03"/>
    <w:rPr>
      <w:b/>
      <w:bCs/>
    </w:rPr>
  </w:style>
  <w:style w:type="character" w:styleId="nfasis">
    <w:name w:val="Emphasis"/>
    <w:basedOn w:val="Fuentedeprrafopredeter"/>
    <w:uiPriority w:val="20"/>
    <w:qFormat/>
    <w:rsid w:val="003E1B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relatoria.colombiacompra.gov.co/busqueda/concepto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colombiacompra.gov.co/normativa-y-relatoria/circular-unica-externa"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HUALGAFLO@HOTMAIL.COM"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2.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normativa-y-relatoria/circular-unica-extern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05AC07-9803-4E6D-BB68-D4805A33D67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Camila Alejandra Naranjo Gómez</lastModifiedBy>
  <revision>5</revision>
  <lastPrinted>2023-01-10T21:18:00.0000000Z</lastPrinted>
  <dcterms:created xsi:type="dcterms:W3CDTF">2026-06-11T16:12:00.0000000Z</dcterms:created>
  <dcterms:modified xsi:type="dcterms:W3CDTF">2026-06-11T23:09:14.5895656Z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