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248600" w14:textId="559032AE" w:rsidR="00CF70B3" w:rsidRPr="00FF0DC0" w:rsidRDefault="00C15139" w:rsidP="00CF70B3">
      <w:pPr>
        <w:spacing w:after="0" w:line="240" w:lineRule="auto"/>
        <w:jc w:val="both"/>
        <w:rPr>
          <w:rFonts w:ascii="Verdana" w:eastAsia="Calibri" w:hAnsi="Verdana" w:cs="Arial"/>
          <w:b/>
          <w:lang w:eastAsia="es-ES"/>
        </w:rPr>
      </w:pPr>
      <w:bookmarkStart w:id="0" w:name="_Hlk143780582"/>
      <w:r>
        <w:tab/>
      </w:r>
      <w:r>
        <w:br/>
      </w:r>
      <w:r w:rsidR="00CF70B3" w:rsidRPr="00FF0DC0">
        <w:rPr>
          <w:rFonts w:ascii="Verdana" w:eastAsia="Calibri" w:hAnsi="Verdana" w:cs="Arial"/>
          <w:b/>
          <w:lang w:eastAsia="es-ES"/>
        </w:rPr>
        <w:t>LEY DE GARANTÍAS ELECTORALES – Prohibiciones – Restricciones </w:t>
      </w:r>
    </w:p>
    <w:p w14:paraId="28E4A2F4" w14:textId="36B79449" w:rsidR="00CF70B3" w:rsidRPr="002270D0" w:rsidRDefault="00CF70B3" w:rsidP="00CF70B3">
      <w:pPr>
        <w:spacing w:after="0" w:line="240" w:lineRule="auto"/>
        <w:jc w:val="both"/>
        <w:rPr>
          <w:rFonts w:ascii="Verdana" w:eastAsia="Calibri" w:hAnsi="Verdana" w:cs="Arial"/>
          <w:b/>
          <w:lang w:eastAsia="es-ES"/>
        </w:rPr>
      </w:pPr>
      <w:r w:rsidRPr="00FF0DC0">
        <w:rPr>
          <w:rFonts w:ascii="Verdana" w:eastAsia="Calibri" w:hAnsi="Verdana" w:cs="Arial"/>
          <w:bCs/>
          <w:lang w:eastAsia="es-ES"/>
        </w:rPr>
        <w:t> </w:t>
      </w:r>
      <w:r w:rsidRPr="00FF0DC0">
        <w:rPr>
          <w:rFonts w:ascii="Verdana" w:eastAsia="Calibri" w:hAnsi="Verdana" w:cs="Arial"/>
          <w:bCs/>
          <w:sz w:val="20"/>
          <w:szCs w:val="20"/>
          <w:lang w:eastAsia="es-ES"/>
        </w:rPr>
        <w:t>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664C40E2" w14:textId="77777777" w:rsidR="00CF70B3" w:rsidRPr="00FF0DC0" w:rsidRDefault="00CF70B3" w:rsidP="00CF70B3">
      <w:pPr>
        <w:spacing w:after="0" w:line="240" w:lineRule="auto"/>
        <w:jc w:val="both"/>
        <w:rPr>
          <w:rFonts w:ascii="Verdana" w:eastAsia="Calibri" w:hAnsi="Verdana" w:cs="Arial"/>
          <w:bCs/>
          <w:sz w:val="20"/>
          <w:szCs w:val="20"/>
          <w:lang w:eastAsia="es-ES"/>
        </w:rPr>
      </w:pPr>
      <w:r w:rsidRPr="00FF0DC0">
        <w:rPr>
          <w:rFonts w:ascii="Verdana" w:eastAsia="Calibri" w:hAnsi="Verdana" w:cs="Arial"/>
          <w:bCs/>
          <w:sz w:val="20"/>
          <w:szCs w:val="20"/>
          <w:lang w:eastAsia="es-ES"/>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1661FA91" w14:textId="77777777" w:rsidR="00CF70B3" w:rsidRPr="00FF0DC0" w:rsidRDefault="00CF70B3" w:rsidP="00CF70B3">
      <w:pPr>
        <w:spacing w:after="0" w:line="240" w:lineRule="auto"/>
        <w:jc w:val="both"/>
        <w:rPr>
          <w:rFonts w:ascii="Verdana" w:eastAsia="Calibri" w:hAnsi="Verdana" w:cs="Arial"/>
          <w:bCs/>
          <w:sz w:val="20"/>
          <w:szCs w:val="20"/>
          <w:lang w:eastAsia="es-ES"/>
        </w:rPr>
      </w:pPr>
    </w:p>
    <w:p w14:paraId="47D645B2" w14:textId="77777777" w:rsidR="00CF70B3" w:rsidRPr="00FF0DC0" w:rsidRDefault="00CF70B3" w:rsidP="00CF70B3">
      <w:pPr>
        <w:spacing w:after="0" w:line="240" w:lineRule="auto"/>
        <w:jc w:val="both"/>
        <w:rPr>
          <w:rFonts w:ascii="Verdana" w:eastAsia="Calibri" w:hAnsi="Verdana" w:cs="Arial"/>
          <w:b/>
          <w:sz w:val="20"/>
          <w:szCs w:val="20"/>
          <w:lang w:val="es-ES" w:eastAsia="es-ES"/>
        </w:rPr>
      </w:pPr>
    </w:p>
    <w:p w14:paraId="023CA046" w14:textId="77777777" w:rsidR="00CF70B3" w:rsidRDefault="00CF70B3" w:rsidP="00CF70B3">
      <w:pPr>
        <w:spacing w:after="0" w:line="240" w:lineRule="auto"/>
        <w:jc w:val="both"/>
        <w:rPr>
          <w:rFonts w:ascii="Verdana" w:eastAsia="Calibri" w:hAnsi="Verdana" w:cs="Arial"/>
          <w:b/>
          <w:bCs/>
          <w:lang w:eastAsia="es-ES"/>
        </w:rPr>
      </w:pPr>
      <w:r w:rsidRPr="00297757">
        <w:rPr>
          <w:rFonts w:ascii="Verdana" w:eastAsia="Calibri" w:hAnsi="Verdana" w:cs="Arial"/>
          <w:b/>
          <w:bCs/>
          <w:lang w:eastAsia="es-ES"/>
        </w:rPr>
        <w:t xml:space="preserve">LEY DE GARANTÍAS ELECTORALES – Convenios y </w:t>
      </w:r>
      <w:r>
        <w:rPr>
          <w:rFonts w:ascii="Verdana" w:eastAsia="Calibri" w:hAnsi="Verdana" w:cs="Arial"/>
          <w:b/>
          <w:bCs/>
          <w:lang w:eastAsia="es-ES"/>
        </w:rPr>
        <w:t>C</w:t>
      </w:r>
      <w:r w:rsidRPr="00297757">
        <w:rPr>
          <w:rFonts w:ascii="Verdana" w:eastAsia="Calibri" w:hAnsi="Verdana" w:cs="Arial"/>
          <w:b/>
          <w:bCs/>
          <w:lang w:eastAsia="es-ES"/>
        </w:rPr>
        <w:t>ontratos interadministrativos   </w:t>
      </w:r>
    </w:p>
    <w:p w14:paraId="6ADD5267" w14:textId="77777777" w:rsidR="00CF70B3" w:rsidRPr="00297757" w:rsidRDefault="00CF70B3" w:rsidP="00CF70B3">
      <w:pPr>
        <w:spacing w:after="0" w:line="240" w:lineRule="auto"/>
        <w:jc w:val="both"/>
        <w:rPr>
          <w:rFonts w:ascii="Verdana" w:eastAsia="Calibri" w:hAnsi="Verdana" w:cs="Arial"/>
          <w:b/>
          <w:lang w:eastAsia="es-ES"/>
        </w:rPr>
      </w:pPr>
    </w:p>
    <w:p w14:paraId="47AF235E" w14:textId="77777777" w:rsidR="00CF70B3" w:rsidRDefault="00CF70B3" w:rsidP="00CF70B3">
      <w:pPr>
        <w:spacing w:after="0" w:line="240" w:lineRule="auto"/>
        <w:jc w:val="both"/>
        <w:rPr>
          <w:rFonts w:ascii="Verdana" w:eastAsia="Calibri" w:hAnsi="Verdana" w:cs="Arial"/>
          <w:bCs/>
          <w:sz w:val="20"/>
          <w:szCs w:val="20"/>
          <w:lang w:eastAsia="es-ES"/>
        </w:rPr>
      </w:pPr>
      <w:r w:rsidRPr="00297757">
        <w:rPr>
          <w:rFonts w:ascii="Verdana" w:eastAsia="Calibri" w:hAnsi="Verdana" w:cs="Arial"/>
          <w:bCs/>
          <w:sz w:val="20"/>
          <w:szCs w:val="20"/>
          <w:lang w:eastAsia="es-ES"/>
        </w:rPr>
        <w:t>[…] debe precisarse que los contratos o convenios interadministrativos están determinados por un criterio orgánico, pues es necesario que los extremos de la relación contractual sean entidades públicas, 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24ECB7EC" w14:textId="77777777" w:rsidR="00CF70B3" w:rsidRDefault="00CF70B3" w:rsidP="00CF70B3">
      <w:pPr>
        <w:spacing w:after="0" w:line="240" w:lineRule="auto"/>
        <w:jc w:val="both"/>
        <w:rPr>
          <w:rFonts w:ascii="Verdana" w:eastAsia="Calibri" w:hAnsi="Verdana" w:cs="Arial"/>
          <w:bCs/>
          <w:sz w:val="20"/>
          <w:szCs w:val="20"/>
          <w:lang w:eastAsia="es-ES"/>
        </w:rPr>
      </w:pPr>
    </w:p>
    <w:p w14:paraId="2858AC5B" w14:textId="77777777" w:rsidR="00CF70B3" w:rsidRPr="00297757" w:rsidRDefault="00CF70B3" w:rsidP="00CF70B3">
      <w:pPr>
        <w:spacing w:after="0" w:line="240" w:lineRule="auto"/>
        <w:jc w:val="both"/>
        <w:rPr>
          <w:rFonts w:ascii="Verdana" w:eastAsia="Calibri" w:hAnsi="Verdana" w:cs="Arial"/>
          <w:bCs/>
          <w:sz w:val="20"/>
          <w:szCs w:val="20"/>
          <w:lang w:eastAsia="es-ES"/>
        </w:rPr>
      </w:pPr>
      <w:r w:rsidRPr="00297757">
        <w:rPr>
          <w:rFonts w:ascii="Verdana" w:eastAsia="Calibri" w:hAnsi="Verdana" w:cs="Arial"/>
          <w:bCs/>
          <w:sz w:val="20"/>
          <w:szCs w:val="20"/>
          <w:lang w:eastAsia="es-ES"/>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6CD8EDCE" w14:textId="77777777" w:rsidR="00CF70B3" w:rsidRPr="00297757" w:rsidRDefault="00CF70B3" w:rsidP="00CF70B3">
      <w:pPr>
        <w:spacing w:after="0" w:line="240" w:lineRule="auto"/>
        <w:jc w:val="both"/>
        <w:rPr>
          <w:rFonts w:ascii="Verdana" w:eastAsia="Calibri" w:hAnsi="Verdana" w:cs="Arial"/>
          <w:bCs/>
          <w:sz w:val="20"/>
          <w:szCs w:val="20"/>
          <w:lang w:eastAsia="es-ES"/>
        </w:rPr>
      </w:pPr>
      <w:r w:rsidRPr="00297757">
        <w:rPr>
          <w:rFonts w:ascii="Verdana" w:eastAsia="Calibri" w:hAnsi="Verdana" w:cs="Arial"/>
          <w:bCs/>
          <w:sz w:val="20"/>
          <w:szCs w:val="20"/>
          <w:lang w:eastAsia="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 Nótese que, en este caso, lo que cambia es la modalidad de selección y no la naturaleza de contrato interadministrativo.</w:t>
      </w:r>
    </w:p>
    <w:p w14:paraId="5927F45E" w14:textId="77777777" w:rsidR="00CF70B3" w:rsidRPr="00297757" w:rsidRDefault="00CF70B3" w:rsidP="00CF70B3">
      <w:pPr>
        <w:spacing w:after="0" w:line="240" w:lineRule="auto"/>
        <w:jc w:val="both"/>
        <w:rPr>
          <w:rFonts w:ascii="Verdana" w:eastAsia="Calibri" w:hAnsi="Verdana" w:cs="Arial"/>
          <w:bCs/>
          <w:sz w:val="20"/>
          <w:szCs w:val="20"/>
          <w:lang w:eastAsia="es-ES"/>
        </w:rPr>
      </w:pPr>
      <w:r w:rsidRPr="00297757">
        <w:rPr>
          <w:rFonts w:ascii="Verdana" w:eastAsia="Calibri" w:hAnsi="Verdana" w:cs="Arial"/>
          <w:bCs/>
          <w:sz w:val="20"/>
          <w:szCs w:val="20"/>
          <w:lang w:eastAsia="es-ES"/>
        </w:rPr>
        <w:t xml:space="preserve">[…] el parágrafo del artículo 38 de la Ley 996 de 2005 prohíbe a los </w:t>
      </w:r>
      <w:proofErr w:type="gramStart"/>
      <w:r w:rsidRPr="00297757">
        <w:rPr>
          <w:rFonts w:ascii="Verdana" w:eastAsia="Calibri" w:hAnsi="Verdana" w:cs="Arial"/>
          <w:bCs/>
          <w:sz w:val="20"/>
          <w:szCs w:val="20"/>
          <w:lang w:eastAsia="es-ES"/>
        </w:rPr>
        <w:t>Alcaldes</w:t>
      </w:r>
      <w:proofErr w:type="gramEnd"/>
      <w:r w:rsidRPr="00297757">
        <w:rPr>
          <w:rFonts w:ascii="Verdana" w:eastAsia="Calibri" w:hAnsi="Verdana" w:cs="Arial"/>
          <w:bCs/>
          <w:sz w:val="20"/>
          <w:szCs w:val="20"/>
          <w:lang w:eastAsia="es-ES"/>
        </w:rPr>
        <w:t xml:space="preserve">, Gobernadores, </w:t>
      </w:r>
      <w:proofErr w:type="gramStart"/>
      <w:r w:rsidRPr="00297757">
        <w:rPr>
          <w:rFonts w:ascii="Verdana" w:eastAsia="Calibri" w:hAnsi="Verdana" w:cs="Arial"/>
          <w:bCs/>
          <w:sz w:val="20"/>
          <w:szCs w:val="20"/>
          <w:lang w:eastAsia="es-ES"/>
        </w:rPr>
        <w:t>Secretarios</w:t>
      </w:r>
      <w:proofErr w:type="gramEnd"/>
      <w:r w:rsidRPr="00297757">
        <w:rPr>
          <w:rFonts w:ascii="Verdana" w:eastAsia="Calibri" w:hAnsi="Verdana" w:cs="Arial"/>
          <w:bCs/>
          <w:sz w:val="20"/>
          <w:szCs w:val="20"/>
          <w:lang w:eastAsia="es-ES"/>
        </w:rPr>
        <w:t xml:space="preserve">, Gerentes y </w:t>
      </w:r>
      <w:proofErr w:type="gramStart"/>
      <w:r w:rsidRPr="00297757">
        <w:rPr>
          <w:rFonts w:ascii="Verdana" w:eastAsia="Calibri" w:hAnsi="Verdana" w:cs="Arial"/>
          <w:bCs/>
          <w:sz w:val="20"/>
          <w:szCs w:val="20"/>
          <w:lang w:eastAsia="es-ES"/>
        </w:rPr>
        <w:t>Directores</w:t>
      </w:r>
      <w:proofErr w:type="gramEnd"/>
      <w:r w:rsidRPr="00297757">
        <w:rPr>
          <w:rFonts w:ascii="Verdana" w:eastAsia="Calibri" w:hAnsi="Verdana" w:cs="Arial"/>
          <w:bCs/>
          <w:sz w:val="20"/>
          <w:szCs w:val="20"/>
          <w:lang w:eastAsia="es-ES"/>
        </w:rPr>
        <w:t xml:space="preserve"> de las entidades del orden municipal, departamental o distrital celebrar convenios interadministrativos para la ejecución de recursos públicos. En este sentido, si una o ambas partes de la relación contractual es una entidad de aquellas descritas en el parágrafo ibidem, es decir, alcaldías, </w:t>
      </w:r>
      <w:r w:rsidRPr="00297757">
        <w:rPr>
          <w:rFonts w:ascii="Verdana" w:eastAsia="Calibri" w:hAnsi="Verdana" w:cs="Arial"/>
          <w:bCs/>
          <w:sz w:val="20"/>
          <w:szCs w:val="20"/>
          <w:lang w:eastAsia="es-ES"/>
        </w:rPr>
        <w:lastRenderedPageBreak/>
        <w:t xml:space="preserve">gobernaciones, secretarías de despacho, así como entidades descentralizadas por servicios del orden municipal, departamental o distrital no podrá celebrar tales convenios durante la aplicación de la Ley de Garantías Electorales, toda vez que la citada disposición se refiere a dicha tipología contractual sin que el legislador hubiere contemplado un efecto extensivo a otra </w:t>
      </w:r>
      <w:proofErr w:type="spellStart"/>
      <w:r w:rsidRPr="00297757">
        <w:rPr>
          <w:rFonts w:ascii="Verdana" w:eastAsia="Calibri" w:hAnsi="Verdana" w:cs="Arial"/>
          <w:bCs/>
          <w:sz w:val="20"/>
          <w:szCs w:val="20"/>
          <w:lang w:eastAsia="es-ES"/>
        </w:rPr>
        <w:t>tipologí</w:t>
      </w:r>
      <w:proofErr w:type="spellEnd"/>
    </w:p>
    <w:p w14:paraId="6CD68FCA" w14:textId="77777777" w:rsidR="00CF70B3" w:rsidRPr="00297757" w:rsidRDefault="00CF70B3" w:rsidP="00CF70B3">
      <w:pPr>
        <w:spacing w:after="0" w:line="240" w:lineRule="auto"/>
        <w:jc w:val="both"/>
        <w:rPr>
          <w:rFonts w:ascii="Verdana" w:eastAsia="Calibri" w:hAnsi="Verdana" w:cs="Arial"/>
          <w:bCs/>
          <w:sz w:val="20"/>
          <w:szCs w:val="20"/>
          <w:lang w:eastAsia="es-ES"/>
        </w:rPr>
      </w:pPr>
    </w:p>
    <w:p w14:paraId="7E5729D2" w14:textId="77777777" w:rsidR="00CF70B3" w:rsidRPr="00FF0DC0" w:rsidRDefault="00CF70B3" w:rsidP="00CF70B3">
      <w:pPr>
        <w:spacing w:after="0" w:line="240" w:lineRule="auto"/>
        <w:jc w:val="both"/>
        <w:rPr>
          <w:rFonts w:ascii="Verdana" w:eastAsia="Calibri" w:hAnsi="Verdana" w:cs="Arial"/>
          <w:b/>
          <w:sz w:val="20"/>
          <w:szCs w:val="20"/>
          <w:lang w:val="es-ES" w:eastAsia="es-ES"/>
        </w:rPr>
      </w:pPr>
    </w:p>
    <w:p w14:paraId="70EC5DCA" w14:textId="77777777" w:rsidR="00CF70B3" w:rsidRPr="00FF0DC0" w:rsidRDefault="00CF70B3" w:rsidP="00CF70B3">
      <w:pPr>
        <w:spacing w:after="0" w:line="240" w:lineRule="auto"/>
        <w:jc w:val="both"/>
        <w:rPr>
          <w:rFonts w:ascii="Verdana" w:eastAsia="Calibri" w:hAnsi="Verdana" w:cs="Arial"/>
          <w:b/>
          <w:sz w:val="20"/>
          <w:szCs w:val="20"/>
          <w:lang w:val="es-ES" w:eastAsia="es-ES"/>
        </w:rPr>
      </w:pPr>
    </w:p>
    <w:p w14:paraId="36D6FC01" w14:textId="77777777" w:rsidR="00CF70B3" w:rsidRPr="00FF0DC0" w:rsidRDefault="00CF70B3" w:rsidP="00CF70B3">
      <w:pPr>
        <w:spacing w:after="0" w:line="240" w:lineRule="auto"/>
        <w:jc w:val="both"/>
        <w:rPr>
          <w:rFonts w:ascii="Verdana" w:eastAsia="Calibri" w:hAnsi="Verdana" w:cs="Arial"/>
          <w:b/>
          <w:sz w:val="20"/>
          <w:szCs w:val="20"/>
          <w:lang w:val="es-ES" w:eastAsia="es-ES"/>
        </w:rPr>
      </w:pPr>
    </w:p>
    <w:p w14:paraId="708E824F" w14:textId="77777777" w:rsidR="00CF70B3" w:rsidRDefault="00CF70B3" w:rsidP="00CF70B3">
      <w:pPr>
        <w:tabs>
          <w:tab w:val="left" w:pos="6060"/>
        </w:tabs>
        <w:spacing w:after="0" w:line="240" w:lineRule="auto"/>
        <w:jc w:val="both"/>
        <w:rPr>
          <w:rFonts w:ascii="Verdana" w:eastAsia="Calibri" w:hAnsi="Verdana" w:cs="Arial"/>
          <w:b/>
          <w:lang w:val="es-ES" w:eastAsia="es-ES"/>
        </w:rPr>
      </w:pPr>
      <w:r>
        <w:rPr>
          <w:rFonts w:ascii="Verdana" w:eastAsia="Calibri" w:hAnsi="Verdana" w:cs="Arial"/>
          <w:b/>
          <w:lang w:val="es-ES" w:eastAsia="es-ES"/>
        </w:rPr>
        <w:tab/>
      </w:r>
    </w:p>
    <w:p w14:paraId="262A09A3" w14:textId="77777777" w:rsidR="00CF70B3" w:rsidRDefault="00CF70B3" w:rsidP="00CF70B3">
      <w:pPr>
        <w:spacing w:after="0" w:line="240" w:lineRule="auto"/>
        <w:jc w:val="both"/>
        <w:rPr>
          <w:rFonts w:ascii="Verdana" w:eastAsia="Calibri" w:hAnsi="Verdana" w:cs="Arial"/>
          <w:b/>
          <w:lang w:val="es-ES" w:eastAsia="es-ES"/>
        </w:rPr>
      </w:pPr>
    </w:p>
    <w:p w14:paraId="35C06C49" w14:textId="77777777" w:rsidR="00CF70B3" w:rsidRDefault="00CF70B3" w:rsidP="00CF70B3">
      <w:pPr>
        <w:spacing w:after="0" w:line="240" w:lineRule="auto"/>
        <w:jc w:val="both"/>
        <w:rPr>
          <w:rFonts w:ascii="Verdana" w:eastAsia="Calibri" w:hAnsi="Verdana" w:cs="Arial"/>
          <w:b/>
          <w:lang w:val="es-ES" w:eastAsia="es-ES"/>
        </w:rPr>
      </w:pPr>
    </w:p>
    <w:p w14:paraId="3206FD98" w14:textId="77777777" w:rsidR="00CF70B3" w:rsidRDefault="00CF70B3" w:rsidP="00CF70B3">
      <w:pPr>
        <w:spacing w:after="0" w:line="240" w:lineRule="auto"/>
        <w:jc w:val="both"/>
        <w:rPr>
          <w:rFonts w:ascii="Verdana" w:eastAsia="Calibri" w:hAnsi="Verdana" w:cs="Arial"/>
          <w:b/>
          <w:lang w:val="es-ES" w:eastAsia="es-ES"/>
        </w:rPr>
      </w:pPr>
    </w:p>
    <w:p w14:paraId="513B7839" w14:textId="77777777" w:rsidR="00CF70B3" w:rsidRDefault="00CF70B3" w:rsidP="00CF70B3">
      <w:pPr>
        <w:spacing w:after="0" w:line="240" w:lineRule="auto"/>
        <w:jc w:val="both"/>
        <w:rPr>
          <w:rFonts w:ascii="Verdana" w:eastAsia="Calibri" w:hAnsi="Verdana" w:cs="Arial"/>
          <w:b/>
          <w:lang w:val="es-ES" w:eastAsia="es-ES"/>
        </w:rPr>
      </w:pPr>
    </w:p>
    <w:p w14:paraId="718011E6" w14:textId="77777777" w:rsidR="00CF70B3" w:rsidRDefault="00CF70B3" w:rsidP="00CF70B3">
      <w:pPr>
        <w:spacing w:after="0" w:line="240" w:lineRule="auto"/>
        <w:jc w:val="both"/>
        <w:rPr>
          <w:rFonts w:ascii="Verdana" w:eastAsia="Calibri" w:hAnsi="Verdana" w:cs="Arial"/>
          <w:b/>
          <w:lang w:val="es-ES" w:eastAsia="es-ES"/>
        </w:rPr>
      </w:pPr>
    </w:p>
    <w:p w14:paraId="593B93AC" w14:textId="77777777" w:rsidR="00CF70B3" w:rsidRDefault="00CF70B3" w:rsidP="00CF70B3">
      <w:pPr>
        <w:spacing w:after="0" w:line="240" w:lineRule="auto"/>
        <w:jc w:val="both"/>
        <w:rPr>
          <w:rFonts w:ascii="Verdana" w:eastAsia="Calibri" w:hAnsi="Verdana" w:cs="Arial"/>
          <w:b/>
          <w:lang w:val="es-ES" w:eastAsia="es-ES"/>
        </w:rPr>
      </w:pPr>
    </w:p>
    <w:p w14:paraId="5D9D15B5" w14:textId="77777777" w:rsidR="00CF70B3" w:rsidRDefault="00CF70B3" w:rsidP="00CF70B3">
      <w:pPr>
        <w:spacing w:after="0" w:line="240" w:lineRule="auto"/>
        <w:jc w:val="both"/>
        <w:rPr>
          <w:rFonts w:ascii="Verdana" w:eastAsia="Calibri" w:hAnsi="Verdana" w:cs="Arial"/>
          <w:b/>
          <w:lang w:val="es-ES" w:eastAsia="es-ES"/>
        </w:rPr>
      </w:pPr>
    </w:p>
    <w:p w14:paraId="6E56B3FE" w14:textId="77777777" w:rsidR="00CF70B3" w:rsidRDefault="00CF70B3" w:rsidP="00CF70B3">
      <w:pPr>
        <w:spacing w:after="0" w:line="240" w:lineRule="auto"/>
        <w:jc w:val="both"/>
        <w:rPr>
          <w:rFonts w:ascii="Verdana" w:eastAsia="Calibri" w:hAnsi="Verdana" w:cs="Arial"/>
          <w:b/>
          <w:lang w:val="es-ES" w:eastAsia="es-ES"/>
        </w:rPr>
      </w:pPr>
    </w:p>
    <w:p w14:paraId="0F43FF0D" w14:textId="77777777" w:rsidR="00CF70B3" w:rsidRDefault="00CF70B3" w:rsidP="00CF70B3">
      <w:pPr>
        <w:spacing w:after="0" w:line="240" w:lineRule="auto"/>
        <w:jc w:val="both"/>
        <w:rPr>
          <w:rFonts w:ascii="Verdana" w:eastAsia="Calibri" w:hAnsi="Verdana" w:cs="Arial"/>
          <w:b/>
          <w:lang w:val="es-ES" w:eastAsia="es-ES"/>
        </w:rPr>
      </w:pPr>
    </w:p>
    <w:p w14:paraId="3E9C5F3A" w14:textId="77777777" w:rsidR="00CF70B3" w:rsidRDefault="00CF70B3" w:rsidP="00CF70B3">
      <w:pPr>
        <w:spacing w:after="0" w:line="240" w:lineRule="auto"/>
        <w:jc w:val="both"/>
        <w:rPr>
          <w:rFonts w:ascii="Verdana" w:eastAsia="Calibri" w:hAnsi="Verdana" w:cs="Arial"/>
          <w:b/>
          <w:lang w:val="es-ES" w:eastAsia="es-ES"/>
        </w:rPr>
      </w:pPr>
    </w:p>
    <w:p w14:paraId="0FFE152E" w14:textId="77777777" w:rsidR="00CF70B3" w:rsidRDefault="00CF70B3" w:rsidP="00CF70B3">
      <w:pPr>
        <w:spacing w:after="0" w:line="240" w:lineRule="auto"/>
        <w:jc w:val="both"/>
        <w:rPr>
          <w:rFonts w:ascii="Verdana" w:eastAsia="Calibri" w:hAnsi="Verdana" w:cs="Arial"/>
          <w:b/>
          <w:lang w:val="es-ES" w:eastAsia="es-ES"/>
        </w:rPr>
      </w:pPr>
    </w:p>
    <w:p w14:paraId="217F48C6" w14:textId="77777777" w:rsidR="00CF70B3" w:rsidRDefault="00CF70B3" w:rsidP="00CF70B3">
      <w:pPr>
        <w:spacing w:after="0" w:line="240" w:lineRule="auto"/>
        <w:jc w:val="both"/>
        <w:rPr>
          <w:rFonts w:ascii="Verdana" w:eastAsia="Calibri" w:hAnsi="Verdana" w:cs="Arial"/>
          <w:b/>
          <w:lang w:val="es-ES" w:eastAsia="es-ES"/>
        </w:rPr>
      </w:pPr>
    </w:p>
    <w:p w14:paraId="2B179D36" w14:textId="77777777" w:rsidR="00CF70B3" w:rsidRDefault="00CF70B3" w:rsidP="00CF70B3">
      <w:pPr>
        <w:spacing w:after="0" w:line="240" w:lineRule="auto"/>
        <w:jc w:val="both"/>
        <w:rPr>
          <w:rFonts w:ascii="Verdana" w:eastAsia="Calibri" w:hAnsi="Verdana" w:cs="Arial"/>
          <w:b/>
          <w:lang w:val="es-ES" w:eastAsia="es-ES"/>
        </w:rPr>
      </w:pPr>
    </w:p>
    <w:p w14:paraId="43F6ECD2" w14:textId="77777777" w:rsidR="00CF70B3" w:rsidRDefault="00CF70B3" w:rsidP="00CF70B3">
      <w:pPr>
        <w:spacing w:after="0" w:line="240" w:lineRule="auto"/>
        <w:jc w:val="both"/>
        <w:rPr>
          <w:rFonts w:ascii="Verdana" w:eastAsia="Calibri" w:hAnsi="Verdana" w:cs="Arial"/>
          <w:b/>
          <w:lang w:val="es-ES" w:eastAsia="es-ES"/>
        </w:rPr>
      </w:pPr>
    </w:p>
    <w:p w14:paraId="72E803B6" w14:textId="77777777" w:rsidR="00CF70B3" w:rsidRDefault="00CF70B3" w:rsidP="00CF70B3">
      <w:pPr>
        <w:spacing w:after="0" w:line="240" w:lineRule="auto"/>
        <w:jc w:val="both"/>
        <w:rPr>
          <w:rFonts w:ascii="Verdana" w:eastAsia="Calibri" w:hAnsi="Verdana" w:cs="Arial"/>
          <w:b/>
          <w:lang w:val="es-ES" w:eastAsia="es-ES"/>
        </w:rPr>
      </w:pPr>
    </w:p>
    <w:p w14:paraId="49E34BA3" w14:textId="77777777" w:rsidR="00CF70B3" w:rsidRDefault="00CF70B3" w:rsidP="00CF70B3">
      <w:pPr>
        <w:spacing w:after="0" w:line="240" w:lineRule="auto"/>
        <w:jc w:val="both"/>
        <w:rPr>
          <w:rFonts w:ascii="Verdana" w:eastAsia="Calibri" w:hAnsi="Verdana" w:cs="Arial"/>
          <w:b/>
          <w:lang w:val="es-ES" w:eastAsia="es-ES"/>
        </w:rPr>
      </w:pPr>
    </w:p>
    <w:p w14:paraId="2FD9830F" w14:textId="77777777" w:rsidR="00CF70B3" w:rsidRDefault="00CF70B3" w:rsidP="00CF70B3">
      <w:pPr>
        <w:spacing w:after="0" w:line="240" w:lineRule="auto"/>
        <w:jc w:val="both"/>
        <w:rPr>
          <w:rFonts w:ascii="Verdana" w:eastAsia="Calibri" w:hAnsi="Verdana" w:cs="Arial"/>
          <w:b/>
          <w:lang w:val="es-ES" w:eastAsia="es-ES"/>
        </w:rPr>
      </w:pPr>
    </w:p>
    <w:p w14:paraId="46859DEE" w14:textId="77777777" w:rsidR="00CF70B3" w:rsidRDefault="00CF70B3" w:rsidP="00CF70B3">
      <w:pPr>
        <w:spacing w:after="0"/>
        <w:rPr>
          <w:rFonts w:ascii="Verdana" w:eastAsia="Verdana" w:hAnsi="Verdana" w:cs="Verdana"/>
        </w:rPr>
      </w:pPr>
    </w:p>
    <w:p w14:paraId="0F08983E" w14:textId="77777777" w:rsidR="00CF70B3" w:rsidRDefault="00CF70B3" w:rsidP="00CF70B3">
      <w:pPr>
        <w:spacing w:after="0"/>
        <w:rPr>
          <w:rFonts w:ascii="Verdana" w:eastAsia="Verdana" w:hAnsi="Verdana" w:cs="Verdana"/>
        </w:rPr>
      </w:pPr>
    </w:p>
    <w:p w14:paraId="57C541C3" w14:textId="77777777" w:rsidR="00CF70B3" w:rsidRDefault="00CF70B3" w:rsidP="00CF70B3">
      <w:pPr>
        <w:spacing w:after="0"/>
        <w:rPr>
          <w:rFonts w:ascii="Verdana" w:eastAsia="Verdana" w:hAnsi="Verdana" w:cs="Verdana"/>
        </w:rPr>
      </w:pPr>
    </w:p>
    <w:p w14:paraId="4578BB5E" w14:textId="77777777" w:rsidR="00CF70B3" w:rsidRDefault="00CF70B3" w:rsidP="00CF70B3">
      <w:pPr>
        <w:spacing w:after="0"/>
        <w:rPr>
          <w:rFonts w:ascii="Verdana" w:eastAsia="Verdana" w:hAnsi="Verdana" w:cs="Verdana"/>
        </w:rPr>
      </w:pPr>
    </w:p>
    <w:p w14:paraId="43B8E3B5" w14:textId="77777777" w:rsidR="00CF70B3" w:rsidRDefault="00CF70B3" w:rsidP="00CF70B3">
      <w:pPr>
        <w:spacing w:after="0"/>
        <w:rPr>
          <w:rFonts w:ascii="Verdana" w:eastAsia="Verdana" w:hAnsi="Verdana" w:cs="Verdana"/>
        </w:rPr>
      </w:pPr>
    </w:p>
    <w:p w14:paraId="27047970" w14:textId="77777777" w:rsidR="00CF70B3" w:rsidRDefault="00CF70B3" w:rsidP="00CF70B3">
      <w:pPr>
        <w:spacing w:after="0"/>
        <w:rPr>
          <w:rFonts w:ascii="Verdana" w:eastAsia="Verdana" w:hAnsi="Verdana" w:cs="Verdana"/>
        </w:rPr>
      </w:pPr>
    </w:p>
    <w:p w14:paraId="3114B8CD" w14:textId="77777777" w:rsidR="00CF70B3" w:rsidRDefault="00CF70B3" w:rsidP="00CF70B3">
      <w:pPr>
        <w:spacing w:after="0"/>
        <w:rPr>
          <w:rFonts w:ascii="Verdana" w:eastAsia="Verdana" w:hAnsi="Verdana" w:cs="Verdana"/>
        </w:rPr>
      </w:pPr>
    </w:p>
    <w:p w14:paraId="0BE3D133" w14:textId="77777777" w:rsidR="00CF70B3" w:rsidRDefault="00CF70B3" w:rsidP="00CF70B3">
      <w:pPr>
        <w:spacing w:after="0"/>
        <w:rPr>
          <w:rFonts w:ascii="Verdana" w:eastAsia="Verdana" w:hAnsi="Verdana" w:cs="Verdana"/>
        </w:rPr>
      </w:pPr>
    </w:p>
    <w:p w14:paraId="6C654342" w14:textId="77777777" w:rsidR="00CF70B3" w:rsidRDefault="00CF70B3" w:rsidP="00CF70B3">
      <w:pPr>
        <w:spacing w:after="0"/>
        <w:rPr>
          <w:rFonts w:ascii="Verdana" w:eastAsia="Verdana" w:hAnsi="Verdana" w:cs="Verdana"/>
        </w:rPr>
      </w:pPr>
    </w:p>
    <w:p w14:paraId="336EA2DF" w14:textId="77777777" w:rsidR="00CF70B3" w:rsidRDefault="00CF70B3" w:rsidP="00CF70B3">
      <w:pPr>
        <w:spacing w:after="0"/>
        <w:rPr>
          <w:rFonts w:ascii="Verdana" w:eastAsia="Verdana" w:hAnsi="Verdana" w:cs="Verdana"/>
        </w:rPr>
      </w:pPr>
    </w:p>
    <w:p w14:paraId="46AB0172" w14:textId="77777777" w:rsidR="00CF70B3" w:rsidRDefault="00CF70B3" w:rsidP="00CF70B3">
      <w:pPr>
        <w:spacing w:after="0"/>
        <w:rPr>
          <w:rFonts w:ascii="Verdana" w:eastAsia="Verdana" w:hAnsi="Verdana" w:cs="Verdana"/>
        </w:rPr>
      </w:pPr>
    </w:p>
    <w:p w14:paraId="60549816" w14:textId="77777777" w:rsidR="00CF70B3" w:rsidRDefault="00CF70B3" w:rsidP="00CF70B3">
      <w:pPr>
        <w:spacing w:after="0"/>
        <w:rPr>
          <w:rFonts w:ascii="Verdana" w:eastAsia="Verdana" w:hAnsi="Verdana" w:cs="Verdana"/>
        </w:rPr>
      </w:pPr>
    </w:p>
    <w:p w14:paraId="57C07CCB" w14:textId="77777777" w:rsidR="00CF70B3" w:rsidRDefault="00CF70B3" w:rsidP="00CF70B3">
      <w:pPr>
        <w:spacing w:after="0"/>
        <w:rPr>
          <w:rFonts w:ascii="Verdana" w:eastAsia="Verdana" w:hAnsi="Verdana" w:cs="Verdana"/>
        </w:rPr>
      </w:pPr>
    </w:p>
    <w:p w14:paraId="2FE9BE0B" w14:textId="3081F211" w:rsidR="00CF70B3" w:rsidRPr="006733BD" w:rsidRDefault="00CF70B3" w:rsidP="00CF70B3">
      <w:pPr>
        <w:spacing w:after="0"/>
        <w:rPr>
          <w:rFonts w:ascii="Verdana" w:hAnsi="Verdana"/>
          <w:color w:val="ED7D31" w:themeColor="accent2"/>
          <w:lang w:val="es-ES"/>
        </w:rPr>
      </w:pPr>
    </w:p>
    <w:p w14:paraId="1F3E6B44" w14:textId="77777777" w:rsidR="00CF70B3" w:rsidRDefault="00CF70B3" w:rsidP="00CF70B3">
      <w:pPr>
        <w:spacing w:after="0" w:line="240" w:lineRule="auto"/>
        <w:rPr>
          <w:rFonts w:ascii="Verdana" w:eastAsia="Calibri" w:hAnsi="Verdana" w:cs="Arial"/>
          <w:lang w:val="es-ES" w:eastAsia="es-ES"/>
        </w:rPr>
      </w:pPr>
    </w:p>
    <w:p w14:paraId="4F4DF30E" w14:textId="77777777" w:rsidR="00CF70B3" w:rsidRDefault="00CF70B3" w:rsidP="00CF70B3">
      <w:pPr>
        <w:spacing w:after="0" w:line="240" w:lineRule="auto"/>
        <w:rPr>
          <w:rFonts w:ascii="Verdana" w:eastAsia="Calibri" w:hAnsi="Verdana" w:cs="Arial"/>
          <w:lang w:val="es-ES" w:eastAsia="es-ES"/>
        </w:rPr>
      </w:pPr>
    </w:p>
    <w:p w14:paraId="4F0D597D" w14:textId="3570B89B" w:rsidR="003138F0" w:rsidRDefault="009807D2" w:rsidP="009807D2">
      <w:pPr>
        <w:spacing w:after="0" w:line="240" w:lineRule="auto"/>
        <w:ind w:left="4248"/>
        <w:rPr>
          <w:rFonts w:ascii="Verdana" w:eastAsia="Calibri" w:hAnsi="Verdana" w:cs="Arial"/>
          <w:lang w:val="es-ES" w:eastAsia="es-ES"/>
        </w:rPr>
      </w:pPr>
      <w:r>
        <w:rPr>
          <w:rFonts w:ascii="Verdana" w:eastAsia="Calibri" w:hAnsi="Verdana" w:cs="Arial"/>
          <w:lang w:val="es-ES" w:eastAsia="es-ES"/>
        </w:rPr>
        <w:t xml:space="preserve">                                                               </w:t>
      </w:r>
    </w:p>
    <w:p w14:paraId="7B784CEA" w14:textId="16E640A8" w:rsidR="003138F0" w:rsidRDefault="002270D0" w:rsidP="009807D2">
      <w:pPr>
        <w:spacing w:after="0" w:line="240" w:lineRule="auto"/>
        <w:rPr>
          <w:rFonts w:ascii="Verdana" w:eastAsia="Calibri" w:hAnsi="Verdana" w:cs="Arial"/>
          <w:lang w:val="es-ES" w:eastAsia="es-ES"/>
        </w:rPr>
      </w:pPr>
      <w:r w:rsidRPr="003138F0">
        <w:rPr>
          <w:rFonts w:ascii="Verdana" w:eastAsia="Calibri" w:hAnsi="Verdana" w:cs="Arial"/>
          <w:noProof/>
          <w:lang w:val="es-ES" w:eastAsia="es-ES"/>
        </w:rPr>
        <w:lastRenderedPageBreak/>
        <w:drawing>
          <wp:anchor distT="0" distB="0" distL="114300" distR="114300" simplePos="0" relativeHeight="251658240" behindDoc="1" locked="0" layoutInCell="1" allowOverlap="1" wp14:anchorId="268F9088" wp14:editId="1F709077">
            <wp:simplePos x="0" y="0"/>
            <wp:positionH relativeFrom="column">
              <wp:posOffset>3421380</wp:posOffset>
            </wp:positionH>
            <wp:positionV relativeFrom="paragraph">
              <wp:posOffset>162560</wp:posOffset>
            </wp:positionV>
            <wp:extent cx="2591435" cy="694055"/>
            <wp:effectExtent l="0" t="0" r="0" b="0"/>
            <wp:wrapTight wrapText="bothSides">
              <wp:wrapPolygon edited="0">
                <wp:start x="0" y="0"/>
                <wp:lineTo x="0" y="20750"/>
                <wp:lineTo x="21436" y="20750"/>
                <wp:lineTo x="21436" y="0"/>
                <wp:lineTo x="0" y="0"/>
              </wp:wrapPolygon>
            </wp:wrapTight>
            <wp:docPr id="125675415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91435" cy="6940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807D2" w:rsidRPr="009807D2">
        <w:rPr>
          <w:rFonts w:ascii="Verdana" w:eastAsia="Calibri" w:hAnsi="Verdana" w:cs="Arial"/>
          <w:lang w:eastAsia="es-ES"/>
        </w:rPr>
        <w:t xml:space="preserve">Bogotá D.C., 12 </w:t>
      </w:r>
      <w:r w:rsidRPr="009807D2">
        <w:rPr>
          <w:rFonts w:ascii="Verdana" w:eastAsia="Calibri" w:hAnsi="Verdana" w:cs="Arial"/>
          <w:lang w:eastAsia="es-ES"/>
        </w:rPr>
        <w:t>junio</w:t>
      </w:r>
      <w:r w:rsidR="009807D2" w:rsidRPr="009807D2">
        <w:rPr>
          <w:rFonts w:ascii="Verdana" w:eastAsia="Calibri" w:hAnsi="Verdana" w:cs="Arial"/>
          <w:lang w:eastAsia="es-ES"/>
        </w:rPr>
        <w:t xml:space="preserve"> 2026 </w:t>
      </w:r>
      <w:r w:rsidR="003138F0">
        <w:rPr>
          <w:rFonts w:ascii="Verdana" w:eastAsia="Calibri" w:hAnsi="Verdana" w:cs="Arial"/>
          <w:lang w:val="es-ES" w:eastAsia="es-ES"/>
        </w:rPr>
        <w:t xml:space="preserve">                                               </w:t>
      </w:r>
    </w:p>
    <w:p w14:paraId="7C2FB262" w14:textId="77777777" w:rsidR="009807D2" w:rsidRDefault="009807D2" w:rsidP="00CF70B3">
      <w:pPr>
        <w:spacing w:after="0" w:line="240" w:lineRule="auto"/>
        <w:rPr>
          <w:rFonts w:ascii="Verdana" w:eastAsia="Calibri" w:hAnsi="Verdana" w:cs="Arial"/>
          <w:lang w:val="es-ES" w:eastAsia="es-ES"/>
        </w:rPr>
      </w:pPr>
    </w:p>
    <w:p w14:paraId="6A5CB364" w14:textId="77777777" w:rsidR="002270D0" w:rsidRDefault="002270D0" w:rsidP="00CF70B3">
      <w:pPr>
        <w:spacing w:after="0" w:line="240" w:lineRule="auto"/>
        <w:rPr>
          <w:rFonts w:ascii="Verdana" w:eastAsia="Calibri" w:hAnsi="Verdana" w:cs="Arial"/>
          <w:lang w:val="es-ES" w:eastAsia="es-ES"/>
        </w:rPr>
      </w:pPr>
    </w:p>
    <w:p w14:paraId="352C6CF6" w14:textId="0385A218" w:rsidR="00CF70B3" w:rsidRPr="00A72128" w:rsidRDefault="00CF70B3" w:rsidP="00CF70B3">
      <w:pPr>
        <w:spacing w:after="0" w:line="240" w:lineRule="auto"/>
        <w:rPr>
          <w:rFonts w:ascii="Verdana" w:eastAsia="Calibri" w:hAnsi="Verdana" w:cs="Arial"/>
          <w:b/>
          <w:bCs/>
          <w:lang w:val="es-ES" w:eastAsia="es-ES"/>
        </w:rPr>
      </w:pPr>
      <w:r w:rsidRPr="00801A0F">
        <w:rPr>
          <w:rFonts w:ascii="Verdana" w:eastAsia="Calibri" w:hAnsi="Verdana" w:cs="Arial"/>
          <w:lang w:val="es-ES" w:eastAsia="es-ES"/>
        </w:rPr>
        <w:t>Señor</w:t>
      </w:r>
    </w:p>
    <w:p w14:paraId="045CDF5B" w14:textId="031401E6" w:rsidR="00CF70B3" w:rsidRPr="00CF70B3" w:rsidRDefault="00CF70B3" w:rsidP="00CF70B3">
      <w:pPr>
        <w:spacing w:after="0" w:line="240" w:lineRule="auto"/>
        <w:rPr>
          <w:rFonts w:ascii="Verdana" w:eastAsia="Calibri" w:hAnsi="Verdana" w:cs="Arial"/>
          <w:b/>
          <w:bCs/>
          <w:lang w:eastAsia="es-ES"/>
        </w:rPr>
      </w:pPr>
      <w:r w:rsidRPr="00CF70B3">
        <w:rPr>
          <w:rFonts w:ascii="Verdana" w:eastAsia="Calibri" w:hAnsi="Verdana" w:cs="Arial"/>
          <w:b/>
          <w:bCs/>
          <w:lang w:eastAsia="es-ES"/>
        </w:rPr>
        <w:t xml:space="preserve">Carlos Fernando Penago Pastes  </w:t>
      </w:r>
    </w:p>
    <w:p w14:paraId="79F14C32" w14:textId="77777777" w:rsidR="00CF70B3" w:rsidRPr="00CF70B3" w:rsidRDefault="00CF70B3" w:rsidP="00CF70B3">
      <w:pPr>
        <w:spacing w:after="0" w:line="240" w:lineRule="auto"/>
        <w:rPr>
          <w:rFonts w:ascii="Verdana" w:eastAsia="Calibri" w:hAnsi="Verdana" w:cs="Arial"/>
          <w:lang w:eastAsia="es-ES"/>
        </w:rPr>
      </w:pPr>
      <w:r w:rsidRPr="00CF70B3">
        <w:rPr>
          <w:rFonts w:ascii="Verdana" w:eastAsia="Calibri" w:hAnsi="Verdana" w:cs="Arial"/>
          <w:lang w:eastAsia="es-ES"/>
        </w:rPr>
        <w:t xml:space="preserve">carlos.penagos@ejercito.mil.co    </w:t>
      </w:r>
    </w:p>
    <w:p w14:paraId="39050576" w14:textId="77777777" w:rsidR="00CF70B3" w:rsidRPr="00CF70B3" w:rsidRDefault="00CF70B3" w:rsidP="00CF70B3">
      <w:pPr>
        <w:spacing w:after="0" w:line="240" w:lineRule="auto"/>
        <w:rPr>
          <w:rFonts w:ascii="Verdana" w:hAnsi="Verdana"/>
        </w:rPr>
      </w:pPr>
      <w:r w:rsidRPr="00CF70B3">
        <w:rPr>
          <w:rFonts w:ascii="Verdana" w:eastAsia="Calibri" w:hAnsi="Verdana" w:cs="Arial"/>
          <w:lang w:eastAsia="es-ES"/>
        </w:rPr>
        <w:t xml:space="preserve">Ciudad                                                                            </w:t>
      </w:r>
    </w:p>
    <w:p w14:paraId="10AF5DE8" w14:textId="77777777" w:rsidR="00CF70B3" w:rsidRPr="00CF70B3" w:rsidRDefault="00CF70B3" w:rsidP="00CF70B3">
      <w:pPr>
        <w:spacing w:after="0"/>
        <w:rPr>
          <w:rFonts w:ascii="Verdana" w:eastAsia="Calibri" w:hAnsi="Verdana" w:cs="Arial"/>
          <w:color w:val="ED7D31" w:themeColor="accent2"/>
          <w:lang w:eastAsia="es-ES"/>
        </w:rPr>
      </w:pPr>
    </w:p>
    <w:p w14:paraId="32B23F2F" w14:textId="77777777" w:rsidR="00CF70B3" w:rsidRPr="00CF70B3" w:rsidRDefault="00CF70B3" w:rsidP="00CF70B3">
      <w:pPr>
        <w:spacing w:after="0" w:line="240" w:lineRule="auto"/>
        <w:rPr>
          <w:rFonts w:ascii="Verdana" w:eastAsia="Calibri" w:hAnsi="Verdana" w:cs="Arial"/>
          <w:b/>
          <w:bCs/>
          <w:color w:val="ED7D31" w:themeColor="accent2"/>
          <w:lang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CF70B3" w:rsidRPr="006733BD" w14:paraId="59F79055" w14:textId="77777777" w:rsidTr="00E4249C">
        <w:trPr>
          <w:trHeight w:val="300"/>
        </w:trPr>
        <w:tc>
          <w:tcPr>
            <w:tcW w:w="2410" w:type="dxa"/>
          </w:tcPr>
          <w:p w14:paraId="7B2EC6DC" w14:textId="77777777" w:rsidR="00CF70B3" w:rsidRPr="00CF70B3" w:rsidRDefault="00CF70B3" w:rsidP="00E4249C">
            <w:pPr>
              <w:ind w:left="-142"/>
              <w:jc w:val="both"/>
              <w:rPr>
                <w:rFonts w:ascii="Verdana" w:eastAsia="Calibri" w:hAnsi="Verdana" w:cs="Arial"/>
                <w:b/>
                <w:bCs/>
                <w:lang w:eastAsia="es-ES_tradnl"/>
              </w:rPr>
            </w:pPr>
          </w:p>
        </w:tc>
        <w:tc>
          <w:tcPr>
            <w:tcW w:w="6100" w:type="dxa"/>
          </w:tcPr>
          <w:p w14:paraId="4C8FEF7D" w14:textId="77777777" w:rsidR="00CF70B3" w:rsidRPr="00A54BCB" w:rsidRDefault="00CF70B3" w:rsidP="00E4249C">
            <w:pPr>
              <w:ind w:left="3"/>
              <w:jc w:val="both"/>
              <w:rPr>
                <w:rFonts w:ascii="Verdana" w:eastAsia="Calibri" w:hAnsi="Verdana" w:cs="Arial"/>
                <w:b/>
                <w:bCs/>
                <w:lang w:val="es-ES" w:eastAsia="es-ES"/>
              </w:rPr>
            </w:pPr>
            <w:r w:rsidRPr="00A54BCB">
              <w:rPr>
                <w:rFonts w:ascii="Verdana" w:eastAsia="Calibri" w:hAnsi="Verdana" w:cs="Arial"/>
                <w:b/>
                <w:bCs/>
                <w:lang w:val="es-ES" w:eastAsia="es-ES"/>
              </w:rPr>
              <w:t>Concepto C-</w:t>
            </w:r>
            <w:r>
              <w:rPr>
                <w:rFonts w:ascii="Verdana" w:eastAsia="Calibri" w:hAnsi="Verdana" w:cs="Arial"/>
                <w:b/>
                <w:bCs/>
                <w:lang w:val="es-ES" w:eastAsia="es-ES"/>
              </w:rPr>
              <w:t xml:space="preserve">730 </w:t>
            </w:r>
            <w:r w:rsidRPr="00A54BCB">
              <w:rPr>
                <w:rFonts w:ascii="Verdana" w:eastAsia="Calibri" w:hAnsi="Verdana" w:cs="Arial"/>
                <w:b/>
                <w:bCs/>
                <w:lang w:val="es-ES" w:eastAsia="es-ES"/>
              </w:rPr>
              <w:t>de 202</w:t>
            </w:r>
            <w:r>
              <w:rPr>
                <w:rFonts w:ascii="Verdana" w:eastAsia="Calibri" w:hAnsi="Verdana" w:cs="Arial"/>
                <w:b/>
                <w:bCs/>
                <w:lang w:val="es-ES" w:eastAsia="es-ES"/>
              </w:rPr>
              <w:t>6</w:t>
            </w:r>
          </w:p>
          <w:p w14:paraId="48E37B22" w14:textId="77777777" w:rsidR="00CF70B3" w:rsidRPr="00A54BCB" w:rsidRDefault="00CF70B3" w:rsidP="00E4249C">
            <w:pPr>
              <w:ind w:left="3"/>
              <w:jc w:val="both"/>
              <w:rPr>
                <w:rFonts w:ascii="Verdana" w:eastAsia="Calibri" w:hAnsi="Verdana" w:cs="Arial"/>
                <w:b/>
                <w:bCs/>
                <w:lang w:val="es-ES" w:eastAsia="es-ES"/>
              </w:rPr>
            </w:pPr>
          </w:p>
        </w:tc>
      </w:tr>
      <w:tr w:rsidR="00CF70B3" w:rsidRPr="006733BD" w14:paraId="389C54AE" w14:textId="77777777" w:rsidTr="00E4249C">
        <w:trPr>
          <w:trHeight w:val="300"/>
        </w:trPr>
        <w:tc>
          <w:tcPr>
            <w:tcW w:w="2410" w:type="dxa"/>
          </w:tcPr>
          <w:p w14:paraId="0968E393" w14:textId="77777777" w:rsidR="00CF70B3" w:rsidRPr="006733BD" w:rsidRDefault="00CF70B3" w:rsidP="00E4249C">
            <w:pPr>
              <w:ind w:left="424" w:firstLine="142"/>
              <w:jc w:val="both"/>
              <w:rPr>
                <w:rFonts w:ascii="Verdana" w:eastAsia="Calibri" w:hAnsi="Verdana" w:cs="Arial"/>
                <w:color w:val="ED7D31" w:themeColor="accent2"/>
                <w:lang w:val="es-ES" w:eastAsia="es-ES_tradnl"/>
              </w:rPr>
            </w:pPr>
            <w:r w:rsidRPr="00A54BCB">
              <w:rPr>
                <w:rFonts w:ascii="Verdana" w:eastAsia="Calibri" w:hAnsi="Verdana" w:cs="Arial"/>
                <w:b/>
                <w:lang w:val="es-ES" w:eastAsia="es-ES_tradnl"/>
              </w:rPr>
              <w:t>Temas:</w:t>
            </w:r>
            <w:r w:rsidRPr="006733BD">
              <w:rPr>
                <w:rFonts w:ascii="Verdana" w:eastAsia="Calibri" w:hAnsi="Verdana" w:cs="Arial"/>
                <w:color w:val="ED7D31" w:themeColor="accent2"/>
                <w:lang w:val="es-ES" w:eastAsia="es-ES_tradnl"/>
              </w:rPr>
              <w:t xml:space="preserve">                  </w:t>
            </w:r>
          </w:p>
        </w:tc>
        <w:tc>
          <w:tcPr>
            <w:tcW w:w="6100" w:type="dxa"/>
          </w:tcPr>
          <w:p w14:paraId="17EF37F3" w14:textId="77777777" w:rsidR="00CF70B3" w:rsidRDefault="00CF70B3" w:rsidP="00E4249C">
            <w:pPr>
              <w:tabs>
                <w:tab w:val="left" w:pos="3374"/>
              </w:tabs>
              <w:jc w:val="both"/>
              <w:rPr>
                <w:rFonts w:ascii="Verdana" w:eastAsia="Calibri" w:hAnsi="Verdana" w:cs="Arial"/>
                <w:lang w:val="es-ES" w:eastAsia="es-ES"/>
              </w:rPr>
            </w:pPr>
            <w:r w:rsidRPr="00E631A9">
              <w:rPr>
                <w:rFonts w:ascii="Verdana" w:eastAsia="Calibri" w:hAnsi="Verdana" w:cs="Arial"/>
                <w:lang w:val="es-ES" w:eastAsia="es-ES"/>
              </w:rPr>
              <w:t>LEY DE GARANTÍAS ELECTORALES ─ Definición ─ Finalidad ─ Restricciones ─ Destinatarios / LEY DE GARANTÍAS ELECTORALES ─ Prohibición ─ Contratación Directa ─ Alcance ─ Excepciones / LEY DE GARANTÍAS ELECTORALES ─ Prohibición ─</w:t>
            </w:r>
            <w:r>
              <w:rPr>
                <w:rFonts w:ascii="Verdana" w:eastAsia="Calibri" w:hAnsi="Verdana" w:cs="Arial"/>
                <w:lang w:val="es-ES" w:eastAsia="es-ES"/>
              </w:rPr>
              <w:t xml:space="preserve"> Convenios interadministrativos / </w:t>
            </w:r>
            <w:r w:rsidRPr="00E631A9">
              <w:rPr>
                <w:rFonts w:ascii="Verdana" w:eastAsia="Calibri" w:hAnsi="Verdana" w:cs="Arial"/>
                <w:lang w:val="es-ES" w:eastAsia="es-ES"/>
              </w:rPr>
              <w:t>LEY DE GARANTÍAS ELECTORALES ─ Prohibición ─</w:t>
            </w:r>
            <w:r>
              <w:rPr>
                <w:rFonts w:ascii="Verdana" w:eastAsia="Calibri" w:hAnsi="Verdana" w:cs="Arial"/>
                <w:lang w:val="es-ES" w:eastAsia="es-ES"/>
              </w:rPr>
              <w:t xml:space="preserve"> Convenios y contratos interadministrativos – Distinción – Aplicación restricción / </w:t>
            </w:r>
            <w:r w:rsidRPr="00E631A9">
              <w:rPr>
                <w:rFonts w:ascii="Verdana" w:eastAsia="Calibri" w:hAnsi="Verdana" w:cs="Arial"/>
                <w:lang w:val="es-ES" w:eastAsia="es-ES"/>
              </w:rPr>
              <w:t>LEY DE GARANTÍAS ELECTORALES ─ Prohibición ─</w:t>
            </w:r>
            <w:r>
              <w:rPr>
                <w:rFonts w:ascii="Verdana" w:eastAsia="Calibri" w:hAnsi="Verdana" w:cs="Arial"/>
                <w:lang w:val="es-ES" w:eastAsia="es-ES"/>
              </w:rPr>
              <w:t xml:space="preserve"> Convenios interadministrativos – no aplicación excepciones</w:t>
            </w:r>
          </w:p>
          <w:p w14:paraId="4F422BEF" w14:textId="77777777" w:rsidR="00CF70B3" w:rsidRPr="008F679F" w:rsidRDefault="00CF70B3" w:rsidP="00E4249C">
            <w:pPr>
              <w:tabs>
                <w:tab w:val="left" w:pos="3374"/>
              </w:tabs>
              <w:jc w:val="both"/>
              <w:rPr>
                <w:rFonts w:ascii="Verdana" w:eastAsia="Calibri" w:hAnsi="Verdana" w:cs="Arial"/>
                <w:color w:val="ED7D31" w:themeColor="accent2"/>
                <w:lang w:val="es-ES"/>
              </w:rPr>
            </w:pPr>
          </w:p>
        </w:tc>
      </w:tr>
      <w:tr w:rsidR="00CF70B3" w:rsidRPr="00C5490E" w14:paraId="022B83BC" w14:textId="77777777" w:rsidTr="00E4249C">
        <w:tc>
          <w:tcPr>
            <w:tcW w:w="2410" w:type="dxa"/>
          </w:tcPr>
          <w:p w14:paraId="60695D6B" w14:textId="77777777" w:rsidR="00CF70B3" w:rsidRPr="006733BD" w:rsidRDefault="00CF70B3" w:rsidP="00E4249C">
            <w:pPr>
              <w:ind w:left="561"/>
              <w:jc w:val="both"/>
              <w:rPr>
                <w:rFonts w:ascii="Verdana" w:eastAsia="Calibri" w:hAnsi="Verdana" w:cs="Arial"/>
                <w:b/>
                <w:color w:val="ED7D31" w:themeColor="accent2"/>
                <w:lang w:val="es-ES" w:eastAsia="es-ES_tradnl"/>
              </w:rPr>
            </w:pPr>
            <w:r w:rsidRPr="00A54BCB">
              <w:rPr>
                <w:rFonts w:ascii="Verdana" w:eastAsia="Calibri" w:hAnsi="Verdana" w:cs="Arial"/>
                <w:b/>
                <w:lang w:val="es-ES" w:eastAsia="es-ES_tradnl"/>
              </w:rPr>
              <w:t>Radicación:</w:t>
            </w:r>
            <w:r w:rsidRPr="00A54BCB">
              <w:rPr>
                <w:rFonts w:ascii="Verdana" w:eastAsia="Calibri" w:hAnsi="Verdana" w:cs="Arial"/>
                <w:lang w:val="es-ES" w:eastAsia="es-ES_tradnl"/>
              </w:rPr>
              <w:t xml:space="preserve">   </w:t>
            </w:r>
            <w:r w:rsidRPr="006733BD">
              <w:rPr>
                <w:rFonts w:ascii="Verdana" w:eastAsia="Calibri" w:hAnsi="Verdana" w:cs="Arial"/>
                <w:color w:val="ED7D31" w:themeColor="accent2"/>
                <w:lang w:val="es-ES" w:eastAsia="es-ES_tradnl"/>
              </w:rPr>
              <w:t xml:space="preserve">           </w:t>
            </w:r>
          </w:p>
        </w:tc>
        <w:tc>
          <w:tcPr>
            <w:tcW w:w="6100" w:type="dxa"/>
          </w:tcPr>
          <w:p w14:paraId="4531B347" w14:textId="77777777" w:rsidR="00CF70B3" w:rsidRPr="00A72128" w:rsidRDefault="00CF70B3" w:rsidP="00E4249C">
            <w:pPr>
              <w:ind w:left="3"/>
              <w:jc w:val="both"/>
              <w:rPr>
                <w:rFonts w:ascii="Verdana" w:hAnsi="Verdana"/>
                <w:lang w:val="es-ES"/>
              </w:rPr>
            </w:pPr>
            <w:r w:rsidRPr="00C5490E">
              <w:rPr>
                <w:rFonts w:ascii="Verdana" w:eastAsia="Calibri" w:hAnsi="Verdana" w:cs="Arial"/>
                <w:lang w:val="es-ES" w:eastAsia="es-ES"/>
              </w:rPr>
              <w:t xml:space="preserve">Respuesta a consulta con radicado No. </w:t>
            </w:r>
            <w:r>
              <w:rPr>
                <w:rFonts w:ascii="Verdana" w:hAnsi="Verdana" w:cs="Calibri"/>
                <w:color w:val="000000"/>
              </w:rPr>
              <w:t>1_2026_05_01_005959</w:t>
            </w:r>
          </w:p>
          <w:p w14:paraId="1EB789BB" w14:textId="77777777" w:rsidR="00CF70B3" w:rsidRPr="00C5490E" w:rsidRDefault="00CF70B3" w:rsidP="00E4249C">
            <w:pPr>
              <w:ind w:left="3"/>
              <w:jc w:val="both"/>
              <w:rPr>
                <w:rFonts w:ascii="Verdana" w:hAnsi="Verdana"/>
                <w:lang w:val="es-ES"/>
              </w:rPr>
            </w:pPr>
          </w:p>
        </w:tc>
      </w:tr>
    </w:tbl>
    <w:p w14:paraId="5A696AA2" w14:textId="77777777" w:rsidR="00CF70B3" w:rsidRDefault="00CF70B3" w:rsidP="00CF70B3">
      <w:pPr>
        <w:spacing w:after="0" w:line="276" w:lineRule="auto"/>
        <w:jc w:val="both"/>
        <w:rPr>
          <w:rFonts w:ascii="Verdana" w:eastAsia="Calibri" w:hAnsi="Verdana" w:cs="Arial"/>
          <w:lang w:val="es-ES" w:eastAsia="es-ES"/>
        </w:rPr>
      </w:pPr>
    </w:p>
    <w:p w14:paraId="192CB08F" w14:textId="77777777" w:rsidR="00CF70B3" w:rsidRPr="00C5490E" w:rsidRDefault="00CF70B3" w:rsidP="00CF70B3">
      <w:pPr>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Estimado Señor</w:t>
      </w:r>
      <w:r>
        <w:rPr>
          <w:rFonts w:ascii="Verdana" w:eastAsia="Calibri" w:hAnsi="Verdana" w:cs="Arial"/>
          <w:lang w:val="es-ES" w:eastAsia="es-ES"/>
        </w:rPr>
        <w:t>es</w:t>
      </w:r>
      <w:r w:rsidRPr="00C5490E">
        <w:rPr>
          <w:rFonts w:ascii="Verdana" w:eastAsia="Calibri" w:hAnsi="Verdana" w:cs="Arial"/>
          <w:lang w:val="es-ES" w:eastAsia="es-ES"/>
        </w:rPr>
        <w:t>,</w:t>
      </w:r>
    </w:p>
    <w:p w14:paraId="627E110C" w14:textId="77777777" w:rsidR="00CF70B3" w:rsidRPr="00C5490E" w:rsidRDefault="00CF70B3" w:rsidP="00CF70B3">
      <w:pPr>
        <w:tabs>
          <w:tab w:val="left" w:pos="3768"/>
        </w:tabs>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ab/>
      </w:r>
    </w:p>
    <w:p w14:paraId="1960F4EB" w14:textId="77777777" w:rsidR="00CF70B3" w:rsidRPr="00C5490E" w:rsidRDefault="00CF70B3" w:rsidP="00CF70B3">
      <w:pPr>
        <w:spacing w:after="0" w:line="276" w:lineRule="auto"/>
        <w:jc w:val="both"/>
        <w:rPr>
          <w:rFonts w:ascii="Verdana" w:eastAsia="Calibri" w:hAnsi="Verdana" w:cs="Arial"/>
          <w:lang w:val="es-ES" w:eastAsia="es-ES"/>
        </w:rPr>
      </w:pPr>
      <w:r w:rsidRPr="00852F26">
        <w:rPr>
          <w:rFonts w:ascii="Verdana" w:eastAsia="Calibri" w:hAnsi="Verdana" w:cs="Arial"/>
          <w:lang w:val="es-ES"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w:t>
      </w:r>
      <w:r>
        <w:rPr>
          <w:rFonts w:ascii="Verdana" w:eastAsia="Calibri" w:hAnsi="Verdana" w:cs="Arial"/>
          <w:lang w:val="es-ES" w:eastAsia="es-ES"/>
        </w:rPr>
        <w:t>01</w:t>
      </w:r>
      <w:r w:rsidRPr="00852F26">
        <w:rPr>
          <w:rFonts w:ascii="Verdana" w:eastAsia="Calibri" w:hAnsi="Verdana" w:cs="Arial"/>
          <w:lang w:val="es-ES" w:eastAsia="es-ES"/>
        </w:rPr>
        <w:t xml:space="preserve"> de </w:t>
      </w:r>
      <w:proofErr w:type="gramStart"/>
      <w:r>
        <w:rPr>
          <w:rFonts w:ascii="Verdana" w:eastAsia="Calibri" w:hAnsi="Verdana" w:cs="Arial"/>
          <w:lang w:val="es-ES" w:eastAsia="es-ES"/>
        </w:rPr>
        <w:t>Mayo</w:t>
      </w:r>
      <w:proofErr w:type="gramEnd"/>
      <w:r w:rsidRPr="00852F26">
        <w:rPr>
          <w:rFonts w:ascii="Verdana" w:eastAsia="Calibri" w:hAnsi="Verdana" w:cs="Arial"/>
          <w:lang w:val="es-ES" w:eastAsia="es-ES"/>
        </w:rPr>
        <w:t xml:space="preserve"> de 2026, en la cual manifiesta lo siguiente:</w:t>
      </w:r>
    </w:p>
    <w:p w14:paraId="37A0A301" w14:textId="77777777" w:rsidR="00CF70B3" w:rsidRDefault="00CF70B3" w:rsidP="00CF70B3">
      <w:pPr>
        <w:spacing w:after="0" w:line="240" w:lineRule="auto"/>
        <w:ind w:left="737" w:right="737"/>
        <w:contextualSpacing/>
        <w:jc w:val="both"/>
        <w:rPr>
          <w:rFonts w:ascii="Verdana" w:eastAsia="Century Gothic" w:hAnsi="Verdana" w:cs="Century Gothic"/>
          <w:i/>
          <w:iCs/>
          <w:sz w:val="20"/>
          <w:szCs w:val="20"/>
          <w:lang w:val="es-ES"/>
        </w:rPr>
      </w:pPr>
    </w:p>
    <w:p w14:paraId="289A29B8" w14:textId="77777777" w:rsidR="00CF70B3" w:rsidRPr="00B04C2A" w:rsidRDefault="00CF70B3" w:rsidP="00CF70B3">
      <w:pPr>
        <w:spacing w:after="0" w:line="240" w:lineRule="auto"/>
        <w:ind w:left="737" w:right="737"/>
        <w:contextualSpacing/>
        <w:jc w:val="both"/>
        <w:rPr>
          <w:rFonts w:ascii="Verdana" w:eastAsia="Century Gothic" w:hAnsi="Verdana" w:cs="Century Gothic"/>
          <w:lang w:val="es-ES"/>
        </w:rPr>
      </w:pPr>
      <w:r w:rsidRPr="00B04C2A">
        <w:rPr>
          <w:rFonts w:ascii="Verdana" w:eastAsia="Century Gothic" w:hAnsi="Verdana" w:cs="Century Gothic"/>
          <w:lang w:val="es-ES"/>
        </w:rPr>
        <w:t>“Solicitamos concepto sobre la viabilidad de mantener la modalidad de contratación directa en un proceso del sector defensa cuyo objeto es la adquisición de módulos electrónicos especializados con especificaciones de carácter reservado, cuya divulgación puede comprometer la seguridad nacional.</w:t>
      </w:r>
    </w:p>
    <w:p w14:paraId="3D3F2ED7" w14:textId="77777777" w:rsidR="00CF70B3" w:rsidRPr="00B04C2A" w:rsidRDefault="00CF70B3" w:rsidP="00CF70B3">
      <w:pPr>
        <w:spacing w:after="0" w:line="240" w:lineRule="auto"/>
        <w:ind w:left="737" w:right="737"/>
        <w:contextualSpacing/>
        <w:jc w:val="both"/>
        <w:rPr>
          <w:rFonts w:ascii="Verdana" w:eastAsia="Century Gothic" w:hAnsi="Verdana" w:cs="Century Gothic"/>
          <w:lang w:val="es-ES"/>
        </w:rPr>
      </w:pPr>
      <w:r w:rsidRPr="00B04C2A">
        <w:rPr>
          <w:rFonts w:ascii="Verdana" w:eastAsia="Century Gothic" w:hAnsi="Verdana" w:cs="Century Gothic"/>
          <w:lang w:val="es-ES"/>
        </w:rPr>
        <w:t xml:space="preserve">Aunque en etapa preliminar se evidenció interés de varios proveedores mediante evento de cotización en SECOP II, la entidad ha </w:t>
      </w:r>
      <w:proofErr w:type="gramStart"/>
      <w:r w:rsidRPr="00B04C2A">
        <w:rPr>
          <w:rFonts w:ascii="Verdana" w:eastAsia="Century Gothic" w:hAnsi="Verdana" w:cs="Century Gothic"/>
          <w:lang w:val="es-ES"/>
        </w:rPr>
        <w:t>identificado  que</w:t>
      </w:r>
      <w:proofErr w:type="gramEnd"/>
      <w:r w:rsidRPr="00B04C2A">
        <w:rPr>
          <w:rFonts w:ascii="Verdana" w:eastAsia="Century Gothic" w:hAnsi="Verdana" w:cs="Century Gothic"/>
          <w:lang w:val="es-ES"/>
        </w:rPr>
        <w:t xml:space="preserve"> no es posible garantizar acceso igualitario a la </w:t>
      </w:r>
      <w:r w:rsidRPr="00B04C2A">
        <w:rPr>
          <w:rFonts w:ascii="Verdana" w:eastAsia="Century Gothic" w:hAnsi="Verdana" w:cs="Century Gothic"/>
          <w:lang w:val="es-ES"/>
        </w:rPr>
        <w:lastRenderedPageBreak/>
        <w:t>información técnica ni estructurar condiciones objetivas de comparación.</w:t>
      </w:r>
    </w:p>
    <w:p w14:paraId="3BF4D462" w14:textId="77777777" w:rsidR="00CF70B3" w:rsidRPr="00B04C2A" w:rsidRDefault="00CF70B3" w:rsidP="00CF70B3">
      <w:pPr>
        <w:spacing w:after="0" w:line="240" w:lineRule="auto"/>
        <w:ind w:left="737" w:right="737"/>
        <w:contextualSpacing/>
        <w:jc w:val="both"/>
        <w:rPr>
          <w:rFonts w:ascii="Verdana" w:eastAsia="Century Gothic" w:hAnsi="Verdana" w:cs="Century Gothic"/>
          <w:lang w:val="es-ES"/>
        </w:rPr>
      </w:pPr>
    </w:p>
    <w:p w14:paraId="3A848B1E" w14:textId="77777777" w:rsidR="00CF70B3" w:rsidRPr="00B04C2A" w:rsidRDefault="00CF70B3" w:rsidP="00CF70B3">
      <w:pPr>
        <w:spacing w:after="0" w:line="240" w:lineRule="auto"/>
        <w:ind w:left="737" w:right="737"/>
        <w:contextualSpacing/>
        <w:jc w:val="both"/>
        <w:rPr>
          <w:rFonts w:ascii="Verdana" w:eastAsia="Century Gothic" w:hAnsi="Verdana" w:cs="Century Gothic"/>
          <w:lang w:val="es-ES"/>
        </w:rPr>
      </w:pPr>
      <w:r w:rsidRPr="00B04C2A">
        <w:rPr>
          <w:rFonts w:ascii="Verdana" w:eastAsia="Century Gothic" w:hAnsi="Verdana" w:cs="Century Gothic"/>
          <w:lang w:val="es-ES"/>
        </w:rPr>
        <w:t>En este contexto, y considerando la excepción prevista para defensa y seguridad en la Ley 996 de 2005, ¿resulta procedente mantener la contratación directa, entendiendo que la reserva técnica limita materialmente la competencia efectiva?</w:t>
      </w:r>
    </w:p>
    <w:p w14:paraId="09D9DDBC" w14:textId="77777777" w:rsidR="00CF70B3" w:rsidRPr="00CD496A" w:rsidRDefault="00CF70B3" w:rsidP="00CF70B3">
      <w:pPr>
        <w:spacing w:before="120" w:after="120"/>
        <w:ind w:right="709"/>
        <w:contextualSpacing/>
        <w:jc w:val="both"/>
        <w:rPr>
          <w:rFonts w:ascii="Verdana" w:eastAsia="Century Gothic" w:hAnsi="Verdana" w:cs="Century Gothic"/>
          <w:i/>
          <w:iCs/>
          <w:sz w:val="20"/>
          <w:szCs w:val="20"/>
        </w:rPr>
      </w:pPr>
    </w:p>
    <w:p w14:paraId="061C34FD" w14:textId="77777777" w:rsidR="00CF70B3" w:rsidRPr="00CD496A" w:rsidRDefault="00CF70B3" w:rsidP="00CF70B3">
      <w:pPr>
        <w:spacing w:after="120" w:line="276" w:lineRule="auto"/>
        <w:ind w:firstLine="708"/>
        <w:jc w:val="both"/>
        <w:rPr>
          <w:rFonts w:ascii="Verdana" w:eastAsia="Calibri" w:hAnsi="Verdana" w:cs="Arial"/>
          <w:lang w:val="es-ES" w:eastAsia="es-ES"/>
        </w:rPr>
      </w:pPr>
      <w:r w:rsidRPr="00CD496A">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D496A">
        <w:rPr>
          <w:rFonts w:ascii="Verdana" w:hAnsi="Verdana"/>
          <w:lang w:val="es-ES"/>
        </w:rPr>
        <w:tab/>
      </w:r>
    </w:p>
    <w:p w14:paraId="03299087" w14:textId="77777777" w:rsidR="00CF70B3" w:rsidRPr="00CD496A" w:rsidRDefault="00CF70B3" w:rsidP="00CF70B3">
      <w:pPr>
        <w:spacing w:after="0" w:line="276" w:lineRule="auto"/>
        <w:ind w:firstLine="709"/>
        <w:jc w:val="both"/>
        <w:rPr>
          <w:rFonts w:ascii="Verdana" w:eastAsia="Calibri" w:hAnsi="Verdana" w:cs="Arial"/>
          <w:lang w:val="es-ES" w:eastAsia="es-ES"/>
        </w:rPr>
      </w:pPr>
      <w:r w:rsidRPr="00CD496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C9A2A83" w14:textId="77777777" w:rsidR="00CF70B3" w:rsidRPr="00CD496A" w:rsidRDefault="00CF70B3" w:rsidP="00CF70B3">
      <w:pPr>
        <w:spacing w:after="0" w:line="276" w:lineRule="auto"/>
        <w:ind w:firstLine="709"/>
        <w:jc w:val="both"/>
        <w:rPr>
          <w:rFonts w:ascii="Verdana" w:eastAsia="Calibri" w:hAnsi="Verdana" w:cs="Arial"/>
          <w:lang w:val="es-ES" w:eastAsia="es-ES"/>
        </w:rPr>
      </w:pPr>
    </w:p>
    <w:p w14:paraId="715DC885" w14:textId="77777777" w:rsidR="00CF70B3" w:rsidRPr="00CD496A" w:rsidRDefault="00CF70B3" w:rsidP="00CF70B3">
      <w:pPr>
        <w:tabs>
          <w:tab w:val="left" w:pos="142"/>
          <w:tab w:val="left" w:pos="284"/>
        </w:tabs>
        <w:spacing w:after="0" w:line="276" w:lineRule="auto"/>
        <w:contextualSpacing/>
        <w:jc w:val="both"/>
        <w:rPr>
          <w:rFonts w:ascii="Verdana" w:eastAsia="Century Gothic" w:hAnsi="Verdana" w:cs="Century Gothic"/>
          <w:b/>
          <w:lang w:val="es-ES"/>
        </w:rPr>
      </w:pPr>
      <w:r w:rsidRPr="00CD496A">
        <w:rPr>
          <w:rFonts w:ascii="Verdana" w:eastAsia="Century Gothic" w:hAnsi="Verdana" w:cs="Century Gothic"/>
          <w:b/>
          <w:lang w:val="es-ES"/>
        </w:rPr>
        <w:t>1. Problema planteado:</w:t>
      </w:r>
    </w:p>
    <w:p w14:paraId="35E27A7F" w14:textId="77777777" w:rsidR="00CF70B3" w:rsidRPr="006733BD" w:rsidRDefault="00CF70B3" w:rsidP="00CF70B3">
      <w:pPr>
        <w:tabs>
          <w:tab w:val="left" w:pos="426"/>
        </w:tabs>
        <w:spacing w:after="0" w:line="276" w:lineRule="auto"/>
        <w:jc w:val="both"/>
        <w:rPr>
          <w:rFonts w:ascii="Verdana" w:eastAsia="Century Gothic" w:hAnsi="Verdana" w:cs="Century Gothic"/>
          <w:color w:val="ED7D31" w:themeColor="accent2"/>
          <w:lang w:val="es-ES"/>
        </w:rPr>
      </w:pPr>
    </w:p>
    <w:p w14:paraId="1505A886" w14:textId="6B674E0F" w:rsidR="00CF70B3" w:rsidRDefault="00CF70B3" w:rsidP="00CF70B3">
      <w:pPr>
        <w:spacing w:after="0" w:line="276" w:lineRule="auto"/>
        <w:jc w:val="both"/>
        <w:rPr>
          <w:rFonts w:ascii="Verdana" w:eastAsia="Century Gothic" w:hAnsi="Verdana" w:cs="Century Gothic"/>
        </w:rPr>
      </w:pPr>
      <w:r w:rsidRPr="00CD496A">
        <w:rPr>
          <w:rFonts w:ascii="Verdana" w:eastAsia="Century Gothic" w:hAnsi="Verdana" w:cs="Century Gothic"/>
          <w:lang w:val="es-ES"/>
        </w:rPr>
        <w:t xml:space="preserve">De acuerdo con el contenido de su solicitud, esta Agencia resolverá </w:t>
      </w:r>
      <w:r>
        <w:rPr>
          <w:rFonts w:ascii="Verdana" w:eastAsia="Century Gothic" w:hAnsi="Verdana" w:cs="Century Gothic"/>
          <w:lang w:val="es-ES"/>
        </w:rPr>
        <w:t>el</w:t>
      </w:r>
      <w:r w:rsidRPr="00CD496A">
        <w:rPr>
          <w:rFonts w:ascii="Verdana" w:eastAsia="Century Gothic" w:hAnsi="Verdana" w:cs="Century Gothic"/>
          <w:lang w:val="es-ES"/>
        </w:rPr>
        <w:t xml:space="preserve"> siguiente problema jurídico:</w:t>
      </w:r>
      <w:r w:rsidRPr="00CD496A">
        <w:rPr>
          <w:rFonts w:ascii="Verdana" w:eastAsia="Century Gothic" w:hAnsi="Verdana" w:cs="Century Gothic"/>
        </w:rPr>
        <w:t xml:space="preserve"> </w:t>
      </w:r>
      <w:r w:rsidRPr="00472774">
        <w:rPr>
          <w:rFonts w:ascii="Verdana" w:eastAsia="Century Gothic" w:hAnsi="Verdana" w:cs="Century Gothic"/>
        </w:rPr>
        <w:t>¿</w:t>
      </w:r>
      <w:r w:rsidRPr="00DB1FE8">
        <w:rPr>
          <w:rFonts w:ascii="Verdana" w:eastAsia="Century Gothic" w:hAnsi="Verdana" w:cs="Century Gothic"/>
        </w:rPr>
        <w:t>Es jurídicamente procedente la contratación directa, al amparo de la excepción de defensa y seguridad prevista en la Ley 996 de 2005, cuando una reserva técnica limita materialmente la pluralidad de oferentes y la competencia efectiva?</w:t>
      </w:r>
    </w:p>
    <w:p w14:paraId="78CE121C" w14:textId="77777777" w:rsidR="00CF70B3" w:rsidRDefault="00CF70B3" w:rsidP="00CF70B3">
      <w:pPr>
        <w:spacing w:after="0" w:line="276" w:lineRule="auto"/>
        <w:jc w:val="both"/>
        <w:rPr>
          <w:rFonts w:ascii="Verdana" w:eastAsia="Century Gothic" w:hAnsi="Verdana" w:cs="Century Gothic"/>
        </w:rPr>
      </w:pPr>
    </w:p>
    <w:p w14:paraId="69B6F6CA" w14:textId="77777777" w:rsidR="00CF70B3" w:rsidRDefault="00CF70B3" w:rsidP="00CF70B3">
      <w:pPr>
        <w:spacing w:after="0" w:line="276" w:lineRule="auto"/>
        <w:jc w:val="both"/>
        <w:rPr>
          <w:rFonts w:ascii="Verdana" w:eastAsia="Century Gothic" w:hAnsi="Verdana" w:cs="Century Gothic"/>
        </w:rPr>
      </w:pPr>
    </w:p>
    <w:p w14:paraId="046722C8" w14:textId="77777777" w:rsidR="00CF70B3" w:rsidRDefault="00CF70B3" w:rsidP="00CF70B3">
      <w:pPr>
        <w:spacing w:after="0" w:line="276" w:lineRule="auto"/>
        <w:jc w:val="both"/>
        <w:rPr>
          <w:rFonts w:ascii="Verdana" w:eastAsia="Century Gothic" w:hAnsi="Verdana" w:cs="Century Gothic"/>
        </w:rPr>
      </w:pPr>
    </w:p>
    <w:p w14:paraId="44428E23" w14:textId="77777777" w:rsidR="00CF70B3" w:rsidRPr="00CF70B3" w:rsidRDefault="00CF70B3" w:rsidP="00CF70B3">
      <w:pPr>
        <w:spacing w:after="0" w:line="276" w:lineRule="auto"/>
        <w:jc w:val="both"/>
        <w:rPr>
          <w:rFonts w:ascii="Verdana" w:eastAsia="Century Gothic" w:hAnsi="Verdana" w:cs="Century Gothic"/>
        </w:rPr>
      </w:pPr>
    </w:p>
    <w:p w14:paraId="7B4C127E" w14:textId="77777777" w:rsidR="00CF70B3" w:rsidRPr="006733BD" w:rsidRDefault="00CF70B3" w:rsidP="00CF70B3">
      <w:pPr>
        <w:spacing w:after="0" w:line="276" w:lineRule="auto"/>
        <w:jc w:val="both"/>
        <w:rPr>
          <w:rFonts w:ascii="Verdana" w:eastAsia="Century Gothic" w:hAnsi="Verdana" w:cs="Century Gothic"/>
          <w:color w:val="ED7D31" w:themeColor="accent2"/>
        </w:rPr>
      </w:pPr>
    </w:p>
    <w:p w14:paraId="306E5460" w14:textId="77777777" w:rsidR="00CF70B3" w:rsidRPr="006733BD" w:rsidRDefault="00CF70B3" w:rsidP="00CF70B3">
      <w:pPr>
        <w:tabs>
          <w:tab w:val="left" w:pos="142"/>
          <w:tab w:val="left" w:pos="284"/>
        </w:tabs>
        <w:spacing w:after="0" w:line="276" w:lineRule="auto"/>
        <w:jc w:val="both"/>
        <w:rPr>
          <w:rFonts w:ascii="Verdana" w:eastAsia="Century Gothic" w:hAnsi="Verdana" w:cs="Century Gothic"/>
          <w:b/>
          <w:color w:val="ED7D31" w:themeColor="accent2"/>
          <w:lang w:val="es-ES"/>
        </w:rPr>
      </w:pPr>
      <w:r w:rsidRPr="00CD496A">
        <w:rPr>
          <w:rFonts w:ascii="Verdana" w:eastAsia="Century Gothic" w:hAnsi="Verdana" w:cs="Century Gothic"/>
          <w:b/>
          <w:lang w:val="es-ES"/>
        </w:rPr>
        <w:t>2. Respuesta:</w:t>
      </w:r>
    </w:p>
    <w:p w14:paraId="13A7B03C" w14:textId="77777777" w:rsidR="00CF70B3" w:rsidRPr="006733BD" w:rsidRDefault="00CF70B3" w:rsidP="00CF70B3">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F70B3" w:rsidRPr="006733BD" w14:paraId="0DF1C3DE" w14:textId="77777777" w:rsidTr="00E4249C">
        <w:tc>
          <w:tcPr>
            <w:tcW w:w="8828" w:type="dxa"/>
          </w:tcPr>
          <w:p w14:paraId="23209A9B" w14:textId="77777777" w:rsidR="00CF70B3" w:rsidRPr="00CE01E2" w:rsidRDefault="00CF70B3" w:rsidP="00E4249C">
            <w:pPr>
              <w:pStyle w:val="Textoindependiente"/>
              <w:tabs>
                <w:tab w:val="left" w:pos="6225"/>
              </w:tabs>
              <w:spacing w:line="276" w:lineRule="auto"/>
              <w:ind w:firstLine="709"/>
              <w:jc w:val="both"/>
              <w:rPr>
                <w:rFonts w:ascii="Verdana" w:eastAsia="Calibri" w:hAnsi="Verdana" w:cs="Arial"/>
                <w:bCs/>
                <w:szCs w:val="24"/>
                <w:lang w:eastAsia="es-ES_tradnl"/>
              </w:rPr>
            </w:pPr>
            <w:r w:rsidRPr="00CE01E2">
              <w:rPr>
                <w:rFonts w:ascii="Verdana" w:eastAsia="Calibri" w:hAnsi="Verdana" w:cs="Arial"/>
                <w:bCs/>
                <w:szCs w:val="24"/>
                <w:lang w:eastAsia="es-ES_tradnl"/>
              </w:rPr>
              <w:t xml:space="preserve">Para dar respuesta al problema jurídico planteado, resulta pertinente señalar que la Ley de Garantías Electorales </w:t>
            </w:r>
            <w:r w:rsidRPr="00CE01E2">
              <w:rPr>
                <w:rFonts w:ascii="Verdana" w:hAnsi="Verdana" w:cs="Arial"/>
                <w:lang w:val="es-ES"/>
              </w:rPr>
              <w:t>establece restricciones específicas para la contratación pública durante los períodos electorales, particularmente en lo que respecta a la contratación directa y a la celebración de convenios interadministrativos financiados con recursos del presupuesto estatal.</w:t>
            </w:r>
          </w:p>
          <w:p w14:paraId="34D7F79D" w14:textId="77777777" w:rsidR="00CF70B3" w:rsidRPr="00CE01E2" w:rsidRDefault="00CF70B3" w:rsidP="00E4249C">
            <w:pPr>
              <w:pStyle w:val="Textoindependiente"/>
              <w:tabs>
                <w:tab w:val="left" w:pos="6225"/>
              </w:tabs>
              <w:spacing w:line="276" w:lineRule="auto"/>
              <w:ind w:firstLine="709"/>
              <w:jc w:val="both"/>
              <w:rPr>
                <w:rFonts w:ascii="Verdana" w:eastAsia="Calibri" w:hAnsi="Verdana" w:cs="Arial"/>
                <w:bCs/>
                <w:szCs w:val="24"/>
                <w:lang w:eastAsia="es-ES_tradnl"/>
              </w:rPr>
            </w:pPr>
            <w:r w:rsidRPr="00CE01E2">
              <w:rPr>
                <w:rFonts w:ascii="Verdana" w:eastAsia="Calibri" w:hAnsi="Verdana" w:cs="Arial"/>
                <w:bCs/>
                <w:szCs w:val="24"/>
                <w:lang w:eastAsia="es-ES_tradnl"/>
              </w:rPr>
              <w:t xml:space="preserve">Por un lado, el artículo 33 de la Ley 996 de 2005 establece que, durante los cuatro (4) meses anteriores a la elección presidencial y hasta la realización de la segunda vuelta, si fuere el caso, queda prohibida la contratación directa por parte de todos los entes del Estado. No obstante, la citada disposición prevé determinadas excepciones a dicha restricción, entre las cuales se encuentran los contratos relacionados con la defensa y seguridad del Estado, los contratos de crédito público, aquellos requeridos para atender emergencias educativas, sanitarias o desastres, así como los destinados a la reconstrucción de vías, puentes, carreteras, infraestructura energética y de comunicaciones cuando hayan sido afectados por atentados, acciones terroristas, desastres naturales o casos de fuerza mayor, y los que deban celebrar las entidades sanitarias y hospitalaria. </w:t>
            </w:r>
          </w:p>
          <w:p w14:paraId="5C430A90" w14:textId="77777777" w:rsidR="00CF70B3" w:rsidRPr="00CE01E2" w:rsidRDefault="00CF70B3" w:rsidP="00E4249C">
            <w:pPr>
              <w:pStyle w:val="Textoindependiente"/>
              <w:tabs>
                <w:tab w:val="left" w:pos="6225"/>
              </w:tabs>
              <w:spacing w:line="276" w:lineRule="auto"/>
              <w:ind w:firstLine="709"/>
              <w:jc w:val="both"/>
              <w:rPr>
                <w:rFonts w:ascii="Verdana" w:eastAsia="Calibri" w:hAnsi="Verdana" w:cs="Arial"/>
                <w:bCs/>
                <w:szCs w:val="24"/>
                <w:lang w:eastAsia="es-ES_tradnl"/>
              </w:rPr>
            </w:pPr>
            <w:r w:rsidRPr="00294702">
              <w:rPr>
                <w:rFonts w:ascii="Verdana" w:hAnsi="Verdana" w:cs="Arial"/>
                <w:color w:val="000000" w:themeColor="text1"/>
                <w:lang w:val="es-ES"/>
              </w:rPr>
              <w:t xml:space="preserve">Tal y como se </w:t>
            </w:r>
            <w:r w:rsidRPr="00CE01E2">
              <w:rPr>
                <w:rFonts w:ascii="Verdana" w:hAnsi="Verdana" w:cs="Arial"/>
                <w:color w:val="000000" w:themeColor="text1"/>
                <w:lang w:val="es-ES"/>
              </w:rPr>
              <w:t>analizará</w:t>
            </w:r>
            <w:r w:rsidRPr="00294702">
              <w:rPr>
                <w:rFonts w:ascii="Verdana" w:hAnsi="Verdana" w:cs="Arial"/>
                <w:color w:val="000000" w:themeColor="text1"/>
                <w:lang w:val="es-ES"/>
              </w:rPr>
              <w:t xml:space="preserve"> en el presente concepto, la expresión “defensa y seguridad del Estado”, empleada por el segundo inciso del artículo 33 de la Ley 996 de 2005 –y que se halla también en otras disposiciones normativas con la denominación de “defensa y seguridad nacional”– es un </w:t>
            </w:r>
            <w:r w:rsidRPr="00294702">
              <w:rPr>
                <w:rFonts w:ascii="Verdana" w:hAnsi="Verdana" w:cs="Arial"/>
                <w:i/>
                <w:iCs/>
                <w:color w:val="000000" w:themeColor="text1"/>
                <w:lang w:val="es-ES"/>
              </w:rPr>
              <w:t>concepto jurídico indeterminado</w:t>
            </w:r>
            <w:r w:rsidRPr="00294702">
              <w:rPr>
                <w:rFonts w:ascii="Verdana" w:hAnsi="Verdana" w:cs="Arial"/>
                <w:color w:val="000000" w:themeColor="text1"/>
                <w:lang w:val="es-ES"/>
              </w:rPr>
              <w:t xml:space="preserve"> que las entidades estatales deben aplicar teniendo en cuenta la situación fáctica particular. En todo caso, el Consejo de Estado es claro en indicar que tal concepto, en materia contractual, va más allá de la sola adquisición de armamento o de los bienes y actividades requeridas para la “guerra”. Para el alto tribunal, aquel es un concepto que debe interpretarse bajo una comprensión sistemática del orden público. Por tanto, considerando estos criterios hermenéuticos, corresponde a la entidad que realiza la consulta interpretar el concepto jurídico “defensa y seguridad del Estado”, para determinar si se presenta la excepción a la contratación directa prevista en el segundo inciso del artículo 33 de la Ley 996 de 2005.    </w:t>
            </w:r>
          </w:p>
          <w:p w14:paraId="12F92FED" w14:textId="77777777" w:rsidR="00CF70B3" w:rsidRPr="00CE01E2" w:rsidRDefault="00CF70B3" w:rsidP="00E4249C">
            <w:pPr>
              <w:pStyle w:val="Textoindependiente"/>
              <w:tabs>
                <w:tab w:val="left" w:pos="6225"/>
              </w:tabs>
              <w:spacing w:line="276" w:lineRule="auto"/>
              <w:ind w:firstLine="709"/>
              <w:jc w:val="both"/>
              <w:rPr>
                <w:rFonts w:ascii="Verdana" w:eastAsia="Calibri" w:hAnsi="Verdana" w:cs="Arial"/>
                <w:bCs/>
                <w:szCs w:val="24"/>
                <w:lang w:eastAsia="es-ES_tradnl"/>
              </w:rPr>
            </w:pPr>
            <w:r w:rsidRPr="00CE01E2">
              <w:rPr>
                <w:rFonts w:ascii="Verdana" w:eastAsia="Calibri" w:hAnsi="Verdana" w:cs="Arial"/>
                <w:bCs/>
                <w:szCs w:val="24"/>
                <w:lang w:eastAsia="es-ES_tradnl"/>
              </w:rPr>
              <w:t xml:space="preserve">Por otro lado, el parágrafo del artículo 38 de la misma Ley establece una restricción específica dirigida a las autoridades del orden territorial, al disponer que los gobernadores, alcaldes, secretarios, gerentes y directores de las entidades del orden departamental, distrital o municipal no podrán celebrar </w:t>
            </w:r>
            <w:r w:rsidRPr="00CE01E2">
              <w:rPr>
                <w:rFonts w:ascii="Verdana" w:eastAsia="Calibri" w:hAnsi="Verdana" w:cs="Arial"/>
                <w:bCs/>
                <w:szCs w:val="24"/>
                <w:lang w:eastAsia="es-ES_tradnl"/>
              </w:rPr>
              <w:lastRenderedPageBreak/>
              <w:t>convenios interadministrativos para la ejecución de recursos públicos dentro de los cuatro (4) meses anteriores a la respectiva jornada electoral.</w:t>
            </w:r>
          </w:p>
          <w:p w14:paraId="7CB04301" w14:textId="77777777" w:rsidR="00CF70B3" w:rsidRPr="00CE01E2" w:rsidRDefault="00CF70B3" w:rsidP="00E4249C">
            <w:pPr>
              <w:pStyle w:val="Textoindependiente"/>
              <w:tabs>
                <w:tab w:val="left" w:pos="6225"/>
              </w:tabs>
              <w:spacing w:line="276" w:lineRule="auto"/>
              <w:ind w:firstLine="709"/>
              <w:jc w:val="both"/>
              <w:rPr>
                <w:rFonts w:ascii="Verdana" w:eastAsia="Calibri" w:hAnsi="Verdana" w:cs="Arial"/>
                <w:bCs/>
                <w:szCs w:val="24"/>
                <w:lang w:eastAsia="es-ES_tradnl"/>
              </w:rPr>
            </w:pPr>
            <w:r w:rsidRPr="00CE01E2">
              <w:rPr>
                <w:rFonts w:ascii="Verdana" w:eastAsia="Calibri" w:hAnsi="Verdana" w:cs="Arial"/>
                <w:bCs/>
                <w:szCs w:val="24"/>
                <w:lang w:eastAsia="es-ES_tradnl"/>
              </w:rPr>
              <w:t>En ese sentido, cuando una o ambas partes de la relación contractual correspondan a alguna de las autoridades o entidades señaladas en el citado parágrafo – como es el caso de los alcaldes municipales –, no resultará jurídicamente viable la celebración de convenios interadministrativos durante el periodo de aplicación de la Ley de Garantías Electorales, en la medida en que la prohibición establecida por el legislador recae expresamente sobre dicha tipología contractual cuando implique la ejecución de recursos públicos.</w:t>
            </w:r>
          </w:p>
          <w:p w14:paraId="11076824" w14:textId="77777777" w:rsidR="00CF70B3" w:rsidRPr="00294702" w:rsidRDefault="00CF70B3" w:rsidP="00E4249C">
            <w:pPr>
              <w:spacing w:after="120"/>
              <w:ind w:firstLine="709"/>
              <w:jc w:val="both"/>
              <w:rPr>
                <w:rFonts w:ascii="Verdana" w:eastAsia="Century Gothic" w:hAnsi="Verdana" w:cs="Century Gothic"/>
                <w:lang w:val="es-ES"/>
              </w:rPr>
            </w:pPr>
            <w:r w:rsidRPr="00CE01E2">
              <w:rPr>
                <w:rFonts w:ascii="Verdana" w:eastAsia="Calibri" w:hAnsi="Verdana" w:cs="Arial"/>
                <w:bCs/>
                <w:szCs w:val="24"/>
                <w:lang w:eastAsia="es-ES_tradnl"/>
              </w:rPr>
              <w:t xml:space="preserve">En importante </w:t>
            </w:r>
            <w:proofErr w:type="gramStart"/>
            <w:r w:rsidRPr="00CE01E2">
              <w:rPr>
                <w:rFonts w:ascii="Verdana" w:eastAsia="Calibri" w:hAnsi="Verdana" w:cs="Arial"/>
                <w:bCs/>
                <w:szCs w:val="24"/>
                <w:lang w:eastAsia="es-ES_tradnl"/>
              </w:rPr>
              <w:t>precisar</w:t>
            </w:r>
            <w:proofErr w:type="gramEnd"/>
            <w:r w:rsidRPr="00CE01E2">
              <w:rPr>
                <w:rFonts w:ascii="Verdana" w:eastAsia="Calibri" w:hAnsi="Verdana" w:cs="Arial"/>
                <w:bCs/>
                <w:szCs w:val="24"/>
                <w:lang w:eastAsia="es-ES_tradnl"/>
              </w:rPr>
              <w:t xml:space="preserve"> que, </w:t>
            </w:r>
            <w:r w:rsidRPr="00CE01E2">
              <w:rPr>
                <w:rFonts w:ascii="Verdana" w:eastAsia="Century Gothic" w:hAnsi="Verdana" w:cs="Century Gothic"/>
                <w:lang w:val="es-ES"/>
              </w:rPr>
              <w:t xml:space="preserve">el parágrafo referido no estableció ningún supuesto que exceptúe la aplicación de esta prohibición, por lo que la restricción referida a la celebración de convenios interadministrativos aplicará a los sujetos allí señalados, “aunque se configure alguno de los supuestos de excepción que señaló el inciso final del artículo 33”. </w:t>
            </w:r>
          </w:p>
          <w:p w14:paraId="6432DA68" w14:textId="77777777" w:rsidR="00CF70B3" w:rsidRPr="001669C8" w:rsidRDefault="00CF70B3" w:rsidP="00E4249C">
            <w:pPr>
              <w:spacing w:after="120"/>
              <w:ind w:firstLine="709"/>
              <w:jc w:val="both"/>
              <w:rPr>
                <w:rFonts w:ascii="Verdana" w:eastAsia="Calibri" w:hAnsi="Verdana" w:cs="Arial"/>
                <w:bCs/>
                <w:szCs w:val="24"/>
                <w:lang w:eastAsia="es-ES_tradnl"/>
              </w:rPr>
            </w:pPr>
            <w:r w:rsidRPr="00CE01E2">
              <w:rPr>
                <w:rFonts w:ascii="Verdana" w:eastAsia="Calibri" w:hAnsi="Verdana" w:cs="Arial"/>
                <w:bCs/>
                <w:szCs w:val="24"/>
                <w:lang w:eastAsia="es-ES_tradnl"/>
              </w:rPr>
              <w:t>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p>
        </w:tc>
      </w:tr>
    </w:tbl>
    <w:p w14:paraId="0EF3C756" w14:textId="77777777" w:rsidR="00CF70B3" w:rsidRPr="00416686" w:rsidRDefault="00CF70B3" w:rsidP="00CF70B3">
      <w:pPr>
        <w:tabs>
          <w:tab w:val="left" w:pos="142"/>
          <w:tab w:val="left" w:pos="284"/>
        </w:tabs>
        <w:spacing w:after="0" w:line="276" w:lineRule="auto"/>
        <w:jc w:val="both"/>
        <w:rPr>
          <w:rFonts w:ascii="Verdana" w:eastAsia="Century Gothic" w:hAnsi="Verdana" w:cs="Century Gothic"/>
          <w:b/>
          <w:bCs/>
        </w:rPr>
      </w:pPr>
    </w:p>
    <w:p w14:paraId="3932DDBF" w14:textId="77777777" w:rsidR="00CF70B3" w:rsidRPr="00BD7BE2" w:rsidRDefault="00CF70B3" w:rsidP="00CF70B3">
      <w:pPr>
        <w:tabs>
          <w:tab w:val="left" w:pos="142"/>
          <w:tab w:val="left" w:pos="284"/>
        </w:tabs>
        <w:spacing w:after="0" w:line="276" w:lineRule="auto"/>
        <w:jc w:val="both"/>
        <w:rPr>
          <w:rFonts w:ascii="Verdana" w:eastAsia="Century Gothic" w:hAnsi="Verdana" w:cs="Century Gothic"/>
          <w:b/>
          <w:lang w:val="es-ES"/>
        </w:rPr>
      </w:pPr>
      <w:r w:rsidRPr="00CD496A">
        <w:rPr>
          <w:rFonts w:ascii="Verdana" w:eastAsia="Century Gothic" w:hAnsi="Verdana" w:cs="Century Gothic"/>
          <w:b/>
          <w:lang w:val="es-ES"/>
        </w:rPr>
        <w:t>3. Razones de la respuesta:</w:t>
      </w:r>
    </w:p>
    <w:p w14:paraId="6F71C85E" w14:textId="77777777" w:rsidR="00CF70B3" w:rsidRDefault="00CF70B3" w:rsidP="00CF70B3">
      <w:pPr>
        <w:spacing w:after="0" w:line="276" w:lineRule="auto"/>
        <w:jc w:val="both"/>
        <w:rPr>
          <w:rFonts w:ascii="Verdana" w:eastAsia="Calibri" w:hAnsi="Verdana" w:cs="Arial"/>
          <w:lang w:val="es-ES"/>
        </w:rPr>
      </w:pPr>
    </w:p>
    <w:p w14:paraId="7B20B222" w14:textId="77777777" w:rsidR="00CF70B3" w:rsidRDefault="00CF70B3" w:rsidP="00CF70B3">
      <w:pPr>
        <w:spacing w:after="0" w:line="276" w:lineRule="auto"/>
        <w:jc w:val="both"/>
        <w:rPr>
          <w:rFonts w:ascii="Verdana" w:eastAsia="Calibri" w:hAnsi="Verdana" w:cs="Arial"/>
          <w:lang w:val="es-ES"/>
        </w:rPr>
      </w:pPr>
      <w:r w:rsidRPr="00B52642">
        <w:rPr>
          <w:rFonts w:ascii="Verdana" w:eastAsia="Calibri" w:hAnsi="Verdana" w:cs="Arial"/>
          <w:lang w:val="es-ES"/>
        </w:rPr>
        <w:t xml:space="preserve">Las respuestas anteriores se sustentan en las siguientes consideraciones: </w:t>
      </w:r>
    </w:p>
    <w:p w14:paraId="305EC973" w14:textId="77777777" w:rsidR="00CF70B3" w:rsidRPr="00E11762" w:rsidRDefault="00CF70B3" w:rsidP="00CF70B3">
      <w:pPr>
        <w:spacing w:after="0" w:line="276" w:lineRule="auto"/>
        <w:jc w:val="both"/>
        <w:rPr>
          <w:rFonts w:ascii="Verdana" w:eastAsia="Calibri" w:hAnsi="Verdana" w:cs="Arial"/>
          <w:lang w:val="es-ES"/>
        </w:rPr>
      </w:pPr>
    </w:p>
    <w:p w14:paraId="3F63076F" w14:textId="77777777" w:rsidR="00CF70B3" w:rsidRPr="00C13395" w:rsidRDefault="00CF70B3" w:rsidP="00CF70B3">
      <w:pPr>
        <w:spacing w:after="120" w:line="276" w:lineRule="auto"/>
        <w:jc w:val="both"/>
        <w:rPr>
          <w:rFonts w:ascii="Verdana" w:eastAsia="Century Gothic" w:hAnsi="Verdana" w:cs="Century Gothic"/>
          <w:bCs/>
          <w:lang w:val="es-ES_tradnl"/>
        </w:rPr>
      </w:pPr>
      <w:bookmarkStart w:id="1" w:name="_Hlk102983874"/>
      <w:bookmarkStart w:id="2" w:name="_Hlk102388095"/>
      <w:r w:rsidRPr="00CC581A">
        <w:rPr>
          <w:rFonts w:ascii="Verdana" w:hAnsi="Verdana" w:cs="Arial"/>
          <w:bCs/>
          <w:lang w:val="es-ES_tradnl" w:eastAsia="es-ES" w:bidi="es-ES"/>
        </w:rPr>
        <w:t>i)</w:t>
      </w:r>
      <w:r>
        <w:rPr>
          <w:rFonts w:ascii="Verdana" w:hAnsi="Verdana" w:cs="Arial"/>
          <w:bCs/>
          <w:lang w:val="es-ES_tradnl" w:eastAsia="es-ES" w:bidi="es-ES"/>
        </w:rPr>
        <w:t xml:space="preserve"> </w:t>
      </w:r>
      <w:r w:rsidRPr="00C13395">
        <w:rPr>
          <w:rFonts w:ascii="Verdana" w:eastAsia="Century Gothic" w:hAnsi="Verdana" w:cs="Century Gothic"/>
          <w:bCs/>
          <w:lang w:val="es-ES_tradnl"/>
        </w:rPr>
        <w:t xml:space="preserve">El ordenamiento jurídico colombiano contempla diferentes medidas para evitar la obtención de beneficios personales en asuntos propios de la administración pública. Por ejemplo, el artículo 127 de la Constitución Política establece una prohibición contractual a los servidores públicos y, en cuanto a aspectos políticos, señala restricciones a ciertos empleados del Estado, incluso en época no electoral. </w:t>
      </w:r>
    </w:p>
    <w:p w14:paraId="5521122D"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lastRenderedPageBreak/>
        <w:t xml:space="preserve">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 </w:t>
      </w:r>
    </w:p>
    <w:p w14:paraId="70C334EB" w14:textId="77777777" w:rsidR="00CF70B3" w:rsidRDefault="00CF70B3" w:rsidP="00CF70B3">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En armonía con lo anterior, la Corte Constitucional ha abordado la definición de la Ley de Garantías Electorales. De esta manera, explica que tiene como propósito:</w:t>
      </w:r>
    </w:p>
    <w:p w14:paraId="0BD1FCC8" w14:textId="77777777" w:rsidR="00CF70B3" w:rsidRPr="00C13395" w:rsidRDefault="00CF70B3" w:rsidP="00CF70B3">
      <w:pPr>
        <w:spacing w:after="0" w:line="276" w:lineRule="auto"/>
        <w:ind w:firstLine="708"/>
        <w:jc w:val="both"/>
        <w:rPr>
          <w:rFonts w:ascii="Verdana" w:eastAsia="Century Gothic" w:hAnsi="Verdana" w:cs="Century Gothic"/>
          <w:bCs/>
          <w:lang w:val="es-ES_tradnl"/>
        </w:rPr>
      </w:pPr>
    </w:p>
    <w:p w14:paraId="11DB3D3B" w14:textId="77777777" w:rsidR="00CF70B3" w:rsidRPr="00C13395" w:rsidRDefault="00CF70B3" w:rsidP="00CF70B3">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la definición de reglas claras que permitan acceder a los canales de expresión democrática de manera efectiva e igualitaria. El objetivo de una ley de garantías es definir esas reglas.</w:t>
      </w:r>
    </w:p>
    <w:p w14:paraId="22C8B93B" w14:textId="77777777" w:rsidR="00CF70B3" w:rsidRPr="00C13395" w:rsidRDefault="00CF70B3" w:rsidP="00CF70B3">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 </w:t>
      </w:r>
    </w:p>
    <w:p w14:paraId="0976DA23" w14:textId="77777777" w:rsidR="00CF70B3" w:rsidRDefault="00CF70B3" w:rsidP="00CF70B3">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p>
    <w:p w14:paraId="2F9B320E" w14:textId="77777777" w:rsidR="00CF70B3" w:rsidRPr="00C13395" w:rsidRDefault="00CF70B3" w:rsidP="00CF70B3">
      <w:pPr>
        <w:spacing w:after="0" w:line="276" w:lineRule="auto"/>
        <w:ind w:left="709" w:right="709"/>
        <w:jc w:val="both"/>
        <w:rPr>
          <w:rFonts w:ascii="Verdana" w:eastAsia="Century Gothic" w:hAnsi="Verdana" w:cs="Century Gothic"/>
          <w:bCs/>
          <w:sz w:val="20"/>
          <w:szCs w:val="20"/>
          <w:lang w:val="es-ES_tradnl"/>
        </w:rPr>
      </w:pPr>
    </w:p>
    <w:p w14:paraId="6FDC058B" w14:textId="77777777" w:rsidR="00CF70B3" w:rsidRDefault="00CF70B3" w:rsidP="00CF70B3">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66CDAA1E" w14:textId="77777777" w:rsidR="00CF70B3" w:rsidRPr="00C13395" w:rsidRDefault="00CF70B3" w:rsidP="00CF70B3">
      <w:pPr>
        <w:spacing w:after="0" w:line="276" w:lineRule="auto"/>
        <w:ind w:firstLine="708"/>
        <w:jc w:val="both"/>
        <w:rPr>
          <w:rFonts w:ascii="Verdana" w:eastAsia="Century Gothic" w:hAnsi="Verdana" w:cs="Century Gothic"/>
          <w:bCs/>
          <w:lang w:val="es-ES_tradnl"/>
        </w:rPr>
      </w:pPr>
    </w:p>
    <w:p w14:paraId="7B042E37" w14:textId="77777777" w:rsidR="00CF70B3" w:rsidRDefault="00CF70B3" w:rsidP="00CF70B3">
      <w:pPr>
        <w:spacing w:after="0" w:line="240" w:lineRule="auto"/>
        <w:ind w:left="709" w:right="709"/>
        <w:jc w:val="both"/>
        <w:rPr>
          <w:rFonts w:ascii="Verdana" w:eastAsia="Century Gothic" w:hAnsi="Verdana" w:cs="Century Gothic"/>
          <w:sz w:val="20"/>
          <w:szCs w:val="20"/>
          <w:lang w:val="es-ES"/>
        </w:rPr>
      </w:pPr>
      <w:r w:rsidRPr="122F1934">
        <w:rPr>
          <w:rFonts w:ascii="Verdana" w:eastAsia="Century Gothic" w:hAnsi="Verdana" w:cs="Century Gothic"/>
          <w:sz w:val="20"/>
          <w:szCs w:val="20"/>
          <w:lang w:val="es-ES"/>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122F1934">
        <w:rPr>
          <w:rFonts w:ascii="Verdana" w:eastAsia="Century Gothic" w:hAnsi="Verdana" w:cs="Century Gothic"/>
          <w:sz w:val="20"/>
          <w:szCs w:val="20"/>
          <w:lang w:val="es-ES"/>
        </w:rPr>
        <w:t>legis</w:t>
      </w:r>
      <w:proofErr w:type="spellEnd"/>
      <w:r w:rsidRPr="122F1934">
        <w:rPr>
          <w:rFonts w:ascii="Verdana" w:eastAsia="Century Gothic" w:hAnsi="Verdana" w:cs="Century Gothic"/>
          <w:sz w:val="20"/>
          <w:szCs w:val="20"/>
          <w:lang w:val="es-ES"/>
        </w:rPr>
        <w:t xml:space="preserve"> o iuris y la interpretación extensiva. Las normas legales de contenido </w:t>
      </w:r>
      <w:r w:rsidRPr="122F1934">
        <w:rPr>
          <w:rFonts w:ascii="Verdana" w:eastAsia="Century Gothic" w:hAnsi="Verdana" w:cs="Century Gothic"/>
          <w:sz w:val="20"/>
          <w:szCs w:val="20"/>
          <w:lang w:val="es-ES"/>
        </w:rPr>
        <w:lastRenderedPageBreak/>
        <w:t>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A6DF4B4" w14:textId="77777777" w:rsidR="00CF70B3" w:rsidRPr="00C13395" w:rsidRDefault="00CF70B3" w:rsidP="00CF70B3">
      <w:pPr>
        <w:spacing w:after="0" w:line="240" w:lineRule="auto"/>
        <w:ind w:left="709" w:right="709"/>
        <w:jc w:val="both"/>
        <w:rPr>
          <w:rFonts w:ascii="Verdana" w:eastAsia="Century Gothic" w:hAnsi="Verdana" w:cs="Century Gothic"/>
          <w:sz w:val="20"/>
          <w:szCs w:val="20"/>
          <w:lang w:val="es-ES"/>
        </w:rPr>
      </w:pPr>
    </w:p>
    <w:p w14:paraId="17519FFE" w14:textId="77777777" w:rsidR="00CF70B3" w:rsidRDefault="00CF70B3" w:rsidP="00CF70B3">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La jurisprudencia de la Corte Constitucional y del Consejo de Estado,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 .</w:t>
      </w:r>
    </w:p>
    <w:p w14:paraId="31739DC1" w14:textId="77777777" w:rsidR="00CF70B3" w:rsidRPr="00C13395" w:rsidRDefault="00CF70B3" w:rsidP="00CF70B3">
      <w:pPr>
        <w:spacing w:after="0" w:line="276" w:lineRule="auto"/>
        <w:ind w:left="709" w:right="709"/>
        <w:jc w:val="both"/>
        <w:rPr>
          <w:rFonts w:ascii="Verdana" w:eastAsia="Century Gothic" w:hAnsi="Verdana" w:cs="Century Gothic"/>
          <w:bCs/>
          <w:sz w:val="20"/>
          <w:szCs w:val="20"/>
          <w:lang w:val="es-ES_tradnl"/>
        </w:rPr>
      </w:pPr>
    </w:p>
    <w:p w14:paraId="3B77BDB8"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7BB6160E"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Las restricciones </w:t>
      </w:r>
      <w:r>
        <w:rPr>
          <w:rFonts w:ascii="Verdana" w:eastAsia="Century Gothic" w:hAnsi="Verdana" w:cs="Century Gothic"/>
          <w:bCs/>
          <w:lang w:val="es-ES_tradnl"/>
        </w:rPr>
        <w:t xml:space="preserve">en materia de contratación estatal </w:t>
      </w:r>
      <w:r w:rsidRPr="00C13395">
        <w:rPr>
          <w:rFonts w:ascii="Verdana" w:eastAsia="Century Gothic" w:hAnsi="Verdana" w:cs="Century Gothic"/>
          <w:bCs/>
          <w:lang w:val="es-ES_tradnl"/>
        </w:rPr>
        <w:t>consagradas en la Ley de Garantías Electorales se dirigen a dos (2) tipos de campañas electorales diferenciadas: las presidenciales y las que se adelanten para la elección de los demás cargos de elección popular, tanto a nivel nacional como territorial.</w:t>
      </w:r>
    </w:p>
    <w:p w14:paraId="13790B9A"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Pr>
          <w:rFonts w:ascii="Verdana" w:eastAsia="Century Gothic" w:hAnsi="Verdana" w:cs="Century Gothic"/>
          <w:bCs/>
          <w:lang w:val="es-ES_tradnl"/>
        </w:rPr>
        <w:t>E</w:t>
      </w:r>
      <w:r w:rsidRPr="00C13395">
        <w:rPr>
          <w:rFonts w:ascii="Verdana" w:eastAsia="Century Gothic" w:hAnsi="Verdana" w:cs="Century Gothic"/>
          <w:bCs/>
          <w:lang w:val="es-ES_tradnl"/>
        </w:rPr>
        <w:t xml:space="preserve">l artículo 33 de la Ley 996 de 2005 prohíbe “(…) la contratación directa por parte de todos los entes del Estado” durante los cuatro (4) meses anteriores a las elecciones presidenciales, salvo “[…] lo referente a la </w:t>
      </w:r>
      <w:r w:rsidRPr="00294702">
        <w:rPr>
          <w:rFonts w:ascii="Verdana" w:eastAsia="Century Gothic" w:hAnsi="Verdana" w:cs="Century Gothic"/>
          <w:bCs/>
          <w:i/>
          <w:iCs/>
          <w:lang w:val="es-ES_tradnl"/>
        </w:rPr>
        <w:t>defensa y seguridad del Estado</w:t>
      </w:r>
      <w:r w:rsidRPr="00C13395">
        <w:rPr>
          <w:rFonts w:ascii="Verdana" w:eastAsia="Century Gothic" w:hAnsi="Verdana" w:cs="Century Gothic"/>
          <w:bCs/>
          <w:lang w:val="es-ES_tradnl"/>
        </w:rPr>
        <w:t>,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w:t>
      </w:r>
    </w:p>
    <w:p w14:paraId="25BED7CE"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6D240B">
        <w:rPr>
          <w:rFonts w:ascii="Verdana" w:eastAsia="Century Gothic" w:hAnsi="Verdana" w:cs="Century Gothic"/>
          <w:bCs/>
          <w:lang w:val="es-ES_tradnl"/>
        </w:rPr>
        <w:t>Por otro lado, el parágrafo del artículo 38 de la Ley 996 de 2005 prevé una restricción, aplicable</w:t>
      </w:r>
      <w:r w:rsidRPr="00C13395">
        <w:rPr>
          <w:rFonts w:ascii="Verdana" w:eastAsia="Century Gothic" w:hAnsi="Verdana" w:cs="Century Gothic"/>
          <w:bCs/>
          <w:lang w:val="es-ES_tradnl"/>
        </w:rPr>
        <w:t xml:space="preserve"> respecto de cualquier tipo de contienda electoral, que prohíbe a los gobernadores, alcaldes municipales o distritales, secretarios, gerentes y directores de entidades descentralizadas del orden municipal, </w:t>
      </w:r>
      <w:r w:rsidRPr="00C13395">
        <w:rPr>
          <w:rFonts w:ascii="Verdana" w:eastAsia="Century Gothic" w:hAnsi="Verdana" w:cs="Century Gothic"/>
          <w:bCs/>
          <w:lang w:val="es-ES_tradnl"/>
        </w:rPr>
        <w:lastRenderedPageBreak/>
        <w:t xml:space="preserve">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2569D0E8" w14:textId="77777777" w:rsidR="00CF70B3" w:rsidRDefault="00CF70B3" w:rsidP="00CF70B3">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La Sala de Consulta y Servicio Civil del Consejo de Estado ha aclarado la distinción en la aplicación de las prohibiciones de la Ley 996 de 2005, dependiendo del tipo de elección que se trate. Al respecto, considera:</w:t>
      </w:r>
    </w:p>
    <w:p w14:paraId="67800A4D" w14:textId="77777777" w:rsidR="00CF70B3" w:rsidRPr="00C13395" w:rsidRDefault="00CF70B3" w:rsidP="00CF70B3">
      <w:pPr>
        <w:spacing w:after="0" w:line="276" w:lineRule="auto"/>
        <w:ind w:firstLine="708"/>
        <w:jc w:val="both"/>
        <w:rPr>
          <w:rFonts w:ascii="Verdana" w:eastAsia="Century Gothic" w:hAnsi="Verdana" w:cs="Century Gothic"/>
          <w:bCs/>
          <w:lang w:val="es-ES_tradnl"/>
        </w:rPr>
      </w:pPr>
    </w:p>
    <w:p w14:paraId="36182AC1" w14:textId="77777777" w:rsidR="00CF70B3" w:rsidRDefault="00CF70B3" w:rsidP="00CF70B3">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 </w:t>
      </w:r>
    </w:p>
    <w:p w14:paraId="582CEE7A" w14:textId="77777777" w:rsidR="00CF70B3" w:rsidRPr="00294702" w:rsidRDefault="00CF70B3" w:rsidP="00CF70B3">
      <w:pPr>
        <w:spacing w:after="0" w:line="276" w:lineRule="auto"/>
        <w:ind w:left="709" w:right="709"/>
        <w:jc w:val="both"/>
        <w:rPr>
          <w:rFonts w:ascii="Verdana" w:eastAsia="Century Gothic" w:hAnsi="Verdana" w:cs="Century Gothic"/>
          <w:bCs/>
          <w:lang w:val="es-ES_tradnl"/>
        </w:rPr>
      </w:pPr>
    </w:p>
    <w:p w14:paraId="4EC59948" w14:textId="77777777" w:rsidR="00CF70B3" w:rsidRPr="00C13395" w:rsidRDefault="00CF70B3" w:rsidP="00CF70B3">
      <w:pPr>
        <w:spacing w:after="120" w:line="276" w:lineRule="auto"/>
        <w:ind w:firstLine="709"/>
        <w:jc w:val="both"/>
        <w:rPr>
          <w:rFonts w:ascii="Verdana" w:eastAsia="Century Gothic" w:hAnsi="Verdana" w:cs="Century Gothic"/>
          <w:lang w:val="es-ES"/>
        </w:rPr>
      </w:pPr>
      <w:r w:rsidRPr="122F1934">
        <w:rPr>
          <w:rFonts w:ascii="Verdana" w:eastAsia="Century Gothic" w:hAnsi="Verdana" w:cs="Century Gothic"/>
          <w:lang w:val="es-ES"/>
        </w:rPr>
        <w:t>De conformidad con lo anterior, la Ley 996 de 2005 establece dos (2) tipos de restricciones en materia de contratación, las cuales coinciden parcialmente. En primer lugar,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0D964CA1" w14:textId="77777777" w:rsidR="00CF70B3" w:rsidRPr="00C13395" w:rsidRDefault="00CF70B3" w:rsidP="00CF70B3">
      <w:pPr>
        <w:spacing w:after="120" w:line="276" w:lineRule="auto"/>
        <w:ind w:firstLine="709"/>
        <w:jc w:val="both"/>
        <w:rPr>
          <w:rFonts w:ascii="Verdana" w:eastAsia="Century Gothic" w:hAnsi="Verdana" w:cs="Century Gothic"/>
          <w:lang w:val="es-ES"/>
        </w:rPr>
      </w:pPr>
      <w:r w:rsidRPr="122F1934">
        <w:rPr>
          <w:rFonts w:ascii="Verdana" w:eastAsia="Century Gothic" w:hAnsi="Verdana" w:cs="Century Gothic"/>
          <w:lang w:val="es-ES"/>
        </w:rPr>
        <w:lastRenderedPageBreak/>
        <w:t xml:space="preserve">Ambas restricciones no son excluyentes, lo que permite concluir que, en el período preelectoral para elección de </w:t>
      </w:r>
      <w:proofErr w:type="gramStart"/>
      <w:r w:rsidRPr="122F1934">
        <w:rPr>
          <w:rFonts w:ascii="Verdana" w:eastAsia="Century Gothic" w:hAnsi="Verdana" w:cs="Century Gothic"/>
          <w:lang w:val="es-ES"/>
        </w:rPr>
        <w:t>Presidente</w:t>
      </w:r>
      <w:proofErr w:type="gramEnd"/>
      <w:r w:rsidRPr="122F1934">
        <w:rPr>
          <w:rFonts w:ascii="Verdana" w:eastAsia="Century Gothic" w:hAnsi="Verdana" w:cs="Century Gothic"/>
          <w:lang w:val="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122F1934">
        <w:rPr>
          <w:rFonts w:ascii="Verdana" w:eastAsia="Century Gothic" w:hAnsi="Verdana" w:cs="Century Gothic"/>
          <w:lang w:val="es-ES"/>
        </w:rPr>
        <w:t>Presidente</w:t>
      </w:r>
      <w:proofErr w:type="gramEnd"/>
      <w:r w:rsidRPr="122F1934">
        <w:rPr>
          <w:rFonts w:ascii="Verdana" w:eastAsia="Century Gothic" w:hAnsi="Verdana" w:cs="Century Gothic"/>
          <w:lang w:val="es-ES"/>
        </w:rPr>
        <w:t xml:space="preserve"> de la República, las autoridades allí mencionadas sólo deben aplicar las restricciones contenidas en el parágrafo del artículo 38.</w:t>
      </w:r>
    </w:p>
    <w:p w14:paraId="5A067E6D" w14:textId="77777777" w:rsidR="00CF70B3" w:rsidRDefault="00CF70B3" w:rsidP="00CF70B3">
      <w:pPr>
        <w:spacing w:after="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La Corte Constitucional, en la Sentencia C-1153 del 11 de noviembre de 2005, señaló que, para que la garantía sea plena, era necesario que la prohibición se aplicara para el </w:t>
      </w:r>
      <w:proofErr w:type="gramStart"/>
      <w:r w:rsidRPr="122F1934">
        <w:rPr>
          <w:rFonts w:ascii="Verdana" w:eastAsia="Century Gothic" w:hAnsi="Verdana" w:cs="Century Gothic"/>
          <w:lang w:val="es-ES"/>
        </w:rPr>
        <w:t>Presidente</w:t>
      </w:r>
      <w:proofErr w:type="gramEnd"/>
      <w:r w:rsidRPr="122F1934">
        <w:rPr>
          <w:rFonts w:ascii="Verdana" w:eastAsia="Century Gothic" w:hAnsi="Verdana" w:cs="Century Gothic"/>
          <w:lang w:val="es-ES"/>
        </w:rPr>
        <w:t xml:space="preserve"> o el </w:t>
      </w:r>
      <w:proofErr w:type="gramStart"/>
      <w:r w:rsidRPr="122F1934">
        <w:rPr>
          <w:rFonts w:ascii="Verdana" w:eastAsia="Century Gothic" w:hAnsi="Verdana" w:cs="Century Gothic"/>
          <w:lang w:val="es-ES"/>
        </w:rPr>
        <w:t>Vicepresidente</w:t>
      </w:r>
      <w:proofErr w:type="gramEnd"/>
      <w:r w:rsidRPr="122F1934">
        <w:rPr>
          <w:rFonts w:ascii="Verdana" w:eastAsia="Century Gothic" w:hAnsi="Verdana" w:cs="Century Gothic"/>
          <w:lang w:val="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122F1934">
        <w:rPr>
          <w:rFonts w:ascii="Verdana" w:eastAsia="Century Gothic" w:hAnsi="Verdana" w:cs="Century Gothic"/>
          <w:lang w:val="es-ES"/>
        </w:rPr>
        <w:t>Presidente</w:t>
      </w:r>
      <w:proofErr w:type="gramEnd"/>
      <w:r w:rsidRPr="122F1934">
        <w:rPr>
          <w:rFonts w:ascii="Verdana" w:eastAsia="Century Gothic" w:hAnsi="Verdana" w:cs="Century Gothic"/>
          <w:lang w:val="es-ES"/>
        </w:rPr>
        <w:t xml:space="preserve"> y el </w:t>
      </w:r>
      <w:proofErr w:type="gramStart"/>
      <w:r w:rsidRPr="122F1934">
        <w:rPr>
          <w:rFonts w:ascii="Verdana" w:eastAsia="Century Gothic" w:hAnsi="Verdana" w:cs="Century Gothic"/>
          <w:lang w:val="es-ES"/>
        </w:rPr>
        <w:t>Vicepresidente</w:t>
      </w:r>
      <w:proofErr w:type="gramEnd"/>
      <w:r w:rsidRPr="122F1934">
        <w:rPr>
          <w:rFonts w:ascii="Verdana" w:eastAsia="Century Gothic" w:hAnsi="Verdana" w:cs="Century Gothic"/>
          <w:lang w:val="es-ES"/>
        </w:rPr>
        <w:t xml:space="preserve"> de la República, ha perdido vigencia ante la prohibición de la reelección presidencial, restablecida por el Acto Legislativo 2 de 2015. Esto excepto para el </w:t>
      </w:r>
      <w:proofErr w:type="gramStart"/>
      <w:r w:rsidRPr="122F1934">
        <w:rPr>
          <w:rFonts w:ascii="Verdana" w:eastAsia="Century Gothic" w:hAnsi="Verdana" w:cs="Century Gothic"/>
          <w:lang w:val="es-ES"/>
        </w:rPr>
        <w:t>Vicepresidente</w:t>
      </w:r>
      <w:proofErr w:type="gramEnd"/>
      <w:r w:rsidRPr="122F1934">
        <w:rPr>
          <w:rFonts w:ascii="Verdana" w:eastAsia="Century Gothic" w:hAnsi="Verdana" w:cs="Century Gothic"/>
          <w:lang w:val="es-ES"/>
        </w:rPr>
        <w:t xml:space="preserve"> que no haya ejercido la presidencia o que la haya ejercido por un tiempo inferior a tres (3) meses durante el respectivo cuatrienio, en forma continua o discontinua, conforme al artículo 197 de la Constitución Política. </w:t>
      </w:r>
    </w:p>
    <w:p w14:paraId="462CEF71" w14:textId="77777777" w:rsidR="00CF70B3" w:rsidRPr="00C13395" w:rsidRDefault="00CF70B3" w:rsidP="00CF70B3">
      <w:pPr>
        <w:spacing w:after="0" w:line="276" w:lineRule="auto"/>
        <w:ind w:firstLine="708"/>
        <w:jc w:val="both"/>
        <w:rPr>
          <w:rFonts w:ascii="Verdana" w:eastAsia="Century Gothic" w:hAnsi="Verdana" w:cs="Century Gothic"/>
          <w:lang w:val="es-ES"/>
        </w:rPr>
      </w:pPr>
    </w:p>
    <w:p w14:paraId="44EAA5B5" w14:textId="77777777" w:rsidR="00CF70B3" w:rsidRPr="00C13395" w:rsidRDefault="00CF70B3" w:rsidP="00CF70B3">
      <w:pPr>
        <w:spacing w:after="120" w:line="276" w:lineRule="auto"/>
        <w:jc w:val="both"/>
        <w:rPr>
          <w:rFonts w:ascii="Verdana" w:eastAsia="Century Gothic" w:hAnsi="Verdana" w:cs="Century Gothic"/>
          <w:lang w:val="es-ES"/>
        </w:rPr>
      </w:pPr>
      <w:proofErr w:type="spellStart"/>
      <w:r w:rsidRPr="122F1934">
        <w:rPr>
          <w:rFonts w:ascii="Verdana" w:eastAsia="Century Gothic" w:hAnsi="Verdana" w:cs="Century Gothic"/>
          <w:lang w:val="es-ES"/>
        </w:rPr>
        <w:t>ii</w:t>
      </w:r>
      <w:proofErr w:type="spellEnd"/>
      <w:r w:rsidRPr="122F1934">
        <w:rPr>
          <w:rFonts w:ascii="Verdana" w:eastAsia="Century Gothic" w:hAnsi="Verdana" w:cs="Century Gothic"/>
          <w:lang w:val="es-ES"/>
        </w:rPr>
        <w:t xml:space="preserve">) Para entender el momento de aplicación de estas restricciones, es preciso señalar que el vocablo “celebrar” es definido por el Diccionario Panhispánico del Español Jurídico como: “1. Gral. Otorgar o firmar un contrato. 2. </w:t>
      </w:r>
      <w:proofErr w:type="spellStart"/>
      <w:r w:rsidRPr="122F1934">
        <w:rPr>
          <w:rFonts w:ascii="Verdana" w:eastAsia="Century Gothic" w:hAnsi="Verdana" w:cs="Century Gothic"/>
          <w:lang w:val="es-ES"/>
        </w:rPr>
        <w:t>Proc</w:t>
      </w:r>
      <w:proofErr w:type="spellEnd"/>
      <w:r w:rsidRPr="122F1934">
        <w:rPr>
          <w:rFonts w:ascii="Verdana" w:eastAsia="Century Gothic" w:hAnsi="Verdana" w:cs="Century Gothic"/>
          <w:lang w:val="es-ES"/>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78E3DA8E"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la existencia de los contratos estatales, es decir, la producción de efectos jurídicos en los términos del artículo 1501 ibidem,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w:t>
      </w:r>
      <w:r w:rsidRPr="00C13395">
        <w:rPr>
          <w:rFonts w:ascii="Verdana" w:eastAsia="Century Gothic" w:hAnsi="Verdana" w:cs="Century Gothic"/>
          <w:bCs/>
          <w:lang w:val="es-ES_tradnl"/>
        </w:rPr>
        <w:lastRenderedPageBreak/>
        <w:t xml:space="preserve">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58447691"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5585719D" w14:textId="77777777" w:rsidR="00CF70B3" w:rsidRPr="00C13395" w:rsidRDefault="00CF70B3" w:rsidP="00CF70B3">
      <w:pPr>
        <w:spacing w:after="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Asimismo, como en otras oportunidades lo ha manifestado esta Agencia, las prórrogas, modificaciones o adiciones de los contratos suscritos antes de la </w:t>
      </w:r>
      <w:proofErr w:type="gramStart"/>
      <w:r w:rsidRPr="122F1934">
        <w:rPr>
          <w:rFonts w:ascii="Verdana" w:eastAsia="Century Gothic" w:hAnsi="Verdana" w:cs="Century Gothic"/>
          <w:lang w:val="es-ES"/>
        </w:rPr>
        <w:t>entrada en vigencia</w:t>
      </w:r>
      <w:proofErr w:type="gramEnd"/>
      <w:r w:rsidRPr="122F1934">
        <w:rPr>
          <w:rFonts w:ascii="Verdana" w:eastAsia="Century Gothic" w:hAnsi="Verdana" w:cs="Century Gothic"/>
          <w:lang w:val="es-ES"/>
        </w:rPr>
        <w:t xml:space="preserve"> de las prohibiciones anotadas, así como la cesión de </w:t>
      </w:r>
      <w:proofErr w:type="gramStart"/>
      <w:r w:rsidRPr="122F1934">
        <w:rPr>
          <w:rFonts w:ascii="Verdana" w:eastAsia="Century Gothic" w:hAnsi="Verdana" w:cs="Century Gothic"/>
          <w:lang w:val="es-ES"/>
        </w:rPr>
        <w:t>los mismos</w:t>
      </w:r>
      <w:proofErr w:type="gramEnd"/>
      <w:r w:rsidRPr="122F1934">
        <w:rPr>
          <w:rFonts w:ascii="Verdana" w:eastAsia="Century Gothic" w:hAnsi="Verdana" w:cs="Century Gothic"/>
          <w:lang w:val="es-ES"/>
        </w:rPr>
        <w:t xml:space="preserve">, pueden tener lugar en el período de aplicación de la Ley de Garantías Electorales, sin que ello haga nugatoria la restricción de la contratación directa y siempre que cumplan los principios de planeación, transparencia y responsabilidad. </w:t>
      </w:r>
    </w:p>
    <w:p w14:paraId="7B64852C" w14:textId="77777777" w:rsidR="00CF70B3" w:rsidRDefault="00CF70B3" w:rsidP="00CF70B3">
      <w:pPr>
        <w:spacing w:after="0" w:line="276" w:lineRule="auto"/>
        <w:jc w:val="both"/>
        <w:rPr>
          <w:rFonts w:ascii="Verdana" w:eastAsia="Century Gothic" w:hAnsi="Verdana" w:cs="Century Gothic"/>
          <w:bCs/>
          <w:lang w:val="es-ES_tradnl"/>
        </w:rPr>
      </w:pPr>
    </w:p>
    <w:p w14:paraId="5A55F3D3" w14:textId="77777777" w:rsidR="00CF70B3" w:rsidRPr="00C13395" w:rsidRDefault="00CF70B3" w:rsidP="00CF70B3">
      <w:pPr>
        <w:spacing w:after="0" w:line="276" w:lineRule="auto"/>
        <w:jc w:val="both"/>
        <w:rPr>
          <w:rFonts w:ascii="Verdana" w:eastAsia="Century Gothic" w:hAnsi="Verdana" w:cs="Century Gothic"/>
          <w:lang w:val="es-ES"/>
        </w:rPr>
      </w:pPr>
      <w:proofErr w:type="spellStart"/>
      <w:r w:rsidRPr="61CFEC75">
        <w:rPr>
          <w:rFonts w:ascii="Verdana" w:eastAsia="Century Gothic" w:hAnsi="Verdana" w:cs="Century Gothic"/>
          <w:lang w:val="es-ES"/>
        </w:rPr>
        <w:t>iii</w:t>
      </w:r>
      <w:proofErr w:type="spellEnd"/>
      <w:r w:rsidRPr="61CFEC75">
        <w:rPr>
          <w:rFonts w:ascii="Verdana" w:eastAsia="Century Gothic" w:hAnsi="Verdana" w:cs="Century Gothic"/>
          <w:lang w:val="es-ES"/>
        </w:rPr>
        <w:t>) Teniendo en cuenta el contenido de su consulta, es imperioso analizar los dos tipos de restricciones. En primer lugar, el ámbito material de la prohibición contenida en el artículo 33 de la Ley 996 de 2005 está delimitado por la expresión “queda prohibida la contratación directa”. A propósito de esta restricción de la Ley de Garantías Electorales, la Sala de Consulta y Servicio Civil del Consejo de Estado ha considerado que:</w:t>
      </w:r>
    </w:p>
    <w:p w14:paraId="2E77D5D2" w14:textId="77777777" w:rsidR="00CF70B3" w:rsidRPr="00C13395" w:rsidRDefault="00CF70B3" w:rsidP="00CF70B3">
      <w:pPr>
        <w:spacing w:after="0" w:line="276" w:lineRule="auto"/>
        <w:jc w:val="both"/>
        <w:rPr>
          <w:rFonts w:ascii="Verdana" w:eastAsia="Century Gothic" w:hAnsi="Verdana" w:cs="Century Gothic"/>
          <w:bCs/>
          <w:lang w:val="es-ES_tradnl"/>
        </w:rPr>
      </w:pPr>
    </w:p>
    <w:p w14:paraId="4652AFE8" w14:textId="77777777" w:rsidR="00CF70B3" w:rsidRPr="00C13395" w:rsidRDefault="00CF70B3" w:rsidP="00CF70B3">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p>
    <w:p w14:paraId="6D333038" w14:textId="77777777" w:rsidR="00CF70B3" w:rsidRPr="00C13395" w:rsidRDefault="00CF70B3" w:rsidP="00CF70B3">
      <w:pPr>
        <w:spacing w:after="0" w:line="240" w:lineRule="auto"/>
        <w:ind w:left="709" w:right="709"/>
        <w:jc w:val="both"/>
        <w:rPr>
          <w:rFonts w:ascii="Verdana" w:eastAsia="Century Gothic" w:hAnsi="Verdana" w:cs="Century Gothic"/>
          <w:bCs/>
          <w:sz w:val="20"/>
          <w:szCs w:val="20"/>
          <w:lang w:val="es-ES_tradnl"/>
        </w:rPr>
      </w:pPr>
    </w:p>
    <w:p w14:paraId="5FCDC57C" w14:textId="77777777" w:rsidR="00CF70B3" w:rsidRPr="00C13395" w:rsidRDefault="00CF70B3" w:rsidP="00CF70B3">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w:t>
      </w:r>
      <w:r w:rsidRPr="00C13395">
        <w:rPr>
          <w:rFonts w:ascii="Verdana" w:eastAsia="Century Gothic" w:hAnsi="Verdana" w:cs="Century Gothic"/>
          <w:bCs/>
          <w:sz w:val="20"/>
          <w:szCs w:val="20"/>
          <w:lang w:val="es-ES_tradnl"/>
        </w:rPr>
        <w:lastRenderedPageBreak/>
        <w:t>cualquier otro que prescinda de un proceso de licitación pública o concurso.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w:t>
      </w:r>
      <w:r>
        <w:rPr>
          <w:rFonts w:ascii="Verdana" w:eastAsia="Century Gothic" w:hAnsi="Verdana" w:cs="Century Gothic"/>
          <w:bCs/>
          <w:sz w:val="20"/>
          <w:szCs w:val="20"/>
          <w:lang w:val="es-ES_tradnl"/>
        </w:rPr>
        <w:t xml:space="preserve"> (…)</w:t>
      </w:r>
      <w:r w:rsidRPr="00C13395">
        <w:rPr>
          <w:rFonts w:ascii="Verdana" w:eastAsia="Century Gothic" w:hAnsi="Verdana" w:cs="Century Gothic"/>
          <w:bCs/>
          <w:sz w:val="20"/>
          <w:szCs w:val="20"/>
          <w:lang w:val="es-ES_tradnl"/>
        </w:rPr>
        <w:t>”.</w:t>
      </w:r>
    </w:p>
    <w:p w14:paraId="741E0AAC" w14:textId="77777777" w:rsidR="00CF70B3" w:rsidRDefault="00CF70B3" w:rsidP="00CF70B3">
      <w:pPr>
        <w:spacing w:after="0" w:line="276" w:lineRule="auto"/>
        <w:ind w:firstLine="708"/>
        <w:jc w:val="both"/>
        <w:rPr>
          <w:rFonts w:ascii="Verdana" w:eastAsia="Century Gothic" w:hAnsi="Verdana" w:cs="Century Gothic"/>
          <w:bCs/>
          <w:lang w:val="es-ES_tradnl"/>
        </w:rPr>
      </w:pPr>
    </w:p>
    <w:p w14:paraId="3F8C6684"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3E799E">
        <w:rPr>
          <w:rFonts w:ascii="Verdana" w:eastAsia="Century Gothic" w:hAnsi="Verdana" w:cs="Century Gothic"/>
          <w:bCs/>
          <w:lang w:val="es-ES_tradnl"/>
        </w:rPr>
        <w:t>De acuerdo</w:t>
      </w:r>
      <w:r w:rsidRPr="00C13395">
        <w:rPr>
          <w:rFonts w:ascii="Verdana" w:eastAsia="Century Gothic" w:hAnsi="Verdana" w:cs="Century Gothic"/>
          <w:bCs/>
          <w:lang w:val="es-ES_tradnl"/>
        </w:rPr>
        <w:t xml:space="preserve">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el concurso de méritos y la mínima cuantía u otros previstos en normas especiales. Esta posición es congruente con la expedición de la Ley 1150 de 2007 que, entre otras reformas, introdujo la selección abreviada, rediseñó el concurso de méritos y sistematizó las causales de contratación directa, además lo es con la posterior creación de la modalidad de mínima cuantía establecida actualmente en el numeral 5 del artículo 2 de la Ley 1150 de 2007, de acuerdo con las modificaciones realizadas por leyes posteriores.</w:t>
      </w:r>
    </w:p>
    <w:p w14:paraId="08459D83"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esta forma, con fundamento en la evolución de la normativa sobre la contratación pública, se ha depurado la noción de “contratación directa”,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 , han establecido sistemas de contratación que implican convocatoria pública y participación de varios oferentes”. </w:t>
      </w:r>
    </w:p>
    <w:p w14:paraId="71B86FF9"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 </w:t>
      </w:r>
    </w:p>
    <w:p w14:paraId="4BAC84F0" w14:textId="77777777" w:rsidR="00CF70B3" w:rsidRPr="00C13395" w:rsidRDefault="00CF70B3" w:rsidP="00CF70B3">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lastRenderedPageBreak/>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3474D12A"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00891A45" w14:textId="77777777" w:rsidR="00CF70B3" w:rsidRPr="00C13395" w:rsidRDefault="00CF70B3" w:rsidP="00CF70B3">
      <w:pPr>
        <w:spacing w:after="120" w:line="276" w:lineRule="auto"/>
        <w:ind w:firstLine="708"/>
        <w:jc w:val="both"/>
        <w:rPr>
          <w:rFonts w:ascii="Verdana" w:eastAsia="Century Gothic" w:hAnsi="Verdana" w:cs="Century Gothic"/>
          <w:lang w:val="es-ES"/>
        </w:rPr>
      </w:pPr>
      <w:r w:rsidRPr="61CFEC75">
        <w:rPr>
          <w:rFonts w:ascii="Verdana" w:eastAsia="Century Gothic" w:hAnsi="Verdana" w:cs="Century Gothic"/>
          <w:lang w:val="es-ES"/>
        </w:rPr>
        <w:t xml:space="preserve">De lo anterior se desprende que la restricción aplica, sin perjuicio de las excepciones establecidas en la misma Ley, a las cuales se hará referencia más adelante, para celebrar cualquier contrato de forma directa,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 </w:t>
      </w:r>
    </w:p>
    <w:p w14:paraId="26C16CA9" w14:textId="77777777" w:rsidR="00CF70B3" w:rsidRDefault="00CF70B3" w:rsidP="00CF70B3">
      <w:pPr>
        <w:spacing w:after="120" w:line="276" w:lineRule="auto"/>
        <w:ind w:firstLine="708"/>
        <w:jc w:val="both"/>
        <w:rPr>
          <w:rFonts w:ascii="Verdana" w:eastAsia="Century Gothic" w:hAnsi="Verdana" w:cs="Century Gothic"/>
          <w:lang w:val="es-ES"/>
        </w:rPr>
      </w:pPr>
      <w:r>
        <w:rPr>
          <w:rFonts w:ascii="Verdana" w:eastAsia="Century Gothic" w:hAnsi="Verdana" w:cs="Century Gothic"/>
          <w:lang w:val="es-ES"/>
        </w:rPr>
        <w:t>Ahora bien</w:t>
      </w:r>
      <w:r w:rsidRPr="122F1934">
        <w:rPr>
          <w:rFonts w:ascii="Verdana" w:eastAsia="Century Gothic" w:hAnsi="Verdana" w:cs="Century Gothic"/>
          <w:lang w:val="es-ES"/>
        </w:rPr>
        <w:t>, las excepciones a la restricción prevista en la Ley de Garantías Electorales,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w:t>
      </w:r>
      <w:r w:rsidRPr="00294702">
        <w:rPr>
          <w:rFonts w:ascii="Verdana" w:eastAsia="Century Gothic" w:hAnsi="Verdana" w:cs="Century Gothic"/>
          <w:i/>
          <w:iCs/>
          <w:lang w:val="es-ES"/>
        </w:rPr>
        <w:t>) la defensa y seguridad del Estado;</w:t>
      </w:r>
      <w:r w:rsidRPr="122F1934">
        <w:rPr>
          <w:rFonts w:ascii="Verdana" w:eastAsia="Century Gothic" w:hAnsi="Verdana" w:cs="Century Gothic"/>
          <w:lang w:val="es-ES"/>
        </w:rPr>
        <w:t xml:space="preserve"> </w:t>
      </w:r>
      <w:proofErr w:type="spellStart"/>
      <w:r w:rsidRPr="122F1934">
        <w:rPr>
          <w:rFonts w:ascii="Verdana" w:eastAsia="Century Gothic" w:hAnsi="Verdana" w:cs="Century Gothic"/>
          <w:lang w:val="es-ES"/>
        </w:rPr>
        <w:t>ii</w:t>
      </w:r>
      <w:proofErr w:type="spellEnd"/>
      <w:r w:rsidRPr="122F1934">
        <w:rPr>
          <w:rFonts w:ascii="Verdana" w:eastAsia="Century Gothic" w:hAnsi="Verdana" w:cs="Century Gothic"/>
          <w:lang w:val="es-ES"/>
        </w:rPr>
        <w:t xml:space="preserve">) los contratos de crédito público; </w:t>
      </w:r>
      <w:proofErr w:type="spellStart"/>
      <w:r w:rsidRPr="122F1934">
        <w:rPr>
          <w:rFonts w:ascii="Verdana" w:eastAsia="Century Gothic" w:hAnsi="Verdana" w:cs="Century Gothic"/>
          <w:lang w:val="es-ES"/>
        </w:rPr>
        <w:t>iii</w:t>
      </w:r>
      <w:proofErr w:type="spellEnd"/>
      <w:r w:rsidRPr="122F1934">
        <w:rPr>
          <w:rFonts w:ascii="Verdana" w:eastAsia="Century Gothic" w:hAnsi="Verdana" w:cs="Century Gothic"/>
          <w:lang w:val="es-ES"/>
        </w:rPr>
        <w:t xml:space="preserve">) los requeridos para cubrir las emergencias educativas, sanitarias y desastres; </w:t>
      </w:r>
      <w:proofErr w:type="spellStart"/>
      <w:r w:rsidRPr="122F1934">
        <w:rPr>
          <w:rFonts w:ascii="Verdana" w:eastAsia="Century Gothic" w:hAnsi="Verdana" w:cs="Century Gothic"/>
          <w:lang w:val="es-ES"/>
        </w:rPr>
        <w:t>iv</w:t>
      </w:r>
      <w:proofErr w:type="spellEnd"/>
      <w:r w:rsidRPr="122F1934">
        <w:rPr>
          <w:rFonts w:ascii="Verdana" w:eastAsia="Century Gothic" w:hAnsi="Verdana" w:cs="Century Gothic"/>
          <w:lang w:val="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65724D96" w14:textId="77777777" w:rsidR="00CF70B3" w:rsidRPr="00C13395" w:rsidRDefault="00CF70B3" w:rsidP="00CF70B3">
      <w:pPr>
        <w:spacing w:after="120" w:line="276" w:lineRule="auto"/>
        <w:ind w:firstLine="708"/>
        <w:jc w:val="both"/>
        <w:rPr>
          <w:rFonts w:ascii="Verdana" w:eastAsia="Century Gothic" w:hAnsi="Verdana" w:cs="Century Gothic"/>
          <w:lang w:val="es-ES"/>
        </w:rPr>
      </w:pPr>
      <w:r>
        <w:rPr>
          <w:rFonts w:ascii="Verdana" w:eastAsia="Century Gothic" w:hAnsi="Verdana" w:cs="Century Gothic"/>
          <w:lang w:val="es-ES"/>
        </w:rPr>
        <w:t>Conforme a las anteriores causales de excepción, e</w:t>
      </w:r>
      <w:r w:rsidRPr="122F1934">
        <w:rPr>
          <w:rFonts w:ascii="Verdana" w:eastAsia="Century Gothic" w:hAnsi="Verdana" w:cs="Century Gothic"/>
          <w:lang w:val="es-ES"/>
        </w:rPr>
        <w:t xml:space="preserve">s responsabilidad del respectivo ente del Estado examinar en cada caso la naturaleza de las actividades que adelanta y determinar si las mismas se enmarcan en alguna de </w:t>
      </w:r>
      <w:r w:rsidRPr="122F1934">
        <w:rPr>
          <w:rFonts w:ascii="Verdana" w:eastAsia="Century Gothic" w:hAnsi="Verdana" w:cs="Century Gothic"/>
          <w:lang w:val="es-ES"/>
        </w:rPr>
        <w:lastRenderedPageBreak/>
        <w:t>las mencionadas excepciones, de manera que se le permita realizar la contratación que necesite en forma directa.</w:t>
      </w:r>
    </w:p>
    <w:p w14:paraId="6D174FB0"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32591384" w14:textId="77777777" w:rsidR="00CF70B3" w:rsidRPr="00DB1EBD" w:rsidRDefault="00CF70B3" w:rsidP="00CF70B3">
      <w:pPr>
        <w:spacing w:after="120" w:line="276" w:lineRule="auto"/>
        <w:ind w:firstLine="708"/>
        <w:jc w:val="both"/>
        <w:rPr>
          <w:rFonts w:ascii="Verdana" w:eastAsia="Century Gothic" w:hAnsi="Verdana" w:cs="Century Gothic"/>
          <w:bCs/>
          <w:lang w:val="es-ES_tradnl"/>
        </w:rPr>
      </w:pPr>
      <w:r w:rsidRPr="00294702">
        <w:rPr>
          <w:rFonts w:ascii="Verdana" w:hAnsi="Verdana" w:cs="Arial"/>
          <w:color w:val="000000" w:themeColor="text1"/>
          <w:lang w:val="es-ES"/>
        </w:rPr>
        <w:t>Precisamente, en lo que respecta a estas excepciones, el segundo inciso del artículo 33 de la Ley 996 de 2005, como acaba de plantearse, establece que la prohibición de la contratación directa no se aplicará en lo referente a la “defensa y seguridad del Estado2; expresión que puede relacionarse con la consulta bajo análisis.</w:t>
      </w:r>
    </w:p>
    <w:p w14:paraId="1E4E7D1B" w14:textId="77777777" w:rsidR="00CF70B3" w:rsidRPr="00294702" w:rsidRDefault="00CF70B3" w:rsidP="00CF70B3">
      <w:pPr>
        <w:spacing w:after="120" w:line="276" w:lineRule="auto"/>
        <w:ind w:firstLine="709"/>
        <w:jc w:val="both"/>
        <w:rPr>
          <w:rFonts w:ascii="Verdana" w:eastAsia="Arial" w:hAnsi="Verdana" w:cs="Arial"/>
          <w:color w:val="000000" w:themeColor="text1"/>
          <w:lang w:val="es-ES_tradnl"/>
        </w:rPr>
      </w:pPr>
      <w:r w:rsidRPr="00294702">
        <w:rPr>
          <w:rFonts w:ascii="Verdana" w:hAnsi="Verdana" w:cs="Arial"/>
          <w:color w:val="000000" w:themeColor="text1"/>
          <w:lang w:val="es-ES_tradnl"/>
        </w:rPr>
        <w:t>Haciendo, previamente, la salvedad, de que la competencia consultiva de la Agencia Nacional de Contratación Pública – Colombia Compra Eficiente se circunscribe a la interpretación, en abstracto, de normas de alcance general que hagan parte del Sistema de Compras y Contratación Pública</w:t>
      </w:r>
      <w:r w:rsidRPr="00294702">
        <w:rPr>
          <w:rStyle w:val="Refdenotaalpie"/>
          <w:rFonts w:ascii="Verdana" w:hAnsi="Verdana"/>
        </w:rPr>
        <w:footnoteReference w:id="1"/>
      </w:r>
      <w:r w:rsidRPr="00294702">
        <w:rPr>
          <w:rFonts w:ascii="Verdana" w:hAnsi="Verdana" w:cs="Arial"/>
          <w:color w:val="000000" w:themeColor="text1"/>
          <w:lang w:val="es-ES_tradnl"/>
        </w:rPr>
        <w:t xml:space="preserve">, y que, por tanto, no puede asesorar a las entidades estatales en decisiones contractuales particulares, se aclara que la expresión </w:t>
      </w:r>
      <w:r>
        <w:rPr>
          <w:rFonts w:ascii="Verdana" w:hAnsi="Verdana" w:cs="Arial"/>
          <w:color w:val="000000" w:themeColor="text1"/>
          <w:lang w:val="es-ES_tradnl"/>
        </w:rPr>
        <w:t>“</w:t>
      </w:r>
      <w:r w:rsidRPr="00294702">
        <w:rPr>
          <w:rFonts w:ascii="Verdana" w:hAnsi="Verdana" w:cs="Arial"/>
          <w:color w:val="000000" w:themeColor="text1"/>
          <w:lang w:val="es-ES_tradnl"/>
        </w:rPr>
        <w:t>defensa y seguridad del Estado</w:t>
      </w:r>
      <w:r>
        <w:rPr>
          <w:rFonts w:ascii="Verdana" w:hAnsi="Verdana" w:cs="Arial"/>
          <w:color w:val="000000" w:themeColor="text1"/>
          <w:lang w:val="es-ES_tradnl"/>
        </w:rPr>
        <w:t>”</w:t>
      </w:r>
      <w:r w:rsidRPr="00294702">
        <w:rPr>
          <w:rFonts w:ascii="Verdana" w:hAnsi="Verdana" w:cs="Arial"/>
          <w:color w:val="000000" w:themeColor="text1"/>
          <w:lang w:val="es-ES_tradnl"/>
        </w:rPr>
        <w:t xml:space="preserve">, contenida en el segundo inciso del artículo 33 de la Ley 996 de 2005, es un </w:t>
      </w:r>
      <w:r w:rsidRPr="00294702">
        <w:rPr>
          <w:rFonts w:ascii="Verdana" w:hAnsi="Verdana" w:cs="Arial"/>
          <w:i/>
          <w:iCs/>
          <w:color w:val="000000" w:themeColor="text1"/>
          <w:lang w:val="es-ES_tradnl"/>
        </w:rPr>
        <w:t>concepto jurídico indeterminado</w:t>
      </w:r>
      <w:r w:rsidRPr="00294702">
        <w:rPr>
          <w:rStyle w:val="Refdenotaalpie"/>
          <w:rFonts w:ascii="Verdana" w:eastAsia="Calibri" w:hAnsi="Verdana"/>
        </w:rPr>
        <w:footnoteReference w:id="2"/>
      </w:r>
      <w:r w:rsidRPr="00294702">
        <w:rPr>
          <w:rFonts w:ascii="Verdana" w:eastAsia="Calibri" w:hAnsi="Verdana" w:cs="Arial"/>
          <w:bCs/>
          <w:color w:val="000000" w:themeColor="text1"/>
          <w:lang w:val="es-ES_tradnl"/>
        </w:rPr>
        <w:t xml:space="preserve">. </w:t>
      </w:r>
      <w:r w:rsidRPr="00294702">
        <w:rPr>
          <w:rFonts w:ascii="Verdana" w:eastAsia="Arial" w:hAnsi="Verdana" w:cs="Arial"/>
          <w:color w:val="000000" w:themeColor="text1"/>
          <w:lang w:val="es-ES_tradnl"/>
        </w:rPr>
        <w:t xml:space="preserve">Un concepto adquiere </w:t>
      </w:r>
      <w:r>
        <w:rPr>
          <w:rFonts w:ascii="Verdana" w:eastAsia="Arial" w:hAnsi="Verdana" w:cs="Arial"/>
          <w:color w:val="000000" w:themeColor="text1"/>
          <w:lang w:val="es-ES_tradnl"/>
        </w:rPr>
        <w:t>l</w:t>
      </w:r>
      <w:r w:rsidRPr="00294702">
        <w:rPr>
          <w:rFonts w:ascii="Verdana" w:eastAsia="Arial" w:hAnsi="Verdana" w:cs="Arial"/>
          <w:color w:val="000000" w:themeColor="text1"/>
          <w:lang w:val="es-ES_tradnl"/>
        </w:rPr>
        <w:t xml:space="preserve">a denominación </w:t>
      </w:r>
      <w:r>
        <w:rPr>
          <w:rFonts w:ascii="Verdana" w:eastAsia="Arial" w:hAnsi="Verdana" w:cs="Arial"/>
          <w:color w:val="000000" w:themeColor="text1"/>
          <w:lang w:val="es-ES_tradnl"/>
        </w:rPr>
        <w:t xml:space="preserve">de indeterminado </w:t>
      </w:r>
      <w:r w:rsidRPr="00294702">
        <w:rPr>
          <w:rFonts w:ascii="Verdana" w:eastAsia="Arial" w:hAnsi="Verdana" w:cs="Arial"/>
          <w:color w:val="000000" w:themeColor="text1"/>
          <w:lang w:val="es-ES_tradnl"/>
        </w:rPr>
        <w:t xml:space="preserve">en el Derecho cuando se trata de un enunciado que goza de vaguedad y que debe materializarse en cada caso, atendiendo a las técnicas de la interpretación jurídica. De igual forma, se trata de un concepto para cuya concreción las entidades estatales gozan de cierto margen de apreciación en su </w:t>
      </w:r>
      <w:r w:rsidRPr="00294702">
        <w:rPr>
          <w:rFonts w:ascii="Verdana" w:eastAsia="Arial" w:hAnsi="Verdana" w:cs="Arial"/>
          <w:color w:val="000000" w:themeColor="text1"/>
          <w:lang w:val="es-ES_tradnl"/>
        </w:rPr>
        <w:lastRenderedPageBreak/>
        <w:t>aplicación, pero deben respetar los límites previstos en las normas de orden público. La Corte Constitucional</w:t>
      </w:r>
      <w:r w:rsidRPr="00294702">
        <w:rPr>
          <w:rStyle w:val="Refdenotaalpie"/>
          <w:rFonts w:ascii="Verdana" w:eastAsia="Arial" w:hAnsi="Verdana"/>
        </w:rPr>
        <w:footnoteReference w:id="3"/>
      </w:r>
      <w:r w:rsidRPr="00294702">
        <w:rPr>
          <w:rFonts w:ascii="Verdana" w:eastAsia="Arial" w:hAnsi="Verdana" w:cs="Arial"/>
          <w:color w:val="000000" w:themeColor="text1"/>
          <w:lang w:val="es-ES_tradnl"/>
        </w:rPr>
        <w:t xml:space="preserve"> también ha reconocido que el Congreso de la República, dentro de su libertad de configuración legislativa, puede emplear este tipo de conceptos, que se caracterizan por tener un cierto halo de incertidumbre en su interpretación, quedando referida su determinación concreta a la actividad de los operadores jurídicos.</w:t>
      </w:r>
    </w:p>
    <w:p w14:paraId="44223998" w14:textId="77777777" w:rsidR="00CF70B3" w:rsidRPr="00294702" w:rsidRDefault="00CF70B3" w:rsidP="00CF70B3">
      <w:pPr>
        <w:spacing w:after="120" w:line="276" w:lineRule="auto"/>
        <w:ind w:firstLine="709"/>
        <w:jc w:val="both"/>
        <w:rPr>
          <w:rFonts w:ascii="Verdana" w:hAnsi="Verdana" w:cs="Arial"/>
          <w:color w:val="000000" w:themeColor="text1"/>
          <w:lang w:val="es-ES_tradnl"/>
        </w:rPr>
      </w:pPr>
      <w:r w:rsidRPr="00294702">
        <w:rPr>
          <w:rFonts w:ascii="Verdana" w:eastAsia="Arial" w:hAnsi="Verdana" w:cs="Arial"/>
          <w:color w:val="000000" w:themeColor="text1"/>
          <w:lang w:val="es-ES_tradnl"/>
        </w:rPr>
        <w:t xml:space="preserve">El Consejo de Estado, en varios pronunciamientos, ha admitido el carácter indeterminado de los conceptos </w:t>
      </w:r>
      <w:r>
        <w:rPr>
          <w:rFonts w:ascii="Verdana" w:hAnsi="Verdana" w:cs="Arial"/>
          <w:color w:val="000000" w:themeColor="text1"/>
          <w:lang w:val="es-ES_tradnl"/>
        </w:rPr>
        <w:t>“</w:t>
      </w:r>
      <w:r w:rsidRPr="00294702">
        <w:rPr>
          <w:rFonts w:ascii="Verdana" w:hAnsi="Verdana" w:cs="Arial"/>
          <w:color w:val="000000" w:themeColor="text1"/>
          <w:lang w:val="es-ES_tradnl"/>
        </w:rPr>
        <w:t>defensa y seguridad del Estado</w:t>
      </w:r>
      <w:r>
        <w:rPr>
          <w:rFonts w:ascii="Verdana" w:hAnsi="Verdana" w:cs="Arial"/>
          <w:color w:val="000000" w:themeColor="text1"/>
          <w:lang w:val="es-ES_tradnl"/>
        </w:rPr>
        <w:t>”</w:t>
      </w:r>
      <w:r w:rsidRPr="00294702">
        <w:rPr>
          <w:rFonts w:ascii="Verdana" w:hAnsi="Verdana" w:cs="Arial"/>
          <w:color w:val="000000" w:themeColor="text1"/>
          <w:lang w:val="es-ES_tradnl"/>
        </w:rPr>
        <w:t xml:space="preserve"> y </w:t>
      </w:r>
      <w:r>
        <w:rPr>
          <w:rFonts w:ascii="Verdana" w:hAnsi="Verdana" w:cs="Arial"/>
          <w:color w:val="000000" w:themeColor="text1"/>
          <w:lang w:val="es-ES_tradnl"/>
        </w:rPr>
        <w:t>“</w:t>
      </w:r>
      <w:r w:rsidRPr="00294702">
        <w:rPr>
          <w:rFonts w:ascii="Verdana" w:hAnsi="Verdana" w:cs="Arial"/>
          <w:color w:val="000000" w:themeColor="text1"/>
          <w:lang w:val="es-ES_tradnl"/>
        </w:rPr>
        <w:t>defensa y seguridad nacional</w:t>
      </w:r>
      <w:r>
        <w:rPr>
          <w:rFonts w:ascii="Verdana" w:hAnsi="Verdana" w:cs="Arial"/>
          <w:color w:val="000000" w:themeColor="text1"/>
          <w:lang w:val="es-ES_tradnl"/>
        </w:rPr>
        <w:t>”</w:t>
      </w:r>
      <w:r w:rsidRPr="00294702">
        <w:rPr>
          <w:rFonts w:ascii="Verdana" w:hAnsi="Verdana" w:cs="Arial"/>
          <w:color w:val="000000" w:themeColor="text1"/>
          <w:lang w:val="es-ES_tradnl"/>
        </w:rPr>
        <w:t>, en las normas de contratación pública que se refieren a aquellos, incluida la del artículo 33 de la Ley 996 de 2005. A modo enunciativo, conviene referirse a algunas de dichas providencias:</w:t>
      </w:r>
    </w:p>
    <w:p w14:paraId="70084C51" w14:textId="77777777" w:rsidR="00CF70B3" w:rsidRPr="00294702" w:rsidRDefault="00CF70B3" w:rsidP="00CF70B3">
      <w:pPr>
        <w:spacing w:before="120"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En concepto del 30 de enero de 1997, la Sala de Consulta y Servicio Civil indicó que</w:t>
      </w:r>
      <w:r>
        <w:rPr>
          <w:rFonts w:ascii="Verdana" w:hAnsi="Verdana" w:cs="Arial"/>
          <w:color w:val="000000" w:themeColor="text1"/>
          <w:lang w:val="es-ES_tradnl"/>
        </w:rPr>
        <w:t>:</w:t>
      </w:r>
      <w:r w:rsidRPr="00294702">
        <w:rPr>
          <w:rFonts w:ascii="Verdana" w:hAnsi="Verdana" w:cs="Arial"/>
          <w:color w:val="000000" w:themeColor="text1"/>
          <w:lang w:val="es-ES_tradnl"/>
        </w:rPr>
        <w:t xml:space="preserve"> </w:t>
      </w:r>
      <w:r>
        <w:rPr>
          <w:rFonts w:ascii="Verdana" w:hAnsi="Verdana" w:cs="Arial"/>
          <w:color w:val="000000" w:themeColor="text1"/>
          <w:lang w:val="es-ES_tradnl"/>
        </w:rPr>
        <w:t>“</w:t>
      </w:r>
      <w:r w:rsidRPr="00294702">
        <w:rPr>
          <w:rFonts w:ascii="Verdana" w:hAnsi="Verdana" w:cs="Arial"/>
          <w:color w:val="000000" w:themeColor="text1"/>
          <w:lang w:val="es-ES_tradnl"/>
        </w:rPr>
        <w:t>El ramo de seguridad, perteneciente a la administración pública, comprende las actividades que velan por la seguridad de los habitantes del territorio del Estado. Su finalidad es la detectar las amenazas que puedan perturbar el orden público, afectar intereses nacionales o desestabilizar las instituciones políticas vigentes. Por tanto, tiene un carácter eminentemente preventivo</w:t>
      </w:r>
      <w:r>
        <w:rPr>
          <w:rFonts w:ascii="Verdana" w:hAnsi="Verdana" w:cs="Arial"/>
          <w:color w:val="000000" w:themeColor="text1"/>
          <w:lang w:val="es-ES_tradnl"/>
        </w:rPr>
        <w:t>”</w:t>
      </w:r>
      <w:r w:rsidRPr="00294702">
        <w:rPr>
          <w:rStyle w:val="Refdenotaalpie"/>
          <w:rFonts w:ascii="Verdana" w:hAnsi="Verdana"/>
        </w:rPr>
        <w:footnoteReference w:id="4"/>
      </w:r>
      <w:r w:rsidRPr="00294702">
        <w:rPr>
          <w:rFonts w:ascii="Verdana" w:hAnsi="Verdana" w:cs="Arial"/>
          <w:color w:val="000000" w:themeColor="text1"/>
          <w:lang w:val="es-ES_tradnl"/>
        </w:rPr>
        <w:t>. Y agregó:</w:t>
      </w:r>
    </w:p>
    <w:p w14:paraId="09649FF0" w14:textId="77777777" w:rsidR="00CF70B3" w:rsidRPr="00294702" w:rsidRDefault="00CF70B3" w:rsidP="00CF70B3">
      <w:pPr>
        <w:spacing w:after="0"/>
        <w:ind w:left="709" w:right="709"/>
        <w:jc w:val="both"/>
        <w:rPr>
          <w:rFonts w:ascii="Verdana" w:hAnsi="Verdana" w:cs="Arial"/>
          <w:color w:val="000000" w:themeColor="text1"/>
          <w:lang w:val="es-ES_tradnl"/>
        </w:rPr>
      </w:pPr>
    </w:p>
    <w:p w14:paraId="74586BDD" w14:textId="77777777" w:rsidR="00CF70B3" w:rsidRPr="00294702" w:rsidRDefault="00CF70B3" w:rsidP="00CF70B3">
      <w:pPr>
        <w:spacing w:after="0" w:line="240" w:lineRule="auto"/>
        <w:ind w:left="709" w:right="709"/>
        <w:jc w:val="both"/>
        <w:rPr>
          <w:rFonts w:ascii="Verdana" w:hAnsi="Verdana" w:cs="Arial"/>
          <w:color w:val="000000" w:themeColor="text1"/>
          <w:sz w:val="20"/>
          <w:szCs w:val="20"/>
          <w:lang w:val="es-ES_tradnl"/>
        </w:rPr>
      </w:pPr>
      <w:r w:rsidRPr="00294702">
        <w:rPr>
          <w:rFonts w:ascii="Verdana" w:hAnsi="Verdana" w:cs="Arial"/>
          <w:color w:val="000000" w:themeColor="text1"/>
          <w:sz w:val="20"/>
          <w:szCs w:val="20"/>
          <w:lang w:val="es-ES_tradnl"/>
        </w:rPr>
        <w:t>De manera que, aunque disímiles, los conceptos de seguridad y de defensa nacional se complementan para el cumplimiento de fines esenciales del Estado, como que ambos conforman sectores de la administración pública íntimamente relacionados. Al sector seguridad corresponde "asegurar la convivencia pacífica y la vigencia de un orden justo", mientras que al sector defensa compete "defender la independencia nacional y mantener la integridad territorial", para utilizar expresiones que pertenecen a la terminología empleada por el artículo 2</w:t>
      </w:r>
      <w:r w:rsidRPr="00294702">
        <w:rPr>
          <w:rFonts w:ascii="Verdana" w:hAnsi="Verdana" w:cs="Arial"/>
          <w:color w:val="000000" w:themeColor="text1"/>
          <w:sz w:val="20"/>
          <w:szCs w:val="20"/>
          <w:vertAlign w:val="superscript"/>
          <w:lang w:val="es-ES_tradnl"/>
        </w:rPr>
        <w:t>o</w:t>
      </w:r>
      <w:r w:rsidRPr="00294702">
        <w:rPr>
          <w:rFonts w:ascii="Verdana" w:hAnsi="Verdana" w:cs="Arial"/>
          <w:color w:val="000000" w:themeColor="text1"/>
          <w:sz w:val="20"/>
          <w:szCs w:val="20"/>
          <w:lang w:val="es-ES_tradnl"/>
        </w:rPr>
        <w:t>. de la Constitución. Por lo demás, la primera noción implica un campo de acción de naturaleza preventivo, encomendado a instituciones y cuerpos de naturaleza civil. La segunda requiere de medidas de protección e inclusive acciones de carácter bélico, para lo cual se han organizado instituciones y cuerpos de naturaleza militar</w:t>
      </w:r>
      <w:r w:rsidRPr="00294702">
        <w:rPr>
          <w:rStyle w:val="Refdenotaalpie"/>
          <w:rFonts w:ascii="Verdana" w:hAnsi="Verdana"/>
          <w:sz w:val="20"/>
          <w:szCs w:val="20"/>
        </w:rPr>
        <w:footnoteReference w:id="5"/>
      </w:r>
      <w:r w:rsidRPr="00294702">
        <w:rPr>
          <w:rFonts w:ascii="Verdana" w:hAnsi="Verdana" w:cs="Arial"/>
          <w:color w:val="000000" w:themeColor="text1"/>
          <w:sz w:val="20"/>
          <w:szCs w:val="20"/>
          <w:lang w:val="es-ES_tradnl"/>
        </w:rPr>
        <w:t>.</w:t>
      </w:r>
    </w:p>
    <w:p w14:paraId="7F2EE788" w14:textId="77777777" w:rsidR="00CF70B3" w:rsidRPr="00294702" w:rsidRDefault="00CF70B3" w:rsidP="00CF70B3">
      <w:pPr>
        <w:spacing w:after="0" w:line="276" w:lineRule="auto"/>
        <w:ind w:firstLine="709"/>
        <w:jc w:val="both"/>
        <w:rPr>
          <w:rFonts w:ascii="Verdana" w:hAnsi="Verdana" w:cs="Arial"/>
          <w:color w:val="000000" w:themeColor="text1"/>
          <w:lang w:val="es-ES_tradnl"/>
        </w:rPr>
      </w:pPr>
    </w:p>
    <w:p w14:paraId="45753C20" w14:textId="77777777" w:rsidR="00CF70B3" w:rsidRPr="00294702" w:rsidRDefault="00CF70B3" w:rsidP="00CF70B3">
      <w:pPr>
        <w:spacing w:line="276" w:lineRule="auto"/>
        <w:ind w:firstLine="709"/>
        <w:jc w:val="both"/>
        <w:rPr>
          <w:rFonts w:ascii="Verdana" w:hAnsi="Verdana" w:cs="Arial"/>
          <w:color w:val="000000" w:themeColor="text1"/>
          <w:lang w:val="es-ES"/>
        </w:rPr>
      </w:pPr>
      <w:r w:rsidRPr="00294702">
        <w:rPr>
          <w:rFonts w:ascii="Verdana" w:hAnsi="Verdana" w:cs="Arial"/>
          <w:color w:val="000000" w:themeColor="text1"/>
          <w:lang w:val="es-ES_tradnl"/>
        </w:rPr>
        <w:t>En concepto del 15 de diciembre de 2005, la Sala de Consulta y Servicio Civil señaló que</w:t>
      </w:r>
      <w:r>
        <w:rPr>
          <w:rFonts w:ascii="Verdana" w:hAnsi="Verdana" w:cs="Arial"/>
          <w:color w:val="000000" w:themeColor="text1"/>
          <w:lang w:val="es-ES_tradnl"/>
        </w:rPr>
        <w:t>:</w:t>
      </w:r>
      <w:r w:rsidRPr="00294702">
        <w:rPr>
          <w:rFonts w:ascii="Verdana" w:hAnsi="Verdana" w:cs="Arial"/>
          <w:color w:val="000000" w:themeColor="text1"/>
          <w:lang w:val="es-ES_tradnl"/>
        </w:rPr>
        <w:t xml:space="preserve"> </w:t>
      </w:r>
      <w:r>
        <w:rPr>
          <w:rFonts w:ascii="Verdana" w:hAnsi="Verdana" w:cs="Arial"/>
          <w:color w:val="000000" w:themeColor="text1"/>
          <w:lang w:val="es-ES_tradnl"/>
        </w:rPr>
        <w:t>“</w:t>
      </w:r>
      <w:r w:rsidRPr="00294702">
        <w:rPr>
          <w:rFonts w:ascii="Verdana" w:hAnsi="Verdana" w:cs="Arial"/>
          <w:lang w:val="es-ES" w:eastAsia="es-ES"/>
        </w:rPr>
        <w:t xml:space="preserve">[…] </w:t>
      </w:r>
      <w:r w:rsidRPr="00294702">
        <w:rPr>
          <w:rFonts w:ascii="Verdana" w:hAnsi="Verdana" w:cs="Arial"/>
          <w:color w:val="000000" w:themeColor="text1"/>
          <w:lang w:val="es-ES"/>
        </w:rPr>
        <w:t xml:space="preserve">la creación de los cargos de Inspector de Seguridad Aérea </w:t>
      </w:r>
      <w:r w:rsidRPr="00294702">
        <w:rPr>
          <w:rFonts w:ascii="Verdana" w:hAnsi="Verdana" w:cs="Arial"/>
          <w:color w:val="000000" w:themeColor="text1"/>
          <w:lang w:val="es-ES"/>
        </w:rPr>
        <w:lastRenderedPageBreak/>
        <w:t>en la Unidad Administrativa Especial de la Aeronáutica Civil, y su posterior provisión, por relacionarse con la incorporación de un personal necesario para la seguridad aérea, la cual constituye un aspecto de la seguridad del Estado, se encuentra dentro de la excepción mencionada por el artículo 33 de la ley 996 de 2005, y en consecuencia, resulta viable la expedición del decreto de creación de dichos cargos en la planta de personal de la entidad</w:t>
      </w:r>
      <w:r>
        <w:rPr>
          <w:rFonts w:ascii="Verdana" w:hAnsi="Verdana" w:cs="Arial"/>
          <w:color w:val="000000" w:themeColor="text1"/>
          <w:lang w:val="es-ES"/>
        </w:rPr>
        <w:t>”</w:t>
      </w:r>
      <w:r w:rsidRPr="00294702">
        <w:rPr>
          <w:rStyle w:val="Refdenotaalpie"/>
          <w:rFonts w:ascii="Verdana" w:hAnsi="Verdana"/>
        </w:rPr>
        <w:footnoteReference w:id="6"/>
      </w:r>
      <w:r w:rsidRPr="00294702">
        <w:rPr>
          <w:rFonts w:ascii="Verdana" w:hAnsi="Verdana" w:cs="Arial"/>
          <w:color w:val="000000" w:themeColor="text1"/>
          <w:lang w:val="es-ES"/>
        </w:rPr>
        <w:t>.</w:t>
      </w:r>
    </w:p>
    <w:p w14:paraId="3D906ADF" w14:textId="77777777" w:rsidR="00CF70B3" w:rsidRPr="00294702" w:rsidRDefault="00CF70B3" w:rsidP="00CF70B3">
      <w:pPr>
        <w:spacing w:before="120" w:after="0" w:line="276" w:lineRule="auto"/>
        <w:ind w:firstLine="709"/>
        <w:jc w:val="both"/>
        <w:rPr>
          <w:rFonts w:ascii="Verdana" w:hAnsi="Verdana" w:cs="Arial"/>
          <w:color w:val="000000" w:themeColor="text1"/>
          <w:lang w:val="es-ES"/>
        </w:rPr>
      </w:pPr>
      <w:r w:rsidRPr="00294702">
        <w:rPr>
          <w:rFonts w:ascii="Verdana" w:hAnsi="Verdana" w:cs="Arial"/>
          <w:color w:val="000000" w:themeColor="text1"/>
          <w:lang w:val="es-ES"/>
        </w:rPr>
        <w:t xml:space="preserve">En concepto del 17 de febrero de 2006, la Sala de Consulta y Servicio Civil, al interpretar la excepción de </w:t>
      </w:r>
      <w:r>
        <w:rPr>
          <w:rFonts w:ascii="Verdana" w:hAnsi="Verdana" w:cs="Arial"/>
          <w:color w:val="000000" w:themeColor="text1"/>
          <w:lang w:val="es-ES"/>
        </w:rPr>
        <w:t>“</w:t>
      </w:r>
      <w:r w:rsidRPr="00294702">
        <w:rPr>
          <w:rFonts w:ascii="Verdana" w:hAnsi="Verdana" w:cs="Arial"/>
          <w:color w:val="000000" w:themeColor="text1"/>
          <w:lang w:val="es-ES"/>
        </w:rPr>
        <w:t>defensa y seguridad del Estado</w:t>
      </w:r>
      <w:r>
        <w:rPr>
          <w:rFonts w:ascii="Verdana" w:hAnsi="Verdana" w:cs="Arial"/>
          <w:color w:val="000000" w:themeColor="text1"/>
          <w:lang w:val="es-ES"/>
        </w:rPr>
        <w:t>”</w:t>
      </w:r>
      <w:r w:rsidRPr="00294702">
        <w:rPr>
          <w:rFonts w:ascii="Verdana" w:hAnsi="Verdana" w:cs="Arial"/>
          <w:color w:val="000000" w:themeColor="text1"/>
          <w:lang w:val="es-ES"/>
        </w:rPr>
        <w:t xml:space="preserve"> del segundo inciso del artículo 33 de la Ley 996 de 2005, sostuvo que </w:t>
      </w:r>
      <w:r>
        <w:rPr>
          <w:rFonts w:ascii="Verdana" w:hAnsi="Verdana" w:cs="Arial"/>
          <w:color w:val="000000" w:themeColor="text1"/>
          <w:lang w:val="es-ES"/>
        </w:rPr>
        <w:t>“</w:t>
      </w:r>
      <w:r w:rsidRPr="00294702">
        <w:rPr>
          <w:rFonts w:ascii="Verdana" w:hAnsi="Verdana" w:cs="Arial"/>
          <w:color w:val="000000" w:themeColor="text1"/>
          <w:lang w:val="es-ES"/>
        </w:rPr>
        <w:t>Seguridad y defensa del Estado, significan respeto del orden instituido</w:t>
      </w:r>
      <w:r>
        <w:rPr>
          <w:rFonts w:ascii="Verdana" w:hAnsi="Verdana" w:cs="Arial"/>
          <w:color w:val="000000" w:themeColor="text1"/>
          <w:lang w:val="es-ES"/>
        </w:rPr>
        <w:t>”</w:t>
      </w:r>
      <w:r w:rsidRPr="00294702">
        <w:rPr>
          <w:rStyle w:val="Refdenotaalpie"/>
          <w:rFonts w:ascii="Verdana" w:hAnsi="Verdana"/>
        </w:rPr>
        <w:footnoteReference w:id="7"/>
      </w:r>
      <w:r w:rsidRPr="00294702">
        <w:rPr>
          <w:rFonts w:ascii="Verdana" w:hAnsi="Verdana" w:cs="Arial"/>
          <w:color w:val="000000" w:themeColor="text1"/>
          <w:lang w:val="es-ES"/>
        </w:rPr>
        <w:t>, añadiendo, por tanto, que:</w:t>
      </w:r>
    </w:p>
    <w:p w14:paraId="6860BF48" w14:textId="77777777" w:rsidR="00CF70B3" w:rsidRPr="00294702" w:rsidRDefault="00CF70B3" w:rsidP="00CF70B3">
      <w:pPr>
        <w:spacing w:after="0"/>
        <w:ind w:left="709" w:right="709"/>
        <w:jc w:val="both"/>
        <w:rPr>
          <w:rFonts w:ascii="Verdana" w:hAnsi="Verdana" w:cs="Arial"/>
          <w:color w:val="000000" w:themeColor="text1"/>
          <w:sz w:val="21"/>
          <w:szCs w:val="21"/>
          <w:lang w:val="es-ES"/>
        </w:rPr>
      </w:pPr>
    </w:p>
    <w:p w14:paraId="629717ED" w14:textId="77777777" w:rsidR="00CF70B3" w:rsidRPr="00294702" w:rsidRDefault="00CF70B3" w:rsidP="00CF70B3">
      <w:pPr>
        <w:spacing w:after="0" w:line="240" w:lineRule="auto"/>
        <w:ind w:left="709" w:right="709"/>
        <w:jc w:val="both"/>
        <w:rPr>
          <w:rFonts w:ascii="Verdana" w:hAnsi="Verdana" w:cs="Arial"/>
          <w:color w:val="000000" w:themeColor="text1"/>
          <w:sz w:val="20"/>
          <w:szCs w:val="20"/>
          <w:lang w:val="es-ES_tradnl"/>
        </w:rPr>
      </w:pPr>
      <w:r w:rsidRPr="00294702">
        <w:rPr>
          <w:rFonts w:ascii="Verdana" w:hAnsi="Verdana" w:cs="Arial"/>
          <w:color w:val="000000" w:themeColor="text1"/>
          <w:sz w:val="20"/>
          <w:szCs w:val="20"/>
          <w:lang w:val="es-ES_tradnl"/>
        </w:rPr>
        <w:t>Por su relación directa, necesaria e inmediata con la realización del derecho constitucional a la participación democrática y la defensa del orden institucional, los procesos de contratación para la adquisición de bienes y servicios necesarios para adelantar los procesos electorales  para elección de Congreso y Presidente de la República, hacen parte de la defensa y seguridad del Estado, y por consiguiente se pueden incluir en la excepción a la prohibición de contratación directa establecida por el artículo 33 de la ley 996 de 2.005, razón por la cual las gobernaciones y alcaldías, en su labor de colaboración, de acuerdo con el marco establecido por el Plan Nacional de Garantías, pueden contratar en forma directa en aquellos casos que no superen las cuantías para hacer licitación pública, durante los cuatro meses anteriores a las elecciones presidenciales, salvo que se trate de convenios interadministrativos para la ejecución de recursos públicos, en cuyo caso no cabría la excepción a la prohibición</w:t>
      </w:r>
      <w:r w:rsidRPr="00294702">
        <w:rPr>
          <w:rStyle w:val="Refdenotaalpie"/>
          <w:rFonts w:ascii="Verdana" w:hAnsi="Verdana"/>
          <w:sz w:val="20"/>
          <w:szCs w:val="20"/>
        </w:rPr>
        <w:footnoteReference w:id="8"/>
      </w:r>
      <w:r w:rsidRPr="00294702">
        <w:rPr>
          <w:rFonts w:ascii="Verdana" w:hAnsi="Verdana" w:cs="Arial"/>
          <w:color w:val="000000" w:themeColor="text1"/>
          <w:sz w:val="20"/>
          <w:szCs w:val="20"/>
          <w:lang w:val="es-ES_tradnl"/>
        </w:rPr>
        <w:t>.</w:t>
      </w:r>
    </w:p>
    <w:p w14:paraId="597DD914" w14:textId="77777777" w:rsidR="00CF70B3" w:rsidRPr="00294702" w:rsidRDefault="00CF70B3" w:rsidP="00CF70B3">
      <w:pPr>
        <w:spacing w:after="0" w:line="276" w:lineRule="auto"/>
        <w:ind w:firstLine="709"/>
        <w:jc w:val="both"/>
        <w:rPr>
          <w:rFonts w:ascii="Verdana" w:hAnsi="Verdana" w:cs="Arial"/>
          <w:color w:val="000000" w:themeColor="text1"/>
          <w:lang w:val="es-ES_tradnl"/>
        </w:rPr>
      </w:pPr>
    </w:p>
    <w:p w14:paraId="4BFDC961" w14:textId="77777777" w:rsidR="00CF70B3" w:rsidRDefault="00CF70B3" w:rsidP="00CF70B3">
      <w:pPr>
        <w:spacing w:before="120" w:after="0" w:line="276" w:lineRule="auto"/>
        <w:ind w:firstLine="709"/>
        <w:jc w:val="both"/>
        <w:rPr>
          <w:rFonts w:ascii="Verdana" w:hAnsi="Verdana" w:cs="Arial"/>
          <w:color w:val="000000" w:themeColor="text1"/>
          <w:lang w:val="es-ES_tradnl"/>
        </w:rPr>
      </w:pPr>
    </w:p>
    <w:p w14:paraId="62236467" w14:textId="77777777" w:rsidR="00CF70B3" w:rsidRPr="00294702" w:rsidRDefault="00CF70B3" w:rsidP="00CF70B3">
      <w:pPr>
        <w:spacing w:before="120"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 xml:space="preserve">En concepto del 2 de septiembre de 2013, la Sala de Consulta y Servicio Civil se pronunció sobre el alcance de la expresión </w:t>
      </w:r>
      <w:r>
        <w:rPr>
          <w:rFonts w:ascii="Verdana" w:hAnsi="Verdana" w:cs="Arial"/>
          <w:color w:val="000000" w:themeColor="text1"/>
          <w:lang w:val="es-ES_tradnl"/>
        </w:rPr>
        <w:t>“</w:t>
      </w:r>
      <w:r w:rsidRPr="00294702">
        <w:rPr>
          <w:rFonts w:ascii="Verdana" w:hAnsi="Verdana" w:cs="Arial"/>
          <w:color w:val="000000" w:themeColor="text1"/>
          <w:lang w:val="es-ES_tradnl"/>
        </w:rPr>
        <w:t>defensa y seguridad del Estado</w:t>
      </w:r>
      <w:r>
        <w:rPr>
          <w:rFonts w:ascii="Verdana" w:hAnsi="Verdana" w:cs="Arial"/>
          <w:color w:val="000000" w:themeColor="text1"/>
          <w:lang w:val="es-ES_tradnl"/>
        </w:rPr>
        <w:t>”</w:t>
      </w:r>
      <w:r w:rsidRPr="00294702">
        <w:rPr>
          <w:rFonts w:ascii="Verdana" w:hAnsi="Verdana" w:cs="Arial"/>
          <w:color w:val="000000" w:themeColor="text1"/>
          <w:lang w:val="es-ES_tradnl"/>
        </w:rPr>
        <w:t>, como excepción a la prohibición del artículo 33 de la Ley 996 de 2005, en el marco de la contratación relacionada con los compromisos derivados del acuerdo de paz con las FARC, señalando lo siguiente:</w:t>
      </w:r>
    </w:p>
    <w:p w14:paraId="02CFBF47" w14:textId="77777777" w:rsidR="00CF70B3" w:rsidRPr="00294702" w:rsidRDefault="00CF70B3" w:rsidP="00CF70B3">
      <w:pPr>
        <w:spacing w:after="0"/>
        <w:ind w:left="709" w:right="709"/>
        <w:jc w:val="both"/>
        <w:rPr>
          <w:rFonts w:ascii="Verdana" w:hAnsi="Verdana" w:cs="Arial"/>
          <w:i/>
          <w:sz w:val="21"/>
          <w:szCs w:val="21"/>
        </w:rPr>
      </w:pPr>
    </w:p>
    <w:p w14:paraId="76E9C3EE" w14:textId="77777777" w:rsidR="00CF70B3" w:rsidRPr="00294702" w:rsidRDefault="00CF70B3" w:rsidP="00CF70B3">
      <w:pPr>
        <w:spacing w:after="0" w:line="240" w:lineRule="auto"/>
        <w:ind w:left="709" w:right="709"/>
        <w:jc w:val="both"/>
        <w:rPr>
          <w:rFonts w:ascii="Verdana" w:hAnsi="Verdana" w:cs="Arial"/>
          <w:sz w:val="20"/>
          <w:szCs w:val="20"/>
        </w:rPr>
      </w:pPr>
      <w:r w:rsidRPr="00294702">
        <w:rPr>
          <w:rFonts w:ascii="Verdana" w:hAnsi="Verdana" w:cs="Arial"/>
          <w:i/>
          <w:sz w:val="20"/>
          <w:szCs w:val="20"/>
        </w:rPr>
        <w:t>(i)</w:t>
      </w:r>
      <w:r w:rsidRPr="00294702">
        <w:rPr>
          <w:rFonts w:ascii="Verdana" w:hAnsi="Verdana" w:cs="Arial"/>
          <w:sz w:val="20"/>
          <w:szCs w:val="20"/>
        </w:rPr>
        <w:t xml:space="preserve"> La seguridad y la defensa nacionales son presupuestos materiales de la soberanía nacional, la independencia, la integridad territorial y el orden </w:t>
      </w:r>
      <w:r w:rsidRPr="00294702">
        <w:rPr>
          <w:rFonts w:ascii="Verdana" w:hAnsi="Verdana" w:cs="Arial"/>
          <w:sz w:val="20"/>
          <w:szCs w:val="20"/>
        </w:rPr>
        <w:lastRenderedPageBreak/>
        <w:t>constitucional, y contribuyen a garantizar las condiciones necesarias para el ejercicio de los derechos, obligaciones y libertades públicas.</w:t>
      </w:r>
    </w:p>
    <w:p w14:paraId="010E8A10" w14:textId="77777777" w:rsidR="00CF70B3" w:rsidRPr="00294702" w:rsidRDefault="00CF70B3" w:rsidP="00CF70B3">
      <w:pPr>
        <w:spacing w:after="0" w:line="240" w:lineRule="auto"/>
        <w:ind w:left="709" w:right="709"/>
        <w:jc w:val="both"/>
        <w:rPr>
          <w:rFonts w:ascii="Verdana" w:hAnsi="Verdana" w:cs="Arial"/>
          <w:sz w:val="20"/>
          <w:szCs w:val="20"/>
        </w:rPr>
      </w:pPr>
    </w:p>
    <w:p w14:paraId="25D330F3" w14:textId="77777777" w:rsidR="00CF70B3" w:rsidRPr="00294702" w:rsidRDefault="00CF70B3" w:rsidP="00CF70B3">
      <w:pPr>
        <w:spacing w:after="0" w:line="240" w:lineRule="auto"/>
        <w:ind w:left="709" w:right="709"/>
        <w:jc w:val="both"/>
        <w:rPr>
          <w:rFonts w:ascii="Verdana" w:hAnsi="Verdana" w:cs="Arial"/>
          <w:sz w:val="20"/>
          <w:szCs w:val="20"/>
        </w:rPr>
      </w:pPr>
      <w:r w:rsidRPr="00294702">
        <w:rPr>
          <w:rFonts w:ascii="Verdana" w:hAnsi="Verdana" w:cs="Arial"/>
          <w:i/>
          <w:sz w:val="20"/>
          <w:szCs w:val="20"/>
        </w:rPr>
        <w:t>(</w:t>
      </w:r>
      <w:proofErr w:type="spellStart"/>
      <w:r w:rsidRPr="00294702">
        <w:rPr>
          <w:rFonts w:ascii="Verdana" w:hAnsi="Verdana" w:cs="Arial"/>
          <w:i/>
          <w:sz w:val="20"/>
          <w:szCs w:val="20"/>
        </w:rPr>
        <w:t>ii</w:t>
      </w:r>
      <w:proofErr w:type="spellEnd"/>
      <w:r w:rsidRPr="00294702">
        <w:rPr>
          <w:rFonts w:ascii="Verdana" w:hAnsi="Verdana" w:cs="Arial"/>
          <w:i/>
          <w:sz w:val="20"/>
          <w:szCs w:val="20"/>
        </w:rPr>
        <w:t>)</w:t>
      </w:r>
      <w:r w:rsidRPr="00294702">
        <w:rPr>
          <w:rFonts w:ascii="Verdana" w:hAnsi="Verdana" w:cs="Arial"/>
          <w:sz w:val="20"/>
          <w:szCs w:val="20"/>
        </w:rPr>
        <w:t xml:space="preserve"> Se trata de conceptos amplios, relativos y dinámicos, cuya concreción depende de los objetivos que se propone alcanzar el Estado en una época determinada, de manera que son susceptibles de actualización y sufren constantes transformaciones y cambios.</w:t>
      </w:r>
    </w:p>
    <w:p w14:paraId="3209A967" w14:textId="77777777" w:rsidR="00CF70B3" w:rsidRPr="00294702" w:rsidRDefault="00CF70B3" w:rsidP="00CF70B3">
      <w:pPr>
        <w:spacing w:after="0" w:line="240" w:lineRule="auto"/>
        <w:ind w:left="709" w:right="709"/>
        <w:jc w:val="both"/>
        <w:rPr>
          <w:rFonts w:ascii="Verdana" w:hAnsi="Verdana" w:cs="Arial"/>
          <w:sz w:val="20"/>
          <w:szCs w:val="20"/>
        </w:rPr>
      </w:pPr>
    </w:p>
    <w:p w14:paraId="37B4B291" w14:textId="77777777" w:rsidR="00CF70B3" w:rsidRPr="00294702" w:rsidRDefault="00CF70B3" w:rsidP="00CF70B3">
      <w:pPr>
        <w:spacing w:after="0" w:line="240" w:lineRule="auto"/>
        <w:ind w:left="709" w:right="709"/>
        <w:jc w:val="both"/>
        <w:rPr>
          <w:rFonts w:ascii="Verdana" w:hAnsi="Verdana" w:cs="Arial"/>
          <w:sz w:val="20"/>
          <w:szCs w:val="20"/>
        </w:rPr>
      </w:pPr>
      <w:r w:rsidRPr="00294702">
        <w:rPr>
          <w:rFonts w:ascii="Verdana" w:hAnsi="Verdana" w:cs="Arial"/>
          <w:i/>
          <w:sz w:val="20"/>
          <w:szCs w:val="20"/>
        </w:rPr>
        <w:t>(</w:t>
      </w:r>
      <w:proofErr w:type="spellStart"/>
      <w:r w:rsidRPr="00294702">
        <w:rPr>
          <w:rFonts w:ascii="Verdana" w:hAnsi="Verdana" w:cs="Arial"/>
          <w:i/>
          <w:sz w:val="20"/>
          <w:szCs w:val="20"/>
        </w:rPr>
        <w:t>iii</w:t>
      </w:r>
      <w:proofErr w:type="spellEnd"/>
      <w:r w:rsidRPr="00294702">
        <w:rPr>
          <w:rFonts w:ascii="Verdana" w:hAnsi="Verdana" w:cs="Arial"/>
          <w:i/>
          <w:sz w:val="20"/>
          <w:szCs w:val="20"/>
        </w:rPr>
        <w:t>)</w:t>
      </w:r>
      <w:r w:rsidRPr="00294702">
        <w:rPr>
          <w:rFonts w:ascii="Verdana" w:hAnsi="Verdana" w:cs="Arial"/>
          <w:sz w:val="20"/>
          <w:szCs w:val="20"/>
        </w:rPr>
        <w:t xml:space="preserve"> La conservación y mantenimiento del orden público es la finalidad misma de la “seguridad” y encuentra en el Gobierno Nacional (art. 189.4 CP) su principal responsable y garante, razón por la cual puede</w:t>
      </w:r>
      <w:r w:rsidRPr="00294702">
        <w:rPr>
          <w:rStyle w:val="Refdecomentario"/>
          <w:rFonts w:ascii="Verdana" w:hAnsi="Verdana"/>
          <w:sz w:val="20"/>
          <w:szCs w:val="20"/>
        </w:rPr>
        <w:t xml:space="preserve"> </w:t>
      </w:r>
      <w:r w:rsidRPr="00294702">
        <w:rPr>
          <w:rFonts w:ascii="Verdana" w:hAnsi="Verdana" w:cs="Arial"/>
          <w:sz w:val="20"/>
          <w:szCs w:val="20"/>
        </w:rPr>
        <w:t>adoptar medidas y  adelantar acciones coercitivas o militares y soluciones no armamentistas sino políticas negociadas (por ejemplo desmovilización y reinserción), para alcanzar la paz, que es un valor (preámbulo constitucional), un fin esencial del Estado (art. 2 CP), un derecho (art. 22 CP) y un deber social (95.6 CP).</w:t>
      </w:r>
    </w:p>
    <w:p w14:paraId="2A333437" w14:textId="77777777" w:rsidR="00CF70B3" w:rsidRPr="00294702" w:rsidRDefault="00CF70B3" w:rsidP="00CF70B3">
      <w:pPr>
        <w:spacing w:after="0" w:line="240" w:lineRule="auto"/>
        <w:ind w:left="709" w:right="709"/>
        <w:jc w:val="both"/>
        <w:rPr>
          <w:rFonts w:ascii="Verdana" w:hAnsi="Verdana" w:cs="Arial"/>
          <w:sz w:val="20"/>
          <w:szCs w:val="20"/>
        </w:rPr>
      </w:pPr>
    </w:p>
    <w:p w14:paraId="0966E160" w14:textId="77777777" w:rsidR="00CF70B3" w:rsidRPr="00294702" w:rsidRDefault="00CF70B3" w:rsidP="00CF70B3">
      <w:pPr>
        <w:spacing w:after="0" w:line="240" w:lineRule="auto"/>
        <w:ind w:left="709" w:right="709"/>
        <w:jc w:val="both"/>
        <w:rPr>
          <w:rFonts w:ascii="Verdana" w:hAnsi="Verdana" w:cs="Arial"/>
          <w:sz w:val="20"/>
          <w:szCs w:val="20"/>
        </w:rPr>
      </w:pPr>
      <w:r w:rsidRPr="00294702">
        <w:rPr>
          <w:rFonts w:ascii="Verdana" w:hAnsi="Verdana" w:cs="Arial"/>
          <w:i/>
          <w:sz w:val="20"/>
          <w:szCs w:val="20"/>
        </w:rPr>
        <w:t>(</w:t>
      </w:r>
      <w:proofErr w:type="spellStart"/>
      <w:r w:rsidRPr="00294702">
        <w:rPr>
          <w:rFonts w:ascii="Verdana" w:hAnsi="Verdana" w:cs="Arial"/>
          <w:i/>
          <w:sz w:val="20"/>
          <w:szCs w:val="20"/>
        </w:rPr>
        <w:t>iv</w:t>
      </w:r>
      <w:proofErr w:type="spellEnd"/>
      <w:r w:rsidRPr="00294702">
        <w:rPr>
          <w:rFonts w:ascii="Verdana" w:hAnsi="Verdana" w:cs="Arial"/>
          <w:i/>
          <w:sz w:val="20"/>
          <w:szCs w:val="20"/>
        </w:rPr>
        <w:t>)</w:t>
      </w:r>
      <w:r w:rsidRPr="00294702">
        <w:rPr>
          <w:rFonts w:ascii="Verdana" w:hAnsi="Verdana" w:cs="Arial"/>
          <w:sz w:val="20"/>
          <w:szCs w:val="20"/>
        </w:rPr>
        <w:t xml:space="preserve"> Estos conceptos no están relacionados únicamente con los dispositivos o actividades bélicas o armamentistas, sino que abarcan todas aquellas estrategias y acciones que permitan la garantía de los derechos y libertades y, por ende, la coexistencia pacífica de los habitantes de la Nación, inclusive aquellas que permitan que los infractores de la ley se reincorporen a la vida civil.</w:t>
      </w:r>
    </w:p>
    <w:p w14:paraId="4AE0C69D" w14:textId="77777777" w:rsidR="00CF70B3" w:rsidRPr="00294702" w:rsidRDefault="00CF70B3" w:rsidP="00CF70B3">
      <w:pPr>
        <w:spacing w:after="0" w:line="240" w:lineRule="auto"/>
        <w:ind w:left="709" w:right="709"/>
        <w:jc w:val="both"/>
        <w:rPr>
          <w:rFonts w:ascii="Verdana" w:hAnsi="Verdana" w:cs="Arial"/>
          <w:sz w:val="20"/>
          <w:szCs w:val="20"/>
        </w:rPr>
      </w:pPr>
    </w:p>
    <w:p w14:paraId="2C304B5B" w14:textId="77777777" w:rsidR="00CF70B3" w:rsidRPr="00294702" w:rsidRDefault="00CF70B3" w:rsidP="00CF70B3">
      <w:pPr>
        <w:spacing w:after="0" w:line="240" w:lineRule="auto"/>
        <w:ind w:left="709" w:right="709"/>
        <w:jc w:val="both"/>
        <w:rPr>
          <w:rFonts w:ascii="Verdana" w:hAnsi="Verdana" w:cs="Arial"/>
          <w:sz w:val="20"/>
          <w:szCs w:val="20"/>
        </w:rPr>
      </w:pPr>
      <w:r w:rsidRPr="00294702">
        <w:rPr>
          <w:rFonts w:ascii="Verdana" w:hAnsi="Verdana" w:cs="Arial"/>
          <w:i/>
          <w:sz w:val="20"/>
          <w:szCs w:val="20"/>
        </w:rPr>
        <w:t>(v)</w:t>
      </w:r>
      <w:r w:rsidRPr="00294702">
        <w:rPr>
          <w:rFonts w:ascii="Verdana" w:hAnsi="Verdana" w:cs="Arial"/>
          <w:sz w:val="20"/>
          <w:szCs w:val="20"/>
        </w:rPr>
        <w:t xml:space="preserve"> La política de seguridad y defensa nacionales, supone para el Estado no solo la adopción de estrategias y acciones militares directas, sino también soluciones negociadas y, por tanto, estas últimas y todas las acciones y actividades que requieran, también configuran evidentes manifestaciones de la defensa y la seguridad nacionales.</w:t>
      </w:r>
    </w:p>
    <w:p w14:paraId="53C79F20" w14:textId="77777777" w:rsidR="00CF70B3" w:rsidRPr="00294702" w:rsidRDefault="00CF70B3" w:rsidP="00CF70B3">
      <w:pPr>
        <w:tabs>
          <w:tab w:val="left" w:pos="8222"/>
        </w:tabs>
        <w:spacing w:after="0" w:line="240" w:lineRule="auto"/>
        <w:ind w:left="709" w:right="709"/>
        <w:jc w:val="both"/>
        <w:rPr>
          <w:rFonts w:ascii="Verdana" w:hAnsi="Verdana" w:cs="Arial"/>
          <w:sz w:val="20"/>
          <w:szCs w:val="20"/>
        </w:rPr>
      </w:pPr>
    </w:p>
    <w:p w14:paraId="2C3069E4" w14:textId="77777777" w:rsidR="00CF70B3" w:rsidRPr="00294702" w:rsidRDefault="00CF70B3" w:rsidP="00CF70B3">
      <w:pPr>
        <w:tabs>
          <w:tab w:val="left" w:pos="8222"/>
        </w:tabs>
        <w:spacing w:after="0" w:line="240" w:lineRule="auto"/>
        <w:ind w:left="709" w:right="709"/>
        <w:jc w:val="both"/>
        <w:rPr>
          <w:rFonts w:ascii="Verdana" w:hAnsi="Verdana" w:cs="Arial"/>
          <w:bCs/>
          <w:sz w:val="20"/>
          <w:szCs w:val="20"/>
        </w:rPr>
      </w:pPr>
      <w:r w:rsidRPr="00294702">
        <w:rPr>
          <w:rFonts w:ascii="Verdana" w:hAnsi="Verdana" w:cs="Arial"/>
          <w:sz w:val="20"/>
          <w:szCs w:val="20"/>
          <w:lang w:val="es-ES_tradnl"/>
        </w:rPr>
        <w:t xml:space="preserve">Como se puede concluir de este análisis, </w:t>
      </w:r>
      <w:r w:rsidRPr="00294702">
        <w:rPr>
          <w:rFonts w:ascii="Verdana" w:hAnsi="Verdana" w:cs="Arial"/>
          <w:sz w:val="20"/>
          <w:szCs w:val="20"/>
        </w:rPr>
        <w:t xml:space="preserve">los conceptos de seguridad y defensa nacionales son conceptos jurídicos indeterminados, su alcance no se limita al campo de lo </w:t>
      </w:r>
      <w:proofErr w:type="gramStart"/>
      <w:r w:rsidRPr="00294702">
        <w:rPr>
          <w:rFonts w:ascii="Verdana" w:hAnsi="Verdana" w:cs="Arial"/>
          <w:sz w:val="20"/>
          <w:szCs w:val="20"/>
        </w:rPr>
        <w:t>bélico</w:t>
      </w:r>
      <w:proofErr w:type="gramEnd"/>
      <w:r w:rsidRPr="00294702">
        <w:rPr>
          <w:rFonts w:ascii="Verdana" w:hAnsi="Verdana" w:cs="Arial"/>
          <w:sz w:val="20"/>
          <w:szCs w:val="20"/>
        </w:rPr>
        <w:t xml:space="preserve"> sino que </w:t>
      </w:r>
      <w:r w:rsidRPr="00294702">
        <w:rPr>
          <w:rFonts w:ascii="Verdana" w:hAnsi="Verdana" w:cs="Arial"/>
          <w:bCs/>
          <w:sz w:val="20"/>
          <w:szCs w:val="20"/>
        </w:rPr>
        <w:t>incluye asuntos encaminados, directamente o por conexidad, al mantenimiento del orden público, la convivencia pacífica de la comunidad y la vigencia de los derechos y libertades de las personas.</w:t>
      </w:r>
    </w:p>
    <w:p w14:paraId="585B0C72" w14:textId="77777777" w:rsidR="00CF70B3" w:rsidRPr="00294702" w:rsidRDefault="00CF70B3" w:rsidP="00CF70B3">
      <w:pPr>
        <w:tabs>
          <w:tab w:val="left" w:pos="8222"/>
        </w:tabs>
        <w:spacing w:after="0" w:line="240" w:lineRule="auto"/>
        <w:ind w:left="709" w:right="709"/>
        <w:jc w:val="both"/>
        <w:rPr>
          <w:rFonts w:ascii="Verdana" w:hAnsi="Verdana" w:cs="Arial"/>
          <w:bCs/>
          <w:sz w:val="20"/>
          <w:szCs w:val="20"/>
        </w:rPr>
      </w:pPr>
    </w:p>
    <w:p w14:paraId="37F9493B" w14:textId="77777777" w:rsidR="00CF70B3" w:rsidRPr="00294702" w:rsidRDefault="00CF70B3" w:rsidP="00CF70B3">
      <w:pPr>
        <w:tabs>
          <w:tab w:val="left" w:pos="8222"/>
        </w:tabs>
        <w:spacing w:after="0" w:line="240" w:lineRule="auto"/>
        <w:ind w:left="709" w:right="709"/>
        <w:jc w:val="both"/>
        <w:rPr>
          <w:rFonts w:ascii="Verdana" w:hAnsi="Verdana" w:cs="Arial"/>
          <w:bCs/>
          <w:sz w:val="20"/>
          <w:szCs w:val="20"/>
        </w:rPr>
      </w:pPr>
      <w:r w:rsidRPr="00294702">
        <w:rPr>
          <w:rFonts w:ascii="Verdana" w:hAnsi="Verdana" w:cs="Arial"/>
          <w:bCs/>
          <w:sz w:val="20"/>
          <w:szCs w:val="20"/>
        </w:rPr>
        <w:t xml:space="preserve">Dentro del marco conceptual expuesto, resulta relevante revisar la naturaleza y objeto </w:t>
      </w:r>
      <w:r w:rsidRPr="00294702">
        <w:rPr>
          <w:rFonts w:ascii="Verdana" w:hAnsi="Verdana" w:cs="Arial"/>
          <w:sz w:val="20"/>
          <w:szCs w:val="20"/>
        </w:rPr>
        <w:t>del Fondo de Programas para la Paz y de la Agencia Colombiana para la Reintegración de Personas y Grupos Alzados en Armas, con el objeto de determinar si la gestión administrativa que dichas entidades realizan en ejercicio de sus funciones encajan en el objetivo de procurar la materialización de la convivencia pacífica y en esa medida se ajustan a la excepción de defensa y seguridad del Estado que contempla el artículo 33 de la ley 996 de 2005</w:t>
      </w:r>
      <w:r w:rsidRPr="00294702">
        <w:rPr>
          <w:rStyle w:val="Refdenotaalpie"/>
          <w:rFonts w:ascii="Verdana" w:hAnsi="Verdana"/>
          <w:sz w:val="20"/>
          <w:szCs w:val="20"/>
        </w:rPr>
        <w:footnoteReference w:id="9"/>
      </w:r>
      <w:r w:rsidRPr="00294702">
        <w:rPr>
          <w:rFonts w:ascii="Verdana" w:hAnsi="Verdana" w:cs="Arial"/>
          <w:sz w:val="20"/>
          <w:szCs w:val="20"/>
        </w:rPr>
        <w:t>.</w:t>
      </w:r>
    </w:p>
    <w:p w14:paraId="717B31C6" w14:textId="77777777" w:rsidR="00CF70B3" w:rsidRPr="00294702" w:rsidRDefault="00CF70B3" w:rsidP="00CF70B3">
      <w:pPr>
        <w:spacing w:after="0" w:line="276" w:lineRule="auto"/>
        <w:ind w:firstLine="709"/>
        <w:jc w:val="both"/>
        <w:rPr>
          <w:rFonts w:ascii="Verdana" w:hAnsi="Verdana" w:cs="Arial"/>
          <w:color w:val="000000" w:themeColor="text1"/>
          <w:lang w:val="es-ES_tradnl"/>
        </w:rPr>
      </w:pPr>
    </w:p>
    <w:p w14:paraId="1E3174DD" w14:textId="77777777" w:rsidR="00CF70B3" w:rsidRPr="00294702" w:rsidRDefault="00CF70B3" w:rsidP="00CF70B3">
      <w:pPr>
        <w:spacing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 xml:space="preserve">De este modo, concluyó que:  </w:t>
      </w:r>
    </w:p>
    <w:p w14:paraId="6A5D068B" w14:textId="77777777" w:rsidR="00CF70B3" w:rsidRPr="00294702" w:rsidRDefault="00CF70B3" w:rsidP="00CF70B3">
      <w:pPr>
        <w:spacing w:after="0" w:line="276" w:lineRule="auto"/>
        <w:ind w:left="709" w:right="709"/>
        <w:jc w:val="both"/>
        <w:rPr>
          <w:rFonts w:ascii="Verdana" w:hAnsi="Verdana" w:cs="Arial"/>
          <w:sz w:val="21"/>
          <w:szCs w:val="21"/>
        </w:rPr>
      </w:pPr>
    </w:p>
    <w:p w14:paraId="0DD0EE8C" w14:textId="77777777" w:rsidR="00CF70B3" w:rsidRPr="00294702" w:rsidRDefault="00CF70B3" w:rsidP="00CF70B3">
      <w:pPr>
        <w:spacing w:after="0" w:line="240" w:lineRule="auto"/>
        <w:ind w:left="709" w:right="709"/>
        <w:jc w:val="both"/>
        <w:rPr>
          <w:rFonts w:ascii="Verdana" w:hAnsi="Verdana" w:cs="Arial"/>
          <w:sz w:val="20"/>
          <w:szCs w:val="20"/>
        </w:rPr>
      </w:pPr>
      <w:r w:rsidRPr="00294702">
        <w:rPr>
          <w:rFonts w:ascii="Verdana" w:hAnsi="Verdana" w:cs="Arial"/>
          <w:sz w:val="20"/>
          <w:szCs w:val="20"/>
        </w:rPr>
        <w:t xml:space="preserve">“La ejecución de los programas a cargo del Fondo de Programas para la Paz están encaminados directamente al restablecimiento del orden público, a la construcción de una política de paz y a la búsqueda del logro y mantenimiento de </w:t>
      </w:r>
      <w:proofErr w:type="gramStart"/>
      <w:r w:rsidRPr="00294702">
        <w:rPr>
          <w:rFonts w:ascii="Verdana" w:hAnsi="Verdana" w:cs="Arial"/>
          <w:sz w:val="20"/>
          <w:szCs w:val="20"/>
        </w:rPr>
        <w:t>la misma</w:t>
      </w:r>
      <w:proofErr w:type="gramEnd"/>
      <w:r w:rsidRPr="00294702">
        <w:rPr>
          <w:rFonts w:ascii="Verdana" w:hAnsi="Verdana" w:cs="Arial"/>
          <w:sz w:val="20"/>
          <w:szCs w:val="20"/>
        </w:rPr>
        <w:t>, en atención a uno de los fines estatales consagrados en el preámbulo y en el artículo 2 de la Constitución Política. Por esta razón, es claro que llevar a cabo la contratación directa, en lo que corresponda contratar bajo esta modalidad de selección, para la continuidad de estos programas, encaja dentro de la noción de “</w:t>
      </w:r>
      <w:r w:rsidRPr="00294702">
        <w:rPr>
          <w:rFonts w:ascii="Verdana" w:hAnsi="Verdana" w:cs="Arial"/>
          <w:i/>
          <w:sz w:val="20"/>
          <w:szCs w:val="20"/>
        </w:rPr>
        <w:t>defensa y seguridad del Estado”</w:t>
      </w:r>
      <w:r w:rsidRPr="00294702">
        <w:rPr>
          <w:rFonts w:ascii="Verdana" w:hAnsi="Verdana" w:cs="Arial"/>
          <w:sz w:val="20"/>
          <w:szCs w:val="20"/>
        </w:rPr>
        <w:t xml:space="preserve"> de la excepción a que se refiere el artículo 33 de la ley 996 de 2005, Estatutaria de la Ley de Garantías Electorales.</w:t>
      </w:r>
    </w:p>
    <w:p w14:paraId="235C217D" w14:textId="77777777" w:rsidR="00CF70B3" w:rsidRPr="00294702" w:rsidRDefault="00CF70B3" w:rsidP="00CF70B3">
      <w:pPr>
        <w:spacing w:after="0" w:line="240" w:lineRule="auto"/>
        <w:ind w:left="709" w:right="709"/>
        <w:jc w:val="both"/>
        <w:rPr>
          <w:rFonts w:ascii="Verdana" w:hAnsi="Verdana" w:cs="Arial"/>
          <w:sz w:val="20"/>
          <w:szCs w:val="20"/>
        </w:rPr>
      </w:pPr>
    </w:p>
    <w:p w14:paraId="207D8DD5" w14:textId="77777777" w:rsidR="00CF70B3" w:rsidRPr="00294702" w:rsidRDefault="00CF70B3" w:rsidP="00CF70B3">
      <w:pPr>
        <w:spacing w:after="0" w:line="240" w:lineRule="auto"/>
        <w:ind w:left="709" w:right="709"/>
        <w:jc w:val="both"/>
        <w:rPr>
          <w:rFonts w:ascii="Verdana" w:hAnsi="Verdana" w:cs="Arial"/>
          <w:sz w:val="20"/>
          <w:szCs w:val="20"/>
        </w:rPr>
      </w:pPr>
      <w:r w:rsidRPr="00294702">
        <w:rPr>
          <w:rFonts w:ascii="Verdana" w:hAnsi="Verdana" w:cs="Arial"/>
          <w:sz w:val="20"/>
          <w:szCs w:val="20"/>
        </w:rPr>
        <w:t>En consecuencia, en caso de que el Presidente de la República en ejercicio manifieste su interés en participar como candidato en las próximas elecciones presidenciales, el Fondo de Programas para la Paz puede continuar contratando directamente los programas cuya financiación esté a su cargo relacionados con la construcción de la paz, el restablecimiento del orden público y la vigencia de los derechos y libertades de las personas, en cumplimiento de las normas que rigen su actividad y al amparo de la excepción a la que se refiere el artículo 33 de la citada ley.</w:t>
      </w:r>
    </w:p>
    <w:p w14:paraId="0BB6DA8E" w14:textId="77777777" w:rsidR="00CF70B3" w:rsidRPr="00294702" w:rsidRDefault="00CF70B3" w:rsidP="00CF70B3">
      <w:pPr>
        <w:spacing w:after="0" w:line="240" w:lineRule="auto"/>
        <w:ind w:left="709" w:right="709"/>
        <w:jc w:val="both"/>
        <w:rPr>
          <w:rFonts w:ascii="Verdana" w:hAnsi="Verdana" w:cs="Arial"/>
          <w:sz w:val="20"/>
          <w:szCs w:val="20"/>
        </w:rPr>
      </w:pPr>
    </w:p>
    <w:p w14:paraId="00EB3994" w14:textId="77777777" w:rsidR="00CF70B3" w:rsidRPr="00294702" w:rsidRDefault="00CF70B3" w:rsidP="00CF70B3">
      <w:pPr>
        <w:spacing w:after="0" w:line="240" w:lineRule="auto"/>
        <w:ind w:left="709" w:right="709"/>
        <w:jc w:val="both"/>
        <w:rPr>
          <w:rFonts w:ascii="Verdana" w:hAnsi="Verdana" w:cs="Arial"/>
          <w:sz w:val="20"/>
          <w:szCs w:val="20"/>
        </w:rPr>
      </w:pPr>
      <w:r w:rsidRPr="00294702">
        <w:rPr>
          <w:rFonts w:ascii="Verdana" w:hAnsi="Verdana" w:cs="Arial"/>
          <w:sz w:val="20"/>
          <w:szCs w:val="20"/>
        </w:rPr>
        <w:t>[…]</w:t>
      </w:r>
    </w:p>
    <w:p w14:paraId="5B0C9AE3" w14:textId="77777777" w:rsidR="00CF70B3" w:rsidRPr="00294702" w:rsidRDefault="00CF70B3" w:rsidP="00CF70B3">
      <w:pPr>
        <w:spacing w:after="0" w:line="240" w:lineRule="auto"/>
        <w:ind w:left="709" w:right="709"/>
        <w:jc w:val="both"/>
        <w:rPr>
          <w:rFonts w:ascii="Verdana" w:hAnsi="Verdana" w:cs="Arial"/>
          <w:sz w:val="20"/>
          <w:szCs w:val="20"/>
        </w:rPr>
      </w:pPr>
    </w:p>
    <w:p w14:paraId="0D9ED22F" w14:textId="77777777" w:rsidR="00CF70B3" w:rsidRPr="00294702" w:rsidRDefault="00CF70B3" w:rsidP="00CF70B3">
      <w:pPr>
        <w:pStyle w:val="Prrafodelista"/>
        <w:spacing w:after="0" w:line="240" w:lineRule="auto"/>
        <w:ind w:left="709" w:right="709"/>
        <w:jc w:val="both"/>
        <w:rPr>
          <w:rFonts w:ascii="Verdana" w:hAnsi="Verdana" w:cs="Arial"/>
          <w:i/>
          <w:sz w:val="20"/>
          <w:szCs w:val="20"/>
        </w:rPr>
      </w:pPr>
      <w:r w:rsidRPr="00294702">
        <w:rPr>
          <w:rFonts w:ascii="Verdana" w:hAnsi="Verdana" w:cs="Arial"/>
          <w:iCs/>
          <w:sz w:val="20"/>
          <w:szCs w:val="20"/>
        </w:rPr>
        <w:t>La excepción a la prohibición a la contratación directa prevista en el artículo 33 de la ley 996 de 2005, en “</w:t>
      </w:r>
      <w:r w:rsidRPr="00294702">
        <w:rPr>
          <w:rFonts w:ascii="Verdana" w:hAnsi="Verdana" w:cs="Arial"/>
          <w:i/>
          <w:iCs/>
          <w:sz w:val="20"/>
          <w:szCs w:val="20"/>
        </w:rPr>
        <w:t>lo referente a la defensa y seguridad del Estado”,</w:t>
      </w:r>
      <w:r w:rsidRPr="00294702">
        <w:rPr>
          <w:rFonts w:ascii="Verdana" w:hAnsi="Verdana" w:cs="Arial"/>
          <w:iCs/>
          <w:sz w:val="20"/>
          <w:szCs w:val="20"/>
        </w:rPr>
        <w:t xml:space="preserve"> es aplicable a la adquisición de bienes y servicios para atender los programas de desmovilización y reincorporación a la vida civil de grupos alzados en armas al margen de la ley y de los miembros de los mismos, que se manejan a través de la </w:t>
      </w:r>
      <w:r w:rsidRPr="00294702">
        <w:rPr>
          <w:rFonts w:ascii="Verdana" w:hAnsi="Verdana" w:cs="Arial"/>
          <w:sz w:val="20"/>
          <w:szCs w:val="20"/>
        </w:rPr>
        <w:t>Agencia Colombiana para la Reintegración de Personas y Grupos Alzados en Armas, de conformidad</w:t>
      </w:r>
      <w:r w:rsidRPr="00294702">
        <w:rPr>
          <w:rFonts w:ascii="Verdana" w:hAnsi="Verdana"/>
          <w:sz w:val="20"/>
          <w:szCs w:val="20"/>
        </w:rPr>
        <w:t xml:space="preserve"> </w:t>
      </w:r>
      <w:r w:rsidRPr="00294702">
        <w:rPr>
          <w:rFonts w:ascii="Verdana" w:hAnsi="Verdana" w:cs="Arial"/>
          <w:sz w:val="20"/>
          <w:szCs w:val="20"/>
        </w:rPr>
        <w:t>con las causales de contratación directa previstas en el Estatuto General de Contratación de la Administración Pública (leyes 80 de 1993 y 1150 de 2007) y su decreto reglamentario 1510 del 17 de julio de 2013</w:t>
      </w:r>
      <w:r>
        <w:rPr>
          <w:rFonts w:ascii="Verdana" w:hAnsi="Verdana" w:cs="Arial"/>
          <w:sz w:val="20"/>
          <w:szCs w:val="20"/>
        </w:rPr>
        <w:t>”</w:t>
      </w:r>
      <w:r w:rsidRPr="00294702">
        <w:rPr>
          <w:rStyle w:val="Refdenotaalpie"/>
          <w:rFonts w:ascii="Verdana" w:hAnsi="Verdana"/>
          <w:sz w:val="20"/>
          <w:szCs w:val="20"/>
        </w:rPr>
        <w:footnoteReference w:id="10"/>
      </w:r>
      <w:r w:rsidRPr="00294702">
        <w:rPr>
          <w:rFonts w:ascii="Verdana" w:hAnsi="Verdana" w:cs="Arial"/>
          <w:sz w:val="20"/>
          <w:szCs w:val="20"/>
        </w:rPr>
        <w:t xml:space="preserve">. </w:t>
      </w:r>
    </w:p>
    <w:p w14:paraId="20F1FA3E" w14:textId="77777777" w:rsidR="00CF70B3" w:rsidRPr="00294702" w:rsidRDefault="00CF70B3" w:rsidP="00CF70B3">
      <w:pPr>
        <w:spacing w:after="0" w:line="276" w:lineRule="auto"/>
        <w:ind w:firstLine="709"/>
        <w:jc w:val="both"/>
        <w:rPr>
          <w:rFonts w:ascii="Verdana" w:hAnsi="Verdana" w:cs="Arial"/>
          <w:color w:val="000000" w:themeColor="text1"/>
          <w:lang w:val="es-ES"/>
        </w:rPr>
      </w:pPr>
    </w:p>
    <w:p w14:paraId="7E19D398" w14:textId="77777777" w:rsidR="00CF70B3" w:rsidRPr="00294702" w:rsidRDefault="00CF70B3" w:rsidP="00CF70B3">
      <w:pPr>
        <w:spacing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 xml:space="preserve">Por su parte, la Sección Tercera del Consejo de Estado, al resolver la acción de nulidad contra el artículo 1 del Decreto 3740 de 2004, en sentencia del 27 de marzo de 2008, interpretó el concepto de </w:t>
      </w:r>
      <w:r>
        <w:rPr>
          <w:rFonts w:ascii="Verdana" w:hAnsi="Verdana" w:cs="Arial"/>
          <w:color w:val="000000" w:themeColor="text1"/>
          <w:lang w:val="es-ES_tradnl"/>
        </w:rPr>
        <w:t>“</w:t>
      </w:r>
      <w:r w:rsidRPr="00294702">
        <w:rPr>
          <w:rFonts w:ascii="Verdana" w:hAnsi="Verdana" w:cs="Arial"/>
          <w:color w:val="000000" w:themeColor="text1"/>
          <w:lang w:val="es-ES_tradnl"/>
        </w:rPr>
        <w:t>defensa y seguridad nacional</w:t>
      </w:r>
      <w:r>
        <w:rPr>
          <w:rFonts w:ascii="Verdana" w:hAnsi="Verdana" w:cs="Arial"/>
          <w:color w:val="000000" w:themeColor="text1"/>
          <w:lang w:val="es-ES_tradnl"/>
        </w:rPr>
        <w:t>”</w:t>
      </w:r>
      <w:r w:rsidRPr="00294702">
        <w:rPr>
          <w:rFonts w:ascii="Verdana" w:hAnsi="Verdana" w:cs="Arial"/>
          <w:color w:val="000000" w:themeColor="text1"/>
          <w:lang w:val="es-ES_tradnl"/>
        </w:rPr>
        <w:t xml:space="preserve"> de la siguiente manera: </w:t>
      </w:r>
    </w:p>
    <w:p w14:paraId="3FD75B77" w14:textId="77777777" w:rsidR="00CF70B3" w:rsidRPr="00294702" w:rsidRDefault="00CF70B3" w:rsidP="00CF70B3">
      <w:pPr>
        <w:spacing w:after="0" w:line="276" w:lineRule="auto"/>
        <w:ind w:firstLine="709"/>
        <w:jc w:val="both"/>
        <w:rPr>
          <w:rFonts w:ascii="Verdana" w:hAnsi="Verdana" w:cs="Arial"/>
          <w:color w:val="000000" w:themeColor="text1"/>
          <w:lang w:val="es-ES_tradnl"/>
        </w:rPr>
      </w:pPr>
    </w:p>
    <w:p w14:paraId="43DCB7C7" w14:textId="77777777" w:rsidR="00CF70B3" w:rsidRPr="00294702" w:rsidRDefault="00CF70B3" w:rsidP="00CF70B3">
      <w:pPr>
        <w:spacing w:after="0" w:line="240" w:lineRule="auto"/>
        <w:ind w:left="709" w:right="709"/>
        <w:jc w:val="both"/>
        <w:rPr>
          <w:rFonts w:ascii="Verdana" w:hAnsi="Verdana" w:cs="Arial"/>
          <w:sz w:val="20"/>
          <w:szCs w:val="20"/>
        </w:rPr>
      </w:pPr>
      <w:r w:rsidRPr="00294702">
        <w:rPr>
          <w:rFonts w:ascii="Verdana" w:hAnsi="Verdana" w:cs="Arial"/>
          <w:sz w:val="20"/>
          <w:szCs w:val="20"/>
          <w:lang w:val="es-ES_tradnl"/>
        </w:rPr>
        <w:t>“</w:t>
      </w:r>
      <w:r w:rsidRPr="00294702">
        <w:rPr>
          <w:rFonts w:ascii="Verdana" w:hAnsi="Verdana" w:cs="Arial"/>
          <w:sz w:val="20"/>
          <w:szCs w:val="20"/>
        </w:rPr>
        <w:t xml:space="preserve">[…] una visión sistémica de la seguridad y defensa nacionales impone la articulación dinámica de diversos elementos (no sólo bélicos) con el </w:t>
      </w:r>
      <w:r w:rsidRPr="00294702">
        <w:rPr>
          <w:rFonts w:ascii="Verdana" w:hAnsi="Verdana" w:cs="Arial"/>
          <w:sz w:val="20"/>
          <w:szCs w:val="20"/>
        </w:rPr>
        <w:lastRenderedPageBreak/>
        <w:t xml:space="preserve">entorno de violencia que agobia a la sociedad colombiana desde hace mucho tiempo. Asegurar la convivencia pacífica, base y razón de ser de la defensa y seguridad nacional, supone para el Estado la adopción de medidas que no siempre comportan la acción militar directa. En otros términos, la acción estatal en punto de seguridad no tiene que forzosa e ineludiblemente recaer en el empleo de las armas, ni en la estrategia militar o en el despliegue de fuerzas combatientes, sino que también puede haber otros medios eficaces para garantizar la defensa y seguridad nacionales. La prerrogativa legítima del ejercicio de la coacción exige la utilización de varios instrumentos, que no se reducen necesariamente al uso de las armas. La seguridad no sólo se </w:t>
      </w:r>
      <w:proofErr w:type="gramStart"/>
      <w:r w:rsidRPr="00294702">
        <w:rPr>
          <w:rFonts w:ascii="Verdana" w:hAnsi="Verdana" w:cs="Arial"/>
          <w:sz w:val="20"/>
          <w:szCs w:val="20"/>
        </w:rPr>
        <w:t>defiende</w:t>
      </w:r>
      <w:proofErr w:type="gramEnd"/>
      <w:r w:rsidRPr="00294702">
        <w:rPr>
          <w:rFonts w:ascii="Verdana" w:hAnsi="Verdana" w:cs="Arial"/>
          <w:sz w:val="20"/>
          <w:szCs w:val="20"/>
        </w:rPr>
        <w:t xml:space="preserve"> sino que se robustece si, por ejemplo, se materializa efectivamente una política de sometimiento de grupos que pretenden hacer de la seguridad un fin ilegítimo de su accionar delincuencial. </w:t>
      </w:r>
      <w:proofErr w:type="gramStart"/>
      <w:r w:rsidRPr="00294702">
        <w:rPr>
          <w:rFonts w:ascii="Verdana" w:hAnsi="Verdana" w:cs="Arial"/>
          <w:sz w:val="20"/>
          <w:szCs w:val="20"/>
        </w:rPr>
        <w:t>Un conclusión</w:t>
      </w:r>
      <w:proofErr w:type="gramEnd"/>
      <w:r w:rsidRPr="00294702">
        <w:rPr>
          <w:rFonts w:ascii="Verdana" w:hAnsi="Verdana" w:cs="Arial"/>
          <w:sz w:val="20"/>
          <w:szCs w:val="20"/>
        </w:rPr>
        <w:t xml:space="preserve"> se impone: la seguridad no es sólo una cuestión de medios bélicos, sino que ante todo es un asunto político, de ahí su lugar privilegiado en el texto político fundamental: la Constitución. </w:t>
      </w:r>
    </w:p>
    <w:p w14:paraId="05831514" w14:textId="77777777" w:rsidR="00CF70B3" w:rsidRPr="00294702" w:rsidRDefault="00CF70B3" w:rsidP="00CF70B3">
      <w:pPr>
        <w:spacing w:after="0" w:line="240" w:lineRule="auto"/>
        <w:ind w:left="709" w:right="709"/>
        <w:jc w:val="both"/>
        <w:rPr>
          <w:rFonts w:ascii="Verdana" w:hAnsi="Verdana" w:cs="Arial"/>
          <w:sz w:val="20"/>
          <w:szCs w:val="20"/>
        </w:rPr>
      </w:pPr>
    </w:p>
    <w:p w14:paraId="10CC5432" w14:textId="77777777" w:rsidR="00CF70B3" w:rsidRPr="00294702" w:rsidRDefault="00CF70B3" w:rsidP="00CF70B3">
      <w:pPr>
        <w:spacing w:after="0" w:line="240" w:lineRule="auto"/>
        <w:ind w:left="709" w:right="709"/>
        <w:jc w:val="both"/>
        <w:rPr>
          <w:rFonts w:ascii="Verdana" w:hAnsi="Verdana" w:cs="Arial"/>
          <w:sz w:val="20"/>
          <w:szCs w:val="20"/>
        </w:rPr>
      </w:pPr>
      <w:r w:rsidRPr="00294702">
        <w:rPr>
          <w:rFonts w:ascii="Verdana" w:hAnsi="Verdana" w:cs="Arial"/>
          <w:sz w:val="20"/>
          <w:szCs w:val="20"/>
        </w:rPr>
        <w:t xml:space="preserve">Dicho de otra manera, el diseño de estrategias de seguridad y defensa nacional en un entorno signado por convivencia pacífica evidentemente amenazada y perturbada por la acción de grupos ilegales, supone recurrir no solamente a estrategias estrictamente armamentistas, sino que también impone la formulación de ciertas políticas que constituyen del mismo modo manifestación de la seguridad y defensa nacionales. Las difíciles circunstancias de orden público y la complejidad que reviste el conflicto </w:t>
      </w:r>
      <w:proofErr w:type="gramStart"/>
      <w:r w:rsidRPr="00294702">
        <w:rPr>
          <w:rFonts w:ascii="Verdana" w:hAnsi="Verdana" w:cs="Arial"/>
          <w:sz w:val="20"/>
          <w:szCs w:val="20"/>
        </w:rPr>
        <w:t>interno,</w:t>
      </w:r>
      <w:proofErr w:type="gramEnd"/>
      <w:r w:rsidRPr="00294702">
        <w:rPr>
          <w:rFonts w:ascii="Verdana" w:hAnsi="Verdana" w:cs="Arial"/>
          <w:sz w:val="20"/>
          <w:szCs w:val="20"/>
        </w:rPr>
        <w:t xml:space="preserve"> hacen necesaria la adopción de medidas de acercamiento con los grupos armados actores de la violencia, para </w:t>
      </w:r>
      <w:r w:rsidRPr="00294702">
        <w:rPr>
          <w:rFonts w:ascii="Verdana" w:hAnsi="Verdana" w:cs="Arial"/>
          <w:i/>
          <w:sz w:val="20"/>
          <w:szCs w:val="20"/>
        </w:rPr>
        <w:t>“restablecer la tranquilidad pública y en aras de abordar el fenómeno de la violencia, se hacen necesarios mecanismos que faciliten un acercamiento con los diferentes grupos armados actores de la violencia”</w:t>
      </w:r>
      <w:r w:rsidRPr="00294702">
        <w:rPr>
          <w:rFonts w:ascii="Verdana" w:hAnsi="Verdana" w:cs="Arial"/>
          <w:sz w:val="20"/>
          <w:szCs w:val="20"/>
        </w:rPr>
        <w:t>, como señaló la exposición de motivos de la ley 418.</w:t>
      </w:r>
    </w:p>
    <w:p w14:paraId="09C6B0EC" w14:textId="77777777" w:rsidR="00CF70B3" w:rsidRPr="00294702" w:rsidRDefault="00CF70B3" w:rsidP="00CF70B3">
      <w:pPr>
        <w:spacing w:after="0" w:line="240" w:lineRule="auto"/>
        <w:ind w:left="709" w:right="709"/>
        <w:jc w:val="both"/>
        <w:rPr>
          <w:rFonts w:ascii="Verdana" w:hAnsi="Verdana" w:cs="Arial"/>
          <w:sz w:val="20"/>
          <w:szCs w:val="20"/>
        </w:rPr>
      </w:pPr>
    </w:p>
    <w:p w14:paraId="267E0E66" w14:textId="77777777" w:rsidR="00CF70B3" w:rsidRPr="00294702" w:rsidRDefault="00CF70B3" w:rsidP="00CF70B3">
      <w:pPr>
        <w:spacing w:after="0" w:line="240" w:lineRule="auto"/>
        <w:ind w:left="709" w:right="709"/>
        <w:jc w:val="both"/>
        <w:rPr>
          <w:rFonts w:ascii="Verdana" w:hAnsi="Verdana" w:cs="Arial"/>
          <w:sz w:val="20"/>
          <w:szCs w:val="20"/>
        </w:rPr>
      </w:pPr>
      <w:r w:rsidRPr="00294702">
        <w:rPr>
          <w:rFonts w:ascii="Verdana" w:hAnsi="Verdana" w:cs="Arial"/>
          <w:sz w:val="20"/>
          <w:szCs w:val="20"/>
        </w:rPr>
        <w:t xml:space="preserve">En definitiva, en materia de seguridad, la consecución de objetivos de defensa y seguridad no autoriza sólo la compra de armamento como </w:t>
      </w:r>
      <w:r w:rsidRPr="00294702">
        <w:rPr>
          <w:rFonts w:ascii="Verdana" w:hAnsi="Verdana" w:cs="Arial"/>
          <w:i/>
          <w:sz w:val="20"/>
          <w:szCs w:val="20"/>
        </w:rPr>
        <w:t>prima facie</w:t>
      </w:r>
      <w:r w:rsidRPr="00294702">
        <w:rPr>
          <w:rFonts w:ascii="Verdana" w:hAnsi="Verdana" w:cs="Arial"/>
          <w:sz w:val="20"/>
          <w:szCs w:val="20"/>
        </w:rPr>
        <w:t xml:space="preserve"> parecería, sino que autoriza la adopción de medidas proporcionadas y razonables al logro de ese objetivo, medidas que serán evaluadas caso por caso para determinar si realmente guardan relación y conexidad</w:t>
      </w:r>
      <w:r>
        <w:rPr>
          <w:rFonts w:ascii="Verdana" w:hAnsi="Verdana" w:cs="Arial"/>
          <w:sz w:val="20"/>
          <w:szCs w:val="20"/>
        </w:rPr>
        <w:t>”</w:t>
      </w:r>
      <w:r w:rsidRPr="00294702">
        <w:rPr>
          <w:rStyle w:val="Refdenotaalpie"/>
          <w:rFonts w:ascii="Verdana" w:hAnsi="Verdana"/>
          <w:sz w:val="20"/>
          <w:szCs w:val="20"/>
        </w:rPr>
        <w:footnoteReference w:id="11"/>
      </w:r>
      <w:r w:rsidRPr="00294702">
        <w:rPr>
          <w:rFonts w:ascii="Verdana" w:hAnsi="Verdana" w:cs="Arial"/>
          <w:sz w:val="20"/>
          <w:szCs w:val="20"/>
        </w:rPr>
        <w:t xml:space="preserve">. </w:t>
      </w:r>
      <w:r w:rsidRPr="00294702">
        <w:rPr>
          <w:rFonts w:ascii="Verdana" w:hAnsi="Verdana" w:cs="Arial"/>
          <w:color w:val="000000" w:themeColor="text1"/>
          <w:sz w:val="20"/>
          <w:szCs w:val="20"/>
          <w:lang w:val="es-ES_tradnl"/>
        </w:rPr>
        <w:t xml:space="preserve">  </w:t>
      </w:r>
    </w:p>
    <w:p w14:paraId="4CFB2F87" w14:textId="77777777" w:rsidR="00CF70B3" w:rsidRPr="00294702" w:rsidRDefault="00CF70B3" w:rsidP="00CF70B3">
      <w:pPr>
        <w:spacing w:after="0" w:line="276" w:lineRule="auto"/>
        <w:ind w:firstLine="709"/>
        <w:jc w:val="both"/>
        <w:rPr>
          <w:rFonts w:ascii="Verdana" w:hAnsi="Verdana" w:cs="Arial"/>
          <w:color w:val="000000" w:themeColor="text1"/>
          <w:lang w:val="es-ES_tradnl"/>
        </w:rPr>
      </w:pPr>
    </w:p>
    <w:p w14:paraId="5B5B2B07" w14:textId="77777777" w:rsidR="00CF70B3" w:rsidRPr="00294702" w:rsidRDefault="00CF70B3" w:rsidP="00CF70B3">
      <w:pPr>
        <w:spacing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Así mismo, en sentencia del 26 de julio de 2011, la Sección Tercera sostuvo:</w:t>
      </w:r>
    </w:p>
    <w:p w14:paraId="538E9557" w14:textId="77777777" w:rsidR="00CF70B3" w:rsidRPr="00294702" w:rsidRDefault="00CF70B3" w:rsidP="00CF70B3">
      <w:pPr>
        <w:spacing w:after="0" w:line="276" w:lineRule="auto"/>
        <w:ind w:firstLine="709"/>
        <w:jc w:val="both"/>
        <w:rPr>
          <w:rFonts w:ascii="Verdana" w:hAnsi="Verdana" w:cs="Arial"/>
          <w:color w:val="000000" w:themeColor="text1"/>
          <w:lang w:val="es-ES_tradnl"/>
        </w:rPr>
      </w:pPr>
    </w:p>
    <w:p w14:paraId="200416BB" w14:textId="77777777" w:rsidR="00CF70B3" w:rsidRPr="00294702" w:rsidRDefault="00CF70B3" w:rsidP="00CF70B3">
      <w:pPr>
        <w:spacing w:after="0"/>
        <w:ind w:left="709" w:right="709"/>
        <w:jc w:val="both"/>
        <w:rPr>
          <w:rFonts w:ascii="Verdana" w:hAnsi="Verdana" w:cs="Arial"/>
          <w:bCs/>
          <w:sz w:val="20"/>
          <w:szCs w:val="20"/>
        </w:rPr>
      </w:pPr>
      <w:r w:rsidRPr="00294702">
        <w:rPr>
          <w:rFonts w:ascii="Verdana" w:hAnsi="Verdana" w:cs="Arial"/>
          <w:bCs/>
          <w:sz w:val="20"/>
          <w:szCs w:val="20"/>
        </w:rPr>
        <w:t xml:space="preserve">“[…] en vigencia de la ley 80 original –que rigió el proceso de selección </w:t>
      </w:r>
      <w:r w:rsidRPr="00294702">
        <w:rPr>
          <w:rFonts w:ascii="Verdana" w:hAnsi="Verdana" w:cs="Arial"/>
          <w:bCs/>
          <w:i/>
          <w:sz w:val="20"/>
          <w:szCs w:val="20"/>
        </w:rPr>
        <w:t>sub iudice</w:t>
      </w:r>
      <w:r w:rsidRPr="00294702">
        <w:rPr>
          <w:rFonts w:ascii="Verdana" w:hAnsi="Verdana" w:cs="Arial"/>
          <w:bCs/>
          <w:sz w:val="20"/>
          <w:szCs w:val="20"/>
        </w:rPr>
        <w:t xml:space="preserve">- la noción de bienes para la defensa y seguridad nacional fue </w:t>
      </w:r>
      <w:r w:rsidRPr="00294702">
        <w:rPr>
          <w:rFonts w:ascii="Verdana" w:hAnsi="Verdana" w:cs="Arial"/>
          <w:bCs/>
          <w:sz w:val="20"/>
          <w:szCs w:val="20"/>
        </w:rPr>
        <w:lastRenderedPageBreak/>
        <w:t>un concepto jurídico indeterminado, cuyo alcance, como acontece normalmente con estas nociones vagas y amplias, suele quedar en manos del operador jurídico del caso, que tiene el deber de precisar su contenido para aplicarlo al asunto concreto. Claro está que luego procede el control judicial sobre los actos que definen el tema, y será el juez quien determinará la corrección o incorrección que la administración hace de su alcance”</w:t>
      </w:r>
      <w:r w:rsidRPr="00294702">
        <w:rPr>
          <w:rStyle w:val="Refdenotaalpie"/>
          <w:rFonts w:ascii="Verdana" w:hAnsi="Verdana"/>
          <w:sz w:val="20"/>
          <w:szCs w:val="20"/>
        </w:rPr>
        <w:footnoteReference w:id="12"/>
      </w:r>
      <w:r w:rsidRPr="00294702">
        <w:rPr>
          <w:rFonts w:ascii="Verdana" w:hAnsi="Verdana" w:cs="Arial"/>
          <w:bCs/>
          <w:sz w:val="20"/>
          <w:szCs w:val="20"/>
        </w:rPr>
        <w:t>.</w:t>
      </w:r>
    </w:p>
    <w:p w14:paraId="57E8BB87" w14:textId="77777777" w:rsidR="00CF70B3" w:rsidRPr="00294702" w:rsidRDefault="00CF70B3" w:rsidP="00CF70B3">
      <w:pPr>
        <w:spacing w:after="0" w:line="276" w:lineRule="auto"/>
        <w:jc w:val="both"/>
        <w:rPr>
          <w:rFonts w:ascii="Verdana" w:hAnsi="Verdana" w:cs="Arial"/>
          <w:color w:val="000000" w:themeColor="text1"/>
        </w:rPr>
      </w:pPr>
    </w:p>
    <w:p w14:paraId="166F21B5" w14:textId="77777777" w:rsidR="00CF70B3" w:rsidRPr="00294702" w:rsidRDefault="00CF70B3" w:rsidP="00CF70B3">
      <w:pPr>
        <w:spacing w:after="0" w:line="276" w:lineRule="auto"/>
        <w:ind w:firstLine="709"/>
        <w:jc w:val="both"/>
        <w:rPr>
          <w:rFonts w:ascii="Verdana" w:hAnsi="Verdana" w:cs="Arial"/>
          <w:color w:val="000000" w:themeColor="text1"/>
          <w:lang w:val="es-ES_tradnl"/>
        </w:rPr>
      </w:pPr>
      <w:r w:rsidRPr="00294702">
        <w:rPr>
          <w:rFonts w:ascii="Verdana" w:hAnsi="Verdana" w:cs="Arial"/>
          <w:color w:val="000000" w:themeColor="text1"/>
          <w:lang w:val="es-ES_tradnl"/>
        </w:rPr>
        <w:t>Finalmente, en la sentencia del 23 de julio de 2015, la Sección Tercera indicó:</w:t>
      </w:r>
    </w:p>
    <w:p w14:paraId="406CD34D" w14:textId="77777777" w:rsidR="00CF70B3" w:rsidRPr="00294702" w:rsidRDefault="00CF70B3" w:rsidP="00CF70B3">
      <w:pPr>
        <w:spacing w:after="0" w:line="276" w:lineRule="auto"/>
        <w:ind w:firstLine="709"/>
        <w:jc w:val="both"/>
        <w:rPr>
          <w:rFonts w:ascii="Verdana" w:hAnsi="Verdana" w:cs="Arial"/>
          <w:color w:val="000000" w:themeColor="text1"/>
          <w:lang w:val="es-ES_tradnl"/>
        </w:rPr>
      </w:pPr>
    </w:p>
    <w:p w14:paraId="29F313CE" w14:textId="77777777" w:rsidR="00CF70B3" w:rsidRPr="00294702" w:rsidRDefault="00CF70B3" w:rsidP="00CF70B3">
      <w:pPr>
        <w:spacing w:after="0" w:line="240" w:lineRule="auto"/>
        <w:ind w:left="709" w:right="709"/>
        <w:jc w:val="both"/>
        <w:rPr>
          <w:rFonts w:ascii="Verdana" w:hAnsi="Verdana" w:cs="Arial"/>
          <w:sz w:val="20"/>
          <w:szCs w:val="20"/>
          <w:lang w:val="es-ES" w:eastAsia="es-ES"/>
        </w:rPr>
      </w:pPr>
      <w:r w:rsidRPr="00294702">
        <w:rPr>
          <w:rFonts w:ascii="Verdana" w:hAnsi="Verdana" w:cs="Arial"/>
          <w:sz w:val="20"/>
          <w:szCs w:val="20"/>
          <w:lang w:val="es-ES" w:eastAsia="es-ES"/>
        </w:rPr>
        <w:t xml:space="preserve">“La defensa y seguridad nacional son </w:t>
      </w:r>
      <w:r w:rsidRPr="00294702">
        <w:rPr>
          <w:rFonts w:ascii="Verdana" w:hAnsi="Verdana" w:cs="Arial"/>
          <w:i/>
          <w:iCs/>
          <w:sz w:val="20"/>
          <w:szCs w:val="20"/>
          <w:lang w:val="es-ES" w:eastAsia="es-ES"/>
        </w:rPr>
        <w:t>conceptos normativos indeterminados</w:t>
      </w:r>
      <w:r w:rsidRPr="00294702">
        <w:rPr>
          <w:rFonts w:ascii="Verdana" w:hAnsi="Verdana" w:cs="Arial"/>
          <w:sz w:val="20"/>
          <w:szCs w:val="20"/>
          <w:lang w:val="es-ES" w:eastAsia="es-ES"/>
        </w:rPr>
        <w:t xml:space="preserve"> que adquieren significación conforme el contexto social, cultural y económico que, en cualquier caso, reflejará las necesidades de una colectividad en una circunstancia </w:t>
      </w:r>
      <w:proofErr w:type="gramStart"/>
      <w:r w:rsidRPr="00294702">
        <w:rPr>
          <w:rFonts w:ascii="Verdana" w:hAnsi="Verdana" w:cs="Arial"/>
          <w:sz w:val="20"/>
          <w:szCs w:val="20"/>
          <w:lang w:val="es-ES" w:eastAsia="es-ES"/>
        </w:rPr>
        <w:t>espacio-temporal</w:t>
      </w:r>
      <w:proofErr w:type="gramEnd"/>
      <w:r w:rsidRPr="00294702">
        <w:rPr>
          <w:rFonts w:ascii="Verdana" w:hAnsi="Verdana" w:cs="Arial"/>
          <w:sz w:val="20"/>
          <w:szCs w:val="20"/>
          <w:lang w:val="es-ES" w:eastAsia="es-ES"/>
        </w:rPr>
        <w:t xml:space="preserve"> definida. Como concepto anfibológico requiere de un contexto específico que permita nutrirlo de contenido, de suerte que cada realidad social le dará un sentido particular. Son conceptos simbióticos pues se sirven mutuamente y la acción de uno afecta al otro, por manera que su adecuado entendimiento merece un tratamiento unívoco. </w:t>
      </w:r>
    </w:p>
    <w:p w14:paraId="6D4B8FB6" w14:textId="77777777" w:rsidR="00CF70B3" w:rsidRPr="00294702" w:rsidRDefault="00CF70B3" w:rsidP="00CF70B3">
      <w:pPr>
        <w:spacing w:after="0" w:line="240" w:lineRule="auto"/>
        <w:ind w:left="709" w:right="709"/>
        <w:jc w:val="both"/>
        <w:rPr>
          <w:rFonts w:ascii="Verdana" w:hAnsi="Verdana" w:cs="Arial"/>
          <w:sz w:val="20"/>
          <w:szCs w:val="20"/>
          <w:lang w:val="es-ES_tradnl" w:eastAsia="es-ES"/>
        </w:rPr>
      </w:pPr>
    </w:p>
    <w:p w14:paraId="06D53D12" w14:textId="77777777" w:rsidR="00CF70B3" w:rsidRPr="00294702" w:rsidRDefault="00CF70B3" w:rsidP="00CF70B3">
      <w:pPr>
        <w:spacing w:after="0" w:line="240" w:lineRule="auto"/>
        <w:ind w:left="709" w:right="709"/>
        <w:jc w:val="both"/>
        <w:rPr>
          <w:rFonts w:ascii="Verdana" w:hAnsi="Verdana" w:cs="Arial"/>
          <w:sz w:val="20"/>
          <w:szCs w:val="20"/>
          <w:lang w:val="es-ES_tradnl" w:eastAsia="es-ES"/>
        </w:rPr>
      </w:pPr>
      <w:r w:rsidRPr="00294702">
        <w:rPr>
          <w:rFonts w:ascii="Verdana" w:hAnsi="Verdana" w:cs="Arial"/>
          <w:sz w:val="20"/>
          <w:szCs w:val="20"/>
          <w:lang w:val="es-ES_tradnl" w:eastAsia="es-ES"/>
        </w:rPr>
        <w:t xml:space="preserve">El núcleo básico de la expresión se encuentra en la razón misma del Estado, como pacto político garante de la vida, honra y bienes de las personas, por manera que a través de la defensa y seguridad nacional se busca obtener el bienestar de los ciudadanos y la estabilidad misma del Estado. Es un concepto base sobre el que se construye la estrategia del Estado para proteger a los ciudadanos y rebaza, en mucho, </w:t>
      </w:r>
      <w:r w:rsidRPr="00294702">
        <w:rPr>
          <w:rFonts w:ascii="Verdana" w:hAnsi="Verdana" w:cs="Arial"/>
          <w:i/>
          <w:sz w:val="20"/>
          <w:szCs w:val="20"/>
          <w:lang w:val="es-ES_tradnl" w:eastAsia="es-ES"/>
        </w:rPr>
        <w:t>el criterio conforme al cual la seguridad es apenas un conjunto de dispositivos para la guerra</w:t>
      </w:r>
      <w:r w:rsidRPr="00294702">
        <w:rPr>
          <w:rFonts w:ascii="Verdana" w:hAnsi="Verdana" w:cs="Arial"/>
          <w:sz w:val="20"/>
          <w:szCs w:val="20"/>
          <w:lang w:val="es-ES_tradnl" w:eastAsia="es-ES"/>
        </w:rPr>
        <w:t>: es un fenómeno que, dadas las condiciones actuales de nuestras sociedades, puede referir, incluso, a asuntos económicos, energéticos, ambientales y hasta de salud pública”</w:t>
      </w:r>
      <w:r w:rsidRPr="00294702">
        <w:rPr>
          <w:rStyle w:val="Refdenotaalpie"/>
          <w:rFonts w:ascii="Verdana" w:hAnsi="Verdana"/>
          <w:sz w:val="20"/>
          <w:szCs w:val="20"/>
        </w:rPr>
        <w:footnoteReference w:id="13"/>
      </w:r>
      <w:r w:rsidRPr="00294702">
        <w:rPr>
          <w:rFonts w:ascii="Verdana" w:hAnsi="Verdana" w:cs="Arial"/>
          <w:sz w:val="20"/>
          <w:szCs w:val="20"/>
          <w:lang w:val="es-ES_tradnl" w:eastAsia="es-ES"/>
        </w:rPr>
        <w:t>.</w:t>
      </w:r>
    </w:p>
    <w:p w14:paraId="3D948A12" w14:textId="77777777" w:rsidR="00CF70B3" w:rsidRPr="00294702" w:rsidRDefault="00CF70B3" w:rsidP="00CF70B3">
      <w:pPr>
        <w:spacing w:after="0" w:line="276" w:lineRule="auto"/>
        <w:ind w:firstLine="709"/>
        <w:jc w:val="both"/>
        <w:rPr>
          <w:rFonts w:ascii="Verdana" w:hAnsi="Verdana" w:cs="Arial"/>
          <w:color w:val="000000" w:themeColor="text1"/>
          <w:lang w:val="es-ES_tradnl"/>
        </w:rPr>
      </w:pPr>
    </w:p>
    <w:p w14:paraId="0681A6AA" w14:textId="77777777" w:rsidR="00CF70B3" w:rsidRDefault="00CF70B3" w:rsidP="00CF70B3">
      <w:pPr>
        <w:spacing w:after="120" w:line="276" w:lineRule="auto"/>
        <w:ind w:firstLine="709"/>
        <w:jc w:val="both"/>
        <w:rPr>
          <w:rFonts w:ascii="Verdana" w:hAnsi="Verdana" w:cs="Arial"/>
          <w:color w:val="000000" w:themeColor="text1"/>
          <w:lang w:val="es-ES"/>
        </w:rPr>
      </w:pPr>
      <w:r w:rsidRPr="00294702">
        <w:rPr>
          <w:rFonts w:ascii="Verdana" w:hAnsi="Verdana" w:cs="Arial"/>
          <w:color w:val="000000" w:themeColor="text1"/>
          <w:lang w:val="es-ES"/>
        </w:rPr>
        <w:t xml:space="preserve">Del anterior recuento doctrinario y jurisprudencial se concluye que la expresión </w:t>
      </w:r>
      <w:r>
        <w:rPr>
          <w:rFonts w:ascii="Verdana" w:hAnsi="Verdana" w:cs="Arial"/>
          <w:color w:val="000000" w:themeColor="text1"/>
          <w:lang w:val="es-ES"/>
        </w:rPr>
        <w:t>“</w:t>
      </w:r>
      <w:r w:rsidRPr="00294702">
        <w:rPr>
          <w:rFonts w:ascii="Verdana" w:hAnsi="Verdana" w:cs="Arial"/>
          <w:color w:val="000000" w:themeColor="text1"/>
          <w:lang w:val="es-ES"/>
        </w:rPr>
        <w:t>defensa y seguridad del Estado</w:t>
      </w:r>
      <w:r>
        <w:rPr>
          <w:rFonts w:ascii="Verdana" w:hAnsi="Verdana" w:cs="Arial"/>
          <w:color w:val="000000" w:themeColor="text1"/>
          <w:lang w:val="es-ES"/>
        </w:rPr>
        <w:t>”</w:t>
      </w:r>
      <w:r w:rsidRPr="00294702">
        <w:rPr>
          <w:rFonts w:ascii="Verdana" w:hAnsi="Verdana" w:cs="Arial"/>
          <w:color w:val="000000" w:themeColor="text1"/>
          <w:lang w:val="es-ES"/>
        </w:rPr>
        <w:t xml:space="preserve">, empleada por el segundo inciso del artículo 33 de la Ley 996 de 2005 –y que se halla también en otras disposiciones normativas con la denominación de </w:t>
      </w:r>
      <w:r>
        <w:rPr>
          <w:rFonts w:ascii="Verdana" w:hAnsi="Verdana" w:cs="Arial"/>
          <w:color w:val="000000" w:themeColor="text1"/>
          <w:lang w:val="es-ES"/>
        </w:rPr>
        <w:t>“</w:t>
      </w:r>
      <w:r w:rsidRPr="00294702">
        <w:rPr>
          <w:rFonts w:ascii="Verdana" w:hAnsi="Verdana" w:cs="Arial"/>
          <w:color w:val="000000" w:themeColor="text1"/>
          <w:lang w:val="es-ES"/>
        </w:rPr>
        <w:t>defensa y seguridad nacional</w:t>
      </w:r>
      <w:r>
        <w:rPr>
          <w:rFonts w:ascii="Verdana" w:hAnsi="Verdana" w:cs="Arial"/>
          <w:color w:val="000000" w:themeColor="text1"/>
          <w:lang w:val="es-ES"/>
        </w:rPr>
        <w:t>”</w:t>
      </w:r>
      <w:r w:rsidRPr="00294702">
        <w:rPr>
          <w:rFonts w:ascii="Verdana" w:hAnsi="Verdana" w:cs="Arial"/>
          <w:color w:val="000000" w:themeColor="text1"/>
          <w:lang w:val="es-ES"/>
        </w:rPr>
        <w:t xml:space="preserve">– es un </w:t>
      </w:r>
      <w:r w:rsidRPr="00294702">
        <w:rPr>
          <w:rFonts w:ascii="Verdana" w:hAnsi="Verdana" w:cs="Arial"/>
          <w:i/>
          <w:iCs/>
          <w:color w:val="000000" w:themeColor="text1"/>
          <w:lang w:val="es-ES"/>
        </w:rPr>
        <w:t>concepto jurídico indeterminado</w:t>
      </w:r>
      <w:r w:rsidRPr="00294702">
        <w:rPr>
          <w:rFonts w:ascii="Verdana" w:hAnsi="Verdana" w:cs="Arial"/>
          <w:color w:val="000000" w:themeColor="text1"/>
          <w:lang w:val="es-ES"/>
        </w:rPr>
        <w:t xml:space="preserve"> que las entidades estatales deben aplicar teniendo en cuenta la situación fáctica particular. En todo caso, el Consejo de Estado es claro en indicar que tal concepto, en materia contractual, va más allá </w:t>
      </w:r>
      <w:r w:rsidRPr="00294702">
        <w:rPr>
          <w:rFonts w:ascii="Verdana" w:hAnsi="Verdana" w:cs="Arial"/>
          <w:color w:val="000000" w:themeColor="text1"/>
          <w:lang w:val="es-ES"/>
        </w:rPr>
        <w:lastRenderedPageBreak/>
        <w:t xml:space="preserve">de la sola adquisición de armamento o de los bienes y actividades requeridas para la </w:t>
      </w:r>
      <w:r>
        <w:rPr>
          <w:rFonts w:ascii="Verdana" w:hAnsi="Verdana" w:cs="Arial"/>
          <w:color w:val="000000" w:themeColor="text1"/>
          <w:lang w:val="es-ES"/>
        </w:rPr>
        <w:t>“</w:t>
      </w:r>
      <w:r w:rsidRPr="00294702">
        <w:rPr>
          <w:rFonts w:ascii="Verdana" w:hAnsi="Verdana" w:cs="Arial"/>
          <w:color w:val="000000" w:themeColor="text1"/>
          <w:lang w:val="es-ES"/>
        </w:rPr>
        <w:t>guerra</w:t>
      </w:r>
      <w:r>
        <w:rPr>
          <w:rFonts w:ascii="Verdana" w:hAnsi="Verdana" w:cs="Arial"/>
          <w:color w:val="000000" w:themeColor="text1"/>
          <w:lang w:val="es-ES"/>
        </w:rPr>
        <w:t>”</w:t>
      </w:r>
      <w:r w:rsidRPr="00294702">
        <w:rPr>
          <w:rFonts w:ascii="Verdana" w:hAnsi="Verdana" w:cs="Arial"/>
          <w:color w:val="000000" w:themeColor="text1"/>
          <w:lang w:val="es-ES"/>
        </w:rPr>
        <w:t xml:space="preserve">. Para el alto tribunal, aquel es un concepto que debe interpretarse bajo una comprensión sistemática del orden público. </w:t>
      </w:r>
    </w:p>
    <w:p w14:paraId="36E37E3B" w14:textId="77777777" w:rsidR="00CF70B3" w:rsidRPr="00294702" w:rsidRDefault="00CF70B3" w:rsidP="00CF70B3">
      <w:pPr>
        <w:spacing w:after="0" w:line="276" w:lineRule="auto"/>
        <w:ind w:firstLine="709"/>
        <w:jc w:val="both"/>
        <w:rPr>
          <w:rFonts w:ascii="Verdana" w:hAnsi="Verdana" w:cs="Arial"/>
          <w:color w:val="000000" w:themeColor="text1"/>
          <w:lang w:val="es-ES"/>
        </w:rPr>
      </w:pPr>
      <w:r>
        <w:rPr>
          <w:rFonts w:ascii="Verdana" w:hAnsi="Verdana" w:cs="Arial"/>
          <w:color w:val="000000" w:themeColor="text1"/>
          <w:lang w:val="es-ES"/>
        </w:rPr>
        <w:t>En virtud de lo anterior</w:t>
      </w:r>
      <w:r w:rsidRPr="00294702">
        <w:rPr>
          <w:rFonts w:ascii="Verdana" w:hAnsi="Verdana" w:cs="Arial"/>
          <w:color w:val="000000" w:themeColor="text1"/>
          <w:lang w:val="es-ES"/>
        </w:rPr>
        <w:t xml:space="preserve">, considerando estos criterios hermenéuticos, corresponde a la entidad que realiza la consulta interpretar el concepto jurídico </w:t>
      </w:r>
      <w:r>
        <w:rPr>
          <w:rFonts w:ascii="Verdana" w:hAnsi="Verdana" w:cs="Arial"/>
          <w:color w:val="000000" w:themeColor="text1"/>
          <w:lang w:val="es-ES"/>
        </w:rPr>
        <w:t>“</w:t>
      </w:r>
      <w:r w:rsidRPr="00294702">
        <w:rPr>
          <w:rFonts w:ascii="Verdana" w:hAnsi="Verdana" w:cs="Arial"/>
          <w:color w:val="000000" w:themeColor="text1"/>
          <w:lang w:val="es-ES"/>
        </w:rPr>
        <w:t>defensa y seguridad del Estado</w:t>
      </w:r>
      <w:r>
        <w:rPr>
          <w:rFonts w:ascii="Verdana" w:hAnsi="Verdana" w:cs="Arial"/>
          <w:color w:val="000000" w:themeColor="text1"/>
          <w:lang w:val="es-ES"/>
        </w:rPr>
        <w:t>”</w:t>
      </w:r>
      <w:r w:rsidRPr="00294702">
        <w:rPr>
          <w:rFonts w:ascii="Verdana" w:hAnsi="Verdana" w:cs="Arial"/>
          <w:color w:val="000000" w:themeColor="text1"/>
          <w:lang w:val="es-ES"/>
        </w:rPr>
        <w:t xml:space="preserve">, para determinar si se presenta la excepción a la contratación directa prevista en el segundo inciso del artículo 33 de la Ley 996 de 2005.    </w:t>
      </w:r>
    </w:p>
    <w:p w14:paraId="506E794C" w14:textId="77777777" w:rsidR="00CF70B3" w:rsidRPr="00294702" w:rsidRDefault="00CF70B3" w:rsidP="00CF70B3">
      <w:pPr>
        <w:spacing w:after="0" w:line="276" w:lineRule="auto"/>
        <w:jc w:val="both"/>
        <w:rPr>
          <w:rFonts w:ascii="Verdana" w:eastAsia="Century Gothic" w:hAnsi="Verdana" w:cs="Century Gothic"/>
          <w:bCs/>
          <w:lang w:val="es-ES"/>
        </w:rPr>
      </w:pPr>
    </w:p>
    <w:p w14:paraId="3930269C" w14:textId="77777777" w:rsidR="00CF70B3" w:rsidRPr="00C13395" w:rsidRDefault="00CF70B3" w:rsidP="00CF70B3">
      <w:pPr>
        <w:spacing w:after="120" w:line="276" w:lineRule="auto"/>
        <w:jc w:val="both"/>
        <w:rPr>
          <w:rFonts w:ascii="Verdana" w:eastAsia="Century Gothic" w:hAnsi="Verdana" w:cs="Century Gothic"/>
          <w:lang w:val="es-ES"/>
        </w:rPr>
      </w:pPr>
      <w:proofErr w:type="spellStart"/>
      <w:r w:rsidRPr="61CFEC75">
        <w:rPr>
          <w:rFonts w:ascii="Verdana" w:eastAsia="Century Gothic" w:hAnsi="Verdana" w:cs="Century Gothic"/>
          <w:lang w:val="es-ES"/>
        </w:rPr>
        <w:t>iv</w:t>
      </w:r>
      <w:proofErr w:type="spellEnd"/>
      <w:r w:rsidRPr="61CFEC75">
        <w:rPr>
          <w:rFonts w:ascii="Verdana" w:eastAsia="Century Gothic" w:hAnsi="Verdana" w:cs="Century Gothic"/>
          <w:lang w:val="es-ES"/>
        </w:rPr>
        <w:t xml:space="preserve">. 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07460BE3" w14:textId="77777777" w:rsidR="00CF70B3" w:rsidRPr="00C13395" w:rsidRDefault="00CF70B3" w:rsidP="00CF70B3">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Respecto de lo anterior, la Sala de Consulta y Servicio Civil del Consejo de Estado, en Concepto 1727 de fecha 20 de febrero de 2006, consideró que: </w:t>
      </w:r>
    </w:p>
    <w:p w14:paraId="2542B572" w14:textId="77777777" w:rsidR="00CF70B3" w:rsidRPr="00C13395" w:rsidRDefault="00CF70B3" w:rsidP="00CF70B3">
      <w:pPr>
        <w:spacing w:after="0" w:line="276" w:lineRule="auto"/>
        <w:jc w:val="both"/>
        <w:rPr>
          <w:rFonts w:ascii="Verdana" w:eastAsia="Century Gothic" w:hAnsi="Verdana" w:cs="Century Gothic"/>
          <w:bCs/>
          <w:lang w:val="es-ES_tradnl"/>
        </w:rPr>
      </w:pPr>
    </w:p>
    <w:p w14:paraId="0B378FD0" w14:textId="77777777" w:rsidR="00CF70B3" w:rsidRDefault="00CF70B3" w:rsidP="00CF70B3">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 xml:space="preserve">“El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 . </w:t>
      </w:r>
    </w:p>
    <w:p w14:paraId="6D94D748" w14:textId="77777777" w:rsidR="00CF70B3" w:rsidRPr="00C13395" w:rsidRDefault="00CF70B3" w:rsidP="00CF70B3">
      <w:pPr>
        <w:spacing w:after="0" w:line="276" w:lineRule="auto"/>
        <w:ind w:left="709" w:right="709"/>
        <w:jc w:val="both"/>
        <w:rPr>
          <w:rFonts w:ascii="Verdana" w:eastAsia="Century Gothic" w:hAnsi="Verdana" w:cs="Century Gothic"/>
          <w:bCs/>
          <w:sz w:val="20"/>
          <w:szCs w:val="20"/>
          <w:lang w:val="es-ES_tradnl"/>
        </w:rPr>
      </w:pPr>
    </w:p>
    <w:p w14:paraId="0213D242" w14:textId="77777777" w:rsidR="00CF70B3" w:rsidRDefault="00CF70B3" w:rsidP="00CF70B3">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 Además, la Sala de Consulta y Servicio Civil del Consejo de Estado </w:t>
      </w:r>
      <w:r w:rsidRPr="00C13395">
        <w:rPr>
          <w:rFonts w:ascii="Verdana" w:eastAsia="Century Gothic" w:hAnsi="Verdana" w:cs="Century Gothic"/>
          <w:bCs/>
          <w:lang w:val="es-ES_tradnl"/>
        </w:rPr>
        <w:lastRenderedPageBreak/>
        <w:t>realizó la siguiente distinción, retomando el pronunciamiento de la misma sala del 20 de febrero de 2006, citado anteriormente:</w:t>
      </w:r>
    </w:p>
    <w:p w14:paraId="4D75CD12" w14:textId="77777777" w:rsidR="00CF70B3" w:rsidRPr="00C13395" w:rsidRDefault="00CF70B3" w:rsidP="00CF70B3">
      <w:pPr>
        <w:spacing w:after="0" w:line="276" w:lineRule="auto"/>
        <w:ind w:firstLine="708"/>
        <w:jc w:val="both"/>
        <w:rPr>
          <w:rFonts w:ascii="Verdana" w:eastAsia="Century Gothic" w:hAnsi="Verdana" w:cs="Century Gothic"/>
          <w:bCs/>
          <w:lang w:val="es-ES_tradnl"/>
        </w:rPr>
      </w:pPr>
    </w:p>
    <w:p w14:paraId="3B4913FE" w14:textId="77777777" w:rsidR="00CF70B3" w:rsidRDefault="00CF70B3" w:rsidP="00CF70B3">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7D90C9B1" w14:textId="77777777" w:rsidR="00CF70B3" w:rsidRPr="00C13395" w:rsidRDefault="00CF70B3" w:rsidP="00CF70B3">
      <w:pPr>
        <w:spacing w:after="0" w:line="240" w:lineRule="auto"/>
        <w:ind w:left="709" w:right="709"/>
        <w:jc w:val="both"/>
        <w:rPr>
          <w:rFonts w:ascii="Verdana" w:eastAsia="Century Gothic" w:hAnsi="Verdana" w:cs="Century Gothic"/>
          <w:bCs/>
          <w:sz w:val="20"/>
          <w:szCs w:val="20"/>
          <w:lang w:val="es-ES_tradnl"/>
        </w:rPr>
      </w:pPr>
    </w:p>
    <w:p w14:paraId="36968403" w14:textId="77777777" w:rsidR="00CF70B3" w:rsidRPr="00C13395" w:rsidRDefault="00CF70B3" w:rsidP="00CF70B3">
      <w:pPr>
        <w:spacing w:after="0" w:line="240" w:lineRule="auto"/>
        <w:ind w:left="709" w:right="709"/>
        <w:jc w:val="both"/>
        <w:rPr>
          <w:rFonts w:ascii="Verdana" w:eastAsia="Century Gothic" w:hAnsi="Verdana" w:cs="Century Gothic"/>
          <w:bCs/>
          <w:sz w:val="20"/>
          <w:szCs w:val="20"/>
          <w:lang w:val="es-ES_tradnl"/>
        </w:rPr>
      </w:pPr>
      <w:r w:rsidRPr="00C13395">
        <w:rPr>
          <w:rFonts w:ascii="Verdana" w:eastAsia="Century Gothic" w:hAnsi="Verdana" w:cs="Century Gothic"/>
          <w:bCs/>
          <w:sz w:val="20"/>
          <w:szCs w:val="20"/>
          <w:lang w:val="es-ES_tradnl"/>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p>
    <w:p w14:paraId="4753328B" w14:textId="77777777" w:rsidR="00CF70B3" w:rsidRDefault="00CF70B3" w:rsidP="00CF70B3">
      <w:pPr>
        <w:spacing w:after="0" w:line="276" w:lineRule="auto"/>
        <w:ind w:firstLine="708"/>
        <w:jc w:val="both"/>
        <w:rPr>
          <w:rFonts w:ascii="Verdana" w:eastAsia="Century Gothic" w:hAnsi="Verdana" w:cs="Century Gothic"/>
          <w:bCs/>
          <w:lang w:val="es-ES_tradnl"/>
        </w:rPr>
      </w:pPr>
    </w:p>
    <w:p w14:paraId="5DC6D4F6"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De acuerdo con estos pronunciamientos de la Sala de Consulta y Servicio Civil del Consejo de Estado, la prohibición de la contratación directa también aplica frente a las entidades exceptuadas de la aplicación del Estatuto General de Contratación de la Administración Pública y que se rigen en materia contractual por el derecho privado. Sin embargo, señaló que algunas de estas entidades, como sucede con las empresas de servicios públicos domiciliarios, los establecimientos de crédito, las sociedades de servicios financieros y las entidades aseguradoras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w:t>
      </w:r>
      <w:r w:rsidRPr="00C13395">
        <w:rPr>
          <w:rFonts w:ascii="Verdana" w:eastAsia="Century Gothic" w:hAnsi="Verdana" w:cs="Century Gothic"/>
          <w:bCs/>
          <w:lang w:val="es-ES_tradnl"/>
        </w:rPr>
        <w:lastRenderedPageBreak/>
        <w:t xml:space="preserve">parálisis de una actividad propia de la administración, que incluso podría desconocer los derechos fundamentales” . </w:t>
      </w:r>
    </w:p>
    <w:p w14:paraId="2FE4D2BC" w14:textId="77777777" w:rsidR="00CF70B3" w:rsidRDefault="00CF70B3" w:rsidP="00CF70B3">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Conforme a los expuesto, la restricción prevista en la Ley 996 de 2005 cobija a cualquier entidad pública, independiente del régimen jurídico, que pueda mediante la contratación directa romper el equilibrio entre los candidatos en desarrollo de las elecciones presidenciales. Así las cosas, no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78754950" w14:textId="77777777" w:rsidR="00CF70B3" w:rsidRPr="00C13395" w:rsidRDefault="00CF70B3" w:rsidP="00CF70B3">
      <w:pPr>
        <w:spacing w:after="0" w:line="276" w:lineRule="auto"/>
        <w:ind w:firstLine="708"/>
        <w:jc w:val="both"/>
        <w:rPr>
          <w:rFonts w:ascii="Verdana" w:eastAsia="Century Gothic" w:hAnsi="Verdana" w:cs="Century Gothic"/>
          <w:bCs/>
          <w:lang w:val="es-ES_tradnl"/>
        </w:rPr>
      </w:pPr>
    </w:p>
    <w:p w14:paraId="468A8C28" w14:textId="77777777" w:rsidR="00CF70B3" w:rsidRPr="00C13395" w:rsidRDefault="00CF70B3" w:rsidP="00CF70B3">
      <w:pPr>
        <w:spacing w:after="120" w:line="276" w:lineRule="auto"/>
        <w:jc w:val="both"/>
        <w:rPr>
          <w:rFonts w:ascii="Verdana" w:eastAsia="Century Gothic" w:hAnsi="Verdana" w:cs="Century Gothic"/>
          <w:lang w:val="es-ES"/>
        </w:rPr>
      </w:pPr>
      <w:r>
        <w:rPr>
          <w:rFonts w:ascii="Verdana" w:eastAsia="Century Gothic" w:hAnsi="Verdana" w:cs="Century Gothic"/>
          <w:lang w:val="es-ES"/>
        </w:rPr>
        <w:t>v</w:t>
      </w:r>
      <w:r w:rsidRPr="122F1934">
        <w:rPr>
          <w:rFonts w:ascii="Verdana" w:eastAsia="Century Gothic" w:hAnsi="Verdana" w:cs="Century Gothic"/>
          <w:lang w:val="es-ES"/>
        </w:rPr>
        <w:t xml:space="preserve">) Ahora bien, respecto del alcance del parágrafo del artículo 38 de la Ley 996 de 2005, esta prohibición dispone que “Los Gobernadores, </w:t>
      </w:r>
      <w:proofErr w:type="gramStart"/>
      <w:r w:rsidRPr="122F1934">
        <w:rPr>
          <w:rFonts w:ascii="Verdana" w:eastAsia="Century Gothic" w:hAnsi="Verdana" w:cs="Century Gothic"/>
          <w:lang w:val="es-ES"/>
        </w:rPr>
        <w:t>Alcaldes</w:t>
      </w:r>
      <w:proofErr w:type="gramEnd"/>
      <w:r w:rsidRPr="122F1934">
        <w:rPr>
          <w:rFonts w:ascii="Verdana" w:eastAsia="Century Gothic" w:hAnsi="Verdana" w:cs="Century Gothic"/>
          <w:lang w:val="es-ES"/>
        </w:rPr>
        <w:t xml:space="preserve"> Municipales y/o Distritales, </w:t>
      </w:r>
      <w:proofErr w:type="gramStart"/>
      <w:r w:rsidRPr="122F1934">
        <w:rPr>
          <w:rFonts w:ascii="Verdana" w:eastAsia="Century Gothic" w:hAnsi="Verdana" w:cs="Century Gothic"/>
          <w:lang w:val="es-ES"/>
        </w:rPr>
        <w:t>Secretarios</w:t>
      </w:r>
      <w:proofErr w:type="gramEnd"/>
      <w:r w:rsidRPr="122F1934">
        <w:rPr>
          <w:rFonts w:ascii="Verdana" w:eastAsia="Century Gothic" w:hAnsi="Verdana" w:cs="Century Gothic"/>
          <w:lang w:val="es-ES"/>
        </w:rPr>
        <w:t xml:space="preserve">, Gerentes y directores de Entidades Descentralizadas del orden Municipal, Departamental o Distrital, dentro de los cuatro (4) meses anteriores a las elecciones, no podrán celebrar convenios interadministrativos para la ejecución de recursos públicos”. </w:t>
      </w:r>
    </w:p>
    <w:p w14:paraId="4C2FAB61"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Para tales efectos, debe precisarse que los contratos interadministrativos están determinados por un criterio orgánico, pues es necesario que los extremos de la relación contractual sean entidades públicas, 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5BCE81B4"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1C52AB96"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Un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w:t>
      </w:r>
      <w:r w:rsidRPr="00C13395">
        <w:rPr>
          <w:rFonts w:ascii="Verdana" w:eastAsia="Century Gothic" w:hAnsi="Verdana" w:cs="Century Gothic"/>
          <w:bCs/>
          <w:lang w:val="es-ES_tradnl"/>
        </w:rPr>
        <w:lastRenderedPageBreak/>
        <w:t>o en sus reglamentos, a menos que, según las excepciones previstas en dicha Ley, deba adelantarse un procedimiento susceptible de pluralidad de oferentes. Nótese que, en este caso, lo que cambia es la modalidad de selección y no la naturaleza de contrato interadministrativo.</w:t>
      </w:r>
    </w:p>
    <w:p w14:paraId="2A8D6120" w14:textId="77777777" w:rsidR="00CF70B3" w:rsidRPr="00C13395" w:rsidRDefault="00CF70B3" w:rsidP="00CF70B3">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Además, es necesario tener en cuenta que para que un convenio interadministrativo exista debe cumplir con los siguientes elementos: acuerdo sobre el objeto y la contraprestación y que conste por escrito.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0CD3D4FB" w14:textId="77777777" w:rsidR="00CF70B3" w:rsidRPr="00C13395" w:rsidRDefault="00CF70B3" w:rsidP="00CF70B3">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w:t>
      </w:r>
      <w:proofErr w:type="gramStart"/>
      <w:r w:rsidRPr="122F1934">
        <w:rPr>
          <w:rFonts w:ascii="Verdana" w:eastAsia="Century Gothic" w:hAnsi="Verdana" w:cs="Century Gothic"/>
          <w:lang w:val="es-ES"/>
        </w:rPr>
        <w:t>diferente ,</w:t>
      </w:r>
      <w:proofErr w:type="gramEnd"/>
      <w:r w:rsidRPr="122F1934">
        <w:rPr>
          <w:rFonts w:ascii="Verdana" w:eastAsia="Century Gothic" w:hAnsi="Verdana" w:cs="Century Gothic"/>
          <w:lang w:val="es-ES"/>
        </w:rPr>
        <w:t xml:space="preserve"> pues, de acuerdo con lo anotado, esta clase de acuerdos de voluntades se definen por un criterio orgánico, por lo que uno de sus elementos esenciales es que en los extremos de la relación jurídico negocial concurran personas de derecho público.</w:t>
      </w:r>
    </w:p>
    <w:p w14:paraId="359E582F" w14:textId="77777777" w:rsidR="00CF70B3" w:rsidRPr="00C13395" w:rsidRDefault="00CF70B3" w:rsidP="00CF70B3">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De esta manera, se observa entonces que el parágrafo del artículo 38 de la Ley 996 de 2005 prohíbe a los </w:t>
      </w:r>
      <w:proofErr w:type="gramStart"/>
      <w:r w:rsidRPr="122F1934">
        <w:rPr>
          <w:rFonts w:ascii="Verdana" w:eastAsia="Century Gothic" w:hAnsi="Verdana" w:cs="Century Gothic"/>
          <w:lang w:val="es-ES"/>
        </w:rPr>
        <w:t>Alcaldes</w:t>
      </w:r>
      <w:proofErr w:type="gramEnd"/>
      <w:r w:rsidRPr="122F1934">
        <w:rPr>
          <w:rFonts w:ascii="Verdana" w:eastAsia="Century Gothic" w:hAnsi="Verdana" w:cs="Century Gothic"/>
          <w:lang w:val="es-ES"/>
        </w:rPr>
        <w:t xml:space="preserve">, Gobernadores, </w:t>
      </w:r>
      <w:proofErr w:type="gramStart"/>
      <w:r w:rsidRPr="122F1934">
        <w:rPr>
          <w:rFonts w:ascii="Verdana" w:eastAsia="Century Gothic" w:hAnsi="Verdana" w:cs="Century Gothic"/>
          <w:lang w:val="es-ES"/>
        </w:rPr>
        <w:t>Secretarios</w:t>
      </w:r>
      <w:proofErr w:type="gramEnd"/>
      <w:r w:rsidRPr="122F1934">
        <w:rPr>
          <w:rFonts w:ascii="Verdana" w:eastAsia="Century Gothic" w:hAnsi="Verdana" w:cs="Century Gothic"/>
          <w:lang w:val="es-ES"/>
        </w:rPr>
        <w:t xml:space="preserve">, Gerentes y </w:t>
      </w:r>
      <w:proofErr w:type="gramStart"/>
      <w:r w:rsidRPr="122F1934">
        <w:rPr>
          <w:rFonts w:ascii="Verdana" w:eastAsia="Century Gothic" w:hAnsi="Verdana" w:cs="Century Gothic"/>
          <w:lang w:val="es-ES"/>
        </w:rPr>
        <w:t>Directores</w:t>
      </w:r>
      <w:proofErr w:type="gramEnd"/>
      <w:r w:rsidRPr="122F1934">
        <w:rPr>
          <w:rFonts w:ascii="Verdana" w:eastAsia="Century Gothic" w:hAnsi="Verdana" w:cs="Century Gothic"/>
          <w:lang w:val="es-ES"/>
        </w:rPr>
        <w:t xml:space="preserve"> de las entidades del orden municipal, departamental o distrital celebrar convenios interadministrativos para la ejecución de recursos públicos. En este sentido, si una o ambas partes de la relación contractual es una entidad de aquellas descritas en el parágrafo ibidem, no podrá celebrar tales convenios durante la aplicación de la Ley de Garantías Electorales, toda vez que la citada disposición hace referencia a dicha tipología contractual sin que el legislador hubiere contemplado un efecto extensivo a otra tipología. </w:t>
      </w:r>
    </w:p>
    <w:p w14:paraId="16A9C2FE" w14:textId="77777777" w:rsidR="00CF70B3" w:rsidRPr="00C13395" w:rsidRDefault="00CF70B3" w:rsidP="00CF70B3">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Respecto del alcance de esta prohibición la Circular Externa No. 006 de 2025 expedida por la Agencia Nacional de Contratación Pública – Colombia Compra Eficiente, en los literales </w:t>
      </w:r>
      <w:proofErr w:type="spellStart"/>
      <w:r w:rsidRPr="122F1934">
        <w:rPr>
          <w:rFonts w:ascii="Verdana" w:eastAsia="Century Gothic" w:hAnsi="Verdana" w:cs="Century Gothic"/>
          <w:lang w:val="es-ES"/>
        </w:rPr>
        <w:t>ii</w:t>
      </w:r>
      <w:proofErr w:type="spellEnd"/>
      <w:r w:rsidRPr="122F1934">
        <w:rPr>
          <w:rFonts w:ascii="Verdana" w:eastAsia="Century Gothic" w:hAnsi="Verdana" w:cs="Century Gothic"/>
          <w:lang w:val="es-ES"/>
        </w:rPr>
        <w:t xml:space="preserve">) y </w:t>
      </w:r>
      <w:proofErr w:type="spellStart"/>
      <w:r w:rsidRPr="122F1934">
        <w:rPr>
          <w:rFonts w:ascii="Verdana" w:eastAsia="Century Gothic" w:hAnsi="Verdana" w:cs="Century Gothic"/>
          <w:lang w:val="es-ES"/>
        </w:rPr>
        <w:t>iv</w:t>
      </w:r>
      <w:proofErr w:type="spellEnd"/>
      <w:r w:rsidRPr="122F1934">
        <w:rPr>
          <w:rFonts w:ascii="Verdana" w:eastAsia="Century Gothic" w:hAnsi="Verdana" w:cs="Century Gothic"/>
          <w:lang w:val="es-ES"/>
        </w:rPr>
        <w:t xml:space="preserve">) del numeral 2, indica que el parágrafo del artículo 38 de la Ley 996 de 2005 cobija expresamente a los convenios interadministrativos en los que se contemple la ejecución de recursos públicos. Además, precisa que el parágrafo referido no estableció ningún supuesto que exceptúe la aplicación de esta prohibición, por lo que la restricción referida a la </w:t>
      </w:r>
      <w:r w:rsidRPr="122F1934">
        <w:rPr>
          <w:rFonts w:ascii="Verdana" w:eastAsia="Century Gothic" w:hAnsi="Verdana" w:cs="Century Gothic"/>
          <w:lang w:val="es-ES"/>
        </w:rPr>
        <w:lastRenderedPageBreak/>
        <w:t xml:space="preserve">celebración de convenios interadministrativos aplicará a los sujetos allí señalados, “aunque se configure alguno de los supuestos de excepción que señaló el inciso final del artículo 33”. </w:t>
      </w:r>
    </w:p>
    <w:p w14:paraId="09AA3B6E" w14:textId="77777777" w:rsidR="00CF70B3" w:rsidRPr="00C13395" w:rsidRDefault="00CF70B3" w:rsidP="00CF70B3">
      <w:pPr>
        <w:spacing w:after="120" w:line="276" w:lineRule="auto"/>
        <w:ind w:firstLine="708"/>
        <w:jc w:val="both"/>
        <w:rPr>
          <w:rFonts w:ascii="Verdana" w:eastAsia="Century Gothic" w:hAnsi="Verdana" w:cs="Century Gothic"/>
          <w:lang w:val="es-ES"/>
        </w:rPr>
      </w:pPr>
      <w:r>
        <w:rPr>
          <w:rFonts w:ascii="Verdana" w:eastAsia="Century Gothic" w:hAnsi="Verdana" w:cs="Century Gothic"/>
          <w:lang w:val="es-ES"/>
        </w:rPr>
        <w:t>C</w:t>
      </w:r>
      <w:r w:rsidRPr="122F1934">
        <w:rPr>
          <w:rFonts w:ascii="Verdana" w:eastAsia="Century Gothic" w:hAnsi="Verdana" w:cs="Century Gothic"/>
          <w:lang w:val="es-ES"/>
        </w:rPr>
        <w:t xml:space="preserve">onforme a lo dispuesto en la Circular referida, </w:t>
      </w:r>
      <w:r>
        <w:rPr>
          <w:rFonts w:ascii="Verdana" w:eastAsia="Century Gothic" w:hAnsi="Verdana" w:cs="Century Gothic"/>
          <w:lang w:val="es-ES"/>
        </w:rPr>
        <w:t>se prohíben</w:t>
      </w:r>
      <w:r w:rsidRPr="122F1934">
        <w:rPr>
          <w:rFonts w:ascii="Verdana" w:eastAsia="Century Gothic" w:hAnsi="Verdana" w:cs="Century Gothic"/>
          <w:lang w:val="es-ES"/>
        </w:rPr>
        <w:t xml:space="preserve"> convenios interadministrativos para la ejecución de recursos públicos por los alcaldes, gobernadores, secretarios, gerentes y directores de las entidades del orden municipal, departamental o distrital, aplicará la prohibición del parágrafo del artículo 38 ibidem, independientemente de que se configure alguno de los supuestos de excepción que señaló el inciso final del artículo 33, es decir, que se trate de: i) la defensa y seguridad del Estado; </w:t>
      </w:r>
      <w:proofErr w:type="spellStart"/>
      <w:r w:rsidRPr="122F1934">
        <w:rPr>
          <w:rFonts w:ascii="Verdana" w:eastAsia="Century Gothic" w:hAnsi="Verdana" w:cs="Century Gothic"/>
          <w:lang w:val="es-ES"/>
        </w:rPr>
        <w:t>ii</w:t>
      </w:r>
      <w:proofErr w:type="spellEnd"/>
      <w:r w:rsidRPr="122F1934">
        <w:rPr>
          <w:rFonts w:ascii="Verdana" w:eastAsia="Century Gothic" w:hAnsi="Verdana" w:cs="Century Gothic"/>
          <w:lang w:val="es-ES"/>
        </w:rPr>
        <w:t xml:space="preserve">) los contratos de crédito público; </w:t>
      </w:r>
      <w:proofErr w:type="spellStart"/>
      <w:r w:rsidRPr="122F1934">
        <w:rPr>
          <w:rFonts w:ascii="Verdana" w:eastAsia="Century Gothic" w:hAnsi="Verdana" w:cs="Century Gothic"/>
          <w:lang w:val="es-ES"/>
        </w:rPr>
        <w:t>iii</w:t>
      </w:r>
      <w:proofErr w:type="spellEnd"/>
      <w:r w:rsidRPr="122F1934">
        <w:rPr>
          <w:rFonts w:ascii="Verdana" w:eastAsia="Century Gothic" w:hAnsi="Verdana" w:cs="Century Gothic"/>
          <w:lang w:val="es-ES"/>
        </w:rPr>
        <w:t xml:space="preserve">) los requeridos para cubrir las emergencias educativas, sanitarias y desastres; </w:t>
      </w:r>
      <w:proofErr w:type="spellStart"/>
      <w:r w:rsidRPr="122F1934">
        <w:rPr>
          <w:rFonts w:ascii="Verdana" w:eastAsia="Century Gothic" w:hAnsi="Verdana" w:cs="Century Gothic"/>
          <w:lang w:val="es-ES"/>
        </w:rPr>
        <w:t>iv</w:t>
      </w:r>
      <w:proofErr w:type="spellEnd"/>
      <w:r w:rsidRPr="122F1934">
        <w:rPr>
          <w:rFonts w:ascii="Verdana" w:eastAsia="Century Gothic" w:hAnsi="Verdana" w:cs="Century Gothic"/>
          <w:lang w:val="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62B6A46E" w14:textId="77777777" w:rsidR="00CF70B3" w:rsidRDefault="00CF70B3" w:rsidP="00CF70B3">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este punto, teniendo en cuenta lo señalado en el contenido de su petición, vale la pena destacar que, mediante auto de 4 de octubre del 2024, el Consejo de Estado, Subsección C de la Sección Tercera, decretó medida de suspensión provisional parcial del numeral 16.2 de la Circular Externa Única de 2022 expedida por la Agencia Nacional de Contratación Pública – Colombia Compra Eficiente, concretamente, respecto de los siguientes apartes normativos: </w:t>
      </w:r>
    </w:p>
    <w:p w14:paraId="13CEF604" w14:textId="77777777" w:rsidR="00CF70B3" w:rsidRPr="00C13395" w:rsidRDefault="00CF70B3" w:rsidP="00CF70B3">
      <w:pPr>
        <w:spacing w:after="0" w:line="276" w:lineRule="auto"/>
        <w:ind w:firstLine="708"/>
        <w:jc w:val="both"/>
        <w:rPr>
          <w:rFonts w:ascii="Verdana" w:eastAsia="Century Gothic" w:hAnsi="Verdana" w:cs="Century Gothic"/>
          <w:bCs/>
          <w:lang w:val="es-ES_tradnl"/>
        </w:rPr>
      </w:pPr>
    </w:p>
    <w:p w14:paraId="05C0BA11" w14:textId="77777777" w:rsidR="00CF70B3" w:rsidRDefault="00CF70B3" w:rsidP="00CF70B3">
      <w:pPr>
        <w:spacing w:after="0" w:line="240" w:lineRule="auto"/>
        <w:ind w:left="709" w:right="709"/>
        <w:jc w:val="both"/>
        <w:rPr>
          <w:rFonts w:ascii="Verdana" w:eastAsia="Century Gothic" w:hAnsi="Verdana" w:cs="Century Gothic"/>
          <w:sz w:val="20"/>
          <w:szCs w:val="20"/>
          <w:lang w:val="es-ES"/>
        </w:rPr>
      </w:pPr>
      <w:r w:rsidRPr="122F1934">
        <w:rPr>
          <w:rFonts w:ascii="Verdana" w:eastAsia="Century Gothic" w:hAnsi="Verdana" w:cs="Century Gothic"/>
          <w:sz w:val="20"/>
          <w:szCs w:val="20"/>
          <w:lang w:val="es-ES"/>
        </w:rPr>
        <w:t xml:space="preserve">“i)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4DAEE402" w14:textId="77777777" w:rsidR="00CF70B3" w:rsidRPr="00C13395" w:rsidRDefault="00CF70B3" w:rsidP="00CF70B3">
      <w:pPr>
        <w:spacing w:after="0" w:line="240" w:lineRule="auto"/>
        <w:ind w:left="709" w:right="709"/>
        <w:jc w:val="both"/>
        <w:rPr>
          <w:rFonts w:ascii="Verdana" w:eastAsia="Century Gothic" w:hAnsi="Verdana" w:cs="Century Gothic"/>
          <w:sz w:val="20"/>
          <w:szCs w:val="20"/>
          <w:lang w:val="es-ES"/>
        </w:rPr>
      </w:pPr>
    </w:p>
    <w:p w14:paraId="496E05A8" w14:textId="77777777" w:rsidR="00CF70B3" w:rsidRPr="00C13395" w:rsidRDefault="00CF70B3" w:rsidP="00CF70B3">
      <w:pPr>
        <w:spacing w:after="0" w:line="240" w:lineRule="auto"/>
        <w:ind w:left="709" w:right="709"/>
        <w:jc w:val="both"/>
        <w:rPr>
          <w:rFonts w:ascii="Verdana" w:eastAsia="Century Gothic" w:hAnsi="Verdana" w:cs="Century Gothic"/>
          <w:sz w:val="20"/>
          <w:szCs w:val="20"/>
          <w:lang w:val="es-ES"/>
        </w:rPr>
      </w:pPr>
      <w:proofErr w:type="spellStart"/>
      <w:r w:rsidRPr="122F1934">
        <w:rPr>
          <w:rFonts w:ascii="Verdana" w:eastAsia="Century Gothic" w:hAnsi="Verdana" w:cs="Century Gothic"/>
          <w:sz w:val="20"/>
          <w:szCs w:val="20"/>
          <w:lang w:val="es-ES"/>
        </w:rPr>
        <w:t>ii</w:t>
      </w:r>
      <w:proofErr w:type="spellEnd"/>
      <w:r w:rsidRPr="122F1934">
        <w:rPr>
          <w:rFonts w:ascii="Verdana" w:eastAsia="Century Gothic" w:hAnsi="Verdana" w:cs="Century Gothic"/>
          <w:sz w:val="20"/>
          <w:szCs w:val="20"/>
          <w:lang w:val="es-ES"/>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1CDBCB36" w14:textId="77777777" w:rsidR="00CF70B3" w:rsidRDefault="00CF70B3" w:rsidP="00CF70B3">
      <w:pPr>
        <w:spacing w:after="120" w:line="276" w:lineRule="auto"/>
        <w:ind w:firstLine="708"/>
        <w:jc w:val="both"/>
        <w:rPr>
          <w:rFonts w:ascii="Verdana" w:eastAsia="Century Gothic" w:hAnsi="Verdana" w:cs="Century Gothic"/>
          <w:bCs/>
          <w:lang w:val="es-ES_tradnl"/>
        </w:rPr>
      </w:pPr>
    </w:p>
    <w:p w14:paraId="370F8D8A"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lastRenderedPageBreak/>
        <w:t xml:space="preserve">De conformidad con los argumentos de dicha providencia, se parte de la distinción entre los conceptos 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w:t>
      </w:r>
    </w:p>
    <w:p w14:paraId="6AB5C670"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En este sentido, en relación con el parágrafo del artículo 38 de la Ley 996 de 2005 concluyó que “si el legislador no diferenció al establecer la prohibición o la restricción, mal haría el reglamento en aplicar un efecto expansivo o extensivo para incluir una categoría no cobijada con la limitación, (…)”. Por tal motivo, para efectos de decretar la medida de suspensión provisional de los apartes señalados del numeral 16.2 de la Circular Externa Única, argumentó que “con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5A8AB8B0" w14:textId="77777777" w:rsidR="00CF70B3" w:rsidRPr="00C13395" w:rsidRDefault="00CF70B3" w:rsidP="00CF70B3">
      <w:pPr>
        <w:spacing w:after="120" w:line="276" w:lineRule="auto"/>
        <w:ind w:firstLine="708"/>
        <w:jc w:val="both"/>
        <w:rPr>
          <w:rFonts w:ascii="Verdana" w:eastAsia="Century Gothic" w:hAnsi="Verdana" w:cs="Century Gothic"/>
          <w:lang w:val="es-ES"/>
        </w:rPr>
      </w:pPr>
      <w:r w:rsidRPr="122F1934">
        <w:rPr>
          <w:rFonts w:ascii="Verdana" w:eastAsia="Century Gothic" w:hAnsi="Verdana" w:cs="Century Gothic"/>
          <w:lang w:val="es-ES"/>
        </w:rPr>
        <w:t xml:space="preserve">De igual manera, mediante auto del 6 de noviembre de 2025, el Consejo de Estado, Subsección A de la Sección Tercera, decretó 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 Para tales efectos, el alto tribunal resaltó la interpretación restrictiva de las normas que contienen prohibiciones, como la del parágrafo del artículo 38 de la Ley 996 de 2005, por manera que se excluye la analogía </w:t>
      </w:r>
      <w:proofErr w:type="spellStart"/>
      <w:r w:rsidRPr="122F1934">
        <w:rPr>
          <w:rFonts w:ascii="Verdana" w:eastAsia="Century Gothic" w:hAnsi="Verdana" w:cs="Century Gothic"/>
          <w:lang w:val="es-ES"/>
        </w:rPr>
        <w:t>legis</w:t>
      </w:r>
      <w:proofErr w:type="spellEnd"/>
      <w:r w:rsidRPr="122F1934">
        <w:rPr>
          <w:rFonts w:ascii="Verdana" w:eastAsia="Century Gothic" w:hAnsi="Verdana" w:cs="Century Gothic"/>
          <w:lang w:val="es-ES"/>
        </w:rPr>
        <w:t xml:space="preserve"> o iuris y la interpretación extensiva y reiteró los argumentos sobre la diferencia entre contratos y convenios interadministrativos. </w:t>
      </w:r>
    </w:p>
    <w:p w14:paraId="16DC1766"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Finalmente, mediante sentencia del 17 de octubre de 2025, emitida por la Sala de lo Contencioso Administrativo del Consejo de Estado, dentro del expediente 11001-03-26-000-2023-00139-00, se declaró la nulidad parcial del numeral 16.2 de la Circular Externa Única de 2022 expedida por la Agencia Nacional de Contratación Pública </w:t>
      </w:r>
      <w:r>
        <w:rPr>
          <w:rFonts w:ascii="Verdana" w:eastAsia="Century Gothic" w:hAnsi="Verdana" w:cs="Century Gothic"/>
          <w:bCs/>
          <w:lang w:val="es-ES_tradnl"/>
        </w:rPr>
        <w:t>–</w:t>
      </w:r>
      <w:r w:rsidRPr="00C13395">
        <w:rPr>
          <w:rFonts w:ascii="Verdana" w:eastAsia="Century Gothic" w:hAnsi="Verdana" w:cs="Century Gothic"/>
          <w:bCs/>
          <w:lang w:val="es-ES_tradnl"/>
        </w:rPr>
        <w:t xml:space="preserve"> Colombia Compra Eficiente que indicaba: “Esta restricción es aplicable tanto a los convenios como a los contratos interadministrativos…”. </w:t>
      </w:r>
    </w:p>
    <w:p w14:paraId="147A6745"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 xml:space="preserve">La anterior decisión se adoptó al considerar que, la Agencia excedió su competencia material al incluir contratos en una restricción que la Ley de Garantías Electorales solo previó para convenios, cuando no es posible aplicar </w:t>
      </w:r>
      <w:r w:rsidRPr="00C13395">
        <w:rPr>
          <w:rFonts w:ascii="Verdana" w:eastAsia="Century Gothic" w:hAnsi="Verdana" w:cs="Century Gothic"/>
          <w:bCs/>
          <w:lang w:val="es-ES_tradnl"/>
        </w:rPr>
        <w:lastRenderedPageBreak/>
        <w:t xml:space="preserve">por analogía o extensión una norma que establece prohibiciones.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36D872EC" w14:textId="77777777" w:rsidR="00CF70B3" w:rsidRPr="00C13395" w:rsidRDefault="00CF70B3" w:rsidP="00CF70B3">
      <w:pPr>
        <w:spacing w:after="12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contratos interadministrativos, esta prohibición solo aplicaría a los convenios interadministrativos que impliquen la ejecución de recursos públicos .</w:t>
      </w:r>
    </w:p>
    <w:p w14:paraId="28BD8BB2" w14:textId="77777777" w:rsidR="00CF70B3" w:rsidRDefault="00CF70B3" w:rsidP="00CF70B3">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t>En todo caso, es importante resaltar que la Sala de Consulta y Servicio Civil del Consejo de Estado se ha pronunciado en el sentido de que 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p>
    <w:p w14:paraId="0AA4FBD7" w14:textId="77777777" w:rsidR="00CF70B3" w:rsidRPr="00C13395" w:rsidRDefault="00CF70B3" w:rsidP="00CF70B3">
      <w:pPr>
        <w:spacing w:after="0" w:line="276" w:lineRule="auto"/>
        <w:ind w:firstLine="708"/>
        <w:jc w:val="both"/>
        <w:rPr>
          <w:rFonts w:ascii="Verdana" w:eastAsia="Century Gothic" w:hAnsi="Verdana" w:cs="Century Gothic"/>
          <w:bCs/>
          <w:lang w:val="es-ES_tradnl"/>
        </w:rPr>
      </w:pPr>
    </w:p>
    <w:p w14:paraId="765E2837" w14:textId="77777777" w:rsidR="00CF70B3" w:rsidRPr="00C13395" w:rsidRDefault="00CF70B3" w:rsidP="00CF70B3">
      <w:pPr>
        <w:spacing w:after="120" w:line="276" w:lineRule="auto"/>
        <w:jc w:val="both"/>
        <w:rPr>
          <w:rFonts w:ascii="Verdana" w:eastAsia="Century Gothic" w:hAnsi="Verdana" w:cs="Century Gothic"/>
          <w:bCs/>
          <w:lang w:val="es-ES_tradnl"/>
        </w:rPr>
      </w:pPr>
      <w:r w:rsidRPr="122F1934">
        <w:rPr>
          <w:rFonts w:ascii="Verdana" w:eastAsia="Century Gothic" w:hAnsi="Verdana" w:cs="Century Gothic"/>
          <w:lang w:val="es-ES"/>
        </w:rPr>
        <w:t>v</w:t>
      </w:r>
      <w:r>
        <w:rPr>
          <w:rFonts w:ascii="Verdana" w:eastAsia="Century Gothic" w:hAnsi="Verdana" w:cs="Century Gothic"/>
          <w:lang w:val="es-ES"/>
        </w:rPr>
        <w:t>i</w:t>
      </w:r>
      <w:r w:rsidRPr="122F1934">
        <w:rPr>
          <w:rFonts w:ascii="Verdana" w:eastAsia="Century Gothic" w:hAnsi="Verdana" w:cs="Century Gothic"/>
          <w:lang w:val="es-ES"/>
        </w:rPr>
        <w:t xml:space="preserve">) </w:t>
      </w:r>
      <w:r w:rsidRPr="00C13395">
        <w:rPr>
          <w:rFonts w:ascii="Verdana" w:eastAsia="Century Gothic" w:hAnsi="Verdana" w:cs="Century Gothic"/>
          <w:bCs/>
          <w:lang w:val="es-ES_tradnl"/>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539C044" w14:textId="77777777" w:rsidR="00CF70B3" w:rsidRPr="00C13395" w:rsidRDefault="00CF70B3" w:rsidP="00CF70B3">
      <w:pPr>
        <w:spacing w:after="0" w:line="276" w:lineRule="auto"/>
        <w:ind w:firstLine="708"/>
        <w:jc w:val="both"/>
        <w:rPr>
          <w:rFonts w:ascii="Verdana" w:eastAsia="Century Gothic" w:hAnsi="Verdana" w:cs="Century Gothic"/>
          <w:bCs/>
          <w:lang w:val="es-ES_tradnl"/>
        </w:rPr>
      </w:pPr>
      <w:r w:rsidRPr="00C13395">
        <w:rPr>
          <w:rFonts w:ascii="Verdana" w:eastAsia="Century Gothic" w:hAnsi="Verdana" w:cs="Century Gothic"/>
          <w:bCs/>
          <w:lang w:val="es-ES_tradnl"/>
        </w:rPr>
        <w:lastRenderedPageBreak/>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391B4F6" w14:textId="77777777" w:rsidR="00CF70B3" w:rsidRPr="00144EB3" w:rsidRDefault="00CF70B3" w:rsidP="00CF70B3">
      <w:pPr>
        <w:tabs>
          <w:tab w:val="left" w:pos="709"/>
        </w:tabs>
        <w:spacing w:after="0" w:line="276" w:lineRule="auto"/>
        <w:jc w:val="both"/>
        <w:rPr>
          <w:rFonts w:ascii="Verdana" w:eastAsia="Calibri" w:hAnsi="Verdana" w:cs="Arial"/>
          <w:bCs/>
        </w:rPr>
      </w:pPr>
      <w:r w:rsidRPr="0026138F">
        <w:rPr>
          <w:rFonts w:ascii="Verdana" w:eastAsia="Calibri" w:hAnsi="Verdana" w:cs="Arial"/>
          <w:lang w:eastAsia="es-ES"/>
        </w:rPr>
        <w:tab/>
      </w:r>
    </w:p>
    <w:bookmarkEnd w:id="1"/>
    <w:bookmarkEnd w:id="2"/>
    <w:p w14:paraId="67D82D69" w14:textId="77777777" w:rsidR="00CF70B3" w:rsidRDefault="00CF70B3" w:rsidP="00CF70B3">
      <w:pPr>
        <w:spacing w:after="0" w:line="276" w:lineRule="auto"/>
        <w:jc w:val="both"/>
        <w:rPr>
          <w:rFonts w:ascii="Verdana" w:eastAsia="Century Gothic" w:hAnsi="Verdana" w:cs="Century Gothic"/>
          <w:b/>
          <w:lang w:val="es-ES"/>
        </w:rPr>
      </w:pPr>
      <w:r w:rsidRPr="00144EB3">
        <w:rPr>
          <w:rFonts w:ascii="Verdana" w:eastAsia="Century Gothic" w:hAnsi="Verdana" w:cs="Century Gothic"/>
          <w:b/>
          <w:lang w:val="es-ES"/>
        </w:rPr>
        <w:t>4. Referencias normativas, jurisprudenciales y otras fuentes:</w:t>
      </w:r>
    </w:p>
    <w:p w14:paraId="6B53127F" w14:textId="77777777" w:rsidR="00CF70B3" w:rsidRPr="00144EB3" w:rsidRDefault="00CF70B3" w:rsidP="00CF70B3">
      <w:pPr>
        <w:spacing w:after="0" w:line="276" w:lineRule="auto"/>
        <w:jc w:val="both"/>
        <w:rPr>
          <w:rFonts w:ascii="Verdana" w:eastAsia="Century Gothic" w:hAnsi="Verdana" w:cs="Century Gothic"/>
          <w:b/>
          <w:color w:val="ED7D31" w:themeColor="accent2"/>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F70B3" w:rsidRPr="00144EB3" w14:paraId="5163FF39" w14:textId="77777777" w:rsidTr="00E4249C">
        <w:trPr>
          <w:trHeight w:val="870"/>
        </w:trPr>
        <w:tc>
          <w:tcPr>
            <w:tcW w:w="8647" w:type="dxa"/>
          </w:tcPr>
          <w:p w14:paraId="6CF98DEA" w14:textId="77777777" w:rsidR="00CF70B3" w:rsidRPr="00144EB3" w:rsidRDefault="00CF70B3" w:rsidP="00CF70B3">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Ley 9 de 1989, artículo 38.</w:t>
            </w:r>
          </w:p>
          <w:p w14:paraId="3CC64CE8" w14:textId="77777777" w:rsidR="00CF70B3" w:rsidRPr="00144EB3" w:rsidRDefault="00CF70B3" w:rsidP="00CF70B3">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Ley 80 de 1993, artículos 13, 32 y 40.</w:t>
            </w:r>
          </w:p>
          <w:p w14:paraId="1E8146B6" w14:textId="77777777" w:rsidR="00CF70B3" w:rsidRPr="00144EB3" w:rsidRDefault="00CF70B3" w:rsidP="00CF70B3">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Ley 136 de 1994, artículo 32.</w:t>
            </w:r>
          </w:p>
          <w:p w14:paraId="60827335" w14:textId="77777777" w:rsidR="00CF70B3" w:rsidRPr="00144EB3" w:rsidRDefault="00CF70B3" w:rsidP="00CF70B3">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 xml:space="preserve">Ley 489 de 1998, artículo 96. </w:t>
            </w:r>
          </w:p>
          <w:p w14:paraId="078A8FD9" w14:textId="77777777" w:rsidR="00CF70B3" w:rsidRPr="00144EB3" w:rsidRDefault="00CF70B3" w:rsidP="00CF70B3">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Ley 996 de 2005, artículos 33 y 38.</w:t>
            </w:r>
          </w:p>
          <w:p w14:paraId="69BD3845" w14:textId="77777777" w:rsidR="00CF70B3" w:rsidRPr="00144EB3" w:rsidRDefault="00CF70B3" w:rsidP="00CF70B3">
            <w:pPr>
              <w:widowControl w:val="0"/>
              <w:numPr>
                <w:ilvl w:val="0"/>
                <w:numId w:val="16"/>
              </w:numPr>
              <w:autoSpaceDE w:val="0"/>
              <w:autoSpaceDN w:val="0"/>
              <w:spacing w:line="276" w:lineRule="auto"/>
              <w:jc w:val="both"/>
              <w:rPr>
                <w:rFonts w:ascii="Verdana" w:eastAsia="Calibri" w:hAnsi="Verdana" w:cs="Arial"/>
                <w:lang w:val="es-ES"/>
              </w:rPr>
            </w:pPr>
            <w:r w:rsidRPr="00144EB3">
              <w:rPr>
                <w:rFonts w:ascii="Verdana" w:eastAsia="Calibri" w:hAnsi="Verdana" w:cs="Arial"/>
                <w:lang w:val="es-ES"/>
              </w:rPr>
              <w:t>Decreto 1333 de 1986, artículo 167.</w:t>
            </w:r>
          </w:p>
          <w:p w14:paraId="1B249100" w14:textId="77777777" w:rsidR="00CF70B3" w:rsidRPr="00144EB3" w:rsidRDefault="00CF70B3" w:rsidP="00CF70B3">
            <w:pPr>
              <w:numPr>
                <w:ilvl w:val="0"/>
                <w:numId w:val="16"/>
              </w:numPr>
              <w:spacing w:line="276" w:lineRule="auto"/>
              <w:jc w:val="both"/>
              <w:rPr>
                <w:rFonts w:ascii="Verdana" w:eastAsia="Calibri" w:hAnsi="Verdana" w:cs="Arial"/>
                <w:lang w:val="es-MX" w:bidi="es-ES"/>
              </w:rPr>
            </w:pPr>
            <w:r w:rsidRPr="00144EB3">
              <w:rPr>
                <w:rFonts w:ascii="Verdana" w:eastAsia="Calibri" w:hAnsi="Verdana" w:cs="Arial"/>
                <w:lang w:val="es-MX"/>
              </w:rPr>
              <w:t xml:space="preserve">Consejo de Estado. Sala de Consulta y del Servicio Civil. Concepto del 9 de octubre de 2014. </w:t>
            </w:r>
          </w:p>
          <w:p w14:paraId="64DB6FFC" w14:textId="77777777" w:rsidR="00CF70B3" w:rsidRPr="00144EB3" w:rsidRDefault="00CF70B3" w:rsidP="00CF70B3">
            <w:pPr>
              <w:widowControl w:val="0"/>
              <w:numPr>
                <w:ilvl w:val="0"/>
                <w:numId w:val="16"/>
              </w:numPr>
              <w:autoSpaceDE w:val="0"/>
              <w:autoSpaceDN w:val="0"/>
              <w:spacing w:line="276" w:lineRule="auto"/>
              <w:jc w:val="both"/>
              <w:rPr>
                <w:rFonts w:ascii="Verdana" w:eastAsia="Arial MT" w:hAnsi="Verdana" w:cs="Arial"/>
                <w:color w:val="ED7D31" w:themeColor="accent2"/>
                <w:lang w:eastAsia="es-ES" w:bidi="es-ES"/>
              </w:rPr>
            </w:pPr>
            <w:r w:rsidRPr="00144EB3">
              <w:rPr>
                <w:rFonts w:ascii="Verdana" w:eastAsia="Calibri" w:hAnsi="Verdana" w:cs="Arial"/>
              </w:rPr>
              <w:t xml:space="preserve">Consejo de Estado. Sala de lo Contencioso Administrativo. Sección Primera. Radicación número: 50001-23-31-000-2010-00548-01. 19 de septiembre de 2019. Consejera Ponente: Nubia </w:t>
            </w:r>
            <w:proofErr w:type="spellStart"/>
            <w:r w:rsidRPr="00144EB3">
              <w:rPr>
                <w:rFonts w:ascii="Verdana" w:eastAsia="Calibri" w:hAnsi="Verdana" w:cs="Arial"/>
              </w:rPr>
              <w:t>Margoth</w:t>
            </w:r>
            <w:proofErr w:type="spellEnd"/>
            <w:r w:rsidRPr="00144EB3">
              <w:rPr>
                <w:rFonts w:ascii="Verdana" w:eastAsia="Calibri" w:hAnsi="Verdana" w:cs="Arial"/>
              </w:rPr>
              <w:t xml:space="preserve"> Peña Garzón.</w:t>
            </w:r>
          </w:p>
        </w:tc>
      </w:tr>
    </w:tbl>
    <w:p w14:paraId="0442FE09" w14:textId="77777777" w:rsidR="00CF70B3" w:rsidRPr="00144EB3" w:rsidRDefault="00CF70B3" w:rsidP="00CF70B3">
      <w:pPr>
        <w:widowControl w:val="0"/>
        <w:autoSpaceDE w:val="0"/>
        <w:autoSpaceDN w:val="0"/>
        <w:spacing w:after="0" w:line="276" w:lineRule="auto"/>
        <w:jc w:val="both"/>
        <w:rPr>
          <w:rFonts w:ascii="Verdana" w:hAnsi="Verdana" w:cs="Arial"/>
          <w:color w:val="ED7D31" w:themeColor="accent2"/>
          <w:lang w:val="es-ES"/>
        </w:rPr>
      </w:pPr>
    </w:p>
    <w:p w14:paraId="191847F5" w14:textId="77777777" w:rsidR="00CF70B3" w:rsidRPr="00144EB3" w:rsidRDefault="00CF70B3" w:rsidP="00CF70B3">
      <w:pPr>
        <w:spacing w:after="0" w:line="276" w:lineRule="auto"/>
        <w:jc w:val="both"/>
        <w:rPr>
          <w:rFonts w:ascii="Verdana" w:eastAsia="Aptos" w:hAnsi="Verdana" w:cs="Arial"/>
          <w:b/>
          <w:bCs/>
          <w:shd w:val="clear" w:color="auto" w:fill="FFFFFF"/>
        </w:rPr>
      </w:pPr>
    </w:p>
    <w:p w14:paraId="538D4DAE" w14:textId="77777777" w:rsidR="00CF70B3" w:rsidRPr="00144EB3" w:rsidRDefault="00CF70B3" w:rsidP="00CF70B3">
      <w:pPr>
        <w:spacing w:after="0" w:line="276" w:lineRule="auto"/>
        <w:jc w:val="both"/>
        <w:rPr>
          <w:rFonts w:ascii="Verdana" w:eastAsia="Aptos" w:hAnsi="Verdana" w:cs="Arial"/>
          <w:b/>
          <w:bCs/>
          <w:shd w:val="clear" w:color="auto" w:fill="FFFFFF"/>
        </w:rPr>
      </w:pPr>
      <w:r w:rsidRPr="00144EB3">
        <w:rPr>
          <w:rFonts w:ascii="Verdana" w:eastAsia="Aptos" w:hAnsi="Verdana" w:cs="Arial"/>
          <w:b/>
          <w:bCs/>
          <w:shd w:val="clear" w:color="auto" w:fill="FFFFFF"/>
        </w:rPr>
        <w:t xml:space="preserve">5. Doctrina de la Agencia Nacional de Contratación Pública: </w:t>
      </w:r>
    </w:p>
    <w:p w14:paraId="6EE9F795" w14:textId="77777777" w:rsidR="00CF70B3" w:rsidRPr="00144EB3" w:rsidRDefault="00CF70B3" w:rsidP="00CF70B3">
      <w:pPr>
        <w:spacing w:after="0" w:line="276" w:lineRule="auto"/>
        <w:jc w:val="both"/>
        <w:rPr>
          <w:rFonts w:ascii="Verdana" w:eastAsia="Aptos" w:hAnsi="Verdana" w:cs="Arial"/>
          <w:b/>
          <w:bCs/>
          <w:shd w:val="clear" w:color="auto" w:fill="FFFFFF"/>
        </w:rPr>
      </w:pPr>
    </w:p>
    <w:p w14:paraId="20CBF422" w14:textId="77777777" w:rsidR="00CF70B3" w:rsidRPr="00144EB3" w:rsidRDefault="00CF70B3" w:rsidP="00CF70B3">
      <w:pPr>
        <w:spacing w:after="0" w:line="240" w:lineRule="auto"/>
        <w:jc w:val="both"/>
        <w:rPr>
          <w:rFonts w:ascii="Verdana" w:eastAsia="Aptos" w:hAnsi="Verdana" w:cs="Arial"/>
          <w:shd w:val="clear" w:color="auto" w:fill="FFFFFF"/>
        </w:rPr>
      </w:pPr>
      <w:r w:rsidRPr="00144EB3">
        <w:rPr>
          <w:rFonts w:ascii="Verdana" w:hAnsi="Verdana" w:cs="Arial"/>
          <w:bCs/>
          <w:shd w:val="clear" w:color="auto" w:fill="FFFFFF"/>
        </w:rPr>
        <w:t xml:space="preserve">La Agencia Nacional de Contratación Pública – Colombia Compra Eficiente ha expedido </w:t>
      </w:r>
      <w:r w:rsidRPr="00144EB3">
        <w:rPr>
          <w:rFonts w:ascii="Verdana" w:eastAsia="Calibri" w:hAnsi="Verdana" w:cs="Arial"/>
          <w:lang w:val="es-ES_tradnl"/>
        </w:rPr>
        <w:t>conceptos sobre</w:t>
      </w:r>
      <w:r w:rsidRPr="00144EB3">
        <w:rPr>
          <w:rFonts w:ascii="Verdana" w:eastAsia="Aptos" w:hAnsi="Verdana" w:cs="Arial"/>
          <w:shd w:val="clear" w:color="auto" w:fill="FFFFFF"/>
        </w:rPr>
        <w:t xml:space="preserve"> </w:t>
      </w:r>
      <w:r w:rsidRPr="00144EB3">
        <w:rPr>
          <w:rFonts w:ascii="Verdana" w:eastAsia="Calibri" w:hAnsi="Verdana" w:cs="Arial"/>
          <w:shd w:val="clear" w:color="auto" w:fill="FFFFFF"/>
        </w:rPr>
        <w:t xml:space="preserv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w:t>
      </w:r>
      <w:r w:rsidRPr="00144EB3">
        <w:rPr>
          <w:rFonts w:ascii="Verdana" w:eastAsia="Calibri" w:hAnsi="Verdana" w:cs="Arial"/>
          <w:shd w:val="clear" w:color="auto" w:fill="FFFFFF"/>
        </w:rPr>
        <w:lastRenderedPageBreak/>
        <w:t>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C-1512 del 27 de octubre de 2025, C-1488 del 30 de octubre de 2025, C-1596 del 6 de noviembre de 2025, entre otros</w:t>
      </w:r>
      <w:r w:rsidRPr="00144EB3">
        <w:rPr>
          <w:rFonts w:ascii="Verdana" w:eastAsia="Aptos" w:hAnsi="Verdana" w:cs="Arial"/>
          <w:shd w:val="clear" w:color="auto" w:fill="FFFFFF"/>
          <w:lang w:val="es-ES"/>
        </w:rPr>
        <w:t xml:space="preserve">. </w:t>
      </w:r>
    </w:p>
    <w:p w14:paraId="4B61907F" w14:textId="77777777" w:rsidR="00CF70B3" w:rsidRPr="00144EB3" w:rsidRDefault="00CF70B3" w:rsidP="00CF70B3">
      <w:pPr>
        <w:spacing w:after="0" w:line="240" w:lineRule="auto"/>
        <w:jc w:val="both"/>
        <w:rPr>
          <w:rFonts w:ascii="Verdana" w:hAnsi="Verdana"/>
          <w:lang w:val="es-ES"/>
        </w:rPr>
      </w:pPr>
      <w:r w:rsidRPr="00144EB3">
        <w:rPr>
          <w:rFonts w:ascii="Verdana" w:hAnsi="Verdana" w:cs="Arial"/>
          <w:shd w:val="clear" w:color="auto" w:fill="FFFFFF"/>
          <w:lang w:val="es-ES"/>
        </w:rPr>
        <w:t>Estos</w:t>
      </w:r>
      <w:r w:rsidRPr="00144EB3">
        <w:rPr>
          <w:rFonts w:ascii="Verdana" w:hAnsi="Verdana"/>
          <w:lang w:val="es-ES"/>
        </w:rPr>
        <w:t xml:space="preserve"> y otros se encuentran disponibles para consulta en el Sistema de relatoría de la Agencia, al cual se puede acceder a través del siguiente enlace:</w:t>
      </w:r>
      <w:r w:rsidRPr="00144EB3">
        <w:rPr>
          <w:rFonts w:ascii="Verdana" w:hAnsi="Verdana" w:cs="Arial"/>
          <w:shd w:val="clear" w:color="auto" w:fill="FFFFFF"/>
          <w:lang w:val="es-ES"/>
        </w:rPr>
        <w:t xml:space="preserve"> </w:t>
      </w:r>
      <w:hyperlink r:id="rId11" w:history="1">
        <w:r w:rsidRPr="00144EB3">
          <w:rPr>
            <w:rStyle w:val="Hipervnculo"/>
            <w:rFonts w:ascii="Verdana" w:hAnsi="Verdana" w:cs="Arial"/>
            <w:shd w:val="clear" w:color="auto" w:fill="FFFFFF"/>
            <w:lang w:val="es-ES"/>
          </w:rPr>
          <w:t>https://relatoria.colombiacompra.gov.co/busqueda/conceptos</w:t>
        </w:r>
      </w:hyperlink>
    </w:p>
    <w:p w14:paraId="78F1314C" w14:textId="77777777" w:rsidR="00CF70B3" w:rsidRPr="00144EB3" w:rsidRDefault="00CF70B3" w:rsidP="00CF70B3">
      <w:pPr>
        <w:spacing w:after="0" w:line="240" w:lineRule="auto"/>
        <w:jc w:val="both"/>
        <w:rPr>
          <w:rFonts w:ascii="Verdana" w:hAnsi="Verdana" w:cs="Arial"/>
          <w:shd w:val="clear" w:color="auto" w:fill="FFFFFF"/>
          <w:lang w:val="es-ES"/>
        </w:rPr>
      </w:pPr>
    </w:p>
    <w:p w14:paraId="57FD36A8" w14:textId="77777777" w:rsidR="00CF70B3" w:rsidRPr="00144EB3" w:rsidRDefault="00CF70B3" w:rsidP="00CF70B3">
      <w:pPr>
        <w:spacing w:after="0" w:line="240" w:lineRule="auto"/>
        <w:jc w:val="both"/>
        <w:rPr>
          <w:rFonts w:ascii="Verdana" w:eastAsia="Calibri" w:hAnsi="Verdana" w:cs="Arial"/>
        </w:rPr>
      </w:pPr>
      <w:r w:rsidRPr="00144EB3">
        <w:rPr>
          <w:rFonts w:ascii="Verdana" w:eastAsia="Calibri" w:hAnsi="Verdana" w:cs="Arial"/>
        </w:rPr>
        <w:t xml:space="preserve">La sostenibilidad no es una opción, es una obligación. Por ello, la Agencia Nacional de Contratación Pública –Colombia Compra Eficiente– te invita a realizar el </w:t>
      </w:r>
      <w:r w:rsidRPr="00144EB3">
        <w:rPr>
          <w:rFonts w:ascii="Verdana" w:eastAsia="Calibri" w:hAnsi="Verdana" w:cs="Arial"/>
          <w:b/>
          <w:bCs/>
        </w:rPr>
        <w:t>Curso de Contratación Pública Sostenible y Socialmente Responsable</w:t>
      </w:r>
      <w:r w:rsidRPr="00144EB3">
        <w:rPr>
          <w:rFonts w:ascii="Verdana" w:eastAsia="Calibri"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44EB3">
        <w:rPr>
          <w:rFonts w:ascii="Verdana" w:eastAsia="Calibri" w:hAnsi="Verdana" w:cs="Arial"/>
        </w:rPr>
        <w:br/>
      </w:r>
      <w:hyperlink r:id="rId12" w:tgtFrame="_new" w:history="1">
        <w:r w:rsidRPr="00144EB3">
          <w:rPr>
            <w:rFonts w:ascii="Verdana" w:eastAsia="Calibri" w:hAnsi="Verdana" w:cs="Arial"/>
            <w:color w:val="0000FF"/>
            <w:u w:val="single"/>
          </w:rPr>
          <w:t>https://formacionvirtual.colombiacompra.gov.co/mod/page/view.php?id=3718</w:t>
        </w:r>
      </w:hyperlink>
    </w:p>
    <w:p w14:paraId="2826A339" w14:textId="77777777" w:rsidR="00CF70B3" w:rsidRDefault="00CF70B3" w:rsidP="00CF70B3">
      <w:pPr>
        <w:spacing w:after="0" w:line="240" w:lineRule="auto"/>
        <w:jc w:val="both"/>
        <w:rPr>
          <w:rFonts w:ascii="Verdana" w:eastAsia="Calibri" w:hAnsi="Verdana" w:cs="Arial"/>
        </w:rPr>
      </w:pPr>
    </w:p>
    <w:p w14:paraId="6D509387" w14:textId="77777777" w:rsidR="00CF70B3" w:rsidRPr="00144EB3" w:rsidRDefault="00CF70B3" w:rsidP="00CF70B3">
      <w:pPr>
        <w:spacing w:after="0" w:line="240" w:lineRule="auto"/>
        <w:jc w:val="both"/>
        <w:rPr>
          <w:rFonts w:ascii="Verdana" w:eastAsia="Calibri" w:hAnsi="Verdana" w:cs="Arial"/>
        </w:rPr>
      </w:pPr>
      <w:r w:rsidRPr="00144EB3">
        <w:rPr>
          <w:rFonts w:ascii="Verdana" w:eastAsia="Calibri" w:hAnsi="Verdana" w:cs="Arial"/>
        </w:rPr>
        <w:t xml:space="preserve">De otro lado, te contamos que esta Agencia ha da un paso decisivo en la estandarización y modernización del </w:t>
      </w:r>
      <w:r w:rsidRPr="00144EB3">
        <w:rPr>
          <w:rFonts w:ascii="Verdana" w:eastAsia="Calibri" w:hAnsi="Verdana" w:cs="Arial"/>
          <w:b/>
          <w:bCs/>
        </w:rPr>
        <w:t>sector  social</w:t>
      </w:r>
      <w:r w:rsidRPr="00144EB3">
        <w:rPr>
          <w:rFonts w:ascii="Verdana" w:eastAsia="Calibri" w:hAnsi="Verdana" w:cs="Arial"/>
        </w:rPr>
        <w:t xml:space="preserve"> con la expedición de las </w:t>
      </w:r>
      <w:r w:rsidRPr="00144EB3">
        <w:rPr>
          <w:rFonts w:ascii="Verdana" w:eastAsia="Calibri" w:hAnsi="Verdana" w:cs="Arial"/>
          <w:b/>
          <w:bCs/>
        </w:rPr>
        <w:t>Resoluciones 539, 540, 541, 952 y 953 de 2025</w:t>
      </w:r>
      <w:r w:rsidRPr="00144EB3">
        <w:rPr>
          <w:rFonts w:ascii="Verdana" w:eastAsia="Calibri" w:hAnsi="Verdana" w:cs="Arial"/>
        </w:rPr>
        <w:t xml:space="preserve">, </w:t>
      </w:r>
      <w:r w:rsidRPr="00144EB3">
        <w:rPr>
          <w:rFonts w:ascii="Verdana" w:eastAsia="Calibri" w:hAnsi="Verdana" w:cs="Arial"/>
          <w:b/>
          <w:bCs/>
        </w:rPr>
        <w:t>mediante las cuales adoptó Documentos Tipo</w:t>
      </w:r>
      <w:r w:rsidRPr="00144EB3">
        <w:rPr>
          <w:rFonts w:ascii="Verdana" w:eastAsia="Calibri" w:hAnsi="Verdana" w:cs="Arial"/>
        </w:rPr>
        <w:t xml:space="preserve"> para las modalidades de selección de</w:t>
      </w:r>
      <w:r w:rsidRPr="00144EB3">
        <w:rPr>
          <w:rFonts w:ascii="Verdana" w:eastAsia="Calibri" w:hAnsi="Verdana" w:cs="Arial"/>
          <w:b/>
          <w:bCs/>
        </w:rPr>
        <w:t xml:space="preserve"> licitación pública (versión 2), selección abreviada de menor cuantía, mínima cuantía, consultoría e interventoría</w:t>
      </w:r>
      <w:r w:rsidRPr="00144EB3">
        <w:rPr>
          <w:rFonts w:ascii="Verdana" w:eastAsia="Calibri"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3" w:tgtFrame="_new" w:history="1">
        <w:r w:rsidRPr="00144EB3">
          <w:rPr>
            <w:rFonts w:ascii="Verdana" w:eastAsia="Calibri" w:hAnsi="Verdana" w:cs="Arial"/>
            <w:color w:val="0000FF"/>
            <w:u w:val="single"/>
          </w:rPr>
          <w:t>https://www.colombiacompra.gov.co/normativa-y-relatoria/documentos-tipo</w:t>
        </w:r>
      </w:hyperlink>
    </w:p>
    <w:p w14:paraId="4738895E" w14:textId="77777777" w:rsidR="00CF70B3" w:rsidRPr="00144EB3" w:rsidRDefault="00CF70B3" w:rsidP="00CF70B3">
      <w:pPr>
        <w:spacing w:after="0" w:line="240" w:lineRule="auto"/>
        <w:jc w:val="both"/>
        <w:rPr>
          <w:rFonts w:ascii="Verdana" w:eastAsia="Calibri" w:hAnsi="Verdana" w:cs="Arial"/>
        </w:rPr>
      </w:pPr>
    </w:p>
    <w:p w14:paraId="5EFAC791" w14:textId="77777777" w:rsidR="00CF70B3" w:rsidRPr="00144EB3" w:rsidRDefault="00CF70B3" w:rsidP="00CF70B3">
      <w:pPr>
        <w:spacing w:after="0" w:line="240" w:lineRule="auto"/>
        <w:jc w:val="both"/>
        <w:rPr>
          <w:rFonts w:ascii="Verdana" w:eastAsia="Calibri" w:hAnsi="Verdana" w:cs="Arial"/>
        </w:rPr>
      </w:pPr>
      <w:r w:rsidRPr="00144EB3">
        <w:rPr>
          <w:rFonts w:ascii="Verdana" w:eastAsia="Calibri" w:hAnsi="Verdana" w:cs="Arial"/>
        </w:rPr>
        <w:t xml:space="preserve">Si quieres conocer más sobre la aplicación de Documentos Tipo puedes consultar la última versión de la </w:t>
      </w:r>
      <w:r w:rsidRPr="00144EB3">
        <w:rPr>
          <w:rFonts w:ascii="Verdana" w:eastAsia="Calibri" w:hAnsi="Verdana" w:cs="Arial"/>
          <w:b/>
          <w:bCs/>
        </w:rPr>
        <w:t>Guía para la comprensión e implementación de los Documentos Tipo de obra pública de infraestructura de transporte</w:t>
      </w:r>
      <w:r w:rsidRPr="00144EB3">
        <w:rPr>
          <w:rFonts w:ascii="Verdana" w:eastAsia="Calibri"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44EB3">
        <w:rPr>
          <w:rFonts w:ascii="Verdana" w:eastAsia="Calibri" w:hAnsi="Verdana" w:cs="Arial"/>
        </w:rPr>
        <w:br/>
      </w:r>
      <w:hyperlink r:id="rId14" w:tgtFrame="_new" w:history="1">
        <w:r w:rsidRPr="00144EB3">
          <w:rPr>
            <w:rFonts w:ascii="Verdana" w:eastAsia="Calibri" w:hAnsi="Verdana" w:cs="Arial"/>
            <w:color w:val="0000FF"/>
            <w:u w:val="single"/>
          </w:rPr>
          <w:t>https://www.colombiacompra.gov.co/archivos/manual/guia-para-la-</w:t>
        </w:r>
        <w:r w:rsidRPr="00144EB3">
          <w:rPr>
            <w:rFonts w:ascii="Verdana" w:eastAsia="Calibri" w:hAnsi="Verdana" w:cs="Arial"/>
            <w:color w:val="0000FF"/>
            <w:u w:val="single"/>
          </w:rPr>
          <w:lastRenderedPageBreak/>
          <w:t>comprension-e-implementacion-de-los-documentos-tipo-de-obra-publica-de-infraestructura-de-transporte-bajo-las-diferentes-modalidades-de-contratacion-vigentes</w:t>
        </w:r>
      </w:hyperlink>
    </w:p>
    <w:p w14:paraId="55C6FF82" w14:textId="77777777" w:rsidR="00CF70B3" w:rsidRPr="00144EB3" w:rsidRDefault="00CF70B3" w:rsidP="00CF70B3">
      <w:pPr>
        <w:spacing w:after="0" w:line="240" w:lineRule="auto"/>
        <w:jc w:val="both"/>
        <w:rPr>
          <w:rFonts w:ascii="Verdana" w:eastAsia="Calibri" w:hAnsi="Verdana" w:cs="Arial"/>
        </w:rPr>
      </w:pPr>
      <w:r w:rsidRPr="00144EB3">
        <w:rPr>
          <w:rFonts w:ascii="Verdana" w:eastAsia="Calibri" w:hAnsi="Verdana" w:cs="Arial"/>
          <w:shd w:val="clear" w:color="auto" w:fill="FFFFFF"/>
        </w:rPr>
        <w:t xml:space="preserve">Por último, lo invitamos a seguirnos en las redes sociales en las cuales se difunde información institucional: </w:t>
      </w:r>
    </w:p>
    <w:p w14:paraId="4E450567" w14:textId="77777777" w:rsidR="00CF70B3" w:rsidRPr="00144EB3" w:rsidRDefault="00CF70B3" w:rsidP="00CF70B3">
      <w:pPr>
        <w:spacing w:after="0" w:line="240" w:lineRule="auto"/>
        <w:jc w:val="both"/>
        <w:rPr>
          <w:rFonts w:ascii="Verdana" w:eastAsia="Calibri" w:hAnsi="Verdana" w:cs="Arial"/>
          <w:shd w:val="clear" w:color="auto" w:fill="FFFFFF"/>
        </w:rPr>
      </w:pPr>
    </w:p>
    <w:p w14:paraId="48ED1ED4" w14:textId="77777777" w:rsidR="00CF70B3" w:rsidRPr="00144EB3" w:rsidRDefault="00CF70B3" w:rsidP="00CF70B3">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Twitter: </w:t>
      </w:r>
      <w:r w:rsidRPr="00144EB3">
        <w:rPr>
          <w:rFonts w:ascii="Verdana" w:eastAsia="Calibri" w:hAnsi="Verdana" w:cs="Arial"/>
          <w:color w:val="0000FF"/>
          <w:u w:val="single"/>
          <w:lang w:val="es-ES"/>
        </w:rPr>
        <w:t xml:space="preserve">@colombiacompra </w:t>
      </w:r>
    </w:p>
    <w:p w14:paraId="4BC47FC2" w14:textId="77777777" w:rsidR="00CF70B3" w:rsidRPr="00144EB3" w:rsidRDefault="00CF70B3" w:rsidP="00CF70B3">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Facebook:</w:t>
      </w:r>
      <w:r w:rsidRPr="00144EB3">
        <w:rPr>
          <w:rFonts w:ascii="Verdana" w:eastAsia="Calibri" w:hAnsi="Verdana" w:cs="Arial"/>
          <w:color w:val="0000FF"/>
          <w:u w:val="single"/>
          <w:lang w:val="es-ES"/>
        </w:rPr>
        <w:t xml:space="preserve"> </w:t>
      </w:r>
      <w:proofErr w:type="spellStart"/>
      <w:r w:rsidRPr="00144EB3">
        <w:rPr>
          <w:rFonts w:ascii="Verdana" w:eastAsia="Calibri" w:hAnsi="Verdana" w:cs="Arial"/>
          <w:color w:val="0000FF"/>
          <w:u w:val="single"/>
          <w:lang w:val="es-ES"/>
        </w:rPr>
        <w:t>ColombiaCompraEficiente</w:t>
      </w:r>
      <w:proofErr w:type="spellEnd"/>
    </w:p>
    <w:p w14:paraId="4C662006" w14:textId="77777777" w:rsidR="00CF70B3" w:rsidRPr="00144EB3" w:rsidRDefault="00CF70B3" w:rsidP="00CF70B3">
      <w:pPr>
        <w:spacing w:after="0" w:line="240" w:lineRule="auto"/>
        <w:jc w:val="both"/>
        <w:rPr>
          <w:rFonts w:ascii="Verdana" w:eastAsia="Calibri" w:hAnsi="Verdana" w:cs="Arial"/>
          <w:color w:val="0000FF"/>
          <w:shd w:val="clear" w:color="auto" w:fill="FFFFFF"/>
        </w:rPr>
      </w:pPr>
      <w:r w:rsidRPr="00144EB3">
        <w:rPr>
          <w:rFonts w:ascii="Verdana" w:eastAsia="Calibri" w:hAnsi="Verdana" w:cs="Arial"/>
          <w:shd w:val="clear" w:color="auto" w:fill="FFFFFF"/>
        </w:rPr>
        <w:t xml:space="preserve">LinkedIn: </w:t>
      </w:r>
      <w:r w:rsidRPr="00144EB3">
        <w:rPr>
          <w:rFonts w:ascii="Verdana" w:eastAsia="Calibri" w:hAnsi="Verdana" w:cs="Arial"/>
          <w:color w:val="0000FF"/>
          <w:u w:val="single"/>
          <w:lang w:val="es-ES"/>
        </w:rPr>
        <w:t>Agencia Nacional de Contratación Pública - Colombia Compra Eficiente</w:t>
      </w:r>
      <w:r w:rsidRPr="00144EB3">
        <w:rPr>
          <w:rFonts w:ascii="Verdana" w:eastAsia="Calibri" w:hAnsi="Verdana" w:cs="Arial"/>
          <w:color w:val="0000FF"/>
          <w:shd w:val="clear" w:color="auto" w:fill="FFFFFF"/>
        </w:rPr>
        <w:t xml:space="preserve"> </w:t>
      </w:r>
    </w:p>
    <w:p w14:paraId="04E76B43" w14:textId="77777777" w:rsidR="00CF70B3" w:rsidRPr="00144EB3" w:rsidRDefault="00CF70B3" w:rsidP="00CF70B3">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Instagram: </w:t>
      </w:r>
      <w:r w:rsidRPr="00144EB3">
        <w:rPr>
          <w:rFonts w:ascii="Verdana" w:eastAsia="Calibri" w:hAnsi="Verdana" w:cs="Arial"/>
          <w:color w:val="0000FF"/>
          <w:u w:val="single"/>
          <w:lang w:val="es-ES"/>
        </w:rPr>
        <w:t>@colombiacompraeficiente_cce</w:t>
      </w:r>
    </w:p>
    <w:p w14:paraId="3D0A9E17" w14:textId="77777777" w:rsidR="00CF70B3" w:rsidRPr="00144EB3" w:rsidRDefault="00CF70B3" w:rsidP="00CF70B3">
      <w:pPr>
        <w:widowControl w:val="0"/>
        <w:autoSpaceDE w:val="0"/>
        <w:autoSpaceDN w:val="0"/>
        <w:spacing w:after="0" w:line="240" w:lineRule="auto"/>
        <w:jc w:val="both"/>
        <w:rPr>
          <w:rFonts w:ascii="Verdana" w:eastAsia="Calibri" w:hAnsi="Verdana" w:cs="Arial"/>
          <w:lang w:val="es-ES"/>
        </w:rPr>
      </w:pPr>
    </w:p>
    <w:p w14:paraId="5B5FAD66" w14:textId="77777777" w:rsidR="00CF70B3" w:rsidRPr="00144EB3" w:rsidRDefault="00CF70B3" w:rsidP="00CF70B3">
      <w:pPr>
        <w:widowControl w:val="0"/>
        <w:autoSpaceDE w:val="0"/>
        <w:autoSpaceDN w:val="0"/>
        <w:spacing w:after="0" w:line="240" w:lineRule="auto"/>
        <w:jc w:val="both"/>
        <w:rPr>
          <w:rFonts w:ascii="Verdana" w:eastAsia="Calibri" w:hAnsi="Verdana" w:cs="Arial"/>
          <w:lang w:val="es-ES"/>
        </w:rPr>
      </w:pPr>
      <w:r w:rsidRPr="00144EB3">
        <w:rPr>
          <w:rFonts w:ascii="Verdana" w:eastAsia="Calibri"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08C021E" w14:textId="77777777" w:rsidR="00CF70B3" w:rsidRPr="00144EB3" w:rsidRDefault="00CF70B3" w:rsidP="00CF70B3">
      <w:pPr>
        <w:spacing w:after="0" w:line="240" w:lineRule="auto"/>
        <w:jc w:val="both"/>
        <w:rPr>
          <w:rFonts w:ascii="Verdana" w:eastAsia="Verdana" w:hAnsi="Verdana" w:cs="Verdana"/>
        </w:rPr>
      </w:pPr>
    </w:p>
    <w:p w14:paraId="1639E722" w14:textId="77777777" w:rsidR="00CF70B3" w:rsidRPr="00DB1FE8" w:rsidRDefault="00CF70B3" w:rsidP="00CF70B3">
      <w:pPr>
        <w:spacing w:after="0" w:line="240" w:lineRule="auto"/>
        <w:rPr>
          <w:rFonts w:ascii="Verdana" w:eastAsia="Verdana" w:hAnsi="Verdana" w:cs="Verdana"/>
        </w:rPr>
      </w:pPr>
      <w:r w:rsidRPr="00144EB3">
        <w:rPr>
          <w:rFonts w:ascii="Verdana" w:eastAsia="Verdana" w:hAnsi="Verdana" w:cs="Verdana"/>
        </w:rPr>
        <w:t xml:space="preserve">Evalúa el servicio que ofrece la Agencia por el canal de atención de PQRSD en el siguiente enlace: </w:t>
      </w:r>
      <w:hyperlink r:id="rId15" w:history="1">
        <w:r w:rsidRPr="00144EB3">
          <w:rPr>
            <w:rFonts w:ascii="Verdana" w:eastAsia="Verdana" w:hAnsi="Verdana" w:cs="Verdana"/>
            <w:color w:val="0000FF"/>
            <w:u w:val="single"/>
          </w:rPr>
          <w:t>https://forms.office.com/r/pPHyWVs2SZ</w:t>
        </w:r>
      </w:hyperlink>
      <w:r w:rsidRPr="00144EB3">
        <w:rPr>
          <w:rFonts w:ascii="Verdana" w:eastAsia="Verdana" w:hAnsi="Verdana" w:cs="Verdana"/>
        </w:rPr>
        <w:t xml:space="preserve"> .¡Ayúdanos a mejorar porque el compromiso es de todos!</w:t>
      </w:r>
    </w:p>
    <w:p w14:paraId="4664B99A" w14:textId="77777777" w:rsidR="00CF70B3" w:rsidRDefault="00CF70B3" w:rsidP="00CF70B3">
      <w:pPr>
        <w:spacing w:after="0" w:line="276" w:lineRule="auto"/>
        <w:jc w:val="both"/>
        <w:rPr>
          <w:rFonts w:ascii="Verdana" w:eastAsia="Calibri" w:hAnsi="Verdana" w:cs="Times New Roman"/>
          <w:noProof/>
          <w:color w:val="EE0000"/>
          <w14:ligatures w14:val="standardContextual"/>
        </w:rPr>
      </w:pPr>
    </w:p>
    <w:p w14:paraId="73F52777" w14:textId="3DAF225C" w:rsidR="00CF70B3" w:rsidRDefault="00CF70B3" w:rsidP="00CF70B3">
      <w:pPr>
        <w:spacing w:after="0" w:line="276" w:lineRule="auto"/>
        <w:jc w:val="both"/>
        <w:rPr>
          <w:rFonts w:ascii="Verdana" w:eastAsia="Verdana" w:hAnsi="Verdana" w:cs="Verdana"/>
          <w:lang w:val="es-MX"/>
        </w:rPr>
      </w:pPr>
      <w:r w:rsidRPr="00144EB3">
        <w:rPr>
          <w:rFonts w:ascii="Verdana" w:eastAsia="Verdana" w:hAnsi="Verdana" w:cs="Verdana"/>
          <w:lang w:val="es-MX"/>
        </w:rPr>
        <w:t>Cordialmente</w:t>
      </w:r>
      <w:r>
        <w:rPr>
          <w:rFonts w:ascii="Verdana" w:eastAsia="Verdana" w:hAnsi="Verdana" w:cs="Verdana"/>
          <w:lang w:val="es-MX"/>
        </w:rPr>
        <w:t>,</w:t>
      </w:r>
    </w:p>
    <w:p w14:paraId="1EF7F366" w14:textId="2471020B" w:rsidR="00CF70B3" w:rsidRDefault="00CF70B3" w:rsidP="00CF70B3">
      <w:pPr>
        <w:spacing w:after="0" w:line="276" w:lineRule="auto"/>
        <w:jc w:val="both"/>
        <w:rPr>
          <w:rFonts w:ascii="Verdana" w:eastAsia="Calibri" w:hAnsi="Verdana" w:cs="Times New Roman"/>
          <w:noProof/>
          <w:color w:val="EE0000"/>
          <w14:ligatures w14:val="standardContextual"/>
        </w:rPr>
      </w:pPr>
    </w:p>
    <w:p w14:paraId="1DCD8BF2" w14:textId="747675C7" w:rsidR="00AB1FBC" w:rsidRDefault="00AB1FBC" w:rsidP="00AB1FBC">
      <w:pPr>
        <w:spacing w:after="0" w:line="276" w:lineRule="auto"/>
        <w:jc w:val="center"/>
        <w:rPr>
          <w:rFonts w:ascii="Verdana" w:eastAsia="Calibri" w:hAnsi="Verdana" w:cs="Times New Roman"/>
          <w:noProof/>
          <w:color w:val="EE0000"/>
          <w14:ligatures w14:val="standardContextual"/>
        </w:rPr>
      </w:pPr>
      <w:r w:rsidRPr="002C3AD6">
        <w:rPr>
          <w:rFonts w:ascii="Century Gothic" w:hAnsi="Century Gothic"/>
          <w:noProof/>
          <w:lang w:val="en-US"/>
        </w:rPr>
        <w:drawing>
          <wp:inline distT="0" distB="0" distL="0" distR="0" wp14:anchorId="7F915298" wp14:editId="051A8270">
            <wp:extent cx="3279697" cy="1217463"/>
            <wp:effectExtent l="0" t="0" r="0" b="190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312722" cy="1229722"/>
                    </a:xfrm>
                    <a:prstGeom prst="rect">
                      <a:avLst/>
                    </a:prstGeom>
                  </pic:spPr>
                </pic:pic>
              </a:graphicData>
            </a:graphic>
          </wp:inline>
        </w:drawing>
      </w:r>
    </w:p>
    <w:p w14:paraId="29414A93" w14:textId="77777777" w:rsidR="00CF70B3" w:rsidRPr="00144EB3" w:rsidRDefault="00CF70B3" w:rsidP="00CF70B3">
      <w:pPr>
        <w:spacing w:after="0" w:line="276" w:lineRule="auto"/>
        <w:jc w:val="both"/>
        <w:rPr>
          <w:rFonts w:ascii="Verdana" w:eastAsia="Verdana" w:hAnsi="Verdana" w:cs="Verdana"/>
          <w:lang w:val="es-MX"/>
        </w:rPr>
      </w:pPr>
    </w:p>
    <w:p w14:paraId="0061AADD" w14:textId="77777777" w:rsidR="00CF70B3" w:rsidRDefault="00CF70B3" w:rsidP="00AB1FBC">
      <w:pPr>
        <w:spacing w:after="0" w:line="276" w:lineRule="auto"/>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F70B3" w:rsidRPr="008278B1" w14:paraId="2C2F302A" w14:textId="77777777" w:rsidTr="00E4249C">
        <w:trPr>
          <w:trHeight w:val="315"/>
        </w:trPr>
        <w:tc>
          <w:tcPr>
            <w:tcW w:w="893" w:type="dxa"/>
            <w:vAlign w:val="center"/>
            <w:hideMark/>
          </w:tcPr>
          <w:p w14:paraId="3DE482FA" w14:textId="77777777" w:rsidR="00CF70B3" w:rsidRPr="008278B1" w:rsidRDefault="00CF70B3" w:rsidP="00E4249C">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2818E7C" w14:textId="77777777" w:rsidR="00CF70B3" w:rsidRPr="00860461" w:rsidRDefault="00CF70B3" w:rsidP="00E4249C">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3F43EEDB" w14:textId="77777777" w:rsidR="00CF70B3" w:rsidRPr="00860461" w:rsidRDefault="00CF70B3" w:rsidP="00E4249C">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CF70B3" w:rsidRPr="00F84F36" w14:paraId="274886EA" w14:textId="77777777" w:rsidTr="00E4249C">
        <w:trPr>
          <w:trHeight w:val="330"/>
        </w:trPr>
        <w:tc>
          <w:tcPr>
            <w:tcW w:w="893" w:type="dxa"/>
            <w:vAlign w:val="center"/>
            <w:hideMark/>
          </w:tcPr>
          <w:p w14:paraId="29577541" w14:textId="77777777" w:rsidR="00CF70B3" w:rsidRPr="0025661F" w:rsidRDefault="00CF70B3" w:rsidP="00E4249C">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B3A08B8" w14:textId="77777777" w:rsidR="00CF70B3" w:rsidRPr="00D62D2E" w:rsidRDefault="00CF70B3" w:rsidP="00E4249C">
            <w:pPr>
              <w:rPr>
                <w:rFonts w:ascii="Verdana" w:eastAsia="Times New Roman" w:hAnsi="Verdana" w:cs="Arial"/>
                <w:color w:val="000000" w:themeColor="text1"/>
                <w:sz w:val="16"/>
                <w:szCs w:val="16"/>
                <w:lang w:eastAsia="es-ES"/>
              </w:rPr>
            </w:pPr>
            <w:r>
              <w:rPr>
                <w:rFonts w:ascii="Verdana" w:eastAsia="Times New Roman" w:hAnsi="Verdana" w:cs="Arial"/>
                <w:color w:val="000000" w:themeColor="text1"/>
                <w:sz w:val="16"/>
                <w:szCs w:val="16"/>
                <w:lang w:eastAsia="es-ES"/>
              </w:rPr>
              <w:t>Juan David Cardenas Cabeza</w:t>
            </w:r>
          </w:p>
          <w:p w14:paraId="1C6D46F9" w14:textId="77777777" w:rsidR="00CF70B3" w:rsidRPr="0025661F" w:rsidRDefault="00CF70B3" w:rsidP="00E4249C">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D62D2E">
              <w:rPr>
                <w:rFonts w:ascii="Verdana" w:hAnsi="Verdana" w:cs="Arial"/>
                <w:color w:val="000000" w:themeColor="text1"/>
                <w:sz w:val="16"/>
                <w:szCs w:val="16"/>
                <w:lang w:eastAsia="es-ES"/>
              </w:rPr>
              <w:t>Contratista de la Subdirección de Gestión Contractual</w:t>
            </w:r>
          </w:p>
        </w:tc>
      </w:tr>
      <w:tr w:rsidR="00CF70B3" w:rsidRPr="00F84F36" w14:paraId="359C0B23" w14:textId="77777777" w:rsidTr="00E4249C">
        <w:trPr>
          <w:trHeight w:val="300"/>
        </w:trPr>
        <w:tc>
          <w:tcPr>
            <w:tcW w:w="893" w:type="dxa"/>
            <w:vAlign w:val="center"/>
          </w:tcPr>
          <w:p w14:paraId="246C8B49" w14:textId="77777777" w:rsidR="00CF70B3" w:rsidRPr="008278B1" w:rsidRDefault="00CF70B3" w:rsidP="00E4249C">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32845E9" w14:textId="77777777" w:rsidR="00CF70B3" w:rsidRPr="008278B1" w:rsidRDefault="00CF70B3" w:rsidP="00E4249C">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6B0EE60A" w14:textId="77777777" w:rsidR="00CF70B3" w:rsidRPr="008278B1" w:rsidRDefault="00CF70B3" w:rsidP="00E4249C">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3E642125" w14:textId="77777777" w:rsidR="00CF70B3" w:rsidRPr="008278B1" w:rsidRDefault="00CF70B3" w:rsidP="00CF70B3">
      <w:pPr>
        <w:spacing w:after="0" w:line="276" w:lineRule="auto"/>
        <w:rPr>
          <w:rFonts w:ascii="Verdana" w:hAnsi="Verdana" w:cs="Arial"/>
          <w:lang w:val="es-ES" w:eastAsia="es-CO"/>
        </w:rPr>
      </w:pPr>
    </w:p>
    <w:p w14:paraId="225863B5" w14:textId="4CDB43ED" w:rsidR="00CF70B3" w:rsidRPr="008E53E8" w:rsidRDefault="00CF70B3" w:rsidP="00CF70B3">
      <w:pPr>
        <w:spacing w:after="0"/>
        <w:rPr>
          <w:rFonts w:ascii="Verdana" w:eastAsia="Verdana" w:hAnsi="Verdana" w:cs="Verdana"/>
          <w:lang w:val="es-ES"/>
        </w:rPr>
      </w:pPr>
    </w:p>
    <w:bookmarkEnd w:id="0"/>
    <w:p w14:paraId="1468C46D" w14:textId="33F5D35F" w:rsidR="00C15139" w:rsidRPr="0024624F" w:rsidRDefault="00C15139" w:rsidP="30821638">
      <w:pPr>
        <w:spacing w:after="0"/>
        <w:rPr>
          <w:rFonts w:ascii="Verdana" w:eastAsia="Verdana" w:hAnsi="Verdana" w:cs="Verdana"/>
        </w:rPr>
      </w:pPr>
    </w:p>
    <w:sectPr w:rsidR="00C15139" w:rsidRPr="0024624F"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3BD775" w14:textId="77777777" w:rsidR="00316266" w:rsidRDefault="00316266" w:rsidP="004A1847">
      <w:pPr>
        <w:spacing w:after="0" w:line="240" w:lineRule="auto"/>
      </w:pPr>
      <w:r>
        <w:separator/>
      </w:r>
    </w:p>
  </w:endnote>
  <w:endnote w:type="continuationSeparator" w:id="0">
    <w:p w14:paraId="7F130E63" w14:textId="77777777" w:rsidR="00316266" w:rsidRDefault="0031626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2B91DF" w14:textId="77777777" w:rsidR="00316266" w:rsidRDefault="00316266" w:rsidP="004A1847">
      <w:pPr>
        <w:spacing w:after="0" w:line="240" w:lineRule="auto"/>
      </w:pPr>
      <w:r>
        <w:separator/>
      </w:r>
    </w:p>
  </w:footnote>
  <w:footnote w:type="continuationSeparator" w:id="0">
    <w:p w14:paraId="4CB53C9E" w14:textId="77777777" w:rsidR="00316266" w:rsidRDefault="00316266" w:rsidP="004A1847">
      <w:pPr>
        <w:spacing w:after="0" w:line="240" w:lineRule="auto"/>
      </w:pPr>
      <w:r>
        <w:continuationSeparator/>
      </w:r>
    </w:p>
  </w:footnote>
  <w:footnote w:id="1">
    <w:p w14:paraId="5687CE1A" w14:textId="77777777" w:rsidR="00CF70B3" w:rsidRPr="00294702" w:rsidRDefault="00CF70B3" w:rsidP="00CF70B3">
      <w:pPr>
        <w:pStyle w:val="Textonotapie"/>
        <w:ind w:firstLine="709"/>
        <w:jc w:val="both"/>
        <w:rPr>
          <w:rFonts w:ascii="Verdana" w:hAnsi="Verdana" w:cs="Arial"/>
          <w:sz w:val="16"/>
          <w:szCs w:val="16"/>
          <w:lang w:val="es-ES"/>
        </w:rPr>
      </w:pPr>
      <w:r w:rsidRPr="00294702">
        <w:rPr>
          <w:rStyle w:val="Refdenotaalpie"/>
          <w:rFonts w:ascii="Verdana" w:hAnsi="Verdana"/>
          <w:sz w:val="16"/>
          <w:szCs w:val="16"/>
        </w:rPr>
        <w:footnoteRef/>
      </w:r>
      <w:r w:rsidRPr="00294702">
        <w:rPr>
          <w:rFonts w:ascii="Verdana" w:hAnsi="Verdana" w:cs="Arial"/>
          <w:sz w:val="16"/>
          <w:szCs w:val="16"/>
        </w:rPr>
        <w:t xml:space="preserve"> Ello de conformidad con </w:t>
      </w:r>
      <w:r w:rsidRPr="00294702">
        <w:rPr>
          <w:rFonts w:ascii="Verdana" w:eastAsia="Calibri" w:hAnsi="Verdana" w:cs="Arial"/>
          <w:color w:val="000000" w:themeColor="text1"/>
          <w:sz w:val="16"/>
          <w:szCs w:val="16"/>
          <w:lang w:val="es-ES_tradnl"/>
        </w:rPr>
        <w:t>el numeral 8 del artículo 11 y el numeral 5 del artículo 3 del Decreto Ley 4170 de 2011.</w:t>
      </w:r>
    </w:p>
  </w:footnote>
  <w:footnote w:id="2">
    <w:p w14:paraId="32FA9B0E" w14:textId="77777777" w:rsidR="00CF70B3" w:rsidRPr="00294702" w:rsidRDefault="00CF70B3" w:rsidP="00CF70B3">
      <w:pPr>
        <w:pStyle w:val="Textonotapie"/>
        <w:ind w:firstLine="709"/>
        <w:jc w:val="both"/>
        <w:rPr>
          <w:rFonts w:ascii="Verdana" w:hAnsi="Verdana" w:cs="Arial"/>
          <w:color w:val="000000" w:themeColor="text1"/>
          <w:sz w:val="16"/>
          <w:szCs w:val="16"/>
        </w:rPr>
      </w:pPr>
    </w:p>
    <w:p w14:paraId="531B393C" w14:textId="77777777" w:rsidR="00CF70B3" w:rsidRDefault="00CF70B3" w:rsidP="00CF70B3">
      <w:pPr>
        <w:pStyle w:val="Textonotapie"/>
        <w:ind w:firstLine="709"/>
        <w:jc w:val="both"/>
        <w:rPr>
          <w:rFonts w:ascii="Verdana" w:hAnsi="Verdana" w:cs="Arial"/>
          <w:color w:val="000000" w:themeColor="text1"/>
          <w:sz w:val="16"/>
          <w:szCs w:val="16"/>
          <w:lang w:val="es-ES"/>
        </w:rPr>
      </w:pPr>
      <w:r w:rsidRPr="00294702">
        <w:rPr>
          <w:rStyle w:val="Refdenotaalpie"/>
          <w:rFonts w:ascii="Verdana" w:hAnsi="Verdana"/>
          <w:sz w:val="16"/>
          <w:szCs w:val="16"/>
        </w:rPr>
        <w:footnoteRef/>
      </w:r>
      <w:r w:rsidRPr="00294702">
        <w:rPr>
          <w:rFonts w:ascii="Verdana" w:hAnsi="Verdana" w:cs="Arial"/>
          <w:color w:val="000000" w:themeColor="text1"/>
          <w:sz w:val="16"/>
          <w:szCs w:val="16"/>
        </w:rPr>
        <w:t xml:space="preserve"> </w:t>
      </w:r>
      <w:r w:rsidRPr="00294702">
        <w:rPr>
          <w:rFonts w:ascii="Verdana" w:hAnsi="Verdana" w:cs="Arial"/>
          <w:color w:val="000000" w:themeColor="text1"/>
          <w:sz w:val="16"/>
          <w:szCs w:val="16"/>
          <w:lang w:val="es-ES"/>
        </w:rPr>
        <w:t>Según García de Enterría, «Estos concepto jurídicos indeterminados, o que se contienen en lo que también se llaman las normas flexibles, son consustanciales a toda la técnica jurídica y no constituyen una particularidad del Derecho público […], son conceptos jurídicos indeterminados, en el sentido de que la medida concreta para la aplicación de los mismos en un caso particular no nos la resuelve o determina con exactitud la propia Ley que los ha creado y de cuya aplicación se trata» (GARCÍA DE ENTERRÍA, Eduardo. La lucha contra las inmunidades del poder en el derecho administrativo. 3ª ed. Madrid: Civitas, 1983. pp. 33-34).</w:t>
      </w:r>
    </w:p>
    <w:p w14:paraId="566F81C5" w14:textId="77777777" w:rsidR="00CF70B3" w:rsidRPr="00294702" w:rsidRDefault="00CF70B3" w:rsidP="00CF70B3">
      <w:pPr>
        <w:pStyle w:val="Textonotapie"/>
        <w:ind w:firstLine="709"/>
        <w:jc w:val="both"/>
        <w:rPr>
          <w:rFonts w:ascii="Verdana" w:hAnsi="Verdana" w:cs="Arial"/>
          <w:color w:val="000000" w:themeColor="text1"/>
          <w:sz w:val="16"/>
          <w:szCs w:val="16"/>
        </w:rPr>
      </w:pPr>
    </w:p>
  </w:footnote>
  <w:footnote w:id="3">
    <w:p w14:paraId="0ED24DA4" w14:textId="77777777" w:rsidR="00CF70B3" w:rsidRDefault="00CF70B3" w:rsidP="00CF70B3">
      <w:pPr>
        <w:pStyle w:val="Textonotapie"/>
        <w:ind w:firstLine="709"/>
        <w:jc w:val="both"/>
        <w:rPr>
          <w:rFonts w:ascii="Verdana" w:hAnsi="Verdana" w:cs="Arial"/>
          <w:color w:val="000000" w:themeColor="text1"/>
          <w:sz w:val="16"/>
          <w:szCs w:val="16"/>
        </w:rPr>
      </w:pPr>
      <w:r w:rsidRPr="00294702">
        <w:rPr>
          <w:rStyle w:val="Refdenotaalpie"/>
          <w:rFonts w:ascii="Verdana" w:hAnsi="Verdana"/>
          <w:sz w:val="16"/>
          <w:szCs w:val="16"/>
        </w:rPr>
        <w:footnoteRef/>
      </w:r>
      <w:r w:rsidRPr="00294702">
        <w:rPr>
          <w:rFonts w:ascii="Verdana" w:hAnsi="Verdana" w:cs="Arial"/>
          <w:color w:val="000000" w:themeColor="text1"/>
          <w:sz w:val="16"/>
          <w:szCs w:val="16"/>
        </w:rPr>
        <w:t xml:space="preserve"> Sentencia C-382 de 2019, M.P. Alejandro Linares Cantillo.</w:t>
      </w:r>
    </w:p>
    <w:p w14:paraId="34F955B6" w14:textId="77777777" w:rsidR="00CF70B3" w:rsidRPr="00294702" w:rsidRDefault="00CF70B3" w:rsidP="00CF70B3">
      <w:pPr>
        <w:pStyle w:val="Textonotapie"/>
        <w:ind w:firstLine="709"/>
        <w:jc w:val="both"/>
        <w:rPr>
          <w:rFonts w:ascii="Verdana" w:hAnsi="Verdana" w:cs="Arial"/>
          <w:color w:val="000000" w:themeColor="text1"/>
          <w:sz w:val="16"/>
          <w:szCs w:val="16"/>
        </w:rPr>
      </w:pPr>
    </w:p>
  </w:footnote>
  <w:footnote w:id="4">
    <w:p w14:paraId="5C59E562" w14:textId="77777777" w:rsidR="00CF70B3" w:rsidRDefault="00CF70B3" w:rsidP="00CF70B3">
      <w:pPr>
        <w:pStyle w:val="Textonotapie"/>
        <w:ind w:firstLine="709"/>
        <w:jc w:val="both"/>
        <w:rPr>
          <w:rStyle w:val="FontStyle23"/>
          <w:rFonts w:ascii="Verdana" w:hAnsi="Verdana" w:cs="Arial"/>
          <w:sz w:val="16"/>
          <w:szCs w:val="16"/>
          <w:lang w:val="es-ES_tradnl" w:eastAsia="es-ES_tradnl"/>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 xml:space="preserve">Consejo de Estado. Sala de Consulta y Servicio Civil. Concepto del 30 de enero de 1997. Consejero Ponente: Javier Henao Hidrón. Expediente: </w:t>
      </w:r>
      <w:r w:rsidRPr="00294702">
        <w:rPr>
          <w:rStyle w:val="FontStyle23"/>
          <w:rFonts w:ascii="Verdana" w:hAnsi="Verdana" w:cs="Arial"/>
          <w:sz w:val="16"/>
          <w:szCs w:val="16"/>
          <w:lang w:val="es-ES_tradnl" w:eastAsia="es-ES_tradnl"/>
        </w:rPr>
        <w:t>938.</w:t>
      </w:r>
    </w:p>
    <w:p w14:paraId="7FC1B844" w14:textId="77777777" w:rsidR="00CF70B3" w:rsidRPr="00294702" w:rsidRDefault="00CF70B3" w:rsidP="00CF70B3">
      <w:pPr>
        <w:pStyle w:val="Textonotapie"/>
        <w:ind w:firstLine="709"/>
        <w:jc w:val="both"/>
        <w:rPr>
          <w:rFonts w:ascii="Verdana" w:hAnsi="Verdana" w:cs="Arial"/>
          <w:sz w:val="16"/>
          <w:szCs w:val="16"/>
          <w:lang w:val="es-ES"/>
        </w:rPr>
      </w:pPr>
    </w:p>
  </w:footnote>
  <w:footnote w:id="5">
    <w:p w14:paraId="45C6F679" w14:textId="77777777" w:rsidR="00CF70B3" w:rsidRDefault="00CF70B3" w:rsidP="00CF70B3">
      <w:pPr>
        <w:pStyle w:val="Textonotapie"/>
        <w:ind w:firstLine="709"/>
        <w:jc w:val="both"/>
        <w:rPr>
          <w:rFonts w:ascii="Verdana" w:hAnsi="Verdana" w:cs="Arial"/>
          <w:sz w:val="16"/>
          <w:szCs w:val="16"/>
          <w:lang w:val="es-ES"/>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Ibíd.</w:t>
      </w:r>
    </w:p>
    <w:p w14:paraId="7CEA5DD7" w14:textId="77777777" w:rsidR="00CF70B3" w:rsidRPr="00294702" w:rsidRDefault="00CF70B3" w:rsidP="00CF70B3">
      <w:pPr>
        <w:pStyle w:val="Textonotapie"/>
        <w:ind w:firstLine="709"/>
        <w:jc w:val="both"/>
        <w:rPr>
          <w:rFonts w:ascii="Verdana" w:hAnsi="Verdana" w:cs="Arial"/>
          <w:sz w:val="16"/>
          <w:szCs w:val="16"/>
          <w:lang w:val="es-ES"/>
        </w:rPr>
      </w:pPr>
    </w:p>
  </w:footnote>
  <w:footnote w:id="6">
    <w:p w14:paraId="461EF1CC" w14:textId="77777777" w:rsidR="00CF70B3" w:rsidRPr="00294702" w:rsidRDefault="00CF70B3" w:rsidP="00CF70B3">
      <w:pPr>
        <w:pStyle w:val="Textonotapie"/>
        <w:ind w:firstLine="709"/>
        <w:jc w:val="both"/>
        <w:rPr>
          <w:rFonts w:ascii="Verdana" w:hAnsi="Verdana" w:cs="Arial"/>
          <w:sz w:val="16"/>
          <w:szCs w:val="16"/>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 xml:space="preserve">Consejo de Estado. Sala de Consulta y Servicio Civil. Concepto del 15 de diciembre de 2005. Consejero Ponente: Gustavo Aponte Santos. Expediente: </w:t>
      </w:r>
      <w:r w:rsidRPr="00294702">
        <w:rPr>
          <w:rFonts w:ascii="Verdana" w:hAnsi="Verdana" w:cs="Arial"/>
          <w:sz w:val="16"/>
          <w:szCs w:val="16"/>
        </w:rPr>
        <w:t>1706.</w:t>
      </w:r>
    </w:p>
    <w:p w14:paraId="2C2F0025" w14:textId="77777777" w:rsidR="00CF70B3" w:rsidRPr="00294702" w:rsidRDefault="00CF70B3" w:rsidP="00CF70B3">
      <w:pPr>
        <w:pStyle w:val="Textonotapie"/>
        <w:ind w:firstLine="709"/>
        <w:jc w:val="both"/>
        <w:rPr>
          <w:rFonts w:ascii="Verdana" w:hAnsi="Verdana" w:cs="Arial"/>
          <w:sz w:val="16"/>
          <w:szCs w:val="16"/>
          <w:lang w:val="es-ES"/>
        </w:rPr>
      </w:pPr>
    </w:p>
  </w:footnote>
  <w:footnote w:id="7">
    <w:p w14:paraId="22254789" w14:textId="77777777" w:rsidR="00CF70B3" w:rsidRPr="00294702" w:rsidRDefault="00CF70B3" w:rsidP="00CF70B3">
      <w:pPr>
        <w:pStyle w:val="Textonotapie"/>
        <w:ind w:firstLine="709"/>
        <w:jc w:val="both"/>
        <w:rPr>
          <w:rFonts w:ascii="Verdana" w:hAnsi="Verdana" w:cs="Arial"/>
          <w:sz w:val="16"/>
          <w:szCs w:val="16"/>
          <w:lang w:val="es-ES_tradnl"/>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 xml:space="preserve">Consejo de Estado. Sala de Consulta y Servicio Civil. Concepto del 17 de febrero de 2006. Consejero Ponente: Luis Fernando Álvarez Jaramillo. Expediente: </w:t>
      </w:r>
      <w:r w:rsidRPr="00294702">
        <w:rPr>
          <w:rFonts w:ascii="Verdana" w:hAnsi="Verdana" w:cs="Arial"/>
          <w:sz w:val="16"/>
          <w:szCs w:val="16"/>
          <w:lang w:val="es-ES_tradnl"/>
        </w:rPr>
        <w:t>1720.</w:t>
      </w:r>
    </w:p>
    <w:p w14:paraId="0B36202D" w14:textId="77777777" w:rsidR="00CF70B3" w:rsidRPr="00294702" w:rsidRDefault="00CF70B3" w:rsidP="00CF70B3">
      <w:pPr>
        <w:pStyle w:val="Textonotapie"/>
        <w:ind w:firstLine="709"/>
        <w:jc w:val="both"/>
        <w:rPr>
          <w:rFonts w:ascii="Verdana" w:hAnsi="Verdana" w:cs="Arial"/>
          <w:sz w:val="16"/>
          <w:szCs w:val="16"/>
          <w:lang w:val="es-ES"/>
        </w:rPr>
      </w:pPr>
    </w:p>
  </w:footnote>
  <w:footnote w:id="8">
    <w:p w14:paraId="367D03D0" w14:textId="77777777" w:rsidR="00CF70B3" w:rsidRPr="00294702" w:rsidRDefault="00CF70B3" w:rsidP="00CF70B3">
      <w:pPr>
        <w:pStyle w:val="Textonotapie"/>
        <w:ind w:firstLine="709"/>
        <w:jc w:val="both"/>
        <w:rPr>
          <w:rFonts w:ascii="Verdana" w:hAnsi="Verdana" w:cs="Arial"/>
          <w:sz w:val="16"/>
          <w:szCs w:val="16"/>
          <w:lang w:val="es-ES"/>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Ibíd.</w:t>
      </w:r>
    </w:p>
  </w:footnote>
  <w:footnote w:id="9">
    <w:p w14:paraId="75081581" w14:textId="77777777" w:rsidR="00CF70B3" w:rsidRDefault="00CF70B3" w:rsidP="00CF70B3">
      <w:pPr>
        <w:pStyle w:val="Textonotapie"/>
        <w:ind w:firstLine="709"/>
        <w:jc w:val="both"/>
        <w:rPr>
          <w:rFonts w:ascii="Verdana" w:hAnsi="Verdana" w:cs="Arial"/>
          <w:sz w:val="16"/>
          <w:szCs w:val="16"/>
        </w:rPr>
      </w:pPr>
      <w:r w:rsidRPr="00294702">
        <w:rPr>
          <w:rStyle w:val="Refdenotaalpie"/>
          <w:rFonts w:ascii="Verdana" w:hAnsi="Verdana"/>
          <w:sz w:val="16"/>
          <w:szCs w:val="16"/>
        </w:rPr>
        <w:footnoteRef/>
      </w:r>
      <w:r w:rsidRPr="00294702">
        <w:rPr>
          <w:rFonts w:ascii="Verdana" w:hAnsi="Verdana" w:cs="Arial"/>
          <w:sz w:val="16"/>
          <w:szCs w:val="16"/>
        </w:rPr>
        <w:t xml:space="preserve"> Consejo de Estado. Sala de Consulta y Servicio Civil. </w:t>
      </w:r>
      <w:r w:rsidRPr="00294702">
        <w:rPr>
          <w:rFonts w:ascii="Verdana" w:hAnsi="Verdana" w:cs="Arial"/>
          <w:sz w:val="16"/>
          <w:szCs w:val="16"/>
          <w:lang w:val="es-ES"/>
        </w:rPr>
        <w:t xml:space="preserve">Concepto del 2 de septiembre de 2013. Consejero Ponente: Álvaro Namén Vargas. Expediente: </w:t>
      </w:r>
      <w:r w:rsidRPr="00294702">
        <w:rPr>
          <w:rFonts w:ascii="Verdana" w:hAnsi="Verdana" w:cs="Arial"/>
          <w:sz w:val="16"/>
          <w:szCs w:val="16"/>
          <w:lang w:val="es-ES_tradnl"/>
        </w:rPr>
        <w:t>2168</w:t>
      </w:r>
      <w:r w:rsidRPr="00294702">
        <w:rPr>
          <w:rFonts w:ascii="Verdana" w:hAnsi="Verdana" w:cs="Arial"/>
          <w:sz w:val="16"/>
          <w:szCs w:val="16"/>
        </w:rPr>
        <w:t>.</w:t>
      </w:r>
    </w:p>
    <w:p w14:paraId="522DF8FD" w14:textId="77777777" w:rsidR="00CF70B3" w:rsidRPr="00294702" w:rsidRDefault="00CF70B3" w:rsidP="00CF70B3">
      <w:pPr>
        <w:pStyle w:val="Textonotapie"/>
        <w:ind w:firstLine="709"/>
        <w:jc w:val="both"/>
        <w:rPr>
          <w:rFonts w:ascii="Verdana" w:hAnsi="Verdana" w:cs="Arial"/>
          <w:sz w:val="16"/>
          <w:szCs w:val="16"/>
          <w:lang w:val="es-ES"/>
        </w:rPr>
      </w:pPr>
    </w:p>
  </w:footnote>
  <w:footnote w:id="10">
    <w:p w14:paraId="48B5D6F4" w14:textId="77777777" w:rsidR="00CF70B3" w:rsidRDefault="00CF70B3" w:rsidP="00CF70B3">
      <w:pPr>
        <w:pStyle w:val="Textonotapie"/>
        <w:ind w:firstLine="709"/>
        <w:jc w:val="both"/>
        <w:rPr>
          <w:rFonts w:ascii="Verdana" w:hAnsi="Verdana" w:cs="Arial"/>
          <w:sz w:val="16"/>
          <w:szCs w:val="16"/>
          <w:lang w:val="es-ES"/>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Ibíd.</w:t>
      </w:r>
    </w:p>
    <w:p w14:paraId="03042EB4" w14:textId="77777777" w:rsidR="00CF70B3" w:rsidRPr="00294702" w:rsidRDefault="00CF70B3" w:rsidP="00CF70B3">
      <w:pPr>
        <w:pStyle w:val="Textonotapie"/>
        <w:ind w:firstLine="709"/>
        <w:jc w:val="both"/>
        <w:rPr>
          <w:rFonts w:ascii="Verdana" w:hAnsi="Verdana" w:cs="Arial"/>
          <w:sz w:val="16"/>
          <w:szCs w:val="16"/>
          <w:lang w:val="es-ES"/>
        </w:rPr>
      </w:pPr>
    </w:p>
  </w:footnote>
  <w:footnote w:id="11">
    <w:p w14:paraId="52805D9F" w14:textId="77777777" w:rsidR="00CF70B3" w:rsidRDefault="00CF70B3" w:rsidP="00CF70B3">
      <w:pPr>
        <w:pStyle w:val="Textonotapie"/>
        <w:ind w:firstLine="709"/>
        <w:jc w:val="both"/>
        <w:rPr>
          <w:rFonts w:ascii="Verdana" w:hAnsi="Verdana" w:cs="Arial"/>
          <w:sz w:val="16"/>
          <w:szCs w:val="16"/>
        </w:rPr>
      </w:pPr>
      <w:r w:rsidRPr="00294702">
        <w:rPr>
          <w:rStyle w:val="Refdenotaalpie"/>
          <w:rFonts w:ascii="Verdana" w:hAnsi="Verdana"/>
          <w:sz w:val="16"/>
          <w:szCs w:val="16"/>
        </w:rPr>
        <w:footnoteRef/>
      </w:r>
      <w:r w:rsidRPr="00294702">
        <w:rPr>
          <w:rFonts w:ascii="Verdana" w:hAnsi="Verdana" w:cs="Arial"/>
          <w:sz w:val="16"/>
          <w:szCs w:val="16"/>
        </w:rPr>
        <w:t xml:space="preserve"> Consejo de Estado. Sección Tercera. Sentencia del 27 de marzo de 2008. Consejera Ponente: Ruth Stella Correa Palacio. Expediente: 29393. Esta tesis fue sostenida también en el auto del 16 de marzo de 2006, dentro del mismo proceso de la referencia. </w:t>
      </w:r>
    </w:p>
    <w:p w14:paraId="21947961" w14:textId="77777777" w:rsidR="00CF70B3" w:rsidRPr="00294702" w:rsidRDefault="00CF70B3" w:rsidP="00CF70B3">
      <w:pPr>
        <w:pStyle w:val="Textonotapie"/>
        <w:ind w:firstLine="709"/>
        <w:jc w:val="both"/>
        <w:rPr>
          <w:rFonts w:ascii="Verdana" w:hAnsi="Verdana" w:cs="Arial"/>
          <w:sz w:val="16"/>
          <w:szCs w:val="16"/>
          <w:lang w:val="es-ES"/>
        </w:rPr>
      </w:pPr>
    </w:p>
  </w:footnote>
  <w:footnote w:id="12">
    <w:p w14:paraId="580135D5" w14:textId="77777777" w:rsidR="00CF70B3" w:rsidRPr="00294702" w:rsidRDefault="00CF70B3" w:rsidP="00CF70B3">
      <w:pPr>
        <w:pStyle w:val="Textonotapie"/>
        <w:ind w:firstLine="709"/>
        <w:jc w:val="both"/>
        <w:rPr>
          <w:rFonts w:ascii="Verdana" w:hAnsi="Verdana" w:cs="Arial"/>
          <w:sz w:val="16"/>
          <w:szCs w:val="16"/>
        </w:rPr>
      </w:pPr>
      <w:r w:rsidRPr="00294702">
        <w:rPr>
          <w:rStyle w:val="Refdenotaalpie"/>
          <w:rFonts w:ascii="Verdana" w:hAnsi="Verdana"/>
          <w:sz w:val="16"/>
          <w:szCs w:val="16"/>
        </w:rPr>
        <w:footnoteRef/>
      </w:r>
      <w:r w:rsidRPr="00294702">
        <w:rPr>
          <w:rFonts w:ascii="Verdana" w:hAnsi="Verdana" w:cs="Arial"/>
          <w:sz w:val="16"/>
          <w:szCs w:val="16"/>
        </w:rPr>
        <w:t xml:space="preserve"> Consejo de Estado. Sección Tercera. Subsección C. Sentencia del 26 de julio de 2011. Consejero Ponente: Enrique Gil Botero. Expediente: </w:t>
      </w:r>
      <w:r w:rsidRPr="00294702">
        <w:rPr>
          <w:rFonts w:ascii="Verdana" w:hAnsi="Verdana" w:cs="Arial"/>
          <w:iCs/>
          <w:sz w:val="16"/>
          <w:szCs w:val="16"/>
        </w:rPr>
        <w:t>17661.</w:t>
      </w:r>
      <w:r w:rsidRPr="00294702">
        <w:rPr>
          <w:rFonts w:ascii="Verdana" w:hAnsi="Verdana" w:cs="Arial"/>
          <w:sz w:val="16"/>
          <w:szCs w:val="16"/>
        </w:rPr>
        <w:t xml:space="preserve"> </w:t>
      </w:r>
    </w:p>
    <w:p w14:paraId="417B240A" w14:textId="77777777" w:rsidR="00CF70B3" w:rsidRPr="00294702" w:rsidRDefault="00CF70B3" w:rsidP="00CF70B3">
      <w:pPr>
        <w:pStyle w:val="Textonotapie"/>
        <w:ind w:firstLine="709"/>
        <w:jc w:val="both"/>
        <w:rPr>
          <w:rFonts w:ascii="Verdana" w:hAnsi="Verdana" w:cs="Arial"/>
          <w:sz w:val="16"/>
          <w:szCs w:val="16"/>
          <w:lang w:val="es-ES"/>
        </w:rPr>
      </w:pPr>
    </w:p>
  </w:footnote>
  <w:footnote w:id="13">
    <w:p w14:paraId="2C22708C" w14:textId="77777777" w:rsidR="00CF70B3" w:rsidRDefault="00CF70B3" w:rsidP="00CF70B3">
      <w:pPr>
        <w:pStyle w:val="Textonotapie"/>
        <w:ind w:firstLine="709"/>
        <w:jc w:val="both"/>
        <w:rPr>
          <w:rFonts w:ascii="Verdana" w:hAnsi="Verdana" w:cs="Arial"/>
          <w:spacing w:val="4"/>
          <w:sz w:val="16"/>
          <w:szCs w:val="16"/>
          <w:lang w:val="es-ES_tradnl"/>
        </w:rPr>
      </w:pPr>
      <w:r w:rsidRPr="00294702">
        <w:rPr>
          <w:rStyle w:val="Refdenotaalpie"/>
          <w:rFonts w:ascii="Verdana" w:hAnsi="Verdana"/>
          <w:sz w:val="16"/>
          <w:szCs w:val="16"/>
        </w:rPr>
        <w:footnoteRef/>
      </w:r>
      <w:r w:rsidRPr="00294702">
        <w:rPr>
          <w:rFonts w:ascii="Verdana" w:hAnsi="Verdana" w:cs="Arial"/>
          <w:sz w:val="16"/>
          <w:szCs w:val="16"/>
        </w:rPr>
        <w:t xml:space="preserve"> </w:t>
      </w:r>
      <w:r w:rsidRPr="00294702">
        <w:rPr>
          <w:rFonts w:ascii="Verdana" w:hAnsi="Verdana" w:cs="Arial"/>
          <w:sz w:val="16"/>
          <w:szCs w:val="16"/>
          <w:lang w:val="es-ES"/>
        </w:rPr>
        <w:t xml:space="preserve">Consejo de Estado. Sección Tercera. Sala Plena. Sentencia del 23 de julio de 2015. Consejero Ponente: Hernán Andrade Rincón. Expediente: </w:t>
      </w:r>
      <w:r w:rsidRPr="00294702">
        <w:rPr>
          <w:rFonts w:ascii="Verdana" w:hAnsi="Verdana" w:cs="Arial"/>
          <w:spacing w:val="4"/>
          <w:sz w:val="16"/>
          <w:szCs w:val="16"/>
          <w:lang w:val="es-ES_tradnl"/>
        </w:rPr>
        <w:t>36805.</w:t>
      </w:r>
    </w:p>
    <w:p w14:paraId="40446754" w14:textId="77777777" w:rsidR="00CF70B3" w:rsidRPr="00294702" w:rsidRDefault="00CF70B3" w:rsidP="00CF70B3">
      <w:pPr>
        <w:pStyle w:val="Textonotapie"/>
        <w:ind w:firstLine="709"/>
        <w:jc w:val="both"/>
        <w:rPr>
          <w:rFonts w:ascii="Verdana" w:hAnsi="Verdana"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274093637"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575965576" name="Imagen 1575965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44CFDE61"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45pt;height:12.4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81A8A056"/>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31BE"/>
    <w:rsid w:val="00082362"/>
    <w:rsid w:val="000A683E"/>
    <w:rsid w:val="000B19B9"/>
    <w:rsid w:val="000D0334"/>
    <w:rsid w:val="000D5DA7"/>
    <w:rsid w:val="000F6486"/>
    <w:rsid w:val="00116940"/>
    <w:rsid w:val="00125105"/>
    <w:rsid w:val="00127233"/>
    <w:rsid w:val="0015699B"/>
    <w:rsid w:val="00167CC2"/>
    <w:rsid w:val="001A33BF"/>
    <w:rsid w:val="001E4177"/>
    <w:rsid w:val="001E55C0"/>
    <w:rsid w:val="001F0B24"/>
    <w:rsid w:val="001F7DC6"/>
    <w:rsid w:val="0022400B"/>
    <w:rsid w:val="002270D0"/>
    <w:rsid w:val="002421BB"/>
    <w:rsid w:val="0025796E"/>
    <w:rsid w:val="002707A2"/>
    <w:rsid w:val="002951A0"/>
    <w:rsid w:val="002962BC"/>
    <w:rsid w:val="002A093D"/>
    <w:rsid w:val="002A0DD0"/>
    <w:rsid w:val="002A49AC"/>
    <w:rsid w:val="002A5627"/>
    <w:rsid w:val="002A64FD"/>
    <w:rsid w:val="002C7A84"/>
    <w:rsid w:val="002E2BF8"/>
    <w:rsid w:val="002E4FD9"/>
    <w:rsid w:val="0030657A"/>
    <w:rsid w:val="003138F0"/>
    <w:rsid w:val="00316266"/>
    <w:rsid w:val="00322A85"/>
    <w:rsid w:val="00324168"/>
    <w:rsid w:val="00330834"/>
    <w:rsid w:val="003448F4"/>
    <w:rsid w:val="00374F5E"/>
    <w:rsid w:val="00377E3E"/>
    <w:rsid w:val="003A6EDC"/>
    <w:rsid w:val="003A779E"/>
    <w:rsid w:val="003D0F4D"/>
    <w:rsid w:val="003D5B0D"/>
    <w:rsid w:val="003E0499"/>
    <w:rsid w:val="003E4F80"/>
    <w:rsid w:val="003E6439"/>
    <w:rsid w:val="003F3941"/>
    <w:rsid w:val="00406575"/>
    <w:rsid w:val="00414C74"/>
    <w:rsid w:val="00426CDB"/>
    <w:rsid w:val="0042722E"/>
    <w:rsid w:val="0044528D"/>
    <w:rsid w:val="00466E39"/>
    <w:rsid w:val="00475B2C"/>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756A4"/>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35B68"/>
    <w:rsid w:val="00844AE9"/>
    <w:rsid w:val="00867F95"/>
    <w:rsid w:val="008843B6"/>
    <w:rsid w:val="00891928"/>
    <w:rsid w:val="008A446D"/>
    <w:rsid w:val="008B25F1"/>
    <w:rsid w:val="008D180B"/>
    <w:rsid w:val="008F0EA7"/>
    <w:rsid w:val="00923EEF"/>
    <w:rsid w:val="009419F9"/>
    <w:rsid w:val="0095685E"/>
    <w:rsid w:val="00961B09"/>
    <w:rsid w:val="0096246B"/>
    <w:rsid w:val="00965334"/>
    <w:rsid w:val="0097093E"/>
    <w:rsid w:val="009807D2"/>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36A6D"/>
    <w:rsid w:val="00AB0ADB"/>
    <w:rsid w:val="00AB1FBC"/>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53D"/>
    <w:rsid w:val="00C5365C"/>
    <w:rsid w:val="00C754BE"/>
    <w:rsid w:val="00C76B1C"/>
    <w:rsid w:val="00C925AC"/>
    <w:rsid w:val="00CB6357"/>
    <w:rsid w:val="00CC1B26"/>
    <w:rsid w:val="00CF70B3"/>
    <w:rsid w:val="00D361FD"/>
    <w:rsid w:val="00D423A2"/>
    <w:rsid w:val="00D44E26"/>
    <w:rsid w:val="00D520D8"/>
    <w:rsid w:val="00D63AC2"/>
    <w:rsid w:val="00D7383B"/>
    <w:rsid w:val="00D7788A"/>
    <w:rsid w:val="00D92CDD"/>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B7F6F"/>
    <w:rsid w:val="00EC38A7"/>
    <w:rsid w:val="00EE1AA8"/>
    <w:rsid w:val="00F17829"/>
    <w:rsid w:val="00F23FEA"/>
    <w:rsid w:val="00F31EDC"/>
    <w:rsid w:val="00F462B3"/>
    <w:rsid w:val="00F5664F"/>
    <w:rsid w:val="00F666C4"/>
    <w:rsid w:val="00F76AFC"/>
    <w:rsid w:val="00F96BE4"/>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909DF4"/>
    <w:rsid w:val="2EE1E026"/>
    <w:rsid w:val="2F44F38F"/>
    <w:rsid w:val="30821638"/>
    <w:rsid w:val="32A4F9CF"/>
    <w:rsid w:val="33A1FF93"/>
    <w:rsid w:val="356CEDFD"/>
    <w:rsid w:val="3C591AFD"/>
    <w:rsid w:val="42183F0A"/>
    <w:rsid w:val="545B112A"/>
    <w:rsid w:val="5B0D9258"/>
    <w:rsid w:val="5BEB1497"/>
    <w:rsid w:val="62465D3B"/>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Textoindependiente">
    <w:name w:val="Body Text"/>
    <w:basedOn w:val="Normal"/>
    <w:link w:val="TextoindependienteCar"/>
    <w:uiPriority w:val="1"/>
    <w:unhideWhenUsed/>
    <w:qFormat/>
    <w:rsid w:val="00CF70B3"/>
    <w:pPr>
      <w:spacing w:after="120"/>
    </w:pPr>
  </w:style>
  <w:style w:type="character" w:customStyle="1" w:styleId="TextoindependienteCar">
    <w:name w:val="Texto independiente Car"/>
    <w:basedOn w:val="Fuentedeprrafopredeter"/>
    <w:link w:val="Textoindependiente"/>
    <w:uiPriority w:val="1"/>
    <w:rsid w:val="00CF70B3"/>
  </w:style>
  <w:style w:type="character" w:styleId="Refdecomentario">
    <w:name w:val="annotation reference"/>
    <w:basedOn w:val="Fuentedeprrafopredeter"/>
    <w:uiPriority w:val="99"/>
    <w:semiHidden/>
    <w:unhideWhenUsed/>
    <w:rsid w:val="00CF70B3"/>
    <w:rPr>
      <w:sz w:val="16"/>
      <w:szCs w:val="16"/>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F70B3"/>
    <w:rPr>
      <w:rFonts w:ascii="Geomanist Light" w:hAnsi="Geomanist Light"/>
      <w:lang w:val="es-ES"/>
    </w:rPr>
  </w:style>
  <w:style w:type="paragraph" w:customStyle="1" w:styleId="Appelnotedebasde">
    <w:name w:val="Appel note de bas de..."/>
    <w:basedOn w:val="Normal"/>
    <w:link w:val="Refdenotaalpie"/>
    <w:uiPriority w:val="99"/>
    <w:rsid w:val="00CF70B3"/>
    <w:pPr>
      <w:spacing w:line="240" w:lineRule="exact"/>
    </w:pPr>
    <w:rPr>
      <w:vertAlign w:val="superscript"/>
    </w:rPr>
  </w:style>
  <w:style w:type="character" w:customStyle="1" w:styleId="FontStyle23">
    <w:name w:val="Font Style23"/>
    <w:basedOn w:val="Fuentedeprrafopredeter"/>
    <w:rsid w:val="00CF70B3"/>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emf"/><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E704392C-E713-421C-9E58-566FE2FB0A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30</Pages>
  <Words>11394</Words>
  <Characters>62667</Characters>
  <Application>Microsoft Office Word</Application>
  <DocSecurity>0</DocSecurity>
  <Lines>522</Lines>
  <Paragraphs>147</Paragraphs>
  <ScaleCrop>false</ScaleCrop>
  <Company/>
  <LinksUpToDate>false</LinksUpToDate>
  <CharactersWithSpaces>73914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3</cp:revision>
  <cp:lastPrinted>2023-01-10T21:18:00Z</cp:lastPrinted>
  <dcterms:created xsi:type="dcterms:W3CDTF">2026-06-18T19:48:00Z</dcterms:created>
  <dcterms:modified xsi:type="dcterms:W3CDTF">2026-06-18T19:50:00Z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