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F23F7" w14:textId="77777777" w:rsidR="00635F22" w:rsidRDefault="00635F22" w:rsidP="00635F22">
      <w:pPr>
        <w:spacing w:after="0" w:line="240" w:lineRule="auto"/>
        <w:jc w:val="both"/>
        <w:rPr>
          <w:rFonts w:ascii="Verdana" w:eastAsia="Verdana" w:hAnsi="Verdana" w:cs="Verdana"/>
          <w:b/>
          <w:bCs/>
        </w:rPr>
      </w:pPr>
      <w:bookmarkStart w:id="0" w:name="_Hlk143780582"/>
      <w:r w:rsidRPr="00635F22">
        <w:rPr>
          <w:rFonts w:ascii="Verdana" w:eastAsia="Verdana" w:hAnsi="Verdana" w:cs="Verdana"/>
          <w:b/>
          <w:bCs/>
        </w:rPr>
        <w:t>DETERMINACIÓN DEL VALOR DEL CONTRATO – Planeación – Metodologías aplicables</w:t>
      </w:r>
    </w:p>
    <w:p w14:paraId="16AC1934" w14:textId="77777777" w:rsidR="00635F22" w:rsidRPr="00635F22" w:rsidRDefault="00635F22" w:rsidP="00635F22">
      <w:pPr>
        <w:spacing w:after="0" w:line="240" w:lineRule="auto"/>
        <w:jc w:val="both"/>
        <w:rPr>
          <w:rFonts w:ascii="Verdana" w:eastAsia="Verdana" w:hAnsi="Verdana" w:cs="Verdana"/>
        </w:rPr>
      </w:pPr>
    </w:p>
    <w:p w14:paraId="3173B5FD"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w:t>
      </w:r>
    </w:p>
    <w:p w14:paraId="76F3A5A2" w14:textId="77777777" w:rsidR="00635F22" w:rsidRPr="00635F22" w:rsidRDefault="00635F22" w:rsidP="00635F22">
      <w:pPr>
        <w:spacing w:after="0" w:line="240" w:lineRule="auto"/>
        <w:jc w:val="both"/>
        <w:rPr>
          <w:rFonts w:ascii="Verdana" w:eastAsia="Verdana" w:hAnsi="Verdana" w:cs="Verdana"/>
          <w:sz w:val="20"/>
          <w:szCs w:val="20"/>
        </w:rPr>
      </w:pPr>
    </w:p>
    <w:p w14:paraId="3F197D08"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w:t>
      </w:r>
    </w:p>
    <w:p w14:paraId="02E30023" w14:textId="77777777" w:rsidR="00635F22" w:rsidRPr="00635F22" w:rsidRDefault="00635F22" w:rsidP="00635F22">
      <w:pPr>
        <w:spacing w:after="0" w:line="240" w:lineRule="auto"/>
        <w:jc w:val="both"/>
        <w:rPr>
          <w:rFonts w:ascii="Verdana" w:eastAsia="Verdana" w:hAnsi="Verdana" w:cs="Verdana"/>
          <w:sz w:val="20"/>
          <w:szCs w:val="20"/>
        </w:rPr>
      </w:pPr>
    </w:p>
    <w:p w14:paraId="4FDE78BE"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 En ese orden de ideas, no hay una sola metodología para pactar el precio […] Dentro de tales esquemas de establecimiento del precio son comunes: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61CB3CA0" w14:textId="77777777" w:rsidR="00635F22" w:rsidRPr="00635F22" w:rsidRDefault="00635F22" w:rsidP="00635F22">
      <w:pPr>
        <w:spacing w:after="0" w:line="240" w:lineRule="auto"/>
        <w:jc w:val="both"/>
        <w:rPr>
          <w:rFonts w:ascii="Verdana" w:eastAsia="Verdana" w:hAnsi="Verdana" w:cs="Verdana"/>
        </w:rPr>
      </w:pPr>
    </w:p>
    <w:p w14:paraId="24CAECE3" w14:textId="77777777" w:rsidR="00635F22" w:rsidRDefault="00635F22" w:rsidP="00635F22">
      <w:pPr>
        <w:spacing w:after="0" w:line="240" w:lineRule="auto"/>
        <w:jc w:val="both"/>
        <w:rPr>
          <w:rFonts w:ascii="Verdana" w:eastAsia="Verdana" w:hAnsi="Verdana" w:cs="Verdana"/>
          <w:b/>
          <w:bCs/>
        </w:rPr>
      </w:pPr>
      <w:r w:rsidRPr="00635F22">
        <w:rPr>
          <w:rFonts w:ascii="Verdana" w:eastAsia="Verdana" w:hAnsi="Verdana" w:cs="Verdana"/>
          <w:b/>
          <w:bCs/>
        </w:rPr>
        <w:t>SISTEMAS DE PRECIOS UNITARIOS – Noción – Costos directos e indirectos – APU – AIU</w:t>
      </w:r>
    </w:p>
    <w:p w14:paraId="06D9975F" w14:textId="77777777" w:rsidR="00635F22" w:rsidRPr="00635F22" w:rsidRDefault="00635F22" w:rsidP="00635F22">
      <w:pPr>
        <w:spacing w:after="0" w:line="240" w:lineRule="auto"/>
        <w:jc w:val="both"/>
        <w:rPr>
          <w:rFonts w:ascii="Verdana" w:eastAsia="Verdana" w:hAnsi="Verdana" w:cs="Verdana"/>
          <w:sz w:val="20"/>
          <w:szCs w:val="20"/>
        </w:rPr>
      </w:pPr>
    </w:p>
    <w:p w14:paraId="17EE8E78"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En los contratos cuyo precio se estructura a partir del sistema de precios unitarios, ha hecho parte de la práctica de los negocios que el contratante le solicite al potencial contratista que separe en su propuesta los costos directos de los indirectos. Los primeros se refieren a los que están directamente implicados en la ejecución del objeto contractual; mientras que, los segundos equivalen a los rubros que no guardan relación inmediata con la ejecución de las actividades contractuales, pero que hacen parte del precio, bien sea porque constituyen erogaciones administrativas o contingentes para el contratista, o porque se destinan a salvaguardar su ganancia.</w:t>
      </w:r>
    </w:p>
    <w:p w14:paraId="35DC4871"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En tal sentido, mientras que los costos directos se evidencian en el Análisis de Precios Unitarios (APU) como la sumatoria de los valores de los ítems según su unidad de medida; los costos indirectos agrupan las variables que integran el acrónimo AIU, es decir: Administración, Imprevistos y Utilidad, los cuales se calculan como un porcentaje aplicado a los costos directos.</w:t>
      </w:r>
    </w:p>
    <w:p w14:paraId="2285D50C" w14:textId="77777777" w:rsidR="00635F22" w:rsidRPr="00635F22" w:rsidRDefault="00635F22" w:rsidP="00635F22">
      <w:pPr>
        <w:spacing w:after="0" w:line="240" w:lineRule="auto"/>
        <w:jc w:val="both"/>
        <w:rPr>
          <w:rFonts w:ascii="Verdana" w:eastAsia="Verdana" w:hAnsi="Verdana" w:cs="Verdana"/>
        </w:rPr>
      </w:pPr>
    </w:p>
    <w:p w14:paraId="5ED3EF64" w14:textId="4BEC3837" w:rsidR="00635F22" w:rsidRDefault="00635F22" w:rsidP="00635F22">
      <w:pPr>
        <w:spacing w:after="0" w:line="240" w:lineRule="auto"/>
        <w:jc w:val="both"/>
        <w:rPr>
          <w:rFonts w:ascii="Verdana" w:eastAsia="Verdana" w:hAnsi="Verdana" w:cs="Verdana"/>
          <w:b/>
          <w:bCs/>
        </w:rPr>
      </w:pPr>
      <w:r w:rsidRPr="00635F22">
        <w:rPr>
          <w:rFonts w:ascii="Verdana" w:eastAsia="Verdana" w:hAnsi="Verdana" w:cs="Verdana"/>
          <w:b/>
          <w:bCs/>
        </w:rPr>
        <w:t xml:space="preserve">AIU </w:t>
      </w:r>
      <w:r w:rsidR="00742543" w:rsidRPr="00742543">
        <w:rPr>
          <w:rFonts w:ascii="Verdana" w:eastAsia="Verdana" w:hAnsi="Verdana" w:cs="Verdana"/>
          <w:b/>
          <w:bCs/>
          <w:lang w:val="es-ES"/>
        </w:rPr>
        <w:t>–</w:t>
      </w:r>
      <w:r w:rsidRPr="00635F22">
        <w:rPr>
          <w:rFonts w:ascii="Verdana" w:eastAsia="Verdana" w:hAnsi="Verdana" w:cs="Verdana"/>
          <w:b/>
          <w:bCs/>
        </w:rPr>
        <w:t xml:space="preserve"> Administración, imprevistos y utilidad – Discrecionalidad</w:t>
      </w:r>
    </w:p>
    <w:p w14:paraId="6FCA87EC" w14:textId="77777777" w:rsidR="00635F22" w:rsidRPr="00635F22" w:rsidRDefault="00635F22" w:rsidP="00635F22">
      <w:pPr>
        <w:spacing w:after="0" w:line="240" w:lineRule="auto"/>
        <w:jc w:val="both"/>
        <w:rPr>
          <w:rFonts w:ascii="Verdana" w:eastAsia="Verdana" w:hAnsi="Verdana" w:cs="Verdana"/>
        </w:rPr>
      </w:pPr>
    </w:p>
    <w:p w14:paraId="0393AF17" w14:textId="77777777" w:rsidR="00635F22" w:rsidRPr="00635F22" w:rsidRDefault="00635F22" w:rsidP="00635F22">
      <w:pPr>
        <w:spacing w:after="0" w:line="240" w:lineRule="auto"/>
        <w:jc w:val="both"/>
        <w:rPr>
          <w:rFonts w:ascii="Verdana" w:eastAsia="Verdana" w:hAnsi="Verdana" w:cs="Verdana"/>
          <w:sz w:val="20"/>
          <w:szCs w:val="20"/>
        </w:rPr>
      </w:pPr>
      <w:r w:rsidRPr="00635F22">
        <w:rPr>
          <w:rFonts w:ascii="Verdana" w:eastAsia="Verdana" w:hAnsi="Verdana" w:cs="Verdana"/>
          <w:sz w:val="20"/>
          <w:szCs w:val="20"/>
        </w:rPr>
        <w:t xml:space="preserve">[…] Tanto las entidades sometidas al EGAP – Estatuto General de Contratación de la Administración Pública -, como las excluidas de este, es decir, las que tienen un régimen especial, gozan de autonomía para configurar el precio y para establecer el sistema de pago propicio para satisfacer los fines de la contratación, siempre que se adhiera a los límites previstos en el ordenamiento. En esa perspectiva, es discrecional establecer en el contrato o en el pliego de condiciones (o su documento equivalente), el sistema de precios unitarios y la figura de AIU. Por ende, esta decisión debe obedecer a un riguroso análisis de oportunidad y conveniencia, que consulte las reglas de la experiencia, así </w:t>
      </w:r>
      <w:r w:rsidRPr="00635F22">
        <w:rPr>
          <w:rFonts w:ascii="Verdana" w:eastAsia="Verdana" w:hAnsi="Verdana" w:cs="Verdana"/>
          <w:sz w:val="20"/>
          <w:szCs w:val="20"/>
        </w:rPr>
        <w:lastRenderedPageBreak/>
        <w:t>como los aspectos particulares de cada negocio, en armonía con la garantía de los principios de la función administrativa y de la gestión fiscal, dentro de los cuales se halla el principio de economía, postulado que exige la optimización de los recursos públicos.</w:t>
      </w:r>
    </w:p>
    <w:p w14:paraId="4CC35BD7" w14:textId="77777777" w:rsidR="005C0233" w:rsidRDefault="005C0233" w:rsidP="005A4B8D">
      <w:pPr>
        <w:spacing w:after="0" w:line="240" w:lineRule="auto"/>
        <w:jc w:val="both"/>
        <w:rPr>
          <w:rFonts w:ascii="Verdana" w:eastAsia="Verdana" w:hAnsi="Verdana" w:cs="Verdana"/>
        </w:rPr>
      </w:pPr>
    </w:p>
    <w:p w14:paraId="1150C670" w14:textId="77777777" w:rsidR="005C0233" w:rsidRDefault="005C0233" w:rsidP="005C0233">
      <w:pPr>
        <w:jc w:val="both"/>
        <w:rPr>
          <w:rFonts w:ascii="Verdana" w:eastAsia="Verdana" w:hAnsi="Verdana" w:cs="Verdana"/>
        </w:rPr>
      </w:pPr>
      <w:r>
        <w:rPr>
          <w:rFonts w:ascii="Verdana" w:eastAsia="Verdana" w:hAnsi="Verdana" w:cs="Verdana"/>
        </w:rPr>
        <w:br w:type="page"/>
      </w:r>
    </w:p>
    <w:p w14:paraId="79AD1CD5" w14:textId="374EB50F" w:rsidR="005A4B8D" w:rsidRDefault="00742543" w:rsidP="005A4B8D">
      <w:pPr>
        <w:spacing w:after="0" w:line="240" w:lineRule="auto"/>
        <w:jc w:val="both"/>
        <w:rPr>
          <w:rFonts w:ascii="Verdana" w:eastAsia="Verdana" w:hAnsi="Verdana" w:cs="Verdana"/>
        </w:rPr>
      </w:pPr>
      <w:r w:rsidRPr="004F6751">
        <w:rPr>
          <w:rFonts w:ascii="Verdana" w:hAnsi="Verdana"/>
          <w:noProof/>
        </w:rPr>
        <w:lastRenderedPageBreak/>
        <w:drawing>
          <wp:anchor distT="0" distB="0" distL="114300" distR="114300" simplePos="0" relativeHeight="251658240" behindDoc="0" locked="0" layoutInCell="1" allowOverlap="1" wp14:anchorId="0CFAED3C" wp14:editId="6184C349">
            <wp:simplePos x="0" y="0"/>
            <wp:positionH relativeFrom="margin">
              <wp:align>right</wp:align>
            </wp:positionH>
            <wp:positionV relativeFrom="paragraph">
              <wp:posOffset>168275</wp:posOffset>
            </wp:positionV>
            <wp:extent cx="2466975" cy="770890"/>
            <wp:effectExtent l="0" t="0" r="9525" b="0"/>
            <wp:wrapSquare wrapText="bothSides"/>
            <wp:docPr id="17261314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131462" name=""/>
                    <pic:cNvPicPr/>
                  </pic:nvPicPr>
                  <pic:blipFill>
                    <a:blip r:embed="rId10">
                      <a:extLst>
                        <a:ext uri="{28A0092B-C50C-407E-A947-70E740481C1C}">
                          <a14:useLocalDpi xmlns:a14="http://schemas.microsoft.com/office/drawing/2010/main" val="0"/>
                        </a:ext>
                      </a:extLst>
                    </a:blip>
                    <a:stretch>
                      <a:fillRect/>
                    </a:stretch>
                  </pic:blipFill>
                  <pic:spPr>
                    <a:xfrm>
                      <a:off x="0" y="0"/>
                      <a:ext cx="2466975" cy="770890"/>
                    </a:xfrm>
                    <a:prstGeom prst="rect">
                      <a:avLst/>
                    </a:prstGeom>
                  </pic:spPr>
                </pic:pic>
              </a:graphicData>
            </a:graphic>
            <wp14:sizeRelV relativeFrom="margin">
              <wp14:pctHeight>0</wp14:pctHeight>
            </wp14:sizeRelV>
          </wp:anchor>
        </w:drawing>
      </w:r>
      <w:r w:rsidR="00C15139" w:rsidRPr="007C3265">
        <w:rPr>
          <w:rFonts w:ascii="Verdana" w:eastAsia="Verdana" w:hAnsi="Verdana" w:cs="Verdana"/>
        </w:rPr>
        <w:t xml:space="preserve">Bogotá D.C., </w:t>
      </w:r>
      <w:r w:rsidR="00692247">
        <w:rPr>
          <w:rFonts w:ascii="Verdana" w:eastAsia="Verdana" w:hAnsi="Verdana" w:cs="Verdana"/>
        </w:rPr>
        <w:t xml:space="preserve">11 </w:t>
      </w:r>
      <w:r>
        <w:rPr>
          <w:rFonts w:ascii="Verdana" w:eastAsia="Verdana" w:hAnsi="Verdana" w:cs="Verdana"/>
        </w:rPr>
        <w:t>junio</w:t>
      </w:r>
      <w:r w:rsidR="00692247">
        <w:rPr>
          <w:rFonts w:ascii="Verdana" w:eastAsia="Verdana" w:hAnsi="Verdana" w:cs="Verdana"/>
        </w:rPr>
        <w:t xml:space="preserve"> 2026</w:t>
      </w:r>
    </w:p>
    <w:p w14:paraId="1468C46D" w14:textId="070DCBC3" w:rsidR="00C15139" w:rsidRPr="007C3265" w:rsidRDefault="00C15139" w:rsidP="005A4B8D">
      <w:pPr>
        <w:spacing w:after="0" w:line="240" w:lineRule="auto"/>
        <w:jc w:val="right"/>
        <w:rPr>
          <w:rFonts w:ascii="Verdana" w:eastAsia="Verdana" w:hAnsi="Verdana" w:cs="Verdana"/>
        </w:rPr>
      </w:pPr>
      <w:r w:rsidRPr="004C3A77">
        <w:rPr>
          <w:rFonts w:ascii="Verdana" w:hAnsi="Verdana"/>
        </w:rPr>
        <w:tab/>
      </w:r>
    </w:p>
    <w:p w14:paraId="1DFD55BD" w14:textId="77777777" w:rsidR="00FB5E9D" w:rsidRPr="007C3265" w:rsidRDefault="00FB5E9D" w:rsidP="007C3265">
      <w:pPr>
        <w:spacing w:after="0" w:line="240" w:lineRule="auto"/>
        <w:jc w:val="both"/>
        <w:rPr>
          <w:rFonts w:ascii="Verdana" w:eastAsia="Calibri" w:hAnsi="Verdana" w:cs="Arial"/>
          <w:b/>
          <w:bCs/>
          <w:lang w:val="es-ES" w:eastAsia="es-ES"/>
        </w:rPr>
      </w:pPr>
      <w:r w:rsidRPr="007C3265">
        <w:rPr>
          <w:rFonts w:ascii="Verdana" w:eastAsia="Calibri" w:hAnsi="Verdana" w:cs="Arial"/>
          <w:b/>
          <w:bCs/>
          <w:lang w:val="es-ES" w:eastAsia="es-ES"/>
        </w:rPr>
        <w:t>Señor</w:t>
      </w:r>
    </w:p>
    <w:p w14:paraId="1ACEFFB7" w14:textId="77777777" w:rsidR="00FB5E9D" w:rsidRPr="007C3265" w:rsidRDefault="00FB5E9D" w:rsidP="007C3265">
      <w:pPr>
        <w:spacing w:after="0" w:line="240" w:lineRule="auto"/>
        <w:jc w:val="both"/>
        <w:rPr>
          <w:rFonts w:ascii="Verdana" w:eastAsia="Calibri" w:hAnsi="Verdana" w:cs="Arial"/>
          <w:b/>
          <w:bCs/>
          <w:lang w:val="es-ES" w:eastAsia="es-ES"/>
        </w:rPr>
      </w:pPr>
      <w:r w:rsidRPr="007C3265">
        <w:rPr>
          <w:rFonts w:ascii="Verdana" w:eastAsia="Calibri" w:hAnsi="Verdana" w:cs="Arial"/>
          <w:b/>
          <w:bCs/>
          <w:lang w:val="es-ES" w:eastAsia="es-ES"/>
        </w:rPr>
        <w:t>Yonathan Arnoldo Blandón Castaño</w:t>
      </w:r>
    </w:p>
    <w:p w14:paraId="1234D0F9" w14:textId="77777777" w:rsidR="00FB5E9D" w:rsidRPr="007C3265" w:rsidRDefault="00FB5E9D" w:rsidP="007C3265">
      <w:pPr>
        <w:spacing w:after="0" w:line="240" w:lineRule="auto"/>
        <w:jc w:val="both"/>
        <w:rPr>
          <w:rFonts w:ascii="Verdana" w:eastAsia="Calibri" w:hAnsi="Verdana" w:cs="Arial"/>
          <w:b/>
          <w:bCs/>
          <w:lang w:val="es-ES" w:eastAsia="es-ES"/>
        </w:rPr>
      </w:pPr>
      <w:proofErr w:type="spellStart"/>
      <w:r w:rsidRPr="007C3265">
        <w:rPr>
          <w:rFonts w:ascii="Verdana" w:eastAsia="Calibri" w:hAnsi="Verdana" w:cs="Arial"/>
          <w:b/>
          <w:bCs/>
          <w:lang w:val="es-ES" w:eastAsia="es-ES"/>
        </w:rPr>
        <w:t>Nauf</w:t>
      </w:r>
      <w:proofErr w:type="spellEnd"/>
      <w:r w:rsidRPr="007C3265">
        <w:rPr>
          <w:rFonts w:ascii="Verdana" w:eastAsia="Calibri" w:hAnsi="Verdana" w:cs="Arial"/>
          <w:b/>
          <w:bCs/>
          <w:lang w:val="es-ES" w:eastAsia="es-ES"/>
        </w:rPr>
        <w:t xml:space="preserve"> Soluciones SAS</w:t>
      </w:r>
    </w:p>
    <w:p w14:paraId="0F418A7F" w14:textId="77777777" w:rsidR="00FB5E9D" w:rsidRPr="007C3265" w:rsidRDefault="00FB5E9D" w:rsidP="007C3265">
      <w:pPr>
        <w:spacing w:after="0" w:line="240" w:lineRule="auto"/>
        <w:jc w:val="both"/>
        <w:rPr>
          <w:rFonts w:ascii="Verdana" w:eastAsia="Calibri" w:hAnsi="Verdana" w:cs="Arial"/>
          <w:b/>
          <w:bCs/>
          <w:lang w:val="es-ES" w:eastAsia="es-ES"/>
        </w:rPr>
      </w:pPr>
      <w:hyperlink r:id="rId11" w:history="1">
        <w:r w:rsidRPr="007C3265">
          <w:rPr>
            <w:rStyle w:val="Hipervnculo"/>
            <w:rFonts w:ascii="Verdana" w:eastAsia="Calibri" w:hAnsi="Verdana" w:cs="Arial"/>
            <w:b/>
            <w:bCs/>
            <w:lang w:val="es-ES" w:eastAsia="es-ES"/>
          </w:rPr>
          <w:t>Yonathanblandon97@gmail.com</w:t>
        </w:r>
      </w:hyperlink>
      <w:r w:rsidRPr="007C3265">
        <w:rPr>
          <w:rFonts w:ascii="Verdana" w:eastAsia="Calibri" w:hAnsi="Verdana" w:cs="Arial"/>
          <w:b/>
          <w:bCs/>
          <w:lang w:val="es-ES" w:eastAsia="es-ES"/>
        </w:rPr>
        <w:t xml:space="preserve"> </w:t>
      </w:r>
    </w:p>
    <w:p w14:paraId="606AD9CA" w14:textId="77777777" w:rsidR="00FB5E9D" w:rsidRPr="007C3265" w:rsidRDefault="00FB5E9D" w:rsidP="007C3265">
      <w:pPr>
        <w:spacing w:after="0" w:line="240" w:lineRule="auto"/>
        <w:jc w:val="both"/>
        <w:rPr>
          <w:rFonts w:ascii="Verdana" w:eastAsia="Calibri" w:hAnsi="Verdana" w:cs="Arial"/>
          <w:lang w:val="es-ES" w:eastAsia="es-ES"/>
        </w:rPr>
      </w:pPr>
      <w:r w:rsidRPr="007C3265">
        <w:rPr>
          <w:rFonts w:ascii="Verdana" w:eastAsia="Calibri" w:hAnsi="Verdana" w:cs="Arial"/>
          <w:lang w:val="es-ES" w:eastAsia="es-ES"/>
        </w:rPr>
        <w:t xml:space="preserve">Manizales, Caldas. </w:t>
      </w:r>
    </w:p>
    <w:p w14:paraId="7E32084D" w14:textId="77777777" w:rsidR="00FB5E9D" w:rsidRDefault="00FB5E9D" w:rsidP="007C3265">
      <w:pPr>
        <w:spacing w:after="0" w:line="240" w:lineRule="auto"/>
        <w:rPr>
          <w:rFonts w:ascii="Verdana" w:eastAsia="Calibri" w:hAnsi="Verdana" w:cs="Arial"/>
          <w:b/>
          <w:bCs/>
          <w:color w:val="000000"/>
          <w:lang w:val="es-ES_tradnl" w:eastAsia="es-ES_tradnl"/>
        </w:rPr>
      </w:pPr>
    </w:p>
    <w:p w14:paraId="5C2049F8" w14:textId="77777777" w:rsidR="007C3265" w:rsidRPr="007C3265" w:rsidRDefault="007C3265" w:rsidP="007C326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B5E9D" w:rsidRPr="007C3265" w14:paraId="3ED83ECC" w14:textId="77777777" w:rsidTr="00C83AF3">
        <w:trPr>
          <w:trHeight w:val="294"/>
        </w:trPr>
        <w:tc>
          <w:tcPr>
            <w:tcW w:w="2689" w:type="dxa"/>
          </w:tcPr>
          <w:p w14:paraId="60755DB8" w14:textId="77777777" w:rsidR="00FB5E9D" w:rsidRPr="007C3265" w:rsidRDefault="00FB5E9D" w:rsidP="007C3265">
            <w:pPr>
              <w:jc w:val="both"/>
              <w:rPr>
                <w:rFonts w:ascii="Verdana" w:eastAsia="Calibri" w:hAnsi="Verdana" w:cs="Arial"/>
                <w:b/>
                <w:bCs/>
                <w:color w:val="7030A0"/>
                <w:lang w:val="es-ES_tradnl" w:eastAsia="es-ES_tradnl"/>
              </w:rPr>
            </w:pPr>
          </w:p>
        </w:tc>
        <w:tc>
          <w:tcPr>
            <w:tcW w:w="6100" w:type="dxa"/>
          </w:tcPr>
          <w:p w14:paraId="678640B8" w14:textId="77777777" w:rsidR="00FB5E9D" w:rsidRDefault="00FB5E9D" w:rsidP="007C3265">
            <w:pPr>
              <w:jc w:val="both"/>
              <w:rPr>
                <w:rFonts w:ascii="Verdana" w:eastAsia="Calibri" w:hAnsi="Verdana" w:cs="Arial"/>
                <w:b/>
                <w:bCs/>
                <w:lang w:val="es-ES" w:eastAsia="es-ES"/>
              </w:rPr>
            </w:pPr>
            <w:r w:rsidRPr="007C3265">
              <w:rPr>
                <w:rFonts w:ascii="Verdana" w:eastAsia="Calibri" w:hAnsi="Verdana" w:cs="Arial"/>
                <w:b/>
                <w:bCs/>
                <w:lang w:val="es-ES" w:eastAsia="es-ES"/>
              </w:rPr>
              <w:t xml:space="preserve">Concepto </w:t>
            </w:r>
            <w:r w:rsidRPr="007C3265">
              <w:rPr>
                <w:rFonts w:ascii="Verdana" w:eastAsia="Calibri" w:hAnsi="Verdana" w:cs="Arial"/>
                <w:b/>
                <w:bCs/>
                <w:lang w:eastAsia="es-ES"/>
              </w:rPr>
              <w:t xml:space="preserve">C-731 </w:t>
            </w:r>
            <w:r w:rsidRPr="007C3265">
              <w:rPr>
                <w:rFonts w:ascii="Verdana" w:eastAsia="Calibri" w:hAnsi="Verdana" w:cs="Arial"/>
                <w:b/>
                <w:bCs/>
                <w:lang w:val="es-ES" w:eastAsia="es-ES"/>
              </w:rPr>
              <w:t>de 2026</w:t>
            </w:r>
          </w:p>
          <w:p w14:paraId="11993D7A" w14:textId="77777777" w:rsidR="007C3265" w:rsidRPr="007C3265" w:rsidRDefault="007C3265" w:rsidP="007C3265">
            <w:pPr>
              <w:jc w:val="both"/>
              <w:rPr>
                <w:rFonts w:ascii="Verdana" w:eastAsia="Calibri" w:hAnsi="Verdana" w:cs="Arial"/>
                <w:b/>
                <w:bCs/>
                <w:lang w:val="es-ES" w:eastAsia="es-ES"/>
              </w:rPr>
            </w:pPr>
          </w:p>
        </w:tc>
      </w:tr>
      <w:tr w:rsidR="00FB5E9D" w:rsidRPr="007C3265" w14:paraId="011C5A4A" w14:textId="77777777" w:rsidTr="00C6519E">
        <w:trPr>
          <w:trHeight w:val="884"/>
        </w:trPr>
        <w:tc>
          <w:tcPr>
            <w:tcW w:w="2689" w:type="dxa"/>
          </w:tcPr>
          <w:p w14:paraId="08EDEAE9" w14:textId="77777777" w:rsidR="00FB5E9D" w:rsidRPr="007C3265" w:rsidRDefault="00FB5E9D" w:rsidP="007C3265">
            <w:pPr>
              <w:jc w:val="both"/>
              <w:rPr>
                <w:rFonts w:ascii="Verdana" w:eastAsia="Calibri" w:hAnsi="Verdana" w:cs="Arial"/>
                <w:color w:val="000000"/>
                <w:lang w:val="es-ES_tradnl" w:eastAsia="es-ES_tradnl"/>
              </w:rPr>
            </w:pPr>
            <w:r w:rsidRPr="007C3265">
              <w:rPr>
                <w:rFonts w:ascii="Verdana" w:eastAsia="Calibri" w:hAnsi="Verdana" w:cs="Arial"/>
                <w:b/>
                <w:color w:val="000000"/>
                <w:lang w:val="es-ES_tradnl" w:eastAsia="es-ES_tradnl"/>
              </w:rPr>
              <w:t>Temas:</w:t>
            </w:r>
            <w:r w:rsidRPr="007C3265">
              <w:rPr>
                <w:rFonts w:ascii="Verdana" w:eastAsia="Calibri" w:hAnsi="Verdana" w:cs="Arial"/>
                <w:color w:val="000000"/>
                <w:lang w:val="es-ES_tradnl" w:eastAsia="es-ES_tradnl"/>
              </w:rPr>
              <w:t xml:space="preserve">                   </w:t>
            </w:r>
          </w:p>
        </w:tc>
        <w:tc>
          <w:tcPr>
            <w:tcW w:w="6100" w:type="dxa"/>
          </w:tcPr>
          <w:p w14:paraId="2A59951C" w14:textId="77777777" w:rsidR="00FB5E9D" w:rsidRPr="007C3265" w:rsidRDefault="00FB5E9D" w:rsidP="00C83AF3">
            <w:pPr>
              <w:jc w:val="both"/>
              <w:rPr>
                <w:rFonts w:ascii="Verdana" w:eastAsia="Calibri" w:hAnsi="Verdana"/>
                <w:lang w:eastAsia="es-ES"/>
              </w:rPr>
            </w:pPr>
            <w:r w:rsidRPr="007C3265">
              <w:rPr>
                <w:rFonts w:ascii="Verdana" w:eastAsia="Calibri" w:hAnsi="Verdana"/>
                <w:lang w:eastAsia="es-ES"/>
              </w:rPr>
              <w:t xml:space="preserve">DETERMINACIÓN DEL VALOR DEL CONTRATO – Planeación – Metodologías / SISTEMAS DE PRECIOS UNITARIOS – Noción – Costos directos e indirectos – APU – AIU / ADMINISTRACIÓN IMPREVISTOS Y UTILIDAD – Discrecionalidad </w:t>
            </w:r>
          </w:p>
          <w:p w14:paraId="49BA09F2" w14:textId="77777777" w:rsidR="00FB5E9D" w:rsidRPr="007C3265" w:rsidRDefault="00FB5E9D" w:rsidP="00C83AF3">
            <w:pPr>
              <w:jc w:val="both"/>
              <w:rPr>
                <w:rFonts w:ascii="Verdana" w:eastAsia="Calibri" w:hAnsi="Verdana" w:cs="Arial"/>
                <w:highlight w:val="yellow"/>
                <w:lang w:val="es-ES" w:eastAsia="es-ES"/>
              </w:rPr>
            </w:pPr>
          </w:p>
        </w:tc>
      </w:tr>
      <w:tr w:rsidR="00FB5E9D" w:rsidRPr="007C3265" w14:paraId="054595ED" w14:textId="77777777" w:rsidTr="00C6519E">
        <w:trPr>
          <w:trHeight w:val="242"/>
        </w:trPr>
        <w:tc>
          <w:tcPr>
            <w:tcW w:w="2689" w:type="dxa"/>
          </w:tcPr>
          <w:p w14:paraId="37C08666" w14:textId="77777777" w:rsidR="00FB5E9D" w:rsidRPr="007C3265" w:rsidRDefault="00FB5E9D" w:rsidP="007C3265">
            <w:pPr>
              <w:jc w:val="both"/>
              <w:rPr>
                <w:rFonts w:ascii="Verdana" w:eastAsia="Calibri" w:hAnsi="Verdana" w:cs="Arial"/>
                <w:b/>
                <w:lang w:val="es-ES_tradnl" w:eastAsia="es-ES_tradnl"/>
              </w:rPr>
            </w:pPr>
            <w:r w:rsidRPr="007C3265">
              <w:rPr>
                <w:rFonts w:ascii="Verdana" w:eastAsia="Calibri" w:hAnsi="Verdana" w:cs="Arial"/>
                <w:b/>
                <w:lang w:val="es-ES_tradnl" w:eastAsia="es-ES_tradnl"/>
              </w:rPr>
              <w:t>Radicación:</w:t>
            </w:r>
            <w:r w:rsidRPr="007C3265">
              <w:rPr>
                <w:rFonts w:ascii="Verdana" w:eastAsia="Calibri" w:hAnsi="Verdana" w:cs="Arial"/>
                <w:lang w:val="es-ES_tradnl" w:eastAsia="es-ES_tradnl"/>
              </w:rPr>
              <w:t xml:space="preserve">               </w:t>
            </w:r>
          </w:p>
        </w:tc>
        <w:tc>
          <w:tcPr>
            <w:tcW w:w="6100" w:type="dxa"/>
          </w:tcPr>
          <w:p w14:paraId="6FF0D5C3" w14:textId="4AEB737F" w:rsidR="00FB5E9D" w:rsidRPr="007C3265" w:rsidRDefault="00FB5E9D" w:rsidP="007C3265">
            <w:pPr>
              <w:jc w:val="both"/>
              <w:rPr>
                <w:rFonts w:ascii="Verdana" w:eastAsia="Calibri" w:hAnsi="Verdana" w:cs="Arial"/>
                <w:lang w:val="es-ES_tradnl" w:eastAsia="es-ES_tradnl"/>
              </w:rPr>
            </w:pPr>
            <w:r w:rsidRPr="007C3265">
              <w:rPr>
                <w:rFonts w:ascii="Verdana" w:eastAsia="Calibri" w:hAnsi="Verdana" w:cs="Arial"/>
                <w:lang w:val="es-ES_tradnl" w:eastAsia="es-ES_tradnl"/>
              </w:rPr>
              <w:t>Respuesta a consulta con radicado No.</w:t>
            </w:r>
            <w:r w:rsidRPr="00C83AF3">
              <w:rPr>
                <w:rFonts w:ascii="Verdana" w:hAnsi="Verdana"/>
              </w:rPr>
              <w:t xml:space="preserve"> </w:t>
            </w:r>
            <w:r w:rsidRPr="007C3265">
              <w:rPr>
                <w:rFonts w:ascii="Verdana" w:eastAsia="Calibri" w:hAnsi="Verdana" w:cs="Arial"/>
                <w:lang w:val="es-ES_tradnl" w:eastAsia="es-ES_tradnl"/>
              </w:rPr>
              <w:t>1_2026_05_01_005960</w:t>
            </w:r>
            <w:r w:rsidRPr="007C3265">
              <w:rPr>
                <w:rFonts w:ascii="Verdana" w:eastAsia="Calibri" w:hAnsi="Verdana" w:cs="Arial"/>
                <w:lang w:eastAsia="es-ES_tradnl"/>
              </w:rPr>
              <w:t xml:space="preserve"> </w:t>
            </w:r>
          </w:p>
        </w:tc>
      </w:tr>
    </w:tbl>
    <w:p w14:paraId="599550C8" w14:textId="77777777" w:rsidR="00FB5E9D" w:rsidRPr="005C170B" w:rsidRDefault="00FB5E9D" w:rsidP="00FB5E9D">
      <w:pPr>
        <w:spacing w:after="0" w:line="240" w:lineRule="auto"/>
        <w:jc w:val="both"/>
        <w:rPr>
          <w:rFonts w:ascii="Verdana" w:eastAsia="Calibri" w:hAnsi="Verdana" w:cs="Arial"/>
          <w:lang w:val="es-ES_tradnl" w:eastAsia="es-ES_tradnl"/>
        </w:rPr>
      </w:pPr>
    </w:p>
    <w:p w14:paraId="5048DE86" w14:textId="77777777" w:rsidR="00FB5E9D" w:rsidRPr="005C170B" w:rsidRDefault="00FB5E9D" w:rsidP="00FB5E9D">
      <w:pPr>
        <w:spacing w:after="0" w:line="240" w:lineRule="auto"/>
        <w:jc w:val="both"/>
        <w:rPr>
          <w:rFonts w:ascii="Verdana" w:eastAsia="Calibri" w:hAnsi="Verdana" w:cs="Arial"/>
          <w:color w:val="000000"/>
          <w:lang w:val="es-ES_tradnl" w:eastAsia="es-ES_tradnl"/>
        </w:rPr>
      </w:pPr>
    </w:p>
    <w:p w14:paraId="168D9AAA" w14:textId="77777777" w:rsidR="00FB5E9D" w:rsidRPr="005C170B" w:rsidRDefault="00FB5E9D" w:rsidP="00FB5E9D">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señor Blandón Castaño,</w:t>
      </w:r>
      <w:r w:rsidRPr="005C170B">
        <w:rPr>
          <w:rFonts w:ascii="Verdana" w:eastAsia="Calibri" w:hAnsi="Verdana" w:cs="Arial"/>
          <w:color w:val="000000" w:themeColor="text1"/>
          <w:lang w:val="es-ES" w:eastAsia="es-ES"/>
        </w:rPr>
        <w:t xml:space="preserve"> cordial saludo, </w:t>
      </w:r>
    </w:p>
    <w:p w14:paraId="51733962" w14:textId="77777777" w:rsidR="00FB5E9D" w:rsidRPr="005C170B" w:rsidRDefault="00FB5E9D" w:rsidP="00FB5E9D">
      <w:pPr>
        <w:spacing w:after="0" w:line="276" w:lineRule="auto"/>
        <w:jc w:val="both"/>
        <w:rPr>
          <w:rFonts w:ascii="Verdana" w:eastAsia="Calibri" w:hAnsi="Verdana" w:cs="Arial"/>
          <w:color w:val="000000" w:themeColor="text1"/>
          <w:lang w:val="es-ES" w:eastAsia="es-ES"/>
        </w:rPr>
      </w:pPr>
    </w:p>
    <w:p w14:paraId="4C6D4555" w14:textId="77777777" w:rsidR="00FB5E9D" w:rsidRDefault="00FB5E9D" w:rsidP="00FB5E9D">
      <w:pPr>
        <w:spacing w:after="0" w:line="276" w:lineRule="auto"/>
        <w:jc w:val="both"/>
        <w:rPr>
          <w:rFonts w:ascii="Verdana" w:eastAsia="Calibri" w:hAnsi="Verdana" w:cs="Arial"/>
          <w:lang w:val="es-ES" w:eastAsia="es-ES"/>
        </w:rPr>
      </w:pPr>
      <w:r w:rsidRPr="005C170B">
        <w:rPr>
          <w:rFonts w:ascii="Verdana" w:eastAsia="Calibri" w:hAnsi="Verdana" w:cs="Arial"/>
          <w:color w:val="000000" w:themeColor="text1"/>
          <w:lang w:val="es-ES" w:eastAsia="es-ES"/>
        </w:rPr>
        <w:t>En ejercicio de la competencia otorgada por los artículos 3, numeral 5º, y 11, numeral 8º, del Decreto Ley 4170 de 2011,</w:t>
      </w:r>
      <w:r w:rsidRPr="005C170B">
        <w:rPr>
          <w:rFonts w:ascii="Verdana" w:eastAsia="Arial MT" w:hAnsi="Verdana" w:cs="Arial MT"/>
          <w:lang w:val="es-ES" w:eastAsia="es-ES"/>
        </w:rPr>
        <w:t xml:space="preserve"> </w:t>
      </w:r>
      <w:r w:rsidRPr="005C170B">
        <w:rPr>
          <w:rFonts w:ascii="Verdana" w:hAnsi="Verdana" w:cs="Arial"/>
        </w:rPr>
        <w:t xml:space="preserve">así como lo establecido la </w:t>
      </w:r>
      <w:r w:rsidRPr="005C170B">
        <w:rPr>
          <w:rFonts w:ascii="Verdana" w:eastAsia="Verdana" w:hAnsi="Verdana" w:cs="Verdana"/>
          <w:color w:val="000000" w:themeColor="text1"/>
        </w:rPr>
        <w:t>Resolución 469 de 2025</w:t>
      </w:r>
      <w:r w:rsidRPr="005C170B">
        <w:rPr>
          <w:rFonts w:ascii="Verdana" w:hAnsi="Verdana" w:cs="Arial"/>
        </w:rPr>
        <w:t xml:space="preserve"> expedida por esta Entidad, </w:t>
      </w:r>
      <w:r w:rsidRPr="005C170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01</w:t>
      </w:r>
      <w:r w:rsidRPr="005C170B">
        <w:rPr>
          <w:rFonts w:ascii="Verdana" w:eastAsia="Calibri" w:hAnsi="Verdana" w:cs="Arial"/>
          <w:lang w:val="es-ES" w:eastAsia="es-ES"/>
        </w:rPr>
        <w:t xml:space="preserve"> de </w:t>
      </w:r>
      <w:r>
        <w:rPr>
          <w:rFonts w:ascii="Verdana" w:eastAsia="Calibri" w:hAnsi="Verdana" w:cs="Arial"/>
          <w:lang w:val="es-ES" w:eastAsia="es-ES"/>
        </w:rPr>
        <w:t>mayo</w:t>
      </w:r>
      <w:r w:rsidRPr="005C170B">
        <w:rPr>
          <w:rFonts w:ascii="Verdana" w:eastAsia="Calibri" w:hAnsi="Verdana" w:cs="Arial"/>
          <w:lang w:val="es-ES" w:eastAsia="es-ES"/>
        </w:rPr>
        <w:t xml:space="preserve"> de 2026, en la cual manifiesta lo siguiente: </w:t>
      </w:r>
    </w:p>
    <w:p w14:paraId="1709BAD4" w14:textId="77777777" w:rsidR="00FB5E9D" w:rsidRPr="005C170B" w:rsidRDefault="00FB5E9D" w:rsidP="00FB5E9D">
      <w:pPr>
        <w:spacing w:after="0" w:line="276" w:lineRule="auto"/>
        <w:jc w:val="both"/>
        <w:rPr>
          <w:rFonts w:ascii="Verdana" w:eastAsia="Calibri" w:hAnsi="Verdana" w:cs="Arial"/>
          <w:color w:val="7030A0"/>
          <w:lang w:val="es-ES" w:eastAsia="es-ES"/>
        </w:rPr>
      </w:pPr>
    </w:p>
    <w:p w14:paraId="6B510E89" w14:textId="77777777" w:rsidR="00FB5E9D" w:rsidRDefault="00FB5E9D" w:rsidP="00C83AF3">
      <w:pPr>
        <w:spacing w:after="0" w:line="240" w:lineRule="auto"/>
        <w:ind w:left="708" w:right="709"/>
        <w:jc w:val="both"/>
        <w:rPr>
          <w:rFonts w:ascii="Verdana" w:eastAsia="Calibri" w:hAnsi="Verdana" w:cs="Arial"/>
          <w:i/>
          <w:iCs/>
          <w:color w:val="000000"/>
          <w:sz w:val="20"/>
          <w:szCs w:val="20"/>
          <w:lang w:val="es-ES" w:eastAsia="es-ES"/>
        </w:rPr>
      </w:pPr>
      <w:r w:rsidRPr="00C83AF3">
        <w:rPr>
          <w:rFonts w:ascii="Verdana" w:eastAsia="Calibri" w:hAnsi="Verdana" w:cs="Arial"/>
          <w:i/>
          <w:iCs/>
          <w:color w:val="000000"/>
          <w:sz w:val="20"/>
          <w:szCs w:val="20"/>
          <w:lang w:val="es-ES" w:eastAsia="es-ES"/>
        </w:rPr>
        <w:t xml:space="preserve">“Actualmente, una EMPRESA INDUSTRIAL Y COMERCIAL DEL ESTADO (RÉGIMEN ESPECIAL DE CONTRATACIÓN) se encuentra en la estructuración de un proceso cuyo objeto es el “Mantenimiento integral de zonas verdes y conservación de áreas de reserva natural”. Dicha actividad requiere la disposición de personal operativo (jardineros y operarios forestales), maquinaria especializada, insumos químicos y orgánicos, y una logística administrativa compleja para la disposición de residuos vegetales. </w:t>
      </w:r>
    </w:p>
    <w:p w14:paraId="1B029856" w14:textId="77777777" w:rsidR="00AB0D11" w:rsidRPr="00C83AF3" w:rsidRDefault="00AB0D11" w:rsidP="00C83AF3">
      <w:pPr>
        <w:spacing w:after="0" w:line="240" w:lineRule="auto"/>
        <w:ind w:left="708" w:right="709"/>
        <w:jc w:val="both"/>
        <w:rPr>
          <w:rFonts w:ascii="Verdana" w:eastAsia="Calibri" w:hAnsi="Verdana" w:cs="Arial"/>
          <w:i/>
          <w:iCs/>
          <w:color w:val="000000"/>
          <w:sz w:val="20"/>
          <w:szCs w:val="20"/>
          <w:lang w:val="es-ES" w:eastAsia="es-ES"/>
        </w:rPr>
      </w:pPr>
    </w:p>
    <w:p w14:paraId="1FA78E77" w14:textId="77777777" w:rsidR="00FB5E9D" w:rsidRDefault="00FB5E9D" w:rsidP="00C83AF3">
      <w:pPr>
        <w:spacing w:after="0" w:line="240" w:lineRule="auto"/>
        <w:ind w:left="708" w:right="709"/>
        <w:jc w:val="both"/>
        <w:rPr>
          <w:rFonts w:ascii="Verdana" w:eastAsia="Calibri" w:hAnsi="Verdana" w:cs="Arial"/>
          <w:i/>
          <w:iCs/>
          <w:color w:val="000000"/>
          <w:sz w:val="20"/>
          <w:szCs w:val="20"/>
          <w:lang w:val="es-ES" w:eastAsia="es-ES"/>
        </w:rPr>
      </w:pPr>
      <w:r w:rsidRPr="00C83AF3">
        <w:rPr>
          <w:rFonts w:ascii="Verdana" w:eastAsia="Calibri" w:hAnsi="Verdana" w:cs="Arial"/>
          <w:i/>
          <w:iCs/>
          <w:color w:val="000000"/>
          <w:sz w:val="20"/>
          <w:szCs w:val="20"/>
          <w:lang w:val="es-ES" w:eastAsia="es-ES"/>
        </w:rPr>
        <w:t>Teniendo en cuenta lo anterior, me permito elevar las siguientes consultas:</w:t>
      </w:r>
    </w:p>
    <w:p w14:paraId="0818B642" w14:textId="77777777" w:rsidR="00AB0D11" w:rsidRPr="00C83AF3" w:rsidRDefault="00AB0D11" w:rsidP="00C83AF3">
      <w:pPr>
        <w:spacing w:after="0" w:line="240" w:lineRule="auto"/>
        <w:ind w:left="708" w:right="709"/>
        <w:jc w:val="both"/>
        <w:rPr>
          <w:rFonts w:ascii="Verdana" w:eastAsia="Calibri" w:hAnsi="Verdana" w:cs="Arial"/>
          <w:i/>
          <w:iCs/>
          <w:color w:val="000000"/>
          <w:sz w:val="20"/>
          <w:szCs w:val="20"/>
          <w:lang w:val="es-ES" w:eastAsia="es-ES"/>
        </w:rPr>
      </w:pPr>
    </w:p>
    <w:p w14:paraId="7A1125E5" w14:textId="77777777" w:rsidR="00FB5E9D" w:rsidRDefault="00FB5E9D" w:rsidP="004C3A77">
      <w:pPr>
        <w:pStyle w:val="Prrafodelista"/>
        <w:numPr>
          <w:ilvl w:val="0"/>
          <w:numId w:val="18"/>
        </w:numPr>
        <w:spacing w:after="0" w:line="240" w:lineRule="auto"/>
        <w:ind w:left="1069" w:right="709"/>
        <w:contextualSpacing w:val="0"/>
        <w:jc w:val="both"/>
        <w:rPr>
          <w:rFonts w:ascii="Verdana" w:eastAsia="Calibri" w:hAnsi="Verdana" w:cs="Arial"/>
          <w:i/>
          <w:iCs/>
          <w:color w:val="000000"/>
          <w:sz w:val="20"/>
          <w:szCs w:val="20"/>
          <w:lang w:eastAsia="es-ES"/>
        </w:rPr>
      </w:pPr>
      <w:r w:rsidRPr="00C83AF3">
        <w:rPr>
          <w:rFonts w:ascii="Verdana" w:eastAsia="Calibri" w:hAnsi="Verdana" w:cs="Arial"/>
          <w:i/>
          <w:iCs/>
          <w:color w:val="000000"/>
          <w:sz w:val="20"/>
          <w:szCs w:val="20"/>
          <w:lang w:eastAsia="es-ES"/>
        </w:rPr>
        <w:lastRenderedPageBreak/>
        <w:t>Viabilidad del AIU: ¿Es jurídicamente viable que en un proceso de mantenimiento de zonas verdes y reservas naturales se establezca el presupuesto bajo el esquema de AIU (Administración, Imprevistos y Utilidad)?”</w:t>
      </w:r>
    </w:p>
    <w:p w14:paraId="1C7E4AF0" w14:textId="77777777" w:rsidR="00AB0D11" w:rsidRPr="004C3A77" w:rsidRDefault="00AB0D11" w:rsidP="004C3A77">
      <w:pPr>
        <w:spacing w:after="0" w:line="276" w:lineRule="auto"/>
        <w:ind w:right="902"/>
        <w:jc w:val="both"/>
        <w:rPr>
          <w:rFonts w:ascii="Verdana" w:eastAsia="Calibri" w:hAnsi="Verdana" w:cs="Arial"/>
          <w:i/>
          <w:iCs/>
          <w:color w:val="000000"/>
          <w:sz w:val="20"/>
          <w:szCs w:val="20"/>
          <w:lang w:eastAsia="es-ES"/>
        </w:rPr>
      </w:pPr>
    </w:p>
    <w:p w14:paraId="7EE7CB02" w14:textId="77777777" w:rsidR="00FB5E9D" w:rsidRPr="005C170B" w:rsidRDefault="00FB5E9D" w:rsidP="00BA4DF6">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1D63FFA5" w14:textId="77777777" w:rsidR="00FB5E9D" w:rsidRPr="005C170B" w:rsidRDefault="00FB5E9D" w:rsidP="00BA4DF6">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2053106B" w14:textId="77777777" w:rsidR="00FB5E9D" w:rsidRPr="005C170B" w:rsidRDefault="00FB5E9D" w:rsidP="00BA4DF6">
      <w:pPr>
        <w:spacing w:after="0" w:line="276" w:lineRule="auto"/>
        <w:ind w:firstLine="709"/>
        <w:jc w:val="both"/>
        <w:rPr>
          <w:rFonts w:ascii="Verdana" w:eastAsia="Calibri" w:hAnsi="Verdana" w:cs="Arial"/>
          <w:color w:val="000000"/>
          <w:lang w:val="es-ES" w:eastAsia="es-ES"/>
        </w:rPr>
      </w:pPr>
    </w:p>
    <w:p w14:paraId="2DA9AA8B" w14:textId="77777777" w:rsidR="00FB5E9D" w:rsidRPr="005C170B" w:rsidRDefault="00FB5E9D" w:rsidP="00BA4DF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C170B">
        <w:rPr>
          <w:rFonts w:ascii="Verdana" w:eastAsia="Century Gothic" w:hAnsi="Verdana" w:cs="Century Gothic"/>
          <w:b/>
          <w:bCs/>
        </w:rPr>
        <w:t>Problema planteado:</w:t>
      </w:r>
    </w:p>
    <w:p w14:paraId="61006FE2" w14:textId="77777777" w:rsidR="00FB5E9D" w:rsidRPr="005C170B" w:rsidRDefault="00FB5E9D" w:rsidP="00BA4DF6">
      <w:pPr>
        <w:spacing w:after="0" w:line="276" w:lineRule="auto"/>
        <w:ind w:firstLine="709"/>
        <w:jc w:val="both"/>
        <w:rPr>
          <w:rFonts w:ascii="Verdana" w:eastAsia="Century Gothic" w:hAnsi="Verdana" w:cs="Century Gothic"/>
        </w:rPr>
      </w:pPr>
    </w:p>
    <w:p w14:paraId="68D125B0" w14:textId="67AE53DD" w:rsidR="00FB5E9D" w:rsidRDefault="00FB5E9D" w:rsidP="004C3A77">
      <w:pPr>
        <w:spacing w:after="0" w:line="276" w:lineRule="auto"/>
        <w:jc w:val="both"/>
        <w:rPr>
          <w:rFonts w:ascii="Verdana" w:eastAsia="Century Gothic" w:hAnsi="Verdana" w:cs="Century Gothic"/>
        </w:rPr>
      </w:pPr>
      <w:r w:rsidRPr="005C170B">
        <w:rPr>
          <w:rFonts w:ascii="Verdana" w:eastAsia="Century Gothic" w:hAnsi="Verdana" w:cs="Century Gothic"/>
        </w:rPr>
        <w:t>De acuerdo con el contenido de su solicitud, esta Agencia el siguiente problema jurídico:</w:t>
      </w:r>
      <w:r>
        <w:rPr>
          <w:rFonts w:ascii="Verdana" w:eastAsia="Century Gothic" w:hAnsi="Verdana" w:cs="Century Gothic"/>
        </w:rPr>
        <w:t xml:space="preserve"> </w:t>
      </w:r>
      <w:r w:rsidRPr="00594F5A">
        <w:rPr>
          <w:rFonts w:ascii="Verdana" w:eastAsia="Century Gothic" w:hAnsi="Verdana" w:cs="Century Gothic"/>
        </w:rPr>
        <w:t xml:space="preserve">¿Puede una </w:t>
      </w:r>
      <w:r>
        <w:rPr>
          <w:rFonts w:ascii="Verdana" w:eastAsia="Century Gothic" w:hAnsi="Verdana" w:cs="Century Gothic"/>
        </w:rPr>
        <w:t>entidad</w:t>
      </w:r>
      <w:r w:rsidRPr="00594F5A">
        <w:rPr>
          <w:rFonts w:ascii="Verdana" w:eastAsia="Century Gothic" w:hAnsi="Verdana" w:cs="Century Gothic"/>
        </w:rPr>
        <w:t xml:space="preserve"> sometida a régimen especial de contratación estructurar el presupuesto de un contrato de mantenimiento integral de zonas verdes y conservación ambiental bajo el esquema de AIU, o dicho esquema se encuentra jurídicamente reservado a determinadas tipologías contractuales?</w:t>
      </w:r>
    </w:p>
    <w:p w14:paraId="1E0ABC11" w14:textId="77777777" w:rsidR="00FB5E9D" w:rsidRPr="005C170B" w:rsidRDefault="00FB5E9D" w:rsidP="00BA4DF6">
      <w:pPr>
        <w:spacing w:after="0" w:line="276" w:lineRule="auto"/>
        <w:ind w:firstLine="709"/>
        <w:jc w:val="both"/>
        <w:rPr>
          <w:rFonts w:ascii="Verdana" w:eastAsia="Century Gothic" w:hAnsi="Verdana" w:cs="Century Gothic"/>
        </w:rPr>
      </w:pPr>
    </w:p>
    <w:p w14:paraId="1CDD92B2" w14:textId="77777777" w:rsidR="00FB5E9D" w:rsidRPr="005C170B" w:rsidRDefault="00FB5E9D" w:rsidP="00BA4D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Respuesta:</w:t>
      </w:r>
    </w:p>
    <w:p w14:paraId="7B518B2E" w14:textId="77777777" w:rsidR="00FB5E9D" w:rsidRPr="005C170B" w:rsidRDefault="00FB5E9D" w:rsidP="00BA4DF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B5E9D" w:rsidRPr="005C170B" w14:paraId="590DB292" w14:textId="77777777" w:rsidTr="00C6519E">
        <w:tc>
          <w:tcPr>
            <w:tcW w:w="8828" w:type="dxa"/>
          </w:tcPr>
          <w:p w14:paraId="02555FB9" w14:textId="77777777" w:rsidR="00FB5E9D" w:rsidRDefault="00FB5E9D" w:rsidP="004C3A7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Desde la etapa de planeación, en la fase precontractual, las entidades estatales deben calcular el presupuesto oficial, mediante la realización del análisis del sector, el cual incluye el análisis del mercado, y definir la </w:t>
            </w:r>
            <w:r>
              <w:rPr>
                <w:rFonts w:ascii="Verdana" w:eastAsia="Calibri" w:hAnsi="Verdana" w:cs="Arial"/>
                <w:bCs/>
                <w:color w:val="000000" w:themeColor="text1"/>
              </w:rPr>
              <w:lastRenderedPageBreak/>
              <w:t xml:space="preserve">metodología con la que estructurarán el precio, entre algunas generalmente utilizadas se encuentran: i) los precios unitarios, </w:t>
            </w:r>
            <w:r w:rsidRPr="004D3D32">
              <w:rPr>
                <w:rFonts w:ascii="Verdana" w:eastAsia="Calibri" w:hAnsi="Verdana" w:cs="Arial"/>
                <w:bCs/>
                <w:color w:val="000000" w:themeColor="text1"/>
              </w:rPr>
              <w:t>calculados de acuerdo con las unidades que componen el objeto del contrato, ii) el precio global</w:t>
            </w:r>
            <w:r>
              <w:rPr>
                <w:rFonts w:ascii="Verdana" w:eastAsia="Calibri" w:hAnsi="Verdana" w:cs="Arial"/>
                <w:bCs/>
                <w:color w:val="000000" w:themeColor="text1"/>
              </w:rPr>
              <w:t xml:space="preserve">, </w:t>
            </w:r>
            <w:r w:rsidRPr="004D3D32">
              <w:rPr>
                <w:rFonts w:ascii="Verdana" w:eastAsia="Calibri" w:hAnsi="Verdana" w:cs="Arial"/>
                <w:bCs/>
                <w:color w:val="000000" w:themeColor="text1"/>
              </w:rPr>
              <w:t>que equivale al monto total, sin discriminar unidades, y iii) la administración delegada de recursos</w:t>
            </w:r>
            <w:r>
              <w:rPr>
                <w:rFonts w:ascii="Verdana" w:eastAsia="Calibri" w:hAnsi="Verdana" w:cs="Arial"/>
                <w:bCs/>
                <w:color w:val="000000" w:themeColor="text1"/>
              </w:rPr>
              <w:t xml:space="preserve">, </w:t>
            </w:r>
            <w:r w:rsidRPr="004D3D32">
              <w:rPr>
                <w:rFonts w:ascii="Verdana" w:eastAsia="Calibri" w:hAnsi="Verdana" w:cs="Arial"/>
                <w:bCs/>
                <w:color w:val="000000" w:themeColor="text1"/>
              </w:rPr>
              <w:t>en la que se distinguen los costos de inversión de los honorarios del administrador</w:t>
            </w:r>
            <w:r>
              <w:rPr>
                <w:rFonts w:ascii="Verdana" w:eastAsia="Calibri" w:hAnsi="Verdana" w:cs="Arial"/>
                <w:bCs/>
                <w:color w:val="000000" w:themeColor="text1"/>
              </w:rPr>
              <w:t xml:space="preserve">. </w:t>
            </w:r>
          </w:p>
          <w:p w14:paraId="2045E100" w14:textId="77777777" w:rsidR="00FB5E9D" w:rsidRDefault="00FB5E9D" w:rsidP="00BA4DF6">
            <w:pPr>
              <w:spacing w:after="120" w:line="276" w:lineRule="auto"/>
              <w:ind w:firstLine="709"/>
              <w:jc w:val="both"/>
              <w:rPr>
                <w:rFonts w:ascii="Verdana" w:eastAsia="Calibri" w:hAnsi="Verdana" w:cs="Arial"/>
                <w:bCs/>
                <w:color w:val="000000" w:themeColor="text1"/>
              </w:rPr>
            </w:pPr>
            <w:r w:rsidRPr="00EA674E">
              <w:rPr>
                <w:rFonts w:ascii="Verdana" w:eastAsia="Calibri" w:hAnsi="Verdana" w:cs="Arial"/>
                <w:bCs/>
                <w:color w:val="000000" w:themeColor="text1"/>
              </w:rPr>
              <w:t>En los contratos cuyo precio se estructura a partir del sistema de precios unitarios, ha hecho parte de la práctica de los negocios que el contratante le solicite al potencial contratista</w:t>
            </w:r>
            <w:r>
              <w:rPr>
                <w:rFonts w:ascii="Verdana" w:eastAsia="Calibri" w:hAnsi="Verdana" w:cs="Arial"/>
                <w:bCs/>
                <w:color w:val="000000" w:themeColor="text1"/>
              </w:rPr>
              <w:t>, discriminar en la propuesta,</w:t>
            </w:r>
            <w:r w:rsidRPr="00EA674E">
              <w:rPr>
                <w:rFonts w:ascii="Verdana" w:eastAsia="Calibri" w:hAnsi="Verdana" w:cs="Arial"/>
                <w:bCs/>
                <w:color w:val="000000" w:themeColor="text1"/>
              </w:rPr>
              <w:t xml:space="preserve"> los costos directos de los costos indirectos. En tal sentido, mientras que los costos directos se evidencian en el análisis de precios unitarios –APU–, como la sumatoria de los valores de los ítems según su unidad de medida</w:t>
            </w:r>
            <w:r>
              <w:rPr>
                <w:rFonts w:ascii="Verdana" w:eastAsia="Calibri" w:hAnsi="Verdana" w:cs="Arial"/>
                <w:bCs/>
                <w:color w:val="000000" w:themeColor="text1"/>
              </w:rPr>
              <w:t>;</w:t>
            </w:r>
            <w:r w:rsidRPr="00EA674E">
              <w:rPr>
                <w:rFonts w:ascii="Verdana" w:eastAsia="Calibri" w:hAnsi="Verdana" w:cs="Arial"/>
                <w:bCs/>
                <w:color w:val="000000" w:themeColor="text1"/>
              </w:rPr>
              <w:t xml:space="preserve"> los costos indirectos se suelen abreviar en las variables que integran el acrónimo AIU –Administración, Imprevistos y Utilidad–, que se calcula como un porcentaje aplicado a los costos indirectos.</w:t>
            </w:r>
          </w:p>
          <w:p w14:paraId="33D57799" w14:textId="77777777" w:rsidR="00FB5E9D" w:rsidRDefault="00FB5E9D" w:rsidP="00BA4DF6">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Así las cosas, este sistema como metodología de estipulación del valor contractual no se encuentra regulado en el conjunto de disposiciones legales y reglamentarias que conforman la normativa contractual del Estado. En ese sentido, tanto las entidades sometidas al Estatuto General de Contratación de la Administración Pública (EGAP), como las excluidas – es decir, las que tienen un régimen especial- gozan de autonomía para configurar el precio y para establecer el sistema de pagos más apropiado para satisfacer los fines de la contratación, respetando los límites previstos en el ordenamiento. En tal perspectiva, cuentan con discrecionalidad para establecer en el contrato y en pliego de condiciones – o su documento equivalente – la metodología de estructuración económica del contrato, siempre que obedezca a un juicioso análisis de oportunidad y conveniencia, que consulte las reglas de experiencia y los aspectos particulares de cada negocio, en armonía con los principios de la función administrativa y de la gestión fiscal, dentro de los cuales se halla el principio de economía, que exige la optimización de los recursos públicos. </w:t>
            </w:r>
          </w:p>
          <w:p w14:paraId="1F59F4B6" w14:textId="77777777" w:rsidR="00FB5E9D" w:rsidRPr="005C170B" w:rsidRDefault="00FB5E9D" w:rsidP="00BA4DF6">
            <w:pPr>
              <w:spacing w:after="120" w:line="276" w:lineRule="auto"/>
              <w:ind w:firstLine="709"/>
              <w:jc w:val="both"/>
              <w:rPr>
                <w:rFonts w:ascii="Verdana" w:eastAsia="Times New Roman" w:hAnsi="Verdana" w:cs="Arial"/>
                <w:bCs/>
                <w:lang w:val="es-ES_tradnl" w:eastAsia="es-MX"/>
              </w:rPr>
            </w:pPr>
            <w:r w:rsidRPr="005C170B">
              <w:rPr>
                <w:rFonts w:ascii="Verdana" w:eastAsia="Calibri" w:hAnsi="Verdana" w:cs="Arial"/>
              </w:rPr>
              <w:t xml:space="preserve">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w:t>
            </w:r>
            <w:r w:rsidRPr="005C170B">
              <w:rPr>
                <w:rFonts w:ascii="Verdana" w:eastAsia="Calibri" w:hAnsi="Verdana" w:cs="Arial"/>
              </w:rPr>
              <w:lastRenderedPageBreak/>
              <w:t>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D887DAD" w14:textId="77777777" w:rsidR="00FB5E9D" w:rsidRPr="005C170B" w:rsidRDefault="00FB5E9D" w:rsidP="00FB5E9D">
      <w:pPr>
        <w:tabs>
          <w:tab w:val="left" w:pos="142"/>
          <w:tab w:val="left" w:pos="284"/>
        </w:tabs>
        <w:spacing w:after="0" w:line="276" w:lineRule="auto"/>
        <w:jc w:val="both"/>
        <w:rPr>
          <w:rFonts w:ascii="Verdana" w:eastAsia="Century Gothic" w:hAnsi="Verdana" w:cs="Century Gothic"/>
          <w:b/>
          <w:bCs/>
          <w:lang w:val="es-ES"/>
        </w:rPr>
      </w:pPr>
    </w:p>
    <w:p w14:paraId="784A529A" w14:textId="77777777" w:rsidR="00FB5E9D" w:rsidRPr="005C170B" w:rsidRDefault="00FB5E9D" w:rsidP="00FB5E9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Razones de la respuesta:</w:t>
      </w:r>
    </w:p>
    <w:p w14:paraId="564FC86B" w14:textId="77777777" w:rsidR="00FB5E9D" w:rsidRPr="005C170B" w:rsidRDefault="00FB5E9D" w:rsidP="00FB5E9D">
      <w:pPr>
        <w:spacing w:after="0" w:line="276" w:lineRule="auto"/>
        <w:jc w:val="both"/>
        <w:rPr>
          <w:rFonts w:ascii="Verdana" w:eastAsia="Calibri" w:hAnsi="Verdana" w:cs="Arial"/>
          <w:color w:val="7030A0"/>
          <w:lang w:val="es-ES"/>
        </w:rPr>
      </w:pPr>
    </w:p>
    <w:p w14:paraId="4DC88F0E" w14:textId="77777777" w:rsidR="00FB5E9D" w:rsidRPr="005C170B" w:rsidRDefault="00FB5E9D" w:rsidP="00FB5E9D">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2224F24A" w14:textId="77777777" w:rsidR="00FB5E9D" w:rsidRPr="005C170B" w:rsidRDefault="00FB5E9D" w:rsidP="00FB5E9D">
      <w:pPr>
        <w:spacing w:after="0" w:line="276" w:lineRule="auto"/>
        <w:jc w:val="both"/>
        <w:rPr>
          <w:rFonts w:ascii="Verdana" w:eastAsia="Calibri" w:hAnsi="Verdana" w:cs="Arial"/>
          <w:lang w:val="es-ES"/>
        </w:rPr>
      </w:pPr>
    </w:p>
    <w:p w14:paraId="7E6FD16D" w14:textId="77777777" w:rsidR="00FB5E9D" w:rsidRPr="00192F66" w:rsidRDefault="00FB5E9D" w:rsidP="00FB5E9D">
      <w:pPr>
        <w:spacing w:after="0" w:line="276" w:lineRule="auto"/>
        <w:ind w:firstLine="709"/>
        <w:jc w:val="both"/>
        <w:rPr>
          <w:rFonts w:ascii="Verdana" w:eastAsia="Arial" w:hAnsi="Verdana" w:cs="Arial"/>
          <w:bCs/>
          <w:color w:val="000000" w:themeColor="text1"/>
          <w:lang w:val="es-ES"/>
        </w:rPr>
      </w:pPr>
      <w:r w:rsidRPr="008D76CC">
        <w:rPr>
          <w:rFonts w:ascii="Verdana" w:eastAsia="Arial" w:hAnsi="Verdana" w:cs="Arial"/>
          <w:b/>
          <w:color w:val="000000" w:themeColor="text1"/>
        </w:rPr>
        <w:t>i.</w:t>
      </w:r>
      <w:r>
        <w:rPr>
          <w:rFonts w:ascii="Verdana" w:eastAsia="Arial" w:hAnsi="Verdana" w:cs="Arial"/>
          <w:bCs/>
          <w:color w:val="000000" w:themeColor="text1"/>
        </w:rPr>
        <w:t xml:space="preserve"> </w:t>
      </w:r>
      <w:r w:rsidRPr="00192F66">
        <w:rPr>
          <w:rFonts w:ascii="Verdana" w:eastAsia="Arial" w:hAnsi="Verdana" w:cs="Arial"/>
          <w:bCs/>
          <w:color w:val="000000" w:themeColor="text1"/>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toda vez hay algunas modalidades más comunes en los de obra pública; otras más utilizadas en los de prestación de servicios y otras más indicadas para los de concesión, por mencionar algunos ejemplos.</w:t>
      </w:r>
    </w:p>
    <w:p w14:paraId="22C24CEB" w14:textId="77777777" w:rsidR="00FB5E9D" w:rsidRDefault="00FB5E9D" w:rsidP="00FB5E9D">
      <w:pPr>
        <w:pStyle w:val="Prrafodelista"/>
        <w:spacing w:after="0" w:line="276" w:lineRule="auto"/>
        <w:ind w:left="1077"/>
        <w:jc w:val="both"/>
        <w:rPr>
          <w:rFonts w:ascii="Verdana" w:eastAsia="Arial" w:hAnsi="Verdana" w:cs="Arial"/>
          <w:bCs/>
          <w:color w:val="000000" w:themeColor="text1"/>
        </w:rPr>
      </w:pPr>
      <w:r>
        <w:rPr>
          <w:rFonts w:ascii="Verdana" w:eastAsia="Arial" w:hAnsi="Verdana" w:cs="Arial"/>
          <w:bCs/>
          <w:color w:val="000000" w:themeColor="text1"/>
          <w:lang w:val="es-CO"/>
        </w:rPr>
        <w:t xml:space="preserve"> </w:t>
      </w:r>
    </w:p>
    <w:p w14:paraId="130D92D7" w14:textId="77777777" w:rsidR="00FB5E9D" w:rsidRDefault="00FB5E9D" w:rsidP="00FB5E9D">
      <w:pPr>
        <w:spacing w:after="0" w:line="276" w:lineRule="auto"/>
        <w:ind w:firstLine="709"/>
        <w:jc w:val="both"/>
        <w:rPr>
          <w:rFonts w:ascii="Verdana" w:eastAsia="Calibri" w:hAnsi="Verdana" w:cs="Arial"/>
          <w:bCs/>
          <w:color w:val="000000" w:themeColor="text1"/>
        </w:rPr>
      </w:pPr>
      <w:r>
        <w:rPr>
          <w:rFonts w:ascii="Verdana" w:eastAsia="Arial" w:hAnsi="Verdana" w:cs="Arial"/>
          <w:bCs/>
          <w:color w:val="000000" w:themeColor="text1"/>
        </w:rPr>
        <w:t xml:space="preserve">En ese orden de ideas, no hay </w:t>
      </w:r>
      <w:r w:rsidRPr="00203F4A">
        <w:rPr>
          <w:rFonts w:ascii="Verdana" w:eastAsia="Arial" w:hAnsi="Verdana" w:cs="Arial"/>
          <w:bCs/>
          <w:color w:val="000000" w:themeColor="text1"/>
        </w:rPr>
        <w:t xml:space="preserve">una sola metodología para pactar el precio y, en gran medida, la manera de hacerlo ha obedecido a la costumbre mercantil y a la influencia de </w:t>
      </w:r>
      <w:r>
        <w:rPr>
          <w:rFonts w:ascii="Verdana" w:eastAsia="Arial" w:hAnsi="Verdana" w:cs="Arial"/>
          <w:bCs/>
          <w:color w:val="000000" w:themeColor="text1"/>
        </w:rPr>
        <w:t xml:space="preserve">conocimientos impartidos por </w:t>
      </w:r>
      <w:r w:rsidRPr="00203F4A">
        <w:rPr>
          <w:rFonts w:ascii="Verdana" w:eastAsia="Arial" w:hAnsi="Verdana" w:cs="Arial"/>
          <w:bCs/>
          <w:color w:val="000000" w:themeColor="text1"/>
        </w:rPr>
        <w:t>disciplinas técnicas,</w:t>
      </w:r>
      <w:r>
        <w:rPr>
          <w:rFonts w:ascii="Verdana" w:eastAsia="Arial" w:hAnsi="Verdana" w:cs="Arial"/>
          <w:bCs/>
          <w:color w:val="000000" w:themeColor="text1"/>
        </w:rPr>
        <w:t xml:space="preserve"> como la contaduría, la administración de empresas e ingeniería, en la contratación estatal. Dentro de tales esquemas de establecimiento del precio son comunes: </w:t>
      </w:r>
      <w:r>
        <w:rPr>
          <w:rFonts w:ascii="Verdana" w:eastAsia="Calibri" w:hAnsi="Verdana" w:cs="Arial"/>
          <w:bCs/>
          <w:color w:val="000000" w:themeColor="text1"/>
        </w:rPr>
        <w:t xml:space="preserve">i) los precios unitarios, </w:t>
      </w:r>
      <w:r w:rsidRPr="004D3D32">
        <w:rPr>
          <w:rFonts w:ascii="Verdana" w:eastAsia="Calibri" w:hAnsi="Verdana" w:cs="Arial"/>
          <w:bCs/>
          <w:color w:val="000000" w:themeColor="text1"/>
        </w:rPr>
        <w:t>calculados de acuerdo con las unidades que componen el objeto del contrato, ii) el precio global</w:t>
      </w:r>
      <w:r>
        <w:rPr>
          <w:rFonts w:ascii="Verdana" w:eastAsia="Calibri" w:hAnsi="Verdana" w:cs="Arial"/>
          <w:bCs/>
          <w:color w:val="000000" w:themeColor="text1"/>
        </w:rPr>
        <w:t xml:space="preserve">, </w:t>
      </w:r>
      <w:r w:rsidRPr="004D3D32">
        <w:rPr>
          <w:rFonts w:ascii="Verdana" w:eastAsia="Calibri" w:hAnsi="Verdana" w:cs="Arial"/>
          <w:bCs/>
          <w:color w:val="000000" w:themeColor="text1"/>
        </w:rPr>
        <w:t>que equivale al monto total, sin discriminar unidades, y iii) la administración delegada de recursos</w:t>
      </w:r>
      <w:r>
        <w:rPr>
          <w:rFonts w:ascii="Verdana" w:eastAsia="Calibri" w:hAnsi="Verdana" w:cs="Arial"/>
          <w:bCs/>
          <w:color w:val="000000" w:themeColor="text1"/>
        </w:rPr>
        <w:t xml:space="preserve">, </w:t>
      </w:r>
      <w:r w:rsidRPr="004D3D32">
        <w:rPr>
          <w:rFonts w:ascii="Verdana" w:eastAsia="Calibri" w:hAnsi="Verdana" w:cs="Arial"/>
          <w:bCs/>
          <w:color w:val="000000" w:themeColor="text1"/>
        </w:rPr>
        <w:t>en la que se distinguen los costos de inversión de los honorarios del administrador</w:t>
      </w:r>
      <w:r>
        <w:rPr>
          <w:rFonts w:ascii="Verdana" w:eastAsia="Calibri" w:hAnsi="Verdana" w:cs="Arial"/>
          <w:bCs/>
          <w:color w:val="000000" w:themeColor="text1"/>
        </w:rPr>
        <w:t>.</w:t>
      </w:r>
    </w:p>
    <w:p w14:paraId="0AC6EFD1" w14:textId="77777777" w:rsidR="00FB5E9D" w:rsidRDefault="00FB5E9D" w:rsidP="00FB5E9D">
      <w:pPr>
        <w:spacing w:after="0" w:line="276" w:lineRule="auto"/>
        <w:ind w:left="357" w:firstLine="709"/>
        <w:jc w:val="both"/>
        <w:rPr>
          <w:rFonts w:ascii="Verdana" w:eastAsia="Calibri" w:hAnsi="Verdana" w:cs="Arial"/>
          <w:bCs/>
          <w:color w:val="000000" w:themeColor="text1"/>
        </w:rPr>
      </w:pPr>
    </w:p>
    <w:p w14:paraId="0CEAD0C3" w14:textId="77777777" w:rsidR="00FB5E9D" w:rsidRPr="00192F66" w:rsidRDefault="00FB5E9D" w:rsidP="00FB5E9D">
      <w:pPr>
        <w:spacing w:after="0" w:line="276" w:lineRule="auto"/>
        <w:ind w:firstLine="709"/>
        <w:jc w:val="both"/>
        <w:rPr>
          <w:rFonts w:ascii="Verdana" w:eastAsia="Arial" w:hAnsi="Verdana" w:cs="Arial"/>
          <w:bCs/>
          <w:color w:val="000000" w:themeColor="text1"/>
          <w:lang w:val="es-ES"/>
        </w:rPr>
      </w:pPr>
      <w:r w:rsidRPr="008D76CC">
        <w:rPr>
          <w:rFonts w:ascii="Verdana" w:eastAsia="Arial" w:hAnsi="Verdana" w:cs="Arial"/>
          <w:b/>
          <w:color w:val="000000" w:themeColor="text1"/>
        </w:rPr>
        <w:t>ii</w:t>
      </w:r>
      <w:r>
        <w:rPr>
          <w:rFonts w:ascii="Verdana" w:eastAsia="Arial" w:hAnsi="Verdana" w:cs="Arial"/>
          <w:bCs/>
          <w:color w:val="000000" w:themeColor="text1"/>
        </w:rPr>
        <w:t xml:space="preserve">. </w:t>
      </w:r>
      <w:r w:rsidRPr="00192F66">
        <w:rPr>
          <w:rFonts w:ascii="Verdana" w:eastAsia="Arial" w:hAnsi="Verdana" w:cs="Arial"/>
          <w:bCs/>
          <w:color w:val="000000" w:themeColor="text1"/>
        </w:rPr>
        <w:t xml:space="preserve">En los contratos cuyo precio se estructura a partir del sistema de precios unitarios, ha hecho parte de la práctica de los negocios que el contratante le solicite al potencial contratista que separe en su propuesta los costos directos de los indirectos. Los primeros se refieren a los que están directamente implicados en la ejecución del objeto contractual; mientras que, los segundos equivalen a los rubros que no guardan relación inmediata con la ejecución de las </w:t>
      </w:r>
      <w:r w:rsidRPr="00192F66">
        <w:rPr>
          <w:rFonts w:ascii="Verdana" w:eastAsia="Arial" w:hAnsi="Verdana" w:cs="Arial"/>
          <w:bCs/>
          <w:color w:val="000000" w:themeColor="text1"/>
        </w:rPr>
        <w:lastRenderedPageBreak/>
        <w:t xml:space="preserve">actividades contractuales, pero que hacen parte del precio, bien sea porque constituyen erogaciones administrativas o contingentes para el contratista, o porque se destinan a salvaguardar su ganancia. </w:t>
      </w:r>
    </w:p>
    <w:p w14:paraId="27578648" w14:textId="77777777" w:rsidR="00FB5E9D" w:rsidRDefault="00FB5E9D" w:rsidP="00FB5E9D">
      <w:pPr>
        <w:pStyle w:val="Prrafodelista"/>
        <w:spacing w:after="0" w:line="276" w:lineRule="auto"/>
        <w:ind w:left="1077"/>
        <w:jc w:val="both"/>
        <w:rPr>
          <w:rFonts w:ascii="Verdana" w:eastAsia="Arial" w:hAnsi="Verdana" w:cs="Arial"/>
          <w:bCs/>
          <w:color w:val="000000" w:themeColor="text1"/>
          <w:lang w:val="es-CO"/>
        </w:rPr>
      </w:pPr>
    </w:p>
    <w:p w14:paraId="63C74FE5" w14:textId="77777777" w:rsidR="00FB5E9D" w:rsidRPr="003054B4" w:rsidRDefault="00FB5E9D" w:rsidP="00FB5E9D">
      <w:pPr>
        <w:spacing w:after="0" w:line="276" w:lineRule="auto"/>
        <w:ind w:firstLine="709"/>
        <w:jc w:val="both"/>
        <w:rPr>
          <w:rFonts w:ascii="Verdana" w:eastAsia="Arial" w:hAnsi="Verdana" w:cs="Arial"/>
          <w:bCs/>
          <w:color w:val="000000" w:themeColor="text1"/>
        </w:rPr>
      </w:pPr>
      <w:r w:rsidRPr="003054B4">
        <w:rPr>
          <w:rFonts w:ascii="Verdana" w:eastAsia="Arial" w:hAnsi="Verdana" w:cs="Arial"/>
          <w:bCs/>
          <w:color w:val="000000" w:themeColor="text1"/>
        </w:rPr>
        <w:t xml:space="preserve">En tal sentido, mientras que los costos directos se evidencian en el </w:t>
      </w:r>
      <w:r>
        <w:rPr>
          <w:rFonts w:ascii="Verdana" w:eastAsia="Arial" w:hAnsi="Verdana" w:cs="Arial"/>
          <w:bCs/>
          <w:color w:val="000000" w:themeColor="text1"/>
        </w:rPr>
        <w:t>A</w:t>
      </w:r>
      <w:r w:rsidRPr="003054B4">
        <w:rPr>
          <w:rFonts w:ascii="Verdana" w:eastAsia="Arial" w:hAnsi="Verdana" w:cs="Arial"/>
          <w:bCs/>
          <w:color w:val="000000" w:themeColor="text1"/>
        </w:rPr>
        <w:t xml:space="preserve">nálisis de </w:t>
      </w:r>
      <w:r>
        <w:rPr>
          <w:rFonts w:ascii="Verdana" w:eastAsia="Arial" w:hAnsi="Verdana" w:cs="Arial"/>
          <w:bCs/>
          <w:color w:val="000000" w:themeColor="text1"/>
        </w:rPr>
        <w:t>P</w:t>
      </w:r>
      <w:r w:rsidRPr="003054B4">
        <w:rPr>
          <w:rFonts w:ascii="Verdana" w:eastAsia="Arial" w:hAnsi="Verdana" w:cs="Arial"/>
          <w:bCs/>
          <w:color w:val="000000" w:themeColor="text1"/>
        </w:rPr>
        <w:t xml:space="preserve">recios </w:t>
      </w:r>
      <w:r>
        <w:rPr>
          <w:rFonts w:ascii="Verdana" w:eastAsia="Arial" w:hAnsi="Verdana" w:cs="Arial"/>
          <w:bCs/>
          <w:color w:val="000000" w:themeColor="text1"/>
        </w:rPr>
        <w:t>U</w:t>
      </w:r>
      <w:r w:rsidRPr="003054B4">
        <w:rPr>
          <w:rFonts w:ascii="Verdana" w:eastAsia="Arial" w:hAnsi="Verdana" w:cs="Arial"/>
          <w:bCs/>
          <w:color w:val="000000" w:themeColor="text1"/>
        </w:rPr>
        <w:t>nitarios (APU) como la sumatoria de los valores de los ítems según su unidad de medida; los costos indirectos</w:t>
      </w:r>
      <w:r>
        <w:rPr>
          <w:rFonts w:ascii="Verdana" w:eastAsia="Arial" w:hAnsi="Verdana" w:cs="Arial"/>
          <w:bCs/>
          <w:color w:val="000000" w:themeColor="text1"/>
        </w:rPr>
        <w:t xml:space="preserve"> agrupan las variables que integran el acrónimo AIU, es decir: Administración, Imprevistos y Utilidad, los cuales se calculan como un porcentaje aplicado a los costos directos. </w:t>
      </w:r>
    </w:p>
    <w:p w14:paraId="7050F8ED" w14:textId="77777777" w:rsidR="00FB5E9D" w:rsidRDefault="00FB5E9D" w:rsidP="00FB5E9D">
      <w:pPr>
        <w:spacing w:after="0" w:line="276" w:lineRule="auto"/>
        <w:jc w:val="both"/>
        <w:rPr>
          <w:rFonts w:ascii="Verdana" w:eastAsia="Arial" w:hAnsi="Verdana" w:cs="Arial"/>
          <w:bCs/>
          <w:color w:val="000000" w:themeColor="text1"/>
        </w:rPr>
      </w:pPr>
    </w:p>
    <w:p w14:paraId="6D6A9C26" w14:textId="77777777" w:rsidR="00FB5E9D" w:rsidRDefault="00FB5E9D" w:rsidP="00FB5E9D">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La</w:t>
      </w:r>
      <w:r w:rsidRPr="00665AE4">
        <w:rPr>
          <w:rFonts w:ascii="Verdana" w:eastAsia="Arial" w:hAnsi="Verdana" w:cs="Arial"/>
          <w:bCs/>
          <w:color w:val="000000" w:themeColor="text1"/>
        </w:rPr>
        <w:t xml:space="preserve"> doctrina explica que en la estructuración de los precios unitarios se tendrán en cuenta todos los costos directos necesarios para la ejecución del objeto contractual que se multiplicará por al AIU, lo que determina el valor unitario:</w:t>
      </w:r>
    </w:p>
    <w:p w14:paraId="2DF547FB" w14:textId="77777777" w:rsidR="00FB5E9D" w:rsidRDefault="00FB5E9D" w:rsidP="00FB5E9D">
      <w:pPr>
        <w:spacing w:after="0" w:line="276" w:lineRule="auto"/>
        <w:ind w:firstLine="709"/>
        <w:jc w:val="both"/>
        <w:rPr>
          <w:rFonts w:ascii="Verdana" w:eastAsia="Arial" w:hAnsi="Verdana" w:cs="Arial"/>
          <w:bCs/>
          <w:color w:val="000000" w:themeColor="text1"/>
        </w:rPr>
      </w:pPr>
    </w:p>
    <w:p w14:paraId="35D72A7F" w14:textId="77777777" w:rsidR="00FB5E9D" w:rsidRDefault="00FB5E9D" w:rsidP="00FB5E9D">
      <w:pPr>
        <w:tabs>
          <w:tab w:val="left" w:pos="7938"/>
        </w:tabs>
        <w:spacing w:after="0" w:line="276" w:lineRule="auto"/>
        <w:ind w:left="708" w:right="758"/>
        <w:jc w:val="both"/>
        <w:rPr>
          <w:rFonts w:ascii="Verdana" w:eastAsia="Arial" w:hAnsi="Verdana" w:cs="Arial"/>
          <w:bCs/>
          <w:i/>
          <w:iCs/>
          <w:color w:val="000000" w:themeColor="text1"/>
          <w:sz w:val="20"/>
          <w:szCs w:val="20"/>
        </w:rPr>
      </w:pPr>
      <w:r w:rsidRPr="00357DCF">
        <w:rPr>
          <w:rFonts w:ascii="Verdana" w:eastAsia="Arial" w:hAnsi="Verdana" w:cs="Arial"/>
          <w:bCs/>
          <w:i/>
          <w:iCs/>
          <w:color w:val="000000" w:themeColor="text1"/>
          <w:sz w:val="20"/>
          <w:szCs w:val="20"/>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 El costo directo se multiplica por el AIU, es decir, por los gastos de administración, que incluye los gastos de personal que dirige la obra; lo</w:t>
      </w:r>
      <w:r>
        <w:rPr>
          <w:rFonts w:ascii="Verdana" w:eastAsia="Arial" w:hAnsi="Verdana" w:cs="Arial"/>
          <w:bCs/>
          <w:i/>
          <w:iCs/>
          <w:color w:val="000000" w:themeColor="text1"/>
          <w:sz w:val="20"/>
          <w:szCs w:val="20"/>
        </w:rPr>
        <w:t xml:space="preserve">s </w:t>
      </w:r>
      <w:r w:rsidRPr="00357DCF">
        <w:rPr>
          <w:rFonts w:ascii="Verdana" w:eastAsia="Arial" w:hAnsi="Verdana" w:cs="Arial"/>
          <w:bCs/>
          <w:i/>
          <w:iCs/>
          <w:color w:val="000000" w:themeColor="text1"/>
          <w:sz w:val="20"/>
          <w:szCs w:val="20"/>
        </w:rPr>
        <w:t>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Pr>
          <w:rStyle w:val="Refdenotaalpie"/>
          <w:rFonts w:ascii="Verdana" w:eastAsia="Arial" w:hAnsi="Verdana" w:cs="Arial"/>
          <w:bCs/>
          <w:i/>
          <w:iCs/>
          <w:color w:val="000000" w:themeColor="text1"/>
          <w:sz w:val="20"/>
          <w:szCs w:val="20"/>
        </w:rPr>
        <w:footnoteReference w:id="1"/>
      </w:r>
    </w:p>
    <w:p w14:paraId="1A861A76" w14:textId="77777777" w:rsidR="00FB5E9D" w:rsidRDefault="00FB5E9D" w:rsidP="00FB5E9D">
      <w:pPr>
        <w:spacing w:after="0" w:line="276" w:lineRule="auto"/>
        <w:ind w:left="708"/>
        <w:jc w:val="both"/>
        <w:rPr>
          <w:rFonts w:ascii="Verdana" w:eastAsia="Arial" w:hAnsi="Verdana" w:cs="Arial"/>
          <w:bCs/>
          <w:color w:val="000000" w:themeColor="text1"/>
        </w:rPr>
      </w:pPr>
    </w:p>
    <w:p w14:paraId="25B1EFEB" w14:textId="77777777" w:rsidR="00FB5E9D" w:rsidRDefault="00FB5E9D" w:rsidP="00FB5E9D">
      <w:pPr>
        <w:spacing w:after="0" w:line="276" w:lineRule="auto"/>
        <w:ind w:firstLine="709"/>
        <w:jc w:val="both"/>
        <w:rPr>
          <w:rFonts w:ascii="Verdana" w:eastAsia="Arial" w:hAnsi="Verdana" w:cs="Arial"/>
          <w:bCs/>
          <w:color w:val="000000" w:themeColor="text1"/>
        </w:rPr>
      </w:pPr>
      <w:r w:rsidRPr="004C620E">
        <w:rPr>
          <w:rFonts w:ascii="Verdana" w:eastAsia="Arial" w:hAnsi="Verdana" w:cs="Arial"/>
          <w:bCs/>
          <w:color w:val="000000" w:themeColor="text1"/>
        </w:rPr>
        <w:t xml:space="preserve">Por su parte, de acuerdo con la Sección Tercera del Consejo de Estado, el AIU, concepto de común utilización en los contratos de tracto sucesivo –entre </w:t>
      </w:r>
      <w:r w:rsidRPr="004C620E">
        <w:rPr>
          <w:rFonts w:ascii="Verdana" w:eastAsia="Arial" w:hAnsi="Verdana" w:cs="Arial"/>
          <w:bCs/>
          <w:color w:val="000000" w:themeColor="text1"/>
        </w:rPr>
        <w:lastRenderedPageBreak/>
        <w:t xml:space="preserve">ellos, los contratos de obra– no cuenta con una definición normativa, pero </w:t>
      </w:r>
      <w:r>
        <w:rPr>
          <w:rFonts w:ascii="Verdana" w:eastAsia="Arial" w:hAnsi="Verdana" w:cs="Arial"/>
          <w:bCs/>
          <w:color w:val="000000" w:themeColor="text1"/>
        </w:rPr>
        <w:t xml:space="preserve">existen </w:t>
      </w:r>
      <w:r w:rsidRPr="004C620E">
        <w:rPr>
          <w:rFonts w:ascii="Verdana" w:eastAsia="Arial" w:hAnsi="Verdana" w:cs="Arial"/>
          <w:bCs/>
          <w:color w:val="000000" w:themeColor="text1"/>
        </w:rPr>
        <w:t>elementos que permiten precisar su alcance,</w:t>
      </w:r>
      <w:r>
        <w:rPr>
          <w:rFonts w:ascii="Verdana" w:eastAsia="Arial" w:hAnsi="Verdana" w:cs="Arial"/>
          <w:bCs/>
          <w:color w:val="000000" w:themeColor="text1"/>
        </w:rPr>
        <w:t xml:space="preserve"> de la siguiente manera:</w:t>
      </w:r>
    </w:p>
    <w:p w14:paraId="364DD60D" w14:textId="77777777" w:rsidR="00FB5E9D" w:rsidRDefault="00FB5E9D" w:rsidP="00FB5E9D">
      <w:pPr>
        <w:spacing w:after="0" w:line="276" w:lineRule="auto"/>
        <w:ind w:left="708" w:firstLine="709"/>
        <w:jc w:val="both"/>
        <w:rPr>
          <w:rFonts w:ascii="Verdana" w:eastAsia="Arial" w:hAnsi="Verdana" w:cs="Arial"/>
          <w:bCs/>
          <w:color w:val="000000" w:themeColor="text1"/>
        </w:rPr>
      </w:pPr>
    </w:p>
    <w:p w14:paraId="631975BB" w14:textId="77777777" w:rsidR="00FB5E9D" w:rsidRDefault="00FB5E9D" w:rsidP="00FB5E9D">
      <w:pPr>
        <w:tabs>
          <w:tab w:val="left" w:pos="7655"/>
        </w:tabs>
        <w:spacing w:after="0" w:line="276" w:lineRule="auto"/>
        <w:ind w:left="708" w:right="758"/>
        <w:jc w:val="both"/>
        <w:rPr>
          <w:rFonts w:ascii="Verdana" w:eastAsia="Arial" w:hAnsi="Verdana" w:cs="Arial"/>
          <w:bCs/>
          <w:i/>
          <w:iCs/>
          <w:color w:val="000000" w:themeColor="text1"/>
          <w:sz w:val="20"/>
          <w:szCs w:val="20"/>
        </w:rPr>
      </w:pPr>
      <w:r w:rsidRPr="000542B6">
        <w:rPr>
          <w:rFonts w:ascii="Verdana" w:eastAsia="Arial" w:hAnsi="Verdana" w:cs="Arial"/>
          <w:bCs/>
          <w:i/>
          <w:iCs/>
          <w:color w:val="000000" w:themeColor="text1"/>
          <w:sz w:val="20"/>
          <w:szCs w:val="20"/>
        </w:rPr>
        <w:t xml:space="preserve">“[…] el AIU propuesto para el contrato, corresponde a: i) los costos de administración o costos indirectos para la operación del contrato, tales como los gastos de disponibilidad de la organización del contratista, esto es: A; ii) los imprevistos, que es el porcentaje destinado a cubrir los gastos con los que no se contaba y que se presenten durante la ejecución del contrato, esto es, el </w:t>
      </w:r>
      <w:proofErr w:type="spellStart"/>
      <w:r w:rsidRPr="000542B6">
        <w:rPr>
          <w:rFonts w:ascii="Verdana" w:eastAsia="Arial" w:hAnsi="Verdana" w:cs="Arial"/>
          <w:bCs/>
          <w:i/>
          <w:iCs/>
          <w:color w:val="000000" w:themeColor="text1"/>
          <w:sz w:val="20"/>
          <w:szCs w:val="20"/>
        </w:rPr>
        <w:t>álea</w:t>
      </w:r>
      <w:proofErr w:type="spellEnd"/>
      <w:r w:rsidRPr="000542B6">
        <w:rPr>
          <w:rFonts w:ascii="Verdana" w:eastAsia="Arial" w:hAnsi="Verdana" w:cs="Arial"/>
          <w:bCs/>
          <w:i/>
          <w:iCs/>
          <w:color w:val="000000" w:themeColor="text1"/>
          <w:sz w:val="20"/>
          <w:szCs w:val="20"/>
        </w:rPr>
        <w:t xml:space="preserve"> normal del contrato: I; iii) la utilidad o el beneficio económico que pretende percibir el contratista por la ejecución del contrato, esto es: U.</w:t>
      </w:r>
    </w:p>
    <w:p w14:paraId="62C66BEF" w14:textId="77777777" w:rsidR="00FB5E9D" w:rsidRPr="000542B6" w:rsidRDefault="00FB5E9D" w:rsidP="00FB5E9D">
      <w:pPr>
        <w:tabs>
          <w:tab w:val="left" w:pos="7655"/>
        </w:tabs>
        <w:spacing w:after="0" w:line="276" w:lineRule="auto"/>
        <w:ind w:left="708" w:right="758"/>
        <w:jc w:val="both"/>
        <w:rPr>
          <w:rFonts w:ascii="Verdana" w:eastAsia="Arial" w:hAnsi="Verdana" w:cs="Arial"/>
          <w:bCs/>
          <w:i/>
          <w:iCs/>
          <w:color w:val="000000" w:themeColor="text1"/>
          <w:sz w:val="20"/>
          <w:szCs w:val="20"/>
        </w:rPr>
      </w:pPr>
      <w:r>
        <w:rPr>
          <w:rFonts w:ascii="Verdana" w:eastAsia="Arial" w:hAnsi="Verdana" w:cs="Arial"/>
          <w:bCs/>
          <w:i/>
          <w:iCs/>
          <w:color w:val="000000" w:themeColor="text1"/>
          <w:sz w:val="20"/>
          <w:szCs w:val="20"/>
        </w:rPr>
        <w:t>Ahora, teniendo en cuenta que no existe ninguna reglamentación que establezca porcentajes mínimos o máximos para determinar el AIU, cada empresa o comerciante, de acuerdo con su infraestructura, experiencia, condiciones del mercado, naturaleza del contrato a celebrar, entre otros factores, establece su estructura de costos conforme a la cual se compromete a ejecutar cabalmente un contrato en el caso de que le sea adjudicado”</w:t>
      </w:r>
      <w:r>
        <w:rPr>
          <w:rStyle w:val="Refdenotaalpie"/>
          <w:rFonts w:ascii="Verdana" w:eastAsia="Arial" w:hAnsi="Verdana" w:cs="Arial"/>
          <w:bCs/>
          <w:i/>
          <w:iCs/>
          <w:color w:val="000000" w:themeColor="text1"/>
          <w:sz w:val="20"/>
          <w:szCs w:val="20"/>
        </w:rPr>
        <w:footnoteReference w:id="2"/>
      </w:r>
    </w:p>
    <w:p w14:paraId="7127AA54" w14:textId="77777777" w:rsidR="00FB5E9D" w:rsidRDefault="00FB5E9D" w:rsidP="00FB5E9D">
      <w:pPr>
        <w:tabs>
          <w:tab w:val="left" w:pos="7655"/>
        </w:tabs>
        <w:spacing w:after="0" w:line="276" w:lineRule="auto"/>
        <w:jc w:val="both"/>
        <w:rPr>
          <w:rFonts w:ascii="Verdana" w:eastAsia="Arial" w:hAnsi="Verdana" w:cs="Arial"/>
          <w:bCs/>
          <w:color w:val="000000" w:themeColor="text1"/>
        </w:rPr>
      </w:pPr>
    </w:p>
    <w:p w14:paraId="19BE580C" w14:textId="77777777" w:rsidR="00FB5E9D" w:rsidRDefault="00FB5E9D" w:rsidP="00FB5E9D">
      <w:pPr>
        <w:spacing w:after="0" w:line="276" w:lineRule="auto"/>
        <w:ind w:firstLine="709"/>
        <w:jc w:val="both"/>
        <w:rPr>
          <w:rFonts w:ascii="Verdana" w:eastAsia="Arial" w:hAnsi="Verdana" w:cs="Arial"/>
          <w:bCs/>
          <w:color w:val="000000" w:themeColor="text1"/>
        </w:rPr>
      </w:pPr>
      <w:r w:rsidRPr="00425030">
        <w:rPr>
          <w:rFonts w:ascii="Verdana" w:eastAsia="Arial" w:hAnsi="Verdana" w:cs="Arial"/>
          <w:bCs/>
          <w:color w:val="000000" w:themeColor="text1"/>
        </w:rPr>
        <w:t>A su turno, la Sala de Consulta y Servicio Civil del Consejo de Estado</w:t>
      </w:r>
      <w:r>
        <w:rPr>
          <w:rStyle w:val="Refdenotaalpie"/>
          <w:rFonts w:ascii="Verdana" w:eastAsia="Arial" w:hAnsi="Verdana" w:cs="Arial"/>
          <w:bCs/>
          <w:color w:val="000000" w:themeColor="text1"/>
        </w:rPr>
        <w:footnoteReference w:id="3"/>
      </w:r>
      <w:r w:rsidRPr="00425030">
        <w:rPr>
          <w:rFonts w:ascii="Verdana" w:eastAsia="Arial" w:hAnsi="Verdana" w:cs="Arial"/>
          <w:bCs/>
          <w:color w:val="000000" w:themeColor="text1"/>
        </w:rPr>
        <w:t xml:space="preserve"> sostuvo </w:t>
      </w:r>
      <w:r>
        <w:rPr>
          <w:rFonts w:ascii="Verdana" w:eastAsia="Arial" w:hAnsi="Verdana" w:cs="Arial"/>
          <w:bCs/>
          <w:color w:val="000000" w:themeColor="text1"/>
        </w:rPr>
        <w:t>en</w:t>
      </w:r>
      <w:r w:rsidRPr="00425030">
        <w:rPr>
          <w:rFonts w:ascii="Verdana" w:eastAsia="Arial" w:hAnsi="Verdana" w:cs="Arial"/>
          <w:bCs/>
          <w:color w:val="000000" w:themeColor="text1"/>
        </w:rPr>
        <w:t xml:space="preserve"> concepto del 5 de septiembre de 2018</w:t>
      </w:r>
      <w:r>
        <w:rPr>
          <w:rFonts w:ascii="Verdana" w:eastAsia="Arial" w:hAnsi="Verdana" w:cs="Arial"/>
          <w:bCs/>
          <w:color w:val="000000" w:themeColor="text1"/>
        </w:rPr>
        <w:t xml:space="preserve"> </w:t>
      </w:r>
      <w:r w:rsidRPr="005F4106">
        <w:rPr>
          <w:rFonts w:ascii="Verdana" w:eastAsia="Arial" w:hAnsi="Verdana" w:cs="Arial"/>
          <w:bCs/>
          <w:color w:val="000000" w:themeColor="text1"/>
        </w:rPr>
        <w:t>que “el concepto del A.I.U. comprende la Administración (costos indirectos) imprevistos y utilidades, y en algunos contratos</w:t>
      </w:r>
      <w:r>
        <w:rPr>
          <w:rFonts w:ascii="Verdana" w:eastAsia="Arial" w:hAnsi="Verdana" w:cs="Arial"/>
          <w:bCs/>
          <w:color w:val="000000" w:themeColor="text1"/>
        </w:rPr>
        <w:t xml:space="preserve"> </w:t>
      </w:r>
      <w:r w:rsidRPr="00AE04BF">
        <w:rPr>
          <w:rFonts w:ascii="Verdana" w:eastAsia="Arial" w:hAnsi="Verdana" w:cs="Arial"/>
          <w:bCs/>
          <w:color w:val="000000" w:themeColor="text1"/>
        </w:rPr>
        <w:t>este valor aparece cuantificado en forma independiente al valor de la obra y como un porcentaje de esta</w:t>
      </w:r>
      <w:r>
        <w:rPr>
          <w:rFonts w:ascii="Verdana" w:eastAsia="Arial" w:hAnsi="Verdana" w:cs="Arial"/>
          <w:bCs/>
          <w:color w:val="000000" w:themeColor="text1"/>
        </w:rPr>
        <w:t xml:space="preserve">, </w:t>
      </w:r>
      <w:r w:rsidRPr="00AE04BF">
        <w:rPr>
          <w:rFonts w:ascii="Verdana" w:eastAsia="Arial" w:hAnsi="Verdana" w:cs="Arial"/>
          <w:bCs/>
          <w:color w:val="000000" w:themeColor="text1"/>
        </w:rPr>
        <w:t>sin perjuicio que en otros contratos este valor no aparezca discriminado y se incorpore en el valor de los precios unitarios</w:t>
      </w:r>
      <w:r>
        <w:rPr>
          <w:rFonts w:ascii="Verdana" w:eastAsia="Arial" w:hAnsi="Verdana" w:cs="Arial"/>
          <w:bCs/>
          <w:color w:val="000000" w:themeColor="text1"/>
        </w:rPr>
        <w:t>.</w:t>
      </w:r>
    </w:p>
    <w:p w14:paraId="36447DD5" w14:textId="77777777" w:rsidR="00FB5E9D" w:rsidRDefault="00FB5E9D" w:rsidP="00FB5E9D">
      <w:pPr>
        <w:spacing w:after="0" w:line="276" w:lineRule="auto"/>
        <w:ind w:firstLine="709"/>
        <w:jc w:val="both"/>
        <w:rPr>
          <w:rFonts w:ascii="Verdana" w:eastAsia="Arial" w:hAnsi="Verdana" w:cs="Arial"/>
          <w:bCs/>
          <w:color w:val="000000" w:themeColor="text1"/>
        </w:rPr>
      </w:pPr>
    </w:p>
    <w:p w14:paraId="7C9C1411" w14:textId="77777777" w:rsidR="00FB5E9D" w:rsidRDefault="00FB5E9D" w:rsidP="00FB5E9D">
      <w:pPr>
        <w:spacing w:after="0" w:line="276" w:lineRule="auto"/>
        <w:ind w:firstLine="709"/>
        <w:jc w:val="both"/>
        <w:rPr>
          <w:rFonts w:ascii="Verdana" w:eastAsia="Arial" w:hAnsi="Verdana" w:cs="Arial"/>
          <w:bCs/>
          <w:color w:val="000000" w:themeColor="text1"/>
        </w:rPr>
      </w:pPr>
    </w:p>
    <w:p w14:paraId="0ABAB927" w14:textId="77777777" w:rsidR="00FB5E9D" w:rsidRDefault="00FB5E9D" w:rsidP="00FB5E9D">
      <w:pPr>
        <w:spacing w:after="0" w:line="276" w:lineRule="auto"/>
        <w:ind w:firstLine="709"/>
        <w:jc w:val="both"/>
        <w:rPr>
          <w:rFonts w:ascii="Verdana" w:eastAsia="Arial" w:hAnsi="Verdana" w:cs="Arial"/>
          <w:bCs/>
          <w:color w:val="000000" w:themeColor="text1"/>
        </w:rPr>
      </w:pPr>
    </w:p>
    <w:p w14:paraId="385DD314" w14:textId="77777777" w:rsidR="00FB5E9D" w:rsidRPr="00FB2409" w:rsidRDefault="00FB5E9D" w:rsidP="00FB5E9D">
      <w:pPr>
        <w:spacing w:before="120" w:after="0" w:line="276" w:lineRule="auto"/>
        <w:ind w:firstLine="709"/>
        <w:jc w:val="both"/>
        <w:rPr>
          <w:rFonts w:ascii="Verdana" w:eastAsia="Calibri" w:hAnsi="Verdana" w:cs="Arial"/>
          <w:lang w:val="es-ES" w:eastAsia="es-ES"/>
        </w:rPr>
      </w:pPr>
      <w:r w:rsidRPr="002C0853">
        <w:rPr>
          <w:rFonts w:ascii="Verdana" w:eastAsia="Calibri"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w:t>
      </w:r>
      <w:r w:rsidRPr="002C0853">
        <w:rPr>
          <w:rFonts w:ascii="Verdana" w:eastAsia="Calibri" w:hAnsi="Verdana" w:cs="Arial"/>
          <w:lang w:val="es-ES" w:eastAsia="es-ES"/>
        </w:rPr>
        <w:lastRenderedPageBreak/>
        <w:t xml:space="preserve">AIU, forma de pago que pueden incluir las entidades estatales en virtud de la autonomía de la voluntad a que remiten los artículos 13, 32 y 40 del EGCAP. </w:t>
      </w:r>
    </w:p>
    <w:p w14:paraId="02776BCE" w14:textId="77777777" w:rsidR="00FB5E9D" w:rsidRDefault="00FB5E9D" w:rsidP="00FB5E9D">
      <w:pPr>
        <w:spacing w:after="0" w:line="276" w:lineRule="auto"/>
        <w:jc w:val="both"/>
        <w:rPr>
          <w:rFonts w:ascii="Verdana" w:eastAsia="Arial" w:hAnsi="Verdana" w:cs="Arial"/>
          <w:bCs/>
          <w:color w:val="000000" w:themeColor="text1"/>
        </w:rPr>
      </w:pPr>
    </w:p>
    <w:p w14:paraId="3A6F6087" w14:textId="77777777" w:rsidR="00FB5E9D" w:rsidRPr="003F27AE" w:rsidRDefault="00FB5E9D" w:rsidP="00FB5E9D">
      <w:pPr>
        <w:spacing w:after="0" w:line="276" w:lineRule="auto"/>
        <w:ind w:firstLine="709"/>
        <w:jc w:val="both"/>
        <w:rPr>
          <w:rFonts w:ascii="Verdana" w:eastAsia="Arial" w:hAnsi="Verdana" w:cs="Arial"/>
          <w:bCs/>
          <w:color w:val="000000" w:themeColor="text1"/>
        </w:rPr>
      </w:pPr>
      <w:r w:rsidRPr="003F27AE">
        <w:rPr>
          <w:rFonts w:ascii="Verdana" w:eastAsia="Arial" w:hAnsi="Verdana" w:cs="Arial"/>
          <w:bCs/>
          <w:color w:val="000000" w:themeColor="text1"/>
        </w:rPr>
        <w:t>Así las cosas, ni el sistema de precios unitarios – como metodología de estipulación del valor contractual-, ni el concepto de AIU y su forma de cálculo – es decir, el porcentaje de cada letra-, son aspectos regulados en las disposiciones legales y reglamentarias que integran la normativa contractual del Estado. Por lo tanto, es posible afirmar que</w:t>
      </w:r>
      <w:r w:rsidRPr="003F27AE">
        <w:rPr>
          <w:rStyle w:val="Refdenotaalpie"/>
          <w:rFonts w:ascii="Verdana" w:eastAsia="Arial" w:hAnsi="Verdana" w:cs="Arial"/>
          <w:bCs/>
          <w:color w:val="000000" w:themeColor="text1"/>
        </w:rPr>
        <w:footnoteReference w:id="4"/>
      </w:r>
      <w:r w:rsidRPr="003F27AE">
        <w:rPr>
          <w:rFonts w:ascii="Verdana" w:eastAsia="Arial" w:hAnsi="Verdana" w:cs="Arial"/>
          <w:bCs/>
          <w:color w:val="000000" w:themeColor="text1"/>
        </w:rPr>
        <w:t xml:space="preserve">, </w:t>
      </w:r>
      <w:r w:rsidRPr="003F27AE">
        <w:rPr>
          <w:rFonts w:ascii="Verdana" w:eastAsia="Arial" w:hAnsi="Verdana" w:cs="Arial"/>
          <w:bCs/>
          <w:i/>
          <w:iCs/>
          <w:color w:val="000000" w:themeColor="text1"/>
        </w:rPr>
        <w:t>la justificación de esta metodología de cotización del precio procede de la formación universitaria que reciben los profesionales, a quienes les enseñan este modelo para la elaboración de ofertas.</w:t>
      </w:r>
      <w:r w:rsidRPr="003F27AE">
        <w:rPr>
          <w:rFonts w:ascii="Verdana" w:eastAsia="Arial" w:hAnsi="Verdana" w:cs="Arial"/>
          <w:bCs/>
          <w:color w:val="000000" w:themeColor="text1"/>
        </w:rPr>
        <w:t xml:space="preserve"> En otras palabras, el hábito de presentar una propuesta detallando su precio no deriva de una exigencia legal ni reglamentara, sino de la costumbre mercantil. </w:t>
      </w:r>
    </w:p>
    <w:p w14:paraId="5DD6F8B4" w14:textId="77777777" w:rsidR="00FB5E9D" w:rsidRPr="003F27AE" w:rsidRDefault="00FB5E9D" w:rsidP="00FB5E9D">
      <w:pPr>
        <w:spacing w:after="0" w:line="276" w:lineRule="auto"/>
        <w:ind w:firstLine="709"/>
        <w:jc w:val="both"/>
        <w:rPr>
          <w:rFonts w:ascii="Verdana" w:eastAsia="Arial" w:hAnsi="Verdana" w:cs="Arial"/>
          <w:bCs/>
          <w:color w:val="000000" w:themeColor="text1"/>
        </w:rPr>
      </w:pPr>
    </w:p>
    <w:p w14:paraId="1B10042F" w14:textId="77777777" w:rsidR="00FB5E9D" w:rsidRDefault="00FB5E9D" w:rsidP="00FB5E9D">
      <w:pPr>
        <w:spacing w:after="0" w:line="276" w:lineRule="auto"/>
        <w:ind w:firstLine="709"/>
        <w:jc w:val="both"/>
        <w:rPr>
          <w:rFonts w:ascii="Verdana" w:eastAsia="Arial" w:hAnsi="Verdana" w:cs="Arial"/>
          <w:bCs/>
          <w:color w:val="000000" w:themeColor="text1"/>
        </w:rPr>
      </w:pPr>
      <w:r w:rsidRPr="003F27AE">
        <w:rPr>
          <w:rFonts w:ascii="Verdana" w:eastAsia="Arial" w:hAnsi="Verdana" w:cs="Arial"/>
          <w:b/>
          <w:color w:val="000000" w:themeColor="text1"/>
        </w:rPr>
        <w:t>iii.</w:t>
      </w:r>
      <w:r w:rsidRPr="003F27AE">
        <w:rPr>
          <w:rFonts w:ascii="Verdana" w:eastAsia="Arial" w:hAnsi="Verdana" w:cs="Arial"/>
          <w:bCs/>
          <w:color w:val="000000" w:themeColor="text1"/>
        </w:rPr>
        <w:t xml:space="preserve"> En consecuencia, tanto las entidades sometidas al EGAP – Estatuto General de Contratación de la Administración Pública -, como las excluidas de este, es decir, las que tienen un régimen especial, gozan de autonomía para configurar el precio y para establecer el sistema de pago propicio para satisfacer los fines de la contratación, siempre que se adhiera a los límites previstos en el ordenamiento. En esa perspectiva, es discrecional establecer en el contrato o en el pliego de condiciones (o su documento equivalente), el sistema de precios unitarios y la figura de AIU. Por ende, esta decisión debe obedecer a un riguroso análisis de oportunidad y conveniencia, que consulte las reglas de la experiencia, así como los aspectos particulares de cada negocio, en armonía con la garantía de los principios de la función administrativa y de la gestión fiscal, dentro de los cuales se halla el principio de economía, postulado que exige la optimización de los recursos públicos.</w:t>
      </w:r>
    </w:p>
    <w:p w14:paraId="507D3D0A" w14:textId="77777777" w:rsidR="00FB5E9D" w:rsidRDefault="00FB5E9D" w:rsidP="00FB5E9D">
      <w:pPr>
        <w:spacing w:after="0" w:line="276" w:lineRule="auto"/>
        <w:ind w:firstLine="709"/>
        <w:jc w:val="both"/>
        <w:rPr>
          <w:rFonts w:ascii="Verdana" w:eastAsia="Arial" w:hAnsi="Verdana" w:cs="Arial"/>
          <w:bCs/>
          <w:color w:val="000000" w:themeColor="text1"/>
        </w:rPr>
      </w:pPr>
    </w:p>
    <w:p w14:paraId="6F9B8AC9" w14:textId="77777777" w:rsidR="00FB5E9D" w:rsidRDefault="00FB5E9D" w:rsidP="00FB5E9D">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Finalmente, es importante mencionar que el porcentaje asignado a cada aspecto del AIU, puede variar según la naturaleza del proyecto, complejidad, administración, cantidad del talento humano, instalaciones, impuestos, gastos generales, entre otros aspectos que podrían considerarse como imprevistos; asimismo, las ganancias del contratista, que en este caso se conocen como la utilidad. </w:t>
      </w:r>
    </w:p>
    <w:p w14:paraId="3D283F46" w14:textId="77777777" w:rsidR="00FB5E9D" w:rsidRDefault="00FB5E9D" w:rsidP="00FB5E9D">
      <w:pPr>
        <w:spacing w:after="0" w:line="276" w:lineRule="auto"/>
        <w:ind w:firstLine="709"/>
        <w:jc w:val="both"/>
        <w:rPr>
          <w:rFonts w:ascii="Verdana" w:eastAsia="Arial" w:hAnsi="Verdana" w:cs="Arial"/>
          <w:bCs/>
          <w:color w:val="000000" w:themeColor="text1"/>
        </w:rPr>
      </w:pPr>
    </w:p>
    <w:p w14:paraId="4C103CD1" w14:textId="77777777" w:rsidR="00FB5E9D" w:rsidRDefault="00FB5E9D" w:rsidP="00FB5E9D">
      <w:pPr>
        <w:spacing w:after="0" w:line="276" w:lineRule="auto"/>
        <w:ind w:firstLine="709"/>
        <w:jc w:val="both"/>
        <w:rPr>
          <w:rFonts w:ascii="Verdana" w:eastAsia="Arial" w:hAnsi="Verdana" w:cs="Arial"/>
          <w:bCs/>
          <w:color w:val="000000" w:themeColor="text1"/>
        </w:rPr>
      </w:pPr>
      <w:r w:rsidRPr="002F203C">
        <w:rPr>
          <w:rFonts w:ascii="Verdana" w:eastAsia="Arial" w:hAnsi="Verdana" w:cs="Arial"/>
          <w:bCs/>
          <w:color w:val="000000" w:themeColor="text1"/>
        </w:rPr>
        <w:lastRenderedPageBreak/>
        <w:t xml:space="preserve">En este sentido, </w:t>
      </w:r>
      <w:r>
        <w:rPr>
          <w:rFonts w:ascii="Verdana" w:eastAsia="Arial" w:hAnsi="Verdana" w:cs="Arial"/>
          <w:bCs/>
          <w:color w:val="000000" w:themeColor="text1"/>
        </w:rPr>
        <w:t xml:space="preserve">se entiende que </w:t>
      </w:r>
      <w:r w:rsidRPr="002F203C">
        <w:rPr>
          <w:rFonts w:ascii="Verdana" w:eastAsia="Arial" w:hAnsi="Verdana" w:cs="Arial"/>
          <w:bCs/>
          <w:color w:val="000000" w:themeColor="text1"/>
        </w:rPr>
        <w:t>el cálculo del AIU, obedece exclusivamente a</w:t>
      </w:r>
      <w:r>
        <w:rPr>
          <w:rFonts w:ascii="Verdana" w:eastAsia="Arial" w:hAnsi="Verdana" w:cs="Arial"/>
          <w:bCs/>
          <w:color w:val="000000" w:themeColor="text1"/>
        </w:rPr>
        <w:t>l</w:t>
      </w:r>
      <w:r w:rsidRPr="002F203C">
        <w:rPr>
          <w:rFonts w:ascii="Verdana" w:eastAsia="Arial" w:hAnsi="Verdana" w:cs="Arial"/>
          <w:bCs/>
          <w:color w:val="000000" w:themeColor="text1"/>
        </w:rPr>
        <w:t xml:space="preserve"> análisis detallado que hacen las Entidades Estatales de acuerdo con el resultado del análisis del sector</w:t>
      </w:r>
      <w:r>
        <w:rPr>
          <w:rFonts w:ascii="Verdana" w:eastAsia="Arial" w:hAnsi="Verdana" w:cs="Arial"/>
          <w:bCs/>
          <w:color w:val="000000" w:themeColor="text1"/>
        </w:rPr>
        <w:t xml:space="preserve"> y </w:t>
      </w:r>
      <w:r w:rsidRPr="002F203C">
        <w:rPr>
          <w:rFonts w:ascii="Verdana" w:eastAsia="Arial" w:hAnsi="Verdana" w:cs="Arial"/>
          <w:bCs/>
          <w:color w:val="000000" w:themeColor="text1"/>
        </w:rPr>
        <w:t>con las condiciones particulares del proyecto o negocio, así como basados en la experiencia que tienen y en términos de administración pública, adicionalmente en los principios de economía y transparencia.</w:t>
      </w:r>
    </w:p>
    <w:p w14:paraId="25F9F658" w14:textId="77777777" w:rsidR="00FB5E9D" w:rsidRDefault="00FB5E9D" w:rsidP="00FB5E9D">
      <w:pPr>
        <w:spacing w:after="0" w:line="276" w:lineRule="auto"/>
        <w:ind w:firstLine="709"/>
        <w:jc w:val="both"/>
        <w:rPr>
          <w:rFonts w:ascii="Verdana" w:eastAsia="Arial" w:hAnsi="Verdana" w:cs="Arial"/>
          <w:bCs/>
          <w:color w:val="000000" w:themeColor="text1"/>
        </w:rPr>
      </w:pPr>
    </w:p>
    <w:p w14:paraId="016C4E56" w14:textId="77777777" w:rsidR="00FB5E9D" w:rsidRDefault="00FB5E9D" w:rsidP="00FB5E9D">
      <w:pPr>
        <w:spacing w:after="0" w:line="276" w:lineRule="auto"/>
        <w:ind w:firstLine="709"/>
        <w:jc w:val="both"/>
        <w:rPr>
          <w:rFonts w:ascii="Verdana" w:eastAsia="Arial" w:hAnsi="Verdana" w:cs="Arial"/>
          <w:bCs/>
          <w:color w:val="000000" w:themeColor="text1"/>
        </w:rPr>
      </w:pPr>
      <w:r w:rsidRPr="00EB44F1">
        <w:rPr>
          <w:rFonts w:ascii="Verdana" w:eastAsia="Arial" w:hAnsi="Verdana" w:cs="Arial"/>
          <w:b/>
          <w:color w:val="000000" w:themeColor="text1"/>
        </w:rPr>
        <w:t xml:space="preserve">iv. </w:t>
      </w:r>
      <w:r>
        <w:rPr>
          <w:rFonts w:ascii="Verdana" w:eastAsia="Arial" w:hAnsi="Verdana" w:cs="Arial"/>
          <w:bCs/>
          <w:color w:val="000000" w:themeColor="text1"/>
        </w:rPr>
        <w:t xml:space="preserve">Así las cosas, frente al problema jurídico planteado, debido a que el AIU no constituye una modalidad contractual, ni un elemento esencial del contrato, sino que se caracteriza por ser un mecanismo técnico de estructuración presupuestal, esta Agencia considera que, desde el punto de vista jurídico no existe disposición legal que establezca que el AIU – Administración, imprevistos y Utilidad – sea exclusivo de una tipología contractual. Por el contrario, su utilización estará sujeta a una serie de elementos que la Entidad Estatal deberá analizar rigurosamente en la etapa de planeación precontractual: naturaleza y tipificación del objeto del contrato, la forma en que desee estructurar los costos, debida justificación en los estudios previos -estudios del sector y del mercado-, observancia y cumplimiento de principios de planeación y transparencia y demás de la función administrativa. </w:t>
      </w:r>
    </w:p>
    <w:p w14:paraId="3305EDD8" w14:textId="77777777" w:rsidR="00FB5E9D" w:rsidRPr="00CE2A7D" w:rsidRDefault="00FB5E9D" w:rsidP="00FB5E9D">
      <w:pPr>
        <w:spacing w:after="0" w:line="276" w:lineRule="auto"/>
        <w:jc w:val="both"/>
        <w:rPr>
          <w:rFonts w:ascii="Verdana" w:eastAsia="Arial" w:hAnsi="Verdana" w:cs="Arial"/>
          <w:bCs/>
          <w:color w:val="000000" w:themeColor="text1"/>
        </w:rPr>
      </w:pPr>
    </w:p>
    <w:p w14:paraId="05823E95" w14:textId="77777777" w:rsidR="00FB5E9D" w:rsidRPr="005C170B" w:rsidRDefault="00FB5E9D" w:rsidP="00FB5E9D">
      <w:pPr>
        <w:tabs>
          <w:tab w:val="left" w:pos="0"/>
        </w:tabs>
        <w:spacing w:after="120" w:line="276" w:lineRule="auto"/>
        <w:ind w:firstLine="709"/>
        <w:jc w:val="both"/>
        <w:rPr>
          <w:rFonts w:ascii="Verdana" w:eastAsia="Arial" w:hAnsi="Verdana" w:cs="Arial"/>
          <w:color w:val="000000"/>
        </w:rPr>
      </w:pPr>
      <w:r w:rsidRPr="00470C26">
        <w:rPr>
          <w:rFonts w:ascii="Verdana" w:eastAsia="Calibri" w:hAnsi="Verdana" w:cs="Arial"/>
          <w:b/>
          <w:color w:val="000000" w:themeColor="text1"/>
        </w:rPr>
        <w:t>v</w:t>
      </w:r>
      <w:r w:rsidRPr="00470C26">
        <w:rPr>
          <w:rFonts w:ascii="Verdana" w:eastAsia="Calibri" w:hAnsi="Verdana" w:cs="Arial"/>
          <w:bCs/>
          <w:color w:val="000000" w:themeColor="text1"/>
        </w:rPr>
        <w:t>. Al margen de la explicación precedente, debe advertirse que el análisis requerido para resolver problemas específicos en torno</w:t>
      </w:r>
      <w:r w:rsidRPr="005C170B">
        <w:rPr>
          <w:rFonts w:ascii="Verdana" w:eastAsia="Calibri" w:hAnsi="Verdana" w:cs="Arial"/>
          <w:bCs/>
          <w:color w:val="000000" w:themeColor="text1"/>
        </w:rPr>
        <w:t xml:space="preserve">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A78134" w14:textId="77777777" w:rsidR="00FB5E9D" w:rsidRPr="005C170B" w:rsidRDefault="00FB5E9D" w:rsidP="00FB5E9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5C170B">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65148A62" w14:textId="77777777" w:rsidR="00FB5E9D" w:rsidRPr="005C170B" w:rsidRDefault="00FB5E9D" w:rsidP="00FB5E9D">
      <w:pPr>
        <w:widowControl w:val="0"/>
        <w:autoSpaceDE w:val="0"/>
        <w:autoSpaceDN w:val="0"/>
        <w:spacing w:after="0" w:line="276" w:lineRule="auto"/>
        <w:jc w:val="both"/>
        <w:rPr>
          <w:rFonts w:ascii="Verdana" w:hAnsi="Verdana" w:cs="Arial"/>
        </w:rPr>
      </w:pPr>
    </w:p>
    <w:p w14:paraId="600DB5C7" w14:textId="77777777" w:rsidR="00FB5E9D" w:rsidRPr="005C170B" w:rsidRDefault="00FB5E9D" w:rsidP="00FB5E9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09038DE1" w14:textId="77777777" w:rsidR="00FB5E9D" w:rsidRPr="005C170B" w:rsidRDefault="00FB5E9D" w:rsidP="00FB5E9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B5E9D" w:rsidRPr="005C170B" w14:paraId="3AEA5410" w14:textId="77777777" w:rsidTr="00C6519E">
        <w:trPr>
          <w:trHeight w:val="870"/>
        </w:trPr>
        <w:tc>
          <w:tcPr>
            <w:tcW w:w="8647" w:type="dxa"/>
          </w:tcPr>
          <w:p w14:paraId="6866AA81" w14:textId="77777777" w:rsidR="00FB5E9D" w:rsidRPr="001D2BAF" w:rsidRDefault="00FB5E9D" w:rsidP="00BC7336">
            <w:pPr>
              <w:numPr>
                <w:ilvl w:val="0"/>
                <w:numId w:val="17"/>
              </w:numPr>
              <w:spacing w:before="100" w:beforeAutospacing="1" w:line="276" w:lineRule="auto"/>
              <w:jc w:val="both"/>
              <w:rPr>
                <w:rFonts w:ascii="Verdana" w:eastAsia="Times New Roman" w:hAnsi="Verdana" w:cs="Times New Roman"/>
                <w:lang w:eastAsia="es-CO"/>
              </w:rPr>
            </w:pPr>
            <w:r w:rsidRPr="001D2BAF">
              <w:rPr>
                <w:rFonts w:ascii="Verdana" w:eastAsia="Times New Roman" w:hAnsi="Verdana" w:cs="Times New Roman"/>
                <w:lang w:eastAsia="es-CO"/>
              </w:rPr>
              <w:t>PINO RICCI, Jorge. El régimen jurídico de los contratos estatales. Universidad Externado de Colombia. Bogotá, 2005.</w:t>
            </w:r>
          </w:p>
          <w:p w14:paraId="45A818CA" w14:textId="77777777" w:rsidR="00FB5E9D" w:rsidRPr="001D2BAF" w:rsidRDefault="00FB5E9D" w:rsidP="00BC7336">
            <w:pPr>
              <w:numPr>
                <w:ilvl w:val="0"/>
                <w:numId w:val="17"/>
              </w:numPr>
              <w:spacing w:before="100" w:beforeAutospacing="1" w:line="276" w:lineRule="auto"/>
              <w:jc w:val="both"/>
              <w:rPr>
                <w:rFonts w:ascii="Verdana" w:eastAsia="Times New Roman" w:hAnsi="Verdana" w:cs="Times New Roman"/>
                <w:lang w:eastAsia="es-CO"/>
              </w:rPr>
            </w:pPr>
            <w:r w:rsidRPr="001D2BAF">
              <w:rPr>
                <w:rFonts w:ascii="Verdana" w:eastAsia="Times New Roman" w:hAnsi="Verdana" w:cs="Times New Roman"/>
                <w:lang w:eastAsia="es-CO"/>
              </w:rPr>
              <w:t xml:space="preserve">Consejo de Estado. Sección Tercera. Subsección B. Sentencia del 14 de octubre de 2011. </w:t>
            </w:r>
            <w:proofErr w:type="spellStart"/>
            <w:r w:rsidRPr="001D2BAF">
              <w:rPr>
                <w:rFonts w:ascii="Verdana" w:eastAsia="Times New Roman" w:hAnsi="Verdana" w:cs="Times New Roman"/>
                <w:lang w:eastAsia="es-CO"/>
              </w:rPr>
              <w:t>Exp</w:t>
            </w:r>
            <w:proofErr w:type="spellEnd"/>
            <w:r w:rsidRPr="001D2BAF">
              <w:rPr>
                <w:rFonts w:ascii="Verdana" w:eastAsia="Times New Roman" w:hAnsi="Verdana" w:cs="Times New Roman"/>
                <w:lang w:eastAsia="es-CO"/>
              </w:rPr>
              <w:t>. 20811, C.P. Ruth Stella Correa Palacio</w:t>
            </w:r>
            <w:r>
              <w:rPr>
                <w:rFonts w:ascii="Verdana" w:eastAsia="Times New Roman" w:hAnsi="Verdana" w:cs="Times New Roman"/>
                <w:lang w:eastAsia="es-CO"/>
              </w:rPr>
              <w:t>.</w:t>
            </w:r>
          </w:p>
          <w:p w14:paraId="5CCBD5DF" w14:textId="77777777" w:rsidR="00FB5E9D" w:rsidRPr="001D2BAF" w:rsidRDefault="00FB5E9D" w:rsidP="00BC7336">
            <w:pPr>
              <w:numPr>
                <w:ilvl w:val="0"/>
                <w:numId w:val="17"/>
              </w:numPr>
              <w:spacing w:before="100" w:beforeAutospacing="1" w:line="276" w:lineRule="auto"/>
              <w:jc w:val="both"/>
              <w:rPr>
                <w:rFonts w:ascii="Verdana" w:eastAsia="Times New Roman" w:hAnsi="Verdana" w:cs="Times New Roman"/>
                <w:lang w:eastAsia="es-CO"/>
              </w:rPr>
            </w:pPr>
            <w:r w:rsidRPr="001D2BAF">
              <w:rPr>
                <w:rFonts w:ascii="Verdana" w:eastAsia="Times New Roman" w:hAnsi="Verdana" w:cs="Times New Roman"/>
                <w:lang w:eastAsia="es-CO"/>
              </w:rPr>
              <w:t>Consejo de Estado. Sala de Consulta y Servicio Civil. Concepto del 5 de septiembre de 2018, radicado No. 11001-03-06-000-2018-00124-00 C.P. Édgar González López.</w:t>
            </w:r>
          </w:p>
          <w:p w14:paraId="1F592B99" w14:textId="6A0DF5F8" w:rsidR="00FB5E9D" w:rsidRPr="004C3A77" w:rsidRDefault="00FB5E9D" w:rsidP="004C3A77">
            <w:pPr>
              <w:numPr>
                <w:ilvl w:val="0"/>
                <w:numId w:val="17"/>
              </w:numPr>
              <w:spacing w:before="100" w:beforeAutospacing="1" w:line="276" w:lineRule="auto"/>
              <w:jc w:val="both"/>
              <w:rPr>
                <w:rFonts w:ascii="Verdana" w:eastAsia="Times New Roman" w:hAnsi="Verdana" w:cs="Times New Roman"/>
                <w:lang w:eastAsia="es-CO"/>
              </w:rPr>
            </w:pPr>
            <w:r w:rsidRPr="001D2BAF">
              <w:rPr>
                <w:rFonts w:ascii="Verdana" w:eastAsia="Times New Roman" w:hAnsi="Verdana" w:cs="Times New Roman"/>
                <w:lang w:eastAsia="es-CO"/>
              </w:rPr>
              <w:t>MARÍN CORTÉS, Fabian G., El precio. Serie: Las Cláusulas del Contrato Estatal, Ed. Jurídica Sánchez R. Bogotá, 2012.</w:t>
            </w:r>
          </w:p>
        </w:tc>
      </w:tr>
    </w:tbl>
    <w:p w14:paraId="4AA7CE97" w14:textId="77777777" w:rsidR="00FB5E9D" w:rsidRPr="005C170B" w:rsidRDefault="00FB5E9D" w:rsidP="00FB5E9D">
      <w:pPr>
        <w:widowControl w:val="0"/>
        <w:autoSpaceDE w:val="0"/>
        <w:autoSpaceDN w:val="0"/>
        <w:spacing w:after="0" w:line="276" w:lineRule="auto"/>
        <w:jc w:val="both"/>
        <w:rPr>
          <w:rFonts w:ascii="Verdana" w:hAnsi="Verdana" w:cs="Arial"/>
        </w:rPr>
      </w:pPr>
    </w:p>
    <w:p w14:paraId="22AD5C76" w14:textId="77777777" w:rsidR="00FB5E9D" w:rsidRPr="001D2BAF" w:rsidRDefault="00FB5E9D" w:rsidP="00FB5E9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2BAF">
        <w:rPr>
          <w:rFonts w:ascii="Verdana" w:eastAsia="Century Gothic" w:hAnsi="Verdana" w:cs="Century Gothic"/>
          <w:b/>
          <w:bCs/>
        </w:rPr>
        <w:t>Doctrina de la Agencia Nacional de Contratación Pública:</w:t>
      </w:r>
    </w:p>
    <w:p w14:paraId="6FC0DA07" w14:textId="77777777" w:rsidR="00FB5E9D" w:rsidRPr="005C170B" w:rsidRDefault="00FB5E9D" w:rsidP="00FB5E9D">
      <w:pPr>
        <w:widowControl w:val="0"/>
        <w:autoSpaceDE w:val="0"/>
        <w:autoSpaceDN w:val="0"/>
        <w:spacing w:after="0" w:line="276" w:lineRule="auto"/>
        <w:jc w:val="both"/>
        <w:rPr>
          <w:rFonts w:ascii="Verdana" w:hAnsi="Verdana" w:cs="Arial"/>
        </w:rPr>
      </w:pPr>
    </w:p>
    <w:p w14:paraId="54794377" w14:textId="77777777" w:rsidR="00FB5E9D" w:rsidRDefault="00FB5E9D" w:rsidP="00FB5E9D">
      <w:pPr>
        <w:widowControl w:val="0"/>
        <w:autoSpaceDE w:val="0"/>
        <w:autoSpaceDN w:val="0"/>
        <w:spacing w:after="0" w:line="276" w:lineRule="auto"/>
        <w:jc w:val="both"/>
        <w:rPr>
          <w:rFonts w:ascii="Verdana" w:eastAsia="Calibri" w:hAnsi="Verdana" w:cs="Arial"/>
          <w:shd w:val="clear" w:color="auto" w:fill="FFFFFF"/>
        </w:rPr>
      </w:pPr>
      <w:r w:rsidRPr="005C170B">
        <w:rPr>
          <w:rFonts w:ascii="Verdana" w:hAnsi="Verdana" w:cs="Arial"/>
          <w:shd w:val="clear" w:color="auto" w:fill="FFFFFF"/>
        </w:rPr>
        <w:t xml:space="preserve">Esta Subdirección se ha pronunciado sobre </w:t>
      </w:r>
      <w:r w:rsidRPr="002C0853">
        <w:rPr>
          <w:rFonts w:ascii="Verdana" w:eastAsia="Calibri" w:hAnsi="Verdana" w:cs="Arial"/>
          <w:shd w:val="clear" w:color="auto" w:fill="FFFFFF"/>
        </w:rPr>
        <w:t>el análisis de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C-1000 del 14 de enero de 2025 y C-248 del 3 de abril de 2025</w:t>
      </w:r>
      <w:r>
        <w:rPr>
          <w:rFonts w:ascii="Verdana" w:eastAsia="Calibri" w:hAnsi="Verdana" w:cs="Arial"/>
          <w:shd w:val="clear" w:color="auto" w:fill="FFFFFF"/>
        </w:rPr>
        <w:t xml:space="preserve">. </w:t>
      </w:r>
    </w:p>
    <w:p w14:paraId="4B1E0F0F" w14:textId="77777777" w:rsidR="00FB5E9D" w:rsidRDefault="00FB5E9D" w:rsidP="00FB5E9D">
      <w:pPr>
        <w:widowControl w:val="0"/>
        <w:autoSpaceDE w:val="0"/>
        <w:autoSpaceDN w:val="0"/>
        <w:spacing w:after="0" w:line="276" w:lineRule="auto"/>
        <w:jc w:val="both"/>
        <w:rPr>
          <w:rFonts w:ascii="Verdana" w:eastAsia="Calibri" w:hAnsi="Verdana" w:cs="Arial"/>
          <w:shd w:val="clear" w:color="auto" w:fill="FFFFFF"/>
        </w:rPr>
      </w:pPr>
    </w:p>
    <w:p w14:paraId="5B34A2B1" w14:textId="77777777" w:rsidR="00FB5E9D" w:rsidRPr="002C0853" w:rsidRDefault="00FB5E9D" w:rsidP="00FB5E9D">
      <w:pPr>
        <w:widowControl w:val="0"/>
        <w:autoSpaceDE w:val="0"/>
        <w:autoSpaceDN w:val="0"/>
        <w:spacing w:after="0" w:line="276" w:lineRule="auto"/>
        <w:jc w:val="both"/>
        <w:rPr>
          <w:rFonts w:ascii="Verdana" w:eastAsia="Calibri" w:hAnsi="Verdana" w:cs="Arial"/>
          <w:shd w:val="clear" w:color="auto" w:fill="FFFFFF"/>
        </w:rPr>
      </w:pPr>
      <w:r w:rsidRPr="002C0853">
        <w:rPr>
          <w:rFonts w:ascii="Verdana" w:eastAsia="Times New Roman" w:hAnsi="Verdana" w:cs="Arial"/>
          <w:kern w:val="2"/>
          <w:shd w:val="clear" w:color="auto" w:fill="FFFFFF"/>
          <w:lang w:val="es-ES"/>
          <w14:ligatures w14:val="standardContextual"/>
        </w:rPr>
        <w:t xml:space="preserve">Por otra parte, la Agencia Nacional de Contratación Pública </w:t>
      </w:r>
      <w:r w:rsidRPr="002C0853">
        <w:rPr>
          <w:rFonts w:ascii="Verdana" w:eastAsia="Calibri" w:hAnsi="Verdana" w:cs="Arial"/>
          <w:shd w:val="clear" w:color="auto" w:fill="FFFFFF"/>
        </w:rPr>
        <w:t xml:space="preserve">– Colombia Compra </w:t>
      </w:r>
      <w:r w:rsidRPr="002C0853">
        <w:rPr>
          <w:rFonts w:ascii="Verdana" w:eastAsia="Calibri" w:hAnsi="Verdana" w:cs="Arial"/>
          <w:shd w:val="clear" w:color="auto" w:fill="FFFFFF"/>
        </w:rPr>
        <w:lastRenderedPageBreak/>
        <w:t>Eficiente se pronunció sobre el alcance del análisis de precios unitarios en los documentos tipo, entre otros en los siguientes conceptos: C-067 del 2 de marzo de 2025, C-356 del 6 de julio de 2025, C-593 del 13 de septiembre de 2022 y C-445 del 5 de diciembre de 2023.</w:t>
      </w:r>
    </w:p>
    <w:p w14:paraId="0D523DE4" w14:textId="77777777" w:rsidR="00FB5E9D" w:rsidRPr="002C0853" w:rsidRDefault="00FB5E9D" w:rsidP="00FB5E9D">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271D0249" w14:textId="77777777" w:rsidR="00FB5E9D" w:rsidRPr="00D337F6" w:rsidRDefault="00FB5E9D" w:rsidP="00FB5E9D">
      <w:pPr>
        <w:widowControl w:val="0"/>
        <w:autoSpaceDE w:val="0"/>
        <w:autoSpaceDN w:val="0"/>
        <w:spacing w:after="0" w:line="276" w:lineRule="auto"/>
        <w:jc w:val="both"/>
        <w:rPr>
          <w:rStyle w:val="normaltextrun"/>
          <w:rFonts w:ascii="Verdana" w:eastAsia="Times New Roman" w:hAnsi="Verdana" w:cs="Arial"/>
          <w:kern w:val="2"/>
          <w:shd w:val="clear" w:color="auto" w:fill="FFFFFF"/>
          <w:lang w:val="es-ES"/>
          <w14:ligatures w14:val="standardContextual"/>
        </w:rPr>
      </w:pPr>
      <w:r w:rsidRPr="002C0853">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r>
        <w:rPr>
          <w:rFonts w:ascii="Verdana" w:eastAsia="Times New Roman" w:hAnsi="Verdana" w:cs="Arial"/>
          <w:kern w:val="2"/>
          <w:shd w:val="clear" w:color="auto" w:fill="FFFFFF"/>
          <w:lang w:val="es-ES"/>
          <w14:ligatures w14:val="standardContextual"/>
        </w:rPr>
        <w:t xml:space="preserve"> </w:t>
      </w:r>
      <w:hyperlink r:id="rId12" w:history="1">
        <w:r w:rsidRPr="009A62EF">
          <w:rPr>
            <w:rStyle w:val="Hipervnculo"/>
            <w:rFonts w:ascii="Verdana" w:hAnsi="Verdana" w:cs="Arial"/>
            <w:shd w:val="clear" w:color="auto" w:fill="FFFFFF"/>
          </w:rPr>
          <w:t>https://relatoria.colombiacompra.gov.co/busqueda/conceptos</w:t>
        </w:r>
      </w:hyperlink>
      <w:r w:rsidRPr="005C170B">
        <w:rPr>
          <w:rStyle w:val="Hipervnculo"/>
          <w:rFonts w:ascii="Verdana" w:hAnsi="Verdana"/>
        </w:rPr>
        <w:t>.</w:t>
      </w:r>
      <w:r w:rsidRPr="005C170B">
        <w:rPr>
          <w:rStyle w:val="normaltextrun"/>
          <w:rFonts w:ascii="Verdana" w:hAnsi="Verdana" w:cs="Arial"/>
          <w:color w:val="000000" w:themeColor="text1"/>
          <w:shd w:val="clear" w:color="auto" w:fill="FFFFFF"/>
        </w:rPr>
        <w:t xml:space="preserve"> </w:t>
      </w:r>
      <w:r w:rsidRPr="005C170B">
        <w:rPr>
          <w:rStyle w:val="normaltextrun"/>
          <w:rFonts w:ascii="Verdana" w:hAnsi="Verdana" w:cs="Arial"/>
          <w:color w:val="000000" w:themeColor="text1"/>
          <w:shd w:val="clear" w:color="auto" w:fill="FFFFFF"/>
          <w:lang w:val="es-ES"/>
        </w:rPr>
        <w:t xml:space="preserve"> </w:t>
      </w:r>
    </w:p>
    <w:p w14:paraId="1EED75AD" w14:textId="77777777" w:rsidR="00FB5E9D" w:rsidRPr="005C170B" w:rsidRDefault="00FB5E9D" w:rsidP="00FB5E9D">
      <w:pPr>
        <w:spacing w:after="0" w:line="240" w:lineRule="auto"/>
        <w:jc w:val="both"/>
        <w:rPr>
          <w:rFonts w:ascii="Verdana" w:hAnsi="Verdana"/>
        </w:rPr>
      </w:pPr>
    </w:p>
    <w:p w14:paraId="16C82872" w14:textId="77777777" w:rsidR="00FB5E9D" w:rsidRPr="005C170B" w:rsidRDefault="00FB5E9D" w:rsidP="00FB5E9D">
      <w:pPr>
        <w:spacing w:after="0" w:line="240" w:lineRule="auto"/>
        <w:jc w:val="both"/>
        <w:rPr>
          <w:rFonts w:ascii="Verdana" w:hAnsi="Verdana"/>
        </w:rPr>
      </w:pPr>
      <w:r w:rsidRPr="005C170B">
        <w:rPr>
          <w:rFonts w:ascii="Verdana" w:hAnsi="Verdana"/>
        </w:rPr>
        <w:t xml:space="preserve">Por último, lo invitamos a seguirnos en las redes sociales en las cuales se difunde información institucional: </w:t>
      </w:r>
    </w:p>
    <w:p w14:paraId="17C4528A" w14:textId="77777777" w:rsidR="00FB5E9D" w:rsidRPr="005C170B" w:rsidRDefault="00FB5E9D" w:rsidP="00FB5E9D">
      <w:pPr>
        <w:spacing w:after="0" w:line="240" w:lineRule="auto"/>
        <w:jc w:val="both"/>
        <w:rPr>
          <w:rFonts w:ascii="Verdana" w:hAnsi="Verdana"/>
        </w:rPr>
      </w:pPr>
    </w:p>
    <w:p w14:paraId="619F49A7" w14:textId="77777777" w:rsidR="00FB5E9D" w:rsidRPr="005C170B" w:rsidRDefault="00FB5E9D" w:rsidP="00FB5E9D">
      <w:pPr>
        <w:spacing w:after="0" w:line="240"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36D97D7C" w14:textId="77777777" w:rsidR="00FB5E9D" w:rsidRPr="005C170B" w:rsidRDefault="00FB5E9D" w:rsidP="00FB5E9D">
      <w:pPr>
        <w:spacing w:after="0" w:line="240" w:lineRule="auto"/>
        <w:jc w:val="both"/>
        <w:rPr>
          <w:rFonts w:ascii="Verdana" w:hAnsi="Verdana"/>
        </w:rPr>
      </w:pPr>
      <w:r w:rsidRPr="005C170B">
        <w:rPr>
          <w:rFonts w:ascii="Verdana" w:hAnsi="Verdana"/>
        </w:rPr>
        <w:t xml:space="preserve">Facebook: </w:t>
      </w:r>
      <w:proofErr w:type="spellStart"/>
      <w:r w:rsidRPr="005C170B">
        <w:rPr>
          <w:rStyle w:val="Hipervnculo"/>
          <w:rFonts w:ascii="Verdana" w:hAnsi="Verdana"/>
        </w:rPr>
        <w:t>ColombiaCompraEficiente</w:t>
      </w:r>
      <w:proofErr w:type="spellEnd"/>
    </w:p>
    <w:p w14:paraId="50AFD483" w14:textId="77777777" w:rsidR="00FB5E9D" w:rsidRPr="005C170B" w:rsidRDefault="00FB5E9D" w:rsidP="00FB5E9D">
      <w:pPr>
        <w:spacing w:after="0" w:line="240"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047896F6" w14:textId="77777777" w:rsidR="00FB5E9D" w:rsidRPr="005C170B" w:rsidRDefault="00FB5E9D" w:rsidP="00FB5E9D">
      <w:pPr>
        <w:widowControl w:val="0"/>
        <w:autoSpaceDE w:val="0"/>
        <w:autoSpaceDN w:val="0"/>
        <w:spacing w:after="0" w:line="276" w:lineRule="auto"/>
        <w:jc w:val="both"/>
        <w:rPr>
          <w:rFonts w:ascii="Verdana" w:hAnsi="Verdana" w:cs="Arial"/>
        </w:rPr>
      </w:pPr>
    </w:p>
    <w:p w14:paraId="21440807" w14:textId="77777777" w:rsidR="00FB5E9D" w:rsidRPr="005C170B" w:rsidRDefault="00FB5E9D" w:rsidP="00FB5E9D">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49F4B1E9" w14:textId="77777777" w:rsidR="00FB5E9D" w:rsidRPr="005C170B" w:rsidRDefault="00FB5E9D" w:rsidP="00FB5E9D">
      <w:pPr>
        <w:widowControl w:val="0"/>
        <w:autoSpaceDE w:val="0"/>
        <w:autoSpaceDN w:val="0"/>
        <w:spacing w:after="0" w:line="276" w:lineRule="auto"/>
        <w:jc w:val="both"/>
        <w:rPr>
          <w:rFonts w:ascii="Verdana" w:hAnsi="Verdana" w:cs="Arial"/>
        </w:rPr>
      </w:pPr>
    </w:p>
    <w:p w14:paraId="4B5A086B" w14:textId="77777777" w:rsidR="00FB5E9D" w:rsidRPr="005C170B" w:rsidRDefault="00FB5E9D" w:rsidP="00FB5E9D">
      <w:pPr>
        <w:spacing w:after="0" w:line="240"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56B0C676" w14:textId="78BB6320" w:rsidR="00FB5E9D" w:rsidRPr="005C170B" w:rsidRDefault="00EC41E1" w:rsidP="00EC41E1">
      <w:pPr>
        <w:spacing w:line="276" w:lineRule="auto"/>
        <w:jc w:val="center"/>
        <w:rPr>
          <w:rFonts w:ascii="Verdana" w:hAnsi="Verdana" w:cs="Arial"/>
          <w:color w:val="000000"/>
          <w:lang w:eastAsia="es-CO"/>
        </w:rPr>
      </w:pPr>
      <w:r w:rsidRPr="00EC41E1">
        <w:rPr>
          <w:rFonts w:ascii="Verdana" w:hAnsi="Verdana" w:cs="Arial"/>
          <w:noProof/>
          <w:color w:val="000000"/>
          <w:lang w:eastAsia="es-CO"/>
        </w:rPr>
        <w:drawing>
          <wp:inline distT="0" distB="0" distL="0" distR="0" wp14:anchorId="01361CBD" wp14:editId="61C55413">
            <wp:extent cx="2508841" cy="993277"/>
            <wp:effectExtent l="0" t="0" r="6350" b="0"/>
            <wp:docPr id="135582087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4396" cy="99547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B5E9D" w:rsidRPr="005C170B" w14:paraId="6E70AAAA" w14:textId="77777777" w:rsidTr="00C6519E">
        <w:trPr>
          <w:trHeight w:val="315"/>
        </w:trPr>
        <w:tc>
          <w:tcPr>
            <w:tcW w:w="893" w:type="dxa"/>
            <w:vAlign w:val="center"/>
            <w:hideMark/>
          </w:tcPr>
          <w:p w14:paraId="56BA8A7C" w14:textId="77777777" w:rsidR="00FB5E9D" w:rsidRPr="005C170B" w:rsidRDefault="00FB5E9D" w:rsidP="00C6519E">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D5FAD49" w14:textId="77777777" w:rsidR="00FB5E9D" w:rsidRPr="005C170B" w:rsidRDefault="00FB5E9D" w:rsidP="00C6519E">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6A87951F" w14:textId="77777777" w:rsidR="00FB5E9D" w:rsidRPr="005C170B" w:rsidRDefault="00FB5E9D" w:rsidP="00C6519E">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FB5E9D" w:rsidRPr="005C170B" w14:paraId="2FD162B7" w14:textId="77777777" w:rsidTr="00C6519E">
        <w:trPr>
          <w:trHeight w:val="330"/>
        </w:trPr>
        <w:tc>
          <w:tcPr>
            <w:tcW w:w="893" w:type="dxa"/>
            <w:vAlign w:val="center"/>
            <w:hideMark/>
          </w:tcPr>
          <w:p w14:paraId="735024E1" w14:textId="77777777" w:rsidR="00FB5E9D" w:rsidRPr="005C170B" w:rsidRDefault="00FB5E9D" w:rsidP="00C6519E">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A3C5F2" w14:textId="77777777" w:rsidR="00FB5E9D" w:rsidRPr="005C170B" w:rsidRDefault="00FB5E9D" w:rsidP="00C6519E">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Lucía Saavedra Castañeda</w:t>
            </w:r>
          </w:p>
          <w:p w14:paraId="79EDB8A4" w14:textId="77777777" w:rsidR="00FB5E9D" w:rsidRPr="005C170B" w:rsidRDefault="00FB5E9D" w:rsidP="00C6519E">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FB5E9D" w:rsidRPr="005C170B" w14:paraId="6E3D99BC" w14:textId="77777777" w:rsidTr="00C6519E">
        <w:trPr>
          <w:trHeight w:val="300"/>
        </w:trPr>
        <w:tc>
          <w:tcPr>
            <w:tcW w:w="893" w:type="dxa"/>
            <w:vAlign w:val="center"/>
          </w:tcPr>
          <w:p w14:paraId="0EC4D921" w14:textId="77777777" w:rsidR="00FB5E9D" w:rsidRPr="005C170B" w:rsidRDefault="00FB5E9D" w:rsidP="00C6519E">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CA87E1" w14:textId="77777777" w:rsidR="00FB5E9D" w:rsidRPr="005C170B" w:rsidRDefault="00FB5E9D" w:rsidP="00C6519E">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64CB81C0" w14:textId="77777777" w:rsidR="00FB5E9D" w:rsidRPr="005C170B" w:rsidRDefault="00FB5E9D" w:rsidP="00C6519E">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16CA770A" w:rsidR="00127233" w:rsidRPr="0015699B" w:rsidRDefault="00C15139" w:rsidP="00B222A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C72FB" w14:textId="77777777" w:rsidR="004E4C16" w:rsidRDefault="004E4C16" w:rsidP="004A1847">
      <w:pPr>
        <w:spacing w:after="0" w:line="240" w:lineRule="auto"/>
      </w:pPr>
      <w:r>
        <w:separator/>
      </w:r>
    </w:p>
  </w:endnote>
  <w:endnote w:type="continuationSeparator" w:id="0">
    <w:p w14:paraId="301038AD" w14:textId="77777777" w:rsidR="004E4C16" w:rsidRDefault="004E4C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32131" w14:textId="77777777" w:rsidR="004E4C16" w:rsidRDefault="004E4C16" w:rsidP="004A1847">
      <w:pPr>
        <w:spacing w:after="0" w:line="240" w:lineRule="auto"/>
      </w:pPr>
      <w:r>
        <w:separator/>
      </w:r>
    </w:p>
  </w:footnote>
  <w:footnote w:type="continuationSeparator" w:id="0">
    <w:p w14:paraId="13093C6B" w14:textId="77777777" w:rsidR="004E4C16" w:rsidRDefault="004E4C16" w:rsidP="004A1847">
      <w:pPr>
        <w:spacing w:after="0" w:line="240" w:lineRule="auto"/>
      </w:pPr>
      <w:r>
        <w:continuationSeparator/>
      </w:r>
    </w:p>
  </w:footnote>
  <w:footnote w:id="1">
    <w:p w14:paraId="4E24614C" w14:textId="77777777" w:rsidR="00FB5E9D" w:rsidRPr="003D2C48" w:rsidRDefault="00FB5E9D" w:rsidP="00FB5E9D">
      <w:pPr>
        <w:pStyle w:val="Textonotapie"/>
        <w:jc w:val="both"/>
        <w:rPr>
          <w:rFonts w:ascii="Verdana" w:hAnsi="Verdana"/>
          <w:sz w:val="16"/>
          <w:szCs w:val="16"/>
        </w:rPr>
      </w:pPr>
      <w:r w:rsidRPr="003D2C48">
        <w:rPr>
          <w:rStyle w:val="Refdenotaalpie"/>
          <w:rFonts w:ascii="Verdana" w:hAnsi="Verdana"/>
          <w:sz w:val="16"/>
          <w:szCs w:val="16"/>
        </w:rPr>
        <w:footnoteRef/>
      </w:r>
      <w:r w:rsidRPr="003D2C48">
        <w:rPr>
          <w:rFonts w:ascii="Verdana" w:hAnsi="Verdana"/>
          <w:sz w:val="16"/>
          <w:szCs w:val="16"/>
        </w:rPr>
        <w:t xml:space="preserve"> PINO RICCI, Jorge. El régimen jurídico de los contratos estatales. Universidad Externado de Colombia. Bogotá, 2005. pp. 416.</w:t>
      </w:r>
    </w:p>
  </w:footnote>
  <w:footnote w:id="2">
    <w:p w14:paraId="64B57367" w14:textId="77777777" w:rsidR="00FB5E9D" w:rsidRDefault="00FB5E9D" w:rsidP="00FB5E9D">
      <w:pPr>
        <w:pStyle w:val="Textonotapie"/>
        <w:jc w:val="both"/>
      </w:pPr>
      <w:r>
        <w:rPr>
          <w:rStyle w:val="Refdenotaalpie"/>
        </w:rPr>
        <w:footnoteRef/>
      </w:r>
      <w:r>
        <w:t xml:space="preserve"> </w:t>
      </w:r>
      <w:r w:rsidRPr="00A51FE5">
        <w:rPr>
          <w:rFonts w:ascii="Verdana" w:hAnsi="Verdana"/>
          <w:sz w:val="16"/>
          <w:szCs w:val="16"/>
          <w:lang w:val="es-CO"/>
        </w:rPr>
        <w:t>CONSEJO DE ESTADO. Sección Tercera. Subsección B. Sentencia del 14 de octubre de 2011. Exp. 20811, C.P. Ruth Stella Correa Palacio</w:t>
      </w:r>
      <w:r w:rsidRPr="00A51FE5">
        <w:rPr>
          <w:lang w:val="es-CO"/>
        </w:rPr>
        <w:t>.</w:t>
      </w:r>
    </w:p>
  </w:footnote>
  <w:footnote w:id="3">
    <w:p w14:paraId="20192B9C" w14:textId="77777777" w:rsidR="00FB5E9D" w:rsidRDefault="00FB5E9D" w:rsidP="00FB5E9D">
      <w:pPr>
        <w:pStyle w:val="Textonotapie"/>
        <w:jc w:val="both"/>
      </w:pPr>
      <w:r>
        <w:rPr>
          <w:rStyle w:val="Refdenotaalpie"/>
        </w:rPr>
        <w:footnoteRef/>
      </w:r>
      <w:r>
        <w:t xml:space="preserve"> </w:t>
      </w:r>
      <w:r w:rsidRPr="00CB38B7">
        <w:rPr>
          <w:rFonts w:ascii="Verdana" w:hAnsi="Verdana"/>
          <w:sz w:val="16"/>
          <w:szCs w:val="16"/>
          <w:lang w:val="es-CO"/>
        </w:rPr>
        <w:t>CONSEJO DE ESTADO. Sala de Consulta y Servicio Civil. Concepto del 5 de septiembre de 2018, radicado No. 11001-03-06-000-2018-00124-00 C.P. Édgar González López.</w:t>
      </w:r>
    </w:p>
  </w:footnote>
  <w:footnote w:id="4">
    <w:p w14:paraId="00AAB673" w14:textId="77777777" w:rsidR="00FB5E9D" w:rsidRDefault="00FB5E9D" w:rsidP="00FB5E9D">
      <w:pPr>
        <w:pStyle w:val="Textonotapie"/>
        <w:jc w:val="both"/>
      </w:pPr>
      <w:r>
        <w:rPr>
          <w:rStyle w:val="Refdenotaalpie"/>
        </w:rPr>
        <w:footnoteRef/>
      </w:r>
      <w:r>
        <w:t xml:space="preserve"> </w:t>
      </w:r>
      <w:r w:rsidRPr="008E70CC">
        <w:rPr>
          <w:rFonts w:ascii="Verdana" w:hAnsi="Verdana"/>
          <w:sz w:val="16"/>
          <w:szCs w:val="16"/>
          <w:lang w:val="es-CO"/>
        </w:rPr>
        <w:t>MARÍN, Op. Cit., 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E073882"/>
    <w:multiLevelType w:val="hybridMultilevel"/>
    <w:tmpl w:val="D1F42438"/>
    <w:lvl w:ilvl="0" w:tplc="240A000F">
      <w:start w:val="1"/>
      <w:numFmt w:val="decimal"/>
      <w:lvlText w:val="%1."/>
      <w:lvlJc w:val="left"/>
      <w:pPr>
        <w:ind w:left="361" w:hanging="360"/>
      </w:pPr>
      <w:rPr>
        <w:rFonts w:hint="default"/>
      </w:rPr>
    </w:lvl>
    <w:lvl w:ilvl="1" w:tplc="240A0019" w:tentative="1">
      <w:start w:val="1"/>
      <w:numFmt w:val="lowerLetter"/>
      <w:lvlText w:val="%2."/>
      <w:lvlJc w:val="left"/>
      <w:pPr>
        <w:ind w:left="1081" w:hanging="360"/>
      </w:pPr>
    </w:lvl>
    <w:lvl w:ilvl="2" w:tplc="240A001B" w:tentative="1">
      <w:start w:val="1"/>
      <w:numFmt w:val="lowerRoman"/>
      <w:lvlText w:val="%3."/>
      <w:lvlJc w:val="right"/>
      <w:pPr>
        <w:ind w:left="1801" w:hanging="180"/>
      </w:pPr>
    </w:lvl>
    <w:lvl w:ilvl="3" w:tplc="240A000F" w:tentative="1">
      <w:start w:val="1"/>
      <w:numFmt w:val="decimal"/>
      <w:lvlText w:val="%4."/>
      <w:lvlJc w:val="left"/>
      <w:pPr>
        <w:ind w:left="2521" w:hanging="360"/>
      </w:pPr>
    </w:lvl>
    <w:lvl w:ilvl="4" w:tplc="240A0019" w:tentative="1">
      <w:start w:val="1"/>
      <w:numFmt w:val="lowerLetter"/>
      <w:lvlText w:val="%5."/>
      <w:lvlJc w:val="left"/>
      <w:pPr>
        <w:ind w:left="3241" w:hanging="360"/>
      </w:pPr>
    </w:lvl>
    <w:lvl w:ilvl="5" w:tplc="240A001B" w:tentative="1">
      <w:start w:val="1"/>
      <w:numFmt w:val="lowerRoman"/>
      <w:lvlText w:val="%6."/>
      <w:lvlJc w:val="right"/>
      <w:pPr>
        <w:ind w:left="3961" w:hanging="180"/>
      </w:pPr>
    </w:lvl>
    <w:lvl w:ilvl="6" w:tplc="240A000F" w:tentative="1">
      <w:start w:val="1"/>
      <w:numFmt w:val="decimal"/>
      <w:lvlText w:val="%7."/>
      <w:lvlJc w:val="left"/>
      <w:pPr>
        <w:ind w:left="4681" w:hanging="360"/>
      </w:pPr>
    </w:lvl>
    <w:lvl w:ilvl="7" w:tplc="240A0019" w:tentative="1">
      <w:start w:val="1"/>
      <w:numFmt w:val="lowerLetter"/>
      <w:lvlText w:val="%8."/>
      <w:lvlJc w:val="left"/>
      <w:pPr>
        <w:ind w:left="5401" w:hanging="360"/>
      </w:pPr>
    </w:lvl>
    <w:lvl w:ilvl="8" w:tplc="240A001B" w:tentative="1">
      <w:start w:val="1"/>
      <w:numFmt w:val="lowerRoman"/>
      <w:lvlText w:val="%9."/>
      <w:lvlJc w:val="right"/>
      <w:pPr>
        <w:ind w:left="6121"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227110730">
    <w:abstractNumId w:val="0"/>
  </w:num>
  <w:num w:numId="17" w16cid:durableId="531266698">
    <w:abstractNumId w:val="9"/>
  </w:num>
  <w:num w:numId="18" w16cid:durableId="2656243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5F2"/>
    <w:rsid w:val="00016F78"/>
    <w:rsid w:val="00020F54"/>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4BC1"/>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3A77"/>
    <w:rsid w:val="004E4C16"/>
    <w:rsid w:val="004F21C4"/>
    <w:rsid w:val="004F6751"/>
    <w:rsid w:val="004F685F"/>
    <w:rsid w:val="005566E8"/>
    <w:rsid w:val="0056392D"/>
    <w:rsid w:val="00574867"/>
    <w:rsid w:val="00591460"/>
    <w:rsid w:val="005A4B8D"/>
    <w:rsid w:val="005A65E0"/>
    <w:rsid w:val="005C0233"/>
    <w:rsid w:val="005C3777"/>
    <w:rsid w:val="005C5CDC"/>
    <w:rsid w:val="005C7980"/>
    <w:rsid w:val="005D476C"/>
    <w:rsid w:val="006200BF"/>
    <w:rsid w:val="006219F8"/>
    <w:rsid w:val="006302F7"/>
    <w:rsid w:val="00635F22"/>
    <w:rsid w:val="00646B9F"/>
    <w:rsid w:val="00665D70"/>
    <w:rsid w:val="006715F5"/>
    <w:rsid w:val="006900D9"/>
    <w:rsid w:val="00692247"/>
    <w:rsid w:val="00706C16"/>
    <w:rsid w:val="007340C3"/>
    <w:rsid w:val="00742543"/>
    <w:rsid w:val="0075235A"/>
    <w:rsid w:val="00756841"/>
    <w:rsid w:val="007649AB"/>
    <w:rsid w:val="00771D0C"/>
    <w:rsid w:val="007833AC"/>
    <w:rsid w:val="007925CC"/>
    <w:rsid w:val="007B268C"/>
    <w:rsid w:val="007B7171"/>
    <w:rsid w:val="007C0C0F"/>
    <w:rsid w:val="007C3265"/>
    <w:rsid w:val="007C3DC2"/>
    <w:rsid w:val="007C5B91"/>
    <w:rsid w:val="007E5497"/>
    <w:rsid w:val="007F7606"/>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430"/>
    <w:rsid w:val="009F3A13"/>
    <w:rsid w:val="00A122D3"/>
    <w:rsid w:val="00A14468"/>
    <w:rsid w:val="00A17F13"/>
    <w:rsid w:val="00A20739"/>
    <w:rsid w:val="00A23AF9"/>
    <w:rsid w:val="00A33C78"/>
    <w:rsid w:val="00AA04FA"/>
    <w:rsid w:val="00AB0ADB"/>
    <w:rsid w:val="00AB0D11"/>
    <w:rsid w:val="00B00C0E"/>
    <w:rsid w:val="00B01B1A"/>
    <w:rsid w:val="00B0381D"/>
    <w:rsid w:val="00B222A1"/>
    <w:rsid w:val="00B44A47"/>
    <w:rsid w:val="00B72CD3"/>
    <w:rsid w:val="00B72FFF"/>
    <w:rsid w:val="00BA4DF6"/>
    <w:rsid w:val="00BC3D36"/>
    <w:rsid w:val="00BC7336"/>
    <w:rsid w:val="00BD54A6"/>
    <w:rsid w:val="00BD7F72"/>
    <w:rsid w:val="00BF7425"/>
    <w:rsid w:val="00C04FB3"/>
    <w:rsid w:val="00C11D8B"/>
    <w:rsid w:val="00C15139"/>
    <w:rsid w:val="00C330EB"/>
    <w:rsid w:val="00C50D69"/>
    <w:rsid w:val="00C5365C"/>
    <w:rsid w:val="00C754BE"/>
    <w:rsid w:val="00C76B1C"/>
    <w:rsid w:val="00C83AF3"/>
    <w:rsid w:val="00C925AC"/>
    <w:rsid w:val="00CB6357"/>
    <w:rsid w:val="00CC1B26"/>
    <w:rsid w:val="00D20FF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41E1"/>
    <w:rsid w:val="00EE1AA8"/>
    <w:rsid w:val="00F23FEA"/>
    <w:rsid w:val="00F2533D"/>
    <w:rsid w:val="00F31EDC"/>
    <w:rsid w:val="00F462B3"/>
    <w:rsid w:val="00F5664F"/>
    <w:rsid w:val="00F666C4"/>
    <w:rsid w:val="00F76AFC"/>
    <w:rsid w:val="00F86F44"/>
    <w:rsid w:val="00FA47C0"/>
    <w:rsid w:val="00FB5DD1"/>
    <w:rsid w:val="00FB5E9D"/>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2F62FD98"/>
    <w:rsid w:val="30821638"/>
    <w:rsid w:val="32A4F9CF"/>
    <w:rsid w:val="33A1FF93"/>
    <w:rsid w:val="356CEDFD"/>
    <w:rsid w:val="3C591AFD"/>
    <w:rsid w:val="42183F0A"/>
    <w:rsid w:val="49E52037"/>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B5E9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B5E9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onathanblandon97@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42D2B89-F705-4DEB-B9E8-C47D5F7DA4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12</Pages>
  <Words>3696</Words>
  <Characters>20328</Characters>
  <Application>Microsoft Office Word</Application>
  <DocSecurity>0</DocSecurity>
  <Lines>169</Lines>
  <Paragraphs>47</Paragraphs>
  <ScaleCrop>false</ScaleCrop>
  <Company/>
  <LinksUpToDate>false</LinksUpToDate>
  <CharactersWithSpaces>23977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2026-06-11T13:28:00Z</dcterms:created>
  <dcterms:modified xsi:type="dcterms:W3CDTF">2026-06-13T15:03:00Z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