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1E661" w14:textId="6E1B82E8" w:rsidR="00EC4D52" w:rsidRDefault="00EC4D52" w:rsidP="00EC4D52">
      <w:pPr>
        <w:spacing w:after="0" w:line="240" w:lineRule="auto"/>
        <w:jc w:val="both"/>
        <w:rPr>
          <w:rFonts w:ascii="Verdana" w:hAnsi="Verdana" w:cs="Arial"/>
          <w:b/>
          <w:bCs/>
          <w:color w:val="000000" w:themeColor="text1"/>
        </w:rPr>
      </w:pPr>
      <w:bookmarkStart w:id="0" w:name="_Hlk143780582"/>
      <w:r w:rsidRPr="00BA16EC">
        <w:rPr>
          <w:rFonts w:ascii="Verdana" w:hAnsi="Verdana" w:cs="Arial"/>
          <w:b/>
          <w:bCs/>
          <w:color w:val="000000" w:themeColor="text1"/>
        </w:rPr>
        <w:t xml:space="preserve">LEY DE GARANTÍAS ELECTORALES – Propósito </w:t>
      </w:r>
    </w:p>
    <w:p w14:paraId="4C1FE563" w14:textId="77777777" w:rsidR="00EC4D52" w:rsidRDefault="00EC4D52" w:rsidP="00EC4D52">
      <w:pPr>
        <w:spacing w:after="0" w:line="240" w:lineRule="auto"/>
        <w:jc w:val="both"/>
        <w:rPr>
          <w:rFonts w:ascii="Verdana" w:hAnsi="Verdana" w:cs="Arial"/>
          <w:b/>
          <w:bCs/>
          <w:color w:val="000000" w:themeColor="text1"/>
        </w:rPr>
      </w:pPr>
    </w:p>
    <w:p w14:paraId="7EAFF21C" w14:textId="77777777" w:rsidR="00EC4D52" w:rsidRPr="00BA16EC" w:rsidRDefault="00EC4D52" w:rsidP="00EC4D52">
      <w:pPr>
        <w:tabs>
          <w:tab w:val="left" w:pos="426"/>
        </w:tabs>
        <w:spacing w:after="0" w:line="240" w:lineRule="auto"/>
        <w:jc w:val="both"/>
        <w:rPr>
          <w:rFonts w:ascii="Verdana" w:eastAsia="Calibri" w:hAnsi="Verdana" w:cs="Arial"/>
          <w:noProof/>
          <w:sz w:val="20"/>
          <w:szCs w:val="20"/>
          <w:lang w:val="es-ES_tradnl"/>
        </w:rPr>
      </w:pPr>
      <w:r w:rsidRPr="00BA16EC">
        <w:rPr>
          <w:rFonts w:ascii="Verdana" w:hAnsi="Verdana" w:cs="Arial"/>
          <w:color w:val="000000" w:themeColor="text1"/>
          <w:sz w:val="20"/>
          <w:szCs w:val="20"/>
        </w:rPr>
        <w:t xml:space="preserve">[…] </w:t>
      </w:r>
      <w:r w:rsidRPr="00BA16EC">
        <w:rPr>
          <w:rFonts w:ascii="Verdana" w:eastAsia="Times New Roman" w:hAnsi="Verdana" w:cs="Arial"/>
          <w:sz w:val="20"/>
          <w:szCs w:val="20"/>
          <w:lang w:eastAsia="es-CO"/>
        </w:rPr>
        <w:t>la Ley 996 de 2005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BA16EC">
        <w:rPr>
          <w:rFonts w:ascii="Verdana" w:eastAsia="Calibri" w:hAnsi="Verdana" w:cs="Arial"/>
          <w:noProof/>
          <w:sz w:val="20"/>
          <w:szCs w:val="20"/>
          <w:lang w:val="es-ES_tradnl"/>
        </w:rPr>
        <w:t xml:space="preserve"> </w:t>
      </w:r>
    </w:p>
    <w:p w14:paraId="3EE812A2" w14:textId="77777777" w:rsidR="00EC4D52" w:rsidRPr="00BA16EC" w:rsidRDefault="00EC4D52" w:rsidP="00EC4D52">
      <w:pPr>
        <w:spacing w:after="0" w:line="240" w:lineRule="auto"/>
        <w:jc w:val="both"/>
        <w:rPr>
          <w:rFonts w:ascii="Verdana" w:hAnsi="Verdana" w:cs="Arial"/>
          <w:b/>
          <w:bCs/>
          <w:color w:val="000000" w:themeColor="text1"/>
          <w:lang w:val="es-ES_tradnl"/>
        </w:rPr>
      </w:pPr>
    </w:p>
    <w:p w14:paraId="681FB16F" w14:textId="77777777" w:rsidR="00EC4D52" w:rsidRPr="00BA16EC" w:rsidRDefault="00EC4D52" w:rsidP="00EC4D52">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Prohibiciones – Restricciones </w:t>
      </w:r>
    </w:p>
    <w:p w14:paraId="22E6CE56" w14:textId="77777777" w:rsidR="00EC4D52" w:rsidRDefault="00EC4D52" w:rsidP="00EC4D52">
      <w:pPr>
        <w:spacing w:after="0" w:line="240" w:lineRule="auto"/>
        <w:jc w:val="both"/>
        <w:rPr>
          <w:rFonts w:ascii="Verdana" w:hAnsi="Verdana" w:cs="Arial"/>
          <w:color w:val="000000" w:themeColor="text1"/>
        </w:rPr>
      </w:pPr>
    </w:p>
    <w:p w14:paraId="0B867902" w14:textId="77777777" w:rsidR="00EC4D52" w:rsidRDefault="00EC4D52" w:rsidP="00EC4D52">
      <w:pPr>
        <w:spacing w:after="0" w:line="240" w:lineRule="auto"/>
        <w:jc w:val="both"/>
        <w:rPr>
          <w:rFonts w:ascii="Verdana" w:eastAsia="Arial" w:hAnsi="Verdana" w:cs="Arial"/>
          <w:sz w:val="20"/>
          <w:szCs w:val="20"/>
          <w:lang w:val="es-ES" w:eastAsia="es-ES" w:bidi="es-ES"/>
        </w:rPr>
      </w:pPr>
      <w:r w:rsidRPr="00BA16EC">
        <w:rPr>
          <w:rFonts w:ascii="Verdana" w:eastAsia="Arial" w:hAnsi="Verdana" w:cs="Arial"/>
          <w:sz w:val="20"/>
          <w:szCs w:val="20"/>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r>
        <w:rPr>
          <w:rFonts w:ascii="Verdana" w:eastAsia="Arial" w:hAnsi="Verdana" w:cs="Arial"/>
          <w:sz w:val="20"/>
          <w:szCs w:val="20"/>
          <w:lang w:val="es-ES" w:eastAsia="es-ES" w:bidi="es-ES"/>
        </w:rPr>
        <w:t>.</w:t>
      </w:r>
    </w:p>
    <w:p w14:paraId="40DD0B4E" w14:textId="77777777" w:rsidR="00EC4D52" w:rsidRDefault="00EC4D52" w:rsidP="00EC4D52">
      <w:pPr>
        <w:spacing w:after="0" w:line="240" w:lineRule="auto"/>
        <w:jc w:val="both"/>
        <w:rPr>
          <w:rFonts w:ascii="Verdana" w:eastAsia="Arial" w:hAnsi="Verdana" w:cs="Arial"/>
          <w:sz w:val="20"/>
          <w:szCs w:val="20"/>
          <w:lang w:val="es-ES" w:eastAsia="es-ES" w:bidi="es-ES"/>
        </w:rPr>
      </w:pPr>
    </w:p>
    <w:p w14:paraId="7B079768" w14:textId="77777777" w:rsidR="00EC4D52" w:rsidRPr="00BA16EC" w:rsidRDefault="00EC4D52" w:rsidP="00EC4D52">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Artículo 33 – Ámbito material </w:t>
      </w:r>
    </w:p>
    <w:p w14:paraId="6D487C72" w14:textId="77777777" w:rsidR="00EC4D52" w:rsidRDefault="00EC4D52" w:rsidP="00EC4D52">
      <w:pPr>
        <w:spacing w:after="0" w:line="240" w:lineRule="auto"/>
        <w:jc w:val="both"/>
        <w:rPr>
          <w:rFonts w:ascii="Verdana" w:hAnsi="Verdana" w:cs="Arial"/>
          <w:color w:val="000000" w:themeColor="text1"/>
        </w:rPr>
      </w:pPr>
    </w:p>
    <w:p w14:paraId="10DB116F" w14:textId="77777777" w:rsidR="00EC4D52" w:rsidRDefault="00EC4D52" w:rsidP="00EC4D52">
      <w:pPr>
        <w:spacing w:after="0" w:line="240" w:lineRule="auto"/>
        <w:jc w:val="both"/>
        <w:rPr>
          <w:rFonts w:ascii="Verdana" w:hAnsi="Verdana" w:cs="Arial"/>
          <w:sz w:val="20"/>
          <w:szCs w:val="20"/>
          <w:lang w:eastAsia="x-none"/>
        </w:rPr>
      </w:pPr>
      <w:r w:rsidRPr="00BA16EC">
        <w:rPr>
          <w:rFonts w:ascii="Verdana" w:hAnsi="Verdana" w:cs="Arial"/>
          <w:bCs/>
          <w:sz w:val="20"/>
          <w:szCs w:val="20"/>
          <w:lang w:eastAsia="x-none"/>
        </w:rPr>
        <w:t xml:space="preserve">El ámbito material de la prohibición contenida en el artículo 33 de la ley 996 de 2005 está delimitado por la expresión </w:t>
      </w:r>
      <w:r w:rsidRPr="00BA16EC">
        <w:rPr>
          <w:rFonts w:ascii="Verdana" w:eastAsia="Calibri" w:hAnsi="Verdana" w:cs="Arial"/>
          <w:bCs/>
          <w:i/>
          <w:iCs/>
          <w:sz w:val="20"/>
          <w:szCs w:val="20"/>
        </w:rPr>
        <w:t>“</w:t>
      </w:r>
      <w:r w:rsidRPr="00BA16EC">
        <w:rPr>
          <w:rFonts w:ascii="Verdana" w:hAnsi="Verdana" w:cs="Arial"/>
          <w:bCs/>
          <w:i/>
          <w:iCs/>
          <w:sz w:val="20"/>
          <w:szCs w:val="20"/>
          <w:lang w:eastAsia="x-none"/>
        </w:rPr>
        <w:t>queda prohibida la contratación directa</w:t>
      </w:r>
      <w:r w:rsidRPr="00BA16EC">
        <w:rPr>
          <w:rFonts w:ascii="Verdana" w:hAnsi="Verdana" w:cs="Arial"/>
          <w:sz w:val="20"/>
          <w:szCs w:val="20"/>
        </w:rPr>
        <w:t>”</w:t>
      </w:r>
      <w:r w:rsidRPr="00BA16EC">
        <w:rPr>
          <w:rFonts w:ascii="Verdana" w:hAnsi="Verdana" w:cs="Arial"/>
          <w:bCs/>
          <w:sz w:val="20"/>
          <w:szCs w:val="20"/>
          <w:lang w:eastAsia="x-none"/>
        </w:rPr>
        <w:t xml:space="preserve">. […] </w:t>
      </w:r>
      <w:r w:rsidRPr="00BA16EC">
        <w:rPr>
          <w:rFonts w:ascii="Verdana" w:hAnsi="Verdana" w:cs="Arial"/>
          <w:sz w:val="20"/>
          <w:szCs w:val="20"/>
          <w:lang w:eastAsia="x-none"/>
        </w:rPr>
        <w:t xml:space="preserve">De acuerdo con el citado concepto, la prohibición del artículo 33 de la Ley de Garantías Electorales se refiere a </w:t>
      </w:r>
      <w:r w:rsidRPr="00BA16EC">
        <w:rPr>
          <w:rFonts w:ascii="Verdana" w:hAnsi="Verdana" w:cs="Arial"/>
          <w:sz w:val="20"/>
          <w:szCs w:val="20"/>
          <w:lang w:eastAsia="en-GB"/>
        </w:rPr>
        <w:t>“</w:t>
      </w:r>
      <w:r w:rsidRPr="00BA16EC">
        <w:rPr>
          <w:rFonts w:ascii="Verdana" w:hAnsi="Verdana" w:cs="Arial"/>
          <w:sz w:val="20"/>
          <w:szCs w:val="20"/>
          <w:lang w:eastAsia="x-none"/>
        </w:rPr>
        <w:t>cualquier sistema que no implique convocatoria pública y posibilidad de pluralidad de oferentes</w:t>
      </w:r>
      <w:r w:rsidRPr="00BA16EC">
        <w:rPr>
          <w:rFonts w:ascii="Verdana" w:hAnsi="Verdana" w:cs="Arial"/>
          <w:sz w:val="20"/>
          <w:szCs w:val="20"/>
          <w:lang w:eastAsia="en-GB"/>
        </w:rPr>
        <w:t>”</w:t>
      </w:r>
      <w:r w:rsidRPr="00BA16EC">
        <w:rPr>
          <w:rFonts w:ascii="Verdana" w:hAnsi="Verdana" w:cs="Arial"/>
          <w:sz w:val="20"/>
          <w:szCs w:val="20"/>
          <w:lang w:eastAsia="x-none"/>
        </w:rPr>
        <w:t xml:space="preserve">, por lo que excluye las demás modalidades de contratación previstas en la Ley 1150 de 2007. </w:t>
      </w:r>
    </w:p>
    <w:p w14:paraId="3F389814" w14:textId="77777777" w:rsidR="00EC4D52" w:rsidRDefault="00EC4D52" w:rsidP="00EC4D52">
      <w:pPr>
        <w:spacing w:after="0" w:line="240" w:lineRule="auto"/>
        <w:jc w:val="both"/>
        <w:rPr>
          <w:rFonts w:ascii="Verdana" w:hAnsi="Verdana" w:cs="Arial"/>
          <w:sz w:val="20"/>
          <w:szCs w:val="20"/>
          <w:lang w:eastAsia="x-none"/>
        </w:rPr>
      </w:pPr>
    </w:p>
    <w:p w14:paraId="792F1F6A" w14:textId="77777777" w:rsidR="00EC4D52" w:rsidRDefault="00EC4D52" w:rsidP="00EC4D52">
      <w:pPr>
        <w:spacing w:after="0" w:line="240" w:lineRule="auto"/>
        <w:jc w:val="both"/>
        <w:rPr>
          <w:rFonts w:ascii="Verdana" w:hAnsi="Verdana" w:cs="Arial"/>
          <w:sz w:val="20"/>
          <w:szCs w:val="20"/>
          <w:lang w:eastAsia="x-none"/>
        </w:rPr>
      </w:pPr>
      <w:r>
        <w:rPr>
          <w:rFonts w:ascii="Verdana" w:hAnsi="Verdana" w:cs="Arial"/>
          <w:sz w:val="20"/>
          <w:szCs w:val="20"/>
          <w:lang w:eastAsia="x-none"/>
        </w:rPr>
        <w:t>[…]</w:t>
      </w:r>
    </w:p>
    <w:p w14:paraId="1FD511C8" w14:textId="77777777" w:rsidR="00EC4D52" w:rsidRDefault="00EC4D52" w:rsidP="00EC4D52">
      <w:pPr>
        <w:spacing w:after="0" w:line="240" w:lineRule="auto"/>
        <w:jc w:val="both"/>
        <w:rPr>
          <w:rFonts w:ascii="Verdana" w:hAnsi="Verdana" w:cs="Arial"/>
          <w:color w:val="000000" w:themeColor="text1"/>
          <w:sz w:val="20"/>
          <w:szCs w:val="20"/>
        </w:rPr>
      </w:pPr>
    </w:p>
    <w:p w14:paraId="4C17EB44" w14:textId="77777777" w:rsidR="00EC4D52" w:rsidRDefault="00EC4D52" w:rsidP="00EC4D52">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hAnsi="Verdana" w:cs="Arial"/>
          <w:color w:val="000000" w:themeColor="text1"/>
          <w:sz w:val="20"/>
          <w:szCs w:val="20"/>
        </w:rPr>
        <w:t>.</w:t>
      </w:r>
    </w:p>
    <w:p w14:paraId="4CA95FBA" w14:textId="77777777" w:rsidR="00EC4D52" w:rsidRDefault="00EC4D52" w:rsidP="00EC4D52">
      <w:pPr>
        <w:spacing w:after="0" w:line="240" w:lineRule="auto"/>
        <w:jc w:val="both"/>
        <w:rPr>
          <w:rFonts w:ascii="Verdana" w:hAnsi="Verdana" w:cs="Arial"/>
          <w:color w:val="000000" w:themeColor="text1"/>
          <w:sz w:val="20"/>
          <w:szCs w:val="20"/>
        </w:rPr>
      </w:pPr>
    </w:p>
    <w:p w14:paraId="18CA3C1D" w14:textId="77777777" w:rsidR="00EC4D52" w:rsidRDefault="00EC4D52" w:rsidP="00EC4D52">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w:t>
      </w:r>
    </w:p>
    <w:p w14:paraId="2170DA56" w14:textId="77777777" w:rsidR="00EC4D52" w:rsidRDefault="00EC4D52" w:rsidP="00EC4D52">
      <w:pPr>
        <w:spacing w:after="0" w:line="240" w:lineRule="auto"/>
        <w:jc w:val="both"/>
        <w:rPr>
          <w:rFonts w:ascii="Verdana" w:hAnsi="Verdana" w:cs="Arial"/>
          <w:color w:val="000000" w:themeColor="text1"/>
          <w:sz w:val="20"/>
          <w:szCs w:val="20"/>
        </w:rPr>
      </w:pPr>
    </w:p>
    <w:p w14:paraId="0174D8C2" w14:textId="77777777" w:rsidR="00EC4D52" w:rsidRDefault="00EC4D52" w:rsidP="00EC4D52">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w:t>
      </w:r>
      <w:r>
        <w:rPr>
          <w:rFonts w:ascii="Verdana" w:hAnsi="Verdana" w:cs="Arial"/>
          <w:color w:val="000000" w:themeColor="text1"/>
          <w:sz w:val="20"/>
          <w:szCs w:val="20"/>
        </w:rPr>
        <w:t>s</w:t>
      </w:r>
      <w:r w:rsidRPr="00BA16EC">
        <w:rPr>
          <w:rFonts w:ascii="Verdana" w:hAnsi="Verdana" w:cs="Arial"/>
          <w:color w:val="000000" w:themeColor="text1"/>
          <w:sz w:val="20"/>
          <w:szCs w:val="20"/>
        </w:rPr>
        <w:t xml:space="preserve">. Esta circunstancia no se extiende a la contratación </w:t>
      </w:r>
      <w:r w:rsidRPr="00BA16EC">
        <w:rPr>
          <w:rFonts w:ascii="Verdana" w:hAnsi="Verdana" w:cs="Arial"/>
          <w:color w:val="000000" w:themeColor="text1"/>
          <w:sz w:val="20"/>
          <w:szCs w:val="20"/>
        </w:rPr>
        <w:lastRenderedPageBreak/>
        <w:t>directa aplicable en algunos regímenes especiales con listas de precalificados, ya que a efecto de que no se configure la contratación directa, la selección del futuro contratista debe darse en términos de competencia.</w:t>
      </w:r>
    </w:p>
    <w:p w14:paraId="7AAC30D6" w14:textId="77777777" w:rsidR="00EC4D52" w:rsidRDefault="00EC4D52" w:rsidP="00EC4D52">
      <w:pPr>
        <w:spacing w:after="0" w:line="240" w:lineRule="auto"/>
        <w:jc w:val="both"/>
        <w:rPr>
          <w:rFonts w:ascii="Verdana" w:hAnsi="Verdana" w:cs="Arial"/>
          <w:color w:val="000000" w:themeColor="text1"/>
          <w:sz w:val="20"/>
          <w:szCs w:val="20"/>
        </w:rPr>
      </w:pPr>
    </w:p>
    <w:p w14:paraId="3ADA81F2" w14:textId="77777777" w:rsidR="00EC4D52" w:rsidRPr="00BA16EC" w:rsidRDefault="00EC4D52" w:rsidP="00EC4D52">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Destinatarios </w:t>
      </w:r>
    </w:p>
    <w:p w14:paraId="6BB7FE33" w14:textId="77777777" w:rsidR="00EC4D52" w:rsidRDefault="00EC4D52" w:rsidP="00EC4D52">
      <w:pPr>
        <w:spacing w:after="0" w:line="240" w:lineRule="auto"/>
        <w:jc w:val="both"/>
        <w:rPr>
          <w:rFonts w:ascii="Verdana" w:hAnsi="Verdana" w:cs="Arial"/>
          <w:color w:val="000000" w:themeColor="text1"/>
        </w:rPr>
      </w:pPr>
    </w:p>
    <w:p w14:paraId="0C9FC9D7" w14:textId="77777777" w:rsidR="00EC4D52" w:rsidRPr="00BA16EC" w:rsidRDefault="00EC4D52" w:rsidP="00EC4D52">
      <w:pPr>
        <w:spacing w:after="0" w:line="240" w:lineRule="auto"/>
        <w:jc w:val="both"/>
        <w:rPr>
          <w:rFonts w:ascii="Verdana" w:hAnsi="Verdana" w:cs="Arial"/>
          <w:color w:val="000000" w:themeColor="text1"/>
          <w:lang w:val="es-MX"/>
        </w:rPr>
      </w:pPr>
      <w:r w:rsidRPr="00BA16EC">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BA16EC">
        <w:rPr>
          <w:rFonts w:ascii="Verdana" w:hAnsi="Verdana" w:cs="Arial"/>
          <w:color w:val="000000" w:themeColor="text1"/>
          <w:lang w:val="es-MX"/>
        </w:rPr>
        <w:t>.</w:t>
      </w:r>
    </w:p>
    <w:p w14:paraId="690EF261" w14:textId="77777777" w:rsidR="00EC4D52" w:rsidRDefault="00EC4D52" w:rsidP="00EC4D52">
      <w:pPr>
        <w:spacing w:after="0" w:line="240" w:lineRule="auto"/>
        <w:jc w:val="both"/>
        <w:rPr>
          <w:rFonts w:ascii="Verdana" w:hAnsi="Verdana" w:cs="Arial"/>
          <w:color w:val="000000" w:themeColor="text1"/>
        </w:rPr>
      </w:pPr>
    </w:p>
    <w:p w14:paraId="7D7552B2" w14:textId="77777777" w:rsidR="00EC4D52" w:rsidRDefault="00EC4D52" w:rsidP="00EC4D52">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Excepciones </w:t>
      </w:r>
    </w:p>
    <w:p w14:paraId="18F2603E" w14:textId="77777777" w:rsidR="00EC4D52" w:rsidRPr="00E51E94" w:rsidRDefault="00EC4D52" w:rsidP="00EC4D52">
      <w:pPr>
        <w:spacing w:after="0" w:line="240" w:lineRule="auto"/>
        <w:jc w:val="both"/>
        <w:rPr>
          <w:rFonts w:ascii="Verdana" w:hAnsi="Verdana" w:cs="Arial"/>
          <w:b/>
          <w:bCs/>
          <w:color w:val="000000" w:themeColor="text1"/>
          <w:sz w:val="20"/>
          <w:szCs w:val="20"/>
        </w:rPr>
      </w:pPr>
    </w:p>
    <w:p w14:paraId="2562DB74" w14:textId="77777777" w:rsidR="00EC4D52" w:rsidRDefault="00EC4D52" w:rsidP="00EC4D52">
      <w:pPr>
        <w:spacing w:after="0" w:line="240" w:lineRule="auto"/>
        <w:jc w:val="both"/>
        <w:rPr>
          <w:rFonts w:ascii="Verdana" w:hAnsi="Verdana" w:cs="Arial"/>
          <w:bCs/>
          <w:sz w:val="20"/>
          <w:szCs w:val="20"/>
          <w:lang w:eastAsia="x-none"/>
        </w:rPr>
      </w:pPr>
      <w:r w:rsidRPr="00E51E94">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w:t>
      </w:r>
      <w:proofErr w:type="spellStart"/>
      <w:r w:rsidRPr="00E51E94">
        <w:rPr>
          <w:rFonts w:ascii="Verdana" w:eastAsia="Times New Roman" w:hAnsi="Verdana" w:cs="Arial"/>
          <w:bCs/>
          <w:sz w:val="20"/>
          <w:szCs w:val="20"/>
          <w:lang w:val="es-ES" w:eastAsia="es-CO" w:bidi="es-ES"/>
        </w:rPr>
        <w:t>iv</w:t>
      </w:r>
      <w:proofErr w:type="spellEnd"/>
      <w:r w:rsidRPr="00E51E94">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51E94">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5C89BC11" w14:textId="77777777" w:rsidR="00EC4D52" w:rsidRDefault="00EC4D52" w:rsidP="00EC4D52">
      <w:pPr>
        <w:spacing w:after="0" w:line="240" w:lineRule="auto"/>
        <w:jc w:val="both"/>
        <w:rPr>
          <w:rFonts w:ascii="Verdana" w:hAnsi="Verdana" w:cs="Arial"/>
          <w:bCs/>
          <w:sz w:val="20"/>
          <w:szCs w:val="20"/>
          <w:lang w:eastAsia="x-none"/>
        </w:rPr>
      </w:pPr>
    </w:p>
    <w:p w14:paraId="2B00CA98" w14:textId="77777777" w:rsidR="00EC4D52" w:rsidRDefault="00EC4D52" w:rsidP="00EC4D52">
      <w:pPr>
        <w:spacing w:after="0" w:line="240" w:lineRule="auto"/>
        <w:jc w:val="both"/>
        <w:rPr>
          <w:rFonts w:ascii="Verdana" w:hAnsi="Verdana" w:cs="Arial"/>
          <w:bCs/>
          <w:sz w:val="20"/>
          <w:szCs w:val="20"/>
          <w:lang w:eastAsia="x-none"/>
        </w:rPr>
      </w:pPr>
      <w:r>
        <w:rPr>
          <w:rFonts w:ascii="Verdana" w:hAnsi="Verdana" w:cs="Arial"/>
          <w:bCs/>
          <w:sz w:val="20"/>
          <w:szCs w:val="20"/>
          <w:lang w:eastAsia="x-none"/>
        </w:rPr>
        <w:t xml:space="preserve">[…] </w:t>
      </w:r>
    </w:p>
    <w:p w14:paraId="5868EAB4" w14:textId="77777777" w:rsidR="00EC4D52" w:rsidRDefault="00EC4D52" w:rsidP="00EC4D52">
      <w:pPr>
        <w:spacing w:after="0" w:line="240" w:lineRule="auto"/>
        <w:jc w:val="both"/>
        <w:rPr>
          <w:rFonts w:ascii="Verdana" w:hAnsi="Verdana" w:cs="Arial"/>
          <w:bCs/>
          <w:sz w:val="20"/>
          <w:szCs w:val="20"/>
          <w:lang w:eastAsia="x-none"/>
        </w:rPr>
      </w:pPr>
    </w:p>
    <w:p w14:paraId="4C00F227" w14:textId="77777777" w:rsidR="00EC4D52" w:rsidRPr="00E51E94" w:rsidRDefault="00EC4D52" w:rsidP="00EC4D52">
      <w:pPr>
        <w:spacing w:after="0" w:line="240" w:lineRule="auto"/>
        <w:jc w:val="both"/>
        <w:rPr>
          <w:rFonts w:ascii="Verdana" w:hAnsi="Verdana" w:cs="Arial"/>
          <w:bCs/>
          <w:sz w:val="20"/>
          <w:szCs w:val="20"/>
          <w:lang w:val="es-ES_tradnl" w:eastAsia="x-none"/>
        </w:rPr>
      </w:pPr>
      <w:r w:rsidRPr="00E51E94">
        <w:rPr>
          <w:rFonts w:ascii="Verdana" w:hAnsi="Verdana" w:cs="Arial"/>
          <w:bCs/>
          <w:sz w:val="20"/>
          <w:szCs w:val="20"/>
          <w:lang w:val="es-ES_tradnl" w:eastAsia="x-none"/>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w:t>
      </w:r>
      <w:r w:rsidRPr="00E51E94">
        <w:rPr>
          <w:rFonts w:ascii="Verdana" w:hAnsi="Verdana" w:cs="Arial"/>
          <w:bCs/>
          <w:sz w:val="20"/>
          <w:szCs w:val="20"/>
          <w:lang w:val="es-ES_tradnl" w:eastAsia="x-none"/>
        </w:rPr>
        <w:lastRenderedPageBreak/>
        <w:t>expresamente en la norma permiten que ciertas entidades estatales se vean exceptuadas de la prohibición.</w:t>
      </w:r>
    </w:p>
    <w:p w14:paraId="5B56982F" w14:textId="77777777" w:rsidR="00EC4D52" w:rsidRPr="00BA16EC" w:rsidRDefault="00EC4D52" w:rsidP="00EC4D52">
      <w:pPr>
        <w:spacing w:after="0" w:line="240" w:lineRule="auto"/>
        <w:jc w:val="both"/>
        <w:rPr>
          <w:rFonts w:ascii="Verdana" w:hAnsi="Verdana" w:cs="Arial"/>
          <w:b/>
          <w:bCs/>
          <w:color w:val="000000" w:themeColor="text1"/>
        </w:rPr>
      </w:pPr>
    </w:p>
    <w:p w14:paraId="241930FF" w14:textId="77777777" w:rsidR="00EC4D52" w:rsidRPr="00E51E94" w:rsidRDefault="00EC4D52" w:rsidP="00EC4D52">
      <w:pPr>
        <w:spacing w:after="0" w:line="240" w:lineRule="auto"/>
        <w:jc w:val="both"/>
        <w:rPr>
          <w:rFonts w:ascii="Verdana" w:hAnsi="Verdana" w:cs="Arial"/>
          <w:b/>
          <w:bCs/>
          <w:color w:val="000000" w:themeColor="text1"/>
        </w:rPr>
      </w:pPr>
      <w:r w:rsidRPr="00E51E94">
        <w:rPr>
          <w:rFonts w:ascii="Verdana" w:hAnsi="Verdana" w:cs="Arial"/>
          <w:b/>
          <w:bCs/>
          <w:color w:val="000000" w:themeColor="text1"/>
        </w:rPr>
        <w:t xml:space="preserve">LEY DE GARANTÍAS ELECTORALES – Parágrafo del artículo 38 - Alcance </w:t>
      </w:r>
    </w:p>
    <w:p w14:paraId="75796C04" w14:textId="77777777" w:rsidR="00EC4D52" w:rsidRDefault="00EC4D52" w:rsidP="00EC4D52">
      <w:pPr>
        <w:spacing w:after="0" w:line="240" w:lineRule="auto"/>
        <w:jc w:val="both"/>
        <w:rPr>
          <w:rFonts w:ascii="Verdana" w:hAnsi="Verdana" w:cs="Arial"/>
          <w:color w:val="000000" w:themeColor="text1"/>
        </w:rPr>
      </w:pPr>
    </w:p>
    <w:p w14:paraId="4E31DD4C" w14:textId="77777777" w:rsidR="00EC4D52" w:rsidRPr="00E51E94" w:rsidRDefault="00EC4D52" w:rsidP="00EC4D52">
      <w:pPr>
        <w:spacing w:after="0" w:line="240" w:lineRule="auto"/>
        <w:jc w:val="both"/>
        <w:rPr>
          <w:rFonts w:ascii="Verdana" w:hAnsi="Verdana" w:cs="Arial"/>
          <w:sz w:val="20"/>
          <w:szCs w:val="20"/>
        </w:rPr>
      </w:pPr>
      <w:r w:rsidRPr="00E51E94">
        <w:rPr>
          <w:rFonts w:ascii="Verdana" w:hAnsi="Verdana" w:cs="Arial"/>
          <w:sz w:val="20"/>
          <w:szCs w:val="20"/>
          <w:lang w:val="es-ES"/>
        </w:rPr>
        <w:t xml:space="preserve">[…] respecto del alcance del parágrafo </w:t>
      </w:r>
      <w:r w:rsidRPr="00E51E94">
        <w:rPr>
          <w:rFonts w:ascii="Verdana" w:hAnsi="Verdana" w:cs="Arial"/>
          <w:sz w:val="20"/>
          <w:szCs w:val="20"/>
        </w:rPr>
        <w:t xml:space="preserve">del artículo 38 de la Ley 996 de 2005, esta prohibición dispone en primera medida que: “[l]os Gobernadores, </w:t>
      </w:r>
      <w:proofErr w:type="gramStart"/>
      <w:r w:rsidRPr="00E51E94">
        <w:rPr>
          <w:rFonts w:ascii="Verdana" w:hAnsi="Verdana" w:cs="Arial"/>
          <w:sz w:val="20"/>
          <w:szCs w:val="20"/>
        </w:rPr>
        <w:t>Alcaldes</w:t>
      </w:r>
      <w:proofErr w:type="gramEnd"/>
      <w:r w:rsidRPr="00E51E94">
        <w:rPr>
          <w:rFonts w:ascii="Verdana" w:hAnsi="Verdana" w:cs="Arial"/>
          <w:sz w:val="20"/>
          <w:szCs w:val="20"/>
        </w:rPr>
        <w:t xml:space="preserve"> Municipales y/o Distritales, </w:t>
      </w:r>
      <w:proofErr w:type="gramStart"/>
      <w:r w:rsidRPr="00E51E94">
        <w:rPr>
          <w:rFonts w:ascii="Verdana" w:hAnsi="Verdana" w:cs="Arial"/>
          <w:sz w:val="20"/>
          <w:szCs w:val="20"/>
        </w:rPr>
        <w:t>Secretarios</w:t>
      </w:r>
      <w:proofErr w:type="gramEnd"/>
      <w:r w:rsidRPr="00E51E94">
        <w:rPr>
          <w:rFonts w:ascii="Verdana" w:hAnsi="Verdana" w:cs="Arial"/>
          <w:sz w:val="20"/>
          <w:szCs w:val="20"/>
        </w:rPr>
        <w:t xml:space="preserve">, Gerentes y directores de Entidades Descentralizadas del orden Municipal, Departamental o Distrital, dentro de los cuatro (4) meses anteriores a las elecciones, no podrán celebrar </w:t>
      </w:r>
      <w:r w:rsidRPr="00E51E94">
        <w:rPr>
          <w:rFonts w:ascii="Verdana" w:hAnsi="Verdana" w:cs="Arial"/>
          <w:i/>
          <w:iCs/>
          <w:sz w:val="20"/>
          <w:szCs w:val="20"/>
        </w:rPr>
        <w:t>convenios interadministrativos</w:t>
      </w:r>
      <w:r w:rsidRPr="00E51E94">
        <w:rPr>
          <w:rFonts w:ascii="Verdana" w:hAnsi="Verdana" w:cs="Arial"/>
          <w:sz w:val="20"/>
          <w:szCs w:val="20"/>
        </w:rPr>
        <w:t xml:space="preserve"> </w:t>
      </w:r>
      <w:r w:rsidRPr="00E51E94">
        <w:rPr>
          <w:rFonts w:ascii="Verdana" w:hAnsi="Verdana" w:cs="Arial"/>
          <w:i/>
          <w:iCs/>
          <w:sz w:val="20"/>
          <w:szCs w:val="20"/>
        </w:rPr>
        <w:t>para la ejecución de recursos públicos</w:t>
      </w:r>
      <w:r w:rsidRPr="00E51E94">
        <w:rPr>
          <w:rFonts w:ascii="Verdana" w:hAnsi="Verdana" w:cs="Arial"/>
          <w:sz w:val="20"/>
          <w:szCs w:val="20"/>
        </w:rPr>
        <w:t>”.</w:t>
      </w:r>
    </w:p>
    <w:p w14:paraId="6A039296" w14:textId="77777777" w:rsidR="00EC4D52" w:rsidRDefault="00EC4D52" w:rsidP="00EC4D52">
      <w:pPr>
        <w:spacing w:after="0" w:line="240" w:lineRule="auto"/>
        <w:jc w:val="both"/>
        <w:rPr>
          <w:rFonts w:ascii="Verdana" w:hAnsi="Verdana" w:cs="Arial"/>
          <w:color w:val="000000" w:themeColor="text1"/>
        </w:rPr>
      </w:pPr>
    </w:p>
    <w:p w14:paraId="779EE631" w14:textId="77777777" w:rsidR="00EC4D52" w:rsidRDefault="00EC4D52">
      <w:pPr>
        <w:rPr>
          <w:rFonts w:ascii="Verdana" w:eastAsia="Verdana" w:hAnsi="Verdana" w:cs="Verdana"/>
        </w:rPr>
      </w:pPr>
      <w:r>
        <w:rPr>
          <w:rFonts w:ascii="Verdana" w:eastAsia="Verdana" w:hAnsi="Verdana" w:cs="Verdana"/>
        </w:rPr>
        <w:br w:type="page"/>
      </w:r>
    </w:p>
    <w:p w14:paraId="12443EE0" w14:textId="5A73ED05" w:rsidR="00C15139" w:rsidRPr="0024624F" w:rsidRDefault="00CC2543" w:rsidP="30821638">
      <w:pPr>
        <w:spacing w:after="0"/>
        <w:rPr>
          <w:rFonts w:ascii="Verdana" w:eastAsia="Verdana" w:hAnsi="Verdana" w:cs="Verdana"/>
        </w:rPr>
      </w:pPr>
      <w:r w:rsidRPr="00CC2543">
        <w:rPr>
          <w:rFonts w:ascii="Verdana" w:eastAsia="Verdana" w:hAnsi="Verdana" w:cs="Verdana"/>
          <w:noProof/>
        </w:rPr>
        <w:lastRenderedPageBreak/>
        <w:drawing>
          <wp:anchor distT="0" distB="0" distL="114300" distR="114300" simplePos="0" relativeHeight="251659264" behindDoc="1" locked="0" layoutInCell="1" allowOverlap="1" wp14:anchorId="6AC662DA" wp14:editId="48C0275A">
            <wp:simplePos x="0" y="0"/>
            <wp:positionH relativeFrom="column">
              <wp:posOffset>3284388</wp:posOffset>
            </wp:positionH>
            <wp:positionV relativeFrom="paragraph">
              <wp:posOffset>347</wp:posOffset>
            </wp:positionV>
            <wp:extent cx="2462530" cy="732790"/>
            <wp:effectExtent l="0" t="0" r="0" b="0"/>
            <wp:wrapTight wrapText="bothSides">
              <wp:wrapPolygon edited="0">
                <wp:start x="0" y="0"/>
                <wp:lineTo x="0" y="20776"/>
                <wp:lineTo x="21388" y="20776"/>
                <wp:lineTo x="21388" y="0"/>
                <wp:lineTo x="0" y="0"/>
              </wp:wrapPolygon>
            </wp:wrapTight>
            <wp:docPr id="18329147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62530" cy="732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11 junio 2026</w:t>
      </w:r>
      <w:r w:rsidR="00C15139">
        <w:br/>
      </w:r>
      <w:r w:rsidR="00C15139">
        <w:tab/>
      </w:r>
    </w:p>
    <w:p w14:paraId="7C9026E2" w14:textId="3BC73B44" w:rsidR="002A0DD0" w:rsidRDefault="00C15139" w:rsidP="00335F63">
      <w:pPr>
        <w:spacing w:after="0"/>
        <w:rPr>
          <w:rFonts w:ascii="Verdana" w:eastAsia="Verdana" w:hAnsi="Verdana" w:cs="Verdana"/>
          <w:lang w:val="es-MX"/>
        </w:rPr>
      </w:pPr>
      <w:r w:rsidRPr="30821638">
        <w:rPr>
          <w:rFonts w:ascii="Verdana" w:eastAsia="Verdana" w:hAnsi="Verdana" w:cs="Verdana"/>
          <w:lang w:val="es-MX"/>
        </w:rPr>
        <w:t xml:space="preserve">Señor </w:t>
      </w:r>
    </w:p>
    <w:p w14:paraId="322C429A" w14:textId="77777777" w:rsidR="00D16D4C" w:rsidRDefault="00335F63" w:rsidP="00335F63">
      <w:pPr>
        <w:spacing w:after="0"/>
        <w:rPr>
          <w:rFonts w:ascii="Verdana" w:eastAsia="Verdana" w:hAnsi="Verdana" w:cs="Verdana"/>
          <w:b/>
          <w:bCs/>
          <w:lang w:val="es-MX"/>
        </w:rPr>
      </w:pPr>
      <w:r w:rsidRPr="00CC7169">
        <w:rPr>
          <w:rFonts w:ascii="Verdana" w:eastAsia="Verdana" w:hAnsi="Verdana" w:cs="Verdana"/>
          <w:b/>
          <w:bCs/>
          <w:lang w:val="es-MX"/>
        </w:rPr>
        <w:t xml:space="preserve">Julio Cesar </w:t>
      </w:r>
      <w:r w:rsidR="00CC7169" w:rsidRPr="00CC7169">
        <w:rPr>
          <w:rFonts w:ascii="Verdana" w:eastAsia="Verdana" w:hAnsi="Verdana" w:cs="Verdana"/>
          <w:b/>
          <w:bCs/>
          <w:lang w:val="es-MX"/>
        </w:rPr>
        <w:t>Núñe</w:t>
      </w:r>
      <w:r w:rsidR="00CC2543">
        <w:rPr>
          <w:rFonts w:ascii="Verdana" w:eastAsia="Verdana" w:hAnsi="Verdana" w:cs="Verdana"/>
          <w:b/>
          <w:bCs/>
          <w:lang w:val="es-MX"/>
        </w:rPr>
        <w:t xml:space="preserve">z </w:t>
      </w:r>
      <w:r w:rsidRPr="00CC7169">
        <w:rPr>
          <w:rFonts w:ascii="Verdana" w:eastAsia="Verdana" w:hAnsi="Verdana" w:cs="Verdana"/>
          <w:b/>
          <w:bCs/>
          <w:lang w:val="es-MX"/>
        </w:rPr>
        <w:t>Romero</w:t>
      </w:r>
    </w:p>
    <w:p w14:paraId="6E145849" w14:textId="27D89799" w:rsidR="00FB11BB" w:rsidRPr="00CC2543" w:rsidRDefault="00D16D4C" w:rsidP="00335F63">
      <w:pPr>
        <w:spacing w:after="0"/>
        <w:rPr>
          <w:rFonts w:ascii="Verdana" w:eastAsia="Verdana" w:hAnsi="Verdana" w:cs="Verdana"/>
          <w:b/>
          <w:bCs/>
          <w:lang w:val="es-MX"/>
        </w:rPr>
      </w:pPr>
      <w:hyperlink r:id="rId12" w:history="1">
        <w:r w:rsidRPr="00B72D9A">
          <w:rPr>
            <w:rStyle w:val="Hipervnculo"/>
            <w:rFonts w:ascii="Verdana" w:eastAsia="Verdana" w:hAnsi="Verdana" w:cs="Verdana"/>
            <w:lang w:val="es-MX"/>
          </w:rPr>
          <w:t>pagaduria.eeagricolacopey@educacioncesar.gov.co</w:t>
        </w:r>
      </w:hyperlink>
    </w:p>
    <w:p w14:paraId="51F91E0E" w14:textId="18ABA5B1" w:rsidR="00181163" w:rsidRPr="00335F63" w:rsidRDefault="00181163" w:rsidP="00335F63">
      <w:pPr>
        <w:spacing w:after="0"/>
        <w:rPr>
          <w:rFonts w:ascii="Verdana" w:eastAsia="Verdana" w:hAnsi="Verdana" w:cs="Verdana"/>
          <w:lang w:val="es-MX"/>
        </w:rPr>
      </w:pPr>
      <w:r>
        <w:rPr>
          <w:rFonts w:ascii="Verdana" w:eastAsia="Verdana" w:hAnsi="Verdana" w:cs="Verdana"/>
          <w:lang w:val="es-MX"/>
        </w:rPr>
        <w:t>El Copey, Cesar</w:t>
      </w:r>
    </w:p>
    <w:p w14:paraId="1006A388" w14:textId="77777777" w:rsidR="00C15139" w:rsidRDefault="00C15139" w:rsidP="30821638">
      <w:pPr>
        <w:spacing w:after="0" w:line="240" w:lineRule="auto"/>
        <w:jc w:val="both"/>
        <w:textAlignment w:val="baseline"/>
        <w:rPr>
          <w:rFonts w:ascii="Verdana" w:eastAsia="Verdana" w:hAnsi="Verdana" w:cs="Verdana"/>
          <w:lang w:eastAsia="es-CO"/>
        </w:rPr>
      </w:pPr>
    </w:p>
    <w:p w14:paraId="7C0A48FB" w14:textId="77777777" w:rsidR="00890646" w:rsidRDefault="00890646" w:rsidP="30821638">
      <w:pPr>
        <w:spacing w:after="0" w:line="240" w:lineRule="auto"/>
        <w:jc w:val="both"/>
        <w:textAlignment w:val="baseline"/>
        <w:rPr>
          <w:rFonts w:ascii="Verdana" w:eastAsia="Verdana" w:hAnsi="Verdana" w:cs="Verdana"/>
          <w:lang w:eastAsia="es-CO"/>
        </w:rPr>
      </w:pPr>
    </w:p>
    <w:p w14:paraId="34FB6236" w14:textId="77777777" w:rsidR="00890646" w:rsidRDefault="00890646" w:rsidP="30821638">
      <w:pPr>
        <w:spacing w:after="0" w:line="240" w:lineRule="auto"/>
        <w:jc w:val="both"/>
        <w:textAlignment w:val="baseline"/>
        <w:rPr>
          <w:rFonts w:ascii="Verdana" w:eastAsia="Verdana" w:hAnsi="Verdana" w:cs="Verdana"/>
          <w:lang w:eastAsia="es-CO"/>
        </w:rPr>
      </w:pPr>
    </w:p>
    <w:p w14:paraId="5C172422" w14:textId="77777777" w:rsidR="00057314" w:rsidRPr="003F658D" w:rsidRDefault="00057314" w:rsidP="00057314">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57314" w:rsidRPr="005644FE" w14:paraId="7BBBC5A6" w14:textId="77777777" w:rsidTr="000507CE">
        <w:trPr>
          <w:trHeight w:val="162"/>
        </w:trPr>
        <w:tc>
          <w:tcPr>
            <w:tcW w:w="3119" w:type="dxa"/>
          </w:tcPr>
          <w:p w14:paraId="7ED20177" w14:textId="77777777" w:rsidR="00057314" w:rsidRPr="003F658D" w:rsidRDefault="00057314" w:rsidP="000507CE">
            <w:pPr>
              <w:jc w:val="both"/>
              <w:rPr>
                <w:rFonts w:ascii="Verdana" w:eastAsia="Calibri" w:hAnsi="Verdana" w:cs="Arial"/>
                <w:b/>
                <w:bCs/>
                <w:color w:val="7030A0"/>
                <w:lang w:val="it-CH" w:eastAsia="es-ES_tradnl"/>
              </w:rPr>
            </w:pPr>
          </w:p>
        </w:tc>
        <w:tc>
          <w:tcPr>
            <w:tcW w:w="5670" w:type="dxa"/>
          </w:tcPr>
          <w:p w14:paraId="598F3F9E" w14:textId="03613C77" w:rsidR="00057314" w:rsidRPr="005644FE" w:rsidRDefault="00057314" w:rsidP="000507CE">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sidR="00A376AB">
              <w:rPr>
                <w:rFonts w:ascii="Verdana" w:eastAsia="Calibri" w:hAnsi="Verdana" w:cs="Arial"/>
                <w:b/>
                <w:bCs/>
                <w:lang w:eastAsia="es-ES"/>
              </w:rPr>
              <w:t>732</w:t>
            </w:r>
            <w:r>
              <w:rPr>
                <w:rFonts w:ascii="Verdana" w:eastAsia="Calibri" w:hAnsi="Verdana" w:cs="Arial"/>
                <w:b/>
                <w:bCs/>
                <w:lang w:eastAsia="es-ES"/>
              </w:rPr>
              <w:t xml:space="preserve"> de 2026</w:t>
            </w:r>
          </w:p>
          <w:p w14:paraId="6788874F" w14:textId="77777777" w:rsidR="00057314" w:rsidRPr="005644FE" w:rsidRDefault="00057314" w:rsidP="000507CE">
            <w:pPr>
              <w:jc w:val="both"/>
              <w:rPr>
                <w:rFonts w:ascii="Verdana" w:eastAsia="Calibri" w:hAnsi="Verdana" w:cs="Arial"/>
                <w:b/>
                <w:bCs/>
                <w:color w:val="7030A0"/>
                <w:lang w:eastAsia="es-ES"/>
              </w:rPr>
            </w:pPr>
          </w:p>
        </w:tc>
      </w:tr>
      <w:tr w:rsidR="00057314" w:rsidRPr="005644FE" w14:paraId="4067CCF0" w14:textId="77777777" w:rsidTr="000507CE">
        <w:trPr>
          <w:trHeight w:val="884"/>
        </w:trPr>
        <w:tc>
          <w:tcPr>
            <w:tcW w:w="3119" w:type="dxa"/>
          </w:tcPr>
          <w:p w14:paraId="6D9A7D58" w14:textId="77777777" w:rsidR="00057314" w:rsidRPr="005644FE" w:rsidRDefault="00057314" w:rsidP="000507CE">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335AE09E" w14:textId="2CE15ACB" w:rsidR="00057314" w:rsidRPr="00937FB6" w:rsidRDefault="00057314" w:rsidP="00A376AB">
            <w:pPr>
              <w:spacing w:line="276" w:lineRule="auto"/>
              <w:jc w:val="both"/>
              <w:rPr>
                <w:rFonts w:ascii="Verdana" w:hAnsi="Verdana" w:cs="Arial"/>
                <w:color w:val="000000" w:themeColor="text1"/>
              </w:rPr>
            </w:pPr>
            <w:r w:rsidRPr="00937FB6">
              <w:rPr>
                <w:rFonts w:ascii="Verdana" w:hAnsi="Verdana" w:cs="Arial"/>
                <w:color w:val="000000" w:themeColor="text1"/>
              </w:rPr>
              <w:t xml:space="preserve">LEY DE GARANTÍAS ELECTORALES – Propósito /LEY DE GARANTÍAS ELECTORALES – Prohibiciones – Restricciones / LEY DE GARANTÍAS ELECTORALES – Artículo 33 – Ámbito material / LEY DE GARANTÍAS ELECTORALES – Destinatarios / LEY DE GARANTÍAS ELECTORALES – Excepciones / ley de garantías electorales – Parágrafo del artículo 38 - Alcance </w:t>
            </w:r>
          </w:p>
        </w:tc>
      </w:tr>
      <w:tr w:rsidR="00057314" w:rsidRPr="005644FE" w14:paraId="3281709F" w14:textId="77777777" w:rsidTr="000507CE">
        <w:tc>
          <w:tcPr>
            <w:tcW w:w="3119" w:type="dxa"/>
          </w:tcPr>
          <w:p w14:paraId="692DEE39" w14:textId="77777777" w:rsidR="00057314" w:rsidRPr="005644FE" w:rsidRDefault="00057314" w:rsidP="000507CE">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4A8FE069" w14:textId="1DB2A043" w:rsidR="00A376AB" w:rsidRPr="00A376AB" w:rsidRDefault="00057314" w:rsidP="00A376AB">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00A376AB">
              <w:rPr>
                <w:rFonts w:ascii="Verdana" w:hAnsi="Verdana" w:cs="Calibri"/>
              </w:rPr>
              <w:t>1_2026_05_04_005986</w:t>
            </w:r>
          </w:p>
          <w:p w14:paraId="2218F526" w14:textId="41DD7914" w:rsidR="00057314" w:rsidRPr="00F04657" w:rsidRDefault="00057314" w:rsidP="000507CE">
            <w:pPr>
              <w:jc w:val="both"/>
              <w:rPr>
                <w:rFonts w:ascii="Verdana" w:eastAsia="Calibri" w:hAnsi="Verdana" w:cs="Arial"/>
                <w:lang w:eastAsia="es-ES_tradnl"/>
              </w:rPr>
            </w:pPr>
          </w:p>
        </w:tc>
      </w:tr>
    </w:tbl>
    <w:p w14:paraId="2ACA57FC" w14:textId="77777777" w:rsidR="00057314" w:rsidRPr="005644FE" w:rsidRDefault="00057314" w:rsidP="00057314">
      <w:pPr>
        <w:spacing w:after="0" w:line="276" w:lineRule="auto"/>
        <w:jc w:val="both"/>
        <w:rPr>
          <w:rFonts w:ascii="Verdana" w:eastAsia="Calibri" w:hAnsi="Verdana" w:cs="Arial"/>
          <w:lang w:eastAsia="es-ES_tradnl"/>
        </w:rPr>
      </w:pPr>
    </w:p>
    <w:p w14:paraId="2F9E1851" w14:textId="20737447" w:rsidR="00057314" w:rsidRPr="005644FE" w:rsidRDefault="00057314" w:rsidP="00057314">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w:t>
      </w:r>
      <w:r w:rsidR="00A376AB">
        <w:rPr>
          <w:rFonts w:ascii="Verdana" w:eastAsia="Calibri" w:hAnsi="Verdana" w:cs="Arial"/>
          <w:lang w:eastAsia="es-ES"/>
        </w:rPr>
        <w:t>Núñez Romero</w:t>
      </w:r>
      <w:r>
        <w:rPr>
          <w:rFonts w:ascii="Verdana" w:eastAsia="Calibri" w:hAnsi="Verdana" w:cs="Arial"/>
          <w:lang w:eastAsia="es-ES"/>
        </w:rPr>
        <w:t xml:space="preserve">: </w:t>
      </w:r>
    </w:p>
    <w:p w14:paraId="5F17B6FD" w14:textId="77777777" w:rsidR="00057314" w:rsidRPr="00E02524" w:rsidRDefault="00057314" w:rsidP="00057314">
      <w:pPr>
        <w:spacing w:after="0"/>
        <w:jc w:val="both"/>
        <w:rPr>
          <w:rFonts w:ascii="Verdana" w:hAnsi="Verdana"/>
          <w:lang w:val="es-MX"/>
        </w:rPr>
      </w:pPr>
    </w:p>
    <w:p w14:paraId="2BD3E067" w14:textId="50CD1676" w:rsidR="00057314" w:rsidRDefault="00057314" w:rsidP="00057314">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r w:rsidRPr="00E02524">
        <w:rPr>
          <w:rFonts w:ascii="Verdana" w:eastAsia="Times New Roman" w:hAnsi="Verdana" w:cs="Segoe UI"/>
          <w:lang w:eastAsia="es-CO"/>
        </w:rPr>
        <w:t xml:space="preserve">N°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sidR="000D33D7">
        <w:rPr>
          <w:rFonts w:ascii="Verdana" w:eastAsia="Calibri" w:hAnsi="Verdana" w:cs="Arial"/>
          <w:lang w:eastAsia="es-ES"/>
        </w:rPr>
        <w:t>4</w:t>
      </w:r>
      <w:r>
        <w:rPr>
          <w:rFonts w:ascii="Verdana" w:eastAsia="Calibri" w:hAnsi="Verdana" w:cs="Arial"/>
          <w:lang w:eastAsia="es-ES"/>
        </w:rPr>
        <w:t xml:space="preserve"> de ma</w:t>
      </w:r>
      <w:r w:rsidR="000D33D7">
        <w:rPr>
          <w:rFonts w:ascii="Verdana" w:eastAsia="Calibri" w:hAnsi="Verdana" w:cs="Arial"/>
          <w:lang w:eastAsia="es-ES"/>
        </w:rPr>
        <w:t>y</w:t>
      </w:r>
      <w:r>
        <w:rPr>
          <w:rFonts w:ascii="Verdana" w:eastAsia="Calibri" w:hAnsi="Verdana" w:cs="Arial"/>
          <w:lang w:eastAsia="es-ES"/>
        </w:rPr>
        <w:t xml:space="preserve">o de 2026, </w:t>
      </w:r>
      <w:r w:rsidRPr="005644FE">
        <w:rPr>
          <w:rFonts w:ascii="Verdana" w:eastAsia="Calibri" w:hAnsi="Verdana" w:cs="Arial"/>
          <w:lang w:eastAsia="es-ES"/>
        </w:rPr>
        <w:t>en la cual manifiesta lo siguiente:</w:t>
      </w:r>
    </w:p>
    <w:p w14:paraId="1A281A98" w14:textId="77777777" w:rsidR="00057314" w:rsidRPr="008E5B36" w:rsidRDefault="00057314" w:rsidP="00057314">
      <w:pPr>
        <w:spacing w:after="0" w:line="240" w:lineRule="auto"/>
        <w:jc w:val="both"/>
        <w:rPr>
          <w:rFonts w:ascii="Verdana" w:hAnsi="Verdana"/>
        </w:rPr>
      </w:pPr>
    </w:p>
    <w:p w14:paraId="59BA7BAA" w14:textId="1428465B" w:rsidR="000D33D7" w:rsidRPr="009D32D0" w:rsidRDefault="00057314" w:rsidP="008E56B9">
      <w:pPr>
        <w:spacing w:after="0" w:line="240" w:lineRule="auto"/>
        <w:ind w:left="567" w:right="616"/>
        <w:jc w:val="both"/>
        <w:rPr>
          <w:rFonts w:ascii="Verdana" w:hAnsi="Verdana"/>
          <w:i/>
          <w:iCs/>
          <w:sz w:val="21"/>
          <w:szCs w:val="21"/>
        </w:rPr>
      </w:pPr>
      <w:r w:rsidRPr="009D32D0">
        <w:rPr>
          <w:rFonts w:ascii="Verdana" w:hAnsi="Verdana"/>
          <w:i/>
          <w:iCs/>
          <w:sz w:val="21"/>
          <w:szCs w:val="21"/>
        </w:rPr>
        <w:t>“</w:t>
      </w:r>
      <w:r w:rsidR="000D33D7" w:rsidRPr="009D32D0">
        <w:rPr>
          <w:rFonts w:ascii="Verdana" w:hAnsi="Verdana"/>
          <w:i/>
          <w:iCs/>
          <w:sz w:val="21"/>
          <w:szCs w:val="21"/>
        </w:rPr>
        <w:t>[…]</w:t>
      </w:r>
    </w:p>
    <w:p w14:paraId="24AF99DC" w14:textId="77777777" w:rsidR="008E56B9" w:rsidRPr="009D32D0" w:rsidRDefault="008E56B9" w:rsidP="008E56B9">
      <w:pPr>
        <w:spacing w:after="0" w:line="240" w:lineRule="auto"/>
        <w:ind w:left="567" w:right="616"/>
        <w:jc w:val="both"/>
        <w:rPr>
          <w:rFonts w:ascii="Verdana" w:hAnsi="Verdana"/>
          <w:i/>
          <w:iCs/>
          <w:sz w:val="21"/>
          <w:szCs w:val="21"/>
        </w:rPr>
      </w:pPr>
    </w:p>
    <w:p w14:paraId="5CA406CF" w14:textId="4D80B5F5" w:rsidR="008E56B9" w:rsidRPr="009D32D0" w:rsidRDefault="008E56B9" w:rsidP="008E56B9">
      <w:pPr>
        <w:spacing w:after="0" w:line="240" w:lineRule="auto"/>
        <w:ind w:left="567" w:right="616"/>
        <w:jc w:val="both"/>
        <w:rPr>
          <w:rFonts w:ascii="Verdana" w:hAnsi="Verdana"/>
          <w:i/>
          <w:iCs/>
          <w:sz w:val="21"/>
          <w:szCs w:val="21"/>
        </w:rPr>
      </w:pPr>
      <w:r w:rsidRPr="009D32D0">
        <w:rPr>
          <w:rFonts w:ascii="Verdana" w:hAnsi="Verdana"/>
          <w:i/>
          <w:iCs/>
          <w:sz w:val="21"/>
          <w:szCs w:val="21"/>
        </w:rPr>
        <w:lastRenderedPageBreak/>
        <w:t xml:space="preserve">¿Cuáles contratos se pueden celebrar y cuales no, durante la vigencia de la </w:t>
      </w:r>
      <w:r w:rsidR="009D32D0" w:rsidRPr="009D32D0">
        <w:rPr>
          <w:rFonts w:ascii="Verdana" w:hAnsi="Verdana"/>
          <w:i/>
          <w:iCs/>
          <w:sz w:val="21"/>
          <w:szCs w:val="21"/>
        </w:rPr>
        <w:t xml:space="preserve">Ley de Garantías?”. </w:t>
      </w:r>
    </w:p>
    <w:p w14:paraId="48D797AD" w14:textId="77777777" w:rsidR="00057314" w:rsidRPr="00763B14" w:rsidRDefault="00057314" w:rsidP="00057314">
      <w:pPr>
        <w:spacing w:after="0" w:line="240" w:lineRule="auto"/>
        <w:ind w:left="567" w:right="758"/>
        <w:jc w:val="both"/>
        <w:rPr>
          <w:rFonts w:ascii="Verdana" w:hAnsi="Verdana"/>
          <w:sz w:val="20"/>
          <w:szCs w:val="20"/>
        </w:rPr>
      </w:pPr>
    </w:p>
    <w:p w14:paraId="11E2A955" w14:textId="77777777" w:rsidR="00057314" w:rsidRPr="00F64722" w:rsidRDefault="00057314" w:rsidP="00057314">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F86E16B" w14:textId="77777777" w:rsidR="00057314" w:rsidRPr="009D221F" w:rsidRDefault="00057314" w:rsidP="00057314">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w:t>
      </w:r>
      <w:r w:rsidRPr="009D221F">
        <w:rPr>
          <w:rFonts w:ascii="Verdana" w:eastAsia="Calibri" w:hAnsi="Verdana" w:cs="Arial"/>
          <w:color w:val="000000"/>
          <w:lang w:eastAsia="es-ES"/>
        </w:rPr>
        <w:t>consultiva, esto es, haciendo abstracción del caso particular y concreto señalado en su petición, pero señalando algunas consideraciones sobre las normas generales relacionadas al problema jurídico de su consulta.</w:t>
      </w:r>
      <w:r w:rsidRPr="009D221F">
        <w:rPr>
          <w:rFonts w:ascii="Verdana" w:eastAsia="Calibri" w:hAnsi="Verdana" w:cs="Arial"/>
          <w:lang w:eastAsia="es-ES"/>
        </w:rPr>
        <w:t xml:space="preserve">  </w:t>
      </w:r>
    </w:p>
    <w:p w14:paraId="3482A0E9" w14:textId="77777777" w:rsidR="00057314" w:rsidRPr="009D221F" w:rsidRDefault="00057314" w:rsidP="00057314">
      <w:pPr>
        <w:spacing w:after="0" w:line="276" w:lineRule="auto"/>
        <w:ind w:firstLine="709"/>
        <w:jc w:val="both"/>
        <w:rPr>
          <w:rFonts w:ascii="Verdana" w:eastAsia="Calibri" w:hAnsi="Verdana" w:cs="Arial"/>
          <w:lang w:eastAsia="es-ES"/>
        </w:rPr>
      </w:pPr>
    </w:p>
    <w:p w14:paraId="1263D8B9" w14:textId="77777777" w:rsidR="00057314" w:rsidRPr="009D221F" w:rsidRDefault="00057314" w:rsidP="000573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D221F">
        <w:rPr>
          <w:rFonts w:ascii="Verdana" w:eastAsia="Century Gothic" w:hAnsi="Verdana" w:cs="Century Gothic"/>
          <w:b/>
          <w:bCs/>
        </w:rPr>
        <w:t>Problema planteado:</w:t>
      </w:r>
    </w:p>
    <w:p w14:paraId="1B7DEF07" w14:textId="77777777" w:rsidR="00057314" w:rsidRPr="009D221F" w:rsidRDefault="00057314" w:rsidP="00057314">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49478D66" w14:textId="47F393DD" w:rsidR="00057314" w:rsidRDefault="00057314" w:rsidP="00057314">
      <w:pPr>
        <w:spacing w:after="0" w:line="276" w:lineRule="auto"/>
        <w:jc w:val="both"/>
        <w:rPr>
          <w:rFonts w:ascii="Verdana" w:eastAsia="Century Gothic" w:hAnsi="Verdana" w:cs="Century Gothic"/>
        </w:rPr>
      </w:pPr>
      <w:r w:rsidRPr="009D221F">
        <w:rPr>
          <w:rFonts w:ascii="Verdana" w:eastAsia="Calibri" w:hAnsi="Verdana" w:cs="Arial"/>
          <w:color w:val="000000"/>
          <w:lang w:eastAsia="es-ES"/>
        </w:rPr>
        <w:t xml:space="preserve">De acuerdo con el contenido de su solicitud, esta Agencia resolverá el siguiente problema jurídico: </w:t>
      </w:r>
      <w:r w:rsidRPr="009D221F">
        <w:rPr>
          <w:rFonts w:ascii="Verdana" w:eastAsia="Century Gothic" w:hAnsi="Verdana" w:cs="Century Gothic"/>
        </w:rPr>
        <w:t>¿</w:t>
      </w:r>
      <w:r w:rsidR="002A5C1A">
        <w:rPr>
          <w:rFonts w:ascii="Verdana" w:eastAsia="Century Gothic" w:hAnsi="Verdana" w:cs="Century Gothic"/>
        </w:rPr>
        <w:t xml:space="preserve">Cuáles son las restricciones y excepciones </w:t>
      </w:r>
      <w:r w:rsidR="00A35B96">
        <w:rPr>
          <w:rFonts w:ascii="Verdana" w:eastAsia="Century Gothic" w:hAnsi="Verdana" w:cs="Century Gothic"/>
        </w:rPr>
        <w:t>contractuales durante la vigencia de la Ley de Garantías Electorales?</w:t>
      </w:r>
    </w:p>
    <w:p w14:paraId="59086230" w14:textId="77777777" w:rsidR="00057314" w:rsidRPr="009E1ACC" w:rsidRDefault="00057314" w:rsidP="00057314">
      <w:pPr>
        <w:spacing w:after="0" w:line="276" w:lineRule="auto"/>
        <w:jc w:val="both"/>
        <w:rPr>
          <w:rFonts w:ascii="Verdana" w:eastAsia="Century Gothic" w:hAnsi="Verdana" w:cs="Century Gothic"/>
        </w:rPr>
      </w:pPr>
    </w:p>
    <w:p w14:paraId="31ABA700" w14:textId="77777777" w:rsidR="00057314" w:rsidRDefault="00057314" w:rsidP="00057314">
      <w:pPr>
        <w:spacing w:after="120" w:line="276" w:lineRule="auto"/>
        <w:jc w:val="both"/>
        <w:rPr>
          <w:rFonts w:ascii="Verdana" w:eastAsia="Century Gothic" w:hAnsi="Verdana" w:cs="Century Gothic"/>
          <w:b/>
          <w:bCs/>
        </w:rPr>
      </w:pPr>
      <w:r w:rsidRPr="00B33011">
        <w:rPr>
          <w:rFonts w:ascii="Verdana" w:eastAsia="Century Gothic" w:hAnsi="Verdana" w:cs="Century Gothic"/>
          <w:b/>
          <w:bCs/>
        </w:rPr>
        <w:t>2. Respuesta:</w:t>
      </w:r>
    </w:p>
    <w:p w14:paraId="5CBC6857" w14:textId="2929DAEF" w:rsidR="000A64D8" w:rsidRDefault="0041074A" w:rsidP="005E4EF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sidRPr="0041074A">
        <w:rPr>
          <w:rFonts w:ascii="Verdana" w:eastAsia="Century Gothic" w:hAnsi="Verdana" w:cs="Century Gothic"/>
        </w:rPr>
        <w:t>De manera preliminar, se debe precisar que las</w:t>
      </w:r>
      <w:r>
        <w:rPr>
          <w:rFonts w:ascii="Verdana" w:eastAsia="Century Gothic" w:hAnsi="Verdana" w:cs="Century Gothic"/>
        </w:rPr>
        <w:t xml:space="preserve"> restricciones contractuales de la Ley de Garantías Electorales – Ley 996 de 200</w:t>
      </w:r>
      <w:r w:rsidR="00F97320">
        <w:rPr>
          <w:rFonts w:ascii="Verdana" w:eastAsia="Century Gothic" w:hAnsi="Verdana" w:cs="Century Gothic"/>
        </w:rPr>
        <w:t xml:space="preserve">5 – se dirigen a dos (2) tipos de campañas electorales diferenciadas: i) </w:t>
      </w:r>
      <w:r w:rsidR="00AE0529">
        <w:rPr>
          <w:rFonts w:ascii="Verdana" w:eastAsia="Century Gothic" w:hAnsi="Verdana" w:cs="Century Gothic"/>
        </w:rPr>
        <w:t xml:space="preserve">la del artículo </w:t>
      </w:r>
      <w:r w:rsidR="00483221">
        <w:rPr>
          <w:rFonts w:ascii="Verdana" w:eastAsia="Century Gothic" w:hAnsi="Verdana" w:cs="Century Gothic"/>
        </w:rPr>
        <w:t>33 que apli</w:t>
      </w:r>
      <w:r w:rsidR="00773B09">
        <w:rPr>
          <w:rFonts w:ascii="Verdana" w:eastAsia="Century Gothic" w:hAnsi="Verdana" w:cs="Century Gothic"/>
        </w:rPr>
        <w:t>ca solo respecto de las elecciones presidenciales, en virtud de la cual queda proscrita la contratación directa dentro de los cuatro (4) meses anteriores a la celebración de</w:t>
      </w:r>
      <w:r w:rsidR="00D9533D">
        <w:rPr>
          <w:rFonts w:ascii="Verdana" w:eastAsia="Century Gothic" w:hAnsi="Verdana" w:cs="Century Gothic"/>
        </w:rPr>
        <w:t xml:space="preserve"> los comicios, salvo las excepciones aplicables. Sin embargo, si ningún candidato obtiene la mitad mas uno de los votos que, de manera secreta y directa, depositen </w:t>
      </w:r>
      <w:r w:rsidR="00231A11">
        <w:rPr>
          <w:rFonts w:ascii="Verdana" w:eastAsia="Century Gothic" w:hAnsi="Verdana" w:cs="Century Gothic"/>
        </w:rPr>
        <w:t>los ciudadanos</w:t>
      </w:r>
      <w:r w:rsidR="001F4B61">
        <w:rPr>
          <w:rFonts w:ascii="Verdana" w:eastAsia="Century Gothic" w:hAnsi="Verdana" w:cs="Century Gothic"/>
        </w:rPr>
        <w:t xml:space="preserve">, se celebrará en nueva votación que tendrá </w:t>
      </w:r>
      <w:r w:rsidR="001F4B61">
        <w:rPr>
          <w:rFonts w:ascii="Verdana" w:eastAsia="Century Gothic" w:hAnsi="Verdana" w:cs="Century Gothic"/>
        </w:rPr>
        <w:lastRenderedPageBreak/>
        <w:t xml:space="preserve">lugar tres (3) semanas mas tarde, en la que solo participarán los dos candidatos </w:t>
      </w:r>
      <w:r w:rsidR="008D29D5">
        <w:rPr>
          <w:rFonts w:ascii="Verdana" w:eastAsia="Century Gothic" w:hAnsi="Verdana" w:cs="Century Gothic"/>
        </w:rPr>
        <w:t xml:space="preserve">que hubieren obtenido las votaciones mas altas, de conformidad con el artículo 190 de </w:t>
      </w:r>
      <w:r w:rsidR="0081255C">
        <w:rPr>
          <w:rFonts w:ascii="Verdana" w:eastAsia="Century Gothic" w:hAnsi="Verdana" w:cs="Century Gothic"/>
        </w:rPr>
        <w:t xml:space="preserve">la Constitución Política. Para estos efectos, la restricción se extenderá hasta la fecha en la que se realice la segunda vuelta; ii) </w:t>
      </w:r>
      <w:r w:rsidR="00804B86">
        <w:rPr>
          <w:rFonts w:ascii="Verdana" w:eastAsia="Century Gothic" w:hAnsi="Verdana" w:cs="Century Gothic"/>
        </w:rPr>
        <w:t xml:space="preserve">también se encuentra la prohibición del parágrafo del artículo 38 de la referida ley, el cual debe aplicarse respecto de cualquier </w:t>
      </w:r>
      <w:r w:rsidR="00EE1087">
        <w:rPr>
          <w:rFonts w:ascii="Verdana" w:eastAsia="Century Gothic" w:hAnsi="Verdana" w:cs="Century Gothic"/>
        </w:rPr>
        <w:t xml:space="preserve">tipo de contienda electoral, y que prohíbe la celebración de convenios interadministrativos que impliquen la ejecución de recursos públicos dentro de los cuatro (4) meses anteriores a la respectiva jornada de </w:t>
      </w:r>
      <w:r w:rsidR="0037466B">
        <w:rPr>
          <w:rFonts w:ascii="Verdana" w:eastAsia="Century Gothic" w:hAnsi="Verdana" w:cs="Century Gothic"/>
        </w:rPr>
        <w:t xml:space="preserve">votaciones. </w:t>
      </w:r>
    </w:p>
    <w:p w14:paraId="1079FE7B" w14:textId="689B3767" w:rsidR="0037466B" w:rsidRDefault="0037466B" w:rsidP="005E4EF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Ambas restricciones no son excluyentes, lo que permite concluir que, en el periodo preelectoral para elección de </w:t>
      </w:r>
      <w:proofErr w:type="gramStart"/>
      <w:r>
        <w:rPr>
          <w:rFonts w:ascii="Verdana" w:eastAsia="Century Gothic" w:hAnsi="Verdana" w:cs="Century Gothic"/>
        </w:rPr>
        <w:t>Presidente</w:t>
      </w:r>
      <w:proofErr w:type="gramEnd"/>
      <w:r>
        <w:rPr>
          <w:rFonts w:ascii="Verdana" w:eastAsia="Century Gothic" w:hAnsi="Verdana" w:cs="Century Gothic"/>
        </w:rPr>
        <w:t xml:space="preserve"> de la Rep</w:t>
      </w:r>
      <w:r w:rsidR="003B6337">
        <w:rPr>
          <w:rFonts w:ascii="Verdana" w:eastAsia="Century Gothic" w:hAnsi="Verdana" w:cs="Century Gothic"/>
        </w:rPr>
        <w:t xml:space="preserve">ública, aplican las restricciones del artículo 33 con sus excepciones, así como las del parágrafo 38, a todos los entes del Estado. En cambio, </w:t>
      </w:r>
      <w:r w:rsidR="00CA11EE">
        <w:rPr>
          <w:rFonts w:ascii="Verdana" w:eastAsia="Century Gothic" w:hAnsi="Verdana" w:cs="Century Gothic"/>
        </w:rPr>
        <w:t>tratándose</w:t>
      </w:r>
      <w:r w:rsidR="003B6337">
        <w:rPr>
          <w:rFonts w:ascii="Verdana" w:eastAsia="Century Gothic" w:hAnsi="Verdana" w:cs="Century Gothic"/>
        </w:rPr>
        <w:t xml:space="preserve"> de elecciones </w:t>
      </w:r>
      <w:r w:rsidR="00ED4FEC">
        <w:rPr>
          <w:rFonts w:ascii="Verdana" w:eastAsia="Century Gothic" w:hAnsi="Verdana" w:cs="Century Gothic"/>
        </w:rPr>
        <w:t xml:space="preserve">en </w:t>
      </w:r>
      <w:r w:rsidR="00537F6B">
        <w:rPr>
          <w:rFonts w:ascii="Verdana" w:eastAsia="Century Gothic" w:hAnsi="Verdana" w:cs="Century Gothic"/>
        </w:rPr>
        <w:t>general,</w:t>
      </w:r>
      <w:r w:rsidR="00BE1AF4">
        <w:rPr>
          <w:rFonts w:ascii="Verdana" w:eastAsia="Century Gothic" w:hAnsi="Verdana" w:cs="Century Gothic"/>
        </w:rPr>
        <w:t xml:space="preserve"> excluyendo las correspondientes al </w:t>
      </w:r>
      <w:proofErr w:type="gramStart"/>
      <w:r w:rsidR="00BE1AF4">
        <w:rPr>
          <w:rFonts w:ascii="Verdana" w:eastAsia="Century Gothic" w:hAnsi="Verdana" w:cs="Century Gothic"/>
        </w:rPr>
        <w:t>Presidente</w:t>
      </w:r>
      <w:proofErr w:type="gramEnd"/>
      <w:r w:rsidR="00BE1AF4">
        <w:rPr>
          <w:rFonts w:ascii="Verdana" w:eastAsia="Century Gothic" w:hAnsi="Verdana" w:cs="Century Gothic"/>
        </w:rPr>
        <w:t xml:space="preserve"> de la República, las autoridades allí mencionadas solo deben aplicar las restricciones contenidas en el parágrafo del artículo 38. </w:t>
      </w:r>
    </w:p>
    <w:p w14:paraId="499F701F" w14:textId="0760F327" w:rsidR="000F573D" w:rsidRDefault="00BE1AF4" w:rsidP="005E4EF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Ahora bien, es necesario </w:t>
      </w:r>
      <w:r w:rsidR="0076396E">
        <w:rPr>
          <w:rFonts w:ascii="Verdana" w:eastAsia="Century Gothic" w:hAnsi="Verdana" w:cs="Century Gothic"/>
        </w:rPr>
        <w:t xml:space="preserve">precisar el alcance de la prohibición establecida en el artículo 33 de la Ley </w:t>
      </w:r>
      <w:r w:rsidR="006A4F90">
        <w:rPr>
          <w:rFonts w:ascii="Verdana" w:eastAsia="Century Gothic" w:hAnsi="Verdana" w:cs="Century Gothic"/>
        </w:rPr>
        <w:t xml:space="preserve">996 de 2005. Esta restricción no solo aplica frente a las entidades sometidas al Estatuto General de </w:t>
      </w:r>
      <w:r w:rsidR="002923F4">
        <w:rPr>
          <w:rFonts w:ascii="Verdana" w:eastAsia="Century Gothic" w:hAnsi="Verdana" w:cs="Century Gothic"/>
        </w:rPr>
        <w:t>Contratación</w:t>
      </w:r>
      <w:r w:rsidR="006A4F90">
        <w:rPr>
          <w:rFonts w:ascii="Verdana" w:eastAsia="Century Gothic" w:hAnsi="Verdana" w:cs="Century Gothic"/>
        </w:rPr>
        <w:t xml:space="preserve"> de la Administración </w:t>
      </w:r>
      <w:r w:rsidR="002923F4">
        <w:rPr>
          <w:rFonts w:ascii="Verdana" w:eastAsia="Century Gothic" w:hAnsi="Verdana" w:cs="Century Gothic"/>
        </w:rPr>
        <w:t>Pública</w:t>
      </w:r>
      <w:r w:rsidR="008E5816">
        <w:rPr>
          <w:rFonts w:ascii="Verdana" w:eastAsia="Century Gothic" w:hAnsi="Verdana" w:cs="Century Gothic"/>
        </w:rPr>
        <w:t xml:space="preserve">, </w:t>
      </w:r>
      <w:r w:rsidR="008E5816" w:rsidRPr="002923F4">
        <w:rPr>
          <w:rFonts w:ascii="Verdana" w:eastAsia="Century Gothic" w:hAnsi="Verdana" w:cs="Century Gothic"/>
          <w:i/>
          <w:iCs/>
        </w:rPr>
        <w:t xml:space="preserve">sino frente a las entidades que tengan un régimen especial de </w:t>
      </w:r>
      <w:r w:rsidR="002923F4" w:rsidRPr="002923F4">
        <w:rPr>
          <w:rFonts w:ascii="Verdana" w:eastAsia="Century Gothic" w:hAnsi="Verdana" w:cs="Century Gothic"/>
          <w:i/>
          <w:iCs/>
        </w:rPr>
        <w:t>contratación</w:t>
      </w:r>
      <w:r w:rsidR="002923F4">
        <w:rPr>
          <w:rFonts w:ascii="Verdana" w:eastAsia="Century Gothic" w:hAnsi="Verdana" w:cs="Century Gothic"/>
        </w:rPr>
        <w:t xml:space="preserve">. No obstante, </w:t>
      </w:r>
      <w:r w:rsidR="000F573D">
        <w:rPr>
          <w:rFonts w:ascii="Verdana" w:eastAsia="Century Gothic" w:hAnsi="Verdana" w:cs="Century Gothic"/>
        </w:rPr>
        <w:t xml:space="preserve">también se observa que luego de la expedición de la Ley 1150 de 2007, </w:t>
      </w:r>
      <w:r w:rsidR="00C32FDB">
        <w:rPr>
          <w:rFonts w:ascii="Verdana" w:eastAsia="Century Gothic" w:hAnsi="Verdana" w:cs="Century Gothic"/>
        </w:rPr>
        <w:t xml:space="preserve">el Consejo de Estado comenzó a delimitar con mayor precisión </w:t>
      </w:r>
      <w:r w:rsidR="001562C0">
        <w:rPr>
          <w:rFonts w:ascii="Verdana" w:eastAsia="Century Gothic" w:hAnsi="Verdana" w:cs="Century Gothic"/>
        </w:rPr>
        <w:t xml:space="preserve">el término de “contratación directa”. Así, para la prohibición o </w:t>
      </w:r>
      <w:r w:rsidR="00EE2819">
        <w:rPr>
          <w:rFonts w:ascii="Verdana" w:eastAsia="Century Gothic" w:hAnsi="Verdana" w:cs="Century Gothic"/>
        </w:rPr>
        <w:t>restricción temporal contenida en su artículo 33, “contratación directa” es cualquier</w:t>
      </w:r>
      <w:r w:rsidR="008439A4">
        <w:rPr>
          <w:rFonts w:ascii="Verdana" w:eastAsia="Century Gothic" w:hAnsi="Verdana" w:cs="Century Gothic"/>
        </w:rPr>
        <w:t xml:space="preserve"> sistema de selección o procedimiento de contratación utilizado por las entidades estatales que no incluya la convocatoria pública en alguna de sus etapas, ni permita la </w:t>
      </w:r>
      <w:r w:rsidR="007529BC">
        <w:rPr>
          <w:rFonts w:ascii="Verdana" w:eastAsia="Century Gothic" w:hAnsi="Verdana" w:cs="Century Gothic"/>
        </w:rPr>
        <w:t xml:space="preserve">participación de una pluralidad de oferentes. </w:t>
      </w:r>
    </w:p>
    <w:p w14:paraId="5E9C4382" w14:textId="21EEFC90" w:rsidR="007529BC" w:rsidRDefault="007529BC" w:rsidP="005E4EF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Conforme con lo expuesto, las Entidades Estatales </w:t>
      </w:r>
      <w:r w:rsidR="00E6694B">
        <w:rPr>
          <w:rFonts w:ascii="Verdana" w:eastAsia="Century Gothic" w:hAnsi="Verdana" w:cs="Century Gothic"/>
        </w:rPr>
        <w:t xml:space="preserve">que requieran adelantar procesos durante el período de vigencia de la Ley de Garantías Electorales deberán analizar, si el objeto a contratar se encausa o no en las restricciones contractuales previamente expuestas. </w:t>
      </w:r>
    </w:p>
    <w:p w14:paraId="7C899A34" w14:textId="5FE8DA67" w:rsidR="00962B64" w:rsidRDefault="002154CC" w:rsidP="005E4EF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Ahora bien, el artículo 33 de la Ley 996 de 2005 establece de manera expresa las excepciones con fundamento en las cuales </w:t>
      </w:r>
      <w:r w:rsidR="00A73A2A">
        <w:rPr>
          <w:rFonts w:ascii="Verdana" w:eastAsia="Century Gothic" w:hAnsi="Verdana" w:cs="Century Gothic"/>
        </w:rPr>
        <w:t xml:space="preserve">las entidades podrán adelantar procedimientos de selección directa en los cuatro meses previos a la </w:t>
      </w:r>
      <w:r w:rsidR="00A73A2A">
        <w:rPr>
          <w:rFonts w:ascii="Verdana" w:eastAsia="Century Gothic" w:hAnsi="Verdana" w:cs="Century Gothic"/>
        </w:rPr>
        <w:lastRenderedPageBreak/>
        <w:t>contienda electoral por la Presidencia. El inciso final de la norma establece que se exceptúa</w:t>
      </w:r>
      <w:r w:rsidR="00962B64">
        <w:rPr>
          <w:rFonts w:ascii="Verdana" w:eastAsia="Century Gothic" w:hAnsi="Verdana" w:cs="Century Gothic"/>
        </w:rPr>
        <w:t xml:space="preserve">n de la prohibición: </w:t>
      </w:r>
    </w:p>
    <w:p w14:paraId="4E0BA190" w14:textId="4A3ED828" w:rsidR="00962B64" w:rsidRDefault="005E4EF0" w:rsidP="005E4EF0">
      <w:pPr>
        <w:pBdr>
          <w:top w:val="single" w:sz="4" w:space="1" w:color="auto"/>
          <w:left w:val="single" w:sz="4" w:space="4" w:color="auto"/>
          <w:bottom w:val="single" w:sz="4" w:space="1" w:color="auto"/>
          <w:right w:val="single" w:sz="4" w:space="4" w:color="auto"/>
        </w:pBdr>
        <w:spacing w:after="120" w:line="276" w:lineRule="auto"/>
        <w:jc w:val="both"/>
        <w:rPr>
          <w:rFonts w:ascii="Verdana" w:eastAsia="Century Gothic" w:hAnsi="Verdana" w:cs="Century Gothic"/>
        </w:rPr>
      </w:pPr>
      <w:r>
        <w:rPr>
          <w:rFonts w:ascii="Verdana" w:eastAsia="Century Gothic" w:hAnsi="Verdana" w:cs="Century Gothic"/>
        </w:rPr>
        <w:t xml:space="preserve">a) </w:t>
      </w:r>
      <w:r w:rsidR="001346CF">
        <w:rPr>
          <w:rFonts w:ascii="Verdana" w:eastAsia="Century Gothic" w:hAnsi="Verdana" w:cs="Century Gothic"/>
        </w:rPr>
        <w:t>Lo</w:t>
      </w:r>
      <w:r w:rsidR="00962B64">
        <w:rPr>
          <w:rFonts w:ascii="Verdana" w:eastAsia="Century Gothic" w:hAnsi="Verdana" w:cs="Century Gothic"/>
        </w:rPr>
        <w:t xml:space="preserve"> referente a la defensa y seguridad del Estado. </w:t>
      </w:r>
    </w:p>
    <w:p w14:paraId="6C204259" w14:textId="413479A5" w:rsidR="00962B64" w:rsidRDefault="00962B64" w:rsidP="005E4EF0">
      <w:pPr>
        <w:pBdr>
          <w:top w:val="single" w:sz="4" w:space="1" w:color="auto"/>
          <w:left w:val="single" w:sz="4" w:space="4" w:color="auto"/>
          <w:bottom w:val="single" w:sz="4" w:space="1" w:color="auto"/>
          <w:right w:val="single" w:sz="4" w:space="4" w:color="auto"/>
        </w:pBdr>
        <w:spacing w:after="120" w:line="276" w:lineRule="auto"/>
        <w:jc w:val="both"/>
        <w:rPr>
          <w:rFonts w:ascii="Verdana" w:eastAsia="Century Gothic" w:hAnsi="Verdana" w:cs="Century Gothic"/>
        </w:rPr>
      </w:pPr>
      <w:r>
        <w:rPr>
          <w:rFonts w:ascii="Verdana" w:eastAsia="Century Gothic" w:hAnsi="Verdana" w:cs="Century Gothic"/>
        </w:rPr>
        <w:t xml:space="preserve">b) </w:t>
      </w:r>
      <w:r w:rsidR="001346CF">
        <w:rPr>
          <w:rFonts w:ascii="Verdana" w:eastAsia="Century Gothic" w:hAnsi="Verdana" w:cs="Century Gothic"/>
        </w:rPr>
        <w:t>Los contratos</w:t>
      </w:r>
      <w:r w:rsidR="00675267">
        <w:rPr>
          <w:rFonts w:ascii="Verdana" w:eastAsia="Century Gothic" w:hAnsi="Verdana" w:cs="Century Gothic"/>
        </w:rPr>
        <w:t xml:space="preserve"> de crédito público. </w:t>
      </w:r>
    </w:p>
    <w:p w14:paraId="3F3FD3F4" w14:textId="0F3DF9C6" w:rsidR="00675267" w:rsidRDefault="00675267" w:rsidP="005E4EF0">
      <w:pPr>
        <w:pBdr>
          <w:top w:val="single" w:sz="4" w:space="1" w:color="auto"/>
          <w:left w:val="single" w:sz="4" w:space="4" w:color="auto"/>
          <w:bottom w:val="single" w:sz="4" w:space="1" w:color="auto"/>
          <w:right w:val="single" w:sz="4" w:space="4" w:color="auto"/>
        </w:pBdr>
        <w:spacing w:after="120" w:line="276" w:lineRule="auto"/>
        <w:jc w:val="both"/>
        <w:rPr>
          <w:rFonts w:ascii="Verdana" w:eastAsia="Century Gothic" w:hAnsi="Verdana" w:cs="Century Gothic"/>
        </w:rPr>
      </w:pPr>
      <w:r>
        <w:rPr>
          <w:rFonts w:ascii="Verdana" w:eastAsia="Century Gothic" w:hAnsi="Verdana" w:cs="Century Gothic"/>
        </w:rPr>
        <w:t>c) Los contratos requeridos para cubrir las emergencias educativas, sanitarias</w:t>
      </w:r>
      <w:r w:rsidR="00C31366">
        <w:rPr>
          <w:rFonts w:ascii="Verdana" w:eastAsia="Century Gothic" w:hAnsi="Verdana" w:cs="Century Gothic"/>
        </w:rPr>
        <w:t xml:space="preserve"> y desastres. </w:t>
      </w:r>
    </w:p>
    <w:p w14:paraId="4243B506" w14:textId="707673E2" w:rsidR="00C31366" w:rsidRDefault="00C31366" w:rsidP="005E4EF0">
      <w:pPr>
        <w:pBdr>
          <w:top w:val="single" w:sz="4" w:space="1" w:color="auto"/>
          <w:left w:val="single" w:sz="4" w:space="4" w:color="auto"/>
          <w:bottom w:val="single" w:sz="4" w:space="1" w:color="auto"/>
          <w:right w:val="single" w:sz="4" w:space="4" w:color="auto"/>
        </w:pBdr>
        <w:spacing w:after="120" w:line="276" w:lineRule="auto"/>
        <w:jc w:val="both"/>
        <w:rPr>
          <w:rFonts w:ascii="Verdana" w:eastAsia="Century Gothic" w:hAnsi="Verdana" w:cs="Century Gothic"/>
        </w:rPr>
      </w:pPr>
      <w:r>
        <w:rPr>
          <w:rFonts w:ascii="Verdana" w:eastAsia="Century Gothic" w:hAnsi="Verdana" w:cs="Century Gothic"/>
        </w:rPr>
        <w:t>d) Los utilizados para la construcción de vías, puentes, carreteras, infraestructura energética y de comunicaciones, en caso de que hayan sido objeto de atentados, acciones terroristas, desastres naturales o casos de fuerza mayor</w:t>
      </w:r>
      <w:r w:rsidR="00A300FD">
        <w:rPr>
          <w:rFonts w:ascii="Verdana" w:eastAsia="Century Gothic" w:hAnsi="Verdana" w:cs="Century Gothic"/>
        </w:rPr>
        <w:t xml:space="preserve">; y </w:t>
      </w:r>
    </w:p>
    <w:p w14:paraId="2F7ED29E" w14:textId="5440E703" w:rsidR="00A300FD" w:rsidRDefault="00A300FD" w:rsidP="005E4EF0">
      <w:pPr>
        <w:pBdr>
          <w:top w:val="single" w:sz="4" w:space="1" w:color="auto"/>
          <w:left w:val="single" w:sz="4" w:space="4" w:color="auto"/>
          <w:bottom w:val="single" w:sz="4" w:space="1" w:color="auto"/>
          <w:right w:val="single" w:sz="4" w:space="4" w:color="auto"/>
        </w:pBdr>
        <w:spacing w:after="120" w:line="276" w:lineRule="auto"/>
        <w:jc w:val="both"/>
        <w:rPr>
          <w:rFonts w:ascii="Verdana" w:eastAsia="Century Gothic" w:hAnsi="Verdana" w:cs="Century Gothic"/>
        </w:rPr>
      </w:pPr>
      <w:r>
        <w:rPr>
          <w:rFonts w:ascii="Verdana" w:eastAsia="Century Gothic" w:hAnsi="Verdana" w:cs="Century Gothic"/>
        </w:rPr>
        <w:t xml:space="preserve">e) Los que deban realizar las entidades sanitarias y hospitalarias. </w:t>
      </w:r>
    </w:p>
    <w:p w14:paraId="54DB7F77" w14:textId="77777777" w:rsidR="00A300FD" w:rsidRDefault="00A300FD" w:rsidP="005E4EF0">
      <w:pPr>
        <w:pBdr>
          <w:top w:val="single" w:sz="4" w:space="1" w:color="auto"/>
          <w:left w:val="single" w:sz="4" w:space="4" w:color="auto"/>
          <w:bottom w:val="single" w:sz="4" w:space="1" w:color="auto"/>
          <w:right w:val="single" w:sz="4" w:space="4" w:color="auto"/>
        </w:pBdr>
        <w:spacing w:after="120" w:line="276" w:lineRule="auto"/>
        <w:jc w:val="both"/>
        <w:rPr>
          <w:rFonts w:ascii="Verdana" w:eastAsia="Century Gothic" w:hAnsi="Verdana" w:cs="Century Gothic"/>
        </w:rPr>
      </w:pPr>
    </w:p>
    <w:p w14:paraId="446E0642" w14:textId="7A42DE6C" w:rsidR="00633978" w:rsidRDefault="00A300FD" w:rsidP="005E4EF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Es responsabilidad del respectivo ente del Estado examinar en cada casi la naturaleza de as actividades que adelanta y justificar si las mismas se enmarcan en alguna de las excepciones, de manera que pueda realizar la contratación directa durante el periodo de la prohibición. </w:t>
      </w:r>
    </w:p>
    <w:p w14:paraId="4B70E93D" w14:textId="2A6EFF26" w:rsidR="004D2B30" w:rsidRDefault="004D2B30" w:rsidP="005E4EF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En esta labor es importante tener en cuenta, como lo anotó la Corte Constitucional, que “si bien la limitación garantiza la igualdad no termine yendo dentro del det</w:t>
      </w:r>
      <w:r w:rsidR="00BD551A">
        <w:rPr>
          <w:rFonts w:ascii="Verdana" w:eastAsia="Century Gothic" w:hAnsi="Verdana" w:cs="Century Gothic"/>
        </w:rPr>
        <w:t xml:space="preserve">rimento de intereses públicos, cuya garantía está en cabeza del ejecutivo, como son los inmersos en las excepciones para la prohibición </w:t>
      </w:r>
      <w:r w:rsidR="00230123">
        <w:rPr>
          <w:rFonts w:ascii="Verdana" w:eastAsia="Century Gothic" w:hAnsi="Verdana" w:cs="Century Gothic"/>
        </w:rPr>
        <w:t xml:space="preserve">de contratación”. De ahí </w:t>
      </w:r>
      <w:r w:rsidR="00234D7E">
        <w:rPr>
          <w:rFonts w:ascii="Verdana" w:eastAsia="Century Gothic" w:hAnsi="Verdana" w:cs="Century Gothic"/>
        </w:rPr>
        <w:t xml:space="preserve">que </w:t>
      </w:r>
      <w:r w:rsidR="00230123">
        <w:rPr>
          <w:rFonts w:ascii="Verdana" w:eastAsia="Century Gothic" w:hAnsi="Verdana" w:cs="Century Gothic"/>
        </w:rPr>
        <w:t>la Corte</w:t>
      </w:r>
      <w:r w:rsidR="00234D7E">
        <w:rPr>
          <w:rFonts w:ascii="Verdana" w:eastAsia="Century Gothic" w:hAnsi="Verdana" w:cs="Century Gothic"/>
        </w:rPr>
        <w:t xml:space="preserve"> hay hecho particular énfasis en que las excepciones a la restricción protege</w:t>
      </w:r>
      <w:r w:rsidR="009B5890">
        <w:rPr>
          <w:rFonts w:ascii="Verdana" w:eastAsia="Century Gothic" w:hAnsi="Verdana" w:cs="Century Gothic"/>
        </w:rPr>
        <w:t xml:space="preserve">n diversos tipos de urgencias de defensa, salud, educación, infraestructura </w:t>
      </w:r>
      <w:r w:rsidR="00664272">
        <w:rPr>
          <w:rFonts w:ascii="Verdana" w:eastAsia="Century Gothic" w:hAnsi="Verdana" w:cs="Century Gothic"/>
        </w:rPr>
        <w:t xml:space="preserve">vial y de servicios públicos y ecológicas, que tienden a no limitar </w:t>
      </w:r>
      <w:r w:rsidR="002C7A24">
        <w:rPr>
          <w:rFonts w:ascii="Verdana" w:eastAsia="Century Gothic" w:hAnsi="Verdana" w:cs="Century Gothic"/>
        </w:rPr>
        <w:t xml:space="preserve">desproporcionadamente la acción del Estado en el cumplimiento de sus fines, en procura de la igualdad entre los candidatos como garantía electoral. </w:t>
      </w:r>
    </w:p>
    <w:p w14:paraId="48E41254" w14:textId="77777777" w:rsidR="005E4EF0" w:rsidRPr="005E4EF0" w:rsidRDefault="005E4EF0" w:rsidP="002C7A24">
      <w:pPr>
        <w:pBdr>
          <w:top w:val="single" w:sz="4" w:space="1" w:color="auto"/>
          <w:left w:val="single" w:sz="4" w:space="4" w:color="auto"/>
          <w:bottom w:val="single" w:sz="4" w:space="1" w:color="auto"/>
          <w:right w:val="single" w:sz="4" w:space="4" w:color="auto"/>
        </w:pBdr>
        <w:spacing w:after="120" w:line="276" w:lineRule="auto"/>
        <w:jc w:val="both"/>
        <w:rPr>
          <w:rFonts w:ascii="Verdana" w:eastAsia="Century Gothic" w:hAnsi="Verdana" w:cs="Century Gothic"/>
        </w:rPr>
      </w:pPr>
    </w:p>
    <w:p w14:paraId="63ABDBCD" w14:textId="77777777" w:rsidR="00E42A7B" w:rsidRDefault="00E42A7B" w:rsidP="00057314">
      <w:pPr>
        <w:spacing w:after="120" w:line="276" w:lineRule="auto"/>
        <w:jc w:val="both"/>
        <w:rPr>
          <w:rFonts w:ascii="Verdana" w:eastAsia="Century Gothic" w:hAnsi="Verdana" w:cs="Century Gothic"/>
          <w:b/>
          <w:bCs/>
        </w:rPr>
      </w:pPr>
    </w:p>
    <w:p w14:paraId="43220D85" w14:textId="5D5D69AC" w:rsidR="00633978" w:rsidRDefault="00926084" w:rsidP="00057314">
      <w:pPr>
        <w:spacing w:after="120" w:line="276" w:lineRule="auto"/>
        <w:jc w:val="both"/>
        <w:rPr>
          <w:rFonts w:ascii="Verdana" w:eastAsia="Century Gothic" w:hAnsi="Verdana" w:cs="Century Gothic"/>
          <w:b/>
          <w:bCs/>
        </w:rPr>
      </w:pPr>
      <w:r>
        <w:rPr>
          <w:rFonts w:ascii="Verdana" w:eastAsia="Century Gothic" w:hAnsi="Verdana" w:cs="Century Gothic"/>
          <w:b/>
          <w:bCs/>
        </w:rPr>
        <w:t xml:space="preserve">3. Razones de la respuesta: </w:t>
      </w:r>
    </w:p>
    <w:p w14:paraId="17D8E4FF" w14:textId="41560EBC" w:rsidR="00926084" w:rsidRDefault="000907FE" w:rsidP="00057314">
      <w:pPr>
        <w:spacing w:after="120" w:line="276" w:lineRule="auto"/>
        <w:jc w:val="both"/>
        <w:rPr>
          <w:rFonts w:ascii="Verdana" w:eastAsia="Century Gothic" w:hAnsi="Verdana" w:cs="Century Gothic"/>
        </w:rPr>
      </w:pPr>
      <w:r w:rsidRPr="000907FE">
        <w:rPr>
          <w:rFonts w:ascii="Verdana" w:eastAsia="Century Gothic" w:hAnsi="Verdana" w:cs="Century Gothic"/>
        </w:rPr>
        <w:t xml:space="preserve">Lo anterior se sustenta en las siguientes consideraciones: </w:t>
      </w:r>
    </w:p>
    <w:p w14:paraId="7C512F28" w14:textId="77777777" w:rsidR="00E42A7B" w:rsidRDefault="00E42A7B" w:rsidP="004D5A0A">
      <w:pPr>
        <w:spacing w:after="0" w:line="276" w:lineRule="auto"/>
        <w:jc w:val="both"/>
        <w:rPr>
          <w:rFonts w:ascii="Verdana" w:eastAsia="Century Gothic" w:hAnsi="Verdana" w:cs="Century Gothic"/>
        </w:rPr>
      </w:pPr>
    </w:p>
    <w:p w14:paraId="3B2312A5" w14:textId="77777777" w:rsidR="004D5A0A" w:rsidRPr="0039489B" w:rsidRDefault="004D5A0A" w:rsidP="004D5A0A">
      <w:pPr>
        <w:spacing w:after="12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lastRenderedPageBreak/>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políticos, señala restricciones a ciertos empleados del Estado, incluso en época no electoral. </w:t>
      </w:r>
    </w:p>
    <w:p w14:paraId="4B8F1982" w14:textId="77777777" w:rsidR="004D5A0A" w:rsidRPr="0039489B" w:rsidRDefault="004D5A0A" w:rsidP="004D5A0A">
      <w:pPr>
        <w:spacing w:after="12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4BD27AB3" w14:textId="77777777" w:rsidR="004D5A0A" w:rsidRPr="0039489B" w:rsidRDefault="004D5A0A" w:rsidP="004D5A0A">
      <w:pPr>
        <w:spacing w:after="12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64BA0323" w14:textId="77777777" w:rsidR="004D5A0A" w:rsidRPr="0039489B" w:rsidRDefault="004D5A0A" w:rsidP="004D5A0A">
      <w:pPr>
        <w:spacing w:after="0" w:line="276" w:lineRule="auto"/>
        <w:ind w:firstLine="708"/>
        <w:jc w:val="both"/>
        <w:rPr>
          <w:rFonts w:ascii="Verdana" w:eastAsia="Century Gothic" w:hAnsi="Verdana" w:cs="Century Gothic"/>
          <w:bCs/>
          <w:lang w:val="es-ES_tradnl"/>
        </w:rPr>
      </w:pPr>
    </w:p>
    <w:p w14:paraId="4F1734F3" w14:textId="77777777" w:rsidR="004D5A0A" w:rsidRPr="00076EE9" w:rsidRDefault="004D5A0A" w:rsidP="004D5A0A">
      <w:pPr>
        <w:spacing w:after="0" w:line="240" w:lineRule="auto"/>
        <w:ind w:left="709" w:right="709"/>
        <w:jc w:val="both"/>
        <w:rPr>
          <w:rFonts w:ascii="Verdana" w:eastAsia="Century Gothic" w:hAnsi="Verdana" w:cs="Century Gothic"/>
          <w:bCs/>
          <w:sz w:val="21"/>
          <w:szCs w:val="21"/>
          <w:lang w:val="es-ES_tradnl"/>
        </w:rPr>
      </w:pPr>
      <w:r w:rsidRPr="00076EE9">
        <w:rPr>
          <w:rFonts w:ascii="Verdana" w:eastAsia="Century Gothic" w:hAnsi="Verdana" w:cs="Century Gothic"/>
          <w:bCs/>
          <w:sz w:val="21"/>
          <w:szCs w:val="21"/>
          <w:lang w:val="es-ES_tradnl"/>
        </w:rPr>
        <w:t>“[…] la definición de reglas claras que permitan acceder a los canales de expresión democrática de manera efectiva e igualitaria. El objetivo de una ley de garantías es definir esas reglas.</w:t>
      </w:r>
    </w:p>
    <w:p w14:paraId="485722F2" w14:textId="77777777" w:rsidR="004D5A0A" w:rsidRPr="00076EE9" w:rsidRDefault="004D5A0A" w:rsidP="004D5A0A">
      <w:pPr>
        <w:spacing w:after="0" w:line="240" w:lineRule="auto"/>
        <w:ind w:left="709" w:right="709"/>
        <w:jc w:val="both"/>
        <w:rPr>
          <w:rFonts w:ascii="Verdana" w:eastAsia="Century Gothic" w:hAnsi="Verdana" w:cs="Century Gothic"/>
          <w:bCs/>
          <w:sz w:val="21"/>
          <w:szCs w:val="21"/>
          <w:lang w:val="es-ES_tradnl"/>
        </w:rPr>
      </w:pPr>
    </w:p>
    <w:p w14:paraId="51E4817E" w14:textId="77777777" w:rsidR="004D5A0A" w:rsidRPr="00076EE9" w:rsidRDefault="004D5A0A" w:rsidP="004D5A0A">
      <w:pPr>
        <w:spacing w:after="0" w:line="240" w:lineRule="auto"/>
        <w:ind w:left="709" w:right="709"/>
        <w:jc w:val="both"/>
        <w:rPr>
          <w:rFonts w:ascii="Verdana" w:eastAsia="Century Gothic" w:hAnsi="Verdana" w:cs="Century Gothic"/>
          <w:bCs/>
          <w:sz w:val="21"/>
          <w:szCs w:val="21"/>
          <w:lang w:val="es-ES_tradnl"/>
        </w:rPr>
      </w:pPr>
      <w:r w:rsidRPr="00076EE9">
        <w:rPr>
          <w:rFonts w:ascii="Verdana" w:eastAsia="Century Gothic" w:hAnsi="Verdana" w:cs="Century Gothic"/>
          <w:bCs/>
          <w:sz w:val="21"/>
          <w:szCs w:val="21"/>
          <w:lang w:val="es-ES_tradnl"/>
        </w:rPr>
        <w:t xml:space="preserve">[…] </w:t>
      </w:r>
    </w:p>
    <w:p w14:paraId="4648A7F9" w14:textId="77777777" w:rsidR="004D5A0A" w:rsidRPr="00076EE9" w:rsidRDefault="004D5A0A" w:rsidP="004D5A0A">
      <w:pPr>
        <w:spacing w:after="0" w:line="240" w:lineRule="auto"/>
        <w:ind w:left="709" w:right="709"/>
        <w:jc w:val="both"/>
        <w:rPr>
          <w:rFonts w:ascii="Verdana" w:eastAsia="Century Gothic" w:hAnsi="Verdana" w:cs="Century Gothic"/>
          <w:bCs/>
          <w:sz w:val="21"/>
          <w:szCs w:val="21"/>
          <w:lang w:val="es-ES_tradnl"/>
        </w:rPr>
      </w:pPr>
    </w:p>
    <w:p w14:paraId="6C60D631" w14:textId="77777777" w:rsidR="004D5A0A" w:rsidRPr="00076EE9" w:rsidRDefault="004D5A0A" w:rsidP="004D5A0A">
      <w:pPr>
        <w:spacing w:after="0" w:line="240" w:lineRule="auto"/>
        <w:ind w:left="709" w:right="709"/>
        <w:jc w:val="both"/>
        <w:rPr>
          <w:rFonts w:ascii="Verdana" w:eastAsia="Century Gothic" w:hAnsi="Verdana" w:cs="Century Gothic"/>
          <w:bCs/>
          <w:sz w:val="21"/>
          <w:szCs w:val="21"/>
          <w:lang w:val="es-ES_tradnl"/>
        </w:rPr>
      </w:pPr>
      <w:r w:rsidRPr="00076EE9">
        <w:rPr>
          <w:rFonts w:ascii="Verdana" w:eastAsia="Century Gothic" w:hAnsi="Verdana" w:cs="Century Gothic"/>
          <w:bCs/>
          <w:sz w:val="21"/>
          <w:szCs w:val="21"/>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5A0614BA" w14:textId="77777777" w:rsidR="004D5A0A" w:rsidRPr="0039489B" w:rsidRDefault="004D5A0A" w:rsidP="004D5A0A">
      <w:pPr>
        <w:spacing w:after="0" w:line="276" w:lineRule="auto"/>
        <w:ind w:left="709" w:right="709"/>
        <w:jc w:val="both"/>
        <w:rPr>
          <w:rFonts w:ascii="Verdana" w:eastAsia="Century Gothic" w:hAnsi="Verdana" w:cs="Century Gothic"/>
          <w:bCs/>
          <w:lang w:val="es-ES_tradnl"/>
        </w:rPr>
      </w:pPr>
    </w:p>
    <w:p w14:paraId="36561862" w14:textId="77777777" w:rsidR="004D5A0A" w:rsidRPr="0039489B" w:rsidRDefault="004D5A0A" w:rsidP="00076EE9">
      <w:pPr>
        <w:spacing w:after="12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En este contexto, la Ley de Garantías Electorales establece el marco jurídico para el desarrollo de las elecciones, procurando condiciones de igualdad </w:t>
      </w:r>
      <w:r w:rsidRPr="0039489B">
        <w:rPr>
          <w:rFonts w:ascii="Verdana" w:eastAsia="Century Gothic" w:hAnsi="Verdana" w:cs="Century Gothic"/>
          <w:bCs/>
          <w:lang w:val="es-ES_tradnl"/>
        </w:rPr>
        <w:lastRenderedPageBreak/>
        <w:t>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FF24843" w14:textId="77777777" w:rsidR="004D5A0A" w:rsidRPr="0039489B" w:rsidRDefault="004D5A0A" w:rsidP="00076EE9">
      <w:pPr>
        <w:spacing w:after="120" w:line="276" w:lineRule="auto"/>
        <w:ind w:firstLine="709"/>
        <w:jc w:val="both"/>
        <w:rPr>
          <w:rFonts w:ascii="Verdana" w:eastAsia="Century Gothic" w:hAnsi="Verdana" w:cs="Century Gothic"/>
          <w:bCs/>
          <w:lang w:val="es-ES_tradnl"/>
        </w:rPr>
      </w:pPr>
    </w:p>
    <w:p w14:paraId="2CCAF1F5" w14:textId="77777777" w:rsidR="004D5A0A" w:rsidRPr="00076EE9" w:rsidRDefault="004D5A0A" w:rsidP="004D5A0A">
      <w:pPr>
        <w:spacing w:after="0" w:line="240" w:lineRule="auto"/>
        <w:ind w:left="709" w:right="709"/>
        <w:jc w:val="both"/>
        <w:rPr>
          <w:rFonts w:ascii="Verdana" w:eastAsia="Century Gothic" w:hAnsi="Verdana" w:cs="Century Gothic"/>
          <w:sz w:val="21"/>
          <w:szCs w:val="21"/>
          <w:lang w:val="es-ES"/>
        </w:rPr>
      </w:pPr>
      <w:r w:rsidRPr="00076EE9">
        <w:rPr>
          <w:rFonts w:ascii="Verdana" w:eastAsia="Century Gothic" w:hAnsi="Verdana" w:cs="Century Gothic"/>
          <w:sz w:val="21"/>
          <w:szCs w:val="21"/>
          <w:lang w:val="es-ES"/>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0B0FFA7" w14:textId="77777777" w:rsidR="004D5A0A" w:rsidRPr="00076EE9" w:rsidRDefault="004D5A0A" w:rsidP="004D5A0A">
      <w:pPr>
        <w:spacing w:after="0" w:line="240" w:lineRule="auto"/>
        <w:ind w:left="709" w:right="709"/>
        <w:jc w:val="both"/>
        <w:rPr>
          <w:rFonts w:ascii="Verdana" w:eastAsia="Century Gothic" w:hAnsi="Verdana" w:cs="Century Gothic"/>
          <w:sz w:val="21"/>
          <w:szCs w:val="21"/>
          <w:lang w:val="es-ES"/>
        </w:rPr>
      </w:pPr>
    </w:p>
    <w:p w14:paraId="214C4D43" w14:textId="77777777" w:rsidR="004D5A0A" w:rsidRPr="00076EE9" w:rsidRDefault="004D5A0A" w:rsidP="004D5A0A">
      <w:pPr>
        <w:spacing w:after="0" w:line="240" w:lineRule="auto"/>
        <w:ind w:left="709" w:right="709"/>
        <w:jc w:val="both"/>
        <w:rPr>
          <w:rFonts w:ascii="Verdana" w:eastAsia="Century Gothic" w:hAnsi="Verdana" w:cs="Century Gothic"/>
          <w:bCs/>
          <w:sz w:val="21"/>
          <w:szCs w:val="21"/>
          <w:lang w:val="es-ES_tradnl"/>
        </w:rPr>
      </w:pPr>
      <w:r w:rsidRPr="00076EE9">
        <w:rPr>
          <w:rFonts w:ascii="Verdana" w:eastAsia="Century Gothic" w:hAnsi="Verdana" w:cs="Century Gothic"/>
          <w:bCs/>
          <w:sz w:val="21"/>
          <w:szCs w:val="21"/>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073CC189" w14:textId="77777777" w:rsidR="004D5A0A" w:rsidRPr="0039489B" w:rsidRDefault="004D5A0A" w:rsidP="004D5A0A">
      <w:pPr>
        <w:spacing w:after="0" w:line="276" w:lineRule="auto"/>
        <w:ind w:left="709" w:right="709"/>
        <w:jc w:val="both"/>
        <w:rPr>
          <w:rFonts w:ascii="Verdana" w:eastAsia="Century Gothic" w:hAnsi="Verdana" w:cs="Century Gothic"/>
          <w:bCs/>
          <w:sz w:val="20"/>
          <w:szCs w:val="20"/>
          <w:lang w:val="es-ES_tradnl"/>
        </w:rPr>
      </w:pPr>
    </w:p>
    <w:p w14:paraId="55F15AD5" w14:textId="77777777" w:rsidR="00076EE9" w:rsidRDefault="004D5A0A" w:rsidP="00076EE9">
      <w:pPr>
        <w:spacing w:after="120" w:line="276" w:lineRule="auto"/>
        <w:ind w:firstLine="709"/>
        <w:jc w:val="both"/>
        <w:rPr>
          <w:rFonts w:ascii="Verdana" w:eastAsia="Arial" w:hAnsi="Verdana" w:cs="Arial"/>
          <w:lang w:val="es-ES" w:eastAsia="es-ES" w:bidi="es-ES"/>
        </w:rPr>
      </w:pPr>
      <w:r w:rsidRPr="0039489B">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Así las cosas,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r w:rsidRPr="0039489B">
        <w:rPr>
          <w:rFonts w:ascii="Verdana" w:eastAsia="Arial" w:hAnsi="Verdana" w:cs="Arial"/>
          <w:lang w:val="es-ES" w:eastAsia="es-ES" w:bidi="es-ES"/>
        </w:rPr>
        <w:t xml:space="preserve">Teniendo en cuenta el contenido de la consulta y de conformidad con las competencias que le asisten a esta Agencia, a continuación, se realizará el análisis de las prohibiciones dirigidas a la contratación estatal.  </w:t>
      </w:r>
    </w:p>
    <w:p w14:paraId="5A4C60DB" w14:textId="101021E7" w:rsidR="004D5A0A" w:rsidRPr="00076EE9" w:rsidRDefault="004D5A0A" w:rsidP="00076EE9">
      <w:pPr>
        <w:spacing w:after="120" w:line="276" w:lineRule="auto"/>
        <w:ind w:firstLine="709"/>
        <w:jc w:val="both"/>
        <w:rPr>
          <w:rFonts w:ascii="Verdana" w:eastAsia="Arial" w:hAnsi="Verdana" w:cs="Arial"/>
          <w:lang w:val="es-ES" w:eastAsia="es-ES" w:bidi="es-ES"/>
        </w:rPr>
      </w:pPr>
      <w:r w:rsidRPr="0039489B">
        <w:rPr>
          <w:rFonts w:ascii="Verdana" w:eastAsia="Century Gothic" w:hAnsi="Verdana" w:cs="Century Gothic"/>
          <w:lang w:val="es-ES"/>
        </w:rPr>
        <w:lastRenderedPageBreak/>
        <w:t xml:space="preserve"> Las restricciones en materia de contratación estatal consagradas en la Ley de Garantías Electorales se dirigen a dos (2) tipos de campañas electorales diferenciadas: las presidenciales y las que se adelanten para la elección de los demás cargos de elección popular, tanto a nivel nacional como territorial.</w:t>
      </w:r>
    </w:p>
    <w:p w14:paraId="3F2C9B48" w14:textId="77777777" w:rsidR="004D5A0A" w:rsidRPr="0039489B" w:rsidRDefault="004D5A0A" w:rsidP="00076EE9">
      <w:pPr>
        <w:spacing w:after="12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Por un lado, el artículo 33 de la Ley 996 de 2005 prohíbe “[…] la contratación directa por parte de todos los entes del Estado” durante los cuatro (4) meses anteriores a las elecciones presidenciales, salvo “[…] lo referente a la </w:t>
      </w:r>
      <w:r w:rsidRPr="0039489B">
        <w:rPr>
          <w:rFonts w:ascii="Verdana" w:eastAsia="Century Gothic" w:hAnsi="Verdana" w:cs="Century Gothic"/>
          <w:bCs/>
          <w:i/>
          <w:iCs/>
          <w:lang w:val="es-ES_tradnl"/>
        </w:rPr>
        <w:t>defensa y seguridad del Estado</w:t>
      </w:r>
      <w:r w:rsidRPr="0039489B">
        <w:rPr>
          <w:rFonts w:ascii="Verdana" w:eastAsia="Century Gothic" w:hAnsi="Verdana" w:cs="Century Gothic"/>
          <w:bCs/>
          <w:lang w:val="es-ES_tradnl"/>
        </w:rPr>
        <w:t>,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2D4DFE50" w14:textId="77777777" w:rsidR="004D5A0A" w:rsidRPr="0039489B" w:rsidRDefault="004D5A0A" w:rsidP="00076EE9">
      <w:pPr>
        <w:spacing w:after="12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2421FEC8" w14:textId="77777777" w:rsidR="004D5A0A" w:rsidRPr="0039489B" w:rsidRDefault="004D5A0A" w:rsidP="00076EE9">
      <w:pPr>
        <w:spacing w:after="12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47380F94" w14:textId="77777777" w:rsidR="004D5A0A" w:rsidRPr="0039489B" w:rsidRDefault="004D5A0A" w:rsidP="004D5A0A">
      <w:pPr>
        <w:spacing w:after="0" w:line="276" w:lineRule="auto"/>
        <w:ind w:firstLine="708"/>
        <w:jc w:val="both"/>
        <w:rPr>
          <w:rFonts w:ascii="Verdana" w:eastAsia="Century Gothic" w:hAnsi="Verdana" w:cs="Century Gothic"/>
          <w:bCs/>
          <w:lang w:val="es-ES_tradnl"/>
        </w:rPr>
      </w:pPr>
    </w:p>
    <w:p w14:paraId="4CBA8133" w14:textId="77777777" w:rsidR="004D5A0A" w:rsidRPr="00076EE9" w:rsidRDefault="004D5A0A" w:rsidP="004D5A0A">
      <w:pPr>
        <w:spacing w:after="0" w:line="240" w:lineRule="auto"/>
        <w:ind w:left="709" w:right="709"/>
        <w:jc w:val="both"/>
        <w:rPr>
          <w:rFonts w:ascii="Verdana" w:eastAsia="Century Gothic" w:hAnsi="Verdana" w:cs="Century Gothic"/>
          <w:bCs/>
          <w:sz w:val="21"/>
          <w:szCs w:val="21"/>
          <w:lang w:val="es-ES_tradnl"/>
        </w:rPr>
      </w:pPr>
      <w:r w:rsidRPr="00076EE9">
        <w:rPr>
          <w:rFonts w:ascii="Verdana" w:eastAsia="Century Gothic" w:hAnsi="Verdana" w:cs="Century Gothic"/>
          <w:bCs/>
          <w:sz w:val="21"/>
          <w:szCs w:val="21"/>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w:t>
      </w:r>
      <w:r w:rsidRPr="00076EE9">
        <w:rPr>
          <w:rFonts w:ascii="Verdana" w:eastAsia="Century Gothic" w:hAnsi="Verdana" w:cs="Century Gothic"/>
          <w:bCs/>
          <w:sz w:val="21"/>
          <w:szCs w:val="21"/>
          <w:lang w:val="es-ES_tradnl"/>
        </w:rPr>
        <w:lastRenderedPageBreak/>
        <w:t xml:space="preserve">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29FB529A" w14:textId="77777777" w:rsidR="004D5A0A" w:rsidRPr="0039489B" w:rsidRDefault="004D5A0A" w:rsidP="004D5A0A">
      <w:pPr>
        <w:spacing w:after="0" w:line="276" w:lineRule="auto"/>
        <w:ind w:left="709" w:right="709"/>
        <w:jc w:val="both"/>
        <w:rPr>
          <w:rFonts w:ascii="Verdana" w:eastAsia="Century Gothic" w:hAnsi="Verdana" w:cs="Century Gothic"/>
          <w:bCs/>
          <w:lang w:val="es-ES_tradnl"/>
        </w:rPr>
      </w:pPr>
    </w:p>
    <w:p w14:paraId="299CA5F4" w14:textId="77777777" w:rsidR="004D5A0A" w:rsidRPr="0039489B" w:rsidRDefault="004D5A0A" w:rsidP="004D5A0A">
      <w:pPr>
        <w:spacing w:after="120" w:line="276" w:lineRule="auto"/>
        <w:ind w:firstLine="709"/>
        <w:jc w:val="both"/>
        <w:rPr>
          <w:rFonts w:ascii="Verdana" w:eastAsia="Century Gothic" w:hAnsi="Verdana" w:cs="Century Gothic"/>
          <w:lang w:val="es-ES"/>
        </w:rPr>
      </w:pPr>
      <w:r w:rsidRPr="0039489B">
        <w:rPr>
          <w:rFonts w:ascii="Verdana" w:eastAsia="Century Gothic" w:hAnsi="Verdana" w:cs="Century Gothic"/>
          <w:lang w:val="es-ES"/>
        </w:rPr>
        <w:t>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9974A78" w14:textId="77777777" w:rsidR="004D5A0A" w:rsidRPr="0039489B" w:rsidRDefault="004D5A0A" w:rsidP="00076EE9">
      <w:pPr>
        <w:spacing w:after="120" w:line="276" w:lineRule="auto"/>
        <w:ind w:firstLine="709"/>
        <w:jc w:val="both"/>
        <w:rPr>
          <w:rFonts w:ascii="Verdana" w:eastAsia="Century Gothic" w:hAnsi="Verdana" w:cs="Century Gothic"/>
          <w:lang w:val="es-ES"/>
        </w:rPr>
      </w:pPr>
      <w:r w:rsidRPr="0039489B">
        <w:rPr>
          <w:rFonts w:ascii="Verdana" w:eastAsia="Century Gothic" w:hAnsi="Verdana" w:cs="Century Gothic"/>
          <w:lang w:val="es-ES"/>
        </w:rPr>
        <w:t xml:space="preserve">Ambas restricciones no son excluyentes, lo que permite concluir que, en el período preelectoral para elección de </w:t>
      </w:r>
      <w:proofErr w:type="gramStart"/>
      <w:r w:rsidRPr="0039489B">
        <w:rPr>
          <w:rFonts w:ascii="Verdana" w:eastAsia="Century Gothic" w:hAnsi="Verdana" w:cs="Century Gothic"/>
          <w:lang w:val="es-ES"/>
        </w:rPr>
        <w:t>Presidente</w:t>
      </w:r>
      <w:proofErr w:type="gramEnd"/>
      <w:r w:rsidRPr="0039489B">
        <w:rPr>
          <w:rFonts w:ascii="Verdana" w:eastAsia="Century Gothic" w:hAnsi="Verdana" w:cs="Century Gothic"/>
          <w:lang w:val="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39489B">
        <w:rPr>
          <w:rFonts w:ascii="Verdana" w:eastAsia="Century Gothic" w:hAnsi="Verdana" w:cs="Century Gothic"/>
          <w:lang w:val="es-ES"/>
        </w:rPr>
        <w:t>Presidente</w:t>
      </w:r>
      <w:proofErr w:type="gramEnd"/>
      <w:r w:rsidRPr="0039489B">
        <w:rPr>
          <w:rFonts w:ascii="Verdana" w:eastAsia="Century Gothic" w:hAnsi="Verdana" w:cs="Century Gothic"/>
          <w:lang w:val="es-ES"/>
        </w:rPr>
        <w:t xml:space="preserve"> de la República, las autoridades allí mencionadas sólo deben aplicar las restricciones contenidas en el parágrafo del artículo 38.</w:t>
      </w:r>
    </w:p>
    <w:p w14:paraId="4BB32BBE" w14:textId="77777777" w:rsidR="00076EE9" w:rsidRDefault="004D5A0A" w:rsidP="00076EE9">
      <w:pPr>
        <w:spacing w:after="120" w:line="276" w:lineRule="auto"/>
        <w:ind w:firstLine="709"/>
        <w:jc w:val="both"/>
        <w:rPr>
          <w:rFonts w:ascii="Verdana" w:eastAsia="Century Gothic" w:hAnsi="Verdana" w:cs="Century Gothic"/>
          <w:lang w:val="es-ES"/>
        </w:rPr>
      </w:pPr>
      <w:r w:rsidRPr="0039489B">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w:t>
      </w:r>
      <w:proofErr w:type="gramStart"/>
      <w:r w:rsidRPr="0039489B">
        <w:rPr>
          <w:rFonts w:ascii="Verdana" w:eastAsia="Century Gothic" w:hAnsi="Verdana" w:cs="Century Gothic"/>
          <w:lang w:val="es-ES"/>
        </w:rPr>
        <w:t>Presidente</w:t>
      </w:r>
      <w:proofErr w:type="gramEnd"/>
      <w:r w:rsidRPr="0039489B">
        <w:rPr>
          <w:rFonts w:ascii="Verdana" w:eastAsia="Century Gothic" w:hAnsi="Verdana" w:cs="Century Gothic"/>
          <w:lang w:val="es-ES"/>
        </w:rPr>
        <w:t xml:space="preserve"> o el </w:t>
      </w:r>
      <w:proofErr w:type="gramStart"/>
      <w:r w:rsidRPr="0039489B">
        <w:rPr>
          <w:rFonts w:ascii="Verdana" w:eastAsia="Century Gothic" w:hAnsi="Verdana" w:cs="Century Gothic"/>
          <w:lang w:val="es-ES"/>
        </w:rPr>
        <w:t>Vicepresidente</w:t>
      </w:r>
      <w:proofErr w:type="gramEnd"/>
      <w:r w:rsidRPr="0039489B">
        <w:rPr>
          <w:rFonts w:ascii="Verdana" w:eastAsia="Century Gothic" w:hAnsi="Verdana" w:cs="Century Gothic"/>
          <w:lang w:val="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sidRPr="0039489B">
        <w:rPr>
          <w:rFonts w:ascii="Verdana" w:eastAsia="Century Gothic" w:hAnsi="Verdana" w:cs="Century Gothic"/>
          <w:lang w:val="es-ES"/>
        </w:rPr>
        <w:lastRenderedPageBreak/>
        <w:t xml:space="preserve">momento en que estas restricciones empiezan a regir para el </w:t>
      </w:r>
      <w:proofErr w:type="gramStart"/>
      <w:r w:rsidRPr="0039489B">
        <w:rPr>
          <w:rFonts w:ascii="Verdana" w:eastAsia="Century Gothic" w:hAnsi="Verdana" w:cs="Century Gothic"/>
          <w:lang w:val="es-ES"/>
        </w:rPr>
        <w:t>Presidente</w:t>
      </w:r>
      <w:proofErr w:type="gramEnd"/>
      <w:r w:rsidRPr="0039489B">
        <w:rPr>
          <w:rFonts w:ascii="Verdana" w:eastAsia="Century Gothic" w:hAnsi="Verdana" w:cs="Century Gothic"/>
          <w:lang w:val="es-ES"/>
        </w:rPr>
        <w:t xml:space="preserve"> y el </w:t>
      </w:r>
      <w:proofErr w:type="gramStart"/>
      <w:r w:rsidRPr="0039489B">
        <w:rPr>
          <w:rFonts w:ascii="Verdana" w:eastAsia="Century Gothic" w:hAnsi="Verdana" w:cs="Century Gothic"/>
          <w:lang w:val="es-ES"/>
        </w:rPr>
        <w:t>Vicepresidente</w:t>
      </w:r>
      <w:proofErr w:type="gramEnd"/>
      <w:r w:rsidRPr="0039489B">
        <w:rPr>
          <w:rFonts w:ascii="Verdana" w:eastAsia="Century Gothic" w:hAnsi="Verdana" w:cs="Century Gothic"/>
          <w:lang w:val="es-ES"/>
        </w:rPr>
        <w:t xml:space="preserve"> de la República, ha perdido vigencia ante la prohibición de la reelección presidencial, restablecida por el Acto Legislativo 2 de 2015. Esto excepto para el </w:t>
      </w:r>
      <w:proofErr w:type="gramStart"/>
      <w:r w:rsidRPr="0039489B">
        <w:rPr>
          <w:rFonts w:ascii="Verdana" w:eastAsia="Century Gothic" w:hAnsi="Verdana" w:cs="Century Gothic"/>
          <w:lang w:val="es-ES"/>
        </w:rPr>
        <w:t>Vicepresidente</w:t>
      </w:r>
      <w:proofErr w:type="gramEnd"/>
      <w:r w:rsidRPr="0039489B">
        <w:rPr>
          <w:rFonts w:ascii="Verdana" w:eastAsia="Century Gothic" w:hAnsi="Verdana" w:cs="Century Gothic"/>
          <w:lang w:val="es-ES"/>
        </w:rPr>
        <w:t xml:space="preserve"> que no haya ejercido la presidencia o que la haya ejercido por un tiempo inferior a tres (3) meses durante el respectivo cuatrienio, en forma continua o discontinua, conforme al artículo 197 de la Constitución Política. </w:t>
      </w:r>
    </w:p>
    <w:p w14:paraId="3352DED9" w14:textId="3FC034B7" w:rsidR="004D5A0A" w:rsidRPr="0039489B" w:rsidRDefault="004D5A0A" w:rsidP="00076EE9">
      <w:pPr>
        <w:spacing w:after="120" w:line="276" w:lineRule="auto"/>
        <w:ind w:firstLine="709"/>
        <w:jc w:val="both"/>
        <w:rPr>
          <w:rFonts w:ascii="Verdana" w:eastAsia="Century Gothic" w:hAnsi="Verdana" w:cs="Century Gothic"/>
          <w:lang w:val="es-ES"/>
        </w:rPr>
      </w:pPr>
      <w:r w:rsidRPr="0039489B">
        <w:rPr>
          <w:rFonts w:ascii="Verdana" w:eastAsia="Century Gothic" w:hAnsi="Verdana" w:cs="Century Gothic"/>
          <w:lang w:val="es-ES"/>
        </w:rPr>
        <w:t xml:space="preserve"> Para entender el momento de aplicación de estas restricciones, es preciso señalar que el vocablo “celebrar” es definido por el Diccionario Panhispánico del Español Jurídico como: “1. Gral. Otorgar o firmar un contrato. 2. </w:t>
      </w:r>
      <w:proofErr w:type="spellStart"/>
      <w:r w:rsidRPr="0039489B">
        <w:rPr>
          <w:rFonts w:ascii="Verdana" w:eastAsia="Century Gothic" w:hAnsi="Verdana" w:cs="Century Gothic"/>
          <w:lang w:val="es-ES"/>
        </w:rPr>
        <w:t>Proc</w:t>
      </w:r>
      <w:proofErr w:type="spellEnd"/>
      <w:r w:rsidRPr="0039489B">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D3BEC66" w14:textId="77777777" w:rsidR="004D5A0A" w:rsidRPr="0039489B" w:rsidRDefault="004D5A0A" w:rsidP="00076EE9">
      <w:pPr>
        <w:spacing w:after="12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EE8B60F" w14:textId="77777777" w:rsidR="004D5A0A" w:rsidRPr="0039489B" w:rsidRDefault="004D5A0A" w:rsidP="00076EE9">
      <w:pPr>
        <w:spacing w:after="12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74F6591" w14:textId="77777777" w:rsidR="00076EE9" w:rsidRDefault="004D5A0A" w:rsidP="00076EE9">
      <w:pPr>
        <w:spacing w:after="12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lang w:val="es-ES"/>
        </w:rPr>
        <w:lastRenderedPageBreak/>
        <w:t xml:space="preserve">Asimismo, como en otras oportunidades lo ha manifestado esta Agencia, las prórrogas, modificaciones o adiciones de los contratos suscritos antes de la </w:t>
      </w:r>
      <w:proofErr w:type="gramStart"/>
      <w:r w:rsidRPr="0039489B">
        <w:rPr>
          <w:rFonts w:ascii="Verdana" w:eastAsia="Century Gothic" w:hAnsi="Verdana" w:cs="Century Gothic"/>
          <w:lang w:val="es-ES"/>
        </w:rPr>
        <w:t>entrada en vigencia</w:t>
      </w:r>
      <w:proofErr w:type="gramEnd"/>
      <w:r w:rsidRPr="0039489B">
        <w:rPr>
          <w:rFonts w:ascii="Verdana" w:eastAsia="Century Gothic" w:hAnsi="Verdana" w:cs="Century Gothic"/>
          <w:lang w:val="es-ES"/>
        </w:rPr>
        <w:t xml:space="preserve"> de las prohibiciones anotadas, así como la cesión de </w:t>
      </w:r>
      <w:proofErr w:type="gramStart"/>
      <w:r w:rsidRPr="0039489B">
        <w:rPr>
          <w:rFonts w:ascii="Verdana" w:eastAsia="Century Gothic" w:hAnsi="Verdana" w:cs="Century Gothic"/>
          <w:lang w:val="es-ES"/>
        </w:rPr>
        <w:t>los mismos</w:t>
      </w:r>
      <w:proofErr w:type="gramEnd"/>
      <w:r w:rsidRPr="0039489B">
        <w:rPr>
          <w:rFonts w:ascii="Verdana" w:eastAsia="Century Gothic" w:hAnsi="Verdana" w:cs="Century Gothic"/>
          <w:lang w:val="es-ES"/>
        </w:rPr>
        <w:t xml:space="preserve">, pueden tener lugar en el período de aplicación de la Ley de Garantías Electorales, sin que ello haga nugatoria la restricción de la contratación directa y siempre que cumplan los principios de planeación, transparencia y </w:t>
      </w:r>
      <w:r w:rsidRPr="0039489B">
        <w:rPr>
          <w:rFonts w:ascii="Verdana" w:eastAsia="Century Gothic" w:hAnsi="Verdana" w:cs="Century Gothic"/>
          <w:bCs/>
          <w:lang w:val="es-ES_tradnl"/>
        </w:rPr>
        <w:t>responsabilidad.</w:t>
      </w:r>
      <w:r w:rsidR="00076EE9">
        <w:rPr>
          <w:rFonts w:ascii="Verdana" w:eastAsia="Century Gothic" w:hAnsi="Verdana" w:cs="Century Gothic"/>
          <w:bCs/>
          <w:lang w:val="es-ES_tradnl"/>
        </w:rPr>
        <w:t xml:space="preserve"> </w:t>
      </w:r>
    </w:p>
    <w:p w14:paraId="3C24BF91" w14:textId="74310310" w:rsidR="004D5A0A" w:rsidRPr="00076EE9" w:rsidRDefault="004D5A0A" w:rsidP="00076EE9">
      <w:pPr>
        <w:spacing w:after="120" w:line="276" w:lineRule="auto"/>
        <w:ind w:firstLine="709"/>
        <w:jc w:val="both"/>
        <w:rPr>
          <w:rFonts w:ascii="Verdana" w:eastAsia="Century Gothic" w:hAnsi="Verdana" w:cs="Century Gothic"/>
          <w:bCs/>
          <w:lang w:val="es-ES_tradnl"/>
        </w:rPr>
      </w:pPr>
      <w:r w:rsidRPr="0039489B">
        <w:rPr>
          <w:rFonts w:ascii="Verdana" w:eastAsia="Calibri" w:hAnsi="Verdana" w:cs="Arial"/>
          <w:lang w:val="es-ES" w:eastAsia="es-ES" w:bidi="es-ES"/>
        </w:rPr>
        <w:t xml:space="preserve">Para responder al problema jurídico planteado es necesario precisar el alcance de la prohibición </w:t>
      </w:r>
      <w:r w:rsidRPr="0039489B">
        <w:rPr>
          <w:rFonts w:ascii="Verdana" w:eastAsia="Arial" w:hAnsi="Verdana" w:cs="Arial"/>
          <w:lang w:val="es-ES" w:eastAsia="es-ES" w:bidi="es-ES"/>
        </w:rPr>
        <w:t>establecida en e</w:t>
      </w:r>
      <w:r w:rsidRPr="0039489B">
        <w:rPr>
          <w:rFonts w:ascii="Verdana" w:eastAsia="Calibri" w:hAnsi="Verdana" w:cs="Arial"/>
          <w:lang w:val="es-ES"/>
        </w:rPr>
        <w:t xml:space="preserve">l </w:t>
      </w:r>
      <w:r w:rsidRPr="0039489B">
        <w:rPr>
          <w:rFonts w:ascii="Verdana" w:eastAsia="Times New Roman" w:hAnsi="Verdana" w:cs="Arial"/>
          <w:lang w:val="es-ES"/>
        </w:rPr>
        <w:t xml:space="preserve">artículo 33 de la Ley 996 de 2005. </w:t>
      </w:r>
      <w:r w:rsidRPr="0039489B">
        <w:rPr>
          <w:rFonts w:ascii="Verdana" w:eastAsia="Century Gothic" w:hAnsi="Verdana" w:cs="Century Gothic"/>
          <w:bCs/>
          <w:lang w:val="es-ES_tradnl"/>
        </w:rPr>
        <w:t>E</w:t>
      </w:r>
      <w:r w:rsidRPr="0039489B">
        <w:rPr>
          <w:rFonts w:ascii="Verdana" w:eastAsia="Century Gothic" w:hAnsi="Verdana" w:cs="Century Gothic"/>
          <w:lang w:val="es-ES"/>
        </w:rPr>
        <w:t>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68D5EA8D" w14:textId="77777777" w:rsidR="004D5A0A" w:rsidRPr="0039489B" w:rsidRDefault="004D5A0A" w:rsidP="004D5A0A">
      <w:pPr>
        <w:spacing w:after="0" w:line="276" w:lineRule="auto"/>
        <w:jc w:val="both"/>
        <w:rPr>
          <w:rFonts w:ascii="Verdana" w:eastAsia="Century Gothic" w:hAnsi="Verdana" w:cs="Century Gothic"/>
          <w:bCs/>
          <w:lang w:val="es-ES_tradnl"/>
        </w:rPr>
      </w:pPr>
    </w:p>
    <w:p w14:paraId="71940AFF" w14:textId="77777777" w:rsidR="004D5A0A" w:rsidRPr="00076EE9" w:rsidRDefault="004D5A0A" w:rsidP="004D5A0A">
      <w:pPr>
        <w:spacing w:after="0" w:line="240" w:lineRule="auto"/>
        <w:ind w:left="709" w:right="709"/>
        <w:jc w:val="both"/>
        <w:rPr>
          <w:rFonts w:ascii="Verdana" w:eastAsia="Century Gothic" w:hAnsi="Verdana" w:cs="Century Gothic"/>
          <w:bCs/>
          <w:sz w:val="21"/>
          <w:szCs w:val="21"/>
          <w:lang w:val="es-ES_tradnl"/>
        </w:rPr>
      </w:pPr>
      <w:r w:rsidRPr="00076EE9">
        <w:rPr>
          <w:rFonts w:ascii="Verdana" w:eastAsia="Century Gothic" w:hAnsi="Verdana" w:cs="Century Gothic"/>
          <w:bCs/>
          <w:sz w:val="21"/>
          <w:szCs w:val="21"/>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5776C86E" w14:textId="77777777" w:rsidR="004D5A0A" w:rsidRPr="00076EE9" w:rsidRDefault="004D5A0A" w:rsidP="004D5A0A">
      <w:pPr>
        <w:spacing w:after="0" w:line="240" w:lineRule="auto"/>
        <w:ind w:left="709" w:right="709"/>
        <w:jc w:val="both"/>
        <w:rPr>
          <w:rFonts w:ascii="Verdana" w:eastAsia="Century Gothic" w:hAnsi="Verdana" w:cs="Century Gothic"/>
          <w:bCs/>
          <w:sz w:val="21"/>
          <w:szCs w:val="21"/>
          <w:lang w:val="es-ES_tradnl"/>
        </w:rPr>
      </w:pPr>
    </w:p>
    <w:p w14:paraId="02F3FE1B" w14:textId="77777777" w:rsidR="004D5A0A" w:rsidRPr="00076EE9" w:rsidRDefault="004D5A0A" w:rsidP="004D5A0A">
      <w:pPr>
        <w:spacing w:after="0" w:line="240" w:lineRule="auto"/>
        <w:ind w:left="709" w:right="709"/>
        <w:jc w:val="both"/>
        <w:rPr>
          <w:rFonts w:ascii="Verdana" w:eastAsia="Century Gothic" w:hAnsi="Verdana" w:cs="Century Gothic"/>
          <w:sz w:val="21"/>
          <w:szCs w:val="21"/>
          <w:lang w:val="es-ES"/>
        </w:rPr>
      </w:pPr>
      <w:r w:rsidRPr="00076EE9">
        <w:rPr>
          <w:rFonts w:ascii="Verdana" w:eastAsia="Century Gothic" w:hAnsi="Verdana" w:cs="Century Gothic"/>
          <w:sz w:val="21"/>
          <w:szCs w:val="21"/>
          <w:lang w:val="es-ES"/>
        </w:rPr>
        <w:t xml:space="preserve">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w:t>
      </w:r>
      <w:proofErr w:type="gramStart"/>
      <w:r w:rsidRPr="00076EE9">
        <w:rPr>
          <w:rFonts w:ascii="Verdana" w:eastAsia="Century Gothic" w:hAnsi="Verdana" w:cs="Century Gothic"/>
          <w:sz w:val="21"/>
          <w:szCs w:val="21"/>
          <w:lang w:val="es-ES"/>
        </w:rPr>
        <w:t>sistemas ]</w:t>
      </w:r>
      <w:proofErr w:type="gramEnd"/>
      <w:r w:rsidRPr="00076EE9">
        <w:rPr>
          <w:rFonts w:ascii="Verdana" w:eastAsia="Century Gothic" w:hAnsi="Verdana" w:cs="Century Gothic"/>
          <w:sz w:val="21"/>
          <w:szCs w:val="21"/>
          <w:lang w:val="es-ES"/>
        </w:rPr>
        <w:t>…]”.</w:t>
      </w:r>
    </w:p>
    <w:p w14:paraId="6567F2A0" w14:textId="77777777" w:rsidR="004D5A0A" w:rsidRPr="0039489B" w:rsidRDefault="004D5A0A" w:rsidP="004D5A0A">
      <w:pPr>
        <w:spacing w:after="0" w:line="276" w:lineRule="auto"/>
        <w:ind w:firstLine="708"/>
        <w:jc w:val="both"/>
        <w:rPr>
          <w:rFonts w:ascii="Verdana" w:eastAsia="Century Gothic" w:hAnsi="Verdana" w:cs="Century Gothic"/>
          <w:bCs/>
          <w:lang w:val="es-ES_tradnl"/>
        </w:rPr>
      </w:pPr>
    </w:p>
    <w:p w14:paraId="5FD3D365" w14:textId="77777777" w:rsidR="004D5A0A" w:rsidRPr="0039489B" w:rsidRDefault="004D5A0A" w:rsidP="00076EE9">
      <w:pPr>
        <w:spacing w:after="0" w:line="276" w:lineRule="auto"/>
        <w:ind w:firstLine="709"/>
        <w:jc w:val="both"/>
        <w:rPr>
          <w:rFonts w:ascii="Verdana" w:eastAsia="Century Gothic" w:hAnsi="Verdana" w:cs="Century Gothic"/>
          <w:lang w:val="es-ES"/>
        </w:rPr>
      </w:pPr>
      <w:r w:rsidRPr="0039489B">
        <w:rPr>
          <w:rFonts w:ascii="Verdana" w:eastAsia="Century Gothic" w:hAnsi="Verdana" w:cs="Century Gothic"/>
          <w:lang w:val="es-ES"/>
        </w:rPr>
        <w:t xml:space="preserve">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w:t>
      </w:r>
      <w:r w:rsidRPr="0039489B">
        <w:rPr>
          <w:rFonts w:ascii="Verdana" w:eastAsia="Century Gothic" w:hAnsi="Verdana" w:cs="Century Gothic"/>
          <w:lang w:val="es-ES"/>
        </w:rPr>
        <w:lastRenderedPageBreak/>
        <w:t xml:space="preserve">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w:t>
      </w:r>
      <w:proofErr w:type="gramStart"/>
      <w:r w:rsidRPr="0039489B">
        <w:rPr>
          <w:rFonts w:ascii="Verdana" w:eastAsia="Century Gothic" w:hAnsi="Verdana" w:cs="Century Gothic"/>
          <w:lang w:val="es-ES"/>
        </w:rPr>
        <w:t>Además</w:t>
      </w:r>
      <w:proofErr w:type="gramEnd"/>
      <w:r w:rsidRPr="0039489B">
        <w:rPr>
          <w:rFonts w:ascii="Verdana" w:eastAsia="Century Gothic" w:hAnsi="Verdana" w:cs="Century Gothic"/>
          <w:lang w:val="es-ES"/>
        </w:rPr>
        <w:t xml:space="preserve"> lo es con la posterior creación de la modalidad de mínima cuantía establecida actualmente en el numeral 5 del artículo 2 de la Ley 1150 de 2007, de acuerdo con las modificaciones realizadas por leyes posteriores.</w:t>
      </w:r>
    </w:p>
    <w:p w14:paraId="5C61B06B" w14:textId="77777777" w:rsidR="004D5A0A" w:rsidRPr="0039489B" w:rsidRDefault="004D5A0A" w:rsidP="00076EE9">
      <w:pPr>
        <w:spacing w:after="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 </w:t>
      </w:r>
    </w:p>
    <w:p w14:paraId="2AB9D3D6" w14:textId="77777777" w:rsidR="004D5A0A" w:rsidRPr="0039489B" w:rsidRDefault="004D5A0A" w:rsidP="00076EE9">
      <w:pPr>
        <w:spacing w:after="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36007FDA" w14:textId="77777777" w:rsidR="004D5A0A" w:rsidRPr="0039489B" w:rsidRDefault="004D5A0A" w:rsidP="00076EE9">
      <w:pPr>
        <w:spacing w:after="0" w:line="276" w:lineRule="auto"/>
        <w:ind w:firstLine="709"/>
        <w:jc w:val="both"/>
        <w:rPr>
          <w:rFonts w:ascii="Verdana" w:eastAsia="Century Gothic" w:hAnsi="Verdana" w:cs="Century Gothic"/>
          <w:lang w:val="es-ES"/>
        </w:rPr>
      </w:pPr>
      <w:r w:rsidRPr="0039489B">
        <w:rPr>
          <w:rFonts w:ascii="Verdana" w:eastAsia="Century Gothic" w:hAnsi="Verdana" w:cs="Century Gothic"/>
          <w:lang w:val="es-ES"/>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C359022" w14:textId="77777777" w:rsidR="004D5A0A" w:rsidRPr="0039489B" w:rsidRDefault="004D5A0A" w:rsidP="00076EE9">
      <w:pPr>
        <w:spacing w:after="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bCs/>
          <w:lang w:val="es-ES_tradnl"/>
        </w:rPr>
        <w:lastRenderedPageBreak/>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3DE73C32" w14:textId="77777777" w:rsidR="004D5A0A" w:rsidRPr="0039489B" w:rsidRDefault="004D5A0A" w:rsidP="00076EE9">
      <w:pPr>
        <w:spacing w:after="0" w:line="276" w:lineRule="auto"/>
        <w:ind w:firstLine="709"/>
        <w:jc w:val="both"/>
        <w:rPr>
          <w:rFonts w:ascii="Verdana" w:eastAsia="Century Gothic" w:hAnsi="Verdana" w:cs="Century Gothic"/>
          <w:lang w:val="es-ES"/>
        </w:rPr>
      </w:pPr>
      <w:r w:rsidRPr="0039489B">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6AFD2DD1" w14:textId="77777777" w:rsidR="004D5A0A" w:rsidRDefault="004D5A0A" w:rsidP="00076EE9">
      <w:pPr>
        <w:spacing w:after="0" w:line="276" w:lineRule="auto"/>
        <w:ind w:firstLine="709"/>
        <w:jc w:val="both"/>
        <w:rPr>
          <w:rFonts w:ascii="Verdana" w:eastAsia="Times New Roman" w:hAnsi="Verdana" w:cs="Arial"/>
          <w:color w:val="000000"/>
          <w:lang w:eastAsia="es-ES"/>
        </w:rPr>
      </w:pPr>
      <w:r w:rsidRPr="0039489B">
        <w:rPr>
          <w:rFonts w:ascii="Verdana" w:eastAsia="Arial" w:hAnsi="Verdana" w:cs="Arial"/>
          <w:color w:val="000000"/>
        </w:rPr>
        <w:t xml:space="preserve">Finalmente, es importante advertir que </w:t>
      </w:r>
      <w:r w:rsidRPr="0039489B">
        <w:rPr>
          <w:rFonts w:ascii="Verdana" w:eastAsia="Times New Roman" w:hAnsi="Verdana" w:cs="Arial"/>
        </w:rPr>
        <w:t xml:space="preserve">compete a cada Entidad Estatal que considera celebrar un contrato específico definir si este se enmarca en alguna de las prohibiciones de la Ley de Garantías Electorales. </w:t>
      </w:r>
      <w:r w:rsidRPr="0039489B">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4352C414" w14:textId="77777777" w:rsidR="002C7A24" w:rsidRDefault="002C7A24" w:rsidP="009D55BF">
      <w:pPr>
        <w:spacing w:after="0" w:line="276" w:lineRule="auto"/>
        <w:jc w:val="both"/>
        <w:rPr>
          <w:rFonts w:ascii="Verdana" w:eastAsia="Times New Roman" w:hAnsi="Verdana" w:cs="Arial"/>
          <w:bCs/>
          <w:lang w:eastAsia="es-CO"/>
        </w:rPr>
      </w:pPr>
    </w:p>
    <w:p w14:paraId="50098EF5" w14:textId="3186DA40" w:rsidR="009D55BF" w:rsidRPr="00193E41" w:rsidRDefault="009D55BF" w:rsidP="009D55BF">
      <w:pPr>
        <w:spacing w:after="0" w:line="276" w:lineRule="auto"/>
        <w:jc w:val="both"/>
        <w:rPr>
          <w:rFonts w:ascii="Verdana" w:eastAsia="Times New Roman" w:hAnsi="Verdana" w:cs="Arial"/>
          <w:b/>
          <w:lang w:eastAsia="es-CO"/>
        </w:rPr>
      </w:pPr>
      <w:r w:rsidRPr="00193E41">
        <w:rPr>
          <w:rFonts w:ascii="Verdana" w:eastAsia="Times New Roman" w:hAnsi="Verdana" w:cs="Arial"/>
          <w:b/>
          <w:lang w:eastAsia="es-CO"/>
        </w:rPr>
        <w:t>4. Referencias normativas</w:t>
      </w:r>
      <w:r w:rsidR="002D126F" w:rsidRPr="00193E41">
        <w:rPr>
          <w:rFonts w:ascii="Verdana" w:eastAsia="Times New Roman" w:hAnsi="Verdana" w:cs="Arial"/>
          <w:b/>
          <w:lang w:eastAsia="es-CO"/>
        </w:rPr>
        <w:t xml:space="preserve">, jurisprudenciales y otras fuentes: </w:t>
      </w:r>
    </w:p>
    <w:p w14:paraId="5C2179EF" w14:textId="77777777" w:rsidR="002D126F" w:rsidRDefault="002D126F" w:rsidP="009D55BF">
      <w:pPr>
        <w:spacing w:after="0" w:line="276" w:lineRule="auto"/>
        <w:jc w:val="both"/>
        <w:rPr>
          <w:rFonts w:ascii="Verdana" w:eastAsia="Times New Roman" w:hAnsi="Verdana" w:cs="Arial"/>
          <w:bCs/>
          <w:lang w:eastAsia="es-CO"/>
        </w:rPr>
      </w:pPr>
    </w:p>
    <w:p w14:paraId="6B4EA67F"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Pr>
          <w:rFonts w:ascii="Verdana" w:hAnsi="Verdana" w:cs="Arial"/>
          <w:lang w:eastAsia="es-ES"/>
        </w:rPr>
        <w:t xml:space="preserve">Constitución Política. Artículo 127. </w:t>
      </w:r>
    </w:p>
    <w:p w14:paraId="43564196"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Pr>
          <w:rFonts w:ascii="Verdana" w:hAnsi="Verdana" w:cs="Arial"/>
          <w:lang w:eastAsia="es-ES"/>
        </w:rPr>
        <w:t>Ley 80 de 1993 artículos 41 y 42.</w:t>
      </w:r>
    </w:p>
    <w:p w14:paraId="5F1EDD40"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Pr>
          <w:rFonts w:ascii="Verdana" w:hAnsi="Verdana" w:cs="Arial"/>
          <w:lang w:eastAsia="es-ES"/>
        </w:rPr>
        <w:t xml:space="preserve">Ley 1150 de 2007. Artículo 2 numeral 4 literal c. </w:t>
      </w:r>
    </w:p>
    <w:p w14:paraId="3E1ABE36"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Pr>
          <w:rFonts w:ascii="Verdana" w:hAnsi="Verdana" w:cs="Arial"/>
          <w:lang w:eastAsia="es-ES"/>
        </w:rPr>
        <w:t>Ley 996 de 2005. Artículos 33 y parágrafo del artículo 38.</w:t>
      </w:r>
    </w:p>
    <w:p w14:paraId="22FFEEEB"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C076BE">
        <w:rPr>
          <w:rFonts w:ascii="Verdana" w:hAnsi="Verdana" w:cs="Arial"/>
          <w:lang w:eastAsia="es-ES"/>
        </w:rPr>
        <w:lastRenderedPageBreak/>
        <w:t xml:space="preserve">Consejo de Estado. Sala de lo Contencioso Administrativo. Sección Primera. Sentencia de 3 de marzo de 2005. Radicado: 25001-23-15-000-2004-00823-01 (PI). C.P: Camilo Arciniegas Andrade. </w:t>
      </w:r>
    </w:p>
    <w:p w14:paraId="4F7D63EB"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 xml:space="preserve">Sección Tercera. Sentencia de 22 de enero de 2002, expediente número 2001-0148-01 </w:t>
      </w:r>
    </w:p>
    <w:p w14:paraId="186F1134"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20 de noviembre de 2001, expediente número 2001-0130-01(PI).</w:t>
      </w:r>
    </w:p>
    <w:p w14:paraId="77F3C1C4"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C076BE">
        <w:rPr>
          <w:rFonts w:ascii="Verdana" w:hAnsi="Verdana" w:cs="Arial"/>
          <w:lang w:eastAsia="es-ES"/>
        </w:rPr>
        <w:t xml:space="preserve">Consejo de Estado, Sala de Consulta y Servicio Civil. 24 de julio de 2013. Radicado: 11001-03-06-000-2013-00407-00 (2166). C.P. Álvaro Namén Vargas.  </w:t>
      </w:r>
    </w:p>
    <w:p w14:paraId="5D5D8026"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17 de febrero de 2015. Radicado: 11001-03-06-000-2015-00164-00 (2269). C.P. William Zambrano Cetina.</w:t>
      </w:r>
    </w:p>
    <w:p w14:paraId="670A2D0F" w14:textId="77777777" w:rsidR="00DB2BD6" w:rsidRPr="00C076BE"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2 de septiembre de 2013. Radicación número: 11001-03-06-000-2013-00412-00 (2168). C.P: Álvaro Namén Vargas.</w:t>
      </w:r>
    </w:p>
    <w:p w14:paraId="0C6F90F0"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 8 de mayo de 2018. Radicación Número: 11001-03-06-000-2018-00095-00 (2382). C.P: Álvaro Namén Vargas.</w:t>
      </w:r>
    </w:p>
    <w:p w14:paraId="2F17FDA9"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del 18 de febrero 2010. Rad. 11001-03-06-000-2010-00006-00 (1985). C.P. Enrique José Arboleda Perdomo.</w:t>
      </w:r>
    </w:p>
    <w:p w14:paraId="466B1842"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Sentencia del 21 de febrero de 2025. Exp. 68.280. CP: José Roberto Sáchica Méndez.</w:t>
      </w:r>
    </w:p>
    <w:p w14:paraId="158E69FB" w14:textId="77777777" w:rsidR="00DB2BD6" w:rsidRPr="00FB5770"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FB5770">
        <w:rPr>
          <w:rFonts w:ascii="Verdana" w:hAnsi="Verdana"/>
        </w:rPr>
        <w:t>Consejo de Estado</w:t>
      </w:r>
      <w:r>
        <w:rPr>
          <w:rFonts w:ascii="Verdana" w:hAnsi="Verdana"/>
        </w:rPr>
        <w:t xml:space="preserve">. Sala de lo Contencioso Administrativo. </w:t>
      </w:r>
      <w:r w:rsidRPr="00FB5770">
        <w:rPr>
          <w:rFonts w:ascii="Verdana" w:hAnsi="Verdana"/>
        </w:rPr>
        <w:t>Sección Tercera</w:t>
      </w:r>
      <w:r>
        <w:rPr>
          <w:rFonts w:ascii="Verdana" w:hAnsi="Verdana"/>
        </w:rPr>
        <w:t>.</w:t>
      </w:r>
      <w:r w:rsidRPr="00FB5770">
        <w:rPr>
          <w:rFonts w:ascii="Verdana" w:hAnsi="Verdana"/>
        </w:rPr>
        <w:t xml:space="preserve"> Subsección B. Auto del 4 de octubre de 2024. Exp. 70.313.</w:t>
      </w:r>
      <w:r>
        <w:rPr>
          <w:rFonts w:ascii="Verdana" w:hAnsi="Verdana"/>
        </w:rPr>
        <w:t xml:space="preserve"> </w:t>
      </w:r>
      <w:r w:rsidRPr="00FB5770">
        <w:rPr>
          <w:rFonts w:ascii="Verdana" w:hAnsi="Verdana"/>
        </w:rPr>
        <w:t>C.P: Fredy Ibarra Martínez</w:t>
      </w:r>
      <w:r>
        <w:rPr>
          <w:rFonts w:ascii="Verdana" w:hAnsi="Verdana"/>
        </w:rPr>
        <w:t>.</w:t>
      </w:r>
    </w:p>
    <w:p w14:paraId="13847909"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Subsección B. 17 de octubre de 2025. C.P. Fredy Ibarra Martínez</w:t>
      </w:r>
      <w:r>
        <w:rPr>
          <w:rFonts w:ascii="Verdana" w:hAnsi="Verdana" w:cs="Arial"/>
          <w:lang w:eastAsia="es-ES"/>
        </w:rPr>
        <w:t>.</w:t>
      </w:r>
    </w:p>
    <w:p w14:paraId="5C24003F"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C076BE">
        <w:rPr>
          <w:rFonts w:ascii="Verdana" w:hAnsi="Verdana" w:cs="Arial"/>
          <w:lang w:eastAsia="es-ES"/>
        </w:rPr>
        <w:t>Corte Constitucional. Sentencia C- 1153 de 2005, M.P: Marco Gerardo Monroy Cabra.</w:t>
      </w:r>
      <w:r w:rsidRPr="00C076BE">
        <w:rPr>
          <w:rFonts w:ascii="Verdana" w:hAnsi="Verdana" w:cs="Arial"/>
          <w:lang w:eastAsia="es-ES"/>
        </w:rPr>
        <w:tab/>
      </w:r>
    </w:p>
    <w:p w14:paraId="6C2A50A5"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C076BE">
        <w:rPr>
          <w:rFonts w:ascii="Verdana" w:hAnsi="Verdana" w:cs="Arial"/>
          <w:lang w:eastAsia="es-ES"/>
        </w:rPr>
        <w:t>Corte Constitucional. Sentencia C-233 de 4 de abril de 2002. M.P: Álvaro Tafur Galvis</w:t>
      </w:r>
      <w:r>
        <w:rPr>
          <w:rFonts w:ascii="Verdana" w:hAnsi="Verdana" w:cs="Arial"/>
          <w:lang w:eastAsia="es-ES"/>
        </w:rPr>
        <w:t>.</w:t>
      </w:r>
    </w:p>
    <w:p w14:paraId="2E64A907"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C076BE">
        <w:rPr>
          <w:rFonts w:ascii="Verdana" w:hAnsi="Verdana" w:cs="Arial"/>
          <w:lang w:eastAsia="es-ES"/>
        </w:rPr>
        <w:lastRenderedPageBreak/>
        <w:t>Corte Constitucional. Sentencia C-551 de 9 de julio de 2003. M.P: Eduardo Montealegre Lynnet</w:t>
      </w:r>
      <w:r>
        <w:rPr>
          <w:rFonts w:ascii="Verdana" w:hAnsi="Verdana" w:cs="Arial"/>
          <w:lang w:eastAsia="es-ES"/>
        </w:rPr>
        <w:t>.</w:t>
      </w:r>
    </w:p>
    <w:p w14:paraId="66B53859"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C076BE">
        <w:rPr>
          <w:rFonts w:ascii="Verdana" w:hAnsi="Verdana" w:cs="Arial"/>
          <w:lang w:eastAsia="es-ES"/>
        </w:rPr>
        <w:t xml:space="preserve">Corte Constitucional. Sentencia C-353 de 20 de mayo de 2009. M.P: Jorge Iván Palacio </w:t>
      </w:r>
      <w:proofErr w:type="spellStart"/>
      <w:r w:rsidRPr="00C076BE">
        <w:rPr>
          <w:rFonts w:ascii="Verdana" w:hAnsi="Verdana" w:cs="Arial"/>
          <w:lang w:eastAsia="es-ES"/>
        </w:rPr>
        <w:t>Palacio</w:t>
      </w:r>
      <w:proofErr w:type="spellEnd"/>
      <w:r>
        <w:rPr>
          <w:rFonts w:ascii="Verdana" w:hAnsi="Verdana" w:cs="Arial"/>
          <w:lang w:eastAsia="es-ES"/>
        </w:rPr>
        <w:t>.</w:t>
      </w:r>
    </w:p>
    <w:p w14:paraId="513FA11F" w14:textId="77777777" w:rsid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F2446F">
        <w:rPr>
          <w:rFonts w:ascii="Verdana" w:hAnsi="Verdana" w:cs="Arial"/>
          <w:lang w:eastAsia="es-ES"/>
        </w:rPr>
        <w:t>Corte Constitucional. Sentencia C-541 de 30 de junio de 2010. M.P: Gabriel Eduardo Mendoza Martel</w:t>
      </w:r>
      <w:r>
        <w:rPr>
          <w:rFonts w:ascii="Verdana" w:hAnsi="Verdana" w:cs="Arial"/>
          <w:lang w:eastAsia="es-ES"/>
        </w:rPr>
        <w:t>o</w:t>
      </w:r>
      <w:r w:rsidRPr="00F2446F">
        <w:rPr>
          <w:rFonts w:ascii="Verdana" w:hAnsi="Verdana" w:cs="Arial"/>
          <w:lang w:eastAsia="es-ES"/>
        </w:rPr>
        <w:t>.</w:t>
      </w:r>
    </w:p>
    <w:p w14:paraId="11150698" w14:textId="77777777" w:rsidR="00DB2BD6" w:rsidRPr="00F2446F"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F2446F">
        <w:rPr>
          <w:rFonts w:ascii="Verdana" w:hAnsi="Verdana"/>
        </w:rPr>
        <w:t xml:space="preserve">Agencia Nacional de Contratación Pública. Circular Externa 006 del 25 de septiembre de 2025. Disponible en </w:t>
      </w:r>
      <w:hyperlink r:id="rId13" w:history="1">
        <w:r w:rsidRPr="00F2446F">
          <w:rPr>
            <w:rStyle w:val="Hipervnculo"/>
            <w:rFonts w:ascii="Verdana" w:hAnsi="Verdana"/>
          </w:rPr>
          <w:t>006-de-2025-Circular-Externa-L996-ajustado-comentarios-BM-BID-Rev-ARSC-V3.d-1.pdf</w:t>
        </w:r>
      </w:hyperlink>
    </w:p>
    <w:p w14:paraId="6229A70E" w14:textId="77777777" w:rsidR="00DB2BD6" w:rsidRP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6A09E3">
        <w:rPr>
          <w:rFonts w:ascii="Verdana" w:hAnsi="Verdana"/>
        </w:rPr>
        <w:t xml:space="preserve">Lineamiento técnico- operativo de equipos básicos de salud: conformación, operación y seguimiento. Puede consultarse en </w:t>
      </w:r>
      <w:hyperlink r:id="rId14" w:history="1">
        <w:r w:rsidRPr="006A09E3">
          <w:rPr>
            <w:rStyle w:val="Hipervnculo"/>
            <w:rFonts w:ascii="Verdana" w:hAnsi="Verdana"/>
          </w:rPr>
          <w:t>Lineamientos para el fortalecimiento del nivel primario basado en Atención Primaria en Salud</w:t>
        </w:r>
      </w:hyperlink>
    </w:p>
    <w:p w14:paraId="3FE123B1" w14:textId="50DABB04" w:rsidR="004D5A0A" w:rsidRPr="00DB2BD6" w:rsidRDefault="00DB2BD6" w:rsidP="00DB2BD6">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eastAsia="es-ES"/>
        </w:rPr>
      </w:pPr>
      <w:r w:rsidRPr="00DB2BD6">
        <w:rPr>
          <w:rFonts w:ascii="Verdana" w:hAnsi="Verdana" w:cs="Arial"/>
          <w:lang w:eastAsia="es-ES"/>
        </w:rPr>
        <w:t>CLARO SOLAR, Luis. Explicaciones de derecho civil chileno y comparado. Volumen I. Tomo I. Santiago: Editorial Jurídica de Chile, 2013.</w:t>
      </w:r>
    </w:p>
    <w:p w14:paraId="38DF089B" w14:textId="77777777" w:rsidR="00250011" w:rsidRDefault="00250011" w:rsidP="00057314">
      <w:pPr>
        <w:spacing w:after="120" w:line="276" w:lineRule="auto"/>
        <w:jc w:val="both"/>
        <w:rPr>
          <w:rFonts w:ascii="Verdana" w:eastAsia="Century Gothic" w:hAnsi="Verdana" w:cs="Century Gothic"/>
        </w:rPr>
      </w:pPr>
    </w:p>
    <w:p w14:paraId="41AA7DF4" w14:textId="4C2DC7B1" w:rsidR="000907FE" w:rsidRPr="00193E41" w:rsidRDefault="00DB2BD6" w:rsidP="00057314">
      <w:pPr>
        <w:spacing w:after="120" w:line="276" w:lineRule="auto"/>
        <w:jc w:val="both"/>
        <w:rPr>
          <w:rFonts w:ascii="Verdana" w:eastAsia="Century Gothic" w:hAnsi="Verdana" w:cs="Century Gothic"/>
          <w:b/>
          <w:bCs/>
        </w:rPr>
      </w:pPr>
      <w:r w:rsidRPr="00193E41">
        <w:rPr>
          <w:rFonts w:ascii="Verdana" w:eastAsia="Century Gothic" w:hAnsi="Verdana" w:cs="Century Gothic"/>
          <w:b/>
          <w:bCs/>
        </w:rPr>
        <w:t xml:space="preserve">5. </w:t>
      </w:r>
      <w:r w:rsidR="00A86F9C" w:rsidRPr="00193E41">
        <w:rPr>
          <w:rFonts w:ascii="Verdana" w:eastAsia="Century Gothic" w:hAnsi="Verdana" w:cs="Century Gothic"/>
          <w:b/>
          <w:bCs/>
        </w:rPr>
        <w:t>Doc</w:t>
      </w:r>
      <w:r w:rsidR="00C525C7" w:rsidRPr="00193E41">
        <w:rPr>
          <w:rFonts w:ascii="Verdana" w:eastAsia="Century Gothic" w:hAnsi="Verdana" w:cs="Century Gothic"/>
          <w:b/>
          <w:bCs/>
        </w:rPr>
        <w:t xml:space="preserve">trina de la Agencia Nacional de Contratación Pública: </w:t>
      </w:r>
    </w:p>
    <w:p w14:paraId="68E06EB1" w14:textId="77777777" w:rsidR="00C525C7" w:rsidRDefault="00C525C7" w:rsidP="00057314">
      <w:pPr>
        <w:spacing w:after="120" w:line="276" w:lineRule="auto"/>
        <w:jc w:val="both"/>
        <w:rPr>
          <w:rFonts w:ascii="Verdana" w:eastAsia="Century Gothic" w:hAnsi="Verdana" w:cs="Century Gothic"/>
        </w:rPr>
      </w:pPr>
    </w:p>
    <w:p w14:paraId="372218CA" w14:textId="77777777" w:rsidR="00193E41" w:rsidRDefault="00193E41" w:rsidP="00193E41">
      <w:pPr>
        <w:widowControl w:val="0"/>
        <w:autoSpaceDE w:val="0"/>
        <w:autoSpaceDN w:val="0"/>
        <w:spacing w:after="0" w:line="276" w:lineRule="auto"/>
        <w:jc w:val="both"/>
        <w:rPr>
          <w:rFonts w:ascii="Verdana" w:hAnsi="Verdana" w:cs="Arial"/>
          <w:color w:val="000000" w:themeColor="text1"/>
          <w:shd w:val="clear" w:color="auto" w:fill="FFFFFF"/>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C-1124 del 18 de septiembre de 2025, C-1491 del 20 de noviembre de 2025, C- 1492 del </w:t>
      </w:r>
      <w:r>
        <w:rPr>
          <w:rFonts w:ascii="Verdana" w:hAnsi="Verdana"/>
        </w:rPr>
        <w:t>21 de noviembre del 2025, C-</w:t>
      </w:r>
      <w:r w:rsidRPr="001450CA">
        <w:rPr>
          <w:rFonts w:ascii="Verdana" w:hAnsi="Verdana"/>
        </w:rPr>
        <w:t>1629, C-1646 del 17 de diciembre de 2025, C-1662 del 22 de diciembre de 2025</w:t>
      </w:r>
      <w:r w:rsidRPr="001450CA">
        <w:rPr>
          <w:rStyle w:val="normaltextrun"/>
          <w:rFonts w:ascii="Verdana" w:hAnsi="Verdana" w:cs="Arial"/>
          <w:shd w:val="clear" w:color="auto" w:fill="FFFFFF"/>
          <w:lang w:val="es-ES"/>
        </w:rPr>
        <w:t>, C-160 del 24 de febrero de 2026</w:t>
      </w:r>
      <w:r>
        <w:rPr>
          <w:rStyle w:val="normaltextrun"/>
          <w:rFonts w:ascii="Verdana" w:hAnsi="Verdana" w:cs="Arial"/>
          <w:shd w:val="clear" w:color="auto" w:fill="FFFFFF"/>
          <w:lang w:val="es-ES"/>
        </w:rPr>
        <w:t>, C-108 del 4 de marzo de 2026, C-177 del 16 de marzo de 2026,</w:t>
      </w:r>
      <w:r w:rsidRPr="001450CA">
        <w:rPr>
          <w:rStyle w:val="normaltextrun"/>
          <w:rFonts w:ascii="Verdana" w:hAnsi="Verdana" w:cs="Arial"/>
          <w:shd w:val="clear" w:color="auto" w:fill="FFFFFF"/>
          <w:lang w:val="es-ES"/>
        </w:rPr>
        <w:t xml:space="preserve"> entre otros.</w:t>
      </w:r>
      <w:r w:rsidRPr="001450CA">
        <w:rPr>
          <w:rFonts w:ascii="Verdana" w:hAnsi="Verdana" w:cs="Arial"/>
          <w:shd w:val="clear" w:color="auto" w:fill="FFFFFF"/>
          <w:lang w:val="es-ES"/>
        </w:rPr>
        <w:t xml:space="preserve"> </w:t>
      </w:r>
      <w:r w:rsidRPr="001450CA">
        <w:rPr>
          <w:rFonts w:ascii="Verdana" w:hAnsi="Verdana" w:cs="Arial"/>
        </w:rPr>
        <w:t xml:space="preserve">Estos y otros </w:t>
      </w:r>
      <w:r w:rsidRPr="001450CA">
        <w:rPr>
          <w:rFonts w:ascii="Verdana" w:hAnsi="Verdana"/>
        </w:rPr>
        <w:t xml:space="preserve">conceptos se encuentran </w:t>
      </w:r>
      <w:r w:rsidRPr="001450CA">
        <w:rPr>
          <w:rFonts w:ascii="Verdana" w:hAnsi="Verdana"/>
        </w:rPr>
        <w:lastRenderedPageBreak/>
        <w:t>disponibles para consulta en el Sistema de relatoría de la Agencia, al cual se puede acceder a través del siguiente</w:t>
      </w:r>
      <w:r w:rsidRPr="00104DE4">
        <w:rPr>
          <w:rFonts w:ascii="Verdana" w:hAnsi="Verdana"/>
        </w:rPr>
        <w:t xml:space="preserve"> enlace:</w:t>
      </w:r>
      <w:r w:rsidRPr="00104DE4">
        <w:rPr>
          <w:rFonts w:ascii="Verdana" w:hAnsi="Verdana" w:cs="Arial"/>
          <w:shd w:val="clear" w:color="auto" w:fill="FFFFFF"/>
        </w:rPr>
        <w:t xml:space="preserve"> </w:t>
      </w:r>
      <w:hyperlink r:id="rId15" w:history="1">
        <w:r w:rsidRPr="00104DE4">
          <w:rPr>
            <w:rFonts w:ascii="Verdana" w:hAnsi="Verdana" w:cs="Arial"/>
            <w:color w:val="0563C1" w:themeColor="hyperlink"/>
            <w:u w:val="single"/>
            <w:shd w:val="clear" w:color="auto" w:fill="FFFFFF"/>
          </w:rPr>
          <w:t>https://relatoria.colombiacompra.gov.co/busqueda/conceptos</w:t>
        </w:r>
      </w:hyperlink>
      <w:r w:rsidRPr="00104DE4">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4961238E" w14:textId="77777777" w:rsidR="00193E41" w:rsidRDefault="00193E41" w:rsidP="00193E41">
      <w:pPr>
        <w:widowControl w:val="0"/>
        <w:autoSpaceDE w:val="0"/>
        <w:autoSpaceDN w:val="0"/>
        <w:spacing w:after="0" w:line="276" w:lineRule="auto"/>
        <w:jc w:val="both"/>
        <w:rPr>
          <w:rFonts w:ascii="Verdana" w:hAnsi="Verdana" w:cs="Arial"/>
          <w:color w:val="000000" w:themeColor="text1"/>
          <w:shd w:val="clear" w:color="auto" w:fill="FFFFFF"/>
        </w:rPr>
      </w:pPr>
    </w:p>
    <w:p w14:paraId="5C89F8C7" w14:textId="77777777" w:rsidR="00207395" w:rsidRPr="009A385A" w:rsidRDefault="00207395" w:rsidP="00207395">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6" w:tgtFrame="_new" w:history="1">
        <w:r w:rsidRPr="009A385A">
          <w:rPr>
            <w:rStyle w:val="Hipervnculo"/>
            <w:rFonts w:ascii="Verdana" w:hAnsi="Verdana"/>
          </w:rPr>
          <w:t>https://formacionvirtual.colombiacompra.gov.co/mod/page/view.php?id=3718</w:t>
        </w:r>
      </w:hyperlink>
    </w:p>
    <w:p w14:paraId="3419D883" w14:textId="77777777" w:rsidR="00207395" w:rsidRDefault="00207395" w:rsidP="00207395">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7" w:tgtFrame="_new" w:history="1">
        <w:r w:rsidRPr="00635F16">
          <w:rPr>
            <w:rStyle w:val="Hipervnculo"/>
            <w:rFonts w:ascii="Verdana" w:hAnsi="Verdana"/>
          </w:rPr>
          <w:t>https://www.colombiacompra.gov.co/normativa-y-relatoria/documentos-tipo</w:t>
        </w:r>
      </w:hyperlink>
    </w:p>
    <w:p w14:paraId="5E93FAD8" w14:textId="77777777" w:rsidR="00207395" w:rsidRPr="00C25CDD" w:rsidRDefault="00207395" w:rsidP="00207395">
      <w:pPr>
        <w:spacing w:after="0" w:line="276" w:lineRule="auto"/>
        <w:jc w:val="both"/>
        <w:rPr>
          <w:rFonts w:ascii="Verdana" w:hAnsi="Verdana"/>
        </w:rPr>
      </w:pPr>
    </w:p>
    <w:p w14:paraId="6E0B27D4" w14:textId="77777777" w:rsidR="00207395" w:rsidRDefault="00207395" w:rsidP="00207395">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8"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D03D76B" w14:textId="77777777" w:rsidR="00207395" w:rsidRPr="00605E0D" w:rsidRDefault="00207395" w:rsidP="00207395">
      <w:pPr>
        <w:spacing w:after="0" w:line="276" w:lineRule="auto"/>
        <w:jc w:val="both"/>
        <w:rPr>
          <w:rFonts w:ascii="Verdana" w:hAnsi="Verdana"/>
        </w:rPr>
      </w:pPr>
      <w:r w:rsidRPr="00284526">
        <w:rPr>
          <w:rFonts w:ascii="Verdana" w:hAnsi="Verdana" w:cs="Arial"/>
          <w:shd w:val="clear" w:color="auto" w:fill="FFFFFF"/>
        </w:rPr>
        <w:lastRenderedPageBreak/>
        <w:t xml:space="preserve">Por último, lo invitamos a seguirnos en las redes sociales en las cuales se difunde información institucional: </w:t>
      </w:r>
    </w:p>
    <w:p w14:paraId="576BF0D2" w14:textId="77777777" w:rsidR="00207395" w:rsidRPr="00284526" w:rsidRDefault="00207395" w:rsidP="00207395">
      <w:pPr>
        <w:spacing w:after="0" w:line="276" w:lineRule="auto"/>
        <w:jc w:val="both"/>
        <w:rPr>
          <w:rFonts w:ascii="Verdana" w:hAnsi="Verdana" w:cs="Arial"/>
          <w:shd w:val="clear" w:color="auto" w:fill="FFFFFF"/>
        </w:rPr>
      </w:pPr>
    </w:p>
    <w:p w14:paraId="63029708" w14:textId="77777777" w:rsidR="00207395" w:rsidRPr="00284526" w:rsidRDefault="00207395" w:rsidP="00207395">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7568F993" w14:textId="77777777" w:rsidR="00207395" w:rsidRPr="00284526" w:rsidRDefault="00207395" w:rsidP="00207395">
      <w:pPr>
        <w:spacing w:after="0" w:line="276" w:lineRule="auto"/>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proofErr w:type="spellStart"/>
      <w:r w:rsidRPr="00284526">
        <w:rPr>
          <w:rStyle w:val="Hipervnculo"/>
          <w:rFonts w:ascii="Verdana" w:hAnsi="Verdana"/>
          <w:lang w:val="es-ES"/>
        </w:rPr>
        <w:t>ColombiaCompraEficiente</w:t>
      </w:r>
      <w:proofErr w:type="spellEnd"/>
    </w:p>
    <w:p w14:paraId="573B7D47" w14:textId="77777777" w:rsidR="00207395" w:rsidRPr="00284526" w:rsidRDefault="00207395" w:rsidP="00207395">
      <w:pPr>
        <w:spacing w:after="0" w:line="276" w:lineRule="auto"/>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2041F6D2" w14:textId="77777777" w:rsidR="00207395" w:rsidRPr="00284526" w:rsidRDefault="00207395" w:rsidP="00207395">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1DA68A97" w14:textId="77777777" w:rsidR="00207395" w:rsidRPr="00284526" w:rsidRDefault="00207395" w:rsidP="00207395">
      <w:pPr>
        <w:widowControl w:val="0"/>
        <w:autoSpaceDE w:val="0"/>
        <w:autoSpaceDN w:val="0"/>
        <w:spacing w:after="0" w:line="276" w:lineRule="auto"/>
        <w:jc w:val="both"/>
        <w:rPr>
          <w:rFonts w:ascii="Verdana" w:hAnsi="Verdana" w:cs="Arial"/>
          <w:lang w:val="es-ES"/>
        </w:rPr>
      </w:pPr>
    </w:p>
    <w:p w14:paraId="66E27EA8" w14:textId="77777777" w:rsidR="00207395" w:rsidRDefault="00207395" w:rsidP="00207395">
      <w:pPr>
        <w:spacing w:after="0" w:line="276" w:lineRule="auto"/>
        <w:rPr>
          <w:rFonts w:ascii="Verdana" w:eastAsia="Verdana" w:hAnsi="Verdana" w:cs="Verdana"/>
        </w:rPr>
      </w:pPr>
      <w:r w:rsidRPr="30821638">
        <w:rPr>
          <w:rFonts w:ascii="Verdana" w:eastAsia="Verdana" w:hAnsi="Verdana" w:cs="Verdana"/>
        </w:rPr>
        <w:t>Evalúa el servicio que ofrece la Agencia por el canal de atención de PQRSD en el siguiente enlace</w:t>
      </w:r>
      <w:r w:rsidRPr="00C25CDD">
        <w:rPr>
          <w:rFonts w:ascii="Verdana" w:eastAsia="Verdana" w:hAnsi="Verdana" w:cs="Verdana"/>
        </w:rPr>
        <w:t>:</w:t>
      </w:r>
      <w:r>
        <w:rPr>
          <w:rFonts w:ascii="Verdana" w:eastAsia="Verdana" w:hAnsi="Verdana" w:cs="Verdana"/>
        </w:rPr>
        <w:t xml:space="preserve"> </w:t>
      </w:r>
      <w:hyperlink r:id="rId19" w:history="1">
        <w:r w:rsidRPr="00C25CDD">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69272D25" w14:textId="77777777" w:rsidR="003F6490" w:rsidRDefault="003F6490" w:rsidP="00207395">
      <w:pPr>
        <w:spacing w:after="0" w:line="276" w:lineRule="auto"/>
        <w:rPr>
          <w:rFonts w:ascii="Verdana" w:eastAsia="Verdana" w:hAnsi="Verdana" w:cs="Verdana"/>
        </w:rPr>
      </w:pPr>
    </w:p>
    <w:p w14:paraId="2D5E3ACD" w14:textId="77777777" w:rsidR="003F6490" w:rsidRPr="00284526" w:rsidRDefault="003F6490" w:rsidP="003F6490">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30296AE" w14:textId="77777777" w:rsidR="003F6490" w:rsidRPr="00116940" w:rsidRDefault="003F6490" w:rsidP="003F6490">
      <w:pPr>
        <w:spacing w:after="0" w:line="276" w:lineRule="auto"/>
        <w:jc w:val="both"/>
        <w:rPr>
          <w:rFonts w:ascii="Verdana" w:eastAsia="Verdana" w:hAnsi="Verdana" w:cs="Verdana"/>
        </w:rPr>
      </w:pPr>
    </w:p>
    <w:p w14:paraId="21552F4D" w14:textId="0893FB30" w:rsidR="00207395" w:rsidRDefault="00CC2543" w:rsidP="00207395">
      <w:pPr>
        <w:spacing w:after="0" w:line="276" w:lineRule="auto"/>
        <w:jc w:val="both"/>
        <w:rPr>
          <w:rFonts w:ascii="Verdana" w:eastAsia="Verdana" w:hAnsi="Verdana" w:cs="Verdana"/>
          <w:lang w:val="es-MX"/>
        </w:rPr>
      </w:pPr>
      <w:r>
        <w:rPr>
          <w:noProof/>
        </w:rPr>
        <w:drawing>
          <wp:anchor distT="0" distB="0" distL="114300" distR="114300" simplePos="0" relativeHeight="251660288" behindDoc="1" locked="0" layoutInCell="1" allowOverlap="1" wp14:anchorId="69A45308" wp14:editId="37025AD0">
            <wp:simplePos x="0" y="0"/>
            <wp:positionH relativeFrom="column">
              <wp:posOffset>1299845</wp:posOffset>
            </wp:positionH>
            <wp:positionV relativeFrom="paragraph">
              <wp:posOffset>104716</wp:posOffset>
            </wp:positionV>
            <wp:extent cx="3424555" cy="1370965"/>
            <wp:effectExtent l="0" t="0" r="4445" b="635"/>
            <wp:wrapTight wrapText="bothSides">
              <wp:wrapPolygon edited="0">
                <wp:start x="0" y="0"/>
                <wp:lineTo x="0" y="21310"/>
                <wp:lineTo x="21508" y="21310"/>
                <wp:lineTo x="21508" y="0"/>
                <wp:lineTo x="0" y="0"/>
              </wp:wrapPolygon>
            </wp:wrapTight>
            <wp:docPr id="3441576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157612" name="Imagen 344157612"/>
                    <pic:cNvPicPr/>
                  </pic:nvPicPr>
                  <pic:blipFill>
                    <a:blip r:embed="rId20">
                      <a:extLst>
                        <a:ext uri="{28A0092B-C50C-407E-A947-70E740481C1C}">
                          <a14:useLocalDpi xmlns:a14="http://schemas.microsoft.com/office/drawing/2010/main" val="0"/>
                        </a:ext>
                      </a:extLst>
                    </a:blip>
                    <a:stretch>
                      <a:fillRect/>
                    </a:stretch>
                  </pic:blipFill>
                  <pic:spPr>
                    <a:xfrm>
                      <a:off x="0" y="0"/>
                      <a:ext cx="3424555" cy="1370965"/>
                    </a:xfrm>
                    <a:prstGeom prst="rect">
                      <a:avLst/>
                    </a:prstGeom>
                  </pic:spPr>
                </pic:pic>
              </a:graphicData>
            </a:graphic>
            <wp14:sizeRelV relativeFrom="margin">
              <wp14:pctHeight>0</wp14:pctHeight>
            </wp14:sizeRelV>
          </wp:anchor>
        </w:drawing>
      </w:r>
      <w:r w:rsidR="00207395" w:rsidRPr="30821638">
        <w:rPr>
          <w:rFonts w:ascii="Verdana" w:eastAsia="Verdana" w:hAnsi="Verdana" w:cs="Verdana"/>
          <w:lang w:val="es-MX"/>
        </w:rPr>
        <w:t>Cordialmente,</w:t>
      </w:r>
      <w:r w:rsidR="00207395">
        <w:rPr>
          <w:rFonts w:ascii="Verdana" w:eastAsia="Verdana" w:hAnsi="Verdana" w:cs="Verdana"/>
          <w:lang w:val="es-MX"/>
        </w:rPr>
        <w:t xml:space="preserve"> </w:t>
      </w:r>
    </w:p>
    <w:p w14:paraId="5C0467F9" w14:textId="546D84FF" w:rsidR="00207395" w:rsidRDefault="00207395" w:rsidP="00207395">
      <w:pPr>
        <w:spacing w:after="0" w:line="276" w:lineRule="auto"/>
        <w:jc w:val="both"/>
        <w:rPr>
          <w:rFonts w:ascii="Verdana" w:eastAsia="Century Gothic" w:hAnsi="Verdana" w:cs="Century Gothic"/>
        </w:rPr>
      </w:pPr>
    </w:p>
    <w:p w14:paraId="3015B4D8" w14:textId="77777777" w:rsidR="00207395" w:rsidRDefault="00207395" w:rsidP="00207395">
      <w:pPr>
        <w:spacing w:after="0" w:line="276" w:lineRule="auto"/>
        <w:jc w:val="both"/>
        <w:rPr>
          <w:rFonts w:ascii="Verdana" w:eastAsia="Century Gothic" w:hAnsi="Verdana" w:cs="Century Gothic"/>
        </w:rPr>
      </w:pPr>
    </w:p>
    <w:p w14:paraId="3F800584" w14:textId="77777777" w:rsidR="00207395" w:rsidRDefault="00207395" w:rsidP="00207395">
      <w:pPr>
        <w:spacing w:after="0" w:line="276" w:lineRule="auto"/>
        <w:jc w:val="both"/>
        <w:rPr>
          <w:rFonts w:ascii="Verdana" w:eastAsia="Century Gothic" w:hAnsi="Verdana" w:cs="Century Gothic"/>
        </w:rPr>
      </w:pPr>
    </w:p>
    <w:p w14:paraId="34863377" w14:textId="77777777" w:rsidR="00CC2543" w:rsidRDefault="00CC2543" w:rsidP="00207395">
      <w:pPr>
        <w:spacing w:after="0" w:line="276" w:lineRule="auto"/>
        <w:jc w:val="both"/>
        <w:rPr>
          <w:rFonts w:ascii="Verdana" w:eastAsia="Century Gothic" w:hAnsi="Verdana" w:cs="Century Gothic"/>
        </w:rPr>
      </w:pPr>
    </w:p>
    <w:p w14:paraId="61901E12" w14:textId="77777777" w:rsidR="00CC2543" w:rsidRDefault="00CC2543" w:rsidP="00207395">
      <w:pPr>
        <w:spacing w:after="0" w:line="276" w:lineRule="auto"/>
        <w:jc w:val="both"/>
        <w:rPr>
          <w:rFonts w:ascii="Verdana" w:eastAsia="Century Gothic" w:hAnsi="Verdana" w:cs="Century Gothic"/>
        </w:rPr>
      </w:pPr>
    </w:p>
    <w:p w14:paraId="2D606B73" w14:textId="77777777" w:rsidR="00207395" w:rsidRDefault="00207395" w:rsidP="00207395">
      <w:pPr>
        <w:spacing w:after="0" w:line="276" w:lineRule="auto"/>
        <w:jc w:val="both"/>
        <w:rPr>
          <w:rFonts w:ascii="Verdana" w:eastAsia="Century Gothic" w:hAnsi="Verdana" w:cs="Century Gothic"/>
        </w:rPr>
      </w:pPr>
    </w:p>
    <w:p w14:paraId="6706F417" w14:textId="77777777" w:rsidR="00207395" w:rsidRDefault="00207395" w:rsidP="00207395">
      <w:pPr>
        <w:spacing w:after="120" w:line="276" w:lineRule="auto"/>
        <w:contextualSpacing/>
        <w:jc w:val="both"/>
        <w:rPr>
          <w:rFonts w:ascii="Verdana" w:eastAsia="Aptos" w:hAnsi="Verdana" w:cs="Arial"/>
          <w:shd w:val="clear" w:color="auto" w:fill="FFFFFF"/>
          <w:lang w:val="es-ES"/>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207395" w:rsidRPr="004C0111" w14:paraId="710C747B" w14:textId="77777777" w:rsidTr="00307AEB">
        <w:trPr>
          <w:trHeight w:val="622"/>
        </w:trPr>
        <w:tc>
          <w:tcPr>
            <w:tcW w:w="893" w:type="dxa"/>
            <w:vAlign w:val="center"/>
            <w:hideMark/>
          </w:tcPr>
          <w:p w14:paraId="10CF03FB" w14:textId="77777777" w:rsidR="00207395" w:rsidRPr="004C0111" w:rsidRDefault="00207395" w:rsidP="00307AEB">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207395" w:rsidRPr="004C0111" w14:paraId="0DC7B22F" w14:textId="77777777" w:rsidTr="00307AEB">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70D85DB1" w14:textId="77777777" w:rsidR="00207395" w:rsidRPr="004C0111" w:rsidRDefault="00207395" w:rsidP="00307AEB">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378F4144" w14:textId="77777777" w:rsidR="00207395" w:rsidRPr="004C0111" w:rsidRDefault="00207395" w:rsidP="00307AEB">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410B7ECE" w14:textId="77777777" w:rsidR="00207395" w:rsidRPr="004C0111" w:rsidRDefault="00207395" w:rsidP="00307AEB">
            <w:pPr>
              <w:rPr>
                <w:rFonts w:ascii="Verdana" w:eastAsia="Calibri" w:hAnsi="Verdana" w:cs="Arial"/>
                <w:sz w:val="16"/>
                <w:szCs w:val="16"/>
                <w:lang w:val="es-MX"/>
              </w:rPr>
            </w:pPr>
          </w:p>
        </w:tc>
      </w:tr>
      <w:tr w:rsidR="00207395" w:rsidRPr="004C0111" w14:paraId="2DB9BE89" w14:textId="77777777" w:rsidTr="00307AEB">
        <w:trPr>
          <w:trHeight w:val="330"/>
        </w:trPr>
        <w:tc>
          <w:tcPr>
            <w:tcW w:w="893" w:type="dxa"/>
            <w:vAlign w:val="center"/>
            <w:hideMark/>
          </w:tcPr>
          <w:p w14:paraId="05DD961D" w14:textId="77777777" w:rsidR="00207395" w:rsidRPr="004C0111" w:rsidRDefault="00207395" w:rsidP="00307AEB">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20D47ABA" w14:textId="77777777" w:rsidR="00207395" w:rsidRPr="004C0111" w:rsidRDefault="00207395" w:rsidP="00307AEB">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Adriana López Rodríguez</w:t>
            </w:r>
          </w:p>
          <w:p w14:paraId="12750126" w14:textId="77777777" w:rsidR="00207395" w:rsidRPr="004C0111" w:rsidRDefault="00207395" w:rsidP="00307AEB">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207395" w:rsidRPr="004C0111" w14:paraId="13BCD308" w14:textId="77777777" w:rsidTr="00307AEB">
        <w:trPr>
          <w:trHeight w:val="77"/>
        </w:trPr>
        <w:tc>
          <w:tcPr>
            <w:tcW w:w="893" w:type="dxa"/>
            <w:vAlign w:val="center"/>
          </w:tcPr>
          <w:p w14:paraId="49CF5C4B" w14:textId="77777777" w:rsidR="00207395" w:rsidRPr="004C0111" w:rsidRDefault="00207395" w:rsidP="00307AEB">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331490DF" w14:textId="77777777" w:rsidR="00207395" w:rsidRPr="002F2853" w:rsidRDefault="00207395" w:rsidP="00307AEB">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37069CDE" w14:textId="77777777" w:rsidR="00207395" w:rsidRPr="004C0111" w:rsidRDefault="00207395" w:rsidP="00307AEB">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4DF8A057" w14:textId="77777777" w:rsidR="00207395" w:rsidRPr="000E2B93" w:rsidRDefault="00207395" w:rsidP="00207395">
      <w:pPr>
        <w:spacing w:after="0" w:line="240" w:lineRule="auto"/>
        <w:jc w:val="both"/>
        <w:textAlignment w:val="baseline"/>
        <w:rPr>
          <w:rFonts w:ascii="Verdana" w:eastAsia="Verdana" w:hAnsi="Verdana" w:cs="Verdana"/>
          <w:lang w:eastAsia="es-CO"/>
        </w:rPr>
      </w:pPr>
    </w:p>
    <w:p w14:paraId="562BF98E" w14:textId="0EB28E0D" w:rsidR="00207395" w:rsidRPr="000E2B93" w:rsidRDefault="00207395" w:rsidP="00207395">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7BB4FA8A" w14:textId="77777777" w:rsidR="00193E41" w:rsidRPr="00A54323" w:rsidRDefault="00193E41" w:rsidP="00193E41">
      <w:pPr>
        <w:widowControl w:val="0"/>
        <w:autoSpaceDE w:val="0"/>
        <w:autoSpaceDN w:val="0"/>
        <w:spacing w:after="0" w:line="276" w:lineRule="auto"/>
        <w:jc w:val="both"/>
        <w:rPr>
          <w:rFonts w:ascii="Verdana" w:hAnsi="Verdana" w:cs="Arial"/>
          <w:shd w:val="clear" w:color="auto" w:fill="FFFFFF"/>
          <w:lang w:val="es-ES"/>
        </w:rPr>
      </w:pPr>
    </w:p>
    <w:p w14:paraId="69BC4D14" w14:textId="70DE8781" w:rsidR="00C15139" w:rsidRPr="00CC2543" w:rsidRDefault="00C15139" w:rsidP="30821638">
      <w:pPr>
        <w:spacing w:after="0" w:line="240" w:lineRule="auto"/>
        <w:textAlignment w:val="baseline"/>
        <w:rPr>
          <w:rFonts w:ascii="Verdana" w:eastAsia="Verdana" w:hAnsi="Verdana" w:cs="Verdana"/>
          <w:vanish/>
          <w:lang w:eastAsia="es-CO"/>
          <w:specVanish/>
        </w:rPr>
      </w:pPr>
      <w:r w:rsidRPr="30821638">
        <w:rPr>
          <w:rFonts w:ascii="Verdana" w:eastAsia="Verdana" w:hAnsi="Verdana" w:cs="Verdana"/>
          <w:lang w:eastAsia="es-CO"/>
        </w:rPr>
        <w:t> </w:t>
      </w:r>
    </w:p>
    <w:p w14:paraId="26A0CB84" w14:textId="24016071" w:rsidR="002E2BF8" w:rsidRPr="00E02524" w:rsidRDefault="00CC2543" w:rsidP="30821638">
      <w:pPr>
        <w:spacing w:after="0"/>
        <w:jc w:val="both"/>
        <w:rPr>
          <w:rFonts w:ascii="Verdana" w:eastAsia="Verdana" w:hAnsi="Verdana" w:cs="Verdana"/>
          <w:lang w:val="es-ES"/>
        </w:rPr>
      </w:pPr>
      <w:r>
        <w:rPr>
          <w:rFonts w:ascii="Verdana" w:eastAsia="Verdana" w:hAnsi="Verdana" w:cs="Verdana"/>
          <w:lang w:val="es-ES"/>
        </w:rPr>
        <w:t xml:space="preserve"> </w:t>
      </w:r>
    </w:p>
    <w:p w14:paraId="493E8921" w14:textId="77777777" w:rsidR="002E2BF8" w:rsidRPr="00E02524" w:rsidRDefault="002E2BF8" w:rsidP="30821638">
      <w:pPr>
        <w:spacing w:after="0"/>
        <w:jc w:val="both"/>
        <w:rPr>
          <w:rFonts w:ascii="Verdana" w:eastAsia="Verdana" w:hAnsi="Verdana" w:cs="Verdana"/>
          <w:lang w:val="es-ES"/>
        </w:rPr>
      </w:pPr>
    </w:p>
    <w:p w14:paraId="7AB8EA08" w14:textId="77777777" w:rsidR="002E2BF8" w:rsidRPr="00E02524" w:rsidRDefault="002E2BF8" w:rsidP="30821638">
      <w:pPr>
        <w:spacing w:after="0"/>
        <w:jc w:val="both"/>
        <w:rPr>
          <w:rFonts w:ascii="Verdana" w:eastAsia="Verdana" w:hAnsi="Verdana" w:cs="Verdana"/>
          <w:lang w:val="es-ES"/>
        </w:rPr>
      </w:pPr>
    </w:p>
    <w:bookmarkEnd w:id="0"/>
    <w:p w14:paraId="0F293BF4" w14:textId="383120FD" w:rsidR="00127233" w:rsidRPr="0015699B" w:rsidRDefault="00127233" w:rsidP="00335F63">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F7CF85" w14:textId="77777777" w:rsidR="00084A46" w:rsidRDefault="00084A46" w:rsidP="004A1847">
      <w:pPr>
        <w:spacing w:after="0" w:line="240" w:lineRule="auto"/>
      </w:pPr>
      <w:r>
        <w:separator/>
      </w:r>
    </w:p>
  </w:endnote>
  <w:endnote w:type="continuationSeparator" w:id="0">
    <w:p w14:paraId="4F20E768" w14:textId="77777777" w:rsidR="00084A46" w:rsidRDefault="00084A4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E7C8D" w14:textId="77777777" w:rsidR="00084A46" w:rsidRDefault="00084A46" w:rsidP="004A1847">
      <w:pPr>
        <w:spacing w:after="0" w:line="240" w:lineRule="auto"/>
      </w:pPr>
      <w:r>
        <w:separator/>
      </w:r>
    </w:p>
  </w:footnote>
  <w:footnote w:type="continuationSeparator" w:id="0">
    <w:p w14:paraId="524D6218" w14:textId="77777777" w:rsidR="00084A46" w:rsidRDefault="00084A46"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5pt;height:12.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1330140246">
    <w:abstractNumId w:val="0"/>
  </w:num>
  <w:num w:numId="17" w16cid:durableId="13584315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7314"/>
    <w:rsid w:val="00061B2A"/>
    <w:rsid w:val="00065487"/>
    <w:rsid w:val="00076EE9"/>
    <w:rsid w:val="00082362"/>
    <w:rsid w:val="00084A46"/>
    <w:rsid w:val="000907FE"/>
    <w:rsid w:val="000A1AFF"/>
    <w:rsid w:val="000A64D8"/>
    <w:rsid w:val="000A683E"/>
    <w:rsid w:val="000B19B9"/>
    <w:rsid w:val="000D0334"/>
    <w:rsid w:val="000D33D7"/>
    <w:rsid w:val="000D5DA7"/>
    <w:rsid w:val="000F573D"/>
    <w:rsid w:val="000F6486"/>
    <w:rsid w:val="00116940"/>
    <w:rsid w:val="00125105"/>
    <w:rsid w:val="00127233"/>
    <w:rsid w:val="001346CF"/>
    <w:rsid w:val="001562C0"/>
    <w:rsid w:val="0015699B"/>
    <w:rsid w:val="00181163"/>
    <w:rsid w:val="0018328A"/>
    <w:rsid w:val="00193E41"/>
    <w:rsid w:val="001A33BF"/>
    <w:rsid w:val="001E4177"/>
    <w:rsid w:val="001F0B24"/>
    <w:rsid w:val="001F4B61"/>
    <w:rsid w:val="001F7DC6"/>
    <w:rsid w:val="00207395"/>
    <w:rsid w:val="002154CC"/>
    <w:rsid w:val="0022400B"/>
    <w:rsid w:val="00230123"/>
    <w:rsid w:val="00231A11"/>
    <w:rsid w:val="00234D7E"/>
    <w:rsid w:val="002421BB"/>
    <w:rsid w:val="00250011"/>
    <w:rsid w:val="0025796E"/>
    <w:rsid w:val="002707A2"/>
    <w:rsid w:val="00291831"/>
    <w:rsid w:val="002923F4"/>
    <w:rsid w:val="002951A0"/>
    <w:rsid w:val="002962BC"/>
    <w:rsid w:val="002A093D"/>
    <w:rsid w:val="002A0DD0"/>
    <w:rsid w:val="002A49AC"/>
    <w:rsid w:val="002A5C1A"/>
    <w:rsid w:val="002A64FD"/>
    <w:rsid w:val="002C58E2"/>
    <w:rsid w:val="002C7A24"/>
    <w:rsid w:val="002C7A84"/>
    <w:rsid w:val="002D126F"/>
    <w:rsid w:val="002E2BF8"/>
    <w:rsid w:val="002E4FD9"/>
    <w:rsid w:val="0030657A"/>
    <w:rsid w:val="00322A85"/>
    <w:rsid w:val="00324168"/>
    <w:rsid w:val="00330834"/>
    <w:rsid w:val="00335F63"/>
    <w:rsid w:val="003448F4"/>
    <w:rsid w:val="0037466B"/>
    <w:rsid w:val="00374F5E"/>
    <w:rsid w:val="00377E3E"/>
    <w:rsid w:val="00392680"/>
    <w:rsid w:val="003A779E"/>
    <w:rsid w:val="003B6337"/>
    <w:rsid w:val="003D0F4D"/>
    <w:rsid w:val="003D5B0D"/>
    <w:rsid w:val="003E0499"/>
    <w:rsid w:val="003E4F80"/>
    <w:rsid w:val="003E5BE9"/>
    <w:rsid w:val="003E6439"/>
    <w:rsid w:val="003F3941"/>
    <w:rsid w:val="003F6490"/>
    <w:rsid w:val="00406575"/>
    <w:rsid w:val="0041074A"/>
    <w:rsid w:val="00414C74"/>
    <w:rsid w:val="00426CDB"/>
    <w:rsid w:val="0042722E"/>
    <w:rsid w:val="0044528D"/>
    <w:rsid w:val="00466E39"/>
    <w:rsid w:val="00483221"/>
    <w:rsid w:val="004A1847"/>
    <w:rsid w:val="004A2777"/>
    <w:rsid w:val="004A305D"/>
    <w:rsid w:val="004D2B30"/>
    <w:rsid w:val="004D5A0A"/>
    <w:rsid w:val="004F21C4"/>
    <w:rsid w:val="004F685F"/>
    <w:rsid w:val="00537F6B"/>
    <w:rsid w:val="005566E8"/>
    <w:rsid w:val="00574867"/>
    <w:rsid w:val="00591460"/>
    <w:rsid w:val="005A65E0"/>
    <w:rsid w:val="005C3777"/>
    <w:rsid w:val="005C5CDC"/>
    <w:rsid w:val="005D476C"/>
    <w:rsid w:val="005E4EF0"/>
    <w:rsid w:val="006200BF"/>
    <w:rsid w:val="006219F8"/>
    <w:rsid w:val="006302F7"/>
    <w:rsid w:val="00633978"/>
    <w:rsid w:val="00646B9F"/>
    <w:rsid w:val="00650E18"/>
    <w:rsid w:val="00664272"/>
    <w:rsid w:val="00665D70"/>
    <w:rsid w:val="00675267"/>
    <w:rsid w:val="006900D9"/>
    <w:rsid w:val="006A4F90"/>
    <w:rsid w:val="00706C16"/>
    <w:rsid w:val="007340C3"/>
    <w:rsid w:val="0075235A"/>
    <w:rsid w:val="007529BC"/>
    <w:rsid w:val="00756841"/>
    <w:rsid w:val="0076396E"/>
    <w:rsid w:val="007649AB"/>
    <w:rsid w:val="00771D0C"/>
    <w:rsid w:val="00773B09"/>
    <w:rsid w:val="007833AC"/>
    <w:rsid w:val="007B268C"/>
    <w:rsid w:val="007B7171"/>
    <w:rsid w:val="007C0C0F"/>
    <w:rsid w:val="007C3DC2"/>
    <w:rsid w:val="007E5497"/>
    <w:rsid w:val="00804B86"/>
    <w:rsid w:val="00806F5F"/>
    <w:rsid w:val="0081255C"/>
    <w:rsid w:val="00820278"/>
    <w:rsid w:val="008258C9"/>
    <w:rsid w:val="008439A4"/>
    <w:rsid w:val="00844AE9"/>
    <w:rsid w:val="00867F95"/>
    <w:rsid w:val="008843B6"/>
    <w:rsid w:val="00890646"/>
    <w:rsid w:val="00891928"/>
    <w:rsid w:val="008A446D"/>
    <w:rsid w:val="008B25F1"/>
    <w:rsid w:val="008D180B"/>
    <w:rsid w:val="008D29D5"/>
    <w:rsid w:val="008E56B9"/>
    <w:rsid w:val="008E5816"/>
    <w:rsid w:val="008F0EA7"/>
    <w:rsid w:val="00923EEF"/>
    <w:rsid w:val="00926084"/>
    <w:rsid w:val="009419F9"/>
    <w:rsid w:val="0095685E"/>
    <w:rsid w:val="00961B09"/>
    <w:rsid w:val="00962B64"/>
    <w:rsid w:val="00965334"/>
    <w:rsid w:val="0097093E"/>
    <w:rsid w:val="00993995"/>
    <w:rsid w:val="009A0DFA"/>
    <w:rsid w:val="009A1C6F"/>
    <w:rsid w:val="009B2D26"/>
    <w:rsid w:val="009B5890"/>
    <w:rsid w:val="009C71FA"/>
    <w:rsid w:val="009C72E7"/>
    <w:rsid w:val="009C7F7E"/>
    <w:rsid w:val="009D3058"/>
    <w:rsid w:val="009D32D0"/>
    <w:rsid w:val="009D55BF"/>
    <w:rsid w:val="009F3A13"/>
    <w:rsid w:val="00A122D3"/>
    <w:rsid w:val="00A14468"/>
    <w:rsid w:val="00A17F13"/>
    <w:rsid w:val="00A20739"/>
    <w:rsid w:val="00A23AF9"/>
    <w:rsid w:val="00A300FD"/>
    <w:rsid w:val="00A33C78"/>
    <w:rsid w:val="00A35B96"/>
    <w:rsid w:val="00A376AB"/>
    <w:rsid w:val="00A73A2A"/>
    <w:rsid w:val="00A86F9C"/>
    <w:rsid w:val="00AB0ADB"/>
    <w:rsid w:val="00AE0529"/>
    <w:rsid w:val="00B00C0E"/>
    <w:rsid w:val="00B01B1A"/>
    <w:rsid w:val="00B0381D"/>
    <w:rsid w:val="00B44A47"/>
    <w:rsid w:val="00B701C6"/>
    <w:rsid w:val="00B72CD3"/>
    <w:rsid w:val="00B72FFF"/>
    <w:rsid w:val="00BC3D36"/>
    <w:rsid w:val="00BD54A6"/>
    <w:rsid w:val="00BD551A"/>
    <w:rsid w:val="00BD7F72"/>
    <w:rsid w:val="00BE1AF4"/>
    <w:rsid w:val="00BF7425"/>
    <w:rsid w:val="00C04FB3"/>
    <w:rsid w:val="00C11D8B"/>
    <w:rsid w:val="00C15139"/>
    <w:rsid w:val="00C31366"/>
    <w:rsid w:val="00C32FDB"/>
    <w:rsid w:val="00C330EB"/>
    <w:rsid w:val="00C50D69"/>
    <w:rsid w:val="00C525C7"/>
    <w:rsid w:val="00C5365C"/>
    <w:rsid w:val="00C67CAD"/>
    <w:rsid w:val="00C754BE"/>
    <w:rsid w:val="00C76B1C"/>
    <w:rsid w:val="00C925AC"/>
    <w:rsid w:val="00CA11EE"/>
    <w:rsid w:val="00CB6357"/>
    <w:rsid w:val="00CC1B26"/>
    <w:rsid w:val="00CC2543"/>
    <w:rsid w:val="00CC7169"/>
    <w:rsid w:val="00D06678"/>
    <w:rsid w:val="00D16D4C"/>
    <w:rsid w:val="00D361FD"/>
    <w:rsid w:val="00D423A2"/>
    <w:rsid w:val="00D44E26"/>
    <w:rsid w:val="00D520D8"/>
    <w:rsid w:val="00D63AC2"/>
    <w:rsid w:val="00D7383B"/>
    <w:rsid w:val="00D7788A"/>
    <w:rsid w:val="00D9533D"/>
    <w:rsid w:val="00DA231B"/>
    <w:rsid w:val="00DB2BD6"/>
    <w:rsid w:val="00DC39FC"/>
    <w:rsid w:val="00DD6878"/>
    <w:rsid w:val="00DF0A3C"/>
    <w:rsid w:val="00DF5254"/>
    <w:rsid w:val="00E02524"/>
    <w:rsid w:val="00E16408"/>
    <w:rsid w:val="00E20894"/>
    <w:rsid w:val="00E245AB"/>
    <w:rsid w:val="00E2764C"/>
    <w:rsid w:val="00E27F2E"/>
    <w:rsid w:val="00E42A7B"/>
    <w:rsid w:val="00E50AFE"/>
    <w:rsid w:val="00E57126"/>
    <w:rsid w:val="00E6694B"/>
    <w:rsid w:val="00E75C92"/>
    <w:rsid w:val="00E771DC"/>
    <w:rsid w:val="00E8772A"/>
    <w:rsid w:val="00E90F6B"/>
    <w:rsid w:val="00E92C27"/>
    <w:rsid w:val="00EA0E3D"/>
    <w:rsid w:val="00EC38A7"/>
    <w:rsid w:val="00EC4D52"/>
    <w:rsid w:val="00ED4FEC"/>
    <w:rsid w:val="00EE1087"/>
    <w:rsid w:val="00EE1AA8"/>
    <w:rsid w:val="00EE2819"/>
    <w:rsid w:val="00F23FEA"/>
    <w:rsid w:val="00F31EDC"/>
    <w:rsid w:val="00F462B3"/>
    <w:rsid w:val="00F5664F"/>
    <w:rsid w:val="00F666C4"/>
    <w:rsid w:val="00F76AFC"/>
    <w:rsid w:val="00F97320"/>
    <w:rsid w:val="00FA47C0"/>
    <w:rsid w:val="00FB11BB"/>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5749776"/>
    <w:rsid w:val="545B112A"/>
    <w:rsid w:val="5BEB1497"/>
    <w:rsid w:val="67EFB2BF"/>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5731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265963">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wp-content/uploads/2025/09/006-de-2025-Circular-Externa-L996-ajustado-comentarios-BM-BID-Rev-ARSC-V3.d-1.pdf"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pagaduria.eeagricolacopey@educacioncesar.gov.co"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minsalud.gov.co/sites/rid/Lists/BibliotecaDigital/RIDE/VS/PP/lineamiento-tecnico-operativo-equipos-basicos-salud-modelo-pp.pdf"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852BBA1-EAE5-4C0E-B14E-0130EA1D87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E176A30F-287E-4723-A1BB-84431DE45510}">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19</Pages>
  <Words>6511</Words>
  <Characters>35812</Characters>
  <Application>Microsoft Office Word</Application>
  <DocSecurity>0</DocSecurity>
  <Lines>298</Lines>
  <Paragraphs>84</Paragraphs>
  <ScaleCrop>false</ScaleCrop>
  <Company/>
  <LinksUpToDate>false</LinksUpToDate>
  <CharactersWithSpaces>42239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2026-06-12T16:47:00Z</dcterms:created>
  <dcterms:modified xsi:type="dcterms:W3CDTF">2026-06-18T20:09:00Z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