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8A457" w14:textId="0609E1E8" w:rsidR="00694B58" w:rsidRPr="00694B58" w:rsidRDefault="00694B58" w:rsidP="00694B58">
      <w:pPr>
        <w:pStyle w:val="Textoindependiente"/>
        <w:spacing w:before="1"/>
        <w:jc w:val="both"/>
        <w:rPr>
          <w:rFonts w:ascii="Verdana" w:hAnsi="Verdana"/>
          <w:b/>
          <w:bCs/>
        </w:rPr>
      </w:pPr>
      <w:r w:rsidRPr="00694B58">
        <w:rPr>
          <w:rFonts w:ascii="Verdana" w:hAnsi="Verdana"/>
          <w:b/>
          <w:bCs/>
        </w:rPr>
        <w:t>LEY DE GARANTÍAS ELECTORALES ‒ Finalidad / LEY DE GARANTÍAS ELECTORALES ‒ Tipos de restricciones ‒ Ámbito temporal - Prohibición artículo 33</w:t>
      </w:r>
    </w:p>
    <w:p w14:paraId="39D44E81" w14:textId="604F57B0" w:rsidR="00694B58" w:rsidRDefault="00694B58" w:rsidP="00694B58">
      <w:pPr>
        <w:pStyle w:val="NormalWeb"/>
        <w:jc w:val="both"/>
        <w:rPr>
          <w:rFonts w:ascii="Verdana" w:hAnsi="Verdana" w:cs="Arial"/>
          <w:sz w:val="22"/>
          <w:szCs w:val="22"/>
        </w:rPr>
      </w:pPr>
      <w:r w:rsidRPr="005D3955">
        <w:rPr>
          <w:rFonts w:ascii="Verdana" w:hAnsi="Verdana" w:cs="Arial"/>
          <w:sz w:val="22"/>
          <w:szCs w:val="22"/>
        </w:rPr>
        <w:t xml:space="preserve">Para dar solución al problema jurídico planteado en la consulta, es necesario precisar que la celebración de contratos de aprendizaje por parte de una Empresa de Servicios Públicos domiciliarios de carácter oficial sí se encuentra sujeta a las restricciones previstas en el artículo 33 de la Ley de Garantías Electorales. La normativa prohíbe la contratación directa por parte de todos los entes del Estado durante los cuatro (4) meses anteriores a las elecciones presidenciales. Esta limitación cobija a las Empresas de Servicios Públicos oficiales y mixtas, sin que el legislador haya establecido un supuesto de exoneración sustentado en la naturaleza del régimen jurídico contractual de la entidad. El criterio aplicable para determinar los destinatarios de esta disposición es eminentemente orgánico. </w:t>
      </w:r>
    </w:p>
    <w:p w14:paraId="097693A0" w14:textId="4D258CF7" w:rsidR="00694B58" w:rsidRPr="00694B58" w:rsidRDefault="00694B58" w:rsidP="00694B58">
      <w:pPr>
        <w:pStyle w:val="NormalWeb"/>
        <w:spacing w:line="240" w:lineRule="auto"/>
        <w:jc w:val="both"/>
        <w:rPr>
          <w:rFonts w:ascii="Verdana" w:hAnsi="Verdana" w:cs="Arial"/>
          <w:b/>
          <w:bCs/>
          <w:sz w:val="22"/>
          <w:szCs w:val="22"/>
        </w:rPr>
      </w:pPr>
      <w:r w:rsidRPr="00694B58">
        <w:rPr>
          <w:rFonts w:ascii="Verdana" w:hAnsi="Verdana"/>
          <w:b/>
          <w:bCs/>
        </w:rPr>
        <w:t>Contratación directa – Alcance – Destinatarios – Excepciones – Empresas de Servicios Públicos</w:t>
      </w:r>
    </w:p>
    <w:p w14:paraId="7F52E902" w14:textId="00803326" w:rsidR="00694B58" w:rsidRPr="00694B58" w:rsidRDefault="00694B58" w:rsidP="00694B58">
      <w:pPr>
        <w:pStyle w:val="NormalWeb"/>
        <w:spacing w:line="240" w:lineRule="auto"/>
        <w:jc w:val="both"/>
        <w:rPr>
          <w:rFonts w:ascii="Verdana" w:hAnsi="Verdana" w:cs="Arial"/>
          <w:sz w:val="22"/>
          <w:szCs w:val="22"/>
        </w:rPr>
      </w:pPr>
      <w:r w:rsidRPr="005D3955">
        <w:rPr>
          <w:rFonts w:ascii="Verdana" w:hAnsi="Verdana" w:cs="Arial"/>
          <w:sz w:val="22"/>
          <w:szCs w:val="22"/>
        </w:rPr>
        <w:t xml:space="preserve">En este contexto normativo, la figura de "contratación directa" no se restringe exclusivamente a las causales consagradas en </w:t>
      </w:r>
      <w:r>
        <w:rPr>
          <w:rFonts w:ascii="Verdana" w:hAnsi="Verdana" w:cs="Arial"/>
          <w:sz w:val="22"/>
          <w:szCs w:val="22"/>
        </w:rPr>
        <w:t>el artículo 2 numeral 4 de la</w:t>
      </w:r>
      <w:r w:rsidRPr="005D3955">
        <w:rPr>
          <w:rFonts w:ascii="Verdana" w:hAnsi="Verdana" w:cs="Arial"/>
          <w:sz w:val="22"/>
          <w:szCs w:val="22"/>
        </w:rPr>
        <w:t xml:space="preserve"> Ley 1150 de 2007, sino que abarca cualquier sistema de selección o procedimiento de contratación que no incluya la convocatoria pública en alguna de sus etapas, ni permita la participación de una pluralidad de oferentes. En consecuencia, al ser el contrato de aprendizaje un vínculo que se perfecciona de manera directa y sin agotar un procedimiento abierto y competitivo, se configura materialmente la prohibición legal. Asimismo, las excepciones a esta restricción son taxativas y no incluyen las vinculaciones de índole formativa</w:t>
      </w:r>
    </w:p>
    <w:p w14:paraId="6F4553CB" w14:textId="77777777" w:rsidR="00694B58" w:rsidRDefault="00694B58" w:rsidP="00694B58">
      <w:pPr>
        <w:pStyle w:val="Textoindependiente"/>
        <w:spacing w:before="1"/>
        <w:rPr>
          <w:rFonts w:ascii="Verdana" w:hAnsi="Verdana"/>
        </w:rPr>
      </w:pPr>
    </w:p>
    <w:p w14:paraId="605296B4" w14:textId="77777777" w:rsidR="00694B58" w:rsidRDefault="00694B58" w:rsidP="00694B58">
      <w:pPr>
        <w:pStyle w:val="Textoindependiente"/>
        <w:spacing w:before="1"/>
        <w:rPr>
          <w:rFonts w:ascii="Verdana" w:hAnsi="Verdana"/>
        </w:rPr>
      </w:pPr>
    </w:p>
    <w:p w14:paraId="6840D5E7" w14:textId="77777777" w:rsidR="00694B58" w:rsidRDefault="00694B58" w:rsidP="00694B58">
      <w:pPr>
        <w:pStyle w:val="Textoindependiente"/>
        <w:spacing w:before="1"/>
        <w:rPr>
          <w:rFonts w:ascii="Verdana" w:hAnsi="Verdana"/>
        </w:rPr>
      </w:pPr>
    </w:p>
    <w:p w14:paraId="2B9BEC3E" w14:textId="77777777" w:rsidR="00694B58" w:rsidRDefault="00694B58" w:rsidP="00694B58">
      <w:pPr>
        <w:pStyle w:val="Textoindependiente"/>
        <w:spacing w:before="1"/>
        <w:rPr>
          <w:rFonts w:ascii="Verdana" w:hAnsi="Verdana"/>
        </w:rPr>
      </w:pPr>
    </w:p>
    <w:p w14:paraId="28DB9055" w14:textId="77777777" w:rsidR="00694B58" w:rsidRDefault="00694B58" w:rsidP="00694B58">
      <w:pPr>
        <w:pStyle w:val="Textoindependiente"/>
        <w:spacing w:before="1"/>
        <w:rPr>
          <w:rFonts w:ascii="Verdana" w:hAnsi="Verdana"/>
        </w:rPr>
      </w:pPr>
    </w:p>
    <w:p w14:paraId="59A33E19" w14:textId="77777777" w:rsidR="00694B58" w:rsidRDefault="00694B58" w:rsidP="00694B58">
      <w:pPr>
        <w:pStyle w:val="Textoindependiente"/>
        <w:spacing w:before="1"/>
        <w:rPr>
          <w:rFonts w:ascii="Verdana" w:hAnsi="Verdana"/>
        </w:rPr>
      </w:pPr>
    </w:p>
    <w:p w14:paraId="0FCFE8DD" w14:textId="77777777" w:rsidR="00694B58" w:rsidRDefault="00694B58" w:rsidP="00694B58">
      <w:pPr>
        <w:pStyle w:val="Textoindependiente"/>
        <w:spacing w:before="1"/>
        <w:rPr>
          <w:rFonts w:ascii="Verdana" w:hAnsi="Verdana"/>
        </w:rPr>
      </w:pPr>
    </w:p>
    <w:p w14:paraId="607AAC15" w14:textId="76F789DC" w:rsidR="00694B58" w:rsidRPr="00694B58" w:rsidRDefault="00694B58" w:rsidP="00694B58">
      <w:pPr>
        <w:pStyle w:val="Textoindependiente"/>
        <w:spacing w:before="1"/>
        <w:rPr>
          <w:rFonts w:ascii="Verdana" w:hAnsi="Verdana"/>
        </w:rPr>
      </w:pPr>
      <w:r w:rsidRPr="00694B58">
        <w:rPr>
          <w:rFonts w:ascii="Verdana" w:hAnsi="Verdana"/>
          <w:noProof/>
        </w:rPr>
        <w:lastRenderedPageBreak/>
        <w:drawing>
          <wp:anchor distT="0" distB="0" distL="0" distR="0" simplePos="0" relativeHeight="251659264" behindDoc="0" locked="0" layoutInCell="1" allowOverlap="1" wp14:anchorId="7845D789" wp14:editId="2A6A8F0B">
            <wp:simplePos x="0" y="0"/>
            <wp:positionH relativeFrom="page">
              <wp:posOffset>4291965</wp:posOffset>
            </wp:positionH>
            <wp:positionV relativeFrom="paragraph">
              <wp:posOffset>-1250</wp:posOffset>
            </wp:positionV>
            <wp:extent cx="2400300" cy="6159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2400300" cy="615950"/>
                    </a:xfrm>
                    <a:prstGeom prst="rect">
                      <a:avLst/>
                    </a:prstGeom>
                  </pic:spPr>
                </pic:pic>
              </a:graphicData>
            </a:graphic>
          </wp:anchor>
        </w:drawing>
      </w:r>
      <w:r w:rsidRPr="00694B58">
        <w:rPr>
          <w:rFonts w:ascii="Verdana" w:hAnsi="Verdana"/>
        </w:rPr>
        <w:t>Bogotá</w:t>
      </w:r>
      <w:r w:rsidRPr="00694B58">
        <w:rPr>
          <w:rFonts w:ascii="Verdana" w:hAnsi="Verdana"/>
          <w:spacing w:val="-6"/>
        </w:rPr>
        <w:t xml:space="preserve"> </w:t>
      </w:r>
      <w:r w:rsidRPr="00694B58">
        <w:rPr>
          <w:rFonts w:ascii="Verdana" w:hAnsi="Verdana"/>
        </w:rPr>
        <w:t>D.C.,</w:t>
      </w:r>
      <w:r w:rsidRPr="00694B58">
        <w:rPr>
          <w:rFonts w:ascii="Verdana" w:hAnsi="Verdana"/>
          <w:spacing w:val="-3"/>
        </w:rPr>
        <w:t xml:space="preserve"> </w:t>
      </w:r>
      <w:r w:rsidRPr="00694B58">
        <w:rPr>
          <w:rFonts w:ascii="Verdana" w:hAnsi="Verdana"/>
        </w:rPr>
        <w:t>16</w:t>
      </w:r>
      <w:r w:rsidRPr="00694B58">
        <w:rPr>
          <w:rFonts w:ascii="Verdana" w:hAnsi="Verdana"/>
          <w:spacing w:val="-3"/>
        </w:rPr>
        <w:t xml:space="preserve"> </w:t>
      </w:r>
      <w:r w:rsidRPr="00694B58">
        <w:rPr>
          <w:rFonts w:ascii="Verdana" w:hAnsi="Verdana"/>
        </w:rPr>
        <w:t>Junio</w:t>
      </w:r>
      <w:r w:rsidRPr="00694B58">
        <w:rPr>
          <w:rFonts w:ascii="Verdana" w:hAnsi="Verdana"/>
          <w:spacing w:val="-2"/>
        </w:rPr>
        <w:t xml:space="preserve"> </w:t>
      </w:r>
      <w:r w:rsidRPr="00694B58">
        <w:rPr>
          <w:rFonts w:ascii="Verdana" w:hAnsi="Verdana"/>
          <w:spacing w:val="-4"/>
        </w:rPr>
        <w:t>2026</w:t>
      </w:r>
    </w:p>
    <w:p w14:paraId="1E7A9A35" w14:textId="77777777" w:rsidR="00694B58" w:rsidRDefault="00694B58" w:rsidP="00871B59">
      <w:pPr>
        <w:spacing w:after="0" w:line="240" w:lineRule="auto"/>
        <w:jc w:val="both"/>
        <w:rPr>
          <w:rFonts w:ascii="Verdana" w:eastAsia="Calibri" w:hAnsi="Verdana" w:cs="Arial"/>
          <w:lang w:val="es-ES" w:eastAsia="es-ES"/>
        </w:rPr>
      </w:pPr>
    </w:p>
    <w:p w14:paraId="6740DD40" w14:textId="5E6331CE" w:rsidR="00871B59" w:rsidRDefault="00871B59" w:rsidP="00871B59">
      <w:pPr>
        <w:spacing w:after="0" w:line="240" w:lineRule="auto"/>
        <w:jc w:val="both"/>
        <w:rPr>
          <w:rFonts w:ascii="Verdana" w:eastAsia="Calibri" w:hAnsi="Verdana" w:cs="Arial"/>
          <w:lang w:val="es-ES" w:eastAsia="es-ES"/>
        </w:rPr>
      </w:pPr>
      <w:r w:rsidRPr="00B96799">
        <w:rPr>
          <w:rFonts w:ascii="Verdana" w:eastAsia="Calibri" w:hAnsi="Verdana" w:cs="Arial"/>
          <w:lang w:val="es-ES" w:eastAsia="es-ES"/>
        </w:rPr>
        <w:t>Señor</w:t>
      </w:r>
    </w:p>
    <w:p w14:paraId="7CE9959F" w14:textId="1A5FDE30" w:rsidR="002C777A" w:rsidRPr="002C777A" w:rsidRDefault="002C777A" w:rsidP="00871B59">
      <w:pPr>
        <w:spacing w:after="0" w:line="240" w:lineRule="auto"/>
        <w:jc w:val="both"/>
        <w:rPr>
          <w:rFonts w:ascii="Verdana" w:eastAsia="Calibri" w:hAnsi="Verdana" w:cs="Arial"/>
          <w:b/>
          <w:bCs/>
          <w:lang w:val="es-ES" w:eastAsia="es-ES"/>
        </w:rPr>
      </w:pPr>
      <w:r w:rsidRPr="002C777A">
        <w:rPr>
          <w:rFonts w:ascii="Verdana" w:eastAsia="Calibri" w:hAnsi="Verdana" w:cs="Arial"/>
          <w:b/>
          <w:bCs/>
          <w:lang w:val="es-ES" w:eastAsia="es-ES"/>
        </w:rPr>
        <w:t xml:space="preserve">Anderson Vergara Bustos </w:t>
      </w:r>
    </w:p>
    <w:p w14:paraId="28665DC0" w14:textId="63494C04" w:rsidR="002C777A" w:rsidRPr="00B96799" w:rsidRDefault="002C777A" w:rsidP="00871B59">
      <w:pPr>
        <w:spacing w:after="0" w:line="240" w:lineRule="auto"/>
        <w:jc w:val="both"/>
        <w:rPr>
          <w:rFonts w:ascii="Verdana" w:eastAsia="Calibri" w:hAnsi="Verdana" w:cs="Arial"/>
          <w:lang w:val="es-ES" w:eastAsia="es-ES"/>
        </w:rPr>
      </w:pPr>
      <w:hyperlink r:id="rId12" w:history="1">
        <w:r w:rsidRPr="00F15CD0">
          <w:rPr>
            <w:rStyle w:val="Hipervnculo"/>
            <w:rFonts w:ascii="Verdana" w:eastAsia="Calibri" w:hAnsi="Verdana" w:cs="Arial"/>
            <w:lang w:val="es-ES" w:eastAsia="es-ES"/>
          </w:rPr>
          <w:t>recursosaguasdelcapira@gmail.com</w:t>
        </w:r>
      </w:hyperlink>
      <w:r>
        <w:rPr>
          <w:rFonts w:ascii="Verdana" w:eastAsia="Calibri" w:hAnsi="Verdana" w:cs="Arial"/>
          <w:lang w:val="es-ES" w:eastAsia="es-ES"/>
        </w:rPr>
        <w:t xml:space="preserve"> </w:t>
      </w:r>
    </w:p>
    <w:p w14:paraId="3A9905E2" w14:textId="33B8D92F" w:rsidR="00871B59" w:rsidRPr="002C777A" w:rsidRDefault="002C777A" w:rsidP="00871B59">
      <w:pPr>
        <w:spacing w:after="0" w:line="240" w:lineRule="auto"/>
        <w:rPr>
          <w:rFonts w:ascii="Verdana" w:eastAsia="Calibri" w:hAnsi="Verdana" w:cs="Arial"/>
          <w:bCs/>
          <w:color w:val="000000"/>
          <w:lang w:val="es-ES_tradnl" w:eastAsia="es-ES_tradnl"/>
        </w:rPr>
      </w:pPr>
      <w:r w:rsidRPr="002C777A">
        <w:rPr>
          <w:rFonts w:ascii="Verdana" w:eastAsia="Calibri" w:hAnsi="Verdana" w:cs="Arial"/>
          <w:bCs/>
          <w:lang w:val="es-ES_tradnl" w:eastAsia="es-ES_tradnl"/>
        </w:rPr>
        <w:t xml:space="preserve">Guaduas, Cundinamarca </w:t>
      </w:r>
    </w:p>
    <w:p w14:paraId="1B83917C" w14:textId="77777777" w:rsidR="00871B59" w:rsidRPr="00593A5F" w:rsidRDefault="00871B59" w:rsidP="00871B59">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6095"/>
      </w:tblGrid>
      <w:tr w:rsidR="00871B59" w:rsidRPr="00593A5F" w14:paraId="4559E76C" w14:textId="77777777" w:rsidTr="00694B58">
        <w:trPr>
          <w:trHeight w:val="884"/>
        </w:trPr>
        <w:tc>
          <w:tcPr>
            <w:tcW w:w="2694" w:type="dxa"/>
          </w:tcPr>
          <w:p w14:paraId="2171087B" w14:textId="77777777" w:rsidR="00871B59" w:rsidRPr="00C00976" w:rsidRDefault="00871B59" w:rsidP="002607A7">
            <w:pPr>
              <w:jc w:val="both"/>
              <w:rPr>
                <w:rFonts w:ascii="Verdana" w:eastAsia="Calibri" w:hAnsi="Verdana" w:cs="Arial"/>
                <w:b/>
                <w:bCs/>
                <w:color w:val="7030A0"/>
                <w:lang w:val="es-ES_tradnl" w:eastAsia="es-ES_tradnl"/>
              </w:rPr>
            </w:pPr>
          </w:p>
        </w:tc>
        <w:tc>
          <w:tcPr>
            <w:tcW w:w="6095" w:type="dxa"/>
          </w:tcPr>
          <w:p w14:paraId="085F26A3" w14:textId="36261C30" w:rsidR="00871B59" w:rsidRPr="00C00976" w:rsidRDefault="00871B59" w:rsidP="002607A7">
            <w:pPr>
              <w:jc w:val="both"/>
              <w:rPr>
                <w:rFonts w:ascii="Verdana" w:eastAsia="Calibri" w:hAnsi="Verdana" w:cs="Arial"/>
                <w:b/>
                <w:bCs/>
                <w:color w:val="7030A0"/>
                <w:lang w:val="es-ES" w:eastAsia="es-ES"/>
              </w:rPr>
            </w:pPr>
            <w:r w:rsidRPr="00247BDE">
              <w:rPr>
                <w:rFonts w:ascii="Verdana" w:eastAsia="Calibri" w:hAnsi="Verdana" w:cs="Arial"/>
                <w:b/>
                <w:bCs/>
                <w:lang w:val="es-ES" w:eastAsia="es-ES"/>
              </w:rPr>
              <w:t>Conce</w:t>
            </w:r>
            <w:r w:rsidR="00B763C9">
              <w:rPr>
                <w:rFonts w:ascii="Verdana" w:eastAsia="Calibri" w:hAnsi="Verdana" w:cs="Arial"/>
                <w:b/>
                <w:bCs/>
                <w:lang w:val="es-ES" w:eastAsia="es-ES"/>
              </w:rPr>
              <w:t>p</w:t>
            </w:r>
            <w:r w:rsidRPr="00247BDE">
              <w:rPr>
                <w:rFonts w:ascii="Verdana" w:eastAsia="Calibri" w:hAnsi="Verdana" w:cs="Arial"/>
                <w:b/>
                <w:bCs/>
                <w:lang w:val="es-ES" w:eastAsia="es-ES"/>
              </w:rPr>
              <w:t xml:space="preserve">to C- </w:t>
            </w:r>
            <w:r w:rsidR="002C777A">
              <w:rPr>
                <w:rFonts w:ascii="Verdana" w:eastAsia="Calibri" w:hAnsi="Verdana" w:cs="Arial"/>
                <w:b/>
                <w:bCs/>
                <w:lang w:val="es-ES" w:eastAsia="es-ES"/>
              </w:rPr>
              <w:t>734</w:t>
            </w:r>
            <w:r w:rsidRPr="00C00976">
              <w:rPr>
                <w:rFonts w:ascii="Verdana" w:eastAsia="Calibri" w:hAnsi="Verdana" w:cs="Arial"/>
                <w:b/>
                <w:bCs/>
                <w:color w:val="7030A0"/>
                <w:lang w:val="es-ES" w:eastAsia="es-ES"/>
              </w:rPr>
              <w:t xml:space="preserve"> </w:t>
            </w:r>
            <w:r w:rsidRPr="00247BDE">
              <w:rPr>
                <w:rFonts w:ascii="Verdana" w:eastAsia="Calibri" w:hAnsi="Verdana" w:cs="Arial"/>
                <w:b/>
                <w:bCs/>
                <w:lang w:val="es-ES" w:eastAsia="es-ES"/>
              </w:rPr>
              <w:t>de</w:t>
            </w:r>
            <w:r w:rsidR="002C777A">
              <w:rPr>
                <w:rFonts w:ascii="Verdana" w:eastAsia="Calibri" w:hAnsi="Verdana" w:cs="Arial"/>
                <w:b/>
                <w:bCs/>
                <w:lang w:val="es-ES" w:eastAsia="es-ES"/>
              </w:rPr>
              <w:t xml:space="preserve"> 2026</w:t>
            </w:r>
          </w:p>
        </w:tc>
      </w:tr>
      <w:tr w:rsidR="00871B59" w:rsidRPr="00593A5F" w14:paraId="3177C97C" w14:textId="77777777" w:rsidTr="00694B58">
        <w:trPr>
          <w:trHeight w:val="884"/>
        </w:trPr>
        <w:tc>
          <w:tcPr>
            <w:tcW w:w="2694" w:type="dxa"/>
          </w:tcPr>
          <w:p w14:paraId="250FFA85" w14:textId="77777777" w:rsidR="00871B59" w:rsidRPr="00D45BE8" w:rsidRDefault="00871B59" w:rsidP="002607A7">
            <w:pPr>
              <w:jc w:val="both"/>
              <w:rPr>
                <w:rFonts w:ascii="Verdana" w:eastAsia="Calibri" w:hAnsi="Verdana" w:cs="Arial"/>
                <w:color w:val="000000"/>
                <w:lang w:val="es-ES_tradnl" w:eastAsia="es-ES_tradnl"/>
              </w:rPr>
            </w:pPr>
            <w:r w:rsidRPr="00D45BE8">
              <w:rPr>
                <w:rFonts w:ascii="Verdana" w:eastAsia="Calibri" w:hAnsi="Verdana" w:cs="Arial"/>
                <w:b/>
                <w:color w:val="000000"/>
                <w:lang w:val="es-ES_tradnl" w:eastAsia="es-ES_tradnl"/>
              </w:rPr>
              <w:t>Temas:</w:t>
            </w:r>
            <w:r w:rsidRPr="00D45BE8">
              <w:rPr>
                <w:rFonts w:ascii="Verdana" w:eastAsia="Calibri" w:hAnsi="Verdana" w:cs="Arial"/>
                <w:color w:val="000000"/>
                <w:lang w:val="es-ES_tradnl" w:eastAsia="es-ES_tradnl"/>
              </w:rPr>
              <w:t xml:space="preserve">                   </w:t>
            </w:r>
          </w:p>
        </w:tc>
        <w:tc>
          <w:tcPr>
            <w:tcW w:w="6095" w:type="dxa"/>
          </w:tcPr>
          <w:p w14:paraId="710A8373" w14:textId="396E46DF" w:rsidR="00871B59" w:rsidRPr="00D45BE8" w:rsidRDefault="00D45BE8" w:rsidP="00C85F98">
            <w:pPr>
              <w:jc w:val="both"/>
              <w:rPr>
                <w:rFonts w:ascii="Verdana" w:eastAsia="Calibri" w:hAnsi="Verdana" w:cs="Arial"/>
                <w:color w:val="7030A0"/>
                <w:lang w:val="es-ES" w:eastAsia="es-ES"/>
              </w:rPr>
            </w:pPr>
            <w:r w:rsidRPr="00D45BE8">
              <w:rPr>
                <w:rFonts w:ascii="Verdana" w:hAnsi="Verdana"/>
              </w:rPr>
              <w:t xml:space="preserve">LEY DE GARANTÍAS ELECTORALES ‒ Finalidad / LEY DE GARANTÍAS ELECTORALES ‒ Tipos de restricciones ‒ Ámbito temporal </w:t>
            </w:r>
            <w:r w:rsidR="00C85F98">
              <w:rPr>
                <w:rFonts w:ascii="Verdana" w:hAnsi="Verdana"/>
              </w:rPr>
              <w:t xml:space="preserve">- </w:t>
            </w:r>
            <w:r w:rsidRPr="00D45BE8">
              <w:rPr>
                <w:rFonts w:ascii="Verdana" w:hAnsi="Verdana"/>
              </w:rPr>
              <w:t>Prohibición artículo 33 – Contratación directa – Alcance</w:t>
            </w:r>
            <w:r w:rsidR="00C85F98">
              <w:rPr>
                <w:rFonts w:ascii="Verdana" w:hAnsi="Verdana"/>
              </w:rPr>
              <w:t xml:space="preserve"> </w:t>
            </w:r>
            <w:r w:rsidRPr="00D45BE8">
              <w:rPr>
                <w:rFonts w:ascii="Verdana" w:hAnsi="Verdana"/>
              </w:rPr>
              <w:t>– Destinatarios</w:t>
            </w:r>
            <w:r w:rsidR="00C85F98">
              <w:rPr>
                <w:rFonts w:ascii="Verdana" w:hAnsi="Verdana"/>
              </w:rPr>
              <w:t xml:space="preserve"> </w:t>
            </w:r>
            <w:r w:rsidRPr="00D45BE8">
              <w:rPr>
                <w:rFonts w:ascii="Verdana" w:hAnsi="Verdana"/>
              </w:rPr>
              <w:t>– Excepciones</w:t>
            </w:r>
            <w:r w:rsidR="00C85F98">
              <w:rPr>
                <w:rFonts w:ascii="Verdana" w:hAnsi="Verdana"/>
              </w:rPr>
              <w:t xml:space="preserve"> </w:t>
            </w:r>
            <w:r w:rsidRPr="00D45BE8">
              <w:rPr>
                <w:rFonts w:ascii="Verdana" w:hAnsi="Verdana"/>
              </w:rPr>
              <w:t>– Empresas de Servicios Públicos</w:t>
            </w:r>
          </w:p>
          <w:p w14:paraId="3B61C964" w14:textId="77777777" w:rsidR="00871B59" w:rsidRPr="00D45BE8" w:rsidRDefault="00871B59" w:rsidP="002607A7">
            <w:pPr>
              <w:spacing w:line="276" w:lineRule="auto"/>
              <w:jc w:val="both"/>
              <w:rPr>
                <w:rFonts w:ascii="Verdana" w:eastAsia="Calibri" w:hAnsi="Verdana" w:cs="Arial"/>
                <w:lang w:val="es-ES" w:eastAsia="es-ES"/>
              </w:rPr>
            </w:pPr>
          </w:p>
        </w:tc>
      </w:tr>
      <w:tr w:rsidR="00871B59" w:rsidRPr="00593A5F" w14:paraId="0ED52B97" w14:textId="77777777" w:rsidTr="00694B58">
        <w:tc>
          <w:tcPr>
            <w:tcW w:w="2694" w:type="dxa"/>
          </w:tcPr>
          <w:p w14:paraId="5B7970D0" w14:textId="77777777" w:rsidR="00871B59" w:rsidRPr="002C777A" w:rsidRDefault="00871B59" w:rsidP="002607A7">
            <w:pPr>
              <w:jc w:val="both"/>
              <w:rPr>
                <w:rFonts w:ascii="Verdana" w:eastAsia="Calibri" w:hAnsi="Verdana" w:cs="Arial"/>
                <w:b/>
                <w:color w:val="000000" w:themeColor="text1"/>
                <w:lang w:val="es-ES_tradnl" w:eastAsia="es-ES_tradnl"/>
              </w:rPr>
            </w:pPr>
            <w:r w:rsidRPr="002C777A">
              <w:rPr>
                <w:rFonts w:ascii="Verdana" w:eastAsia="Calibri" w:hAnsi="Verdana" w:cs="Arial"/>
                <w:b/>
                <w:color w:val="000000" w:themeColor="text1"/>
                <w:lang w:val="es-ES_tradnl" w:eastAsia="es-ES_tradnl"/>
              </w:rPr>
              <w:t>Radicación:</w:t>
            </w:r>
            <w:r w:rsidRPr="002C777A">
              <w:rPr>
                <w:rFonts w:ascii="Verdana" w:eastAsia="Calibri" w:hAnsi="Verdana" w:cs="Arial"/>
                <w:color w:val="000000" w:themeColor="text1"/>
                <w:lang w:val="es-ES_tradnl" w:eastAsia="es-ES_tradnl"/>
              </w:rPr>
              <w:t xml:space="preserve">               </w:t>
            </w:r>
          </w:p>
        </w:tc>
        <w:tc>
          <w:tcPr>
            <w:tcW w:w="6095" w:type="dxa"/>
          </w:tcPr>
          <w:p w14:paraId="5CE9C270" w14:textId="10272868" w:rsidR="00871B59" w:rsidRPr="002C777A" w:rsidRDefault="00871B59" w:rsidP="002607A7">
            <w:pPr>
              <w:jc w:val="both"/>
              <w:rPr>
                <w:rFonts w:ascii="Verdana" w:eastAsia="Calibri" w:hAnsi="Verdana" w:cs="Arial"/>
                <w:color w:val="000000" w:themeColor="text1"/>
                <w:lang w:val="es-ES_tradnl" w:eastAsia="es-ES_tradnl"/>
              </w:rPr>
            </w:pPr>
            <w:r w:rsidRPr="002C777A">
              <w:rPr>
                <w:rFonts w:ascii="Verdana" w:eastAsia="Calibri" w:hAnsi="Verdana" w:cs="Arial"/>
                <w:color w:val="000000" w:themeColor="text1"/>
                <w:lang w:val="es-ES_tradnl" w:eastAsia="es-ES_tradnl"/>
              </w:rPr>
              <w:t xml:space="preserve">Respuesta a consulta con radicado No. </w:t>
            </w:r>
            <w:r w:rsidR="002C777A" w:rsidRPr="002C777A">
              <w:rPr>
                <w:rFonts w:ascii="Verdana" w:hAnsi="Verdana"/>
                <w:color w:val="000000" w:themeColor="text1"/>
                <w:shd w:val="clear" w:color="auto" w:fill="FFFFFF"/>
              </w:rPr>
              <w:t>1_2026_05_04_005990</w:t>
            </w:r>
          </w:p>
        </w:tc>
      </w:tr>
    </w:tbl>
    <w:p w14:paraId="22F5FEB9" w14:textId="77777777" w:rsidR="00871B59" w:rsidRPr="00593A5F" w:rsidRDefault="00871B59" w:rsidP="00871B59">
      <w:pPr>
        <w:spacing w:after="0" w:line="240" w:lineRule="auto"/>
        <w:jc w:val="both"/>
        <w:rPr>
          <w:rFonts w:ascii="Verdana" w:eastAsia="Calibri" w:hAnsi="Verdana" w:cs="Arial"/>
          <w:color w:val="000000"/>
          <w:lang w:val="es-ES_tradnl" w:eastAsia="es-ES_tradnl"/>
        </w:rPr>
      </w:pPr>
    </w:p>
    <w:p w14:paraId="5239C1E4" w14:textId="77777777" w:rsidR="00871B59" w:rsidRPr="00593A5F" w:rsidRDefault="00871B59" w:rsidP="00871B59">
      <w:pPr>
        <w:spacing w:after="0" w:line="240" w:lineRule="auto"/>
        <w:jc w:val="both"/>
        <w:rPr>
          <w:rFonts w:ascii="Verdana" w:eastAsia="Calibri" w:hAnsi="Verdana" w:cs="Arial"/>
          <w:color w:val="000000"/>
          <w:lang w:val="es-ES_tradnl" w:eastAsia="es-ES_tradnl"/>
        </w:rPr>
      </w:pPr>
    </w:p>
    <w:p w14:paraId="0CD03AFF" w14:textId="61C8FDC1" w:rsidR="00871B59" w:rsidRPr="002C777A" w:rsidRDefault="00871B59" w:rsidP="00871B59">
      <w:pPr>
        <w:spacing w:after="0" w:line="276" w:lineRule="auto"/>
        <w:jc w:val="both"/>
        <w:rPr>
          <w:rFonts w:ascii="Verdana" w:eastAsia="Calibri" w:hAnsi="Verdana" w:cs="Arial"/>
          <w:color w:val="000000" w:themeColor="text1"/>
          <w:lang w:val="es-ES" w:eastAsia="es-ES"/>
        </w:rPr>
      </w:pPr>
      <w:r w:rsidRPr="002C777A">
        <w:rPr>
          <w:rFonts w:ascii="Verdana" w:eastAsia="Calibri" w:hAnsi="Verdana" w:cs="Arial"/>
          <w:color w:val="000000" w:themeColor="text1"/>
          <w:lang w:val="es-ES" w:eastAsia="es-ES"/>
        </w:rPr>
        <w:t>Estimado señor</w:t>
      </w:r>
      <w:r w:rsidR="002C777A" w:rsidRPr="002C777A">
        <w:rPr>
          <w:rFonts w:ascii="Verdana" w:eastAsia="Calibri" w:hAnsi="Verdana" w:cs="Arial"/>
          <w:color w:val="000000" w:themeColor="text1"/>
          <w:lang w:val="es-ES" w:eastAsia="es-ES"/>
        </w:rPr>
        <w:t xml:space="preserve"> Vergara:</w:t>
      </w:r>
    </w:p>
    <w:p w14:paraId="2B740315" w14:textId="77777777" w:rsidR="00871B59" w:rsidRDefault="00871B59" w:rsidP="00871B59">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1CA70A2F" w14:textId="1308CF9F" w:rsidR="00871B59" w:rsidRPr="00B763C9" w:rsidRDefault="00871B59" w:rsidP="00871B59">
      <w:pPr>
        <w:spacing w:after="0" w:line="276" w:lineRule="auto"/>
        <w:jc w:val="both"/>
        <w:rPr>
          <w:rFonts w:ascii="Verdana" w:eastAsia="Calibri" w:hAnsi="Verdana" w:cs="Arial"/>
          <w:color w:val="000000" w:themeColor="text1"/>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593A5F">
        <w:rPr>
          <w:rFonts w:ascii="Verdana" w:hAnsi="Verdana" w:cs="Arial"/>
        </w:rPr>
        <w:t xml:space="preserve">así como lo establecido en </w:t>
      </w:r>
      <w:r>
        <w:rPr>
          <w:rFonts w:ascii="Verdana" w:hAnsi="Verdana" w:cs="Arial"/>
        </w:rPr>
        <w:t xml:space="preserve">el artículo 4 de </w:t>
      </w:r>
      <w:r w:rsidRPr="00593A5F">
        <w:rPr>
          <w:rFonts w:ascii="Verdana" w:hAnsi="Verdana" w:cs="Arial"/>
        </w:rPr>
        <w:t xml:space="preserve">la Resolución 1707 de 2018 expedida por esta Entidad, </w:t>
      </w:r>
      <w:r w:rsidRPr="00593A5F">
        <w:rPr>
          <w:rFonts w:ascii="Verdana" w:eastAsia="Calibri" w:hAnsi="Verdana" w:cs="Arial"/>
          <w:color w:val="000000" w:themeColor="text1"/>
          <w:lang w:val="es-ES" w:eastAsia="es-ES"/>
        </w:rPr>
        <w:t>la Agencia Nacional de Contratación</w:t>
      </w:r>
      <w:r w:rsidRPr="00B763C9">
        <w:rPr>
          <w:rFonts w:ascii="Verdana" w:eastAsia="Calibri" w:hAnsi="Verdana" w:cs="Arial"/>
          <w:color w:val="000000" w:themeColor="text1"/>
          <w:lang w:val="es-ES" w:eastAsia="es-ES"/>
        </w:rPr>
        <w:t xml:space="preserve"> Pública – Colombia Compra Eficiente– responde su solicitud de consulta de fecha</w:t>
      </w:r>
      <w:r w:rsidR="00B763C9" w:rsidRPr="00B763C9">
        <w:rPr>
          <w:rFonts w:ascii="Verdana" w:eastAsia="Calibri" w:hAnsi="Verdana" w:cs="Arial"/>
          <w:color w:val="000000" w:themeColor="text1"/>
          <w:lang w:val="es-ES" w:eastAsia="es-ES"/>
        </w:rPr>
        <w:t xml:space="preserve"> 04</w:t>
      </w:r>
      <w:r w:rsidRPr="00B763C9">
        <w:rPr>
          <w:rFonts w:ascii="Verdana" w:eastAsia="Calibri" w:hAnsi="Verdana" w:cs="Arial"/>
          <w:color w:val="000000" w:themeColor="text1"/>
          <w:lang w:val="es-ES" w:eastAsia="es-ES"/>
        </w:rPr>
        <w:t xml:space="preserve"> de </w:t>
      </w:r>
      <w:r w:rsidR="00B763C9" w:rsidRPr="00B763C9">
        <w:rPr>
          <w:rFonts w:ascii="Verdana" w:eastAsia="Calibri" w:hAnsi="Verdana" w:cs="Arial"/>
          <w:color w:val="000000" w:themeColor="text1"/>
          <w:lang w:val="es-ES" w:eastAsia="es-ES"/>
        </w:rPr>
        <w:t>mayo</w:t>
      </w:r>
      <w:r w:rsidRPr="00B763C9">
        <w:rPr>
          <w:rFonts w:ascii="Verdana" w:eastAsia="Calibri" w:hAnsi="Verdana" w:cs="Arial"/>
          <w:color w:val="000000" w:themeColor="text1"/>
          <w:lang w:val="es-ES" w:eastAsia="es-ES"/>
        </w:rPr>
        <w:t xml:space="preserve"> de 20</w:t>
      </w:r>
      <w:r w:rsidR="00B763C9" w:rsidRPr="00B763C9">
        <w:rPr>
          <w:rFonts w:ascii="Verdana" w:eastAsia="Calibri" w:hAnsi="Verdana" w:cs="Arial"/>
          <w:color w:val="000000" w:themeColor="text1"/>
          <w:lang w:val="es-ES" w:eastAsia="es-ES"/>
        </w:rPr>
        <w:t>26</w:t>
      </w:r>
      <w:r w:rsidRPr="00B763C9">
        <w:rPr>
          <w:rFonts w:ascii="Verdana" w:eastAsia="Calibri" w:hAnsi="Verdana" w:cs="Arial"/>
          <w:color w:val="000000" w:themeColor="text1"/>
          <w:lang w:val="es-ES" w:eastAsia="es-ES"/>
        </w:rPr>
        <w:t>, en la cual manifiesta lo siguiente:</w:t>
      </w:r>
    </w:p>
    <w:p w14:paraId="4F3E6079" w14:textId="77777777" w:rsidR="00871B59" w:rsidRPr="00272A7B" w:rsidRDefault="00871B59" w:rsidP="00871B59">
      <w:pPr>
        <w:pStyle w:val="Prrafodelista"/>
        <w:tabs>
          <w:tab w:val="left" w:pos="142"/>
          <w:tab w:val="left" w:pos="284"/>
        </w:tabs>
        <w:spacing w:line="276" w:lineRule="auto"/>
        <w:ind w:left="0"/>
        <w:jc w:val="both"/>
        <w:rPr>
          <w:rFonts w:ascii="Verdana" w:eastAsia="Century Gothic" w:hAnsi="Verdana" w:cs="Century Gothic"/>
          <w:b/>
          <w:bCs/>
          <w:lang w:val="es-ES"/>
        </w:rPr>
      </w:pPr>
    </w:p>
    <w:p w14:paraId="2707F307" w14:textId="58EED735" w:rsidR="00871B59" w:rsidRPr="006258C5" w:rsidRDefault="006258C5" w:rsidP="00C85F98">
      <w:pPr>
        <w:spacing w:after="0" w:line="240" w:lineRule="auto"/>
        <w:ind w:left="709" w:right="709"/>
        <w:jc w:val="both"/>
        <w:rPr>
          <w:rFonts w:ascii="Verdana" w:eastAsia="Century Gothic" w:hAnsi="Verdana" w:cs="Century Gothic"/>
          <w:color w:val="7030A0"/>
          <w:sz w:val="20"/>
          <w:szCs w:val="20"/>
          <w:lang w:val="es-ES"/>
        </w:rPr>
      </w:pPr>
      <w:r>
        <w:rPr>
          <w:rFonts w:ascii="Verdana" w:hAnsi="Verdana"/>
          <w:sz w:val="20"/>
          <w:szCs w:val="20"/>
          <w:lang w:val="es-ES"/>
        </w:rPr>
        <w:t>S</w:t>
      </w:r>
      <w:proofErr w:type="spellStart"/>
      <w:r w:rsidRPr="006258C5">
        <w:rPr>
          <w:rFonts w:ascii="Verdana" w:hAnsi="Verdana"/>
          <w:sz w:val="20"/>
          <w:szCs w:val="20"/>
        </w:rPr>
        <w:t>e</w:t>
      </w:r>
      <w:proofErr w:type="spellEnd"/>
      <w:r w:rsidRPr="006258C5">
        <w:rPr>
          <w:rFonts w:ascii="Verdana" w:hAnsi="Verdana"/>
          <w:sz w:val="20"/>
          <w:szCs w:val="20"/>
        </w:rPr>
        <w:t xml:space="preserve"> solicita amablemente se sirvan conceptuar si la </w:t>
      </w:r>
      <w:r w:rsidR="00DA67E2" w:rsidRPr="006258C5">
        <w:rPr>
          <w:rFonts w:ascii="Verdana" w:hAnsi="Verdana"/>
          <w:sz w:val="20"/>
          <w:szCs w:val="20"/>
        </w:rPr>
        <w:t>celebración</w:t>
      </w:r>
      <w:r w:rsidRPr="006258C5">
        <w:rPr>
          <w:rFonts w:ascii="Verdana" w:hAnsi="Verdana"/>
          <w:sz w:val="20"/>
          <w:szCs w:val="20"/>
        </w:rPr>
        <w:t xml:space="preserve"> de contratos de aprendizaje por parte de una empresa de servicios </w:t>
      </w:r>
      <w:r w:rsidR="00DA67E2" w:rsidRPr="006258C5">
        <w:rPr>
          <w:rFonts w:ascii="Verdana" w:hAnsi="Verdana"/>
          <w:sz w:val="20"/>
          <w:szCs w:val="20"/>
        </w:rPr>
        <w:t>públicos</w:t>
      </w:r>
      <w:r w:rsidRPr="006258C5">
        <w:rPr>
          <w:rFonts w:ascii="Verdana" w:hAnsi="Verdana"/>
          <w:sz w:val="20"/>
          <w:szCs w:val="20"/>
        </w:rPr>
        <w:t xml:space="preserve"> domiciliarios de </w:t>
      </w:r>
      <w:r w:rsidR="00DA67E2" w:rsidRPr="006258C5">
        <w:rPr>
          <w:rFonts w:ascii="Verdana" w:hAnsi="Verdana"/>
          <w:sz w:val="20"/>
          <w:szCs w:val="20"/>
        </w:rPr>
        <w:t>carácter</w:t>
      </w:r>
      <w:r w:rsidRPr="006258C5">
        <w:rPr>
          <w:rFonts w:ascii="Verdana" w:hAnsi="Verdana"/>
          <w:sz w:val="20"/>
          <w:szCs w:val="20"/>
        </w:rPr>
        <w:t xml:space="preserve"> oficial se encuentra sujeta a las restricciones previstas en la Ley de </w:t>
      </w:r>
      <w:r w:rsidR="00DA67E2" w:rsidRPr="006258C5">
        <w:rPr>
          <w:rFonts w:ascii="Verdana" w:hAnsi="Verdana"/>
          <w:sz w:val="20"/>
          <w:szCs w:val="20"/>
        </w:rPr>
        <w:t>Garantías</w:t>
      </w:r>
      <w:r w:rsidRPr="006258C5">
        <w:rPr>
          <w:rFonts w:ascii="Verdana" w:hAnsi="Verdana"/>
          <w:sz w:val="20"/>
          <w:szCs w:val="20"/>
        </w:rPr>
        <w:t xml:space="preserve"> Electorales particularmente en lo relacionado con la </w:t>
      </w:r>
      <w:r w:rsidR="008D778A" w:rsidRPr="006258C5">
        <w:rPr>
          <w:rFonts w:ascii="Verdana" w:hAnsi="Verdana"/>
          <w:sz w:val="20"/>
          <w:szCs w:val="20"/>
        </w:rPr>
        <w:t>prohibición</w:t>
      </w:r>
      <w:r w:rsidRPr="006258C5">
        <w:rPr>
          <w:rFonts w:ascii="Verdana" w:hAnsi="Verdana"/>
          <w:sz w:val="20"/>
          <w:szCs w:val="20"/>
        </w:rPr>
        <w:t xml:space="preserve"> de celebrar contratos durante el periodo preelectoral, o si, por el contrario, dicha modalidad de </w:t>
      </w:r>
      <w:r w:rsidR="008D778A" w:rsidRPr="006258C5">
        <w:rPr>
          <w:rFonts w:ascii="Verdana" w:hAnsi="Verdana"/>
          <w:sz w:val="20"/>
          <w:szCs w:val="20"/>
        </w:rPr>
        <w:t>vinculación</w:t>
      </w:r>
      <w:r w:rsidRPr="006258C5">
        <w:rPr>
          <w:rFonts w:ascii="Verdana" w:hAnsi="Verdana"/>
          <w:sz w:val="20"/>
          <w:szCs w:val="20"/>
        </w:rPr>
        <w:t xml:space="preserve"> se </w:t>
      </w:r>
      <w:r w:rsidR="008D778A" w:rsidRPr="006258C5">
        <w:rPr>
          <w:rFonts w:ascii="Verdana" w:hAnsi="Verdana"/>
          <w:sz w:val="20"/>
          <w:szCs w:val="20"/>
        </w:rPr>
        <w:t>exceptúa</w:t>
      </w:r>
      <w:r w:rsidRPr="006258C5">
        <w:rPr>
          <w:rFonts w:ascii="Verdana" w:hAnsi="Verdana"/>
          <w:sz w:val="20"/>
          <w:szCs w:val="20"/>
        </w:rPr>
        <w:t xml:space="preserve"> de tales limitaciones, en </w:t>
      </w:r>
      <w:r w:rsidR="008D778A" w:rsidRPr="006258C5">
        <w:rPr>
          <w:rFonts w:ascii="Verdana" w:hAnsi="Verdana"/>
          <w:sz w:val="20"/>
          <w:szCs w:val="20"/>
        </w:rPr>
        <w:t>razón</w:t>
      </w:r>
      <w:r w:rsidRPr="006258C5">
        <w:rPr>
          <w:rFonts w:ascii="Verdana" w:hAnsi="Verdana"/>
          <w:sz w:val="20"/>
          <w:szCs w:val="20"/>
        </w:rPr>
        <w:t xml:space="preserve"> de su naturaleza </w:t>
      </w:r>
      <w:r w:rsidR="008D778A" w:rsidRPr="006258C5">
        <w:rPr>
          <w:rFonts w:ascii="Verdana" w:hAnsi="Verdana"/>
          <w:sz w:val="20"/>
          <w:szCs w:val="20"/>
        </w:rPr>
        <w:t>jurídica</w:t>
      </w:r>
      <w:r w:rsidRPr="006258C5">
        <w:rPr>
          <w:rFonts w:ascii="Verdana" w:hAnsi="Verdana"/>
          <w:sz w:val="20"/>
          <w:szCs w:val="20"/>
        </w:rPr>
        <w:t xml:space="preserve"> y finalidad formativa.</w:t>
      </w:r>
    </w:p>
    <w:p w14:paraId="77030AB0" w14:textId="77777777" w:rsidR="00871B59" w:rsidRPr="00593A5F" w:rsidRDefault="00871B59" w:rsidP="00871B59">
      <w:pPr>
        <w:pStyle w:val="Prrafodelista"/>
        <w:tabs>
          <w:tab w:val="left" w:pos="142"/>
          <w:tab w:val="left" w:pos="284"/>
        </w:tabs>
        <w:spacing w:line="276" w:lineRule="auto"/>
        <w:ind w:left="0"/>
        <w:jc w:val="both"/>
        <w:rPr>
          <w:rFonts w:ascii="Verdana" w:eastAsia="Century Gothic" w:hAnsi="Verdana" w:cs="Century Gothic"/>
          <w:b/>
          <w:bCs/>
          <w:lang w:val="es-ES"/>
        </w:rPr>
      </w:pPr>
    </w:p>
    <w:p w14:paraId="4ABDF627" w14:textId="77777777" w:rsidR="00871B59" w:rsidRDefault="00871B59" w:rsidP="00871B59">
      <w:pPr>
        <w:spacing w:after="120" w:line="276" w:lineRule="auto"/>
        <w:ind w:firstLine="709"/>
        <w:jc w:val="both"/>
        <w:rPr>
          <w:rFonts w:ascii="Verdana" w:eastAsia="Calibri" w:hAnsi="Verdana" w:cs="Arial"/>
          <w:color w:val="000000"/>
          <w:szCs w:val="24"/>
          <w:lang w:val="es-ES_tradnl" w:eastAsia="es-ES_tradnl"/>
        </w:rPr>
      </w:pPr>
      <w:r w:rsidRPr="00593A5F">
        <w:rPr>
          <w:rFonts w:ascii="Verdana" w:eastAsia="Calibri" w:hAnsi="Verdana" w:cs="Arial"/>
          <w:color w:val="000000"/>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74990584" w14:textId="0AE6E3A1" w:rsidR="00871B59" w:rsidRDefault="00871B59" w:rsidP="00871B59">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particular</w:t>
      </w:r>
      <w:r>
        <w:rPr>
          <w:rFonts w:ascii="Verdana" w:eastAsia="Calibri" w:hAnsi="Verdana" w:cs="Arial"/>
          <w:color w:val="000000"/>
          <w:lang w:val="es-ES" w:eastAsia="es-ES"/>
        </w:rPr>
        <w:t>es</w:t>
      </w:r>
      <w:r w:rsidRPr="00593A5F">
        <w:rPr>
          <w:rFonts w:ascii="Verdana" w:eastAsia="Calibri" w:hAnsi="Verdana" w:cs="Arial"/>
          <w:color w:val="000000"/>
          <w:lang w:val="es-ES" w:eastAsia="es-ES"/>
        </w:rPr>
        <w:t xml:space="preserve"> y concreta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mencionada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en su petición, pero haciendo unas consideraciones sobre las normas generales relacionadas con </w:t>
      </w:r>
      <w:r>
        <w:rPr>
          <w:rFonts w:ascii="Verdana" w:eastAsia="Calibri" w:hAnsi="Verdana" w:cs="Arial"/>
          <w:color w:val="000000"/>
          <w:lang w:val="es-ES" w:eastAsia="es-ES"/>
        </w:rPr>
        <w:t>el 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p>
    <w:p w14:paraId="2D758081" w14:textId="77777777" w:rsidR="00871B59" w:rsidRPr="00593A5F" w:rsidRDefault="00871B59" w:rsidP="00871B59">
      <w:pPr>
        <w:spacing w:after="0" w:line="276" w:lineRule="auto"/>
        <w:ind w:firstLine="709"/>
        <w:jc w:val="both"/>
        <w:rPr>
          <w:rFonts w:ascii="Verdana" w:eastAsia="Calibri" w:hAnsi="Verdana" w:cs="Arial"/>
          <w:color w:val="000000"/>
          <w:lang w:val="es-ES" w:eastAsia="es-ES"/>
        </w:rPr>
      </w:pPr>
    </w:p>
    <w:p w14:paraId="0FCFAFC1" w14:textId="77777777" w:rsidR="00871B59" w:rsidRPr="00593A5F" w:rsidRDefault="00871B59" w:rsidP="00871B59">
      <w:pPr>
        <w:pStyle w:val="Prrafodelista"/>
        <w:numPr>
          <w:ilvl w:val="0"/>
          <w:numId w:val="4"/>
        </w:numPr>
        <w:tabs>
          <w:tab w:val="left" w:pos="142"/>
          <w:tab w:val="left" w:pos="284"/>
        </w:tabs>
        <w:spacing w:after="0" w:line="276" w:lineRule="auto"/>
        <w:ind w:left="0" w:firstLine="0"/>
        <w:jc w:val="both"/>
        <w:rPr>
          <w:rFonts w:ascii="Verdana" w:eastAsia="Century Gothic" w:hAnsi="Verdana" w:cs="Century Gothic"/>
          <w:b/>
          <w:bCs/>
          <w:lang w:val="es-ES"/>
        </w:rPr>
      </w:pPr>
      <w:r w:rsidRPr="00593A5F">
        <w:rPr>
          <w:rFonts w:ascii="Verdana" w:eastAsia="Century Gothic" w:hAnsi="Verdana" w:cs="Century Gothic"/>
          <w:b/>
          <w:bCs/>
          <w:lang w:val="es-ES"/>
        </w:rPr>
        <w:t>Problema planteado:</w:t>
      </w:r>
    </w:p>
    <w:p w14:paraId="2D963F41" w14:textId="77777777" w:rsidR="00871B59" w:rsidRPr="00593A5F" w:rsidRDefault="00871B59" w:rsidP="00871B59">
      <w:pPr>
        <w:tabs>
          <w:tab w:val="left" w:pos="426"/>
        </w:tabs>
        <w:spacing w:after="0" w:line="276" w:lineRule="auto"/>
        <w:jc w:val="both"/>
        <w:rPr>
          <w:rFonts w:ascii="Verdana" w:eastAsia="Century Gothic" w:hAnsi="Verdana" w:cs="Century Gothic"/>
          <w:lang w:val="es-ES"/>
        </w:rPr>
      </w:pPr>
    </w:p>
    <w:p w14:paraId="780566AB" w14:textId="27800072" w:rsidR="00871B59" w:rsidRPr="00460581" w:rsidRDefault="00871B59" w:rsidP="1F9252E4">
      <w:pPr>
        <w:spacing w:after="0" w:line="276" w:lineRule="auto"/>
        <w:jc w:val="both"/>
        <w:rPr>
          <w:rFonts w:ascii="Verdana" w:eastAsia="Century Gothic" w:hAnsi="Verdana" w:cs="Century Gothic"/>
        </w:rPr>
      </w:pPr>
      <w:r w:rsidRPr="00460581">
        <w:rPr>
          <w:rFonts w:ascii="Verdana" w:eastAsia="Century Gothic" w:hAnsi="Verdana" w:cs="Century Gothic"/>
        </w:rPr>
        <w:t xml:space="preserve">De acuerdo con el contenido de su solicitud, esta Agencia resolverá el siguiente problemas jurídico: </w:t>
      </w:r>
      <w:r w:rsidR="00460581" w:rsidRPr="00460581">
        <w:rPr>
          <w:rFonts w:ascii="Verdana" w:hAnsi="Verdana"/>
        </w:rPr>
        <w:t>¿La celebración de contratos de aprendizaje por parte de una Empresa de Servicios Públicos domiciliarios de carácter oficial se encuentra sujeta a las prohibiciones establecidas en el artículo 33 de la Ley 996 de 2005 relativas a la restricción de contratación directa?</w:t>
      </w:r>
    </w:p>
    <w:p w14:paraId="0240A7F5" w14:textId="77777777" w:rsidR="00871B59" w:rsidRPr="00593A5F" w:rsidRDefault="00871B59" w:rsidP="00871B59">
      <w:pPr>
        <w:spacing w:after="0" w:line="276" w:lineRule="auto"/>
        <w:jc w:val="both"/>
        <w:rPr>
          <w:rFonts w:ascii="Verdana" w:eastAsia="Calibri" w:hAnsi="Verdana" w:cs="Arial"/>
          <w:color w:val="7030A0"/>
          <w:lang w:val="es-ES"/>
        </w:rPr>
      </w:pPr>
    </w:p>
    <w:p w14:paraId="057822D2" w14:textId="77777777" w:rsidR="00871B59" w:rsidRPr="00593A5F" w:rsidRDefault="00871B59" w:rsidP="00871B59">
      <w:pPr>
        <w:pStyle w:val="Prrafodelista"/>
        <w:numPr>
          <w:ilvl w:val="0"/>
          <w:numId w:val="4"/>
        </w:numPr>
        <w:tabs>
          <w:tab w:val="left" w:pos="142"/>
          <w:tab w:val="left" w:pos="284"/>
        </w:tabs>
        <w:spacing w:after="0" w:line="276" w:lineRule="auto"/>
        <w:ind w:left="0" w:firstLine="0"/>
        <w:contextualSpacing w:val="0"/>
        <w:jc w:val="both"/>
        <w:rPr>
          <w:rFonts w:ascii="Verdana" w:eastAsia="Century Gothic" w:hAnsi="Verdana" w:cs="Century Gothic"/>
          <w:b/>
          <w:bCs/>
          <w:lang w:val="es-ES"/>
        </w:rPr>
      </w:pPr>
      <w:r w:rsidRPr="00593A5F">
        <w:rPr>
          <w:rFonts w:ascii="Verdana" w:eastAsia="Century Gothic" w:hAnsi="Verdana" w:cs="Century Gothic"/>
          <w:b/>
          <w:bCs/>
          <w:lang w:val="es-ES"/>
        </w:rPr>
        <w:t>Respuesta:</w:t>
      </w:r>
    </w:p>
    <w:p w14:paraId="6CDC8A56" w14:textId="77777777" w:rsidR="00871B59" w:rsidRPr="00593A5F" w:rsidRDefault="00871B59" w:rsidP="00871B59">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71B59" w:rsidRPr="00593A5F" w14:paraId="0930CD64" w14:textId="77777777" w:rsidTr="002607A7">
        <w:tc>
          <w:tcPr>
            <w:tcW w:w="8828" w:type="dxa"/>
          </w:tcPr>
          <w:p w14:paraId="4617C956" w14:textId="77777777" w:rsidR="00DA67E2" w:rsidRDefault="00DA67E2" w:rsidP="005D3955">
            <w:pPr>
              <w:pStyle w:val="NormalWeb"/>
              <w:spacing w:line="276" w:lineRule="auto"/>
              <w:jc w:val="both"/>
              <w:rPr>
                <w:rFonts w:ascii="Verdana" w:hAnsi="Verdana" w:cs="Arial"/>
                <w:sz w:val="22"/>
                <w:szCs w:val="22"/>
              </w:rPr>
            </w:pPr>
            <w:r w:rsidRPr="005D3955">
              <w:rPr>
                <w:rFonts w:ascii="Verdana" w:hAnsi="Verdana" w:cs="Arial"/>
                <w:sz w:val="22"/>
                <w:szCs w:val="22"/>
              </w:rPr>
              <w:t xml:space="preserve">Para dar solución al problema jurídico planteado en la consulta, es necesario precisar que la celebración de contratos de aprendizaje por parte de una Empresa de Servicios Públicos domiciliarios de carácter oficial sí se encuentra sujeta a las restricciones previstas en el artículo 33 de la Ley de Garantías Electorales. </w:t>
            </w:r>
          </w:p>
          <w:p w14:paraId="072BB3F9" w14:textId="77777777" w:rsidR="005D3955" w:rsidRPr="005D3955" w:rsidRDefault="005D3955" w:rsidP="005D3955">
            <w:pPr>
              <w:pStyle w:val="NormalWeb"/>
              <w:spacing w:line="276" w:lineRule="auto"/>
              <w:jc w:val="both"/>
              <w:rPr>
                <w:rFonts w:ascii="Verdana" w:hAnsi="Verdana" w:cs="Arial"/>
                <w:sz w:val="22"/>
                <w:szCs w:val="22"/>
              </w:rPr>
            </w:pPr>
          </w:p>
          <w:p w14:paraId="1993D3C4" w14:textId="5878AD2A" w:rsidR="00DA67E2" w:rsidRDefault="005D3955" w:rsidP="005D3955">
            <w:pPr>
              <w:pStyle w:val="NormalWeb"/>
              <w:spacing w:line="276" w:lineRule="auto"/>
              <w:jc w:val="both"/>
              <w:rPr>
                <w:rFonts w:ascii="Verdana" w:hAnsi="Verdana" w:cs="Arial"/>
                <w:sz w:val="22"/>
                <w:szCs w:val="22"/>
              </w:rPr>
            </w:pPr>
            <w:r>
              <w:rPr>
                <w:rFonts w:ascii="Verdana" w:hAnsi="Verdana" w:cs="Arial"/>
                <w:sz w:val="22"/>
                <w:szCs w:val="22"/>
              </w:rPr>
              <w:t xml:space="preserve">          </w:t>
            </w:r>
            <w:r w:rsidR="00DA67E2" w:rsidRPr="005D3955">
              <w:rPr>
                <w:rFonts w:ascii="Verdana" w:hAnsi="Verdana" w:cs="Arial"/>
                <w:sz w:val="22"/>
                <w:szCs w:val="22"/>
              </w:rPr>
              <w:t xml:space="preserve">La normativa prohíbe la contratación directa por parte de todos los entes del Estado durante los cuatro (4) meses anteriores a las elecciones presidenciales. Esta limitación cobija a las Empresas de Servicios Públicos oficiales y mixtas, sin que el legislador haya establecido un supuesto de exoneración sustentado en la naturaleza del régimen jurídico contractual de la entidad. El criterio aplicable para determinar los destinatarios de esta disposición es eminentemente orgánico. </w:t>
            </w:r>
          </w:p>
          <w:p w14:paraId="694F5E83" w14:textId="77777777" w:rsidR="005D3955" w:rsidRPr="005D3955" w:rsidRDefault="005D3955" w:rsidP="005D3955">
            <w:pPr>
              <w:pStyle w:val="NormalWeb"/>
              <w:spacing w:line="276" w:lineRule="auto"/>
              <w:jc w:val="both"/>
              <w:rPr>
                <w:rFonts w:ascii="Verdana" w:hAnsi="Verdana" w:cs="Arial"/>
                <w:sz w:val="22"/>
                <w:szCs w:val="22"/>
              </w:rPr>
            </w:pPr>
          </w:p>
          <w:p w14:paraId="782B2C0D" w14:textId="77777777" w:rsidR="005D3955" w:rsidRDefault="005D3955" w:rsidP="005D3955">
            <w:pPr>
              <w:pStyle w:val="NormalWeb"/>
              <w:spacing w:line="276" w:lineRule="auto"/>
              <w:jc w:val="both"/>
              <w:rPr>
                <w:rFonts w:ascii="Verdana" w:hAnsi="Verdana" w:cs="Arial"/>
                <w:sz w:val="22"/>
                <w:szCs w:val="22"/>
              </w:rPr>
            </w:pPr>
            <w:r>
              <w:rPr>
                <w:rFonts w:ascii="Verdana" w:hAnsi="Verdana" w:cs="Arial"/>
                <w:sz w:val="22"/>
                <w:szCs w:val="22"/>
              </w:rPr>
              <w:t xml:space="preserve">      </w:t>
            </w:r>
            <w:r w:rsidR="00DA67E2" w:rsidRPr="005D3955">
              <w:rPr>
                <w:rFonts w:ascii="Verdana" w:hAnsi="Verdana" w:cs="Arial"/>
                <w:sz w:val="22"/>
                <w:szCs w:val="22"/>
              </w:rPr>
              <w:t xml:space="preserve">En este contexto normativo, la figura de "contratación directa" no se restringe exclusivamente a las causales consagradas en </w:t>
            </w:r>
            <w:r>
              <w:rPr>
                <w:rFonts w:ascii="Verdana" w:hAnsi="Verdana" w:cs="Arial"/>
                <w:sz w:val="22"/>
                <w:szCs w:val="22"/>
              </w:rPr>
              <w:t>el artículo 2 numeral 4 de la</w:t>
            </w:r>
            <w:r w:rsidR="00DA67E2" w:rsidRPr="005D3955">
              <w:rPr>
                <w:rFonts w:ascii="Verdana" w:hAnsi="Verdana" w:cs="Arial"/>
                <w:sz w:val="22"/>
                <w:szCs w:val="22"/>
              </w:rPr>
              <w:t xml:space="preserve"> Ley 1150 de 2007, sino que abarca cualquier sistema de selección o procedimiento de contratación que no incluya la convocatoria pública en alguna de sus etapas, ni permita la participación de una pluralidad de oferentes. </w:t>
            </w:r>
          </w:p>
          <w:p w14:paraId="49A1058D" w14:textId="77777777" w:rsidR="005D3955" w:rsidRDefault="005D3955" w:rsidP="005D3955">
            <w:pPr>
              <w:pStyle w:val="NormalWeb"/>
              <w:spacing w:line="276" w:lineRule="auto"/>
              <w:jc w:val="both"/>
              <w:rPr>
                <w:rFonts w:ascii="Verdana" w:hAnsi="Verdana" w:cs="Arial"/>
                <w:sz w:val="22"/>
                <w:szCs w:val="22"/>
              </w:rPr>
            </w:pPr>
          </w:p>
          <w:p w14:paraId="63B3F0FC" w14:textId="415ECD8F" w:rsidR="00DA6CB8" w:rsidRPr="005D3955" w:rsidRDefault="005D3955" w:rsidP="005D3955">
            <w:pPr>
              <w:pStyle w:val="NormalWeb"/>
              <w:spacing w:line="276" w:lineRule="auto"/>
              <w:jc w:val="both"/>
              <w:rPr>
                <w:rFonts w:ascii="Verdana" w:hAnsi="Verdana" w:cs="Arial"/>
                <w:sz w:val="22"/>
                <w:szCs w:val="22"/>
              </w:rPr>
            </w:pPr>
            <w:r>
              <w:rPr>
                <w:rFonts w:ascii="Verdana" w:hAnsi="Verdana" w:cs="Arial"/>
                <w:sz w:val="22"/>
                <w:szCs w:val="22"/>
              </w:rPr>
              <w:t xml:space="preserve">       </w:t>
            </w:r>
            <w:r w:rsidR="00DA67E2" w:rsidRPr="005D3955">
              <w:rPr>
                <w:rFonts w:ascii="Verdana" w:hAnsi="Verdana" w:cs="Arial"/>
                <w:sz w:val="22"/>
                <w:szCs w:val="22"/>
              </w:rPr>
              <w:t xml:space="preserve">En consecuencia, al ser el contrato de aprendizaje un vínculo que se perfecciona de manera directa y sin agotar un procedimiento abierto y competitivo, se configura materialmente la prohibición legal. Asimismo, las excepciones a esta restricción son taxativas y no incluyen las vinculaciones de índole formativa. </w:t>
            </w:r>
          </w:p>
        </w:tc>
      </w:tr>
    </w:tbl>
    <w:p w14:paraId="304420A3" w14:textId="77777777" w:rsidR="00871B59" w:rsidRPr="00593A5F" w:rsidRDefault="00871B59" w:rsidP="00871B59">
      <w:pPr>
        <w:tabs>
          <w:tab w:val="left" w:pos="142"/>
          <w:tab w:val="left" w:pos="284"/>
        </w:tabs>
        <w:spacing w:after="0" w:line="276" w:lineRule="auto"/>
        <w:jc w:val="both"/>
        <w:rPr>
          <w:rFonts w:ascii="Verdana" w:eastAsia="Century Gothic" w:hAnsi="Verdana" w:cs="Century Gothic"/>
          <w:b/>
          <w:bCs/>
          <w:lang w:val="es-ES"/>
        </w:rPr>
      </w:pPr>
    </w:p>
    <w:p w14:paraId="40A4E69B" w14:textId="77777777" w:rsidR="00871B59" w:rsidRPr="00593A5F" w:rsidRDefault="00871B59" w:rsidP="00871B59">
      <w:pPr>
        <w:pStyle w:val="Prrafodelista"/>
        <w:numPr>
          <w:ilvl w:val="0"/>
          <w:numId w:val="4"/>
        </w:numPr>
        <w:tabs>
          <w:tab w:val="left" w:pos="142"/>
          <w:tab w:val="left" w:pos="284"/>
        </w:tabs>
        <w:spacing w:after="0" w:line="276" w:lineRule="auto"/>
        <w:ind w:left="0" w:firstLine="0"/>
        <w:contextualSpacing w:val="0"/>
        <w:jc w:val="both"/>
        <w:rPr>
          <w:rFonts w:ascii="Verdana" w:eastAsia="Century Gothic" w:hAnsi="Verdana" w:cs="Century Gothic"/>
          <w:b/>
          <w:bCs/>
          <w:lang w:val="es-ES"/>
        </w:rPr>
      </w:pPr>
      <w:r w:rsidRPr="00593A5F">
        <w:rPr>
          <w:rFonts w:ascii="Verdana" w:eastAsia="Century Gothic" w:hAnsi="Verdana" w:cs="Century Gothic"/>
          <w:b/>
          <w:bCs/>
          <w:lang w:val="es-ES"/>
        </w:rPr>
        <w:t>Razones de la respuesta:</w:t>
      </w:r>
    </w:p>
    <w:p w14:paraId="112F9689" w14:textId="77777777" w:rsidR="00871B59" w:rsidRPr="00593A5F" w:rsidRDefault="00871B59" w:rsidP="00871B59">
      <w:pPr>
        <w:spacing w:after="0" w:line="276" w:lineRule="auto"/>
        <w:jc w:val="both"/>
        <w:rPr>
          <w:rFonts w:ascii="Verdana" w:eastAsia="Calibri" w:hAnsi="Verdana" w:cs="Arial"/>
          <w:color w:val="7030A0"/>
          <w:lang w:val="es-ES"/>
        </w:rPr>
      </w:pPr>
    </w:p>
    <w:p w14:paraId="69AED185" w14:textId="77777777" w:rsidR="00871B59" w:rsidRPr="00B96799" w:rsidRDefault="00871B59" w:rsidP="00871B59">
      <w:pPr>
        <w:spacing w:after="0" w:line="276" w:lineRule="auto"/>
        <w:jc w:val="both"/>
        <w:rPr>
          <w:rFonts w:ascii="Verdana" w:eastAsia="Calibri" w:hAnsi="Verdana" w:cs="Arial"/>
          <w:lang w:val="es-ES"/>
        </w:rPr>
      </w:pPr>
      <w:r w:rsidRPr="00B96799">
        <w:rPr>
          <w:rFonts w:ascii="Verdana" w:eastAsia="Calibri" w:hAnsi="Verdana" w:cs="Arial"/>
          <w:lang w:val="es-ES"/>
        </w:rPr>
        <w:t xml:space="preserve">Lo anterior se sustenta en las siguientes consideraciones: </w:t>
      </w:r>
    </w:p>
    <w:p w14:paraId="72A8CDA7" w14:textId="77777777" w:rsidR="00983695" w:rsidRDefault="00983695" w:rsidP="00983695">
      <w:pPr>
        <w:spacing w:after="0" w:line="276" w:lineRule="auto"/>
        <w:jc w:val="both"/>
        <w:rPr>
          <w:rFonts w:ascii="Verdana" w:eastAsia="Calibri" w:hAnsi="Verdana" w:cs="Arial"/>
          <w:color w:val="7030A0"/>
          <w:lang w:val="es-ES"/>
        </w:rPr>
      </w:pPr>
    </w:p>
    <w:p w14:paraId="725F52F2" w14:textId="77777777" w:rsidR="0056015C" w:rsidRPr="002D6B43" w:rsidRDefault="0056015C" w:rsidP="0056015C">
      <w:pPr>
        <w:tabs>
          <w:tab w:val="left" w:pos="426"/>
        </w:tabs>
        <w:spacing w:after="120" w:line="276" w:lineRule="auto"/>
        <w:jc w:val="both"/>
        <w:rPr>
          <w:rFonts w:ascii="Verdana" w:eastAsia="Times New Roman" w:hAnsi="Verdana" w:cs="Arial"/>
          <w:lang w:eastAsia="es-CO"/>
        </w:rPr>
      </w:pPr>
      <w:r w:rsidRPr="002D6B43">
        <w:rPr>
          <w:rFonts w:ascii="Verdana" w:eastAsia="Calibri" w:hAnsi="Verdana" w:cs="Arial"/>
        </w:rPr>
        <w:t>i. El ordenamiento jurídico colombiano contempla previsiones claras para evitar la obtención de beneficios personales en asuntos propios de la administración pública</w:t>
      </w:r>
      <w:r w:rsidRPr="002D6B43">
        <w:rPr>
          <w:rFonts w:ascii="Verdana" w:eastAsia="Calibri" w:hAnsi="Verdana" w:cs="Arial"/>
          <w:i/>
        </w:rPr>
        <w:t xml:space="preserve">. </w:t>
      </w:r>
      <w:r w:rsidRPr="002D6B43">
        <w:rPr>
          <w:rFonts w:ascii="Verdana" w:eastAsia="Calibri" w:hAnsi="Verdana" w:cs="Arial"/>
        </w:rPr>
        <w:t xml:space="preserve">Por ejemplo, el artículo 127 de la Constitución Política establece una prohibición contractual a los servidores públicos y, en cuanto a aspectos </w:t>
      </w:r>
      <w:r w:rsidRPr="002D6B43">
        <w:rPr>
          <w:rFonts w:ascii="Verdana" w:eastAsia="Calibri" w:hAnsi="Verdana" w:cs="Arial"/>
        </w:rPr>
        <w:lastRenderedPageBreak/>
        <w:t>políticos, establece restricciones a ciertos empleados del Estado, incluso en época no electoral</w:t>
      </w:r>
      <w:r w:rsidRPr="001924B7">
        <w:rPr>
          <w:rFonts w:ascii="Verdana" w:hAnsi="Verdana"/>
          <w:vertAlign w:val="superscript"/>
        </w:rPr>
        <w:footnoteReference w:id="2"/>
      </w:r>
      <w:r w:rsidRPr="002D6B43">
        <w:rPr>
          <w:rFonts w:ascii="Verdana" w:eastAsia="Calibri" w:hAnsi="Verdana" w:cs="Arial"/>
        </w:rPr>
        <w:t xml:space="preserve">. </w:t>
      </w:r>
    </w:p>
    <w:p w14:paraId="4DFDFAB6" w14:textId="77777777" w:rsidR="0056015C" w:rsidRDefault="0056015C" w:rsidP="0056015C">
      <w:pPr>
        <w:tabs>
          <w:tab w:val="left" w:pos="426"/>
        </w:tabs>
        <w:spacing w:after="120" w:line="276" w:lineRule="auto"/>
        <w:ind w:firstLine="709"/>
        <w:jc w:val="both"/>
        <w:rPr>
          <w:rFonts w:ascii="Verdana" w:eastAsia="Calibri" w:hAnsi="Verdana" w:cs="Arial"/>
          <w:lang w:val="es-ES_tradnl"/>
        </w:rPr>
      </w:pPr>
      <w:r w:rsidRPr="00E2397D">
        <w:rPr>
          <w:rFonts w:ascii="Verdana" w:eastAsia="Times New Roman" w:hAnsi="Verdana" w:cs="Arial"/>
          <w:lang w:eastAsia="es-CO"/>
        </w:rPr>
        <w:t>En el mismo sentido</w:t>
      </w:r>
      <w:r w:rsidRPr="00E2397D">
        <w:rPr>
          <w:rFonts w:ascii="Verdana" w:eastAsia="Times New Roman" w:hAnsi="Verdana" w:cs="Arial"/>
          <w:lang w:val="es-MX" w:eastAsia="es-CO"/>
        </w:rPr>
        <w:t xml:space="preserve">, </w:t>
      </w:r>
      <w:bookmarkStart w:id="0" w:name="_Hlk99576829"/>
      <w:r w:rsidRPr="00E2397D">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E2397D">
        <w:rPr>
          <w:rFonts w:ascii="Verdana" w:eastAsia="Times New Roman" w:hAnsi="Verdana" w:cs="Arial"/>
          <w:vertAlign w:val="superscript"/>
          <w:lang w:val="es-MX" w:eastAsia="es-CO"/>
        </w:rPr>
        <w:footnoteReference w:id="3"/>
      </w:r>
      <w:r w:rsidRPr="00E2397D">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E2397D">
        <w:rPr>
          <w:rFonts w:ascii="Verdana" w:eastAsia="Calibri" w:hAnsi="Verdana" w:cs="Arial"/>
          <w:lang w:val="es-ES_tradnl"/>
        </w:rPr>
        <w:t xml:space="preserve"> </w:t>
      </w:r>
      <w:bookmarkEnd w:id="0"/>
    </w:p>
    <w:p w14:paraId="2387E811" w14:textId="77777777" w:rsidR="0056015C" w:rsidRPr="006B14B5" w:rsidRDefault="0056015C" w:rsidP="0056015C">
      <w:pPr>
        <w:tabs>
          <w:tab w:val="left" w:pos="426"/>
        </w:tabs>
        <w:spacing w:after="0" w:line="276" w:lineRule="auto"/>
        <w:ind w:firstLine="709"/>
        <w:jc w:val="both"/>
        <w:rPr>
          <w:rFonts w:ascii="Verdana" w:eastAsia="Calibri" w:hAnsi="Verdana" w:cs="Arial"/>
          <w:lang w:val="es-ES_tradnl"/>
        </w:rPr>
      </w:pPr>
      <w:r w:rsidRPr="00E2397D">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2FDEA6C0" w14:textId="77777777" w:rsidR="0056015C" w:rsidRPr="00E2397D" w:rsidRDefault="0056015C" w:rsidP="0056015C">
      <w:pPr>
        <w:spacing w:after="0" w:line="276" w:lineRule="auto"/>
        <w:ind w:right="709"/>
        <w:contextualSpacing/>
        <w:jc w:val="both"/>
        <w:rPr>
          <w:rFonts w:ascii="Verdana" w:eastAsia="Times New Roman" w:hAnsi="Verdana" w:cs="Arial"/>
          <w:lang w:val="es-ES" w:eastAsia="es-CO"/>
        </w:rPr>
      </w:pPr>
    </w:p>
    <w:p w14:paraId="0BAFCDAC" w14:textId="77777777" w:rsidR="0056015C" w:rsidRPr="00E2397D" w:rsidRDefault="0056015C" w:rsidP="0056015C">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ES" w:eastAsia="es-CO"/>
        </w:rPr>
        <w:t xml:space="preserve">“[…] </w:t>
      </w:r>
      <w:r w:rsidRPr="00E2397D">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7272029E" w14:textId="77777777" w:rsidR="0056015C" w:rsidRDefault="0056015C" w:rsidP="0056015C">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1ADB5E03" w14:textId="77777777" w:rsidR="0056015C" w:rsidRPr="000B35C5" w:rsidRDefault="0056015C" w:rsidP="0056015C">
      <w:pPr>
        <w:spacing w:after="0" w:line="240" w:lineRule="auto"/>
        <w:ind w:left="709" w:right="709"/>
        <w:contextualSpacing/>
        <w:jc w:val="both"/>
        <w:rPr>
          <w:rFonts w:ascii="Verdana" w:eastAsia="Times New Roman" w:hAnsi="Verdana" w:cs="Arial"/>
          <w:sz w:val="12"/>
          <w:szCs w:val="12"/>
          <w:lang w:val="es-MX" w:eastAsia="es-CO"/>
        </w:rPr>
      </w:pPr>
    </w:p>
    <w:p w14:paraId="6CB2613E" w14:textId="77777777" w:rsidR="0056015C" w:rsidRPr="00E2397D" w:rsidRDefault="0056015C" w:rsidP="0056015C">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 xml:space="preserve">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w:t>
      </w:r>
      <w:r w:rsidRPr="00E2397D">
        <w:rPr>
          <w:rFonts w:ascii="Verdana" w:eastAsia="Times New Roman" w:hAnsi="Verdana" w:cs="Arial"/>
          <w:sz w:val="20"/>
          <w:szCs w:val="20"/>
          <w:lang w:val="es-MX" w:eastAsia="es-CO"/>
        </w:rPr>
        <w:lastRenderedPageBreak/>
        <w:t>las ideas y las propuestas las que definan el ascenso al poder, y no el músculo económico de los que se lo disputan”.</w:t>
      </w:r>
      <w:r w:rsidRPr="00E2397D">
        <w:rPr>
          <w:rFonts w:ascii="Verdana" w:eastAsia="Calibri" w:hAnsi="Verdana" w:cs="Arial"/>
          <w:sz w:val="20"/>
          <w:szCs w:val="20"/>
          <w:vertAlign w:val="superscript"/>
          <w:lang w:val="es-MX"/>
        </w:rPr>
        <w:footnoteReference w:id="4"/>
      </w:r>
    </w:p>
    <w:p w14:paraId="124984A8" w14:textId="77777777" w:rsidR="0056015C" w:rsidRPr="00E2397D" w:rsidRDefault="0056015C" w:rsidP="0056015C">
      <w:pPr>
        <w:spacing w:after="0" w:line="276" w:lineRule="auto"/>
        <w:ind w:firstLine="709"/>
        <w:jc w:val="both"/>
        <w:rPr>
          <w:rFonts w:ascii="Verdana" w:eastAsia="Times New Roman" w:hAnsi="Verdana" w:cs="Arial"/>
          <w:lang w:val="es-MX" w:eastAsia="es-CO"/>
        </w:rPr>
      </w:pPr>
      <w:bookmarkStart w:id="1" w:name="_Hlk78818186"/>
    </w:p>
    <w:p w14:paraId="2972E18C" w14:textId="77777777" w:rsidR="0056015C" w:rsidRPr="00E2397D" w:rsidRDefault="0056015C" w:rsidP="0056015C">
      <w:pPr>
        <w:spacing w:after="0" w:line="276" w:lineRule="auto"/>
        <w:ind w:firstLine="709"/>
        <w:jc w:val="both"/>
        <w:rPr>
          <w:rFonts w:ascii="Verdana" w:eastAsia="Times New Roman" w:hAnsi="Verdana" w:cs="Arial"/>
          <w:lang w:val="es-MX" w:eastAsia="es-CO"/>
        </w:rPr>
      </w:pPr>
      <w:r w:rsidRPr="00E2397D">
        <w:rPr>
          <w:rFonts w:ascii="Verdana" w:eastAsia="Times New Roman" w:hAnsi="Verdana" w:cs="Arial"/>
          <w:lang w:val="es-MX" w:eastAsia="es-CO"/>
        </w:rPr>
        <w:t>En este contexto, la Ley de Garantías Electorales establece el marco jurídico para el desarrollo de las elecciones, procurando condiciones de igualdad y transparencia para los aspirantes. Paralelamente,</w:t>
      </w:r>
      <w:r>
        <w:rPr>
          <w:rFonts w:ascii="Verdana" w:eastAsia="Times New Roman" w:hAnsi="Verdana" w:cs="Arial"/>
          <w:lang w:val="es-MX" w:eastAsia="es-CO"/>
        </w:rPr>
        <w:t xml:space="preserve"> se incluyen restricciones en las actuaciones</w:t>
      </w:r>
      <w:r w:rsidRPr="00E2397D">
        <w:rPr>
          <w:rFonts w:ascii="Verdana" w:eastAsia="Times New Roman" w:hAnsi="Verdana" w:cs="Arial"/>
          <w:lang w:val="es-MX" w:eastAsia="es-CO"/>
        </w:rPr>
        <w:t xml:space="preserve"> de los servidores públicos, evitando interferencias en la contienda electoral, así como la posible desviación de recursos públicos en aspiraciones electorales. </w:t>
      </w:r>
      <w:bookmarkEnd w:id="1"/>
      <w:r w:rsidRPr="00E2397D">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w:t>
      </w:r>
      <w:r>
        <w:rPr>
          <w:rFonts w:ascii="Verdana" w:eastAsia="Times New Roman" w:hAnsi="Verdana" w:cs="Arial"/>
          <w:lang w:val="es-MX" w:eastAsia="es-CO"/>
        </w:rPr>
        <w:t>cisó</w:t>
      </w:r>
      <w:r w:rsidRPr="00E2397D">
        <w:rPr>
          <w:rFonts w:ascii="Verdana" w:eastAsia="Times New Roman" w:hAnsi="Verdana" w:cs="Arial"/>
          <w:lang w:val="es-MX" w:eastAsia="es-CO"/>
        </w:rPr>
        <w:t>:</w:t>
      </w:r>
    </w:p>
    <w:p w14:paraId="37437A66" w14:textId="77777777" w:rsidR="0056015C" w:rsidRPr="00886C02" w:rsidRDefault="0056015C" w:rsidP="0056015C">
      <w:pPr>
        <w:spacing w:after="0" w:line="276" w:lineRule="auto"/>
        <w:ind w:firstLine="709"/>
        <w:jc w:val="both"/>
        <w:rPr>
          <w:rFonts w:ascii="Verdana" w:eastAsia="Times New Roman" w:hAnsi="Verdana" w:cs="Arial"/>
          <w:lang w:val="es-MX" w:eastAsia="es-CO"/>
        </w:rPr>
      </w:pPr>
    </w:p>
    <w:p w14:paraId="32BB59EC" w14:textId="77777777" w:rsidR="0056015C" w:rsidRPr="00E2397D" w:rsidRDefault="0056015C" w:rsidP="0056015C">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5875756B" w14:textId="77777777" w:rsidR="0056015C" w:rsidRPr="000B35C5" w:rsidRDefault="0056015C" w:rsidP="0056015C">
      <w:pPr>
        <w:spacing w:after="0" w:line="240" w:lineRule="auto"/>
        <w:ind w:right="709"/>
        <w:contextualSpacing/>
        <w:jc w:val="both"/>
        <w:rPr>
          <w:rFonts w:ascii="Verdana" w:eastAsia="Times New Roman" w:hAnsi="Verdana" w:cs="Arial"/>
          <w:sz w:val="12"/>
          <w:szCs w:val="12"/>
          <w:lang w:val="es-MX" w:eastAsia="es-CO"/>
        </w:rPr>
      </w:pPr>
    </w:p>
    <w:p w14:paraId="2D267D0A" w14:textId="77777777" w:rsidR="0056015C" w:rsidRPr="00E2397D" w:rsidRDefault="0056015C" w:rsidP="0056015C">
      <w:pPr>
        <w:spacing w:after="0" w:line="240" w:lineRule="auto"/>
        <w:ind w:left="709" w:right="709"/>
        <w:contextualSpacing/>
        <w:jc w:val="both"/>
        <w:rPr>
          <w:rFonts w:ascii="Verdana" w:eastAsia="Times New Roman" w:hAnsi="Verdana" w:cs="Arial"/>
          <w:sz w:val="20"/>
          <w:szCs w:val="20"/>
          <w:lang w:val="es-MX" w:eastAsia="es-CO"/>
        </w:rPr>
      </w:pPr>
      <w:r w:rsidRPr="00E2397D">
        <w:rPr>
          <w:rFonts w:ascii="Verdana" w:eastAsia="Times New Roman" w:hAnsi="Verdana" w:cs="Arial"/>
          <w:sz w:val="20"/>
          <w:szCs w:val="20"/>
          <w:lang w:val="es-MX" w:eastAsia="es-CO"/>
        </w:rPr>
        <w:t>La jurisprudencia de la Corte Constitucional</w:t>
      </w:r>
      <w:r w:rsidRPr="00E2397D">
        <w:rPr>
          <w:rFonts w:ascii="Verdana" w:eastAsia="Times New Roman" w:hAnsi="Verdana" w:cs="Arial"/>
          <w:sz w:val="20"/>
          <w:szCs w:val="20"/>
          <w:vertAlign w:val="superscript"/>
          <w:lang w:val="es-MX" w:eastAsia="es-CO"/>
        </w:rPr>
        <w:footnoteReference w:id="5"/>
      </w:r>
      <w:r w:rsidRPr="00E2397D">
        <w:rPr>
          <w:rFonts w:ascii="Verdana" w:eastAsia="Times New Roman" w:hAnsi="Verdana" w:cs="Arial"/>
          <w:sz w:val="20"/>
          <w:szCs w:val="20"/>
          <w:lang w:val="es-MX" w:eastAsia="es-CO"/>
        </w:rPr>
        <w:t> y del Consejo de Estado</w:t>
      </w:r>
      <w:r w:rsidRPr="00E2397D">
        <w:rPr>
          <w:rFonts w:ascii="Verdana" w:eastAsia="Times New Roman" w:hAnsi="Verdana" w:cs="Arial"/>
          <w:sz w:val="20"/>
          <w:szCs w:val="20"/>
          <w:vertAlign w:val="superscript"/>
          <w:lang w:val="es-MX" w:eastAsia="es-CO"/>
        </w:rPr>
        <w:footnoteReference w:id="6"/>
      </w:r>
      <w:r w:rsidRPr="00E2397D">
        <w:rPr>
          <w:rFonts w:ascii="Verdana" w:eastAsia="Times New Roman" w:hAnsi="Verdana" w:cs="Arial"/>
          <w:sz w:val="20"/>
          <w:szCs w:val="20"/>
          <w:lang w:val="es-MX" w:eastAsia="es-CO"/>
        </w:rPr>
        <w:t xml:space="preserve">,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w:t>
      </w:r>
      <w:r w:rsidRPr="00E2397D">
        <w:rPr>
          <w:rFonts w:ascii="Verdana" w:eastAsia="Times New Roman" w:hAnsi="Verdana" w:cs="Arial"/>
          <w:sz w:val="20"/>
          <w:szCs w:val="20"/>
          <w:lang w:val="es-MX" w:eastAsia="es-CO"/>
        </w:rPr>
        <w:lastRenderedPageBreak/>
        <w:t>o capacidad de obrar, sobrepasar sus precisos términos comporta el desconocimiento de la voluntad del legislador”</w:t>
      </w:r>
      <w:r w:rsidRPr="00E2397D">
        <w:rPr>
          <w:rFonts w:ascii="Verdana" w:eastAsia="Times New Roman" w:hAnsi="Verdana" w:cs="Arial"/>
          <w:sz w:val="20"/>
          <w:szCs w:val="20"/>
          <w:vertAlign w:val="superscript"/>
          <w:lang w:val="es-MX" w:eastAsia="es-CO"/>
        </w:rPr>
        <w:footnoteReference w:id="7"/>
      </w:r>
      <w:r w:rsidRPr="00E2397D">
        <w:rPr>
          <w:rFonts w:ascii="Verdana" w:eastAsia="Times New Roman" w:hAnsi="Verdana" w:cs="Arial"/>
          <w:sz w:val="20"/>
          <w:szCs w:val="20"/>
          <w:lang w:val="es-MX" w:eastAsia="es-CO"/>
        </w:rPr>
        <w:t>.</w:t>
      </w:r>
    </w:p>
    <w:p w14:paraId="3897A314" w14:textId="77777777" w:rsidR="0056015C" w:rsidRPr="00E2397D" w:rsidRDefault="0056015C" w:rsidP="0056015C">
      <w:pPr>
        <w:spacing w:after="0" w:line="276" w:lineRule="auto"/>
        <w:jc w:val="both"/>
        <w:rPr>
          <w:rFonts w:ascii="Verdana" w:eastAsia="Calibri" w:hAnsi="Verdana" w:cs="Arial"/>
          <w:bCs/>
          <w:lang w:val="es-ES_tradnl"/>
        </w:rPr>
      </w:pPr>
    </w:p>
    <w:p w14:paraId="2C5803D1" w14:textId="77777777" w:rsidR="0056015C" w:rsidRDefault="0056015C" w:rsidP="0056015C">
      <w:pPr>
        <w:spacing w:after="0" w:line="276" w:lineRule="auto"/>
        <w:ind w:firstLine="709"/>
        <w:jc w:val="both"/>
        <w:rPr>
          <w:rFonts w:ascii="Verdana" w:eastAsia="Arial" w:hAnsi="Verdana" w:cs="Arial"/>
          <w:lang w:val="es-ES" w:eastAsia="es-ES" w:bidi="es-ES"/>
        </w:rPr>
      </w:pPr>
      <w:r w:rsidRPr="00E2397D">
        <w:rPr>
          <w:rFonts w:ascii="Verdana" w:eastAsia="Times New Roman" w:hAnsi="Verdana" w:cs="Arial"/>
          <w:lang w:val="es-MX" w:eastAsia="es-CO"/>
        </w:rPr>
        <w:t>De</w:t>
      </w:r>
      <w:r w:rsidRPr="00E2397D">
        <w:rPr>
          <w:rFonts w:ascii="Verdana" w:eastAsia="Arial" w:hAnsi="Verdana" w:cs="Arial"/>
          <w:lang w:val="es-ES" w:eastAsia="es-ES" w:bidi="es-ES"/>
        </w:rPr>
        <w:t xml:space="preserve"> conformidad con lo anterior, </w:t>
      </w:r>
      <w:bookmarkStart w:id="2" w:name="_Hlk77236098"/>
      <w:bookmarkStart w:id="3" w:name="_Hlk100679383"/>
      <w:r w:rsidRPr="00E2397D">
        <w:rPr>
          <w:rFonts w:ascii="Verdana" w:eastAsia="Arial" w:hAnsi="Verdana" w:cs="Arial"/>
          <w:lang w:val="es-ES" w:eastAsia="es-ES" w:bidi="es-ES"/>
        </w:rPr>
        <w:t>la L</w:t>
      </w:r>
      <w:r>
        <w:rPr>
          <w:rFonts w:ascii="Verdana" w:eastAsia="Arial" w:hAnsi="Verdana" w:cs="Arial"/>
          <w:lang w:val="es-ES" w:eastAsia="es-ES" w:bidi="es-ES"/>
        </w:rPr>
        <w:t>ey de Garantías Electorales estableció</w:t>
      </w:r>
      <w:r w:rsidRPr="00E2397D">
        <w:rPr>
          <w:rFonts w:ascii="Verdana" w:eastAsia="Arial" w:hAnsi="Verdana" w:cs="Arial"/>
          <w:lang w:val="es-ES" w:eastAsia="es-ES" w:bidi="es-ES"/>
        </w:rPr>
        <w:t xml:space="preserve"> una serie de regulaciones y prohibiciones dirigidas a los servidores públicos.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479742B1" w14:textId="77777777" w:rsidR="0056015C" w:rsidRPr="00E2397D" w:rsidRDefault="0056015C" w:rsidP="0056015C">
      <w:pPr>
        <w:spacing w:after="0" w:line="276" w:lineRule="auto"/>
        <w:ind w:firstLine="709"/>
        <w:jc w:val="both"/>
        <w:rPr>
          <w:rFonts w:ascii="Verdana" w:eastAsia="Arial" w:hAnsi="Verdana" w:cs="Arial"/>
          <w:lang w:val="es-ES" w:eastAsia="es-ES" w:bidi="es-ES"/>
        </w:rPr>
      </w:pPr>
    </w:p>
    <w:p w14:paraId="10E64B02" w14:textId="77777777" w:rsidR="0056015C" w:rsidRPr="00E2397D" w:rsidRDefault="0056015C" w:rsidP="0056015C">
      <w:pPr>
        <w:spacing w:after="120" w:line="276" w:lineRule="auto"/>
        <w:jc w:val="both"/>
        <w:rPr>
          <w:rFonts w:ascii="Verdana" w:eastAsia="Arial" w:hAnsi="Verdana" w:cs="Arial"/>
          <w:lang w:val="es-ES" w:eastAsia="es-ES" w:bidi="es-ES"/>
        </w:rPr>
      </w:pPr>
      <w:proofErr w:type="spellStart"/>
      <w:r w:rsidRPr="00E2397D">
        <w:rPr>
          <w:rFonts w:ascii="Verdana" w:eastAsia="Arial" w:hAnsi="Verdana" w:cs="Arial"/>
          <w:lang w:val="es-ES" w:eastAsia="es-ES" w:bidi="es-ES"/>
        </w:rPr>
        <w:t>ii</w:t>
      </w:r>
      <w:proofErr w:type="spellEnd"/>
      <w:r w:rsidRPr="00E2397D">
        <w:rPr>
          <w:rFonts w:ascii="Verdana" w:eastAsia="Arial" w:hAnsi="Verdana" w:cs="Arial"/>
          <w:lang w:val="es-ES" w:eastAsia="es-ES" w:bidi="es-ES"/>
        </w:rPr>
        <w:t xml:space="preserve">. </w:t>
      </w:r>
      <w:bookmarkEnd w:id="2"/>
      <w:bookmarkEnd w:id="3"/>
      <w:r w:rsidRPr="00E2397D">
        <w:rPr>
          <w:rFonts w:ascii="Verdana" w:eastAsia="Arial" w:hAnsi="Verdana" w:cs="Arial"/>
          <w:lang w:val="es-ES" w:eastAsia="es-ES" w:bidi="es-ES"/>
        </w:rPr>
        <w:t>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p>
    <w:p w14:paraId="6DD842DF" w14:textId="77777777" w:rsidR="0056015C" w:rsidRPr="00E2397D" w:rsidRDefault="0056015C" w:rsidP="0056015C">
      <w:pPr>
        <w:spacing w:after="120" w:line="276" w:lineRule="auto"/>
        <w:ind w:firstLine="708"/>
        <w:jc w:val="both"/>
        <w:rPr>
          <w:rFonts w:ascii="Verdana" w:eastAsia="Calibri" w:hAnsi="Verdana" w:cs="Arial"/>
        </w:rPr>
      </w:pPr>
      <w:r w:rsidRPr="00E2397D">
        <w:rPr>
          <w:rFonts w:ascii="Verdana" w:eastAsia="Calibri" w:hAnsi="Verdana" w:cs="Arial"/>
        </w:rPr>
        <w:t xml:space="preserve">Por un lado, el </w:t>
      </w:r>
      <w:r w:rsidRPr="00E2397D">
        <w:rPr>
          <w:rFonts w:ascii="Verdana" w:eastAsia="Calibri" w:hAnsi="Verdana" w:cs="Arial"/>
          <w:i/>
          <w:iCs/>
        </w:rPr>
        <w:t>artículo 33 de la Ley 996 de 2005</w:t>
      </w:r>
      <w:r w:rsidRPr="00E2397D">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E2397D">
        <w:rPr>
          <w:rFonts w:ascii="Verdana" w:eastAsia="Calibri" w:hAnsi="Verdana" w:cs="Arial"/>
          <w:vertAlign w:val="superscript"/>
        </w:rPr>
        <w:footnoteReference w:id="8"/>
      </w:r>
      <w:r w:rsidRPr="00E2397D">
        <w:rPr>
          <w:rFonts w:ascii="Verdana" w:eastAsia="Calibri" w:hAnsi="Verdana" w:cs="Arial"/>
        </w:rPr>
        <w:t>.</w:t>
      </w:r>
    </w:p>
    <w:p w14:paraId="1C8A593A" w14:textId="77777777" w:rsidR="0056015C" w:rsidRPr="00E2397D" w:rsidRDefault="0056015C" w:rsidP="0056015C">
      <w:pPr>
        <w:widowControl w:val="0"/>
        <w:autoSpaceDE w:val="0"/>
        <w:autoSpaceDN w:val="0"/>
        <w:spacing w:after="120" w:line="276" w:lineRule="auto"/>
        <w:ind w:right="113" w:firstLine="709"/>
        <w:jc w:val="both"/>
        <w:rPr>
          <w:rFonts w:ascii="Verdana" w:eastAsia="Arial" w:hAnsi="Verdana" w:cs="Arial"/>
          <w:lang w:val="es-ES" w:eastAsia="es-ES" w:bidi="es-ES"/>
        </w:rPr>
      </w:pPr>
      <w:r w:rsidRPr="00E2397D">
        <w:rPr>
          <w:rFonts w:ascii="Verdana" w:eastAsia="Calibri" w:hAnsi="Verdana" w:cs="Arial"/>
        </w:rPr>
        <w:t xml:space="preserve">Por otro lado, </w:t>
      </w:r>
      <w:r w:rsidRPr="00E2397D">
        <w:rPr>
          <w:rFonts w:ascii="Verdana" w:eastAsia="Calibri" w:hAnsi="Verdana" w:cs="Arial"/>
          <w:i/>
          <w:iCs/>
        </w:rPr>
        <w:t>el parágrafo del artículo 38 de la Ley 996 de 2005</w:t>
      </w:r>
      <w:r w:rsidRPr="00E2397D">
        <w:rPr>
          <w:rFonts w:ascii="Verdana" w:eastAsia="Calibri" w:hAnsi="Verdana" w:cs="Arial"/>
        </w:rPr>
        <w:t xml:space="preserve"> prevé una restricción, aplicable respecto de cualquier tipo de contienda electoral, que </w:t>
      </w:r>
      <w:r w:rsidRPr="00E2397D">
        <w:rPr>
          <w:rFonts w:ascii="Verdana" w:eastAsia="Calibri" w:hAnsi="Verdana" w:cs="Arial"/>
        </w:rPr>
        <w:lastRenderedPageBreak/>
        <w:t xml:space="preserve">prohíbe a los gobernadores, alcaldes municipales o distritales, secretarios, gerentes y directores de entidades descentralizadas del orden municipal, departamental o distrital “[…] </w:t>
      </w:r>
      <w:r w:rsidRPr="00E2397D">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E2397D">
        <w:rPr>
          <w:rFonts w:ascii="Verdana" w:eastAsia="Calibri" w:hAnsi="Verdana" w:cs="Arial"/>
        </w:rPr>
        <w:t>”</w:t>
      </w:r>
      <w:r w:rsidRPr="00E2397D">
        <w:rPr>
          <w:rFonts w:ascii="Verdana" w:eastAsia="Calibri" w:hAnsi="Verdana" w:cs="Arial"/>
          <w:vertAlign w:val="superscript"/>
        </w:rPr>
        <w:footnoteReference w:id="9"/>
      </w:r>
      <w:r w:rsidRPr="00E2397D">
        <w:rPr>
          <w:rFonts w:ascii="Verdana" w:eastAsia="Calibri" w:hAnsi="Verdana" w:cs="Arial"/>
          <w:lang w:val="es-MX"/>
        </w:rPr>
        <w:t>.</w:t>
      </w:r>
      <w:r w:rsidRPr="00E2397D">
        <w:rPr>
          <w:rFonts w:ascii="Verdana" w:eastAsia="Arial" w:hAnsi="Verdana" w:cs="Arial"/>
          <w:lang w:val="es-ES" w:eastAsia="es-ES" w:bidi="es-ES"/>
        </w:rPr>
        <w:t xml:space="preserve"> </w:t>
      </w:r>
    </w:p>
    <w:p w14:paraId="028DD56C" w14:textId="77777777" w:rsidR="0056015C" w:rsidRPr="00E2397D" w:rsidRDefault="0056015C" w:rsidP="0056015C">
      <w:pPr>
        <w:spacing w:after="120" w:line="276" w:lineRule="auto"/>
        <w:ind w:firstLine="709"/>
        <w:jc w:val="both"/>
        <w:rPr>
          <w:rFonts w:ascii="Verdana" w:eastAsia="Arial" w:hAnsi="Verdana" w:cs="Arial"/>
          <w:lang w:val="es-ES" w:eastAsia="es-ES" w:bidi="es-ES"/>
        </w:rPr>
      </w:pPr>
      <w:r w:rsidRPr="00E2397D">
        <w:rPr>
          <w:rFonts w:ascii="Verdana" w:eastAsia="Arial" w:hAnsi="Verdana" w:cs="Arial"/>
          <w:lang w:val="es-ES" w:eastAsia="es-ES" w:bidi="es-ES"/>
        </w:rPr>
        <w:t xml:space="preserve">De conformidad con lo anterior, la Ley 996 de 2005 establece dos (2) tipos de restricciones en materia de contratación, las cuales coinciden parcialmente. </w:t>
      </w:r>
      <w:r w:rsidRPr="00E2397D">
        <w:rPr>
          <w:rFonts w:ascii="Verdana" w:eastAsia="Arial" w:hAnsi="Verdana" w:cs="Arial"/>
          <w:i/>
          <w:lang w:val="es-ES" w:eastAsia="es-ES" w:bidi="es-ES"/>
        </w:rPr>
        <w:t>En primer lugar</w:t>
      </w:r>
      <w:r w:rsidRPr="00E2397D">
        <w:rPr>
          <w:rFonts w:ascii="Verdana" w:eastAsia="Arial" w:hAnsi="Verdana" w:cs="Arial"/>
          <w:lang w:val="es-ES" w:eastAsia="es-ES" w:bidi="es-ES"/>
        </w:rPr>
        <w:t xml:space="preserve">, la del artículo 33 que </w:t>
      </w:r>
      <w:r>
        <w:rPr>
          <w:rFonts w:ascii="Verdana" w:eastAsia="Arial" w:hAnsi="Verdana" w:cs="Arial"/>
          <w:lang w:val="es-ES" w:eastAsia="es-ES" w:bidi="es-ES"/>
        </w:rPr>
        <w:t xml:space="preserve">aplica </w:t>
      </w:r>
      <w:r w:rsidRPr="00E2397D">
        <w:rPr>
          <w:rFonts w:ascii="Verdana" w:eastAsia="Arial" w:hAnsi="Verdana" w:cs="Arial"/>
          <w:lang w:val="es-ES" w:eastAsia="es-ES" w:bidi="es-ES"/>
        </w:rPr>
        <w:t xml:space="preserve">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E2397D">
        <w:rPr>
          <w:rFonts w:ascii="Verdana" w:eastAsia="Arial" w:hAnsi="Verdana" w:cs="Arial"/>
          <w:i/>
          <w:lang w:val="es-ES" w:eastAsia="es-ES" w:bidi="es-ES"/>
        </w:rPr>
        <w:t>En segundo lugar</w:t>
      </w:r>
      <w:r w:rsidRPr="00E2397D">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1641516D" w14:textId="77777777" w:rsidR="0056015C" w:rsidRPr="00E2397D" w:rsidRDefault="0056015C" w:rsidP="0056015C">
      <w:pPr>
        <w:spacing w:after="120" w:line="276" w:lineRule="auto"/>
        <w:ind w:firstLine="709"/>
        <w:jc w:val="both"/>
        <w:rPr>
          <w:rFonts w:ascii="Verdana" w:eastAsia="Arial" w:hAnsi="Verdana" w:cs="Arial"/>
          <w:lang w:val="es-ES" w:eastAsia="es-ES" w:bidi="es-ES"/>
        </w:rPr>
      </w:pPr>
      <w:r w:rsidRPr="00E2397D">
        <w:rPr>
          <w:rFonts w:ascii="Verdana" w:eastAsia="Arial" w:hAnsi="Verdana" w:cs="Arial"/>
          <w:lang w:val="es-ES" w:eastAsia="es-ES" w:bidi="es-ES"/>
        </w:rPr>
        <w:t>Ambas restricciones no son excluyentes, lo que permite concluir que</w:t>
      </w:r>
      <w:r>
        <w:rPr>
          <w:rFonts w:ascii="Verdana" w:eastAsia="Arial" w:hAnsi="Verdana" w:cs="Arial"/>
          <w:lang w:val="es-ES" w:eastAsia="es-ES" w:bidi="es-ES"/>
        </w:rPr>
        <w:t>,</w:t>
      </w:r>
      <w:r w:rsidRPr="00E2397D">
        <w:rPr>
          <w:rFonts w:ascii="Verdana" w:eastAsia="Arial" w:hAnsi="Verdana" w:cs="Arial"/>
          <w:lang w:val="es-ES" w:eastAsia="es-ES" w:bidi="es-ES"/>
        </w:rPr>
        <w:t xml:space="preserve"> en el período preelectoral para elección de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de la República, a todos los entes del Estado, incluidos los territoriales, aplican las restricciones del artículo 33 con sus excepciones, así como las del parágrafo del artículo 38. En cambio, </w:t>
      </w:r>
      <w:r w:rsidRPr="00E2397D">
        <w:rPr>
          <w:rFonts w:ascii="Verdana" w:eastAsia="Arial" w:hAnsi="Verdana" w:cs="Arial"/>
          <w:lang w:val="es-ES" w:eastAsia="es-ES" w:bidi="es-ES"/>
        </w:rPr>
        <w:lastRenderedPageBreak/>
        <w:t xml:space="preserve">tratándose de elecciones en general, excluyendo las correspondientes al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de la República, las autoridades allí mencionadas sólo deben aplicar las restricciones contenidas en el parágrafo del artículo 38.</w:t>
      </w:r>
    </w:p>
    <w:p w14:paraId="62DD771F" w14:textId="77777777" w:rsidR="0056015C" w:rsidRDefault="0056015C" w:rsidP="0056015C">
      <w:pPr>
        <w:spacing w:after="120" w:line="276" w:lineRule="auto"/>
        <w:ind w:firstLine="709"/>
        <w:jc w:val="both"/>
        <w:rPr>
          <w:rFonts w:ascii="Verdana" w:eastAsia="Arial" w:hAnsi="Verdana" w:cs="Arial"/>
          <w:lang w:val="es-ES" w:eastAsia="es-ES" w:bidi="es-ES"/>
        </w:rPr>
      </w:pPr>
      <w:r w:rsidRPr="00E2397D">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o el </w:t>
      </w:r>
      <w:proofErr w:type="gramStart"/>
      <w:r w:rsidRPr="00E2397D">
        <w:rPr>
          <w:rFonts w:ascii="Verdana" w:eastAsia="Arial" w:hAnsi="Verdana" w:cs="Arial"/>
          <w:lang w:val="es-ES" w:eastAsia="es-ES" w:bidi="es-ES"/>
        </w:rPr>
        <w:t>Vicepresidente</w:t>
      </w:r>
      <w:proofErr w:type="gramEnd"/>
      <w:r w:rsidRPr="00E2397D">
        <w:rPr>
          <w:rFonts w:ascii="Verdana" w:eastAsia="Arial" w:hAnsi="Verdana" w:cs="Arial"/>
          <w:lang w:val="es-ES" w:eastAsia="es-ES" w:bidi="es-ES"/>
        </w:rPr>
        <w:t xml:space="preserve"> desde que éstos –estando en ejercicio de su cargo– manifiesten el interés de ser candidato presidencial, lo cual debe ocurrir seis (6) meses antes de la elección en primera vuelta, de acuerdo con el artículo 9 de la Ley 996 de 2005. Sin embargo, el condicionamiento impuesto por la Corte Constitucional, relacionado con el momento en que estas restricciones empiezan a regir para el </w:t>
      </w:r>
      <w:proofErr w:type="gramStart"/>
      <w:r w:rsidRPr="00E2397D">
        <w:rPr>
          <w:rFonts w:ascii="Verdana" w:eastAsia="Arial" w:hAnsi="Verdana" w:cs="Arial"/>
          <w:lang w:val="es-ES" w:eastAsia="es-ES" w:bidi="es-ES"/>
        </w:rPr>
        <w:t>Presidente</w:t>
      </w:r>
      <w:proofErr w:type="gramEnd"/>
      <w:r w:rsidRPr="00E2397D">
        <w:rPr>
          <w:rFonts w:ascii="Verdana" w:eastAsia="Arial" w:hAnsi="Verdana" w:cs="Arial"/>
          <w:lang w:val="es-ES" w:eastAsia="es-ES" w:bidi="es-ES"/>
        </w:rPr>
        <w:t xml:space="preserve"> y el </w:t>
      </w:r>
      <w:proofErr w:type="gramStart"/>
      <w:r w:rsidRPr="00E2397D">
        <w:rPr>
          <w:rFonts w:ascii="Verdana" w:eastAsia="Arial" w:hAnsi="Verdana" w:cs="Arial"/>
          <w:lang w:val="es-ES" w:eastAsia="es-ES" w:bidi="es-ES"/>
        </w:rPr>
        <w:t>Vicepresidente</w:t>
      </w:r>
      <w:proofErr w:type="gramEnd"/>
      <w:r w:rsidRPr="00E2397D">
        <w:rPr>
          <w:rFonts w:ascii="Verdana" w:eastAsia="Arial" w:hAnsi="Verdana" w:cs="Arial"/>
          <w:lang w:val="es-ES" w:eastAsia="es-ES" w:bidi="es-ES"/>
        </w:rPr>
        <w:t xml:space="preserve"> de la República, ha perdido vigencia ante la prohibición de la reelección presidencial, restablecida por el Acto Legislativo 2 de 2015. Esto excepto para el </w:t>
      </w:r>
      <w:proofErr w:type="gramStart"/>
      <w:r w:rsidRPr="00E2397D">
        <w:rPr>
          <w:rFonts w:ascii="Verdana" w:eastAsia="Arial" w:hAnsi="Verdana" w:cs="Arial"/>
          <w:lang w:val="es-ES" w:eastAsia="es-ES" w:bidi="es-ES"/>
        </w:rPr>
        <w:t>Vicepresidente</w:t>
      </w:r>
      <w:proofErr w:type="gramEnd"/>
      <w:r w:rsidRPr="00E2397D">
        <w:rPr>
          <w:rFonts w:ascii="Verdana" w:eastAsia="Arial" w:hAnsi="Verdana" w:cs="Arial"/>
          <w:lang w:val="es-ES" w:eastAsia="es-ES" w:bidi="es-ES"/>
        </w:rPr>
        <w:t xml:space="preserve"> que no haya ejercido la presidencia o que la haya ejercido por un tiempo inferior a tres (3) meses durante el respectivo cuatrienio, en forma continua o discontinua, conforme al artículo 197 de la Constitución Política. </w:t>
      </w:r>
    </w:p>
    <w:p w14:paraId="652FDDC4" w14:textId="77777777" w:rsidR="0056015C" w:rsidRDefault="0056015C" w:rsidP="0056015C">
      <w:pPr>
        <w:spacing w:after="120" w:line="276" w:lineRule="auto"/>
        <w:ind w:firstLine="708"/>
        <w:jc w:val="both"/>
        <w:rPr>
          <w:rFonts w:ascii="Verdana" w:eastAsia="Times New Roman" w:hAnsi="Verdana" w:cs="Arial"/>
          <w:bCs/>
          <w:lang w:eastAsia="es-CO"/>
        </w:rPr>
      </w:pPr>
      <w:r>
        <w:rPr>
          <w:rFonts w:ascii="Verdana" w:eastAsia="Times New Roman" w:hAnsi="Verdana" w:cs="Arial"/>
          <w:bCs/>
          <w:lang w:val="es-MX" w:eastAsia="es-CO"/>
        </w:rPr>
        <w:t>Ahora bien, para entender el momento de aplicación de estas restricciones, es preciso señalar que el vocablo “celebrar” es definido por el Diccionario Panhispánico del Español Jurídico como:</w:t>
      </w:r>
      <w:r w:rsidRPr="00116894">
        <w:rPr>
          <w:rFonts w:ascii="Verdana" w:eastAsia="Times New Roman" w:hAnsi="Verdana" w:cs="Arial"/>
          <w:bCs/>
          <w:lang w:val="es-MX" w:eastAsia="es-CO"/>
        </w:rPr>
        <w:t xml:space="preserve"> “</w:t>
      </w:r>
      <w:r w:rsidRPr="00116894">
        <w:rPr>
          <w:rFonts w:ascii="Verdana" w:eastAsia="Times New Roman" w:hAnsi="Verdana" w:cs="Arial"/>
          <w:bCs/>
          <w:lang w:eastAsia="es-CO"/>
        </w:rPr>
        <w:t>1. </w:t>
      </w:r>
      <w:r w:rsidRPr="00116894">
        <w:rPr>
          <w:rFonts w:ascii="Verdana" w:eastAsia="Times New Roman" w:hAnsi="Verdana" w:cs="Arial"/>
          <w:bCs/>
          <w:i/>
          <w:iCs/>
          <w:lang w:eastAsia="es-CO"/>
        </w:rPr>
        <w:t>Gral.</w:t>
      </w:r>
      <w:r>
        <w:rPr>
          <w:rFonts w:ascii="Verdana" w:eastAsia="Times New Roman" w:hAnsi="Verdana" w:cs="Arial"/>
          <w:bCs/>
          <w:lang w:eastAsia="es-CO"/>
        </w:rPr>
        <w:t xml:space="preserve"> </w:t>
      </w:r>
      <w:r w:rsidRPr="00116894">
        <w:rPr>
          <w:rFonts w:ascii="Verdana" w:eastAsia="Times New Roman" w:hAnsi="Verdana" w:cs="Arial"/>
          <w:bCs/>
          <w:lang w:eastAsia="es-CO"/>
        </w:rPr>
        <w:t>Otorgar o firmar un contrato. 2</w:t>
      </w:r>
      <w:r>
        <w:rPr>
          <w:rFonts w:ascii="Verdana" w:eastAsia="Times New Roman" w:hAnsi="Verdana" w:cs="Arial"/>
          <w:bCs/>
          <w:lang w:eastAsia="es-CO"/>
        </w:rPr>
        <w:t xml:space="preserve">. </w:t>
      </w:r>
      <w:proofErr w:type="spellStart"/>
      <w:r w:rsidRPr="00116894">
        <w:rPr>
          <w:rFonts w:ascii="Verdana" w:eastAsia="Times New Roman" w:hAnsi="Verdana" w:cs="Arial"/>
          <w:bCs/>
          <w:i/>
          <w:iCs/>
          <w:lang w:eastAsia="es-CO"/>
        </w:rPr>
        <w:t>Proc</w:t>
      </w:r>
      <w:proofErr w:type="spellEnd"/>
      <w:r w:rsidRPr="00116894">
        <w:rPr>
          <w:rFonts w:ascii="Verdana" w:eastAsia="Times New Roman" w:hAnsi="Verdana" w:cs="Arial"/>
          <w:bCs/>
          <w:i/>
          <w:iCs/>
          <w:lang w:eastAsia="es-CO"/>
        </w:rPr>
        <w:t>.</w:t>
      </w:r>
      <w:r>
        <w:rPr>
          <w:rFonts w:ascii="Verdana" w:eastAsia="Times New Roman" w:hAnsi="Verdana" w:cs="Arial"/>
          <w:bCs/>
          <w:lang w:eastAsia="es-CO"/>
        </w:rPr>
        <w:t xml:space="preserve"> </w:t>
      </w:r>
      <w:r w:rsidRPr="00116894">
        <w:rPr>
          <w:rFonts w:ascii="Verdana" w:eastAsia="Times New Roman" w:hAnsi="Verdana" w:cs="Arial"/>
          <w:bCs/>
          <w:lang w:eastAsia="es-CO"/>
        </w:rPr>
        <w:t>Realizar los actos procesa</w:t>
      </w:r>
      <w:r>
        <w:rPr>
          <w:rFonts w:ascii="Verdana" w:eastAsia="Times New Roman" w:hAnsi="Verdana" w:cs="Arial"/>
          <w:bCs/>
          <w:lang w:eastAsia="es-CO"/>
        </w:rPr>
        <w:t xml:space="preserve">les propios de un juicio o vista”. Dentro de las dos definiciones, la que se acerca a la expresión “celebrar” en el contexto de la Ley de Garantías Electorales es la primera, esto es, al perfeccionamiento del contrato. </w:t>
      </w:r>
    </w:p>
    <w:p w14:paraId="785B8B8E" w14:textId="77777777" w:rsidR="0056015C" w:rsidRDefault="0056015C" w:rsidP="0056015C">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447D82">
        <w:rPr>
          <w:rFonts w:ascii="Verdana" w:eastAsia="Times New Roman" w:hAnsi="Verdana" w:cs="Arial"/>
          <w:bCs/>
          <w:lang w:val="es-ES" w:eastAsia="es-CO"/>
        </w:rPr>
        <w:t xml:space="preserve">la existencia de los contratos estatales, es decir, la producción de efectos jurídicos en los términos del artículo 1501 </w:t>
      </w:r>
      <w:r w:rsidRPr="00447D82">
        <w:rPr>
          <w:rFonts w:ascii="Verdana" w:eastAsia="Times New Roman" w:hAnsi="Verdana" w:cs="Arial"/>
          <w:bCs/>
          <w:i/>
          <w:lang w:val="es-ES" w:eastAsia="es-CO"/>
        </w:rPr>
        <w:t>ib</w:t>
      </w:r>
      <w:r>
        <w:rPr>
          <w:rFonts w:ascii="Verdana" w:eastAsia="Times New Roman" w:hAnsi="Verdana" w:cs="Arial"/>
          <w:bCs/>
          <w:i/>
          <w:lang w:val="es-ES" w:eastAsia="es-CO"/>
        </w:rPr>
        <w:t>i</w:t>
      </w:r>
      <w:r w:rsidRPr="00447D82">
        <w:rPr>
          <w:rFonts w:ascii="Verdana" w:eastAsia="Times New Roman" w:hAnsi="Verdana" w:cs="Arial"/>
          <w:bCs/>
          <w:i/>
          <w:lang w:val="es-ES" w:eastAsia="es-CO"/>
        </w:rPr>
        <w:t>dem</w:t>
      </w:r>
      <w:r w:rsidRPr="00447D82">
        <w:rPr>
          <w:rFonts w:ascii="Verdana" w:eastAsia="Times New Roman" w:hAnsi="Verdana" w:cs="Arial"/>
          <w:bCs/>
          <w:lang w:val="es-ES" w:eastAsia="es-CO"/>
        </w:rPr>
        <w:t>, depende de la regulación del inciso primero d</w:t>
      </w:r>
      <w:r>
        <w:rPr>
          <w:rFonts w:ascii="Verdana" w:eastAsia="Times New Roman" w:hAnsi="Verdana" w:cs="Arial"/>
          <w:bCs/>
          <w:lang w:val="es-ES" w:eastAsia="es-CO"/>
        </w:rPr>
        <w:t>e los artículos 39 y 41 de la Ley 80 de 1993</w:t>
      </w:r>
      <w:r w:rsidRPr="00447D82">
        <w:rPr>
          <w:rFonts w:ascii="Verdana" w:eastAsia="Times New Roman" w:hAnsi="Verdana" w:cs="Arial"/>
          <w:bCs/>
          <w:lang w:val="es-ES" w:eastAsia="es-CO"/>
        </w:rPr>
        <w:t xml:space="preserve">. Por un lado, “Los contratos que celebren las entidades estatales constarán por escrito y no requerirán ser elevados a escritura pública, con excepción de aquellos que impliquen mutación </w:t>
      </w:r>
      <w:r w:rsidRPr="00447D82">
        <w:rPr>
          <w:rFonts w:ascii="Verdana" w:eastAsia="Times New Roman" w:hAnsi="Verdana" w:cs="Arial"/>
          <w:bCs/>
          <w:lang w:val="es-ES" w:eastAsia="es-CO"/>
        </w:rPr>
        <w:lastRenderedPageBreak/>
        <w:t>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w:t>
      </w:r>
      <w:r>
        <w:rPr>
          <w:rFonts w:ascii="Verdana" w:eastAsia="Times New Roman" w:hAnsi="Verdana" w:cs="Arial"/>
          <w:bCs/>
          <w:lang w:val="es-ES" w:eastAsia="es-CO"/>
        </w:rPr>
        <w:t xml:space="preserve"> </w:t>
      </w:r>
    </w:p>
    <w:p w14:paraId="6B05C13E" w14:textId="77777777" w:rsidR="0056015C" w:rsidRDefault="0056015C" w:rsidP="0056015C">
      <w:pPr>
        <w:spacing w:after="12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56D34EB3" w14:textId="77777777" w:rsidR="0056015C" w:rsidRPr="005B4B74" w:rsidRDefault="0056015C" w:rsidP="0056015C">
      <w:pPr>
        <w:spacing w:after="0" w:line="276" w:lineRule="auto"/>
        <w:ind w:firstLine="708"/>
        <w:jc w:val="both"/>
        <w:rPr>
          <w:rFonts w:ascii="Verdana" w:eastAsia="Times New Roman" w:hAnsi="Verdana" w:cs="Arial"/>
          <w:bCs/>
          <w:lang w:val="es-ES" w:eastAsia="es-CO"/>
        </w:rPr>
      </w:pPr>
      <w:r>
        <w:rPr>
          <w:rFonts w:ascii="Verdana" w:eastAsia="Times New Roman" w:hAnsi="Verdana" w:cs="Arial"/>
          <w:bCs/>
          <w:lang w:val="es-ES" w:eastAsia="es-CO"/>
        </w:rPr>
        <w:t xml:space="preserve">Asimismo, </w:t>
      </w:r>
      <w:r>
        <w:rPr>
          <w:rFonts w:ascii="Verdana" w:eastAsia="Times New Roman" w:hAnsi="Verdana" w:cs="Arial"/>
          <w:bCs/>
          <w:lang w:val="es-MX" w:eastAsia="es-CO"/>
        </w:rPr>
        <w:t>c</w:t>
      </w:r>
      <w:r w:rsidRPr="00894384">
        <w:rPr>
          <w:rFonts w:ascii="Verdana" w:eastAsia="Times New Roman" w:hAnsi="Verdana" w:cs="Arial"/>
          <w:bCs/>
          <w:lang w:val="es-MX" w:eastAsia="es-CO"/>
        </w:rPr>
        <w:t xml:space="preserve">omo en otras oportunidades lo ha manifestado esta Agencia, las prórrogas, modificaciones o adiciones de los contratos suscritos antes de la </w:t>
      </w:r>
      <w:proofErr w:type="gramStart"/>
      <w:r w:rsidRPr="00894384">
        <w:rPr>
          <w:rFonts w:ascii="Verdana" w:eastAsia="Times New Roman" w:hAnsi="Verdana" w:cs="Arial"/>
          <w:bCs/>
          <w:lang w:val="es-MX" w:eastAsia="es-CO"/>
        </w:rPr>
        <w:t>entrada en vigencia</w:t>
      </w:r>
      <w:proofErr w:type="gramEnd"/>
      <w:r w:rsidRPr="00894384">
        <w:rPr>
          <w:rFonts w:ascii="Verdana" w:eastAsia="Times New Roman" w:hAnsi="Verdana" w:cs="Arial"/>
          <w:bCs/>
          <w:lang w:val="es-MX" w:eastAsia="es-CO"/>
        </w:rPr>
        <w:t xml:space="preserve"> de las prohibiciones anotadas, así como la cesión de </w:t>
      </w:r>
      <w:proofErr w:type="gramStart"/>
      <w:r w:rsidRPr="00894384">
        <w:rPr>
          <w:rFonts w:ascii="Verdana" w:eastAsia="Times New Roman" w:hAnsi="Verdana" w:cs="Arial"/>
          <w:bCs/>
          <w:lang w:val="es-MX" w:eastAsia="es-CO"/>
        </w:rPr>
        <w:t>los mismos</w:t>
      </w:r>
      <w:proofErr w:type="gramEnd"/>
      <w:r w:rsidRPr="00894384">
        <w:rPr>
          <w:rFonts w:ascii="Verdana" w:eastAsia="Times New Roman" w:hAnsi="Verdana" w:cs="Arial"/>
          <w:bCs/>
          <w:lang w:val="es-MX" w:eastAsia="es-CO"/>
        </w:rPr>
        <w:t>, pueden tener lugar en el período de aplicación de la Ley de Garantías, sin que ello haga nugatoria la restricción de la contratación directa y siempre que cumplan los principios de planeación, transparencia y responsabilidad</w:t>
      </w:r>
      <w:r w:rsidRPr="00894384">
        <w:rPr>
          <w:rFonts w:ascii="Verdana" w:eastAsia="Times New Roman" w:hAnsi="Verdana" w:cs="Arial"/>
          <w:bCs/>
          <w:vertAlign w:val="superscript"/>
          <w:lang w:val="es-MX" w:eastAsia="es-CO"/>
        </w:rPr>
        <w:footnoteReference w:id="10"/>
      </w:r>
      <w:r w:rsidRPr="00894384">
        <w:rPr>
          <w:rFonts w:ascii="Verdana" w:eastAsia="Times New Roman" w:hAnsi="Verdana" w:cs="Arial"/>
          <w:bCs/>
          <w:lang w:val="es-MX" w:eastAsia="es-CO"/>
        </w:rPr>
        <w:t xml:space="preserve">. </w:t>
      </w:r>
      <w:r w:rsidRPr="00E2397D">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w:t>
      </w:r>
      <w:r>
        <w:rPr>
          <w:rFonts w:ascii="Verdana" w:eastAsia="Arial" w:hAnsi="Verdana" w:cs="Arial"/>
          <w:lang w:val="es-ES" w:eastAsia="es-ES" w:bidi="es-ES"/>
        </w:rPr>
        <w:t>era</w:t>
      </w:r>
      <w:r w:rsidRPr="00E2397D">
        <w:rPr>
          <w:rFonts w:ascii="Verdana" w:eastAsia="Arial" w:hAnsi="Verdana" w:cs="Arial"/>
          <w:lang w:val="es-ES" w:eastAsia="es-ES" w:bidi="es-ES"/>
        </w:rPr>
        <w:t>:</w:t>
      </w:r>
    </w:p>
    <w:p w14:paraId="037F0784" w14:textId="77777777" w:rsidR="0056015C" w:rsidRPr="00E2397D" w:rsidRDefault="0056015C" w:rsidP="0056015C">
      <w:pPr>
        <w:widowControl w:val="0"/>
        <w:autoSpaceDE w:val="0"/>
        <w:autoSpaceDN w:val="0"/>
        <w:spacing w:after="0" w:line="276" w:lineRule="auto"/>
        <w:ind w:left="805" w:right="812"/>
        <w:contextualSpacing/>
        <w:jc w:val="both"/>
        <w:rPr>
          <w:rFonts w:ascii="Verdana" w:eastAsia="Arial" w:hAnsi="Verdana" w:cs="Arial"/>
          <w:lang w:val="es-ES" w:eastAsia="es-ES" w:bidi="es-ES"/>
        </w:rPr>
      </w:pPr>
    </w:p>
    <w:p w14:paraId="3B50084D" w14:textId="77777777" w:rsidR="0056015C" w:rsidRDefault="0056015C" w:rsidP="0056015C">
      <w:pPr>
        <w:widowControl w:val="0"/>
        <w:autoSpaceDE w:val="0"/>
        <w:autoSpaceDN w:val="0"/>
        <w:spacing w:after="0" w:line="240" w:lineRule="auto"/>
        <w:ind w:left="709" w:right="709"/>
        <w:jc w:val="both"/>
        <w:rPr>
          <w:rFonts w:ascii="Verdana" w:eastAsia="Arial" w:hAnsi="Verdana" w:cs="Arial"/>
          <w:lang w:val="es-ES" w:eastAsia="es-ES" w:bidi="es-ES"/>
        </w:rPr>
      </w:pPr>
      <w:r w:rsidRPr="00E2397D">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w:t>
      </w:r>
      <w:r w:rsidRPr="00E2397D">
        <w:rPr>
          <w:rFonts w:ascii="Verdana" w:eastAsia="Arial" w:hAnsi="Verdana" w:cs="Arial"/>
          <w:sz w:val="20"/>
          <w:szCs w:val="20"/>
          <w:lang w:eastAsia="es-ES" w:bidi="es-ES"/>
        </w:rPr>
        <w:lastRenderedPageBreak/>
        <w:t>del parágrafo del artículo 38. En cambio, para elecciones en general, excluyendo las correspondientes a Presidente de la República, a las autoridades territoriales allí mencionadas sólo se aplican las restricciones contenidas en el parágrafo del artículo 38”.</w:t>
      </w:r>
      <w:r w:rsidRPr="00E2397D">
        <w:rPr>
          <w:rFonts w:ascii="Verdana" w:eastAsia="Arial" w:hAnsi="Verdana" w:cs="Arial"/>
          <w:sz w:val="20"/>
          <w:szCs w:val="20"/>
          <w:vertAlign w:val="superscript"/>
          <w:lang w:eastAsia="es-ES" w:bidi="es-ES"/>
        </w:rPr>
        <w:footnoteReference w:id="11"/>
      </w:r>
    </w:p>
    <w:p w14:paraId="085B5867" w14:textId="77777777" w:rsidR="0056015C" w:rsidRPr="00380CA4" w:rsidRDefault="0056015C" w:rsidP="0056015C">
      <w:pPr>
        <w:spacing w:after="0" w:line="276" w:lineRule="auto"/>
        <w:ind w:firstLine="709"/>
        <w:jc w:val="both"/>
        <w:rPr>
          <w:rFonts w:ascii="Verdana" w:eastAsia="Arial" w:hAnsi="Verdana" w:cs="Arial"/>
          <w:lang w:eastAsia="es-ES" w:bidi="es-ES"/>
        </w:rPr>
      </w:pPr>
    </w:p>
    <w:p w14:paraId="335B2682" w14:textId="77777777" w:rsidR="0056015C" w:rsidRPr="00380CA4" w:rsidRDefault="0056015C" w:rsidP="0056015C">
      <w:pPr>
        <w:spacing w:after="0" w:line="276" w:lineRule="auto"/>
        <w:jc w:val="both"/>
        <w:rPr>
          <w:rFonts w:ascii="Verdana" w:eastAsia="Times New Roman" w:hAnsi="Verdana" w:cs="Arial"/>
          <w:bCs/>
          <w:lang w:eastAsia="es-CO"/>
        </w:rPr>
      </w:pPr>
      <w:proofErr w:type="spellStart"/>
      <w:r>
        <w:rPr>
          <w:rFonts w:ascii="Verdana" w:eastAsia="Arial" w:hAnsi="Verdana" w:cs="Arial"/>
          <w:lang w:eastAsia="es-ES" w:bidi="es-ES"/>
        </w:rPr>
        <w:t>iii</w:t>
      </w:r>
      <w:proofErr w:type="spellEnd"/>
      <w:r>
        <w:rPr>
          <w:rFonts w:ascii="Verdana" w:eastAsia="Arial" w:hAnsi="Verdana" w:cs="Arial"/>
          <w:lang w:eastAsia="es-ES" w:bidi="es-ES"/>
        </w:rPr>
        <w:t>.</w:t>
      </w:r>
      <w:r w:rsidRPr="00380CA4">
        <w:rPr>
          <w:rFonts w:ascii="Verdana" w:eastAsia="Arial" w:hAnsi="Verdana" w:cs="Arial"/>
          <w:lang w:eastAsia="es-ES" w:bidi="es-ES"/>
        </w:rPr>
        <w:t xml:space="preserve"> </w:t>
      </w:r>
      <w:r w:rsidRPr="00380CA4">
        <w:rPr>
          <w:rFonts w:ascii="Verdana" w:eastAsia="Times New Roman" w:hAnsi="Verdana" w:cs="Arial"/>
          <w:bCs/>
          <w:lang w:eastAsia="x-none"/>
        </w:rPr>
        <w:t xml:space="preserve">El ámbito material de la prohibición contenida en el artículo 33 de la ley 996 de 2005 está delimitado por la expresión </w:t>
      </w:r>
      <w:r w:rsidRPr="00380CA4">
        <w:rPr>
          <w:rFonts w:ascii="Verdana" w:eastAsia="Calibri" w:hAnsi="Verdana" w:cs="Arial"/>
          <w:bCs/>
          <w:sz w:val="20"/>
          <w:szCs w:val="20"/>
        </w:rPr>
        <w:t>“</w:t>
      </w:r>
      <w:r w:rsidRPr="00380CA4">
        <w:rPr>
          <w:rFonts w:ascii="Verdana" w:eastAsia="Times New Roman" w:hAnsi="Verdana" w:cs="Arial"/>
          <w:bCs/>
          <w:lang w:eastAsia="x-none"/>
        </w:rPr>
        <w:t>queda prohibida la contratación directa</w:t>
      </w:r>
      <w:r w:rsidRPr="00380CA4">
        <w:rPr>
          <w:rFonts w:ascii="Verdana" w:eastAsia="Calibri" w:hAnsi="Verdana" w:cs="Arial"/>
          <w:sz w:val="20"/>
          <w:szCs w:val="20"/>
        </w:rPr>
        <w:t>”</w:t>
      </w:r>
      <w:r w:rsidRPr="00380CA4">
        <w:rPr>
          <w:rFonts w:ascii="Verdana" w:eastAsia="Times New Roman" w:hAnsi="Verdana" w:cs="Arial"/>
          <w:bCs/>
          <w:lang w:eastAsia="x-none"/>
        </w:rPr>
        <w:t xml:space="preserve">. </w:t>
      </w:r>
      <w:r w:rsidRPr="00380CA4">
        <w:rPr>
          <w:rFonts w:ascii="Verdana" w:eastAsia="Times New Roman" w:hAnsi="Verdana" w:cs="Arial"/>
          <w:lang w:eastAsia="es-CO"/>
        </w:rPr>
        <w:t xml:space="preserve"> A propósito de esta restricción de la Ley de Garantías Electorales, la Sala de Consulta y Servicio Civil del Consejo de Estado ha considerado que:</w:t>
      </w:r>
    </w:p>
    <w:p w14:paraId="4AE120D1" w14:textId="77777777" w:rsidR="0056015C" w:rsidRPr="00380CA4" w:rsidRDefault="0056015C" w:rsidP="0056015C">
      <w:pPr>
        <w:spacing w:after="0" w:line="240" w:lineRule="auto"/>
        <w:ind w:left="708" w:right="709"/>
        <w:jc w:val="both"/>
        <w:rPr>
          <w:rFonts w:ascii="Verdana" w:eastAsia="Calibri" w:hAnsi="Verdana" w:cs="Arial"/>
          <w:sz w:val="21"/>
          <w:szCs w:val="21"/>
        </w:rPr>
      </w:pPr>
    </w:p>
    <w:p w14:paraId="39B4D8BA" w14:textId="77777777" w:rsidR="0056015C" w:rsidRPr="00380CA4" w:rsidRDefault="0056015C" w:rsidP="0056015C">
      <w:pPr>
        <w:spacing w:after="120" w:line="240" w:lineRule="auto"/>
        <w:ind w:left="709" w:right="709"/>
        <w:jc w:val="both"/>
        <w:rPr>
          <w:rFonts w:ascii="Verdana" w:eastAsia="Calibri" w:hAnsi="Verdana" w:cs="Arial"/>
          <w:sz w:val="20"/>
          <w:szCs w:val="20"/>
        </w:rPr>
      </w:pPr>
      <w:r w:rsidRPr="00380CA4">
        <w:rPr>
          <w:rFonts w:ascii="Verdana" w:eastAsia="Calibri" w:hAnsi="Verdana" w:cs="Arial"/>
          <w:sz w:val="20"/>
          <w:szCs w:val="20"/>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380CA4">
        <w:rPr>
          <w:rFonts w:ascii="Verdana" w:eastAsia="Times New Roman" w:hAnsi="Verdana" w:cs="Arial"/>
          <w:sz w:val="20"/>
          <w:szCs w:val="20"/>
          <w:vertAlign w:val="superscript"/>
          <w:lang w:eastAsia="es-CO"/>
        </w:rPr>
        <w:footnoteReference w:id="12"/>
      </w:r>
      <w:r w:rsidRPr="00380CA4">
        <w:rPr>
          <w:rFonts w:ascii="Verdana" w:eastAsia="Calibri" w:hAnsi="Verdana" w:cs="Arial"/>
          <w:sz w:val="20"/>
          <w:szCs w:val="20"/>
        </w:rPr>
        <w:t>.</w:t>
      </w:r>
    </w:p>
    <w:p w14:paraId="69EB3980" w14:textId="77777777" w:rsidR="0056015C" w:rsidRPr="00380CA4" w:rsidRDefault="0056015C" w:rsidP="0056015C">
      <w:pPr>
        <w:spacing w:after="0" w:line="240" w:lineRule="auto"/>
        <w:ind w:left="708" w:right="709"/>
        <w:jc w:val="both"/>
        <w:rPr>
          <w:rFonts w:ascii="Verdana" w:eastAsia="Calibri" w:hAnsi="Verdana" w:cs="Arial"/>
          <w:sz w:val="20"/>
          <w:szCs w:val="20"/>
        </w:rPr>
      </w:pPr>
      <w:r w:rsidRPr="00380CA4">
        <w:rPr>
          <w:rFonts w:ascii="Verdana" w:eastAsia="Calibri" w:hAnsi="Verdana" w:cs="Arial"/>
          <w:sz w:val="20"/>
          <w:szCs w:val="20"/>
        </w:rPr>
        <w:t>Esta Sala ha entendido que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380CA4">
        <w:rPr>
          <w:rFonts w:ascii="Verdana" w:eastAsia="Times New Roman" w:hAnsi="Verdana" w:cs="Arial"/>
          <w:sz w:val="20"/>
          <w:szCs w:val="20"/>
          <w:vertAlign w:val="superscript"/>
        </w:rPr>
        <w:footnoteReference w:id="13"/>
      </w:r>
      <w:r w:rsidRPr="00380CA4">
        <w:rPr>
          <w:rFonts w:ascii="Verdana" w:eastAsia="Times New Roman" w:hAnsi="Verdana" w:cs="Arial"/>
          <w:sz w:val="20"/>
          <w:szCs w:val="20"/>
          <w:vertAlign w:val="superscript"/>
        </w:rPr>
        <w:t>.</w:t>
      </w:r>
      <w:r w:rsidRPr="00380CA4">
        <w:rPr>
          <w:rFonts w:ascii="Verdana" w:eastAsia="Calibri"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380CA4">
        <w:rPr>
          <w:rFonts w:ascii="Verdana" w:eastAsia="Times New Roman" w:hAnsi="Verdana" w:cs="Arial"/>
          <w:sz w:val="20"/>
          <w:szCs w:val="20"/>
          <w:vertAlign w:val="superscript"/>
          <w:lang w:eastAsia="es-CO"/>
        </w:rPr>
        <w:footnoteReference w:id="14"/>
      </w:r>
      <w:r w:rsidRPr="00380CA4">
        <w:rPr>
          <w:rFonts w:ascii="Verdana" w:eastAsia="Calibri" w:hAnsi="Verdana" w:cs="Arial"/>
          <w:sz w:val="20"/>
          <w:szCs w:val="20"/>
        </w:rPr>
        <w:t xml:space="preserve"> .</w:t>
      </w:r>
    </w:p>
    <w:p w14:paraId="0009CCDA" w14:textId="77777777" w:rsidR="0056015C" w:rsidRPr="00380CA4" w:rsidRDefault="0056015C" w:rsidP="0056015C">
      <w:pPr>
        <w:shd w:val="clear" w:color="auto" w:fill="FFFFFF"/>
        <w:spacing w:after="0" w:line="276" w:lineRule="auto"/>
        <w:ind w:firstLine="709"/>
        <w:jc w:val="both"/>
        <w:rPr>
          <w:rFonts w:ascii="Verdana" w:eastAsia="Times New Roman" w:hAnsi="Verdana" w:cs="Arial"/>
          <w:lang w:eastAsia="x-none"/>
        </w:rPr>
      </w:pPr>
    </w:p>
    <w:p w14:paraId="13048983" w14:textId="77777777" w:rsidR="0056015C" w:rsidRPr="00380CA4" w:rsidRDefault="0056015C" w:rsidP="0056015C">
      <w:pPr>
        <w:spacing w:after="120" w:line="276" w:lineRule="auto"/>
        <w:ind w:firstLine="708"/>
        <w:jc w:val="both"/>
        <w:rPr>
          <w:rFonts w:ascii="Verdana" w:eastAsia="Times New Roman" w:hAnsi="Verdana" w:cs="Arial"/>
          <w:bCs/>
          <w:lang w:eastAsia="x-none"/>
        </w:rPr>
      </w:pPr>
      <w:r w:rsidRPr="00380CA4">
        <w:rPr>
          <w:rFonts w:ascii="Verdana" w:eastAsia="Times New Roman" w:hAnsi="Verdana" w:cs="Arial"/>
          <w:lang w:eastAsia="x-none"/>
        </w:rPr>
        <w:t xml:space="preserve">De acuerdo con el citado concepto, la prohibición del artículo 33 de la Ley de Garantías Electorales se refiere a </w:t>
      </w:r>
      <w:r w:rsidRPr="00380CA4">
        <w:rPr>
          <w:rFonts w:ascii="Verdana" w:eastAsia="Times New Roman" w:hAnsi="Verdana" w:cs="Arial"/>
          <w:sz w:val="19"/>
          <w:szCs w:val="19"/>
          <w:lang w:eastAsia="en-GB"/>
        </w:rPr>
        <w:t>“</w:t>
      </w:r>
      <w:r w:rsidRPr="00380CA4">
        <w:rPr>
          <w:rFonts w:ascii="Verdana" w:eastAsia="Times New Roman" w:hAnsi="Verdana" w:cs="Arial"/>
          <w:lang w:eastAsia="x-none"/>
        </w:rPr>
        <w:t>cualquier sistema que no implique convocatoria pública y posibilidad de pluralidad de oferentes</w:t>
      </w:r>
      <w:r w:rsidRPr="00380CA4">
        <w:rPr>
          <w:rFonts w:ascii="Verdana" w:eastAsia="Times New Roman" w:hAnsi="Verdana" w:cs="Arial"/>
          <w:lang w:eastAsia="en-GB"/>
        </w:rPr>
        <w:t>”</w:t>
      </w:r>
      <w:r w:rsidRPr="00380CA4">
        <w:rPr>
          <w:rFonts w:ascii="Verdana" w:eastAsia="Times New Roman" w:hAnsi="Verdana" w:cs="Arial"/>
          <w:lang w:eastAsia="x-none"/>
        </w:rPr>
        <w:t xml:space="preserve">, por lo que excluye </w:t>
      </w:r>
      <w:r w:rsidRPr="00380CA4">
        <w:rPr>
          <w:rFonts w:ascii="Verdana" w:eastAsia="Times New Roman" w:hAnsi="Verdana" w:cs="Arial"/>
          <w:lang w:eastAsia="x-none"/>
        </w:rPr>
        <w:lastRenderedPageBreak/>
        <w:t>las demás modalidades de contratación previstas en la Ley 1150 de 2007, es decir, la licitación pública, la selección abreviada, el concurso de méritos y la mínima cuantía</w:t>
      </w:r>
      <w:r w:rsidRPr="00380CA4" w:rsidDel="00A85D9F">
        <w:rPr>
          <w:rFonts w:ascii="Verdana" w:eastAsia="Times New Roman" w:hAnsi="Verdana" w:cs="Arial"/>
          <w:lang w:eastAsia="x-none"/>
        </w:rPr>
        <w:t xml:space="preserve"> </w:t>
      </w:r>
      <w:r w:rsidRPr="00380CA4">
        <w:rPr>
          <w:rFonts w:ascii="Verdana" w:eastAsia="Times New Roman" w:hAnsi="Verdana" w:cs="Arial"/>
          <w:lang w:eastAsia="x-none"/>
        </w:rPr>
        <w:t>u otros previstos en normas especiales. Esta posición es congruente con la expedición de la Ley 1150 de 2007 que, entre otras reformas, introdujo la selección abreviada, rediseñó el concurso de méritos</w:t>
      </w:r>
      <w:r w:rsidRPr="00380CA4">
        <w:rPr>
          <w:rFonts w:ascii="Verdana" w:eastAsia="Times New Roman" w:hAnsi="Verdana" w:cs="Arial"/>
          <w:vertAlign w:val="superscript"/>
          <w:lang w:eastAsia="x-none"/>
        </w:rPr>
        <w:footnoteReference w:id="15"/>
      </w:r>
      <w:r w:rsidRPr="00380CA4">
        <w:rPr>
          <w:rFonts w:ascii="Verdana" w:eastAsia="Times New Roman" w:hAnsi="Verdana" w:cs="Arial"/>
          <w:lang w:eastAsia="x-none"/>
        </w:rPr>
        <w:t xml:space="preserve"> y sistematizó las causales de contratación directa</w:t>
      </w:r>
      <w:r w:rsidRPr="00380CA4">
        <w:rPr>
          <w:rFonts w:ascii="Verdana" w:eastAsia="Times New Roman" w:hAnsi="Verdana" w:cs="Arial"/>
          <w:vertAlign w:val="superscript"/>
          <w:lang w:eastAsia="x-none"/>
        </w:rPr>
        <w:footnoteReference w:id="16"/>
      </w:r>
      <w:r w:rsidRPr="00380CA4">
        <w:rPr>
          <w:rFonts w:ascii="Verdana" w:eastAsia="Times New Roman" w:hAnsi="Verdana" w:cs="Arial"/>
          <w:lang w:eastAsia="x-none"/>
        </w:rPr>
        <w:t xml:space="preserve">, </w:t>
      </w:r>
      <w:r w:rsidRPr="00380CA4">
        <w:rPr>
          <w:rFonts w:ascii="Verdana" w:eastAsia="Calibri" w:hAnsi="Verdana" w:cs="Arial"/>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301C108D" w14:textId="77777777" w:rsidR="0056015C" w:rsidRPr="00F04D58" w:rsidRDefault="0056015C" w:rsidP="0056015C">
      <w:pPr>
        <w:spacing w:after="120" w:line="276" w:lineRule="auto"/>
        <w:ind w:firstLine="708"/>
        <w:jc w:val="both"/>
        <w:rPr>
          <w:rFonts w:ascii="Verdana" w:eastAsia="Times New Roman" w:hAnsi="Verdana" w:cs="Arial"/>
          <w:lang w:eastAsia="en-GB"/>
        </w:rPr>
      </w:pPr>
      <w:r w:rsidRPr="00380CA4">
        <w:rPr>
          <w:rFonts w:ascii="Verdana" w:eastAsia="Times New Roman" w:hAnsi="Verdana" w:cs="Arial"/>
          <w:lang w:eastAsia="x-none"/>
        </w:rPr>
        <w:t xml:space="preserve">De esta forma, con fundamento en la evolución de la normativa sobre la contratación pública, se ha depurado la noción de </w:t>
      </w:r>
      <w:r>
        <w:rPr>
          <w:rFonts w:ascii="Verdana" w:eastAsia="Times New Roman" w:hAnsi="Verdana" w:cs="Arial"/>
          <w:sz w:val="19"/>
          <w:szCs w:val="19"/>
          <w:lang w:eastAsia="en-GB"/>
        </w:rPr>
        <w:t>“</w:t>
      </w:r>
      <w:r w:rsidRPr="00380CA4">
        <w:rPr>
          <w:rFonts w:ascii="Verdana" w:eastAsia="Times New Roman" w:hAnsi="Verdana" w:cs="Arial"/>
          <w:lang w:eastAsia="x-none"/>
        </w:rPr>
        <w:t>contratación directa</w:t>
      </w:r>
      <w:r>
        <w:rPr>
          <w:rFonts w:ascii="Verdana" w:eastAsia="Times New Roman" w:hAnsi="Verdana" w:cs="Arial"/>
          <w:lang w:eastAsia="en-GB"/>
        </w:rPr>
        <w:t>”</w:t>
      </w:r>
      <w:r w:rsidRPr="00380CA4">
        <w:rPr>
          <w:rFonts w:ascii="Verdana" w:eastAsia="Times New Roman" w:hAnsi="Verdana" w:cs="Arial"/>
          <w:lang w:eastAsia="x-none"/>
        </w:rPr>
        <w:t>, precisando el Consejo de Estad</w:t>
      </w:r>
      <w:r>
        <w:rPr>
          <w:rFonts w:ascii="Verdana" w:eastAsia="Times New Roman" w:hAnsi="Verdana" w:cs="Arial"/>
          <w:lang w:eastAsia="x-none"/>
        </w:rPr>
        <w:t>o –en el concepto citado– que, “</w:t>
      </w:r>
      <w:r w:rsidRPr="00380CA4">
        <w:rPr>
          <w:rFonts w:ascii="Verdana" w:eastAsia="Times New Roman" w:hAnsi="Verdana" w:cs="Arial"/>
          <w:lang w:eastAsia="x-none"/>
        </w:rPr>
        <w:t>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380CA4">
        <w:rPr>
          <w:rFonts w:ascii="Verdana" w:eastAsia="Times New Roman" w:hAnsi="Verdana" w:cs="Arial"/>
          <w:vertAlign w:val="superscript"/>
          <w:lang w:eastAsia="x-none"/>
        </w:rPr>
        <w:footnoteReference w:id="17"/>
      </w:r>
      <w:r w:rsidRPr="00380CA4">
        <w:rPr>
          <w:rFonts w:ascii="Verdana" w:eastAsia="Times New Roman" w:hAnsi="Verdana" w:cs="Arial"/>
          <w:lang w:eastAsia="x-none"/>
        </w:rPr>
        <w:t>, han establecido sistemas de contratación que implican convocatoria pública y participación de varios oferentes</w:t>
      </w:r>
      <w:r>
        <w:rPr>
          <w:rFonts w:ascii="Verdana" w:eastAsia="Times New Roman" w:hAnsi="Verdana" w:cs="Arial"/>
          <w:lang w:eastAsia="en-GB"/>
        </w:rPr>
        <w:t>”</w:t>
      </w:r>
      <w:r w:rsidRPr="00380CA4">
        <w:rPr>
          <w:rFonts w:ascii="Verdana" w:eastAsia="Times New Roman" w:hAnsi="Verdana" w:cs="Arial"/>
          <w:lang w:eastAsia="x-none"/>
        </w:rPr>
        <w:t xml:space="preserve">. </w:t>
      </w:r>
    </w:p>
    <w:p w14:paraId="3FB3CDEE" w14:textId="77777777" w:rsidR="0056015C" w:rsidRPr="00380CA4" w:rsidRDefault="0056015C" w:rsidP="0056015C">
      <w:pPr>
        <w:spacing w:after="120" w:line="276" w:lineRule="auto"/>
        <w:ind w:firstLine="708"/>
        <w:jc w:val="both"/>
        <w:rPr>
          <w:rFonts w:ascii="Verdana" w:eastAsia="Times New Roman" w:hAnsi="Verdana" w:cs="Arial"/>
          <w:bCs/>
          <w:lang w:eastAsia="es-CO"/>
        </w:rPr>
      </w:pPr>
      <w:r w:rsidRPr="00380CA4">
        <w:rPr>
          <w:rFonts w:ascii="Verdana" w:eastAsia="Times New Roman" w:hAnsi="Verdana" w:cs="Arial"/>
          <w:bCs/>
          <w:lang w:eastAsia="x-none"/>
        </w:rPr>
        <w:t>E</w:t>
      </w:r>
      <w:r w:rsidRPr="00380CA4">
        <w:rPr>
          <w:rFonts w:ascii="Verdana" w:eastAsia="Times New Roman" w:hAnsi="Verdana" w:cs="Arial"/>
          <w:lang w:eastAsia="x-none"/>
        </w:rPr>
        <w:t xml:space="preserv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w:t>
      </w:r>
      <w:r w:rsidRPr="00380CA4">
        <w:rPr>
          <w:rFonts w:ascii="Verdana" w:eastAsia="Times New Roman" w:hAnsi="Verdana" w:cs="Arial"/>
          <w:lang w:eastAsia="x-none"/>
        </w:rPr>
        <w:lastRenderedPageBreak/>
        <w:t>inscribirse en forma previa se haga de manera pública, y que se permita la participación de una pluralidad de oferentes</w:t>
      </w:r>
      <w:r w:rsidRPr="00380CA4">
        <w:rPr>
          <w:rFonts w:ascii="Verdana" w:eastAsia="Times New Roman" w:hAnsi="Verdana" w:cs="Arial"/>
          <w:vertAlign w:val="superscript"/>
          <w:lang w:eastAsia="x-none"/>
        </w:rPr>
        <w:footnoteReference w:id="18"/>
      </w:r>
      <w:r w:rsidRPr="00380CA4">
        <w:rPr>
          <w:rFonts w:ascii="Verdana" w:eastAsia="Times New Roman" w:hAnsi="Verdana" w:cs="Arial"/>
          <w:lang w:eastAsia="x-none"/>
        </w:rPr>
        <w:t xml:space="preserve">. </w:t>
      </w:r>
    </w:p>
    <w:p w14:paraId="6FEFE98E" w14:textId="77777777" w:rsidR="0056015C" w:rsidRPr="00380CA4" w:rsidRDefault="0056015C" w:rsidP="0056015C">
      <w:pPr>
        <w:spacing w:after="120" w:line="276" w:lineRule="auto"/>
        <w:ind w:firstLine="708"/>
        <w:jc w:val="both"/>
        <w:rPr>
          <w:rFonts w:ascii="Verdana" w:eastAsia="Times New Roman" w:hAnsi="Verdana" w:cs="Arial"/>
          <w:bCs/>
          <w:lang w:eastAsia="es-CO"/>
        </w:rPr>
      </w:pPr>
      <w:r w:rsidRPr="00380CA4">
        <w:rPr>
          <w:rFonts w:ascii="Verdana" w:eastAsia="Times New Roman" w:hAnsi="Verdana" w:cs="Arial"/>
          <w:bCs/>
          <w:lang w:eastAsia="es-CO"/>
        </w:rPr>
        <w:t>Como se advierte de lo anterior, el Consejo de Estado realiza una interpretación amplia de la contratación directa, para efectos de aplicar las restricciones establecidas en la Ley de Garantías,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w:t>
      </w:r>
      <w:r>
        <w:rPr>
          <w:rFonts w:ascii="Verdana" w:eastAsia="Times New Roman" w:hAnsi="Verdana" w:cs="Arial"/>
          <w:bCs/>
          <w:lang w:eastAsia="es-CO"/>
        </w:rPr>
        <w:t xml:space="preserve"> mayor precisión el término de “contratación directa”</w:t>
      </w:r>
      <w:r w:rsidRPr="00380CA4">
        <w:rPr>
          <w:rFonts w:ascii="Verdana" w:eastAsia="Times New Roman" w:hAnsi="Verdana" w:cs="Arial"/>
          <w:bCs/>
          <w:lang w:eastAsia="es-CO"/>
        </w:rPr>
        <w:t>.</w:t>
      </w:r>
    </w:p>
    <w:p w14:paraId="61DFD6C2" w14:textId="77777777" w:rsidR="0056015C" w:rsidRPr="001052D1" w:rsidRDefault="0056015C" w:rsidP="0056015C">
      <w:pPr>
        <w:spacing w:after="120" w:line="276" w:lineRule="auto"/>
        <w:ind w:firstLine="708"/>
        <w:jc w:val="both"/>
        <w:rPr>
          <w:rFonts w:ascii="Verdana" w:eastAsia="Times New Roman" w:hAnsi="Verdana" w:cs="Arial"/>
          <w:bCs/>
          <w:lang w:eastAsia="x-none"/>
        </w:rPr>
      </w:pPr>
      <w:r w:rsidRPr="00380CA4">
        <w:rPr>
          <w:rFonts w:ascii="Verdana" w:eastAsia="Times New Roman" w:hAnsi="Verdana" w:cs="Arial"/>
          <w:bCs/>
          <w:lang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380CA4">
        <w:rPr>
          <w:rFonts w:ascii="Verdana" w:eastAsia="Times New Roman" w:hAnsi="Verdana" w:cs="Arial"/>
          <w:vertAlign w:val="superscript"/>
          <w:lang w:eastAsia="x-none"/>
        </w:rPr>
        <w:footnoteReference w:id="19"/>
      </w:r>
      <w:r w:rsidRPr="00380CA4">
        <w:rPr>
          <w:rFonts w:ascii="Verdana" w:eastAsia="Times New Roman" w:hAnsi="Verdana" w:cs="Arial"/>
          <w:bCs/>
          <w:lang w:eastAsia="x-none"/>
        </w:rPr>
        <w:t>.</w:t>
      </w:r>
      <w:r w:rsidRPr="00380CA4">
        <w:rPr>
          <w:rFonts w:ascii="Verdana" w:eastAsia="Times New Roman" w:hAnsi="Verdana" w:cs="Arial"/>
          <w:vertAlign w:val="superscript"/>
          <w:lang w:eastAsia="x-none"/>
        </w:rPr>
        <w:t xml:space="preserve"> </w:t>
      </w:r>
      <w:r w:rsidRPr="00380CA4">
        <w:rPr>
          <w:rFonts w:ascii="Verdana" w:eastAsia="Times New Roman" w:hAnsi="Verdana" w:cs="Arial"/>
          <w:bCs/>
          <w:lang w:eastAsia="x-none"/>
        </w:rPr>
        <w:t>De lo anterior se desprende que la restricción aplica, sin perjuicio de las excepciones establecidas en la misma ley, para celebrar cualquier contrato de forma directa, esto es, sin que exista un proceso abierto y competitivo.</w:t>
      </w:r>
      <w:r w:rsidRPr="00380CA4">
        <w:rPr>
          <w:rFonts w:ascii="Verdana" w:eastAsia="Times New Roman" w:hAnsi="Verdana" w:cs="Arial"/>
          <w:lang w:eastAsia="x-none"/>
        </w:rPr>
        <w:t xml:space="preserve">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633EB926" w14:textId="77777777" w:rsidR="0056015C" w:rsidRDefault="0056015C" w:rsidP="0056015C">
      <w:pPr>
        <w:spacing w:after="120" w:line="276" w:lineRule="auto"/>
        <w:ind w:firstLine="708"/>
        <w:jc w:val="both"/>
        <w:rPr>
          <w:rFonts w:ascii="Verdana" w:eastAsia="Times New Roman" w:hAnsi="Verdana" w:cs="Arial"/>
          <w:bCs/>
          <w:lang w:eastAsia="x-none"/>
        </w:rPr>
      </w:pPr>
      <w:r w:rsidRPr="00380CA4">
        <w:rPr>
          <w:rFonts w:ascii="Verdana" w:eastAsia="Times New Roman" w:hAnsi="Verdana" w:cs="Arial"/>
          <w:bCs/>
          <w:lang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w:t>
      </w:r>
      <w:proofErr w:type="spellStart"/>
      <w:r w:rsidRPr="00380CA4">
        <w:rPr>
          <w:rFonts w:ascii="Verdana" w:eastAsia="Times New Roman" w:hAnsi="Verdana" w:cs="Arial"/>
          <w:bCs/>
          <w:lang w:eastAsia="x-none"/>
        </w:rPr>
        <w:t>ii</w:t>
      </w:r>
      <w:proofErr w:type="spellEnd"/>
      <w:r w:rsidRPr="00380CA4">
        <w:rPr>
          <w:rFonts w:ascii="Verdana" w:eastAsia="Times New Roman" w:hAnsi="Verdana" w:cs="Arial"/>
          <w:bCs/>
          <w:lang w:eastAsia="x-none"/>
        </w:rPr>
        <w:t xml:space="preserve">) los contratos de crédito público; </w:t>
      </w:r>
      <w:proofErr w:type="spellStart"/>
      <w:r w:rsidRPr="00380CA4">
        <w:rPr>
          <w:rFonts w:ascii="Verdana" w:eastAsia="Times New Roman" w:hAnsi="Verdana" w:cs="Arial"/>
          <w:bCs/>
          <w:lang w:eastAsia="x-none"/>
        </w:rPr>
        <w:t>iii</w:t>
      </w:r>
      <w:proofErr w:type="spellEnd"/>
      <w:r w:rsidRPr="00380CA4">
        <w:rPr>
          <w:rFonts w:ascii="Verdana" w:eastAsia="Times New Roman" w:hAnsi="Verdana" w:cs="Arial"/>
          <w:bCs/>
          <w:lang w:eastAsia="x-none"/>
        </w:rPr>
        <w:t xml:space="preserve">) los requeridos para </w:t>
      </w:r>
      <w:r w:rsidRPr="00380CA4">
        <w:rPr>
          <w:rFonts w:ascii="Verdana" w:eastAsia="Times New Roman" w:hAnsi="Verdana" w:cs="Arial"/>
          <w:bCs/>
          <w:lang w:eastAsia="x-none"/>
        </w:rPr>
        <w:lastRenderedPageBreak/>
        <w:t xml:space="preserve">cubrir las emergencias educativas, sanitarias y desastres; </w:t>
      </w:r>
      <w:proofErr w:type="spellStart"/>
      <w:r w:rsidRPr="00380CA4">
        <w:rPr>
          <w:rFonts w:ascii="Verdana" w:eastAsia="Times New Roman" w:hAnsi="Verdana" w:cs="Arial"/>
          <w:bCs/>
          <w:lang w:eastAsia="x-none"/>
        </w:rPr>
        <w:t>iv</w:t>
      </w:r>
      <w:proofErr w:type="spellEnd"/>
      <w:r w:rsidRPr="00380CA4">
        <w:rPr>
          <w:rFonts w:ascii="Verdana" w:eastAsia="Times New Roman" w:hAnsi="Verdana" w:cs="Arial"/>
          <w:bCs/>
          <w:lang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w:t>
      </w:r>
      <w:r>
        <w:rPr>
          <w:rFonts w:ascii="Verdana" w:eastAsia="Times New Roman" w:hAnsi="Verdana" w:cs="Arial"/>
          <w:bCs/>
          <w:lang w:eastAsia="x-none"/>
        </w:rPr>
        <w:t>s.</w:t>
      </w:r>
    </w:p>
    <w:p w14:paraId="7851DD7D" w14:textId="77777777" w:rsidR="0056015C" w:rsidRDefault="0056015C" w:rsidP="0056015C">
      <w:pPr>
        <w:spacing w:after="120" w:line="276" w:lineRule="auto"/>
        <w:ind w:firstLine="708"/>
        <w:jc w:val="both"/>
        <w:rPr>
          <w:rFonts w:ascii="Verdana" w:eastAsia="Times New Roman" w:hAnsi="Verdana" w:cs="Arial"/>
          <w:bCs/>
          <w:lang w:eastAsia="es-CO"/>
        </w:rPr>
      </w:pPr>
      <w:r>
        <w:rPr>
          <w:rFonts w:ascii="Verdana" w:eastAsia="Times New Roman" w:hAnsi="Verdana" w:cs="Arial"/>
          <w:bCs/>
          <w:lang w:eastAsia="x-none"/>
        </w:rPr>
        <w:t>De acuerdo con dichas causales, e</w:t>
      </w:r>
      <w:r w:rsidRPr="00380CA4">
        <w:rPr>
          <w:rFonts w:ascii="Verdana" w:eastAsia="Times New Roman" w:hAnsi="Verdana" w:cs="Arial"/>
          <w:bCs/>
          <w:lang w:eastAsia="x-none"/>
        </w:rPr>
        <w:t>s.</w:t>
      </w:r>
      <w:r w:rsidRPr="00380CA4">
        <w:rPr>
          <w:rFonts w:ascii="Verdana" w:eastAsia="Times New Roman" w:hAnsi="Verdana" w:cs="Arial"/>
          <w:bCs/>
          <w:lang w:eastAsia="es-CO"/>
        </w:rPr>
        <w:t xml:space="preserve"> responsabilidad del respectivo ente del Estado, examinar en cada caso la naturaleza de las actividades que adelanta y determinar si las mismas se enmarcan en alguna de las mencionadas excepciones, de manera que se le permita realizar </w:t>
      </w:r>
      <w:r>
        <w:rPr>
          <w:rFonts w:ascii="Verdana" w:eastAsia="Times New Roman" w:hAnsi="Verdana" w:cs="Arial"/>
          <w:bCs/>
          <w:lang w:eastAsia="es-CO"/>
        </w:rPr>
        <w:t xml:space="preserve">la contratación que necesite de </w:t>
      </w:r>
      <w:r w:rsidRPr="00380CA4">
        <w:rPr>
          <w:rFonts w:ascii="Verdana" w:eastAsia="Times New Roman" w:hAnsi="Verdana" w:cs="Arial"/>
          <w:bCs/>
          <w:lang w:eastAsia="es-CO"/>
        </w:rPr>
        <w:t>forma directa.</w:t>
      </w:r>
      <w:r>
        <w:rPr>
          <w:rFonts w:ascii="Verdana" w:eastAsia="Times New Roman" w:hAnsi="Verdana" w:cs="Arial"/>
          <w:bCs/>
          <w:lang w:eastAsia="es-CO"/>
        </w:rPr>
        <w:t xml:space="preserve"> </w:t>
      </w:r>
    </w:p>
    <w:p w14:paraId="77AAF9D2" w14:textId="77777777" w:rsidR="0056015C" w:rsidRDefault="0056015C" w:rsidP="0056015C">
      <w:pPr>
        <w:spacing w:after="120" w:line="276" w:lineRule="auto"/>
        <w:ind w:firstLine="708"/>
        <w:jc w:val="both"/>
        <w:rPr>
          <w:rFonts w:ascii="Verdana" w:eastAsia="Times New Roman" w:hAnsi="Verdana" w:cs="Arial"/>
          <w:bCs/>
          <w:lang w:eastAsia="x-none"/>
        </w:rPr>
      </w:pPr>
      <w:r w:rsidRPr="00380CA4">
        <w:rPr>
          <w:rFonts w:ascii="Verdana" w:eastAsia="Times New Roman" w:hAnsi="Verdana" w:cs="Arial"/>
          <w:bCs/>
          <w:lang w:eastAsia="x-none"/>
        </w:rPr>
        <w:t>En esta labor es importante tener en cuenta, como lo anotó la Corte Constitucional, en Sentencia C-1153 de noviembre 11 de 2005 que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380CA4">
        <w:rPr>
          <w:rFonts w:ascii="Verdana" w:eastAsia="Calibri" w:hAnsi="Verdana" w:cs="Arial"/>
          <w:vertAlign w:val="superscript"/>
        </w:rPr>
        <w:footnoteReference w:id="20"/>
      </w:r>
      <w:r w:rsidRPr="00380CA4">
        <w:rPr>
          <w:rFonts w:ascii="Verdana" w:eastAsia="Times New Roman" w:hAnsi="Verdana" w:cs="Arial"/>
          <w:bCs/>
          <w:lang w:eastAsia="x-none"/>
        </w:rPr>
        <w:t>. De ahí que la Corte haya señalado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r>
        <w:rPr>
          <w:rFonts w:ascii="Verdana" w:eastAsia="Times New Roman" w:hAnsi="Verdana" w:cs="Arial"/>
          <w:bCs/>
          <w:lang w:eastAsia="x-none"/>
        </w:rPr>
        <w:t>.</w:t>
      </w:r>
    </w:p>
    <w:p w14:paraId="753EDF67" w14:textId="77777777" w:rsidR="0056015C" w:rsidRPr="002A1E2D" w:rsidRDefault="0056015C" w:rsidP="0056015C">
      <w:pPr>
        <w:spacing w:after="120" w:line="276" w:lineRule="auto"/>
        <w:ind w:firstLine="708"/>
        <w:jc w:val="both"/>
        <w:rPr>
          <w:rFonts w:ascii="Verdana" w:eastAsia="Times New Roman" w:hAnsi="Verdana" w:cs="Arial"/>
          <w:bCs/>
          <w:lang w:eastAsia="x-none"/>
        </w:rPr>
      </w:pPr>
      <w:r w:rsidRPr="002A1E2D">
        <w:rPr>
          <w:rFonts w:ascii="Verdana" w:eastAsia="Times New Roman" w:hAnsi="Verdana" w:cs="Arial"/>
          <w:bCs/>
          <w:lang w:val="es-MX" w:eastAsia="x-none"/>
        </w:rPr>
        <w:t xml:space="preserve">Así mismo, la Corte Constitucional en la Sentencia C-1153 de 2005 señaló que la expresión </w:t>
      </w:r>
      <w:r w:rsidRPr="002A1E2D">
        <w:rPr>
          <w:rFonts w:ascii="Verdana" w:eastAsia="Times New Roman" w:hAnsi="Verdana" w:cs="Arial"/>
          <w:bCs/>
          <w:i/>
          <w:iCs/>
          <w:lang w:val="es-ES" w:eastAsia="x-none"/>
        </w:rPr>
        <w:t xml:space="preserve">“adicionalmente se exceptúan aquellos gastos inaplazables e imprescindibles que afecten el normal funcionamiento de la administración” </w:t>
      </w:r>
      <w:r w:rsidRPr="002A1E2D">
        <w:rPr>
          <w:rFonts w:ascii="Verdana" w:eastAsia="Times New Roman" w:hAnsi="Verdana" w:cs="Arial"/>
          <w:bCs/>
          <w:iCs/>
          <w:lang w:val="es-ES" w:eastAsia="x-none"/>
        </w:rPr>
        <w:t>regulada como excepción en el artículo 33</w:t>
      </w:r>
      <w:r w:rsidRPr="002A1E2D">
        <w:rPr>
          <w:rFonts w:ascii="Verdana" w:eastAsia="Times New Roman" w:hAnsi="Verdana" w:cs="Arial"/>
          <w:bCs/>
          <w:i/>
          <w:iCs/>
          <w:lang w:val="es-ES" w:eastAsia="x-none"/>
        </w:rPr>
        <w:t xml:space="preserve"> </w:t>
      </w:r>
      <w:r w:rsidRPr="002A1E2D">
        <w:rPr>
          <w:rFonts w:ascii="Verdana" w:eastAsia="Times New Roman" w:hAnsi="Verdana" w:cs="Arial"/>
          <w:bCs/>
          <w:iCs/>
          <w:lang w:val="es-ES" w:eastAsia="x-none"/>
        </w:rPr>
        <w:t>es demasiado amplia y ambigua, pues términos como inaplazable, imprescindible y normal funcionamiento son evaluativos y sujetos a interpretaciones diversas, lo que permitiría introducir múltiples excepciones que desfigurarían la prohibición original y comprometerían los fines y propósitos de la Ley de Garantías Electorales.</w:t>
      </w:r>
      <w:r w:rsidRPr="002A1E2D">
        <w:rPr>
          <w:rFonts w:ascii="Verdana" w:eastAsia="Times New Roman" w:hAnsi="Verdana" w:cs="Arial"/>
          <w:bCs/>
          <w:i/>
          <w:iCs/>
          <w:lang w:val="es-ES" w:eastAsia="x-none"/>
        </w:rPr>
        <w:t xml:space="preserve"> </w:t>
      </w:r>
      <w:r w:rsidRPr="002A1E2D">
        <w:rPr>
          <w:rFonts w:ascii="Verdana" w:eastAsia="Times New Roman" w:hAnsi="Verdana" w:cs="Arial"/>
          <w:bCs/>
          <w:iCs/>
          <w:lang w:val="es-ES" w:eastAsia="x-none"/>
        </w:rPr>
        <w:t xml:space="preserve">Por tanto, dicha expresión fue declarada inexequible, razón por la cual no es posible que las </w:t>
      </w:r>
      <w:r w:rsidRPr="002A1E2D">
        <w:rPr>
          <w:rFonts w:ascii="Verdana" w:eastAsia="Times New Roman" w:hAnsi="Verdana" w:cs="Arial"/>
          <w:bCs/>
          <w:iCs/>
          <w:lang w:val="es-ES" w:eastAsia="x-none"/>
        </w:rPr>
        <w:lastRenderedPageBreak/>
        <w:t>entidades argumenten razones como esta para exceptuar la restricción del artículo 33.</w:t>
      </w:r>
    </w:p>
    <w:p w14:paraId="4463854E" w14:textId="77777777" w:rsidR="005D3955" w:rsidRDefault="0056015C" w:rsidP="005D3955">
      <w:pPr>
        <w:spacing w:after="0" w:line="276" w:lineRule="auto"/>
        <w:ind w:firstLine="708"/>
        <w:jc w:val="both"/>
        <w:rPr>
          <w:rFonts w:ascii="Verdana" w:eastAsia="Times New Roman" w:hAnsi="Verdana" w:cs="Arial"/>
          <w:bCs/>
          <w:lang w:eastAsia="x-none"/>
        </w:rPr>
      </w:pPr>
      <w:r w:rsidRPr="00380CA4">
        <w:rPr>
          <w:rFonts w:ascii="Verdana" w:eastAsia="Times New Roman" w:hAnsi="Verdana" w:cs="Arial"/>
          <w:bCs/>
          <w:lang w:eastAsia="x-none"/>
        </w:rPr>
        <w:t>En relación con los destinatarios de la restricción analizada, el artículo 33 de la Ley 996 de 2005 los señala expresamente, en el sentido de que son “todos los entes del Estado”, expresión que contempla a los diferentes organismos o entidades autorizadas por la ley para suscribir contratos.</w:t>
      </w:r>
      <w:r w:rsidRPr="00380CA4">
        <w:rPr>
          <w:rFonts w:ascii="Verdana" w:eastAsia="Calibri" w:hAnsi="Verdana" w:cs="Arial"/>
          <w:sz w:val="24"/>
        </w:rPr>
        <w:t xml:space="preserve"> </w:t>
      </w:r>
      <w:r w:rsidRPr="00380CA4">
        <w:rPr>
          <w:rFonts w:ascii="Verdana" w:eastAsia="Times New Roman" w:hAnsi="Verdana" w:cs="Arial"/>
          <w:bCs/>
          <w:lang w:eastAsia="x-none"/>
        </w:rPr>
        <w:t>En efecto, tal como lo ha sostenido el Consejo de Estado, el vocablo “todos” utilizado por el legislador comprende</w:t>
      </w:r>
      <w:r w:rsidRPr="00380CA4">
        <w:rPr>
          <w:rFonts w:ascii="Verdana" w:eastAsia="Calibri" w:hAnsi="Verdana" w:cs="Arial"/>
          <w:sz w:val="24"/>
        </w:rPr>
        <w:t xml:space="preserve"> </w:t>
      </w:r>
      <w:r w:rsidRPr="00380CA4">
        <w:rPr>
          <w:rFonts w:ascii="Verdana" w:eastAsia="Times New Roman" w:hAnsi="Verdana" w:cs="Arial"/>
          <w:bCs/>
          <w:lang w:eastAsia="x-none"/>
        </w:rPr>
        <w:t xml:space="preserve">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7DF65D35" w14:textId="77777777" w:rsidR="005D3955" w:rsidRDefault="005D3955" w:rsidP="005D3955">
      <w:pPr>
        <w:spacing w:after="0" w:line="276" w:lineRule="auto"/>
        <w:ind w:firstLine="708"/>
        <w:jc w:val="both"/>
        <w:rPr>
          <w:rFonts w:ascii="Verdana" w:eastAsia="Times New Roman" w:hAnsi="Verdana" w:cs="Arial"/>
          <w:bCs/>
          <w:lang w:eastAsia="x-none"/>
        </w:rPr>
      </w:pPr>
    </w:p>
    <w:p w14:paraId="0B85121A" w14:textId="38FDDC3A" w:rsidR="005D3955" w:rsidRDefault="005D3955" w:rsidP="005D3955">
      <w:pPr>
        <w:spacing w:after="0" w:line="276" w:lineRule="auto"/>
        <w:ind w:firstLine="708"/>
        <w:jc w:val="both"/>
        <w:rPr>
          <w:rFonts w:ascii="Verdana" w:hAnsi="Verdana" w:cs="Arial"/>
        </w:rPr>
      </w:pPr>
      <w:r w:rsidRPr="005D3955">
        <w:rPr>
          <w:rFonts w:ascii="Verdana" w:hAnsi="Verdana" w:cs="Arial"/>
        </w:rPr>
        <w:t xml:space="preserve">Para dar solución al problema jurídico planteado en la consulta, es necesario precisar que la celebración de contratos de aprendizaje por parte de una Empresa de Servicios Públicos domiciliarios de carácter oficial sí se encuentra sujeta a las restricciones previstas en el artículo 33 de la Ley de Garantías Electorales. </w:t>
      </w:r>
    </w:p>
    <w:p w14:paraId="5BB2008C" w14:textId="77777777" w:rsidR="005D3955" w:rsidRPr="005D3955" w:rsidRDefault="005D3955" w:rsidP="005D3955">
      <w:pPr>
        <w:spacing w:after="0" w:line="276" w:lineRule="auto"/>
        <w:ind w:firstLine="708"/>
        <w:jc w:val="both"/>
        <w:rPr>
          <w:rFonts w:ascii="Verdana" w:eastAsia="Times New Roman" w:hAnsi="Verdana" w:cs="Arial"/>
          <w:bCs/>
          <w:lang w:eastAsia="x-none"/>
        </w:rPr>
      </w:pPr>
    </w:p>
    <w:p w14:paraId="772B0DCE" w14:textId="6F62A6AC" w:rsidR="005D3955" w:rsidRPr="005D3955" w:rsidRDefault="005D3955" w:rsidP="005D3955">
      <w:pPr>
        <w:pStyle w:val="NormalWeb"/>
        <w:spacing w:line="276" w:lineRule="auto"/>
        <w:jc w:val="both"/>
        <w:rPr>
          <w:rFonts w:ascii="Verdana" w:hAnsi="Verdana" w:cs="Arial"/>
          <w:sz w:val="22"/>
          <w:szCs w:val="22"/>
        </w:rPr>
      </w:pPr>
      <w:r>
        <w:rPr>
          <w:rFonts w:ascii="Verdana" w:hAnsi="Verdana" w:cs="Arial"/>
          <w:sz w:val="22"/>
          <w:szCs w:val="22"/>
        </w:rPr>
        <w:t xml:space="preserve">          </w:t>
      </w:r>
      <w:r w:rsidRPr="005D3955">
        <w:rPr>
          <w:rFonts w:ascii="Verdana" w:hAnsi="Verdana" w:cs="Arial"/>
          <w:sz w:val="22"/>
          <w:szCs w:val="22"/>
        </w:rPr>
        <w:t xml:space="preserve">La normativa prohíbe la contratación directa por parte de todos los entes del Estado durante los cuatro (4) meses anteriores a las elecciones presidenciales. Esta limitación cobija a las Empresas de Servicios Públicos oficiales y mixtas, sin que el legislador haya establecido un supuesto de exoneración sustentado en la naturaleza del régimen jurídico contractual de la entidad. El criterio aplicable para determinar los destinatarios de esta disposición es eminentemente orgánico. </w:t>
      </w:r>
    </w:p>
    <w:p w14:paraId="49BD7D37" w14:textId="77777777" w:rsidR="005D3955" w:rsidRDefault="005D3955" w:rsidP="005D3955">
      <w:pPr>
        <w:pStyle w:val="NormalWeb"/>
        <w:spacing w:line="276" w:lineRule="auto"/>
        <w:jc w:val="both"/>
        <w:rPr>
          <w:rFonts w:ascii="Verdana" w:hAnsi="Verdana" w:cs="Arial"/>
          <w:sz w:val="22"/>
          <w:szCs w:val="22"/>
        </w:rPr>
      </w:pPr>
      <w:r>
        <w:rPr>
          <w:rFonts w:ascii="Verdana" w:hAnsi="Verdana" w:cs="Arial"/>
          <w:sz w:val="22"/>
          <w:szCs w:val="22"/>
        </w:rPr>
        <w:t xml:space="preserve">      </w:t>
      </w:r>
      <w:r w:rsidRPr="005D3955">
        <w:rPr>
          <w:rFonts w:ascii="Verdana" w:hAnsi="Verdana" w:cs="Arial"/>
          <w:sz w:val="22"/>
          <w:szCs w:val="22"/>
        </w:rPr>
        <w:t xml:space="preserve">En este contexto normativo, la figura de "contratación directa" no se restringe exclusivamente a las causales consagradas en </w:t>
      </w:r>
      <w:r>
        <w:rPr>
          <w:rFonts w:ascii="Verdana" w:hAnsi="Verdana" w:cs="Arial"/>
          <w:sz w:val="22"/>
          <w:szCs w:val="22"/>
        </w:rPr>
        <w:t>el artículo 2 numeral 4 de la</w:t>
      </w:r>
      <w:r w:rsidRPr="005D3955">
        <w:rPr>
          <w:rFonts w:ascii="Verdana" w:hAnsi="Verdana" w:cs="Arial"/>
          <w:sz w:val="22"/>
          <w:szCs w:val="22"/>
        </w:rPr>
        <w:t xml:space="preserve"> Ley 1150 de 2007, sino que abarca cualquier sistema de selección o procedimiento de contratación que no incluya la convocatoria pública en alguna de sus etapas, ni permita la participación de una pluralidad de oferentes. </w:t>
      </w:r>
    </w:p>
    <w:p w14:paraId="057977AF" w14:textId="77777777" w:rsidR="005D3955" w:rsidRDefault="005D3955" w:rsidP="005D3955">
      <w:pPr>
        <w:pStyle w:val="NormalWeb"/>
        <w:spacing w:line="276" w:lineRule="auto"/>
        <w:jc w:val="both"/>
        <w:rPr>
          <w:rFonts w:ascii="Verdana" w:hAnsi="Verdana" w:cs="Arial"/>
          <w:sz w:val="22"/>
          <w:szCs w:val="22"/>
        </w:rPr>
      </w:pPr>
    </w:p>
    <w:p w14:paraId="5784F88B" w14:textId="1FF119BE" w:rsidR="005D3955" w:rsidRDefault="005D3955" w:rsidP="005D3955">
      <w:pPr>
        <w:spacing w:after="0" w:line="276" w:lineRule="auto"/>
        <w:ind w:firstLine="708"/>
        <w:jc w:val="both"/>
        <w:rPr>
          <w:rFonts w:ascii="Verdana" w:eastAsia="Times New Roman" w:hAnsi="Verdana" w:cs="Arial"/>
          <w:bCs/>
          <w:lang w:eastAsia="x-none"/>
        </w:rPr>
      </w:pPr>
      <w:r>
        <w:rPr>
          <w:rFonts w:ascii="Verdana" w:hAnsi="Verdana" w:cs="Arial"/>
        </w:rPr>
        <w:lastRenderedPageBreak/>
        <w:t xml:space="preserve">       </w:t>
      </w:r>
      <w:r w:rsidRPr="005D3955">
        <w:rPr>
          <w:rFonts w:ascii="Verdana" w:hAnsi="Verdana" w:cs="Arial"/>
        </w:rPr>
        <w:t>En consecuencia, al ser el contrato de aprendizaje un vínculo que se perfecciona de manera directa y sin agotar un procedimiento abierto y competitivo, se configura materialmente la prohibición legal. Asimismo, las excepciones a esta restricción son taxativas y no incluyen las vinculaciones de índole formativa.</w:t>
      </w:r>
    </w:p>
    <w:p w14:paraId="6B1980A8" w14:textId="77777777" w:rsidR="0056015C" w:rsidRDefault="0056015C" w:rsidP="005D3955">
      <w:pPr>
        <w:spacing w:after="0" w:line="276" w:lineRule="auto"/>
        <w:ind w:right="709"/>
        <w:jc w:val="both"/>
        <w:rPr>
          <w:rFonts w:ascii="Verdana" w:eastAsia="Calibri" w:hAnsi="Verdana" w:cs="Arial"/>
          <w:sz w:val="20"/>
          <w:szCs w:val="20"/>
        </w:rPr>
      </w:pPr>
    </w:p>
    <w:p w14:paraId="7D9865A9" w14:textId="77777777" w:rsidR="00871B59" w:rsidRPr="00E14A86" w:rsidRDefault="00871B59" w:rsidP="00871B59">
      <w:pPr>
        <w:pStyle w:val="Prrafodelista"/>
        <w:numPr>
          <w:ilvl w:val="0"/>
          <w:numId w:val="4"/>
        </w:numPr>
        <w:tabs>
          <w:tab w:val="left" w:pos="142"/>
          <w:tab w:val="left" w:pos="284"/>
        </w:tabs>
        <w:spacing w:after="0" w:line="276" w:lineRule="auto"/>
        <w:ind w:left="0" w:firstLine="0"/>
        <w:contextualSpacing w:val="0"/>
        <w:jc w:val="both"/>
        <w:rPr>
          <w:rFonts w:ascii="Verdana" w:eastAsia="Century Gothic" w:hAnsi="Verdana" w:cs="Century Gothic"/>
          <w:b/>
          <w:bCs/>
          <w:lang w:val="es-ES"/>
        </w:rPr>
      </w:pPr>
      <w:r w:rsidRPr="00E14A86">
        <w:rPr>
          <w:rFonts w:ascii="Verdana" w:eastAsia="Century Gothic" w:hAnsi="Verdana" w:cs="Century Gothic"/>
          <w:b/>
          <w:bCs/>
          <w:lang w:val="es-ES"/>
        </w:rPr>
        <w:t>Referencias normativas, jurisprudenciales y otras fuentes:</w:t>
      </w:r>
    </w:p>
    <w:p w14:paraId="5A8106EB" w14:textId="77777777" w:rsidR="00871B59" w:rsidRPr="00E14A86" w:rsidRDefault="00871B59" w:rsidP="00871B59">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71B59" w:rsidRPr="00E14A86" w14:paraId="4F216BBF" w14:textId="77777777" w:rsidTr="002607A7">
        <w:trPr>
          <w:trHeight w:val="870"/>
        </w:trPr>
        <w:tc>
          <w:tcPr>
            <w:tcW w:w="8647" w:type="dxa"/>
          </w:tcPr>
          <w:p w14:paraId="48FE2114" w14:textId="7406D13A" w:rsidR="00E14A86" w:rsidRPr="00E14A86" w:rsidRDefault="00E14A86" w:rsidP="00E14A86">
            <w:pPr>
              <w:pStyle w:val="NormalWeb"/>
              <w:numPr>
                <w:ilvl w:val="0"/>
                <w:numId w:val="11"/>
              </w:numPr>
              <w:rPr>
                <w:rFonts w:ascii="Verdana" w:hAnsi="Verdana" w:cs="Arial"/>
                <w:sz w:val="22"/>
                <w:szCs w:val="22"/>
              </w:rPr>
            </w:pPr>
            <w:r w:rsidRPr="00E14A86">
              <w:rPr>
                <w:rFonts w:ascii="Verdana" w:hAnsi="Verdana" w:cs="Arial"/>
                <w:sz w:val="22"/>
                <w:szCs w:val="22"/>
              </w:rPr>
              <w:t xml:space="preserve">Constitución Política de Colombia, artículos 127, 190 y 197. </w:t>
            </w:r>
          </w:p>
          <w:p w14:paraId="5847D44E" w14:textId="00FE9061" w:rsidR="00E14A86" w:rsidRPr="00E14A86" w:rsidRDefault="00E14A86" w:rsidP="00E14A86">
            <w:pPr>
              <w:pStyle w:val="NormalWeb"/>
              <w:numPr>
                <w:ilvl w:val="0"/>
                <w:numId w:val="11"/>
              </w:numPr>
              <w:rPr>
                <w:rFonts w:ascii="Verdana" w:hAnsi="Verdana" w:cs="Arial"/>
                <w:sz w:val="22"/>
                <w:szCs w:val="22"/>
              </w:rPr>
            </w:pPr>
            <w:r w:rsidRPr="00E14A86">
              <w:rPr>
                <w:rFonts w:ascii="Verdana" w:hAnsi="Verdana" w:cs="Arial"/>
                <w:sz w:val="22"/>
                <w:szCs w:val="22"/>
              </w:rPr>
              <w:t xml:space="preserve">Acto Legislativo 2 de 2015. </w:t>
            </w:r>
          </w:p>
          <w:p w14:paraId="56A89E95" w14:textId="40F594F5" w:rsidR="00E14A86" w:rsidRPr="00E14A86" w:rsidRDefault="00E14A86" w:rsidP="00E14A86">
            <w:pPr>
              <w:pStyle w:val="NormalWeb"/>
              <w:numPr>
                <w:ilvl w:val="0"/>
                <w:numId w:val="11"/>
              </w:numPr>
              <w:rPr>
                <w:rFonts w:ascii="Verdana" w:hAnsi="Verdana" w:cs="Arial"/>
                <w:sz w:val="22"/>
                <w:szCs w:val="22"/>
              </w:rPr>
            </w:pPr>
            <w:r w:rsidRPr="00E14A86">
              <w:rPr>
                <w:rFonts w:ascii="Verdana" w:hAnsi="Verdana" w:cs="Arial"/>
                <w:sz w:val="22"/>
                <w:szCs w:val="22"/>
              </w:rPr>
              <w:t xml:space="preserve">Ley 80 de 1993, artículos 39 y 41. </w:t>
            </w:r>
          </w:p>
          <w:p w14:paraId="1DD8A9B3" w14:textId="28604BEE" w:rsidR="00E14A86" w:rsidRPr="00E14A86" w:rsidRDefault="00E14A86" w:rsidP="00E14A86">
            <w:pPr>
              <w:pStyle w:val="NormalWeb"/>
              <w:numPr>
                <w:ilvl w:val="0"/>
                <w:numId w:val="11"/>
              </w:numPr>
              <w:rPr>
                <w:rFonts w:ascii="Verdana" w:hAnsi="Verdana" w:cs="Arial"/>
                <w:sz w:val="22"/>
                <w:szCs w:val="22"/>
              </w:rPr>
            </w:pPr>
            <w:r w:rsidRPr="00E14A86">
              <w:rPr>
                <w:rFonts w:ascii="Verdana" w:hAnsi="Verdana" w:cs="Arial"/>
                <w:sz w:val="22"/>
                <w:szCs w:val="22"/>
              </w:rPr>
              <w:t xml:space="preserve">Ley 996 de 2005, artículos 9, 32, 33 y parágrafo del artículo 38. </w:t>
            </w:r>
          </w:p>
          <w:p w14:paraId="1BF2FD43" w14:textId="114DAEFF" w:rsidR="00E14A86" w:rsidRPr="00E14A86" w:rsidRDefault="00E14A86" w:rsidP="00E14A86">
            <w:pPr>
              <w:pStyle w:val="NormalWeb"/>
              <w:numPr>
                <w:ilvl w:val="0"/>
                <w:numId w:val="11"/>
              </w:numPr>
              <w:rPr>
                <w:rFonts w:ascii="Verdana" w:hAnsi="Verdana" w:cs="Arial"/>
                <w:sz w:val="22"/>
                <w:szCs w:val="22"/>
              </w:rPr>
            </w:pPr>
            <w:r w:rsidRPr="00E14A86">
              <w:rPr>
                <w:rFonts w:ascii="Verdana" w:hAnsi="Verdana" w:cs="Arial"/>
                <w:sz w:val="22"/>
                <w:szCs w:val="22"/>
              </w:rPr>
              <w:t xml:space="preserve">Ley 1150 de 2007, artículo 2, numerales 4 y 5. </w:t>
            </w:r>
          </w:p>
          <w:p w14:paraId="7EA305C6" w14:textId="23DE0930" w:rsidR="00E14A86" w:rsidRPr="00E14A86" w:rsidRDefault="00E14A86" w:rsidP="00E14A86">
            <w:pPr>
              <w:pStyle w:val="NormalWeb"/>
              <w:numPr>
                <w:ilvl w:val="0"/>
                <w:numId w:val="11"/>
              </w:numPr>
              <w:rPr>
                <w:rFonts w:ascii="Verdana" w:hAnsi="Verdana" w:cs="Arial"/>
                <w:sz w:val="22"/>
                <w:szCs w:val="22"/>
              </w:rPr>
            </w:pPr>
            <w:r w:rsidRPr="00E14A86">
              <w:rPr>
                <w:rFonts w:ascii="Verdana" w:hAnsi="Verdana"/>
                <w:sz w:val="22"/>
                <w:szCs w:val="22"/>
              </w:rPr>
              <w:t xml:space="preserve">Circular Externa No. 006 de 2025 Colombia Compra Eficiente. </w:t>
            </w:r>
          </w:p>
        </w:tc>
      </w:tr>
    </w:tbl>
    <w:p w14:paraId="502F711A" w14:textId="77777777" w:rsidR="00871B59" w:rsidRPr="00593A5F" w:rsidRDefault="00871B59" w:rsidP="00871B59">
      <w:pPr>
        <w:widowControl w:val="0"/>
        <w:autoSpaceDE w:val="0"/>
        <w:autoSpaceDN w:val="0"/>
        <w:spacing w:after="0" w:line="276" w:lineRule="auto"/>
        <w:jc w:val="both"/>
        <w:rPr>
          <w:rFonts w:ascii="Verdana" w:hAnsi="Verdana" w:cs="Arial"/>
        </w:rPr>
      </w:pPr>
    </w:p>
    <w:p w14:paraId="4712CFCE" w14:textId="77777777" w:rsidR="00871B59" w:rsidRPr="00593A5F" w:rsidRDefault="00871B59" w:rsidP="00871B59">
      <w:pPr>
        <w:pStyle w:val="Prrafodelista"/>
        <w:numPr>
          <w:ilvl w:val="0"/>
          <w:numId w:val="4"/>
        </w:numPr>
        <w:tabs>
          <w:tab w:val="left" w:pos="142"/>
          <w:tab w:val="left" w:pos="284"/>
        </w:tabs>
        <w:spacing w:after="0" w:line="276" w:lineRule="auto"/>
        <w:ind w:left="0" w:firstLine="0"/>
        <w:contextualSpacing w:val="0"/>
        <w:jc w:val="both"/>
        <w:rPr>
          <w:rFonts w:ascii="Verdana" w:eastAsia="Century Gothic" w:hAnsi="Verdana" w:cs="Century Gothic"/>
          <w:b/>
          <w:bCs/>
          <w:lang w:val="es-ES"/>
        </w:rPr>
      </w:pPr>
      <w:r>
        <w:rPr>
          <w:rFonts w:ascii="Verdana" w:eastAsia="Century Gothic" w:hAnsi="Verdana" w:cs="Century Gothic"/>
          <w:b/>
          <w:bCs/>
          <w:lang w:val="es-ES"/>
        </w:rPr>
        <w:t>Doctrina de la Agencia Nacional de Contratación Pública</w:t>
      </w:r>
      <w:r w:rsidRPr="00593A5F">
        <w:rPr>
          <w:rFonts w:ascii="Verdana" w:eastAsia="Century Gothic" w:hAnsi="Verdana" w:cs="Century Gothic"/>
          <w:b/>
          <w:bCs/>
          <w:lang w:val="es-ES"/>
        </w:rPr>
        <w:t>:</w:t>
      </w:r>
    </w:p>
    <w:p w14:paraId="37BAF81D" w14:textId="77777777" w:rsidR="00871B59" w:rsidRDefault="00871B59" w:rsidP="00871B59">
      <w:pPr>
        <w:widowControl w:val="0"/>
        <w:autoSpaceDE w:val="0"/>
        <w:autoSpaceDN w:val="0"/>
        <w:spacing w:after="0" w:line="276" w:lineRule="auto"/>
        <w:jc w:val="both"/>
        <w:rPr>
          <w:rFonts w:ascii="Verdana" w:hAnsi="Verdana" w:cs="Arial"/>
        </w:rPr>
      </w:pPr>
    </w:p>
    <w:p w14:paraId="2EC62321" w14:textId="77777777" w:rsidR="00E14A86" w:rsidRPr="007D6CC8" w:rsidRDefault="00E14A86" w:rsidP="00E14A86">
      <w:pPr>
        <w:widowControl w:val="0"/>
        <w:autoSpaceDE w:val="0"/>
        <w:autoSpaceDN w:val="0"/>
        <w:spacing w:after="0" w:line="276" w:lineRule="auto"/>
        <w:jc w:val="both"/>
        <w:rPr>
          <w:rFonts w:ascii="Verdana" w:hAnsi="Verdana" w:cs="Arial"/>
          <w:shd w:val="clear" w:color="auto" w:fill="FFFFFF"/>
        </w:rPr>
      </w:pPr>
      <w:r w:rsidRPr="00380CA4">
        <w:rPr>
          <w:rFonts w:ascii="Verdana" w:eastAsia="Calibri" w:hAnsi="Verdana" w:cs="Times New Roman"/>
        </w:rPr>
        <w:t xml:space="preserve">Sobre la finalidad y propósito de la Ley de Garantías Electorales, la ANCP- CCE se ha pronunciado en los Conceptos 4201913000004536 de 17 de julio de 2019, 4201912000005556 del 12 de septiembre de 2019, 4201913000005175 del 13 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C-317 del 25 de abril de 2025, C-510 del 4 de junio de 2025, 646 del 26 de junio de 2025, C-957 del 23 de agosto de 2025, C-975 del 28 de agosto de 2025, C-1015 del 4 de septiembre de 2025, C-1096 del 28 de agosto de 2025, C-1174 del 29 de septiembre de 2025, C- 1170 del 16 de septiembre de 2025, C-1194 del 3 de octubre de 2025, C-1343 del 20 de octubre de 2025, C-1350 del 1˚ de octubre </w:t>
      </w:r>
      <w:r w:rsidRPr="00380CA4">
        <w:rPr>
          <w:rFonts w:ascii="Verdana" w:eastAsia="Calibri" w:hAnsi="Verdana" w:cs="Times New Roman"/>
        </w:rPr>
        <w:lastRenderedPageBreak/>
        <w:t>de 2025, C-1401 del 22 de octubre de 2025, C-1512 del 27 de octubre de 2025, C-1488 del 30 de octubre de 2025, C-1596 del 6 de noviembre de 2025, C-1509 del 19 de noviembre de 2025, C-1548 del 2 de diciembre de 2025, C-1773 del 5 de diciembre de 2025, C-1646 del 17 de diciembre de 2025, C-1703 del 29 de diciembre de 2025, C-068 del 27 de enero de 2026</w:t>
      </w:r>
      <w:r>
        <w:rPr>
          <w:rFonts w:ascii="Verdana" w:eastAsia="Calibri" w:hAnsi="Verdana" w:cs="Times New Roman"/>
        </w:rPr>
        <w:t xml:space="preserve">, C-111 del 6 de febrero de 2026, C-127 del 6 de febrero de 2026, </w:t>
      </w:r>
      <w:r w:rsidRPr="0061256A">
        <w:rPr>
          <w:rFonts w:ascii="Verdana" w:hAnsi="Verdana" w:cs="Arial"/>
          <w:shd w:val="clear" w:color="auto" w:fill="FFFFFF"/>
        </w:rPr>
        <w:t>C-137 del 17 de febrero de 2026, C-185 del 23 de febrero de 2026, C-322 del 4 de marz</w:t>
      </w:r>
      <w:r>
        <w:rPr>
          <w:rFonts w:ascii="Verdana" w:hAnsi="Verdana" w:cs="Arial"/>
          <w:shd w:val="clear" w:color="auto" w:fill="FFFFFF"/>
        </w:rPr>
        <w:t xml:space="preserve">o de 2026, C-263 del 27 de marzo de 2026, </w:t>
      </w:r>
      <w:r>
        <w:rPr>
          <w:rFonts w:ascii="Verdana" w:eastAsia="Calibri" w:hAnsi="Verdana" w:cs="Times New Roman"/>
        </w:rPr>
        <w:t xml:space="preserve">entre otros. </w:t>
      </w:r>
      <w:r w:rsidRPr="00185EE9">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023E6AEE" w14:textId="77777777" w:rsidR="00E14A86" w:rsidRPr="00185EE9" w:rsidRDefault="00E14A86" w:rsidP="00E14A86">
      <w:pPr>
        <w:spacing w:after="0" w:line="256" w:lineRule="auto"/>
        <w:jc w:val="both"/>
        <w:rPr>
          <w:rFonts w:ascii="Verdana" w:eastAsia="Calibri" w:hAnsi="Verdana" w:cs="Times New Roman"/>
        </w:rPr>
      </w:pPr>
      <w:hyperlink r:id="rId13" w:history="1">
        <w:r w:rsidRPr="00F14AAD">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 xml:space="preserve">. </w:t>
      </w:r>
    </w:p>
    <w:p w14:paraId="2F98D9F2" w14:textId="77777777" w:rsidR="00E14A86" w:rsidRPr="00096788" w:rsidRDefault="00E14A86" w:rsidP="00E14A86">
      <w:pPr>
        <w:widowControl w:val="0"/>
        <w:autoSpaceDE w:val="0"/>
        <w:autoSpaceDN w:val="0"/>
        <w:spacing w:after="0" w:line="276" w:lineRule="auto"/>
        <w:jc w:val="both"/>
        <w:rPr>
          <w:rFonts w:ascii="Verdana" w:hAnsi="Verdana" w:cs="Arial"/>
          <w:color w:val="000000" w:themeColor="text1"/>
          <w:shd w:val="clear" w:color="auto" w:fill="FFFFFF"/>
        </w:rPr>
      </w:pPr>
    </w:p>
    <w:p w14:paraId="260768F8" w14:textId="77777777" w:rsidR="001A48E2" w:rsidRPr="009A385A" w:rsidRDefault="001A48E2" w:rsidP="001A48E2">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0552B010" w14:textId="77777777" w:rsidR="001A48E2" w:rsidRDefault="001A48E2" w:rsidP="001A48E2">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5039119B" w14:textId="77777777" w:rsidR="001A48E2" w:rsidRPr="00C1572B" w:rsidRDefault="001A48E2" w:rsidP="001A48E2">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 xml:space="preserve">Guía para la comprensión e implementación de los </w:t>
      </w:r>
      <w:r w:rsidRPr="009A385A">
        <w:rPr>
          <w:rFonts w:ascii="Verdana" w:hAnsi="Verdana"/>
          <w:b/>
          <w:bCs/>
        </w:rPr>
        <w:lastRenderedPageBreak/>
        <w:t>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r>
        <w:rPr>
          <w:rFonts w:ascii="Verdana" w:hAnsi="Verdana"/>
        </w:rPr>
        <w:t>.</w:t>
      </w:r>
    </w:p>
    <w:p w14:paraId="38653F33" w14:textId="77777777" w:rsidR="001A48E2" w:rsidRPr="004667F5" w:rsidRDefault="001A48E2" w:rsidP="001A48E2">
      <w:pPr>
        <w:spacing w:after="0"/>
        <w:jc w:val="both"/>
        <w:rPr>
          <w:rFonts w:ascii="Verdana" w:hAnsi="Verdana"/>
        </w:rPr>
      </w:pPr>
      <w:r w:rsidRPr="004667F5">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1F3663D7" w14:textId="77777777" w:rsidR="001A48E2" w:rsidRPr="004667F5" w:rsidRDefault="001A48E2" w:rsidP="001A48E2">
      <w:pPr>
        <w:spacing w:after="0"/>
        <w:jc w:val="both"/>
        <w:rPr>
          <w:rFonts w:ascii="Verdana" w:hAnsi="Verdana"/>
        </w:rPr>
      </w:pPr>
      <w:bookmarkStart w:id="4" w:name="_Hlk34951122"/>
      <w:r w:rsidRPr="004667F5">
        <w:rPr>
          <w:rFonts w:ascii="Verdana" w:hAnsi="Verdana"/>
        </w:rPr>
        <w:t xml:space="preserve"> </w:t>
      </w:r>
    </w:p>
    <w:p w14:paraId="04A1008E" w14:textId="77777777" w:rsidR="001A48E2" w:rsidRPr="004667F5" w:rsidRDefault="001A48E2" w:rsidP="001A48E2">
      <w:pPr>
        <w:pStyle w:val="Prrafodelista"/>
        <w:numPr>
          <w:ilvl w:val="0"/>
          <w:numId w:val="13"/>
        </w:numPr>
        <w:spacing w:after="0" w:line="240" w:lineRule="auto"/>
        <w:textAlignment w:val="baseline"/>
        <w:rPr>
          <w:rFonts w:ascii="Verdana" w:eastAsia="Times New Roman" w:hAnsi="Verdana" w:cs="Segoe UI"/>
          <w:lang w:eastAsia="es-CO"/>
        </w:rPr>
      </w:pPr>
      <w:r w:rsidRPr="004667F5">
        <w:rPr>
          <w:rFonts w:ascii="Verdana" w:eastAsia="Times New Roman" w:hAnsi="Verdana" w:cs="Segoe UI"/>
          <w:lang w:val="es-MX" w:eastAsia="es-CO"/>
        </w:rPr>
        <w:t xml:space="preserve">Línea nacional gratuita o servicio a la ciudadanía (Mesa de servicio): </w:t>
      </w:r>
      <w:r w:rsidRPr="004667F5">
        <w:rPr>
          <w:rStyle w:val="Hipervnculo"/>
          <w:rFonts w:ascii="Verdana" w:hAnsi="Verdana" w:cs="Segoe UI"/>
        </w:rPr>
        <w:t>01800 0520808</w:t>
      </w:r>
    </w:p>
    <w:p w14:paraId="2F9F0C12" w14:textId="77777777" w:rsidR="001A48E2" w:rsidRPr="004667F5" w:rsidRDefault="001A48E2" w:rsidP="001A48E2">
      <w:pPr>
        <w:pStyle w:val="Prrafodelista"/>
        <w:numPr>
          <w:ilvl w:val="0"/>
          <w:numId w:val="13"/>
        </w:numPr>
        <w:spacing w:after="0" w:line="240" w:lineRule="auto"/>
        <w:textAlignment w:val="baseline"/>
        <w:rPr>
          <w:rFonts w:ascii="Verdana" w:eastAsia="Times New Roman" w:hAnsi="Verdana" w:cs="Segoe UI"/>
          <w:lang w:eastAsia="es-CO"/>
        </w:rPr>
      </w:pPr>
      <w:r w:rsidRPr="004667F5">
        <w:rPr>
          <w:rFonts w:ascii="Verdana" w:eastAsia="Times New Roman" w:hAnsi="Verdana" w:cs="Segoe UI"/>
          <w:lang w:val="es-MX" w:eastAsia="es-CO"/>
        </w:rPr>
        <w:t>Línea en Bogotá (Mesa de servicio):</w:t>
      </w:r>
      <w:r>
        <w:rPr>
          <w:rFonts w:ascii="Verdana" w:eastAsia="Times New Roman" w:hAnsi="Verdana" w:cs="Segoe UI"/>
          <w:lang w:val="es-MX" w:eastAsia="es-CO"/>
        </w:rPr>
        <w:t xml:space="preserve"> </w:t>
      </w:r>
      <w:r w:rsidRPr="004667F5">
        <w:rPr>
          <w:rStyle w:val="Hipervnculo"/>
          <w:rFonts w:ascii="Verdana" w:hAnsi="Verdana" w:cs="Segoe UI"/>
        </w:rPr>
        <w:t>+57 601 7456788</w:t>
      </w:r>
    </w:p>
    <w:p w14:paraId="039EE922" w14:textId="77777777" w:rsidR="001A48E2" w:rsidRPr="004667F5" w:rsidRDefault="001A48E2" w:rsidP="001A48E2">
      <w:pPr>
        <w:pStyle w:val="Prrafodelista"/>
        <w:numPr>
          <w:ilvl w:val="0"/>
          <w:numId w:val="13"/>
        </w:numPr>
        <w:spacing w:after="0" w:line="240" w:lineRule="auto"/>
        <w:textAlignment w:val="baseline"/>
        <w:rPr>
          <w:rFonts w:ascii="Verdana" w:eastAsia="Times New Roman" w:hAnsi="Verdana" w:cs="Segoe UI"/>
          <w:lang w:eastAsia="es-CO"/>
        </w:rPr>
      </w:pPr>
      <w:r w:rsidRPr="004667F5">
        <w:rPr>
          <w:rFonts w:ascii="Verdana" w:eastAsia="Times New Roman" w:hAnsi="Verdana" w:cs="Segoe UI"/>
          <w:lang w:val="es-MX" w:eastAsia="es-CO"/>
        </w:rPr>
        <w:t xml:space="preserve">Correo de radicación de correspondencia: </w:t>
      </w:r>
      <w:hyperlink r:id="rId17" w:history="1">
        <w:r w:rsidRPr="004667F5">
          <w:rPr>
            <w:rStyle w:val="Hipervnculo"/>
            <w:rFonts w:ascii="Verdana" w:eastAsia="Times New Roman" w:hAnsi="Verdana" w:cs="Segoe UI"/>
            <w:lang w:val="es-MX" w:eastAsia="es-CO"/>
          </w:rPr>
          <w:t>ventanilladeradicacion@colombiacompra.gov.co</w:t>
        </w:r>
      </w:hyperlink>
    </w:p>
    <w:p w14:paraId="0262619F" w14:textId="77777777" w:rsidR="001A48E2" w:rsidRPr="004667F5" w:rsidRDefault="001A48E2" w:rsidP="001A48E2">
      <w:pPr>
        <w:pStyle w:val="Prrafodelista"/>
        <w:numPr>
          <w:ilvl w:val="0"/>
          <w:numId w:val="13"/>
        </w:numPr>
        <w:spacing w:after="0" w:line="240" w:lineRule="auto"/>
        <w:textAlignment w:val="baseline"/>
        <w:rPr>
          <w:rFonts w:ascii="Verdana" w:eastAsia="Times New Roman" w:hAnsi="Verdana" w:cs="Segoe UI"/>
          <w:lang w:eastAsia="es-CO"/>
        </w:rPr>
      </w:pPr>
      <w:r w:rsidRPr="004667F5">
        <w:rPr>
          <w:rFonts w:ascii="Verdana" w:eastAsia="Times New Roman" w:hAnsi="Verdana" w:cs="Segoe UI"/>
          <w:lang w:eastAsia="es-CO"/>
        </w:rPr>
        <w:t xml:space="preserve">Formulario web para PQRSD: </w:t>
      </w:r>
      <w:hyperlink r:id="rId18" w:history="1">
        <w:r w:rsidRPr="004667F5">
          <w:rPr>
            <w:rStyle w:val="Hipervnculo"/>
            <w:rFonts w:ascii="Verdana" w:eastAsia="Times New Roman" w:hAnsi="Verdana" w:cs="Segoe UI"/>
            <w:lang w:val="es-MX" w:eastAsia="es-CO"/>
          </w:rPr>
          <w:t>https://www.colombiacompra.gov.co/pqrsd/informacion-importante-antes-de-formular-una-pqrsd</w:t>
        </w:r>
      </w:hyperlink>
    </w:p>
    <w:p w14:paraId="1347C0F2" w14:textId="77777777" w:rsidR="001A48E2" w:rsidRPr="004667F5" w:rsidRDefault="001A48E2" w:rsidP="001A48E2">
      <w:pPr>
        <w:pStyle w:val="Prrafodelista"/>
        <w:spacing w:after="0" w:line="240" w:lineRule="auto"/>
        <w:ind w:left="785"/>
        <w:jc w:val="both"/>
        <w:rPr>
          <w:rFonts w:ascii="Verdana" w:hAnsi="Verdana"/>
        </w:rPr>
      </w:pPr>
    </w:p>
    <w:p w14:paraId="42C1AF86" w14:textId="77777777" w:rsidR="001A48E2" w:rsidRPr="004667F5" w:rsidRDefault="001A48E2" w:rsidP="001A48E2">
      <w:pPr>
        <w:spacing w:after="0" w:line="240" w:lineRule="auto"/>
        <w:jc w:val="both"/>
        <w:rPr>
          <w:rFonts w:ascii="Verdana" w:hAnsi="Verdana"/>
        </w:rPr>
      </w:pPr>
      <w:r w:rsidRPr="004667F5">
        <w:rPr>
          <w:rFonts w:ascii="Verdana" w:hAnsi="Verdana"/>
        </w:rPr>
        <w:t xml:space="preserve">Evalúa el servicio que ofrece la Agencia por el canal de atención de PQRSD en el siguiente enlace: </w:t>
      </w:r>
      <w:hyperlink r:id="rId19" w:history="1">
        <w:r w:rsidRPr="004667F5">
          <w:rPr>
            <w:rStyle w:val="Hipervnculo"/>
            <w:rFonts w:ascii="Verdana" w:hAnsi="Verdana"/>
          </w:rPr>
          <w:t>https://forms.office.com/r/pPHyWVs2SZ</w:t>
        </w:r>
      </w:hyperlink>
      <w:r w:rsidRPr="004667F5">
        <w:rPr>
          <w:rFonts w:ascii="Verdana" w:hAnsi="Verdana"/>
        </w:rPr>
        <w:t xml:space="preserve"> . ¡Ayúdanos a mejorar porque el compromiso es de todos!</w:t>
      </w:r>
    </w:p>
    <w:p w14:paraId="1B778D96" w14:textId="77777777" w:rsidR="001A48E2" w:rsidRDefault="001A48E2" w:rsidP="001A48E2">
      <w:pPr>
        <w:spacing w:after="0" w:line="240" w:lineRule="auto"/>
        <w:jc w:val="both"/>
        <w:rPr>
          <w:rFonts w:ascii="Verdana" w:hAnsi="Verdana"/>
        </w:rPr>
      </w:pPr>
    </w:p>
    <w:p w14:paraId="547F682A" w14:textId="77777777" w:rsidR="001A48E2" w:rsidRPr="004667F5" w:rsidRDefault="001A48E2" w:rsidP="001A48E2">
      <w:pPr>
        <w:spacing w:after="0" w:line="240" w:lineRule="auto"/>
        <w:jc w:val="both"/>
        <w:rPr>
          <w:rFonts w:ascii="Verdana" w:hAnsi="Verdana"/>
        </w:rPr>
      </w:pPr>
    </w:p>
    <w:p w14:paraId="36CC07B2" w14:textId="77777777" w:rsidR="001A48E2" w:rsidRPr="004667F5" w:rsidRDefault="001A48E2" w:rsidP="001A48E2">
      <w:pPr>
        <w:spacing w:after="0" w:line="240" w:lineRule="auto"/>
        <w:jc w:val="both"/>
        <w:rPr>
          <w:rFonts w:ascii="Verdana" w:hAnsi="Verdana"/>
        </w:rPr>
      </w:pPr>
      <w:r w:rsidRPr="004667F5">
        <w:rPr>
          <w:rFonts w:ascii="Verdana" w:hAnsi="Verdana"/>
        </w:rPr>
        <w:t xml:space="preserve">Por último, lo invitamos a seguirnos en las redes sociales en las cuales se difunde información institucional: </w:t>
      </w:r>
    </w:p>
    <w:p w14:paraId="4C501BD8" w14:textId="77777777" w:rsidR="001A48E2" w:rsidRPr="004667F5" w:rsidRDefault="001A48E2" w:rsidP="001A48E2">
      <w:pPr>
        <w:spacing w:after="0" w:line="240" w:lineRule="auto"/>
        <w:jc w:val="both"/>
        <w:rPr>
          <w:rFonts w:ascii="Verdana" w:hAnsi="Verdana"/>
        </w:rPr>
      </w:pPr>
    </w:p>
    <w:p w14:paraId="384901B0" w14:textId="77777777" w:rsidR="001A48E2" w:rsidRPr="004667F5" w:rsidRDefault="001A48E2" w:rsidP="001A48E2">
      <w:pPr>
        <w:spacing w:after="0" w:line="240" w:lineRule="auto"/>
        <w:jc w:val="both"/>
        <w:rPr>
          <w:rStyle w:val="Hipervnculo"/>
          <w:rFonts w:ascii="Verdana" w:eastAsia="Times New Roman" w:hAnsi="Verdana" w:cs="Segoe UI"/>
          <w:lang w:val="es-MX" w:eastAsia="es-CO"/>
        </w:rPr>
      </w:pPr>
      <w:r w:rsidRPr="004667F5">
        <w:rPr>
          <w:rFonts w:ascii="Verdana" w:hAnsi="Verdana"/>
        </w:rPr>
        <w:t xml:space="preserve">Twitter: </w:t>
      </w:r>
      <w:r w:rsidRPr="004667F5">
        <w:rPr>
          <w:rStyle w:val="Hipervnculo"/>
          <w:rFonts w:ascii="Verdana" w:eastAsia="Times New Roman" w:hAnsi="Verdana" w:cs="Segoe UI"/>
          <w:lang w:val="es-MX" w:eastAsia="es-CO"/>
        </w:rPr>
        <w:t>@colombiacompra</w:t>
      </w:r>
    </w:p>
    <w:p w14:paraId="63D29D12" w14:textId="77777777" w:rsidR="001A48E2" w:rsidRPr="004667F5" w:rsidRDefault="001A48E2" w:rsidP="001A48E2">
      <w:pPr>
        <w:spacing w:after="0" w:line="240" w:lineRule="auto"/>
        <w:jc w:val="both"/>
        <w:rPr>
          <w:rFonts w:ascii="Verdana" w:hAnsi="Verdana"/>
        </w:rPr>
      </w:pPr>
      <w:r w:rsidRPr="004667F5">
        <w:rPr>
          <w:rFonts w:ascii="Verdana" w:hAnsi="Verdana"/>
        </w:rPr>
        <w:t xml:space="preserve">Facebook: </w:t>
      </w:r>
      <w:r w:rsidRPr="004667F5">
        <w:rPr>
          <w:rStyle w:val="Hipervnculo"/>
          <w:rFonts w:ascii="Verdana" w:eastAsia="Times New Roman" w:hAnsi="Verdana" w:cs="Segoe UI"/>
          <w:lang w:val="es-MX" w:eastAsia="es-CO"/>
        </w:rPr>
        <w:t>ColombiaCompraEficiente</w:t>
      </w:r>
    </w:p>
    <w:p w14:paraId="21E0971B" w14:textId="77777777" w:rsidR="001A48E2" w:rsidRPr="004667F5" w:rsidRDefault="001A48E2" w:rsidP="001A48E2">
      <w:pPr>
        <w:spacing w:after="0" w:line="240" w:lineRule="auto"/>
        <w:jc w:val="both"/>
        <w:textAlignment w:val="baseline"/>
        <w:rPr>
          <w:rFonts w:ascii="Verdana" w:hAnsi="Verdana"/>
          <w:lang w:eastAsia="es-CO"/>
        </w:rPr>
      </w:pPr>
      <w:r w:rsidRPr="004667F5">
        <w:rPr>
          <w:rFonts w:ascii="Verdana" w:hAnsi="Verdana"/>
        </w:rPr>
        <w:lastRenderedPageBreak/>
        <w:t xml:space="preserve">LinkedIn: </w:t>
      </w:r>
      <w:r w:rsidRPr="004667F5">
        <w:rPr>
          <w:rStyle w:val="Hipervnculo"/>
          <w:rFonts w:ascii="Verdana" w:eastAsia="Times New Roman" w:hAnsi="Verdana" w:cs="Segoe UI"/>
          <w:lang w:val="es-MX" w:eastAsia="es-CO"/>
        </w:rPr>
        <w:t>Agencia Nacional de Contratación Pública - Colombia Compra Eficiente</w:t>
      </w:r>
      <w:r w:rsidRPr="004667F5">
        <w:rPr>
          <w:rFonts w:ascii="Verdana" w:hAnsi="Verdana"/>
          <w:color w:val="2F5496" w:themeColor="accent1" w:themeShade="BF"/>
        </w:rPr>
        <w:t xml:space="preserve"> </w:t>
      </w:r>
      <w:r w:rsidRPr="004667F5">
        <w:rPr>
          <w:rFonts w:ascii="Verdana" w:hAnsi="Verdana"/>
        </w:rPr>
        <w:t xml:space="preserve">Instagram: </w:t>
      </w:r>
      <w:r w:rsidRPr="004667F5">
        <w:rPr>
          <w:rStyle w:val="Hipervnculo"/>
          <w:rFonts w:ascii="Verdana" w:eastAsia="Times New Roman" w:hAnsi="Verdana" w:cs="Segoe UI"/>
          <w:lang w:val="es-MX" w:eastAsia="es-CO"/>
        </w:rPr>
        <w:t>@colombiacompraeficiente</w:t>
      </w:r>
    </w:p>
    <w:p w14:paraId="401198F0" w14:textId="77777777" w:rsidR="001A48E2" w:rsidRPr="004667F5" w:rsidRDefault="001A48E2" w:rsidP="001A48E2">
      <w:pPr>
        <w:jc w:val="both"/>
        <w:rPr>
          <w:rFonts w:ascii="Verdana" w:eastAsia="Times New Roman" w:hAnsi="Verdana"/>
          <w:lang w:eastAsia="es-CO"/>
        </w:rPr>
      </w:pPr>
    </w:p>
    <w:bookmarkEnd w:id="4"/>
    <w:p w14:paraId="6B122328" w14:textId="532BAEE6" w:rsidR="001A48E2" w:rsidRPr="004667F5" w:rsidRDefault="001A48E2" w:rsidP="001A48E2">
      <w:pPr>
        <w:jc w:val="both"/>
        <w:textAlignment w:val="baseline"/>
        <w:rPr>
          <w:rFonts w:ascii="Verdana" w:eastAsia="Times New Roman" w:hAnsi="Verdana"/>
          <w:lang w:eastAsia="es-CO"/>
        </w:rPr>
      </w:pPr>
      <w:r w:rsidRPr="004667F5">
        <w:rPr>
          <w:rFonts w:ascii="Verdana" w:eastAsia="Times New Roman" w:hAnsi="Verdana"/>
          <w:lang w:eastAsia="es-CO"/>
        </w:rPr>
        <w:t>Atentamente,</w:t>
      </w:r>
    </w:p>
    <w:p w14:paraId="31DBA374" w14:textId="4D9E3A59" w:rsidR="001A48E2" w:rsidRDefault="00694B58" w:rsidP="001A48E2">
      <w:pPr>
        <w:spacing w:after="0" w:line="240" w:lineRule="auto"/>
        <w:jc w:val="center"/>
        <w:textAlignment w:val="baseline"/>
        <w:rPr>
          <w:rFonts w:ascii="Verdana" w:eastAsia="Times New Roman" w:hAnsi="Verdana" w:cs="Segoe UI"/>
          <w:b/>
          <w:bCs/>
          <w:lang w:val="es-MX" w:eastAsia="es-CO"/>
        </w:rPr>
      </w:pPr>
      <w:r w:rsidRPr="004D5C25">
        <w:rPr>
          <w:rFonts w:ascii="Century Gothic" w:hAnsi="Century Gothic"/>
          <w:noProof/>
        </w:rPr>
        <w:drawing>
          <wp:inline distT="0" distB="0" distL="0" distR="0" wp14:anchorId="4A3150A2" wp14:editId="60EF2AB2">
            <wp:extent cx="3385733" cy="1453515"/>
            <wp:effectExtent l="0" t="0" r="571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20"/>
                    <a:stretch>
                      <a:fillRect/>
                    </a:stretch>
                  </pic:blipFill>
                  <pic:spPr>
                    <a:xfrm>
                      <a:off x="0" y="0"/>
                      <a:ext cx="3394701" cy="1457365"/>
                    </a:xfrm>
                    <a:prstGeom prst="rect">
                      <a:avLst/>
                    </a:prstGeom>
                  </pic:spPr>
                </pic:pic>
              </a:graphicData>
            </a:graphic>
          </wp:inline>
        </w:drawing>
      </w:r>
    </w:p>
    <w:tbl>
      <w:tblPr>
        <w:tblW w:w="52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8"/>
        <w:gridCol w:w="4332"/>
      </w:tblGrid>
      <w:tr w:rsidR="001A48E2" w:rsidRPr="001A48E2" w14:paraId="22515B5A" w14:textId="77777777" w:rsidTr="00A13CB3">
        <w:trPr>
          <w:trHeight w:val="315"/>
        </w:trPr>
        <w:tc>
          <w:tcPr>
            <w:tcW w:w="888" w:type="dxa"/>
            <w:tcBorders>
              <w:top w:val="nil"/>
              <w:left w:val="nil"/>
              <w:bottom w:val="nil"/>
              <w:right w:val="nil"/>
            </w:tcBorders>
            <w:vAlign w:val="center"/>
            <w:hideMark/>
          </w:tcPr>
          <w:p w14:paraId="521A5E99" w14:textId="77777777" w:rsidR="001A48E2" w:rsidRPr="001A48E2" w:rsidRDefault="001A48E2" w:rsidP="00A13CB3">
            <w:pPr>
              <w:autoSpaceDE w:val="0"/>
              <w:autoSpaceDN w:val="0"/>
              <w:adjustRightInd w:val="0"/>
              <w:spacing w:after="0" w:line="240" w:lineRule="auto"/>
              <w:jc w:val="both"/>
              <w:rPr>
                <w:rFonts w:ascii="Verdana" w:eastAsia="Calibri" w:hAnsi="Verdana" w:cs="Arial"/>
                <w:sz w:val="16"/>
                <w:szCs w:val="16"/>
              </w:rPr>
            </w:pPr>
            <w:r w:rsidRPr="001A48E2">
              <w:rPr>
                <w:rFonts w:ascii="Verdana" w:eastAsia="Calibri" w:hAnsi="Verdana" w:cs="Arial"/>
                <w:sz w:val="16"/>
                <w:szCs w:val="16"/>
              </w:rPr>
              <w:t> Elaboró: </w:t>
            </w:r>
          </w:p>
        </w:tc>
        <w:tc>
          <w:tcPr>
            <w:tcW w:w="4332" w:type="dxa"/>
            <w:tcBorders>
              <w:top w:val="nil"/>
              <w:left w:val="nil"/>
              <w:bottom w:val="dotted" w:sz="6" w:space="0" w:color="7F7F7F" w:themeColor="text1" w:themeTint="80"/>
              <w:right w:val="nil"/>
            </w:tcBorders>
            <w:vAlign w:val="center"/>
            <w:hideMark/>
          </w:tcPr>
          <w:p w14:paraId="58ABFC08" w14:textId="77777777" w:rsidR="001A48E2" w:rsidRPr="001A48E2" w:rsidRDefault="001A48E2" w:rsidP="00A13CB3">
            <w:pPr>
              <w:spacing w:after="0" w:line="240" w:lineRule="auto"/>
              <w:jc w:val="both"/>
              <w:rPr>
                <w:rFonts w:ascii="Verdana" w:hAnsi="Verdana"/>
                <w:sz w:val="16"/>
                <w:szCs w:val="16"/>
              </w:rPr>
            </w:pPr>
            <w:r w:rsidRPr="001A48E2">
              <w:rPr>
                <w:rFonts w:ascii="Verdana" w:hAnsi="Verdana"/>
                <w:sz w:val="16"/>
                <w:szCs w:val="16"/>
              </w:rPr>
              <w:t>Andrea Del Pilar Garzón Sánchez</w:t>
            </w:r>
          </w:p>
          <w:p w14:paraId="58F0A0B0" w14:textId="77777777" w:rsidR="001A48E2" w:rsidRPr="001A48E2" w:rsidRDefault="001A48E2" w:rsidP="00A13CB3">
            <w:pPr>
              <w:autoSpaceDE w:val="0"/>
              <w:autoSpaceDN w:val="0"/>
              <w:adjustRightInd w:val="0"/>
              <w:spacing w:after="0" w:line="240" w:lineRule="auto"/>
              <w:jc w:val="both"/>
              <w:rPr>
                <w:rFonts w:ascii="Verdana" w:eastAsia="Calibri" w:hAnsi="Verdana" w:cs="Arial"/>
                <w:sz w:val="16"/>
                <w:szCs w:val="16"/>
              </w:rPr>
            </w:pPr>
            <w:r w:rsidRPr="001A48E2">
              <w:rPr>
                <w:rFonts w:ascii="Verdana" w:eastAsia="Calibri" w:hAnsi="Verdana" w:cs="Arial"/>
                <w:color w:val="000000" w:themeColor="text1"/>
                <w:sz w:val="16"/>
                <w:szCs w:val="16"/>
              </w:rPr>
              <w:t>Contratista de la Subdirección de Gestión Contractual</w:t>
            </w:r>
          </w:p>
        </w:tc>
      </w:tr>
      <w:tr w:rsidR="001A48E2" w:rsidRPr="001A48E2" w14:paraId="2F6F55EA" w14:textId="77777777" w:rsidTr="00A13CB3">
        <w:trPr>
          <w:trHeight w:val="315"/>
        </w:trPr>
        <w:tc>
          <w:tcPr>
            <w:tcW w:w="888" w:type="dxa"/>
            <w:tcBorders>
              <w:top w:val="nil"/>
              <w:left w:val="nil"/>
              <w:bottom w:val="nil"/>
              <w:right w:val="nil"/>
            </w:tcBorders>
            <w:vAlign w:val="center"/>
            <w:hideMark/>
          </w:tcPr>
          <w:p w14:paraId="262A5640" w14:textId="77777777" w:rsidR="001A48E2" w:rsidRPr="001A48E2" w:rsidRDefault="001A48E2" w:rsidP="00A13CB3">
            <w:pPr>
              <w:autoSpaceDE w:val="0"/>
              <w:autoSpaceDN w:val="0"/>
              <w:adjustRightInd w:val="0"/>
              <w:spacing w:after="0" w:line="240" w:lineRule="auto"/>
              <w:jc w:val="both"/>
              <w:rPr>
                <w:rFonts w:ascii="Verdana" w:eastAsia="Calibri" w:hAnsi="Verdana" w:cs="Arial"/>
                <w:sz w:val="16"/>
                <w:szCs w:val="16"/>
              </w:rPr>
            </w:pPr>
            <w:r w:rsidRPr="001A48E2">
              <w:rPr>
                <w:rFonts w:ascii="Verdana" w:eastAsia="Calibri" w:hAnsi="Verdana" w:cs="Arial"/>
                <w:sz w:val="16"/>
                <w:szCs w:val="16"/>
              </w:rPr>
              <w:t>Revisó: </w:t>
            </w:r>
          </w:p>
        </w:tc>
        <w:tc>
          <w:tcPr>
            <w:tcW w:w="4332" w:type="dxa"/>
            <w:tcBorders>
              <w:top w:val="dotted" w:sz="6" w:space="0" w:color="7F7F7F" w:themeColor="text1" w:themeTint="80"/>
              <w:left w:val="nil"/>
              <w:bottom w:val="dotted" w:sz="6" w:space="0" w:color="7F7F7F" w:themeColor="text1" w:themeTint="80"/>
              <w:right w:val="nil"/>
            </w:tcBorders>
            <w:vAlign w:val="center"/>
            <w:hideMark/>
          </w:tcPr>
          <w:p w14:paraId="50FAD0EC" w14:textId="77777777" w:rsidR="001A48E2" w:rsidRPr="001A48E2" w:rsidRDefault="001A48E2" w:rsidP="001A48E2">
            <w:pPr>
              <w:pStyle w:val="p1"/>
              <w:rPr>
                <w:sz w:val="16"/>
                <w:szCs w:val="16"/>
              </w:rPr>
            </w:pPr>
            <w:r w:rsidRPr="001A48E2">
              <w:rPr>
                <w:sz w:val="16"/>
                <w:szCs w:val="16"/>
              </w:rPr>
              <w:t>Juan David Cárdenas</w:t>
            </w:r>
          </w:p>
          <w:p w14:paraId="412DCAB8" w14:textId="77777777" w:rsidR="001A48E2" w:rsidRPr="001A48E2" w:rsidRDefault="001A48E2" w:rsidP="001A48E2">
            <w:pPr>
              <w:pStyle w:val="p1"/>
              <w:rPr>
                <w:sz w:val="16"/>
                <w:szCs w:val="16"/>
              </w:rPr>
            </w:pPr>
            <w:r w:rsidRPr="001A48E2">
              <w:rPr>
                <w:sz w:val="16"/>
                <w:szCs w:val="16"/>
              </w:rPr>
              <w:t>Contratista de la Subdirección de Gestión Contractual</w:t>
            </w:r>
          </w:p>
          <w:p w14:paraId="282F08BF" w14:textId="08EA8D2A" w:rsidR="001A48E2" w:rsidRPr="001A48E2" w:rsidRDefault="001A48E2" w:rsidP="00A13CB3">
            <w:pPr>
              <w:autoSpaceDE w:val="0"/>
              <w:autoSpaceDN w:val="0"/>
              <w:adjustRightInd w:val="0"/>
              <w:spacing w:after="0" w:line="240" w:lineRule="auto"/>
              <w:jc w:val="both"/>
              <w:rPr>
                <w:rFonts w:ascii="Verdana" w:eastAsia="Calibri" w:hAnsi="Verdana" w:cs="Arial"/>
                <w:sz w:val="16"/>
                <w:szCs w:val="16"/>
              </w:rPr>
            </w:pPr>
          </w:p>
        </w:tc>
      </w:tr>
      <w:tr w:rsidR="001A48E2" w:rsidRPr="001A48E2" w14:paraId="75C1FC67" w14:textId="77777777" w:rsidTr="00A13CB3">
        <w:trPr>
          <w:trHeight w:val="300"/>
        </w:trPr>
        <w:tc>
          <w:tcPr>
            <w:tcW w:w="888" w:type="dxa"/>
            <w:tcBorders>
              <w:top w:val="nil"/>
              <w:left w:val="nil"/>
              <w:bottom w:val="nil"/>
              <w:right w:val="nil"/>
            </w:tcBorders>
            <w:vAlign w:val="center"/>
            <w:hideMark/>
          </w:tcPr>
          <w:p w14:paraId="5D3FB345" w14:textId="77777777" w:rsidR="001A48E2" w:rsidRPr="001A48E2" w:rsidRDefault="001A48E2" w:rsidP="00A13CB3">
            <w:pPr>
              <w:autoSpaceDE w:val="0"/>
              <w:autoSpaceDN w:val="0"/>
              <w:adjustRightInd w:val="0"/>
              <w:spacing w:after="0" w:line="240" w:lineRule="auto"/>
              <w:jc w:val="both"/>
              <w:rPr>
                <w:rFonts w:ascii="Verdana" w:eastAsia="Calibri" w:hAnsi="Verdana" w:cs="Arial"/>
                <w:sz w:val="16"/>
                <w:szCs w:val="16"/>
              </w:rPr>
            </w:pPr>
            <w:r w:rsidRPr="001A48E2">
              <w:rPr>
                <w:rFonts w:ascii="Verdana" w:eastAsia="Calibri" w:hAnsi="Verdana" w:cs="Arial"/>
                <w:sz w:val="16"/>
                <w:szCs w:val="16"/>
              </w:rPr>
              <w:t>Aprobó: </w:t>
            </w:r>
          </w:p>
        </w:tc>
        <w:tc>
          <w:tcPr>
            <w:tcW w:w="4332" w:type="dxa"/>
            <w:tcBorders>
              <w:top w:val="dotted" w:sz="6" w:space="0" w:color="7F7F7F" w:themeColor="text1" w:themeTint="80"/>
              <w:left w:val="nil"/>
              <w:bottom w:val="dotted" w:sz="6" w:space="0" w:color="7F7F7F" w:themeColor="text1" w:themeTint="80"/>
              <w:right w:val="nil"/>
            </w:tcBorders>
            <w:vAlign w:val="center"/>
            <w:hideMark/>
          </w:tcPr>
          <w:p w14:paraId="6FCD3FEC" w14:textId="77777777" w:rsidR="001A48E2" w:rsidRPr="001A48E2" w:rsidRDefault="001A48E2" w:rsidP="00A13CB3">
            <w:pPr>
              <w:autoSpaceDE w:val="0"/>
              <w:autoSpaceDN w:val="0"/>
              <w:adjustRightInd w:val="0"/>
              <w:spacing w:after="0" w:line="240" w:lineRule="auto"/>
              <w:jc w:val="both"/>
              <w:rPr>
                <w:rFonts w:ascii="Verdana" w:eastAsia="Calibri" w:hAnsi="Verdana" w:cs="Arial"/>
                <w:sz w:val="16"/>
                <w:szCs w:val="16"/>
              </w:rPr>
            </w:pPr>
            <w:r w:rsidRPr="001A48E2">
              <w:rPr>
                <w:rFonts w:ascii="Verdana" w:eastAsia="Calibri" w:hAnsi="Verdana" w:cs="Arial"/>
                <w:sz w:val="16"/>
                <w:szCs w:val="16"/>
              </w:rPr>
              <w:t>Carolina Quintero Gacharná</w:t>
            </w:r>
          </w:p>
          <w:p w14:paraId="301A231E" w14:textId="77777777" w:rsidR="001A48E2" w:rsidRPr="001A48E2" w:rsidRDefault="001A48E2" w:rsidP="00A13CB3">
            <w:pPr>
              <w:autoSpaceDE w:val="0"/>
              <w:autoSpaceDN w:val="0"/>
              <w:adjustRightInd w:val="0"/>
              <w:spacing w:after="0" w:line="240" w:lineRule="auto"/>
              <w:jc w:val="both"/>
              <w:rPr>
                <w:rFonts w:ascii="Verdana" w:eastAsia="Calibri" w:hAnsi="Verdana" w:cs="Arial"/>
                <w:sz w:val="16"/>
                <w:szCs w:val="16"/>
              </w:rPr>
            </w:pPr>
            <w:r w:rsidRPr="001A48E2">
              <w:rPr>
                <w:rFonts w:ascii="Verdana" w:eastAsia="Calibri" w:hAnsi="Verdana" w:cs="Arial"/>
                <w:sz w:val="16"/>
                <w:szCs w:val="16"/>
              </w:rPr>
              <w:t>Subdirectora de Gestión Contractual ANCP-CCE</w:t>
            </w:r>
          </w:p>
        </w:tc>
      </w:tr>
    </w:tbl>
    <w:p w14:paraId="2DFCF8B3" w14:textId="77777777" w:rsidR="001A48E2" w:rsidRDefault="001A48E2" w:rsidP="001A48E2">
      <w:pPr>
        <w:spacing w:after="0" w:line="240" w:lineRule="auto"/>
        <w:jc w:val="both"/>
        <w:textAlignment w:val="baseline"/>
        <w:rPr>
          <w:rFonts w:ascii="Verdana" w:eastAsia="Times New Roman" w:hAnsi="Verdana" w:cs="Segoe UI"/>
          <w:sz w:val="24"/>
          <w:szCs w:val="24"/>
          <w:lang w:eastAsia="es-CO"/>
        </w:rPr>
      </w:pPr>
    </w:p>
    <w:p w14:paraId="643A61C8" w14:textId="77777777" w:rsidR="00E14A86" w:rsidRPr="00593A5F" w:rsidRDefault="00E14A86" w:rsidP="00871B59">
      <w:pPr>
        <w:widowControl w:val="0"/>
        <w:autoSpaceDE w:val="0"/>
        <w:autoSpaceDN w:val="0"/>
        <w:spacing w:after="0" w:line="276" w:lineRule="auto"/>
        <w:jc w:val="both"/>
        <w:rPr>
          <w:rFonts w:ascii="Verdana" w:hAnsi="Verdana" w:cs="Arial"/>
        </w:rPr>
      </w:pPr>
    </w:p>
    <w:sectPr w:rsidR="00E14A86" w:rsidRPr="00593A5F" w:rsidSect="00E45F4B">
      <w:headerReference w:type="default" r:id="rId21"/>
      <w:footerReference w:type="default" r:id="rId22"/>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1777" w14:textId="77777777" w:rsidR="007A318B" w:rsidRDefault="007A318B" w:rsidP="00B30448">
      <w:pPr>
        <w:spacing w:after="0" w:line="240" w:lineRule="auto"/>
      </w:pPr>
      <w:r>
        <w:separator/>
      </w:r>
    </w:p>
  </w:endnote>
  <w:endnote w:type="continuationSeparator" w:id="0">
    <w:p w14:paraId="67D3F04C" w14:textId="77777777" w:rsidR="007A318B" w:rsidRDefault="007A318B" w:rsidP="00B30448">
      <w:pPr>
        <w:spacing w:after="0" w:line="240" w:lineRule="auto"/>
      </w:pPr>
      <w:r>
        <w:continuationSeparator/>
      </w:r>
    </w:p>
  </w:endnote>
  <w:endnote w:type="continuationNotice" w:id="1">
    <w:p w14:paraId="1BAE0E23" w14:textId="77777777" w:rsidR="007A318B" w:rsidRDefault="007A31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7033" w14:textId="77777777" w:rsidR="000849D5" w:rsidRDefault="000849D5" w:rsidP="000849D5">
    <w:pPr>
      <w:spacing w:after="0"/>
      <w:rPr>
        <w:rFonts w:ascii="Verdana" w:hAnsi="Verdana"/>
        <w:b/>
        <w:bCs/>
        <w:sz w:val="20"/>
        <w:szCs w:val="20"/>
      </w:rPr>
    </w:pPr>
  </w:p>
  <w:p w14:paraId="4EC42D04" w14:textId="77777777" w:rsidR="000849D5" w:rsidRPr="00174B77" w:rsidRDefault="000849D5" w:rsidP="000849D5">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56FFE026" w14:textId="77777777" w:rsidR="000849D5" w:rsidRDefault="000849D5" w:rsidP="000849D5">
    <w:pPr>
      <w:spacing w:after="0"/>
      <w:jc w:val="both"/>
      <w:rPr>
        <w:rFonts w:ascii="Verdana" w:hAnsi="Verdana"/>
        <w:sz w:val="18"/>
        <w:szCs w:val="18"/>
      </w:rPr>
    </w:pPr>
    <w:r w:rsidRPr="00E41027">
      <w:rPr>
        <w:rFonts w:ascii="Verdana" w:hAnsi="Verdana"/>
        <w:sz w:val="18"/>
        <w:szCs w:val="18"/>
      </w:rPr>
      <w:t>Dirección: Carrera 7 # 26 – 20 - Bogotá, Colombia</w:t>
    </w:r>
  </w:p>
  <w:p w14:paraId="3146E8A6" w14:textId="77777777" w:rsidR="000849D5" w:rsidRPr="00E41027" w:rsidRDefault="000849D5" w:rsidP="000849D5">
    <w:pPr>
      <w:spacing w:after="0"/>
      <w:jc w:val="both"/>
      <w:rPr>
        <w:rFonts w:ascii="Verdana" w:hAnsi="Verdana"/>
        <w:sz w:val="18"/>
        <w:szCs w:val="18"/>
      </w:rPr>
    </w:pPr>
    <w:r w:rsidRPr="00E41027">
      <w:rPr>
        <w:rFonts w:ascii="Verdana" w:hAnsi="Verdana"/>
        <w:sz w:val="18"/>
        <w:szCs w:val="18"/>
      </w:rPr>
      <w:t>Mesa de servicio: (+57) 601 7456788</w:t>
    </w:r>
  </w:p>
  <w:p w14:paraId="0857EFCA" w14:textId="77777777" w:rsidR="000849D5" w:rsidRDefault="000849D5" w:rsidP="000849D5">
    <w:pPr>
      <w:pStyle w:val="Piedepgina"/>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Pr>
        <w:rFonts w:ascii="Century Gothic" w:hAnsi="Century Gothic"/>
        <w:sz w:val="18"/>
        <w:szCs w:val="18"/>
      </w:rPr>
      <w:t>Código: CCE-DES-FM-17 Versión: 4</w:t>
    </w:r>
    <w:r w:rsidRPr="0086556C">
      <w:rPr>
        <w:rFonts w:ascii="Century Gothic" w:hAnsi="Century Gothic"/>
        <w:sz w:val="18"/>
        <w:szCs w:val="18"/>
      </w:rPr>
      <w:t xml:space="preserve"> </w:t>
    </w:r>
    <w:r>
      <w:rPr>
        <w:rFonts w:ascii="Century Gothic" w:hAnsi="Century Gothic"/>
        <w:sz w:val="18"/>
        <w:szCs w:val="18"/>
      </w:rPr>
      <w:t>Fecha: 13-12-2023</w:t>
    </w:r>
  </w:p>
  <w:p w14:paraId="3096D6CD" w14:textId="77777777" w:rsidR="000849D5" w:rsidRPr="007D04B2" w:rsidRDefault="000849D5" w:rsidP="000849D5">
    <w:pPr>
      <w:pStyle w:val="Piedepgina"/>
    </w:pPr>
  </w:p>
  <w:p w14:paraId="25BB35B7" w14:textId="77777777" w:rsidR="00B30448" w:rsidRPr="000849D5" w:rsidRDefault="00B30448" w:rsidP="000849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A5347" w14:textId="77777777" w:rsidR="007A318B" w:rsidRDefault="007A318B" w:rsidP="00B30448">
      <w:pPr>
        <w:spacing w:after="0" w:line="240" w:lineRule="auto"/>
      </w:pPr>
      <w:r>
        <w:separator/>
      </w:r>
    </w:p>
  </w:footnote>
  <w:footnote w:type="continuationSeparator" w:id="0">
    <w:p w14:paraId="4E330070" w14:textId="77777777" w:rsidR="007A318B" w:rsidRDefault="007A318B" w:rsidP="00B30448">
      <w:pPr>
        <w:spacing w:after="0" w:line="240" w:lineRule="auto"/>
      </w:pPr>
      <w:r>
        <w:continuationSeparator/>
      </w:r>
    </w:p>
  </w:footnote>
  <w:footnote w:type="continuationNotice" w:id="1">
    <w:p w14:paraId="6B09C389" w14:textId="77777777" w:rsidR="007A318B" w:rsidRDefault="007A318B">
      <w:pPr>
        <w:spacing w:after="0" w:line="240" w:lineRule="auto"/>
      </w:pPr>
    </w:p>
  </w:footnote>
  <w:footnote w:id="2">
    <w:p w14:paraId="531CAAC3" w14:textId="77777777" w:rsidR="0056015C" w:rsidRPr="008E4A2F" w:rsidRDefault="0056015C" w:rsidP="0056015C">
      <w:pPr>
        <w:pStyle w:val="Textonotapie"/>
        <w:ind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0DCFD1E9" w14:textId="77777777" w:rsidR="0056015C" w:rsidRPr="008E4A2F" w:rsidRDefault="0056015C" w:rsidP="0056015C">
      <w:pPr>
        <w:pStyle w:val="Textonotapie"/>
        <w:ind w:firstLine="709"/>
        <w:jc w:val="both"/>
        <w:rPr>
          <w:rFonts w:ascii="Verdana" w:hAnsi="Verdana" w:cs="Arial"/>
          <w:sz w:val="16"/>
          <w:szCs w:val="16"/>
        </w:rPr>
      </w:pPr>
      <w:r w:rsidRPr="008E4A2F">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3">
    <w:p w14:paraId="78B48DAA" w14:textId="77777777" w:rsidR="0056015C" w:rsidRPr="008E4A2F" w:rsidRDefault="0056015C" w:rsidP="0056015C">
      <w:pPr>
        <w:pStyle w:val="Textonotapie"/>
        <w:ind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Gaceta del Congreso de la República No. 71 del 2005.</w:t>
      </w:r>
    </w:p>
  </w:footnote>
  <w:footnote w:id="4">
    <w:p w14:paraId="41ABB189" w14:textId="77777777" w:rsidR="0056015C" w:rsidRPr="008E4A2F" w:rsidRDefault="0056015C" w:rsidP="0056015C">
      <w:pPr>
        <w:pStyle w:val="Textonotapie"/>
        <w:ind w:firstLine="709"/>
        <w:jc w:val="both"/>
        <w:rPr>
          <w:rFonts w:ascii="Verdana" w:hAnsi="Verdana" w:cs="Arial"/>
          <w:sz w:val="16"/>
          <w:szCs w:val="16"/>
          <w:lang w:val="pt-BR"/>
        </w:rPr>
      </w:pPr>
      <w:r w:rsidRPr="008E4A2F">
        <w:rPr>
          <w:rStyle w:val="Refdenotaalpie"/>
          <w:rFonts w:ascii="Verdana" w:hAnsi="Verdana" w:cs="Arial"/>
          <w:sz w:val="16"/>
          <w:szCs w:val="16"/>
        </w:rPr>
        <w:footnoteRef/>
      </w:r>
      <w:r w:rsidRPr="008E4A2F">
        <w:rPr>
          <w:rFonts w:ascii="Verdana" w:hAnsi="Verdana" w:cs="Arial"/>
          <w:sz w:val="16"/>
          <w:szCs w:val="16"/>
          <w:lang w:val="pt-BR"/>
        </w:rPr>
        <w:t xml:space="preserve"> Corte Constitucional, Sentencia C- 1153 de 2005, M.P. Marco Gerardo </w:t>
      </w:r>
      <w:proofErr w:type="spellStart"/>
      <w:r w:rsidRPr="008E4A2F">
        <w:rPr>
          <w:rFonts w:ascii="Verdana" w:hAnsi="Verdana" w:cs="Arial"/>
          <w:sz w:val="16"/>
          <w:szCs w:val="16"/>
          <w:lang w:val="pt-BR"/>
        </w:rPr>
        <w:t>Monroy</w:t>
      </w:r>
      <w:proofErr w:type="spellEnd"/>
      <w:r w:rsidRPr="008E4A2F">
        <w:rPr>
          <w:rFonts w:ascii="Verdana" w:hAnsi="Verdana" w:cs="Arial"/>
          <w:sz w:val="16"/>
          <w:szCs w:val="16"/>
          <w:lang w:val="pt-BR"/>
        </w:rPr>
        <w:t xml:space="preserve"> Cabra.</w:t>
      </w:r>
    </w:p>
  </w:footnote>
  <w:footnote w:id="5">
    <w:p w14:paraId="72C6BB7E" w14:textId="77777777" w:rsidR="0056015C" w:rsidRPr="008E4A2F" w:rsidRDefault="0056015C" w:rsidP="0056015C">
      <w:pPr>
        <w:pStyle w:val="Textonotapie"/>
        <w:ind w:firstLine="709"/>
        <w:jc w:val="both"/>
        <w:rPr>
          <w:rFonts w:ascii="Verdana" w:hAnsi="Verdana" w:cs="Arial"/>
          <w:sz w:val="16"/>
          <w:szCs w:val="16"/>
          <w:lang w:val="pt-BR"/>
        </w:rPr>
      </w:pPr>
      <w:r w:rsidRPr="008E4A2F">
        <w:rPr>
          <w:rStyle w:val="Refdenotaalpie"/>
          <w:rFonts w:ascii="Verdana" w:hAnsi="Verdana" w:cs="Arial"/>
          <w:sz w:val="16"/>
          <w:szCs w:val="16"/>
        </w:rPr>
        <w:footnoteRef/>
      </w:r>
      <w:r w:rsidRPr="008E4A2F">
        <w:rPr>
          <w:rFonts w:ascii="Verdana" w:hAnsi="Verdana" w:cs="Arial"/>
          <w:sz w:val="16"/>
          <w:szCs w:val="16"/>
          <w:lang w:val="pt-BR"/>
        </w:rPr>
        <w:t xml:space="preserve"> Corte Constitucional. Sentencias: C-233 de 4 de abril de 2002, expediente: D-3704; C-551 de 9 de </w:t>
      </w:r>
      <w:proofErr w:type="spellStart"/>
      <w:r w:rsidRPr="008E4A2F">
        <w:rPr>
          <w:rFonts w:ascii="Verdana" w:hAnsi="Verdana" w:cs="Arial"/>
          <w:sz w:val="16"/>
          <w:szCs w:val="16"/>
          <w:lang w:val="pt-BR"/>
        </w:rPr>
        <w:t>julio</w:t>
      </w:r>
      <w:proofErr w:type="spellEnd"/>
      <w:r w:rsidRPr="008E4A2F">
        <w:rPr>
          <w:rFonts w:ascii="Verdana" w:hAnsi="Verdana" w:cs="Arial"/>
          <w:sz w:val="16"/>
          <w:szCs w:val="16"/>
          <w:lang w:val="pt-BR"/>
        </w:rPr>
        <w:t xml:space="preserve"> de 2003, expediente: CRF-001 de 9 de </w:t>
      </w:r>
      <w:proofErr w:type="spellStart"/>
      <w:r w:rsidRPr="008E4A2F">
        <w:rPr>
          <w:rFonts w:ascii="Verdana" w:hAnsi="Verdana" w:cs="Arial"/>
          <w:sz w:val="16"/>
          <w:szCs w:val="16"/>
          <w:lang w:val="pt-BR"/>
        </w:rPr>
        <w:t>julio</w:t>
      </w:r>
      <w:proofErr w:type="spellEnd"/>
      <w:r w:rsidRPr="008E4A2F">
        <w:rPr>
          <w:rFonts w:ascii="Verdana" w:hAnsi="Verdana" w:cs="Arial"/>
          <w:sz w:val="16"/>
          <w:szCs w:val="16"/>
          <w:lang w:val="pt-BR"/>
        </w:rPr>
        <w:t xml:space="preserve"> de 2003; C-652 de 5 de agosto de 2003, expediente: D-4330; C-353 de 20 de </w:t>
      </w:r>
      <w:proofErr w:type="spellStart"/>
      <w:r w:rsidRPr="008E4A2F">
        <w:rPr>
          <w:rFonts w:ascii="Verdana" w:hAnsi="Verdana" w:cs="Arial"/>
          <w:sz w:val="16"/>
          <w:szCs w:val="16"/>
          <w:lang w:val="pt-BR"/>
        </w:rPr>
        <w:t>mayo</w:t>
      </w:r>
      <w:proofErr w:type="spellEnd"/>
      <w:r w:rsidRPr="008E4A2F">
        <w:rPr>
          <w:rFonts w:ascii="Verdana" w:hAnsi="Verdana" w:cs="Arial"/>
          <w:sz w:val="16"/>
          <w:szCs w:val="16"/>
          <w:lang w:val="pt-BR"/>
        </w:rPr>
        <w:t xml:space="preserve"> de 2009, expediente: D-7518, C-541 de 30 de </w:t>
      </w:r>
      <w:proofErr w:type="spellStart"/>
      <w:r w:rsidRPr="008E4A2F">
        <w:rPr>
          <w:rFonts w:ascii="Verdana" w:hAnsi="Verdana" w:cs="Arial"/>
          <w:sz w:val="16"/>
          <w:szCs w:val="16"/>
          <w:lang w:val="pt-BR"/>
        </w:rPr>
        <w:t>junio</w:t>
      </w:r>
      <w:proofErr w:type="spellEnd"/>
      <w:r w:rsidRPr="008E4A2F">
        <w:rPr>
          <w:rFonts w:ascii="Verdana" w:hAnsi="Verdana" w:cs="Arial"/>
          <w:sz w:val="16"/>
          <w:szCs w:val="16"/>
          <w:lang w:val="pt-BR"/>
        </w:rPr>
        <w:t xml:space="preserve"> de 2010, expediente: DD7966; entre </w:t>
      </w:r>
      <w:proofErr w:type="spellStart"/>
      <w:r w:rsidRPr="008E4A2F">
        <w:rPr>
          <w:rFonts w:ascii="Verdana" w:hAnsi="Verdana" w:cs="Arial"/>
          <w:sz w:val="16"/>
          <w:szCs w:val="16"/>
          <w:lang w:val="pt-BR"/>
        </w:rPr>
        <w:t>otras</w:t>
      </w:r>
      <w:proofErr w:type="spellEnd"/>
      <w:r w:rsidRPr="008E4A2F">
        <w:rPr>
          <w:rFonts w:ascii="Verdana" w:hAnsi="Verdana" w:cs="Arial"/>
          <w:sz w:val="16"/>
          <w:szCs w:val="16"/>
          <w:lang w:val="pt-BR"/>
        </w:rPr>
        <w:t>.</w:t>
      </w:r>
    </w:p>
  </w:footnote>
  <w:footnote w:id="6">
    <w:p w14:paraId="4D13D219" w14:textId="77777777" w:rsidR="0056015C" w:rsidRPr="008E4A2F" w:rsidRDefault="0056015C" w:rsidP="0056015C">
      <w:pPr>
        <w:pStyle w:val="Textonotapie"/>
        <w:ind w:firstLine="709"/>
        <w:jc w:val="both"/>
        <w:rPr>
          <w:rFonts w:ascii="Verdana" w:hAnsi="Verdana" w:cs="Arial"/>
          <w:sz w:val="16"/>
          <w:szCs w:val="16"/>
          <w:lang w:val="es-CO"/>
        </w:rPr>
      </w:pPr>
      <w:r w:rsidRPr="008E4A2F">
        <w:rPr>
          <w:rStyle w:val="Refdenotaalpie"/>
          <w:rFonts w:ascii="Verdana" w:hAnsi="Verdana" w:cs="Arial"/>
          <w:sz w:val="16"/>
          <w:szCs w:val="16"/>
        </w:rPr>
        <w:footnoteRef/>
      </w:r>
      <w:r w:rsidRPr="008E4A2F">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7">
    <w:p w14:paraId="0C6FF68E" w14:textId="77777777" w:rsidR="0056015C" w:rsidRPr="008E4A2F" w:rsidRDefault="0056015C" w:rsidP="0056015C">
      <w:pPr>
        <w:pStyle w:val="Textonotapie"/>
        <w:ind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Consejo de Estado, Sala de Consulta y Servicio Civil de fecha 24 de julio de 2013, radicado 2166, C. P. Álvaro Namén Vargas.  </w:t>
      </w:r>
    </w:p>
  </w:footnote>
  <w:footnote w:id="8">
    <w:p w14:paraId="3E526786" w14:textId="77777777" w:rsidR="0056015C" w:rsidRPr="008E4A2F" w:rsidRDefault="0056015C" w:rsidP="0056015C">
      <w:pPr>
        <w:spacing w:after="0" w:line="240" w:lineRule="auto"/>
        <w:ind w:firstLine="709"/>
        <w:jc w:val="both"/>
        <w:rPr>
          <w:rFonts w:ascii="Verdana" w:eastAsia="Times New Roman"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w:t>
      </w:r>
      <w:r w:rsidRPr="008E4A2F">
        <w:rPr>
          <w:rFonts w:ascii="Verdana" w:eastAsia="Calibri" w:hAnsi="Verdana" w:cs="Arial"/>
          <w:color w:val="000000"/>
          <w:sz w:val="16"/>
          <w:szCs w:val="16"/>
        </w:rPr>
        <w:t>“</w:t>
      </w:r>
      <w:r w:rsidRPr="008E4A2F">
        <w:rPr>
          <w:rFonts w:ascii="Verdana" w:eastAsia="Times New Roman" w:hAnsi="Verdana" w:cs="Arial"/>
          <w:sz w:val="16"/>
          <w:szCs w:val="16"/>
        </w:rPr>
        <w:t>Artículo 33. Restricciones a la contratación pública. Durante los cuatro (4) meses anteriores a la elección presidencial y hasta la realización de la elección en la segunda vuelta, si fuere el caso, queda prohibida la contratación directa por parte de todos los entes del Estado.</w:t>
      </w:r>
    </w:p>
    <w:p w14:paraId="7A5A5385" w14:textId="77777777" w:rsidR="0056015C" w:rsidRPr="008E4A2F" w:rsidRDefault="0056015C" w:rsidP="0056015C">
      <w:pPr>
        <w:spacing w:after="0" w:line="240" w:lineRule="auto"/>
        <w:ind w:firstLine="709"/>
        <w:jc w:val="both"/>
        <w:rPr>
          <w:rFonts w:ascii="Verdana" w:eastAsia="Times New Roman" w:hAnsi="Verdana" w:cs="Arial"/>
          <w:sz w:val="16"/>
          <w:szCs w:val="16"/>
        </w:rPr>
      </w:pPr>
      <w:r w:rsidRPr="008E4A2F">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8E4A2F">
        <w:rPr>
          <w:rFonts w:ascii="Verdana" w:eastAsia="Calibri" w:hAnsi="Verdana" w:cs="Arial"/>
          <w:color w:val="000000"/>
          <w:sz w:val="16"/>
          <w:szCs w:val="16"/>
        </w:rPr>
        <w:t>”</w:t>
      </w:r>
      <w:r w:rsidRPr="008E4A2F">
        <w:rPr>
          <w:rFonts w:ascii="Verdana" w:eastAsia="Times New Roman" w:hAnsi="Verdana" w:cs="Arial"/>
          <w:sz w:val="16"/>
          <w:szCs w:val="16"/>
        </w:rPr>
        <w:t>.</w:t>
      </w:r>
    </w:p>
  </w:footnote>
  <w:footnote w:id="9">
    <w:p w14:paraId="76431F55" w14:textId="77777777" w:rsidR="0056015C" w:rsidRPr="008E4A2F" w:rsidRDefault="0056015C" w:rsidP="0056015C">
      <w:pPr>
        <w:pStyle w:val="NormalWeb"/>
        <w:spacing w:after="0"/>
        <w:ind w:firstLine="709"/>
        <w:jc w:val="both"/>
        <w:rPr>
          <w:rFonts w:ascii="Verdana" w:hAnsi="Verdana" w:cs="Arial"/>
          <w:sz w:val="16"/>
          <w:szCs w:val="16"/>
          <w:lang w:val="es-MX"/>
        </w:rPr>
      </w:pPr>
      <w:r w:rsidRPr="008E4A2F">
        <w:rPr>
          <w:rStyle w:val="Refdenotaalpie"/>
          <w:rFonts w:ascii="Verdana" w:hAnsi="Verdana" w:cs="Arial"/>
          <w:sz w:val="16"/>
          <w:szCs w:val="16"/>
        </w:rPr>
        <w:footnoteRef/>
      </w:r>
      <w:r w:rsidRPr="008E4A2F">
        <w:rPr>
          <w:rFonts w:ascii="Verdana" w:hAnsi="Verdana" w:cs="Arial"/>
          <w:sz w:val="16"/>
          <w:szCs w:val="16"/>
        </w:rPr>
        <w:t xml:space="preserve"> </w:t>
      </w:r>
      <w:r w:rsidRPr="008E4A2F">
        <w:rPr>
          <w:rFonts w:ascii="Verdana" w:eastAsia="Calibri" w:hAnsi="Verdana" w:cs="Arial"/>
          <w:color w:val="000000"/>
          <w:sz w:val="16"/>
          <w:szCs w:val="16"/>
        </w:rPr>
        <w:t>“</w:t>
      </w:r>
      <w:r w:rsidRPr="008E4A2F">
        <w:rPr>
          <w:rFonts w:ascii="Verdana" w:hAnsi="Verdana" w:cs="Arial"/>
          <w:sz w:val="16"/>
          <w:szCs w:val="16"/>
          <w:lang w:val="es-MX"/>
        </w:rPr>
        <w:t>Artículo 38. Prohibiciones para los servidores públicos. A los empleados del Estado les está prohibido: […]</w:t>
      </w:r>
    </w:p>
    <w:p w14:paraId="0815F00D" w14:textId="77777777" w:rsidR="0056015C" w:rsidRPr="008E4A2F" w:rsidRDefault="0056015C" w:rsidP="0056015C">
      <w:pPr>
        <w:pStyle w:val="NormalWeb"/>
        <w:spacing w:after="0"/>
        <w:ind w:firstLine="709"/>
        <w:jc w:val="both"/>
        <w:rPr>
          <w:rFonts w:ascii="Verdana" w:hAnsi="Verdana" w:cs="Arial"/>
          <w:sz w:val="16"/>
          <w:szCs w:val="16"/>
          <w:lang w:val="es-MX"/>
        </w:rPr>
      </w:pPr>
      <w:r w:rsidRPr="008E4A2F">
        <w:rPr>
          <w:rStyle w:val="baj"/>
          <w:rFonts w:ascii="Verdana" w:hAnsi="Verdana" w:cs="Arial"/>
          <w:sz w:val="16"/>
          <w:szCs w:val="16"/>
          <w:lang w:val="es-MX"/>
        </w:rPr>
        <w:t>Parágrafo.</w:t>
      </w:r>
      <w:r w:rsidRPr="008E4A2F">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8E4A2F">
        <w:rPr>
          <w:rFonts w:ascii="Verdana" w:eastAsia="Calibri" w:hAnsi="Verdana" w:cs="Arial"/>
          <w:color w:val="000000"/>
          <w:sz w:val="16"/>
          <w:szCs w:val="16"/>
        </w:rPr>
        <w:t>”</w:t>
      </w:r>
      <w:r w:rsidRPr="008E4A2F">
        <w:rPr>
          <w:rFonts w:ascii="Verdana" w:hAnsi="Verdana" w:cs="Arial"/>
          <w:sz w:val="16"/>
          <w:szCs w:val="16"/>
          <w:lang w:val="es-MX"/>
        </w:rPr>
        <w:t>.</w:t>
      </w:r>
    </w:p>
  </w:footnote>
  <w:footnote w:id="10">
    <w:p w14:paraId="4CA6D30D" w14:textId="77777777" w:rsidR="0056015C" w:rsidRPr="008E4A2F" w:rsidRDefault="0056015C" w:rsidP="0056015C">
      <w:pPr>
        <w:pStyle w:val="Textonotapie"/>
        <w:ind w:firstLine="708"/>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Colombia Compra Eficiente. Circular Externa Única. Numeral 16.5. </w:t>
      </w:r>
    </w:p>
  </w:footnote>
  <w:footnote w:id="11">
    <w:p w14:paraId="36FB79A2" w14:textId="77777777" w:rsidR="0056015C" w:rsidRPr="008E4A2F" w:rsidRDefault="0056015C" w:rsidP="0056015C">
      <w:pPr>
        <w:spacing w:after="0" w:line="240" w:lineRule="auto"/>
        <w:ind w:left="100" w:right="244" w:firstLine="608"/>
        <w:jc w:val="both"/>
        <w:rPr>
          <w:rFonts w:ascii="Verdana" w:hAnsi="Verdana" w:cs="Arial"/>
          <w:sz w:val="16"/>
          <w:szCs w:val="16"/>
          <w:lang w:val="es-ES"/>
        </w:rPr>
      </w:pPr>
      <w:r w:rsidRPr="008E4A2F">
        <w:rPr>
          <w:rStyle w:val="Refdenotaalpie"/>
          <w:rFonts w:ascii="Verdana" w:hAnsi="Verdana" w:cs="Arial"/>
          <w:sz w:val="16"/>
          <w:szCs w:val="16"/>
        </w:rPr>
        <w:footnoteRef/>
      </w:r>
      <w:r w:rsidRPr="008E4A2F">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 w:id="12">
    <w:p w14:paraId="68760282" w14:textId="77777777" w:rsidR="0056015C" w:rsidRPr="008E4A2F" w:rsidRDefault="0056015C" w:rsidP="0056015C">
      <w:pPr>
        <w:pStyle w:val="Textonotapie"/>
        <w:ind w:right="51"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w:t>
      </w:r>
      <w:r w:rsidRPr="008E4A2F">
        <w:rPr>
          <w:rFonts w:ascii="Verdana" w:hAnsi="Verdana" w:cs="Arial"/>
          <w:sz w:val="16"/>
          <w:szCs w:val="16"/>
          <w:lang w:val="es-ES"/>
        </w:rPr>
        <w:t xml:space="preserve">[25] </w:t>
      </w:r>
      <w:r w:rsidRPr="008E4A2F">
        <w:rPr>
          <w:rFonts w:ascii="Verdana" w:hAnsi="Verdana" w:cs="Arial"/>
          <w:sz w:val="16"/>
          <w:szCs w:val="16"/>
        </w:rPr>
        <w:t>Cfr. Consejo de Estado. Sección Tercera. Sentencia de 3 de diciembre de 2007. Radicados: 24.715, 25.206, 25.409, 24.524, 27.834, 25.410, 26.105, 28.244, 31.447 -acumulados-“.</w:t>
      </w:r>
    </w:p>
  </w:footnote>
  <w:footnote w:id="13">
    <w:p w14:paraId="124B1A15" w14:textId="77777777" w:rsidR="0056015C" w:rsidRPr="008E4A2F" w:rsidRDefault="0056015C" w:rsidP="0056015C">
      <w:pPr>
        <w:pStyle w:val="Textonotapie"/>
        <w:ind w:right="51"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w:t>
      </w:r>
      <w:r w:rsidRPr="008E4A2F">
        <w:rPr>
          <w:rFonts w:ascii="Verdana" w:hAnsi="Verdana" w:cs="Arial"/>
          <w:sz w:val="16"/>
          <w:szCs w:val="16"/>
          <w:lang w:val="es-ES"/>
        </w:rPr>
        <w:t xml:space="preserve">[26] </w:t>
      </w:r>
      <w:r w:rsidRPr="008E4A2F">
        <w:rPr>
          <w:rFonts w:ascii="Verdana" w:hAnsi="Verdana" w:cs="Arial"/>
          <w:sz w:val="16"/>
          <w:szCs w:val="16"/>
        </w:rPr>
        <w:t>Al respecto ver el concepto 1712 de 2 de febrero de 2006. Consejo de Estado Sala de Consulta y Servicio Civil”.</w:t>
      </w:r>
    </w:p>
  </w:footnote>
  <w:footnote w:id="14">
    <w:p w14:paraId="66345DD6" w14:textId="77777777" w:rsidR="0056015C" w:rsidRPr="008E4A2F" w:rsidRDefault="0056015C" w:rsidP="0056015C">
      <w:pPr>
        <w:pStyle w:val="Textonotapie"/>
        <w:ind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footnote>
  <w:footnote w:id="15">
    <w:p w14:paraId="0200BC27" w14:textId="77777777" w:rsidR="0056015C" w:rsidRPr="008E4A2F" w:rsidRDefault="0056015C" w:rsidP="0056015C">
      <w:pPr>
        <w:pStyle w:val="Textonotapie"/>
        <w:ind w:firstLine="709"/>
        <w:jc w:val="both"/>
        <w:rPr>
          <w:rFonts w:ascii="Verdana" w:hAnsi="Verdana" w:cs="Arial"/>
          <w:sz w:val="16"/>
          <w:szCs w:val="16"/>
          <w:lang w:val="es-ES"/>
        </w:rPr>
      </w:pPr>
      <w:r w:rsidRPr="008E4A2F">
        <w:rPr>
          <w:rStyle w:val="Refdenotaalpie"/>
          <w:rFonts w:ascii="Verdana" w:hAnsi="Verdana" w:cs="Arial"/>
          <w:sz w:val="16"/>
          <w:szCs w:val="16"/>
        </w:rPr>
        <w:footnoteRef/>
      </w:r>
      <w:r w:rsidRPr="008E4A2F">
        <w:rPr>
          <w:rFonts w:ascii="Verdana" w:hAnsi="Verdana" w:cs="Arial"/>
          <w:sz w:val="16"/>
          <w:szCs w:val="16"/>
        </w:rPr>
        <w:t xml:space="preserve"> </w:t>
      </w:r>
      <w:r w:rsidRPr="008E4A2F">
        <w:rPr>
          <w:rFonts w:ascii="Verdana" w:hAnsi="Verdana" w:cs="Arial"/>
          <w:sz w:val="16"/>
          <w:szCs w:val="16"/>
          <w:lang w:val="es-ES"/>
        </w:rPr>
        <w:t xml:space="preserve">Artículo 2. </w:t>
      </w:r>
    </w:p>
  </w:footnote>
  <w:footnote w:id="16">
    <w:p w14:paraId="713EDCBC" w14:textId="77777777" w:rsidR="0056015C" w:rsidRPr="008E4A2F" w:rsidRDefault="0056015C" w:rsidP="0056015C">
      <w:pPr>
        <w:pStyle w:val="Textonotapie"/>
        <w:ind w:firstLine="709"/>
        <w:jc w:val="both"/>
        <w:rPr>
          <w:rFonts w:ascii="Verdana" w:hAnsi="Verdana" w:cs="Arial"/>
          <w:sz w:val="16"/>
          <w:szCs w:val="16"/>
          <w:lang w:val="es-ES"/>
        </w:rPr>
      </w:pPr>
      <w:r w:rsidRPr="008E4A2F">
        <w:rPr>
          <w:rStyle w:val="Refdenotaalpie"/>
          <w:rFonts w:ascii="Verdana" w:hAnsi="Verdana" w:cs="Arial"/>
          <w:sz w:val="16"/>
          <w:szCs w:val="16"/>
        </w:rPr>
        <w:footnoteRef/>
      </w:r>
      <w:r w:rsidRPr="008E4A2F">
        <w:rPr>
          <w:rFonts w:ascii="Verdana" w:hAnsi="Verdana" w:cs="Arial"/>
          <w:sz w:val="16"/>
          <w:szCs w:val="16"/>
        </w:rPr>
        <w:t xml:space="preserve"> </w:t>
      </w:r>
      <w:r w:rsidRPr="008E4A2F">
        <w:rPr>
          <w:rFonts w:ascii="Verdana" w:hAnsi="Verdana" w:cs="Arial"/>
          <w:i/>
          <w:sz w:val="16"/>
          <w:szCs w:val="16"/>
          <w:lang w:val="es-ES"/>
        </w:rPr>
        <w:t>Ídem</w:t>
      </w:r>
      <w:r w:rsidRPr="008E4A2F">
        <w:rPr>
          <w:rFonts w:ascii="Verdana" w:hAnsi="Verdana" w:cs="Arial"/>
          <w:sz w:val="16"/>
          <w:szCs w:val="16"/>
          <w:lang w:val="es-ES"/>
        </w:rPr>
        <w:t>.</w:t>
      </w:r>
    </w:p>
  </w:footnote>
  <w:footnote w:id="17">
    <w:p w14:paraId="13A71DD3" w14:textId="77777777" w:rsidR="0056015C" w:rsidRPr="008E4A2F" w:rsidRDefault="0056015C" w:rsidP="0056015C">
      <w:pPr>
        <w:pStyle w:val="Textonotapie"/>
        <w:ind w:firstLine="709"/>
        <w:jc w:val="both"/>
        <w:rPr>
          <w:rFonts w:ascii="Verdana" w:hAnsi="Verdana" w:cs="Arial"/>
          <w:sz w:val="16"/>
          <w:szCs w:val="16"/>
          <w:lang w:val="es-ES"/>
        </w:rPr>
      </w:pPr>
      <w:r w:rsidRPr="008E4A2F">
        <w:rPr>
          <w:rStyle w:val="Refdenotaalpie"/>
          <w:rFonts w:ascii="Verdana" w:hAnsi="Verdana" w:cs="Arial"/>
          <w:sz w:val="16"/>
          <w:szCs w:val="16"/>
        </w:rPr>
        <w:footnoteRef/>
      </w:r>
      <w:r w:rsidRPr="008E4A2F">
        <w:rPr>
          <w:rStyle w:val="Refdenotaalpie"/>
          <w:rFonts w:ascii="Verdana" w:hAnsi="Verdana" w:cs="Arial"/>
          <w:sz w:val="16"/>
          <w:szCs w:val="16"/>
        </w:rPr>
        <w:t xml:space="preserve"> </w:t>
      </w:r>
      <w:r w:rsidRPr="008E4A2F">
        <w:rPr>
          <w:rFonts w:ascii="Verdana" w:hAnsi="Verdana" w:cs="Arial"/>
          <w:sz w:val="16"/>
          <w:szCs w:val="16"/>
          <w:lang w:val="es-ES"/>
        </w:rPr>
        <w:t xml:space="preserve">“[…] A este respecto, cabe recordar que el artículo 860 del Código de Comercio regula la licitación en el derecho privado”. </w:t>
      </w:r>
    </w:p>
  </w:footnote>
  <w:footnote w:id="18">
    <w:p w14:paraId="0D2FE5EC" w14:textId="77777777" w:rsidR="0056015C" w:rsidRPr="008E4A2F" w:rsidRDefault="0056015C" w:rsidP="0056015C">
      <w:pPr>
        <w:shd w:val="clear" w:color="auto" w:fill="FFFFFF"/>
        <w:spacing w:after="0" w:line="240" w:lineRule="auto"/>
        <w:ind w:firstLine="709"/>
        <w:jc w:val="both"/>
        <w:rPr>
          <w:rFonts w:ascii="Verdana" w:hAnsi="Verdana" w:cs="Arial"/>
          <w:sz w:val="16"/>
          <w:szCs w:val="16"/>
          <w:lang w:val="es-ES"/>
        </w:rPr>
      </w:pPr>
      <w:r w:rsidRPr="008E4A2F">
        <w:rPr>
          <w:rStyle w:val="Refdenotaalpie"/>
          <w:rFonts w:ascii="Verdana" w:hAnsi="Verdana" w:cs="Arial"/>
          <w:sz w:val="16"/>
          <w:szCs w:val="16"/>
        </w:rPr>
        <w:footnoteRef/>
      </w:r>
      <w:r w:rsidRPr="008E4A2F">
        <w:rPr>
          <w:rStyle w:val="Refdenotaalpie"/>
          <w:rFonts w:ascii="Verdana" w:hAnsi="Verdana" w:cs="Arial"/>
          <w:sz w:val="16"/>
          <w:szCs w:val="16"/>
        </w:rPr>
        <w:t xml:space="preserve"> </w:t>
      </w:r>
      <w:r w:rsidRPr="008E4A2F">
        <w:rPr>
          <w:rFonts w:ascii="Verdana" w:hAnsi="Verdana" w:cs="Arial"/>
          <w:sz w:val="16"/>
          <w:szCs w:val="16"/>
          <w:lang w:val="es-ES"/>
        </w:rPr>
        <w:t>Consejo de Estado. Sala de Consulta y Servicio Civil, Concepto de 8 de mayo de 2018. Radicación Número: 11001-03-06-000-2018-00095-00(2382). C.P. Álvaro Namén Vargas.</w:t>
      </w:r>
    </w:p>
  </w:footnote>
  <w:footnote w:id="19">
    <w:p w14:paraId="0194400B" w14:textId="77777777" w:rsidR="0056015C" w:rsidRPr="008E4A2F" w:rsidRDefault="0056015C" w:rsidP="0056015C">
      <w:pPr>
        <w:pStyle w:val="Textonotapie"/>
        <w:ind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Consejo de Estado. Sala de Consulta y Servicio Civil. Concepto del 08 de mayo de 2018. Exp. 2.382. C.P. Álvaro Namén Vargas.</w:t>
      </w:r>
    </w:p>
  </w:footnote>
  <w:footnote w:id="20">
    <w:p w14:paraId="2F69870A" w14:textId="77777777" w:rsidR="0056015C" w:rsidRPr="008E4A2F" w:rsidRDefault="0056015C" w:rsidP="0056015C">
      <w:pPr>
        <w:pStyle w:val="Textonotapie"/>
        <w:ind w:firstLine="709"/>
        <w:jc w:val="both"/>
        <w:rPr>
          <w:rFonts w:ascii="Verdana" w:hAnsi="Verdana" w:cs="Arial"/>
          <w:sz w:val="16"/>
          <w:szCs w:val="16"/>
        </w:rPr>
      </w:pPr>
      <w:r w:rsidRPr="008E4A2F">
        <w:rPr>
          <w:rStyle w:val="Refdenotaalpie"/>
          <w:rFonts w:ascii="Verdana" w:hAnsi="Verdana" w:cs="Arial"/>
          <w:sz w:val="16"/>
          <w:szCs w:val="16"/>
        </w:rPr>
        <w:footnoteRef/>
      </w:r>
      <w:r w:rsidRPr="008E4A2F">
        <w:rPr>
          <w:rFonts w:ascii="Verdana" w:hAnsi="Verdana" w:cs="Arial"/>
          <w:sz w:val="16"/>
          <w:szCs w:val="16"/>
        </w:rPr>
        <w:t xml:space="preserve"> La Corte Constitucional mediante Sentencia C-1153-05 de 11 de noviembre de 2005, Magistrado Ponente Marco Gerardo Monroy Cabra, efectuó el Control constitucional al Proyecto de Ley Estatutaria N° 216/05 Senado, N° 235-Cámara que dio lugar a la Ley de Garantías Electorales.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B27C" w14:textId="77777777" w:rsidR="00515FB5" w:rsidRDefault="00515FB5" w:rsidP="00515FB5">
    <w:pPr>
      <w:pStyle w:val="Encabezado"/>
    </w:pPr>
    <w:r>
      <w:rPr>
        <w:rFonts w:ascii="Geomanist Bold" w:hAnsi="Geomanist Bold"/>
        <w:b/>
        <w:bCs/>
        <w:noProof/>
        <w:color w:val="002060"/>
        <w:sz w:val="24"/>
        <w:szCs w:val="24"/>
      </w:rPr>
      <w:drawing>
        <wp:anchor distT="0" distB="0" distL="114300" distR="114300" simplePos="0" relativeHeight="251667456" behindDoc="1" locked="0" layoutInCell="1" allowOverlap="1" wp14:anchorId="5E688DB8" wp14:editId="6C11BD5C">
          <wp:simplePos x="0" y="0"/>
          <wp:positionH relativeFrom="margin">
            <wp:align>center</wp:align>
          </wp:positionH>
          <wp:positionV relativeFrom="paragraph">
            <wp:posOffset>-325755</wp:posOffset>
          </wp:positionV>
          <wp:extent cx="1924050" cy="856004"/>
          <wp:effectExtent l="0" t="0" r="0" b="1270"/>
          <wp:wrapNone/>
          <wp:docPr id="199516413"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66432" behindDoc="0" locked="0" layoutInCell="1" allowOverlap="1" wp14:anchorId="7F9A5360" wp14:editId="5E7D8BE0">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160576585" name="Imagen 160576585"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9914" name="Imagen 962149914" descr="Imagen en blanco y negro&#10;&#10;Descripción generada automáticamente con confianza media"/>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3719FE96" w14:textId="77777777" w:rsidR="00515FB5" w:rsidRDefault="00515FB5" w:rsidP="00515FB5">
    <w:pPr>
      <w:pStyle w:val="Encabezado"/>
    </w:pPr>
  </w:p>
  <w:p w14:paraId="7B489B87" w14:textId="77777777" w:rsidR="00515FB5" w:rsidRDefault="00515FB5" w:rsidP="00515FB5">
    <w:pPr>
      <w:pStyle w:val="Encabezado"/>
    </w:pPr>
  </w:p>
  <w:p w14:paraId="2B837E7C" w14:textId="77777777" w:rsidR="00515FB5" w:rsidRDefault="00515FB5" w:rsidP="00515FB5">
    <w:pPr>
      <w:pStyle w:val="Encabezado"/>
    </w:pPr>
  </w:p>
  <w:p w14:paraId="6E9818DC" w14:textId="77777777" w:rsidR="00515FB5" w:rsidRPr="00AB7B56" w:rsidRDefault="00515FB5" w:rsidP="00515FB5">
    <w:pPr>
      <w:pStyle w:val="Encabezado"/>
    </w:pPr>
  </w:p>
  <w:p w14:paraId="5BFEAA81" w14:textId="77777777" w:rsidR="00B30448" w:rsidRPr="00515FB5" w:rsidRDefault="00B30448" w:rsidP="00515F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51E06B3"/>
    <w:multiLevelType w:val="multilevel"/>
    <w:tmpl w:val="654EE8CE"/>
    <w:lvl w:ilvl="0">
      <w:start w:val="1"/>
      <w:numFmt w:val="decimal"/>
      <w:lvlText w:val="%1."/>
      <w:lvlJc w:val="left"/>
      <w:pPr>
        <w:ind w:left="347" w:hanging="248"/>
        <w:jc w:val="left"/>
      </w:pPr>
      <w:rPr>
        <w:rFonts w:ascii="Arial" w:eastAsia="Arial" w:hAnsi="Arial" w:cs="Arial" w:hint="default"/>
        <w:b/>
        <w:bCs/>
        <w:w w:val="100"/>
        <w:sz w:val="22"/>
        <w:szCs w:val="22"/>
        <w:lang w:val="es-ES" w:eastAsia="en-US" w:bidi="ar-SA"/>
      </w:rPr>
    </w:lvl>
    <w:lvl w:ilvl="1">
      <w:start w:val="1"/>
      <w:numFmt w:val="decimal"/>
      <w:lvlText w:val="%1.%2."/>
      <w:lvlJc w:val="left"/>
      <w:pPr>
        <w:ind w:left="529" w:hanging="430"/>
        <w:jc w:val="left"/>
      </w:pPr>
      <w:rPr>
        <w:rFonts w:ascii="Arial" w:eastAsia="Arial" w:hAnsi="Arial" w:cs="Arial" w:hint="default"/>
        <w:b/>
        <w:bCs/>
        <w:w w:val="100"/>
        <w:sz w:val="22"/>
        <w:szCs w:val="22"/>
        <w:lang w:val="es-ES" w:eastAsia="en-US" w:bidi="ar-SA"/>
      </w:rPr>
    </w:lvl>
    <w:lvl w:ilvl="2">
      <w:numFmt w:val="bullet"/>
      <w:lvlText w:val="•"/>
      <w:lvlJc w:val="left"/>
      <w:pPr>
        <w:ind w:left="1526" w:hanging="430"/>
      </w:pPr>
      <w:rPr>
        <w:rFonts w:hint="default"/>
        <w:lang w:val="es-ES" w:eastAsia="en-US" w:bidi="ar-SA"/>
      </w:rPr>
    </w:lvl>
    <w:lvl w:ilvl="3">
      <w:numFmt w:val="bullet"/>
      <w:lvlText w:val="•"/>
      <w:lvlJc w:val="left"/>
      <w:pPr>
        <w:ind w:left="2533" w:hanging="430"/>
      </w:pPr>
      <w:rPr>
        <w:rFonts w:hint="default"/>
        <w:lang w:val="es-ES" w:eastAsia="en-US" w:bidi="ar-SA"/>
      </w:rPr>
    </w:lvl>
    <w:lvl w:ilvl="4">
      <w:numFmt w:val="bullet"/>
      <w:lvlText w:val="•"/>
      <w:lvlJc w:val="left"/>
      <w:pPr>
        <w:ind w:left="3540" w:hanging="430"/>
      </w:pPr>
      <w:rPr>
        <w:rFonts w:hint="default"/>
        <w:lang w:val="es-ES" w:eastAsia="en-US" w:bidi="ar-SA"/>
      </w:rPr>
    </w:lvl>
    <w:lvl w:ilvl="5">
      <w:numFmt w:val="bullet"/>
      <w:lvlText w:val="•"/>
      <w:lvlJc w:val="left"/>
      <w:pPr>
        <w:ind w:left="4546" w:hanging="430"/>
      </w:pPr>
      <w:rPr>
        <w:rFonts w:hint="default"/>
        <w:lang w:val="es-ES" w:eastAsia="en-US" w:bidi="ar-SA"/>
      </w:rPr>
    </w:lvl>
    <w:lvl w:ilvl="6">
      <w:numFmt w:val="bullet"/>
      <w:lvlText w:val="•"/>
      <w:lvlJc w:val="left"/>
      <w:pPr>
        <w:ind w:left="5553" w:hanging="430"/>
      </w:pPr>
      <w:rPr>
        <w:rFonts w:hint="default"/>
        <w:lang w:val="es-ES" w:eastAsia="en-US" w:bidi="ar-SA"/>
      </w:rPr>
    </w:lvl>
    <w:lvl w:ilvl="7">
      <w:numFmt w:val="bullet"/>
      <w:lvlText w:val="•"/>
      <w:lvlJc w:val="left"/>
      <w:pPr>
        <w:ind w:left="6560" w:hanging="430"/>
      </w:pPr>
      <w:rPr>
        <w:rFonts w:hint="default"/>
        <w:lang w:val="es-ES" w:eastAsia="en-US" w:bidi="ar-SA"/>
      </w:rPr>
    </w:lvl>
    <w:lvl w:ilvl="8">
      <w:numFmt w:val="bullet"/>
      <w:lvlText w:val="•"/>
      <w:lvlJc w:val="left"/>
      <w:pPr>
        <w:ind w:left="7566" w:hanging="430"/>
      </w:pPr>
      <w:rPr>
        <w:rFonts w:hint="default"/>
        <w:lang w:val="es-ES" w:eastAsia="en-US" w:bidi="ar-SA"/>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3271E8"/>
    <w:multiLevelType w:val="hybridMultilevel"/>
    <w:tmpl w:val="A9221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691187"/>
    <w:multiLevelType w:val="hybridMultilevel"/>
    <w:tmpl w:val="C5B68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CD063BA"/>
    <w:multiLevelType w:val="hybridMultilevel"/>
    <w:tmpl w:val="51F0D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8E5EF0"/>
    <w:multiLevelType w:val="hybridMultilevel"/>
    <w:tmpl w:val="BAEA2E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C890EC4"/>
    <w:multiLevelType w:val="hybridMultilevel"/>
    <w:tmpl w:val="3EEEB2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FBD09E6"/>
    <w:multiLevelType w:val="hybridMultilevel"/>
    <w:tmpl w:val="78445262"/>
    <w:lvl w:ilvl="0" w:tplc="B2F4A800">
      <w:numFmt w:val="bullet"/>
      <w:lvlText w:val=""/>
      <w:lvlJc w:val="left"/>
      <w:pPr>
        <w:ind w:left="760" w:hanging="400"/>
      </w:pPr>
      <w:rPr>
        <w:rFonts w:ascii="Verdana" w:eastAsiaTheme="minorHAnsi"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A7326E"/>
    <w:multiLevelType w:val="multilevel"/>
    <w:tmpl w:val="5CE2D418"/>
    <w:lvl w:ilvl="0">
      <w:start w:val="1"/>
      <w:numFmt w:val="decimal"/>
      <w:lvlText w:val="%1."/>
      <w:lvlJc w:val="left"/>
      <w:pPr>
        <w:ind w:left="480" w:hanging="360"/>
      </w:pPr>
      <w:rPr>
        <w:rFonts w:ascii="Arial" w:eastAsia="Arial" w:hAnsi="Arial" w:cs="Arial" w:hint="default"/>
        <w:b/>
        <w:bCs/>
        <w:color w:val="4E4D4D"/>
        <w:spacing w:val="-8"/>
        <w:w w:val="100"/>
        <w:sz w:val="22"/>
        <w:szCs w:val="22"/>
        <w:lang w:val="es-ES" w:eastAsia="en-US" w:bidi="ar-SA"/>
      </w:rPr>
    </w:lvl>
    <w:lvl w:ilvl="1">
      <w:start w:val="1"/>
      <w:numFmt w:val="decimal"/>
      <w:lvlText w:val="%1.%2"/>
      <w:lvlJc w:val="left"/>
      <w:pPr>
        <w:ind w:left="688" w:hanging="578"/>
      </w:pPr>
      <w:rPr>
        <w:rFonts w:ascii="Arial" w:eastAsia="Arial" w:hAnsi="Arial" w:cs="Arial" w:hint="default"/>
        <w:b/>
        <w:bCs/>
        <w:color w:val="4E4D4D"/>
        <w:spacing w:val="-3"/>
        <w:w w:val="100"/>
        <w:sz w:val="22"/>
        <w:szCs w:val="22"/>
        <w:lang w:val="es-ES" w:eastAsia="en-US" w:bidi="ar-SA"/>
      </w:rPr>
    </w:lvl>
    <w:lvl w:ilvl="2">
      <w:start w:val="1"/>
      <w:numFmt w:val="lowerLetter"/>
      <w:lvlText w:val="%3)"/>
      <w:lvlJc w:val="left"/>
      <w:pPr>
        <w:ind w:left="800" w:hanging="325"/>
      </w:pPr>
      <w:rPr>
        <w:rFonts w:ascii="Arial" w:eastAsia="Arial" w:hAnsi="Arial" w:cs="Arial" w:hint="default"/>
        <w:color w:val="000000" w:themeColor="text1"/>
        <w:spacing w:val="-3"/>
        <w:w w:val="100"/>
        <w:sz w:val="22"/>
        <w:szCs w:val="22"/>
        <w:lang w:val="es-ES" w:eastAsia="en-US" w:bidi="ar-SA"/>
      </w:rPr>
    </w:lvl>
    <w:lvl w:ilvl="3">
      <w:numFmt w:val="bullet"/>
      <w:lvlText w:val="•"/>
      <w:lvlJc w:val="left"/>
      <w:pPr>
        <w:ind w:left="1845" w:hanging="325"/>
      </w:pPr>
      <w:rPr>
        <w:rFonts w:hint="default"/>
        <w:lang w:val="es-ES" w:eastAsia="en-US" w:bidi="ar-SA"/>
      </w:rPr>
    </w:lvl>
    <w:lvl w:ilvl="4">
      <w:numFmt w:val="bullet"/>
      <w:lvlText w:val="•"/>
      <w:lvlJc w:val="left"/>
      <w:pPr>
        <w:ind w:left="2890" w:hanging="325"/>
      </w:pPr>
      <w:rPr>
        <w:rFonts w:hint="default"/>
        <w:lang w:val="es-ES" w:eastAsia="en-US" w:bidi="ar-SA"/>
      </w:rPr>
    </w:lvl>
    <w:lvl w:ilvl="5">
      <w:numFmt w:val="bullet"/>
      <w:lvlText w:val="•"/>
      <w:lvlJc w:val="left"/>
      <w:pPr>
        <w:ind w:left="3935" w:hanging="325"/>
      </w:pPr>
      <w:rPr>
        <w:rFonts w:hint="default"/>
        <w:lang w:val="es-ES" w:eastAsia="en-US" w:bidi="ar-SA"/>
      </w:rPr>
    </w:lvl>
    <w:lvl w:ilvl="6">
      <w:numFmt w:val="bullet"/>
      <w:lvlText w:val="•"/>
      <w:lvlJc w:val="left"/>
      <w:pPr>
        <w:ind w:left="4980" w:hanging="325"/>
      </w:pPr>
      <w:rPr>
        <w:rFonts w:hint="default"/>
        <w:lang w:val="es-ES" w:eastAsia="en-US" w:bidi="ar-SA"/>
      </w:rPr>
    </w:lvl>
    <w:lvl w:ilvl="7">
      <w:numFmt w:val="bullet"/>
      <w:lvlText w:val="•"/>
      <w:lvlJc w:val="left"/>
      <w:pPr>
        <w:ind w:left="6025" w:hanging="325"/>
      </w:pPr>
      <w:rPr>
        <w:rFonts w:hint="default"/>
        <w:lang w:val="es-ES" w:eastAsia="en-US" w:bidi="ar-SA"/>
      </w:rPr>
    </w:lvl>
    <w:lvl w:ilvl="8">
      <w:numFmt w:val="bullet"/>
      <w:lvlText w:val="•"/>
      <w:lvlJc w:val="left"/>
      <w:pPr>
        <w:ind w:left="7070" w:hanging="325"/>
      </w:pPr>
      <w:rPr>
        <w:rFonts w:hint="default"/>
        <w:lang w:val="es-ES" w:eastAsia="en-US" w:bidi="ar-SA"/>
      </w:rPr>
    </w:lvl>
  </w:abstractNum>
  <w:abstractNum w:abstractNumId="12" w15:restartNumberingAfterBreak="0">
    <w:nsid w:val="50620D0D"/>
    <w:multiLevelType w:val="hybridMultilevel"/>
    <w:tmpl w:val="54BC0156"/>
    <w:lvl w:ilvl="0" w:tplc="5D0A9EE6">
      <w:numFmt w:val="bullet"/>
      <w:lvlText w:val=""/>
      <w:lvlJc w:val="left"/>
      <w:pPr>
        <w:ind w:left="760" w:hanging="400"/>
      </w:pPr>
      <w:rPr>
        <w:rFonts w:ascii="Verdana" w:eastAsiaTheme="minorHAnsi" w:hAnsi="Verdana"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90670214">
    <w:abstractNumId w:val="7"/>
  </w:num>
  <w:num w:numId="2" w16cid:durableId="4285022">
    <w:abstractNumId w:val="2"/>
  </w:num>
  <w:num w:numId="3" w16cid:durableId="881983949">
    <w:abstractNumId w:val="4"/>
  </w:num>
  <w:num w:numId="4" w16cid:durableId="341274352">
    <w:abstractNumId w:val="0"/>
  </w:num>
  <w:num w:numId="5" w16cid:durableId="1887524674">
    <w:abstractNumId w:val="11"/>
  </w:num>
  <w:num w:numId="6" w16cid:durableId="1082990391">
    <w:abstractNumId w:val="1"/>
  </w:num>
  <w:num w:numId="7" w16cid:durableId="1492209491">
    <w:abstractNumId w:val="6"/>
  </w:num>
  <w:num w:numId="8" w16cid:durableId="679089576">
    <w:abstractNumId w:val="8"/>
  </w:num>
  <w:num w:numId="9" w16cid:durableId="1446000103">
    <w:abstractNumId w:val="5"/>
  </w:num>
  <w:num w:numId="10" w16cid:durableId="870265086">
    <w:abstractNumId w:val="12"/>
  </w:num>
  <w:num w:numId="11" w16cid:durableId="1673482733">
    <w:abstractNumId w:val="9"/>
  </w:num>
  <w:num w:numId="12" w16cid:durableId="214395809">
    <w:abstractNumId w:val="10"/>
  </w:num>
  <w:num w:numId="13" w16cid:durableId="36048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7A"/>
    <w:rsid w:val="000016F3"/>
    <w:rsid w:val="000037AE"/>
    <w:rsid w:val="00005BB0"/>
    <w:rsid w:val="0001025F"/>
    <w:rsid w:val="0001222D"/>
    <w:rsid w:val="000135EB"/>
    <w:rsid w:val="00015D2B"/>
    <w:rsid w:val="00031584"/>
    <w:rsid w:val="00032A0E"/>
    <w:rsid w:val="00037347"/>
    <w:rsid w:val="000442CC"/>
    <w:rsid w:val="000556D4"/>
    <w:rsid w:val="000716AB"/>
    <w:rsid w:val="00082E4C"/>
    <w:rsid w:val="000849D5"/>
    <w:rsid w:val="0008528F"/>
    <w:rsid w:val="000A6E0C"/>
    <w:rsid w:val="000A7A56"/>
    <w:rsid w:val="000B1FF7"/>
    <w:rsid w:val="000B2513"/>
    <w:rsid w:val="000B4024"/>
    <w:rsid w:val="000C3C51"/>
    <w:rsid w:val="000C7262"/>
    <w:rsid w:val="000D2A7F"/>
    <w:rsid w:val="000D4FCE"/>
    <w:rsid w:val="0011037E"/>
    <w:rsid w:val="001363C7"/>
    <w:rsid w:val="00141AC5"/>
    <w:rsid w:val="00146B11"/>
    <w:rsid w:val="00147A04"/>
    <w:rsid w:val="0015476D"/>
    <w:rsid w:val="00161E13"/>
    <w:rsid w:val="00164AE0"/>
    <w:rsid w:val="00165E83"/>
    <w:rsid w:val="00166CD7"/>
    <w:rsid w:val="0017120C"/>
    <w:rsid w:val="00172F3A"/>
    <w:rsid w:val="0019532A"/>
    <w:rsid w:val="0019670E"/>
    <w:rsid w:val="00197205"/>
    <w:rsid w:val="001A48E2"/>
    <w:rsid w:val="001A5DD4"/>
    <w:rsid w:val="001A67E9"/>
    <w:rsid w:val="001B143B"/>
    <w:rsid w:val="001B21CA"/>
    <w:rsid w:val="001C04FC"/>
    <w:rsid w:val="001C25A3"/>
    <w:rsid w:val="001C5D03"/>
    <w:rsid w:val="001C7771"/>
    <w:rsid w:val="001D62FF"/>
    <w:rsid w:val="001F3F48"/>
    <w:rsid w:val="002000AA"/>
    <w:rsid w:val="00204109"/>
    <w:rsid w:val="00211E6E"/>
    <w:rsid w:val="00212A46"/>
    <w:rsid w:val="0021401D"/>
    <w:rsid w:val="002146B8"/>
    <w:rsid w:val="00215516"/>
    <w:rsid w:val="002527C2"/>
    <w:rsid w:val="00264947"/>
    <w:rsid w:val="00270443"/>
    <w:rsid w:val="00270EE2"/>
    <w:rsid w:val="00272972"/>
    <w:rsid w:val="00286491"/>
    <w:rsid w:val="002A0F8D"/>
    <w:rsid w:val="002B6E44"/>
    <w:rsid w:val="002B74B1"/>
    <w:rsid w:val="002C777A"/>
    <w:rsid w:val="002E1DB5"/>
    <w:rsid w:val="002F231D"/>
    <w:rsid w:val="002F6CCB"/>
    <w:rsid w:val="0030461E"/>
    <w:rsid w:val="003107A1"/>
    <w:rsid w:val="0032756A"/>
    <w:rsid w:val="00334EF8"/>
    <w:rsid w:val="00336408"/>
    <w:rsid w:val="00340DFB"/>
    <w:rsid w:val="0034404F"/>
    <w:rsid w:val="00356980"/>
    <w:rsid w:val="00367462"/>
    <w:rsid w:val="00371ECA"/>
    <w:rsid w:val="00372748"/>
    <w:rsid w:val="0037332A"/>
    <w:rsid w:val="0038151A"/>
    <w:rsid w:val="0039082A"/>
    <w:rsid w:val="00390C21"/>
    <w:rsid w:val="003A37BD"/>
    <w:rsid w:val="003B6D94"/>
    <w:rsid w:val="003C4C96"/>
    <w:rsid w:val="003C55E0"/>
    <w:rsid w:val="003F519B"/>
    <w:rsid w:val="0040544F"/>
    <w:rsid w:val="00406A19"/>
    <w:rsid w:val="0041222D"/>
    <w:rsid w:val="0041483E"/>
    <w:rsid w:val="00415369"/>
    <w:rsid w:val="00430492"/>
    <w:rsid w:val="00450BE7"/>
    <w:rsid w:val="00460581"/>
    <w:rsid w:val="0046741E"/>
    <w:rsid w:val="00472CC6"/>
    <w:rsid w:val="0048026E"/>
    <w:rsid w:val="004807A9"/>
    <w:rsid w:val="004813EE"/>
    <w:rsid w:val="00493278"/>
    <w:rsid w:val="004943D9"/>
    <w:rsid w:val="004A0E7B"/>
    <w:rsid w:val="004A3498"/>
    <w:rsid w:val="004B0C45"/>
    <w:rsid w:val="004C0AB2"/>
    <w:rsid w:val="004C1619"/>
    <w:rsid w:val="004C1A26"/>
    <w:rsid w:val="004C1CC9"/>
    <w:rsid w:val="004C3755"/>
    <w:rsid w:val="004C4485"/>
    <w:rsid w:val="004D11AF"/>
    <w:rsid w:val="00500DFA"/>
    <w:rsid w:val="005019AA"/>
    <w:rsid w:val="005021BB"/>
    <w:rsid w:val="005139E7"/>
    <w:rsid w:val="005147DA"/>
    <w:rsid w:val="00515FB5"/>
    <w:rsid w:val="0052365C"/>
    <w:rsid w:val="005271EB"/>
    <w:rsid w:val="005426DB"/>
    <w:rsid w:val="0055082B"/>
    <w:rsid w:val="00552503"/>
    <w:rsid w:val="00552B57"/>
    <w:rsid w:val="00557DA1"/>
    <w:rsid w:val="0056015C"/>
    <w:rsid w:val="0056322C"/>
    <w:rsid w:val="0058743A"/>
    <w:rsid w:val="005A4DB0"/>
    <w:rsid w:val="005A7B8E"/>
    <w:rsid w:val="005B012B"/>
    <w:rsid w:val="005B0C87"/>
    <w:rsid w:val="005D23F6"/>
    <w:rsid w:val="005D2FA8"/>
    <w:rsid w:val="005D3955"/>
    <w:rsid w:val="005E2281"/>
    <w:rsid w:val="005E667C"/>
    <w:rsid w:val="005F077C"/>
    <w:rsid w:val="005F63D0"/>
    <w:rsid w:val="005F7973"/>
    <w:rsid w:val="0061690E"/>
    <w:rsid w:val="006258C5"/>
    <w:rsid w:val="00627361"/>
    <w:rsid w:val="0063017E"/>
    <w:rsid w:val="00631B28"/>
    <w:rsid w:val="00645B90"/>
    <w:rsid w:val="00650991"/>
    <w:rsid w:val="006511D7"/>
    <w:rsid w:val="00663D75"/>
    <w:rsid w:val="00670AEF"/>
    <w:rsid w:val="00675678"/>
    <w:rsid w:val="00677012"/>
    <w:rsid w:val="006825B4"/>
    <w:rsid w:val="00682AF2"/>
    <w:rsid w:val="006864DF"/>
    <w:rsid w:val="00694B58"/>
    <w:rsid w:val="006A0FF2"/>
    <w:rsid w:val="006A3C8A"/>
    <w:rsid w:val="006A7552"/>
    <w:rsid w:val="006B5953"/>
    <w:rsid w:val="006B7A81"/>
    <w:rsid w:val="006C4BAC"/>
    <w:rsid w:val="006C52F3"/>
    <w:rsid w:val="006E7F37"/>
    <w:rsid w:val="006F3B81"/>
    <w:rsid w:val="006F4F79"/>
    <w:rsid w:val="00705B37"/>
    <w:rsid w:val="00711FD9"/>
    <w:rsid w:val="00735062"/>
    <w:rsid w:val="00746BA5"/>
    <w:rsid w:val="00751D23"/>
    <w:rsid w:val="00770577"/>
    <w:rsid w:val="00777666"/>
    <w:rsid w:val="0078159B"/>
    <w:rsid w:val="00782E10"/>
    <w:rsid w:val="0078706B"/>
    <w:rsid w:val="00790836"/>
    <w:rsid w:val="00797131"/>
    <w:rsid w:val="007A318B"/>
    <w:rsid w:val="007A3C1D"/>
    <w:rsid w:val="007B285D"/>
    <w:rsid w:val="007B354D"/>
    <w:rsid w:val="007C6BC6"/>
    <w:rsid w:val="00801DCA"/>
    <w:rsid w:val="00807D79"/>
    <w:rsid w:val="00813634"/>
    <w:rsid w:val="00822821"/>
    <w:rsid w:val="00831C29"/>
    <w:rsid w:val="008431EF"/>
    <w:rsid w:val="008433EF"/>
    <w:rsid w:val="008468E0"/>
    <w:rsid w:val="008526E9"/>
    <w:rsid w:val="00863B82"/>
    <w:rsid w:val="00871B59"/>
    <w:rsid w:val="00877D03"/>
    <w:rsid w:val="00877E96"/>
    <w:rsid w:val="008806CA"/>
    <w:rsid w:val="008815E5"/>
    <w:rsid w:val="00887B37"/>
    <w:rsid w:val="008909B9"/>
    <w:rsid w:val="00891DFC"/>
    <w:rsid w:val="008B12B4"/>
    <w:rsid w:val="008B7914"/>
    <w:rsid w:val="008C5D2A"/>
    <w:rsid w:val="008C7AF4"/>
    <w:rsid w:val="008D529F"/>
    <w:rsid w:val="008D778A"/>
    <w:rsid w:val="008F1510"/>
    <w:rsid w:val="008F5CC8"/>
    <w:rsid w:val="009061B8"/>
    <w:rsid w:val="0091008B"/>
    <w:rsid w:val="00911EA2"/>
    <w:rsid w:val="00916C7D"/>
    <w:rsid w:val="0092575D"/>
    <w:rsid w:val="009341DA"/>
    <w:rsid w:val="009430F9"/>
    <w:rsid w:val="009442E8"/>
    <w:rsid w:val="00946BD0"/>
    <w:rsid w:val="0095426C"/>
    <w:rsid w:val="00970087"/>
    <w:rsid w:val="00971074"/>
    <w:rsid w:val="00983695"/>
    <w:rsid w:val="00995D86"/>
    <w:rsid w:val="009A5453"/>
    <w:rsid w:val="009B4D94"/>
    <w:rsid w:val="009C2871"/>
    <w:rsid w:val="009D3C33"/>
    <w:rsid w:val="009D7F3A"/>
    <w:rsid w:val="009E295D"/>
    <w:rsid w:val="009E4885"/>
    <w:rsid w:val="00A07DB6"/>
    <w:rsid w:val="00A10A73"/>
    <w:rsid w:val="00A170B3"/>
    <w:rsid w:val="00A223D5"/>
    <w:rsid w:val="00A37D1C"/>
    <w:rsid w:val="00A5453E"/>
    <w:rsid w:val="00A56F6C"/>
    <w:rsid w:val="00A76C8C"/>
    <w:rsid w:val="00A85F30"/>
    <w:rsid w:val="00A9099E"/>
    <w:rsid w:val="00A91FB7"/>
    <w:rsid w:val="00A9298F"/>
    <w:rsid w:val="00AA0351"/>
    <w:rsid w:val="00AA5F4A"/>
    <w:rsid w:val="00AB1984"/>
    <w:rsid w:val="00AB52B1"/>
    <w:rsid w:val="00AC0288"/>
    <w:rsid w:val="00AC4CB3"/>
    <w:rsid w:val="00AC75B0"/>
    <w:rsid w:val="00AC780D"/>
    <w:rsid w:val="00AD036B"/>
    <w:rsid w:val="00AD1996"/>
    <w:rsid w:val="00AD4099"/>
    <w:rsid w:val="00AD4901"/>
    <w:rsid w:val="00B02FE0"/>
    <w:rsid w:val="00B057B6"/>
    <w:rsid w:val="00B2575B"/>
    <w:rsid w:val="00B30448"/>
    <w:rsid w:val="00B34786"/>
    <w:rsid w:val="00B400EC"/>
    <w:rsid w:val="00B40162"/>
    <w:rsid w:val="00B41ACE"/>
    <w:rsid w:val="00B50156"/>
    <w:rsid w:val="00B518AD"/>
    <w:rsid w:val="00B60A96"/>
    <w:rsid w:val="00B678EC"/>
    <w:rsid w:val="00B763C9"/>
    <w:rsid w:val="00B76C94"/>
    <w:rsid w:val="00B772D0"/>
    <w:rsid w:val="00B836EA"/>
    <w:rsid w:val="00B84C05"/>
    <w:rsid w:val="00B91B81"/>
    <w:rsid w:val="00B97135"/>
    <w:rsid w:val="00BB3072"/>
    <w:rsid w:val="00BC7632"/>
    <w:rsid w:val="00BD48A9"/>
    <w:rsid w:val="00BD630F"/>
    <w:rsid w:val="00BD7EC6"/>
    <w:rsid w:val="00BE73FA"/>
    <w:rsid w:val="00BF6B4B"/>
    <w:rsid w:val="00C0174E"/>
    <w:rsid w:val="00C0511C"/>
    <w:rsid w:val="00C20ACF"/>
    <w:rsid w:val="00C22307"/>
    <w:rsid w:val="00C23469"/>
    <w:rsid w:val="00C30C62"/>
    <w:rsid w:val="00C371DF"/>
    <w:rsid w:val="00C42055"/>
    <w:rsid w:val="00C44B4C"/>
    <w:rsid w:val="00C46734"/>
    <w:rsid w:val="00C47A86"/>
    <w:rsid w:val="00C53220"/>
    <w:rsid w:val="00C85F98"/>
    <w:rsid w:val="00CA3347"/>
    <w:rsid w:val="00CC299A"/>
    <w:rsid w:val="00CD03E3"/>
    <w:rsid w:val="00CE6BDA"/>
    <w:rsid w:val="00D03DBE"/>
    <w:rsid w:val="00D072C0"/>
    <w:rsid w:val="00D34C82"/>
    <w:rsid w:val="00D3757A"/>
    <w:rsid w:val="00D45BE8"/>
    <w:rsid w:val="00D504A9"/>
    <w:rsid w:val="00D5206D"/>
    <w:rsid w:val="00D7177D"/>
    <w:rsid w:val="00D81311"/>
    <w:rsid w:val="00DA67E2"/>
    <w:rsid w:val="00DA6CB8"/>
    <w:rsid w:val="00DB201E"/>
    <w:rsid w:val="00DC0E68"/>
    <w:rsid w:val="00DD25ED"/>
    <w:rsid w:val="00DE0D6E"/>
    <w:rsid w:val="00DE2FA0"/>
    <w:rsid w:val="00E07079"/>
    <w:rsid w:val="00E14A86"/>
    <w:rsid w:val="00E1610C"/>
    <w:rsid w:val="00E16D73"/>
    <w:rsid w:val="00E23E9E"/>
    <w:rsid w:val="00E25722"/>
    <w:rsid w:val="00E27F0A"/>
    <w:rsid w:val="00E4231E"/>
    <w:rsid w:val="00E4302C"/>
    <w:rsid w:val="00E44AC7"/>
    <w:rsid w:val="00E45CF4"/>
    <w:rsid w:val="00E45F4B"/>
    <w:rsid w:val="00E60A16"/>
    <w:rsid w:val="00E72D20"/>
    <w:rsid w:val="00E82B6E"/>
    <w:rsid w:val="00E94258"/>
    <w:rsid w:val="00E96C18"/>
    <w:rsid w:val="00EA2E61"/>
    <w:rsid w:val="00EA7D7F"/>
    <w:rsid w:val="00EB02F4"/>
    <w:rsid w:val="00EB2FA2"/>
    <w:rsid w:val="00EB769A"/>
    <w:rsid w:val="00EC3A35"/>
    <w:rsid w:val="00EE17F2"/>
    <w:rsid w:val="00EE3138"/>
    <w:rsid w:val="00EF2AC7"/>
    <w:rsid w:val="00EF400A"/>
    <w:rsid w:val="00EF6BE4"/>
    <w:rsid w:val="00EF6E5D"/>
    <w:rsid w:val="00F07764"/>
    <w:rsid w:val="00F12517"/>
    <w:rsid w:val="00F131DD"/>
    <w:rsid w:val="00F16BA1"/>
    <w:rsid w:val="00F24435"/>
    <w:rsid w:val="00F30C0F"/>
    <w:rsid w:val="00F314E8"/>
    <w:rsid w:val="00F323A2"/>
    <w:rsid w:val="00F33B57"/>
    <w:rsid w:val="00F33D5C"/>
    <w:rsid w:val="00F34E90"/>
    <w:rsid w:val="00F356D6"/>
    <w:rsid w:val="00F53BE2"/>
    <w:rsid w:val="00F55684"/>
    <w:rsid w:val="00F64D5A"/>
    <w:rsid w:val="00F709CD"/>
    <w:rsid w:val="00F906F4"/>
    <w:rsid w:val="00FA0716"/>
    <w:rsid w:val="00FA7161"/>
    <w:rsid w:val="00FB4629"/>
    <w:rsid w:val="00FB6FB1"/>
    <w:rsid w:val="00FB7063"/>
    <w:rsid w:val="00FC7056"/>
    <w:rsid w:val="00FE1A00"/>
    <w:rsid w:val="024D7E2C"/>
    <w:rsid w:val="0D2EB883"/>
    <w:rsid w:val="0D8163B6"/>
    <w:rsid w:val="13A69650"/>
    <w:rsid w:val="18C10F1C"/>
    <w:rsid w:val="1BB32F19"/>
    <w:rsid w:val="1F2C3AF5"/>
    <w:rsid w:val="1F9252E4"/>
    <w:rsid w:val="1FF4886A"/>
    <w:rsid w:val="22D2584A"/>
    <w:rsid w:val="28751A95"/>
    <w:rsid w:val="29FA8189"/>
    <w:rsid w:val="2C00A012"/>
    <w:rsid w:val="2F421DDF"/>
    <w:rsid w:val="389994B3"/>
    <w:rsid w:val="3B30A011"/>
    <w:rsid w:val="3B93C128"/>
    <w:rsid w:val="3CFBE104"/>
    <w:rsid w:val="510454D8"/>
    <w:rsid w:val="521E120A"/>
    <w:rsid w:val="5D8505AD"/>
    <w:rsid w:val="6CAEFF2C"/>
    <w:rsid w:val="71443FBB"/>
    <w:rsid w:val="72EE784C"/>
    <w:rsid w:val="7563E76A"/>
    <w:rsid w:val="79A6159C"/>
    <w:rsid w:val="7B5CC0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24340"/>
  <w15:docId w15:val="{7FA39918-4D31-1749-BC33-56D300C0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722"/>
  </w:style>
  <w:style w:type="paragraph" w:styleId="Ttulo1">
    <w:name w:val="heading 1"/>
    <w:basedOn w:val="Normal"/>
    <w:link w:val="Ttulo1Car"/>
    <w:uiPriority w:val="1"/>
    <w:qFormat/>
    <w:rsid w:val="00B34786"/>
    <w:pPr>
      <w:widowControl w:val="0"/>
      <w:autoSpaceDE w:val="0"/>
      <w:autoSpaceDN w:val="0"/>
      <w:spacing w:before="1" w:after="0" w:line="240" w:lineRule="auto"/>
      <w:ind w:left="1181" w:hanging="360"/>
      <w:outlineLvl w:val="0"/>
    </w:pPr>
    <w:rPr>
      <w:rFonts w:ascii="Arial" w:eastAsia="Arial" w:hAnsi="Arial" w:cs="Arial"/>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B3044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B30448"/>
    <w:pPr>
      <w:spacing w:after="0" w:line="240" w:lineRule="auto"/>
    </w:pPr>
    <w:rPr>
      <w:sz w:val="20"/>
      <w:szCs w:val="20"/>
      <w:lang w:val="es-MX"/>
    </w:rPr>
  </w:style>
  <w:style w:type="character" w:customStyle="1" w:styleId="TextonotapieCar1">
    <w:name w:val="Texto nota pie Car1"/>
    <w:basedOn w:val="Fuentedeprrafopredeter"/>
    <w:uiPriority w:val="99"/>
    <w:semiHidden/>
    <w:rsid w:val="00B3044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B30448"/>
    <w:rPr>
      <w:vertAlign w:val="superscript"/>
    </w:rPr>
  </w:style>
  <w:style w:type="paragraph" w:customStyle="1" w:styleId="Appelnotedebasde">
    <w:name w:val="Appel note de bas de..."/>
    <w:basedOn w:val="Normal"/>
    <w:link w:val="Refdenotaalpie"/>
    <w:uiPriority w:val="99"/>
    <w:rsid w:val="00B30448"/>
    <w:pPr>
      <w:spacing w:line="240" w:lineRule="exact"/>
    </w:pPr>
    <w:rPr>
      <w:vertAlign w:val="superscript"/>
    </w:rPr>
  </w:style>
  <w:style w:type="paragraph" w:styleId="Encabezado">
    <w:name w:val="header"/>
    <w:basedOn w:val="Normal"/>
    <w:link w:val="EncabezadoCar"/>
    <w:uiPriority w:val="99"/>
    <w:unhideWhenUsed/>
    <w:rsid w:val="00B304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448"/>
  </w:style>
  <w:style w:type="paragraph" w:styleId="Piedepgina">
    <w:name w:val="footer"/>
    <w:basedOn w:val="Normal"/>
    <w:link w:val="PiedepginaCar"/>
    <w:uiPriority w:val="99"/>
    <w:unhideWhenUsed/>
    <w:rsid w:val="00B304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448"/>
  </w:style>
  <w:style w:type="table" w:styleId="Tablaconcuadrcula">
    <w:name w:val="Table Grid"/>
    <w:basedOn w:val="Tablanormal"/>
    <w:uiPriority w:val="39"/>
    <w:qFormat/>
    <w:rsid w:val="00B30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22307"/>
    <w:rPr>
      <w:color w:val="0563C1" w:themeColor="hyperlink"/>
      <w:u w:val="single"/>
    </w:rPr>
  </w:style>
  <w:style w:type="character" w:styleId="Mencinsinresolver">
    <w:name w:val="Unresolved Mention"/>
    <w:basedOn w:val="Fuentedeprrafopredeter"/>
    <w:uiPriority w:val="99"/>
    <w:semiHidden/>
    <w:unhideWhenUsed/>
    <w:rsid w:val="00C22307"/>
    <w:rPr>
      <w:color w:val="605E5C"/>
      <w:shd w:val="clear" w:color="auto" w:fill="E1DFDD"/>
    </w:rPr>
  </w:style>
  <w:style w:type="character" w:styleId="Hipervnculovisitado">
    <w:name w:val="FollowedHyperlink"/>
    <w:basedOn w:val="Fuentedeprrafopredeter"/>
    <w:uiPriority w:val="99"/>
    <w:semiHidden/>
    <w:unhideWhenUsed/>
    <w:rsid w:val="00C22307"/>
    <w:rPr>
      <w:color w:val="954F72" w:themeColor="followedHyperlink"/>
      <w:u w:val="single"/>
    </w:rPr>
  </w:style>
  <w:style w:type="character" w:styleId="Refdecomentario">
    <w:name w:val="annotation reference"/>
    <w:basedOn w:val="Fuentedeprrafopredeter"/>
    <w:uiPriority w:val="99"/>
    <w:semiHidden/>
    <w:unhideWhenUsed/>
    <w:rsid w:val="00A37D1C"/>
    <w:rPr>
      <w:sz w:val="16"/>
      <w:szCs w:val="16"/>
    </w:rPr>
  </w:style>
  <w:style w:type="paragraph" w:styleId="Textocomentario">
    <w:name w:val="annotation text"/>
    <w:basedOn w:val="Normal"/>
    <w:link w:val="TextocomentarioCar"/>
    <w:uiPriority w:val="99"/>
    <w:unhideWhenUsed/>
    <w:rsid w:val="00A37D1C"/>
    <w:pPr>
      <w:spacing w:line="240" w:lineRule="auto"/>
    </w:pPr>
    <w:rPr>
      <w:sz w:val="20"/>
      <w:szCs w:val="20"/>
    </w:rPr>
  </w:style>
  <w:style w:type="character" w:customStyle="1" w:styleId="TextocomentarioCar">
    <w:name w:val="Texto comentario Car"/>
    <w:basedOn w:val="Fuentedeprrafopredeter"/>
    <w:link w:val="Textocomentario"/>
    <w:uiPriority w:val="99"/>
    <w:rsid w:val="00A37D1C"/>
    <w:rPr>
      <w:sz w:val="20"/>
      <w:szCs w:val="20"/>
    </w:rPr>
  </w:style>
  <w:style w:type="paragraph" w:styleId="Asuntodelcomentario">
    <w:name w:val="annotation subject"/>
    <w:basedOn w:val="Textocomentario"/>
    <w:next w:val="Textocomentario"/>
    <w:link w:val="AsuntodelcomentarioCar"/>
    <w:uiPriority w:val="99"/>
    <w:semiHidden/>
    <w:unhideWhenUsed/>
    <w:rsid w:val="00A37D1C"/>
    <w:rPr>
      <w:b/>
      <w:bCs/>
    </w:rPr>
  </w:style>
  <w:style w:type="character" w:customStyle="1" w:styleId="AsuntodelcomentarioCar">
    <w:name w:val="Asunto del comentario Car"/>
    <w:basedOn w:val="TextocomentarioCar"/>
    <w:link w:val="Asuntodelcomentario"/>
    <w:uiPriority w:val="99"/>
    <w:semiHidden/>
    <w:rsid w:val="00A37D1C"/>
    <w:rPr>
      <w:b/>
      <w:bCs/>
      <w:sz w:val="20"/>
      <w:szCs w:val="20"/>
    </w:rPr>
  </w:style>
  <w:style w:type="paragraph" w:customStyle="1" w:styleId="Normal11pt">
    <w:name w:val="Normal + 11 pt"/>
    <w:aliases w:val="Negro,Justificado,Izquierda:  -0,95 cm,Derecha:  0,04 cm"/>
    <w:basedOn w:val="Normal"/>
    <w:uiPriority w:val="99"/>
    <w:rsid w:val="00B76C94"/>
    <w:pPr>
      <w:spacing w:after="0" w:line="240" w:lineRule="auto"/>
      <w:ind w:left="-540"/>
      <w:jc w:val="both"/>
    </w:pPr>
    <w:rPr>
      <w:rFonts w:ascii="Arial" w:eastAsia="Times New Roman" w:hAnsi="Arial" w:cs="Arial"/>
      <w:color w:val="000000"/>
      <w:lang w:val="es-ES_tradnl" w:eastAsia="es-ES"/>
    </w:rPr>
  </w:style>
  <w:style w:type="paragraph" w:styleId="Revisin">
    <w:name w:val="Revision"/>
    <w:hidden/>
    <w:uiPriority w:val="99"/>
    <w:semiHidden/>
    <w:rsid w:val="00F64D5A"/>
    <w:pPr>
      <w:spacing w:after="0" w:line="240" w:lineRule="auto"/>
    </w:pPr>
  </w:style>
  <w:style w:type="character" w:customStyle="1" w:styleId="cf01">
    <w:name w:val="cf01"/>
    <w:basedOn w:val="Fuentedeprrafopredeter"/>
    <w:rsid w:val="005019AA"/>
    <w:rPr>
      <w:rFonts w:ascii="Segoe UI" w:hAnsi="Segoe UI" w:cs="Segoe UI" w:hint="default"/>
      <w:i/>
      <w:iCs/>
      <w:sz w:val="18"/>
      <w:szCs w:val="18"/>
    </w:rPr>
  </w:style>
  <w:style w:type="character" w:customStyle="1" w:styleId="normaltextrun">
    <w:name w:val="normaltextrun"/>
    <w:basedOn w:val="Fuentedeprrafopredeter"/>
    <w:rsid w:val="5D8505AD"/>
  </w:style>
  <w:style w:type="character" w:customStyle="1" w:styleId="eop">
    <w:name w:val="eop"/>
    <w:basedOn w:val="Fuentedeprrafopredeter"/>
    <w:rsid w:val="5D8505AD"/>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082E4C"/>
    <w:pPr>
      <w:ind w:left="720"/>
      <w:contextualSpacing/>
    </w:pPr>
  </w:style>
  <w:style w:type="character" w:customStyle="1" w:styleId="Hipervnculo1">
    <w:name w:val="Hipervínculo1"/>
    <w:basedOn w:val="Fuentedeprrafopredeter"/>
    <w:uiPriority w:val="99"/>
    <w:unhideWhenUsed/>
    <w:rsid w:val="000C3C51"/>
    <w:rPr>
      <w:color w:val="F2F2F2"/>
      <w:u w:val="single"/>
    </w:rPr>
  </w:style>
  <w:style w:type="paragraph" w:styleId="NormalWeb">
    <w:name w:val="Normal (Web)"/>
    <w:basedOn w:val="Normal"/>
    <w:link w:val="NormalWebCar"/>
    <w:uiPriority w:val="99"/>
    <w:unhideWhenUsed/>
    <w:rsid w:val="000C3C51"/>
    <w:rPr>
      <w:rFonts w:ascii="Times New Roman" w:hAnsi="Times New Roman" w:cs="Times New Roman"/>
      <w:sz w:val="24"/>
      <w:szCs w:val="24"/>
    </w:rPr>
  </w:style>
  <w:style w:type="character" w:styleId="Fuerte">
    <w:name w:val="Strong"/>
    <w:basedOn w:val="Fuentedeprrafopredeter"/>
    <w:uiPriority w:val="22"/>
    <w:qFormat/>
    <w:rsid w:val="000C3C51"/>
    <w:rPr>
      <w:b/>
      <w:bCs/>
    </w:rPr>
  </w:style>
  <w:style w:type="character" w:styleId="nfasis">
    <w:name w:val="Emphasis"/>
    <w:basedOn w:val="Fuentedeprrafopredeter"/>
    <w:uiPriority w:val="20"/>
    <w:qFormat/>
    <w:rsid w:val="000C3C51"/>
    <w:rPr>
      <w:i/>
      <w:iCs/>
    </w:rPr>
  </w:style>
  <w:style w:type="paragraph" w:styleId="Textoindependiente">
    <w:name w:val="Body Text"/>
    <w:basedOn w:val="Normal"/>
    <w:link w:val="TextoindependienteCar"/>
    <w:uiPriority w:val="1"/>
    <w:unhideWhenUsed/>
    <w:qFormat/>
    <w:rsid w:val="00430492"/>
    <w:pPr>
      <w:spacing w:after="120"/>
    </w:pPr>
  </w:style>
  <w:style w:type="character" w:customStyle="1" w:styleId="TextoindependienteCar">
    <w:name w:val="Texto independiente Car"/>
    <w:basedOn w:val="Fuentedeprrafopredeter"/>
    <w:link w:val="Textoindependiente"/>
    <w:uiPriority w:val="99"/>
    <w:rsid w:val="00430492"/>
  </w:style>
  <w:style w:type="paragraph" w:customStyle="1" w:styleId="Car1">
    <w:name w:val="Car1"/>
    <w:basedOn w:val="Normal"/>
    <w:next w:val="Textonotapie"/>
    <w:uiPriority w:val="99"/>
    <w:unhideWhenUsed/>
    <w:qFormat/>
    <w:rsid w:val="00430492"/>
    <w:pPr>
      <w:spacing w:after="0" w:line="240" w:lineRule="auto"/>
    </w:pPr>
    <w:rPr>
      <w:sz w:val="20"/>
      <w:szCs w:val="20"/>
      <w:lang w:val="es-MX"/>
    </w:rPr>
  </w:style>
  <w:style w:type="paragraph" w:customStyle="1" w:styleId="Cuadrculamedia1-nfasis21">
    <w:name w:val="Cuadrícula media 1 - Énfasis 21"/>
    <w:basedOn w:val="Normal"/>
    <w:uiPriority w:val="34"/>
    <w:qFormat/>
    <w:rsid w:val="009C2871"/>
    <w:pPr>
      <w:ind w:left="720"/>
      <w:contextualSpacing/>
    </w:pPr>
    <w:rPr>
      <w:rFonts w:ascii="Calibri" w:eastAsia="Calibri" w:hAnsi="Calibri" w:cs="Times New Roman"/>
    </w:rPr>
  </w:style>
  <w:style w:type="character" w:customStyle="1" w:styleId="Ttulo1Car">
    <w:name w:val="Título 1 Car"/>
    <w:basedOn w:val="Fuentedeprrafopredeter"/>
    <w:link w:val="Ttulo1"/>
    <w:uiPriority w:val="1"/>
    <w:rsid w:val="00B34786"/>
    <w:rPr>
      <w:rFonts w:ascii="Arial" w:eastAsia="Arial" w:hAnsi="Arial" w:cs="Arial"/>
      <w:b/>
      <w:bCs/>
      <w:lang w:val="es-ES"/>
    </w:rPr>
  </w:style>
  <w:style w:type="paragraph" w:customStyle="1" w:styleId="Default">
    <w:name w:val="Default"/>
    <w:rsid w:val="00B34786"/>
    <w:pPr>
      <w:autoSpaceDE w:val="0"/>
      <w:autoSpaceDN w:val="0"/>
      <w:adjustRightInd w:val="0"/>
      <w:spacing w:after="0" w:line="240" w:lineRule="auto"/>
    </w:pPr>
    <w:rPr>
      <w:rFonts w:ascii="Arial" w:hAnsi="Arial" w:cs="Arial"/>
      <w:color w:val="000000"/>
      <w:sz w:val="24"/>
      <w:szCs w:val="24"/>
    </w:rPr>
  </w:style>
  <w:style w:type="paragraph" w:styleId="Ttulo">
    <w:name w:val="Title"/>
    <w:basedOn w:val="Normal"/>
    <w:next w:val="Normal"/>
    <w:link w:val="TtuloCar"/>
    <w:uiPriority w:val="10"/>
    <w:qFormat/>
    <w:rsid w:val="00B34786"/>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B34786"/>
    <w:rPr>
      <w:rFonts w:ascii="Geomanist" w:eastAsiaTheme="majorEastAsia" w:hAnsi="Geomanist" w:cstheme="majorBidi"/>
      <w:spacing w:val="-10"/>
      <w:kern w:val="28"/>
      <w:szCs w:val="56"/>
      <w:lang w:val="es-ES"/>
    </w:rPr>
  </w:style>
  <w:style w:type="table" w:customStyle="1" w:styleId="Tablaconcuadrcula1">
    <w:name w:val="Tabla con cuadrícula1"/>
    <w:basedOn w:val="Tablanormal"/>
    <w:next w:val="Tablaconcuadrcula"/>
    <w:uiPriority w:val="59"/>
    <w:qFormat/>
    <w:rsid w:val="00B34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B34786"/>
  </w:style>
  <w:style w:type="table" w:customStyle="1" w:styleId="TableNormal">
    <w:name w:val="Table Normal"/>
    <w:uiPriority w:val="2"/>
    <w:semiHidden/>
    <w:unhideWhenUsed/>
    <w:qFormat/>
    <w:rsid w:val="00B347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34786"/>
    <w:pPr>
      <w:widowControl w:val="0"/>
      <w:autoSpaceDE w:val="0"/>
      <w:autoSpaceDN w:val="0"/>
      <w:spacing w:after="0" w:line="208" w:lineRule="exact"/>
      <w:ind w:left="119"/>
    </w:pPr>
    <w:rPr>
      <w:rFonts w:ascii="Calibri" w:eastAsia="Calibri" w:hAnsi="Calibri" w:cs="Calibri"/>
      <w:lang w:val="es-ES"/>
    </w:rPr>
  </w:style>
  <w:style w:type="table" w:customStyle="1" w:styleId="Tablaconcuadrcula2">
    <w:name w:val="Tabla con cuadrícula2"/>
    <w:basedOn w:val="Tablanormal"/>
    <w:next w:val="Tablaconcuadrcula"/>
    <w:uiPriority w:val="39"/>
    <w:rsid w:val="00B34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A5DD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021BB"/>
  </w:style>
  <w:style w:type="character" w:customStyle="1" w:styleId="NormalWebCar">
    <w:name w:val="Normal (Web) Car"/>
    <w:link w:val="NormalWeb"/>
    <w:uiPriority w:val="99"/>
    <w:locked/>
    <w:rsid w:val="0056015C"/>
    <w:rPr>
      <w:rFonts w:ascii="Times New Roman" w:hAnsi="Times New Roman" w:cs="Times New Roman"/>
      <w:sz w:val="24"/>
      <w:szCs w:val="24"/>
    </w:rPr>
  </w:style>
  <w:style w:type="character" w:customStyle="1" w:styleId="baj">
    <w:name w:val="b_aj"/>
    <w:basedOn w:val="Fuentedeprrafopredeter"/>
    <w:rsid w:val="0056015C"/>
  </w:style>
  <w:style w:type="paragraph" w:customStyle="1" w:styleId="p1">
    <w:name w:val="p1"/>
    <w:basedOn w:val="Normal"/>
    <w:rsid w:val="001A48E2"/>
    <w:pPr>
      <w:spacing w:after="0" w:line="240" w:lineRule="auto"/>
    </w:pPr>
    <w:rPr>
      <w:rFonts w:ascii="Verdana" w:eastAsia="Times New Roman" w:hAnsi="Verdana" w:cs="Times New Roman"/>
      <w:color w:val="000000"/>
      <w:sz w:val="14"/>
      <w:szCs w:val="1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270">
      <w:bodyDiv w:val="1"/>
      <w:marLeft w:val="0"/>
      <w:marRight w:val="0"/>
      <w:marTop w:val="0"/>
      <w:marBottom w:val="0"/>
      <w:divBdr>
        <w:top w:val="none" w:sz="0" w:space="0" w:color="auto"/>
        <w:left w:val="none" w:sz="0" w:space="0" w:color="auto"/>
        <w:bottom w:val="none" w:sz="0" w:space="0" w:color="auto"/>
        <w:right w:val="none" w:sz="0" w:space="0" w:color="auto"/>
      </w:divBdr>
    </w:div>
    <w:div w:id="567960049">
      <w:bodyDiv w:val="1"/>
      <w:marLeft w:val="0"/>
      <w:marRight w:val="0"/>
      <w:marTop w:val="0"/>
      <w:marBottom w:val="0"/>
      <w:divBdr>
        <w:top w:val="none" w:sz="0" w:space="0" w:color="auto"/>
        <w:left w:val="none" w:sz="0" w:space="0" w:color="auto"/>
        <w:bottom w:val="none" w:sz="0" w:space="0" w:color="auto"/>
        <w:right w:val="none" w:sz="0" w:space="0" w:color="auto"/>
      </w:divBdr>
    </w:div>
    <w:div w:id="632058178">
      <w:bodyDiv w:val="1"/>
      <w:marLeft w:val="0"/>
      <w:marRight w:val="0"/>
      <w:marTop w:val="0"/>
      <w:marBottom w:val="0"/>
      <w:divBdr>
        <w:top w:val="none" w:sz="0" w:space="0" w:color="auto"/>
        <w:left w:val="none" w:sz="0" w:space="0" w:color="auto"/>
        <w:bottom w:val="none" w:sz="0" w:space="0" w:color="auto"/>
        <w:right w:val="none" w:sz="0" w:space="0" w:color="auto"/>
      </w:divBdr>
    </w:div>
    <w:div w:id="904800413">
      <w:bodyDiv w:val="1"/>
      <w:marLeft w:val="0"/>
      <w:marRight w:val="0"/>
      <w:marTop w:val="0"/>
      <w:marBottom w:val="0"/>
      <w:divBdr>
        <w:top w:val="none" w:sz="0" w:space="0" w:color="auto"/>
        <w:left w:val="none" w:sz="0" w:space="0" w:color="auto"/>
        <w:bottom w:val="none" w:sz="0" w:space="0" w:color="auto"/>
        <w:right w:val="none" w:sz="0" w:space="0" w:color="auto"/>
      </w:divBdr>
    </w:div>
    <w:div w:id="1190610056">
      <w:bodyDiv w:val="1"/>
      <w:marLeft w:val="0"/>
      <w:marRight w:val="0"/>
      <w:marTop w:val="0"/>
      <w:marBottom w:val="0"/>
      <w:divBdr>
        <w:top w:val="none" w:sz="0" w:space="0" w:color="auto"/>
        <w:left w:val="none" w:sz="0" w:space="0" w:color="auto"/>
        <w:bottom w:val="none" w:sz="0" w:space="0" w:color="auto"/>
        <w:right w:val="none" w:sz="0" w:space="0" w:color="auto"/>
      </w:divBdr>
    </w:div>
    <w:div w:id="1200049807">
      <w:bodyDiv w:val="1"/>
      <w:marLeft w:val="0"/>
      <w:marRight w:val="0"/>
      <w:marTop w:val="0"/>
      <w:marBottom w:val="0"/>
      <w:divBdr>
        <w:top w:val="none" w:sz="0" w:space="0" w:color="auto"/>
        <w:left w:val="none" w:sz="0" w:space="0" w:color="auto"/>
        <w:bottom w:val="none" w:sz="0" w:space="0" w:color="auto"/>
        <w:right w:val="none" w:sz="0" w:space="0" w:color="auto"/>
      </w:divBdr>
    </w:div>
    <w:div w:id="1607956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recursosaguasdelcapira@gmail.com"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8AE37-E1F3-4B08-98E9-52F0B3FA79CF}">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DDBF6F67-FB05-4531-8EE7-533BB2770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4EFD2-6506-4654-A0AC-DEF36450FF53}">
  <ds:schemaRefs>
    <ds:schemaRef ds:uri="http://schemas.microsoft.com/sharepoint/v3/contenttype/forms"/>
  </ds:schemaRefs>
</ds:datastoreItem>
</file>

<file path=customXml/itemProps4.xml><?xml version="1.0" encoding="utf-8"?>
<ds:datastoreItem xmlns:ds="http://schemas.openxmlformats.org/officeDocument/2006/customXml" ds:itemID="{206954CD-A18B-4BC8-BDFD-948A7B8E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5695</Words>
  <Characters>31326</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Andreina Cerpa Muñoz</cp:lastModifiedBy>
  <cp:revision>11</cp:revision>
  <dcterms:created xsi:type="dcterms:W3CDTF">2026-06-12T20:41:00Z</dcterms:created>
  <dcterms:modified xsi:type="dcterms:W3CDTF">2026-06-26T14:46:00Z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