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1F425D" w14:textId="77777777" w:rsidR="002E7EDF" w:rsidRPr="00CC5B04" w:rsidRDefault="002E7EDF" w:rsidP="002E7EDF">
      <w:pPr>
        <w:spacing w:after="0" w:line="240" w:lineRule="auto"/>
        <w:jc w:val="both"/>
        <w:rPr>
          <w:rFonts w:ascii="Verdana" w:hAnsi="Verdana" w:cs="Arial"/>
          <w:b/>
          <w:color w:val="000000" w:themeColor="text1"/>
          <w:lang w:val="es-MX" w:eastAsia="es-ES_tradnl"/>
        </w:rPr>
      </w:pPr>
      <w:r w:rsidRPr="00CC5B04">
        <w:rPr>
          <w:rFonts w:ascii="Verdana" w:hAnsi="Verdana" w:cs="Arial"/>
          <w:b/>
          <w:color w:val="000000" w:themeColor="text1"/>
          <w:lang w:val="es-MX" w:eastAsia="es-ES_tradnl"/>
        </w:rPr>
        <w:t xml:space="preserve">LEY DE GARANTÍAS ELECTORALES </w:t>
      </w:r>
      <w:r w:rsidRPr="00CC5B04">
        <w:rPr>
          <w:rFonts w:ascii="Verdana" w:hAnsi="Verdana" w:cs="Arial"/>
          <w:b/>
          <w:bCs/>
          <w:color w:val="000000" w:themeColor="text1"/>
          <w:lang w:val="es-MX" w:eastAsia="es-ES_tradnl"/>
        </w:rPr>
        <w:t>‒</w:t>
      </w:r>
      <w:r w:rsidRPr="00CC5B04">
        <w:rPr>
          <w:rFonts w:ascii="Verdana" w:hAnsi="Verdana" w:cs="Arial"/>
          <w:b/>
          <w:color w:val="000000" w:themeColor="text1"/>
          <w:lang w:val="es-MX" w:eastAsia="es-ES_tradnl"/>
        </w:rPr>
        <w:t xml:space="preserve"> Finalidad </w:t>
      </w:r>
    </w:p>
    <w:p w14:paraId="61419E75" w14:textId="77777777" w:rsidR="002E7EDF" w:rsidRPr="00CC5B04" w:rsidRDefault="002E7EDF" w:rsidP="002E7EDF">
      <w:pPr>
        <w:spacing w:after="0" w:line="240" w:lineRule="auto"/>
        <w:jc w:val="both"/>
        <w:rPr>
          <w:rFonts w:ascii="Verdana" w:hAnsi="Verdana" w:cs="Arial"/>
          <w:b/>
          <w:color w:val="000000" w:themeColor="text1"/>
          <w:lang w:val="es-MX" w:eastAsia="es-ES_tradnl"/>
        </w:rPr>
      </w:pPr>
    </w:p>
    <w:p w14:paraId="2D68E2F2" w14:textId="77777777" w:rsidR="002E7EDF" w:rsidRPr="00CC5B04" w:rsidRDefault="002E7EDF" w:rsidP="002E7EDF">
      <w:pPr>
        <w:spacing w:after="0" w:line="240" w:lineRule="auto"/>
        <w:jc w:val="both"/>
        <w:rPr>
          <w:rFonts w:ascii="Verdana" w:eastAsia="Times New Roman" w:hAnsi="Verdana" w:cs="Arial"/>
          <w:color w:val="000000" w:themeColor="text1"/>
          <w:sz w:val="20"/>
          <w:lang w:val="es-MX" w:eastAsia="es-CO"/>
        </w:rPr>
      </w:pPr>
      <w:r w:rsidRPr="00CC5B04">
        <w:rPr>
          <w:rFonts w:ascii="Verdana" w:eastAsia="Times New Roman" w:hAnsi="Verdana" w:cs="Arial"/>
          <w:color w:val="000000" w:themeColor="text1"/>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2BD732BC" w14:textId="77777777" w:rsidR="002E7EDF" w:rsidRPr="00CC5B04" w:rsidRDefault="002E7EDF" w:rsidP="002E7EDF">
      <w:pPr>
        <w:pStyle w:val="Default"/>
        <w:jc w:val="both"/>
        <w:rPr>
          <w:rFonts w:ascii="Verdana" w:hAnsi="Verdana"/>
          <w:color w:val="000000" w:themeColor="text1"/>
          <w:sz w:val="20"/>
          <w:szCs w:val="20"/>
          <w:lang w:val="es-MX"/>
        </w:rPr>
      </w:pPr>
    </w:p>
    <w:p w14:paraId="79C22172" w14:textId="77777777" w:rsidR="002E7EDF" w:rsidRPr="00CC5B04" w:rsidRDefault="002E7EDF" w:rsidP="002E7EDF">
      <w:pPr>
        <w:spacing w:after="0" w:line="240" w:lineRule="auto"/>
        <w:jc w:val="both"/>
        <w:rPr>
          <w:rFonts w:ascii="Verdana" w:eastAsia="Calibri" w:hAnsi="Verdana" w:cs="Arial"/>
          <w:b/>
          <w:color w:val="000000" w:themeColor="text1"/>
        </w:rPr>
      </w:pPr>
      <w:r w:rsidRPr="00CC5B04">
        <w:rPr>
          <w:rFonts w:ascii="Verdana" w:eastAsia="Calibri" w:hAnsi="Verdana" w:cs="Arial"/>
          <w:b/>
          <w:color w:val="000000" w:themeColor="text1"/>
        </w:rPr>
        <w:t xml:space="preserve">LEY DE GARANTÍAS ELECTORALES – Ley 996 de 2005 – Articulo 33 – Restricciones – Elecciones presidenciales </w:t>
      </w:r>
    </w:p>
    <w:p w14:paraId="278A19BD" w14:textId="77777777" w:rsidR="002E7EDF" w:rsidRPr="00CC5B04" w:rsidRDefault="002E7EDF" w:rsidP="002E7EDF">
      <w:pPr>
        <w:spacing w:after="0" w:line="240" w:lineRule="auto"/>
        <w:jc w:val="both"/>
        <w:rPr>
          <w:rFonts w:ascii="Verdana" w:eastAsia="Calibri" w:hAnsi="Verdana" w:cs="Arial"/>
          <w:b/>
          <w:color w:val="000000" w:themeColor="text1"/>
          <w:sz w:val="20"/>
          <w:szCs w:val="20"/>
        </w:rPr>
      </w:pPr>
    </w:p>
    <w:p w14:paraId="780A1CC8" w14:textId="77777777" w:rsidR="002E7EDF" w:rsidRPr="00CC5B04" w:rsidRDefault="002E7EDF" w:rsidP="002E7EDF">
      <w:pPr>
        <w:spacing w:after="0" w:line="240" w:lineRule="auto"/>
        <w:jc w:val="both"/>
        <w:rPr>
          <w:rFonts w:ascii="Verdana" w:hAnsi="Verdana" w:cs="Arial"/>
          <w:color w:val="000000" w:themeColor="text1"/>
          <w:sz w:val="20"/>
          <w:szCs w:val="20"/>
          <w:lang w:eastAsia="x-none"/>
        </w:rPr>
      </w:pPr>
      <w:r w:rsidRPr="00CC5B04">
        <w:rPr>
          <w:rFonts w:ascii="Verdana" w:hAnsi="Verdana" w:cs="Arial"/>
          <w:color w:val="000000" w:themeColor="text1"/>
          <w:sz w:val="20"/>
          <w:szCs w:val="20"/>
          <w:lang w:eastAsia="x-none"/>
        </w:rPr>
        <w:t xml:space="preserve">[…] la prohibición del artículo 33 de la Ley de Garantías Electorales se refiere a </w:t>
      </w:r>
      <w:r w:rsidRPr="00CC5B04">
        <w:rPr>
          <w:rFonts w:ascii="Verdana" w:hAnsi="Verdana" w:cs="Arial"/>
          <w:color w:val="000000" w:themeColor="text1"/>
          <w:sz w:val="20"/>
          <w:szCs w:val="20"/>
          <w:lang w:eastAsia="en-GB"/>
        </w:rPr>
        <w:t>“</w:t>
      </w:r>
      <w:r w:rsidRPr="00CC5B04">
        <w:rPr>
          <w:rFonts w:ascii="Verdana" w:hAnsi="Verdana" w:cs="Arial"/>
          <w:color w:val="000000" w:themeColor="text1"/>
          <w:sz w:val="20"/>
          <w:szCs w:val="20"/>
          <w:lang w:eastAsia="x-none"/>
        </w:rPr>
        <w:t>cualquier sistema que no implique convocatoria pública y posibilidad de pluralidad de oferentes</w:t>
      </w:r>
      <w:r w:rsidRPr="00CC5B04">
        <w:rPr>
          <w:rFonts w:ascii="Verdana" w:hAnsi="Verdana" w:cs="Arial"/>
          <w:color w:val="000000" w:themeColor="text1"/>
          <w:sz w:val="20"/>
          <w:szCs w:val="20"/>
          <w:lang w:eastAsia="en-GB"/>
        </w:rPr>
        <w:t>”</w:t>
      </w:r>
      <w:r w:rsidRPr="00CC5B04">
        <w:rPr>
          <w:rFonts w:ascii="Verdana" w:hAnsi="Verdana" w:cs="Arial"/>
          <w:color w:val="000000" w:themeColor="text1"/>
          <w:sz w:val="20"/>
          <w:szCs w:val="20"/>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 y sistematizó las causales de contratación directa.</w:t>
      </w:r>
    </w:p>
    <w:p w14:paraId="36FF1C8B" w14:textId="77777777" w:rsidR="002E7EDF" w:rsidRPr="00CC5B04" w:rsidRDefault="002E7EDF" w:rsidP="002E7EDF">
      <w:pPr>
        <w:spacing w:after="0" w:line="240" w:lineRule="auto"/>
        <w:jc w:val="both"/>
        <w:rPr>
          <w:rFonts w:ascii="Verdana" w:hAnsi="Verdana" w:cs="Arial"/>
          <w:color w:val="000000" w:themeColor="text1"/>
          <w:sz w:val="20"/>
          <w:szCs w:val="20"/>
          <w:lang w:eastAsia="x-none"/>
        </w:rPr>
      </w:pPr>
      <w:r w:rsidRPr="00CC5B04">
        <w:rPr>
          <w:rFonts w:ascii="Verdana" w:hAnsi="Verdana" w:cs="Arial"/>
          <w:color w:val="000000" w:themeColor="text1"/>
          <w:sz w:val="20"/>
          <w:szCs w:val="20"/>
          <w:lang w:eastAsia="x-none"/>
        </w:rPr>
        <w:t>[…]</w:t>
      </w:r>
    </w:p>
    <w:p w14:paraId="73F6CBF2" w14:textId="77777777" w:rsidR="002E7EDF" w:rsidRPr="00CC5B04" w:rsidRDefault="002E7EDF" w:rsidP="002E7EDF">
      <w:pPr>
        <w:spacing w:after="0" w:line="240" w:lineRule="auto"/>
        <w:jc w:val="both"/>
        <w:rPr>
          <w:rFonts w:ascii="Verdana" w:eastAsia="Calibri" w:hAnsi="Verdana" w:cs="Arial"/>
          <w:b/>
          <w:color w:val="000000" w:themeColor="text1"/>
          <w:sz w:val="20"/>
          <w:szCs w:val="20"/>
        </w:rPr>
      </w:pPr>
    </w:p>
    <w:p w14:paraId="5DFAFFBE" w14:textId="77777777" w:rsidR="002E7EDF" w:rsidRPr="00CC5B04" w:rsidRDefault="002E7EDF" w:rsidP="002E7EDF">
      <w:pPr>
        <w:pStyle w:val="Textoindependiente"/>
        <w:spacing w:after="0" w:line="240" w:lineRule="auto"/>
        <w:jc w:val="both"/>
        <w:rPr>
          <w:rFonts w:ascii="Verdana" w:hAnsi="Verdana"/>
          <w:bCs/>
          <w:color w:val="000000" w:themeColor="text1"/>
          <w:sz w:val="20"/>
          <w:szCs w:val="20"/>
          <w:lang w:eastAsia="x-none"/>
        </w:rPr>
      </w:pPr>
      <w:r w:rsidRPr="00CC5B04">
        <w:rPr>
          <w:rFonts w:ascii="Verdana" w:hAnsi="Verdana"/>
          <w:bCs/>
          <w:color w:val="000000" w:themeColor="text1"/>
          <w:sz w:val="20"/>
          <w:szCs w:val="20"/>
          <w:lang w:eastAsia="x-none"/>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CC5B04">
        <w:rPr>
          <w:rFonts w:ascii="Verdana" w:hAnsi="Verdana"/>
          <w:color w:val="000000" w:themeColor="text1"/>
          <w:sz w:val="20"/>
          <w:szCs w:val="20"/>
        </w:rPr>
        <w:t xml:space="preserve"> </w:t>
      </w:r>
      <w:r w:rsidRPr="00CC5B04">
        <w:rPr>
          <w:rFonts w:ascii="Verdana" w:hAnsi="Verdana"/>
          <w:bCs/>
          <w:color w:val="000000" w:themeColor="text1"/>
          <w:sz w:val="20"/>
          <w:szCs w:val="20"/>
          <w:lang w:eastAsia="x-none"/>
        </w:rPr>
        <w:t>En efecto, tal como lo ha sostenido el Consejo de Estado, el vocablo “todos” utilizado por el legislador comprende</w:t>
      </w:r>
      <w:r w:rsidRPr="00CC5B04">
        <w:rPr>
          <w:rFonts w:ascii="Verdana" w:hAnsi="Verdana"/>
          <w:color w:val="000000" w:themeColor="text1"/>
          <w:sz w:val="20"/>
          <w:szCs w:val="20"/>
        </w:rPr>
        <w:t xml:space="preserve"> </w:t>
      </w:r>
      <w:r w:rsidRPr="00CC5B04">
        <w:rPr>
          <w:rFonts w:ascii="Verdana" w:hAnsi="Verdana"/>
          <w:bCs/>
          <w:color w:val="000000" w:themeColor="text1"/>
          <w:sz w:val="20"/>
          <w:szCs w:val="20"/>
          <w:lang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01320D65" w14:textId="77777777" w:rsidR="002E7EDF" w:rsidRPr="00CC5B04" w:rsidRDefault="002E7EDF" w:rsidP="002E7EDF">
      <w:pPr>
        <w:pStyle w:val="Textoindependiente"/>
        <w:spacing w:after="0" w:line="240" w:lineRule="auto"/>
        <w:jc w:val="both"/>
        <w:rPr>
          <w:rFonts w:ascii="Verdana" w:hAnsi="Verdana"/>
          <w:color w:val="000000" w:themeColor="text1"/>
          <w:sz w:val="20"/>
          <w:szCs w:val="20"/>
        </w:rPr>
      </w:pPr>
    </w:p>
    <w:p w14:paraId="78388858" w14:textId="0896B436" w:rsidR="002E7EDF" w:rsidRPr="00CC5B04" w:rsidRDefault="002E7EDF" w:rsidP="002E7EDF">
      <w:pPr>
        <w:pStyle w:val="Textoindependiente"/>
        <w:spacing w:after="0" w:line="240" w:lineRule="auto"/>
        <w:jc w:val="both"/>
        <w:rPr>
          <w:rFonts w:ascii="Verdana" w:eastAsia="Calibri" w:hAnsi="Verdana"/>
          <w:b/>
          <w:color w:val="000000" w:themeColor="text1"/>
        </w:rPr>
      </w:pPr>
      <w:r w:rsidRPr="00CC5B04">
        <w:rPr>
          <w:rFonts w:ascii="Verdana" w:eastAsia="Calibri" w:hAnsi="Verdana"/>
          <w:b/>
          <w:color w:val="000000" w:themeColor="text1"/>
        </w:rPr>
        <w:t xml:space="preserve">LEY DE GARANTÍAS ELECTORALES – Ley 996 de 2005 – Destinatarios </w:t>
      </w:r>
    </w:p>
    <w:p w14:paraId="2BD3A210" w14:textId="77777777" w:rsidR="002E7EDF" w:rsidRPr="00CC5B04" w:rsidRDefault="002E7EDF" w:rsidP="002E7EDF">
      <w:pPr>
        <w:pStyle w:val="Textoindependiente"/>
        <w:spacing w:after="0" w:line="240" w:lineRule="auto"/>
        <w:jc w:val="both"/>
        <w:rPr>
          <w:rFonts w:ascii="Verdana" w:eastAsia="Calibri" w:hAnsi="Verdana"/>
          <w:b/>
          <w:color w:val="000000" w:themeColor="text1"/>
          <w:sz w:val="20"/>
          <w:szCs w:val="20"/>
        </w:rPr>
      </w:pPr>
    </w:p>
    <w:p w14:paraId="70FD1C0C" w14:textId="77777777" w:rsidR="002E7EDF" w:rsidRPr="00CC5B04" w:rsidRDefault="002E7EDF" w:rsidP="002E7EDF">
      <w:pPr>
        <w:pStyle w:val="Textoindependiente"/>
        <w:spacing w:after="0" w:line="240" w:lineRule="auto"/>
        <w:jc w:val="both"/>
        <w:rPr>
          <w:rFonts w:ascii="Verdana" w:eastAsia="Calibri" w:hAnsi="Verdana"/>
          <w:bCs/>
          <w:color w:val="000000" w:themeColor="text1"/>
          <w:sz w:val="20"/>
          <w:szCs w:val="20"/>
        </w:rPr>
      </w:pPr>
      <w:r w:rsidRPr="00CC5B04">
        <w:rPr>
          <w:rFonts w:ascii="Verdana" w:eastAsia="Calibri" w:hAnsi="Verdana"/>
          <w:bCs/>
          <w:color w:val="000000" w:themeColor="text1"/>
          <w:sz w:val="20"/>
          <w:szCs w:val="20"/>
        </w:rPr>
        <w:t>Por lo tanto, la restricción prevista en la Ley 996 de 2005, 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131FEE87" w14:textId="77777777" w:rsidR="00D131BC" w:rsidRPr="00CC5B04" w:rsidRDefault="00D131BC" w:rsidP="00D131BC">
      <w:pPr>
        <w:spacing w:after="0" w:line="240" w:lineRule="auto"/>
        <w:jc w:val="both"/>
        <w:rPr>
          <w:rFonts w:ascii="Verdana" w:hAnsi="Verdana" w:cs="Arial"/>
          <w:color w:val="000000" w:themeColor="text1"/>
          <w:sz w:val="20"/>
          <w:szCs w:val="20"/>
          <w:lang w:eastAsia="x-none"/>
        </w:rPr>
      </w:pPr>
      <w:r w:rsidRPr="00CC5B04">
        <w:rPr>
          <w:rFonts w:ascii="Verdana" w:hAnsi="Verdana" w:cs="Arial"/>
          <w:color w:val="000000" w:themeColor="text1"/>
          <w:sz w:val="20"/>
          <w:szCs w:val="20"/>
          <w:lang w:eastAsia="x-none"/>
        </w:rPr>
        <w:t>[…]</w:t>
      </w:r>
    </w:p>
    <w:p w14:paraId="2E7426DC" w14:textId="77777777" w:rsidR="00085A6F" w:rsidRPr="004B3951" w:rsidRDefault="00085A6F" w:rsidP="002E7EDF">
      <w:pPr>
        <w:pStyle w:val="Textoindependiente"/>
        <w:spacing w:after="0" w:line="240" w:lineRule="auto"/>
        <w:jc w:val="both"/>
        <w:rPr>
          <w:rFonts w:ascii="Verdana" w:eastAsia="Calibri" w:hAnsi="Verdana"/>
          <w:b/>
          <w:color w:val="EE0000"/>
          <w:sz w:val="20"/>
          <w:szCs w:val="20"/>
        </w:rPr>
      </w:pPr>
    </w:p>
    <w:p w14:paraId="17E43880" w14:textId="364A80C6" w:rsidR="002E7EDF" w:rsidRPr="00CC5B04" w:rsidRDefault="002E7EDF" w:rsidP="002E7EDF">
      <w:pPr>
        <w:pStyle w:val="Textoindependiente"/>
        <w:spacing w:after="0" w:line="240" w:lineRule="auto"/>
        <w:jc w:val="both"/>
        <w:rPr>
          <w:rFonts w:ascii="Verdana" w:eastAsia="Calibri" w:hAnsi="Verdana"/>
          <w:b/>
          <w:color w:val="000000" w:themeColor="text1"/>
        </w:rPr>
      </w:pPr>
      <w:r w:rsidRPr="00CC5B04">
        <w:rPr>
          <w:rFonts w:ascii="Verdana" w:eastAsia="Calibri" w:hAnsi="Verdana"/>
          <w:b/>
          <w:color w:val="000000" w:themeColor="text1"/>
        </w:rPr>
        <w:lastRenderedPageBreak/>
        <w:t xml:space="preserve">LEY DE GARANTÍAS ELECTORALES – Artículo 33 </w:t>
      </w:r>
      <w:r w:rsidR="005C0CC9" w:rsidRPr="00CC5B04">
        <w:rPr>
          <w:rFonts w:ascii="Verdana" w:eastAsia="Calibri" w:hAnsi="Verdana"/>
          <w:b/>
          <w:color w:val="000000" w:themeColor="text1"/>
        </w:rPr>
        <w:t>–</w:t>
      </w:r>
      <w:r w:rsidR="00F21086">
        <w:rPr>
          <w:rFonts w:ascii="Verdana" w:eastAsia="Calibri" w:hAnsi="Verdana"/>
          <w:b/>
          <w:color w:val="000000" w:themeColor="text1"/>
        </w:rPr>
        <w:t xml:space="preserve"> Sociedad Pública </w:t>
      </w:r>
      <w:r w:rsidR="004A487D" w:rsidRPr="004A487D">
        <w:rPr>
          <w:rFonts w:ascii="Verdana" w:eastAsia="Calibri" w:hAnsi="Verdana"/>
          <w:b/>
          <w:bCs/>
          <w:color w:val="000000" w:themeColor="text1"/>
          <w:lang w:val="es-ES"/>
        </w:rPr>
        <w:t>–</w:t>
      </w:r>
      <w:r w:rsidR="004A487D">
        <w:rPr>
          <w:rFonts w:ascii="Verdana" w:eastAsia="Calibri" w:hAnsi="Verdana"/>
          <w:b/>
          <w:color w:val="000000" w:themeColor="text1"/>
        </w:rPr>
        <w:t xml:space="preserve"> </w:t>
      </w:r>
      <w:r w:rsidR="004A487D" w:rsidRPr="00CC5B04">
        <w:rPr>
          <w:rFonts w:ascii="Verdana" w:eastAsia="Calibri" w:hAnsi="Verdana"/>
          <w:b/>
          <w:color w:val="000000" w:themeColor="text1"/>
        </w:rPr>
        <w:t>Empresa</w:t>
      </w:r>
      <w:r w:rsidR="005C0CC9" w:rsidRPr="00CC5B04">
        <w:rPr>
          <w:rFonts w:ascii="Verdana" w:eastAsia="Calibri" w:hAnsi="Verdana"/>
          <w:b/>
          <w:color w:val="000000" w:themeColor="text1"/>
        </w:rPr>
        <w:t xml:space="preserve"> Industrial</w:t>
      </w:r>
      <w:r w:rsidR="00CC5B04" w:rsidRPr="00CC5B04">
        <w:rPr>
          <w:rFonts w:ascii="Verdana" w:eastAsia="Calibri" w:hAnsi="Verdana"/>
          <w:b/>
          <w:color w:val="000000" w:themeColor="text1"/>
        </w:rPr>
        <w:t xml:space="preserve"> </w:t>
      </w:r>
      <w:r w:rsidR="005C0CC9" w:rsidRPr="00CC5B04">
        <w:rPr>
          <w:rFonts w:ascii="Verdana" w:eastAsia="Calibri" w:hAnsi="Verdana"/>
          <w:b/>
          <w:color w:val="000000" w:themeColor="text1"/>
        </w:rPr>
        <w:t>y Comercial del Estado – Revis</w:t>
      </w:r>
      <w:r w:rsidR="00CC5B04" w:rsidRPr="00CC5B04">
        <w:rPr>
          <w:rFonts w:ascii="Verdana" w:eastAsia="Calibri" w:hAnsi="Verdana"/>
          <w:b/>
          <w:color w:val="000000" w:themeColor="text1"/>
        </w:rPr>
        <w:t>or</w:t>
      </w:r>
      <w:r w:rsidR="005C0CC9" w:rsidRPr="00CC5B04">
        <w:rPr>
          <w:rFonts w:ascii="Verdana" w:eastAsia="Calibri" w:hAnsi="Verdana"/>
          <w:b/>
          <w:color w:val="000000" w:themeColor="text1"/>
        </w:rPr>
        <w:t xml:space="preserve"> fiscal </w:t>
      </w:r>
      <w:r w:rsidR="00CC5B04" w:rsidRPr="00CC5B04">
        <w:rPr>
          <w:rFonts w:ascii="Verdana" w:eastAsia="Calibri" w:hAnsi="Verdana"/>
          <w:b/>
          <w:color w:val="000000" w:themeColor="text1"/>
        </w:rPr>
        <w:t>–</w:t>
      </w:r>
      <w:r w:rsidR="005C0CC9" w:rsidRPr="00CC5B04">
        <w:rPr>
          <w:rFonts w:ascii="Verdana" w:eastAsia="Calibri" w:hAnsi="Verdana"/>
          <w:b/>
          <w:color w:val="000000" w:themeColor="text1"/>
        </w:rPr>
        <w:t xml:space="preserve"> </w:t>
      </w:r>
      <w:r w:rsidR="00CC5B04" w:rsidRPr="00CC5B04">
        <w:rPr>
          <w:rFonts w:ascii="Verdana" w:eastAsia="Calibri" w:hAnsi="Verdana"/>
          <w:b/>
          <w:color w:val="000000" w:themeColor="text1"/>
        </w:rPr>
        <w:t xml:space="preserve">Contratación </w:t>
      </w:r>
      <w:r w:rsidR="004A487D" w:rsidRPr="00CC5B04">
        <w:rPr>
          <w:rFonts w:ascii="Verdana" w:eastAsia="Calibri" w:hAnsi="Verdana"/>
          <w:b/>
          <w:color w:val="000000" w:themeColor="text1"/>
        </w:rPr>
        <w:t>directa –</w:t>
      </w:r>
      <w:r w:rsidR="00CC5B04" w:rsidRPr="00CC5B04">
        <w:rPr>
          <w:rFonts w:ascii="Verdana" w:eastAsia="Calibri" w:hAnsi="Verdana"/>
          <w:b/>
          <w:color w:val="000000" w:themeColor="text1"/>
        </w:rPr>
        <w:t xml:space="preserve"> Restricción </w:t>
      </w:r>
    </w:p>
    <w:p w14:paraId="7638D24C" w14:textId="77777777" w:rsidR="00F0616F" w:rsidRPr="00CC5B04" w:rsidRDefault="00F0616F" w:rsidP="0025102C">
      <w:pPr>
        <w:pStyle w:val="Textoindependiente"/>
        <w:spacing w:after="0" w:line="240" w:lineRule="auto"/>
        <w:jc w:val="both"/>
        <w:rPr>
          <w:rFonts w:ascii="Verdana" w:eastAsia="Calibri" w:hAnsi="Verdana"/>
          <w:bCs/>
          <w:color w:val="000000" w:themeColor="text1"/>
          <w:sz w:val="20"/>
          <w:szCs w:val="20"/>
        </w:rPr>
      </w:pPr>
    </w:p>
    <w:p w14:paraId="0DE6CF9C" w14:textId="719E5505" w:rsidR="00F21086" w:rsidRDefault="00F21086" w:rsidP="00F21086">
      <w:pPr>
        <w:pStyle w:val="Textoindependiente"/>
        <w:spacing w:after="0" w:line="240" w:lineRule="auto"/>
        <w:jc w:val="both"/>
        <w:rPr>
          <w:rFonts w:ascii="Verdana" w:eastAsia="Calibri" w:hAnsi="Verdana"/>
          <w:bCs/>
          <w:color w:val="000000" w:themeColor="text1"/>
          <w:sz w:val="20"/>
          <w:szCs w:val="20"/>
        </w:rPr>
      </w:pPr>
      <w:r w:rsidRPr="00F21086">
        <w:rPr>
          <w:rFonts w:ascii="Verdana" w:eastAsia="Calibri" w:hAnsi="Verdana"/>
          <w:bCs/>
          <w:color w:val="000000" w:themeColor="text1"/>
          <w:sz w:val="20"/>
          <w:szCs w:val="20"/>
        </w:rPr>
        <w:t>En el caso objeto de la consulta, caracterizando a MOVILIDAD FUTURA como Sociedad Pública de acuerdo al literal f, numeral 2 del artículo 38 de la ley 489 de 1998, siendo que esta sociedad tiene una composi</w:t>
      </w:r>
      <w:r>
        <w:rPr>
          <w:rFonts w:ascii="Verdana" w:eastAsia="Calibri" w:hAnsi="Verdana"/>
          <w:bCs/>
          <w:color w:val="000000" w:themeColor="text1"/>
          <w:sz w:val="20"/>
          <w:szCs w:val="20"/>
        </w:rPr>
        <w:t>ci</w:t>
      </w:r>
      <w:r w:rsidRPr="00F21086">
        <w:rPr>
          <w:rFonts w:ascii="Verdana" w:eastAsia="Calibri" w:hAnsi="Verdana"/>
          <w:bCs/>
          <w:color w:val="000000" w:themeColor="text1"/>
          <w:sz w:val="20"/>
          <w:szCs w:val="20"/>
        </w:rPr>
        <w:t xml:space="preserve">ón de capital 100% pública, se aplica el parágrafo 1 del articulo 38 de la mencionada ley, con lo cual “se someten al régimen previsto para las empresas industriales y comerciales del Estado”. Pues bien,  conforme a la doctrina consolidada de esta Agencia —Conceptos C-139 de 2024 y C-1019 de 2025—, las empresas industriales y comerciales del Estado son entidades descentralizadas que desarrollan actividades de carácter industrial o comercial. El artículo 93 de la Ley 489 de 1998 establece la regla dualista que las rige: en sus actos, aplican las disposiciones del derecho privado y en sus contratos, aplican el Estatuto General de Contratación de la Administración Pública. </w:t>
      </w:r>
    </w:p>
    <w:p w14:paraId="5B88CCE4" w14:textId="77777777" w:rsidR="00F21086" w:rsidRPr="00F21086" w:rsidRDefault="00F21086" w:rsidP="00F21086">
      <w:pPr>
        <w:pStyle w:val="Textoindependiente"/>
        <w:spacing w:after="0" w:line="240" w:lineRule="auto"/>
        <w:jc w:val="both"/>
        <w:rPr>
          <w:rFonts w:ascii="Verdana" w:eastAsia="Calibri" w:hAnsi="Verdana"/>
          <w:bCs/>
          <w:color w:val="000000" w:themeColor="text1"/>
          <w:sz w:val="20"/>
          <w:szCs w:val="20"/>
        </w:rPr>
      </w:pPr>
    </w:p>
    <w:p w14:paraId="6AB74054" w14:textId="77777777" w:rsidR="00F21086" w:rsidRDefault="00F21086" w:rsidP="00F21086">
      <w:pPr>
        <w:pStyle w:val="Textoindependiente"/>
        <w:spacing w:after="0" w:line="240" w:lineRule="auto"/>
        <w:jc w:val="both"/>
        <w:rPr>
          <w:rFonts w:ascii="Verdana" w:eastAsia="Calibri" w:hAnsi="Verdana"/>
          <w:bCs/>
          <w:color w:val="000000" w:themeColor="text1"/>
          <w:sz w:val="20"/>
          <w:szCs w:val="20"/>
        </w:rPr>
      </w:pPr>
      <w:r w:rsidRPr="00F21086">
        <w:rPr>
          <w:rFonts w:ascii="Verdana" w:eastAsia="Calibri" w:hAnsi="Verdana"/>
          <w:bCs/>
          <w:color w:val="000000" w:themeColor="text1"/>
          <w:sz w:val="20"/>
          <w:szCs w:val="20"/>
        </w:rPr>
        <w:t>Conforme a ello,  el artículo 28 de la Ley 1258 de 2008 obliga que la S.A.S. estará obligada a tener revisor fiscal cuando reúna los presupuestos de activos o de ingresos señalados en el parágrafo 2° del artículo 13 de la Ley 43 de 1990 —activos brutos iguales o superiores a 5.000 SMLMV o ingresos brutos iguales o superiores a 3.000 SMLMV—, o cuando otra ley especial así lo exija. Para las EICE que desarrollan actividades comerciales en competencia con el sector privado y que cumplen los topes legales, la obligación de contar con revisor fiscal se encuentra consolidada.</w:t>
      </w:r>
    </w:p>
    <w:p w14:paraId="06C2F2B4" w14:textId="77777777" w:rsidR="00F21086" w:rsidRPr="00F21086" w:rsidRDefault="00F21086" w:rsidP="00F21086">
      <w:pPr>
        <w:pStyle w:val="Textoindependiente"/>
        <w:spacing w:after="0" w:line="240" w:lineRule="auto"/>
        <w:jc w:val="both"/>
        <w:rPr>
          <w:rFonts w:ascii="Verdana" w:eastAsia="Calibri" w:hAnsi="Verdana"/>
          <w:bCs/>
          <w:color w:val="000000" w:themeColor="text1"/>
          <w:sz w:val="20"/>
          <w:szCs w:val="20"/>
        </w:rPr>
      </w:pPr>
    </w:p>
    <w:p w14:paraId="506A6277" w14:textId="132BBA40" w:rsidR="00CC5B04" w:rsidRPr="00F21086" w:rsidRDefault="00F21086" w:rsidP="00F21086">
      <w:pPr>
        <w:pStyle w:val="Textoindependiente"/>
        <w:spacing w:after="0" w:line="240" w:lineRule="auto"/>
        <w:jc w:val="both"/>
        <w:rPr>
          <w:rFonts w:ascii="Verdana" w:eastAsia="Calibri" w:hAnsi="Verdana"/>
          <w:bCs/>
          <w:color w:val="000000" w:themeColor="text1"/>
          <w:sz w:val="20"/>
          <w:szCs w:val="20"/>
        </w:rPr>
      </w:pPr>
      <w:r w:rsidRPr="00F21086">
        <w:rPr>
          <w:rFonts w:ascii="Verdana" w:eastAsia="Calibri" w:hAnsi="Verdana"/>
          <w:bCs/>
          <w:color w:val="000000" w:themeColor="text1"/>
          <w:sz w:val="20"/>
          <w:szCs w:val="20"/>
        </w:rPr>
        <w:t>En el caso, sometido a consulta, es indispensable precisar dos actos jurídicos de naturaleza distinta que se suceden en la vinculación del revisor fiscal: en primer lugar, el artículo 204 del Código de Comercio —aplicable a la S.A.S. en virtud de la remisión de la Ley 1258 de 2008— dispone que la elección del revisor fiscal se hará por la mayoría absoluta de la Asamblea General de Accionistas. Este es un acto de gobierno corporativo de naturaleza societaria: la Asamblea, como órgano máximo de la sociedad, elige a la persona que ocupará el cargo. Este acto no es un proceso de selección contractual, es la investidura de un cargo por el órgano competente del derecho mercantil.</w:t>
      </w:r>
    </w:p>
    <w:p w14:paraId="245B4586" w14:textId="77777777" w:rsidR="00F21086" w:rsidRPr="00F21086" w:rsidRDefault="00F21086" w:rsidP="00F21086">
      <w:pPr>
        <w:pStyle w:val="Textoindependiente"/>
        <w:spacing w:after="0" w:line="240" w:lineRule="auto"/>
        <w:jc w:val="both"/>
        <w:rPr>
          <w:rFonts w:ascii="Verdana" w:eastAsia="Calibri" w:hAnsi="Verdana"/>
          <w:bCs/>
          <w:color w:val="000000" w:themeColor="text1"/>
          <w:sz w:val="20"/>
          <w:szCs w:val="20"/>
        </w:rPr>
      </w:pPr>
    </w:p>
    <w:p w14:paraId="1BF57314" w14:textId="6F662483" w:rsidR="00EA0C11" w:rsidRDefault="00CC5B04" w:rsidP="00F21086">
      <w:pPr>
        <w:pStyle w:val="Textoindependiente"/>
        <w:spacing w:after="0" w:line="240" w:lineRule="auto"/>
        <w:jc w:val="both"/>
        <w:rPr>
          <w:rFonts w:ascii="Verdana" w:hAnsi="Verdana" w:cs="Arial"/>
          <w:sz w:val="20"/>
          <w:szCs w:val="20"/>
        </w:rPr>
      </w:pPr>
      <w:r w:rsidRPr="00F21086">
        <w:rPr>
          <w:rFonts w:ascii="Verdana" w:eastAsia="Calibri" w:hAnsi="Verdana"/>
          <w:bCs/>
          <w:color w:val="000000" w:themeColor="text1"/>
          <w:sz w:val="20"/>
          <w:szCs w:val="20"/>
        </w:rPr>
        <w:t xml:space="preserve">[…] </w:t>
      </w:r>
      <w:r w:rsidR="00F21086" w:rsidRPr="00F21086">
        <w:rPr>
          <w:rFonts w:ascii="Verdana" w:hAnsi="Verdana" w:cs="Arial"/>
          <w:sz w:val="20"/>
          <w:szCs w:val="20"/>
        </w:rPr>
        <w:t>En el criterio de esta Agencia, el contrato de prestación de servicios profesionales por parte de una Sociedad Pública a la cual le aplican las reglas previstas para las Empresa Industrial y Comercial del Estado de acuerdo al parágrafo 1 del artículo 38 de la ley 489 de 1998, formaliza la vinculación del revisor fiscal elegido por su Asamblea de Accionistas constituye, inequívocamente, contratación directa en el sentido del artículo 33 de la Ley 996 de 2005. Ello por cuanto se trata de un procedimiento que no incluye convocatoria pública ni permite la participación de una pluralidad de oferentes: el representante legal celebra el contrato con la persona previamente elegida por la Asamblea, sin proceso competitivo, con fundamento exclusivo en los estudios previos y en la decisión del órgano societario</w:t>
      </w:r>
      <w:r w:rsidR="00F21086">
        <w:rPr>
          <w:rFonts w:ascii="Verdana" w:hAnsi="Verdana" w:cs="Arial"/>
          <w:sz w:val="20"/>
          <w:szCs w:val="20"/>
        </w:rPr>
        <w:t>.</w:t>
      </w:r>
    </w:p>
    <w:p w14:paraId="54055759" w14:textId="77777777" w:rsidR="00F21086" w:rsidRPr="00F21086" w:rsidRDefault="00F21086" w:rsidP="00F21086">
      <w:pPr>
        <w:pStyle w:val="Textoindependiente"/>
        <w:spacing w:after="0" w:line="240" w:lineRule="auto"/>
        <w:jc w:val="both"/>
        <w:rPr>
          <w:rFonts w:ascii="Verdana" w:hAnsi="Verdana"/>
          <w:sz w:val="20"/>
          <w:szCs w:val="20"/>
        </w:rPr>
      </w:pPr>
    </w:p>
    <w:p w14:paraId="25C3B881" w14:textId="77777777" w:rsidR="0080733B" w:rsidRDefault="0080733B" w:rsidP="00A5721F">
      <w:pPr>
        <w:spacing w:after="0" w:line="240" w:lineRule="auto"/>
        <w:rPr>
          <w:rFonts w:ascii="Verdana" w:hAnsi="Verdana"/>
        </w:rPr>
      </w:pPr>
      <w:bookmarkStart w:id="0" w:name="_Hlk143780582"/>
    </w:p>
    <w:p w14:paraId="24419BFE" w14:textId="1EB2CE5D" w:rsidR="00E1549B" w:rsidRDefault="00E1549B" w:rsidP="00E1549B">
      <w:pPr>
        <w:spacing w:after="0" w:line="240" w:lineRule="auto"/>
        <w:jc w:val="both"/>
        <w:rPr>
          <w:rFonts w:ascii="Verdana" w:eastAsia="Calibri" w:hAnsi="Verdana" w:cs="Arial"/>
          <w:color w:val="000000"/>
          <w:lang w:val="es-ES"/>
        </w:rPr>
      </w:pPr>
      <w:r w:rsidRPr="00BF7921">
        <w:rPr>
          <w:rFonts w:ascii="Verdana" w:eastAsia="Geomanist Light" w:hAnsi="Verdana" w:cs="Arial"/>
          <w:color w:val="000000" w:themeColor="text1"/>
          <w:lang w:val="es-MX"/>
        </w:rPr>
        <w:lastRenderedPageBreak/>
        <w:t xml:space="preserve">Bogotá D.C., </w:t>
      </w:r>
      <w:r w:rsidR="007250A9">
        <w:rPr>
          <w:rFonts w:ascii="Verdana" w:eastAsia="Geomanist Light" w:hAnsi="Verdana" w:cs="Arial"/>
          <w:color w:val="000000" w:themeColor="text1"/>
          <w:lang w:val="es-MX"/>
        </w:rPr>
        <w:t>12</w:t>
      </w:r>
      <w:r w:rsidRPr="00BF7921">
        <w:rPr>
          <w:rFonts w:ascii="Verdana" w:eastAsia="Geomanist Light" w:hAnsi="Verdana" w:cs="Arial"/>
          <w:color w:val="000000" w:themeColor="text1"/>
          <w:lang w:val="es-MX"/>
        </w:rPr>
        <w:t xml:space="preserve"> de </w:t>
      </w:r>
      <w:r w:rsidR="007250A9">
        <w:rPr>
          <w:rFonts w:ascii="Verdana" w:eastAsia="Geomanist Light" w:hAnsi="Verdana" w:cs="Arial"/>
          <w:color w:val="000000" w:themeColor="text1"/>
          <w:lang w:val="es-MX"/>
        </w:rPr>
        <w:t>Junio</w:t>
      </w:r>
      <w:r w:rsidRPr="00BF7921">
        <w:rPr>
          <w:rFonts w:ascii="Verdana" w:eastAsia="Geomanist Light" w:hAnsi="Verdana" w:cs="Arial"/>
          <w:color w:val="000000" w:themeColor="text1"/>
          <w:lang w:val="es-MX"/>
        </w:rPr>
        <w:t xml:space="preserve"> de </w:t>
      </w:r>
      <w:r w:rsidR="007250A9">
        <w:rPr>
          <w:rFonts w:ascii="Verdana" w:eastAsia="Geomanist Light" w:hAnsi="Verdana" w:cs="Arial"/>
          <w:color w:val="000000" w:themeColor="text1"/>
          <w:lang w:val="es-MX"/>
        </w:rPr>
        <w:t>2026</w:t>
      </w:r>
    </w:p>
    <w:p w14:paraId="71C3A5A2" w14:textId="740F42EE" w:rsidR="00A5721F" w:rsidRDefault="004A487D" w:rsidP="00A5721F">
      <w:pPr>
        <w:spacing w:after="0" w:line="240" w:lineRule="auto"/>
        <w:rPr>
          <w:rFonts w:ascii="Verdana" w:eastAsia="Calibri" w:hAnsi="Verdana" w:cs="Arial"/>
          <w:color w:val="000000" w:themeColor="text1"/>
          <w:lang w:val="es-ES"/>
        </w:rPr>
      </w:pPr>
      <w:r w:rsidRPr="007250A9">
        <w:rPr>
          <w:rFonts w:ascii="Verdana" w:eastAsia="Calibri" w:hAnsi="Verdana" w:cs="Arial"/>
          <w:noProof/>
          <w:color w:val="000000" w:themeColor="text1"/>
          <w:lang w:val="es-ES"/>
        </w:rPr>
        <w:drawing>
          <wp:anchor distT="0" distB="0" distL="114300" distR="114300" simplePos="0" relativeHeight="251658240" behindDoc="0" locked="0" layoutInCell="1" allowOverlap="1" wp14:anchorId="393B6FB3" wp14:editId="13396DD7">
            <wp:simplePos x="0" y="0"/>
            <wp:positionH relativeFrom="column">
              <wp:posOffset>3451860</wp:posOffset>
            </wp:positionH>
            <wp:positionV relativeFrom="paragraph">
              <wp:posOffset>173355</wp:posOffset>
            </wp:positionV>
            <wp:extent cx="2152015" cy="818515"/>
            <wp:effectExtent l="0" t="0" r="635" b="635"/>
            <wp:wrapSquare wrapText="bothSides"/>
            <wp:docPr id="125581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8162"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52015" cy="818515"/>
                    </a:xfrm>
                    <a:prstGeom prst="rect">
                      <a:avLst/>
                    </a:prstGeom>
                  </pic:spPr>
                </pic:pic>
              </a:graphicData>
            </a:graphic>
            <wp14:sizeRelH relativeFrom="margin">
              <wp14:pctWidth>0</wp14:pctWidth>
            </wp14:sizeRelH>
            <wp14:sizeRelV relativeFrom="margin">
              <wp14:pctHeight>0</wp14:pctHeight>
            </wp14:sizeRelV>
          </wp:anchor>
        </w:drawing>
      </w:r>
    </w:p>
    <w:p w14:paraId="5EB803C6" w14:textId="12CD9664" w:rsidR="007250A9" w:rsidRPr="005C0CC9" w:rsidRDefault="007250A9" w:rsidP="007250A9">
      <w:pPr>
        <w:spacing w:after="0" w:line="240" w:lineRule="auto"/>
        <w:jc w:val="right"/>
        <w:rPr>
          <w:rFonts w:ascii="Verdana" w:eastAsia="Calibri" w:hAnsi="Verdana" w:cs="Arial"/>
          <w:color w:val="000000" w:themeColor="text1"/>
          <w:lang w:val="es-ES"/>
        </w:rPr>
      </w:pPr>
    </w:p>
    <w:p w14:paraId="79B621F3" w14:textId="4D0B117D" w:rsidR="00A5721F" w:rsidRPr="005C0CC9" w:rsidRDefault="00A5721F" w:rsidP="003B2A5B">
      <w:pPr>
        <w:spacing w:after="0" w:line="240" w:lineRule="auto"/>
        <w:jc w:val="right"/>
        <w:rPr>
          <w:rFonts w:ascii="Verdana" w:eastAsia="Calibri" w:hAnsi="Verdana" w:cs="Arial"/>
          <w:color w:val="000000" w:themeColor="text1"/>
          <w:lang w:val="es-ES"/>
        </w:rPr>
      </w:pPr>
    </w:p>
    <w:p w14:paraId="5B415472" w14:textId="77777777" w:rsidR="00A5721F" w:rsidRPr="005C0CC9" w:rsidRDefault="00A5721F" w:rsidP="00A5721F">
      <w:pPr>
        <w:spacing w:after="0" w:line="240" w:lineRule="auto"/>
        <w:jc w:val="both"/>
        <w:rPr>
          <w:rFonts w:ascii="Verdana" w:eastAsia="Calibri" w:hAnsi="Verdana" w:cs="Arial"/>
          <w:color w:val="000000" w:themeColor="text1"/>
          <w:lang w:val="es-ES" w:eastAsia="es-ES"/>
        </w:rPr>
      </w:pPr>
      <w:r w:rsidRPr="005C0CC9">
        <w:rPr>
          <w:rFonts w:ascii="Verdana" w:eastAsia="Calibri" w:hAnsi="Verdana" w:cs="Arial"/>
          <w:color w:val="000000" w:themeColor="text1"/>
          <w:lang w:val="es-ES" w:eastAsia="es-ES"/>
        </w:rPr>
        <w:t>Señores</w:t>
      </w:r>
    </w:p>
    <w:p w14:paraId="02B31059" w14:textId="5244636D" w:rsidR="005C0CC9" w:rsidRPr="005C0CC9" w:rsidRDefault="005C0CC9" w:rsidP="00A5721F">
      <w:pPr>
        <w:spacing w:after="0" w:line="240" w:lineRule="auto"/>
        <w:rPr>
          <w:rFonts w:ascii="Verdana" w:hAnsi="Verdana"/>
          <w:b/>
          <w:bCs/>
          <w:color w:val="000000" w:themeColor="text1"/>
        </w:rPr>
      </w:pPr>
      <w:r w:rsidRPr="005C0CC9">
        <w:rPr>
          <w:rFonts w:ascii="Verdana" w:hAnsi="Verdana"/>
          <w:b/>
          <w:bCs/>
          <w:color w:val="000000" w:themeColor="text1"/>
        </w:rPr>
        <w:t>Movilidad Futura S.A.S</w:t>
      </w:r>
    </w:p>
    <w:p w14:paraId="3A411675" w14:textId="2C76B814" w:rsidR="005C0CC9" w:rsidRPr="005C0CC9" w:rsidRDefault="005C0CC9" w:rsidP="00A5721F">
      <w:pPr>
        <w:spacing w:after="0" w:line="240" w:lineRule="auto"/>
        <w:rPr>
          <w:rFonts w:ascii="Verdana" w:hAnsi="Verdana"/>
          <w:color w:val="000000" w:themeColor="text1"/>
        </w:rPr>
      </w:pPr>
      <w:r w:rsidRPr="005C0CC9">
        <w:rPr>
          <w:rFonts w:ascii="Verdana" w:hAnsi="Verdana"/>
          <w:color w:val="000000" w:themeColor="text1"/>
        </w:rPr>
        <w:t>servicioalciudadano@movilidadfutura.gov.co</w:t>
      </w:r>
    </w:p>
    <w:p w14:paraId="332CD0A0" w14:textId="1C1F9565" w:rsidR="00A5721F" w:rsidRPr="005C0CC9" w:rsidRDefault="00A5721F" w:rsidP="00A5721F">
      <w:pPr>
        <w:spacing w:after="0" w:line="240" w:lineRule="auto"/>
        <w:rPr>
          <w:rFonts w:ascii="Verdana" w:eastAsia="Calibri" w:hAnsi="Verdana" w:cs="Arial"/>
          <w:color w:val="000000" w:themeColor="text1"/>
          <w:lang w:val="es-ES_tradnl" w:eastAsia="es-ES_tradnl"/>
        </w:rPr>
      </w:pPr>
      <w:r w:rsidRPr="005C0CC9">
        <w:rPr>
          <w:rFonts w:ascii="Verdana" w:hAnsi="Verdana"/>
          <w:color w:val="000000" w:themeColor="text1"/>
          <w:bdr w:val="none" w:sz="0" w:space="0" w:color="auto" w:frame="1"/>
          <w:shd w:val="clear" w:color="auto" w:fill="FFFFFF"/>
        </w:rPr>
        <w:t>Bogotá D.C.</w:t>
      </w:r>
    </w:p>
    <w:p w14:paraId="594C696F" w14:textId="77777777" w:rsidR="00A5721F" w:rsidRPr="004B3951" w:rsidRDefault="00A5721F" w:rsidP="00A5721F">
      <w:pPr>
        <w:spacing w:after="0" w:line="240" w:lineRule="auto"/>
        <w:rPr>
          <w:rFonts w:ascii="Verdana" w:eastAsia="Calibri" w:hAnsi="Verdana" w:cs="Arial"/>
          <w:b/>
          <w:bCs/>
          <w:color w:val="EE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5721F" w:rsidRPr="004B3951" w14:paraId="2C1C063A" w14:textId="77777777" w:rsidTr="00EA32A5">
        <w:trPr>
          <w:trHeight w:val="884"/>
        </w:trPr>
        <w:tc>
          <w:tcPr>
            <w:tcW w:w="2689" w:type="dxa"/>
          </w:tcPr>
          <w:p w14:paraId="6375A2F6" w14:textId="77777777" w:rsidR="00A5721F" w:rsidRPr="00CC5B04" w:rsidRDefault="00A5721F" w:rsidP="00EA32A5">
            <w:pPr>
              <w:jc w:val="both"/>
              <w:rPr>
                <w:rFonts w:ascii="Verdana" w:eastAsia="Calibri" w:hAnsi="Verdana" w:cs="Arial"/>
                <w:b/>
                <w:bCs/>
                <w:color w:val="000000" w:themeColor="text1"/>
                <w:lang w:val="es-ES_tradnl" w:eastAsia="es-ES_tradnl"/>
              </w:rPr>
            </w:pPr>
          </w:p>
        </w:tc>
        <w:tc>
          <w:tcPr>
            <w:tcW w:w="6100" w:type="dxa"/>
          </w:tcPr>
          <w:p w14:paraId="32F996D4" w14:textId="0D843547" w:rsidR="00A5721F" w:rsidRPr="00CC5B04" w:rsidRDefault="00A5721F" w:rsidP="005C0CC9">
            <w:pPr>
              <w:jc w:val="both"/>
              <w:rPr>
                <w:rFonts w:ascii="Verdana" w:eastAsia="Calibri" w:hAnsi="Verdana" w:cs="Arial"/>
                <w:b/>
                <w:bCs/>
                <w:color w:val="000000" w:themeColor="text1"/>
                <w:lang w:val="es-ES" w:eastAsia="es-ES"/>
              </w:rPr>
            </w:pPr>
            <w:r w:rsidRPr="00CC5B04">
              <w:rPr>
                <w:rFonts w:ascii="Verdana" w:eastAsia="Calibri" w:hAnsi="Verdana" w:cs="Arial"/>
                <w:b/>
                <w:bCs/>
                <w:color w:val="000000" w:themeColor="text1"/>
                <w:lang w:val="es-ES" w:eastAsia="es-ES"/>
              </w:rPr>
              <w:t xml:space="preserve">Concepto C – </w:t>
            </w:r>
            <w:r w:rsidR="005C0CC9" w:rsidRPr="00CC5B04">
              <w:rPr>
                <w:rFonts w:ascii="Verdana" w:eastAsia="Calibri" w:hAnsi="Verdana" w:cs="Arial"/>
                <w:b/>
                <w:bCs/>
                <w:color w:val="000000" w:themeColor="text1"/>
                <w:lang w:val="es-ES" w:eastAsia="es-ES"/>
              </w:rPr>
              <w:t xml:space="preserve">735 de 2026 </w:t>
            </w:r>
          </w:p>
        </w:tc>
      </w:tr>
      <w:tr w:rsidR="00A5721F" w:rsidRPr="004B3951" w14:paraId="3205E935" w14:textId="77777777" w:rsidTr="00EA32A5">
        <w:trPr>
          <w:trHeight w:val="884"/>
        </w:trPr>
        <w:tc>
          <w:tcPr>
            <w:tcW w:w="2689" w:type="dxa"/>
          </w:tcPr>
          <w:p w14:paraId="4A27B649" w14:textId="77777777" w:rsidR="00A5721F" w:rsidRPr="00CC5B04" w:rsidRDefault="00A5721F" w:rsidP="00EA32A5">
            <w:pPr>
              <w:jc w:val="both"/>
              <w:rPr>
                <w:rFonts w:ascii="Verdana" w:eastAsia="Calibri" w:hAnsi="Verdana" w:cs="Arial"/>
                <w:color w:val="000000" w:themeColor="text1"/>
                <w:lang w:val="es-ES_tradnl" w:eastAsia="es-ES_tradnl"/>
              </w:rPr>
            </w:pPr>
            <w:r w:rsidRPr="00CC5B04">
              <w:rPr>
                <w:rFonts w:ascii="Verdana" w:eastAsia="Calibri" w:hAnsi="Verdana" w:cs="Arial"/>
                <w:b/>
                <w:color w:val="000000" w:themeColor="text1"/>
                <w:lang w:val="es-ES_tradnl" w:eastAsia="es-ES_tradnl"/>
              </w:rPr>
              <w:t>Temas:</w:t>
            </w:r>
            <w:r w:rsidRPr="00CC5B04">
              <w:rPr>
                <w:rFonts w:ascii="Verdana" w:eastAsia="Calibri" w:hAnsi="Verdana" w:cs="Arial"/>
                <w:color w:val="000000" w:themeColor="text1"/>
                <w:lang w:val="es-ES_tradnl" w:eastAsia="es-ES_tradnl"/>
              </w:rPr>
              <w:t xml:space="preserve">                   </w:t>
            </w:r>
          </w:p>
        </w:tc>
        <w:tc>
          <w:tcPr>
            <w:tcW w:w="6100" w:type="dxa"/>
          </w:tcPr>
          <w:p w14:paraId="3FDE57EE" w14:textId="03B2D2B0" w:rsidR="00E1549B" w:rsidRDefault="00A5721F" w:rsidP="00EA32A5">
            <w:pPr>
              <w:spacing w:line="276" w:lineRule="auto"/>
              <w:jc w:val="both"/>
              <w:rPr>
                <w:rFonts w:ascii="Verdana" w:eastAsia="Calibri" w:hAnsi="Verdana" w:cs="Arial"/>
                <w:color w:val="000000" w:themeColor="text1"/>
                <w:lang w:val="es-ES" w:eastAsia="es-ES"/>
              </w:rPr>
            </w:pPr>
            <w:r w:rsidRPr="00CC5B04">
              <w:rPr>
                <w:rFonts w:ascii="Verdana" w:eastAsia="Calibri" w:hAnsi="Verdana" w:cs="Arial"/>
                <w:color w:val="000000" w:themeColor="text1"/>
                <w:lang w:val="es-ES" w:eastAsia="es-ES"/>
              </w:rPr>
              <w:t xml:space="preserve">LEY DE GARANTÍAS ELECTORALES ‒ Finalidad / LEY DE GARANTÍAS ELECTORALES – Ley 996 de 2005 – Articulo 33 – Restricciones – Elecciones presidenciales / LEY DE GARANTÍAS ELECTORALES – Ley 996 de 2005 – Destinatarios / </w:t>
            </w:r>
            <w:r w:rsidR="00E1549B" w:rsidRPr="00E1549B">
              <w:rPr>
                <w:rFonts w:ascii="Verdana" w:eastAsia="Calibri" w:hAnsi="Verdana" w:cs="Arial"/>
                <w:color w:val="000000" w:themeColor="text1"/>
                <w:lang w:val="es-ES" w:eastAsia="es-ES"/>
              </w:rPr>
              <w:t>LEY DE GARANTÍAS ELECTORALES – Artículo 33 – Sociedad Pública - Empresa Industrial y Comercial del Estado – Revisor fiscal – Contratación directa - Restricción</w:t>
            </w:r>
          </w:p>
          <w:p w14:paraId="51BF46A4" w14:textId="11B74BA9" w:rsidR="00A5721F" w:rsidRPr="00CC5B04" w:rsidRDefault="00A5721F" w:rsidP="00EA32A5">
            <w:pPr>
              <w:spacing w:line="276" w:lineRule="auto"/>
              <w:jc w:val="both"/>
              <w:rPr>
                <w:rFonts w:ascii="Verdana" w:eastAsia="Calibri" w:hAnsi="Verdana" w:cs="Arial"/>
                <w:color w:val="000000" w:themeColor="text1"/>
                <w:lang w:val="es-ES" w:eastAsia="es-ES"/>
              </w:rPr>
            </w:pPr>
            <w:r w:rsidRPr="00CC5B04">
              <w:rPr>
                <w:rFonts w:ascii="Verdana" w:eastAsia="Calibri" w:hAnsi="Verdana" w:cs="Arial"/>
                <w:color w:val="000000" w:themeColor="text1"/>
                <w:lang w:val="es-ES" w:eastAsia="es-ES"/>
              </w:rPr>
              <w:t xml:space="preserve">  </w:t>
            </w:r>
          </w:p>
        </w:tc>
      </w:tr>
      <w:tr w:rsidR="00A5721F" w:rsidRPr="005C0CC9" w14:paraId="1FC0C200" w14:textId="77777777" w:rsidTr="00EA32A5">
        <w:tc>
          <w:tcPr>
            <w:tcW w:w="2689" w:type="dxa"/>
          </w:tcPr>
          <w:p w14:paraId="27D051C0" w14:textId="77777777" w:rsidR="00A5721F" w:rsidRPr="005C0CC9" w:rsidRDefault="00A5721F" w:rsidP="00EA32A5">
            <w:pPr>
              <w:jc w:val="both"/>
              <w:rPr>
                <w:rFonts w:ascii="Verdana" w:eastAsia="Calibri" w:hAnsi="Verdana" w:cs="Arial"/>
                <w:b/>
                <w:color w:val="000000" w:themeColor="text1"/>
                <w:lang w:val="es-ES_tradnl" w:eastAsia="es-ES_tradnl"/>
              </w:rPr>
            </w:pPr>
            <w:r w:rsidRPr="005C0CC9">
              <w:rPr>
                <w:rFonts w:ascii="Verdana" w:eastAsia="Calibri" w:hAnsi="Verdana" w:cs="Arial"/>
                <w:b/>
                <w:color w:val="000000" w:themeColor="text1"/>
                <w:lang w:val="es-ES_tradnl" w:eastAsia="es-ES_tradnl"/>
              </w:rPr>
              <w:t>Radicación:</w:t>
            </w:r>
            <w:r w:rsidRPr="005C0CC9">
              <w:rPr>
                <w:rFonts w:ascii="Verdana" w:eastAsia="Calibri" w:hAnsi="Verdana" w:cs="Arial"/>
                <w:color w:val="000000" w:themeColor="text1"/>
                <w:lang w:val="es-ES_tradnl" w:eastAsia="es-ES_tradnl"/>
              </w:rPr>
              <w:t xml:space="preserve">               </w:t>
            </w:r>
          </w:p>
        </w:tc>
        <w:tc>
          <w:tcPr>
            <w:tcW w:w="6100" w:type="dxa"/>
          </w:tcPr>
          <w:p w14:paraId="7DDCEEC4" w14:textId="513D5976" w:rsidR="00A5721F" w:rsidRPr="005C0CC9" w:rsidRDefault="00A5721F" w:rsidP="00EA32A5">
            <w:pPr>
              <w:spacing w:line="276" w:lineRule="auto"/>
              <w:jc w:val="both"/>
              <w:rPr>
                <w:rFonts w:ascii="Verdana" w:eastAsia="Calibri" w:hAnsi="Verdana" w:cs="Arial"/>
                <w:color w:val="000000" w:themeColor="text1"/>
                <w:lang w:val="es-ES_tradnl" w:eastAsia="es-ES_tradnl"/>
              </w:rPr>
            </w:pPr>
            <w:r w:rsidRPr="005C0CC9">
              <w:rPr>
                <w:rFonts w:ascii="Verdana" w:eastAsia="Calibri" w:hAnsi="Verdana" w:cs="Arial"/>
                <w:color w:val="000000" w:themeColor="text1"/>
                <w:lang w:val="es-ES_tradnl" w:eastAsia="es-ES_tradnl"/>
              </w:rPr>
              <w:t xml:space="preserve">Respuesta a las consultas con radicado Nos.  </w:t>
            </w:r>
            <w:r w:rsidR="005C0CC9" w:rsidRPr="005C0CC9">
              <w:rPr>
                <w:rFonts w:ascii="Verdana" w:eastAsia="Calibri" w:hAnsi="Verdana" w:cs="Arial"/>
                <w:color w:val="000000" w:themeColor="text1"/>
                <w:lang w:val="es-ES_tradnl" w:eastAsia="es-ES_tradnl"/>
              </w:rPr>
              <w:t>1_2026_05_04_005997</w:t>
            </w:r>
          </w:p>
        </w:tc>
      </w:tr>
    </w:tbl>
    <w:p w14:paraId="40DF49F3" w14:textId="77777777" w:rsidR="00A5721F" w:rsidRPr="005C0CC9" w:rsidRDefault="00A5721F" w:rsidP="00A5721F">
      <w:pPr>
        <w:spacing w:after="0" w:line="240" w:lineRule="auto"/>
        <w:jc w:val="both"/>
        <w:rPr>
          <w:rFonts w:ascii="Verdana" w:eastAsia="Calibri" w:hAnsi="Verdana" w:cs="Arial"/>
          <w:color w:val="000000" w:themeColor="text1"/>
          <w:lang w:val="es-ES_tradnl" w:eastAsia="es-ES_tradnl"/>
        </w:rPr>
      </w:pPr>
    </w:p>
    <w:p w14:paraId="5124C1D9" w14:textId="77777777" w:rsidR="00A5721F" w:rsidRPr="005C0CC9" w:rsidRDefault="00A5721F" w:rsidP="00A5721F">
      <w:pPr>
        <w:spacing w:after="0" w:line="240" w:lineRule="auto"/>
        <w:jc w:val="both"/>
        <w:rPr>
          <w:rFonts w:ascii="Verdana" w:eastAsia="Calibri" w:hAnsi="Verdana" w:cs="Arial"/>
          <w:color w:val="000000" w:themeColor="text1"/>
          <w:lang w:val="es-ES_tradnl" w:eastAsia="es-ES_tradnl"/>
        </w:rPr>
      </w:pPr>
    </w:p>
    <w:p w14:paraId="0A2D821E" w14:textId="0C347F9F" w:rsidR="00A5721F" w:rsidRPr="005C0CC9" w:rsidRDefault="00A5721F" w:rsidP="00A5721F">
      <w:pPr>
        <w:spacing w:after="0" w:line="276" w:lineRule="auto"/>
        <w:jc w:val="both"/>
        <w:rPr>
          <w:rFonts w:ascii="Verdana" w:eastAsia="Calibri" w:hAnsi="Verdana" w:cs="Arial"/>
          <w:color w:val="000000" w:themeColor="text1"/>
          <w:lang w:val="es-ES" w:eastAsia="es-ES"/>
        </w:rPr>
      </w:pPr>
      <w:r w:rsidRPr="005C0CC9">
        <w:rPr>
          <w:rFonts w:ascii="Verdana" w:eastAsia="Calibri" w:hAnsi="Verdana" w:cs="Arial"/>
          <w:color w:val="000000" w:themeColor="text1"/>
          <w:lang w:val="es-ES" w:eastAsia="es-ES"/>
        </w:rPr>
        <w:t>Estimados señores</w:t>
      </w:r>
      <w:r w:rsidR="00CC5B04">
        <w:rPr>
          <w:rFonts w:ascii="Verdana" w:eastAsia="Calibri" w:hAnsi="Verdana" w:cs="Arial"/>
          <w:color w:val="000000" w:themeColor="text1"/>
          <w:lang w:val="es-ES" w:eastAsia="es-ES"/>
        </w:rPr>
        <w:t xml:space="preserve"> Movilidad Futura S.A.S.</w:t>
      </w:r>
      <w:r w:rsidRPr="005C0CC9">
        <w:rPr>
          <w:rFonts w:ascii="Verdana" w:eastAsia="Calibri" w:hAnsi="Verdana" w:cs="Arial"/>
          <w:color w:val="000000" w:themeColor="text1"/>
          <w:lang w:val="es-ES" w:eastAsia="es-ES"/>
        </w:rPr>
        <w:t xml:space="preserve">: </w:t>
      </w:r>
    </w:p>
    <w:p w14:paraId="0EE57C0A" w14:textId="77777777" w:rsidR="00A5721F" w:rsidRPr="00AB2CE6" w:rsidRDefault="00A5721F" w:rsidP="00A5721F">
      <w:pPr>
        <w:tabs>
          <w:tab w:val="left" w:pos="3768"/>
        </w:tabs>
        <w:spacing w:after="0" w:line="276" w:lineRule="auto"/>
        <w:jc w:val="both"/>
        <w:rPr>
          <w:rFonts w:ascii="Verdana" w:eastAsia="Calibri" w:hAnsi="Verdana" w:cs="Arial"/>
          <w:color w:val="EE0000"/>
          <w:lang w:val="es-ES" w:eastAsia="es-ES"/>
        </w:rPr>
      </w:pPr>
      <w:r w:rsidRPr="00AB2CE6">
        <w:rPr>
          <w:rFonts w:ascii="Verdana" w:eastAsia="Calibri" w:hAnsi="Verdana" w:cs="Arial"/>
          <w:color w:val="EE0000"/>
          <w:lang w:val="es-ES" w:eastAsia="es-ES"/>
        </w:rPr>
        <w:tab/>
      </w:r>
    </w:p>
    <w:p w14:paraId="14D43585" w14:textId="78E67D87" w:rsidR="00A5721F" w:rsidRPr="005C0CC9" w:rsidRDefault="00A5721F" w:rsidP="00A5721F">
      <w:pPr>
        <w:spacing w:after="0" w:line="276" w:lineRule="auto"/>
        <w:jc w:val="both"/>
        <w:rPr>
          <w:rFonts w:ascii="Verdana" w:eastAsia="Calibri" w:hAnsi="Verdana" w:cs="Arial"/>
          <w:color w:val="000000" w:themeColor="text1"/>
          <w:lang w:val="es-ES" w:eastAsia="es-ES"/>
        </w:rPr>
      </w:pPr>
      <w:r w:rsidRPr="005C0CC9">
        <w:rPr>
          <w:rFonts w:ascii="Verdana" w:eastAsia="Calibri" w:hAnsi="Verdana" w:cs="Arial"/>
          <w:color w:val="000000" w:themeColor="text1"/>
          <w:lang w:val="es-ES" w:eastAsia="es-ES"/>
        </w:rPr>
        <w:t>En ejercicio de la competencia otorgada por los artículos 3, numeral 5º, y 11, numeral 8º, del Decreto Ley 4170 de 2011,</w:t>
      </w:r>
      <w:r w:rsidRPr="005C0CC9">
        <w:rPr>
          <w:rFonts w:ascii="Verdana" w:eastAsia="Arial MT" w:hAnsi="Verdana" w:cs="Arial MT"/>
          <w:color w:val="000000" w:themeColor="text1"/>
          <w:lang w:val="es-ES" w:eastAsia="es-ES"/>
        </w:rPr>
        <w:t xml:space="preserve"> </w:t>
      </w:r>
      <w:r w:rsidRPr="005C0CC9">
        <w:rPr>
          <w:rFonts w:ascii="Verdana" w:eastAsia="Calibri" w:hAnsi="Verdana" w:cs="Times New Roman"/>
          <w:bCs/>
          <w:color w:val="000000" w:themeColor="text1"/>
        </w:rPr>
        <w:t>así como lo establecido por la Resolución 469 de 2025 expedida por esta Entidad</w:t>
      </w:r>
      <w:r w:rsidRPr="005C0CC9">
        <w:rPr>
          <w:rFonts w:ascii="Verdana" w:hAnsi="Verdana" w:cs="Arial"/>
          <w:color w:val="000000" w:themeColor="text1"/>
        </w:rPr>
        <w:t xml:space="preserve">, </w:t>
      </w:r>
      <w:r w:rsidRPr="005C0CC9">
        <w:rPr>
          <w:rFonts w:ascii="Verdana" w:eastAsia="Calibri" w:hAnsi="Verdana" w:cs="Arial"/>
          <w:color w:val="000000" w:themeColor="text1"/>
          <w:lang w:val="es-ES" w:eastAsia="es-ES"/>
        </w:rPr>
        <w:t xml:space="preserve">la Agencia Nacional de Contratación Pública – Colombia Compra Eficiente responde su solicitud de consulta remitida por la Contraloría General de la República el </w:t>
      </w:r>
      <w:r w:rsidR="005C0CC9" w:rsidRPr="005C0CC9">
        <w:rPr>
          <w:rFonts w:ascii="Verdana" w:eastAsia="Calibri" w:hAnsi="Verdana" w:cs="Arial"/>
          <w:color w:val="000000" w:themeColor="text1"/>
          <w:lang w:val="es-ES" w:eastAsia="es-ES"/>
        </w:rPr>
        <w:t>05</w:t>
      </w:r>
      <w:r w:rsidRPr="005C0CC9">
        <w:rPr>
          <w:rFonts w:ascii="Verdana" w:eastAsia="Calibri" w:hAnsi="Verdana" w:cs="Arial"/>
          <w:color w:val="000000" w:themeColor="text1"/>
          <w:lang w:val="es-ES" w:eastAsia="es-ES"/>
        </w:rPr>
        <w:t xml:space="preserve"> de </w:t>
      </w:r>
      <w:r w:rsidR="005C0CC9" w:rsidRPr="005C0CC9">
        <w:rPr>
          <w:rFonts w:ascii="Verdana" w:eastAsia="Calibri" w:hAnsi="Verdana" w:cs="Arial"/>
          <w:color w:val="000000" w:themeColor="text1"/>
          <w:lang w:val="es-ES" w:eastAsia="es-ES"/>
        </w:rPr>
        <w:t xml:space="preserve">mayo </w:t>
      </w:r>
      <w:r w:rsidRPr="005C0CC9">
        <w:rPr>
          <w:rFonts w:ascii="Verdana" w:eastAsia="Calibri" w:hAnsi="Verdana" w:cs="Arial"/>
          <w:color w:val="000000" w:themeColor="text1"/>
          <w:lang w:val="es-ES" w:eastAsia="es-ES"/>
        </w:rPr>
        <w:t xml:space="preserve">de 2026, en la cual pregunta lo siguiente: </w:t>
      </w:r>
    </w:p>
    <w:p w14:paraId="2C15F766" w14:textId="77777777" w:rsidR="00A5721F" w:rsidRPr="0012682A" w:rsidRDefault="00A5721F" w:rsidP="00A5721F">
      <w:pPr>
        <w:tabs>
          <w:tab w:val="left" w:pos="142"/>
          <w:tab w:val="left" w:pos="284"/>
        </w:tabs>
        <w:spacing w:after="0" w:line="276" w:lineRule="auto"/>
        <w:contextualSpacing/>
        <w:jc w:val="both"/>
        <w:rPr>
          <w:rFonts w:ascii="Verdana" w:eastAsia="Century Gothic" w:hAnsi="Verdana" w:cs="Century Gothic"/>
          <w:b/>
          <w:bCs/>
          <w:lang w:val="es-ES"/>
        </w:rPr>
      </w:pPr>
    </w:p>
    <w:p w14:paraId="4BB07DBE" w14:textId="358A46E6" w:rsidR="004B3951" w:rsidRPr="004B3951" w:rsidRDefault="00A5721F" w:rsidP="004B3951">
      <w:pPr>
        <w:spacing w:after="120" w:line="240" w:lineRule="auto"/>
        <w:ind w:left="709" w:right="709"/>
        <w:jc w:val="both"/>
        <w:rPr>
          <w:rFonts w:ascii="Verdana" w:eastAsia="Century Gothic" w:hAnsi="Verdana" w:cs="Century Gothic"/>
          <w:sz w:val="20"/>
          <w:szCs w:val="20"/>
          <w:lang w:val="es-ES"/>
        </w:rPr>
      </w:pPr>
      <w:bookmarkStart w:id="1" w:name="_Hlk95313578"/>
      <w:r w:rsidRPr="0012682A">
        <w:rPr>
          <w:rFonts w:ascii="Verdana" w:eastAsia="Century Gothic" w:hAnsi="Verdana" w:cs="Century Gothic"/>
          <w:sz w:val="20"/>
          <w:szCs w:val="20"/>
          <w:lang w:val="es-ES"/>
        </w:rPr>
        <w:t>“</w:t>
      </w:r>
      <w:bookmarkEnd w:id="1"/>
      <w:r w:rsidR="004B3951" w:rsidRPr="004B3951">
        <w:rPr>
          <w:rFonts w:ascii="Verdana" w:eastAsia="Century Gothic" w:hAnsi="Verdana" w:cs="Century Gothic"/>
          <w:sz w:val="20"/>
          <w:szCs w:val="20"/>
          <w:lang w:val="es-ES"/>
        </w:rPr>
        <w:t xml:space="preserve">La entidad es una Sociedad por Acciones Simplificada (S.A.S.) de naturaleza pública, descentralizada del orden municipal, regida por las normas aplicables a las empresas </w:t>
      </w:r>
      <w:r w:rsidR="004B3951">
        <w:rPr>
          <w:rFonts w:ascii="Verdana" w:eastAsia="Century Gothic" w:hAnsi="Verdana" w:cs="Century Gothic"/>
          <w:sz w:val="20"/>
          <w:szCs w:val="20"/>
          <w:lang w:val="es-ES"/>
        </w:rPr>
        <w:t>i</w:t>
      </w:r>
      <w:r w:rsidR="004B3951" w:rsidRPr="004B3951">
        <w:rPr>
          <w:rFonts w:ascii="Verdana" w:eastAsia="Century Gothic" w:hAnsi="Verdana" w:cs="Century Gothic"/>
          <w:sz w:val="20"/>
          <w:szCs w:val="20"/>
          <w:lang w:val="es-ES"/>
        </w:rPr>
        <w:t>ndustriales y comerciales del Estado. Actúa como ente gestor encargado de implementar y operar el Sistema Estratégico de Transporte Público (SETP) “Ciudad Blanca” en Popayán.</w:t>
      </w:r>
    </w:p>
    <w:p w14:paraId="10FC888C" w14:textId="1E62780A" w:rsidR="00A5721F" w:rsidRPr="0012682A" w:rsidRDefault="004B3951" w:rsidP="004B3951">
      <w:pPr>
        <w:spacing w:after="120" w:line="240" w:lineRule="auto"/>
        <w:ind w:left="709" w:right="709"/>
        <w:jc w:val="both"/>
        <w:rPr>
          <w:rFonts w:ascii="Verdana" w:eastAsia="Century Gothic" w:hAnsi="Verdana" w:cs="Century Gothic"/>
          <w:sz w:val="20"/>
          <w:szCs w:val="20"/>
          <w:lang w:val="es-ES"/>
        </w:rPr>
      </w:pPr>
      <w:r w:rsidRPr="004B3951">
        <w:rPr>
          <w:rFonts w:ascii="Verdana" w:eastAsia="Century Gothic" w:hAnsi="Verdana" w:cs="Century Gothic"/>
          <w:sz w:val="20"/>
          <w:szCs w:val="20"/>
          <w:lang w:val="es-ES"/>
        </w:rPr>
        <w:lastRenderedPageBreak/>
        <w:t>Teniendo en cuenta que en la entidad se designa revisor fiscal por un período de un (1) año, y que dicha designación fue realizada por la Asamblea General de Accionistas en el mes de marzo, se requiere determinar si, en el marco de la Ley de Garantías, es posible proceder con la contratación del revisor fiscal, considerando que esta normativa restringe la contratación directa.</w:t>
      </w:r>
      <w:r w:rsidR="00A5721F" w:rsidRPr="0012682A">
        <w:rPr>
          <w:rFonts w:ascii="Verdana" w:eastAsia="Century Gothic" w:hAnsi="Verdana" w:cs="Century Gothic"/>
          <w:sz w:val="20"/>
          <w:szCs w:val="20"/>
        </w:rPr>
        <w:t>”</w:t>
      </w:r>
    </w:p>
    <w:p w14:paraId="430F2EE9" w14:textId="77777777" w:rsidR="00A5721F" w:rsidRPr="0012682A" w:rsidRDefault="00A5721F" w:rsidP="00A5721F">
      <w:pPr>
        <w:tabs>
          <w:tab w:val="left" w:pos="142"/>
          <w:tab w:val="left" w:pos="284"/>
        </w:tabs>
        <w:spacing w:after="0" w:line="276" w:lineRule="auto"/>
        <w:contextualSpacing/>
        <w:jc w:val="both"/>
        <w:rPr>
          <w:rFonts w:ascii="Verdana" w:eastAsia="Century Gothic" w:hAnsi="Verdana" w:cs="Century Gothic"/>
          <w:b/>
          <w:bCs/>
          <w:lang w:val="es-ES"/>
        </w:rPr>
      </w:pPr>
    </w:p>
    <w:p w14:paraId="3887887F" w14:textId="77777777" w:rsidR="00A5721F" w:rsidRPr="0012682A" w:rsidRDefault="00A5721F" w:rsidP="00A5721F">
      <w:pPr>
        <w:spacing w:after="120" w:line="276" w:lineRule="auto"/>
        <w:ind w:firstLine="709"/>
        <w:jc w:val="both"/>
        <w:rPr>
          <w:rFonts w:ascii="Verdana" w:eastAsia="Calibri" w:hAnsi="Verdana" w:cs="Arial"/>
          <w:color w:val="000000"/>
          <w:lang w:val="es-ES" w:eastAsia="es-ES"/>
        </w:rPr>
      </w:pPr>
      <w:r w:rsidRPr="0012682A">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2682A">
        <w:rPr>
          <w:rFonts w:ascii="Verdana" w:eastAsia="Calibri" w:hAnsi="Verdana" w:cs="Arial"/>
          <w:color w:val="000000"/>
          <w:szCs w:val="24"/>
          <w:lang w:val="es-ES_tradnl" w:eastAsia="es-ES_tradnl"/>
        </w:rPr>
        <w:tab/>
      </w:r>
    </w:p>
    <w:p w14:paraId="428C4089" w14:textId="77777777" w:rsidR="00A5721F" w:rsidRPr="0012682A" w:rsidRDefault="00A5721F" w:rsidP="00A5721F">
      <w:pPr>
        <w:spacing w:after="0" w:line="276" w:lineRule="auto"/>
        <w:ind w:firstLine="709"/>
        <w:jc w:val="both"/>
        <w:rPr>
          <w:rFonts w:ascii="Verdana" w:eastAsia="Calibri" w:hAnsi="Verdana" w:cs="Arial"/>
          <w:color w:val="000000"/>
          <w:lang w:val="es-ES" w:eastAsia="es-ES"/>
        </w:rPr>
      </w:pPr>
      <w:r w:rsidRPr="0012682A">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w:t>
      </w:r>
      <w:r w:rsidRPr="0012682A">
        <w:rPr>
          <w:rFonts w:ascii="Verdana" w:eastAsia="Calibri" w:hAnsi="Verdana" w:cs="Arial"/>
          <w:color w:val="7030A0"/>
          <w:lang w:val="es-ES" w:eastAsia="es-ES"/>
        </w:rPr>
        <w:t xml:space="preserve"> </w:t>
      </w:r>
      <w:r w:rsidRPr="0012682A">
        <w:rPr>
          <w:rFonts w:ascii="Verdana" w:eastAsia="Calibri" w:hAnsi="Verdana" w:cs="Arial"/>
          <w:color w:val="000000"/>
          <w:lang w:val="es-ES" w:eastAsia="es-ES"/>
        </w:rPr>
        <w:t>problema</w:t>
      </w:r>
      <w:r w:rsidRPr="0012682A">
        <w:rPr>
          <w:rFonts w:ascii="Verdana" w:eastAsia="Calibri" w:hAnsi="Verdana" w:cs="Arial"/>
          <w:color w:val="7030A0"/>
          <w:lang w:val="es-ES" w:eastAsia="es-ES"/>
        </w:rPr>
        <w:t xml:space="preserve"> </w:t>
      </w:r>
      <w:r w:rsidRPr="0012682A">
        <w:rPr>
          <w:rFonts w:ascii="Verdana" w:eastAsia="Calibri" w:hAnsi="Verdana" w:cs="Arial"/>
          <w:color w:val="000000"/>
          <w:lang w:val="es-ES" w:eastAsia="es-ES"/>
        </w:rPr>
        <w:t>jurídico</w:t>
      </w:r>
      <w:r w:rsidRPr="0012682A">
        <w:rPr>
          <w:rFonts w:ascii="Verdana" w:eastAsia="Calibri" w:hAnsi="Verdana" w:cs="Arial"/>
          <w:color w:val="7030A0"/>
          <w:lang w:val="es-ES" w:eastAsia="es-ES"/>
        </w:rPr>
        <w:t xml:space="preserve"> </w:t>
      </w:r>
      <w:r w:rsidRPr="0012682A">
        <w:rPr>
          <w:rFonts w:ascii="Verdana" w:eastAsia="Calibri" w:hAnsi="Verdana" w:cs="Arial"/>
          <w:color w:val="000000"/>
          <w:lang w:val="es-ES" w:eastAsia="es-ES"/>
        </w:rPr>
        <w:t xml:space="preserve">de su consulta.  </w:t>
      </w:r>
    </w:p>
    <w:p w14:paraId="19949DCA" w14:textId="77777777" w:rsidR="00A5721F" w:rsidRPr="0012682A" w:rsidRDefault="00A5721F" w:rsidP="00A5721F">
      <w:pPr>
        <w:spacing w:after="0" w:line="276" w:lineRule="auto"/>
        <w:ind w:firstLine="709"/>
        <w:jc w:val="both"/>
        <w:rPr>
          <w:rFonts w:ascii="Verdana" w:eastAsia="Calibri" w:hAnsi="Verdana" w:cs="Arial"/>
          <w:color w:val="000000"/>
          <w:lang w:val="es-ES" w:eastAsia="es-ES"/>
        </w:rPr>
      </w:pPr>
    </w:p>
    <w:p w14:paraId="757615F0" w14:textId="77777777" w:rsidR="00A5721F" w:rsidRPr="0012682A" w:rsidRDefault="00A5721F" w:rsidP="00A5721F">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12682A">
        <w:rPr>
          <w:rFonts w:ascii="Verdana" w:eastAsia="Century Gothic" w:hAnsi="Verdana" w:cs="Century Gothic"/>
          <w:b/>
          <w:bCs/>
          <w:lang w:val="es-ES"/>
        </w:rPr>
        <w:t>Problemas planteados:</w:t>
      </w:r>
    </w:p>
    <w:p w14:paraId="4E3483EF" w14:textId="77777777" w:rsidR="00A5721F" w:rsidRPr="0012682A" w:rsidRDefault="00A5721F" w:rsidP="00A5721F">
      <w:pPr>
        <w:tabs>
          <w:tab w:val="left" w:pos="426"/>
        </w:tabs>
        <w:spacing w:after="0" w:line="276" w:lineRule="auto"/>
        <w:jc w:val="both"/>
        <w:rPr>
          <w:rFonts w:ascii="Verdana" w:eastAsia="Century Gothic" w:hAnsi="Verdana" w:cs="Century Gothic"/>
          <w:lang w:val="es-ES"/>
        </w:rPr>
      </w:pPr>
    </w:p>
    <w:p w14:paraId="1F2CDAFB" w14:textId="24EF7DBD" w:rsidR="00A5721F" w:rsidRDefault="00A5721F" w:rsidP="00A5721F">
      <w:pPr>
        <w:spacing w:after="0" w:line="276" w:lineRule="auto"/>
        <w:jc w:val="both"/>
        <w:rPr>
          <w:rFonts w:ascii="Verdana" w:eastAsia="Century Gothic" w:hAnsi="Verdana" w:cs="Century Gothic"/>
        </w:rPr>
      </w:pPr>
      <w:r w:rsidRPr="0012682A">
        <w:rPr>
          <w:rFonts w:ascii="Verdana" w:eastAsia="Century Gothic" w:hAnsi="Verdana" w:cs="Century Gothic"/>
        </w:rPr>
        <w:t xml:space="preserve">De acuerdo con el contenido de su solicitud, esta Agencia resolverá el siguiente problema jurídico: </w:t>
      </w:r>
      <w:r w:rsidR="004B3951" w:rsidRPr="004B3951">
        <w:rPr>
          <w:rFonts w:ascii="Verdana" w:eastAsia="Century Gothic" w:hAnsi="Verdana" w:cs="Century Gothic"/>
        </w:rPr>
        <w:t>¿Puede una entidad estatal organizada como S.A.S. de naturaleza pública, descentralizada del orden municipal y regida por las normas de las empresas industriales y comerciales del Estado</w:t>
      </w:r>
      <w:r w:rsidR="004C18D4">
        <w:rPr>
          <w:rFonts w:ascii="Verdana" w:eastAsia="Century Gothic" w:hAnsi="Verdana" w:cs="Century Gothic"/>
        </w:rPr>
        <w:t xml:space="preserve"> conforme al parágrafo 1, artículo 38 de la ley 489 de 1998</w:t>
      </w:r>
      <w:r w:rsidR="004B3951" w:rsidRPr="004B3951">
        <w:rPr>
          <w:rFonts w:ascii="Verdana" w:eastAsia="Century Gothic" w:hAnsi="Verdana" w:cs="Century Gothic"/>
        </w:rPr>
        <w:t>, celebrar el contrato de prestación de servicios profesionales con el revisor fiscal designado por su Asamblea General de Accionistas, durante el período de restricción de la Ley de Garantías Electorales?</w:t>
      </w:r>
    </w:p>
    <w:p w14:paraId="36AF536D" w14:textId="77777777" w:rsidR="004B3951" w:rsidRPr="0012682A" w:rsidRDefault="004B3951" w:rsidP="00A5721F">
      <w:pPr>
        <w:spacing w:after="0" w:line="276" w:lineRule="auto"/>
        <w:jc w:val="both"/>
        <w:rPr>
          <w:rFonts w:ascii="Verdana" w:eastAsia="Calibri" w:hAnsi="Verdana" w:cs="Arial"/>
          <w:color w:val="7030A0"/>
        </w:rPr>
      </w:pPr>
    </w:p>
    <w:p w14:paraId="16D9A1FB" w14:textId="77777777" w:rsidR="00A5721F" w:rsidRPr="0012682A" w:rsidRDefault="00A5721F" w:rsidP="00A5721F">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12682A">
        <w:rPr>
          <w:rFonts w:ascii="Verdana" w:eastAsia="Century Gothic" w:hAnsi="Verdana" w:cs="Century Gothic"/>
          <w:b/>
          <w:bCs/>
          <w:lang w:val="es-ES"/>
        </w:rPr>
        <w:t>Respuestas:</w:t>
      </w:r>
    </w:p>
    <w:p w14:paraId="3627E902" w14:textId="77777777" w:rsidR="00A5721F" w:rsidRPr="0012682A" w:rsidRDefault="00A5721F" w:rsidP="00A5721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5721F" w:rsidRPr="0012682A" w14:paraId="4E326620" w14:textId="77777777" w:rsidTr="00EA32A5">
        <w:trPr>
          <w:jc w:val="center"/>
        </w:trPr>
        <w:tc>
          <w:tcPr>
            <w:tcW w:w="8828" w:type="dxa"/>
          </w:tcPr>
          <w:p w14:paraId="27CBA7DB" w14:textId="77777777" w:rsidR="00AB2CE6" w:rsidRDefault="00AB2CE6" w:rsidP="00AB2CE6">
            <w:pPr>
              <w:spacing w:after="120" w:line="276" w:lineRule="auto"/>
              <w:ind w:right="51"/>
              <w:jc w:val="both"/>
              <w:rPr>
                <w:rFonts w:ascii="Verdana" w:eastAsia="Calibri" w:hAnsi="Verdana" w:cs="Arial"/>
                <w:bCs/>
                <w:color w:val="000000" w:themeColor="text1"/>
              </w:rPr>
            </w:pPr>
            <w:bookmarkStart w:id="2" w:name="_Hlk171694685"/>
          </w:p>
          <w:p w14:paraId="4AF336A1" w14:textId="77777777" w:rsidR="00AB2CE6" w:rsidRPr="0012682A" w:rsidRDefault="00AB2CE6" w:rsidP="00AB2CE6">
            <w:pPr>
              <w:spacing w:after="120" w:line="276" w:lineRule="auto"/>
              <w:ind w:right="51"/>
              <w:jc w:val="both"/>
              <w:rPr>
                <w:rFonts w:ascii="Verdana" w:eastAsia="Arial" w:hAnsi="Verdana" w:cs="Arial"/>
                <w:lang w:val="es-MX" w:eastAsia="es-ES" w:bidi="es-ES"/>
              </w:rPr>
            </w:pPr>
            <w:r w:rsidRPr="0012682A">
              <w:rPr>
                <w:rFonts w:ascii="Verdana" w:eastAsia="Calibri" w:hAnsi="Verdana" w:cs="Arial"/>
                <w:bCs/>
                <w:color w:val="000000" w:themeColor="text1"/>
              </w:rPr>
              <w:t>Conforme a la interpretación general de las normas del sistema de compras públicas</w:t>
            </w:r>
            <w:r w:rsidRPr="0012682A">
              <w:rPr>
                <w:rFonts w:ascii="Verdana" w:eastAsia="Arial" w:hAnsi="Verdana" w:cs="Arial"/>
                <w:lang w:val="es-MX" w:eastAsia="es-ES" w:bidi="es-ES"/>
              </w:rPr>
              <w:t xml:space="preserve">, el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035D27C7" w14:textId="37C96007" w:rsidR="00AB2CE6" w:rsidRPr="00AB2CE6" w:rsidRDefault="00AB2CE6" w:rsidP="00AB2CE6">
            <w:pPr>
              <w:spacing w:after="120" w:line="276" w:lineRule="auto"/>
              <w:ind w:right="51" w:firstLine="743"/>
              <w:jc w:val="both"/>
              <w:rPr>
                <w:rFonts w:ascii="Verdana" w:eastAsia="Times New Roman" w:hAnsi="Verdana" w:cs="Arial"/>
                <w:bCs/>
                <w:lang w:eastAsia="x-none"/>
              </w:rPr>
            </w:pPr>
            <w:r w:rsidRPr="0012682A">
              <w:rPr>
                <w:rFonts w:ascii="Verdana" w:eastAsia="Arial" w:hAnsi="Verdana" w:cs="Arial"/>
                <w:lang w:val="es-MX" w:eastAsia="es-ES" w:bidi="es-ES"/>
              </w:rPr>
              <w:t xml:space="preserve">De esta forma, la restricción prevista en la Ley 996 de 2005, 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w:t>
            </w:r>
          </w:p>
          <w:p w14:paraId="27425A69" w14:textId="6C7DFBB7" w:rsidR="004B3951" w:rsidRPr="004B3951" w:rsidRDefault="00AB2CE6" w:rsidP="00AB2CE6">
            <w:pPr>
              <w:spacing w:after="120" w:line="276" w:lineRule="auto"/>
              <w:ind w:right="51" w:firstLine="880"/>
              <w:jc w:val="both"/>
              <w:rPr>
                <w:rFonts w:ascii="Verdana" w:eastAsia="Calibri" w:hAnsi="Verdana" w:cs="Arial"/>
                <w:bCs/>
                <w:color w:val="000000" w:themeColor="text1"/>
              </w:rPr>
            </w:pPr>
            <w:r>
              <w:rPr>
                <w:rFonts w:ascii="Verdana" w:eastAsia="Calibri" w:hAnsi="Verdana" w:cs="Arial"/>
                <w:bCs/>
                <w:color w:val="000000" w:themeColor="text1"/>
              </w:rPr>
              <w:t>Ahora bien, l</w:t>
            </w:r>
            <w:r w:rsidR="004B3951" w:rsidRPr="004B3951">
              <w:rPr>
                <w:rFonts w:ascii="Verdana" w:eastAsia="Calibri" w:hAnsi="Verdana" w:cs="Arial"/>
                <w:bCs/>
                <w:color w:val="000000" w:themeColor="text1"/>
              </w:rPr>
              <w:t xml:space="preserve">a contratación del revisor fiscal por parte de una </w:t>
            </w:r>
            <w:r w:rsidR="007F3AE8">
              <w:rPr>
                <w:rFonts w:ascii="Verdana" w:eastAsia="Calibri" w:hAnsi="Verdana" w:cs="Arial"/>
                <w:bCs/>
                <w:color w:val="000000" w:themeColor="text1"/>
              </w:rPr>
              <w:t xml:space="preserve">Sociedad Pública, </w:t>
            </w:r>
            <w:r w:rsidR="004B3951" w:rsidRPr="004B3951">
              <w:rPr>
                <w:rFonts w:ascii="Verdana" w:eastAsia="Calibri" w:hAnsi="Verdana" w:cs="Arial"/>
                <w:bCs/>
                <w:color w:val="000000" w:themeColor="text1"/>
              </w:rPr>
              <w:t>descentralizada del orden municipal y regida por las normas de las E</w:t>
            </w:r>
            <w:r w:rsidR="004B3951">
              <w:rPr>
                <w:rFonts w:ascii="Verdana" w:eastAsia="Calibri" w:hAnsi="Verdana" w:cs="Arial"/>
                <w:bCs/>
                <w:color w:val="000000" w:themeColor="text1"/>
              </w:rPr>
              <w:t xml:space="preserve">mpresas </w:t>
            </w:r>
            <w:r w:rsidR="004B3951" w:rsidRPr="004B3951">
              <w:rPr>
                <w:rFonts w:ascii="Verdana" w:eastAsia="Calibri" w:hAnsi="Verdana" w:cs="Arial"/>
                <w:bCs/>
                <w:color w:val="000000" w:themeColor="text1"/>
              </w:rPr>
              <w:t>I</w:t>
            </w:r>
            <w:r w:rsidR="004B3951">
              <w:rPr>
                <w:rFonts w:ascii="Verdana" w:eastAsia="Calibri" w:hAnsi="Verdana" w:cs="Arial"/>
                <w:bCs/>
                <w:color w:val="000000" w:themeColor="text1"/>
              </w:rPr>
              <w:t xml:space="preserve">ndustriales y </w:t>
            </w:r>
            <w:r w:rsidR="004B3951" w:rsidRPr="004B3951">
              <w:rPr>
                <w:rFonts w:ascii="Verdana" w:eastAsia="Calibri" w:hAnsi="Verdana" w:cs="Arial"/>
                <w:bCs/>
                <w:color w:val="000000" w:themeColor="text1"/>
              </w:rPr>
              <w:t>C</w:t>
            </w:r>
            <w:r w:rsidR="004B3951">
              <w:rPr>
                <w:rFonts w:ascii="Verdana" w:eastAsia="Calibri" w:hAnsi="Verdana" w:cs="Arial"/>
                <w:bCs/>
                <w:color w:val="000000" w:themeColor="text1"/>
              </w:rPr>
              <w:t xml:space="preserve">omerciales del </w:t>
            </w:r>
            <w:r w:rsidR="004B3951" w:rsidRPr="004B3951">
              <w:rPr>
                <w:rFonts w:ascii="Verdana" w:eastAsia="Calibri" w:hAnsi="Verdana" w:cs="Arial"/>
                <w:bCs/>
                <w:color w:val="000000" w:themeColor="text1"/>
              </w:rPr>
              <w:t>E</w:t>
            </w:r>
            <w:r w:rsidR="004B3951">
              <w:rPr>
                <w:rFonts w:ascii="Verdana" w:eastAsia="Calibri" w:hAnsi="Verdana" w:cs="Arial"/>
                <w:bCs/>
                <w:color w:val="000000" w:themeColor="text1"/>
              </w:rPr>
              <w:t>stado (EICE)</w:t>
            </w:r>
            <w:r w:rsidR="007F3AE8">
              <w:rPr>
                <w:rFonts w:ascii="Verdana" w:eastAsia="Calibri" w:hAnsi="Verdana" w:cs="Arial"/>
                <w:bCs/>
                <w:color w:val="000000" w:themeColor="text1"/>
              </w:rPr>
              <w:t xml:space="preserve"> conforme al parágrafo 1 del artículo 38 de la ley 489 de 1998</w:t>
            </w:r>
            <w:r w:rsidR="004B3951" w:rsidRPr="004B3951">
              <w:rPr>
                <w:rFonts w:ascii="Verdana" w:eastAsia="Calibri" w:hAnsi="Verdana" w:cs="Arial"/>
                <w:bCs/>
                <w:color w:val="000000" w:themeColor="text1"/>
              </w:rPr>
              <w:t>, se materializa mediante un contrato de prestación de servicios profesionales celebrado bajo la modalidad de contratación directa —numeral 4 del artículo 2° de la Ley 1150 de 2007—, con fundamento en la designación previa realizada por la Asamblea General de Accionistas conforme al artículo 204 del Código de Comercio.</w:t>
            </w:r>
          </w:p>
          <w:p w14:paraId="271B0D48" w14:textId="424BABA1" w:rsidR="004B3951" w:rsidRPr="004B3951" w:rsidRDefault="004B3951" w:rsidP="004B3951">
            <w:pPr>
              <w:spacing w:after="120" w:line="276" w:lineRule="auto"/>
              <w:ind w:right="51"/>
              <w:jc w:val="both"/>
              <w:rPr>
                <w:rFonts w:ascii="Verdana" w:eastAsia="Calibri" w:hAnsi="Verdana" w:cs="Arial"/>
                <w:bCs/>
                <w:color w:val="000000" w:themeColor="text1"/>
              </w:rPr>
            </w:pPr>
            <w:r w:rsidRPr="004B3951">
              <w:rPr>
                <w:rFonts w:ascii="Verdana" w:eastAsia="Calibri" w:hAnsi="Verdana" w:cs="Arial"/>
                <w:bCs/>
                <w:color w:val="000000" w:themeColor="text1"/>
              </w:rPr>
              <w:t xml:space="preserve">Este contrato </w:t>
            </w:r>
            <w:r w:rsidR="007F3AE8">
              <w:rPr>
                <w:rFonts w:ascii="Verdana" w:eastAsia="Calibri" w:hAnsi="Verdana" w:cs="Arial"/>
                <w:bCs/>
                <w:color w:val="000000" w:themeColor="text1"/>
              </w:rPr>
              <w:t xml:space="preserve">de prestación de servicio a Revisor Fiscal </w:t>
            </w:r>
            <w:r w:rsidRPr="004B3951">
              <w:rPr>
                <w:rFonts w:ascii="Verdana" w:eastAsia="Calibri" w:hAnsi="Verdana" w:cs="Arial"/>
                <w:bCs/>
                <w:color w:val="000000" w:themeColor="text1"/>
              </w:rPr>
              <w:t>está sujeto a las restricciones de la Ley de Garantías Electorales</w:t>
            </w:r>
            <w:r w:rsidR="004C18D4">
              <w:rPr>
                <w:rFonts w:ascii="Verdana" w:eastAsia="Calibri" w:hAnsi="Verdana" w:cs="Arial"/>
                <w:bCs/>
                <w:color w:val="000000" w:themeColor="text1"/>
              </w:rPr>
              <w:t>, por lo que l</w:t>
            </w:r>
            <w:r w:rsidRPr="004B3951">
              <w:rPr>
                <w:rFonts w:ascii="Verdana" w:eastAsia="Calibri" w:hAnsi="Verdana" w:cs="Arial"/>
                <w:bCs/>
                <w:color w:val="000000" w:themeColor="text1"/>
              </w:rPr>
              <w:t xml:space="preserve">a celebración del contrato </w:t>
            </w:r>
            <w:r>
              <w:rPr>
                <w:rFonts w:ascii="Verdana" w:eastAsia="Calibri" w:hAnsi="Verdana" w:cs="Arial"/>
                <w:bCs/>
                <w:color w:val="000000" w:themeColor="text1"/>
              </w:rPr>
              <w:t xml:space="preserve">de prestación de servicios </w:t>
            </w:r>
            <w:r w:rsidR="008152B4">
              <w:rPr>
                <w:rFonts w:ascii="Verdana" w:eastAsia="Calibri" w:hAnsi="Verdana" w:cs="Arial"/>
                <w:bCs/>
                <w:color w:val="000000" w:themeColor="text1"/>
              </w:rPr>
              <w:t xml:space="preserve">del revisor fiscal </w:t>
            </w:r>
            <w:r w:rsidRPr="004B3951">
              <w:rPr>
                <w:rFonts w:ascii="Verdana" w:eastAsia="Calibri" w:hAnsi="Verdana" w:cs="Arial"/>
                <w:bCs/>
                <w:color w:val="000000" w:themeColor="text1"/>
              </w:rPr>
              <w:t>no es</w:t>
            </w:r>
            <w:r w:rsidR="007F3AE8">
              <w:rPr>
                <w:rFonts w:ascii="Verdana" w:eastAsia="Calibri" w:hAnsi="Verdana" w:cs="Arial"/>
                <w:bCs/>
                <w:color w:val="000000" w:themeColor="text1"/>
              </w:rPr>
              <w:t xml:space="preserve">tá permitido </w:t>
            </w:r>
            <w:r w:rsidRPr="004B3951">
              <w:rPr>
                <w:rFonts w:ascii="Verdana" w:eastAsia="Calibri" w:hAnsi="Verdana" w:cs="Arial"/>
                <w:bCs/>
                <w:color w:val="000000" w:themeColor="text1"/>
              </w:rPr>
              <w:t>durante los cuatro meses anteriores a las elecciones presidenciales</w:t>
            </w:r>
            <w:r w:rsidR="007F3AE8">
              <w:rPr>
                <w:rFonts w:ascii="Verdana" w:eastAsia="Calibri" w:hAnsi="Verdana" w:cs="Arial"/>
                <w:bCs/>
                <w:color w:val="000000" w:themeColor="text1"/>
              </w:rPr>
              <w:t xml:space="preserve"> </w:t>
            </w:r>
            <w:r w:rsidR="007F3AE8" w:rsidRPr="007F3AE8">
              <w:rPr>
                <w:rFonts w:ascii="Verdana" w:eastAsia="Calibri" w:hAnsi="Verdana" w:cs="Arial"/>
                <w:bCs/>
                <w:color w:val="000000" w:themeColor="text1"/>
              </w:rPr>
              <w:t xml:space="preserve">y hasta la </w:t>
            </w:r>
            <w:r w:rsidR="007F3AE8" w:rsidRPr="007F3AE8">
              <w:rPr>
                <w:rFonts w:ascii="Verdana" w:eastAsia="Calibri" w:hAnsi="Verdana" w:cs="Arial"/>
                <w:bCs/>
                <w:color w:val="000000" w:themeColor="text1"/>
              </w:rPr>
              <w:lastRenderedPageBreak/>
              <w:t>realización de la elección en la segunda vuelta, si fuere el caso</w:t>
            </w:r>
            <w:r w:rsidRPr="004B3951">
              <w:rPr>
                <w:rFonts w:ascii="Verdana" w:eastAsia="Calibri" w:hAnsi="Verdana" w:cs="Arial"/>
                <w:bCs/>
                <w:color w:val="000000" w:themeColor="text1"/>
              </w:rPr>
              <w:t>, pues constituye contratación directa en los términos de la prohibición. La obligación legal de contar con revisor fiscal no es una de las excepciones taxativas del artículo 33</w:t>
            </w:r>
            <w:r>
              <w:rPr>
                <w:rFonts w:ascii="Verdana" w:eastAsia="Calibri" w:hAnsi="Verdana" w:cs="Arial"/>
                <w:bCs/>
                <w:color w:val="000000" w:themeColor="text1"/>
              </w:rPr>
              <w:t xml:space="preserve"> </w:t>
            </w:r>
            <w:r w:rsidRPr="0012682A">
              <w:rPr>
                <w:rFonts w:ascii="Verdana" w:eastAsia="Arial" w:hAnsi="Verdana" w:cs="Arial"/>
                <w:lang w:val="es-MX" w:eastAsia="es-ES" w:bidi="es-ES"/>
              </w:rPr>
              <w:t>de la Ley 996 de 2005</w:t>
            </w:r>
            <w:r w:rsidRPr="004B3951">
              <w:rPr>
                <w:rFonts w:ascii="Verdana" w:eastAsia="Calibri" w:hAnsi="Verdana" w:cs="Arial"/>
                <w:bCs/>
                <w:color w:val="000000" w:themeColor="text1"/>
              </w:rPr>
              <w:t>. La entidad debe anticipar</w:t>
            </w:r>
            <w:r>
              <w:rPr>
                <w:rFonts w:ascii="Verdana" w:eastAsia="Calibri" w:hAnsi="Verdana" w:cs="Arial"/>
                <w:bCs/>
                <w:color w:val="000000" w:themeColor="text1"/>
              </w:rPr>
              <w:t>,</w:t>
            </w:r>
            <w:r w:rsidRPr="004B3951">
              <w:rPr>
                <w:rFonts w:ascii="Verdana" w:eastAsia="Calibri" w:hAnsi="Verdana" w:cs="Arial"/>
                <w:bCs/>
                <w:color w:val="000000" w:themeColor="text1"/>
              </w:rPr>
              <w:t xml:space="preserve"> mediante una adecuada planeación contractual, la celebración del contrato con anterioridad al inicio de la restricción. Si el contrato fue celebrado antes de ese período, sus prórrogas pueden realizarse durante la vigencia de la prohibición.</w:t>
            </w:r>
          </w:p>
          <w:p w14:paraId="26E8DB50" w14:textId="7543B2D7" w:rsidR="00A5721F" w:rsidRPr="00AB2CE6" w:rsidRDefault="004B3951" w:rsidP="00AB2CE6">
            <w:pPr>
              <w:spacing w:after="120" w:line="276" w:lineRule="auto"/>
              <w:ind w:right="51"/>
              <w:jc w:val="both"/>
              <w:rPr>
                <w:rFonts w:ascii="Verdana" w:eastAsia="Calibri" w:hAnsi="Verdana" w:cs="Arial"/>
                <w:bCs/>
                <w:color w:val="000000" w:themeColor="text1"/>
              </w:rPr>
            </w:pPr>
            <w:r w:rsidRPr="004B3951">
              <w:rPr>
                <w:rFonts w:ascii="Verdana" w:eastAsia="Calibri" w:hAnsi="Verdana" w:cs="Arial"/>
                <w:bCs/>
                <w:color w:val="000000" w:themeColor="text1"/>
              </w:rPr>
              <w:t>Es importante distinguir entre los dos actos que intervienen en la vinculación del revisor fiscal: la elección por la Asamblea de Accionistas que es un acto corporativo de naturaleza societaria, regido por el Código de Comercio, no sujeto a la Ley de Garantías</w:t>
            </w:r>
            <w:r>
              <w:rPr>
                <w:rFonts w:ascii="Verdana" w:eastAsia="Calibri" w:hAnsi="Verdana" w:cs="Arial"/>
                <w:bCs/>
                <w:color w:val="000000" w:themeColor="text1"/>
              </w:rPr>
              <w:t xml:space="preserve">, </w:t>
            </w:r>
            <w:r w:rsidRPr="004B3951">
              <w:rPr>
                <w:rFonts w:ascii="Verdana" w:eastAsia="Calibri" w:hAnsi="Verdana" w:cs="Arial"/>
                <w:bCs/>
                <w:color w:val="000000" w:themeColor="text1"/>
              </w:rPr>
              <w:t>y la contratación propiamente dicha que es un contrato estatal celebrado por contratación directa, sujeto a todas las restricciones que la ley impone. La Asamblea puede elegir en cualquier momento</w:t>
            </w:r>
            <w:r>
              <w:rPr>
                <w:rFonts w:ascii="Verdana" w:eastAsia="Calibri" w:hAnsi="Verdana" w:cs="Arial"/>
                <w:bCs/>
                <w:color w:val="000000" w:themeColor="text1"/>
              </w:rPr>
              <w:t>, pero</w:t>
            </w:r>
            <w:r w:rsidRPr="004B3951">
              <w:rPr>
                <w:rFonts w:ascii="Verdana" w:eastAsia="Calibri" w:hAnsi="Verdana" w:cs="Arial"/>
                <w:bCs/>
                <w:color w:val="000000" w:themeColor="text1"/>
              </w:rPr>
              <w:t xml:space="preserve"> la restricción opera sobre la celebración del contrato que formaliza esa elección</w:t>
            </w:r>
            <w:r w:rsidR="00AB2CE6">
              <w:rPr>
                <w:rFonts w:ascii="Verdana" w:eastAsia="Calibri" w:hAnsi="Verdana" w:cs="Arial"/>
                <w:bCs/>
                <w:color w:val="000000" w:themeColor="text1"/>
              </w:rPr>
              <w:t>.</w:t>
            </w:r>
          </w:p>
        </w:tc>
      </w:tr>
      <w:tr w:rsidR="007F3AE8" w:rsidRPr="0012682A" w14:paraId="526CFDC0" w14:textId="77777777" w:rsidTr="00EA32A5">
        <w:trPr>
          <w:jc w:val="center"/>
        </w:trPr>
        <w:tc>
          <w:tcPr>
            <w:tcW w:w="8828" w:type="dxa"/>
          </w:tcPr>
          <w:p w14:paraId="376FADD8" w14:textId="77777777" w:rsidR="007F3AE8" w:rsidRDefault="007F3AE8" w:rsidP="00AB2CE6">
            <w:pPr>
              <w:spacing w:after="120" w:line="276" w:lineRule="auto"/>
              <w:ind w:right="51"/>
              <w:jc w:val="both"/>
              <w:rPr>
                <w:rFonts w:ascii="Verdana" w:eastAsia="Calibri" w:hAnsi="Verdana" w:cs="Arial"/>
                <w:bCs/>
                <w:color w:val="000000" w:themeColor="text1"/>
              </w:rPr>
            </w:pPr>
          </w:p>
        </w:tc>
      </w:tr>
    </w:tbl>
    <w:p w14:paraId="7E84C033" w14:textId="77777777" w:rsidR="00A5721F" w:rsidRPr="0012682A" w:rsidRDefault="00A5721F" w:rsidP="00A5721F">
      <w:pPr>
        <w:tabs>
          <w:tab w:val="left" w:pos="142"/>
          <w:tab w:val="left" w:pos="284"/>
        </w:tabs>
        <w:spacing w:after="0" w:line="276" w:lineRule="auto"/>
        <w:jc w:val="both"/>
        <w:rPr>
          <w:rFonts w:ascii="Verdana" w:eastAsia="Century Gothic" w:hAnsi="Verdana" w:cs="Century Gothic"/>
          <w:b/>
          <w:bCs/>
          <w:lang w:val="es-ES"/>
        </w:rPr>
      </w:pPr>
    </w:p>
    <w:bookmarkEnd w:id="2"/>
    <w:p w14:paraId="45CE57EB" w14:textId="77777777" w:rsidR="00A5721F" w:rsidRPr="0012682A" w:rsidRDefault="00A5721F" w:rsidP="00A5721F">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12682A">
        <w:rPr>
          <w:rFonts w:ascii="Verdana" w:eastAsia="Century Gothic" w:hAnsi="Verdana" w:cs="Century Gothic"/>
          <w:b/>
          <w:bCs/>
          <w:lang w:val="es-ES"/>
        </w:rPr>
        <w:t>Razones de las respuestas:</w:t>
      </w:r>
    </w:p>
    <w:p w14:paraId="180FA1B9" w14:textId="77777777" w:rsidR="00A5721F" w:rsidRPr="0012682A" w:rsidRDefault="00A5721F" w:rsidP="00A5721F">
      <w:pPr>
        <w:spacing w:after="0" w:line="276" w:lineRule="auto"/>
        <w:jc w:val="both"/>
        <w:rPr>
          <w:rFonts w:ascii="Verdana" w:eastAsia="Calibri" w:hAnsi="Verdana" w:cs="Arial"/>
          <w:color w:val="7030A0"/>
          <w:lang w:val="es-ES"/>
        </w:rPr>
      </w:pPr>
    </w:p>
    <w:p w14:paraId="2ABBF765" w14:textId="77777777" w:rsidR="00A5721F" w:rsidRPr="0012682A" w:rsidRDefault="00A5721F" w:rsidP="00A5721F">
      <w:pPr>
        <w:spacing w:after="0" w:line="276" w:lineRule="auto"/>
        <w:jc w:val="both"/>
        <w:rPr>
          <w:rFonts w:ascii="Verdana" w:eastAsia="Calibri" w:hAnsi="Verdana" w:cs="Arial"/>
          <w:lang w:val="es-ES"/>
        </w:rPr>
      </w:pPr>
      <w:r w:rsidRPr="0012682A">
        <w:rPr>
          <w:rFonts w:ascii="Verdana" w:eastAsia="Calibri" w:hAnsi="Verdana" w:cs="Arial"/>
          <w:lang w:val="es-ES"/>
        </w:rPr>
        <w:t>Lo anterior se sustenta en las siguientes consideraciones:</w:t>
      </w:r>
    </w:p>
    <w:p w14:paraId="080EB895" w14:textId="77777777" w:rsidR="00A5721F" w:rsidRPr="0012682A" w:rsidRDefault="00A5721F" w:rsidP="00A5721F">
      <w:pPr>
        <w:spacing w:after="0" w:line="276" w:lineRule="auto"/>
        <w:jc w:val="both"/>
        <w:rPr>
          <w:rFonts w:ascii="Verdana" w:eastAsia="Calibri" w:hAnsi="Verdana" w:cs="Arial"/>
          <w:lang w:val="es-ES"/>
        </w:rPr>
      </w:pPr>
    </w:p>
    <w:p w14:paraId="37CBEC45" w14:textId="77777777" w:rsidR="00A5721F" w:rsidRPr="0012682A" w:rsidRDefault="00A5721F" w:rsidP="00A5721F">
      <w:pPr>
        <w:tabs>
          <w:tab w:val="left" w:pos="426"/>
        </w:tabs>
        <w:spacing w:after="120" w:line="276" w:lineRule="auto"/>
        <w:jc w:val="both"/>
        <w:rPr>
          <w:rFonts w:ascii="Verdana" w:eastAsia="Times New Roman" w:hAnsi="Verdana" w:cs="Arial"/>
          <w:lang w:eastAsia="es-CO"/>
        </w:rPr>
      </w:pPr>
      <w:r w:rsidRPr="0012682A">
        <w:rPr>
          <w:rFonts w:ascii="Verdana" w:eastAsia="Calibri" w:hAnsi="Verdana" w:cs="Arial"/>
          <w:color w:val="000000" w:themeColor="text1"/>
        </w:rPr>
        <w:t xml:space="preserve">i. </w:t>
      </w:r>
      <w:r w:rsidRPr="0012682A">
        <w:rPr>
          <w:rFonts w:ascii="Verdana" w:eastAsia="Calibri" w:hAnsi="Verdana" w:cs="Arial"/>
        </w:rPr>
        <w:t>El ordenamiento jurídico colombiano contempla previsiones claras para evitar la obtención de beneficios personales en asuntos propios de la administración pública</w:t>
      </w:r>
      <w:r w:rsidRPr="0012682A">
        <w:rPr>
          <w:rFonts w:ascii="Verdana" w:eastAsia="Calibri" w:hAnsi="Verdana" w:cs="Arial"/>
          <w:i/>
        </w:rPr>
        <w:t xml:space="preserve">. </w:t>
      </w:r>
      <w:r w:rsidRPr="0012682A">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sidRPr="0012682A">
        <w:rPr>
          <w:rFonts w:ascii="Verdana" w:eastAsia="Calibri" w:hAnsi="Verdana" w:cs="Arial"/>
          <w:vertAlign w:val="superscript"/>
        </w:rPr>
        <w:footnoteReference w:id="2"/>
      </w:r>
      <w:r w:rsidRPr="0012682A">
        <w:rPr>
          <w:rFonts w:ascii="Verdana" w:eastAsia="Calibri" w:hAnsi="Verdana" w:cs="Arial"/>
        </w:rPr>
        <w:t xml:space="preserve">. </w:t>
      </w:r>
    </w:p>
    <w:p w14:paraId="2533D920" w14:textId="77777777" w:rsidR="00A5721F" w:rsidRPr="0012682A" w:rsidRDefault="00A5721F" w:rsidP="00A5721F">
      <w:pPr>
        <w:tabs>
          <w:tab w:val="left" w:pos="426"/>
        </w:tabs>
        <w:spacing w:after="0" w:line="276" w:lineRule="auto"/>
        <w:ind w:firstLine="709"/>
        <w:jc w:val="both"/>
        <w:rPr>
          <w:rFonts w:ascii="Verdana" w:eastAsia="Times New Roman" w:hAnsi="Verdana" w:cs="Arial"/>
          <w:lang w:val="es-MX" w:eastAsia="es-CO"/>
        </w:rPr>
      </w:pPr>
      <w:r w:rsidRPr="0012682A">
        <w:rPr>
          <w:rFonts w:ascii="Verdana" w:eastAsia="Times New Roman" w:hAnsi="Verdana" w:cs="Arial"/>
          <w:lang w:eastAsia="es-CO"/>
        </w:rPr>
        <w:lastRenderedPageBreak/>
        <w:t>En el mismo sentido</w:t>
      </w:r>
      <w:r w:rsidRPr="0012682A">
        <w:rPr>
          <w:rFonts w:ascii="Verdana" w:eastAsia="Times New Roman" w:hAnsi="Verdana" w:cs="Arial"/>
          <w:lang w:val="es-MX" w:eastAsia="es-CO"/>
        </w:rPr>
        <w:t xml:space="preserve">, </w:t>
      </w:r>
      <w:bookmarkStart w:id="3" w:name="_Hlk99576829"/>
      <w:r w:rsidRPr="0012682A">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12682A">
        <w:rPr>
          <w:rFonts w:ascii="Verdana" w:eastAsia="Times New Roman" w:hAnsi="Verdana" w:cs="Arial"/>
          <w:vertAlign w:val="superscript"/>
          <w:lang w:val="es-MX" w:eastAsia="es-CO"/>
        </w:rPr>
        <w:footnoteReference w:id="3"/>
      </w:r>
      <w:r w:rsidRPr="0012682A">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12682A">
        <w:rPr>
          <w:rFonts w:ascii="Verdana" w:eastAsia="Calibri" w:hAnsi="Verdana" w:cs="Arial"/>
          <w:lang w:val="es-ES_tradnl"/>
        </w:rPr>
        <w:t xml:space="preserve"> </w:t>
      </w:r>
      <w:bookmarkEnd w:id="3"/>
      <w:r w:rsidRPr="0012682A">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511D7418" w14:textId="77777777" w:rsidR="00A5721F" w:rsidRPr="0012682A" w:rsidRDefault="00A5721F" w:rsidP="00A5721F">
      <w:pPr>
        <w:spacing w:after="0" w:line="276" w:lineRule="auto"/>
        <w:ind w:right="709"/>
        <w:contextualSpacing/>
        <w:jc w:val="both"/>
        <w:rPr>
          <w:rFonts w:ascii="Verdana" w:eastAsia="Times New Roman" w:hAnsi="Verdana" w:cs="Arial"/>
          <w:sz w:val="21"/>
          <w:szCs w:val="21"/>
          <w:lang w:val="es-ES" w:eastAsia="es-CO"/>
        </w:rPr>
      </w:pPr>
    </w:p>
    <w:p w14:paraId="71FBA3E4" w14:textId="77777777" w:rsidR="00A5721F" w:rsidRPr="0012682A" w:rsidRDefault="00A5721F" w:rsidP="00A5721F">
      <w:pPr>
        <w:spacing w:after="0" w:line="240" w:lineRule="auto"/>
        <w:ind w:left="709" w:right="709"/>
        <w:contextualSpacing/>
        <w:jc w:val="both"/>
        <w:rPr>
          <w:rFonts w:ascii="Verdana" w:eastAsia="Times New Roman" w:hAnsi="Verdana" w:cs="Arial"/>
          <w:sz w:val="20"/>
          <w:szCs w:val="20"/>
          <w:lang w:val="es-MX" w:eastAsia="es-CO"/>
        </w:rPr>
      </w:pPr>
      <w:r w:rsidRPr="0012682A">
        <w:rPr>
          <w:rFonts w:ascii="Verdana" w:eastAsia="Times New Roman" w:hAnsi="Verdana" w:cs="Arial"/>
          <w:sz w:val="20"/>
          <w:szCs w:val="20"/>
          <w:lang w:val="es-ES" w:eastAsia="es-CO"/>
        </w:rPr>
        <w:t xml:space="preserve">“[…] </w:t>
      </w:r>
      <w:r w:rsidRPr="0012682A">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5DCB6699" w14:textId="77777777" w:rsidR="00A5721F" w:rsidRPr="0012682A" w:rsidRDefault="00A5721F" w:rsidP="00A5721F">
      <w:pPr>
        <w:spacing w:after="120" w:line="240" w:lineRule="auto"/>
        <w:ind w:left="709" w:right="709"/>
        <w:contextualSpacing/>
        <w:jc w:val="both"/>
        <w:rPr>
          <w:rFonts w:ascii="Verdana" w:eastAsia="Times New Roman" w:hAnsi="Verdana" w:cs="Arial"/>
          <w:sz w:val="20"/>
          <w:szCs w:val="20"/>
          <w:lang w:val="es-MX" w:eastAsia="es-CO"/>
        </w:rPr>
      </w:pPr>
      <w:r w:rsidRPr="0012682A">
        <w:rPr>
          <w:rFonts w:ascii="Verdana" w:eastAsia="Times New Roman" w:hAnsi="Verdana" w:cs="Arial"/>
          <w:sz w:val="20"/>
          <w:szCs w:val="20"/>
          <w:lang w:val="es-MX" w:eastAsia="es-CO"/>
        </w:rPr>
        <w:t xml:space="preserve">[…] </w:t>
      </w:r>
    </w:p>
    <w:p w14:paraId="5F2BF6B0" w14:textId="77777777" w:rsidR="00A5721F" w:rsidRPr="0012682A" w:rsidRDefault="00A5721F" w:rsidP="00A5721F">
      <w:pPr>
        <w:spacing w:after="120" w:line="240" w:lineRule="auto"/>
        <w:ind w:left="709" w:right="709"/>
        <w:contextualSpacing/>
        <w:jc w:val="both"/>
        <w:rPr>
          <w:rFonts w:ascii="Verdana" w:eastAsia="Times New Roman" w:hAnsi="Verdana" w:cs="Arial"/>
          <w:sz w:val="12"/>
          <w:szCs w:val="12"/>
          <w:lang w:val="es-MX" w:eastAsia="es-CO"/>
        </w:rPr>
      </w:pPr>
    </w:p>
    <w:p w14:paraId="34A3A87D" w14:textId="77777777" w:rsidR="00A5721F" w:rsidRPr="0012682A" w:rsidRDefault="00A5721F" w:rsidP="00A5721F">
      <w:pPr>
        <w:spacing w:after="0" w:line="240" w:lineRule="auto"/>
        <w:ind w:left="709" w:right="709"/>
        <w:contextualSpacing/>
        <w:jc w:val="both"/>
        <w:rPr>
          <w:rFonts w:ascii="Verdana" w:eastAsia="Times New Roman" w:hAnsi="Verdana" w:cs="Arial"/>
          <w:sz w:val="20"/>
          <w:szCs w:val="20"/>
          <w:lang w:val="es-MX" w:eastAsia="es-CO"/>
        </w:rPr>
      </w:pPr>
      <w:r w:rsidRPr="0012682A">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12682A">
        <w:rPr>
          <w:rFonts w:ascii="Verdana" w:eastAsia="Calibri" w:hAnsi="Verdana" w:cs="Arial"/>
          <w:sz w:val="20"/>
          <w:szCs w:val="20"/>
          <w:vertAlign w:val="superscript"/>
          <w:lang w:val="es-MX"/>
        </w:rPr>
        <w:footnoteReference w:id="4"/>
      </w:r>
      <w:r w:rsidRPr="0012682A">
        <w:rPr>
          <w:rFonts w:ascii="Verdana" w:eastAsia="Times New Roman" w:hAnsi="Verdana" w:cs="Arial"/>
          <w:sz w:val="20"/>
          <w:szCs w:val="20"/>
          <w:lang w:val="es-MX" w:eastAsia="es-CO"/>
        </w:rPr>
        <w:t>.</w:t>
      </w:r>
    </w:p>
    <w:p w14:paraId="05838221" w14:textId="77777777" w:rsidR="00A5721F" w:rsidRPr="0012682A" w:rsidRDefault="00A5721F" w:rsidP="00A5721F">
      <w:pPr>
        <w:spacing w:after="0" w:line="276" w:lineRule="auto"/>
        <w:ind w:left="709" w:right="709"/>
        <w:contextualSpacing/>
        <w:jc w:val="both"/>
        <w:rPr>
          <w:rFonts w:ascii="Verdana" w:eastAsia="Times New Roman" w:hAnsi="Verdana" w:cs="Arial"/>
          <w:sz w:val="21"/>
          <w:szCs w:val="21"/>
          <w:lang w:val="es-MX" w:eastAsia="es-CO"/>
        </w:rPr>
      </w:pPr>
    </w:p>
    <w:p w14:paraId="2123E0BD" w14:textId="77777777" w:rsidR="00A5721F" w:rsidRPr="0012682A" w:rsidRDefault="00A5721F" w:rsidP="00A5721F">
      <w:pPr>
        <w:spacing w:after="0" w:line="276" w:lineRule="auto"/>
        <w:ind w:firstLine="709"/>
        <w:jc w:val="both"/>
        <w:rPr>
          <w:rFonts w:ascii="Verdana" w:eastAsia="Times New Roman" w:hAnsi="Verdana" w:cs="Arial"/>
          <w:lang w:val="es-MX" w:eastAsia="es-CO"/>
        </w:rPr>
      </w:pPr>
      <w:bookmarkStart w:id="4" w:name="_Hlk78818186"/>
      <w:r w:rsidRPr="0012682A">
        <w:rPr>
          <w:rFonts w:ascii="Verdana" w:eastAsia="Times New Roman" w:hAnsi="Verdana" w:cs="Arial"/>
          <w:lang w:val="es-MX" w:eastAsia="es-CO"/>
        </w:rPr>
        <w:t xml:space="preserve">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4"/>
      <w:r w:rsidRPr="0012682A">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787187B3" w14:textId="77777777" w:rsidR="00A5721F" w:rsidRPr="0012682A" w:rsidRDefault="00A5721F" w:rsidP="00A5721F">
      <w:pPr>
        <w:spacing w:after="0" w:line="276" w:lineRule="auto"/>
        <w:ind w:firstLine="709"/>
        <w:contextualSpacing/>
        <w:jc w:val="both"/>
        <w:rPr>
          <w:rFonts w:ascii="Verdana" w:eastAsia="Times New Roman" w:hAnsi="Verdana" w:cs="Arial"/>
          <w:lang w:val="es-MX" w:eastAsia="es-CO"/>
        </w:rPr>
      </w:pPr>
    </w:p>
    <w:p w14:paraId="366FE473" w14:textId="77777777" w:rsidR="00A5721F" w:rsidRPr="0012682A" w:rsidRDefault="00A5721F" w:rsidP="00A5721F">
      <w:pPr>
        <w:spacing w:after="0" w:line="240" w:lineRule="auto"/>
        <w:ind w:left="709" w:right="709"/>
        <w:contextualSpacing/>
        <w:jc w:val="both"/>
        <w:rPr>
          <w:rFonts w:ascii="Verdana" w:eastAsia="Times New Roman" w:hAnsi="Verdana" w:cs="Arial"/>
          <w:sz w:val="20"/>
          <w:szCs w:val="20"/>
          <w:lang w:val="es-MX" w:eastAsia="es-CO"/>
        </w:rPr>
      </w:pPr>
      <w:r w:rsidRPr="0012682A">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D9BE485" w14:textId="77777777" w:rsidR="00A5721F" w:rsidRPr="0012682A" w:rsidRDefault="00A5721F" w:rsidP="00A5721F">
      <w:pPr>
        <w:spacing w:after="0" w:line="240" w:lineRule="auto"/>
        <w:ind w:right="709"/>
        <w:contextualSpacing/>
        <w:jc w:val="both"/>
        <w:rPr>
          <w:rFonts w:ascii="Verdana" w:eastAsia="Times New Roman" w:hAnsi="Verdana" w:cs="Arial"/>
          <w:sz w:val="12"/>
          <w:szCs w:val="12"/>
          <w:lang w:val="es-MX" w:eastAsia="es-CO"/>
        </w:rPr>
      </w:pPr>
    </w:p>
    <w:p w14:paraId="609AACDD" w14:textId="77777777" w:rsidR="00A5721F" w:rsidRPr="0012682A" w:rsidRDefault="00A5721F" w:rsidP="00A5721F">
      <w:pPr>
        <w:spacing w:after="0" w:line="240" w:lineRule="auto"/>
        <w:ind w:left="709" w:right="709"/>
        <w:contextualSpacing/>
        <w:jc w:val="both"/>
        <w:rPr>
          <w:rFonts w:ascii="Verdana" w:eastAsia="Times New Roman" w:hAnsi="Verdana" w:cs="Arial"/>
          <w:sz w:val="20"/>
          <w:szCs w:val="20"/>
          <w:lang w:val="es-MX" w:eastAsia="es-CO"/>
        </w:rPr>
      </w:pPr>
      <w:r w:rsidRPr="0012682A">
        <w:rPr>
          <w:rFonts w:ascii="Verdana" w:eastAsia="Times New Roman" w:hAnsi="Verdana" w:cs="Arial"/>
          <w:sz w:val="20"/>
          <w:szCs w:val="20"/>
          <w:lang w:val="es-MX" w:eastAsia="es-CO"/>
        </w:rPr>
        <w:t>La jurisprudencia de la Corte Constitucional</w:t>
      </w:r>
      <w:r w:rsidRPr="0012682A">
        <w:rPr>
          <w:rFonts w:ascii="Verdana" w:eastAsia="Times New Roman" w:hAnsi="Verdana" w:cs="Arial"/>
          <w:sz w:val="20"/>
          <w:szCs w:val="20"/>
          <w:vertAlign w:val="superscript"/>
          <w:lang w:val="es-MX" w:eastAsia="es-CO"/>
        </w:rPr>
        <w:footnoteReference w:id="5"/>
      </w:r>
      <w:r w:rsidRPr="0012682A">
        <w:rPr>
          <w:rFonts w:ascii="Verdana" w:eastAsia="Times New Roman" w:hAnsi="Verdana" w:cs="Arial"/>
          <w:sz w:val="20"/>
          <w:szCs w:val="20"/>
          <w:lang w:val="es-MX" w:eastAsia="es-CO"/>
        </w:rPr>
        <w:t> y del Consejo de Estado</w:t>
      </w:r>
      <w:r w:rsidRPr="0012682A">
        <w:rPr>
          <w:rFonts w:ascii="Verdana" w:eastAsia="Times New Roman" w:hAnsi="Verdana" w:cs="Arial"/>
          <w:sz w:val="20"/>
          <w:szCs w:val="20"/>
          <w:vertAlign w:val="superscript"/>
          <w:lang w:val="es-MX" w:eastAsia="es-CO"/>
        </w:rPr>
        <w:footnoteReference w:id="6"/>
      </w:r>
      <w:r w:rsidRPr="0012682A">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12682A">
        <w:rPr>
          <w:rFonts w:ascii="Verdana" w:eastAsia="Times New Roman" w:hAnsi="Verdana" w:cs="Arial"/>
          <w:sz w:val="20"/>
          <w:szCs w:val="20"/>
          <w:vertAlign w:val="superscript"/>
          <w:lang w:val="es-MX" w:eastAsia="es-CO"/>
        </w:rPr>
        <w:footnoteReference w:id="7"/>
      </w:r>
      <w:r w:rsidRPr="0012682A">
        <w:rPr>
          <w:rFonts w:ascii="Verdana" w:eastAsia="Times New Roman" w:hAnsi="Verdana" w:cs="Arial"/>
          <w:sz w:val="20"/>
          <w:szCs w:val="20"/>
          <w:lang w:val="es-MX" w:eastAsia="es-CO"/>
        </w:rPr>
        <w:t>.</w:t>
      </w:r>
    </w:p>
    <w:p w14:paraId="28E67F84" w14:textId="77777777" w:rsidR="00A5721F" w:rsidRPr="0012682A" w:rsidRDefault="00A5721F" w:rsidP="00A5721F">
      <w:pPr>
        <w:spacing w:after="0" w:line="276" w:lineRule="auto"/>
        <w:ind w:right="709"/>
        <w:contextualSpacing/>
        <w:jc w:val="both"/>
        <w:rPr>
          <w:rFonts w:ascii="Verdana" w:eastAsia="Times New Roman" w:hAnsi="Verdana" w:cs="Arial"/>
          <w:sz w:val="21"/>
          <w:szCs w:val="21"/>
          <w:lang w:val="es-MX" w:eastAsia="es-CO"/>
        </w:rPr>
      </w:pPr>
    </w:p>
    <w:p w14:paraId="2DB6ADA4" w14:textId="77777777" w:rsidR="00A5721F" w:rsidRPr="0012682A" w:rsidRDefault="00A5721F" w:rsidP="00A5721F">
      <w:pPr>
        <w:spacing w:after="120" w:line="276" w:lineRule="auto"/>
        <w:jc w:val="both"/>
        <w:rPr>
          <w:rFonts w:ascii="Verdana" w:eastAsia="Arial" w:hAnsi="Verdana" w:cs="Arial"/>
          <w:lang w:val="es-ES" w:eastAsia="es-ES" w:bidi="es-ES"/>
        </w:rPr>
      </w:pPr>
      <w:r w:rsidRPr="0012682A">
        <w:rPr>
          <w:rFonts w:ascii="Verdana" w:eastAsia="Times New Roman" w:hAnsi="Verdana" w:cs="Arial"/>
          <w:lang w:val="es-MX" w:eastAsia="es-CO"/>
        </w:rPr>
        <w:tab/>
        <w:t>De</w:t>
      </w:r>
      <w:r w:rsidRPr="0012682A">
        <w:rPr>
          <w:rFonts w:ascii="Verdana" w:eastAsia="Arial" w:hAnsi="Verdana" w:cs="Arial"/>
          <w:lang w:val="es-ES" w:eastAsia="es-ES" w:bidi="es-ES"/>
        </w:rPr>
        <w:t xml:space="preserve"> conformidad con lo anterior, </w:t>
      </w:r>
      <w:bookmarkStart w:id="5" w:name="_Hlk77236098"/>
      <w:bookmarkStart w:id="6" w:name="_Hlk100679383"/>
      <w:r w:rsidRPr="0012682A">
        <w:rPr>
          <w:rFonts w:ascii="Verdana" w:eastAsia="Arial" w:hAnsi="Verdana" w:cs="Arial"/>
          <w:lang w:val="es-ES" w:eastAsia="es-ES" w:bidi="es-ES"/>
        </w:rPr>
        <w:t>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5"/>
    </w:p>
    <w:p w14:paraId="54303961" w14:textId="77777777" w:rsidR="00A5721F" w:rsidRPr="0012682A" w:rsidRDefault="00A5721F" w:rsidP="00A5721F">
      <w:pPr>
        <w:spacing w:after="120" w:line="276" w:lineRule="auto"/>
        <w:ind w:firstLine="708"/>
        <w:jc w:val="both"/>
        <w:rPr>
          <w:rFonts w:ascii="Verdana" w:eastAsia="Calibri" w:hAnsi="Verdana" w:cs="Arial"/>
        </w:rPr>
      </w:pPr>
      <w:r w:rsidRPr="0012682A">
        <w:rPr>
          <w:rFonts w:ascii="Verdana" w:eastAsia="Calibri" w:hAnsi="Verdana" w:cs="Arial"/>
          <w:i/>
          <w:iCs/>
        </w:rPr>
        <w:lastRenderedPageBreak/>
        <w:t>Por un lado</w:t>
      </w:r>
      <w:r w:rsidRPr="0012682A">
        <w:rPr>
          <w:rFonts w:ascii="Verdana" w:eastAsia="Calibri" w:hAnsi="Verdana" w:cs="Arial"/>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2682A">
        <w:rPr>
          <w:rFonts w:ascii="Verdana" w:eastAsia="Calibri" w:hAnsi="Verdana" w:cs="Arial"/>
          <w:vertAlign w:val="superscript"/>
        </w:rPr>
        <w:footnoteReference w:id="8"/>
      </w:r>
      <w:r w:rsidRPr="0012682A">
        <w:rPr>
          <w:rFonts w:ascii="Verdana" w:eastAsia="Calibri" w:hAnsi="Verdana" w:cs="Arial"/>
        </w:rPr>
        <w:t>.</w:t>
      </w:r>
    </w:p>
    <w:p w14:paraId="59161F0B" w14:textId="77777777" w:rsidR="00A5721F" w:rsidRPr="0012682A" w:rsidRDefault="00A5721F" w:rsidP="00A5721F">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12682A">
        <w:rPr>
          <w:rFonts w:ascii="Verdana" w:eastAsia="Calibri" w:hAnsi="Verdana" w:cs="Arial"/>
          <w:i/>
          <w:iCs/>
        </w:rPr>
        <w:t>Por otro</w:t>
      </w:r>
      <w:r w:rsidRPr="0012682A">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12682A">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2682A">
        <w:rPr>
          <w:rFonts w:ascii="Verdana" w:eastAsia="Calibri" w:hAnsi="Verdana" w:cs="Arial"/>
          <w:sz w:val="19"/>
          <w:szCs w:val="19"/>
        </w:rPr>
        <w:t>”</w:t>
      </w:r>
      <w:bookmarkEnd w:id="6"/>
      <w:r w:rsidRPr="0012682A">
        <w:rPr>
          <w:rFonts w:ascii="Verdana" w:eastAsia="Calibri" w:hAnsi="Verdana" w:cs="Arial"/>
          <w:sz w:val="19"/>
          <w:szCs w:val="19"/>
          <w:vertAlign w:val="superscript"/>
        </w:rPr>
        <w:footnoteReference w:id="9"/>
      </w:r>
      <w:r w:rsidRPr="0012682A">
        <w:rPr>
          <w:rFonts w:ascii="Verdana" w:eastAsia="Calibri" w:hAnsi="Verdana" w:cs="Arial"/>
          <w:lang w:val="es-MX"/>
        </w:rPr>
        <w:t>.</w:t>
      </w:r>
      <w:r w:rsidRPr="0012682A">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40B1DCE9" w14:textId="77777777" w:rsidR="00A5721F" w:rsidRPr="0012682A" w:rsidRDefault="00A5721F" w:rsidP="00A5721F">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0274B06A" w14:textId="77777777" w:rsidR="00A5721F" w:rsidRPr="0012682A" w:rsidRDefault="00A5721F" w:rsidP="00A5721F">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12682A">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w:t>
      </w:r>
      <w:r w:rsidRPr="0012682A">
        <w:rPr>
          <w:rFonts w:ascii="Verdana" w:eastAsia="Arial" w:hAnsi="Verdana" w:cs="Arial"/>
          <w:sz w:val="20"/>
          <w:szCs w:val="20"/>
          <w:lang w:val="es-ES" w:eastAsia="es-ES" w:bidi="es-ES"/>
        </w:rPr>
        <w:lastRenderedPageBreak/>
        <w:t xml:space="preserve">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sidRPr="0012682A">
        <w:rPr>
          <w:rFonts w:ascii="Verdana" w:eastAsia="Arial" w:hAnsi="Verdana" w:cs="Arial"/>
          <w:sz w:val="20"/>
          <w:szCs w:val="20"/>
          <w:lang w:val="es-ES" w:eastAsia="es-ES" w:bidi="es-ES"/>
        </w:rPr>
        <w:t>se integran parcialmente</w:t>
      </w:r>
      <w:bookmarkEnd w:id="9"/>
      <w:r w:rsidRPr="0012682A">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12682A">
        <w:rPr>
          <w:rFonts w:ascii="Verdana" w:eastAsia="Arial" w:hAnsi="Verdana" w:cs="Arial"/>
          <w:sz w:val="20"/>
          <w:szCs w:val="20"/>
          <w:lang w:val="es-ES" w:eastAsia="es-ES" w:bidi="es-ES"/>
        </w:rPr>
        <w:t>Presidente</w:t>
      </w:r>
      <w:proofErr w:type="gramEnd"/>
      <w:r w:rsidRPr="0012682A">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12682A">
        <w:rPr>
          <w:rFonts w:ascii="Verdana" w:eastAsia="Arial" w:hAnsi="Verdana" w:cs="Arial"/>
          <w:sz w:val="20"/>
          <w:szCs w:val="20"/>
          <w:vertAlign w:val="superscript"/>
          <w:lang w:val="es-ES" w:eastAsia="es-ES" w:bidi="es-ES"/>
        </w:rPr>
        <w:footnoteReference w:id="10"/>
      </w:r>
      <w:r w:rsidRPr="0012682A">
        <w:rPr>
          <w:rFonts w:ascii="Verdana" w:eastAsia="Arial" w:hAnsi="Verdana" w:cs="Arial"/>
          <w:sz w:val="20"/>
          <w:szCs w:val="20"/>
          <w:lang w:val="es-ES" w:eastAsia="es-ES" w:bidi="es-ES"/>
        </w:rPr>
        <w:t>.</w:t>
      </w:r>
    </w:p>
    <w:p w14:paraId="51A076D9" w14:textId="77777777" w:rsidR="00A5721F" w:rsidRPr="0012682A" w:rsidRDefault="00A5721F" w:rsidP="00A5721F">
      <w:pPr>
        <w:widowControl w:val="0"/>
        <w:autoSpaceDE w:val="0"/>
        <w:autoSpaceDN w:val="0"/>
        <w:spacing w:after="0" w:line="276" w:lineRule="auto"/>
        <w:contextualSpacing/>
        <w:rPr>
          <w:rFonts w:ascii="Verdana" w:eastAsia="Arial" w:hAnsi="Verdana" w:cs="Arial"/>
          <w:lang w:val="es-ES" w:eastAsia="es-ES" w:bidi="es-ES"/>
        </w:rPr>
      </w:pPr>
    </w:p>
    <w:p w14:paraId="13FC4059" w14:textId="77777777" w:rsidR="00A5721F" w:rsidRPr="0012682A" w:rsidRDefault="00A5721F" w:rsidP="00A5721F">
      <w:pPr>
        <w:spacing w:after="120" w:line="276" w:lineRule="auto"/>
        <w:ind w:firstLine="709"/>
        <w:jc w:val="both"/>
        <w:rPr>
          <w:rFonts w:ascii="Verdana" w:eastAsia="Arial" w:hAnsi="Verdana" w:cs="Arial"/>
          <w:lang w:val="es-ES" w:eastAsia="es-ES" w:bidi="es-ES"/>
        </w:rPr>
      </w:pPr>
      <w:r w:rsidRPr="0012682A">
        <w:rPr>
          <w:rFonts w:ascii="Verdana" w:eastAsia="Arial" w:hAnsi="Verdana" w:cs="Arial"/>
          <w:lang w:val="es-ES" w:eastAsia="es-ES" w:bidi="es-ES"/>
        </w:rPr>
        <w:t xml:space="preserve">De conformidad con lo anterior, </w:t>
      </w:r>
      <w:bookmarkStart w:id="10" w:name="_Hlk77236420"/>
      <w:bookmarkStart w:id="11" w:name="_Hlk78818435"/>
      <w:bookmarkStart w:id="12" w:name="_Hlk75780333"/>
      <w:r w:rsidRPr="0012682A">
        <w:rPr>
          <w:rFonts w:ascii="Verdana" w:eastAsia="Arial" w:hAnsi="Verdana" w:cs="Arial"/>
          <w:lang w:val="es-ES" w:eastAsia="es-ES" w:bidi="es-ES"/>
        </w:rPr>
        <w:t xml:space="preserve">la Ley 996 de 2005 establece dos (2) tipos de restricciones en materia de contratación, las cuales coinciden parcialmente. </w:t>
      </w:r>
      <w:r w:rsidRPr="0012682A">
        <w:rPr>
          <w:rFonts w:ascii="Verdana" w:eastAsia="Arial" w:hAnsi="Verdana" w:cs="Arial"/>
          <w:i/>
          <w:lang w:val="es-ES" w:eastAsia="es-ES" w:bidi="es-ES"/>
        </w:rPr>
        <w:t>En primer lugar</w:t>
      </w:r>
      <w:r w:rsidRPr="0012682A">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12682A">
        <w:rPr>
          <w:rFonts w:ascii="Verdana" w:eastAsia="Arial" w:hAnsi="Verdana" w:cs="Arial"/>
          <w:i/>
          <w:lang w:val="es-ES" w:eastAsia="es-ES" w:bidi="es-ES"/>
        </w:rPr>
        <w:t>En segundo lugar</w:t>
      </w:r>
      <w:r w:rsidRPr="0012682A">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0"/>
    </w:p>
    <w:bookmarkEnd w:id="11"/>
    <w:p w14:paraId="4F3D54D2" w14:textId="77777777" w:rsidR="00A5721F" w:rsidRPr="0012682A" w:rsidRDefault="00A5721F" w:rsidP="00A5721F">
      <w:pPr>
        <w:spacing w:after="120" w:line="276" w:lineRule="auto"/>
        <w:ind w:firstLine="709"/>
        <w:jc w:val="both"/>
        <w:rPr>
          <w:rFonts w:ascii="Verdana" w:eastAsia="Arial" w:hAnsi="Verdana" w:cs="Arial"/>
          <w:lang w:val="es-ES" w:eastAsia="es-ES" w:bidi="es-ES"/>
        </w:rPr>
      </w:pPr>
      <w:r w:rsidRPr="0012682A">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12682A">
        <w:rPr>
          <w:rFonts w:ascii="Verdana" w:eastAsia="Arial" w:hAnsi="Verdana" w:cs="Arial"/>
          <w:lang w:val="es-ES" w:eastAsia="es-ES" w:bidi="es-ES"/>
        </w:rPr>
        <w:t>Presidente</w:t>
      </w:r>
      <w:proofErr w:type="gramEnd"/>
      <w:r w:rsidRPr="0012682A">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12682A">
        <w:rPr>
          <w:rFonts w:ascii="Verdana" w:eastAsia="Arial" w:hAnsi="Verdana" w:cs="Arial"/>
          <w:lang w:val="es-ES" w:eastAsia="es-ES" w:bidi="es-ES"/>
        </w:rPr>
        <w:t>Presidente</w:t>
      </w:r>
      <w:proofErr w:type="gramEnd"/>
      <w:r w:rsidRPr="0012682A">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2"/>
    <w:p w14:paraId="7EEBE8DB" w14:textId="77777777" w:rsidR="00A5721F" w:rsidRPr="0012682A" w:rsidRDefault="00A5721F" w:rsidP="00A5721F">
      <w:pPr>
        <w:spacing w:after="0" w:line="276" w:lineRule="auto"/>
        <w:ind w:firstLine="708"/>
        <w:jc w:val="both"/>
        <w:rPr>
          <w:rFonts w:ascii="Verdana" w:eastAsia="Arial" w:hAnsi="Verdana" w:cs="Arial"/>
          <w:lang w:val="es-ES" w:eastAsia="es-ES" w:bidi="es-ES"/>
        </w:rPr>
      </w:pPr>
      <w:r w:rsidRPr="0012682A">
        <w:rPr>
          <w:rFonts w:ascii="Verdana" w:eastAsia="Arial" w:hAnsi="Verdana" w:cs="Arial"/>
          <w:lang w:val="es-ES" w:eastAsia="es-ES" w:bidi="es-ES"/>
        </w:rPr>
        <w:lastRenderedPageBreak/>
        <w:t xml:space="preserve">La Corte Constitucional, en la Sentencia C-1153 del 11 de noviembre de 2005, señaló que, para que la garantía sea plena, era necesario que la prohibición se aplicara para el </w:t>
      </w:r>
      <w:proofErr w:type="gramStart"/>
      <w:r w:rsidRPr="0012682A">
        <w:rPr>
          <w:rFonts w:ascii="Verdana" w:eastAsia="Arial" w:hAnsi="Verdana" w:cs="Arial"/>
          <w:lang w:val="es-ES" w:eastAsia="es-ES" w:bidi="es-ES"/>
        </w:rPr>
        <w:t>Presidente</w:t>
      </w:r>
      <w:proofErr w:type="gramEnd"/>
      <w:r w:rsidRPr="0012682A">
        <w:rPr>
          <w:rFonts w:ascii="Verdana" w:eastAsia="Arial" w:hAnsi="Verdana" w:cs="Arial"/>
          <w:lang w:val="es-ES" w:eastAsia="es-ES" w:bidi="es-ES"/>
        </w:rPr>
        <w:t xml:space="preserve"> o el </w:t>
      </w:r>
      <w:proofErr w:type="gramStart"/>
      <w:r w:rsidRPr="0012682A">
        <w:rPr>
          <w:rFonts w:ascii="Verdana" w:eastAsia="Arial" w:hAnsi="Verdana" w:cs="Arial"/>
          <w:lang w:val="es-ES" w:eastAsia="es-ES" w:bidi="es-ES"/>
        </w:rPr>
        <w:t>Vicepresidente</w:t>
      </w:r>
      <w:proofErr w:type="gramEnd"/>
      <w:r w:rsidRPr="0012682A">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3B512154" w14:textId="77777777" w:rsidR="00A5721F" w:rsidRPr="0012682A" w:rsidRDefault="00A5721F" w:rsidP="00A5721F">
      <w:pPr>
        <w:spacing w:after="0" w:line="276" w:lineRule="auto"/>
        <w:jc w:val="both"/>
        <w:rPr>
          <w:rFonts w:ascii="Verdana" w:eastAsia="Arial" w:hAnsi="Verdana" w:cs="Arial"/>
          <w:lang w:val="es-ES" w:eastAsia="es-ES" w:bidi="es-ES"/>
        </w:rPr>
      </w:pPr>
    </w:p>
    <w:p w14:paraId="32787273" w14:textId="77777777" w:rsidR="00A5721F" w:rsidRPr="0012682A" w:rsidRDefault="00A5721F" w:rsidP="00A5721F">
      <w:pPr>
        <w:spacing w:after="0" w:line="276" w:lineRule="auto"/>
        <w:jc w:val="both"/>
        <w:rPr>
          <w:rFonts w:ascii="Verdana" w:hAnsi="Verdana" w:cs="Arial"/>
          <w:bCs/>
          <w:lang w:val="es-MX" w:eastAsia="es-CO"/>
        </w:rPr>
      </w:pPr>
      <w:proofErr w:type="spellStart"/>
      <w:r w:rsidRPr="0012682A">
        <w:rPr>
          <w:rFonts w:ascii="Verdana" w:eastAsia="Arial" w:hAnsi="Verdana" w:cs="Arial"/>
          <w:lang w:val="es-ES" w:eastAsia="es-ES" w:bidi="es-ES"/>
        </w:rPr>
        <w:t>ii</w:t>
      </w:r>
      <w:proofErr w:type="spellEnd"/>
      <w:r w:rsidRPr="0012682A">
        <w:rPr>
          <w:rFonts w:ascii="Verdana" w:eastAsia="Arial" w:hAnsi="Verdana" w:cs="Arial"/>
          <w:lang w:val="es-ES" w:eastAsia="es-ES" w:bidi="es-ES"/>
        </w:rPr>
        <w:t xml:space="preserve">. </w:t>
      </w:r>
      <w:r w:rsidRPr="0012682A">
        <w:rPr>
          <w:rFonts w:ascii="Verdana" w:hAnsi="Verdana" w:cs="Arial"/>
          <w:bCs/>
          <w:lang w:val="es-MX" w:eastAsia="x-none"/>
        </w:rPr>
        <w:t xml:space="preserve">El ámbito material de la prohibición contenida en el artículo 33 de la ley 996 de 2005 está delimitado por la expresión </w:t>
      </w:r>
      <w:r w:rsidRPr="0012682A">
        <w:rPr>
          <w:rFonts w:ascii="Verdana" w:eastAsia="Calibri" w:hAnsi="Verdana" w:cs="Arial"/>
          <w:bCs/>
          <w:sz w:val="20"/>
          <w:szCs w:val="20"/>
          <w:lang w:val="es-MX"/>
        </w:rPr>
        <w:t>“</w:t>
      </w:r>
      <w:r w:rsidRPr="0012682A">
        <w:rPr>
          <w:rFonts w:ascii="Verdana" w:hAnsi="Verdana" w:cs="Arial"/>
          <w:bCs/>
          <w:lang w:val="es-MX" w:eastAsia="x-none"/>
        </w:rPr>
        <w:t>queda prohibida la contratación directa</w:t>
      </w:r>
      <w:r w:rsidRPr="0012682A">
        <w:rPr>
          <w:rFonts w:ascii="Verdana" w:hAnsi="Verdana" w:cs="Arial"/>
          <w:sz w:val="20"/>
          <w:szCs w:val="20"/>
          <w:lang w:val="es-MX"/>
        </w:rPr>
        <w:t>”</w:t>
      </w:r>
      <w:r w:rsidRPr="0012682A">
        <w:rPr>
          <w:rFonts w:ascii="Verdana" w:hAnsi="Verdana" w:cs="Arial"/>
          <w:bCs/>
          <w:lang w:val="es-MX" w:eastAsia="x-none"/>
        </w:rPr>
        <w:t xml:space="preserve">. </w:t>
      </w:r>
      <w:r w:rsidRPr="0012682A">
        <w:rPr>
          <w:rFonts w:ascii="Verdana" w:hAnsi="Verdana" w:cs="Arial"/>
          <w:lang w:val="es-MX" w:eastAsia="es-CO"/>
        </w:rPr>
        <w:t xml:space="preserve"> A propósito de </w:t>
      </w:r>
      <w:r w:rsidRPr="0012682A">
        <w:rPr>
          <w:rFonts w:ascii="Verdana" w:hAnsi="Verdana" w:cs="Arial"/>
          <w:lang w:eastAsia="es-CO"/>
        </w:rPr>
        <w:t>esta restricción de la Ley de Garantías Electorales, la Sala de Consulta y Servicio Civil del Consejo de Estado ha considerado que:</w:t>
      </w:r>
    </w:p>
    <w:p w14:paraId="51CB84EF" w14:textId="77777777" w:rsidR="00A5721F" w:rsidRPr="0012682A" w:rsidRDefault="00A5721F" w:rsidP="00A5721F">
      <w:pPr>
        <w:spacing w:after="0" w:line="276" w:lineRule="auto"/>
        <w:ind w:left="708" w:right="709"/>
        <w:jc w:val="both"/>
        <w:rPr>
          <w:rFonts w:ascii="Verdana" w:hAnsi="Verdana" w:cs="Arial"/>
          <w:lang w:val="es-MX"/>
        </w:rPr>
      </w:pPr>
    </w:p>
    <w:p w14:paraId="07B7B8E4" w14:textId="77777777" w:rsidR="00A5721F" w:rsidRPr="0012682A" w:rsidRDefault="00A5721F" w:rsidP="00A5721F">
      <w:pPr>
        <w:spacing w:after="120"/>
        <w:ind w:left="709" w:right="709"/>
        <w:jc w:val="both"/>
        <w:rPr>
          <w:rFonts w:ascii="Verdana" w:hAnsi="Verdana" w:cs="Arial"/>
          <w:sz w:val="20"/>
          <w:szCs w:val="20"/>
          <w:lang w:val="es-MX"/>
        </w:rPr>
      </w:pPr>
      <w:r w:rsidRPr="0012682A">
        <w:rPr>
          <w:rFonts w:ascii="Verdana" w:hAnsi="Verdana" w:cs="Arial"/>
          <w:sz w:val="18"/>
          <w:szCs w:val="18"/>
          <w:lang w:val="es-MX"/>
        </w:rPr>
        <w:t>“</w:t>
      </w:r>
      <w:r w:rsidRPr="0012682A">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12682A">
        <w:rPr>
          <w:rFonts w:ascii="Verdana" w:hAnsi="Verdana" w:cs="Arial"/>
          <w:sz w:val="20"/>
          <w:szCs w:val="20"/>
          <w:vertAlign w:val="superscript"/>
          <w:lang w:eastAsia="es-CO"/>
        </w:rPr>
        <w:footnoteReference w:id="11"/>
      </w:r>
      <w:r w:rsidRPr="0012682A">
        <w:rPr>
          <w:rFonts w:ascii="Verdana" w:hAnsi="Verdana" w:cs="Arial"/>
          <w:sz w:val="20"/>
          <w:szCs w:val="20"/>
          <w:lang w:val="es-MX"/>
        </w:rPr>
        <w:t>.</w:t>
      </w:r>
    </w:p>
    <w:p w14:paraId="2E3CC42B" w14:textId="77777777" w:rsidR="00A5721F" w:rsidRPr="0012682A" w:rsidRDefault="00A5721F" w:rsidP="00A5721F">
      <w:pPr>
        <w:spacing w:after="0"/>
        <w:ind w:left="708" w:right="709"/>
        <w:jc w:val="both"/>
        <w:rPr>
          <w:rFonts w:ascii="Verdana" w:hAnsi="Verdana" w:cs="Arial"/>
          <w:sz w:val="20"/>
          <w:szCs w:val="20"/>
          <w:lang w:val="es-MX"/>
        </w:rPr>
      </w:pPr>
      <w:r w:rsidRPr="0012682A">
        <w:rPr>
          <w:rFonts w:ascii="Verdana"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12682A">
        <w:rPr>
          <w:rFonts w:ascii="Verdana" w:hAnsi="Verdana" w:cs="Arial"/>
          <w:sz w:val="20"/>
          <w:szCs w:val="20"/>
          <w:vertAlign w:val="superscript"/>
          <w:lang w:val="es-MX"/>
        </w:rPr>
        <w:footnoteReference w:id="12"/>
      </w:r>
      <w:r w:rsidRPr="0012682A">
        <w:rPr>
          <w:rFonts w:ascii="Verdana" w:hAnsi="Verdana" w:cs="Arial"/>
          <w:sz w:val="20"/>
          <w:szCs w:val="20"/>
          <w:vertAlign w:val="superscript"/>
          <w:lang w:val="es-MX"/>
        </w:rPr>
        <w:t>.</w:t>
      </w:r>
      <w:r w:rsidRPr="0012682A">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w:t>
      </w:r>
      <w:r w:rsidRPr="0012682A">
        <w:rPr>
          <w:rFonts w:ascii="Verdana" w:hAnsi="Verdana" w:cs="Arial"/>
          <w:sz w:val="20"/>
          <w:szCs w:val="20"/>
          <w:lang w:val="es-MX"/>
        </w:rPr>
        <w:lastRenderedPageBreak/>
        <w:t>por la cual en ese periodo preelectoral de que trata la disposición pueden las entidades públicas seguir contratando bajo estos sistemas [...]”</w:t>
      </w:r>
      <w:r w:rsidRPr="0012682A">
        <w:rPr>
          <w:rFonts w:ascii="Verdana" w:hAnsi="Verdana" w:cs="Arial"/>
          <w:sz w:val="20"/>
          <w:szCs w:val="20"/>
          <w:vertAlign w:val="superscript"/>
          <w:lang w:eastAsia="es-CO"/>
        </w:rPr>
        <w:footnoteReference w:id="13"/>
      </w:r>
      <w:r w:rsidRPr="0012682A">
        <w:rPr>
          <w:rFonts w:ascii="Verdana" w:hAnsi="Verdana" w:cs="Arial"/>
          <w:sz w:val="20"/>
          <w:szCs w:val="20"/>
          <w:lang w:val="es-MX"/>
        </w:rPr>
        <w:t>.</w:t>
      </w:r>
    </w:p>
    <w:p w14:paraId="6C3E6815" w14:textId="77777777" w:rsidR="00A5721F" w:rsidRPr="0012682A" w:rsidRDefault="00A5721F" w:rsidP="00A5721F">
      <w:pPr>
        <w:shd w:val="clear" w:color="auto" w:fill="FFFFFF"/>
        <w:spacing w:after="0" w:line="276" w:lineRule="auto"/>
        <w:ind w:firstLine="709"/>
        <w:jc w:val="both"/>
        <w:rPr>
          <w:rFonts w:ascii="Verdana" w:hAnsi="Verdana" w:cs="Arial"/>
          <w:lang w:eastAsia="x-none"/>
        </w:rPr>
      </w:pPr>
    </w:p>
    <w:p w14:paraId="312BCBE4" w14:textId="77777777" w:rsidR="00A5721F" w:rsidRPr="0012682A" w:rsidRDefault="00A5721F" w:rsidP="00A5721F">
      <w:pPr>
        <w:spacing w:after="120" w:line="276" w:lineRule="auto"/>
        <w:ind w:firstLine="708"/>
        <w:jc w:val="both"/>
        <w:rPr>
          <w:rFonts w:ascii="Verdana" w:hAnsi="Verdana" w:cs="Arial"/>
          <w:bCs/>
          <w:lang w:eastAsia="x-none"/>
        </w:rPr>
      </w:pPr>
      <w:r w:rsidRPr="0012682A">
        <w:rPr>
          <w:rFonts w:ascii="Verdana" w:hAnsi="Verdana" w:cs="Arial"/>
          <w:lang w:eastAsia="x-none"/>
        </w:rPr>
        <w:t xml:space="preserve">De acuerdo con el citado concepto, la prohibición del artículo 33 de la Ley de Garantías Electorales se refiere a </w:t>
      </w:r>
      <w:r w:rsidRPr="0012682A">
        <w:rPr>
          <w:rFonts w:ascii="Verdana" w:hAnsi="Verdana" w:cs="Arial"/>
          <w:sz w:val="19"/>
          <w:szCs w:val="19"/>
          <w:lang w:eastAsia="en-GB"/>
        </w:rPr>
        <w:t>“</w:t>
      </w:r>
      <w:r w:rsidRPr="0012682A">
        <w:rPr>
          <w:rFonts w:ascii="Verdana" w:hAnsi="Verdana" w:cs="Arial"/>
          <w:lang w:eastAsia="x-none"/>
        </w:rPr>
        <w:t>cualquier sistema que no implique convocatoria pública y posibilidad de pluralidad de oferentes</w:t>
      </w:r>
      <w:r w:rsidRPr="0012682A">
        <w:rPr>
          <w:rFonts w:ascii="Verdana" w:hAnsi="Verdana" w:cs="Arial"/>
          <w:lang w:eastAsia="en-GB"/>
        </w:rPr>
        <w:t>”</w:t>
      </w:r>
      <w:r w:rsidRPr="0012682A">
        <w:rPr>
          <w:rFonts w:ascii="Verdana" w:hAnsi="Verdana" w:cs="Arial"/>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sidRPr="0012682A">
        <w:rPr>
          <w:rFonts w:ascii="Verdana" w:hAnsi="Verdana" w:cs="Arial"/>
          <w:vertAlign w:val="superscript"/>
          <w:lang w:val="en-GB" w:eastAsia="x-none"/>
        </w:rPr>
        <w:footnoteReference w:id="14"/>
      </w:r>
      <w:r w:rsidRPr="0012682A">
        <w:rPr>
          <w:rFonts w:ascii="Verdana" w:hAnsi="Verdana" w:cs="Arial"/>
          <w:lang w:eastAsia="x-none"/>
        </w:rPr>
        <w:t xml:space="preserve"> y sistematizó las causales de contratación directa</w:t>
      </w:r>
      <w:r w:rsidRPr="0012682A">
        <w:rPr>
          <w:rFonts w:ascii="Verdana" w:hAnsi="Verdana" w:cs="Arial"/>
          <w:vertAlign w:val="superscript"/>
          <w:lang w:val="en-GB" w:eastAsia="x-none"/>
        </w:rPr>
        <w:footnoteReference w:id="15"/>
      </w:r>
      <w:r w:rsidRPr="0012682A">
        <w:rPr>
          <w:rFonts w:ascii="Verdana" w:hAnsi="Verdana" w:cs="Arial"/>
          <w:lang w:eastAsia="x-none"/>
        </w:rPr>
        <w:t xml:space="preserve">. </w:t>
      </w:r>
    </w:p>
    <w:p w14:paraId="7839B0C8" w14:textId="77777777" w:rsidR="00A5721F" w:rsidRPr="0012682A" w:rsidRDefault="00A5721F" w:rsidP="00A5721F">
      <w:pPr>
        <w:spacing w:after="120" w:line="276" w:lineRule="auto"/>
        <w:ind w:firstLine="708"/>
        <w:jc w:val="both"/>
        <w:rPr>
          <w:rFonts w:ascii="Verdana" w:hAnsi="Verdana" w:cs="Arial"/>
          <w:lang w:val="es-MX" w:eastAsia="x-none"/>
        </w:rPr>
      </w:pPr>
      <w:r w:rsidRPr="0012682A">
        <w:rPr>
          <w:rFonts w:ascii="Verdana" w:hAnsi="Verdana" w:cs="Arial"/>
          <w:lang w:eastAsia="x-none"/>
        </w:rPr>
        <w:t xml:space="preserve">De esta forma, con fundamento en la evolución de la normativa sobre la contratación pública, se ha depurado la noción de </w:t>
      </w:r>
      <w:r w:rsidRPr="0012682A">
        <w:rPr>
          <w:rFonts w:ascii="Verdana" w:hAnsi="Verdana" w:cs="Arial"/>
          <w:sz w:val="19"/>
          <w:szCs w:val="19"/>
          <w:lang w:eastAsia="en-GB"/>
        </w:rPr>
        <w:t>“</w:t>
      </w:r>
      <w:r w:rsidRPr="0012682A">
        <w:rPr>
          <w:rFonts w:ascii="Verdana" w:hAnsi="Verdana" w:cs="Arial"/>
          <w:lang w:eastAsia="x-none"/>
        </w:rPr>
        <w:t>contratación directa</w:t>
      </w:r>
      <w:r w:rsidRPr="0012682A">
        <w:rPr>
          <w:rFonts w:ascii="Verdana" w:hAnsi="Verdana" w:cs="Arial"/>
          <w:lang w:eastAsia="en-GB"/>
        </w:rPr>
        <w:t>”</w:t>
      </w:r>
      <w:r w:rsidRPr="0012682A">
        <w:rPr>
          <w:rFonts w:ascii="Verdana"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2682A">
        <w:rPr>
          <w:rFonts w:ascii="Verdana" w:hAnsi="Verdana" w:cs="Arial"/>
          <w:vertAlign w:val="superscript"/>
          <w:lang w:val="en-GB" w:eastAsia="x-none"/>
        </w:rPr>
        <w:footnoteReference w:id="16"/>
      </w:r>
      <w:r w:rsidRPr="0012682A">
        <w:rPr>
          <w:rFonts w:ascii="Verdana" w:hAnsi="Verdana" w:cs="Arial"/>
          <w:lang w:eastAsia="x-none"/>
        </w:rPr>
        <w:t>, han establecido sistemas de contratación que implican convocatoria pública y participación de varios oferentes</w:t>
      </w:r>
      <w:r w:rsidRPr="0012682A">
        <w:rPr>
          <w:rFonts w:ascii="Verdana" w:hAnsi="Verdana" w:cs="Arial"/>
          <w:lang w:eastAsia="en-GB"/>
        </w:rPr>
        <w:t>”</w:t>
      </w:r>
      <w:r w:rsidRPr="0012682A">
        <w:rPr>
          <w:rFonts w:ascii="Verdana" w:hAnsi="Verdana" w:cs="Arial"/>
          <w:lang w:eastAsia="x-none"/>
        </w:rPr>
        <w:t xml:space="preserve">. </w:t>
      </w:r>
    </w:p>
    <w:p w14:paraId="583FE962" w14:textId="77777777" w:rsidR="00A5721F" w:rsidRPr="0012682A" w:rsidRDefault="00A5721F" w:rsidP="00A5721F">
      <w:pPr>
        <w:spacing w:after="120" w:line="276" w:lineRule="auto"/>
        <w:ind w:firstLine="708"/>
        <w:jc w:val="both"/>
        <w:rPr>
          <w:rFonts w:ascii="Verdana" w:hAnsi="Verdana" w:cs="Arial"/>
          <w:lang w:eastAsia="x-none"/>
        </w:rPr>
      </w:pPr>
      <w:r w:rsidRPr="0012682A">
        <w:rPr>
          <w:rFonts w:ascii="Verdana" w:hAnsi="Verdana" w:cs="Arial"/>
          <w:bCs/>
          <w:lang w:val="es-MX" w:eastAsia="x-none"/>
        </w:rPr>
        <w:t>E</w:t>
      </w:r>
      <w:r w:rsidRPr="0012682A">
        <w:rPr>
          <w:rFonts w:ascii="Verdana"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w:t>
      </w:r>
      <w:r w:rsidRPr="0012682A">
        <w:rPr>
          <w:rFonts w:ascii="Verdana" w:hAnsi="Verdana" w:cs="Arial"/>
          <w:lang w:eastAsia="x-none"/>
        </w:rPr>
        <w:lastRenderedPageBreak/>
        <w:t>inscribirse en forma previa se haga de manera pública, y que se permita la participación de una pluralidad de oferentes</w:t>
      </w:r>
      <w:r w:rsidRPr="0012682A">
        <w:rPr>
          <w:rFonts w:ascii="Verdana" w:hAnsi="Verdana" w:cs="Arial"/>
          <w:vertAlign w:val="superscript"/>
          <w:lang w:eastAsia="x-none"/>
        </w:rPr>
        <w:footnoteReference w:id="17"/>
      </w:r>
      <w:r w:rsidRPr="0012682A">
        <w:rPr>
          <w:rFonts w:ascii="Verdana" w:hAnsi="Verdana" w:cs="Arial"/>
          <w:lang w:eastAsia="x-none"/>
        </w:rPr>
        <w:t xml:space="preserve">. </w:t>
      </w:r>
    </w:p>
    <w:p w14:paraId="26E930D7" w14:textId="77777777" w:rsidR="00A5721F" w:rsidRPr="0012682A" w:rsidRDefault="00A5721F" w:rsidP="00A5721F">
      <w:pPr>
        <w:spacing w:after="120" w:line="276" w:lineRule="auto"/>
        <w:ind w:firstLine="708"/>
        <w:jc w:val="both"/>
        <w:rPr>
          <w:rFonts w:ascii="Verdana" w:hAnsi="Verdana" w:cs="Arial"/>
          <w:bCs/>
          <w:lang w:val="es-MX" w:eastAsia="es-CO"/>
        </w:rPr>
      </w:pPr>
      <w:r w:rsidRPr="0012682A">
        <w:rPr>
          <w:rFonts w:ascii="Verdana"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5B037295" w14:textId="77777777" w:rsidR="00A5721F" w:rsidRPr="0012682A" w:rsidRDefault="00A5721F" w:rsidP="00A5721F">
      <w:pPr>
        <w:spacing w:after="120" w:line="276" w:lineRule="auto"/>
        <w:ind w:firstLine="708"/>
        <w:jc w:val="both"/>
        <w:rPr>
          <w:rFonts w:ascii="Verdana" w:hAnsi="Verdana" w:cs="Arial"/>
          <w:vertAlign w:val="superscript"/>
          <w:lang w:val="es-MX" w:eastAsia="x-none"/>
        </w:rPr>
      </w:pPr>
      <w:r w:rsidRPr="0012682A">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12682A">
        <w:rPr>
          <w:rFonts w:ascii="Verdana" w:hAnsi="Verdana" w:cs="Arial"/>
          <w:vertAlign w:val="superscript"/>
          <w:lang w:eastAsia="x-none"/>
        </w:rPr>
        <w:footnoteReference w:id="18"/>
      </w:r>
      <w:r w:rsidRPr="0012682A">
        <w:rPr>
          <w:rFonts w:ascii="Verdana" w:hAnsi="Verdana" w:cs="Arial"/>
          <w:bCs/>
          <w:lang w:val="es-MX" w:eastAsia="x-none"/>
        </w:rPr>
        <w:t>.</w:t>
      </w:r>
      <w:r w:rsidRPr="0012682A">
        <w:rPr>
          <w:rFonts w:ascii="Verdana" w:hAnsi="Verdana" w:cs="Arial"/>
          <w:vertAlign w:val="superscript"/>
          <w:lang w:val="es-MX" w:eastAsia="x-none"/>
        </w:rPr>
        <w:t xml:space="preserve"> </w:t>
      </w:r>
    </w:p>
    <w:p w14:paraId="2E4FAD19" w14:textId="77777777" w:rsidR="00A5721F" w:rsidRPr="0012682A" w:rsidRDefault="00A5721F" w:rsidP="00A5721F">
      <w:pPr>
        <w:spacing w:after="120" w:line="276" w:lineRule="auto"/>
        <w:ind w:firstLine="708"/>
        <w:jc w:val="both"/>
        <w:rPr>
          <w:rFonts w:ascii="Verdana" w:hAnsi="Verdana" w:cs="Arial"/>
          <w:lang w:eastAsia="x-none"/>
        </w:rPr>
      </w:pPr>
      <w:r w:rsidRPr="0012682A">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12682A">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41B0724C" w14:textId="77777777" w:rsidR="00A5721F" w:rsidRPr="0012682A" w:rsidRDefault="00A5721F" w:rsidP="00A5721F">
      <w:pPr>
        <w:spacing w:after="120" w:line="276" w:lineRule="auto"/>
        <w:ind w:firstLine="708"/>
        <w:jc w:val="both"/>
        <w:rPr>
          <w:rFonts w:ascii="Verdana" w:hAnsi="Verdana" w:cs="Arial"/>
          <w:bCs/>
          <w:lang w:val="es-MX" w:eastAsia="x-none"/>
        </w:rPr>
      </w:pPr>
      <w:bookmarkStart w:id="13" w:name="_Hlk77237094"/>
      <w:r w:rsidRPr="0012682A">
        <w:rPr>
          <w:rFonts w:ascii="Verdana"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13"/>
    </w:p>
    <w:p w14:paraId="291D9BC3" w14:textId="77777777" w:rsidR="00A5721F" w:rsidRPr="0012682A" w:rsidRDefault="00A5721F" w:rsidP="00A5721F">
      <w:pPr>
        <w:spacing w:after="120" w:line="276" w:lineRule="auto"/>
        <w:ind w:firstLine="708"/>
        <w:jc w:val="both"/>
        <w:rPr>
          <w:rFonts w:ascii="Verdana" w:hAnsi="Verdana" w:cs="Arial"/>
          <w:bCs/>
          <w:lang w:val="es-MX" w:eastAsia="es-CO"/>
        </w:rPr>
      </w:pPr>
      <w:r w:rsidRPr="0012682A">
        <w:rPr>
          <w:rFonts w:ascii="Verdana" w:hAnsi="Verdana" w:cs="Arial"/>
          <w:bCs/>
          <w:lang w:val="es-MX" w:eastAsia="x-none"/>
        </w:rPr>
        <w:lastRenderedPageBreak/>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12682A">
        <w:rPr>
          <w:rFonts w:ascii="Verdana"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FED4C9F" w14:textId="77777777" w:rsidR="00A5721F" w:rsidRPr="0012682A" w:rsidRDefault="00A5721F" w:rsidP="00A5721F">
      <w:pPr>
        <w:spacing w:after="0" w:line="276" w:lineRule="auto"/>
        <w:ind w:firstLine="708"/>
        <w:jc w:val="both"/>
        <w:rPr>
          <w:rFonts w:ascii="Verdana" w:hAnsi="Verdana" w:cs="Arial"/>
          <w:bCs/>
          <w:lang w:val="es-MX" w:eastAsia="x-none"/>
        </w:rPr>
      </w:pPr>
      <w:r w:rsidRPr="0012682A">
        <w:rPr>
          <w:rFonts w:ascii="Verdana" w:hAnsi="Verdana" w:cs="Arial"/>
          <w:bCs/>
          <w:lang w:val="es-MX" w:eastAsia="x-none"/>
        </w:rPr>
        <w:t xml:space="preserve">En esta labor es importante tener en cuenta, como lo anotó la Corte Constitucional, en Sentencia C-1153 de noviembre 11 de 2005 </w:t>
      </w:r>
      <w:bookmarkStart w:id="14" w:name="_Hlk74309042"/>
      <w:r w:rsidRPr="0012682A">
        <w:rPr>
          <w:rFonts w:ascii="Verdana" w:hAnsi="Verdana" w:cs="Arial"/>
          <w:bCs/>
          <w:lang w:val="es-MX" w:eastAsia="x-none"/>
        </w:rPr>
        <w:t>que “</w:t>
      </w:r>
      <w:bookmarkEnd w:id="14"/>
      <w:r w:rsidRPr="0012682A">
        <w:rPr>
          <w:rFonts w:ascii="Verdana" w:hAnsi="Verdana" w:cs="Arial"/>
          <w:bCs/>
          <w:lang w:val="es-MX" w:eastAsia="x-none"/>
        </w:rPr>
        <w:t xml:space="preserve">si bien la limitación garantiza la igualdad de condiciones, también es necesario que tal limitación que pretende la igualdad </w:t>
      </w:r>
      <w:bookmarkStart w:id="15" w:name="_Hlk75768308"/>
      <w:r w:rsidRPr="0012682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sidRPr="0012682A">
        <w:rPr>
          <w:rFonts w:ascii="Verdana" w:hAnsi="Verdana" w:cs="Arial"/>
          <w:vertAlign w:val="superscript"/>
          <w:lang w:val="es-MX"/>
        </w:rPr>
        <w:footnoteReference w:id="19"/>
      </w:r>
      <w:r w:rsidRPr="0012682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5"/>
    </w:p>
    <w:p w14:paraId="7DA16638" w14:textId="77777777" w:rsidR="00A5721F" w:rsidRPr="0012682A" w:rsidRDefault="00A5721F" w:rsidP="00A5721F">
      <w:pPr>
        <w:spacing w:after="0" w:line="276" w:lineRule="auto"/>
        <w:ind w:firstLine="708"/>
        <w:jc w:val="both"/>
        <w:rPr>
          <w:rFonts w:ascii="Verdana" w:hAnsi="Verdana" w:cs="Arial"/>
          <w:bCs/>
          <w:lang w:val="es-MX" w:eastAsia="x-none"/>
        </w:rPr>
      </w:pPr>
    </w:p>
    <w:p w14:paraId="33DB794A" w14:textId="77777777" w:rsidR="00A5721F" w:rsidRPr="0012682A" w:rsidRDefault="00A5721F" w:rsidP="00A5721F">
      <w:pPr>
        <w:spacing w:after="0" w:line="276" w:lineRule="auto"/>
        <w:jc w:val="both"/>
        <w:rPr>
          <w:rFonts w:ascii="Verdana" w:hAnsi="Verdana" w:cs="Arial"/>
          <w:bCs/>
          <w:lang w:val="es-MX" w:eastAsia="x-none"/>
        </w:rPr>
      </w:pPr>
      <w:r w:rsidRPr="0012682A">
        <w:rPr>
          <w:rFonts w:ascii="Verdana" w:eastAsia="Arial" w:hAnsi="Verdana" w:cs="Arial"/>
          <w:lang w:val="es-MX" w:eastAsia="es-ES" w:bidi="es-ES"/>
        </w:rPr>
        <w:t xml:space="preserve">iii. </w:t>
      </w:r>
      <w:r w:rsidRPr="0012682A">
        <w:rPr>
          <w:rFonts w:ascii="Verdana" w:hAnsi="Verdana" w:cs="Arial"/>
          <w:bCs/>
          <w:lang w:val="es-MX" w:eastAsia="x-none"/>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12682A">
        <w:rPr>
          <w:rFonts w:ascii="Verdana" w:hAnsi="Verdana" w:cs="Arial"/>
          <w:lang w:val="es-MX"/>
        </w:rPr>
        <w:t xml:space="preserve"> </w:t>
      </w:r>
      <w:r w:rsidRPr="0012682A">
        <w:rPr>
          <w:rFonts w:ascii="Verdana" w:hAnsi="Verdana" w:cs="Arial"/>
          <w:bCs/>
          <w:lang w:val="es-MX" w:eastAsia="x-none"/>
        </w:rPr>
        <w:t>En efecto, tal como lo ha sostenido el Consejo de Estado, el vocablo “todos” utilizado por el legislador comprende</w:t>
      </w:r>
      <w:r w:rsidRPr="0012682A">
        <w:rPr>
          <w:rFonts w:ascii="Verdana" w:hAnsi="Verdana" w:cs="Arial"/>
          <w:lang w:val="es-MX"/>
        </w:rPr>
        <w:t xml:space="preserve"> </w:t>
      </w:r>
      <w:r w:rsidRPr="0012682A">
        <w:rPr>
          <w:rFonts w:ascii="Verdana" w:hAnsi="Verdana" w:cs="Arial"/>
          <w:bCs/>
          <w:lang w:val="es-MX" w:eastAsia="x-none"/>
        </w:rPr>
        <w:t xml:space="preserve">a la totalidad de los entes del Estado, sin distinción del régimen jurídico, forma de organización </w:t>
      </w:r>
      <w:r w:rsidRPr="0012682A">
        <w:rPr>
          <w:rFonts w:ascii="Verdana" w:hAnsi="Verdana" w:cs="Arial"/>
          <w:bCs/>
          <w:lang w:val="es-MX" w:eastAsia="x-none"/>
        </w:rPr>
        <w:lastRenderedPageBreak/>
        <w:t xml:space="preserve">o naturaleza, su pertenencia a una u otra rama del poder público o su autonomía, e incluso si las entidades estatales tienen régimen especial de contratación y están exceptuadas del ámbito de aplicación del Estatuto General de Contratación de la Administración Pública. El Consejo de Estado, en Concepto con radicado 1727 de fecha 20 de febrero de 2006, consideró que: </w:t>
      </w:r>
    </w:p>
    <w:p w14:paraId="05C8EAF8" w14:textId="77777777" w:rsidR="00A5721F" w:rsidRPr="0012682A" w:rsidRDefault="00A5721F" w:rsidP="00A5721F">
      <w:pPr>
        <w:spacing w:after="0" w:line="276" w:lineRule="auto"/>
        <w:ind w:firstLine="708"/>
        <w:jc w:val="both"/>
        <w:rPr>
          <w:rFonts w:ascii="Verdana" w:hAnsi="Verdana" w:cs="Arial"/>
          <w:bCs/>
          <w:lang w:val="es-MX" w:eastAsia="x-none"/>
        </w:rPr>
      </w:pPr>
    </w:p>
    <w:p w14:paraId="07EAF2D4" w14:textId="77777777" w:rsidR="00A5721F" w:rsidRPr="0012682A" w:rsidRDefault="00A5721F" w:rsidP="00A5721F">
      <w:pPr>
        <w:spacing w:after="0" w:line="240" w:lineRule="auto"/>
        <w:ind w:left="708" w:right="709"/>
        <w:jc w:val="both"/>
        <w:rPr>
          <w:rFonts w:ascii="Verdana" w:hAnsi="Verdana" w:cs="Arial"/>
          <w:bCs/>
          <w:sz w:val="20"/>
          <w:szCs w:val="20"/>
          <w:lang w:val="es-MX" w:eastAsia="es-CO"/>
        </w:rPr>
      </w:pPr>
      <w:r w:rsidRPr="0012682A">
        <w:rPr>
          <w:rFonts w:ascii="Verdana" w:hAnsi="Verdana" w:cs="Arial"/>
          <w:bCs/>
          <w:sz w:val="20"/>
          <w:szCs w:val="20"/>
          <w:lang w:val="es-MX" w:eastAsia="x-none"/>
        </w:rPr>
        <w:t xml:space="preserve">“El artículo 33 de la ley 996 de 2005, </w:t>
      </w:r>
      <w:bookmarkStart w:id="16" w:name="_Hlk75787147"/>
      <w:r w:rsidRPr="0012682A">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12682A">
        <w:rPr>
          <w:rFonts w:ascii="Verdana" w:hAnsi="Verdana" w:cs="Arial"/>
          <w:bCs/>
          <w:sz w:val="20"/>
          <w:szCs w:val="20"/>
          <w:vertAlign w:val="superscript"/>
          <w:lang w:val="es-MX" w:eastAsia="x-none"/>
        </w:rPr>
        <w:footnoteReference w:id="20"/>
      </w:r>
      <w:r w:rsidRPr="0012682A">
        <w:rPr>
          <w:rFonts w:ascii="Verdana" w:hAnsi="Verdana" w:cs="Arial"/>
          <w:bCs/>
          <w:sz w:val="20"/>
          <w:szCs w:val="20"/>
          <w:lang w:val="es-MX" w:eastAsia="x-none"/>
        </w:rPr>
        <w:t>.</w:t>
      </w:r>
      <w:r w:rsidRPr="0012682A">
        <w:rPr>
          <w:rFonts w:ascii="Verdana" w:hAnsi="Verdana" w:cs="Arial"/>
          <w:bCs/>
          <w:sz w:val="20"/>
          <w:szCs w:val="20"/>
          <w:lang w:val="es-MX" w:eastAsia="es-CO"/>
        </w:rPr>
        <w:t xml:space="preserve"> </w:t>
      </w:r>
    </w:p>
    <w:p w14:paraId="5B727479" w14:textId="77777777" w:rsidR="00A5721F" w:rsidRPr="0012682A" w:rsidRDefault="00A5721F" w:rsidP="00A5721F">
      <w:pPr>
        <w:spacing w:after="0" w:line="276" w:lineRule="auto"/>
        <w:ind w:firstLine="708"/>
        <w:jc w:val="both"/>
        <w:rPr>
          <w:rFonts w:ascii="Verdana" w:hAnsi="Verdana" w:cs="Arial"/>
          <w:bCs/>
          <w:lang w:val="es-MX" w:eastAsia="es-CO"/>
        </w:rPr>
      </w:pPr>
    </w:p>
    <w:p w14:paraId="50EB2E68" w14:textId="77777777" w:rsidR="00A5721F" w:rsidRPr="0012682A" w:rsidRDefault="00A5721F" w:rsidP="00A5721F">
      <w:pPr>
        <w:spacing w:after="0" w:line="276" w:lineRule="auto"/>
        <w:ind w:firstLine="708"/>
        <w:jc w:val="both"/>
        <w:rPr>
          <w:rFonts w:ascii="Verdana" w:hAnsi="Verdana" w:cs="Arial"/>
          <w:lang w:val="es-MX"/>
        </w:rPr>
      </w:pPr>
      <w:r w:rsidRPr="0012682A">
        <w:rPr>
          <w:rFonts w:ascii="Verdana" w:hAnsi="Verdana" w:cs="Arial"/>
          <w:bCs/>
          <w:lang w:val="es-MX" w:eastAsia="x-none"/>
        </w:rPr>
        <w:t>De igual forma, en Concepto con radicado 1738 de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bookmarkStart w:id="17" w:name="_Hlk75758868"/>
      <w:bookmarkStart w:id="18" w:name="_Hlk75741220"/>
      <w:r w:rsidRPr="0012682A">
        <w:rPr>
          <w:rFonts w:ascii="Verdana" w:hAnsi="Verdana" w:cs="Arial"/>
          <w:vertAlign w:val="superscript"/>
          <w:lang w:val="es-MX"/>
        </w:rPr>
        <w:footnoteReference w:id="21"/>
      </w:r>
      <w:bookmarkEnd w:id="17"/>
      <w:bookmarkEnd w:id="18"/>
      <w:r w:rsidRPr="0012682A">
        <w:rPr>
          <w:rFonts w:ascii="Verdana" w:hAnsi="Verdana" w:cs="Arial"/>
          <w:bCs/>
          <w:lang w:val="es-MX" w:eastAsia="x-none"/>
        </w:rPr>
        <w:t>.</w:t>
      </w:r>
      <w:r w:rsidRPr="0012682A">
        <w:rPr>
          <w:rFonts w:ascii="Verdana" w:hAnsi="Verdana" w:cs="Arial"/>
          <w:lang w:val="es-MX"/>
        </w:rPr>
        <w:t xml:space="preserve"> Sin embargo, debe precisarse el siguiente aspecto que distinguió la Sala de Consulta y Servicio Civil:</w:t>
      </w:r>
    </w:p>
    <w:p w14:paraId="69602D8F" w14:textId="77777777" w:rsidR="00A5721F" w:rsidRPr="0012682A" w:rsidRDefault="00A5721F" w:rsidP="00A5721F">
      <w:pPr>
        <w:spacing w:after="0" w:line="276" w:lineRule="auto"/>
        <w:jc w:val="both"/>
        <w:rPr>
          <w:rFonts w:ascii="Verdana" w:hAnsi="Verdana" w:cs="Arial"/>
          <w:lang w:val="es-MX"/>
        </w:rPr>
      </w:pPr>
    </w:p>
    <w:p w14:paraId="29C0C8BA" w14:textId="77777777" w:rsidR="00A5721F" w:rsidRPr="0012682A" w:rsidRDefault="00A5721F" w:rsidP="00A5721F">
      <w:pPr>
        <w:spacing w:after="0" w:line="240" w:lineRule="auto"/>
        <w:ind w:left="708" w:right="709"/>
        <w:jc w:val="both"/>
        <w:rPr>
          <w:rFonts w:ascii="Verdana" w:hAnsi="Verdana" w:cs="Arial"/>
          <w:sz w:val="20"/>
          <w:szCs w:val="20"/>
          <w:lang w:val="es-MX"/>
        </w:rPr>
      </w:pPr>
      <w:bookmarkStart w:id="20" w:name="_Hlk75811446"/>
      <w:r w:rsidRPr="0012682A">
        <w:rPr>
          <w:rFonts w:ascii="Verdana"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w:t>
      </w:r>
      <w:r w:rsidRPr="0012682A">
        <w:rPr>
          <w:rFonts w:ascii="Verdana" w:hAnsi="Verdana" w:cs="Arial"/>
          <w:sz w:val="20"/>
          <w:szCs w:val="20"/>
          <w:lang w:val="es-MX"/>
        </w:rPr>
        <w:lastRenderedPageBreak/>
        <w:t>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20"/>
    </w:p>
    <w:p w14:paraId="63E1521F" w14:textId="77777777" w:rsidR="00A5721F" w:rsidRPr="0012682A" w:rsidRDefault="00A5721F" w:rsidP="00A5721F">
      <w:pPr>
        <w:spacing w:after="0" w:line="240" w:lineRule="auto"/>
        <w:ind w:left="708" w:right="709"/>
        <w:jc w:val="both"/>
        <w:rPr>
          <w:rFonts w:ascii="Verdana" w:hAnsi="Verdana" w:cs="Arial"/>
          <w:sz w:val="20"/>
          <w:szCs w:val="20"/>
          <w:lang w:val="es-MX"/>
        </w:rPr>
      </w:pPr>
    </w:p>
    <w:p w14:paraId="56186533" w14:textId="77777777" w:rsidR="00A5721F" w:rsidRPr="0012682A" w:rsidRDefault="00A5721F" w:rsidP="00A5721F">
      <w:pPr>
        <w:spacing w:after="0" w:line="240" w:lineRule="auto"/>
        <w:ind w:left="708" w:right="709"/>
        <w:jc w:val="both"/>
        <w:rPr>
          <w:rFonts w:ascii="Verdana" w:eastAsia="Calibri" w:hAnsi="Verdana" w:cs="Arial"/>
          <w:sz w:val="20"/>
          <w:szCs w:val="20"/>
          <w:lang w:val="es-MX"/>
        </w:rPr>
      </w:pPr>
      <w:r w:rsidRPr="0012682A">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12682A">
        <w:rPr>
          <w:rFonts w:ascii="Verdana" w:eastAsia="Calibri" w:hAnsi="Verdana" w:cs="Arial"/>
          <w:sz w:val="20"/>
          <w:szCs w:val="20"/>
          <w:vertAlign w:val="superscript"/>
          <w:lang w:val="es-MX"/>
        </w:rPr>
        <w:footnoteReference w:id="22"/>
      </w:r>
      <w:r w:rsidRPr="0012682A">
        <w:rPr>
          <w:rFonts w:ascii="Verdana" w:eastAsia="Times New Roman" w:hAnsi="Verdana" w:cs="Arial"/>
          <w:bCs/>
          <w:sz w:val="20"/>
          <w:szCs w:val="20"/>
          <w:lang w:val="es-MX" w:eastAsia="x-none"/>
        </w:rPr>
        <w:t>.</w:t>
      </w:r>
    </w:p>
    <w:p w14:paraId="00EF2BA0" w14:textId="77777777" w:rsidR="00A5721F" w:rsidRPr="0012682A" w:rsidRDefault="00A5721F" w:rsidP="00A5721F">
      <w:pPr>
        <w:spacing w:after="120" w:line="276" w:lineRule="auto"/>
        <w:ind w:firstLine="709"/>
        <w:jc w:val="both"/>
        <w:rPr>
          <w:rFonts w:ascii="Verdana" w:hAnsi="Verdana" w:cs="Arial"/>
          <w:lang w:val="es-MX"/>
        </w:rPr>
      </w:pPr>
    </w:p>
    <w:p w14:paraId="72694149" w14:textId="77777777" w:rsidR="00A5721F" w:rsidRPr="0012682A" w:rsidRDefault="00A5721F" w:rsidP="00A5721F">
      <w:pPr>
        <w:spacing w:after="120" w:line="276" w:lineRule="auto"/>
        <w:ind w:firstLine="709"/>
        <w:jc w:val="both"/>
        <w:rPr>
          <w:rFonts w:ascii="Verdana" w:eastAsia="Times New Roman" w:hAnsi="Verdana" w:cs="Arial"/>
          <w:lang w:eastAsia="es-CO"/>
        </w:rPr>
      </w:pPr>
      <w:r w:rsidRPr="0012682A">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12682A">
        <w:rPr>
          <w:rFonts w:ascii="Verdana" w:eastAsia="Times New Roman" w:hAnsi="Verdana" w:cs="Arial"/>
          <w:bCs/>
          <w:lang w:val="es-MX" w:eastAsia="x-none"/>
        </w:rPr>
        <w:t>establecimientos de crédito, las sociedades de servicios financieros y las entidades aseguradoras</w:t>
      </w:r>
      <w:r w:rsidRPr="0012682A">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2682A">
        <w:rPr>
          <w:rFonts w:ascii="Verdana" w:eastAsia="Calibri" w:hAnsi="Verdana" w:cs="Arial"/>
          <w:vertAlign w:val="superscript"/>
          <w:lang w:val="es-MX"/>
        </w:rPr>
        <w:footnoteReference w:id="23"/>
      </w:r>
      <w:r w:rsidRPr="0012682A">
        <w:rPr>
          <w:rFonts w:ascii="Verdana" w:eastAsia="Calibri" w:hAnsi="Verdana" w:cs="Arial"/>
          <w:lang w:val="es-MX"/>
        </w:rPr>
        <w:t>.</w:t>
      </w:r>
      <w:r w:rsidRPr="0012682A">
        <w:rPr>
          <w:rFonts w:ascii="Verdana" w:eastAsia="Times New Roman" w:hAnsi="Verdana" w:cs="Arial"/>
          <w:lang w:eastAsia="es-CO"/>
        </w:rPr>
        <w:t xml:space="preserve"> </w:t>
      </w:r>
    </w:p>
    <w:p w14:paraId="4AFA7525" w14:textId="77777777" w:rsidR="00A5721F" w:rsidRPr="000528E1" w:rsidRDefault="00A5721F" w:rsidP="00A5721F">
      <w:pPr>
        <w:spacing w:after="120" w:line="276" w:lineRule="auto"/>
        <w:ind w:firstLine="709"/>
        <w:jc w:val="both"/>
        <w:rPr>
          <w:rFonts w:ascii="Verdana" w:eastAsia="Times New Roman" w:hAnsi="Verdana" w:cs="Arial"/>
          <w:bCs/>
          <w:color w:val="000000" w:themeColor="text1"/>
          <w:lang w:eastAsia="x-none"/>
        </w:rPr>
      </w:pPr>
      <w:r w:rsidRPr="0012682A">
        <w:rPr>
          <w:rFonts w:ascii="Verdana" w:eastAsia="Times New Roman" w:hAnsi="Verdana" w:cs="Arial"/>
          <w:bCs/>
          <w:lang w:val="es-MX" w:eastAsia="x-none"/>
        </w:rPr>
        <w:t xml:space="preserve">Así las cosas, como lo señala la Circular Externa No. 006 de 2025 en el literal i) del numeral 1, </w:t>
      </w:r>
      <w:bookmarkEnd w:id="16"/>
      <w:r w:rsidRPr="0012682A">
        <w:rPr>
          <w:rFonts w:ascii="Verdana" w:eastAsia="Times New Roman" w:hAnsi="Verdana" w:cs="Arial"/>
          <w:bCs/>
          <w:lang w:eastAsia="x-none"/>
        </w:rPr>
        <w:t xml:space="preserve">algunos ejemplos de los sujetos que tienen prohibido </w:t>
      </w:r>
      <w:r w:rsidRPr="0012682A">
        <w:rPr>
          <w:rFonts w:ascii="Verdana" w:eastAsia="Times New Roman" w:hAnsi="Verdana" w:cs="Arial"/>
          <w:bCs/>
          <w:lang w:eastAsia="x-none"/>
        </w:rPr>
        <w:lastRenderedPageBreak/>
        <w:t>contratar directamente durante el periodo señalado en el artículo 33 son: las Entidades Estatales establecidas en el artículo 2 de la Ley 80 de 1993; las entidades descentralizadas indirectas, es decir, las que surgen por la voluntad asociativa de los entes públicos entre sí o con la intervención de particulares, como las derivadas de los artículos 95 y 96 de la Ley 489 de 1998; las empresas industriales y comerciales del Estado y las Sociedades de Economía Mixta, salvo cuando la celebración de un convenio interadministrativo sea ordenada, para ambas partes, por el Legislador; las Empresas de Servicios Públicos oficiales y mixtas; las Empresas Sociales del Estado; los entes universitarios autónomos, entre otros.</w:t>
      </w:r>
    </w:p>
    <w:p w14:paraId="431D4E49" w14:textId="47D44E2B" w:rsidR="00AB2CE6" w:rsidRPr="000528E1" w:rsidRDefault="00A5721F" w:rsidP="00AB2CE6">
      <w:pPr>
        <w:spacing w:after="120" w:line="276" w:lineRule="auto"/>
        <w:jc w:val="both"/>
        <w:rPr>
          <w:rFonts w:ascii="Verdana" w:hAnsi="Verdana" w:cs="Arial"/>
          <w:bCs/>
          <w:color w:val="000000" w:themeColor="text1"/>
          <w:lang w:val="es-MX" w:eastAsia="x-none"/>
        </w:rPr>
      </w:pPr>
      <w:r w:rsidRPr="000528E1">
        <w:rPr>
          <w:rFonts w:ascii="Verdana" w:hAnsi="Verdana" w:cs="Arial"/>
          <w:bCs/>
          <w:color w:val="000000" w:themeColor="text1"/>
          <w:lang w:val="es-MX" w:eastAsia="x-none"/>
        </w:rPr>
        <w:t xml:space="preserve">iv. </w:t>
      </w:r>
      <w:r w:rsidR="00C67A2A">
        <w:rPr>
          <w:rFonts w:ascii="Verdana" w:hAnsi="Verdana" w:cs="Arial"/>
          <w:bCs/>
          <w:color w:val="000000" w:themeColor="text1"/>
          <w:lang w:val="es-MX" w:eastAsia="x-none"/>
        </w:rPr>
        <w:t>En el caso objeto de la consulta, caracterizando a MOVILIDAD FUTURA como Sociedad Pública de acuerdo al literal f, numeral 2 del artículo 38 de la ley 489 de 1998, siendo que esta sociedad tiene una composi</w:t>
      </w:r>
      <w:r w:rsidR="00F21086">
        <w:rPr>
          <w:rFonts w:ascii="Verdana" w:hAnsi="Verdana" w:cs="Arial"/>
          <w:bCs/>
          <w:color w:val="000000" w:themeColor="text1"/>
          <w:lang w:val="es-MX" w:eastAsia="x-none"/>
        </w:rPr>
        <w:t>ci</w:t>
      </w:r>
      <w:r w:rsidR="00C67A2A">
        <w:rPr>
          <w:rFonts w:ascii="Verdana" w:hAnsi="Verdana" w:cs="Arial"/>
          <w:bCs/>
          <w:color w:val="000000" w:themeColor="text1"/>
          <w:lang w:val="es-MX" w:eastAsia="x-none"/>
        </w:rPr>
        <w:t>ón de capital 100% pública, se aplica el parágrafo 1 del articulo 38 de la mencionada ley, con lo cual “s</w:t>
      </w:r>
      <w:r w:rsidR="00C67A2A" w:rsidRPr="00C67A2A">
        <w:rPr>
          <w:rFonts w:ascii="Verdana" w:hAnsi="Verdana" w:cs="Arial"/>
          <w:bCs/>
          <w:color w:val="000000" w:themeColor="text1"/>
          <w:lang w:val="es-MX" w:eastAsia="x-none"/>
        </w:rPr>
        <w:t>e someten al régimen previsto para las empresas industriales y comerciales del Estado</w:t>
      </w:r>
      <w:r w:rsidR="00C67A2A">
        <w:rPr>
          <w:rFonts w:ascii="Verdana" w:hAnsi="Verdana" w:cs="Arial"/>
          <w:bCs/>
          <w:color w:val="000000" w:themeColor="text1"/>
          <w:lang w:val="es-MX" w:eastAsia="x-none"/>
        </w:rPr>
        <w:t>”</w:t>
      </w:r>
      <w:r w:rsidR="00C67A2A" w:rsidRPr="00C67A2A">
        <w:rPr>
          <w:rFonts w:ascii="Verdana" w:hAnsi="Verdana" w:cs="Arial"/>
          <w:bCs/>
          <w:color w:val="000000" w:themeColor="text1"/>
          <w:lang w:val="es-MX" w:eastAsia="x-none"/>
        </w:rPr>
        <w:t>.</w:t>
      </w:r>
      <w:r w:rsidR="00C67A2A">
        <w:rPr>
          <w:rFonts w:ascii="Verdana" w:hAnsi="Verdana" w:cs="Arial"/>
          <w:bCs/>
          <w:color w:val="000000" w:themeColor="text1"/>
          <w:lang w:val="es-MX" w:eastAsia="x-none"/>
        </w:rPr>
        <w:t xml:space="preserve"> Pues bien,  c</w:t>
      </w:r>
      <w:r w:rsidR="00AB2CE6" w:rsidRPr="000528E1">
        <w:rPr>
          <w:rFonts w:ascii="Verdana" w:hAnsi="Verdana" w:cs="Arial"/>
          <w:bCs/>
          <w:color w:val="000000" w:themeColor="text1"/>
          <w:lang w:val="es-MX" w:eastAsia="x-none"/>
        </w:rPr>
        <w:t>onforme a la doctrina consolidada de esta Agencia —Conceptos C-139 de 2024 y C-1019 de 2025—, las empresas industriales y comerciales del Estado son entidades descentralizadas que desarrollan actividades de carácter industrial o comercial. El artículo 93 de la Ley 489 de 1998 establece la regla dualista que las rige: en sus actos, aplican las disposiciones del derecho privado</w:t>
      </w:r>
      <w:r w:rsidR="000528E1">
        <w:rPr>
          <w:rFonts w:ascii="Verdana" w:hAnsi="Verdana" w:cs="Arial"/>
          <w:bCs/>
          <w:color w:val="000000" w:themeColor="text1"/>
          <w:lang w:val="es-MX" w:eastAsia="x-none"/>
        </w:rPr>
        <w:t xml:space="preserve"> y </w:t>
      </w:r>
      <w:r w:rsidR="00AB2CE6" w:rsidRPr="000528E1">
        <w:rPr>
          <w:rFonts w:ascii="Verdana" w:hAnsi="Verdana" w:cs="Arial"/>
          <w:bCs/>
          <w:color w:val="000000" w:themeColor="text1"/>
          <w:lang w:val="es-MX" w:eastAsia="x-none"/>
        </w:rPr>
        <w:t>en sus contratos, aplican el Estatuto General de Contratación de la Administración Pública</w:t>
      </w:r>
      <w:r w:rsidR="000528E1">
        <w:rPr>
          <w:rFonts w:ascii="Verdana" w:hAnsi="Verdana" w:cs="Arial"/>
          <w:bCs/>
          <w:color w:val="000000" w:themeColor="text1"/>
          <w:lang w:val="es-MX" w:eastAsia="x-none"/>
        </w:rPr>
        <w:t xml:space="preserve">. </w:t>
      </w:r>
    </w:p>
    <w:p w14:paraId="005EE617" w14:textId="436F1009" w:rsidR="00AB2CE6" w:rsidRPr="00AB2CE6" w:rsidRDefault="00C67A2A" w:rsidP="0073248D">
      <w:pPr>
        <w:spacing w:after="120" w:line="276" w:lineRule="auto"/>
        <w:ind w:firstLine="709"/>
        <w:jc w:val="both"/>
        <w:rPr>
          <w:rFonts w:ascii="Verdana" w:hAnsi="Verdana" w:cs="Arial"/>
          <w:bCs/>
          <w:lang w:val="es-MX" w:eastAsia="x-none"/>
        </w:rPr>
      </w:pPr>
      <w:r>
        <w:rPr>
          <w:rFonts w:ascii="Verdana" w:hAnsi="Verdana" w:cs="Arial"/>
          <w:bCs/>
          <w:color w:val="000000" w:themeColor="text1"/>
          <w:lang w:val="es-MX" w:eastAsia="x-none"/>
        </w:rPr>
        <w:t>Conforme a ello,  e</w:t>
      </w:r>
      <w:r w:rsidR="00AB2CE6" w:rsidRPr="000528E1">
        <w:rPr>
          <w:rFonts w:ascii="Verdana" w:hAnsi="Verdana" w:cs="Arial"/>
          <w:bCs/>
          <w:color w:val="000000" w:themeColor="text1"/>
          <w:lang w:val="es-MX" w:eastAsia="x-none"/>
        </w:rPr>
        <w:t xml:space="preserve">l artículo 28 de la Ley 1258 de 2008 </w:t>
      </w:r>
      <w:r>
        <w:rPr>
          <w:rFonts w:ascii="Verdana" w:hAnsi="Verdana" w:cs="Arial"/>
          <w:bCs/>
          <w:color w:val="000000" w:themeColor="text1"/>
          <w:lang w:val="es-MX" w:eastAsia="x-none"/>
        </w:rPr>
        <w:t>obliga</w:t>
      </w:r>
      <w:r w:rsidR="00AB2CE6" w:rsidRPr="000528E1">
        <w:rPr>
          <w:rFonts w:ascii="Verdana" w:hAnsi="Verdana" w:cs="Arial"/>
          <w:bCs/>
          <w:color w:val="000000" w:themeColor="text1"/>
          <w:lang w:val="es-MX" w:eastAsia="x-none"/>
        </w:rPr>
        <w:t xml:space="preserve"> que la S.A.S. estará obligada a tener revisor fiscal cuando reúna los presupuestos de activos o de ingresos señalados en el parágrafo 2° del artículo 13 de la Ley 43 de 1990</w:t>
      </w:r>
      <w:r w:rsidR="00AB2CE6" w:rsidRPr="0073248D">
        <w:rPr>
          <w:rFonts w:ascii="Verdana" w:hAnsi="Verdana" w:cs="Arial"/>
          <w:bCs/>
          <w:color w:val="EE0000"/>
          <w:lang w:val="es-MX" w:eastAsia="x-none"/>
        </w:rPr>
        <w:t xml:space="preserve"> </w:t>
      </w:r>
      <w:r w:rsidR="00AB2CE6" w:rsidRPr="00AB2CE6">
        <w:rPr>
          <w:rFonts w:ascii="Verdana" w:hAnsi="Verdana" w:cs="Arial"/>
          <w:bCs/>
          <w:lang w:val="es-MX" w:eastAsia="x-none"/>
        </w:rPr>
        <w:t>—activos brutos iguales o superiores a 5.000 SMLMV o ingresos brutos iguales o superiores a 3.000 SMLMV—, o cuando otra ley especial así lo exija. Para las EICE que desarrollan actividades comerciales en competencia con el sector privado y que cumplen los topes legales, la obligación de contar con revisor fiscal se encuentra consolidada.</w:t>
      </w:r>
    </w:p>
    <w:p w14:paraId="62AD49D4" w14:textId="055D78AD" w:rsidR="00AB2CE6" w:rsidRPr="00AC5517" w:rsidRDefault="0073248D" w:rsidP="0073248D">
      <w:pPr>
        <w:spacing w:after="120" w:line="276" w:lineRule="auto"/>
        <w:ind w:firstLine="709"/>
        <w:jc w:val="both"/>
        <w:rPr>
          <w:rFonts w:ascii="Verdana" w:hAnsi="Verdana" w:cs="Arial"/>
          <w:bCs/>
          <w:color w:val="000000" w:themeColor="text1"/>
          <w:lang w:val="es-MX" w:eastAsia="x-none"/>
        </w:rPr>
      </w:pPr>
      <w:r w:rsidRPr="00AC5517">
        <w:rPr>
          <w:rFonts w:ascii="Verdana" w:hAnsi="Verdana" w:cs="Arial"/>
          <w:bCs/>
          <w:color w:val="000000" w:themeColor="text1"/>
          <w:lang w:val="es-MX" w:eastAsia="x-none"/>
        </w:rPr>
        <w:t>En el caso, sometido a consulta, e</w:t>
      </w:r>
      <w:r w:rsidR="00AB2CE6" w:rsidRPr="00AC5517">
        <w:rPr>
          <w:rFonts w:ascii="Verdana" w:hAnsi="Verdana" w:cs="Arial"/>
          <w:bCs/>
          <w:color w:val="000000" w:themeColor="text1"/>
          <w:lang w:val="es-MX" w:eastAsia="x-none"/>
        </w:rPr>
        <w:t>s indispensable precisar dos actos jurídicos de naturaleza distinta que se suceden en la vinculación del revisor fiscal:</w:t>
      </w:r>
      <w:r w:rsidRPr="00AC5517">
        <w:rPr>
          <w:rFonts w:ascii="Verdana" w:hAnsi="Verdana" w:cs="Arial"/>
          <w:bCs/>
          <w:color w:val="000000" w:themeColor="text1"/>
          <w:lang w:val="es-MX" w:eastAsia="x-none"/>
        </w:rPr>
        <w:t xml:space="preserve"> en primer lugar, e</w:t>
      </w:r>
      <w:r w:rsidR="00AB2CE6" w:rsidRPr="00AC5517">
        <w:rPr>
          <w:rFonts w:ascii="Verdana" w:hAnsi="Verdana" w:cs="Arial"/>
          <w:bCs/>
          <w:color w:val="000000" w:themeColor="text1"/>
          <w:lang w:val="es-MX" w:eastAsia="x-none"/>
        </w:rPr>
        <w:t xml:space="preserve">l artículo 204 del Código de Comercio —aplicable a la S.A.S. en virtud de la remisión de la Ley 1258 de 2008— dispone que la elección del revisor fiscal se hará por la mayoría absoluta de la Asamblea General de </w:t>
      </w:r>
      <w:r w:rsidR="00AB2CE6" w:rsidRPr="00AC5517">
        <w:rPr>
          <w:rFonts w:ascii="Verdana" w:hAnsi="Verdana" w:cs="Arial"/>
          <w:bCs/>
          <w:color w:val="000000" w:themeColor="text1"/>
          <w:lang w:val="es-MX" w:eastAsia="x-none"/>
        </w:rPr>
        <w:lastRenderedPageBreak/>
        <w:t>Accionistas. Este es un acto de gobierno corporativo de naturaleza societaria: la Asamblea, como órgano máximo de la sociedad, elige a la persona que ocupará el cargo. Este acto no es un proceso de selección contractual</w:t>
      </w:r>
      <w:r w:rsidRPr="00AC5517">
        <w:rPr>
          <w:rFonts w:ascii="Verdana" w:hAnsi="Verdana" w:cs="Arial"/>
          <w:bCs/>
          <w:color w:val="000000" w:themeColor="text1"/>
          <w:lang w:val="es-MX" w:eastAsia="x-none"/>
        </w:rPr>
        <w:t>,</w:t>
      </w:r>
      <w:r w:rsidR="00AB2CE6" w:rsidRPr="00AC5517">
        <w:rPr>
          <w:rFonts w:ascii="Verdana" w:hAnsi="Verdana" w:cs="Arial"/>
          <w:bCs/>
          <w:color w:val="000000" w:themeColor="text1"/>
          <w:lang w:val="es-MX" w:eastAsia="x-none"/>
        </w:rPr>
        <w:t xml:space="preserve"> es la investidura de un cargo por el órgano competente del derecho mercantil.</w:t>
      </w:r>
    </w:p>
    <w:p w14:paraId="2CF62A4D" w14:textId="7122193F" w:rsidR="00AB2CE6" w:rsidRPr="00AB2CE6" w:rsidRDefault="0073248D" w:rsidP="0073248D">
      <w:pPr>
        <w:spacing w:after="120" w:line="276" w:lineRule="auto"/>
        <w:ind w:firstLine="709"/>
        <w:jc w:val="both"/>
        <w:rPr>
          <w:rFonts w:ascii="Verdana" w:hAnsi="Verdana" w:cs="Arial"/>
          <w:bCs/>
          <w:lang w:val="es-MX" w:eastAsia="x-none"/>
        </w:rPr>
      </w:pPr>
      <w:r>
        <w:rPr>
          <w:rFonts w:ascii="Verdana" w:hAnsi="Verdana" w:cs="Arial"/>
          <w:bCs/>
          <w:lang w:val="es-MX" w:eastAsia="x-none"/>
        </w:rPr>
        <w:t>En segundo lugar, l</w:t>
      </w:r>
      <w:r w:rsidR="00AB2CE6" w:rsidRPr="00AB2CE6">
        <w:rPr>
          <w:rFonts w:ascii="Verdana" w:hAnsi="Verdana" w:cs="Arial"/>
          <w:bCs/>
          <w:lang w:val="es-MX" w:eastAsia="x-none"/>
        </w:rPr>
        <w:t>a formalización de la vinculación del revisor fiscal elegido se materializa mediante un contrato de prestación de servicios profesionales, el cual, tratándose de una entidad estatal sujeta al Estatuto General de Contratación, se celebra bajo la modalidad de contratación directa prevista en el numeral 4 del artículo 2° de la Ley 1150 de 2007 y reglamentada en el artículo 2.2.1.2.1.4.9 del Decreto 1082 de 2015. Este contrato se sustenta en estudios previos, se registra en el Plan Anual de Adquisiciones y se publica en el SECOP, como cualquier otro contrato estatal.</w:t>
      </w:r>
    </w:p>
    <w:p w14:paraId="056CF9EA" w14:textId="294ED80E" w:rsidR="00BA46DF" w:rsidRDefault="00AB2CE6" w:rsidP="0073248D">
      <w:pPr>
        <w:spacing w:after="120" w:line="276" w:lineRule="auto"/>
        <w:ind w:firstLine="709"/>
        <w:jc w:val="both"/>
        <w:rPr>
          <w:rFonts w:ascii="Verdana" w:hAnsi="Verdana" w:cs="Arial"/>
          <w:bCs/>
          <w:lang w:val="es-MX" w:eastAsia="x-none"/>
        </w:rPr>
      </w:pPr>
      <w:r w:rsidRPr="00AB2CE6">
        <w:rPr>
          <w:rFonts w:ascii="Verdana" w:hAnsi="Verdana" w:cs="Arial"/>
          <w:bCs/>
          <w:lang w:val="es-MX" w:eastAsia="x-none"/>
        </w:rPr>
        <w:t xml:space="preserve">Es el representante legal quien celebra este contrato, pero su margen de discrecionalidad en la selección del contratista es nulo: no decide a quién contratar —esa decisión </w:t>
      </w:r>
      <w:r w:rsidR="0073248D">
        <w:rPr>
          <w:rFonts w:ascii="Verdana" w:hAnsi="Verdana" w:cs="Arial"/>
          <w:bCs/>
          <w:lang w:val="es-MX" w:eastAsia="x-none"/>
        </w:rPr>
        <w:t>la</w:t>
      </w:r>
      <w:r w:rsidRPr="00AB2CE6">
        <w:rPr>
          <w:rFonts w:ascii="Verdana" w:hAnsi="Verdana" w:cs="Arial"/>
          <w:bCs/>
          <w:lang w:val="es-MX" w:eastAsia="x-none"/>
        </w:rPr>
        <w:t xml:space="preserve"> adopta la Asamblea—, sino que únicamente formaliza la voluntad del órgano societario mediante el instrumento contractual correspondiente. No se genera relación laboral, ni nombramiento como servidor público, ni subordinación: el revisor fiscal es funcionalmente independiente de la administración de la entidad.</w:t>
      </w:r>
      <w:r w:rsidR="0073248D">
        <w:rPr>
          <w:rFonts w:ascii="Verdana" w:hAnsi="Verdana" w:cs="Arial"/>
          <w:bCs/>
          <w:lang w:val="es-MX" w:eastAsia="x-none"/>
        </w:rPr>
        <w:t xml:space="preserve"> </w:t>
      </w:r>
    </w:p>
    <w:p w14:paraId="27AB5BE8" w14:textId="615D7DA6" w:rsidR="0073248D" w:rsidRPr="0073248D" w:rsidRDefault="00CC5B04" w:rsidP="0073248D">
      <w:pPr>
        <w:spacing w:after="120" w:line="276" w:lineRule="auto"/>
        <w:ind w:firstLine="709"/>
        <w:jc w:val="both"/>
        <w:rPr>
          <w:rFonts w:ascii="Verdana" w:hAnsi="Verdana" w:cs="Arial"/>
        </w:rPr>
      </w:pPr>
      <w:r>
        <w:rPr>
          <w:rFonts w:ascii="Verdana" w:hAnsi="Verdana" w:cs="Arial"/>
        </w:rPr>
        <w:t xml:space="preserve">En el criterio </w:t>
      </w:r>
      <w:r w:rsidR="0073248D" w:rsidRPr="0073248D">
        <w:rPr>
          <w:rFonts w:ascii="Verdana" w:hAnsi="Verdana" w:cs="Arial"/>
        </w:rPr>
        <w:t xml:space="preserve">de esta Agencia, el contrato de prestación de servicios profesionales </w:t>
      </w:r>
      <w:r w:rsidR="00C67A2A">
        <w:rPr>
          <w:rFonts w:ascii="Verdana" w:hAnsi="Verdana" w:cs="Arial"/>
        </w:rPr>
        <w:t>por parte de</w:t>
      </w:r>
      <w:r w:rsidR="0073248D" w:rsidRPr="0073248D">
        <w:rPr>
          <w:rFonts w:ascii="Verdana" w:hAnsi="Verdana" w:cs="Arial"/>
        </w:rPr>
        <w:t xml:space="preserve"> </w:t>
      </w:r>
      <w:r w:rsidR="007F3AE8">
        <w:rPr>
          <w:rFonts w:ascii="Verdana" w:hAnsi="Verdana" w:cs="Arial"/>
        </w:rPr>
        <w:t xml:space="preserve">una Sociedad Pública a la cual </w:t>
      </w:r>
      <w:r w:rsidR="00C67A2A">
        <w:rPr>
          <w:rFonts w:ascii="Verdana" w:hAnsi="Verdana" w:cs="Arial"/>
        </w:rPr>
        <w:t>le</w:t>
      </w:r>
      <w:r w:rsidR="007F3AE8">
        <w:rPr>
          <w:rFonts w:ascii="Verdana" w:hAnsi="Verdana" w:cs="Arial"/>
        </w:rPr>
        <w:t xml:space="preserve"> aplican las reglas previstas para las </w:t>
      </w:r>
      <w:r>
        <w:rPr>
          <w:rFonts w:ascii="Verdana" w:hAnsi="Verdana" w:cs="Arial"/>
        </w:rPr>
        <w:t xml:space="preserve">Empresa Industrial y Comercial del Estado </w:t>
      </w:r>
      <w:r w:rsidR="00C67A2A">
        <w:rPr>
          <w:rFonts w:ascii="Verdana" w:hAnsi="Verdana" w:cs="Arial"/>
        </w:rPr>
        <w:t xml:space="preserve">de acuerdo al parágrafo 1 del artículo 38 de la ley 489 de 1998, </w:t>
      </w:r>
      <w:r w:rsidR="0073248D" w:rsidRPr="0073248D">
        <w:rPr>
          <w:rFonts w:ascii="Verdana" w:hAnsi="Verdana" w:cs="Arial"/>
        </w:rPr>
        <w:t>formaliza la vinculación del revisor fiscal elegido por su Asamblea de Accionistas constituye, inequívocamente, contratación directa en el sentido del artículo 33 de la Ley 996 de 2005. Ello por cuanto se trata de un procedimiento que no incluye convocatoria pública ni permite la participación de una pluralidad de oferentes: el representante legal celebra el contrato con la persona previamente elegida por la Asamblea, sin proceso competitivo, con fundamento exclusivo en los estudios previos y en la decisión del órgano societario (Concepto C-046 de 2026).</w:t>
      </w:r>
    </w:p>
    <w:p w14:paraId="6F384DD3" w14:textId="73F18B8D" w:rsidR="0073248D" w:rsidRDefault="0073248D" w:rsidP="0073248D">
      <w:pPr>
        <w:spacing w:after="120" w:line="276" w:lineRule="auto"/>
        <w:ind w:firstLine="709"/>
        <w:jc w:val="both"/>
        <w:rPr>
          <w:rFonts w:ascii="Verdana" w:hAnsi="Verdana" w:cs="Arial"/>
        </w:rPr>
      </w:pPr>
      <w:r w:rsidRPr="0073248D">
        <w:rPr>
          <w:rFonts w:ascii="Verdana" w:hAnsi="Verdana" w:cs="Arial"/>
        </w:rPr>
        <w:t xml:space="preserve">El hecho de que el acto previo de elección sea de naturaleza societaria y se rija por el Código de Comercio no sustrae al contrato posterior del ámbito de la Ley de Garantías. La prohibición del artículo 33 recae sobre la celebración del contrato, no sobre el acto corporativo de designación. Son dos momentos </w:t>
      </w:r>
      <w:r w:rsidRPr="0073248D">
        <w:rPr>
          <w:rFonts w:ascii="Verdana" w:hAnsi="Verdana" w:cs="Arial"/>
        </w:rPr>
        <w:lastRenderedPageBreak/>
        <w:t>jurídicos diferenciados: la Asamblea puede elegir en cualquier tiempo —pues la elección es un acto corporativo no sujeto a la Ley de Garantías—, pero la formalización contractual de esa elección constituye un contrato estatal sujeto a las restricciones que la ley impone a todos los entes del Estado.</w:t>
      </w:r>
    </w:p>
    <w:p w14:paraId="154D0E33" w14:textId="367E7C83" w:rsidR="0073248D" w:rsidRDefault="0073248D" w:rsidP="0073248D">
      <w:pPr>
        <w:spacing w:after="120" w:line="276" w:lineRule="auto"/>
        <w:ind w:firstLine="709"/>
        <w:jc w:val="both"/>
        <w:rPr>
          <w:rFonts w:ascii="Verdana" w:hAnsi="Verdana" w:cs="Arial"/>
        </w:rPr>
      </w:pPr>
      <w:r w:rsidRPr="0073248D">
        <w:rPr>
          <w:rFonts w:ascii="Verdana" w:hAnsi="Verdana" w:cs="Arial"/>
        </w:rPr>
        <w:t xml:space="preserve">La celebración del contrato de prestación de servicios profesionales con el revisor fiscal está comprendida en la prohibición de contratación directa. La restricción aplica a todos los entes del Estado sin distinción de régimen, y las excepciones taxativas del inciso final del artículo 33 </w:t>
      </w:r>
      <w:r w:rsidR="00F70E9E" w:rsidRPr="00F70E9E">
        <w:rPr>
          <w:rFonts w:ascii="Verdana" w:hAnsi="Verdana" w:cs="Arial"/>
        </w:rPr>
        <w:t xml:space="preserve">de la Ley 996 de 2005 </w:t>
      </w:r>
      <w:r w:rsidRPr="0073248D">
        <w:rPr>
          <w:rFonts w:ascii="Verdana" w:hAnsi="Verdana" w:cs="Arial"/>
        </w:rPr>
        <w:t>no incluyen la contratación del revisor fiscal. En consecuencia, durante los cuatro meses anteriores a las elecciones presidenciales —y hasta la eventual segunda vuelta—, la entidad no puede celebrar este contrato.</w:t>
      </w:r>
    </w:p>
    <w:p w14:paraId="37D83980" w14:textId="0506AB13" w:rsidR="0073248D" w:rsidRDefault="0073248D" w:rsidP="0073248D">
      <w:pPr>
        <w:spacing w:after="120" w:line="276" w:lineRule="auto"/>
        <w:ind w:firstLine="709"/>
        <w:jc w:val="both"/>
        <w:rPr>
          <w:rFonts w:ascii="Verdana" w:hAnsi="Verdana" w:cs="Arial"/>
        </w:rPr>
      </w:pPr>
      <w:r w:rsidRPr="0073248D">
        <w:rPr>
          <w:rFonts w:ascii="Verdana" w:hAnsi="Verdana" w:cs="Arial"/>
        </w:rPr>
        <w:t xml:space="preserve">La prohibición del parágrafo del artículo 38 </w:t>
      </w:r>
      <w:r w:rsidR="00F70E9E" w:rsidRPr="00F70E9E">
        <w:rPr>
          <w:rFonts w:ascii="Verdana" w:hAnsi="Verdana" w:cs="Arial"/>
        </w:rPr>
        <w:t xml:space="preserve">de la Ley 996 de 2005 </w:t>
      </w:r>
      <w:r w:rsidRPr="0073248D">
        <w:rPr>
          <w:rFonts w:ascii="Verdana" w:hAnsi="Verdana" w:cs="Arial"/>
        </w:rPr>
        <w:t>se refiere exclusivamente a los convenios interadministrativos para la ejecución de recursos públicos. Un contrato de prestación de servicios profesionales celebrado con un contador público persona natural o con una firma de contadores no es un convenio interadministrativo, pues la contraparte no es una entidad estatal. En consecuencia, la restricción del parágrafo del artículo 38 no cobija la celebración del contrato de prestación de servicios con el revisor fiscal durante períodos preelectorales distintos al presidencial.</w:t>
      </w:r>
    </w:p>
    <w:p w14:paraId="163C5DD6" w14:textId="77777777" w:rsidR="0073248D" w:rsidRPr="0073248D" w:rsidRDefault="0073248D" w:rsidP="0073248D">
      <w:pPr>
        <w:spacing w:after="120" w:line="276" w:lineRule="auto"/>
        <w:ind w:firstLine="709"/>
        <w:jc w:val="both"/>
        <w:rPr>
          <w:rFonts w:ascii="Verdana" w:hAnsi="Verdana" w:cs="Arial"/>
        </w:rPr>
      </w:pPr>
      <w:r w:rsidRPr="0073248D">
        <w:rPr>
          <w:rFonts w:ascii="Verdana" w:hAnsi="Verdana" w:cs="Arial"/>
        </w:rPr>
        <w:t xml:space="preserve">La Circular Externa 006 de 2025 de esta Agencia señala expresamente que las entidades deberán realizar una adecuada planeación que garantice el cumplimiento de sus funciones durante los períodos en que rigen las restricciones de la Ley de Garantías Electorales (Circular Externa 006 de 2025, numeral 3, literal </w:t>
      </w:r>
      <w:proofErr w:type="spellStart"/>
      <w:r w:rsidRPr="0073248D">
        <w:rPr>
          <w:rFonts w:ascii="Verdana" w:hAnsi="Verdana" w:cs="Arial"/>
        </w:rPr>
        <w:t>ii</w:t>
      </w:r>
      <w:proofErr w:type="spellEnd"/>
      <w:r w:rsidRPr="0073248D">
        <w:rPr>
          <w:rFonts w:ascii="Verdana" w:hAnsi="Verdana" w:cs="Arial"/>
        </w:rPr>
        <w:t>). Igualmente precisa que la Ley de Garantías no establece restricciones para las prórrogas, modificaciones o adiciones de los contratos suscritos antes del período electoral, siempre que tales actuaciones cumplan los principios de planeación, transparencia y responsabilidad.</w:t>
      </w:r>
    </w:p>
    <w:p w14:paraId="5D5BE062" w14:textId="570D18F4" w:rsidR="0073248D" w:rsidRDefault="0073248D" w:rsidP="0073248D">
      <w:pPr>
        <w:spacing w:after="120" w:line="276" w:lineRule="auto"/>
        <w:ind w:firstLine="709"/>
        <w:jc w:val="both"/>
        <w:rPr>
          <w:rFonts w:ascii="Verdana" w:hAnsi="Verdana" w:cs="Arial"/>
        </w:rPr>
      </w:pPr>
      <w:r w:rsidRPr="0073248D">
        <w:rPr>
          <w:rFonts w:ascii="Verdana" w:hAnsi="Verdana" w:cs="Arial"/>
        </w:rPr>
        <w:t>Lo anterior significa que, frente a la contratación del revisor fiscal, la entidad debe anticipar mediante una adecuada planeación contractual —desde su Plan Anual de Adquisiciones— la celebración del contrato con anterioridad al inicio del período de restricción del artículo 33</w:t>
      </w:r>
      <w:r w:rsidR="00F70E9E" w:rsidRPr="00F70E9E">
        <w:t xml:space="preserve"> </w:t>
      </w:r>
      <w:r w:rsidR="00F70E9E" w:rsidRPr="00F70E9E">
        <w:rPr>
          <w:rFonts w:ascii="Verdana" w:hAnsi="Verdana" w:cs="Arial"/>
        </w:rPr>
        <w:t>de la Ley 996 de 2005</w:t>
      </w:r>
      <w:r w:rsidRPr="0073248D">
        <w:rPr>
          <w:rFonts w:ascii="Verdana" w:hAnsi="Verdana" w:cs="Arial"/>
        </w:rPr>
        <w:t>, de modo que la obligación legal de contar con revisor fiscal quede satisfecha sin colisión con la prohibición. Si el contrato se celebró antes del inicio de la restricción, sus prórrogas pueden realizarse durante dicho período sin infringir la norma.</w:t>
      </w:r>
      <w:r w:rsidR="00F70E9E">
        <w:rPr>
          <w:rFonts w:ascii="Verdana" w:hAnsi="Verdana" w:cs="Arial"/>
        </w:rPr>
        <w:t xml:space="preserve"> </w:t>
      </w:r>
    </w:p>
    <w:p w14:paraId="76DC4769" w14:textId="371361EA" w:rsidR="0073248D" w:rsidRPr="0073248D" w:rsidRDefault="0073248D" w:rsidP="0073248D">
      <w:pPr>
        <w:spacing w:after="120" w:line="276" w:lineRule="auto"/>
        <w:ind w:firstLine="709"/>
        <w:jc w:val="both"/>
        <w:rPr>
          <w:rFonts w:ascii="Verdana" w:hAnsi="Verdana" w:cs="Arial"/>
        </w:rPr>
      </w:pPr>
      <w:r w:rsidRPr="0073248D">
        <w:rPr>
          <w:rFonts w:ascii="Verdana" w:hAnsi="Verdana" w:cs="Arial"/>
        </w:rPr>
        <w:lastRenderedPageBreak/>
        <w:t xml:space="preserve">Es pertinente advertir que, si bien la obligación de tener revisor fiscal es de origen legal y de cumplimiento permanente —artículo 203 del Código de Comercio, artículo 13 de la Ley 43 de 1990, artículo 28 de la Ley 1258 de 2008—, esta circunstancia no constituye, por sí sola, una excepción a la prohibición del artículo 33 de la Ley 996 de 2005. Las excepciones están taxativamente consagradas en el inciso final del artículo 33 </w:t>
      </w:r>
      <w:r w:rsidR="00F70E9E" w:rsidRPr="00F70E9E">
        <w:rPr>
          <w:rFonts w:ascii="Verdana" w:hAnsi="Verdana" w:cs="Arial"/>
        </w:rPr>
        <w:t xml:space="preserve">de la Ley 996 de 2005 </w:t>
      </w:r>
      <w:r w:rsidRPr="0073248D">
        <w:rPr>
          <w:rFonts w:ascii="Verdana" w:hAnsi="Verdana" w:cs="Arial"/>
        </w:rPr>
        <w:t>y la Circular Externa 006 de 2025 ha precisado que las normas prohibitivas no admiten interpretación amplia ni analógica. El carácter imperativo de la obligación mercantil no tiene la virtualidad de crear una excepción que el legislador no previó.</w:t>
      </w:r>
      <w:r w:rsidR="00F70E9E">
        <w:rPr>
          <w:rFonts w:ascii="Verdana" w:hAnsi="Verdana" w:cs="Arial"/>
        </w:rPr>
        <w:t xml:space="preserve"> </w:t>
      </w:r>
    </w:p>
    <w:p w14:paraId="1F109F13" w14:textId="7BAC8086" w:rsidR="0073248D" w:rsidRPr="0012682A" w:rsidRDefault="0073248D" w:rsidP="0073248D">
      <w:pPr>
        <w:spacing w:after="120" w:line="276" w:lineRule="auto"/>
        <w:ind w:firstLine="709"/>
        <w:jc w:val="both"/>
        <w:rPr>
          <w:rFonts w:ascii="Verdana" w:hAnsi="Verdana" w:cs="Arial"/>
        </w:rPr>
      </w:pPr>
      <w:r w:rsidRPr="0073248D">
        <w:rPr>
          <w:rFonts w:ascii="Verdana" w:hAnsi="Verdana" w:cs="Arial"/>
        </w:rPr>
        <w:t>Lo que sí impone esta obligación legal es un deber reforzado de planeación: la entidad debe prever con suficiente antelación la designación y contratación del revisor fiscal, de modo que el período contractual no quede descubierto durante la vigencia de la restricción electoral.</w:t>
      </w:r>
    </w:p>
    <w:p w14:paraId="543B38D3" w14:textId="3A34A057" w:rsidR="00A5721F" w:rsidRPr="0012682A" w:rsidRDefault="00A5721F" w:rsidP="00AB2CE6">
      <w:pPr>
        <w:spacing w:after="120" w:line="276" w:lineRule="auto"/>
        <w:jc w:val="both"/>
        <w:rPr>
          <w:rFonts w:ascii="Verdana" w:hAnsi="Verdana" w:cs="Arial"/>
        </w:rPr>
      </w:pPr>
    </w:p>
    <w:p w14:paraId="7EFFDC54" w14:textId="77777777" w:rsidR="00A5721F" w:rsidRPr="0012682A" w:rsidRDefault="00A5721F" w:rsidP="00A5721F">
      <w:pPr>
        <w:spacing w:after="120" w:line="276" w:lineRule="auto"/>
        <w:jc w:val="both"/>
        <w:rPr>
          <w:rFonts w:ascii="Verdana" w:eastAsia="Calibri" w:hAnsi="Verdana" w:cs="Arial"/>
          <w:bCs/>
          <w:color w:val="000000" w:themeColor="text1"/>
        </w:rPr>
      </w:pPr>
      <w:r w:rsidRPr="0012682A">
        <w:rPr>
          <w:rFonts w:ascii="Verdana" w:eastAsia="Calibri" w:hAnsi="Verdana" w:cs="Arial"/>
          <w:bCs/>
          <w:color w:val="000000" w:themeColor="text1"/>
        </w:rPr>
        <w:t>v.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8B46F03" w14:textId="77777777" w:rsidR="00A5721F" w:rsidRPr="0012682A" w:rsidRDefault="00A5721F" w:rsidP="00A5721F">
      <w:pPr>
        <w:spacing w:after="0" w:line="276" w:lineRule="auto"/>
        <w:ind w:firstLine="708"/>
        <w:jc w:val="both"/>
        <w:rPr>
          <w:rFonts w:ascii="Verdana" w:eastAsia="Calibri" w:hAnsi="Verdana" w:cs="Arial"/>
          <w:bCs/>
          <w:color w:val="000000" w:themeColor="text1"/>
        </w:rPr>
      </w:pPr>
      <w:r w:rsidRPr="0012682A">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7D13A086" w14:textId="77777777" w:rsidR="00A5721F" w:rsidRPr="0012682A" w:rsidRDefault="00A5721F" w:rsidP="00A5721F">
      <w:pPr>
        <w:tabs>
          <w:tab w:val="left" w:pos="709"/>
        </w:tabs>
        <w:spacing w:after="0" w:line="276" w:lineRule="auto"/>
        <w:jc w:val="both"/>
        <w:rPr>
          <w:rFonts w:ascii="Verdana" w:eastAsia="Calibri" w:hAnsi="Verdana" w:cs="Arial"/>
          <w:color w:val="000000" w:themeColor="text1"/>
        </w:rPr>
      </w:pPr>
    </w:p>
    <w:p w14:paraId="75023E18" w14:textId="77777777" w:rsidR="00A5721F" w:rsidRPr="0012682A" w:rsidRDefault="00A5721F" w:rsidP="00A5721F">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12682A">
        <w:rPr>
          <w:rFonts w:ascii="Verdana" w:eastAsia="Century Gothic" w:hAnsi="Verdana" w:cs="Century Gothic"/>
          <w:b/>
          <w:bCs/>
          <w:lang w:val="es-ES"/>
        </w:rPr>
        <w:lastRenderedPageBreak/>
        <w:t>Referencias normativas:</w:t>
      </w:r>
    </w:p>
    <w:p w14:paraId="72152403" w14:textId="77777777" w:rsidR="00A5721F" w:rsidRPr="0012682A" w:rsidRDefault="00A5721F" w:rsidP="00A5721F">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5721F" w:rsidRPr="0012682A" w14:paraId="027CDE17" w14:textId="77777777" w:rsidTr="00EA32A5">
        <w:trPr>
          <w:trHeight w:val="870"/>
          <w:jc w:val="center"/>
        </w:trPr>
        <w:tc>
          <w:tcPr>
            <w:tcW w:w="8647" w:type="dxa"/>
          </w:tcPr>
          <w:p w14:paraId="30138CB0" w14:textId="77777777" w:rsidR="00A5721F" w:rsidRPr="0012682A" w:rsidRDefault="00A5721F" w:rsidP="00EA32A5">
            <w:pPr>
              <w:widowControl w:val="0"/>
              <w:numPr>
                <w:ilvl w:val="0"/>
                <w:numId w:val="17"/>
              </w:numPr>
              <w:autoSpaceDE w:val="0"/>
              <w:autoSpaceDN w:val="0"/>
              <w:spacing w:after="120" w:line="276" w:lineRule="auto"/>
              <w:ind w:left="714" w:hanging="357"/>
              <w:jc w:val="both"/>
              <w:rPr>
                <w:rFonts w:ascii="Verdana" w:hAnsi="Verdana" w:cs="Arial"/>
                <w:lang w:val="es-ES"/>
              </w:rPr>
            </w:pPr>
            <w:r w:rsidRPr="0012682A">
              <w:rPr>
                <w:rFonts w:ascii="Verdana" w:hAnsi="Verdana" w:cs="Arial"/>
                <w:lang w:val="es-ES"/>
              </w:rPr>
              <w:t>Constitución Política de Colombia, artículos 127 y 197.</w:t>
            </w:r>
          </w:p>
          <w:p w14:paraId="790910AE" w14:textId="77777777" w:rsidR="00A5721F" w:rsidRPr="0012682A" w:rsidRDefault="00A5721F" w:rsidP="00EA32A5">
            <w:pPr>
              <w:widowControl w:val="0"/>
              <w:numPr>
                <w:ilvl w:val="0"/>
                <w:numId w:val="17"/>
              </w:numPr>
              <w:autoSpaceDE w:val="0"/>
              <w:autoSpaceDN w:val="0"/>
              <w:spacing w:after="120" w:line="276" w:lineRule="auto"/>
              <w:ind w:left="714" w:hanging="357"/>
              <w:jc w:val="both"/>
              <w:rPr>
                <w:rFonts w:ascii="Verdana" w:hAnsi="Verdana" w:cs="Arial"/>
                <w:lang w:val="es-ES"/>
              </w:rPr>
            </w:pPr>
            <w:r w:rsidRPr="0012682A">
              <w:rPr>
                <w:rFonts w:ascii="Verdana" w:hAnsi="Verdana" w:cs="Arial"/>
                <w:lang w:val="es-ES"/>
              </w:rPr>
              <w:t>Ley 80 de 1993, artículo 32.</w:t>
            </w:r>
          </w:p>
          <w:p w14:paraId="6BD1CDC2" w14:textId="77777777" w:rsidR="00A5721F" w:rsidRPr="0012682A" w:rsidRDefault="00A5721F" w:rsidP="00EA32A5">
            <w:pPr>
              <w:widowControl w:val="0"/>
              <w:numPr>
                <w:ilvl w:val="0"/>
                <w:numId w:val="17"/>
              </w:numPr>
              <w:autoSpaceDE w:val="0"/>
              <w:autoSpaceDN w:val="0"/>
              <w:spacing w:after="120" w:line="276" w:lineRule="auto"/>
              <w:ind w:left="714" w:hanging="357"/>
              <w:jc w:val="both"/>
              <w:rPr>
                <w:rFonts w:ascii="Verdana" w:hAnsi="Verdana" w:cs="Arial"/>
                <w:lang w:val="es-ES"/>
              </w:rPr>
            </w:pPr>
            <w:r w:rsidRPr="0012682A">
              <w:rPr>
                <w:rFonts w:ascii="Verdana" w:hAnsi="Verdana" w:cs="Arial"/>
                <w:lang w:val="es-ES"/>
              </w:rPr>
              <w:t>Ley 996 de 2005, artículos 9, 33 y 38.</w:t>
            </w:r>
          </w:p>
          <w:p w14:paraId="6ACF70B4" w14:textId="77777777" w:rsidR="00A5721F" w:rsidRPr="0012682A" w:rsidRDefault="00A5721F" w:rsidP="00EA32A5">
            <w:pPr>
              <w:widowControl w:val="0"/>
              <w:numPr>
                <w:ilvl w:val="0"/>
                <w:numId w:val="17"/>
              </w:numPr>
              <w:autoSpaceDE w:val="0"/>
              <w:autoSpaceDN w:val="0"/>
              <w:spacing w:after="120" w:line="276" w:lineRule="auto"/>
              <w:ind w:left="714" w:hanging="357"/>
              <w:jc w:val="both"/>
              <w:rPr>
                <w:rFonts w:ascii="Verdana" w:hAnsi="Verdana" w:cs="Arial"/>
                <w:lang w:val="es-ES"/>
              </w:rPr>
            </w:pPr>
            <w:r w:rsidRPr="0012682A">
              <w:rPr>
                <w:rFonts w:ascii="Verdana" w:hAnsi="Verdana" w:cs="Arial"/>
                <w:lang w:val="es-ES"/>
              </w:rPr>
              <w:t>Ley 1150 de 2007, artículo 2.</w:t>
            </w:r>
          </w:p>
          <w:p w14:paraId="33239284" w14:textId="77777777" w:rsidR="00A5721F" w:rsidRPr="0012682A" w:rsidRDefault="00A5721F" w:rsidP="00EA32A5">
            <w:pPr>
              <w:widowControl w:val="0"/>
              <w:numPr>
                <w:ilvl w:val="0"/>
                <w:numId w:val="17"/>
              </w:numPr>
              <w:autoSpaceDE w:val="0"/>
              <w:autoSpaceDN w:val="0"/>
              <w:spacing w:after="120" w:line="276" w:lineRule="auto"/>
              <w:ind w:left="714" w:hanging="357"/>
              <w:jc w:val="both"/>
              <w:rPr>
                <w:rFonts w:ascii="Verdana" w:hAnsi="Verdana" w:cs="Arial"/>
                <w:lang w:val="es-ES"/>
              </w:rPr>
            </w:pPr>
            <w:r w:rsidRPr="0012682A">
              <w:rPr>
                <w:rFonts w:ascii="Verdana" w:hAnsi="Verdana" w:cs="Arial"/>
                <w:lang w:val="es-ES"/>
              </w:rPr>
              <w:t>Decreto Ley 663 de 1993, artículo 146.</w:t>
            </w:r>
          </w:p>
          <w:p w14:paraId="76B8A5CB" w14:textId="77777777" w:rsidR="00A5721F" w:rsidRPr="0012682A" w:rsidRDefault="00A5721F" w:rsidP="00EA32A5">
            <w:pPr>
              <w:widowControl w:val="0"/>
              <w:numPr>
                <w:ilvl w:val="0"/>
                <w:numId w:val="17"/>
              </w:numPr>
              <w:autoSpaceDE w:val="0"/>
              <w:autoSpaceDN w:val="0"/>
              <w:spacing w:after="120" w:line="276" w:lineRule="auto"/>
              <w:ind w:left="714" w:hanging="357"/>
              <w:jc w:val="both"/>
              <w:rPr>
                <w:rFonts w:ascii="Verdana" w:hAnsi="Verdana" w:cs="Arial"/>
                <w:color w:val="000000" w:themeColor="text1"/>
                <w:lang w:val="es-ES_tradnl"/>
              </w:rPr>
            </w:pPr>
            <w:r w:rsidRPr="0012682A">
              <w:rPr>
                <w:rFonts w:ascii="Verdana" w:hAnsi="Verdana" w:cs="Arial"/>
                <w:color w:val="000000" w:themeColor="text1"/>
                <w:lang w:val="es-ES_tradnl"/>
              </w:rPr>
              <w:t>Decreto 2555 de 2010, artículo 2.5.2.1.1.</w:t>
            </w:r>
          </w:p>
          <w:p w14:paraId="24BD66C4" w14:textId="77777777" w:rsidR="00A5721F" w:rsidRPr="0012682A" w:rsidRDefault="00A5721F" w:rsidP="00EA32A5">
            <w:pPr>
              <w:widowControl w:val="0"/>
              <w:numPr>
                <w:ilvl w:val="0"/>
                <w:numId w:val="17"/>
              </w:numPr>
              <w:autoSpaceDE w:val="0"/>
              <w:autoSpaceDN w:val="0"/>
              <w:spacing w:after="120" w:line="276" w:lineRule="auto"/>
              <w:ind w:left="714" w:hanging="357"/>
              <w:jc w:val="both"/>
              <w:rPr>
                <w:rFonts w:ascii="Verdana" w:hAnsi="Verdana" w:cs="Arial"/>
                <w:color w:val="000000" w:themeColor="text1"/>
                <w:lang w:val="es-ES_tradnl"/>
              </w:rPr>
            </w:pPr>
            <w:r w:rsidRPr="0012682A">
              <w:rPr>
                <w:rFonts w:ascii="Verdana" w:hAnsi="Verdana" w:cs="Arial"/>
                <w:color w:val="000000" w:themeColor="text1"/>
                <w:lang w:val="es-ES_tradnl"/>
              </w:rPr>
              <w:t>Ley 2294 de 2023, artículo 72</w:t>
            </w:r>
          </w:p>
          <w:p w14:paraId="7A505AAD" w14:textId="77777777" w:rsidR="00A5721F" w:rsidRDefault="00A5721F" w:rsidP="00EA32A5">
            <w:pPr>
              <w:widowControl w:val="0"/>
              <w:numPr>
                <w:ilvl w:val="0"/>
                <w:numId w:val="17"/>
              </w:numPr>
              <w:autoSpaceDE w:val="0"/>
              <w:autoSpaceDN w:val="0"/>
              <w:spacing w:line="276" w:lineRule="auto"/>
              <w:ind w:left="714" w:hanging="357"/>
              <w:jc w:val="both"/>
              <w:rPr>
                <w:rFonts w:ascii="Verdana" w:hAnsi="Verdana" w:cs="Arial"/>
                <w:color w:val="000000" w:themeColor="text1"/>
                <w:lang w:val="es-ES_tradnl"/>
              </w:rPr>
            </w:pPr>
            <w:r w:rsidRPr="0012682A">
              <w:rPr>
                <w:rFonts w:ascii="Verdana" w:hAnsi="Verdana" w:cs="Arial"/>
                <w:color w:val="000000" w:themeColor="text1"/>
                <w:lang w:val="es-ES_tradnl"/>
              </w:rPr>
              <w:t>Código de Comercio, artículo 1226 y 1233.</w:t>
            </w:r>
          </w:p>
          <w:p w14:paraId="503875AE" w14:textId="00512647" w:rsidR="00CC5B04" w:rsidRDefault="00CC5B04" w:rsidP="00EA32A5">
            <w:pPr>
              <w:widowControl w:val="0"/>
              <w:numPr>
                <w:ilvl w:val="0"/>
                <w:numId w:val="17"/>
              </w:numPr>
              <w:autoSpaceDE w:val="0"/>
              <w:autoSpaceDN w:val="0"/>
              <w:spacing w:line="276" w:lineRule="auto"/>
              <w:ind w:left="714" w:hanging="357"/>
              <w:jc w:val="both"/>
              <w:rPr>
                <w:rFonts w:ascii="Verdana" w:hAnsi="Verdana" w:cs="Arial"/>
                <w:color w:val="000000" w:themeColor="text1"/>
                <w:lang w:val="es-ES_tradnl"/>
              </w:rPr>
            </w:pPr>
            <w:r w:rsidRPr="00CC5B04">
              <w:rPr>
                <w:rFonts w:ascii="Verdana" w:hAnsi="Verdana" w:cs="Arial"/>
                <w:color w:val="000000" w:themeColor="text1"/>
                <w:lang w:val="es-ES_tradnl"/>
              </w:rPr>
              <w:t>Ley 43 DE 1990</w:t>
            </w:r>
          </w:p>
          <w:p w14:paraId="0141E2F6" w14:textId="6E5181F1" w:rsidR="00CC5B04" w:rsidRDefault="00CC5B04" w:rsidP="00EA32A5">
            <w:pPr>
              <w:widowControl w:val="0"/>
              <w:numPr>
                <w:ilvl w:val="0"/>
                <w:numId w:val="17"/>
              </w:numPr>
              <w:autoSpaceDE w:val="0"/>
              <w:autoSpaceDN w:val="0"/>
              <w:spacing w:line="276" w:lineRule="auto"/>
              <w:ind w:left="714" w:hanging="357"/>
              <w:jc w:val="both"/>
              <w:rPr>
                <w:rFonts w:ascii="Verdana" w:hAnsi="Verdana" w:cs="Arial"/>
                <w:color w:val="000000" w:themeColor="text1"/>
                <w:lang w:val="es-ES_tradnl"/>
              </w:rPr>
            </w:pPr>
            <w:r w:rsidRPr="00CC5B04">
              <w:rPr>
                <w:rFonts w:ascii="Verdana" w:hAnsi="Verdana" w:cs="Arial"/>
                <w:color w:val="000000" w:themeColor="text1"/>
                <w:lang w:val="es-ES_tradnl"/>
              </w:rPr>
              <w:t>Decreto 2020 DE 2009</w:t>
            </w:r>
          </w:p>
          <w:p w14:paraId="111C3729" w14:textId="5D80FF32" w:rsidR="00CC5B04" w:rsidRPr="00CC5B04" w:rsidRDefault="00CC5B04" w:rsidP="00CC5B04">
            <w:pPr>
              <w:widowControl w:val="0"/>
              <w:numPr>
                <w:ilvl w:val="0"/>
                <w:numId w:val="17"/>
              </w:numPr>
              <w:autoSpaceDE w:val="0"/>
              <w:autoSpaceDN w:val="0"/>
              <w:spacing w:line="276" w:lineRule="auto"/>
              <w:ind w:left="714" w:hanging="357"/>
              <w:jc w:val="both"/>
              <w:rPr>
                <w:rFonts w:ascii="Verdana" w:hAnsi="Verdana" w:cs="Arial"/>
                <w:color w:val="000000" w:themeColor="text1"/>
                <w:lang w:val="es-ES_tradnl"/>
              </w:rPr>
            </w:pPr>
            <w:r w:rsidRPr="00CC5B04">
              <w:rPr>
                <w:rFonts w:ascii="Verdana" w:hAnsi="Verdana" w:cs="Arial"/>
                <w:color w:val="000000" w:themeColor="text1"/>
                <w:lang w:val="es-ES_tradnl"/>
              </w:rPr>
              <w:t>Ley 489 DE 1998</w:t>
            </w:r>
          </w:p>
        </w:tc>
      </w:tr>
    </w:tbl>
    <w:p w14:paraId="0B60C2B2" w14:textId="77777777" w:rsidR="00A5721F" w:rsidRPr="0012682A" w:rsidRDefault="00A5721F" w:rsidP="00A5721F">
      <w:pPr>
        <w:widowControl w:val="0"/>
        <w:autoSpaceDE w:val="0"/>
        <w:autoSpaceDN w:val="0"/>
        <w:spacing w:after="0" w:line="276" w:lineRule="auto"/>
        <w:jc w:val="both"/>
        <w:rPr>
          <w:rFonts w:ascii="Verdana" w:hAnsi="Verdana" w:cs="Arial"/>
        </w:rPr>
      </w:pPr>
    </w:p>
    <w:p w14:paraId="1A19CBD5" w14:textId="77777777" w:rsidR="00A5721F" w:rsidRPr="0012682A" w:rsidRDefault="00A5721F" w:rsidP="00A5721F">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12682A">
        <w:rPr>
          <w:rFonts w:ascii="Verdana" w:eastAsia="Century Gothic" w:hAnsi="Verdana" w:cs="Century Gothic"/>
          <w:b/>
          <w:bCs/>
          <w:lang w:val="es-ES"/>
        </w:rPr>
        <w:t>Doctrina de la Agencia Nacional de Contratación Pública:</w:t>
      </w:r>
    </w:p>
    <w:p w14:paraId="6AAD7871" w14:textId="77777777" w:rsidR="00A5721F" w:rsidRPr="0012682A" w:rsidRDefault="00A5721F" w:rsidP="00A5721F">
      <w:pPr>
        <w:widowControl w:val="0"/>
        <w:autoSpaceDE w:val="0"/>
        <w:autoSpaceDN w:val="0"/>
        <w:spacing w:after="0" w:line="276" w:lineRule="auto"/>
        <w:jc w:val="both"/>
        <w:rPr>
          <w:rFonts w:ascii="Verdana" w:hAnsi="Verdana" w:cs="Arial"/>
        </w:rPr>
      </w:pPr>
    </w:p>
    <w:p w14:paraId="1BF28259" w14:textId="1F8E4CA5" w:rsidR="00A5721F" w:rsidRPr="0012682A" w:rsidRDefault="00A5721F" w:rsidP="00A5721F">
      <w:pPr>
        <w:widowControl w:val="0"/>
        <w:autoSpaceDE w:val="0"/>
        <w:autoSpaceDN w:val="0"/>
        <w:spacing w:after="0" w:line="276" w:lineRule="auto"/>
        <w:jc w:val="both"/>
        <w:rPr>
          <w:rFonts w:ascii="Verdana" w:hAnsi="Verdana" w:cs="Arial"/>
          <w:shd w:val="clear" w:color="auto" w:fill="FFFFFF"/>
        </w:rPr>
      </w:pPr>
      <w:r w:rsidRPr="0012682A">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w:t>
      </w:r>
      <w:r w:rsidR="006C13AB">
        <w:rPr>
          <w:rFonts w:ascii="Verdana" w:hAnsi="Verdana" w:cs="Arial"/>
          <w:shd w:val="clear" w:color="auto" w:fill="FFFFFF"/>
        </w:rPr>
        <w:t xml:space="preserve">, </w:t>
      </w:r>
      <w:r w:rsidRPr="0012682A">
        <w:rPr>
          <w:rFonts w:ascii="Verdana" w:hAnsi="Verdana" w:cs="Arial"/>
          <w:shd w:val="clear" w:color="auto" w:fill="FFFFFF"/>
        </w:rPr>
        <w:t>C-1596 de 2025</w:t>
      </w:r>
      <w:r w:rsidR="006C13AB">
        <w:rPr>
          <w:rFonts w:ascii="Verdana" w:hAnsi="Verdana" w:cs="Arial"/>
          <w:shd w:val="clear" w:color="auto" w:fill="FFFFFF"/>
        </w:rPr>
        <w:t xml:space="preserve">, </w:t>
      </w:r>
      <w:r w:rsidR="006C13AB" w:rsidRPr="006C13AB">
        <w:rPr>
          <w:rFonts w:ascii="Verdana" w:hAnsi="Verdana" w:cs="Arial"/>
          <w:shd w:val="clear" w:color="auto" w:fill="FFFFFF"/>
        </w:rPr>
        <w:t>Concepto C-280 de 2026</w:t>
      </w:r>
      <w:r w:rsidR="006C13AB">
        <w:rPr>
          <w:rFonts w:ascii="Verdana" w:hAnsi="Verdana" w:cs="Arial"/>
          <w:shd w:val="clear" w:color="auto" w:fill="FFFFFF"/>
        </w:rPr>
        <w:t xml:space="preserve">, </w:t>
      </w:r>
      <w:r w:rsidR="006C13AB" w:rsidRPr="006C13AB">
        <w:rPr>
          <w:rFonts w:ascii="Verdana" w:hAnsi="Verdana" w:cs="Arial"/>
          <w:shd w:val="clear" w:color="auto" w:fill="FFFFFF"/>
        </w:rPr>
        <w:t>Concepto C-046 de 2026</w:t>
      </w:r>
      <w:r w:rsidR="006C13AB">
        <w:rPr>
          <w:rFonts w:ascii="Verdana" w:hAnsi="Verdana" w:cs="Arial"/>
          <w:shd w:val="clear" w:color="auto" w:fill="FFFFFF"/>
        </w:rPr>
        <w:t xml:space="preserve"> y </w:t>
      </w:r>
      <w:r w:rsidR="006C13AB" w:rsidRPr="006C13AB">
        <w:rPr>
          <w:rFonts w:ascii="Verdana" w:hAnsi="Verdana" w:cs="Arial"/>
          <w:shd w:val="clear" w:color="auto" w:fill="FFFFFF"/>
        </w:rPr>
        <w:t>Concepto C-372 de 2026</w:t>
      </w:r>
      <w:r w:rsidRPr="0012682A">
        <w:rPr>
          <w:rFonts w:ascii="Verdana" w:hAnsi="Verdana"/>
        </w:rPr>
        <w:t>.</w:t>
      </w:r>
      <w:r w:rsidRPr="0012682A">
        <w:rPr>
          <w:rFonts w:ascii="Verdana" w:hAnsi="Verdana" w:cs="Arial"/>
          <w:shd w:val="clear" w:color="auto" w:fill="FFFFFF"/>
        </w:rPr>
        <w:t xml:space="preserve"> Estos y otros se encuentran disponibles para consulta en el Sistema de relatoría de la Agencia, al cual puede accederse a través del siguiente enlace: </w:t>
      </w:r>
      <w:hyperlink r:id="rId12" w:history="1">
        <w:r w:rsidRPr="0012682A">
          <w:rPr>
            <w:rFonts w:ascii="Verdana" w:hAnsi="Verdana" w:cs="Arial"/>
            <w:color w:val="0000FF"/>
            <w:u w:val="single"/>
            <w:shd w:val="clear" w:color="auto" w:fill="FFFFFF"/>
          </w:rPr>
          <w:t>https://relatoria.colombiacompra.gov.co/busqueda/conceptos</w:t>
        </w:r>
      </w:hyperlink>
      <w:r w:rsidRPr="0012682A">
        <w:rPr>
          <w:rFonts w:ascii="Verdana" w:hAnsi="Verdana" w:cs="Arial"/>
          <w:shd w:val="clear" w:color="auto" w:fill="FFFFFF"/>
        </w:rPr>
        <w:t xml:space="preserve">. </w:t>
      </w:r>
      <w:r w:rsidRPr="0012682A">
        <w:rPr>
          <w:rFonts w:ascii="Verdana" w:hAnsi="Verdana" w:cs="Arial"/>
          <w:color w:val="FF0000"/>
          <w:shd w:val="clear" w:color="auto" w:fill="FFFFFF"/>
          <w:lang w:val="es-ES"/>
        </w:rPr>
        <w:t xml:space="preserve"> </w:t>
      </w:r>
    </w:p>
    <w:p w14:paraId="417F52B8" w14:textId="77777777" w:rsidR="00A5721F" w:rsidRPr="0012682A" w:rsidRDefault="00A5721F" w:rsidP="00A5721F">
      <w:pPr>
        <w:widowControl w:val="0"/>
        <w:autoSpaceDE w:val="0"/>
        <w:autoSpaceDN w:val="0"/>
        <w:spacing w:after="0" w:line="276" w:lineRule="auto"/>
        <w:jc w:val="both"/>
        <w:rPr>
          <w:color w:val="000000" w:themeColor="text1"/>
        </w:rPr>
      </w:pPr>
      <w:r w:rsidRPr="0012682A">
        <w:rPr>
          <w:rFonts w:ascii="Verdana" w:hAnsi="Verdana" w:cs="Arial"/>
          <w:color w:val="FF0000"/>
          <w:shd w:val="clear" w:color="auto" w:fill="FFFFFF"/>
          <w:lang w:val="es-ES_tradnl"/>
        </w:rPr>
        <w:t xml:space="preserve"> </w:t>
      </w:r>
    </w:p>
    <w:p w14:paraId="4C953423" w14:textId="77777777" w:rsidR="00A5721F" w:rsidRPr="0012682A" w:rsidRDefault="00A5721F" w:rsidP="00A5721F">
      <w:pPr>
        <w:jc w:val="both"/>
        <w:rPr>
          <w:rFonts w:ascii="Verdana" w:hAnsi="Verdana"/>
        </w:rPr>
      </w:pPr>
      <w:r w:rsidRPr="0012682A">
        <w:rPr>
          <w:rFonts w:ascii="Verdana" w:hAnsi="Verdana"/>
        </w:rPr>
        <w:lastRenderedPageBreak/>
        <w:t xml:space="preserve">La sostenibilidad no es una opción, es una obligación. Por ello, la Agencia Nacional de Contratación Pública –Colombia Compra Eficiente– te invita a realizar el </w:t>
      </w:r>
      <w:r w:rsidRPr="0012682A">
        <w:rPr>
          <w:rFonts w:ascii="Verdana" w:hAnsi="Verdana"/>
          <w:b/>
          <w:bCs/>
        </w:rPr>
        <w:t>Curso de Contratación Pública Sostenible y Socialmente Responsable</w:t>
      </w:r>
      <w:r w:rsidRPr="0012682A">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2682A">
        <w:rPr>
          <w:rFonts w:ascii="Verdana" w:hAnsi="Verdana"/>
        </w:rPr>
        <w:br/>
      </w:r>
      <w:hyperlink r:id="rId13" w:tgtFrame="_new" w:history="1">
        <w:r w:rsidRPr="0012682A">
          <w:rPr>
            <w:rFonts w:ascii="Verdana" w:hAnsi="Verdana"/>
            <w:color w:val="0000FF"/>
            <w:u w:val="single"/>
          </w:rPr>
          <w:t>https://formacionvirtual.colombiacompra.gov.co/mod/page/view.php?id=3718</w:t>
        </w:r>
      </w:hyperlink>
    </w:p>
    <w:p w14:paraId="12FDEDA5" w14:textId="77777777" w:rsidR="00A5721F" w:rsidRPr="0012682A" w:rsidRDefault="00A5721F" w:rsidP="00A5721F">
      <w:pPr>
        <w:jc w:val="both"/>
        <w:rPr>
          <w:rFonts w:ascii="Verdana" w:hAnsi="Verdana"/>
        </w:rPr>
      </w:pPr>
      <w:r w:rsidRPr="0012682A">
        <w:rPr>
          <w:rFonts w:ascii="Verdana" w:hAnsi="Verdana"/>
        </w:rPr>
        <w:t xml:space="preserve">De otro lado, te contamos que esta Agencia ha da un paso decisivo en la estandarización y modernización del </w:t>
      </w:r>
      <w:r w:rsidRPr="0012682A">
        <w:rPr>
          <w:rFonts w:ascii="Verdana" w:hAnsi="Verdana"/>
          <w:b/>
          <w:bCs/>
        </w:rPr>
        <w:t>sector  social</w:t>
      </w:r>
      <w:r w:rsidRPr="0012682A">
        <w:rPr>
          <w:rFonts w:ascii="Verdana" w:hAnsi="Verdana"/>
        </w:rPr>
        <w:t xml:space="preserve"> con la expedición de las </w:t>
      </w:r>
      <w:r w:rsidRPr="0012682A">
        <w:rPr>
          <w:rFonts w:ascii="Verdana" w:hAnsi="Verdana"/>
          <w:b/>
          <w:bCs/>
        </w:rPr>
        <w:t>Resoluciones 539, 540, 541, 952 y 953 de 2025</w:t>
      </w:r>
      <w:r w:rsidRPr="0012682A">
        <w:rPr>
          <w:rFonts w:ascii="Verdana" w:hAnsi="Verdana"/>
        </w:rPr>
        <w:t xml:space="preserve">, </w:t>
      </w:r>
      <w:r w:rsidRPr="0012682A">
        <w:rPr>
          <w:rFonts w:ascii="Verdana" w:hAnsi="Verdana"/>
          <w:b/>
          <w:bCs/>
        </w:rPr>
        <w:t>mediante las cuales adoptó Documentos Tipo</w:t>
      </w:r>
      <w:r w:rsidRPr="0012682A">
        <w:rPr>
          <w:rFonts w:ascii="Verdana" w:hAnsi="Verdana"/>
        </w:rPr>
        <w:t xml:space="preserve"> para las modalidades de selección de</w:t>
      </w:r>
      <w:r w:rsidRPr="0012682A">
        <w:rPr>
          <w:rFonts w:ascii="Verdana" w:hAnsi="Verdana"/>
          <w:b/>
          <w:bCs/>
        </w:rPr>
        <w:t xml:space="preserve"> licitación pública (versión 2), selección abreviada de menor cuantía, mínima cuantía, consultoría e interventoría</w:t>
      </w:r>
      <w:r w:rsidRPr="0012682A">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2682A">
          <w:rPr>
            <w:rFonts w:ascii="Verdana" w:hAnsi="Verdana"/>
            <w:color w:val="0000FF"/>
            <w:u w:val="single"/>
          </w:rPr>
          <w:t>https://www.colombiacompra.gov.co/normativa-y-relatoria/documentos-tipo</w:t>
        </w:r>
      </w:hyperlink>
    </w:p>
    <w:p w14:paraId="32929EFF" w14:textId="77777777" w:rsidR="00A5721F" w:rsidRPr="0012682A" w:rsidRDefault="00A5721F" w:rsidP="00A5721F">
      <w:pPr>
        <w:jc w:val="both"/>
        <w:rPr>
          <w:rFonts w:ascii="Verdana" w:hAnsi="Verdana"/>
          <w:color w:val="000000"/>
          <w:lang w:val="es-ES_tradnl"/>
        </w:rPr>
      </w:pPr>
      <w:r w:rsidRPr="0012682A">
        <w:rPr>
          <w:rFonts w:ascii="Verdana" w:hAnsi="Verdana"/>
        </w:rPr>
        <w:t xml:space="preserve">Si quieres conocer más sobre la aplicación de Documentos Tipo puedes consultar la última versión de la </w:t>
      </w:r>
      <w:r w:rsidRPr="0012682A">
        <w:rPr>
          <w:rFonts w:ascii="Verdana" w:hAnsi="Verdana"/>
          <w:b/>
          <w:bCs/>
        </w:rPr>
        <w:t>Guía para la comprensión e implementación de los Documentos Tipo de obra pública de infraestructura de transporte</w:t>
      </w:r>
      <w:r w:rsidRPr="0012682A">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2682A">
        <w:rPr>
          <w:rFonts w:ascii="Verdana" w:hAnsi="Verdana"/>
        </w:rPr>
        <w:br/>
      </w:r>
      <w:hyperlink r:id="rId15" w:tgtFrame="_new" w:history="1">
        <w:r w:rsidRPr="0012682A">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3DEA5E20" w14:textId="77777777" w:rsidR="00A5721F" w:rsidRPr="0012682A" w:rsidRDefault="00A5721F" w:rsidP="00A5721F">
      <w:pPr>
        <w:spacing w:after="0"/>
        <w:jc w:val="both"/>
        <w:rPr>
          <w:rFonts w:ascii="Verdana" w:hAnsi="Verdana"/>
        </w:rPr>
      </w:pPr>
      <w:r w:rsidRPr="0012682A">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329C205" w14:textId="77777777" w:rsidR="00A5721F" w:rsidRPr="0012682A" w:rsidRDefault="00A5721F" w:rsidP="00A5721F">
      <w:pPr>
        <w:spacing w:after="0"/>
        <w:jc w:val="both"/>
        <w:rPr>
          <w:rFonts w:ascii="Verdana" w:hAnsi="Verdana"/>
        </w:rPr>
      </w:pPr>
    </w:p>
    <w:p w14:paraId="54053632" w14:textId="77777777" w:rsidR="00A5721F" w:rsidRPr="0012682A" w:rsidRDefault="00A5721F" w:rsidP="00A5721F">
      <w:pPr>
        <w:numPr>
          <w:ilvl w:val="0"/>
          <w:numId w:val="15"/>
        </w:numPr>
        <w:spacing w:after="0" w:line="240" w:lineRule="auto"/>
        <w:contextualSpacing/>
        <w:jc w:val="both"/>
        <w:rPr>
          <w:rFonts w:ascii="Verdana" w:eastAsia="Verdana" w:hAnsi="Verdana" w:cs="Verdana"/>
          <w:color w:val="4472C4" w:themeColor="accent1"/>
          <w:u w:val="single"/>
          <w:lang w:val="es-MX"/>
        </w:rPr>
      </w:pPr>
      <w:r w:rsidRPr="0012682A">
        <w:rPr>
          <w:rFonts w:ascii="Verdana" w:eastAsia="Verdana" w:hAnsi="Verdana" w:cs="Verdana"/>
          <w:lang w:val="es-MX"/>
        </w:rPr>
        <w:lastRenderedPageBreak/>
        <w:t xml:space="preserve">Línea nacional gratuita o servicio a la ciudadanía (Mesa de servicio): </w:t>
      </w:r>
      <w:r w:rsidRPr="0012682A">
        <w:rPr>
          <w:rFonts w:ascii="Verdana" w:hAnsi="Verdana"/>
          <w:color w:val="0000FF"/>
          <w:u w:val="single"/>
          <w:lang w:val="es-ES"/>
        </w:rPr>
        <w:t>01800 0520808</w:t>
      </w:r>
    </w:p>
    <w:p w14:paraId="66FD0A15" w14:textId="77777777" w:rsidR="00A5721F" w:rsidRPr="0012682A" w:rsidRDefault="00A5721F" w:rsidP="00A5721F">
      <w:pPr>
        <w:numPr>
          <w:ilvl w:val="0"/>
          <w:numId w:val="15"/>
        </w:numPr>
        <w:spacing w:after="0" w:line="256" w:lineRule="auto"/>
        <w:contextualSpacing/>
        <w:rPr>
          <w:rFonts w:ascii="Verdana" w:eastAsia="Verdana" w:hAnsi="Verdana" w:cs="Verdana"/>
          <w:color w:val="4472C4" w:themeColor="accent1"/>
          <w:u w:val="single"/>
          <w:lang w:val="es-MX"/>
        </w:rPr>
      </w:pPr>
      <w:r w:rsidRPr="0012682A">
        <w:rPr>
          <w:rFonts w:ascii="Verdana" w:eastAsia="Verdana" w:hAnsi="Verdana" w:cs="Verdana"/>
          <w:lang w:val="es-MX"/>
        </w:rPr>
        <w:t>Línea en Bogotá (Mesa de servicio):</w:t>
      </w:r>
      <w:r w:rsidRPr="0012682A">
        <w:rPr>
          <w:rFonts w:ascii="Verdana" w:hAnsi="Verdana"/>
          <w:color w:val="0000FF"/>
          <w:u w:val="single"/>
          <w:lang w:val="es-ES"/>
        </w:rPr>
        <w:t>+57 601 7456788</w:t>
      </w:r>
    </w:p>
    <w:p w14:paraId="1478B361" w14:textId="77777777" w:rsidR="00A5721F" w:rsidRPr="0012682A" w:rsidRDefault="00A5721F" w:rsidP="00A5721F">
      <w:pPr>
        <w:numPr>
          <w:ilvl w:val="0"/>
          <w:numId w:val="15"/>
        </w:numPr>
        <w:spacing w:after="0" w:line="256" w:lineRule="auto"/>
        <w:contextualSpacing/>
        <w:rPr>
          <w:rFonts w:ascii="Verdana" w:eastAsia="Verdana" w:hAnsi="Verdana" w:cs="Verdana"/>
          <w:color w:val="0000FF"/>
          <w:u w:val="single"/>
          <w:lang w:val="es-MX"/>
        </w:rPr>
      </w:pPr>
      <w:r w:rsidRPr="0012682A">
        <w:rPr>
          <w:rFonts w:ascii="Verdana" w:eastAsia="Verdana" w:hAnsi="Verdana" w:cs="Verdana"/>
          <w:lang w:val="es-MX"/>
        </w:rPr>
        <w:t xml:space="preserve">Correo de radicación de correspondencia: </w:t>
      </w:r>
      <w:hyperlink r:id="rId16" w:history="1">
        <w:r w:rsidRPr="0012682A">
          <w:rPr>
            <w:rFonts w:ascii="Verdana" w:eastAsia="Verdana" w:hAnsi="Verdana" w:cs="Verdana"/>
            <w:color w:val="0000FF"/>
            <w:u w:val="single"/>
            <w:lang w:val="es-MX"/>
          </w:rPr>
          <w:t>ventanilladeradicacion@colombiacompra.gov.co</w:t>
        </w:r>
      </w:hyperlink>
    </w:p>
    <w:p w14:paraId="75864B5B" w14:textId="77777777" w:rsidR="00A5721F" w:rsidRPr="0012682A" w:rsidRDefault="00A5721F" w:rsidP="00A5721F">
      <w:pPr>
        <w:numPr>
          <w:ilvl w:val="0"/>
          <w:numId w:val="15"/>
        </w:numPr>
        <w:spacing w:after="0" w:line="256" w:lineRule="auto"/>
        <w:contextualSpacing/>
        <w:rPr>
          <w:rFonts w:ascii="Verdana" w:eastAsia="Verdana" w:hAnsi="Verdana" w:cs="Verdana"/>
          <w:color w:val="0000FF"/>
          <w:u w:val="single"/>
          <w:lang w:val="es-MX"/>
        </w:rPr>
      </w:pPr>
      <w:r w:rsidRPr="0012682A">
        <w:rPr>
          <w:rFonts w:ascii="Verdana" w:eastAsia="Verdana" w:hAnsi="Verdana" w:cs="Verdana"/>
          <w:lang w:val="es-ES"/>
        </w:rPr>
        <w:t xml:space="preserve">Formulario web para PQRSD: </w:t>
      </w:r>
      <w:hyperlink r:id="rId17" w:history="1">
        <w:r w:rsidRPr="0012682A">
          <w:rPr>
            <w:rFonts w:ascii="Verdana" w:eastAsia="Verdana" w:hAnsi="Verdana" w:cs="Verdana"/>
            <w:color w:val="0000FF"/>
            <w:u w:val="single"/>
            <w:lang w:val="es-MX"/>
          </w:rPr>
          <w:t>https://www.colombiacompra.gov.co/pqrsd/informacion-importante-antes-de-formular-una-pqrsd</w:t>
        </w:r>
      </w:hyperlink>
    </w:p>
    <w:p w14:paraId="3C05C7F6" w14:textId="77777777" w:rsidR="00A5721F" w:rsidRPr="0012682A" w:rsidRDefault="00A5721F" w:rsidP="00A5721F">
      <w:pPr>
        <w:spacing w:after="0" w:line="240" w:lineRule="auto"/>
        <w:ind w:left="720"/>
        <w:jc w:val="both"/>
        <w:rPr>
          <w:rFonts w:ascii="Verdana" w:hAnsi="Verdana"/>
        </w:rPr>
      </w:pPr>
    </w:p>
    <w:p w14:paraId="44D50368" w14:textId="77777777" w:rsidR="00A5721F" w:rsidRPr="0012682A" w:rsidRDefault="00A5721F" w:rsidP="00A5721F">
      <w:pPr>
        <w:spacing w:after="0" w:line="240" w:lineRule="auto"/>
        <w:rPr>
          <w:rFonts w:ascii="Verdana" w:hAnsi="Verdana"/>
        </w:rPr>
      </w:pPr>
      <w:r w:rsidRPr="0012682A">
        <w:rPr>
          <w:rFonts w:ascii="Verdana" w:hAnsi="Verdana"/>
        </w:rPr>
        <w:t>Evalúa el servicio que ofrece la Agencia por el canal de atención de PQRSD en el siguiente enlace :</w:t>
      </w:r>
      <w:hyperlink r:id="rId18" w:tgtFrame="_blank" w:tooltip="https://forms.office.com/r/pphywvs2sz" w:history="1">
        <w:r w:rsidRPr="0012682A">
          <w:rPr>
            <w:rFonts w:ascii="Verdana" w:hAnsi="Verdana"/>
            <w:color w:val="0000FF"/>
            <w:u w:val="single"/>
          </w:rPr>
          <w:t>https://forms.office.com/r/pPHyWVs2SZ</w:t>
        </w:r>
      </w:hyperlink>
      <w:r w:rsidRPr="0012682A">
        <w:rPr>
          <w:rFonts w:ascii="Verdana" w:hAnsi="Verdana"/>
        </w:rPr>
        <w:t xml:space="preserve"> .¡Ayúdanos a mejorar porque el compromiso es de todos!</w:t>
      </w:r>
    </w:p>
    <w:p w14:paraId="3AF07ADB" w14:textId="77777777" w:rsidR="00A5721F" w:rsidRPr="0012682A" w:rsidRDefault="00A5721F" w:rsidP="00A5721F">
      <w:pPr>
        <w:spacing w:after="0" w:line="240" w:lineRule="auto"/>
        <w:rPr>
          <w:rFonts w:ascii="Verdana" w:hAnsi="Verdana"/>
        </w:rPr>
      </w:pPr>
    </w:p>
    <w:p w14:paraId="36A607BD" w14:textId="77777777" w:rsidR="00A5721F" w:rsidRPr="0012682A" w:rsidRDefault="00A5721F" w:rsidP="00A5721F">
      <w:pPr>
        <w:spacing w:after="0" w:line="240" w:lineRule="auto"/>
        <w:jc w:val="both"/>
        <w:rPr>
          <w:rFonts w:ascii="Verdana" w:hAnsi="Verdana"/>
        </w:rPr>
      </w:pPr>
      <w:r w:rsidRPr="0012682A">
        <w:rPr>
          <w:rFonts w:ascii="Verdana" w:hAnsi="Verdana"/>
        </w:rPr>
        <w:t xml:space="preserve">Por último, lo invitamos a seguirnos en las redes sociales en las cuales se difunde información institucional: </w:t>
      </w:r>
    </w:p>
    <w:p w14:paraId="1A83B1E2" w14:textId="77777777" w:rsidR="00A5721F" w:rsidRPr="0012682A" w:rsidRDefault="00A5721F" w:rsidP="00A5721F">
      <w:pPr>
        <w:spacing w:after="0" w:line="240" w:lineRule="auto"/>
        <w:jc w:val="both"/>
        <w:rPr>
          <w:rFonts w:ascii="Verdana" w:hAnsi="Verdana"/>
        </w:rPr>
      </w:pPr>
    </w:p>
    <w:p w14:paraId="494BE4DF" w14:textId="77777777" w:rsidR="00A5721F" w:rsidRPr="0012682A" w:rsidRDefault="00A5721F" w:rsidP="00A5721F">
      <w:pPr>
        <w:spacing w:after="0" w:line="240" w:lineRule="auto"/>
        <w:jc w:val="both"/>
        <w:rPr>
          <w:rFonts w:ascii="Verdana" w:hAnsi="Verdana"/>
        </w:rPr>
      </w:pPr>
      <w:r w:rsidRPr="0012682A">
        <w:rPr>
          <w:rFonts w:ascii="Verdana" w:hAnsi="Verdana"/>
        </w:rPr>
        <w:t xml:space="preserve">Twitter: </w:t>
      </w:r>
      <w:r w:rsidRPr="0012682A">
        <w:rPr>
          <w:rFonts w:ascii="Verdana" w:hAnsi="Verdana"/>
          <w:color w:val="0000FF"/>
          <w:u w:val="single"/>
        </w:rPr>
        <w:t>@colombiacompra</w:t>
      </w:r>
      <w:r w:rsidRPr="0012682A">
        <w:rPr>
          <w:rFonts w:ascii="Verdana" w:hAnsi="Verdana"/>
        </w:rPr>
        <w:t xml:space="preserve"> </w:t>
      </w:r>
    </w:p>
    <w:p w14:paraId="7F981A92" w14:textId="77777777" w:rsidR="00A5721F" w:rsidRPr="0012682A" w:rsidRDefault="00A5721F" w:rsidP="00A5721F">
      <w:pPr>
        <w:spacing w:after="0" w:line="240" w:lineRule="auto"/>
        <w:jc w:val="both"/>
        <w:rPr>
          <w:rFonts w:ascii="Verdana" w:hAnsi="Verdana"/>
        </w:rPr>
      </w:pPr>
      <w:r w:rsidRPr="0012682A">
        <w:rPr>
          <w:rFonts w:ascii="Verdana" w:hAnsi="Verdana"/>
        </w:rPr>
        <w:t xml:space="preserve">Facebook: </w:t>
      </w:r>
      <w:proofErr w:type="spellStart"/>
      <w:r w:rsidRPr="0012682A">
        <w:rPr>
          <w:rFonts w:ascii="Verdana" w:hAnsi="Verdana"/>
          <w:color w:val="0000FF"/>
          <w:u w:val="single"/>
        </w:rPr>
        <w:t>ColombiaCompraEficiente</w:t>
      </w:r>
      <w:proofErr w:type="spellEnd"/>
    </w:p>
    <w:p w14:paraId="094051E5" w14:textId="77777777" w:rsidR="00A5721F" w:rsidRPr="0012682A" w:rsidRDefault="00A5721F" w:rsidP="00A5721F">
      <w:pPr>
        <w:spacing w:after="0" w:line="240" w:lineRule="auto"/>
        <w:jc w:val="both"/>
        <w:rPr>
          <w:rFonts w:ascii="Verdana" w:hAnsi="Verdana"/>
        </w:rPr>
      </w:pPr>
      <w:r w:rsidRPr="0012682A">
        <w:rPr>
          <w:rFonts w:ascii="Verdana" w:hAnsi="Verdana"/>
        </w:rPr>
        <w:t xml:space="preserve">LinkedIn: </w:t>
      </w:r>
      <w:r w:rsidRPr="0012682A">
        <w:rPr>
          <w:rFonts w:ascii="Verdana" w:hAnsi="Verdana"/>
          <w:color w:val="0000FF"/>
          <w:u w:val="single"/>
        </w:rPr>
        <w:t>Agencia Nacional de Contratación Pública - Colombia Compra Eficiente</w:t>
      </w:r>
      <w:r w:rsidRPr="0012682A">
        <w:rPr>
          <w:rFonts w:ascii="Verdana" w:hAnsi="Verdana"/>
        </w:rPr>
        <w:t xml:space="preserve"> Instagram: </w:t>
      </w:r>
      <w:r w:rsidRPr="0012682A">
        <w:rPr>
          <w:rFonts w:ascii="Verdana" w:hAnsi="Verdana"/>
          <w:color w:val="0000FF"/>
          <w:u w:val="single"/>
        </w:rPr>
        <w:t>@colombiacompraeficiente_cce</w:t>
      </w:r>
    </w:p>
    <w:p w14:paraId="0392859A" w14:textId="77777777" w:rsidR="00A5721F" w:rsidRPr="0012682A" w:rsidRDefault="00A5721F" w:rsidP="00A5721F">
      <w:pPr>
        <w:widowControl w:val="0"/>
        <w:autoSpaceDE w:val="0"/>
        <w:autoSpaceDN w:val="0"/>
        <w:spacing w:after="120" w:line="276" w:lineRule="auto"/>
        <w:jc w:val="both"/>
        <w:rPr>
          <w:rFonts w:ascii="Verdana" w:hAnsi="Verdana" w:cs="Arial"/>
          <w:color w:val="FF0000"/>
          <w:shd w:val="clear" w:color="auto" w:fill="FFFFFF"/>
          <w:lang w:val="es-ES_tradnl"/>
        </w:rPr>
      </w:pPr>
      <w:r w:rsidRPr="0012682A">
        <w:rPr>
          <w:rFonts w:ascii="Verdana" w:hAnsi="Verdana" w:cs="Arial"/>
          <w:color w:val="FF0000"/>
          <w:shd w:val="clear" w:color="auto" w:fill="FFFFFF"/>
          <w:lang w:val="es-ES_tradnl"/>
        </w:rPr>
        <w:t xml:space="preserve">              </w:t>
      </w:r>
    </w:p>
    <w:p w14:paraId="271C1C65" w14:textId="77777777" w:rsidR="00A5721F" w:rsidRPr="0012682A" w:rsidRDefault="00A5721F" w:rsidP="00A5721F">
      <w:pPr>
        <w:widowControl w:val="0"/>
        <w:autoSpaceDE w:val="0"/>
        <w:autoSpaceDN w:val="0"/>
        <w:spacing w:after="0" w:line="276" w:lineRule="auto"/>
        <w:jc w:val="both"/>
        <w:rPr>
          <w:rFonts w:ascii="Verdana" w:hAnsi="Verdana" w:cs="Arial"/>
          <w:lang w:val="es-ES_tradnl"/>
        </w:rPr>
      </w:pPr>
      <w:r w:rsidRPr="0012682A">
        <w:rPr>
          <w:rFonts w:ascii="Verdana" w:hAnsi="Verdana" w:cs="Arial"/>
        </w:rPr>
        <w:t xml:space="preserve">Este concepto tiene el alcance previsto en el artículo 28 del Código de Procedimiento Administrativo y de lo Contencioso Administrativo </w:t>
      </w:r>
      <w:r w:rsidRPr="0012682A">
        <w:rPr>
          <w:rFonts w:ascii="Verdana" w:hAnsi="Verdana" w:cs="Arial"/>
          <w:lang w:val="es-ES_tradnl"/>
        </w:rPr>
        <w:t>y las expresiones aquí utilizadas con mayúscula inicial deben ser entendidas con el significado que les otorga el artículo 2.2.1.1.1.3.1. del Decreto 1082 de 2015.</w:t>
      </w:r>
    </w:p>
    <w:p w14:paraId="7C7A120C" w14:textId="77777777" w:rsidR="00A5721F" w:rsidRPr="0012682A" w:rsidRDefault="00A5721F" w:rsidP="00A5721F">
      <w:pPr>
        <w:widowControl w:val="0"/>
        <w:autoSpaceDE w:val="0"/>
        <w:autoSpaceDN w:val="0"/>
        <w:spacing w:after="0" w:line="276" w:lineRule="auto"/>
        <w:jc w:val="both"/>
        <w:rPr>
          <w:rFonts w:ascii="Verdana" w:hAnsi="Verdana" w:cs="Arial"/>
        </w:rPr>
      </w:pPr>
    </w:p>
    <w:p w14:paraId="721361E0" w14:textId="77777777" w:rsidR="00A5721F" w:rsidRPr="0012682A" w:rsidRDefault="00A5721F" w:rsidP="00A5721F">
      <w:pPr>
        <w:spacing w:after="0" w:line="240" w:lineRule="auto"/>
        <w:rPr>
          <w:rFonts w:ascii="Verdana" w:hAnsi="Verdana" w:cs="Arial"/>
          <w:lang w:eastAsia="es-CO"/>
        </w:rPr>
      </w:pPr>
      <w:r w:rsidRPr="0012682A">
        <w:rPr>
          <w:rFonts w:ascii="Verdana" w:eastAsia="Times New Roman" w:hAnsi="Verdana" w:cs="Arial"/>
          <w:lang w:eastAsia="es-CO"/>
        </w:rPr>
        <w:t>Atentamente,</w:t>
      </w:r>
      <w:r w:rsidRPr="0012682A">
        <w:rPr>
          <w:rFonts w:ascii="Verdana" w:hAnsi="Verdana" w:cs="Arial"/>
          <w:lang w:eastAsia="es-CO"/>
        </w:rPr>
        <w:t xml:space="preserve"> </w:t>
      </w:r>
    </w:p>
    <w:p w14:paraId="6C9EB09B" w14:textId="713493BD" w:rsidR="00A5721F" w:rsidRDefault="00A5721F" w:rsidP="00A5721F">
      <w:pPr>
        <w:spacing w:line="276" w:lineRule="auto"/>
        <w:jc w:val="center"/>
        <w:rPr>
          <w:rFonts w:ascii="Verdana" w:hAnsi="Verdana" w:cs="Arial"/>
          <w:color w:val="000000"/>
          <w:lang w:val="es-ES_tradnl" w:eastAsia="es-CO"/>
        </w:rPr>
      </w:pPr>
    </w:p>
    <w:p w14:paraId="7CB12085" w14:textId="7B52D9CE" w:rsidR="006C13AB" w:rsidRDefault="007250A9" w:rsidP="007250A9">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68DDA938" wp14:editId="1AB1B671">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400370"/>
                    </a:xfrm>
                    <a:prstGeom prst="rect">
                      <a:avLst/>
                    </a:prstGeom>
                  </pic:spPr>
                </pic:pic>
              </a:graphicData>
            </a:graphic>
          </wp:inline>
        </w:drawing>
      </w:r>
    </w:p>
    <w:p w14:paraId="228FBF12" w14:textId="77777777" w:rsidR="006C13AB" w:rsidRPr="0012682A" w:rsidRDefault="006C13AB" w:rsidP="006C13AB">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5721F" w:rsidRPr="0012682A" w14:paraId="45DAB805" w14:textId="77777777" w:rsidTr="00EA32A5">
        <w:trPr>
          <w:trHeight w:val="315"/>
        </w:trPr>
        <w:tc>
          <w:tcPr>
            <w:tcW w:w="893" w:type="dxa"/>
            <w:vAlign w:val="center"/>
            <w:hideMark/>
          </w:tcPr>
          <w:p w14:paraId="1EEA093F" w14:textId="77777777" w:rsidR="00A5721F" w:rsidRPr="0012682A" w:rsidRDefault="00A5721F" w:rsidP="00EA32A5">
            <w:pPr>
              <w:contextualSpacing/>
              <w:rPr>
                <w:rFonts w:ascii="Verdana" w:hAnsi="Verdana" w:cs="Arial"/>
                <w:sz w:val="16"/>
                <w:szCs w:val="16"/>
                <w:lang w:val="es-ES" w:eastAsia="es-ES"/>
              </w:rPr>
            </w:pPr>
            <w:r w:rsidRPr="0012682A">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13716EC3" w14:textId="3DC7E02D" w:rsidR="00A5721F" w:rsidRPr="0012682A" w:rsidRDefault="006C13AB" w:rsidP="00EA32A5">
            <w:pPr>
              <w:contextualSpacing/>
              <w:rPr>
                <w:rFonts w:ascii="Verdana" w:hAnsi="Verdana"/>
                <w:sz w:val="16"/>
                <w:szCs w:val="16"/>
              </w:rPr>
            </w:pPr>
            <w:r>
              <w:rPr>
                <w:rFonts w:ascii="Verdana" w:hAnsi="Verdana"/>
                <w:sz w:val="16"/>
                <w:szCs w:val="16"/>
              </w:rPr>
              <w:t xml:space="preserve">Camilo J Martínez M </w:t>
            </w:r>
          </w:p>
          <w:p w14:paraId="01B2DD26" w14:textId="77777777" w:rsidR="00A5721F" w:rsidRPr="0012682A" w:rsidRDefault="00A5721F" w:rsidP="00EA32A5">
            <w:pPr>
              <w:contextualSpacing/>
              <w:rPr>
                <w:rFonts w:ascii="Verdana" w:eastAsia="Arial" w:hAnsi="Verdana" w:cs="Arial"/>
                <w:sz w:val="16"/>
                <w:szCs w:val="16"/>
              </w:rPr>
            </w:pPr>
            <w:r w:rsidRPr="0012682A">
              <w:rPr>
                <w:rFonts w:ascii="Verdana" w:hAnsi="Verdana"/>
                <w:sz w:val="16"/>
                <w:szCs w:val="16"/>
              </w:rPr>
              <w:t>Contratista de la Subdirección de Gestión Contractual</w:t>
            </w:r>
          </w:p>
        </w:tc>
      </w:tr>
      <w:tr w:rsidR="00A5721F" w:rsidRPr="0012682A" w14:paraId="6D1FA99F" w14:textId="77777777" w:rsidTr="00EA32A5">
        <w:trPr>
          <w:trHeight w:val="330"/>
        </w:trPr>
        <w:tc>
          <w:tcPr>
            <w:tcW w:w="893" w:type="dxa"/>
            <w:vAlign w:val="center"/>
            <w:hideMark/>
          </w:tcPr>
          <w:p w14:paraId="72D28104" w14:textId="77777777" w:rsidR="00A5721F" w:rsidRPr="0012682A" w:rsidRDefault="00A5721F" w:rsidP="00EA32A5">
            <w:pPr>
              <w:contextualSpacing/>
              <w:rPr>
                <w:rFonts w:ascii="Verdana" w:hAnsi="Verdana" w:cs="Arial"/>
                <w:sz w:val="16"/>
                <w:szCs w:val="16"/>
                <w:lang w:val="es-ES" w:eastAsia="es-ES"/>
              </w:rPr>
            </w:pPr>
            <w:r w:rsidRPr="0012682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0AC6833" w14:textId="55BA9009" w:rsidR="00A5721F" w:rsidRPr="0012682A" w:rsidRDefault="006C13AB" w:rsidP="00EA32A5">
            <w:pPr>
              <w:spacing w:before="100" w:beforeAutospacing="1" w:afterAutospacing="1"/>
              <w:contextualSpacing/>
              <w:textAlignment w:val="baseline"/>
              <w:rPr>
                <w:rFonts w:ascii="Verdana" w:eastAsia="Times New Roman" w:hAnsi="Verdana" w:cs="Arial"/>
                <w:sz w:val="16"/>
                <w:szCs w:val="16"/>
                <w:lang w:val="es-ES" w:eastAsia="es-ES_tradnl"/>
              </w:rPr>
            </w:pPr>
            <w:r>
              <w:rPr>
                <w:rFonts w:ascii="Verdana" w:eastAsia="Times New Roman" w:hAnsi="Verdana" w:cs="Arial"/>
                <w:sz w:val="16"/>
                <w:szCs w:val="16"/>
                <w:lang w:val="es-ES" w:eastAsia="es-ES_tradnl"/>
              </w:rPr>
              <w:t xml:space="preserve">Adriana López Rodríguez </w:t>
            </w:r>
          </w:p>
          <w:p w14:paraId="412615D0" w14:textId="77777777" w:rsidR="00A5721F" w:rsidRPr="0012682A" w:rsidRDefault="00A5721F" w:rsidP="00EA32A5">
            <w:pPr>
              <w:contextualSpacing/>
              <w:textAlignment w:val="baseline"/>
              <w:rPr>
                <w:rFonts w:ascii="Verdana" w:eastAsia="Times New Roman" w:hAnsi="Verdana" w:cs="Segoe UI"/>
                <w:sz w:val="16"/>
                <w:szCs w:val="16"/>
                <w:lang w:eastAsia="es-ES_tradnl"/>
              </w:rPr>
            </w:pPr>
            <w:r w:rsidRPr="0012682A">
              <w:rPr>
                <w:rFonts w:ascii="Verdana" w:eastAsia="Times New Roman" w:hAnsi="Verdana" w:cs="Arial"/>
                <w:sz w:val="16"/>
                <w:szCs w:val="16"/>
                <w:lang w:val="es-ES" w:eastAsia="es-ES_tradnl"/>
              </w:rPr>
              <w:t>Gestor T1 ‒ 15 de la Subdirección de Gestión Contractual</w:t>
            </w:r>
            <w:r w:rsidRPr="0012682A">
              <w:rPr>
                <w:rFonts w:ascii="Verdana" w:eastAsia="Times New Roman" w:hAnsi="Verdana" w:cs="Arial"/>
                <w:sz w:val="16"/>
                <w:szCs w:val="16"/>
                <w:lang w:eastAsia="es-ES_tradnl"/>
              </w:rPr>
              <w:t> </w:t>
            </w:r>
          </w:p>
        </w:tc>
      </w:tr>
      <w:tr w:rsidR="00A5721F" w:rsidRPr="0012682A" w14:paraId="26CC106B" w14:textId="77777777" w:rsidTr="00EA32A5">
        <w:trPr>
          <w:trHeight w:val="300"/>
        </w:trPr>
        <w:tc>
          <w:tcPr>
            <w:tcW w:w="893" w:type="dxa"/>
            <w:vAlign w:val="center"/>
          </w:tcPr>
          <w:p w14:paraId="72BB2987" w14:textId="77777777" w:rsidR="00A5721F" w:rsidRPr="0012682A" w:rsidRDefault="00A5721F" w:rsidP="00EA32A5">
            <w:pPr>
              <w:contextualSpacing/>
              <w:rPr>
                <w:rFonts w:ascii="Verdana" w:hAnsi="Verdana" w:cs="Arial"/>
                <w:sz w:val="16"/>
                <w:szCs w:val="16"/>
                <w:lang w:val="es-ES" w:eastAsia="es-ES"/>
              </w:rPr>
            </w:pPr>
            <w:r w:rsidRPr="0012682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135081F" w14:textId="77777777" w:rsidR="00A5721F" w:rsidRPr="0012682A" w:rsidRDefault="00A5721F" w:rsidP="00EA32A5">
            <w:pPr>
              <w:contextualSpacing/>
              <w:rPr>
                <w:rFonts w:ascii="Verdana" w:eastAsia="Calibri" w:hAnsi="Verdana" w:cs="Arial"/>
                <w:sz w:val="16"/>
                <w:szCs w:val="16"/>
                <w:lang w:val="pt-BR" w:eastAsia="es-ES"/>
              </w:rPr>
            </w:pPr>
            <w:r w:rsidRPr="0012682A">
              <w:rPr>
                <w:rFonts w:ascii="Verdana" w:eastAsia="Calibri" w:hAnsi="Verdana" w:cs="Arial"/>
                <w:sz w:val="16"/>
                <w:szCs w:val="16"/>
                <w:lang w:val="pt-BR" w:eastAsia="es-ES"/>
              </w:rPr>
              <w:t xml:space="preserve">Carolina Quintero </w:t>
            </w:r>
            <w:proofErr w:type="spellStart"/>
            <w:r w:rsidRPr="0012682A">
              <w:rPr>
                <w:rFonts w:ascii="Verdana" w:eastAsia="Calibri" w:hAnsi="Verdana" w:cs="Arial"/>
                <w:sz w:val="16"/>
                <w:szCs w:val="16"/>
                <w:lang w:val="pt-BR" w:eastAsia="es-ES"/>
              </w:rPr>
              <w:t>Gacharná</w:t>
            </w:r>
            <w:proofErr w:type="spellEnd"/>
          </w:p>
          <w:p w14:paraId="3A854C47" w14:textId="77777777" w:rsidR="00A5721F" w:rsidRPr="0012682A" w:rsidRDefault="00A5721F" w:rsidP="00EA32A5">
            <w:pPr>
              <w:contextualSpacing/>
              <w:rPr>
                <w:rFonts w:ascii="Verdana" w:eastAsia="Calibri" w:hAnsi="Verdana" w:cs="Arial"/>
                <w:sz w:val="16"/>
                <w:szCs w:val="16"/>
                <w:lang w:val="pt-BR" w:eastAsia="es-ES"/>
              </w:rPr>
            </w:pPr>
            <w:r w:rsidRPr="0012682A">
              <w:rPr>
                <w:rFonts w:ascii="Verdana" w:eastAsia="Calibri" w:hAnsi="Verdana" w:cs="Arial"/>
                <w:sz w:val="16"/>
                <w:szCs w:val="16"/>
                <w:lang w:eastAsia="es-ES"/>
              </w:rPr>
              <w:t>Subdirectora</w:t>
            </w:r>
            <w:r w:rsidRPr="0012682A">
              <w:rPr>
                <w:rFonts w:ascii="Verdana" w:eastAsia="Calibri" w:hAnsi="Verdana" w:cs="Arial"/>
                <w:sz w:val="16"/>
                <w:szCs w:val="16"/>
                <w:lang w:val="pt-BR" w:eastAsia="es-ES"/>
              </w:rPr>
              <w:t xml:space="preserve"> de Gestión Contratual ANCP – CCE</w:t>
            </w:r>
          </w:p>
        </w:tc>
      </w:tr>
    </w:tbl>
    <w:p w14:paraId="5B5946ED" w14:textId="1BB7FF9D" w:rsidR="00432DF4" w:rsidRDefault="00A5721F" w:rsidP="0090146C">
      <w:r w:rsidRPr="0012682A">
        <w:t xml:space="preserve"> </w:t>
      </w:r>
      <w:bookmarkEnd w:id="0"/>
    </w:p>
    <w:p w14:paraId="7ED71708" w14:textId="77777777" w:rsidR="006C13AB" w:rsidRDefault="006C13AB" w:rsidP="0090146C"/>
    <w:p w14:paraId="17821018" w14:textId="14F4B303" w:rsidR="006C13AB" w:rsidRPr="0090146C" w:rsidRDefault="006C13AB" w:rsidP="0090146C"/>
    <w:sectPr w:rsidR="006C13AB" w:rsidRPr="0090146C"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244113" w14:textId="77777777" w:rsidR="0085752B" w:rsidRDefault="0085752B" w:rsidP="004A1847">
      <w:pPr>
        <w:spacing w:after="0" w:line="240" w:lineRule="auto"/>
      </w:pPr>
      <w:r>
        <w:separator/>
      </w:r>
    </w:p>
  </w:endnote>
  <w:endnote w:type="continuationSeparator" w:id="0">
    <w:p w14:paraId="64C08B9B" w14:textId="77777777" w:rsidR="0085752B" w:rsidRDefault="0085752B" w:rsidP="004A1847">
      <w:pPr>
        <w:spacing w:after="0" w:line="240" w:lineRule="auto"/>
      </w:pPr>
      <w:r>
        <w:continuationSeparator/>
      </w:r>
    </w:p>
  </w:endnote>
  <w:endnote w:type="continuationNotice" w:id="1">
    <w:p w14:paraId="49A70254" w14:textId="77777777" w:rsidR="0085752B" w:rsidRDefault="008575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F0920E" w14:textId="77777777" w:rsidR="0085752B" w:rsidRDefault="0085752B" w:rsidP="004A1847">
      <w:pPr>
        <w:spacing w:after="0" w:line="240" w:lineRule="auto"/>
      </w:pPr>
      <w:r>
        <w:separator/>
      </w:r>
    </w:p>
  </w:footnote>
  <w:footnote w:type="continuationSeparator" w:id="0">
    <w:p w14:paraId="74DDF149" w14:textId="77777777" w:rsidR="0085752B" w:rsidRDefault="0085752B" w:rsidP="004A1847">
      <w:pPr>
        <w:spacing w:after="0" w:line="240" w:lineRule="auto"/>
      </w:pPr>
      <w:r>
        <w:continuationSeparator/>
      </w:r>
    </w:p>
  </w:footnote>
  <w:footnote w:type="continuationNotice" w:id="1">
    <w:p w14:paraId="6BF7BBF8" w14:textId="77777777" w:rsidR="0085752B" w:rsidRDefault="0085752B">
      <w:pPr>
        <w:spacing w:after="0" w:line="240" w:lineRule="auto"/>
      </w:pPr>
    </w:p>
  </w:footnote>
  <w:footnote w:id="2">
    <w:p w14:paraId="734F9AD0" w14:textId="77777777" w:rsidR="00A5721F" w:rsidRPr="00B05796" w:rsidRDefault="00A5721F" w:rsidP="00A5721F">
      <w:pPr>
        <w:pStyle w:val="Textonotapie"/>
        <w:ind w:firstLine="709"/>
        <w:contextualSpacing/>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FF301BE" w14:textId="77777777" w:rsidR="00A5721F" w:rsidRPr="00B05796" w:rsidRDefault="00A5721F" w:rsidP="00A5721F">
      <w:pPr>
        <w:pStyle w:val="Textonotapie"/>
        <w:ind w:firstLine="709"/>
        <w:contextualSpacing/>
        <w:jc w:val="both"/>
        <w:rPr>
          <w:rFonts w:ascii="Verdana" w:hAnsi="Verdana" w:cs="Arial"/>
          <w:sz w:val="16"/>
          <w:szCs w:val="16"/>
        </w:rPr>
      </w:pPr>
      <w:r w:rsidRPr="00B05796">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3896AA52" w14:textId="77777777" w:rsidR="00A5721F" w:rsidRPr="00B05796" w:rsidRDefault="00A5721F" w:rsidP="00A5721F">
      <w:pPr>
        <w:pStyle w:val="Textonotapie"/>
        <w:ind w:firstLine="709"/>
        <w:contextualSpacing/>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Gaceta del Congreso de la República No. 71 del 2005.</w:t>
      </w:r>
    </w:p>
  </w:footnote>
  <w:footnote w:id="4">
    <w:p w14:paraId="0710CC88" w14:textId="77777777" w:rsidR="00A5721F" w:rsidRPr="0043584A" w:rsidRDefault="00A5721F" w:rsidP="00A5721F">
      <w:pPr>
        <w:pStyle w:val="Textonotapie"/>
        <w:ind w:firstLine="709"/>
        <w:contextualSpacing/>
        <w:jc w:val="both"/>
        <w:rPr>
          <w:rFonts w:ascii="Verdana" w:hAnsi="Verdana" w:cs="Arial"/>
          <w:sz w:val="16"/>
          <w:szCs w:val="16"/>
          <w:lang w:val="pt-BR"/>
        </w:rPr>
      </w:pPr>
      <w:r w:rsidRPr="00B05796">
        <w:rPr>
          <w:rStyle w:val="Refdenotaalpie"/>
          <w:rFonts w:ascii="Verdana" w:hAnsi="Verdana" w:cs="Arial"/>
          <w:sz w:val="16"/>
          <w:szCs w:val="16"/>
        </w:rPr>
        <w:footnoteRef/>
      </w:r>
      <w:r w:rsidRPr="0043584A">
        <w:rPr>
          <w:rFonts w:ascii="Verdana" w:hAnsi="Verdana" w:cs="Arial"/>
          <w:sz w:val="16"/>
          <w:szCs w:val="16"/>
          <w:lang w:val="pt-BR"/>
        </w:rPr>
        <w:t xml:space="preserve"> Corte Constitucional, Sentencia C- 1153 de 2005, M.P. Marco Gerardo Monroy Cabra.</w:t>
      </w:r>
    </w:p>
  </w:footnote>
  <w:footnote w:id="5">
    <w:p w14:paraId="2A832E7C" w14:textId="77777777" w:rsidR="00A5721F" w:rsidRPr="0043584A" w:rsidRDefault="00A5721F" w:rsidP="00A5721F">
      <w:pPr>
        <w:pStyle w:val="Textonotapie"/>
        <w:ind w:firstLine="709"/>
        <w:contextualSpacing/>
        <w:jc w:val="both"/>
        <w:rPr>
          <w:rFonts w:ascii="Verdana" w:hAnsi="Verdana" w:cs="Arial"/>
          <w:sz w:val="16"/>
          <w:szCs w:val="16"/>
          <w:lang w:val="pt-BR"/>
        </w:rPr>
      </w:pPr>
      <w:r w:rsidRPr="00B05796">
        <w:rPr>
          <w:rStyle w:val="Refdenotaalpie"/>
          <w:rFonts w:ascii="Verdana" w:hAnsi="Verdana" w:cs="Arial"/>
          <w:sz w:val="16"/>
          <w:szCs w:val="16"/>
        </w:rPr>
        <w:footnoteRef/>
      </w:r>
      <w:r w:rsidRPr="0043584A">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059B23EA" w14:textId="77777777" w:rsidR="00A5721F" w:rsidRPr="00B05796" w:rsidRDefault="00A5721F" w:rsidP="00A5721F">
      <w:pPr>
        <w:pStyle w:val="Textonotapie"/>
        <w:ind w:firstLine="709"/>
        <w:contextualSpacing/>
        <w:jc w:val="both"/>
        <w:rPr>
          <w:rFonts w:ascii="Verdana" w:hAnsi="Verdana" w:cs="Arial"/>
          <w:sz w:val="16"/>
          <w:szCs w:val="16"/>
          <w:lang w:val="es-CO"/>
        </w:rPr>
      </w:pPr>
      <w:r w:rsidRPr="00B05796">
        <w:rPr>
          <w:rStyle w:val="Refdenotaalpie"/>
          <w:rFonts w:ascii="Verdana" w:hAnsi="Verdana" w:cs="Arial"/>
          <w:sz w:val="16"/>
          <w:szCs w:val="16"/>
        </w:rPr>
        <w:footnoteRef/>
      </w:r>
      <w:r w:rsidRPr="00B05796">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2BBD8BD2" w14:textId="77777777" w:rsidR="00A5721F" w:rsidRPr="00B05796" w:rsidRDefault="00A5721F" w:rsidP="00A5721F">
      <w:pPr>
        <w:pStyle w:val="Textonotapie"/>
        <w:ind w:firstLine="709"/>
        <w:contextualSpacing/>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Consejo de Estado, Sala de Consulta y Servicio Civil de fecha 24 de julio de 2013, radicado 2166, Consejero Ponente: Álvaro Namén Vargas.  </w:t>
      </w:r>
    </w:p>
  </w:footnote>
  <w:footnote w:id="8">
    <w:p w14:paraId="21A9B987" w14:textId="77777777" w:rsidR="00A5721F" w:rsidRPr="00B05796" w:rsidRDefault="00A5721F" w:rsidP="00A5721F">
      <w:pPr>
        <w:spacing w:after="0" w:line="240" w:lineRule="auto"/>
        <w:ind w:firstLine="709"/>
        <w:contextualSpacing/>
        <w:jc w:val="both"/>
        <w:rPr>
          <w:rFonts w:ascii="Verdana" w:eastAsia="Times New Roman"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w:t>
      </w:r>
      <w:bookmarkStart w:id="7" w:name="33"/>
      <w:r w:rsidRPr="00B05796">
        <w:rPr>
          <w:rFonts w:ascii="Verdana" w:eastAsia="Calibri" w:hAnsi="Verdana" w:cs="Arial"/>
          <w:color w:val="000000"/>
          <w:sz w:val="16"/>
          <w:szCs w:val="16"/>
        </w:rPr>
        <w:t>“</w:t>
      </w:r>
      <w:r w:rsidRPr="00B05796">
        <w:rPr>
          <w:rFonts w:ascii="Verdana" w:eastAsia="Times New Roman" w:hAnsi="Verdana" w:cs="Arial"/>
          <w:sz w:val="16"/>
          <w:szCs w:val="16"/>
        </w:rPr>
        <w:t>Artículo 33. Restricciones a la contratación pública.</w:t>
      </w:r>
      <w:bookmarkEnd w:id="7"/>
      <w:r w:rsidRPr="00B05796">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073F3967" w14:textId="77777777" w:rsidR="00A5721F" w:rsidRPr="00B05796" w:rsidRDefault="00A5721F" w:rsidP="00A5721F">
      <w:pPr>
        <w:spacing w:after="0" w:line="240" w:lineRule="auto"/>
        <w:ind w:firstLine="709"/>
        <w:contextualSpacing/>
        <w:jc w:val="both"/>
        <w:rPr>
          <w:rFonts w:ascii="Verdana" w:eastAsia="Times New Roman" w:hAnsi="Verdana" w:cs="Arial"/>
          <w:sz w:val="16"/>
          <w:szCs w:val="16"/>
        </w:rPr>
      </w:pPr>
      <w:r w:rsidRPr="00B05796">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05796">
        <w:rPr>
          <w:rFonts w:ascii="Verdana" w:eastAsia="Calibri" w:hAnsi="Verdana" w:cs="Arial"/>
          <w:color w:val="000000"/>
          <w:sz w:val="16"/>
          <w:szCs w:val="16"/>
        </w:rPr>
        <w:t>”</w:t>
      </w:r>
      <w:r w:rsidRPr="00B05796">
        <w:rPr>
          <w:rFonts w:ascii="Verdana" w:eastAsia="Times New Roman" w:hAnsi="Verdana" w:cs="Arial"/>
          <w:sz w:val="16"/>
          <w:szCs w:val="16"/>
        </w:rPr>
        <w:t>.</w:t>
      </w:r>
    </w:p>
  </w:footnote>
  <w:footnote w:id="9">
    <w:p w14:paraId="1F89D13A" w14:textId="77777777" w:rsidR="00A5721F" w:rsidRPr="00B05796" w:rsidRDefault="00A5721F" w:rsidP="00A5721F">
      <w:pPr>
        <w:pStyle w:val="NormalWeb"/>
        <w:spacing w:before="0" w:beforeAutospacing="0" w:after="0" w:afterAutospacing="0"/>
        <w:ind w:firstLine="709"/>
        <w:contextualSpacing/>
        <w:jc w:val="both"/>
        <w:rPr>
          <w:rFonts w:ascii="Verdana" w:hAnsi="Verdana" w:cs="Arial"/>
          <w:sz w:val="16"/>
          <w:szCs w:val="16"/>
          <w:lang w:val="es-MX"/>
        </w:rPr>
      </w:pPr>
      <w:r w:rsidRPr="00B05796">
        <w:rPr>
          <w:rStyle w:val="Refdenotaalpie"/>
          <w:rFonts w:ascii="Verdana" w:hAnsi="Verdana" w:cs="Arial"/>
          <w:sz w:val="16"/>
          <w:szCs w:val="16"/>
        </w:rPr>
        <w:footnoteRef/>
      </w:r>
      <w:r w:rsidRPr="00B05796">
        <w:rPr>
          <w:rFonts w:ascii="Verdana" w:hAnsi="Verdana" w:cs="Arial"/>
          <w:sz w:val="16"/>
          <w:szCs w:val="16"/>
        </w:rPr>
        <w:t xml:space="preserve"> </w:t>
      </w:r>
      <w:bookmarkStart w:id="8" w:name="38"/>
      <w:r w:rsidRPr="00B05796">
        <w:rPr>
          <w:rFonts w:ascii="Verdana" w:eastAsia="Calibri" w:hAnsi="Verdana" w:cs="Arial"/>
          <w:color w:val="000000"/>
          <w:sz w:val="16"/>
          <w:szCs w:val="16"/>
        </w:rPr>
        <w:t>“</w:t>
      </w:r>
      <w:r w:rsidRPr="00B05796">
        <w:rPr>
          <w:rFonts w:ascii="Verdana" w:hAnsi="Verdana" w:cs="Arial"/>
          <w:sz w:val="16"/>
          <w:szCs w:val="16"/>
          <w:lang w:val="es-MX"/>
        </w:rPr>
        <w:t>Artículo 38. Prohibiciones para los servidores públicos. A los empleados del Estado les está prohibido:</w:t>
      </w:r>
      <w:bookmarkEnd w:id="8"/>
    </w:p>
    <w:p w14:paraId="064DF71E" w14:textId="77777777" w:rsidR="00F25E91" w:rsidRDefault="00A5721F" w:rsidP="00A5721F">
      <w:pPr>
        <w:pStyle w:val="NormalWeb"/>
        <w:spacing w:before="0" w:beforeAutospacing="0" w:after="0" w:afterAutospacing="0"/>
        <w:ind w:firstLine="709"/>
        <w:contextualSpacing/>
        <w:jc w:val="both"/>
        <w:rPr>
          <w:rFonts w:ascii="Verdana" w:hAnsi="Verdana" w:cs="Arial"/>
          <w:sz w:val="16"/>
          <w:szCs w:val="16"/>
          <w:lang w:val="es-MX"/>
        </w:rPr>
      </w:pPr>
      <w:r w:rsidRPr="00B05796">
        <w:rPr>
          <w:rFonts w:ascii="Verdana" w:hAnsi="Verdana" w:cs="Arial"/>
          <w:sz w:val="16"/>
          <w:szCs w:val="16"/>
          <w:lang w:val="es-MX"/>
        </w:rPr>
        <w:t>[…]</w:t>
      </w:r>
    </w:p>
    <w:p w14:paraId="13D35069" w14:textId="39BC4273" w:rsidR="00A5721F" w:rsidRPr="00B05796" w:rsidRDefault="00A5721F" w:rsidP="00A5721F">
      <w:pPr>
        <w:pStyle w:val="NormalWeb"/>
        <w:spacing w:before="0" w:beforeAutospacing="0" w:after="0" w:afterAutospacing="0"/>
        <w:ind w:firstLine="709"/>
        <w:contextualSpacing/>
        <w:jc w:val="both"/>
        <w:rPr>
          <w:rFonts w:ascii="Verdana" w:hAnsi="Verdana" w:cs="Arial"/>
          <w:sz w:val="16"/>
          <w:szCs w:val="16"/>
          <w:lang w:val="es-MX"/>
        </w:rPr>
      </w:pPr>
      <w:r w:rsidRPr="00B05796">
        <w:rPr>
          <w:rStyle w:val="baj"/>
          <w:rFonts w:ascii="Verdana" w:eastAsiaTheme="minorEastAsia" w:hAnsi="Verdana" w:cs="Arial"/>
          <w:sz w:val="16"/>
          <w:szCs w:val="16"/>
          <w:lang w:val="es-MX"/>
        </w:rPr>
        <w:t>Parágrafo.</w:t>
      </w:r>
      <w:r w:rsidRPr="00B05796">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05796">
        <w:rPr>
          <w:rFonts w:ascii="Verdana" w:eastAsia="Calibri" w:hAnsi="Verdana" w:cs="Arial"/>
          <w:color w:val="000000"/>
          <w:sz w:val="16"/>
          <w:szCs w:val="16"/>
        </w:rPr>
        <w:t>”</w:t>
      </w:r>
      <w:r w:rsidRPr="00B05796">
        <w:rPr>
          <w:rFonts w:ascii="Verdana" w:hAnsi="Verdana" w:cs="Arial"/>
          <w:sz w:val="16"/>
          <w:szCs w:val="16"/>
          <w:lang w:val="es-MX"/>
        </w:rPr>
        <w:t>.</w:t>
      </w:r>
    </w:p>
  </w:footnote>
  <w:footnote w:id="10">
    <w:p w14:paraId="2CC07907" w14:textId="77777777" w:rsidR="00A5721F" w:rsidRPr="00B05796" w:rsidRDefault="00A5721F" w:rsidP="00A5721F">
      <w:pPr>
        <w:spacing w:after="0" w:line="240" w:lineRule="auto"/>
        <w:ind w:left="100" w:right="244" w:firstLine="709"/>
        <w:contextualSpacing/>
        <w:jc w:val="both"/>
        <w:rPr>
          <w:rFonts w:ascii="Verdana" w:hAnsi="Verdana" w:cs="Arial"/>
          <w:sz w:val="16"/>
          <w:szCs w:val="16"/>
          <w:lang w:val="es-ES"/>
        </w:rPr>
      </w:pPr>
      <w:r w:rsidRPr="00B05796">
        <w:rPr>
          <w:rStyle w:val="Refdenotaalpie"/>
          <w:rFonts w:ascii="Verdana" w:hAnsi="Verdana" w:cs="Arial"/>
          <w:sz w:val="16"/>
          <w:szCs w:val="16"/>
        </w:rPr>
        <w:footnoteRef/>
      </w:r>
      <w:r w:rsidRPr="00B05796">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6EEFD3D0" w14:textId="77777777" w:rsidR="00A5721F" w:rsidRPr="00B05796" w:rsidRDefault="00A5721F" w:rsidP="00A5721F">
      <w:pPr>
        <w:pStyle w:val="Textonotapie"/>
        <w:ind w:right="51"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w:t>
      </w:r>
      <w:r w:rsidRPr="00B05796">
        <w:rPr>
          <w:rFonts w:ascii="Verdana" w:hAnsi="Verdana" w:cs="Arial"/>
          <w:sz w:val="16"/>
          <w:szCs w:val="16"/>
          <w:lang w:val="es-ES"/>
        </w:rPr>
        <w:t xml:space="preserve">[25] </w:t>
      </w:r>
      <w:r w:rsidRPr="00B05796">
        <w:rPr>
          <w:rFonts w:ascii="Verdana" w:hAnsi="Verdana" w:cs="Arial"/>
          <w:sz w:val="16"/>
          <w:szCs w:val="16"/>
        </w:rPr>
        <w:t>Cfr. Consejo de Estado. Sección Tercera. Sentencia de 3 de diciembre de 2007. Radicados: 24.715, 25.206, 25.409, 24.524, 27.834, 25.410, 26.105, 28.244, 31.447 -acumulados-”.</w:t>
      </w:r>
    </w:p>
  </w:footnote>
  <w:footnote w:id="12">
    <w:p w14:paraId="019DBD57" w14:textId="77777777" w:rsidR="00A5721F" w:rsidRPr="00B05796" w:rsidRDefault="00A5721F" w:rsidP="00A5721F">
      <w:pPr>
        <w:pStyle w:val="Textonotapie"/>
        <w:ind w:right="51"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w:t>
      </w:r>
      <w:r w:rsidRPr="00B05796">
        <w:rPr>
          <w:rFonts w:ascii="Verdana" w:hAnsi="Verdana" w:cs="Arial"/>
          <w:sz w:val="16"/>
          <w:szCs w:val="16"/>
          <w:lang w:val="es-ES"/>
        </w:rPr>
        <w:t xml:space="preserve">[26] </w:t>
      </w:r>
      <w:r w:rsidRPr="00B05796">
        <w:rPr>
          <w:rFonts w:ascii="Verdana" w:hAnsi="Verdana" w:cs="Arial"/>
          <w:sz w:val="16"/>
          <w:szCs w:val="16"/>
        </w:rPr>
        <w:t>Al respecto ver el concepto 1712 de 2 de febrero de 2006. Consejo de Estado Sala de Consulta y Servicio Civil”.</w:t>
      </w:r>
    </w:p>
  </w:footnote>
  <w:footnote w:id="13">
    <w:p w14:paraId="1B755FF1" w14:textId="77777777" w:rsidR="00A5721F" w:rsidRPr="00B05796" w:rsidRDefault="00A5721F" w:rsidP="00A5721F">
      <w:pPr>
        <w:pStyle w:val="Textonotapie"/>
        <w:ind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4">
    <w:p w14:paraId="00EE4FE9" w14:textId="77777777" w:rsidR="00A5721F" w:rsidRPr="00B05796" w:rsidRDefault="00A5721F" w:rsidP="00A5721F">
      <w:pPr>
        <w:pStyle w:val="Textonotapie"/>
        <w:ind w:firstLine="709"/>
        <w:jc w:val="both"/>
        <w:rPr>
          <w:rFonts w:ascii="Verdana" w:hAnsi="Verdana" w:cs="Arial"/>
          <w:sz w:val="16"/>
          <w:szCs w:val="16"/>
          <w:lang w:val="es-ES"/>
        </w:rPr>
      </w:pPr>
      <w:r w:rsidRPr="00B05796">
        <w:rPr>
          <w:rStyle w:val="Refdenotaalpie"/>
          <w:rFonts w:ascii="Verdana" w:hAnsi="Verdana" w:cs="Arial"/>
          <w:sz w:val="16"/>
          <w:szCs w:val="16"/>
        </w:rPr>
        <w:footnoteRef/>
      </w:r>
      <w:r w:rsidRPr="00B05796">
        <w:rPr>
          <w:rFonts w:ascii="Verdana" w:hAnsi="Verdana" w:cs="Arial"/>
          <w:sz w:val="16"/>
          <w:szCs w:val="16"/>
        </w:rPr>
        <w:t xml:space="preserve"> </w:t>
      </w:r>
      <w:r w:rsidRPr="00B05796">
        <w:rPr>
          <w:rFonts w:ascii="Verdana" w:hAnsi="Verdana" w:cs="Arial"/>
          <w:sz w:val="16"/>
          <w:szCs w:val="16"/>
          <w:lang w:val="es-ES"/>
        </w:rPr>
        <w:t xml:space="preserve">Artículo 2. </w:t>
      </w:r>
    </w:p>
  </w:footnote>
  <w:footnote w:id="15">
    <w:p w14:paraId="517C54D4" w14:textId="77777777" w:rsidR="00A5721F" w:rsidRPr="00B05796" w:rsidRDefault="00A5721F" w:rsidP="00A5721F">
      <w:pPr>
        <w:pStyle w:val="Textonotapie"/>
        <w:ind w:firstLine="709"/>
        <w:jc w:val="both"/>
        <w:rPr>
          <w:rFonts w:ascii="Verdana" w:hAnsi="Verdana" w:cs="Arial"/>
          <w:sz w:val="16"/>
          <w:szCs w:val="16"/>
          <w:lang w:val="es-ES"/>
        </w:rPr>
      </w:pPr>
      <w:r w:rsidRPr="00B05796">
        <w:rPr>
          <w:rStyle w:val="Refdenotaalpie"/>
          <w:rFonts w:ascii="Verdana" w:hAnsi="Verdana" w:cs="Arial"/>
          <w:sz w:val="16"/>
          <w:szCs w:val="16"/>
        </w:rPr>
        <w:footnoteRef/>
      </w:r>
      <w:r w:rsidRPr="00B05796">
        <w:rPr>
          <w:rFonts w:ascii="Verdana" w:hAnsi="Verdana" w:cs="Arial"/>
          <w:sz w:val="16"/>
          <w:szCs w:val="16"/>
        </w:rPr>
        <w:t xml:space="preserve"> </w:t>
      </w:r>
      <w:r w:rsidRPr="00B05796">
        <w:rPr>
          <w:rFonts w:ascii="Verdana" w:hAnsi="Verdana" w:cs="Arial"/>
          <w:i/>
          <w:sz w:val="16"/>
          <w:szCs w:val="16"/>
          <w:lang w:val="es-ES"/>
        </w:rPr>
        <w:t>Ibidem</w:t>
      </w:r>
      <w:r w:rsidRPr="00B05796">
        <w:rPr>
          <w:rFonts w:ascii="Verdana" w:hAnsi="Verdana" w:cs="Arial"/>
          <w:sz w:val="16"/>
          <w:szCs w:val="16"/>
          <w:lang w:val="es-ES"/>
        </w:rPr>
        <w:t>.</w:t>
      </w:r>
    </w:p>
  </w:footnote>
  <w:footnote w:id="16">
    <w:p w14:paraId="29CF2D89" w14:textId="77777777" w:rsidR="00A5721F" w:rsidRPr="00B05796" w:rsidRDefault="00A5721F" w:rsidP="00A5721F">
      <w:pPr>
        <w:pStyle w:val="Textonotapie"/>
        <w:ind w:firstLine="709"/>
        <w:jc w:val="both"/>
        <w:rPr>
          <w:rFonts w:ascii="Verdana" w:hAnsi="Verdana" w:cs="Arial"/>
          <w:sz w:val="16"/>
          <w:szCs w:val="16"/>
          <w:lang w:val="es-ES"/>
        </w:rPr>
      </w:pPr>
      <w:r w:rsidRPr="00B05796">
        <w:rPr>
          <w:rStyle w:val="Refdenotaalpie"/>
          <w:rFonts w:ascii="Verdana" w:hAnsi="Verdana" w:cs="Arial"/>
          <w:sz w:val="16"/>
          <w:szCs w:val="16"/>
        </w:rPr>
        <w:footnoteRef/>
      </w:r>
      <w:r w:rsidRPr="00B05796">
        <w:rPr>
          <w:rStyle w:val="Refdenotaalpie"/>
          <w:rFonts w:ascii="Verdana" w:hAnsi="Verdana" w:cs="Arial"/>
          <w:sz w:val="16"/>
          <w:szCs w:val="16"/>
        </w:rPr>
        <w:t xml:space="preserve"> </w:t>
      </w:r>
      <w:r w:rsidRPr="00B05796">
        <w:rPr>
          <w:rFonts w:ascii="Verdana" w:hAnsi="Verdana" w:cs="Arial"/>
          <w:sz w:val="16"/>
          <w:szCs w:val="16"/>
          <w:lang w:val="es-ES"/>
        </w:rPr>
        <w:t xml:space="preserve">“[…] A este respecto, cabe recordar que el artículo 860 del Código de Comercio regula la licitación en el derecho privado”. </w:t>
      </w:r>
    </w:p>
  </w:footnote>
  <w:footnote w:id="17">
    <w:p w14:paraId="0C12A64E" w14:textId="77777777" w:rsidR="00A5721F" w:rsidRPr="00B05796" w:rsidRDefault="00A5721F" w:rsidP="00A5721F">
      <w:pPr>
        <w:shd w:val="clear" w:color="auto" w:fill="FFFFFF"/>
        <w:spacing w:after="0"/>
        <w:ind w:firstLine="709"/>
        <w:jc w:val="both"/>
        <w:rPr>
          <w:rFonts w:ascii="Verdana" w:hAnsi="Verdana" w:cs="Arial"/>
          <w:sz w:val="16"/>
          <w:szCs w:val="16"/>
          <w:lang w:val="es-ES"/>
        </w:rPr>
      </w:pPr>
      <w:r w:rsidRPr="00B05796">
        <w:rPr>
          <w:rStyle w:val="Refdenotaalpie"/>
          <w:rFonts w:ascii="Verdana" w:hAnsi="Verdana" w:cs="Arial"/>
          <w:sz w:val="16"/>
          <w:szCs w:val="16"/>
        </w:rPr>
        <w:footnoteRef/>
      </w:r>
      <w:r w:rsidRPr="00B05796">
        <w:rPr>
          <w:rStyle w:val="Refdenotaalpie"/>
          <w:rFonts w:ascii="Verdana" w:hAnsi="Verdana" w:cs="Arial"/>
          <w:sz w:val="16"/>
          <w:szCs w:val="16"/>
        </w:rPr>
        <w:t xml:space="preserve"> </w:t>
      </w:r>
      <w:r w:rsidRPr="00B05796">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8">
    <w:p w14:paraId="4282C764" w14:textId="77777777" w:rsidR="00A5721F" w:rsidRDefault="00A5721F" w:rsidP="00A5721F">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08 de mayo de 2018. Exp. 2.382. C.P. Álvaro Namén Vargas.</w:t>
      </w:r>
    </w:p>
  </w:footnote>
  <w:footnote w:id="19">
    <w:p w14:paraId="2E2824FD" w14:textId="77777777" w:rsidR="00A5721F" w:rsidRPr="00B05796" w:rsidRDefault="00A5721F" w:rsidP="00A5721F">
      <w:pPr>
        <w:pStyle w:val="Textonotapie"/>
        <w:ind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0">
    <w:p w14:paraId="551FD9B2" w14:textId="77777777" w:rsidR="00A5721F" w:rsidRPr="00B05796" w:rsidRDefault="00A5721F" w:rsidP="00A5721F">
      <w:pPr>
        <w:spacing w:after="0"/>
        <w:ind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1">
    <w:p w14:paraId="41EF6F0F" w14:textId="77777777" w:rsidR="00A5721F" w:rsidRPr="00B05796" w:rsidRDefault="00A5721F" w:rsidP="00A5721F">
      <w:pPr>
        <w:pStyle w:val="Textonotapie"/>
        <w:ind w:right="51"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w:t>
      </w:r>
      <w:bookmarkStart w:id="19" w:name="_Hlk75633115"/>
      <w:r w:rsidRPr="00B05796">
        <w:rPr>
          <w:rFonts w:ascii="Verdana" w:hAnsi="Verdana" w:cs="Arial"/>
          <w:sz w:val="16"/>
          <w:szCs w:val="16"/>
        </w:rPr>
        <w:t xml:space="preserve">Consejo de Estado. Sala de Consulta y Servicio Civil. Concepto </w:t>
      </w:r>
      <w:bookmarkEnd w:id="19"/>
      <w:r w:rsidRPr="00B05796">
        <w:rPr>
          <w:rFonts w:ascii="Verdana" w:hAnsi="Verdana" w:cs="Arial"/>
          <w:sz w:val="16"/>
          <w:szCs w:val="16"/>
        </w:rPr>
        <w:t>de 6 de abril de 2006. Radicación Número: 11001-03-06-000-2006-00038-00(1738). Consejero Ponente: Enrique José Arboleda Perdomo:</w:t>
      </w:r>
      <w:r w:rsidRPr="00B05796">
        <w:rPr>
          <w:rFonts w:ascii="Verdana" w:eastAsia="Times New Roman" w:hAnsi="Verdana" w:cs="Arial"/>
          <w:bCs/>
          <w:sz w:val="16"/>
          <w:szCs w:val="16"/>
          <w:lang w:eastAsia="x-none"/>
        </w:rPr>
        <w:t xml:space="preserve"> “</w:t>
      </w:r>
      <w:r w:rsidRPr="00B05796">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B05796">
        <w:rPr>
          <w:rFonts w:ascii="Verdana" w:eastAsia="Times New Roman" w:hAnsi="Verdana" w:cs="Arial"/>
          <w:bCs/>
          <w:sz w:val="16"/>
          <w:szCs w:val="16"/>
          <w:lang w:eastAsia="x-none"/>
        </w:rPr>
        <w:t>”.</w:t>
      </w:r>
    </w:p>
  </w:footnote>
  <w:footnote w:id="22">
    <w:p w14:paraId="198473C9" w14:textId="77777777" w:rsidR="00A5721F" w:rsidRPr="00F95083" w:rsidRDefault="00A5721F" w:rsidP="00A5721F">
      <w:pPr>
        <w:spacing w:after="0" w:line="240" w:lineRule="auto"/>
        <w:ind w:firstLine="708"/>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 6 de abril de 2006. Radicación Número: 11001-03-06-000-2006-00038-00(1738). Consejero Ponente: Enrique José Arboleda Perdomo. </w:t>
      </w:r>
    </w:p>
  </w:footnote>
  <w:footnote w:id="23">
    <w:p w14:paraId="095A97A0" w14:textId="77777777" w:rsidR="00A5721F" w:rsidRPr="00F95083" w:rsidRDefault="00A5721F" w:rsidP="00A5721F">
      <w:pPr>
        <w:pStyle w:val="Textonotapie"/>
        <w:ind w:right="51"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ídem.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B11"/>
    <w:rsid w:val="00007981"/>
    <w:rsid w:val="00016F78"/>
    <w:rsid w:val="000210A4"/>
    <w:rsid w:val="0002660F"/>
    <w:rsid w:val="00027635"/>
    <w:rsid w:val="00037699"/>
    <w:rsid w:val="00046945"/>
    <w:rsid w:val="000528E1"/>
    <w:rsid w:val="00057891"/>
    <w:rsid w:val="00061B2A"/>
    <w:rsid w:val="00072B64"/>
    <w:rsid w:val="000746B0"/>
    <w:rsid w:val="00082362"/>
    <w:rsid w:val="00085A6F"/>
    <w:rsid w:val="00097C9F"/>
    <w:rsid w:val="000A08C8"/>
    <w:rsid w:val="000A10B1"/>
    <w:rsid w:val="000A340E"/>
    <w:rsid w:val="000A683E"/>
    <w:rsid w:val="000A7657"/>
    <w:rsid w:val="000B19B9"/>
    <w:rsid w:val="000D0334"/>
    <w:rsid w:val="000D5DA7"/>
    <w:rsid w:val="000E6737"/>
    <w:rsid w:val="000F3FFE"/>
    <w:rsid w:val="000F6120"/>
    <w:rsid w:val="000F6486"/>
    <w:rsid w:val="00116940"/>
    <w:rsid w:val="00125105"/>
    <w:rsid w:val="00127233"/>
    <w:rsid w:val="001274C5"/>
    <w:rsid w:val="00140EF6"/>
    <w:rsid w:val="00141295"/>
    <w:rsid w:val="001441C1"/>
    <w:rsid w:val="00153F2A"/>
    <w:rsid w:val="0015699B"/>
    <w:rsid w:val="00162E9F"/>
    <w:rsid w:val="0018312D"/>
    <w:rsid w:val="001860FC"/>
    <w:rsid w:val="00191743"/>
    <w:rsid w:val="00193F34"/>
    <w:rsid w:val="00196289"/>
    <w:rsid w:val="001970CC"/>
    <w:rsid w:val="001A1653"/>
    <w:rsid w:val="001A33BF"/>
    <w:rsid w:val="001A6226"/>
    <w:rsid w:val="001B2830"/>
    <w:rsid w:val="001B3C8B"/>
    <w:rsid w:val="001E38FF"/>
    <w:rsid w:val="001E4177"/>
    <w:rsid w:val="001F0B24"/>
    <w:rsid w:val="001F7DC6"/>
    <w:rsid w:val="00200FAB"/>
    <w:rsid w:val="00202C5B"/>
    <w:rsid w:val="00212EF8"/>
    <w:rsid w:val="0022400B"/>
    <w:rsid w:val="00225408"/>
    <w:rsid w:val="00237D11"/>
    <w:rsid w:val="002421BB"/>
    <w:rsid w:val="0024362E"/>
    <w:rsid w:val="002446BB"/>
    <w:rsid w:val="0025102C"/>
    <w:rsid w:val="002529DB"/>
    <w:rsid w:val="00256448"/>
    <w:rsid w:val="002577E0"/>
    <w:rsid w:val="0025796E"/>
    <w:rsid w:val="0026007D"/>
    <w:rsid w:val="002707A2"/>
    <w:rsid w:val="002951A0"/>
    <w:rsid w:val="002962BC"/>
    <w:rsid w:val="002A06C9"/>
    <w:rsid w:val="002A093D"/>
    <w:rsid w:val="002A0DD0"/>
    <w:rsid w:val="002A49AC"/>
    <w:rsid w:val="002A64FD"/>
    <w:rsid w:val="002C5615"/>
    <w:rsid w:val="002C7A84"/>
    <w:rsid w:val="002E2BF8"/>
    <w:rsid w:val="002E4F32"/>
    <w:rsid w:val="002E4FD9"/>
    <w:rsid w:val="002E7EDF"/>
    <w:rsid w:val="002F447A"/>
    <w:rsid w:val="0030657A"/>
    <w:rsid w:val="00311E44"/>
    <w:rsid w:val="00312630"/>
    <w:rsid w:val="00321768"/>
    <w:rsid w:val="00322A85"/>
    <w:rsid w:val="00324168"/>
    <w:rsid w:val="003302D5"/>
    <w:rsid w:val="00330834"/>
    <w:rsid w:val="003448F4"/>
    <w:rsid w:val="0035584B"/>
    <w:rsid w:val="00356D37"/>
    <w:rsid w:val="00360A88"/>
    <w:rsid w:val="00362499"/>
    <w:rsid w:val="00363662"/>
    <w:rsid w:val="00367908"/>
    <w:rsid w:val="00373C6A"/>
    <w:rsid w:val="00374F5E"/>
    <w:rsid w:val="0037773D"/>
    <w:rsid w:val="00377E3E"/>
    <w:rsid w:val="003821C5"/>
    <w:rsid w:val="0038373C"/>
    <w:rsid w:val="00384114"/>
    <w:rsid w:val="003A4BFC"/>
    <w:rsid w:val="003A779E"/>
    <w:rsid w:val="003B05B3"/>
    <w:rsid w:val="003B2A5B"/>
    <w:rsid w:val="003D0F4D"/>
    <w:rsid w:val="003D5B0D"/>
    <w:rsid w:val="003E0499"/>
    <w:rsid w:val="003E4F80"/>
    <w:rsid w:val="003E6439"/>
    <w:rsid w:val="003F1752"/>
    <w:rsid w:val="003F2F96"/>
    <w:rsid w:val="003F3941"/>
    <w:rsid w:val="0040472C"/>
    <w:rsid w:val="00406575"/>
    <w:rsid w:val="00414C74"/>
    <w:rsid w:val="00416E05"/>
    <w:rsid w:val="0042722E"/>
    <w:rsid w:val="00432DF4"/>
    <w:rsid w:val="00441B18"/>
    <w:rsid w:val="0044347C"/>
    <w:rsid w:val="0044528D"/>
    <w:rsid w:val="004461E6"/>
    <w:rsid w:val="00447D54"/>
    <w:rsid w:val="0045139E"/>
    <w:rsid w:val="0045236E"/>
    <w:rsid w:val="00455707"/>
    <w:rsid w:val="00456559"/>
    <w:rsid w:val="00463DAD"/>
    <w:rsid w:val="00466E39"/>
    <w:rsid w:val="004828B0"/>
    <w:rsid w:val="00493582"/>
    <w:rsid w:val="004957D6"/>
    <w:rsid w:val="00497C19"/>
    <w:rsid w:val="004A1847"/>
    <w:rsid w:val="004A26D5"/>
    <w:rsid w:val="004A305D"/>
    <w:rsid w:val="004A487D"/>
    <w:rsid w:val="004B3951"/>
    <w:rsid w:val="004B6B14"/>
    <w:rsid w:val="004C18D4"/>
    <w:rsid w:val="004C3364"/>
    <w:rsid w:val="004C36B2"/>
    <w:rsid w:val="004C3C7E"/>
    <w:rsid w:val="004D6489"/>
    <w:rsid w:val="004D6793"/>
    <w:rsid w:val="004D6B03"/>
    <w:rsid w:val="004F21C4"/>
    <w:rsid w:val="004F2BD9"/>
    <w:rsid w:val="004F685F"/>
    <w:rsid w:val="005025FD"/>
    <w:rsid w:val="0050381F"/>
    <w:rsid w:val="005203F7"/>
    <w:rsid w:val="00521278"/>
    <w:rsid w:val="00540C10"/>
    <w:rsid w:val="005450B2"/>
    <w:rsid w:val="0054525A"/>
    <w:rsid w:val="00545838"/>
    <w:rsid w:val="00552210"/>
    <w:rsid w:val="005566E8"/>
    <w:rsid w:val="00570D2B"/>
    <w:rsid w:val="00573737"/>
    <w:rsid w:val="00574867"/>
    <w:rsid w:val="0057753C"/>
    <w:rsid w:val="00591460"/>
    <w:rsid w:val="005A65E0"/>
    <w:rsid w:val="005A660E"/>
    <w:rsid w:val="005A70D3"/>
    <w:rsid w:val="005B76CF"/>
    <w:rsid w:val="005C0CC9"/>
    <w:rsid w:val="005C3777"/>
    <w:rsid w:val="005C5CDC"/>
    <w:rsid w:val="005D476C"/>
    <w:rsid w:val="005E1F5C"/>
    <w:rsid w:val="005F6BE6"/>
    <w:rsid w:val="0061713F"/>
    <w:rsid w:val="00617B7F"/>
    <w:rsid w:val="006200BF"/>
    <w:rsid w:val="006219F8"/>
    <w:rsid w:val="00622860"/>
    <w:rsid w:val="006302F7"/>
    <w:rsid w:val="006359A5"/>
    <w:rsid w:val="00636749"/>
    <w:rsid w:val="00646B9F"/>
    <w:rsid w:val="00647203"/>
    <w:rsid w:val="00662289"/>
    <w:rsid w:val="00665D70"/>
    <w:rsid w:val="00682D86"/>
    <w:rsid w:val="006900D9"/>
    <w:rsid w:val="006B31FC"/>
    <w:rsid w:val="006C13AB"/>
    <w:rsid w:val="006C7695"/>
    <w:rsid w:val="006D7928"/>
    <w:rsid w:val="006D7CB5"/>
    <w:rsid w:val="006E0573"/>
    <w:rsid w:val="006E0DEE"/>
    <w:rsid w:val="006E2A0E"/>
    <w:rsid w:val="006E59C0"/>
    <w:rsid w:val="006F2823"/>
    <w:rsid w:val="006F3246"/>
    <w:rsid w:val="006F4A0A"/>
    <w:rsid w:val="006F655A"/>
    <w:rsid w:val="00706C16"/>
    <w:rsid w:val="00710922"/>
    <w:rsid w:val="007152E2"/>
    <w:rsid w:val="0072154F"/>
    <w:rsid w:val="00724327"/>
    <w:rsid w:val="007250A9"/>
    <w:rsid w:val="0073248D"/>
    <w:rsid w:val="0073265C"/>
    <w:rsid w:val="00732B1A"/>
    <w:rsid w:val="007340C3"/>
    <w:rsid w:val="00741639"/>
    <w:rsid w:val="007465AF"/>
    <w:rsid w:val="0075235A"/>
    <w:rsid w:val="00756841"/>
    <w:rsid w:val="007649AB"/>
    <w:rsid w:val="007652F8"/>
    <w:rsid w:val="00771D0C"/>
    <w:rsid w:val="00780867"/>
    <w:rsid w:val="007833AC"/>
    <w:rsid w:val="007B268C"/>
    <w:rsid w:val="007B44C1"/>
    <w:rsid w:val="007B7171"/>
    <w:rsid w:val="007C0C0F"/>
    <w:rsid w:val="007C3DC2"/>
    <w:rsid w:val="007C410F"/>
    <w:rsid w:val="007D2A9D"/>
    <w:rsid w:val="007D4D6D"/>
    <w:rsid w:val="007E5497"/>
    <w:rsid w:val="007F3AE8"/>
    <w:rsid w:val="00801164"/>
    <w:rsid w:val="00806F5F"/>
    <w:rsid w:val="0080733B"/>
    <w:rsid w:val="008152B4"/>
    <w:rsid w:val="008173B6"/>
    <w:rsid w:val="00820278"/>
    <w:rsid w:val="00822976"/>
    <w:rsid w:val="008258C9"/>
    <w:rsid w:val="00827EFC"/>
    <w:rsid w:val="00833D69"/>
    <w:rsid w:val="00834197"/>
    <w:rsid w:val="0084163B"/>
    <w:rsid w:val="00844AE9"/>
    <w:rsid w:val="00845339"/>
    <w:rsid w:val="00845449"/>
    <w:rsid w:val="0085752B"/>
    <w:rsid w:val="00861B9F"/>
    <w:rsid w:val="00867F95"/>
    <w:rsid w:val="008843B6"/>
    <w:rsid w:val="00891928"/>
    <w:rsid w:val="008922AC"/>
    <w:rsid w:val="008A10CD"/>
    <w:rsid w:val="008A446D"/>
    <w:rsid w:val="008A4F29"/>
    <w:rsid w:val="008B25F1"/>
    <w:rsid w:val="008D180B"/>
    <w:rsid w:val="008D44B9"/>
    <w:rsid w:val="008E7530"/>
    <w:rsid w:val="008F0EA7"/>
    <w:rsid w:val="008F3849"/>
    <w:rsid w:val="008F52DB"/>
    <w:rsid w:val="008F77B9"/>
    <w:rsid w:val="0090146C"/>
    <w:rsid w:val="009043B6"/>
    <w:rsid w:val="0092001B"/>
    <w:rsid w:val="00923EEF"/>
    <w:rsid w:val="0093714D"/>
    <w:rsid w:val="009419F9"/>
    <w:rsid w:val="009458D1"/>
    <w:rsid w:val="0095685E"/>
    <w:rsid w:val="0095779F"/>
    <w:rsid w:val="00961B09"/>
    <w:rsid w:val="00965334"/>
    <w:rsid w:val="0097093E"/>
    <w:rsid w:val="00973A7A"/>
    <w:rsid w:val="00973D53"/>
    <w:rsid w:val="009854B1"/>
    <w:rsid w:val="009A0DFA"/>
    <w:rsid w:val="009A1C6F"/>
    <w:rsid w:val="009B2371"/>
    <w:rsid w:val="009B2D26"/>
    <w:rsid w:val="009C2D80"/>
    <w:rsid w:val="009C71FA"/>
    <w:rsid w:val="009C72E7"/>
    <w:rsid w:val="009C7F7E"/>
    <w:rsid w:val="009D3058"/>
    <w:rsid w:val="009E687A"/>
    <w:rsid w:val="009F3A13"/>
    <w:rsid w:val="009F6DEA"/>
    <w:rsid w:val="00A0211F"/>
    <w:rsid w:val="00A021FD"/>
    <w:rsid w:val="00A122D3"/>
    <w:rsid w:val="00A14468"/>
    <w:rsid w:val="00A17F13"/>
    <w:rsid w:val="00A20739"/>
    <w:rsid w:val="00A22559"/>
    <w:rsid w:val="00A23AF9"/>
    <w:rsid w:val="00A25B18"/>
    <w:rsid w:val="00A33C78"/>
    <w:rsid w:val="00A34FEF"/>
    <w:rsid w:val="00A53798"/>
    <w:rsid w:val="00A5721F"/>
    <w:rsid w:val="00A9193D"/>
    <w:rsid w:val="00AA0496"/>
    <w:rsid w:val="00AA544D"/>
    <w:rsid w:val="00AA7EFE"/>
    <w:rsid w:val="00AB0ADB"/>
    <w:rsid w:val="00AB2CE6"/>
    <w:rsid w:val="00AB5E4F"/>
    <w:rsid w:val="00AB73FD"/>
    <w:rsid w:val="00AC1424"/>
    <w:rsid w:val="00AC5517"/>
    <w:rsid w:val="00AD0F84"/>
    <w:rsid w:val="00AE5B72"/>
    <w:rsid w:val="00B00C0E"/>
    <w:rsid w:val="00B01B1A"/>
    <w:rsid w:val="00B0381D"/>
    <w:rsid w:val="00B14EB1"/>
    <w:rsid w:val="00B159EB"/>
    <w:rsid w:val="00B2090A"/>
    <w:rsid w:val="00B36775"/>
    <w:rsid w:val="00B44A47"/>
    <w:rsid w:val="00B45720"/>
    <w:rsid w:val="00B51755"/>
    <w:rsid w:val="00B56347"/>
    <w:rsid w:val="00B56D29"/>
    <w:rsid w:val="00B67AC4"/>
    <w:rsid w:val="00B72CD3"/>
    <w:rsid w:val="00B72FFF"/>
    <w:rsid w:val="00B765DB"/>
    <w:rsid w:val="00B822F0"/>
    <w:rsid w:val="00B863D4"/>
    <w:rsid w:val="00B9048D"/>
    <w:rsid w:val="00B94424"/>
    <w:rsid w:val="00BA07E8"/>
    <w:rsid w:val="00BA096A"/>
    <w:rsid w:val="00BA46DF"/>
    <w:rsid w:val="00BC2A92"/>
    <w:rsid w:val="00BC3D36"/>
    <w:rsid w:val="00BD1423"/>
    <w:rsid w:val="00BD54A6"/>
    <w:rsid w:val="00BD7F72"/>
    <w:rsid w:val="00BE424F"/>
    <w:rsid w:val="00BF6CF9"/>
    <w:rsid w:val="00BF7425"/>
    <w:rsid w:val="00C04FB3"/>
    <w:rsid w:val="00C11D8B"/>
    <w:rsid w:val="00C15139"/>
    <w:rsid w:val="00C15E30"/>
    <w:rsid w:val="00C171FC"/>
    <w:rsid w:val="00C2527B"/>
    <w:rsid w:val="00C330EB"/>
    <w:rsid w:val="00C36580"/>
    <w:rsid w:val="00C369FB"/>
    <w:rsid w:val="00C43956"/>
    <w:rsid w:val="00C43D0F"/>
    <w:rsid w:val="00C50D69"/>
    <w:rsid w:val="00C5365C"/>
    <w:rsid w:val="00C67A2A"/>
    <w:rsid w:val="00C754BE"/>
    <w:rsid w:val="00C76B1C"/>
    <w:rsid w:val="00C863CC"/>
    <w:rsid w:val="00C90C78"/>
    <w:rsid w:val="00C925AC"/>
    <w:rsid w:val="00C94F84"/>
    <w:rsid w:val="00CB5F18"/>
    <w:rsid w:val="00CB6357"/>
    <w:rsid w:val="00CC032F"/>
    <w:rsid w:val="00CC1B26"/>
    <w:rsid w:val="00CC5B04"/>
    <w:rsid w:val="00CE7A2C"/>
    <w:rsid w:val="00CE7BF8"/>
    <w:rsid w:val="00CF09CC"/>
    <w:rsid w:val="00CF1563"/>
    <w:rsid w:val="00D131BC"/>
    <w:rsid w:val="00D361FD"/>
    <w:rsid w:val="00D423A2"/>
    <w:rsid w:val="00D44E26"/>
    <w:rsid w:val="00D520D8"/>
    <w:rsid w:val="00D52C6F"/>
    <w:rsid w:val="00D57C97"/>
    <w:rsid w:val="00D63AC2"/>
    <w:rsid w:val="00D643A0"/>
    <w:rsid w:val="00D66878"/>
    <w:rsid w:val="00D7383B"/>
    <w:rsid w:val="00D7788A"/>
    <w:rsid w:val="00D875B0"/>
    <w:rsid w:val="00D94147"/>
    <w:rsid w:val="00DA116F"/>
    <w:rsid w:val="00DA231B"/>
    <w:rsid w:val="00DB7D78"/>
    <w:rsid w:val="00DC39FC"/>
    <w:rsid w:val="00DC77D1"/>
    <w:rsid w:val="00DE5EBF"/>
    <w:rsid w:val="00DE7D9A"/>
    <w:rsid w:val="00DF5234"/>
    <w:rsid w:val="00DF5254"/>
    <w:rsid w:val="00DF7DDA"/>
    <w:rsid w:val="00E02524"/>
    <w:rsid w:val="00E1549B"/>
    <w:rsid w:val="00E15582"/>
    <w:rsid w:val="00E16408"/>
    <w:rsid w:val="00E172F1"/>
    <w:rsid w:val="00E20894"/>
    <w:rsid w:val="00E22030"/>
    <w:rsid w:val="00E245AB"/>
    <w:rsid w:val="00E2764C"/>
    <w:rsid w:val="00E27F2E"/>
    <w:rsid w:val="00E33F03"/>
    <w:rsid w:val="00E34B79"/>
    <w:rsid w:val="00E35542"/>
    <w:rsid w:val="00E41E1E"/>
    <w:rsid w:val="00E50AFE"/>
    <w:rsid w:val="00E5497C"/>
    <w:rsid w:val="00E57352"/>
    <w:rsid w:val="00E6216A"/>
    <w:rsid w:val="00E70299"/>
    <w:rsid w:val="00E70904"/>
    <w:rsid w:val="00E75C92"/>
    <w:rsid w:val="00E771DC"/>
    <w:rsid w:val="00E8772A"/>
    <w:rsid w:val="00E90F6B"/>
    <w:rsid w:val="00E92C27"/>
    <w:rsid w:val="00E95716"/>
    <w:rsid w:val="00EA0C11"/>
    <w:rsid w:val="00EA0E3D"/>
    <w:rsid w:val="00EB0646"/>
    <w:rsid w:val="00EB4F40"/>
    <w:rsid w:val="00EB660C"/>
    <w:rsid w:val="00EC32EE"/>
    <w:rsid w:val="00EC38A7"/>
    <w:rsid w:val="00EC41DD"/>
    <w:rsid w:val="00EE1AA8"/>
    <w:rsid w:val="00EF2C97"/>
    <w:rsid w:val="00F0616F"/>
    <w:rsid w:val="00F203AF"/>
    <w:rsid w:val="00F2082C"/>
    <w:rsid w:val="00F21086"/>
    <w:rsid w:val="00F23FEA"/>
    <w:rsid w:val="00F24F59"/>
    <w:rsid w:val="00F25E91"/>
    <w:rsid w:val="00F269E1"/>
    <w:rsid w:val="00F31EDC"/>
    <w:rsid w:val="00F37358"/>
    <w:rsid w:val="00F442F3"/>
    <w:rsid w:val="00F462B3"/>
    <w:rsid w:val="00F54D27"/>
    <w:rsid w:val="00F5664F"/>
    <w:rsid w:val="00F60EB8"/>
    <w:rsid w:val="00F6103E"/>
    <w:rsid w:val="00F654FC"/>
    <w:rsid w:val="00F666C4"/>
    <w:rsid w:val="00F70E9E"/>
    <w:rsid w:val="00F76AFC"/>
    <w:rsid w:val="00FA47C0"/>
    <w:rsid w:val="00FB598B"/>
    <w:rsid w:val="00FB5DD1"/>
    <w:rsid w:val="00FC2B5D"/>
    <w:rsid w:val="00FF0A43"/>
    <w:rsid w:val="00FF1449"/>
    <w:rsid w:val="00FF2B20"/>
    <w:rsid w:val="00FF7963"/>
    <w:rsid w:val="09908A09"/>
    <w:rsid w:val="13CFC91B"/>
    <w:rsid w:val="19A2EC2C"/>
    <w:rsid w:val="1C6686D3"/>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F523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F5234"/>
    <w:rPr>
      <w:rFonts w:ascii="Geomanist Light" w:hAnsi="Geomanist Light"/>
      <w:lang w:val="es-ES"/>
    </w:rPr>
  </w:style>
  <w:style w:type="paragraph" w:styleId="Textoindependiente">
    <w:name w:val="Body Text"/>
    <w:basedOn w:val="Normal"/>
    <w:link w:val="TextoindependienteCar"/>
    <w:uiPriority w:val="99"/>
    <w:unhideWhenUsed/>
    <w:rsid w:val="00DF5234"/>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DF5234"/>
    <w:rPr>
      <w:rFonts w:eastAsiaTheme="minorEastAsia"/>
      <w:lang w:eastAsia="es-CO"/>
    </w:rPr>
  </w:style>
  <w:style w:type="character" w:customStyle="1" w:styleId="s15">
    <w:name w:val="s15"/>
    <w:basedOn w:val="Fuentedeprrafopredeter"/>
    <w:rsid w:val="00DF5234"/>
  </w:style>
  <w:style w:type="character" w:customStyle="1" w:styleId="NormalWebCar">
    <w:name w:val="Normal (Web) Car"/>
    <w:link w:val="NormalWeb"/>
    <w:uiPriority w:val="99"/>
    <w:rsid w:val="00DF5234"/>
    <w:rPr>
      <w:rFonts w:ascii="Times New Roman" w:eastAsia="Times New Roman" w:hAnsi="Times New Roman" w:cs="Times New Roman"/>
      <w:sz w:val="24"/>
      <w:szCs w:val="24"/>
      <w:lang w:eastAsia="es-CO"/>
    </w:rPr>
  </w:style>
  <w:style w:type="character" w:customStyle="1" w:styleId="baj">
    <w:name w:val="b_aj"/>
    <w:basedOn w:val="Fuentedeprrafopredeter"/>
    <w:rsid w:val="00DF52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DE234C8-185B-490C-A158-38F3CCF711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9AC3A2B-D777-46F0-84D8-97BC169D954F}">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37</TotalTime>
  <Pages>24</Pages>
  <Words>8078</Words>
  <Characters>44432</Characters>
  <Application>Microsoft Office Word</Application>
  <DocSecurity>0</DocSecurity>
  <Lines>370</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52406</CharactersWithSpaces>
  <SharedDoc>false</SharedDoc>
  <HLinks>
    <vt:vector size="42" baseType="variant">
      <vt:variant>
        <vt:i4>4456513</vt:i4>
      </vt:variant>
      <vt:variant>
        <vt:i4>15</vt:i4>
      </vt:variant>
      <vt:variant>
        <vt:i4>0</vt:i4>
      </vt:variant>
      <vt:variant>
        <vt:i4>5</vt:i4>
      </vt:variant>
      <vt:variant>
        <vt:lpwstr>https://forms.office.com/r/pPHyWVs2SZ</vt:lpwstr>
      </vt:variant>
      <vt:variant>
        <vt:lpwstr/>
      </vt:variant>
      <vt:variant>
        <vt:i4>3407926</vt:i4>
      </vt:variant>
      <vt:variant>
        <vt:i4>12</vt:i4>
      </vt:variant>
      <vt:variant>
        <vt:i4>0</vt:i4>
      </vt:variant>
      <vt:variant>
        <vt:i4>5</vt:i4>
      </vt:variant>
      <vt:variant>
        <vt:lpwstr>https://www.colombiacompra.gov.co/pqrsd/informacion-importante-antes-de-formular-una-pqrsd</vt:lpwstr>
      </vt:variant>
      <vt:variant>
        <vt:lpwstr/>
      </vt:variant>
      <vt:variant>
        <vt:i4>4980779</vt:i4>
      </vt:variant>
      <vt:variant>
        <vt:i4>9</vt:i4>
      </vt:variant>
      <vt:variant>
        <vt:i4>0</vt:i4>
      </vt:variant>
      <vt:variant>
        <vt:i4>5</vt:i4>
      </vt:variant>
      <vt:variant>
        <vt:lpwstr>mailto:ventanilladeradicacion@colombiacompra.gov.co</vt:lpwstr>
      </vt:variant>
      <vt:variant>
        <vt:lpwstr/>
      </vt:variant>
      <vt:variant>
        <vt:i4>7995518</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5570608</vt:i4>
      </vt:variant>
      <vt:variant>
        <vt:i4>0</vt:i4>
      </vt:variant>
      <vt:variant>
        <vt:i4>0</vt:i4>
      </vt:variant>
      <vt:variant>
        <vt:i4>5</vt:i4>
      </vt:variant>
      <vt:variant>
        <vt:lpwstr>mailto:deisy.villamizar@colombiaproductiva.com</vt:lpwstr>
      </vt:variant>
      <vt:variant>
        <vt:lpwstr/>
      </vt:variant>
      <vt:variant>
        <vt:i4>6619199</vt:i4>
      </vt:variant>
      <vt:variant>
        <vt:i4>0</vt:i4>
      </vt:variant>
      <vt:variant>
        <vt:i4>0</vt:i4>
      </vt:variant>
      <vt:variant>
        <vt:i4>5</vt:i4>
      </vt:variant>
      <vt:variant>
        <vt:lpwstr>https://actualicese.com/concepto-2013010362-001-de-18-03-2013/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10</cp:revision>
  <cp:lastPrinted>2023-01-10T21:18:00Z</cp:lastPrinted>
  <dcterms:created xsi:type="dcterms:W3CDTF">2026-05-27T00:05:00Z</dcterms:created>
  <dcterms:modified xsi:type="dcterms:W3CDTF">2026-06-24T00:39:00Z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