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2B4C8" w14:textId="77777777" w:rsidR="008C2CF3" w:rsidRPr="00647611" w:rsidRDefault="008C2CF3" w:rsidP="008C2CF3">
      <w:pPr>
        <w:spacing w:after="0" w:line="240" w:lineRule="auto"/>
        <w:jc w:val="both"/>
        <w:rPr>
          <w:rFonts w:ascii="Verdana" w:hAnsi="Verdana" w:cs="Arial"/>
          <w:b/>
          <w:lang w:val="es-MX" w:eastAsia="es-ES_tradnl"/>
        </w:rPr>
      </w:pPr>
      <w:r w:rsidRPr="00647611">
        <w:rPr>
          <w:rFonts w:ascii="Verdana" w:hAnsi="Verdana" w:cs="Arial"/>
          <w:b/>
          <w:lang w:val="es-MX" w:eastAsia="es-ES_tradnl"/>
        </w:rPr>
        <w:t xml:space="preserve">LEY DE GARANTÍAS ELECTORALES </w:t>
      </w:r>
      <w:r w:rsidRPr="00647611">
        <w:rPr>
          <w:rFonts w:ascii="Verdana" w:hAnsi="Verdana" w:cs="Arial"/>
          <w:b/>
          <w:bCs/>
          <w:lang w:val="es-MX" w:eastAsia="es-ES_tradnl"/>
        </w:rPr>
        <w:t>‒</w:t>
      </w:r>
      <w:r w:rsidRPr="00647611">
        <w:rPr>
          <w:rFonts w:ascii="Verdana" w:hAnsi="Verdana" w:cs="Arial"/>
          <w:b/>
          <w:lang w:val="es-MX" w:eastAsia="es-ES_tradnl"/>
        </w:rPr>
        <w:t xml:space="preserve"> Finalidad </w:t>
      </w:r>
    </w:p>
    <w:p w14:paraId="103E1A67" w14:textId="77777777" w:rsidR="008C2CF3" w:rsidRDefault="008C2CF3" w:rsidP="008C2CF3">
      <w:pPr>
        <w:spacing w:after="0" w:line="240" w:lineRule="auto"/>
        <w:rPr>
          <w:rFonts w:ascii="Verdana" w:eastAsia="Geomanist Light" w:hAnsi="Verdana" w:cs="Arial"/>
          <w:color w:val="000000" w:themeColor="text1"/>
          <w:lang w:val="es-MX"/>
        </w:rPr>
      </w:pPr>
    </w:p>
    <w:p w14:paraId="3987884E" w14:textId="77777777" w:rsidR="008C2CF3" w:rsidRPr="000A7BAC" w:rsidRDefault="008C2CF3" w:rsidP="008C2CF3">
      <w:pPr>
        <w:spacing w:after="0" w:line="240" w:lineRule="auto"/>
        <w:jc w:val="both"/>
        <w:rPr>
          <w:rFonts w:ascii="Verdana" w:eastAsia="Geomanist Light" w:hAnsi="Verdana" w:cs="Arial"/>
          <w:color w:val="000000" w:themeColor="text1"/>
          <w:sz w:val="20"/>
          <w:szCs w:val="20"/>
          <w:lang w:val="es-MX"/>
        </w:rPr>
      </w:pPr>
      <w:r w:rsidRPr="000A7BAC">
        <w:rPr>
          <w:rFonts w:ascii="Verdana" w:eastAsia="Geomanist Light" w:hAnsi="Verdana" w:cs="Arial"/>
          <w:color w:val="000000" w:themeColor="text1"/>
          <w:sz w:val="20"/>
          <w:szCs w:val="20"/>
          <w:lang w:val="es-MX"/>
        </w:rPr>
        <w:t>De esta manera, la Ley de Garantías Electorales establece el marco jurídico para el desarrollo de las elecciones, procurando condiciones de igualdad y transparencia para los aspirantes y paralelamente se incluyen restricciones en el actuar de los servidores públicos, evitando interferencias en la contienda electoral, así como la posible desviación de recursos públicos en aspiraciones electorales. Por ello, varias de las disposiciones de la Ley 996 de 2005, al contener normas prohibitivas, no admiten una interpretación amplia, sino que deben interpretarse restrictivamente.</w:t>
      </w:r>
    </w:p>
    <w:p w14:paraId="1F84FC98" w14:textId="77777777" w:rsidR="008C2CF3" w:rsidRDefault="008C2CF3" w:rsidP="008C2CF3">
      <w:pPr>
        <w:spacing w:after="0" w:line="240" w:lineRule="auto"/>
        <w:rPr>
          <w:rFonts w:ascii="Verdana" w:eastAsia="Geomanist Light" w:hAnsi="Verdana" w:cs="Arial"/>
          <w:color w:val="000000" w:themeColor="text1"/>
          <w:lang w:val="es-MX"/>
        </w:rPr>
      </w:pPr>
    </w:p>
    <w:p w14:paraId="4BDB080B" w14:textId="77777777" w:rsidR="008C2CF3" w:rsidRPr="00647611" w:rsidRDefault="008C2CF3" w:rsidP="008C2CF3">
      <w:pPr>
        <w:spacing w:after="0" w:line="240" w:lineRule="auto"/>
        <w:jc w:val="both"/>
        <w:rPr>
          <w:rFonts w:ascii="Verdana" w:hAnsi="Verdana" w:cs="Arial"/>
          <w:b/>
          <w:lang w:val="es-MX" w:eastAsia="es-ES_tradnl"/>
        </w:rPr>
      </w:pPr>
      <w:r w:rsidRPr="00647611">
        <w:rPr>
          <w:rFonts w:ascii="Verdana" w:hAnsi="Verdana" w:cs="Arial"/>
          <w:b/>
          <w:lang w:val="es-MX" w:eastAsia="es-ES_tradnl"/>
        </w:rPr>
        <w:t xml:space="preserve">LEY DE GARANTÍAS ELECTORALES </w:t>
      </w:r>
      <w:r w:rsidRPr="00647611">
        <w:rPr>
          <w:rFonts w:ascii="Verdana" w:hAnsi="Verdana" w:cs="Arial"/>
          <w:b/>
          <w:bCs/>
          <w:lang w:val="es-MX" w:eastAsia="es-ES_tradnl"/>
        </w:rPr>
        <w:t>‒</w:t>
      </w:r>
      <w:r w:rsidRPr="00647611">
        <w:rPr>
          <w:rFonts w:ascii="Verdana" w:hAnsi="Verdana" w:cs="Arial"/>
          <w:b/>
          <w:lang w:val="es-MX" w:eastAsia="es-ES_tradnl"/>
        </w:rPr>
        <w:t xml:space="preserve"> Tipos de restricciones </w:t>
      </w:r>
      <w:r w:rsidRPr="00647611">
        <w:rPr>
          <w:rFonts w:ascii="Verdana" w:hAnsi="Verdana" w:cs="Arial"/>
          <w:b/>
          <w:bCs/>
          <w:lang w:val="es-MX" w:eastAsia="es-ES_tradnl"/>
        </w:rPr>
        <w:t>‒</w:t>
      </w:r>
      <w:r w:rsidRPr="00647611">
        <w:rPr>
          <w:rFonts w:ascii="Verdana" w:hAnsi="Verdana" w:cs="Arial"/>
          <w:b/>
          <w:lang w:val="es-MX" w:eastAsia="es-ES_tradnl"/>
        </w:rPr>
        <w:t xml:space="preserve"> Ámbito temporal – </w:t>
      </w:r>
      <w:r>
        <w:rPr>
          <w:rFonts w:ascii="Verdana" w:hAnsi="Verdana" w:cs="Arial"/>
          <w:b/>
          <w:lang w:val="es-MX" w:eastAsia="es-ES_tradnl"/>
        </w:rPr>
        <w:t>C</w:t>
      </w:r>
      <w:r w:rsidRPr="00647611">
        <w:rPr>
          <w:rFonts w:ascii="Verdana" w:hAnsi="Verdana" w:cs="Arial"/>
          <w:b/>
          <w:lang w:val="es-MX" w:eastAsia="es-ES_tradnl"/>
        </w:rPr>
        <w:t>elebración</w:t>
      </w:r>
      <w:r>
        <w:rPr>
          <w:rFonts w:ascii="Verdana" w:hAnsi="Verdana" w:cs="Arial"/>
          <w:b/>
          <w:lang w:val="es-MX" w:eastAsia="es-ES_tradnl"/>
        </w:rPr>
        <w:t xml:space="preserve"> –</w:t>
      </w:r>
      <w:r w:rsidRPr="00647611">
        <w:rPr>
          <w:rFonts w:ascii="Verdana" w:hAnsi="Verdana" w:cs="Arial"/>
          <w:b/>
          <w:lang w:val="es-MX" w:eastAsia="es-ES_tradnl"/>
        </w:rPr>
        <w:t xml:space="preserve"> </w:t>
      </w:r>
      <w:r>
        <w:rPr>
          <w:rFonts w:ascii="Verdana" w:hAnsi="Verdana" w:cs="Arial"/>
          <w:b/>
          <w:lang w:val="es-MX" w:eastAsia="es-ES_tradnl"/>
        </w:rPr>
        <w:t>L</w:t>
      </w:r>
      <w:r w:rsidRPr="00647611">
        <w:rPr>
          <w:rFonts w:ascii="Verdana" w:hAnsi="Verdana" w:cs="Arial"/>
          <w:b/>
          <w:lang w:val="es-MX" w:eastAsia="es-ES_tradnl"/>
        </w:rPr>
        <w:t>ímite</w:t>
      </w:r>
    </w:p>
    <w:p w14:paraId="2CD06A02" w14:textId="77777777" w:rsidR="008C2CF3" w:rsidRDefault="008C2CF3" w:rsidP="008C2CF3">
      <w:pPr>
        <w:spacing w:after="0" w:line="240" w:lineRule="auto"/>
        <w:rPr>
          <w:rFonts w:ascii="Verdana" w:eastAsia="Geomanist Light" w:hAnsi="Verdana" w:cs="Arial"/>
          <w:color w:val="000000" w:themeColor="text1"/>
          <w:lang w:val="es-MX"/>
        </w:rPr>
      </w:pPr>
    </w:p>
    <w:p w14:paraId="527FAAAA" w14:textId="77777777" w:rsidR="008C2CF3" w:rsidRDefault="008C2CF3" w:rsidP="008C2CF3">
      <w:pPr>
        <w:spacing w:after="0" w:line="240" w:lineRule="auto"/>
        <w:jc w:val="both"/>
        <w:rPr>
          <w:rFonts w:ascii="Verdana" w:eastAsia="Geomanist Light" w:hAnsi="Verdana" w:cs="Arial"/>
          <w:color w:val="000000" w:themeColor="text1"/>
          <w:sz w:val="20"/>
          <w:szCs w:val="20"/>
          <w:lang w:val="es-MX"/>
        </w:rPr>
      </w:pPr>
      <w:r w:rsidRPr="005438FD">
        <w:rPr>
          <w:rFonts w:ascii="Verdana" w:eastAsia="Geomanist Light" w:hAnsi="Verdana" w:cs="Arial"/>
          <w:color w:val="000000" w:themeColor="text1"/>
          <w:sz w:val="20"/>
          <w:szCs w:val="20"/>
          <w:lang w:val="es-MX"/>
        </w:rPr>
        <w:t>Por un lado, el artículo 33 de la Ley 996 de 2005 prohíbe “[…] la contratación directa por parte de todos los entes del Estado” durante los cuatro (4) meses anteriores a las elecciones presidenciales, salvo “[…]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 .</w:t>
      </w:r>
    </w:p>
    <w:p w14:paraId="06C310BB" w14:textId="77777777" w:rsidR="008C2CF3" w:rsidRPr="005438FD" w:rsidRDefault="008C2CF3" w:rsidP="008C2CF3">
      <w:pPr>
        <w:spacing w:after="0" w:line="240" w:lineRule="auto"/>
        <w:jc w:val="both"/>
        <w:rPr>
          <w:rFonts w:ascii="Verdana" w:eastAsia="Geomanist Light" w:hAnsi="Verdana" w:cs="Arial"/>
          <w:color w:val="000000" w:themeColor="text1"/>
          <w:sz w:val="20"/>
          <w:szCs w:val="20"/>
          <w:lang w:val="es-MX"/>
        </w:rPr>
      </w:pPr>
    </w:p>
    <w:p w14:paraId="046588AA" w14:textId="77777777" w:rsidR="008C2CF3" w:rsidRDefault="008C2CF3" w:rsidP="008C2CF3">
      <w:pPr>
        <w:spacing w:after="0" w:line="240" w:lineRule="auto"/>
        <w:jc w:val="both"/>
        <w:rPr>
          <w:rFonts w:ascii="Verdana" w:eastAsia="Geomanist Light" w:hAnsi="Verdana" w:cs="Arial"/>
          <w:color w:val="000000" w:themeColor="text1"/>
          <w:sz w:val="20"/>
          <w:szCs w:val="20"/>
          <w:lang w:val="es-MX"/>
        </w:rPr>
      </w:pPr>
      <w:r w:rsidRPr="005438FD">
        <w:rPr>
          <w:rFonts w:ascii="Verdana" w:eastAsia="Geomanist Light" w:hAnsi="Verdana" w:cs="Arial"/>
          <w:color w:val="000000" w:themeColor="text1"/>
          <w:sz w:val="20"/>
          <w:szCs w:val="20"/>
          <w:lang w:val="es-MX"/>
        </w:rPr>
        <w:t>Por otro, el parágrafo del artículo 38 de la Ley 996 de 2005 prevé una restricción, aplicable respecto de cualquier tipo de contienda electoral, que prohíbe a los gobernadores, alcaldes municipales o distritales, secretarios, gerentes y directores de entidades descentralizadas del orden municipal, departamental o distrital “[…] 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Pr>
          <w:rFonts w:ascii="Verdana" w:eastAsia="Geomanist Light" w:hAnsi="Verdana" w:cs="Arial"/>
          <w:color w:val="000000" w:themeColor="text1"/>
          <w:sz w:val="20"/>
          <w:szCs w:val="20"/>
          <w:lang w:val="es-MX"/>
        </w:rPr>
        <w:t>.</w:t>
      </w:r>
    </w:p>
    <w:p w14:paraId="4638941C" w14:textId="77777777" w:rsidR="008C2CF3" w:rsidRDefault="008C2CF3" w:rsidP="008C2CF3">
      <w:pPr>
        <w:spacing w:after="0" w:line="240" w:lineRule="auto"/>
        <w:jc w:val="both"/>
        <w:rPr>
          <w:rFonts w:ascii="Verdana" w:eastAsia="Geomanist Light" w:hAnsi="Verdana" w:cs="Arial"/>
          <w:color w:val="000000" w:themeColor="text1"/>
          <w:sz w:val="20"/>
          <w:szCs w:val="20"/>
          <w:lang w:val="es-MX"/>
        </w:rPr>
      </w:pPr>
    </w:p>
    <w:p w14:paraId="0396D26A" w14:textId="77777777" w:rsidR="008C2CF3" w:rsidRPr="00BB3092" w:rsidRDefault="008C2CF3" w:rsidP="008C2CF3">
      <w:pPr>
        <w:spacing w:after="0" w:line="240" w:lineRule="auto"/>
        <w:jc w:val="both"/>
        <w:rPr>
          <w:rFonts w:ascii="Verdana" w:eastAsia="Geomanist Light" w:hAnsi="Verdana" w:cs="Arial"/>
          <w:b/>
          <w:bCs/>
          <w:color w:val="000000" w:themeColor="text1"/>
          <w:sz w:val="20"/>
          <w:szCs w:val="20"/>
          <w:lang w:val="es-MX"/>
        </w:rPr>
      </w:pPr>
      <w:r w:rsidRPr="00BB3092">
        <w:rPr>
          <w:rFonts w:ascii="Verdana" w:eastAsia="Calibri" w:hAnsi="Verdana" w:cs="Arial"/>
          <w:b/>
          <w:bCs/>
          <w:lang w:val="es-ES" w:eastAsia="es-ES"/>
        </w:rPr>
        <w:t>LEY DE GARANTÍAS ELECTORALES – Prohibición artículo 33 – Contratación directa – Alcance</w:t>
      </w:r>
    </w:p>
    <w:p w14:paraId="4C12D09F" w14:textId="77777777" w:rsidR="008C2CF3" w:rsidRDefault="008C2CF3" w:rsidP="008C2CF3">
      <w:pPr>
        <w:spacing w:after="0" w:line="240" w:lineRule="auto"/>
        <w:rPr>
          <w:rFonts w:ascii="Verdana" w:eastAsia="Geomanist Light" w:hAnsi="Verdana" w:cs="Arial"/>
          <w:color w:val="000000" w:themeColor="text1"/>
          <w:lang w:val="es-MX"/>
        </w:rPr>
      </w:pPr>
    </w:p>
    <w:p w14:paraId="08DA52BC" w14:textId="77777777" w:rsidR="008C2CF3" w:rsidRDefault="008C2CF3" w:rsidP="008C2CF3">
      <w:pPr>
        <w:spacing w:after="0" w:line="240" w:lineRule="auto"/>
        <w:jc w:val="both"/>
        <w:rPr>
          <w:rFonts w:ascii="Verdana" w:eastAsia="Geomanist Light" w:hAnsi="Verdana" w:cs="Arial"/>
          <w:color w:val="000000" w:themeColor="text1"/>
          <w:sz w:val="20"/>
          <w:szCs w:val="20"/>
          <w:lang w:val="es-MX"/>
        </w:rPr>
      </w:pPr>
      <w:r w:rsidRPr="00665260">
        <w:rPr>
          <w:rFonts w:ascii="Verdana" w:eastAsia="Geomanist Light" w:hAnsi="Verdana" w:cs="Arial"/>
          <w:color w:val="000000" w:themeColor="text1"/>
          <w:sz w:val="20"/>
          <w:szCs w:val="20"/>
          <w:lang w:val="es-MX"/>
        </w:rPr>
        <w:t>De acuerdo con el citado concepto, la prohibición del artículo 33 de la Ley de Garantías Electorales se refiere a “cualquier sistema que no implique convocatoria pública y posibilidad de pluralidad de oferentes”, por lo que excluye las demás modalidades de contratación previstas en la Ley 1150 de 2007, es decir, la licitación pública, la selección abreviada y el concurso de méritos u otros previstos en normas especiales. Esta posición es congruente con la expedición de la Ley 1150 de 2007 que, entre otras reformas, introdujo la selección abreviada, rediseñó el concurso de méritos y sistematizó las causales de contratación directa</w:t>
      </w:r>
      <w:r>
        <w:rPr>
          <w:rFonts w:ascii="Verdana" w:eastAsia="Geomanist Light" w:hAnsi="Verdana" w:cs="Arial"/>
          <w:color w:val="000000" w:themeColor="text1"/>
          <w:sz w:val="20"/>
          <w:szCs w:val="20"/>
          <w:lang w:val="es-MX"/>
        </w:rPr>
        <w:t>.</w:t>
      </w:r>
    </w:p>
    <w:p w14:paraId="3AA4AA26" w14:textId="77777777" w:rsidR="008C2CF3" w:rsidRDefault="008C2CF3" w:rsidP="008C2CF3">
      <w:pPr>
        <w:spacing w:after="0" w:line="240" w:lineRule="auto"/>
        <w:jc w:val="both"/>
        <w:rPr>
          <w:rFonts w:ascii="Verdana" w:eastAsia="Geomanist Light" w:hAnsi="Verdana" w:cs="Arial"/>
          <w:color w:val="000000" w:themeColor="text1"/>
          <w:sz w:val="20"/>
          <w:szCs w:val="20"/>
          <w:lang w:val="es-MX"/>
        </w:rPr>
      </w:pPr>
    </w:p>
    <w:p w14:paraId="5A2041F4" w14:textId="77777777" w:rsidR="008C2CF3" w:rsidRPr="00665260" w:rsidRDefault="008C2CF3" w:rsidP="008C2CF3">
      <w:pPr>
        <w:spacing w:after="0" w:line="240" w:lineRule="auto"/>
        <w:jc w:val="both"/>
        <w:rPr>
          <w:rFonts w:ascii="Verdana" w:eastAsia="Geomanist Light" w:hAnsi="Verdana" w:cs="Arial"/>
          <w:color w:val="000000" w:themeColor="text1"/>
          <w:sz w:val="20"/>
          <w:szCs w:val="20"/>
          <w:lang w:val="es-MX"/>
        </w:rPr>
      </w:pPr>
    </w:p>
    <w:p w14:paraId="228F18CA" w14:textId="77777777" w:rsidR="008C2CF3" w:rsidRDefault="008C2CF3" w:rsidP="008C2CF3">
      <w:pPr>
        <w:spacing w:after="0" w:line="240" w:lineRule="auto"/>
        <w:jc w:val="both"/>
        <w:rPr>
          <w:rFonts w:ascii="Verdana" w:eastAsia="Geomanist Light" w:hAnsi="Verdana" w:cs="Arial"/>
          <w:color w:val="000000" w:themeColor="text1"/>
          <w:sz w:val="20"/>
          <w:szCs w:val="20"/>
          <w:lang w:val="es-MX"/>
        </w:rPr>
      </w:pPr>
    </w:p>
    <w:p w14:paraId="66B6CD7B" w14:textId="77777777" w:rsidR="008C2CF3" w:rsidRPr="00D71688" w:rsidRDefault="008C2CF3" w:rsidP="008C2CF3">
      <w:pPr>
        <w:spacing w:after="0" w:line="240" w:lineRule="auto"/>
        <w:jc w:val="both"/>
        <w:rPr>
          <w:rFonts w:ascii="Verdana" w:hAnsi="Verdana"/>
          <w:b/>
        </w:rPr>
      </w:pPr>
      <w:r w:rsidRPr="00D71688">
        <w:rPr>
          <w:rFonts w:ascii="Verdana" w:hAnsi="Verdana" w:cs="Arial"/>
          <w:b/>
          <w:bCs/>
          <w:lang w:val="es-ES"/>
        </w:rPr>
        <w:lastRenderedPageBreak/>
        <w:t>CONTRATO DE SEGURO – Noción – Definición – Autonomía de la voluntad</w:t>
      </w:r>
    </w:p>
    <w:p w14:paraId="0DF5C832" w14:textId="77777777" w:rsidR="008C2CF3" w:rsidRPr="00D71688" w:rsidRDefault="008C2CF3" w:rsidP="008C2CF3">
      <w:pPr>
        <w:spacing w:after="0" w:line="240" w:lineRule="auto"/>
        <w:jc w:val="both"/>
        <w:rPr>
          <w:rFonts w:ascii="Verdana" w:hAnsi="Verdana"/>
        </w:rPr>
      </w:pPr>
    </w:p>
    <w:p w14:paraId="290DD7D8" w14:textId="77777777" w:rsidR="008C2CF3" w:rsidRPr="00D71688" w:rsidRDefault="008C2CF3" w:rsidP="008C2CF3">
      <w:pPr>
        <w:spacing w:after="0" w:line="240" w:lineRule="auto"/>
        <w:jc w:val="both"/>
        <w:rPr>
          <w:rFonts w:ascii="Verdana" w:eastAsia="Calibri" w:hAnsi="Verdana"/>
          <w:color w:val="000000" w:themeColor="text1"/>
          <w:sz w:val="20"/>
          <w:szCs w:val="20"/>
          <w:lang w:val="es-ES"/>
        </w:rPr>
      </w:pPr>
      <w:r w:rsidRPr="00D71688">
        <w:rPr>
          <w:rFonts w:ascii="Verdana" w:hAnsi="Verdana"/>
          <w:sz w:val="20"/>
          <w:szCs w:val="20"/>
        </w:rPr>
        <w:t xml:space="preserve">[…] </w:t>
      </w:r>
      <w:r w:rsidRPr="00D71688">
        <w:rPr>
          <w:rFonts w:ascii="Verdana" w:eastAsia="Times New Roman" w:hAnsi="Verdana" w:cs="Arial"/>
          <w:color w:val="000000" w:themeColor="text1"/>
          <w:sz w:val="20"/>
          <w:szCs w:val="20"/>
          <w:lang w:eastAsia="es-ES_tradnl"/>
        </w:rPr>
        <w:t xml:space="preserve">es preciso mencionar que las </w:t>
      </w:r>
      <w:r w:rsidRPr="00D71688">
        <w:rPr>
          <w:rFonts w:ascii="Verdana" w:eastAsia="Calibri" w:hAnsi="Verdana" w:cs="Arial"/>
          <w:sz w:val="20"/>
          <w:szCs w:val="20"/>
          <w:lang w:eastAsia="es-ES_tradnl"/>
        </w:rPr>
        <w:t xml:space="preserve">entidades estatales regidas por el EGCAP están habilitadas para celebrar los contratos que suelen celebrar los particulares entre sí – como el de seguro al que se refiere en su pregunta – en ejercicio de la autonomía de la voluntad privada. En ese sentido, puede ocurrir que dentro de la gestión ordinaria de sus competencias y funciones las entidades tengan necesidades que deban ser satisfechas a través de contratos como el seguro, en los que además de las disposiciones del EGCAP deberán aplicarse en su mayoría normas de derecho privado, lo que de ninguna manera desvirtúa la calidad de estatal de dichos contratos. </w:t>
      </w:r>
    </w:p>
    <w:p w14:paraId="131E3D5B" w14:textId="77777777" w:rsidR="008C2CF3" w:rsidRPr="00D71688" w:rsidRDefault="008C2CF3" w:rsidP="008C2CF3">
      <w:pPr>
        <w:spacing w:after="0" w:line="240" w:lineRule="auto"/>
        <w:jc w:val="both"/>
        <w:rPr>
          <w:rFonts w:ascii="Verdana" w:eastAsia="Calibri" w:hAnsi="Verdana"/>
          <w:color w:val="000000" w:themeColor="text1"/>
          <w:sz w:val="20"/>
          <w:szCs w:val="20"/>
          <w:lang w:val="es-ES"/>
        </w:rPr>
      </w:pPr>
    </w:p>
    <w:p w14:paraId="0A249544" w14:textId="77777777" w:rsidR="008C2CF3" w:rsidRPr="00D71688" w:rsidRDefault="008C2CF3" w:rsidP="008C2CF3">
      <w:pPr>
        <w:spacing w:after="0" w:line="240" w:lineRule="auto"/>
        <w:jc w:val="both"/>
        <w:rPr>
          <w:rFonts w:ascii="Verdana" w:eastAsia="Calibri" w:hAnsi="Verdana"/>
          <w:color w:val="000000" w:themeColor="text1"/>
          <w:sz w:val="20"/>
          <w:szCs w:val="20"/>
        </w:rPr>
      </w:pPr>
      <w:r w:rsidRPr="00D71688">
        <w:rPr>
          <w:rFonts w:ascii="Verdana" w:eastAsia="Calibri" w:hAnsi="Verdana"/>
          <w:color w:val="000000" w:themeColor="text1"/>
          <w:sz w:val="20"/>
          <w:szCs w:val="20"/>
          <w:lang w:val="es-ES"/>
        </w:rPr>
        <w:t>Teniendo en cuenta la relación entre el derecho público y el derecho privado en la contratación estatal, es necesario entender el contrato de seguro que está definido en el artículo 1036 del Código de Comercio: “</w:t>
      </w:r>
      <w:r w:rsidRPr="00D71688">
        <w:rPr>
          <w:rFonts w:ascii="Verdana" w:eastAsia="Calibri" w:hAnsi="Verdana"/>
          <w:color w:val="000000" w:themeColor="text1"/>
          <w:sz w:val="20"/>
          <w:szCs w:val="20"/>
        </w:rPr>
        <w:t xml:space="preserve">El seguro es un contrato consensual, bilateral, oneroso, aleatorio y de ejecución sucesiva”, cuyas partes son: i) el asegurador, esto es, la persona jurídica que asume los riesgos y que está autorizada para ello: ii) el tomador, esto es, la persona que obrando por cuenta propia o ajena traslada los riesgos, de conformidad con el artículo 1037 del Código de Comercio. </w:t>
      </w:r>
    </w:p>
    <w:p w14:paraId="387F16F0" w14:textId="77777777" w:rsidR="008C2CF3" w:rsidRPr="00D71688" w:rsidRDefault="008C2CF3" w:rsidP="008C2CF3">
      <w:pPr>
        <w:spacing w:after="0" w:line="240" w:lineRule="auto"/>
        <w:jc w:val="both"/>
        <w:rPr>
          <w:rFonts w:ascii="Verdana" w:eastAsia="Calibri" w:hAnsi="Verdana"/>
          <w:color w:val="000000" w:themeColor="text1"/>
          <w:sz w:val="20"/>
          <w:szCs w:val="20"/>
        </w:rPr>
      </w:pPr>
    </w:p>
    <w:p w14:paraId="7E9FC8BB" w14:textId="77777777" w:rsidR="008C2CF3" w:rsidRPr="00D71688" w:rsidRDefault="008C2CF3" w:rsidP="008C2CF3">
      <w:pPr>
        <w:spacing w:after="0" w:line="240" w:lineRule="auto"/>
        <w:jc w:val="both"/>
        <w:rPr>
          <w:rFonts w:ascii="Verdana" w:eastAsia="Calibri" w:hAnsi="Verdana"/>
          <w:color w:val="000000" w:themeColor="text1"/>
          <w:sz w:val="20"/>
          <w:szCs w:val="20"/>
        </w:rPr>
      </w:pPr>
      <w:r w:rsidRPr="00D71688">
        <w:rPr>
          <w:rFonts w:ascii="Verdana" w:eastAsia="Calibri" w:hAnsi="Verdana"/>
          <w:color w:val="000000" w:themeColor="text1"/>
          <w:sz w:val="20"/>
          <w:szCs w:val="20"/>
        </w:rPr>
        <w:t>En este caso para que el contrato de seguro sea estatal implica que una de las partes sea una entidad pública. Por tanto, en los supuestos donde el contrato de seguro cuya celebración se procede con el cometido a garantizar el cumplimiento de contratos estatales previamente celebrados entre entidades pública y en contratistas que son en principio particulares, no tiene la calidad de estatal pues el solo hecho de la entidad de ser beneficiaria, por el contrario, los contratos por lo general son suscritos entre dos particulares, es decir, entre el contratista particular en su condición de tomador y la respectiva aseguradora, quienes, por tanto, en los términos del artículo 1037 del Código de Comercio, son los únicos que pueden considerarse como partes dentro de este tipo de contratos.</w:t>
      </w:r>
    </w:p>
    <w:p w14:paraId="52E49C14" w14:textId="77777777" w:rsidR="008C2CF3" w:rsidRDefault="008C2CF3" w:rsidP="008C2CF3">
      <w:pPr>
        <w:spacing w:after="0" w:line="240" w:lineRule="auto"/>
        <w:jc w:val="both"/>
        <w:rPr>
          <w:rFonts w:ascii="Verdana" w:eastAsia="Times New Roman" w:hAnsi="Verdana" w:cs="Arial"/>
          <w:sz w:val="20"/>
          <w:szCs w:val="20"/>
          <w:lang w:eastAsia="es-MX"/>
        </w:rPr>
      </w:pPr>
    </w:p>
    <w:p w14:paraId="274485B5" w14:textId="77777777" w:rsidR="008C2CF3" w:rsidRPr="00D71688" w:rsidRDefault="008C2CF3" w:rsidP="008C2CF3">
      <w:pPr>
        <w:spacing w:after="0"/>
        <w:jc w:val="both"/>
        <w:rPr>
          <w:rFonts w:ascii="Verdana" w:hAnsi="Verdana" w:cs="Arial"/>
          <w:b/>
          <w:bCs/>
          <w:lang w:val="es-MX" w:eastAsia="es-ES" w:bidi="es-ES"/>
        </w:rPr>
      </w:pPr>
      <w:r w:rsidRPr="00D71688">
        <w:rPr>
          <w:rFonts w:ascii="Verdana" w:hAnsi="Verdana" w:cs="Arial"/>
          <w:b/>
          <w:bCs/>
          <w:lang w:val="es-ES"/>
        </w:rPr>
        <w:t>CONTRATO DE SEGURO – Modificación de los contratos – Procedencia - Condiciones – Límites.</w:t>
      </w:r>
    </w:p>
    <w:p w14:paraId="0ACA2D73" w14:textId="77777777" w:rsidR="008C2CF3" w:rsidRPr="005A411B" w:rsidRDefault="008C2CF3" w:rsidP="008C2CF3">
      <w:pPr>
        <w:spacing w:after="0" w:line="240" w:lineRule="auto"/>
        <w:rPr>
          <w:rFonts w:ascii="Verdana" w:hAnsi="Verdana"/>
          <w:sz w:val="20"/>
          <w:szCs w:val="20"/>
          <w:lang w:val="es-MX"/>
        </w:rPr>
      </w:pPr>
    </w:p>
    <w:p w14:paraId="093E4D34" w14:textId="77777777" w:rsidR="008C2CF3" w:rsidRPr="005A411B" w:rsidRDefault="008C2CF3" w:rsidP="008C2CF3">
      <w:pPr>
        <w:spacing w:after="0" w:line="240" w:lineRule="auto"/>
        <w:jc w:val="both"/>
        <w:rPr>
          <w:rFonts w:ascii="Verdana" w:hAnsi="Verdana" w:cs="Arial"/>
          <w:color w:val="000000"/>
          <w:sz w:val="20"/>
          <w:szCs w:val="20"/>
          <w:lang w:eastAsia="es-ES_tradnl"/>
        </w:rPr>
      </w:pPr>
      <w:r w:rsidRPr="005A411B">
        <w:rPr>
          <w:rFonts w:ascii="Verdana" w:eastAsia="Calibri" w:hAnsi="Verdana"/>
          <w:color w:val="000000" w:themeColor="text1"/>
          <w:sz w:val="20"/>
          <w:szCs w:val="20"/>
        </w:rPr>
        <w:t>En primer lugar, el</w:t>
      </w:r>
      <w:r w:rsidRPr="005A411B">
        <w:rPr>
          <w:rFonts w:ascii="Verdana" w:hAnsi="Verdana" w:cs="Arial"/>
          <w:color w:val="000000"/>
          <w:sz w:val="20"/>
          <w:szCs w:val="20"/>
          <w:lang w:eastAsia="es-ES_tradnl"/>
        </w:rPr>
        <w:t xml:space="preserve"> criterio cuantitativo se señala que cualquier incremento del valor inicial del contrato, independiente del nombre que se le dé al acuerdo -otrosí, adición, modificación, entre otros-, aplica el límite previsto en el parágrafo del artículo 40 de la Ley 80 de 1993: “Los contratos no podrán adicionarse en más del cincuenta por ciento (50%) de su valor inicial, expresado éste en salarios mínimos legales mensuales”. En este sentido, para evitar equivocaciones, lo ideal es que cada vez que se efectúe una adición, se estime su valor en salarios mínimos, que se calcularán con base en el vigente al momento de la adición, de manera que se descuenten estos de los salarios mínimos que restan por adicionar, ya que las modificaciones podrían hacerse en diferentes vigencias fiscales, porque si el contrato se ejecuta sin existir variación en el valor del salario mínimo la operación sería la misma si se toma el monto en pesos. </w:t>
      </w:r>
    </w:p>
    <w:p w14:paraId="36246EC0" w14:textId="77777777" w:rsidR="008C2CF3" w:rsidRDefault="008C2CF3" w:rsidP="008C2CF3">
      <w:pPr>
        <w:widowControl w:val="0"/>
        <w:autoSpaceDE w:val="0"/>
        <w:autoSpaceDN w:val="0"/>
        <w:spacing w:after="0" w:line="240" w:lineRule="auto"/>
        <w:jc w:val="both"/>
        <w:rPr>
          <w:rFonts w:ascii="Verdana" w:hAnsi="Verdana" w:cs="Arial"/>
          <w:sz w:val="20"/>
          <w:szCs w:val="20"/>
          <w:lang w:val="es-ES"/>
        </w:rPr>
      </w:pPr>
    </w:p>
    <w:p w14:paraId="2EB991B2" w14:textId="77777777" w:rsidR="008C2CF3" w:rsidRPr="005A411B" w:rsidRDefault="008C2CF3" w:rsidP="008C2CF3">
      <w:pPr>
        <w:widowControl w:val="0"/>
        <w:autoSpaceDE w:val="0"/>
        <w:autoSpaceDN w:val="0"/>
        <w:spacing w:after="0" w:line="240" w:lineRule="auto"/>
        <w:jc w:val="both"/>
        <w:rPr>
          <w:rFonts w:ascii="Verdana" w:hAnsi="Verdana" w:cs="Arial"/>
          <w:sz w:val="20"/>
          <w:szCs w:val="20"/>
        </w:rPr>
      </w:pPr>
      <w:r w:rsidRPr="005A411B">
        <w:rPr>
          <w:rFonts w:ascii="Verdana" w:hAnsi="Verdana" w:cs="Arial"/>
          <w:sz w:val="20"/>
          <w:szCs w:val="20"/>
          <w:lang w:val="es-ES"/>
        </w:rPr>
        <w:t>En segundo lugar, los</w:t>
      </w:r>
      <w:r w:rsidRPr="005A411B">
        <w:rPr>
          <w:rFonts w:ascii="Verdana" w:hAnsi="Verdana"/>
          <w:sz w:val="20"/>
          <w:szCs w:val="20"/>
        </w:rPr>
        <w:t xml:space="preserve"> límites de orden temporal están comprendidos por: </w:t>
      </w:r>
      <w:r w:rsidRPr="005A411B">
        <w:rPr>
          <w:rFonts w:ascii="Verdana" w:eastAsia="Arial" w:hAnsi="Verdana" w:cs="Arial"/>
          <w:sz w:val="20"/>
          <w:szCs w:val="20"/>
          <w:lang w:val="es-MX" w:eastAsia="es-ES" w:bidi="es-ES"/>
        </w:rPr>
        <w:t>1. la vigencia del contrato, pues no podría modificarse un contrato cuyo plazo ha culminado o finalizado y; 2. la prohibición de consagrar prórrogas automáticas, sucesivas o indefinidas, en tanto resultan contrarias al derecho esencial de la libertad de competencia.</w:t>
      </w:r>
      <w:r w:rsidRPr="005A411B">
        <w:rPr>
          <w:rFonts w:ascii="Verdana" w:hAnsi="Verdana" w:cs="Arial"/>
          <w:sz w:val="20"/>
          <w:szCs w:val="20"/>
        </w:rPr>
        <w:t xml:space="preserve"> Es decir, no es posible establecer prórrogas automáticas en los contratos estatales de seguro. </w:t>
      </w:r>
    </w:p>
    <w:p w14:paraId="20171A41" w14:textId="77777777" w:rsidR="008C2CF3" w:rsidRDefault="008C2CF3" w:rsidP="008C2CF3">
      <w:pPr>
        <w:widowControl w:val="0"/>
        <w:autoSpaceDE w:val="0"/>
        <w:autoSpaceDN w:val="0"/>
        <w:spacing w:after="0" w:line="240" w:lineRule="auto"/>
        <w:jc w:val="both"/>
        <w:rPr>
          <w:rFonts w:ascii="Verdana" w:hAnsi="Verdana" w:cs="Arial"/>
          <w:sz w:val="20"/>
          <w:szCs w:val="20"/>
        </w:rPr>
      </w:pPr>
    </w:p>
    <w:p w14:paraId="3156F91F" w14:textId="77777777" w:rsidR="008C2CF3" w:rsidRPr="005A411B" w:rsidRDefault="008C2CF3" w:rsidP="008C2CF3">
      <w:pPr>
        <w:widowControl w:val="0"/>
        <w:autoSpaceDE w:val="0"/>
        <w:autoSpaceDN w:val="0"/>
        <w:spacing w:after="0" w:line="240" w:lineRule="auto"/>
        <w:jc w:val="both"/>
        <w:rPr>
          <w:rFonts w:ascii="Verdana" w:eastAsia="Arial" w:hAnsi="Verdana" w:cs="Arial"/>
          <w:color w:val="000000"/>
          <w:sz w:val="20"/>
          <w:szCs w:val="20"/>
          <w:lang w:eastAsia="es-ES" w:bidi="es-ES"/>
        </w:rPr>
      </w:pPr>
      <w:r w:rsidRPr="005A411B">
        <w:rPr>
          <w:rFonts w:ascii="Verdana" w:hAnsi="Verdana" w:cs="Arial"/>
          <w:sz w:val="20"/>
          <w:szCs w:val="20"/>
        </w:rPr>
        <w:t xml:space="preserve">En tercer lugar, los límites de orden formal, debe señalarse que, por un lado, es necesario que, la </w:t>
      </w:r>
      <w:r w:rsidRPr="005A411B">
        <w:rPr>
          <w:rFonts w:ascii="Verdana" w:eastAsia="Arial" w:hAnsi="Verdana" w:cs="Arial"/>
          <w:sz w:val="20"/>
          <w:szCs w:val="20"/>
          <w:lang w:val="es-MX" w:eastAsia="es-ES" w:bidi="es-ES"/>
        </w:rPr>
        <w:t xml:space="preserve">modificación de los contratos conste por escrito, dado el carácter solemne del contrato estatal y que sea firmado por el jefe o representante legal o su delegado, de conformidad con los artículos 11 y 12 de la Ley 80 de 1993. Es decir, </w:t>
      </w:r>
      <w:r w:rsidRPr="005A411B">
        <w:rPr>
          <w:rFonts w:ascii="Verdana" w:eastAsia="Arial" w:hAnsi="Verdana" w:cs="Arial"/>
          <w:color w:val="000000"/>
          <w:sz w:val="20"/>
          <w:szCs w:val="20"/>
          <w:lang w:eastAsia="es-ES" w:bidi="es-ES"/>
        </w:rPr>
        <w:t xml:space="preserve">los contratos estatales, por regla general, son contratos solemnes, que de conformidad al artículo 1500 del Código Civil implica que están sujetos a la observancia de ciertas formalidades especiales, de manera que sin ellas no producen efecto. </w:t>
      </w:r>
    </w:p>
    <w:p w14:paraId="709FD501" w14:textId="77777777" w:rsidR="008C2CF3" w:rsidRDefault="008C2CF3" w:rsidP="008C2CF3">
      <w:pPr>
        <w:widowControl w:val="0"/>
        <w:autoSpaceDE w:val="0"/>
        <w:autoSpaceDN w:val="0"/>
        <w:spacing w:after="0" w:line="240" w:lineRule="auto"/>
        <w:jc w:val="both"/>
        <w:rPr>
          <w:rFonts w:ascii="Verdana" w:hAnsi="Verdana" w:cs="Arial"/>
          <w:sz w:val="20"/>
          <w:szCs w:val="20"/>
        </w:rPr>
      </w:pPr>
    </w:p>
    <w:p w14:paraId="3EBB70CA" w14:textId="77777777" w:rsidR="008C2CF3" w:rsidRPr="005A411B" w:rsidRDefault="008C2CF3" w:rsidP="008C2CF3">
      <w:pPr>
        <w:widowControl w:val="0"/>
        <w:autoSpaceDE w:val="0"/>
        <w:autoSpaceDN w:val="0"/>
        <w:spacing w:after="0" w:line="240" w:lineRule="auto"/>
        <w:jc w:val="both"/>
        <w:rPr>
          <w:rFonts w:ascii="Verdana" w:eastAsia="Arial" w:hAnsi="Verdana" w:cs="Arial"/>
          <w:color w:val="000000"/>
          <w:sz w:val="20"/>
          <w:szCs w:val="20"/>
          <w:lang w:val="es-ES" w:eastAsia="es-ES" w:bidi="es-ES"/>
        </w:rPr>
      </w:pPr>
      <w:r w:rsidRPr="005A411B">
        <w:rPr>
          <w:rFonts w:ascii="Verdana" w:hAnsi="Verdana" w:cs="Arial"/>
          <w:sz w:val="20"/>
          <w:szCs w:val="20"/>
        </w:rPr>
        <w:t xml:space="preserve">En cuarto lugar, los límites materiales que </w:t>
      </w:r>
      <w:r w:rsidRPr="005A411B">
        <w:rPr>
          <w:rFonts w:ascii="Verdana" w:eastAsia="Arial" w:hAnsi="Verdana" w:cs="Arial"/>
          <w:sz w:val="20"/>
          <w:szCs w:val="20"/>
          <w:lang w:val="es-MX" w:eastAsia="es-ES" w:bidi="es-ES"/>
        </w:rPr>
        <w:t xml:space="preserve">corresponden a la prohibición de modificar las condiciones sustanciales del contrato, que se presentará en los casos en que se incluyan elementos que, </w:t>
      </w:r>
      <w:r w:rsidRPr="005A411B">
        <w:rPr>
          <w:rFonts w:ascii="Verdana" w:eastAsia="Arial" w:hAnsi="Verdana" w:cs="Arial"/>
          <w:i/>
          <w:sz w:val="20"/>
          <w:szCs w:val="20"/>
          <w:lang w:val="es-MX" w:eastAsia="es-ES" w:bidi="es-ES"/>
        </w:rPr>
        <w:t xml:space="preserve">“habiendo figurado en el procedimiento inicial, hubiera permitido la participación de otros interesados aparte de los inicialmente admitidos, o seleccionar una oferta distinta de la inicialmente seleccionada”. </w:t>
      </w:r>
    </w:p>
    <w:p w14:paraId="37E2BEBD" w14:textId="77777777" w:rsidR="008C2CF3" w:rsidRDefault="008C2CF3" w:rsidP="008C2CF3">
      <w:pPr>
        <w:widowControl w:val="0"/>
        <w:autoSpaceDE w:val="0"/>
        <w:autoSpaceDN w:val="0"/>
        <w:spacing w:after="0" w:line="240" w:lineRule="auto"/>
        <w:jc w:val="both"/>
        <w:rPr>
          <w:rFonts w:ascii="Verdana" w:eastAsia="Arial" w:hAnsi="Verdana" w:cs="Arial"/>
          <w:sz w:val="20"/>
          <w:szCs w:val="20"/>
          <w:lang w:val="es-MX" w:eastAsia="es-ES" w:bidi="es-ES"/>
        </w:rPr>
      </w:pPr>
    </w:p>
    <w:p w14:paraId="10BC2BD5" w14:textId="77777777" w:rsidR="008C2CF3" w:rsidRPr="005A411B" w:rsidRDefault="008C2CF3" w:rsidP="008C2CF3">
      <w:pPr>
        <w:widowControl w:val="0"/>
        <w:autoSpaceDE w:val="0"/>
        <w:autoSpaceDN w:val="0"/>
        <w:spacing w:after="0" w:line="240" w:lineRule="auto"/>
        <w:jc w:val="both"/>
        <w:rPr>
          <w:rFonts w:ascii="Verdana" w:hAnsi="Verdana" w:cs="Arial"/>
          <w:sz w:val="20"/>
          <w:szCs w:val="20"/>
        </w:rPr>
      </w:pPr>
      <w:r w:rsidRPr="005A411B">
        <w:rPr>
          <w:rFonts w:ascii="Verdana" w:eastAsia="Arial" w:hAnsi="Verdana" w:cs="Arial"/>
          <w:sz w:val="20"/>
          <w:szCs w:val="20"/>
          <w:lang w:val="es-MX" w:eastAsia="es-ES" w:bidi="es-ES"/>
        </w:rPr>
        <w:t xml:space="preserve">Finalmente, se encuentran los </w:t>
      </w:r>
      <w:r w:rsidRPr="005A411B">
        <w:rPr>
          <w:rFonts w:ascii="Verdana" w:eastAsia="Arial" w:hAnsi="Verdana" w:cs="Arial"/>
          <w:i/>
          <w:iCs/>
          <w:sz w:val="20"/>
          <w:szCs w:val="20"/>
          <w:lang w:val="es-MX" w:eastAsia="es-ES" w:bidi="es-ES"/>
        </w:rPr>
        <w:t>límites axiológicos</w:t>
      </w:r>
      <w:r w:rsidRPr="005A411B">
        <w:rPr>
          <w:rFonts w:ascii="Verdana" w:eastAsia="Arial" w:hAnsi="Verdana" w:cs="Arial"/>
          <w:sz w:val="20"/>
          <w:szCs w:val="20"/>
          <w:lang w:val="es-MX" w:eastAsia="es-ES" w:bidi="es-ES"/>
        </w:rPr>
        <w:t xml:space="preserve">, los cuales se fundan en la necesidad de preservar los principios de igualdad, transparencia, libertad de concurrencia, selección objetiva y planeación. </w:t>
      </w:r>
      <w:r w:rsidRPr="005A411B">
        <w:rPr>
          <w:rFonts w:ascii="Verdana" w:hAnsi="Verdana" w:cs="Arial"/>
          <w:sz w:val="20"/>
          <w:szCs w:val="20"/>
          <w:lang w:eastAsia="es-ES_tradnl"/>
        </w:rPr>
        <w:t xml:space="preserve">Lo anterior, con la finalidad de realizar la escogencia diligente de la mejor oferta, para beneficiar los intereses y fines públicos inmersos en la contratación de las entidades estatales. </w:t>
      </w:r>
    </w:p>
    <w:p w14:paraId="1DEA55AF" w14:textId="77777777" w:rsidR="008C2CF3" w:rsidRDefault="008C2CF3" w:rsidP="008C2CF3">
      <w:pPr>
        <w:spacing w:after="0" w:line="240" w:lineRule="auto"/>
        <w:jc w:val="both"/>
        <w:rPr>
          <w:rFonts w:ascii="Verdana" w:eastAsia="Times New Roman" w:hAnsi="Verdana" w:cs="Arial"/>
          <w:sz w:val="20"/>
          <w:szCs w:val="20"/>
          <w:lang w:eastAsia="es-MX"/>
        </w:rPr>
      </w:pPr>
    </w:p>
    <w:p w14:paraId="41E5E31B" w14:textId="77777777" w:rsidR="008C2CF3" w:rsidRDefault="008C2CF3" w:rsidP="008C2CF3">
      <w:pPr>
        <w:spacing w:after="0" w:line="240" w:lineRule="auto"/>
        <w:jc w:val="both"/>
        <w:rPr>
          <w:rFonts w:ascii="Verdana" w:eastAsia="Times New Roman" w:hAnsi="Verdana" w:cs="Arial"/>
          <w:sz w:val="20"/>
          <w:szCs w:val="20"/>
          <w:lang w:eastAsia="es-MX"/>
        </w:rPr>
      </w:pPr>
    </w:p>
    <w:p w14:paraId="2B46560E" w14:textId="77777777" w:rsidR="008C2CF3" w:rsidRDefault="008C2CF3" w:rsidP="008C2CF3">
      <w:pPr>
        <w:spacing w:after="0" w:line="240" w:lineRule="auto"/>
        <w:jc w:val="both"/>
        <w:rPr>
          <w:rFonts w:ascii="Verdana" w:eastAsia="Times New Roman" w:hAnsi="Verdana" w:cs="Arial"/>
          <w:sz w:val="20"/>
          <w:szCs w:val="20"/>
          <w:lang w:eastAsia="es-MX"/>
        </w:rPr>
      </w:pPr>
    </w:p>
    <w:p w14:paraId="4460295B" w14:textId="77777777" w:rsidR="008C2CF3" w:rsidRDefault="008C2CF3" w:rsidP="008C2CF3">
      <w:pPr>
        <w:spacing w:after="0" w:line="240" w:lineRule="auto"/>
        <w:jc w:val="both"/>
        <w:rPr>
          <w:rFonts w:ascii="Verdana" w:eastAsia="Times New Roman" w:hAnsi="Verdana" w:cs="Arial"/>
          <w:sz w:val="20"/>
          <w:szCs w:val="20"/>
          <w:lang w:eastAsia="es-MX"/>
        </w:rPr>
      </w:pPr>
    </w:p>
    <w:p w14:paraId="381F72D5" w14:textId="77777777" w:rsidR="008C2CF3" w:rsidRDefault="008C2CF3" w:rsidP="008C2CF3">
      <w:pPr>
        <w:spacing w:after="0" w:line="240" w:lineRule="auto"/>
        <w:jc w:val="both"/>
        <w:rPr>
          <w:rFonts w:ascii="Verdana" w:eastAsia="Times New Roman" w:hAnsi="Verdana" w:cs="Arial"/>
          <w:sz w:val="20"/>
          <w:szCs w:val="20"/>
          <w:lang w:eastAsia="es-MX"/>
        </w:rPr>
      </w:pPr>
    </w:p>
    <w:p w14:paraId="29852900" w14:textId="77777777" w:rsidR="008C2CF3" w:rsidRDefault="008C2CF3" w:rsidP="008C2CF3">
      <w:pPr>
        <w:spacing w:after="0" w:line="240" w:lineRule="auto"/>
        <w:jc w:val="both"/>
        <w:rPr>
          <w:rFonts w:ascii="Verdana" w:eastAsia="Times New Roman" w:hAnsi="Verdana" w:cs="Arial"/>
          <w:sz w:val="20"/>
          <w:szCs w:val="20"/>
          <w:lang w:eastAsia="es-MX"/>
        </w:rPr>
      </w:pPr>
    </w:p>
    <w:p w14:paraId="7482B3BF" w14:textId="77777777" w:rsidR="008C2CF3" w:rsidRDefault="008C2CF3" w:rsidP="008C2CF3">
      <w:pPr>
        <w:spacing w:after="0" w:line="240" w:lineRule="auto"/>
        <w:jc w:val="both"/>
        <w:rPr>
          <w:rFonts w:ascii="Verdana" w:eastAsia="Times New Roman" w:hAnsi="Verdana" w:cs="Arial"/>
          <w:sz w:val="20"/>
          <w:szCs w:val="20"/>
          <w:lang w:eastAsia="es-MX"/>
        </w:rPr>
      </w:pPr>
    </w:p>
    <w:p w14:paraId="5536A2EB" w14:textId="77777777" w:rsidR="008C2CF3" w:rsidRDefault="008C2CF3" w:rsidP="008C2CF3">
      <w:pPr>
        <w:spacing w:after="0" w:line="240" w:lineRule="auto"/>
        <w:jc w:val="both"/>
        <w:rPr>
          <w:rFonts w:ascii="Verdana" w:eastAsia="Times New Roman" w:hAnsi="Verdana" w:cs="Arial"/>
          <w:sz w:val="20"/>
          <w:szCs w:val="20"/>
          <w:lang w:eastAsia="es-MX"/>
        </w:rPr>
      </w:pPr>
    </w:p>
    <w:p w14:paraId="2C14E704" w14:textId="77777777" w:rsidR="008C2CF3" w:rsidRDefault="008C2CF3" w:rsidP="008C2CF3">
      <w:pPr>
        <w:spacing w:after="0" w:line="240" w:lineRule="auto"/>
        <w:jc w:val="both"/>
        <w:rPr>
          <w:rFonts w:ascii="Verdana" w:eastAsia="Times New Roman" w:hAnsi="Verdana" w:cs="Arial"/>
          <w:sz w:val="20"/>
          <w:szCs w:val="20"/>
          <w:lang w:eastAsia="es-MX"/>
        </w:rPr>
      </w:pPr>
    </w:p>
    <w:p w14:paraId="38EF4F88" w14:textId="77777777" w:rsidR="008C2CF3" w:rsidRDefault="008C2CF3" w:rsidP="008C2CF3">
      <w:pPr>
        <w:spacing w:after="0" w:line="240" w:lineRule="auto"/>
        <w:jc w:val="both"/>
        <w:rPr>
          <w:rFonts w:ascii="Verdana" w:eastAsia="Times New Roman" w:hAnsi="Verdana" w:cs="Arial"/>
          <w:sz w:val="20"/>
          <w:szCs w:val="20"/>
          <w:lang w:eastAsia="es-MX"/>
        </w:rPr>
      </w:pPr>
    </w:p>
    <w:p w14:paraId="4FCAEE65" w14:textId="77777777" w:rsidR="008C2CF3" w:rsidRDefault="008C2CF3" w:rsidP="008C2CF3">
      <w:pPr>
        <w:spacing w:after="0" w:line="240" w:lineRule="auto"/>
        <w:jc w:val="both"/>
        <w:rPr>
          <w:rFonts w:ascii="Verdana" w:eastAsia="Times New Roman" w:hAnsi="Verdana" w:cs="Arial"/>
          <w:sz w:val="20"/>
          <w:szCs w:val="20"/>
          <w:lang w:eastAsia="es-MX"/>
        </w:rPr>
      </w:pPr>
    </w:p>
    <w:p w14:paraId="3728784D" w14:textId="77777777" w:rsidR="008C2CF3" w:rsidRDefault="008C2CF3" w:rsidP="008C2CF3">
      <w:pPr>
        <w:spacing w:after="0" w:line="240" w:lineRule="auto"/>
        <w:jc w:val="both"/>
        <w:rPr>
          <w:rFonts w:ascii="Verdana" w:eastAsia="Times New Roman" w:hAnsi="Verdana" w:cs="Arial"/>
          <w:sz w:val="20"/>
          <w:szCs w:val="20"/>
          <w:lang w:eastAsia="es-MX"/>
        </w:rPr>
      </w:pPr>
    </w:p>
    <w:p w14:paraId="269BF31F" w14:textId="77777777" w:rsidR="008C2CF3" w:rsidRDefault="008C2CF3" w:rsidP="008C2CF3">
      <w:pPr>
        <w:spacing w:after="0" w:line="240" w:lineRule="auto"/>
        <w:jc w:val="both"/>
        <w:rPr>
          <w:rFonts w:ascii="Verdana" w:eastAsia="Times New Roman" w:hAnsi="Verdana" w:cs="Arial"/>
          <w:sz w:val="20"/>
          <w:szCs w:val="20"/>
          <w:lang w:eastAsia="es-MX"/>
        </w:rPr>
      </w:pPr>
    </w:p>
    <w:p w14:paraId="47CABB3C" w14:textId="77777777" w:rsidR="008C2CF3" w:rsidRDefault="008C2CF3" w:rsidP="008C2CF3">
      <w:pPr>
        <w:spacing w:after="0" w:line="240" w:lineRule="auto"/>
        <w:jc w:val="both"/>
        <w:rPr>
          <w:rFonts w:ascii="Verdana" w:eastAsia="Times New Roman" w:hAnsi="Verdana" w:cs="Arial"/>
          <w:sz w:val="20"/>
          <w:szCs w:val="20"/>
          <w:lang w:eastAsia="es-MX"/>
        </w:rPr>
      </w:pPr>
    </w:p>
    <w:p w14:paraId="477DD7DF" w14:textId="77777777" w:rsidR="008C2CF3" w:rsidRDefault="008C2CF3" w:rsidP="008C2CF3">
      <w:pPr>
        <w:spacing w:after="0" w:line="240" w:lineRule="auto"/>
        <w:jc w:val="both"/>
        <w:rPr>
          <w:rFonts w:ascii="Verdana" w:eastAsia="Times New Roman" w:hAnsi="Verdana" w:cs="Arial"/>
          <w:sz w:val="20"/>
          <w:szCs w:val="20"/>
          <w:lang w:eastAsia="es-MX"/>
        </w:rPr>
      </w:pPr>
    </w:p>
    <w:p w14:paraId="41CF4F24" w14:textId="77777777" w:rsidR="008C2CF3" w:rsidRDefault="008C2CF3" w:rsidP="008C2CF3">
      <w:pPr>
        <w:spacing w:after="0" w:line="240" w:lineRule="auto"/>
        <w:jc w:val="both"/>
        <w:rPr>
          <w:rFonts w:ascii="Verdana" w:eastAsia="Times New Roman" w:hAnsi="Verdana" w:cs="Arial"/>
          <w:sz w:val="20"/>
          <w:szCs w:val="20"/>
          <w:lang w:eastAsia="es-MX"/>
        </w:rPr>
      </w:pPr>
    </w:p>
    <w:p w14:paraId="491BFCB5" w14:textId="77777777" w:rsidR="008C2CF3" w:rsidRDefault="008C2CF3" w:rsidP="008C2CF3">
      <w:pPr>
        <w:spacing w:after="0" w:line="240" w:lineRule="auto"/>
        <w:jc w:val="both"/>
        <w:rPr>
          <w:rFonts w:ascii="Verdana" w:eastAsia="Times New Roman" w:hAnsi="Verdana" w:cs="Arial"/>
          <w:sz w:val="20"/>
          <w:szCs w:val="20"/>
          <w:lang w:eastAsia="es-MX"/>
        </w:rPr>
      </w:pPr>
    </w:p>
    <w:p w14:paraId="51BA836B" w14:textId="77777777" w:rsidR="008C2CF3" w:rsidRDefault="008C2CF3" w:rsidP="008C2CF3">
      <w:pPr>
        <w:spacing w:after="0" w:line="240" w:lineRule="auto"/>
        <w:jc w:val="both"/>
        <w:rPr>
          <w:rFonts w:ascii="Verdana" w:eastAsia="Times New Roman" w:hAnsi="Verdana" w:cs="Arial"/>
          <w:sz w:val="20"/>
          <w:szCs w:val="20"/>
          <w:lang w:eastAsia="es-MX"/>
        </w:rPr>
      </w:pPr>
    </w:p>
    <w:p w14:paraId="7B508DA3" w14:textId="77777777" w:rsidR="008C2CF3" w:rsidRDefault="008C2CF3" w:rsidP="008C2CF3">
      <w:pPr>
        <w:spacing w:after="0" w:line="240" w:lineRule="auto"/>
        <w:jc w:val="both"/>
        <w:rPr>
          <w:rFonts w:ascii="Verdana" w:eastAsia="Times New Roman" w:hAnsi="Verdana" w:cs="Arial"/>
          <w:sz w:val="20"/>
          <w:szCs w:val="20"/>
          <w:lang w:eastAsia="es-MX"/>
        </w:rPr>
      </w:pPr>
    </w:p>
    <w:p w14:paraId="5C56AA63" w14:textId="77777777" w:rsidR="008C2CF3" w:rsidRDefault="008C2CF3" w:rsidP="008C2CF3">
      <w:pPr>
        <w:spacing w:after="0" w:line="240" w:lineRule="auto"/>
        <w:jc w:val="both"/>
        <w:rPr>
          <w:rFonts w:ascii="Verdana" w:eastAsia="Times New Roman" w:hAnsi="Verdana" w:cs="Arial"/>
          <w:sz w:val="20"/>
          <w:szCs w:val="20"/>
          <w:lang w:eastAsia="es-MX"/>
        </w:rPr>
      </w:pPr>
    </w:p>
    <w:p w14:paraId="03D381B1" w14:textId="707B4878" w:rsidR="008C2CF3" w:rsidRPr="004667F5" w:rsidRDefault="008C2CF3" w:rsidP="008C2CF3">
      <w:pPr>
        <w:spacing w:after="0" w:line="240" w:lineRule="auto"/>
        <w:rPr>
          <w:rFonts w:ascii="Verdana" w:hAnsi="Verdana"/>
        </w:rPr>
      </w:pPr>
      <w:r w:rsidRPr="00593A5F">
        <w:rPr>
          <w:rFonts w:ascii="Verdana" w:eastAsia="Geomanist Light" w:hAnsi="Verdana" w:cs="Arial"/>
          <w:color w:val="000000" w:themeColor="text1"/>
          <w:lang w:val="es-MX"/>
        </w:rPr>
        <w:lastRenderedPageBreak/>
        <w:t>Bogotá D.C., </w:t>
      </w:r>
      <w:r w:rsidR="00075F5D">
        <w:rPr>
          <w:rFonts w:ascii="Verdana" w:hAnsi="Verdana"/>
        </w:rPr>
        <w:t>16 junio 2026</w:t>
      </w:r>
    </w:p>
    <w:p w14:paraId="64232217" w14:textId="44982598" w:rsidR="008C2CF3" w:rsidRDefault="00075F5D" w:rsidP="008C2CF3">
      <w:pPr>
        <w:spacing w:after="0" w:line="240" w:lineRule="auto"/>
        <w:jc w:val="both"/>
        <w:rPr>
          <w:rFonts w:ascii="Verdana" w:eastAsia="Calibri" w:hAnsi="Verdana" w:cs="Arial"/>
          <w:color w:val="000000"/>
          <w:lang w:val="es-ES"/>
        </w:rPr>
      </w:pPr>
      <w:r w:rsidRPr="00075F5D">
        <w:rPr>
          <w:rFonts w:ascii="Verdana" w:hAnsi="Verdana"/>
          <w:noProof/>
        </w:rPr>
        <w:drawing>
          <wp:anchor distT="0" distB="0" distL="114300" distR="114300" simplePos="0" relativeHeight="251658240" behindDoc="1" locked="0" layoutInCell="1" allowOverlap="1" wp14:anchorId="5C62168E" wp14:editId="1BE717C1">
            <wp:simplePos x="0" y="0"/>
            <wp:positionH relativeFrom="margin">
              <wp:align>right</wp:align>
            </wp:positionH>
            <wp:positionV relativeFrom="paragraph">
              <wp:posOffset>6795</wp:posOffset>
            </wp:positionV>
            <wp:extent cx="2802255" cy="776605"/>
            <wp:effectExtent l="0" t="0" r="0" b="4445"/>
            <wp:wrapTight wrapText="bothSides">
              <wp:wrapPolygon edited="0">
                <wp:start x="0" y="0"/>
                <wp:lineTo x="0" y="21194"/>
                <wp:lineTo x="21438" y="21194"/>
                <wp:lineTo x="21438" y="0"/>
                <wp:lineTo x="0" y="0"/>
              </wp:wrapPolygon>
            </wp:wrapTight>
            <wp:docPr id="20798640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02255" cy="7766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DFAE70" w14:textId="77777777" w:rsidR="008C2CF3" w:rsidRDefault="008C2CF3" w:rsidP="008C2CF3">
      <w:pPr>
        <w:spacing w:after="0" w:line="240" w:lineRule="auto"/>
        <w:jc w:val="right"/>
        <w:rPr>
          <w:rFonts w:ascii="Verdana" w:eastAsia="Calibri" w:hAnsi="Verdana" w:cs="Arial"/>
          <w:color w:val="000000"/>
          <w:lang w:val="es-ES"/>
        </w:rPr>
      </w:pPr>
    </w:p>
    <w:p w14:paraId="4A33CF9C" w14:textId="77777777" w:rsidR="008C2CF3" w:rsidRPr="00B96799" w:rsidRDefault="008C2CF3" w:rsidP="008C2CF3">
      <w:pPr>
        <w:spacing w:after="0" w:line="240" w:lineRule="auto"/>
        <w:jc w:val="both"/>
        <w:rPr>
          <w:rFonts w:ascii="Verdana" w:eastAsia="Calibri" w:hAnsi="Verdana" w:cs="Arial"/>
          <w:lang w:val="es-ES" w:eastAsia="es-ES"/>
        </w:rPr>
      </w:pPr>
      <w:r>
        <w:rPr>
          <w:rFonts w:ascii="Verdana" w:eastAsia="Calibri" w:hAnsi="Verdana" w:cs="Arial"/>
          <w:lang w:val="es-ES" w:eastAsia="es-ES"/>
        </w:rPr>
        <w:t>Señor</w:t>
      </w:r>
    </w:p>
    <w:p w14:paraId="40B0741B" w14:textId="77777777" w:rsidR="008C2CF3" w:rsidRDefault="008C2CF3" w:rsidP="008C2CF3">
      <w:pPr>
        <w:spacing w:after="0" w:line="240" w:lineRule="auto"/>
        <w:rPr>
          <w:rFonts w:ascii="Verdana" w:hAnsi="Verdana"/>
        </w:rPr>
      </w:pPr>
      <w:r w:rsidRPr="00F81C99">
        <w:rPr>
          <w:rFonts w:ascii="Verdana" w:eastAsia="Calibri" w:hAnsi="Verdana" w:cs="Arial"/>
          <w:b/>
          <w:lang w:val="es-ES_tradnl" w:eastAsia="es-ES_tradnl"/>
        </w:rPr>
        <w:t xml:space="preserve">ANDRÉS FELIPE CANIZALES CIENDÚA              </w:t>
      </w:r>
      <w:hyperlink r:id="rId11" w:history="1">
        <w:r w:rsidRPr="00D7269B">
          <w:rPr>
            <w:rStyle w:val="Hipervnculo"/>
            <w:rFonts w:ascii="Verdana" w:hAnsi="Verdana"/>
          </w:rPr>
          <w:t>andresfelipe_90210@hotmail.com</w:t>
        </w:r>
      </w:hyperlink>
    </w:p>
    <w:p w14:paraId="4C6300E1" w14:textId="77777777" w:rsidR="008C2CF3" w:rsidRPr="007A6B04" w:rsidRDefault="008C2CF3" w:rsidP="008C2CF3">
      <w:pPr>
        <w:spacing w:after="0" w:line="240" w:lineRule="auto"/>
        <w:rPr>
          <w:rFonts w:ascii="Verdana" w:hAnsi="Verdana"/>
        </w:rPr>
      </w:pPr>
      <w:r>
        <w:rPr>
          <w:rFonts w:ascii="Verdana" w:eastAsia="Calibri" w:hAnsi="Verdana" w:cs="Arial"/>
          <w:lang w:val="es-ES" w:eastAsia="es-ES"/>
        </w:rPr>
        <w:t>Bogotá D.C.</w:t>
      </w:r>
    </w:p>
    <w:p w14:paraId="0D25A61C" w14:textId="77777777" w:rsidR="008C2CF3" w:rsidRPr="00593A5F" w:rsidRDefault="008C2CF3" w:rsidP="008C2CF3">
      <w:pPr>
        <w:spacing w:after="0" w:line="240" w:lineRule="auto"/>
        <w:rPr>
          <w:rFonts w:ascii="Verdana" w:eastAsia="Calibri" w:hAnsi="Verdana" w:cs="Arial"/>
          <w:b/>
          <w:bCs/>
          <w:color w:val="000000"/>
          <w:lang w:val="es-ES_tradnl" w:eastAsia="es-ES_tradnl"/>
        </w:rPr>
      </w:pPr>
    </w:p>
    <w:p w14:paraId="78624900" w14:textId="77777777" w:rsidR="008C2CF3" w:rsidRPr="00593A5F" w:rsidRDefault="008C2CF3" w:rsidP="008C2CF3">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8C2CF3" w:rsidRPr="00593A5F" w14:paraId="12615126" w14:textId="77777777" w:rsidTr="0004496C">
        <w:trPr>
          <w:trHeight w:val="170"/>
        </w:trPr>
        <w:tc>
          <w:tcPr>
            <w:tcW w:w="2689" w:type="dxa"/>
          </w:tcPr>
          <w:p w14:paraId="6D97741E" w14:textId="77777777" w:rsidR="008C2CF3" w:rsidRPr="00C00976" w:rsidRDefault="008C2CF3" w:rsidP="0004496C">
            <w:pPr>
              <w:jc w:val="both"/>
              <w:rPr>
                <w:rFonts w:ascii="Verdana" w:eastAsia="Calibri" w:hAnsi="Verdana" w:cs="Arial"/>
                <w:b/>
                <w:bCs/>
                <w:color w:val="7030A0"/>
                <w:lang w:val="es-ES_tradnl" w:eastAsia="es-ES_tradnl"/>
              </w:rPr>
            </w:pPr>
          </w:p>
        </w:tc>
        <w:tc>
          <w:tcPr>
            <w:tcW w:w="6100" w:type="dxa"/>
          </w:tcPr>
          <w:p w14:paraId="664E8B1F" w14:textId="77777777" w:rsidR="008C2CF3" w:rsidRDefault="008C2CF3" w:rsidP="0004496C">
            <w:pPr>
              <w:jc w:val="both"/>
              <w:rPr>
                <w:rFonts w:ascii="Verdana" w:eastAsia="Calibri" w:hAnsi="Verdana" w:cs="Arial"/>
                <w:b/>
                <w:bCs/>
                <w:lang w:val="es-ES" w:eastAsia="es-ES"/>
              </w:rPr>
            </w:pPr>
            <w:r w:rsidRPr="008E6AD9">
              <w:rPr>
                <w:rFonts w:ascii="Verdana" w:eastAsia="Calibri" w:hAnsi="Verdana" w:cs="Arial"/>
                <w:b/>
                <w:bCs/>
                <w:lang w:val="es-ES" w:eastAsia="es-ES"/>
              </w:rPr>
              <w:t xml:space="preserve">Concepto C – </w:t>
            </w:r>
            <w:r>
              <w:rPr>
                <w:rFonts w:ascii="Verdana" w:eastAsia="Calibri" w:hAnsi="Verdana" w:cs="Arial"/>
                <w:b/>
                <w:bCs/>
                <w:lang w:val="es-ES" w:eastAsia="es-ES"/>
              </w:rPr>
              <w:t xml:space="preserve">736 </w:t>
            </w:r>
            <w:r w:rsidRPr="008E6AD9">
              <w:rPr>
                <w:rFonts w:ascii="Verdana" w:eastAsia="Calibri" w:hAnsi="Verdana" w:cs="Arial"/>
                <w:b/>
                <w:bCs/>
                <w:lang w:val="es-ES" w:eastAsia="es-ES"/>
              </w:rPr>
              <w:t>de 202</w:t>
            </w:r>
            <w:r>
              <w:rPr>
                <w:rFonts w:ascii="Verdana" w:eastAsia="Calibri" w:hAnsi="Verdana" w:cs="Arial"/>
                <w:b/>
                <w:bCs/>
                <w:lang w:val="es-ES" w:eastAsia="es-ES"/>
              </w:rPr>
              <w:t>6</w:t>
            </w:r>
          </w:p>
          <w:p w14:paraId="6E3C1793" w14:textId="77777777" w:rsidR="008C2CF3" w:rsidRPr="00C00976" w:rsidRDefault="008C2CF3" w:rsidP="0004496C">
            <w:pPr>
              <w:jc w:val="both"/>
              <w:rPr>
                <w:rFonts w:ascii="Verdana" w:eastAsia="Calibri" w:hAnsi="Verdana" w:cs="Arial"/>
                <w:b/>
                <w:bCs/>
                <w:color w:val="7030A0"/>
                <w:lang w:val="es-ES" w:eastAsia="es-ES"/>
              </w:rPr>
            </w:pPr>
          </w:p>
        </w:tc>
      </w:tr>
      <w:tr w:rsidR="008C2CF3" w:rsidRPr="00593A5F" w14:paraId="7796C7AB" w14:textId="77777777" w:rsidTr="0004496C">
        <w:trPr>
          <w:trHeight w:val="884"/>
        </w:trPr>
        <w:tc>
          <w:tcPr>
            <w:tcW w:w="2689" w:type="dxa"/>
          </w:tcPr>
          <w:p w14:paraId="3A72E444" w14:textId="77777777" w:rsidR="008C2CF3" w:rsidRPr="00593A5F" w:rsidRDefault="008C2CF3" w:rsidP="0004496C">
            <w:pPr>
              <w:jc w:val="both"/>
              <w:rPr>
                <w:rFonts w:ascii="Verdana" w:eastAsia="Calibri" w:hAnsi="Verdana" w:cs="Arial"/>
                <w:color w:val="000000"/>
                <w:lang w:val="es-ES_tradnl" w:eastAsia="es-ES_tradnl"/>
              </w:rPr>
            </w:pPr>
            <w:r w:rsidRPr="00593A5F">
              <w:rPr>
                <w:rFonts w:ascii="Verdana" w:eastAsia="Calibri" w:hAnsi="Verdana" w:cs="Arial"/>
                <w:b/>
                <w:color w:val="000000"/>
                <w:lang w:val="es-ES_tradnl" w:eastAsia="es-ES_tradnl"/>
              </w:rPr>
              <w:t>Temas:</w:t>
            </w:r>
            <w:r w:rsidRPr="00593A5F">
              <w:rPr>
                <w:rFonts w:ascii="Verdana" w:eastAsia="Calibri" w:hAnsi="Verdana" w:cs="Arial"/>
                <w:color w:val="000000"/>
                <w:lang w:val="es-ES_tradnl" w:eastAsia="es-ES_tradnl"/>
              </w:rPr>
              <w:t xml:space="preserve">                   </w:t>
            </w:r>
          </w:p>
        </w:tc>
        <w:tc>
          <w:tcPr>
            <w:tcW w:w="6100" w:type="dxa"/>
          </w:tcPr>
          <w:p w14:paraId="64ABC6CA" w14:textId="7843FE7C" w:rsidR="008C2CF3" w:rsidRDefault="008C2CF3" w:rsidP="0004496C">
            <w:pPr>
              <w:jc w:val="both"/>
              <w:rPr>
                <w:rFonts w:ascii="Verdana" w:eastAsia="Calibri" w:hAnsi="Verdana" w:cs="Arial"/>
                <w:lang w:val="es-ES" w:eastAsia="es-ES"/>
              </w:rPr>
            </w:pPr>
            <w:r w:rsidRPr="00177E85">
              <w:rPr>
                <w:rFonts w:ascii="Verdana" w:eastAsia="Calibri" w:hAnsi="Verdana" w:cs="Arial"/>
                <w:lang w:val="es-ES" w:eastAsia="es-ES"/>
              </w:rPr>
              <w:t xml:space="preserve">LEY DE GARANTÍAS ELECTORALES ‒ Finalidad / LEY DE GARANTÍAS ELECTORALES ‒ Tipos de restricciones ‒ Ámbito temporal – celebración- límite / LEY DE GARANTÍAS ELECTORALES – Prohibición artículo 33 – Contratación directa – Alcance / </w:t>
            </w:r>
            <w:r w:rsidR="00776D80" w:rsidRPr="00776D80">
              <w:rPr>
                <w:rFonts w:ascii="Verdana" w:eastAsia="Calibri" w:hAnsi="Verdana" w:cs="Arial"/>
                <w:lang w:val="es-ES" w:eastAsia="es-ES"/>
              </w:rPr>
              <w:t>CONTRATO DE SEGURO – Noción – Definición – Autonomía de la voluntad</w:t>
            </w:r>
            <w:r>
              <w:rPr>
                <w:rFonts w:ascii="Verdana" w:eastAsia="Calibri" w:hAnsi="Verdana" w:cs="Arial"/>
                <w:lang w:val="es-ES" w:eastAsia="es-ES"/>
              </w:rPr>
              <w:t xml:space="preserve">/ </w:t>
            </w:r>
            <w:r w:rsidRPr="004F220B">
              <w:rPr>
                <w:rFonts w:ascii="Verdana" w:eastAsia="Calibri" w:hAnsi="Verdana" w:cs="Arial"/>
                <w:lang w:val="es-ES" w:eastAsia="es-ES"/>
              </w:rPr>
              <w:t>CONTRATO DE SEGURO – Modificación de los contratos – Procedencia - Condiciones – Límites.</w:t>
            </w:r>
          </w:p>
          <w:p w14:paraId="2CF6152A" w14:textId="77777777" w:rsidR="008C2CF3" w:rsidRPr="00593A5F" w:rsidRDefault="008C2CF3" w:rsidP="0004496C">
            <w:pPr>
              <w:jc w:val="both"/>
              <w:rPr>
                <w:rFonts w:ascii="Verdana" w:eastAsia="Calibri" w:hAnsi="Verdana" w:cs="Arial"/>
                <w:lang w:val="es-ES" w:eastAsia="es-ES"/>
              </w:rPr>
            </w:pPr>
          </w:p>
        </w:tc>
      </w:tr>
      <w:tr w:rsidR="008C2CF3" w:rsidRPr="008E6AD9" w14:paraId="2EC3164B" w14:textId="77777777" w:rsidTr="0004496C">
        <w:tc>
          <w:tcPr>
            <w:tcW w:w="2689" w:type="dxa"/>
          </w:tcPr>
          <w:p w14:paraId="6E76DC09" w14:textId="77777777" w:rsidR="008C2CF3" w:rsidRPr="008E6AD9" w:rsidRDefault="008C2CF3" w:rsidP="0004496C">
            <w:pPr>
              <w:jc w:val="both"/>
              <w:rPr>
                <w:rFonts w:ascii="Verdana" w:eastAsia="Calibri" w:hAnsi="Verdana" w:cs="Arial"/>
                <w:b/>
                <w:lang w:val="es-ES_tradnl" w:eastAsia="es-ES_tradnl"/>
              </w:rPr>
            </w:pPr>
            <w:r w:rsidRPr="008E6AD9">
              <w:rPr>
                <w:rFonts w:ascii="Verdana" w:eastAsia="Calibri" w:hAnsi="Verdana" w:cs="Arial"/>
                <w:b/>
                <w:lang w:val="es-ES_tradnl" w:eastAsia="es-ES_tradnl"/>
              </w:rPr>
              <w:t>Radicación:</w:t>
            </w:r>
            <w:r w:rsidRPr="008E6AD9">
              <w:rPr>
                <w:rFonts w:ascii="Verdana" w:eastAsia="Calibri" w:hAnsi="Verdana" w:cs="Arial"/>
                <w:lang w:val="es-ES_tradnl" w:eastAsia="es-ES_tradnl"/>
              </w:rPr>
              <w:t xml:space="preserve">               </w:t>
            </w:r>
          </w:p>
        </w:tc>
        <w:tc>
          <w:tcPr>
            <w:tcW w:w="6100" w:type="dxa"/>
          </w:tcPr>
          <w:p w14:paraId="60E43B48" w14:textId="77777777" w:rsidR="008C2CF3" w:rsidRPr="00B92340" w:rsidRDefault="008C2CF3" w:rsidP="0004496C">
            <w:pPr>
              <w:jc w:val="both"/>
              <w:rPr>
                <w:rFonts w:ascii="Verdana" w:eastAsia="Calibri" w:hAnsi="Verdana" w:cs="Arial"/>
                <w:lang w:val="es-ES_tradnl" w:eastAsia="es-ES_tradnl"/>
              </w:rPr>
            </w:pPr>
            <w:r w:rsidRPr="008E6AD9">
              <w:rPr>
                <w:rFonts w:ascii="Verdana" w:eastAsia="Calibri" w:hAnsi="Verdana" w:cs="Arial"/>
                <w:lang w:val="es-ES_tradnl" w:eastAsia="es-ES_tradnl"/>
              </w:rPr>
              <w:t xml:space="preserve">Respuesta a </w:t>
            </w:r>
            <w:r>
              <w:rPr>
                <w:rFonts w:ascii="Verdana" w:eastAsia="Calibri" w:hAnsi="Verdana" w:cs="Arial"/>
                <w:lang w:val="es-ES_tradnl" w:eastAsia="es-ES_tradnl"/>
              </w:rPr>
              <w:t xml:space="preserve">la </w:t>
            </w:r>
            <w:r w:rsidRPr="008E6AD9">
              <w:rPr>
                <w:rFonts w:ascii="Verdana" w:eastAsia="Calibri" w:hAnsi="Verdana" w:cs="Arial"/>
                <w:lang w:val="es-ES_tradnl" w:eastAsia="es-ES_tradnl"/>
              </w:rPr>
              <w:t>consulta con radicado</w:t>
            </w:r>
            <w:r>
              <w:rPr>
                <w:rFonts w:ascii="Verdana" w:eastAsia="Calibri" w:hAnsi="Verdana" w:cs="Arial"/>
                <w:lang w:val="es-ES_tradnl" w:eastAsia="es-ES_tradnl"/>
              </w:rPr>
              <w:t xml:space="preserve"> </w:t>
            </w:r>
            <w:r w:rsidRPr="008E6AD9">
              <w:rPr>
                <w:rFonts w:ascii="Verdana" w:eastAsia="Calibri" w:hAnsi="Verdana" w:cs="Arial"/>
                <w:lang w:val="es-ES_tradnl" w:eastAsia="es-ES_tradnl"/>
              </w:rPr>
              <w:t>No.</w:t>
            </w:r>
            <w:r>
              <w:rPr>
                <w:rFonts w:ascii="Verdana" w:eastAsia="Calibri" w:hAnsi="Verdana" w:cs="Arial"/>
                <w:lang w:val="es-ES_tradnl" w:eastAsia="es-ES_tradnl"/>
              </w:rPr>
              <w:t xml:space="preserve"> </w:t>
            </w:r>
            <w:r w:rsidRPr="008B7D7C">
              <w:rPr>
                <w:rFonts w:ascii="Verdana" w:eastAsia="Calibri" w:hAnsi="Verdana" w:cs="Arial"/>
                <w:lang w:val="es-ES_tradnl" w:eastAsia="es-ES_tradnl"/>
              </w:rPr>
              <w:t>1_2026_05_04_006012</w:t>
            </w:r>
          </w:p>
        </w:tc>
      </w:tr>
    </w:tbl>
    <w:p w14:paraId="0D3B0C9F" w14:textId="77777777" w:rsidR="008C2CF3" w:rsidRPr="00593A5F" w:rsidRDefault="008C2CF3" w:rsidP="008C2CF3">
      <w:pPr>
        <w:spacing w:after="0" w:line="240" w:lineRule="auto"/>
        <w:jc w:val="both"/>
        <w:rPr>
          <w:rFonts w:ascii="Verdana" w:eastAsia="Calibri" w:hAnsi="Verdana" w:cs="Arial"/>
          <w:color w:val="000000"/>
          <w:lang w:val="es-ES_tradnl" w:eastAsia="es-ES_tradnl"/>
        </w:rPr>
      </w:pPr>
    </w:p>
    <w:p w14:paraId="2D5FED48" w14:textId="77777777" w:rsidR="008C2CF3" w:rsidRPr="00593A5F" w:rsidRDefault="008C2CF3" w:rsidP="008C2CF3">
      <w:pPr>
        <w:spacing w:after="0" w:line="240" w:lineRule="auto"/>
        <w:jc w:val="both"/>
        <w:rPr>
          <w:rFonts w:ascii="Verdana" w:eastAsia="Calibri" w:hAnsi="Verdana" w:cs="Arial"/>
          <w:color w:val="000000"/>
          <w:lang w:val="es-ES_tradnl" w:eastAsia="es-ES_tradnl"/>
        </w:rPr>
      </w:pPr>
    </w:p>
    <w:p w14:paraId="541E9B80" w14:textId="77777777" w:rsidR="008C2CF3" w:rsidRPr="008E6AD9" w:rsidRDefault="008C2CF3" w:rsidP="008C2CF3">
      <w:pPr>
        <w:spacing w:after="0" w:line="276" w:lineRule="auto"/>
        <w:jc w:val="both"/>
        <w:rPr>
          <w:rFonts w:ascii="Verdana" w:eastAsia="Calibri" w:hAnsi="Verdana" w:cs="Arial"/>
          <w:lang w:val="es-ES" w:eastAsia="es-ES"/>
        </w:rPr>
      </w:pPr>
      <w:r w:rsidRPr="008E6AD9">
        <w:rPr>
          <w:rFonts w:ascii="Verdana" w:eastAsia="Calibri" w:hAnsi="Verdana" w:cs="Arial"/>
          <w:lang w:val="es-ES" w:eastAsia="es-ES"/>
        </w:rPr>
        <w:t>Estimad</w:t>
      </w:r>
      <w:r>
        <w:rPr>
          <w:rFonts w:ascii="Verdana" w:eastAsia="Calibri" w:hAnsi="Verdana" w:cs="Arial"/>
          <w:lang w:val="es-ES" w:eastAsia="es-ES"/>
        </w:rPr>
        <w:t>o</w:t>
      </w:r>
      <w:r w:rsidRPr="008E6AD9">
        <w:rPr>
          <w:rFonts w:ascii="Verdana" w:eastAsia="Calibri" w:hAnsi="Verdana" w:cs="Arial"/>
          <w:lang w:val="es-ES" w:eastAsia="es-ES"/>
        </w:rPr>
        <w:t xml:space="preserve"> </w:t>
      </w:r>
      <w:r>
        <w:rPr>
          <w:rFonts w:ascii="Verdana" w:eastAsia="Calibri" w:hAnsi="Verdana" w:cs="Arial"/>
          <w:lang w:val="es-ES" w:eastAsia="es-ES"/>
        </w:rPr>
        <w:t>señor Canizales, cordial saludo,</w:t>
      </w:r>
      <w:r w:rsidRPr="008E6AD9">
        <w:rPr>
          <w:rFonts w:ascii="Verdana" w:eastAsia="Calibri" w:hAnsi="Verdana" w:cs="Arial"/>
          <w:lang w:val="es-ES" w:eastAsia="es-ES"/>
        </w:rPr>
        <w:t xml:space="preserve"> </w:t>
      </w:r>
    </w:p>
    <w:p w14:paraId="35406E1E" w14:textId="77777777" w:rsidR="008C2CF3" w:rsidRDefault="008C2CF3" w:rsidP="008C2CF3">
      <w:pPr>
        <w:tabs>
          <w:tab w:val="left" w:pos="3768"/>
        </w:tabs>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ab/>
      </w:r>
    </w:p>
    <w:p w14:paraId="03CD4EF7" w14:textId="1547C773" w:rsidR="008C2CF3" w:rsidRPr="00593A5F" w:rsidRDefault="008C2CF3" w:rsidP="008C2CF3">
      <w:pPr>
        <w:spacing w:after="0" w:line="276" w:lineRule="auto"/>
        <w:jc w:val="both"/>
        <w:rPr>
          <w:rFonts w:ascii="Verdana" w:eastAsia="Calibri" w:hAnsi="Verdana" w:cs="Arial"/>
          <w:color w:val="7030A0"/>
          <w:lang w:val="es-ES" w:eastAsia="es-ES"/>
        </w:rPr>
      </w:pPr>
      <w:r w:rsidRPr="00593A5F">
        <w:rPr>
          <w:rFonts w:ascii="Verdana" w:eastAsia="Calibri" w:hAnsi="Verdana" w:cs="Arial"/>
          <w:color w:val="000000" w:themeColor="text1"/>
          <w:lang w:val="es-ES" w:eastAsia="es-ES"/>
        </w:rPr>
        <w:t>En ejercicio de la competencia otorgada por los artículos 3, numeral 5º, y 11, numeral 8º, del Decreto Ley 4170 de 2011,</w:t>
      </w:r>
      <w:r w:rsidRPr="00593A5F">
        <w:rPr>
          <w:rFonts w:ascii="Verdana" w:eastAsia="Arial MT" w:hAnsi="Verdana" w:cs="Arial MT"/>
          <w:lang w:val="es-ES" w:eastAsia="es-ES"/>
        </w:rPr>
        <w:t xml:space="preserve"> </w:t>
      </w:r>
      <w:r w:rsidRPr="00FF469C">
        <w:rPr>
          <w:rFonts w:ascii="Verdana" w:hAnsi="Verdana" w:cs="Arial"/>
        </w:rPr>
        <w:t>así como lo establecido en el artículo 4 de la Resolución 469 de 2025 expedida por esta Entidad</w:t>
      </w:r>
      <w:r w:rsidRPr="00593A5F">
        <w:rPr>
          <w:rFonts w:ascii="Verdana" w:hAnsi="Verdana" w:cs="Arial"/>
        </w:rPr>
        <w:t xml:space="preserve">, </w:t>
      </w:r>
      <w:r w:rsidRPr="00593A5F">
        <w:rPr>
          <w:rFonts w:ascii="Verdana" w:eastAsia="Calibri" w:hAnsi="Verdana" w:cs="Arial"/>
          <w:color w:val="000000" w:themeColor="text1"/>
          <w:lang w:val="es-ES" w:eastAsia="es-ES"/>
        </w:rPr>
        <w:t>la Agencia Nacional de Contratación Pública – Colombia Compra Eficiente responde su solicitud de</w:t>
      </w:r>
      <w:r>
        <w:rPr>
          <w:rFonts w:ascii="Verdana" w:eastAsia="Calibri" w:hAnsi="Verdana" w:cs="Arial"/>
          <w:color w:val="000000" w:themeColor="text1"/>
          <w:lang w:val="es-ES" w:eastAsia="es-ES"/>
        </w:rPr>
        <w:t xml:space="preserve"> consulta de </w:t>
      </w:r>
      <w:r w:rsidRPr="008E6AD9">
        <w:rPr>
          <w:rFonts w:ascii="Verdana" w:eastAsia="Calibri" w:hAnsi="Verdana" w:cs="Arial"/>
          <w:lang w:val="es-ES" w:eastAsia="es-ES"/>
        </w:rPr>
        <w:t>fecha</w:t>
      </w:r>
      <w:r>
        <w:rPr>
          <w:rFonts w:ascii="Verdana" w:eastAsia="Calibri" w:hAnsi="Verdana" w:cs="Arial"/>
          <w:lang w:val="es-ES" w:eastAsia="es-ES"/>
        </w:rPr>
        <w:t xml:space="preserve"> </w:t>
      </w:r>
      <w:r w:rsidR="008911BB">
        <w:rPr>
          <w:rFonts w:ascii="Verdana" w:eastAsia="Calibri" w:hAnsi="Verdana" w:cs="Arial"/>
          <w:lang w:val="es-ES" w:eastAsia="es-ES"/>
        </w:rPr>
        <w:t>4</w:t>
      </w:r>
      <w:r>
        <w:rPr>
          <w:rFonts w:ascii="Verdana" w:eastAsia="Calibri" w:hAnsi="Verdana" w:cs="Arial"/>
          <w:lang w:val="es-ES" w:eastAsia="es-ES"/>
        </w:rPr>
        <w:t xml:space="preserve"> de </w:t>
      </w:r>
      <w:r w:rsidR="008911BB">
        <w:rPr>
          <w:rFonts w:ascii="Verdana" w:eastAsia="Calibri" w:hAnsi="Verdana" w:cs="Arial"/>
          <w:lang w:val="es-ES" w:eastAsia="es-ES"/>
        </w:rPr>
        <w:t xml:space="preserve">mayo </w:t>
      </w:r>
      <w:r>
        <w:rPr>
          <w:rFonts w:ascii="Verdana" w:eastAsia="Calibri" w:hAnsi="Verdana" w:cs="Arial"/>
          <w:lang w:val="es-ES" w:eastAsia="es-ES"/>
        </w:rPr>
        <w:t>de 2026, en la cual solicita:</w:t>
      </w:r>
      <w:r w:rsidRPr="008E6AD9">
        <w:rPr>
          <w:rFonts w:ascii="Verdana" w:eastAsia="Calibri" w:hAnsi="Verdana" w:cs="Arial"/>
          <w:lang w:val="es-ES" w:eastAsia="es-ES"/>
        </w:rPr>
        <w:t xml:space="preserve"> </w:t>
      </w:r>
    </w:p>
    <w:p w14:paraId="765B19F1" w14:textId="77777777" w:rsidR="008C2CF3" w:rsidRPr="00272A7B" w:rsidRDefault="008C2CF3" w:rsidP="008C2CF3">
      <w:pPr>
        <w:pStyle w:val="Prrafodelista"/>
        <w:tabs>
          <w:tab w:val="left" w:pos="142"/>
          <w:tab w:val="left" w:pos="284"/>
        </w:tabs>
        <w:spacing w:after="0" w:line="276" w:lineRule="auto"/>
        <w:ind w:left="0"/>
        <w:contextualSpacing w:val="0"/>
        <w:jc w:val="both"/>
        <w:rPr>
          <w:rFonts w:ascii="Verdana" w:eastAsia="Century Gothic" w:hAnsi="Verdana" w:cs="Century Gothic"/>
          <w:b/>
          <w:bCs/>
        </w:rPr>
      </w:pPr>
    </w:p>
    <w:p w14:paraId="1FFF25F1" w14:textId="77777777" w:rsidR="008C2CF3" w:rsidRPr="000E5E27" w:rsidRDefault="008C2CF3" w:rsidP="008C2CF3">
      <w:pPr>
        <w:spacing w:after="0" w:line="240" w:lineRule="auto"/>
        <w:ind w:left="709" w:right="709"/>
        <w:jc w:val="both"/>
        <w:rPr>
          <w:rFonts w:ascii="Verdana" w:eastAsia="Calibri" w:hAnsi="Verdana" w:cs="Arial"/>
          <w:color w:val="000000" w:themeColor="text1"/>
          <w:sz w:val="20"/>
          <w:szCs w:val="20"/>
          <w:lang w:eastAsia="es-ES"/>
        </w:rPr>
      </w:pPr>
      <w:r w:rsidRPr="008641A0">
        <w:rPr>
          <w:rFonts w:ascii="Verdana" w:eastAsia="Calibri" w:hAnsi="Verdana" w:cs="Arial"/>
          <w:color w:val="000000" w:themeColor="text1"/>
          <w:sz w:val="20"/>
          <w:szCs w:val="20"/>
          <w:lang w:val="es-ES" w:eastAsia="es-ES"/>
        </w:rPr>
        <w:t xml:space="preserve">“[…] </w:t>
      </w:r>
      <w:r w:rsidRPr="000E5E27">
        <w:rPr>
          <w:rFonts w:ascii="Verdana" w:eastAsia="Calibri" w:hAnsi="Verdana" w:cs="Arial"/>
          <w:color w:val="000000" w:themeColor="text1"/>
          <w:sz w:val="20"/>
          <w:szCs w:val="20"/>
          <w:lang w:eastAsia="es-ES"/>
        </w:rPr>
        <w:t>En mi condición de ciudadano e interesado en practicas contractuales que cumplan con los principios que rigen la contratación publica de transparencia, publicidad, economía, igualdad, selección objetiva, me dirijo a ustedes presentado la siguiente consulta:</w:t>
      </w:r>
    </w:p>
    <w:p w14:paraId="1A5F5DE7" w14:textId="77777777" w:rsidR="008C2CF3" w:rsidRPr="000E5E27" w:rsidRDefault="008C2CF3" w:rsidP="008C2CF3">
      <w:pPr>
        <w:spacing w:after="0" w:line="240" w:lineRule="auto"/>
        <w:ind w:left="709" w:right="709"/>
        <w:jc w:val="both"/>
        <w:rPr>
          <w:rFonts w:ascii="Verdana" w:eastAsia="Calibri" w:hAnsi="Verdana" w:cs="Arial"/>
          <w:color w:val="000000" w:themeColor="text1"/>
          <w:sz w:val="20"/>
          <w:szCs w:val="20"/>
          <w:lang w:eastAsia="es-ES"/>
        </w:rPr>
      </w:pPr>
    </w:p>
    <w:p w14:paraId="57A2281B" w14:textId="77777777" w:rsidR="008C2CF3" w:rsidRPr="000E5E27" w:rsidRDefault="008C2CF3" w:rsidP="008C2CF3">
      <w:pPr>
        <w:spacing w:after="0" w:line="240" w:lineRule="auto"/>
        <w:ind w:left="709" w:right="709"/>
        <w:jc w:val="both"/>
        <w:rPr>
          <w:rFonts w:ascii="Verdana" w:eastAsia="Calibri" w:hAnsi="Verdana" w:cs="Arial"/>
          <w:color w:val="000000" w:themeColor="text1"/>
          <w:sz w:val="20"/>
          <w:szCs w:val="20"/>
          <w:lang w:eastAsia="es-ES"/>
        </w:rPr>
      </w:pPr>
      <w:r w:rsidRPr="000E5E27">
        <w:rPr>
          <w:rFonts w:ascii="Verdana" w:eastAsia="Calibri" w:hAnsi="Verdana" w:cs="Arial"/>
          <w:color w:val="000000" w:themeColor="text1"/>
          <w:sz w:val="20"/>
          <w:szCs w:val="20"/>
          <w:lang w:eastAsia="es-ES"/>
        </w:rPr>
        <w:t xml:space="preserve">conforme a la ley de garantías ley 996 de 2005 y la prohibición de “todos los entes del Estado”, por lo cual incluye a los diferentes organismos o </w:t>
      </w:r>
      <w:r w:rsidRPr="000E5E27">
        <w:rPr>
          <w:rFonts w:ascii="Verdana" w:eastAsia="Calibri" w:hAnsi="Verdana" w:cs="Arial"/>
          <w:color w:val="000000" w:themeColor="text1"/>
          <w:sz w:val="20"/>
          <w:szCs w:val="20"/>
          <w:lang w:eastAsia="es-ES"/>
        </w:rPr>
        <w:lastRenderedPageBreak/>
        <w:t>entidades autorizadas por la ley para suscribir contratos. Tal como lo ha sostenido el Consejo de Estado, el vocablo “todos” comprende a la </w:t>
      </w:r>
      <w:r w:rsidRPr="000E5E27">
        <w:rPr>
          <w:rFonts w:ascii="Verdana" w:eastAsia="Calibri" w:hAnsi="Verdana" w:cs="Arial"/>
          <w:i/>
          <w:iCs/>
          <w:color w:val="000000" w:themeColor="text1"/>
          <w:sz w:val="20"/>
          <w:szCs w:val="20"/>
          <w:lang w:eastAsia="es-ES"/>
        </w:rPr>
        <w:t>totalidad</w:t>
      </w:r>
      <w:r w:rsidRPr="000E5E27">
        <w:rPr>
          <w:rFonts w:ascii="Verdana" w:eastAsia="Calibri" w:hAnsi="Verdana" w:cs="Arial"/>
          <w:color w:val="000000" w:themeColor="text1"/>
          <w:sz w:val="20"/>
          <w:szCs w:val="20"/>
          <w:lang w:eastAsia="es-ES"/>
        </w:rPr>
        <w:t> de los entes del Estado, sin distinción del régimen jurídico, forma de organización o naturaleza, su pertenencia a una u otra rama del poder público o su autonomía, e incluso si se trata de entidades estatales que al estar sometidas a un régimen especial se encuentren del ámbito de aplicación del Estatuto General de Contratación de la Administración Pública, conforme a esto las entidades que cuentan con prohibición son: las Entidades Estatales establecidas en el artículo 2 de la Ley 80 de 1993; las entidades descentralizadas indirectas, es decir, las que surgen por la voluntad asociativa de los entes públicos entre sí o con la intervención de particulares, como las derivadas de los artículos 95 y 96 de la Ley 489 de 1998; las empresas industriales y comerciales del Estado y las Sociedades de Economía Mixta, salvo cuando la celebración de un convenio interadministrativo sea ordenada, para</w:t>
      </w:r>
      <w:r>
        <w:rPr>
          <w:rFonts w:ascii="Verdana" w:eastAsia="Calibri" w:hAnsi="Verdana" w:cs="Arial"/>
          <w:color w:val="000000" w:themeColor="text1"/>
          <w:sz w:val="20"/>
          <w:szCs w:val="20"/>
          <w:lang w:eastAsia="es-ES"/>
        </w:rPr>
        <w:t xml:space="preserve"> </w:t>
      </w:r>
      <w:r w:rsidRPr="000E5E27">
        <w:rPr>
          <w:rFonts w:ascii="Verdana" w:eastAsia="Calibri" w:hAnsi="Verdana" w:cs="Arial"/>
          <w:color w:val="000000" w:themeColor="text1"/>
          <w:sz w:val="20"/>
          <w:szCs w:val="20"/>
          <w:lang w:eastAsia="es-ES"/>
        </w:rPr>
        <w:t>ambas partes, por el Legislador; las Empresas de Servicios Públicos oficiales y</w:t>
      </w:r>
      <w:r>
        <w:rPr>
          <w:rFonts w:ascii="Verdana" w:eastAsia="Calibri" w:hAnsi="Verdana" w:cs="Arial"/>
          <w:color w:val="000000" w:themeColor="text1"/>
          <w:sz w:val="20"/>
          <w:szCs w:val="20"/>
          <w:lang w:eastAsia="es-ES"/>
        </w:rPr>
        <w:t xml:space="preserve"> </w:t>
      </w:r>
      <w:r w:rsidRPr="000E5E27">
        <w:rPr>
          <w:rFonts w:ascii="Verdana" w:eastAsia="Calibri" w:hAnsi="Verdana" w:cs="Arial"/>
          <w:color w:val="000000" w:themeColor="text1"/>
          <w:sz w:val="20"/>
          <w:szCs w:val="20"/>
          <w:lang w:eastAsia="es-ES"/>
        </w:rPr>
        <w:t>mixtas; las Empresas Sociales del Estado; los entes universitarios autónomos,</w:t>
      </w:r>
      <w:r>
        <w:rPr>
          <w:rFonts w:ascii="Verdana" w:eastAsia="Calibri" w:hAnsi="Verdana" w:cs="Arial"/>
          <w:color w:val="000000" w:themeColor="text1"/>
          <w:sz w:val="20"/>
          <w:szCs w:val="20"/>
          <w:lang w:eastAsia="es-ES"/>
        </w:rPr>
        <w:t xml:space="preserve"> </w:t>
      </w:r>
      <w:r w:rsidRPr="000E5E27">
        <w:rPr>
          <w:rFonts w:ascii="Verdana" w:eastAsia="Calibri" w:hAnsi="Verdana" w:cs="Arial"/>
          <w:color w:val="000000" w:themeColor="text1"/>
          <w:sz w:val="20"/>
          <w:szCs w:val="20"/>
          <w:lang w:eastAsia="es-ES"/>
        </w:rPr>
        <w:t>entre otros. En términos generales, la restricción cobija a </w:t>
      </w:r>
      <w:r w:rsidRPr="000E5E27">
        <w:rPr>
          <w:rFonts w:ascii="Verdana" w:eastAsia="Calibri" w:hAnsi="Verdana" w:cs="Arial"/>
          <w:i/>
          <w:iCs/>
          <w:color w:val="000000" w:themeColor="text1"/>
          <w:sz w:val="20"/>
          <w:szCs w:val="20"/>
          <w:lang w:eastAsia="es-ES"/>
        </w:rPr>
        <w:t>cualquier </w:t>
      </w:r>
      <w:r w:rsidRPr="000E5E27">
        <w:rPr>
          <w:rFonts w:ascii="Verdana" w:eastAsia="Calibri" w:hAnsi="Verdana" w:cs="Arial"/>
          <w:color w:val="000000" w:themeColor="text1"/>
          <w:sz w:val="20"/>
          <w:szCs w:val="20"/>
          <w:lang w:eastAsia="es-ES"/>
        </w:rPr>
        <w:t>ente público</w:t>
      </w:r>
      <w:r>
        <w:rPr>
          <w:rFonts w:ascii="Verdana" w:eastAsia="Calibri" w:hAnsi="Verdana" w:cs="Arial"/>
          <w:color w:val="000000" w:themeColor="text1"/>
          <w:sz w:val="20"/>
          <w:szCs w:val="20"/>
          <w:lang w:eastAsia="es-ES"/>
        </w:rPr>
        <w:t xml:space="preserve"> </w:t>
      </w:r>
      <w:r w:rsidRPr="000E5E27">
        <w:rPr>
          <w:rFonts w:ascii="Verdana" w:eastAsia="Calibri" w:hAnsi="Verdana" w:cs="Arial"/>
          <w:color w:val="000000" w:themeColor="text1"/>
          <w:sz w:val="20"/>
          <w:szCs w:val="20"/>
          <w:lang w:eastAsia="es-ES"/>
        </w:rPr>
        <w:t>que pueda, a través de la contratación directa, romper el equilibrio entre los</w:t>
      </w:r>
      <w:r>
        <w:rPr>
          <w:rFonts w:ascii="Verdana" w:eastAsia="Calibri" w:hAnsi="Verdana" w:cs="Arial"/>
          <w:color w:val="000000" w:themeColor="text1"/>
          <w:sz w:val="20"/>
          <w:szCs w:val="20"/>
          <w:lang w:eastAsia="es-ES"/>
        </w:rPr>
        <w:t xml:space="preserve"> </w:t>
      </w:r>
      <w:r w:rsidRPr="000E5E27">
        <w:rPr>
          <w:rFonts w:ascii="Verdana" w:eastAsia="Calibri" w:hAnsi="Verdana" w:cs="Arial"/>
          <w:color w:val="000000" w:themeColor="text1"/>
          <w:sz w:val="20"/>
          <w:szCs w:val="20"/>
          <w:lang w:eastAsia="es-ES"/>
        </w:rPr>
        <w:t>partidos y los candidatos en las elecciones presidenciales.</w:t>
      </w:r>
    </w:p>
    <w:p w14:paraId="02E96EB3" w14:textId="77777777" w:rsidR="008C2CF3" w:rsidRPr="000E5E27" w:rsidRDefault="008C2CF3" w:rsidP="008C2CF3">
      <w:pPr>
        <w:spacing w:after="0" w:line="240" w:lineRule="auto"/>
        <w:ind w:left="709" w:right="709"/>
        <w:jc w:val="both"/>
        <w:rPr>
          <w:rFonts w:ascii="Verdana" w:eastAsia="Calibri" w:hAnsi="Verdana" w:cs="Arial"/>
          <w:color w:val="000000" w:themeColor="text1"/>
          <w:sz w:val="20"/>
          <w:szCs w:val="20"/>
          <w:lang w:eastAsia="es-ES"/>
        </w:rPr>
      </w:pPr>
    </w:p>
    <w:p w14:paraId="5048892A" w14:textId="77777777" w:rsidR="008C2CF3" w:rsidRPr="000E5E27" w:rsidRDefault="008C2CF3" w:rsidP="008C2CF3">
      <w:pPr>
        <w:spacing w:after="0" w:line="240" w:lineRule="auto"/>
        <w:ind w:left="709" w:right="709"/>
        <w:jc w:val="both"/>
        <w:rPr>
          <w:rFonts w:ascii="Verdana" w:eastAsia="Calibri" w:hAnsi="Verdana" w:cs="Arial"/>
          <w:color w:val="000000" w:themeColor="text1"/>
          <w:sz w:val="20"/>
          <w:szCs w:val="20"/>
          <w:lang w:eastAsia="es-ES"/>
        </w:rPr>
      </w:pPr>
      <w:r w:rsidRPr="000E5E27">
        <w:rPr>
          <w:rFonts w:ascii="Verdana" w:eastAsia="Calibri" w:hAnsi="Verdana" w:cs="Arial"/>
          <w:color w:val="000000" w:themeColor="text1"/>
          <w:sz w:val="20"/>
          <w:szCs w:val="20"/>
          <w:lang w:eastAsia="es-ES"/>
        </w:rPr>
        <w:t>De lo anterior atendiendo quisiera saber si los contratos de seguros que estas entidades suscriban con las compañías en contratación directa hacen parte de las restricciones de contratación, lo anterior atendiendo a la claridad sobre, LA NATURALEZA que tiene el contrato y la necesidad de contar con las coberturas que ofrecen a las entidades en mención, todo ello para atender a una claridad y hoja de ruta para las entidades que se encuentran con esta prohibición</w:t>
      </w:r>
      <w:r w:rsidRPr="008641A0">
        <w:rPr>
          <w:rFonts w:ascii="Verdana" w:eastAsia="Calibri" w:hAnsi="Verdana" w:cs="Arial"/>
          <w:color w:val="000000" w:themeColor="text1"/>
          <w:sz w:val="20"/>
          <w:szCs w:val="20"/>
          <w:lang w:val="es-ES" w:eastAsia="es-ES"/>
        </w:rPr>
        <w:t>.</w:t>
      </w:r>
      <w:r>
        <w:rPr>
          <w:rFonts w:ascii="Verdana" w:eastAsia="Calibri" w:hAnsi="Verdana" w:cs="Arial"/>
          <w:color w:val="000000" w:themeColor="text1"/>
          <w:sz w:val="20"/>
          <w:szCs w:val="20"/>
          <w:lang w:val="es-ES" w:eastAsia="es-ES"/>
        </w:rPr>
        <w:t xml:space="preserve"> </w:t>
      </w:r>
      <w:r w:rsidRPr="008641A0">
        <w:rPr>
          <w:rFonts w:ascii="Verdana" w:eastAsia="Calibri" w:hAnsi="Verdana" w:cs="Arial"/>
          <w:color w:val="000000" w:themeColor="text1"/>
          <w:sz w:val="20"/>
          <w:szCs w:val="20"/>
          <w:lang w:val="es-ES" w:eastAsia="es-ES"/>
        </w:rPr>
        <w:t>[…]</w:t>
      </w:r>
      <w:r>
        <w:rPr>
          <w:rFonts w:ascii="Verdana" w:eastAsia="Calibri" w:hAnsi="Verdana" w:cs="Arial"/>
          <w:color w:val="000000" w:themeColor="text1"/>
          <w:sz w:val="20"/>
          <w:szCs w:val="20"/>
          <w:lang w:val="es-ES" w:eastAsia="es-ES"/>
        </w:rPr>
        <w:t>”</w:t>
      </w:r>
    </w:p>
    <w:p w14:paraId="09C2FCAF" w14:textId="77777777" w:rsidR="008C2CF3" w:rsidRPr="008641A0" w:rsidRDefault="008C2CF3" w:rsidP="008C2CF3">
      <w:pPr>
        <w:spacing w:after="0" w:line="240" w:lineRule="auto"/>
        <w:ind w:left="709" w:right="709"/>
        <w:jc w:val="both"/>
        <w:rPr>
          <w:rFonts w:ascii="Verdana" w:eastAsia="Calibri" w:hAnsi="Verdana" w:cs="Arial"/>
          <w:color w:val="000000" w:themeColor="text1"/>
          <w:sz w:val="20"/>
          <w:szCs w:val="20"/>
          <w:lang w:val="es-ES" w:eastAsia="es-ES"/>
        </w:rPr>
      </w:pPr>
    </w:p>
    <w:p w14:paraId="186489B0" w14:textId="77777777" w:rsidR="008C2CF3" w:rsidRPr="00A652FF" w:rsidRDefault="008C2CF3" w:rsidP="008C2CF3">
      <w:pPr>
        <w:spacing w:after="120" w:line="276" w:lineRule="auto"/>
        <w:ind w:firstLine="709"/>
        <w:jc w:val="both"/>
        <w:rPr>
          <w:rFonts w:ascii="Verdana" w:eastAsia="Calibri" w:hAnsi="Verdana" w:cs="Arial"/>
          <w:color w:val="000000"/>
          <w:lang w:val="es-ES" w:eastAsia="es-ES"/>
        </w:rPr>
      </w:pPr>
      <w:r>
        <w:rPr>
          <w:rFonts w:ascii="Verdana" w:eastAsia="Calibri" w:hAnsi="Verdana" w:cs="Arial"/>
          <w:color w:val="000000"/>
          <w:lang w:val="es-ES" w:eastAsia="es-ES"/>
        </w:rPr>
        <w:t>De manera preliminar</w:t>
      </w:r>
      <w:r w:rsidRPr="00593A5F">
        <w:rPr>
          <w:rFonts w:ascii="Verdana" w:eastAsia="Calibri" w:hAnsi="Verdana" w:cs="Arial"/>
          <w:color w:val="000000"/>
          <w:lang w:val="es-ES" w:eastAsia="es-ES"/>
        </w:rPr>
        <w:t>, resulta necesario acotar que esta entidad s</w:t>
      </w:r>
      <w:r>
        <w:rPr>
          <w:rFonts w:ascii="Verdana" w:eastAsia="Calibri" w:hAnsi="Verdana" w:cs="Arial"/>
          <w:color w:val="000000"/>
          <w:lang w:val="es-ES" w:eastAsia="es-ES"/>
        </w:rPr>
        <w:t>ó</w:t>
      </w:r>
      <w:r w:rsidRPr="00593A5F">
        <w:rPr>
          <w:rFonts w:ascii="Verdana" w:eastAsia="Calibri" w:hAnsi="Verdana" w:cs="Arial"/>
          <w:color w:val="000000"/>
          <w:lang w:val="es-ES" w:eastAsia="es-ES"/>
        </w:rPr>
        <w:t xml:space="preserve">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w:t>
      </w:r>
      <w:r>
        <w:rPr>
          <w:rFonts w:ascii="Verdana" w:eastAsia="Calibri" w:hAnsi="Verdana" w:cs="Arial"/>
          <w:color w:val="000000"/>
          <w:lang w:val="es-ES" w:eastAsia="es-ES"/>
        </w:rPr>
        <w:t>concretos</w:t>
      </w:r>
      <w:r w:rsidRPr="00593A5F">
        <w:rPr>
          <w:rFonts w:ascii="Verdana" w:eastAsia="Calibri" w:hAnsi="Verdana" w:cs="Arial"/>
          <w:color w:val="000000"/>
          <w:lang w:val="es-ES" w:eastAsia="es-ES"/>
        </w:rPr>
        <w:t xml:space="preserve">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593A5F">
        <w:rPr>
          <w:rFonts w:ascii="Verdana" w:eastAsia="Calibri" w:hAnsi="Verdana" w:cs="Arial"/>
          <w:color w:val="000000"/>
          <w:szCs w:val="24"/>
          <w:lang w:val="es-ES_tradnl" w:eastAsia="es-ES_tradnl"/>
        </w:rPr>
        <w:tab/>
      </w:r>
    </w:p>
    <w:p w14:paraId="6402DCAF" w14:textId="77777777" w:rsidR="008C2CF3" w:rsidRPr="00423BE7" w:rsidRDefault="008C2CF3" w:rsidP="008C2CF3">
      <w:pPr>
        <w:spacing w:after="0" w:line="276" w:lineRule="auto"/>
        <w:ind w:firstLine="708"/>
        <w:jc w:val="both"/>
        <w:rPr>
          <w:rFonts w:ascii="Verdana" w:eastAsia="Calibri" w:hAnsi="Verdana" w:cs="Arial"/>
          <w:lang w:val="es-ES" w:eastAsia="es-ES"/>
        </w:rPr>
      </w:pPr>
      <w:r w:rsidRPr="00593A5F">
        <w:rPr>
          <w:rFonts w:ascii="Verdana" w:eastAsia="Calibri" w:hAnsi="Verdana" w:cs="Arial"/>
          <w:color w:val="000000"/>
          <w:lang w:val="es-ES" w:eastAsia="es-ES"/>
        </w:rPr>
        <w:lastRenderedPageBreak/>
        <w:t>Conforme lo expuesto, en aras de satisfacer el derecho fundamental de petición se resolverá su consulta dentro de los límites de la referida competencia consultiva, esto es, haciendo abstracción de la</w:t>
      </w:r>
      <w:r>
        <w:rPr>
          <w:rFonts w:ascii="Verdana" w:eastAsia="Calibri" w:hAnsi="Verdana" w:cs="Arial"/>
          <w:color w:val="000000"/>
          <w:lang w:val="es-ES" w:eastAsia="es-ES"/>
        </w:rPr>
        <w:t>s circunstancias</w:t>
      </w:r>
      <w:r w:rsidRPr="00593A5F">
        <w:rPr>
          <w:rFonts w:ascii="Verdana" w:eastAsia="Calibri" w:hAnsi="Verdana" w:cs="Arial"/>
          <w:color w:val="000000"/>
          <w:lang w:val="es-ES" w:eastAsia="es-ES"/>
        </w:rPr>
        <w:t xml:space="preserve"> </w:t>
      </w:r>
      <w:r>
        <w:rPr>
          <w:rFonts w:ascii="Verdana" w:eastAsia="Calibri" w:hAnsi="Verdana" w:cs="Arial"/>
          <w:color w:val="000000"/>
          <w:lang w:val="es-ES" w:eastAsia="es-ES"/>
        </w:rPr>
        <w:t>específicas que la hayan motivado</w:t>
      </w:r>
      <w:r w:rsidRPr="00593A5F">
        <w:rPr>
          <w:rFonts w:ascii="Verdana" w:eastAsia="Calibri" w:hAnsi="Verdana" w:cs="Arial"/>
          <w:color w:val="000000"/>
          <w:lang w:val="es-ES" w:eastAsia="es-ES"/>
        </w:rPr>
        <w:t xml:space="preserve">, pero haciendo unas consideraciones sobre las normas generales relacionadas con </w:t>
      </w:r>
      <w:r>
        <w:rPr>
          <w:rFonts w:ascii="Verdana" w:eastAsia="Calibri" w:hAnsi="Verdana" w:cs="Arial"/>
          <w:color w:val="000000"/>
          <w:lang w:val="es-ES" w:eastAsia="es-ES"/>
        </w:rPr>
        <w:t>el</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problema</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jurídico</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de su</w:t>
      </w:r>
      <w:r w:rsidRPr="00593A5F">
        <w:rPr>
          <w:rFonts w:ascii="Verdana" w:eastAsia="Calibri" w:hAnsi="Verdana" w:cs="Arial"/>
          <w:color w:val="000000"/>
          <w:lang w:val="es-ES" w:eastAsia="es-ES"/>
        </w:rPr>
        <w:t xml:space="preserve"> consulta.</w:t>
      </w:r>
      <w:r w:rsidRPr="000B43B3">
        <w:rPr>
          <w:rFonts w:ascii="Verdana" w:eastAsia="Calibri" w:hAnsi="Verdana" w:cs="Arial"/>
          <w:lang w:val="es-ES" w:eastAsia="es-ES"/>
        </w:rPr>
        <w:t xml:space="preserve"> </w:t>
      </w:r>
      <w:r>
        <w:rPr>
          <w:rFonts w:ascii="Verdana" w:eastAsia="Calibri" w:hAnsi="Verdana" w:cs="Arial"/>
          <w:color w:val="000000"/>
          <w:lang w:val="es-ES" w:eastAsia="es-ES"/>
        </w:rPr>
        <w:t xml:space="preserve"> </w:t>
      </w:r>
      <w:r w:rsidRPr="00593A5F">
        <w:rPr>
          <w:rFonts w:ascii="Verdana" w:eastAsia="Calibri" w:hAnsi="Verdana" w:cs="Arial"/>
          <w:color w:val="000000"/>
          <w:lang w:val="es-ES" w:eastAsia="es-ES"/>
        </w:rPr>
        <w:t xml:space="preserve"> </w:t>
      </w:r>
    </w:p>
    <w:p w14:paraId="5CD904CF" w14:textId="77777777" w:rsidR="008C2CF3" w:rsidRPr="00593A5F" w:rsidRDefault="008C2CF3" w:rsidP="008C2CF3">
      <w:pPr>
        <w:spacing w:after="0" w:line="276" w:lineRule="auto"/>
        <w:ind w:firstLine="709"/>
        <w:jc w:val="both"/>
        <w:rPr>
          <w:rFonts w:ascii="Verdana" w:eastAsia="Calibri" w:hAnsi="Verdana" w:cs="Arial"/>
          <w:color w:val="000000"/>
          <w:lang w:val="es-ES" w:eastAsia="es-ES"/>
        </w:rPr>
      </w:pPr>
    </w:p>
    <w:p w14:paraId="0C9A4DDF" w14:textId="77777777" w:rsidR="008C2CF3" w:rsidRPr="00593A5F" w:rsidRDefault="008C2CF3" w:rsidP="008C2CF3">
      <w:pPr>
        <w:pStyle w:val="Prrafodelista"/>
        <w:numPr>
          <w:ilvl w:val="0"/>
          <w:numId w:val="2"/>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Problema planteado:</w:t>
      </w:r>
    </w:p>
    <w:p w14:paraId="16AA213B" w14:textId="77777777" w:rsidR="008C2CF3" w:rsidRPr="00593A5F" w:rsidRDefault="008C2CF3" w:rsidP="008C2CF3">
      <w:pPr>
        <w:tabs>
          <w:tab w:val="left" w:pos="426"/>
        </w:tabs>
        <w:spacing w:after="0" w:line="276" w:lineRule="auto"/>
        <w:jc w:val="both"/>
        <w:rPr>
          <w:rFonts w:ascii="Verdana" w:eastAsia="Century Gothic" w:hAnsi="Verdana" w:cs="Century Gothic"/>
          <w:lang w:val="es-ES"/>
        </w:rPr>
      </w:pPr>
    </w:p>
    <w:p w14:paraId="17C99746" w14:textId="77777777" w:rsidR="008C2CF3" w:rsidRPr="00593A5F" w:rsidRDefault="008C2CF3" w:rsidP="008C2CF3">
      <w:pPr>
        <w:spacing w:after="0" w:line="276" w:lineRule="auto"/>
        <w:jc w:val="both"/>
        <w:rPr>
          <w:rFonts w:ascii="Verdana" w:eastAsia="Century Gothic" w:hAnsi="Verdana" w:cs="Century Gothic"/>
        </w:rPr>
      </w:pPr>
      <w:r w:rsidRPr="00EF1386">
        <w:rPr>
          <w:rFonts w:ascii="Verdana" w:eastAsia="Century Gothic" w:hAnsi="Verdana" w:cs="Century Gothic"/>
        </w:rPr>
        <w:t>De acuerdo con el contenido de su solicitud, esta Agencia resolverá el siguiente problema jurídico:</w:t>
      </w:r>
      <w:r>
        <w:rPr>
          <w:rFonts w:ascii="Verdana" w:eastAsia="Century Gothic" w:hAnsi="Verdana" w:cs="Century Gothic"/>
        </w:rPr>
        <w:t xml:space="preserve"> ¿Pueden las entidades </w:t>
      </w:r>
      <w:r w:rsidRPr="00447791">
        <w:rPr>
          <w:rFonts w:ascii="Verdana" w:eastAsia="Century Gothic" w:hAnsi="Verdana" w:cs="Century Gothic"/>
        </w:rPr>
        <w:t xml:space="preserve">descentralizadas indirectas </w:t>
      </w:r>
      <w:r>
        <w:rPr>
          <w:rFonts w:ascii="Verdana" w:eastAsia="Century Gothic" w:hAnsi="Verdana" w:cs="Century Gothic"/>
        </w:rPr>
        <w:t>suscribir contratos de seguros mediante contratación directa en vigencia de la Ley de Garantías Electorales</w:t>
      </w:r>
      <w:r>
        <w:rPr>
          <w:rFonts w:ascii="Verdana" w:eastAsia="Times New Roman" w:hAnsi="Verdana" w:cs="Arial"/>
          <w:lang w:eastAsia="es-MX"/>
        </w:rPr>
        <w:t>?</w:t>
      </w:r>
    </w:p>
    <w:p w14:paraId="2BBD0CCE" w14:textId="77777777" w:rsidR="008C2CF3" w:rsidRPr="004B140F" w:rsidRDefault="008C2CF3" w:rsidP="008C2CF3">
      <w:pPr>
        <w:spacing w:after="0" w:line="276" w:lineRule="auto"/>
        <w:jc w:val="both"/>
        <w:rPr>
          <w:rFonts w:ascii="Verdana" w:eastAsia="Calibri" w:hAnsi="Verdana" w:cs="Arial"/>
          <w:color w:val="7030A0"/>
        </w:rPr>
      </w:pPr>
    </w:p>
    <w:p w14:paraId="0EA11368" w14:textId="77777777" w:rsidR="008C2CF3" w:rsidRPr="00593A5F" w:rsidRDefault="008C2CF3" w:rsidP="008C2CF3">
      <w:pPr>
        <w:pStyle w:val="Prrafodelista"/>
        <w:numPr>
          <w:ilvl w:val="0"/>
          <w:numId w:val="2"/>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Respuesta:</w:t>
      </w:r>
    </w:p>
    <w:p w14:paraId="547224B8" w14:textId="77777777" w:rsidR="008C2CF3" w:rsidRPr="00593A5F" w:rsidRDefault="008C2CF3" w:rsidP="008C2CF3">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8C2CF3" w:rsidRPr="00593A5F" w14:paraId="239430F7" w14:textId="77777777" w:rsidTr="0004496C">
        <w:trPr>
          <w:jc w:val="center"/>
        </w:trPr>
        <w:tc>
          <w:tcPr>
            <w:tcW w:w="8828" w:type="dxa"/>
          </w:tcPr>
          <w:p w14:paraId="39F77991" w14:textId="77777777" w:rsidR="008C2CF3" w:rsidRPr="00D77DEE" w:rsidRDefault="008C2CF3" w:rsidP="0004496C">
            <w:pPr>
              <w:pStyle w:val="Textoindependiente"/>
              <w:tabs>
                <w:tab w:val="left" w:pos="6225"/>
              </w:tabs>
              <w:spacing w:line="276" w:lineRule="auto"/>
              <w:jc w:val="both"/>
              <w:rPr>
                <w:rFonts w:ascii="Verdana" w:eastAsia="Calibri" w:hAnsi="Verdana" w:cs="Arial"/>
                <w:bCs/>
                <w:szCs w:val="24"/>
                <w:lang w:eastAsia="es-ES_tradnl"/>
              </w:rPr>
            </w:pPr>
            <w:bookmarkStart w:id="0" w:name="_Hlk171694685"/>
            <w:r>
              <w:rPr>
                <w:rFonts w:ascii="Verdana" w:eastAsia="Calibri" w:hAnsi="Verdana" w:cs="Arial"/>
                <w:bCs/>
                <w:szCs w:val="24"/>
                <w:lang w:eastAsia="es-ES_tradnl"/>
              </w:rPr>
              <w:t>Dando alcance al problema jurídico planteado, r</w:t>
            </w:r>
            <w:r w:rsidRPr="00D77DEE">
              <w:rPr>
                <w:rFonts w:ascii="Verdana" w:eastAsia="Calibri" w:hAnsi="Verdana" w:cs="Arial"/>
                <w:bCs/>
                <w:szCs w:val="24"/>
                <w:lang w:eastAsia="es-ES_tradnl"/>
              </w:rPr>
              <w:t>esulta pertinente señalar que</w:t>
            </w:r>
            <w:r>
              <w:rPr>
                <w:rFonts w:ascii="Verdana" w:eastAsia="Calibri" w:hAnsi="Verdana" w:cs="Arial"/>
                <w:bCs/>
                <w:szCs w:val="24"/>
                <w:lang w:eastAsia="es-ES_tradnl"/>
              </w:rPr>
              <w:t>,</w:t>
            </w:r>
            <w:r w:rsidRPr="00D77DEE">
              <w:rPr>
                <w:rFonts w:ascii="Verdana" w:eastAsia="Calibri" w:hAnsi="Verdana" w:cs="Arial"/>
                <w:bCs/>
                <w:szCs w:val="24"/>
                <w:lang w:eastAsia="es-ES_tradnl"/>
              </w:rPr>
              <w:t xml:space="preserve"> </w:t>
            </w:r>
            <w:r w:rsidRPr="00CE01E2">
              <w:rPr>
                <w:rFonts w:ascii="Verdana" w:eastAsia="Calibri" w:hAnsi="Verdana" w:cs="Arial"/>
                <w:bCs/>
                <w:szCs w:val="24"/>
                <w:lang w:eastAsia="es-ES_tradnl"/>
              </w:rPr>
              <w:t xml:space="preserve">la Ley de Garantías Electorales </w:t>
            </w:r>
            <w:r w:rsidRPr="000D3AA1">
              <w:rPr>
                <w:rFonts w:ascii="Verdana" w:eastAsia="Calibri" w:hAnsi="Verdana" w:cs="Arial"/>
                <w:bCs/>
                <w:szCs w:val="24"/>
                <w:lang w:eastAsia="es-ES_tradnl"/>
              </w:rPr>
              <w:t>establece restricciones específicas para la contratación pública durante los períodos electorales, particularmente en lo que respecta a la contratación directa y a la celebración de convenios interadministrativos financiados con recursos del presupuesto estatal.</w:t>
            </w:r>
          </w:p>
          <w:p w14:paraId="65FF7788" w14:textId="77777777" w:rsidR="008C2CF3" w:rsidRDefault="008C2CF3" w:rsidP="0004496C">
            <w:pPr>
              <w:pStyle w:val="Textoindependiente"/>
              <w:tabs>
                <w:tab w:val="left" w:pos="6225"/>
              </w:tabs>
              <w:spacing w:line="276" w:lineRule="auto"/>
              <w:ind w:firstLine="709"/>
              <w:jc w:val="both"/>
              <w:rPr>
                <w:rFonts w:ascii="Verdana" w:eastAsia="Calibri" w:hAnsi="Verdana" w:cs="Arial"/>
                <w:bCs/>
                <w:szCs w:val="24"/>
                <w:lang w:eastAsia="es-ES_tradnl"/>
              </w:rPr>
            </w:pPr>
            <w:r>
              <w:rPr>
                <w:rFonts w:ascii="Verdana" w:eastAsia="Calibri" w:hAnsi="Verdana" w:cs="Arial"/>
                <w:bCs/>
                <w:szCs w:val="24"/>
                <w:lang w:eastAsia="es-ES_tradnl"/>
              </w:rPr>
              <w:t>Teniendo en cuenta el objeto de su consulta</w:t>
            </w:r>
            <w:r w:rsidRPr="00240BCA">
              <w:rPr>
                <w:rFonts w:ascii="Verdana" w:eastAsia="Calibri" w:hAnsi="Verdana" w:cs="Arial"/>
                <w:bCs/>
                <w:szCs w:val="24"/>
                <w:lang w:eastAsia="es-ES_tradnl"/>
              </w:rPr>
              <w:t>,</w:t>
            </w:r>
            <w:r>
              <w:rPr>
                <w:rFonts w:ascii="Verdana" w:eastAsia="Calibri" w:hAnsi="Verdana" w:cs="Arial"/>
                <w:bCs/>
                <w:szCs w:val="24"/>
                <w:lang w:eastAsia="es-ES_tradnl"/>
              </w:rPr>
              <w:t xml:space="preserve"> es necesario precisar que,</w:t>
            </w:r>
            <w:r w:rsidRPr="00240BCA">
              <w:rPr>
                <w:rFonts w:ascii="Verdana" w:eastAsia="Calibri" w:hAnsi="Verdana" w:cs="Arial"/>
                <w:bCs/>
                <w:szCs w:val="24"/>
                <w:lang w:eastAsia="es-ES_tradnl"/>
              </w:rPr>
              <w:t xml:space="preserve"> el artículo 33 de la Ley 996 de 2005 establece que, durante los cuatro (4) meses anteriores a la elección presidencial y hasta la realización de la segunda vuelta, si fuere el caso, queda prohibida la </w:t>
            </w:r>
            <w:r w:rsidRPr="000E6C92">
              <w:rPr>
                <w:rFonts w:ascii="Verdana" w:eastAsia="Calibri" w:hAnsi="Verdana" w:cs="Arial"/>
                <w:bCs/>
                <w:i/>
                <w:iCs/>
                <w:szCs w:val="24"/>
                <w:lang w:eastAsia="es-ES_tradnl"/>
              </w:rPr>
              <w:t>contratación directa por parte de todos los entes del Estado</w:t>
            </w:r>
            <w:r w:rsidRPr="00240BCA">
              <w:rPr>
                <w:rFonts w:ascii="Verdana" w:eastAsia="Calibri" w:hAnsi="Verdana" w:cs="Arial"/>
                <w:bCs/>
                <w:szCs w:val="24"/>
                <w:lang w:eastAsia="es-ES_tradnl"/>
              </w:rPr>
              <w:t xml:space="preserve">. </w:t>
            </w:r>
          </w:p>
          <w:p w14:paraId="14997DAB" w14:textId="77777777" w:rsidR="008C2CF3" w:rsidRDefault="008C2CF3" w:rsidP="0004496C">
            <w:pPr>
              <w:spacing w:after="120" w:line="276" w:lineRule="auto"/>
              <w:ind w:firstLine="737"/>
              <w:jc w:val="both"/>
              <w:rPr>
                <w:rFonts w:ascii="Verdana" w:eastAsia="Times New Roman" w:hAnsi="Verdana" w:cs="Arial"/>
                <w:bCs/>
                <w:lang w:val="es-MX" w:eastAsia="x-none"/>
              </w:rPr>
            </w:pPr>
            <w:r>
              <w:rPr>
                <w:rFonts w:ascii="Verdana" w:eastAsia="Times New Roman" w:hAnsi="Verdana" w:cs="Arial"/>
                <w:bCs/>
                <w:lang w:val="es-MX" w:eastAsia="x-none"/>
              </w:rPr>
              <w:t xml:space="preserve">Lo anterior, sin perjuicio de </w:t>
            </w:r>
            <w:r w:rsidRPr="0057193B">
              <w:rPr>
                <w:rFonts w:ascii="Verdana" w:eastAsia="Times New Roman" w:hAnsi="Verdana" w:cs="Arial"/>
                <w:bCs/>
                <w:lang w:val="es-MX" w:eastAsia="x-none"/>
              </w:rPr>
              <w:t>las excepciones a la prohibición establecidas en el inciso</w:t>
            </w:r>
            <w:r>
              <w:rPr>
                <w:rFonts w:ascii="Verdana" w:eastAsia="Times New Roman" w:hAnsi="Verdana" w:cs="Arial"/>
                <w:bCs/>
                <w:lang w:val="es-MX" w:eastAsia="x-none"/>
              </w:rPr>
              <w:t xml:space="preserve"> segundo del mismo artículo 33 </w:t>
            </w:r>
            <w:r w:rsidRPr="00C53E3E">
              <w:rPr>
                <w:rFonts w:ascii="Verdana" w:eastAsia="Calibri" w:hAnsi="Verdana" w:cs="Arial"/>
                <w:lang w:val="es-MX"/>
              </w:rPr>
              <w:t>de la Ley 996 de 2005</w:t>
            </w:r>
            <w:r>
              <w:rPr>
                <w:rFonts w:ascii="Verdana" w:eastAsia="Times New Roman" w:hAnsi="Verdana" w:cs="Arial"/>
                <w:bCs/>
                <w:lang w:val="es-MX" w:eastAsia="x-none"/>
              </w:rPr>
              <w:t xml:space="preserve">, como son: </w:t>
            </w:r>
            <w:r w:rsidRPr="00333EDB">
              <w:rPr>
                <w:rFonts w:ascii="Verdana" w:eastAsia="Times New Roman" w:hAnsi="Verdana" w:cs="Arial"/>
                <w:bCs/>
                <w:lang w:val="es-MX" w:eastAsia="x-none"/>
              </w:rPr>
              <w:t xml:space="preserve">i) la defensa y seguridad del Estado; ii) los contratos de crédito público; iii) los requeridos para cubrir las emergencias educativas, sanitarias y desastres; iv) los utilizados para la reconstrucción de vías, puentes, carreteras, infraestructura energética y de comunicaciones, en caso de que hayan sido objeto de atentados, acciones terroristas, desastres naturales o casos de fuerza mayor; y, v) los que deban realizar las entidades sanitarias y hospitalarias. Es responsabilidad del respectivo ente del Estado examinar en cada caso la naturaleza de las actividades que adelanta y determinar si las </w:t>
            </w:r>
            <w:r w:rsidRPr="00333EDB">
              <w:rPr>
                <w:rFonts w:ascii="Verdana" w:eastAsia="Times New Roman" w:hAnsi="Verdana" w:cs="Arial"/>
                <w:bCs/>
                <w:lang w:val="es-MX" w:eastAsia="x-none"/>
              </w:rPr>
              <w:lastRenderedPageBreak/>
              <w:t>mismas se enmarcan en alguna de las mencionadas excepciones, de manera que se le permita realizar la contratación que necesite en forma directa.</w:t>
            </w:r>
          </w:p>
          <w:p w14:paraId="5F76B3C1" w14:textId="77777777" w:rsidR="008C2CF3" w:rsidRPr="00EA7EBA" w:rsidRDefault="008C2CF3" w:rsidP="0004496C">
            <w:pPr>
              <w:spacing w:after="120" w:line="276" w:lineRule="auto"/>
              <w:ind w:firstLine="708"/>
              <w:jc w:val="both"/>
              <w:rPr>
                <w:rFonts w:ascii="Verdana" w:eastAsia="Calibri" w:hAnsi="Verdana"/>
                <w:color w:val="000000" w:themeColor="text1"/>
              </w:rPr>
            </w:pPr>
            <w:r>
              <w:rPr>
                <w:rFonts w:ascii="Verdana" w:eastAsia="Times New Roman" w:hAnsi="Verdana" w:cs="Arial"/>
                <w:bCs/>
                <w:lang w:val="es-MX" w:eastAsia="x-none"/>
              </w:rPr>
              <w:t xml:space="preserve">Ahora bien, respecto al contrato de seguro, resulta preciso mencionar que </w:t>
            </w:r>
            <w:r w:rsidRPr="00EA7EBA">
              <w:rPr>
                <w:rFonts w:ascii="Verdana" w:eastAsia="Calibri" w:hAnsi="Verdana"/>
                <w:color w:val="000000" w:themeColor="text1"/>
                <w:lang w:val="es-ES"/>
              </w:rPr>
              <w:t>está definido en el artículo 1036 del Código de Comercio: “</w:t>
            </w:r>
            <w:r w:rsidRPr="00EA7EBA">
              <w:rPr>
                <w:rFonts w:ascii="Verdana" w:eastAsia="Calibri" w:hAnsi="Verdana"/>
                <w:color w:val="000000" w:themeColor="text1"/>
              </w:rPr>
              <w:t>El seguro es un contrato consensual, bilateral, oneroso, aleatorio y de ejecución sucesiva”, cuyas partes son: i) el asegurador, esto es, la persona jurídica que asume los riesgos y que está autorizada para ello: ii) el tomador, esto es, la persona que obrando por cuenta propia o ajena traslada los riesgos, de conformidad con el artículo 1037 del Código de Comercio</w:t>
            </w:r>
            <w:r w:rsidRPr="00EA7EBA">
              <w:rPr>
                <w:rFonts w:ascii="Verdana" w:eastAsia="Calibri" w:hAnsi="Verdana"/>
                <w:color w:val="000000" w:themeColor="text1"/>
                <w:vertAlign w:val="superscript"/>
              </w:rPr>
              <w:footnoteReference w:id="1"/>
            </w:r>
            <w:r w:rsidRPr="00EA7EBA">
              <w:rPr>
                <w:rFonts w:ascii="Verdana" w:eastAsia="Calibri" w:hAnsi="Verdana"/>
                <w:color w:val="000000" w:themeColor="text1"/>
              </w:rPr>
              <w:t xml:space="preserve">. </w:t>
            </w:r>
          </w:p>
          <w:p w14:paraId="67DADA83" w14:textId="77777777" w:rsidR="008C2CF3" w:rsidRDefault="008C2CF3" w:rsidP="0004496C">
            <w:pPr>
              <w:spacing w:after="120" w:line="276" w:lineRule="auto"/>
              <w:ind w:firstLine="737"/>
              <w:jc w:val="both"/>
              <w:rPr>
                <w:rFonts w:ascii="Verdana" w:eastAsia="Calibri" w:hAnsi="Verdana"/>
                <w:color w:val="000000" w:themeColor="text1"/>
              </w:rPr>
            </w:pPr>
            <w:r w:rsidRPr="00EA7EBA">
              <w:rPr>
                <w:rFonts w:ascii="Verdana" w:eastAsia="Calibri" w:hAnsi="Verdana"/>
                <w:color w:val="000000" w:themeColor="text1"/>
              </w:rPr>
              <w:t>En este caso para que el contrato de seguro sea estatal implica que una de las partes sea una entidad pública. Por tanto, en los supuestos donde el contrato de seguro cuya celebración se procede con el cometido a garantizar el cumplimiento de contratos estatales previamente celebrados entre entidades pública y en contratistas que son en principio particulares, no tiene la calidad de estatal pues el solo hecho de la entidad de ser beneficiaria, por el contrario, los contratos por lo general son suscritos entre dos particulares, es decir, entre el contratista particular en su condición de tomador y la respectiva aseguradora, quienes, por tanto, en los términos del artículo 1037 del Código de Comercio, son los únicos que pueden considerarse como partes dentro de este tipo de contratos.</w:t>
            </w:r>
          </w:p>
          <w:p w14:paraId="51FDC6E7" w14:textId="77777777" w:rsidR="008C2CF3" w:rsidRPr="00EA7EBA" w:rsidRDefault="008C2CF3" w:rsidP="0004496C">
            <w:pPr>
              <w:spacing w:before="120" w:line="276" w:lineRule="auto"/>
              <w:ind w:firstLine="708"/>
              <w:jc w:val="both"/>
              <w:rPr>
                <w:rFonts w:ascii="Verdana" w:eastAsia="Calibri" w:hAnsi="Verdana"/>
                <w:color w:val="000000" w:themeColor="text1"/>
              </w:rPr>
            </w:pPr>
            <w:r w:rsidRPr="00EA7EBA">
              <w:rPr>
                <w:rFonts w:ascii="Verdana" w:eastAsia="Calibri" w:hAnsi="Verdana"/>
                <w:color w:val="000000" w:themeColor="text1"/>
              </w:rPr>
              <w:t xml:space="preserve">Por lo general, la entidad pública suscribe contratos de seguro, con la finalidad de proteger a las entidades públicas contra diferentes riesgos que se presentan por actuaciones de sus empleados, así como riesgos por incendios, terremoto, entre otros. En estos términos, se destaca que los contratos de seguros amparan riesgos en daños materiales, automóviles, responsabilidad civil extracontractual, manejo global para entidades oficiales, riesgos financieros, entre otros. </w:t>
            </w:r>
          </w:p>
          <w:p w14:paraId="0FC47AAA" w14:textId="77777777" w:rsidR="008C2CF3" w:rsidRDefault="008C2CF3" w:rsidP="0004496C">
            <w:pPr>
              <w:spacing w:after="120" w:line="276" w:lineRule="auto"/>
              <w:ind w:firstLine="737"/>
              <w:jc w:val="both"/>
              <w:rPr>
                <w:rFonts w:ascii="Verdana" w:eastAsia="Calibri" w:hAnsi="Verdana" w:cs="Arial"/>
                <w:color w:val="000000"/>
                <w:lang w:eastAsia="es-ES_tradnl"/>
              </w:rPr>
            </w:pPr>
            <w:r w:rsidRPr="00EA7EBA">
              <w:rPr>
                <w:rFonts w:ascii="Verdana" w:eastAsia="Calibri" w:hAnsi="Verdana"/>
                <w:color w:val="000000" w:themeColor="text1"/>
              </w:rPr>
              <w:t xml:space="preserve">Así mismo, dichos procesos de contratación por parte de las entidades sometidas por el EGCAP se adelantan, en principio, mediante la modalidad de selección de licitación pública o en su defecto, por selección abreviada de menor cuantía, donde </w:t>
            </w:r>
            <w:r w:rsidRPr="00EA7EBA">
              <w:rPr>
                <w:rFonts w:ascii="Verdana" w:eastAsia="Calibri" w:hAnsi="Verdana" w:cs="Arial"/>
                <w:color w:val="000000"/>
                <w:lang w:eastAsia="es-ES_tradnl"/>
              </w:rPr>
              <w:t xml:space="preserve">la entidad deberá tener en consideración las </w:t>
            </w:r>
            <w:r w:rsidRPr="00EA7EBA">
              <w:rPr>
                <w:rFonts w:ascii="Verdana" w:eastAsia="Calibri" w:hAnsi="Verdana" w:cs="Arial"/>
                <w:color w:val="000000"/>
                <w:lang w:eastAsia="es-ES_tradnl"/>
              </w:rPr>
              <w:lastRenderedPageBreak/>
              <w:t>disposiciones previstas en el Estatuto Orgánico del Sistema Financiero, y en especial el artículo 17 de la Ley 795 de 2003 “</w:t>
            </w:r>
            <w:r w:rsidRPr="00EA7EBA">
              <w:rPr>
                <w:rFonts w:ascii="Verdana" w:eastAsia="Calibri" w:hAnsi="Verdana" w:cs="Arial"/>
                <w:bCs/>
                <w:i/>
                <w:iCs/>
                <w:color w:val="000000"/>
                <w:lang w:eastAsia="es-ES_tradnl"/>
              </w:rPr>
              <w:t>Por la cual se ajustan algunas normas del Estatuto Orgánico del Sistema Financiero y se dictan otras disposiciones.”</w:t>
            </w:r>
            <w:r w:rsidRPr="00EA7EBA">
              <w:rPr>
                <w:rFonts w:ascii="Verdana" w:eastAsia="Calibri" w:hAnsi="Verdana" w:cs="Arial"/>
                <w:color w:val="000000"/>
                <w:lang w:eastAsia="es-ES_tradnl"/>
              </w:rPr>
              <w:t xml:space="preserve">, y en especial las relacionadas con lo dispuesto en el Decreto 2954 de 2010 </w:t>
            </w:r>
            <w:r w:rsidRPr="00EA7EBA">
              <w:rPr>
                <w:rFonts w:ascii="Verdana" w:eastAsia="Calibri" w:hAnsi="Verdana" w:cs="Arial"/>
                <w:i/>
                <w:iCs/>
                <w:color w:val="000000"/>
                <w:lang w:eastAsia="es-ES_tradnl"/>
              </w:rPr>
              <w:t>“</w:t>
            </w:r>
            <w:r w:rsidRPr="00EA7EBA">
              <w:rPr>
                <w:rFonts w:ascii="Verdana" w:eastAsia="Calibri" w:hAnsi="Verdana" w:cs="Arial"/>
                <w:bCs/>
                <w:i/>
                <w:iCs/>
                <w:color w:val="000000"/>
                <w:lang w:eastAsia="es-ES_tradnl"/>
              </w:rPr>
              <w:t>por el cual se modifica el Decreto 2555 de 2010 y se establece el régimen de patrimonio adecuado de las entidades aseguradoras”</w:t>
            </w:r>
            <w:r w:rsidRPr="00EA7EBA">
              <w:rPr>
                <w:rFonts w:ascii="Verdana" w:eastAsia="Calibri" w:hAnsi="Verdana" w:cs="Arial"/>
                <w:color w:val="000000"/>
                <w:lang w:eastAsia="es-ES_tradnl"/>
              </w:rPr>
              <w:t>, a través del cual se reguló el régimen de patrimonio adecuado para las entidades aseguradoras, como indicador integral y específico para evidenciar la efectiva capacidad financiera, del mercado asegurador colombiano</w:t>
            </w:r>
            <w:r>
              <w:rPr>
                <w:rFonts w:ascii="Verdana" w:eastAsia="Calibri" w:hAnsi="Verdana" w:cs="Arial"/>
                <w:color w:val="000000"/>
                <w:lang w:eastAsia="es-ES_tradnl"/>
              </w:rPr>
              <w:t xml:space="preserve">. </w:t>
            </w:r>
          </w:p>
          <w:p w14:paraId="7FA29110" w14:textId="77777777" w:rsidR="008C2CF3" w:rsidRDefault="008C2CF3" w:rsidP="0004496C">
            <w:pPr>
              <w:spacing w:after="120" w:line="276" w:lineRule="auto"/>
              <w:ind w:firstLine="737"/>
              <w:jc w:val="both"/>
              <w:rPr>
                <w:rFonts w:ascii="Verdana" w:eastAsia="Times New Roman" w:hAnsi="Verdana" w:cs="Arial"/>
                <w:bCs/>
                <w:lang w:val="es-MX" w:eastAsia="x-none"/>
              </w:rPr>
            </w:pPr>
            <w:r>
              <w:rPr>
                <w:rFonts w:ascii="Verdana" w:eastAsia="Calibri" w:hAnsi="Verdana" w:cs="Arial"/>
                <w:color w:val="000000"/>
                <w:lang w:eastAsia="es-ES_tradnl"/>
              </w:rPr>
              <w:t>Conforme lo anterior, se recomienda a las entidades garantizar la realización de procesos de selección que garanticen la pluralidad de oferentes para la escogencia o toma de seguros, incluso en el periodo electoral, donde, como ya se mencionó, se prohíbe la contratación directa.</w:t>
            </w:r>
          </w:p>
          <w:p w14:paraId="1AA413B1" w14:textId="77777777" w:rsidR="008C2CF3" w:rsidRPr="001941FD" w:rsidRDefault="008C2CF3" w:rsidP="0004496C">
            <w:pPr>
              <w:spacing w:line="276" w:lineRule="auto"/>
              <w:ind w:right="51" w:firstLine="737"/>
              <w:jc w:val="both"/>
              <w:rPr>
                <w:rFonts w:ascii="Verdana" w:eastAsia="Calibri" w:hAnsi="Verdana" w:cs="Arial"/>
                <w:bCs/>
                <w:color w:val="000000" w:themeColor="text1"/>
              </w:rPr>
            </w:pPr>
            <w:r w:rsidRPr="003C6656">
              <w:rPr>
                <w:rStyle w:val="s15"/>
                <w:rFonts w:ascii="Verdana" w:hAnsi="Verdana"/>
                <w:color w:val="000000"/>
              </w:rPr>
              <w:t>Al margen de la explicación</w:t>
            </w:r>
            <w:r w:rsidRPr="00D10E3B">
              <w:rPr>
                <w:rStyle w:val="s15"/>
                <w:rFonts w:ascii="Verdana" w:hAnsi="Verdana"/>
                <w:color w:val="000000"/>
              </w:rPr>
              <w:t xml:space="preserve">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Por lo anterior, previo concepto de sus asesores, la solución de situaciones particulares corresponde a los interesados adoptar la decisión correspondiente y, en caso de conflicto, a las autoridades judiciales, fiscales y disciplinarias. Así, cada entidad definirá la forma de adelantar su gestión contractual, sin que sea atribución de Colombia Compra Eficiente validar sus actuaciones.</w:t>
            </w:r>
          </w:p>
        </w:tc>
      </w:tr>
    </w:tbl>
    <w:p w14:paraId="07272809" w14:textId="77777777" w:rsidR="008C2CF3" w:rsidRPr="00593A5F" w:rsidRDefault="008C2CF3" w:rsidP="008C2CF3">
      <w:pPr>
        <w:tabs>
          <w:tab w:val="left" w:pos="142"/>
          <w:tab w:val="left" w:pos="284"/>
        </w:tabs>
        <w:spacing w:after="0" w:line="276" w:lineRule="auto"/>
        <w:jc w:val="both"/>
        <w:rPr>
          <w:rFonts w:ascii="Verdana" w:eastAsia="Century Gothic" w:hAnsi="Verdana" w:cs="Century Gothic"/>
          <w:b/>
          <w:bCs/>
          <w:lang w:val="es-ES"/>
        </w:rPr>
      </w:pPr>
    </w:p>
    <w:bookmarkEnd w:id="0"/>
    <w:p w14:paraId="04378C82" w14:textId="77777777" w:rsidR="008C2CF3" w:rsidRPr="00593A5F" w:rsidRDefault="008C2CF3" w:rsidP="008C2CF3">
      <w:pPr>
        <w:pStyle w:val="Prrafodelista"/>
        <w:numPr>
          <w:ilvl w:val="0"/>
          <w:numId w:val="2"/>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Razones de la respuesta:</w:t>
      </w:r>
    </w:p>
    <w:p w14:paraId="62160348" w14:textId="77777777" w:rsidR="008C2CF3" w:rsidRPr="00593A5F" w:rsidRDefault="008C2CF3" w:rsidP="008C2CF3">
      <w:pPr>
        <w:spacing w:after="0" w:line="276" w:lineRule="auto"/>
        <w:jc w:val="both"/>
        <w:rPr>
          <w:rFonts w:ascii="Verdana" w:eastAsia="Calibri" w:hAnsi="Verdana" w:cs="Arial"/>
          <w:color w:val="7030A0"/>
          <w:lang w:val="es-ES"/>
        </w:rPr>
      </w:pPr>
    </w:p>
    <w:p w14:paraId="0188D9DF" w14:textId="77777777" w:rsidR="008C2CF3" w:rsidRDefault="008C2CF3" w:rsidP="008C2CF3">
      <w:pPr>
        <w:spacing w:after="0" w:line="276" w:lineRule="auto"/>
        <w:jc w:val="both"/>
        <w:rPr>
          <w:rFonts w:ascii="Verdana" w:eastAsia="Calibri" w:hAnsi="Verdana" w:cs="Arial"/>
          <w:lang w:val="es-ES"/>
        </w:rPr>
      </w:pPr>
      <w:r w:rsidRPr="00B96799">
        <w:rPr>
          <w:rFonts w:ascii="Verdana" w:eastAsia="Calibri" w:hAnsi="Verdana" w:cs="Arial"/>
          <w:lang w:val="es-ES"/>
        </w:rPr>
        <w:t>Lo anterior se sustenta en las siguientes consideraciones:</w:t>
      </w:r>
    </w:p>
    <w:p w14:paraId="7A1AE506" w14:textId="77777777" w:rsidR="008C2CF3" w:rsidRDefault="008C2CF3" w:rsidP="008C2CF3">
      <w:pPr>
        <w:spacing w:after="0" w:line="276" w:lineRule="auto"/>
        <w:jc w:val="both"/>
        <w:rPr>
          <w:rFonts w:ascii="Verdana" w:eastAsia="Calibri" w:hAnsi="Verdana" w:cs="Arial"/>
          <w:lang w:val="es-ES"/>
        </w:rPr>
      </w:pPr>
    </w:p>
    <w:p w14:paraId="74D10D0A" w14:textId="77777777" w:rsidR="008C2CF3" w:rsidRPr="009E105D" w:rsidRDefault="008C2CF3" w:rsidP="008C2CF3">
      <w:pPr>
        <w:tabs>
          <w:tab w:val="left" w:pos="426"/>
        </w:tabs>
        <w:spacing w:after="120" w:line="276" w:lineRule="auto"/>
        <w:jc w:val="both"/>
        <w:rPr>
          <w:rFonts w:ascii="Verdana" w:eastAsia="Times New Roman" w:hAnsi="Verdana" w:cs="Arial"/>
          <w:lang w:eastAsia="es-CO"/>
        </w:rPr>
      </w:pPr>
      <w:r w:rsidRPr="009E105D">
        <w:rPr>
          <w:rFonts w:ascii="Verdana" w:eastAsia="Calibri" w:hAnsi="Verdana" w:cs="Arial"/>
        </w:rPr>
        <w:t>El ordenamiento jurídico colombiano contempla previsiones claras para evitar la obtención de beneficios personales en asuntos propios de la administración pública</w:t>
      </w:r>
      <w:r w:rsidRPr="009E105D">
        <w:rPr>
          <w:rFonts w:ascii="Verdana" w:eastAsia="Calibri" w:hAnsi="Verdana" w:cs="Arial"/>
          <w:i/>
        </w:rPr>
        <w:t xml:space="preserve">. </w:t>
      </w:r>
      <w:r w:rsidRPr="009E105D">
        <w:rPr>
          <w:rFonts w:ascii="Verdana" w:eastAsia="Calibri" w:hAnsi="Verdana" w:cs="Arial"/>
        </w:rPr>
        <w:t xml:space="preserve">Por ejemplo, el artículo 127 de la Constitución Política establece una prohibición contractual a los servidores públicos y en cuanto a aspectos políticos </w:t>
      </w:r>
      <w:r w:rsidRPr="009E105D">
        <w:rPr>
          <w:rFonts w:ascii="Verdana" w:eastAsia="Calibri" w:hAnsi="Verdana" w:cs="Arial"/>
        </w:rPr>
        <w:lastRenderedPageBreak/>
        <w:t>consagra restricciones a ciertos empleados del Estado, incluso en época no electoral</w:t>
      </w:r>
      <w:r w:rsidRPr="009E105D">
        <w:rPr>
          <w:rFonts w:ascii="Verdana" w:eastAsia="Calibri" w:hAnsi="Verdana" w:cs="Arial"/>
          <w:vertAlign w:val="superscript"/>
        </w:rPr>
        <w:footnoteReference w:id="2"/>
      </w:r>
      <w:r w:rsidRPr="009E105D">
        <w:rPr>
          <w:rFonts w:ascii="Verdana" w:eastAsia="Calibri" w:hAnsi="Verdana" w:cs="Arial"/>
        </w:rPr>
        <w:t xml:space="preserve">. </w:t>
      </w:r>
    </w:p>
    <w:p w14:paraId="12EE39BD" w14:textId="77777777" w:rsidR="008C2CF3" w:rsidRPr="009E105D" w:rsidRDefault="008C2CF3" w:rsidP="008C2CF3">
      <w:pPr>
        <w:tabs>
          <w:tab w:val="left" w:pos="426"/>
        </w:tabs>
        <w:spacing w:after="0" w:line="276" w:lineRule="auto"/>
        <w:ind w:firstLine="709"/>
        <w:jc w:val="both"/>
        <w:rPr>
          <w:rFonts w:ascii="Verdana" w:eastAsia="Times New Roman" w:hAnsi="Verdana" w:cs="Arial"/>
          <w:lang w:val="es-MX" w:eastAsia="es-CO"/>
        </w:rPr>
      </w:pPr>
      <w:r w:rsidRPr="009E105D">
        <w:rPr>
          <w:rFonts w:ascii="Verdana" w:eastAsia="Times New Roman" w:hAnsi="Verdana" w:cs="Arial"/>
          <w:lang w:eastAsia="es-CO"/>
        </w:rPr>
        <w:t>En el mismo sentido</w:t>
      </w:r>
      <w:r w:rsidRPr="009E105D">
        <w:rPr>
          <w:rFonts w:ascii="Verdana" w:eastAsia="Times New Roman" w:hAnsi="Verdana" w:cs="Arial"/>
          <w:lang w:val="es-MX" w:eastAsia="es-CO"/>
        </w:rPr>
        <w:t xml:space="preserve">, </w:t>
      </w:r>
      <w:bookmarkStart w:id="1" w:name="_Hlk99576829"/>
      <w:r w:rsidRPr="009E105D">
        <w:rPr>
          <w:rFonts w:ascii="Verdana" w:eastAsia="Times New Roman" w:hAnsi="Verdana" w:cs="Arial"/>
          <w:lang w:val="es-MX" w:eastAsia="es-CO"/>
        </w:rPr>
        <w:t>la Ley 996 de 2005, conocida como “Ley de Garantías Electorales”, se suma al andamiaje de orden constitucional y legal que se ha ocupado de evitar la injerencia inadecuada de intereses particulares en el ejercicio de la función pública. Esta ley tiene como propósito evitar cualquier tipo de arbitrariedad, de ventaja injustificada, de uso irregular de los recursos del Estado en las campañas o falta de garantías en la elección presidencial</w:t>
      </w:r>
      <w:r w:rsidRPr="009E105D">
        <w:rPr>
          <w:rFonts w:ascii="Verdana" w:eastAsia="Times New Roman" w:hAnsi="Verdana" w:cs="Arial"/>
          <w:vertAlign w:val="superscript"/>
          <w:lang w:val="es-MX" w:eastAsia="es-CO"/>
        </w:rPr>
        <w:footnoteReference w:id="3"/>
      </w:r>
      <w:r w:rsidRPr="009E105D">
        <w:rPr>
          <w:rFonts w:ascii="Verdana" w:eastAsia="Times New Roman" w:hAnsi="Verdana" w:cs="Arial"/>
          <w:lang w:val="es-MX" w:eastAsia="es-CO"/>
        </w:rPr>
        <w:t>. En esta medida, introduce limitaciones para realizar nombramientos, postulaciones, contrataciones o cualquier otro tipo de actividad que implique destinación de recursos públicos bajo el devenir propio de las entidades estatales.</w:t>
      </w:r>
      <w:r w:rsidRPr="009E105D">
        <w:rPr>
          <w:rFonts w:ascii="Verdana" w:eastAsia="Calibri" w:hAnsi="Verdana" w:cs="Arial"/>
          <w:lang w:val="es-ES_tradnl"/>
        </w:rPr>
        <w:t xml:space="preserve"> </w:t>
      </w:r>
      <w:bookmarkEnd w:id="1"/>
      <w:r w:rsidRPr="009E105D">
        <w:rPr>
          <w:rFonts w:ascii="Verdana" w:eastAsia="Times New Roman" w:hAnsi="Verdana" w:cs="Arial"/>
          <w:lang w:val="es-MX" w:eastAsia="es-CO"/>
        </w:rPr>
        <w:t>En armonía con lo anterior, la Corte Constitucional ha abordado la definición de la Ley de Garantías Electorales. De esta manera, explica que tiene como propósito:</w:t>
      </w:r>
    </w:p>
    <w:p w14:paraId="5829B9F0" w14:textId="77777777" w:rsidR="008C2CF3" w:rsidRPr="009E105D" w:rsidRDefault="008C2CF3" w:rsidP="008C2CF3">
      <w:pPr>
        <w:spacing w:after="0" w:line="276" w:lineRule="auto"/>
        <w:ind w:right="709"/>
        <w:contextualSpacing/>
        <w:jc w:val="both"/>
        <w:rPr>
          <w:rFonts w:ascii="Verdana" w:eastAsia="Times New Roman" w:hAnsi="Verdana" w:cs="Arial"/>
          <w:sz w:val="21"/>
          <w:szCs w:val="21"/>
          <w:lang w:val="es-ES" w:eastAsia="es-CO"/>
        </w:rPr>
      </w:pPr>
    </w:p>
    <w:p w14:paraId="53CF0174" w14:textId="77777777" w:rsidR="008C2CF3" w:rsidRPr="00E066AC" w:rsidRDefault="008C2CF3" w:rsidP="008C2CF3">
      <w:pPr>
        <w:spacing w:after="0" w:line="240" w:lineRule="auto"/>
        <w:ind w:left="709" w:right="709"/>
        <w:contextualSpacing/>
        <w:jc w:val="both"/>
        <w:rPr>
          <w:rFonts w:ascii="Verdana" w:eastAsia="Times New Roman" w:hAnsi="Verdana" w:cs="Arial"/>
          <w:sz w:val="20"/>
          <w:szCs w:val="20"/>
          <w:lang w:val="es-MX" w:eastAsia="es-CO"/>
        </w:rPr>
      </w:pPr>
      <w:r w:rsidRPr="00E066AC">
        <w:rPr>
          <w:rFonts w:ascii="Verdana" w:eastAsia="Times New Roman" w:hAnsi="Verdana" w:cs="Arial"/>
          <w:sz w:val="20"/>
          <w:szCs w:val="20"/>
          <w:lang w:val="es-ES" w:eastAsia="es-CO"/>
        </w:rPr>
        <w:t xml:space="preserve">“[…] </w:t>
      </w:r>
      <w:r w:rsidRPr="00E066AC">
        <w:rPr>
          <w:rFonts w:ascii="Verdana" w:eastAsia="Times New Roman" w:hAnsi="Verdana" w:cs="Arial"/>
          <w:sz w:val="20"/>
          <w:szCs w:val="20"/>
          <w:lang w:val="es-MX" w:eastAsia="es-CO"/>
        </w:rPr>
        <w:t>la definición de reglas claras que permitan acceder a los canales de expresión democrática de manera efectiva e igualitaria. El objetivo de una ley de garantías es definir esas reglas.</w:t>
      </w:r>
    </w:p>
    <w:p w14:paraId="4777B41B" w14:textId="77777777" w:rsidR="008C2CF3" w:rsidRDefault="008C2CF3" w:rsidP="008C2CF3">
      <w:pPr>
        <w:spacing w:after="0" w:line="240" w:lineRule="auto"/>
        <w:ind w:left="709" w:right="709"/>
        <w:contextualSpacing/>
        <w:jc w:val="both"/>
        <w:rPr>
          <w:rFonts w:ascii="Verdana" w:eastAsia="Times New Roman" w:hAnsi="Verdana" w:cs="Arial"/>
          <w:sz w:val="20"/>
          <w:szCs w:val="20"/>
          <w:lang w:val="es-MX" w:eastAsia="es-CO"/>
        </w:rPr>
      </w:pPr>
      <w:r w:rsidRPr="00E066AC">
        <w:rPr>
          <w:rFonts w:ascii="Verdana" w:eastAsia="Times New Roman" w:hAnsi="Verdana" w:cs="Arial"/>
          <w:sz w:val="20"/>
          <w:szCs w:val="20"/>
          <w:lang w:val="es-MX" w:eastAsia="es-CO"/>
        </w:rPr>
        <w:t xml:space="preserve">[…] </w:t>
      </w:r>
    </w:p>
    <w:p w14:paraId="5645380A" w14:textId="77777777" w:rsidR="008C2CF3" w:rsidRPr="00E066AC" w:rsidRDefault="008C2CF3" w:rsidP="008C2CF3">
      <w:pPr>
        <w:spacing w:after="0" w:line="240" w:lineRule="auto"/>
        <w:ind w:left="709" w:right="709"/>
        <w:contextualSpacing/>
        <w:jc w:val="both"/>
        <w:rPr>
          <w:rFonts w:ascii="Verdana" w:eastAsia="Times New Roman" w:hAnsi="Verdana" w:cs="Arial"/>
          <w:sz w:val="12"/>
          <w:szCs w:val="12"/>
          <w:lang w:val="es-MX" w:eastAsia="es-CO"/>
        </w:rPr>
      </w:pPr>
    </w:p>
    <w:p w14:paraId="3883B55E" w14:textId="77777777" w:rsidR="008C2CF3" w:rsidRPr="00E066AC" w:rsidRDefault="008C2CF3" w:rsidP="008C2CF3">
      <w:pPr>
        <w:spacing w:after="0" w:line="240" w:lineRule="auto"/>
        <w:ind w:left="709" w:right="709"/>
        <w:contextualSpacing/>
        <w:jc w:val="both"/>
        <w:rPr>
          <w:rFonts w:ascii="Verdana" w:eastAsia="Times New Roman" w:hAnsi="Verdana" w:cs="Arial"/>
          <w:sz w:val="20"/>
          <w:szCs w:val="20"/>
          <w:lang w:val="es-MX" w:eastAsia="es-CO"/>
        </w:rPr>
      </w:pPr>
      <w:r w:rsidRPr="00E066AC">
        <w:rPr>
          <w:rFonts w:ascii="Verdana" w:eastAsia="Times New Roman" w:hAnsi="Verdana" w:cs="Arial"/>
          <w:sz w:val="20"/>
          <w:szCs w:val="20"/>
          <w:lang w:val="es-MX" w:eastAsia="es-CO"/>
        </w:rPr>
        <w:t>Una ley de garantías electorales es una guía para el ejercicio equitativo y transparente de la democracia representativa. Un estatuto diseñado para asegurar que la contienda democrática se cumpla en condiciones igualitarias y transparentes para a los electores. Una ley de garantías busca afianzar la neutralidad de los servidores públicos que organizan y supervisan las disputas electorales, e intenta garantizar el acceso igualitario a los canales de comunicación de los candidatos. Igualmente, una ley de garantías debe permitir que, en el debate democrático, sean las ideas y las propuestas las que definan el ascenso al poder, y no el músculo económico de los que se lo disputan”</w:t>
      </w:r>
      <w:r w:rsidRPr="00E066AC">
        <w:rPr>
          <w:rFonts w:ascii="Verdana" w:eastAsia="Calibri" w:hAnsi="Verdana" w:cs="Arial"/>
          <w:sz w:val="20"/>
          <w:szCs w:val="20"/>
          <w:vertAlign w:val="superscript"/>
          <w:lang w:val="es-MX"/>
        </w:rPr>
        <w:footnoteReference w:id="4"/>
      </w:r>
      <w:r w:rsidRPr="00E066AC">
        <w:rPr>
          <w:rFonts w:ascii="Verdana" w:eastAsia="Times New Roman" w:hAnsi="Verdana" w:cs="Arial"/>
          <w:sz w:val="20"/>
          <w:szCs w:val="20"/>
          <w:lang w:val="es-MX" w:eastAsia="es-CO"/>
        </w:rPr>
        <w:t>.</w:t>
      </w:r>
    </w:p>
    <w:p w14:paraId="2FD1B9E8" w14:textId="77777777" w:rsidR="008C2CF3" w:rsidRPr="009E105D" w:rsidRDefault="008C2CF3" w:rsidP="008C2CF3">
      <w:pPr>
        <w:spacing w:after="0" w:line="276" w:lineRule="auto"/>
        <w:ind w:left="709" w:right="709"/>
        <w:jc w:val="both"/>
        <w:rPr>
          <w:rFonts w:ascii="Verdana" w:eastAsia="Times New Roman" w:hAnsi="Verdana" w:cs="Arial"/>
          <w:sz w:val="21"/>
          <w:szCs w:val="21"/>
          <w:lang w:val="es-MX" w:eastAsia="es-CO"/>
        </w:rPr>
      </w:pPr>
    </w:p>
    <w:p w14:paraId="1BD5BC32" w14:textId="77777777" w:rsidR="008C2CF3" w:rsidRPr="009E105D" w:rsidRDefault="008C2CF3" w:rsidP="008C2CF3">
      <w:pPr>
        <w:spacing w:after="0" w:line="276" w:lineRule="auto"/>
        <w:ind w:firstLine="709"/>
        <w:jc w:val="both"/>
        <w:rPr>
          <w:rFonts w:ascii="Verdana" w:eastAsia="Times New Roman" w:hAnsi="Verdana" w:cs="Arial"/>
          <w:lang w:val="es-MX" w:eastAsia="es-CO"/>
        </w:rPr>
      </w:pPr>
      <w:bookmarkStart w:id="2" w:name="_Hlk78818186"/>
      <w:r w:rsidRPr="009E105D">
        <w:rPr>
          <w:rFonts w:ascii="Verdana" w:eastAsia="Times New Roman" w:hAnsi="Verdana" w:cs="Arial"/>
          <w:lang w:val="es-MX" w:eastAsia="es-CO"/>
        </w:rPr>
        <w:lastRenderedPageBreak/>
        <w:t xml:space="preserve">De esta manera, la Ley de Garantías Electorales establece el marco jurídico para el desarrollo de las elecciones, procurando condiciones de igualdad y transparencia para los aspirantes y paralelamente se incluyen restricciones en el actuar de los servidores públicos, evitando interferencias en la contienda electoral, así como la posible desviación de recursos públicos en aspiraciones electorales. </w:t>
      </w:r>
      <w:bookmarkEnd w:id="2"/>
      <w:r w:rsidRPr="009E105D">
        <w:rPr>
          <w:rFonts w:ascii="Verdana" w:eastAsia="Times New Roman" w:hAnsi="Verdana" w:cs="Arial"/>
          <w:lang w:val="es-MX" w:eastAsia="es-CO"/>
        </w:rPr>
        <w:t>Por ello, varias de las disposiciones de la Ley 996 de 2005, al contener normas prohibitivas, no admiten una interpretación amplia, sino que deben interpretarse restrictivamente. En efecto, la Sala de Consulta y Servicio Civil del Consejo de Estado, precisó lo siguiente:</w:t>
      </w:r>
    </w:p>
    <w:p w14:paraId="71A18581" w14:textId="77777777" w:rsidR="008C2CF3" w:rsidRPr="009E105D" w:rsidRDefault="008C2CF3" w:rsidP="008C2CF3">
      <w:pPr>
        <w:spacing w:after="0" w:line="276" w:lineRule="auto"/>
        <w:ind w:firstLine="709"/>
        <w:jc w:val="both"/>
        <w:rPr>
          <w:rFonts w:ascii="Verdana" w:eastAsia="Times New Roman" w:hAnsi="Verdana" w:cs="Arial"/>
          <w:lang w:val="es-MX" w:eastAsia="es-CO"/>
        </w:rPr>
      </w:pPr>
    </w:p>
    <w:p w14:paraId="5C8BA0AB" w14:textId="77777777" w:rsidR="008C2CF3" w:rsidRPr="00E066AC" w:rsidRDefault="008C2CF3" w:rsidP="008C2CF3">
      <w:pPr>
        <w:spacing w:after="0" w:line="240" w:lineRule="auto"/>
        <w:ind w:left="709" w:right="709"/>
        <w:contextualSpacing/>
        <w:jc w:val="both"/>
        <w:rPr>
          <w:rFonts w:ascii="Verdana" w:eastAsia="Times New Roman" w:hAnsi="Verdana" w:cs="Arial"/>
          <w:sz w:val="20"/>
          <w:szCs w:val="20"/>
          <w:lang w:val="es-MX" w:eastAsia="es-CO"/>
        </w:rPr>
      </w:pPr>
      <w:r w:rsidRPr="00E066AC">
        <w:rPr>
          <w:rFonts w:ascii="Verdana" w:eastAsia="Times New Roman" w:hAnsi="Verdana" w:cs="Arial"/>
          <w:sz w:val="20"/>
          <w:szCs w:val="20"/>
          <w:lang w:val="es-MX" w:eastAsia="es-CO"/>
        </w:rPr>
        <w:t>“No está de más recordar que las prohibiciones, en tanto limitan la libertad y los derechos de las personas, son de origen constitucional y legal; la tipificación de sus causas, vigencia, naturaleza y efectos es rígida y taxativa; y su aplicación es restrictiva, de manera que excluye la analogía legis o iuris y la interpretación extensiva. Las normas legales de contenido prohibitivo hacen parte de un conjunto de disposiciones que integran un régimen jurídico imperativo y de orden público, razón por la cual no son disponibles ni pueden ser derogadas, modificadas, ampliadas o adicionadas por acuerdo o convenio o acto unilateral.</w:t>
      </w:r>
    </w:p>
    <w:p w14:paraId="739FB53B" w14:textId="77777777" w:rsidR="008C2CF3" w:rsidRPr="00E066AC" w:rsidRDefault="008C2CF3" w:rsidP="008C2CF3">
      <w:pPr>
        <w:spacing w:after="0" w:line="240" w:lineRule="auto"/>
        <w:ind w:right="709"/>
        <w:contextualSpacing/>
        <w:jc w:val="both"/>
        <w:rPr>
          <w:rFonts w:ascii="Verdana" w:eastAsia="Times New Roman" w:hAnsi="Verdana" w:cs="Arial"/>
          <w:sz w:val="12"/>
          <w:szCs w:val="12"/>
          <w:lang w:val="es-MX" w:eastAsia="es-CO"/>
        </w:rPr>
      </w:pPr>
    </w:p>
    <w:p w14:paraId="50F894F7" w14:textId="77777777" w:rsidR="008C2CF3" w:rsidRPr="00E066AC" w:rsidRDefault="008C2CF3" w:rsidP="008C2CF3">
      <w:pPr>
        <w:spacing w:after="0" w:line="240" w:lineRule="auto"/>
        <w:ind w:left="709" w:right="709"/>
        <w:contextualSpacing/>
        <w:jc w:val="both"/>
        <w:rPr>
          <w:rFonts w:ascii="Verdana" w:eastAsia="Times New Roman" w:hAnsi="Verdana" w:cs="Arial"/>
          <w:sz w:val="20"/>
          <w:szCs w:val="20"/>
          <w:lang w:val="es-MX" w:eastAsia="es-CO"/>
        </w:rPr>
      </w:pPr>
      <w:r w:rsidRPr="00E066AC">
        <w:rPr>
          <w:rFonts w:ascii="Verdana" w:eastAsia="Times New Roman" w:hAnsi="Verdana" w:cs="Arial"/>
          <w:sz w:val="20"/>
          <w:szCs w:val="20"/>
          <w:lang w:val="es-MX" w:eastAsia="es-CO"/>
        </w:rPr>
        <w:t>La jurisprudencia de la Corte Constitucional</w:t>
      </w:r>
      <w:r w:rsidRPr="00E066AC">
        <w:rPr>
          <w:rFonts w:ascii="Verdana" w:eastAsia="Times New Roman" w:hAnsi="Verdana" w:cs="Arial"/>
          <w:sz w:val="20"/>
          <w:szCs w:val="20"/>
          <w:vertAlign w:val="superscript"/>
          <w:lang w:val="es-MX" w:eastAsia="es-CO"/>
        </w:rPr>
        <w:footnoteReference w:id="5"/>
      </w:r>
      <w:r w:rsidRPr="00E066AC">
        <w:rPr>
          <w:rFonts w:ascii="Verdana" w:eastAsia="Times New Roman" w:hAnsi="Verdana" w:cs="Arial"/>
          <w:sz w:val="20"/>
          <w:szCs w:val="20"/>
          <w:lang w:val="es-MX" w:eastAsia="es-CO"/>
        </w:rPr>
        <w:t> y del Consejo de Estado</w:t>
      </w:r>
      <w:r w:rsidRPr="00E066AC">
        <w:rPr>
          <w:rFonts w:ascii="Verdana" w:eastAsia="Times New Roman" w:hAnsi="Verdana" w:cs="Arial"/>
          <w:sz w:val="20"/>
          <w:szCs w:val="20"/>
          <w:vertAlign w:val="superscript"/>
          <w:lang w:val="es-MX" w:eastAsia="es-CO"/>
        </w:rPr>
        <w:footnoteReference w:id="6"/>
      </w:r>
      <w:r w:rsidRPr="00E066AC">
        <w:rPr>
          <w:rFonts w:ascii="Verdana" w:eastAsia="Times New Roman" w:hAnsi="Verdana" w:cs="Arial"/>
          <w:sz w:val="20"/>
          <w:szCs w:val="20"/>
          <w:lang w:val="es-MX" w:eastAsia="es-CO"/>
        </w:rPr>
        <w:t>, coinciden en que las normas que establecen prohibiciones deben estar de manera explícita en la Constitución o en la ley y no podrán ser excesivas ni desproporcionadas. No pueden interpretarse extensivamente sino siempre en forma restrictiva o estricta; es decir, en la aplicación de las normas prohibitivas, el intérprete solamente habrá de tener en cuenta lo que en ellas expresamente se menciona y, por tanto, no le es permitido ampliar el natural y obvio alcance de los supuestos que contemplan, pues como entrañan una limitación -así fuere justificada- a la libertad de actuar o capacidad de obrar, sobrepasar sus precisos términos comporta el desconocimiento de la voluntad del legislador”</w:t>
      </w:r>
      <w:r w:rsidRPr="00E066AC">
        <w:rPr>
          <w:rFonts w:ascii="Verdana" w:eastAsia="Times New Roman" w:hAnsi="Verdana" w:cs="Arial"/>
          <w:sz w:val="20"/>
          <w:szCs w:val="20"/>
          <w:vertAlign w:val="superscript"/>
          <w:lang w:val="es-MX" w:eastAsia="es-CO"/>
        </w:rPr>
        <w:footnoteReference w:id="7"/>
      </w:r>
      <w:r w:rsidRPr="00E066AC">
        <w:rPr>
          <w:rFonts w:ascii="Verdana" w:eastAsia="Times New Roman" w:hAnsi="Verdana" w:cs="Arial"/>
          <w:sz w:val="20"/>
          <w:szCs w:val="20"/>
          <w:lang w:val="es-MX" w:eastAsia="es-CO"/>
        </w:rPr>
        <w:t>.</w:t>
      </w:r>
    </w:p>
    <w:p w14:paraId="6B779D5F" w14:textId="77777777" w:rsidR="008C2CF3" w:rsidRPr="009E105D" w:rsidRDefault="008C2CF3" w:rsidP="008C2CF3">
      <w:pPr>
        <w:spacing w:after="0" w:line="276" w:lineRule="auto"/>
        <w:ind w:right="709"/>
        <w:contextualSpacing/>
        <w:jc w:val="both"/>
        <w:rPr>
          <w:rFonts w:ascii="Verdana" w:eastAsia="Times New Roman" w:hAnsi="Verdana" w:cs="Arial"/>
          <w:sz w:val="21"/>
          <w:szCs w:val="21"/>
          <w:lang w:val="es-MX" w:eastAsia="es-CO"/>
        </w:rPr>
      </w:pPr>
    </w:p>
    <w:p w14:paraId="66DD36F3" w14:textId="77777777" w:rsidR="008C2CF3" w:rsidRPr="009E105D" w:rsidRDefault="008C2CF3" w:rsidP="008C2CF3">
      <w:pPr>
        <w:spacing w:after="120" w:line="276" w:lineRule="auto"/>
        <w:jc w:val="both"/>
        <w:rPr>
          <w:rFonts w:ascii="Verdana" w:eastAsia="Arial" w:hAnsi="Verdana" w:cs="Arial"/>
          <w:lang w:val="es-ES" w:eastAsia="es-ES" w:bidi="es-ES"/>
        </w:rPr>
      </w:pPr>
      <w:r w:rsidRPr="009E105D">
        <w:rPr>
          <w:rFonts w:ascii="Verdana" w:eastAsia="Times New Roman" w:hAnsi="Verdana" w:cs="Arial"/>
          <w:lang w:val="es-MX" w:eastAsia="es-CO"/>
        </w:rPr>
        <w:tab/>
        <w:t>De</w:t>
      </w:r>
      <w:r w:rsidRPr="009E105D">
        <w:rPr>
          <w:rFonts w:ascii="Verdana" w:eastAsia="Arial" w:hAnsi="Verdana" w:cs="Arial"/>
          <w:lang w:val="es-ES" w:eastAsia="es-ES" w:bidi="es-ES"/>
        </w:rPr>
        <w:t xml:space="preserve"> conformidad con lo anterior, </w:t>
      </w:r>
      <w:bookmarkStart w:id="3" w:name="_Hlk77236098"/>
      <w:bookmarkStart w:id="4" w:name="_Hlk100679383"/>
      <w:r w:rsidRPr="009E105D">
        <w:rPr>
          <w:rFonts w:ascii="Verdana" w:eastAsia="Arial" w:hAnsi="Verdana" w:cs="Arial"/>
          <w:lang w:val="es-ES" w:eastAsia="es-ES" w:bidi="es-ES"/>
        </w:rPr>
        <w:t xml:space="preserve">la Ley de Garantías Electorales fijó una serie de regulaciones y prohibiciones dirigidas a los servidores públicos. Con la </w:t>
      </w:r>
      <w:r w:rsidRPr="009E105D">
        <w:rPr>
          <w:rFonts w:ascii="Verdana" w:eastAsia="Arial" w:hAnsi="Verdana" w:cs="Arial"/>
          <w:lang w:val="es-ES" w:eastAsia="es-ES" w:bidi="es-ES"/>
        </w:rPr>
        <w:lastRenderedPageBreak/>
        <w:t>finalidad de preservar la igualdad entre los candidatos en las elecciones, aumentó las garantías en materia de contratación, de forma que no exista siquiera sospecha de que, por ese medio, en los periodos previos a la contienda electoral, se altere las condiciones de igualdad entre los candidatos. Específicamente, las restricciones consagradas en la citada ley se dirigen a dos (2) tipos de campañas electorales claramente diferenciadas: las presidenciales y las demás que se adelanten para la elección de los demás cargos de elección popular, tanto a nivel nacional como territorial.</w:t>
      </w:r>
      <w:bookmarkEnd w:id="3"/>
    </w:p>
    <w:p w14:paraId="4F9208C7" w14:textId="77777777" w:rsidR="008C2CF3" w:rsidRPr="009E105D" w:rsidRDefault="008C2CF3" w:rsidP="008C2CF3">
      <w:pPr>
        <w:spacing w:after="120" w:line="276" w:lineRule="auto"/>
        <w:ind w:firstLine="708"/>
        <w:jc w:val="both"/>
        <w:rPr>
          <w:rFonts w:ascii="Verdana" w:eastAsia="Calibri" w:hAnsi="Verdana" w:cs="Arial"/>
        </w:rPr>
      </w:pPr>
      <w:r w:rsidRPr="00C50FB4">
        <w:rPr>
          <w:rFonts w:ascii="Verdana" w:eastAsia="Calibri" w:hAnsi="Verdana" w:cs="Arial"/>
          <w:i/>
          <w:iCs/>
        </w:rPr>
        <w:t>Por un lado</w:t>
      </w:r>
      <w:r w:rsidRPr="009E105D">
        <w:rPr>
          <w:rFonts w:ascii="Verdana" w:eastAsia="Calibri" w:hAnsi="Verdana" w:cs="Arial"/>
        </w:rPr>
        <w:t>, el artículo 33 de la Ley 996 de 2005 prohíbe “[…] la contratación directa por parte de todos los entes del Estado” durante los cuatro (4) meses anteriores a las elecciones presidenciales, salvo “[…]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r w:rsidRPr="009E105D">
        <w:rPr>
          <w:rFonts w:ascii="Verdana" w:eastAsia="Calibri" w:hAnsi="Verdana" w:cs="Arial"/>
          <w:vertAlign w:val="superscript"/>
        </w:rPr>
        <w:footnoteReference w:id="8"/>
      </w:r>
      <w:r w:rsidRPr="009E105D">
        <w:rPr>
          <w:rFonts w:ascii="Verdana" w:eastAsia="Calibri" w:hAnsi="Verdana" w:cs="Arial"/>
        </w:rPr>
        <w:t>.</w:t>
      </w:r>
    </w:p>
    <w:p w14:paraId="3067A7D7" w14:textId="77777777" w:rsidR="008C2CF3" w:rsidRPr="009E105D" w:rsidRDefault="008C2CF3" w:rsidP="008C2CF3">
      <w:pPr>
        <w:widowControl w:val="0"/>
        <w:autoSpaceDE w:val="0"/>
        <w:autoSpaceDN w:val="0"/>
        <w:spacing w:after="0" w:line="276" w:lineRule="auto"/>
        <w:ind w:right="113" w:firstLine="708"/>
        <w:contextualSpacing/>
        <w:jc w:val="both"/>
        <w:rPr>
          <w:rFonts w:ascii="Verdana" w:eastAsia="Arial" w:hAnsi="Verdana" w:cs="Arial"/>
          <w:lang w:val="es-ES" w:eastAsia="es-ES" w:bidi="es-ES"/>
        </w:rPr>
      </w:pPr>
      <w:r w:rsidRPr="00C50FB4">
        <w:rPr>
          <w:rFonts w:ascii="Verdana" w:eastAsia="Calibri" w:hAnsi="Verdana" w:cs="Arial"/>
          <w:i/>
          <w:iCs/>
        </w:rPr>
        <w:t>Por otro</w:t>
      </w:r>
      <w:r w:rsidRPr="009E105D">
        <w:rPr>
          <w:rFonts w:ascii="Verdana" w:eastAsia="Calibri" w:hAnsi="Verdana" w:cs="Arial"/>
        </w:rPr>
        <w:t xml:space="preserve">, el parágrafo del artículo 38 de la Ley 996 de 2005 prevé una restricción, aplicable respecto de cualquier tipo de contienda electoral, que prohíbe a los gobernadores, alcaldes municipales o distritales, secretarios, gerentes y directores de entidades descentralizadas del orden municipal, departamental o distrital “[…] </w:t>
      </w:r>
      <w:r w:rsidRPr="009E105D">
        <w:rPr>
          <w:rFonts w:ascii="Verdana" w:eastAsia="Calibri" w:hAnsi="Verdana" w:cs="Arial"/>
          <w:lang w:val="es-MX"/>
        </w:rPr>
        <w:t>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9E105D">
        <w:rPr>
          <w:rFonts w:ascii="Verdana" w:eastAsia="Calibri" w:hAnsi="Verdana" w:cs="Arial"/>
          <w:sz w:val="19"/>
          <w:szCs w:val="19"/>
        </w:rPr>
        <w:t>”</w:t>
      </w:r>
      <w:bookmarkEnd w:id="4"/>
      <w:r w:rsidRPr="009E105D">
        <w:rPr>
          <w:rFonts w:ascii="Verdana" w:eastAsia="Calibri" w:hAnsi="Verdana" w:cs="Arial"/>
          <w:sz w:val="19"/>
          <w:szCs w:val="19"/>
          <w:vertAlign w:val="superscript"/>
        </w:rPr>
        <w:footnoteReference w:id="9"/>
      </w:r>
      <w:r w:rsidRPr="009E105D">
        <w:rPr>
          <w:rFonts w:ascii="Verdana" w:eastAsia="Calibri" w:hAnsi="Verdana" w:cs="Arial"/>
          <w:lang w:val="es-MX"/>
        </w:rPr>
        <w:t>.</w:t>
      </w:r>
      <w:r w:rsidRPr="009E105D">
        <w:rPr>
          <w:rFonts w:ascii="Verdana" w:eastAsia="Arial" w:hAnsi="Verdana" w:cs="Arial"/>
          <w:lang w:val="es-ES" w:eastAsia="es-ES" w:bidi="es-ES"/>
        </w:rPr>
        <w:t xml:space="preserve"> La Sala de Consulta y Servicio Civil del Consejo de Estado ha </w:t>
      </w:r>
      <w:r w:rsidRPr="009E105D">
        <w:rPr>
          <w:rFonts w:ascii="Verdana" w:eastAsia="Arial" w:hAnsi="Verdana" w:cs="Arial"/>
          <w:lang w:val="es-ES" w:eastAsia="es-ES" w:bidi="es-ES"/>
        </w:rPr>
        <w:lastRenderedPageBreak/>
        <w:t>aclarado la distinción en la aplicación de las prohibiciones de la Ley 996 de 2005, dependiendo del tipo de elección que se trate. Al respecto, considera que:</w:t>
      </w:r>
    </w:p>
    <w:p w14:paraId="139EAC04" w14:textId="77777777" w:rsidR="008C2CF3" w:rsidRPr="00E066AC" w:rsidRDefault="008C2CF3" w:rsidP="008C2CF3">
      <w:pPr>
        <w:widowControl w:val="0"/>
        <w:autoSpaceDE w:val="0"/>
        <w:autoSpaceDN w:val="0"/>
        <w:spacing w:after="0" w:line="240" w:lineRule="auto"/>
        <w:ind w:left="709" w:right="709"/>
        <w:contextualSpacing/>
        <w:jc w:val="both"/>
        <w:rPr>
          <w:rFonts w:ascii="Verdana" w:eastAsia="Arial" w:hAnsi="Verdana" w:cs="Arial"/>
          <w:sz w:val="20"/>
          <w:szCs w:val="20"/>
          <w:lang w:val="es-ES" w:eastAsia="es-ES" w:bidi="es-ES"/>
        </w:rPr>
      </w:pPr>
      <w:r w:rsidRPr="00E066AC">
        <w:rPr>
          <w:rFonts w:ascii="Verdana" w:eastAsia="Arial" w:hAnsi="Verdana" w:cs="Arial"/>
          <w:sz w:val="20"/>
          <w:szCs w:val="20"/>
          <w:lang w:val="es-ES" w:eastAsia="es-ES" w:bidi="es-ES"/>
        </w:rPr>
        <w:t xml:space="preserve">“La interpretación sistemática de las disposiciones consagradas en los artículos 32, 33 y el parágrafo del artículo 38 de la ley 996 de 2.005 lleva a concluir que dichas normas contienen restricciones y prohibiciones para periodos preelectorales diferentes; las dos primeras, de manera específica para los cuatro meses anteriores a la elección presidencial; el último, de manera más genérica para los cuatro meses anteriores a las elecciones  para cualquier cargo de elección popular a que se refiere la ley –incluido el de Presidente de la República-; de manera que dichas restricciones no se excluyen sino que </w:t>
      </w:r>
      <w:bookmarkStart w:id="7" w:name="_Hlk76109421"/>
      <w:r w:rsidRPr="00E066AC">
        <w:rPr>
          <w:rFonts w:ascii="Verdana" w:eastAsia="Arial" w:hAnsi="Verdana" w:cs="Arial"/>
          <w:sz w:val="20"/>
          <w:szCs w:val="20"/>
          <w:lang w:val="es-ES" w:eastAsia="es-ES" w:bidi="es-ES"/>
        </w:rPr>
        <w:t>se integran parcialmente</w:t>
      </w:r>
      <w:bookmarkEnd w:id="7"/>
      <w:r w:rsidRPr="00E066AC">
        <w:rPr>
          <w:rFonts w:ascii="Verdana" w:eastAsia="Arial" w:hAnsi="Verdana" w:cs="Arial"/>
          <w:sz w:val="20"/>
          <w:szCs w:val="20"/>
          <w:lang w:val="es-ES" w:eastAsia="es-ES" w:bidi="es-ES"/>
        </w:rPr>
        <w:t>, lo que permite concluir que en periodo preelectoral para elección de Presidente de la República, a todos los entes del Estado, incluidos los territoriales, se aplican las restricciones de los artículos 32 y 33 con sus excepciones, así como las del parágrafo del artículo 38. En cambio, para elecciones en general, excluyendo las correspondientes a Presidente de la República, a las autoridades territoriales allí mencionadas sólo se aplican las restricciones contenidas en el parágrafo del artículo 38”</w:t>
      </w:r>
      <w:r w:rsidRPr="00E066AC">
        <w:rPr>
          <w:rFonts w:ascii="Verdana" w:eastAsia="Arial" w:hAnsi="Verdana" w:cs="Arial"/>
          <w:sz w:val="20"/>
          <w:szCs w:val="20"/>
          <w:vertAlign w:val="superscript"/>
          <w:lang w:val="es-ES" w:eastAsia="es-ES" w:bidi="es-ES"/>
        </w:rPr>
        <w:footnoteReference w:id="10"/>
      </w:r>
      <w:r w:rsidRPr="00E066AC">
        <w:rPr>
          <w:rFonts w:ascii="Verdana" w:eastAsia="Arial" w:hAnsi="Verdana" w:cs="Arial"/>
          <w:sz w:val="20"/>
          <w:szCs w:val="20"/>
          <w:lang w:val="es-ES" w:eastAsia="es-ES" w:bidi="es-ES"/>
        </w:rPr>
        <w:t>.</w:t>
      </w:r>
    </w:p>
    <w:p w14:paraId="4939BED0" w14:textId="77777777" w:rsidR="008C2CF3" w:rsidRPr="009E105D" w:rsidRDefault="008C2CF3" w:rsidP="008C2CF3">
      <w:pPr>
        <w:widowControl w:val="0"/>
        <w:autoSpaceDE w:val="0"/>
        <w:autoSpaceDN w:val="0"/>
        <w:spacing w:after="0" w:line="276" w:lineRule="auto"/>
        <w:contextualSpacing/>
        <w:rPr>
          <w:rFonts w:ascii="Verdana" w:eastAsia="Arial" w:hAnsi="Verdana" w:cs="Arial"/>
          <w:lang w:val="es-ES" w:eastAsia="es-ES" w:bidi="es-ES"/>
        </w:rPr>
      </w:pPr>
    </w:p>
    <w:p w14:paraId="475A1597" w14:textId="77777777" w:rsidR="008C2CF3" w:rsidRPr="009E105D" w:rsidRDefault="008C2CF3" w:rsidP="008C2CF3">
      <w:pPr>
        <w:spacing w:after="120" w:line="276" w:lineRule="auto"/>
        <w:ind w:firstLine="709"/>
        <w:jc w:val="both"/>
        <w:rPr>
          <w:rFonts w:ascii="Verdana" w:eastAsia="Arial" w:hAnsi="Verdana" w:cs="Arial"/>
          <w:lang w:val="es-ES" w:eastAsia="es-ES" w:bidi="es-ES"/>
        </w:rPr>
      </w:pPr>
      <w:bookmarkStart w:id="8" w:name="_Hlk75780333"/>
      <w:r>
        <w:rPr>
          <w:rFonts w:ascii="Verdana" w:eastAsia="Arial" w:hAnsi="Verdana" w:cs="Arial"/>
          <w:lang w:val="es-ES" w:eastAsia="es-ES" w:bidi="es-ES"/>
        </w:rPr>
        <w:t>Cabe mencionar que a</w:t>
      </w:r>
      <w:r w:rsidRPr="009E105D">
        <w:rPr>
          <w:rFonts w:ascii="Verdana" w:eastAsia="Arial" w:hAnsi="Verdana" w:cs="Arial"/>
          <w:lang w:val="es-ES" w:eastAsia="es-ES" w:bidi="es-ES"/>
        </w:rPr>
        <w:t>mbas restricciones no son excluyentes, lo que permite concluir que en el período preelectoral para elección de Presidente de la República, a todos los entes del Estado, incluidos los territoriales, aplican las restricciones del artículo 33 con sus excepciones, así como las del parágrafo del artículo 38. En cambio, tratándose de elecciones en general, excluyendo las correspondientes al Presidente de la República, las autoridades allí mencionadas sólo deben aplicar las restricciones contenidas en el parágrafo del artículo 38.</w:t>
      </w:r>
    </w:p>
    <w:bookmarkEnd w:id="8"/>
    <w:p w14:paraId="65FB2E80" w14:textId="77777777" w:rsidR="008C2CF3" w:rsidRDefault="008C2CF3" w:rsidP="008C2CF3">
      <w:pPr>
        <w:spacing w:after="0" w:line="276" w:lineRule="auto"/>
        <w:ind w:firstLine="708"/>
        <w:jc w:val="both"/>
        <w:rPr>
          <w:rFonts w:ascii="Verdana" w:eastAsia="Arial" w:hAnsi="Verdana" w:cs="Arial"/>
          <w:lang w:val="es-ES" w:eastAsia="es-ES" w:bidi="es-ES"/>
        </w:rPr>
      </w:pPr>
      <w:r w:rsidRPr="009E105D">
        <w:rPr>
          <w:rFonts w:ascii="Verdana" w:eastAsia="Arial" w:hAnsi="Verdana" w:cs="Arial"/>
          <w:lang w:val="es-ES" w:eastAsia="es-ES" w:bidi="es-ES"/>
        </w:rPr>
        <w:t xml:space="preserve">La Corte Constitucional, en la Sentencia C-1153 del 11 de noviembre de 2005, señaló que, para que la garantía sea plena, era necesario que la prohibición se aplicara para el Presidente o el Vicepresidente desde que éstos –estando en ejercicio de su cargo– manifiesten el interés de ser candidato presidencial, lo cual debe ocurrir seis meses antes de la elección en primera vuelta, de acuerdo con el artículo 9 de la Ley 996 de 2005. Sin embargo, el condicionamiento impuesto por la Corte Constitucional, relacionado con el momento en que estas restricciones empiezan a regir para el Presidente y el Vicepresidente de la República, ha perdido vigencia ante la prohibición de la </w:t>
      </w:r>
      <w:r w:rsidRPr="009E105D">
        <w:rPr>
          <w:rFonts w:ascii="Verdana" w:eastAsia="Arial" w:hAnsi="Verdana" w:cs="Arial"/>
          <w:lang w:val="es-ES" w:eastAsia="es-ES" w:bidi="es-ES"/>
        </w:rPr>
        <w:lastRenderedPageBreak/>
        <w:t>reelección presidencial, restablecida por el Acto Legislativo 2 de 2015, excepto para el Vicepresidente que no haya ejercido la presidencia o que la haya ejercido por un tiempo inferior a tres (3) meses durante el respectivo cuatrienio, en forma continua o discontinua, conforme al artículo 197 de la Constitución Política.</w:t>
      </w:r>
    </w:p>
    <w:p w14:paraId="7033CCDF" w14:textId="77777777" w:rsidR="008C2CF3" w:rsidRDefault="008C2CF3" w:rsidP="008C2CF3">
      <w:pPr>
        <w:spacing w:after="0" w:line="276" w:lineRule="auto"/>
        <w:jc w:val="both"/>
        <w:rPr>
          <w:rFonts w:ascii="Verdana" w:eastAsia="Arial" w:hAnsi="Verdana" w:cs="Arial"/>
          <w:lang w:val="es-ES" w:eastAsia="es-ES" w:bidi="es-ES"/>
        </w:rPr>
      </w:pPr>
    </w:p>
    <w:p w14:paraId="0E478831" w14:textId="77777777" w:rsidR="008C2CF3" w:rsidRPr="00F8199A" w:rsidRDefault="008C2CF3" w:rsidP="008C2CF3">
      <w:pPr>
        <w:spacing w:after="0" w:line="276" w:lineRule="auto"/>
        <w:ind w:firstLine="708"/>
        <w:jc w:val="both"/>
        <w:rPr>
          <w:rFonts w:ascii="Verdana" w:hAnsi="Verdana" w:cs="Arial"/>
          <w:bCs/>
          <w:lang w:val="es-MX" w:eastAsia="es-CO"/>
        </w:rPr>
      </w:pPr>
      <w:r w:rsidRPr="00F8199A">
        <w:rPr>
          <w:rFonts w:ascii="Verdana" w:hAnsi="Verdana" w:cs="Arial"/>
          <w:bCs/>
          <w:lang w:val="es-MX" w:eastAsia="x-none"/>
        </w:rPr>
        <w:t xml:space="preserve">El ámbito material de la prohibición contenida en el artículo 33 de la ley 996 de 2005 está delimitado por la expresión </w:t>
      </w:r>
      <w:r>
        <w:rPr>
          <w:rFonts w:ascii="Verdana" w:eastAsia="Calibri" w:hAnsi="Verdana" w:cs="Arial"/>
          <w:bCs/>
          <w:sz w:val="20"/>
          <w:szCs w:val="20"/>
          <w:lang w:val="es-MX"/>
        </w:rPr>
        <w:t>“</w:t>
      </w:r>
      <w:r w:rsidRPr="00F8199A">
        <w:rPr>
          <w:rFonts w:ascii="Verdana" w:hAnsi="Verdana" w:cs="Arial"/>
          <w:bCs/>
          <w:lang w:val="es-MX" w:eastAsia="x-none"/>
        </w:rPr>
        <w:t>queda prohibida la contratación directa</w:t>
      </w:r>
      <w:r>
        <w:rPr>
          <w:rFonts w:ascii="Verdana" w:hAnsi="Verdana" w:cs="Arial"/>
          <w:sz w:val="20"/>
          <w:szCs w:val="20"/>
          <w:lang w:val="es-MX"/>
        </w:rPr>
        <w:t>”</w:t>
      </w:r>
      <w:r w:rsidRPr="00F8199A">
        <w:rPr>
          <w:rFonts w:ascii="Verdana" w:hAnsi="Verdana" w:cs="Arial"/>
          <w:bCs/>
          <w:lang w:val="es-MX" w:eastAsia="x-none"/>
        </w:rPr>
        <w:t xml:space="preserve">. </w:t>
      </w:r>
      <w:r w:rsidRPr="00F8199A">
        <w:rPr>
          <w:rFonts w:ascii="Verdana" w:hAnsi="Verdana" w:cs="Arial"/>
          <w:lang w:val="es-MX" w:eastAsia="es-CO"/>
        </w:rPr>
        <w:t xml:space="preserve"> A propósito de </w:t>
      </w:r>
      <w:r w:rsidRPr="00F8199A">
        <w:rPr>
          <w:rFonts w:ascii="Verdana" w:hAnsi="Verdana" w:cs="Arial"/>
          <w:lang w:eastAsia="es-CO"/>
        </w:rPr>
        <w:t>esta restricción de la Ley de Garantías Electorales, la Sala de Consulta y Servicio Civil del Consejo de Estado ha considerado que:</w:t>
      </w:r>
    </w:p>
    <w:p w14:paraId="694078F8" w14:textId="77777777" w:rsidR="008C2CF3" w:rsidRPr="00F8199A" w:rsidRDefault="008C2CF3" w:rsidP="008C2CF3">
      <w:pPr>
        <w:spacing w:after="0" w:line="276" w:lineRule="auto"/>
        <w:ind w:left="708" w:right="709"/>
        <w:jc w:val="both"/>
        <w:rPr>
          <w:rFonts w:ascii="Verdana" w:hAnsi="Verdana" w:cs="Arial"/>
          <w:lang w:val="es-MX"/>
        </w:rPr>
      </w:pPr>
    </w:p>
    <w:p w14:paraId="696DB2A2" w14:textId="77777777" w:rsidR="008C2CF3" w:rsidRPr="00F8199A" w:rsidRDefault="008C2CF3" w:rsidP="008C2CF3">
      <w:pPr>
        <w:spacing w:after="0"/>
        <w:ind w:left="709" w:right="709"/>
        <w:jc w:val="both"/>
        <w:rPr>
          <w:rFonts w:ascii="Verdana" w:hAnsi="Verdana" w:cs="Arial"/>
          <w:sz w:val="20"/>
          <w:szCs w:val="20"/>
          <w:lang w:val="es-MX"/>
        </w:rPr>
      </w:pPr>
      <w:r>
        <w:rPr>
          <w:rFonts w:ascii="Verdana" w:hAnsi="Verdana" w:cs="Arial"/>
          <w:sz w:val="18"/>
          <w:szCs w:val="18"/>
          <w:lang w:val="es-MX"/>
        </w:rPr>
        <w:t>“</w:t>
      </w:r>
      <w:r w:rsidRPr="00F8199A">
        <w:rPr>
          <w:rFonts w:ascii="Verdana" w:hAnsi="Verdana" w:cs="Arial"/>
          <w:sz w:val="20"/>
          <w:szCs w:val="20"/>
          <w:lang w:val="es-MX"/>
        </w:rPr>
        <w:t>La contratación directa es un mecanismo de selección de carácter excepcional, en virtud del cual las entidades públicas pueden contratar mediante un trámite simplificado, ágil y expedito sin necesidad de realizar previamente un proceso de licitación pública o concurso, únicamente en los casos en que expresa y taxativamente señale la ley (numeral 4, artículo 2, ley 1150 de 2007), y cumpliendo siempre los principios que rigen la contratación pública</w:t>
      </w:r>
      <w:r w:rsidRPr="00F8199A">
        <w:rPr>
          <w:rFonts w:ascii="Verdana" w:hAnsi="Verdana" w:cs="Arial"/>
          <w:sz w:val="20"/>
          <w:szCs w:val="20"/>
          <w:vertAlign w:val="superscript"/>
          <w:lang w:eastAsia="es-CO"/>
        </w:rPr>
        <w:footnoteReference w:id="11"/>
      </w:r>
      <w:r w:rsidRPr="00F8199A">
        <w:rPr>
          <w:rFonts w:ascii="Verdana" w:hAnsi="Verdana" w:cs="Arial"/>
          <w:sz w:val="20"/>
          <w:szCs w:val="20"/>
          <w:lang w:val="es-MX"/>
        </w:rPr>
        <w:t>.</w:t>
      </w:r>
    </w:p>
    <w:p w14:paraId="306AEA50" w14:textId="77777777" w:rsidR="008C2CF3" w:rsidRPr="00F8199A" w:rsidRDefault="008C2CF3" w:rsidP="008C2CF3">
      <w:pPr>
        <w:spacing w:after="0"/>
        <w:ind w:left="709" w:right="709"/>
        <w:jc w:val="both"/>
        <w:rPr>
          <w:rFonts w:ascii="Verdana" w:hAnsi="Verdana" w:cs="Arial"/>
          <w:sz w:val="20"/>
          <w:szCs w:val="20"/>
          <w:lang w:val="es-MX"/>
        </w:rPr>
      </w:pPr>
    </w:p>
    <w:p w14:paraId="10ABC366" w14:textId="77777777" w:rsidR="008C2CF3" w:rsidRPr="00F8199A" w:rsidRDefault="008C2CF3" w:rsidP="008C2CF3">
      <w:pPr>
        <w:spacing w:after="0"/>
        <w:ind w:left="709" w:right="709"/>
        <w:jc w:val="both"/>
        <w:rPr>
          <w:rFonts w:ascii="Verdana" w:hAnsi="Verdana" w:cs="Arial"/>
          <w:sz w:val="20"/>
          <w:szCs w:val="20"/>
          <w:lang w:val="es-MX"/>
        </w:rPr>
      </w:pPr>
      <w:r w:rsidRPr="00F8199A">
        <w:rPr>
          <w:rFonts w:ascii="Verdana" w:hAnsi="Verdana" w:cs="Arial"/>
          <w:sz w:val="20"/>
          <w:szCs w:val="20"/>
          <w:lang w:val="es-MX"/>
        </w:rPr>
        <w:t xml:space="preserve">Esta Sala ha entendido que para los efectos de la ley de garantías, y dada su finalidad, el enunciado </w:t>
      </w:r>
      <w:r>
        <w:rPr>
          <w:rFonts w:ascii="Verdana" w:hAnsi="Verdana" w:cs="Arial"/>
          <w:sz w:val="20"/>
          <w:szCs w:val="20"/>
          <w:lang w:val="es-MX"/>
        </w:rPr>
        <w:t>‘</w:t>
      </w:r>
      <w:r w:rsidRPr="00F8199A">
        <w:rPr>
          <w:rFonts w:ascii="Verdana" w:hAnsi="Verdana" w:cs="Arial"/>
          <w:sz w:val="20"/>
          <w:szCs w:val="20"/>
          <w:lang w:val="es-MX"/>
        </w:rPr>
        <w:t>contratación direct</w:t>
      </w:r>
      <w:r>
        <w:rPr>
          <w:rFonts w:ascii="Verdana" w:hAnsi="Verdana" w:cs="Arial"/>
          <w:sz w:val="20"/>
          <w:szCs w:val="20"/>
          <w:lang w:val="es-MX"/>
        </w:rPr>
        <w:t>a’</w:t>
      </w:r>
      <w:r w:rsidRPr="00F8199A">
        <w:rPr>
          <w:rFonts w:ascii="Verdana" w:hAnsi="Verdana" w:cs="Arial"/>
          <w:sz w:val="20"/>
          <w:szCs w:val="20"/>
          <w:lang w:val="es-MX"/>
        </w:rPr>
        <w:t xml:space="preserve"> es sinónimo de cualquier sistema que no implique convocatoria pública y posibilidad de pluralidad de oferentes, y que, además, no necesariamente hace referencia al procedimiento especial regulado por la ley de contratación estatal, sino a cualquier otro que prescinda de un proceso de licitación pública o concurso</w:t>
      </w:r>
      <w:r w:rsidRPr="00F8199A">
        <w:rPr>
          <w:rFonts w:ascii="Verdana" w:hAnsi="Verdana" w:cs="Arial"/>
          <w:sz w:val="20"/>
          <w:szCs w:val="20"/>
          <w:vertAlign w:val="superscript"/>
          <w:lang w:val="es-MX"/>
        </w:rPr>
        <w:footnoteReference w:id="12"/>
      </w:r>
      <w:r w:rsidRPr="00F8199A">
        <w:rPr>
          <w:rFonts w:ascii="Verdana" w:hAnsi="Verdana" w:cs="Arial"/>
          <w:sz w:val="20"/>
          <w:szCs w:val="20"/>
          <w:vertAlign w:val="superscript"/>
          <w:lang w:val="es-MX"/>
        </w:rPr>
        <w:t>.</w:t>
      </w:r>
      <w:r w:rsidRPr="00F8199A">
        <w:rPr>
          <w:rFonts w:ascii="Verdana" w:hAnsi="Verdana" w:cs="Arial"/>
          <w:sz w:val="20"/>
          <w:szCs w:val="20"/>
          <w:lang w:val="es-MX"/>
        </w:rPr>
        <w:t xml:space="preserve"> Por tanto, no son materia de la prohibición las demás modalidades de selección previstas en la ley 1150 de 2007, siendo estas, la licitación pública, el concurso de méritos y la selección abreviada, razón por la cual en ese periodo preelectoral de que trata la disposición pueden las entidades públicas seguir contratando bajo estos sistemas</w:t>
      </w:r>
      <w:r>
        <w:rPr>
          <w:rFonts w:ascii="Verdana" w:hAnsi="Verdana" w:cs="Arial"/>
          <w:sz w:val="20"/>
          <w:szCs w:val="20"/>
          <w:lang w:val="es-MX"/>
        </w:rPr>
        <w:t xml:space="preserve"> </w:t>
      </w:r>
      <w:r w:rsidRPr="00F8199A">
        <w:rPr>
          <w:rFonts w:ascii="Verdana" w:hAnsi="Verdana" w:cs="Arial"/>
          <w:sz w:val="20"/>
          <w:szCs w:val="20"/>
          <w:lang w:val="es-MX"/>
        </w:rPr>
        <w:t>[...]</w:t>
      </w:r>
      <w:r>
        <w:rPr>
          <w:rFonts w:ascii="Verdana" w:hAnsi="Verdana" w:cs="Arial"/>
          <w:sz w:val="20"/>
          <w:szCs w:val="20"/>
          <w:lang w:val="es-MX"/>
        </w:rPr>
        <w:t>”</w:t>
      </w:r>
      <w:r w:rsidRPr="00F8199A">
        <w:rPr>
          <w:rFonts w:ascii="Verdana" w:hAnsi="Verdana" w:cs="Arial"/>
          <w:sz w:val="20"/>
          <w:szCs w:val="20"/>
          <w:vertAlign w:val="superscript"/>
          <w:lang w:eastAsia="es-CO"/>
        </w:rPr>
        <w:footnoteReference w:id="13"/>
      </w:r>
      <w:r w:rsidRPr="00F8199A">
        <w:rPr>
          <w:rFonts w:ascii="Verdana" w:hAnsi="Verdana" w:cs="Arial"/>
          <w:sz w:val="20"/>
          <w:szCs w:val="20"/>
          <w:lang w:val="es-MX"/>
        </w:rPr>
        <w:t>.</w:t>
      </w:r>
    </w:p>
    <w:p w14:paraId="2873ECB5" w14:textId="77777777" w:rsidR="008C2CF3" w:rsidRPr="00F8199A" w:rsidRDefault="008C2CF3" w:rsidP="008C2CF3">
      <w:pPr>
        <w:shd w:val="clear" w:color="auto" w:fill="FFFFFF"/>
        <w:spacing w:after="0" w:line="276" w:lineRule="auto"/>
        <w:ind w:firstLine="709"/>
        <w:jc w:val="both"/>
        <w:rPr>
          <w:rFonts w:ascii="Verdana" w:hAnsi="Verdana" w:cs="Arial"/>
          <w:lang w:eastAsia="x-none"/>
        </w:rPr>
      </w:pPr>
    </w:p>
    <w:p w14:paraId="024CAEA1" w14:textId="77777777" w:rsidR="008C2CF3" w:rsidRPr="00F8199A" w:rsidRDefault="008C2CF3" w:rsidP="008C2CF3">
      <w:pPr>
        <w:spacing w:after="120" w:line="276" w:lineRule="auto"/>
        <w:ind w:firstLine="708"/>
        <w:jc w:val="both"/>
        <w:rPr>
          <w:rFonts w:ascii="Verdana" w:hAnsi="Verdana" w:cs="Arial"/>
          <w:bCs/>
          <w:lang w:eastAsia="x-none"/>
        </w:rPr>
      </w:pPr>
      <w:r w:rsidRPr="00F8199A">
        <w:rPr>
          <w:rFonts w:ascii="Verdana" w:hAnsi="Verdana" w:cs="Arial"/>
          <w:lang w:eastAsia="x-none"/>
        </w:rPr>
        <w:t xml:space="preserve">De acuerdo con el citado concepto, la prohibición del artículo 33 de la Ley de Garantías Electorales se refiere a </w:t>
      </w:r>
      <w:r>
        <w:rPr>
          <w:rFonts w:ascii="Verdana" w:hAnsi="Verdana" w:cs="Arial"/>
          <w:sz w:val="19"/>
          <w:szCs w:val="19"/>
          <w:lang w:eastAsia="en-GB"/>
        </w:rPr>
        <w:t>“</w:t>
      </w:r>
      <w:r w:rsidRPr="00F8199A">
        <w:rPr>
          <w:rFonts w:ascii="Verdana" w:hAnsi="Verdana" w:cs="Arial"/>
          <w:lang w:eastAsia="x-none"/>
        </w:rPr>
        <w:t>cualquier sistema que no implique convocatoria pública y posibilidad de pluralidad de oferentes</w:t>
      </w:r>
      <w:r>
        <w:rPr>
          <w:rFonts w:ascii="Verdana" w:hAnsi="Verdana" w:cs="Arial"/>
          <w:lang w:eastAsia="en-GB"/>
        </w:rPr>
        <w:t>”</w:t>
      </w:r>
      <w:r w:rsidRPr="00F8199A">
        <w:rPr>
          <w:rFonts w:ascii="Verdana" w:hAnsi="Verdana" w:cs="Arial"/>
          <w:lang w:eastAsia="x-none"/>
        </w:rPr>
        <w:t xml:space="preserve">, por lo que excluye las demás modalidades de contratación previstas en la Ley 1150 de 2007, es </w:t>
      </w:r>
      <w:r w:rsidRPr="00F8199A">
        <w:rPr>
          <w:rFonts w:ascii="Verdana" w:hAnsi="Verdana" w:cs="Arial"/>
          <w:lang w:eastAsia="x-none"/>
        </w:rPr>
        <w:lastRenderedPageBreak/>
        <w:t>decir, la licitación pública, la selección abreviada y el concurso de méritos u otros previstos en normas especiales. Esta posición es congruente con la expedición de la Ley 1150 de 2007 que, entre otras reformas, introdujo la selección abreviada, rediseñó el concurso de méritos</w:t>
      </w:r>
      <w:r w:rsidRPr="00F8199A">
        <w:rPr>
          <w:rFonts w:ascii="Verdana" w:hAnsi="Verdana" w:cs="Arial"/>
          <w:vertAlign w:val="superscript"/>
          <w:lang w:val="en-GB" w:eastAsia="x-none"/>
        </w:rPr>
        <w:footnoteReference w:id="14"/>
      </w:r>
      <w:r w:rsidRPr="00F8199A">
        <w:rPr>
          <w:rFonts w:ascii="Verdana" w:hAnsi="Verdana" w:cs="Arial"/>
          <w:lang w:eastAsia="x-none"/>
        </w:rPr>
        <w:t xml:space="preserve"> y sistematizó las causales de contratación directa</w:t>
      </w:r>
      <w:r w:rsidRPr="00F8199A">
        <w:rPr>
          <w:rFonts w:ascii="Verdana" w:hAnsi="Verdana" w:cs="Arial"/>
          <w:vertAlign w:val="superscript"/>
          <w:lang w:val="en-GB" w:eastAsia="x-none"/>
        </w:rPr>
        <w:footnoteReference w:id="15"/>
      </w:r>
      <w:r w:rsidRPr="00F8199A">
        <w:rPr>
          <w:rFonts w:ascii="Verdana" w:hAnsi="Verdana" w:cs="Arial"/>
          <w:lang w:eastAsia="x-none"/>
        </w:rPr>
        <w:t xml:space="preserve">. </w:t>
      </w:r>
    </w:p>
    <w:p w14:paraId="52D405EB" w14:textId="77777777" w:rsidR="008C2CF3" w:rsidRPr="00F8199A" w:rsidRDefault="008C2CF3" w:rsidP="008C2CF3">
      <w:pPr>
        <w:spacing w:after="120" w:line="276" w:lineRule="auto"/>
        <w:ind w:firstLine="708"/>
        <w:jc w:val="both"/>
        <w:rPr>
          <w:rFonts w:ascii="Verdana" w:hAnsi="Verdana" w:cs="Arial"/>
          <w:lang w:val="es-MX" w:eastAsia="x-none"/>
        </w:rPr>
      </w:pPr>
      <w:r w:rsidRPr="00F8199A">
        <w:rPr>
          <w:rFonts w:ascii="Verdana" w:hAnsi="Verdana" w:cs="Arial"/>
          <w:lang w:eastAsia="x-none"/>
        </w:rPr>
        <w:t xml:space="preserve">De esta forma, con fundamento en la evolución de la normativa sobre la contratación pública, se ha depurado la noción de </w:t>
      </w:r>
      <w:r>
        <w:rPr>
          <w:rFonts w:ascii="Verdana" w:hAnsi="Verdana" w:cs="Arial"/>
          <w:sz w:val="19"/>
          <w:szCs w:val="19"/>
          <w:lang w:eastAsia="en-GB"/>
        </w:rPr>
        <w:t>“</w:t>
      </w:r>
      <w:r w:rsidRPr="00F8199A">
        <w:rPr>
          <w:rFonts w:ascii="Verdana" w:hAnsi="Verdana" w:cs="Arial"/>
          <w:lang w:eastAsia="x-none"/>
        </w:rPr>
        <w:t>contratación directa</w:t>
      </w:r>
      <w:r>
        <w:rPr>
          <w:rFonts w:ascii="Verdana" w:hAnsi="Verdana" w:cs="Arial"/>
          <w:lang w:eastAsia="en-GB"/>
        </w:rPr>
        <w:t>”</w:t>
      </w:r>
      <w:r w:rsidRPr="00F8199A">
        <w:rPr>
          <w:rFonts w:ascii="Verdana" w:hAnsi="Verdana" w:cs="Arial"/>
          <w:lang w:eastAsia="x-none"/>
        </w:rPr>
        <w:t xml:space="preserve">, precisando el Consejo de Estado –en el concepto citado– que, </w:t>
      </w:r>
      <w:r>
        <w:rPr>
          <w:rFonts w:ascii="Verdana" w:hAnsi="Verdana" w:cs="Arial"/>
          <w:lang w:eastAsia="x-none"/>
        </w:rPr>
        <w:t>“</w:t>
      </w:r>
      <w:r w:rsidRPr="00F8199A">
        <w:rPr>
          <w:rFonts w:ascii="Verdana" w:hAnsi="Verdana" w:cs="Arial"/>
          <w:lang w:eastAsia="x-none"/>
        </w:rPr>
        <w:t>aun cuando no coincide única y exactamente con la regulación que de dicho sistema de selección hace el artículo 2º de la Ley 1150 de 2007, tampoco puede afirmarse que sea cualquier procedimiento de contratación distinto de la licitación pública, pues esto sería tanto como desconocer que el legislador, no solo en el Estatuto General de la Contratación de la Administración Pública, sino también en leyes especiales e, incluso, en el derecho privado</w:t>
      </w:r>
      <w:r w:rsidRPr="00F8199A">
        <w:rPr>
          <w:rFonts w:ascii="Verdana" w:hAnsi="Verdana" w:cs="Arial"/>
          <w:vertAlign w:val="superscript"/>
          <w:lang w:val="en-GB" w:eastAsia="x-none"/>
        </w:rPr>
        <w:footnoteReference w:id="16"/>
      </w:r>
      <w:r w:rsidRPr="00F8199A">
        <w:rPr>
          <w:rFonts w:ascii="Verdana" w:hAnsi="Verdana" w:cs="Arial"/>
          <w:lang w:eastAsia="x-none"/>
        </w:rPr>
        <w:t>, han establecido sistemas de contratación que implican convocatoria pública y participación de varios oferentes</w:t>
      </w:r>
      <w:r>
        <w:rPr>
          <w:rFonts w:ascii="Verdana" w:hAnsi="Verdana" w:cs="Arial"/>
          <w:lang w:eastAsia="en-GB"/>
        </w:rPr>
        <w:t>”</w:t>
      </w:r>
      <w:r w:rsidRPr="00F8199A">
        <w:rPr>
          <w:rFonts w:ascii="Verdana" w:hAnsi="Verdana" w:cs="Arial"/>
          <w:lang w:eastAsia="x-none"/>
        </w:rPr>
        <w:t xml:space="preserve">. </w:t>
      </w:r>
    </w:p>
    <w:p w14:paraId="2AF3E164" w14:textId="77777777" w:rsidR="008C2CF3" w:rsidRPr="00F8199A" w:rsidRDefault="008C2CF3" w:rsidP="008C2CF3">
      <w:pPr>
        <w:spacing w:after="120" w:line="276" w:lineRule="auto"/>
        <w:ind w:firstLine="708"/>
        <w:jc w:val="both"/>
        <w:rPr>
          <w:rFonts w:ascii="Verdana" w:hAnsi="Verdana" w:cs="Arial"/>
          <w:bCs/>
          <w:lang w:val="es-MX" w:eastAsia="es-CO"/>
        </w:rPr>
      </w:pPr>
      <w:r w:rsidRPr="00F8199A">
        <w:rPr>
          <w:rFonts w:ascii="Verdana" w:hAnsi="Verdana" w:cs="Arial"/>
          <w:bCs/>
          <w:lang w:val="es-MX" w:eastAsia="x-none"/>
        </w:rPr>
        <w:t>E</w:t>
      </w:r>
      <w:r w:rsidRPr="00F8199A">
        <w:rPr>
          <w:rFonts w:ascii="Verdana" w:hAnsi="Verdana" w:cs="Arial"/>
          <w:lang w:eastAsia="x-none"/>
        </w:rPr>
        <w:t xml:space="preserve">n efecto, vale la pena mencionar que, en algunos sistemas de contratación, utilizados por entidades públicas con regímenes especiales, o sujetas al derecho privado, la convocatoria o invitación para contratar puede limitarse a aquellas personas que previamente se hayan inscrito en una lista de precalificados o de simples interesados, o en un determinado registro o banco de datos de proveedores. En estos casos, lo determinante para considerar que dicho sistema no constituye </w:t>
      </w:r>
      <w:r>
        <w:rPr>
          <w:rFonts w:ascii="Verdana" w:hAnsi="Verdana" w:cs="Arial"/>
          <w:lang w:eastAsia="x-none"/>
        </w:rPr>
        <w:t>“</w:t>
      </w:r>
      <w:r w:rsidRPr="00F8199A">
        <w:rPr>
          <w:rFonts w:ascii="Verdana" w:hAnsi="Verdana" w:cs="Arial"/>
          <w:lang w:eastAsia="x-none"/>
        </w:rPr>
        <w:t>contratación directa</w:t>
      </w:r>
      <w:r>
        <w:rPr>
          <w:rFonts w:ascii="Verdana" w:hAnsi="Verdana" w:cs="Arial"/>
          <w:lang w:eastAsia="x-none"/>
        </w:rPr>
        <w:t>”</w:t>
      </w:r>
      <w:r w:rsidRPr="00F8199A">
        <w:rPr>
          <w:rFonts w:ascii="Verdana" w:hAnsi="Verdana" w:cs="Arial"/>
          <w:lang w:eastAsia="x-none"/>
        </w:rPr>
        <w:t>, es que la convocatoria para inscribirse en forma previa se haga de manera pública, y que se permita la participación de una pluralidad de oferentes</w:t>
      </w:r>
      <w:r w:rsidRPr="00F8199A">
        <w:rPr>
          <w:rFonts w:ascii="Verdana" w:hAnsi="Verdana" w:cs="Arial"/>
          <w:vertAlign w:val="superscript"/>
          <w:lang w:eastAsia="x-none"/>
        </w:rPr>
        <w:footnoteReference w:id="17"/>
      </w:r>
      <w:r w:rsidRPr="00F8199A">
        <w:rPr>
          <w:rFonts w:ascii="Verdana" w:hAnsi="Verdana" w:cs="Arial"/>
          <w:lang w:eastAsia="x-none"/>
        </w:rPr>
        <w:t xml:space="preserve">. </w:t>
      </w:r>
    </w:p>
    <w:p w14:paraId="691A7BB6" w14:textId="77777777" w:rsidR="008C2CF3" w:rsidRPr="00F8199A" w:rsidRDefault="008C2CF3" w:rsidP="008C2CF3">
      <w:pPr>
        <w:spacing w:after="120" w:line="276" w:lineRule="auto"/>
        <w:ind w:firstLine="708"/>
        <w:jc w:val="both"/>
        <w:rPr>
          <w:rFonts w:ascii="Verdana" w:hAnsi="Verdana" w:cs="Arial"/>
          <w:bCs/>
          <w:lang w:val="es-MX" w:eastAsia="es-CO"/>
        </w:rPr>
      </w:pPr>
      <w:r w:rsidRPr="00F8199A">
        <w:rPr>
          <w:rFonts w:ascii="Verdana" w:hAnsi="Verdana" w:cs="Arial"/>
          <w:bCs/>
          <w:lang w:val="es-MX" w:eastAsia="es-CO"/>
        </w:rPr>
        <w:t xml:space="preserve">Como se advierte de lo anterior, el Consejo de Estado realiza una interpretación amplia de la contratación directa, para efectos de aplicar las restricciones establecidas en la Ley de Garantías, al señalar que no solo aplica frente a las entidades sometidas al Estatuto general de Contratación de la Administración Pública, sino también frente a las entidades que tengan un </w:t>
      </w:r>
      <w:r w:rsidRPr="00F8199A">
        <w:rPr>
          <w:rFonts w:ascii="Verdana" w:hAnsi="Verdana" w:cs="Arial"/>
          <w:bCs/>
          <w:lang w:val="es-MX" w:eastAsia="es-CO"/>
        </w:rPr>
        <w:lastRenderedPageBreak/>
        <w:t xml:space="preserve">régimen especial de contratación. No obstante, también se observa que luego de la expedición de Ley 1150 de 2007, el Consejo de Estado comenzó a delimitar con mayor precisión el término de </w:t>
      </w:r>
      <w:r>
        <w:rPr>
          <w:rFonts w:ascii="Verdana" w:hAnsi="Verdana" w:cs="Arial"/>
          <w:bCs/>
          <w:lang w:val="es-MX" w:eastAsia="es-CO"/>
        </w:rPr>
        <w:t>“</w:t>
      </w:r>
      <w:r w:rsidRPr="00F8199A">
        <w:rPr>
          <w:rFonts w:ascii="Verdana" w:hAnsi="Verdana" w:cs="Arial"/>
          <w:bCs/>
          <w:lang w:val="es-MX" w:eastAsia="es-CO"/>
        </w:rPr>
        <w:t>contratación directa</w:t>
      </w:r>
      <w:r>
        <w:rPr>
          <w:rFonts w:ascii="Verdana" w:hAnsi="Verdana" w:cs="Arial"/>
          <w:bCs/>
          <w:lang w:val="es-MX" w:eastAsia="es-CO"/>
        </w:rPr>
        <w:t>”</w:t>
      </w:r>
      <w:r w:rsidRPr="00F8199A">
        <w:rPr>
          <w:rFonts w:ascii="Verdana" w:hAnsi="Verdana" w:cs="Arial"/>
          <w:bCs/>
          <w:lang w:val="es-MX" w:eastAsia="es-CO"/>
        </w:rPr>
        <w:t>.</w:t>
      </w:r>
    </w:p>
    <w:p w14:paraId="3808F2C6" w14:textId="77777777" w:rsidR="008C2CF3" w:rsidRPr="00F8199A" w:rsidRDefault="008C2CF3" w:rsidP="008C2CF3">
      <w:pPr>
        <w:spacing w:after="120" w:line="276" w:lineRule="auto"/>
        <w:ind w:firstLine="708"/>
        <w:jc w:val="both"/>
        <w:rPr>
          <w:rFonts w:ascii="Verdana" w:hAnsi="Verdana" w:cs="Arial"/>
          <w:bCs/>
          <w:lang w:val="es-MX" w:eastAsia="x-none"/>
        </w:rPr>
      </w:pPr>
      <w:r w:rsidRPr="00F8199A">
        <w:rPr>
          <w:rFonts w:ascii="Verdana" w:hAnsi="Verdana" w:cs="Arial"/>
          <w:bCs/>
          <w:lang w:val="es-MX" w:eastAsia="x-none"/>
        </w:rPr>
        <w:t xml:space="preserve"> Así las cosas, ha de entenderse que, para los efectos de la Ley de Garantías Electorales y, en particular, para la prohibición o restricción temporal contenida en su artículo 33, </w:t>
      </w:r>
      <w:r>
        <w:rPr>
          <w:rFonts w:ascii="Verdana" w:hAnsi="Verdana" w:cs="Arial"/>
          <w:bCs/>
          <w:lang w:val="es-MX" w:eastAsia="x-none"/>
        </w:rPr>
        <w:t>“</w:t>
      </w:r>
      <w:r w:rsidRPr="00F8199A">
        <w:rPr>
          <w:rFonts w:ascii="Verdana" w:hAnsi="Verdana" w:cs="Arial"/>
          <w:bCs/>
          <w:lang w:val="es-MX" w:eastAsia="x-none"/>
        </w:rPr>
        <w:t>contratación directa</w:t>
      </w:r>
      <w:r>
        <w:rPr>
          <w:rFonts w:ascii="Verdana" w:hAnsi="Verdana" w:cs="Arial"/>
          <w:bCs/>
          <w:lang w:val="es-MX" w:eastAsia="x-none"/>
        </w:rPr>
        <w:t>”</w:t>
      </w:r>
      <w:r w:rsidRPr="00F8199A">
        <w:rPr>
          <w:rFonts w:ascii="Verdana" w:hAnsi="Verdana" w:cs="Arial"/>
          <w:bCs/>
          <w:lang w:val="es-MX" w:eastAsia="x-none"/>
        </w:rPr>
        <w:t xml:space="preserve"> es cualquier sistema de selección o procedimiento de contratación utilizado por las entidades estatales que no incluya la convocatoria pública en alguna de sus etapas, ni permita la participación de una pluralidad de oferentes</w:t>
      </w:r>
      <w:r w:rsidRPr="00F8199A">
        <w:rPr>
          <w:rFonts w:ascii="Verdana" w:hAnsi="Verdana" w:cs="Arial"/>
          <w:vertAlign w:val="superscript"/>
          <w:lang w:eastAsia="x-none"/>
        </w:rPr>
        <w:footnoteReference w:id="18"/>
      </w:r>
      <w:r w:rsidRPr="00F8199A">
        <w:rPr>
          <w:rFonts w:ascii="Verdana" w:hAnsi="Verdana" w:cs="Arial"/>
          <w:bCs/>
          <w:lang w:val="es-MX" w:eastAsia="x-none"/>
        </w:rPr>
        <w:t>.</w:t>
      </w:r>
      <w:r w:rsidRPr="00F8199A">
        <w:rPr>
          <w:rFonts w:ascii="Verdana" w:hAnsi="Verdana" w:cs="Arial"/>
          <w:vertAlign w:val="superscript"/>
          <w:lang w:eastAsia="x-none"/>
        </w:rPr>
        <w:t xml:space="preserve"> </w:t>
      </w:r>
    </w:p>
    <w:p w14:paraId="4A5660DC" w14:textId="77777777" w:rsidR="008C2CF3" w:rsidRDefault="008C2CF3" w:rsidP="008C2CF3">
      <w:pPr>
        <w:spacing w:after="0" w:line="276" w:lineRule="auto"/>
        <w:ind w:firstLine="708"/>
        <w:jc w:val="both"/>
        <w:rPr>
          <w:rFonts w:ascii="Verdana" w:hAnsi="Verdana" w:cs="Arial"/>
          <w:lang w:val="es-MX" w:eastAsia="es-CO"/>
        </w:rPr>
      </w:pPr>
      <w:bookmarkStart w:id="9" w:name="_Hlk77237094"/>
      <w:r w:rsidRPr="00F8199A">
        <w:rPr>
          <w:rFonts w:ascii="Verdana" w:hAnsi="Verdana" w:cs="Arial"/>
          <w:bCs/>
          <w:lang w:val="es-MX" w:eastAsia="es-CO"/>
        </w:rPr>
        <w:t>Como en otras oportunidades lo ha manifestado esta Agencia, las prórrogas, modificaciones o adiciones de los contratos suscritos antes de la entrada en vigencia de las prohibiciones anotadas, así como la cesión de los mismos, pueden tener lugar en el período de aplicación de la Ley de Garantías, sin que ello haga nugatoria la restricción de la contratación directa y siempre que cumplan los principios de planeación, transparencia y responsabilidad.</w:t>
      </w:r>
      <w:bookmarkEnd w:id="9"/>
    </w:p>
    <w:p w14:paraId="6ECEA3F9" w14:textId="77777777" w:rsidR="008C2CF3" w:rsidRPr="00AE4CB7" w:rsidRDefault="008C2CF3" w:rsidP="008C2CF3">
      <w:pPr>
        <w:spacing w:after="0" w:line="276" w:lineRule="auto"/>
        <w:ind w:firstLine="708"/>
        <w:jc w:val="both"/>
        <w:rPr>
          <w:rFonts w:ascii="Verdana" w:hAnsi="Verdana" w:cs="Arial"/>
          <w:bCs/>
          <w:lang w:val="es-ES" w:eastAsia="x-none"/>
        </w:rPr>
      </w:pPr>
    </w:p>
    <w:p w14:paraId="08756F50" w14:textId="77777777" w:rsidR="008C2CF3" w:rsidRDefault="008C2CF3" w:rsidP="008C2CF3">
      <w:pPr>
        <w:spacing w:after="120" w:line="276" w:lineRule="auto"/>
        <w:jc w:val="both"/>
        <w:rPr>
          <w:rFonts w:ascii="Verdana" w:hAnsi="Verdana" w:cs="Arial"/>
          <w:bCs/>
          <w:lang w:val="es-MX" w:eastAsia="x-none"/>
        </w:rPr>
      </w:pPr>
      <w:r w:rsidRPr="0004207F">
        <w:rPr>
          <w:rFonts w:ascii="Verdana" w:hAnsi="Verdana" w:cs="Arial"/>
          <w:bCs/>
          <w:lang w:val="es-MX" w:eastAsia="x-none"/>
        </w:rPr>
        <w:t>Es importante reiterar que el segundo inciso del artículo 33 de la Ley de Garantías Electorales consagró las excepciones aplicables a la prohibición de contratación directa establecida en el mismo artículo. La Sala de Consulta y Servicio Civil del Consejo de Estado, en Concepto del 4 de febrero de 2010, explica que “[…] Las excepciones establecidas en los artículos 32 y 33 en comento, guardan relación, exclusivamente, con algunos servicios públicos que por su naturaleza no admiten postergaciones en la atención de sus necesidades de personal, bienes y servicios [...]”</w:t>
      </w:r>
      <w:r w:rsidRPr="0004207F">
        <w:rPr>
          <w:rStyle w:val="Refdenotaalpie"/>
          <w:rFonts w:ascii="Verdana" w:hAnsi="Verdana" w:cs="Arial"/>
          <w:lang w:val="es-ES_tradnl"/>
        </w:rPr>
        <w:footnoteReference w:id="19"/>
      </w:r>
      <w:r w:rsidRPr="0004207F">
        <w:rPr>
          <w:rFonts w:ascii="Verdana" w:hAnsi="Verdana" w:cs="Arial"/>
          <w:bCs/>
          <w:lang w:val="es-MX" w:eastAsia="x-none"/>
        </w:rPr>
        <w:t>.</w:t>
      </w:r>
    </w:p>
    <w:p w14:paraId="1C3BFA40" w14:textId="77777777" w:rsidR="008C2CF3" w:rsidRPr="0004207F" w:rsidRDefault="008C2CF3" w:rsidP="008C2CF3">
      <w:pPr>
        <w:shd w:val="clear" w:color="auto" w:fill="FFFFFF" w:themeFill="background1"/>
        <w:spacing w:after="120" w:line="276" w:lineRule="auto"/>
        <w:ind w:firstLine="709"/>
        <w:jc w:val="both"/>
        <w:rPr>
          <w:rFonts w:ascii="Verdana" w:hAnsi="Verdana" w:cs="Arial"/>
          <w:lang w:val="es-ES" w:eastAsia="es-CO"/>
        </w:rPr>
      </w:pPr>
      <w:r w:rsidRPr="70BB5D8B">
        <w:rPr>
          <w:rFonts w:ascii="Verdana" w:hAnsi="Verdana" w:cs="Arial"/>
          <w:lang w:val="es-ES" w:eastAsia="es-CO"/>
        </w:rPr>
        <w:t xml:space="preserve">A su vez, la Corte Constitucional, al analizar la constitucionalidad de la Ley de Garantías Electorales, consideró que las prohibiciones consagradas en los artículos 32 y 33 de la ley mencionada no pueden ir en detrimento de intereses públicos. Por lo anterior, la Alta Corte consideró que las excepciones para la prohibición de contratación se encontraban justificadas, declarando su exequibilidad. Así, por ejemplo, la Corte Constitucional explicó que “[…] las excepciones de limitación protegen diversos tipos de urgencias de defensa, salud, educación, infraestructura vial y de servicios públicos y ecológicas tienden </w:t>
      </w:r>
      <w:r w:rsidRPr="70BB5D8B">
        <w:rPr>
          <w:rFonts w:ascii="Verdana" w:hAnsi="Verdana" w:cs="Arial"/>
          <w:lang w:val="es-ES" w:eastAsia="es-CO"/>
        </w:rPr>
        <w:lastRenderedPageBreak/>
        <w:t>a no limitar desproporcionadamente la acción del Estado en el cumplimiento de sus fines, en procura de la igualdad entre candidatos como garantía electoral”</w:t>
      </w:r>
      <w:r w:rsidRPr="70BB5D8B">
        <w:rPr>
          <w:rStyle w:val="Refdenotaalpie"/>
          <w:rFonts w:ascii="Verdana" w:hAnsi="Verdana" w:cs="Arial"/>
          <w:lang w:val="es-ES"/>
        </w:rPr>
        <w:footnoteReference w:id="20"/>
      </w:r>
      <w:r w:rsidRPr="70BB5D8B">
        <w:rPr>
          <w:rFonts w:ascii="Verdana" w:hAnsi="Verdana" w:cs="Arial"/>
          <w:lang w:val="es-ES" w:eastAsia="es-CO"/>
        </w:rPr>
        <w:t xml:space="preserve">. </w:t>
      </w:r>
    </w:p>
    <w:p w14:paraId="43FC26D7" w14:textId="77777777" w:rsidR="008C2CF3" w:rsidRDefault="008C2CF3" w:rsidP="008C2CF3">
      <w:pPr>
        <w:shd w:val="clear" w:color="auto" w:fill="FFFFFF"/>
        <w:spacing w:after="0" w:line="276" w:lineRule="auto"/>
        <w:ind w:firstLine="709"/>
        <w:jc w:val="both"/>
        <w:rPr>
          <w:rFonts w:ascii="Verdana" w:eastAsia="Times New Roman" w:hAnsi="Verdana" w:cs="Arial"/>
          <w:lang w:val="es-ES" w:eastAsia="es-MX"/>
        </w:rPr>
      </w:pPr>
      <w:r w:rsidRPr="0004207F">
        <w:rPr>
          <w:rFonts w:ascii="Verdana" w:hAnsi="Verdana" w:cs="Arial"/>
          <w:bCs/>
          <w:lang w:val="es-ES_tradnl"/>
        </w:rPr>
        <w:t>Por tanto, las excepciones a la prohibición contenida en el inciso segundo de artículo 33 de la ley de garantías electorales tienen por finalidad garantizar la prestación ininterrumpida de algunos servicios públicos que, dada su importancia en el orden interno, se verían irrazonablemente afectados por la restricción explicada. Lo anterior implica que las excepciones al artículo 33 en comento deben interpretarse y aplicarse de manera restrictiva. En otras palabras, que no sería factible hacer interpretaciones extensivas para incluir otros supuestos de hecho similares a las circunstancias previstas en dicho artículo, pues el carácter taxativo implica que solo en los eventos consagrados expresamente en la norma permiten que ciertas entidades estatales se vean exceptuadas de la prohibición.</w:t>
      </w:r>
      <w:r>
        <w:rPr>
          <w:rFonts w:ascii="Verdana" w:hAnsi="Verdana" w:cs="Arial"/>
          <w:lang w:val="es-ES_tradnl" w:eastAsia="es-CO"/>
        </w:rPr>
        <w:t xml:space="preserve"> </w:t>
      </w:r>
      <w:r w:rsidRPr="0004207F">
        <w:rPr>
          <w:rFonts w:ascii="Verdana" w:hAnsi="Verdana" w:cs="Arial"/>
          <w:bCs/>
          <w:lang w:val="es-MX" w:eastAsia="x-none"/>
        </w:rPr>
        <w:t>Entre las excepciones del artículo en comento se encuentra</w:t>
      </w:r>
      <w:r>
        <w:rPr>
          <w:rFonts w:ascii="Verdana" w:hAnsi="Verdana" w:cs="Arial"/>
          <w:bCs/>
          <w:lang w:val="es-MX" w:eastAsia="x-none"/>
        </w:rPr>
        <w:t>n los contratos relacionados</w:t>
      </w:r>
      <w:r w:rsidRPr="0004207F">
        <w:rPr>
          <w:rFonts w:ascii="Verdana" w:hAnsi="Verdana" w:cs="Arial"/>
          <w:bCs/>
          <w:lang w:val="es-MX" w:eastAsia="x-none"/>
        </w:rPr>
        <w:t xml:space="preserve"> “[…] </w:t>
      </w:r>
      <w:r w:rsidRPr="002B4ED7">
        <w:rPr>
          <w:rFonts w:ascii="Verdana" w:hAnsi="Verdana" w:cs="Arial"/>
          <w:bCs/>
          <w:lang w:val="es-MX" w:eastAsia="x-none"/>
        </w:rPr>
        <w:t>la defensa y seguridad del Estado</w:t>
      </w:r>
      <w:r w:rsidRPr="0004207F">
        <w:rPr>
          <w:rFonts w:ascii="Verdana" w:hAnsi="Verdana" w:cs="Arial"/>
          <w:bCs/>
          <w:lang w:eastAsia="x-none"/>
        </w:rPr>
        <w:t xml:space="preserve"> […]</w:t>
      </w:r>
      <w:r w:rsidRPr="0004207F">
        <w:rPr>
          <w:rFonts w:ascii="Verdana" w:hAnsi="Verdana" w:cs="Arial"/>
          <w:bCs/>
          <w:lang w:val="es-MX" w:eastAsia="x-none"/>
        </w:rPr>
        <w:t>”</w:t>
      </w:r>
      <w:r w:rsidRPr="0004207F">
        <w:rPr>
          <w:rFonts w:ascii="Verdana" w:eastAsia="Calibri" w:hAnsi="Verdana" w:cs="Arial"/>
        </w:rPr>
        <w:t>.</w:t>
      </w:r>
      <w:r>
        <w:rPr>
          <w:rFonts w:ascii="Verdana" w:eastAsia="Times New Roman" w:hAnsi="Verdana" w:cs="Arial"/>
          <w:lang w:val="es-ES" w:eastAsia="es-MX"/>
        </w:rPr>
        <w:t xml:space="preserve"> </w:t>
      </w:r>
    </w:p>
    <w:p w14:paraId="3B6AEBC9" w14:textId="77777777" w:rsidR="008C2CF3" w:rsidRDefault="008C2CF3" w:rsidP="008C2CF3">
      <w:pPr>
        <w:spacing w:after="120" w:line="276" w:lineRule="auto"/>
        <w:ind w:firstLine="708"/>
        <w:jc w:val="both"/>
        <w:rPr>
          <w:rFonts w:ascii="Verdana" w:eastAsia="Times New Roman" w:hAnsi="Verdana" w:cs="Arial"/>
          <w:lang w:val="es-ES" w:eastAsia="es-MX"/>
        </w:rPr>
      </w:pPr>
      <w:r w:rsidRPr="00AE4CB7">
        <w:rPr>
          <w:rFonts w:ascii="Verdana" w:eastAsia="Times New Roman" w:hAnsi="Verdana" w:cs="Arial"/>
          <w:lang w:val="es-ES" w:eastAsia="es-MX"/>
        </w:rPr>
        <w:t xml:space="preserve">Una vez abordado el espectro de la </w:t>
      </w:r>
      <w:r>
        <w:rPr>
          <w:rFonts w:ascii="Verdana" w:eastAsia="Times New Roman" w:hAnsi="Verdana" w:cs="Arial"/>
          <w:lang w:val="es-ES" w:eastAsia="es-MX"/>
        </w:rPr>
        <w:t>restricción</w:t>
      </w:r>
      <w:r w:rsidRPr="00AE4CB7">
        <w:rPr>
          <w:rFonts w:ascii="Verdana" w:eastAsia="Times New Roman" w:hAnsi="Verdana" w:cs="Arial"/>
          <w:lang w:val="es-ES" w:eastAsia="es-MX"/>
        </w:rPr>
        <w:t xml:space="preserve"> y excepciones contempladas por</w:t>
      </w:r>
      <w:r>
        <w:rPr>
          <w:rFonts w:ascii="Verdana" w:eastAsia="Times New Roman" w:hAnsi="Verdana" w:cs="Arial"/>
          <w:lang w:val="es-ES" w:eastAsia="es-MX"/>
        </w:rPr>
        <w:t xml:space="preserve"> el artículo 33 de</w:t>
      </w:r>
      <w:r w:rsidRPr="00AE4CB7">
        <w:rPr>
          <w:rFonts w:ascii="Verdana" w:eastAsia="Times New Roman" w:hAnsi="Verdana" w:cs="Arial"/>
          <w:lang w:val="es-ES" w:eastAsia="es-MX"/>
        </w:rPr>
        <w:t xml:space="preserve"> la Ley 996 de 2005 en materia de garantías electorales, le corresponde a esta oficina ahondar en materia de </w:t>
      </w:r>
      <w:r>
        <w:rPr>
          <w:rFonts w:ascii="Verdana" w:eastAsia="Times New Roman" w:hAnsi="Verdana" w:cs="Arial"/>
          <w:lang w:val="es-ES" w:eastAsia="es-MX"/>
        </w:rPr>
        <w:t>la naturaleza jurídica, noción y modalidades de contratación que rigen la celebración del contrato de seguro.</w:t>
      </w:r>
    </w:p>
    <w:p w14:paraId="0FE44428" w14:textId="77777777" w:rsidR="008C2CF3" w:rsidRPr="00EA7EBA" w:rsidRDefault="008C2CF3" w:rsidP="008C2CF3">
      <w:pPr>
        <w:spacing w:before="120" w:line="276" w:lineRule="auto"/>
        <w:ind w:firstLine="708"/>
        <w:jc w:val="both"/>
        <w:rPr>
          <w:rFonts w:ascii="Verdana" w:eastAsia="Calibri" w:hAnsi="Verdana"/>
          <w:color w:val="000000" w:themeColor="text1"/>
        </w:rPr>
      </w:pPr>
      <w:r w:rsidRPr="00EA7EBA">
        <w:rPr>
          <w:rFonts w:ascii="Verdana" w:eastAsia="Calibri" w:hAnsi="Verdana"/>
          <w:color w:val="000000" w:themeColor="text1"/>
        </w:rPr>
        <w:t xml:space="preserve">Por lo general, la entidad pública suscribe contratos de seguro, con la finalidad de proteger a las entidades públicas contra diferentes riesgos que se presentan por actuaciones de sus empleados, así como riesgos por incendios, terremoto, entre otros. En estos términos, se destaca que los contratos de seguros amparan riesgos en daños materiales, automóviles, responsabilidad civil extracontractual, manejo global para entidades oficiales, riesgos financieros, entre otros. </w:t>
      </w:r>
    </w:p>
    <w:p w14:paraId="4317669B" w14:textId="77777777" w:rsidR="008C2CF3" w:rsidRDefault="008C2CF3" w:rsidP="008C2CF3">
      <w:pPr>
        <w:spacing w:after="120" w:line="276" w:lineRule="auto"/>
        <w:ind w:firstLine="708"/>
        <w:jc w:val="both"/>
        <w:rPr>
          <w:rFonts w:ascii="Verdana" w:eastAsia="Times New Roman" w:hAnsi="Verdana" w:cs="Arial"/>
          <w:lang w:val="es-ES" w:eastAsia="es-MX"/>
        </w:rPr>
      </w:pPr>
      <w:r w:rsidRPr="00EA7EBA">
        <w:rPr>
          <w:rFonts w:ascii="Verdana" w:eastAsia="Calibri" w:hAnsi="Verdana"/>
          <w:color w:val="000000" w:themeColor="text1"/>
        </w:rPr>
        <w:t xml:space="preserve">Así mismo, dichos procesos de contratación por parte de las entidades sometidas por el EGCAP se adelantan, en principio, mediante la modalidad de selección de licitación pública o en su defecto, por selección abreviada de menor cuantía, donde </w:t>
      </w:r>
      <w:r w:rsidRPr="00EA7EBA">
        <w:rPr>
          <w:rFonts w:ascii="Verdana" w:eastAsia="Calibri" w:hAnsi="Verdana" w:cs="Arial"/>
          <w:color w:val="000000"/>
          <w:lang w:eastAsia="es-ES_tradnl"/>
        </w:rPr>
        <w:t>la entidad deberá tener en consideración las disposiciones previstas en el Estatuto Orgánico del Sistema Financiero, y en especial el artículo 17 de la Ley 795 de 2003 “</w:t>
      </w:r>
      <w:r w:rsidRPr="00EA7EBA">
        <w:rPr>
          <w:rFonts w:ascii="Verdana" w:eastAsia="Calibri" w:hAnsi="Verdana" w:cs="Arial"/>
          <w:bCs/>
          <w:i/>
          <w:iCs/>
          <w:color w:val="000000"/>
          <w:lang w:eastAsia="es-ES_tradnl"/>
        </w:rPr>
        <w:t xml:space="preserve">Por la cual se ajustan algunas normas del Estatuto </w:t>
      </w:r>
      <w:r w:rsidRPr="00EA7EBA">
        <w:rPr>
          <w:rFonts w:ascii="Verdana" w:eastAsia="Calibri" w:hAnsi="Verdana" w:cs="Arial"/>
          <w:bCs/>
          <w:i/>
          <w:iCs/>
          <w:color w:val="000000"/>
          <w:lang w:eastAsia="es-ES_tradnl"/>
        </w:rPr>
        <w:lastRenderedPageBreak/>
        <w:t>Orgánico del Sistema Financiero y se dictan otras disposiciones.”</w:t>
      </w:r>
      <w:r w:rsidRPr="00EA7EBA">
        <w:rPr>
          <w:rFonts w:ascii="Verdana" w:eastAsia="Calibri" w:hAnsi="Verdana" w:cs="Arial"/>
          <w:color w:val="000000"/>
          <w:lang w:eastAsia="es-ES_tradnl"/>
        </w:rPr>
        <w:t xml:space="preserve">, y en especial las relacionadas con lo dispuesto en el Decreto 2954 de 2010 </w:t>
      </w:r>
      <w:r w:rsidRPr="00EA7EBA">
        <w:rPr>
          <w:rFonts w:ascii="Verdana" w:eastAsia="Calibri" w:hAnsi="Verdana" w:cs="Arial"/>
          <w:i/>
          <w:iCs/>
          <w:color w:val="000000"/>
          <w:lang w:eastAsia="es-ES_tradnl"/>
        </w:rPr>
        <w:t>“</w:t>
      </w:r>
      <w:r w:rsidRPr="00EA7EBA">
        <w:rPr>
          <w:rFonts w:ascii="Verdana" w:eastAsia="Calibri" w:hAnsi="Verdana" w:cs="Arial"/>
          <w:bCs/>
          <w:i/>
          <w:iCs/>
          <w:color w:val="000000"/>
          <w:lang w:eastAsia="es-ES_tradnl"/>
        </w:rPr>
        <w:t>por el cual se modifica el Decreto 2555 de 2010 y se establece el régimen de patrimonio adecuado de las entidades aseguradoras”</w:t>
      </w:r>
      <w:r w:rsidRPr="00EA7EBA">
        <w:rPr>
          <w:rFonts w:ascii="Verdana" w:eastAsia="Calibri" w:hAnsi="Verdana" w:cs="Arial"/>
          <w:color w:val="000000"/>
          <w:lang w:eastAsia="es-ES_tradnl"/>
        </w:rPr>
        <w:t>, a través del cual se reguló el régimen de patrimonio adecuado para las entidades aseguradoras, como indicador integral y específico para evidenciar la efectiva capacidad financiera, del mercado asegurador colombiano</w:t>
      </w:r>
      <w:r>
        <w:rPr>
          <w:rFonts w:ascii="Verdana" w:eastAsia="Calibri" w:hAnsi="Verdana" w:cs="Arial"/>
          <w:color w:val="000000"/>
          <w:lang w:eastAsia="es-ES_tradnl"/>
        </w:rPr>
        <w:t>.</w:t>
      </w:r>
    </w:p>
    <w:p w14:paraId="73C82B5C" w14:textId="77777777" w:rsidR="008C2CF3" w:rsidRDefault="008C2CF3" w:rsidP="008C2CF3">
      <w:pPr>
        <w:spacing w:after="120" w:line="276" w:lineRule="auto"/>
        <w:ind w:firstLine="737"/>
        <w:jc w:val="both"/>
        <w:rPr>
          <w:rFonts w:ascii="Verdana" w:eastAsia="Times New Roman" w:hAnsi="Verdana" w:cs="Arial"/>
          <w:bCs/>
          <w:lang w:val="es-MX" w:eastAsia="x-none"/>
        </w:rPr>
      </w:pPr>
      <w:r>
        <w:rPr>
          <w:rFonts w:ascii="Verdana" w:eastAsia="Calibri" w:hAnsi="Verdana" w:cs="Arial"/>
          <w:color w:val="000000"/>
          <w:lang w:eastAsia="es-ES_tradnl"/>
        </w:rPr>
        <w:t>Conforme lo anterior, se recomienda a las entidades garantizar la realización de procesos de selección que garanticen la pluralidad de oferentes para la escogencia o toma de seguros, incluso en el periodo electoral, donde, como ya se mencionó, se prohíbe la contratación directa.</w:t>
      </w:r>
    </w:p>
    <w:p w14:paraId="61346D91" w14:textId="77777777" w:rsidR="008C2CF3" w:rsidRPr="00F4158D" w:rsidRDefault="008C2CF3" w:rsidP="008C2CF3">
      <w:pPr>
        <w:tabs>
          <w:tab w:val="left" w:pos="426"/>
        </w:tabs>
        <w:spacing w:after="120" w:line="276" w:lineRule="auto"/>
        <w:jc w:val="both"/>
        <w:rPr>
          <w:rFonts w:ascii="Verdana" w:eastAsia="Calibri" w:hAnsi="Verdana" w:cs="Arial"/>
          <w:bCs/>
          <w:color w:val="000000" w:themeColor="text1"/>
        </w:rPr>
      </w:pPr>
      <w:r>
        <w:rPr>
          <w:rFonts w:ascii="Verdana" w:eastAsia="Calibri" w:hAnsi="Verdana" w:cs="Arial"/>
          <w:bCs/>
          <w:color w:val="000000" w:themeColor="text1"/>
        </w:rPr>
        <w:tab/>
      </w:r>
      <w:r w:rsidRPr="00F4158D">
        <w:rPr>
          <w:rFonts w:ascii="Verdana" w:eastAsia="Calibri" w:hAnsi="Verdana" w:cs="Arial"/>
          <w:bCs/>
          <w:color w:val="000000" w:themeColor="text1"/>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335C4B56" w14:textId="77777777" w:rsidR="008C2CF3" w:rsidRDefault="008C2CF3" w:rsidP="008C2CF3">
      <w:pPr>
        <w:spacing w:after="0" w:line="276" w:lineRule="auto"/>
        <w:ind w:firstLine="708"/>
        <w:jc w:val="both"/>
        <w:rPr>
          <w:rFonts w:ascii="Verdana" w:eastAsia="Calibri" w:hAnsi="Verdana" w:cs="Arial"/>
          <w:bCs/>
          <w:color w:val="000000" w:themeColor="text1"/>
        </w:rPr>
      </w:pPr>
      <w:r w:rsidRPr="00F4158D">
        <w:rPr>
          <w:rFonts w:ascii="Verdana" w:eastAsia="Calibri" w:hAnsi="Verdana" w:cs="Arial"/>
          <w:bCs/>
          <w:color w:val="000000" w:themeColor="text1"/>
        </w:rPr>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p w14:paraId="76C2FF26" w14:textId="77777777" w:rsidR="008C2CF3" w:rsidRDefault="008C2CF3" w:rsidP="008C2CF3">
      <w:pPr>
        <w:spacing w:after="0" w:line="276" w:lineRule="auto"/>
        <w:ind w:firstLine="708"/>
        <w:jc w:val="both"/>
        <w:rPr>
          <w:rFonts w:ascii="Verdana" w:eastAsia="Calibri" w:hAnsi="Verdana" w:cs="Arial"/>
          <w:bCs/>
          <w:color w:val="000000" w:themeColor="text1"/>
        </w:rPr>
      </w:pPr>
    </w:p>
    <w:p w14:paraId="31C35E00" w14:textId="77777777" w:rsidR="008C2CF3" w:rsidRDefault="008C2CF3" w:rsidP="008C2CF3">
      <w:pPr>
        <w:spacing w:after="0" w:line="276" w:lineRule="auto"/>
        <w:ind w:firstLine="708"/>
        <w:jc w:val="both"/>
        <w:rPr>
          <w:rFonts w:ascii="Verdana" w:eastAsia="Calibri" w:hAnsi="Verdana" w:cs="Arial"/>
          <w:bCs/>
          <w:color w:val="000000" w:themeColor="text1"/>
        </w:rPr>
      </w:pPr>
    </w:p>
    <w:p w14:paraId="2EF9EFF5" w14:textId="77777777" w:rsidR="008C2CF3" w:rsidRDefault="008C2CF3" w:rsidP="008C2CF3">
      <w:pPr>
        <w:spacing w:after="0" w:line="276" w:lineRule="auto"/>
        <w:ind w:firstLine="708"/>
        <w:jc w:val="both"/>
        <w:rPr>
          <w:rFonts w:ascii="Verdana" w:eastAsia="Calibri" w:hAnsi="Verdana" w:cs="Arial"/>
          <w:bCs/>
          <w:color w:val="000000" w:themeColor="text1"/>
        </w:rPr>
      </w:pPr>
    </w:p>
    <w:p w14:paraId="45774832" w14:textId="77777777" w:rsidR="008C2CF3" w:rsidRPr="00F4158D" w:rsidRDefault="008C2CF3" w:rsidP="008C2CF3">
      <w:pPr>
        <w:spacing w:after="0" w:line="276" w:lineRule="auto"/>
        <w:ind w:firstLine="708"/>
        <w:jc w:val="both"/>
        <w:rPr>
          <w:rFonts w:ascii="Verdana" w:hAnsi="Verdana" w:cs="Arial"/>
          <w:color w:val="000000" w:themeColor="text1"/>
        </w:rPr>
      </w:pPr>
    </w:p>
    <w:p w14:paraId="0C1976DE" w14:textId="77777777" w:rsidR="008C2CF3" w:rsidRPr="00F4158D" w:rsidRDefault="008C2CF3" w:rsidP="008C2CF3">
      <w:pPr>
        <w:spacing w:after="0" w:line="276" w:lineRule="auto"/>
        <w:jc w:val="both"/>
        <w:rPr>
          <w:rFonts w:ascii="Verdana" w:eastAsia="Calibri" w:hAnsi="Verdana" w:cs="Arial"/>
          <w:bCs/>
          <w:color w:val="000000" w:themeColor="text1"/>
        </w:rPr>
      </w:pPr>
      <w:r w:rsidRPr="00F4158D">
        <w:rPr>
          <w:rFonts w:ascii="Verdana" w:eastAsia="Calibri" w:hAnsi="Verdana" w:cs="Arial"/>
          <w:bCs/>
          <w:color w:val="000000" w:themeColor="text1"/>
        </w:rPr>
        <w:t xml:space="preserve"> </w:t>
      </w:r>
    </w:p>
    <w:p w14:paraId="47F1C7D0" w14:textId="77777777" w:rsidR="008C2CF3" w:rsidRPr="00593A5F" w:rsidRDefault="008C2CF3" w:rsidP="008C2CF3">
      <w:pPr>
        <w:pStyle w:val="Prrafodelista"/>
        <w:numPr>
          <w:ilvl w:val="0"/>
          <w:numId w:val="2"/>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lastRenderedPageBreak/>
        <w:t>Referencias normativas:</w:t>
      </w:r>
    </w:p>
    <w:p w14:paraId="218B5400" w14:textId="77777777" w:rsidR="008C2CF3" w:rsidRPr="00593A5F" w:rsidRDefault="008C2CF3" w:rsidP="008C2CF3">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8C2CF3" w:rsidRPr="002407CE" w14:paraId="5EF1674D" w14:textId="77777777" w:rsidTr="0004496C">
        <w:trPr>
          <w:trHeight w:val="870"/>
          <w:jc w:val="center"/>
        </w:trPr>
        <w:tc>
          <w:tcPr>
            <w:tcW w:w="8647" w:type="dxa"/>
          </w:tcPr>
          <w:p w14:paraId="79224AE1" w14:textId="77777777" w:rsidR="008C2CF3" w:rsidRDefault="008C2CF3" w:rsidP="008C2CF3">
            <w:pPr>
              <w:pStyle w:val="Prrafodelista"/>
              <w:widowControl w:val="0"/>
              <w:numPr>
                <w:ilvl w:val="0"/>
                <w:numId w:val="3"/>
              </w:numPr>
              <w:autoSpaceDE w:val="0"/>
              <w:autoSpaceDN w:val="0"/>
              <w:spacing w:after="120" w:line="276" w:lineRule="auto"/>
              <w:ind w:left="714" w:hanging="357"/>
              <w:contextualSpacing w:val="0"/>
              <w:jc w:val="both"/>
              <w:rPr>
                <w:rFonts w:ascii="Verdana" w:hAnsi="Verdana" w:cs="Arial"/>
              </w:rPr>
            </w:pPr>
            <w:r>
              <w:rPr>
                <w:rFonts w:ascii="Verdana" w:hAnsi="Verdana" w:cs="Arial"/>
              </w:rPr>
              <w:t>Constitución Política de 1991, artículos 127 y 197.</w:t>
            </w:r>
          </w:p>
          <w:p w14:paraId="339F937F" w14:textId="77777777" w:rsidR="008C2CF3" w:rsidRDefault="008C2CF3" w:rsidP="008C2CF3">
            <w:pPr>
              <w:pStyle w:val="Prrafodelista"/>
              <w:widowControl w:val="0"/>
              <w:numPr>
                <w:ilvl w:val="0"/>
                <w:numId w:val="3"/>
              </w:numPr>
              <w:autoSpaceDE w:val="0"/>
              <w:autoSpaceDN w:val="0"/>
              <w:spacing w:after="120" w:line="276" w:lineRule="auto"/>
              <w:ind w:left="714" w:hanging="357"/>
              <w:contextualSpacing w:val="0"/>
              <w:jc w:val="both"/>
              <w:rPr>
                <w:rFonts w:ascii="Verdana" w:hAnsi="Verdana" w:cs="Arial"/>
              </w:rPr>
            </w:pPr>
            <w:r w:rsidRPr="00EA7EBA">
              <w:rPr>
                <w:rFonts w:ascii="Verdana" w:eastAsia="Calibri" w:hAnsi="Verdana" w:cs="Arial"/>
                <w:bCs/>
                <w:color w:val="000000"/>
                <w:lang w:eastAsia="es-ES_tradnl"/>
              </w:rPr>
              <w:t>Ley 80 de 1993, artículos 1, 2, 11, 12, 13, 32, 39, 40 y 41</w:t>
            </w:r>
          </w:p>
          <w:p w14:paraId="0BEA4F6C" w14:textId="77777777" w:rsidR="008C2CF3" w:rsidRDefault="008C2CF3" w:rsidP="008C2CF3">
            <w:pPr>
              <w:pStyle w:val="Prrafodelista"/>
              <w:widowControl w:val="0"/>
              <w:numPr>
                <w:ilvl w:val="0"/>
                <w:numId w:val="3"/>
              </w:numPr>
              <w:autoSpaceDE w:val="0"/>
              <w:autoSpaceDN w:val="0"/>
              <w:spacing w:after="120" w:line="276" w:lineRule="auto"/>
              <w:ind w:left="714" w:hanging="357"/>
              <w:contextualSpacing w:val="0"/>
              <w:jc w:val="both"/>
              <w:rPr>
                <w:rFonts w:ascii="Verdana" w:hAnsi="Verdana" w:cs="Arial"/>
              </w:rPr>
            </w:pPr>
            <w:r>
              <w:rPr>
                <w:rFonts w:ascii="Verdana" w:hAnsi="Verdana" w:cs="Arial"/>
              </w:rPr>
              <w:t>Ley 996 de 2005, artículos 33 y 38.</w:t>
            </w:r>
          </w:p>
          <w:p w14:paraId="36F5A55F" w14:textId="77777777" w:rsidR="008C2CF3" w:rsidRDefault="008C2CF3" w:rsidP="008C2CF3">
            <w:pPr>
              <w:pStyle w:val="Prrafodelista"/>
              <w:widowControl w:val="0"/>
              <w:numPr>
                <w:ilvl w:val="0"/>
                <w:numId w:val="3"/>
              </w:numPr>
              <w:autoSpaceDE w:val="0"/>
              <w:autoSpaceDN w:val="0"/>
              <w:spacing w:after="120" w:line="276" w:lineRule="auto"/>
              <w:ind w:left="714" w:hanging="357"/>
              <w:contextualSpacing w:val="0"/>
              <w:jc w:val="both"/>
              <w:rPr>
                <w:rFonts w:ascii="Verdana" w:hAnsi="Verdana" w:cs="Arial"/>
              </w:rPr>
            </w:pPr>
            <w:r>
              <w:rPr>
                <w:rFonts w:ascii="Verdana" w:hAnsi="Verdana" w:cs="Arial"/>
              </w:rPr>
              <w:t>Ley 1150 de 2007, artículo 2.</w:t>
            </w:r>
          </w:p>
          <w:p w14:paraId="08D5FDC3" w14:textId="77777777" w:rsidR="008C2CF3" w:rsidRPr="00C862E2" w:rsidRDefault="008C2CF3" w:rsidP="008C2CF3">
            <w:pPr>
              <w:pStyle w:val="Prrafodelista"/>
              <w:widowControl w:val="0"/>
              <w:numPr>
                <w:ilvl w:val="0"/>
                <w:numId w:val="3"/>
              </w:numPr>
              <w:autoSpaceDE w:val="0"/>
              <w:autoSpaceDN w:val="0"/>
              <w:spacing w:after="120" w:line="276" w:lineRule="auto"/>
              <w:ind w:left="714" w:hanging="357"/>
              <w:contextualSpacing w:val="0"/>
              <w:jc w:val="both"/>
              <w:rPr>
                <w:rFonts w:ascii="Verdana" w:hAnsi="Verdana" w:cs="Arial"/>
              </w:rPr>
            </w:pPr>
            <w:r w:rsidRPr="00036236">
              <w:rPr>
                <w:rFonts w:ascii="Verdana" w:hAnsi="Verdana" w:cs="Arial"/>
              </w:rPr>
              <w:t>Decreto 1082 de 2015, artículo</w:t>
            </w:r>
            <w:r>
              <w:rPr>
                <w:rFonts w:ascii="Verdana" w:hAnsi="Verdana" w:cs="Arial"/>
              </w:rPr>
              <w:t xml:space="preserve"> </w:t>
            </w:r>
            <w:r w:rsidRPr="009F112C">
              <w:rPr>
                <w:rStyle w:val="s15"/>
                <w:rFonts w:ascii="Verdana" w:hAnsi="Verdana"/>
              </w:rPr>
              <w:t>2.2.1.2.1.4.1</w:t>
            </w:r>
            <w:r>
              <w:rPr>
                <w:rStyle w:val="s15"/>
                <w:rFonts w:ascii="Verdana" w:hAnsi="Verdana"/>
              </w:rPr>
              <w:t>,</w:t>
            </w:r>
            <w:r w:rsidRPr="00036236">
              <w:rPr>
                <w:rFonts w:ascii="Verdana" w:hAnsi="Verdana" w:cs="Arial"/>
              </w:rPr>
              <w:t xml:space="preserve"> 2.2.1.2.1.4.6.</w:t>
            </w:r>
            <w:r w:rsidRPr="00C862E2">
              <w:rPr>
                <w:rFonts w:ascii="Verdana" w:eastAsia="Calibri" w:hAnsi="Verdana" w:cs="Arial"/>
                <w:bCs/>
                <w:color w:val="000000"/>
                <w:lang w:eastAsia="es-ES_tradnl"/>
              </w:rPr>
              <w:t xml:space="preserve"> </w:t>
            </w:r>
          </w:p>
          <w:p w14:paraId="1474E9ED" w14:textId="77777777" w:rsidR="008C2CF3" w:rsidRPr="00EA7EBA" w:rsidRDefault="008C2CF3" w:rsidP="008C2CF3">
            <w:pPr>
              <w:widowControl w:val="0"/>
              <w:numPr>
                <w:ilvl w:val="0"/>
                <w:numId w:val="3"/>
              </w:numPr>
              <w:autoSpaceDE w:val="0"/>
              <w:autoSpaceDN w:val="0"/>
              <w:spacing w:line="360" w:lineRule="auto"/>
              <w:contextualSpacing/>
              <w:jc w:val="both"/>
              <w:rPr>
                <w:rFonts w:ascii="Verdana" w:hAnsi="Verdana" w:cs="Arial"/>
                <w:lang w:val="es-ES_tradnl"/>
              </w:rPr>
            </w:pPr>
            <w:r w:rsidRPr="00EA7EBA">
              <w:rPr>
                <w:rFonts w:ascii="Verdana" w:hAnsi="Verdana" w:cs="Arial"/>
                <w:lang w:val="es-ES_tradnl"/>
              </w:rPr>
              <w:t xml:space="preserve">Ley 795 de 2003, artículo 17. </w:t>
            </w:r>
          </w:p>
          <w:p w14:paraId="643ED288" w14:textId="77777777" w:rsidR="008C2CF3" w:rsidRPr="00EA7EBA" w:rsidRDefault="008C2CF3" w:rsidP="008C2CF3">
            <w:pPr>
              <w:widowControl w:val="0"/>
              <w:numPr>
                <w:ilvl w:val="0"/>
                <w:numId w:val="3"/>
              </w:numPr>
              <w:autoSpaceDE w:val="0"/>
              <w:autoSpaceDN w:val="0"/>
              <w:spacing w:line="360" w:lineRule="auto"/>
              <w:contextualSpacing/>
              <w:jc w:val="both"/>
              <w:rPr>
                <w:rFonts w:ascii="Verdana" w:hAnsi="Verdana" w:cs="Arial"/>
                <w:lang w:val="es-ES_tradnl"/>
              </w:rPr>
            </w:pPr>
            <w:r w:rsidRPr="00EA7EBA">
              <w:rPr>
                <w:rFonts w:ascii="Verdana" w:hAnsi="Verdana" w:cs="Arial"/>
                <w:lang w:val="es-ES_tradnl"/>
              </w:rPr>
              <w:t xml:space="preserve">Código Civil, artículos 1495, 1500, 1501. </w:t>
            </w:r>
          </w:p>
          <w:p w14:paraId="591F9667" w14:textId="77777777" w:rsidR="008C2CF3" w:rsidRPr="00EA7EBA" w:rsidRDefault="008C2CF3" w:rsidP="008C2CF3">
            <w:pPr>
              <w:widowControl w:val="0"/>
              <w:numPr>
                <w:ilvl w:val="0"/>
                <w:numId w:val="3"/>
              </w:numPr>
              <w:autoSpaceDE w:val="0"/>
              <w:autoSpaceDN w:val="0"/>
              <w:spacing w:line="360" w:lineRule="auto"/>
              <w:contextualSpacing/>
              <w:jc w:val="both"/>
              <w:rPr>
                <w:rFonts w:ascii="Verdana" w:hAnsi="Verdana" w:cs="Arial"/>
                <w:lang w:val="es-ES_tradnl"/>
              </w:rPr>
            </w:pPr>
            <w:r w:rsidRPr="00EA7EBA">
              <w:rPr>
                <w:rFonts w:ascii="Verdana" w:eastAsia="Calibri" w:hAnsi="Verdana" w:cs="Arial"/>
                <w:bCs/>
                <w:color w:val="000000"/>
                <w:lang w:eastAsia="es-ES_tradnl"/>
              </w:rPr>
              <w:t xml:space="preserve">Código del Comercio, artículos 1036, 1037, 1046. </w:t>
            </w:r>
          </w:p>
          <w:p w14:paraId="2BD9D5F2" w14:textId="77777777" w:rsidR="008C2CF3" w:rsidRPr="002F1C04" w:rsidRDefault="008C2CF3" w:rsidP="008C2CF3">
            <w:pPr>
              <w:pStyle w:val="Prrafodelista"/>
              <w:widowControl w:val="0"/>
              <w:numPr>
                <w:ilvl w:val="0"/>
                <w:numId w:val="3"/>
              </w:numPr>
              <w:autoSpaceDE w:val="0"/>
              <w:autoSpaceDN w:val="0"/>
              <w:spacing w:after="120" w:line="276" w:lineRule="auto"/>
              <w:ind w:left="714" w:hanging="357"/>
              <w:contextualSpacing w:val="0"/>
              <w:jc w:val="both"/>
              <w:rPr>
                <w:rFonts w:ascii="Verdana" w:hAnsi="Verdana" w:cs="Arial"/>
              </w:rPr>
            </w:pPr>
            <w:r w:rsidRPr="00EA7EBA">
              <w:rPr>
                <w:rFonts w:ascii="Verdana" w:eastAsia="Calibri" w:hAnsi="Verdana" w:cs="Arial"/>
                <w:bCs/>
                <w:color w:val="000000"/>
                <w:lang w:eastAsia="es-ES_tradnl"/>
              </w:rPr>
              <w:t>Decreto 2555 de 2010, artículos 2.31.1.2.1. y 2.31.1.2.5.</w:t>
            </w:r>
          </w:p>
        </w:tc>
      </w:tr>
    </w:tbl>
    <w:p w14:paraId="6E14CC43" w14:textId="77777777" w:rsidR="008C2CF3" w:rsidRPr="002407CE" w:rsidRDefault="008C2CF3" w:rsidP="008C2CF3">
      <w:pPr>
        <w:widowControl w:val="0"/>
        <w:autoSpaceDE w:val="0"/>
        <w:autoSpaceDN w:val="0"/>
        <w:spacing w:after="0" w:line="276" w:lineRule="auto"/>
        <w:jc w:val="both"/>
        <w:rPr>
          <w:rFonts w:ascii="Verdana" w:hAnsi="Verdana" w:cs="Arial"/>
        </w:rPr>
      </w:pPr>
    </w:p>
    <w:p w14:paraId="2EED17A2" w14:textId="77777777" w:rsidR="008C2CF3" w:rsidRPr="00593A5F" w:rsidRDefault="008C2CF3" w:rsidP="008C2CF3">
      <w:pPr>
        <w:pStyle w:val="Prrafodelista"/>
        <w:numPr>
          <w:ilvl w:val="0"/>
          <w:numId w:val="2"/>
        </w:numPr>
        <w:tabs>
          <w:tab w:val="left" w:pos="142"/>
          <w:tab w:val="left" w:pos="284"/>
        </w:tabs>
        <w:spacing w:after="0" w:line="276" w:lineRule="auto"/>
        <w:ind w:left="0" w:firstLine="0"/>
        <w:contextualSpacing w:val="0"/>
        <w:jc w:val="both"/>
        <w:rPr>
          <w:rFonts w:ascii="Verdana" w:eastAsia="Century Gothic" w:hAnsi="Verdana" w:cs="Century Gothic"/>
          <w:b/>
          <w:bCs/>
        </w:rPr>
      </w:pPr>
      <w:r>
        <w:rPr>
          <w:rFonts w:ascii="Verdana" w:eastAsia="Century Gothic" w:hAnsi="Verdana" w:cs="Century Gothic"/>
          <w:b/>
          <w:bCs/>
        </w:rPr>
        <w:t>Doctrina de la Agencia Nacional de Contratación Pública</w:t>
      </w:r>
      <w:r w:rsidRPr="00593A5F">
        <w:rPr>
          <w:rFonts w:ascii="Verdana" w:eastAsia="Century Gothic" w:hAnsi="Verdana" w:cs="Century Gothic"/>
          <w:b/>
          <w:bCs/>
        </w:rPr>
        <w:t>:</w:t>
      </w:r>
    </w:p>
    <w:p w14:paraId="58B06DE7" w14:textId="77777777" w:rsidR="008C2CF3" w:rsidRPr="00593A5F" w:rsidRDefault="008C2CF3" w:rsidP="008C2CF3">
      <w:pPr>
        <w:widowControl w:val="0"/>
        <w:autoSpaceDE w:val="0"/>
        <w:autoSpaceDN w:val="0"/>
        <w:spacing w:after="0" w:line="276" w:lineRule="auto"/>
        <w:jc w:val="both"/>
        <w:rPr>
          <w:rFonts w:ascii="Verdana" w:hAnsi="Verdana" w:cs="Arial"/>
        </w:rPr>
      </w:pPr>
    </w:p>
    <w:p w14:paraId="03751EC6" w14:textId="77777777" w:rsidR="008C2CF3" w:rsidRPr="00ED0098" w:rsidRDefault="008C2CF3" w:rsidP="008C2CF3">
      <w:pPr>
        <w:widowControl w:val="0"/>
        <w:autoSpaceDE w:val="0"/>
        <w:autoSpaceDN w:val="0"/>
        <w:spacing w:after="0" w:line="276" w:lineRule="auto"/>
        <w:jc w:val="both"/>
        <w:rPr>
          <w:rStyle w:val="normaltextrun"/>
          <w:rFonts w:ascii="Verdana" w:hAnsi="Verdana" w:cs="Arial"/>
          <w:shd w:val="clear" w:color="auto" w:fill="FFFFFF"/>
        </w:rPr>
      </w:pPr>
      <w:r w:rsidRPr="00177E85">
        <w:rPr>
          <w:rFonts w:ascii="Verdana" w:hAnsi="Verdana" w:cs="Arial"/>
          <w:shd w:val="clear" w:color="auto" w:fill="FFFFFF"/>
        </w:rPr>
        <w:t xml:space="preserve">Sobre la finalidad y propósito de la Ley de Garantías Electorales, la ANCP- CCE se ha pronunciado en los Conceptos 4201913000004536 de 17 de julio de 2019, 4201912000005556 del 12 de septiembre de 2019, 4201913000005175 del 13 de septiembre de 2019, 4201913000006452 del 07 de octubre de 2019, 4201913000005082 del 17 de octubre de 2019, 4201913000006306 del 21 de octubre de 2019, 4201912000006552 del 07 de noviembre de 2019, 4201913000006604 del 17 de diciembre de 2019,  C-227 del 24 de mayo de 2021 y 396 del 13 de agosto de 2021, C-439 del 27 de agosto de 2021, C-456 del 3 de septiembre, C-481 del 9 de septiembre de 2021, C- 528 del 27 de septiembre de 2021, C-550 del 5 de octubre de 2021 y C-523 del 10 de octubre de 2021, C-606 del 28 de octubre de 2021 y C-614 del 2 de noviembre de 2021, C-636 del 16 de noviembre de 2021, 681 del 7 de diciembre de 2021, C-686 del 21 de diciembre de 2021, C-697 del 3 de enero de 2022, C-317 del 25 de abril de 2025, C-510 del 4 de junio de 2025, 646 del 26 de junio de 2025, C-957 del 23 de agosto de 2025, C-975 del 28 de agosto de 2025, C-1015 del 4 de septiembre de 2025, C-1096 del 28 de agosto de 2025, C-1174 del 29 de septiembre de 2025, C- 1170 del 16 de septiembre de 2025, C-1194 del 3 de octubre de 2025, </w:t>
      </w:r>
      <w:r>
        <w:rPr>
          <w:rFonts w:ascii="Verdana" w:hAnsi="Verdana" w:cs="Arial"/>
          <w:shd w:val="clear" w:color="auto" w:fill="FFFFFF"/>
        </w:rPr>
        <w:t xml:space="preserve">C-1343 del 20 de octubre de 2025, C-1350 del 1˚ de octubre de 2025, C-1512 del 27 de octubre de 2025, C-1488 del 30 de octubre de 2025, </w:t>
      </w:r>
      <w:r>
        <w:rPr>
          <w:rFonts w:ascii="Verdana" w:hAnsi="Verdana" w:cs="Arial"/>
          <w:shd w:val="clear" w:color="auto" w:fill="FFFFFF"/>
        </w:rPr>
        <w:lastRenderedPageBreak/>
        <w:t xml:space="preserve">C-1596 del 6 de noviembre de 2025, </w:t>
      </w:r>
      <w:r w:rsidRPr="00177E85">
        <w:rPr>
          <w:rFonts w:ascii="Verdana" w:hAnsi="Verdana" w:cs="Arial"/>
          <w:shd w:val="clear" w:color="auto" w:fill="FFFFFF"/>
        </w:rPr>
        <w:t>entre otros</w:t>
      </w:r>
      <w:r>
        <w:rPr>
          <w:rFonts w:ascii="Verdana" w:hAnsi="Verdana"/>
        </w:rPr>
        <w:t xml:space="preserve">. Asimismo, </w:t>
      </w:r>
      <w:r w:rsidRPr="0094222D">
        <w:rPr>
          <w:rStyle w:val="normaltextrun"/>
          <w:rFonts w:ascii="Verdana" w:hAnsi="Verdana" w:cs="Arial"/>
          <w:shd w:val="clear" w:color="auto" w:fill="FFFFFF"/>
          <w:lang w:val="es-ES_tradnl"/>
        </w:rPr>
        <w:t xml:space="preserve">se ha pronunciado </w:t>
      </w:r>
      <w:r>
        <w:rPr>
          <w:rStyle w:val="normaltextrun"/>
          <w:rFonts w:ascii="Verdana" w:hAnsi="Verdana" w:cs="Arial"/>
          <w:shd w:val="clear" w:color="auto" w:fill="FFFFFF"/>
          <w:lang w:val="es-ES_tradnl"/>
        </w:rPr>
        <w:t xml:space="preserve">sobre el contrato de garantías estatales en conceptos tales como; </w:t>
      </w:r>
      <w:r w:rsidRPr="00EA7EBA">
        <w:rPr>
          <w:rFonts w:ascii="Verdana" w:hAnsi="Verdana" w:cs="Arial"/>
          <w:shd w:val="clear" w:color="auto" w:fill="FFFFFF"/>
          <w:lang w:val="es-ES"/>
        </w:rPr>
        <w:t>2201913000009075 del 9 de diciembre de 2019, C-080 del 8 de abril de 2021, C-525 del 27 de septiembre de 2021, C- 567 del 08 de octubre del 2021, C-036 del 28 de febrero del 2022, C-126 de 25 de marzo de 2022, C-583 del 19 de octubre de 2022, C-584 del 26 de septiembre de 2022, C-712 del 13 de octubre de 2022 y C-845 del 7 de diciembre de 2022, C-036 del 31 de marzo de 2023</w:t>
      </w:r>
      <w:r>
        <w:rPr>
          <w:rFonts w:ascii="Verdana" w:hAnsi="Verdana" w:cs="Arial"/>
          <w:shd w:val="clear" w:color="auto" w:fill="FFFFFF"/>
          <w:lang w:val="es-ES"/>
        </w:rPr>
        <w:t>,</w:t>
      </w:r>
      <w:r w:rsidRPr="00EA7EBA">
        <w:rPr>
          <w:rFonts w:ascii="Verdana" w:hAnsi="Verdana" w:cs="Arial"/>
          <w:shd w:val="clear" w:color="auto" w:fill="FFFFFF"/>
          <w:lang w:val="es-ES"/>
        </w:rPr>
        <w:t xml:space="preserve"> C-386 del 31 de enero de 2024</w:t>
      </w:r>
      <w:r>
        <w:rPr>
          <w:rFonts w:ascii="Verdana" w:hAnsi="Verdana" w:cs="Arial"/>
          <w:shd w:val="clear" w:color="auto" w:fill="FFFFFF"/>
          <w:lang w:val="es-ES"/>
        </w:rPr>
        <w:t>,</w:t>
      </w:r>
      <w:r w:rsidRPr="00EA7EBA">
        <w:rPr>
          <w:rFonts w:ascii="Verdana" w:hAnsi="Verdana" w:cs="Arial"/>
          <w:shd w:val="clear" w:color="auto" w:fill="FFFFFF"/>
          <w:lang w:val="es-ES"/>
        </w:rPr>
        <w:t xml:space="preserve"> C-306 del 12 de agosto de 2024</w:t>
      </w:r>
      <w:r>
        <w:rPr>
          <w:rFonts w:ascii="Verdana" w:hAnsi="Verdana" w:cs="Arial"/>
          <w:shd w:val="clear" w:color="auto" w:fill="FFFFFF"/>
          <w:lang w:val="es-ES"/>
        </w:rPr>
        <w:t>, y C-380</w:t>
      </w:r>
      <w:r>
        <w:rPr>
          <w:rStyle w:val="normaltextrun"/>
          <w:rFonts w:ascii="Verdana" w:hAnsi="Verdana" w:cs="Arial"/>
          <w:shd w:val="clear" w:color="auto" w:fill="FFFFFF"/>
          <w:lang w:val="es-ES_tradnl"/>
        </w:rPr>
        <w:t xml:space="preserve"> del 7 de mayo de 2025.</w:t>
      </w:r>
      <w:r>
        <w:rPr>
          <w:rFonts w:ascii="Verdana" w:hAnsi="Verdana" w:cs="Arial"/>
          <w:shd w:val="clear" w:color="auto" w:fill="FFFFFF"/>
        </w:rPr>
        <w:t xml:space="preserve"> </w:t>
      </w:r>
      <w:r w:rsidRPr="00DD0AFF">
        <w:rPr>
          <w:rFonts w:ascii="Verdana" w:hAnsi="Verdana" w:cs="Arial"/>
          <w:shd w:val="clear" w:color="auto" w:fill="FFFFFF"/>
        </w:rPr>
        <w:t>Est</w:t>
      </w:r>
      <w:r>
        <w:rPr>
          <w:rFonts w:ascii="Verdana" w:hAnsi="Verdana" w:cs="Arial"/>
          <w:shd w:val="clear" w:color="auto" w:fill="FFFFFF"/>
        </w:rPr>
        <w:t>os</w:t>
      </w:r>
      <w:r w:rsidRPr="00DD0AFF">
        <w:rPr>
          <w:rFonts w:ascii="Verdana" w:hAnsi="Verdana" w:cs="Arial"/>
          <w:shd w:val="clear" w:color="auto" w:fill="FFFFFF"/>
        </w:rPr>
        <w:t> </w:t>
      </w:r>
      <w:r w:rsidRPr="008D0AB0">
        <w:rPr>
          <w:rStyle w:val="normaltextrun"/>
          <w:rFonts w:ascii="Verdana" w:hAnsi="Verdana" w:cs="Arial"/>
          <w:shd w:val="clear" w:color="auto" w:fill="FFFFFF"/>
        </w:rPr>
        <w:t xml:space="preserve">se encuentran disponibles para consulta en el Sistema de relatoría de la Agencia, al cual puede accederse a través del siguiente enlace: </w:t>
      </w:r>
      <w:hyperlink r:id="rId12" w:history="1">
        <w:r w:rsidRPr="00186F77">
          <w:rPr>
            <w:rStyle w:val="Hipervnculo"/>
            <w:rFonts w:ascii="Verdana" w:hAnsi="Verdana" w:cs="Arial"/>
            <w:shd w:val="clear" w:color="auto" w:fill="FFFFFF"/>
          </w:rPr>
          <w:t>https://relatoria.colombiacompra.gov.co/busqueda/conceptos</w:t>
        </w:r>
      </w:hyperlink>
      <w:r>
        <w:rPr>
          <w:rStyle w:val="normaltextrun"/>
          <w:rFonts w:ascii="Verdana" w:hAnsi="Verdana" w:cs="Arial"/>
          <w:shd w:val="clear" w:color="auto" w:fill="FFFFFF"/>
        </w:rPr>
        <w:t>.</w:t>
      </w:r>
      <w:r w:rsidRPr="008D0AB0">
        <w:rPr>
          <w:rStyle w:val="normaltextrun"/>
          <w:rFonts w:ascii="Verdana" w:hAnsi="Verdana" w:cs="Arial"/>
          <w:shd w:val="clear" w:color="auto" w:fill="FFFFFF"/>
        </w:rPr>
        <w:t xml:space="preserve"> </w:t>
      </w:r>
      <w:r>
        <w:rPr>
          <w:rStyle w:val="normaltextrun"/>
          <w:rFonts w:ascii="Verdana" w:hAnsi="Verdana" w:cs="Arial"/>
          <w:color w:val="FF0000"/>
          <w:shd w:val="clear" w:color="auto" w:fill="FFFFFF"/>
          <w:lang w:val="es-ES"/>
        </w:rPr>
        <w:t xml:space="preserve"> </w:t>
      </w:r>
    </w:p>
    <w:p w14:paraId="3F2A3BF7" w14:textId="77777777" w:rsidR="008C2CF3" w:rsidRPr="00096788" w:rsidRDefault="008C2CF3" w:rsidP="008C2CF3">
      <w:pPr>
        <w:widowControl w:val="0"/>
        <w:autoSpaceDE w:val="0"/>
        <w:autoSpaceDN w:val="0"/>
        <w:spacing w:after="0" w:line="276" w:lineRule="auto"/>
        <w:jc w:val="both"/>
        <w:rPr>
          <w:rFonts w:ascii="Verdana" w:hAnsi="Verdana" w:cs="Arial"/>
          <w:color w:val="000000" w:themeColor="text1"/>
          <w:shd w:val="clear" w:color="auto" w:fill="FFFFFF"/>
        </w:rPr>
      </w:pPr>
    </w:p>
    <w:p w14:paraId="524B48BF" w14:textId="77777777" w:rsidR="008C2CF3" w:rsidRPr="00AE4CB7" w:rsidRDefault="008C2CF3" w:rsidP="008C2CF3">
      <w:pPr>
        <w:spacing w:after="0" w:line="276" w:lineRule="auto"/>
        <w:jc w:val="both"/>
        <w:rPr>
          <w:rFonts w:ascii="Verdana" w:hAnsi="Verdana"/>
        </w:rPr>
      </w:pPr>
      <w:r w:rsidRPr="009A385A">
        <w:rPr>
          <w:rFonts w:ascii="Verdana" w:hAnsi="Verdana"/>
        </w:rPr>
        <w:t xml:space="preserve">La sostenibilidad no es una opción, es una </w:t>
      </w:r>
      <w:r>
        <w:rPr>
          <w:rFonts w:ascii="Verdana" w:hAnsi="Verdana"/>
        </w:rPr>
        <w:t>obligación</w:t>
      </w:r>
      <w:r w:rsidRPr="009A385A">
        <w:rPr>
          <w:rFonts w:ascii="Verdana" w:hAnsi="Verdana"/>
        </w:rPr>
        <w:t xml:space="preserve">. Por ello,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3" w:tgtFrame="_new" w:history="1">
        <w:r w:rsidRPr="009A385A">
          <w:rPr>
            <w:rStyle w:val="Hipervnculo"/>
            <w:rFonts w:ascii="Verdana" w:hAnsi="Verdana"/>
          </w:rPr>
          <w:t>https://formacionvirtual.colombiacompra.gov.co/mod/page/view.php?id=3718</w:t>
        </w:r>
      </w:hyperlink>
    </w:p>
    <w:p w14:paraId="2D32B54F" w14:textId="77777777" w:rsidR="008C2CF3" w:rsidRPr="009A385A" w:rsidRDefault="008C2CF3" w:rsidP="008C2CF3">
      <w:pPr>
        <w:spacing w:after="0" w:line="276" w:lineRule="auto"/>
        <w:jc w:val="both"/>
        <w:rPr>
          <w:rFonts w:ascii="Verdana" w:hAnsi="Verdana"/>
        </w:rPr>
      </w:pPr>
    </w:p>
    <w:p w14:paraId="0D625D16" w14:textId="77777777" w:rsidR="008C2CF3" w:rsidRPr="00AE4CB7" w:rsidRDefault="008C2CF3" w:rsidP="008C2CF3">
      <w:pPr>
        <w:spacing w:after="0" w:line="276" w:lineRule="auto"/>
        <w:jc w:val="both"/>
        <w:rPr>
          <w:rFonts w:ascii="Verdana" w:hAnsi="Verdana"/>
        </w:rPr>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 xml:space="preserve">da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9A385A">
        <w:rPr>
          <w:rFonts w:ascii="Verdana" w:hAnsi="Verdana"/>
          <w:b/>
          <w:bCs/>
        </w:rPr>
        <w:t>Resoluciones 539, 540, 541, 952 y 953 de 2025</w:t>
      </w:r>
      <w:r w:rsidRPr="00635F16">
        <w:rPr>
          <w:rFonts w:ascii="Verdana" w:hAnsi="Verdana"/>
        </w:rPr>
        <w:t xml:space="preserve">, </w:t>
      </w:r>
      <w:r w:rsidRPr="009A385A">
        <w:rPr>
          <w:rFonts w:ascii="Verdana" w:hAnsi="Verdana"/>
          <w:b/>
          <w:bCs/>
        </w:rPr>
        <w:t>mediante las cuales adopt</w:t>
      </w:r>
      <w:r>
        <w:rPr>
          <w:rFonts w:ascii="Verdana" w:hAnsi="Verdana"/>
          <w:b/>
          <w:bCs/>
        </w:rPr>
        <w:t>ó</w:t>
      </w:r>
      <w:r w:rsidRPr="009A385A">
        <w:rPr>
          <w:rFonts w:ascii="Verdana" w:hAnsi="Verdana"/>
          <w:b/>
          <w:bCs/>
        </w:rPr>
        <w:t xml:space="preserve"> Documentos Tipo</w:t>
      </w:r>
      <w:r w:rsidRPr="00635F16">
        <w:rPr>
          <w:rFonts w:ascii="Verdana" w:hAnsi="Verdana"/>
        </w:rPr>
        <w:t xml:space="preserve"> para</w:t>
      </w:r>
      <w:r>
        <w:rPr>
          <w:rFonts w:ascii="Verdana" w:hAnsi="Verdana"/>
        </w:rPr>
        <w:t xml:space="preserve"> las modalidades de selección </w:t>
      </w:r>
      <w:r w:rsidRPr="007D7084">
        <w:rPr>
          <w:rFonts w:ascii="Verdana" w:hAnsi="Verdana"/>
        </w:rPr>
        <w:t>de</w:t>
      </w:r>
      <w:r w:rsidRPr="009A385A">
        <w:rPr>
          <w:rFonts w:ascii="Verdana" w:hAnsi="Verdana"/>
          <w:b/>
          <w:bCs/>
        </w:rPr>
        <w:t xml:space="preserve"> licitación pública (versión 2), selección abreviada de menor cuantía, mínima cuantía, consultoría e interventoría</w:t>
      </w:r>
      <w:r w:rsidRPr="00635F16">
        <w:rPr>
          <w:rFonts w:ascii="Verdana" w:hAnsi="Verdana"/>
        </w:rPr>
        <w:t>, promoviendo procesos más transparentes, eficientes  competitivos</w:t>
      </w:r>
      <w:r>
        <w:rPr>
          <w:rFonts w:ascii="Verdana" w:hAnsi="Verdana"/>
        </w:rPr>
        <w:t xml:space="preserve"> y sostenibles</w:t>
      </w:r>
      <w:r w:rsidRPr="00635F16">
        <w:rPr>
          <w:rFonts w:ascii="Verdana" w:hAnsi="Verdana"/>
        </w:rPr>
        <w:t xml:space="preserve"> en sectores estratégicos como educación, salud, cultura, recreación</w:t>
      </w:r>
      <w:r>
        <w:rPr>
          <w:rFonts w:ascii="Verdana" w:hAnsi="Verdana"/>
        </w:rPr>
        <w:t xml:space="preserve">, </w:t>
      </w:r>
      <w:r w:rsidRPr="00635F16">
        <w:rPr>
          <w:rFonts w:ascii="Verdana" w:hAnsi="Verdana"/>
        </w:rPr>
        <w:t xml:space="preserve">deporte, institucional y vivienda. Consulta y descarga los documentos aquí: </w:t>
      </w:r>
      <w:hyperlink r:id="rId14" w:tgtFrame="_new" w:history="1">
        <w:r w:rsidRPr="00635F16">
          <w:rPr>
            <w:rStyle w:val="Hipervnculo"/>
            <w:rFonts w:ascii="Verdana" w:hAnsi="Verdana"/>
          </w:rPr>
          <w:t>https://www.colombiacompra.gov.co/normativa-y-relatoria/documentos-tipo</w:t>
        </w:r>
      </w:hyperlink>
    </w:p>
    <w:p w14:paraId="1199D01D" w14:textId="77777777" w:rsidR="008C2CF3" w:rsidRDefault="008C2CF3" w:rsidP="008C2CF3">
      <w:pPr>
        <w:spacing w:after="0" w:line="276" w:lineRule="auto"/>
        <w:jc w:val="both"/>
        <w:rPr>
          <w:rFonts w:ascii="Verdana" w:hAnsi="Verdana"/>
        </w:rPr>
      </w:pPr>
    </w:p>
    <w:p w14:paraId="54D1A813" w14:textId="77777777" w:rsidR="008C2CF3" w:rsidRPr="008E1CD7" w:rsidRDefault="008C2CF3" w:rsidP="008C2CF3">
      <w:pPr>
        <w:spacing w:after="0" w:line="276" w:lineRule="auto"/>
        <w:jc w:val="both"/>
        <w:rPr>
          <w:rFonts w:ascii="Verdana" w:hAnsi="Verdana"/>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 xml:space="preserve">se incorporaron orientaciones prácticas dirigidas a entidades </w:t>
      </w:r>
      <w:r w:rsidRPr="00797327">
        <w:rPr>
          <w:rFonts w:ascii="Verdana" w:hAnsi="Verdana"/>
        </w:rPr>
        <w:lastRenderedPageBreak/>
        <w:t>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797327">
        <w:rPr>
          <w:rFonts w:ascii="Verdana" w:hAnsi="Verdana"/>
        </w:rPr>
        <w:t>Además se incluye</w:t>
      </w:r>
      <w:r>
        <w:rPr>
          <w:rFonts w:ascii="Verdana" w:hAnsi="Verdana"/>
        </w:rPr>
        <w:t>ron</w:t>
      </w:r>
      <w:r w:rsidRPr="00797327">
        <w:rPr>
          <w:rFonts w:ascii="Verdana" w:hAnsi="Verdana"/>
        </w:rPr>
        <w:t xml:space="preserve"> lineamientos que orientan la implementación de los criterios ambientales y sociales incluidos en los documentos tipo: </w:t>
      </w:r>
      <w:r w:rsidRPr="009A385A">
        <w:rPr>
          <w:rFonts w:ascii="Verdana" w:hAnsi="Verdana"/>
        </w:rPr>
        <w:t>Consulta la guía aquí:</w:t>
      </w:r>
      <w:r w:rsidRPr="009A385A">
        <w:rPr>
          <w:rFonts w:ascii="Verdana" w:hAnsi="Verdana"/>
        </w:rPr>
        <w:br/>
      </w:r>
      <w:hyperlink r:id="rId15" w:tgtFrame="_new" w:history="1">
        <w:r w:rsidRPr="009A385A">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0A29BBF2" w14:textId="77777777" w:rsidR="008C2CF3" w:rsidRDefault="008C2CF3" w:rsidP="008C2CF3">
      <w:pPr>
        <w:shd w:val="clear" w:color="auto" w:fill="FFFFFF"/>
        <w:spacing w:after="0" w:line="276" w:lineRule="auto"/>
        <w:jc w:val="both"/>
        <w:rPr>
          <w:rFonts w:ascii="Verdana" w:hAnsi="Verdana"/>
          <w:color w:val="000000"/>
          <w:u w:val="single"/>
        </w:rPr>
      </w:pPr>
    </w:p>
    <w:p w14:paraId="7E1BDA9F" w14:textId="77777777" w:rsidR="008C2CF3" w:rsidRPr="0038088D" w:rsidRDefault="008C2CF3" w:rsidP="008C2CF3">
      <w:pPr>
        <w:spacing w:after="0" w:line="276" w:lineRule="auto"/>
        <w:jc w:val="both"/>
        <w:rPr>
          <w:rFonts w:ascii="Verdana" w:hAnsi="Verdana"/>
        </w:rPr>
      </w:pPr>
      <w:r>
        <w:rPr>
          <w:rFonts w:ascii="Verdana" w:hAnsi="Verdana"/>
        </w:rPr>
        <w:t>A</w:t>
      </w:r>
      <w:r w:rsidRPr="00E02524">
        <w:rPr>
          <w:rFonts w:ascii="Verdana" w:hAnsi="Verdana"/>
        </w:rPr>
        <w:t xml:space="preserve">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w:t>
      </w:r>
      <w:r w:rsidRPr="0038088D">
        <w:rPr>
          <w:rFonts w:ascii="Verdana" w:hAnsi="Verdana"/>
        </w:rPr>
        <w:t xml:space="preserve">atención: </w:t>
      </w:r>
    </w:p>
    <w:p w14:paraId="0D9F104F" w14:textId="77777777" w:rsidR="008C2CF3" w:rsidRPr="0038088D" w:rsidRDefault="008C2CF3" w:rsidP="008C2CF3">
      <w:pPr>
        <w:spacing w:after="0" w:line="276" w:lineRule="auto"/>
        <w:jc w:val="both"/>
        <w:rPr>
          <w:rFonts w:ascii="Verdana" w:hAnsi="Verdana"/>
        </w:rPr>
      </w:pPr>
    </w:p>
    <w:p w14:paraId="2A4154A2" w14:textId="77777777" w:rsidR="008C2CF3" w:rsidRPr="0038088D" w:rsidRDefault="008C2CF3" w:rsidP="008C2CF3">
      <w:pPr>
        <w:pStyle w:val="Prrafodelista"/>
        <w:numPr>
          <w:ilvl w:val="0"/>
          <w:numId w:val="1"/>
        </w:numPr>
        <w:spacing w:after="0" w:line="276" w:lineRule="auto"/>
        <w:jc w:val="both"/>
        <w:rPr>
          <w:rFonts w:ascii="Verdana" w:eastAsia="Verdana" w:hAnsi="Verdana" w:cs="Verdana"/>
          <w:color w:val="156082" w:themeColor="accent1"/>
          <w:u w:val="single"/>
        </w:rPr>
      </w:pPr>
      <w:r w:rsidRPr="0038088D">
        <w:rPr>
          <w:rFonts w:ascii="Verdana" w:eastAsia="Verdana" w:hAnsi="Verdana" w:cs="Verdana"/>
        </w:rPr>
        <w:t xml:space="preserve">Línea nacional gratuita o servicio a la ciudadanía (Mesa de servicio): </w:t>
      </w:r>
      <w:r w:rsidRPr="0038088D">
        <w:rPr>
          <w:rStyle w:val="Hipervnculo"/>
          <w:rFonts w:ascii="Verdana" w:hAnsi="Verdana"/>
        </w:rPr>
        <w:t>01800 0520808</w:t>
      </w:r>
    </w:p>
    <w:p w14:paraId="27588B97" w14:textId="77777777" w:rsidR="008C2CF3" w:rsidRPr="0038088D" w:rsidRDefault="008C2CF3" w:rsidP="008C2CF3">
      <w:pPr>
        <w:pStyle w:val="Prrafodelista"/>
        <w:numPr>
          <w:ilvl w:val="0"/>
          <w:numId w:val="1"/>
        </w:numPr>
        <w:spacing w:after="0" w:line="276" w:lineRule="auto"/>
        <w:rPr>
          <w:rFonts w:ascii="Verdana" w:eastAsia="Verdana" w:hAnsi="Verdana" w:cs="Verdana"/>
          <w:color w:val="156082" w:themeColor="accent1"/>
          <w:u w:val="single"/>
        </w:rPr>
      </w:pPr>
      <w:r w:rsidRPr="0038088D">
        <w:rPr>
          <w:rFonts w:ascii="Verdana" w:eastAsia="Verdana" w:hAnsi="Verdana" w:cs="Verdana"/>
        </w:rPr>
        <w:t>Línea en Bogotá (Mesa de servicio):</w:t>
      </w:r>
      <w:r w:rsidRPr="0038088D">
        <w:rPr>
          <w:rStyle w:val="Hipervnculo"/>
          <w:rFonts w:ascii="Verdana" w:hAnsi="Verdana"/>
        </w:rPr>
        <w:t>+57 601 7456788</w:t>
      </w:r>
    </w:p>
    <w:p w14:paraId="0AEFF74D" w14:textId="77777777" w:rsidR="008C2CF3" w:rsidRPr="0038088D" w:rsidRDefault="008C2CF3" w:rsidP="008C2CF3">
      <w:pPr>
        <w:pStyle w:val="Prrafodelista"/>
        <w:numPr>
          <w:ilvl w:val="0"/>
          <w:numId w:val="1"/>
        </w:numPr>
        <w:spacing w:after="0" w:line="276" w:lineRule="auto"/>
        <w:rPr>
          <w:rFonts w:ascii="Verdana" w:eastAsia="Verdana" w:hAnsi="Verdana" w:cs="Verdana"/>
          <w:color w:val="0000FF"/>
          <w:u w:val="single"/>
        </w:rPr>
      </w:pPr>
      <w:r w:rsidRPr="0038088D">
        <w:rPr>
          <w:rFonts w:ascii="Verdana" w:eastAsia="Verdana" w:hAnsi="Verdana" w:cs="Verdana"/>
        </w:rPr>
        <w:t xml:space="preserve">Correo de radicación de correspondencia: </w:t>
      </w:r>
      <w:hyperlink r:id="rId16">
        <w:r w:rsidRPr="0038088D">
          <w:rPr>
            <w:rStyle w:val="Hipervnculo"/>
            <w:rFonts w:ascii="Verdana" w:eastAsia="Verdana" w:hAnsi="Verdana" w:cs="Verdana"/>
          </w:rPr>
          <w:t>ventanilladeradicacion@colombiacompra.gov.co</w:t>
        </w:r>
      </w:hyperlink>
    </w:p>
    <w:p w14:paraId="32EEF77A" w14:textId="77777777" w:rsidR="008C2CF3" w:rsidRPr="0038088D" w:rsidRDefault="008C2CF3" w:rsidP="008C2CF3">
      <w:pPr>
        <w:pStyle w:val="Prrafodelista"/>
        <w:numPr>
          <w:ilvl w:val="0"/>
          <w:numId w:val="1"/>
        </w:numPr>
        <w:spacing w:after="0" w:line="276" w:lineRule="auto"/>
        <w:rPr>
          <w:rFonts w:ascii="Verdana" w:eastAsia="Verdana" w:hAnsi="Verdana" w:cs="Verdana"/>
          <w:color w:val="0000FF"/>
          <w:u w:val="single"/>
        </w:rPr>
      </w:pPr>
      <w:r w:rsidRPr="0038088D">
        <w:rPr>
          <w:rFonts w:ascii="Verdana" w:eastAsia="Verdana" w:hAnsi="Verdana" w:cs="Verdana"/>
        </w:rPr>
        <w:t>Formulario web para</w:t>
      </w:r>
      <w:r w:rsidRPr="0038088D">
        <w:rPr>
          <w:rFonts w:ascii="Verdana" w:eastAsia="Verdana" w:hAnsi="Verdana" w:cs="Verdana"/>
          <w:lang w:val="es"/>
        </w:rPr>
        <w:t xml:space="preserve"> PQRSD: </w:t>
      </w:r>
      <w:hyperlink r:id="rId17">
        <w:r w:rsidRPr="0038088D">
          <w:rPr>
            <w:rStyle w:val="Hipervnculo"/>
            <w:rFonts w:ascii="Verdana" w:eastAsia="Verdana" w:hAnsi="Verdana" w:cs="Verdana"/>
          </w:rPr>
          <w:t>https://www.colombiacompra.gov.co/pqrsd/informacion-importante-antes-de-formular-una-pqrsd</w:t>
        </w:r>
      </w:hyperlink>
    </w:p>
    <w:p w14:paraId="1498C722" w14:textId="77777777" w:rsidR="008C2CF3" w:rsidRPr="0038088D" w:rsidRDefault="008C2CF3" w:rsidP="008C2CF3">
      <w:pPr>
        <w:spacing w:after="0" w:line="276" w:lineRule="auto"/>
        <w:ind w:left="720"/>
        <w:jc w:val="both"/>
        <w:rPr>
          <w:rFonts w:ascii="Verdana" w:hAnsi="Verdana"/>
        </w:rPr>
      </w:pPr>
    </w:p>
    <w:p w14:paraId="441C2597" w14:textId="77777777" w:rsidR="008C2CF3" w:rsidRPr="0038088D" w:rsidRDefault="008C2CF3" w:rsidP="008C2CF3">
      <w:pPr>
        <w:spacing w:after="0" w:line="276" w:lineRule="auto"/>
        <w:rPr>
          <w:rFonts w:ascii="Verdana" w:hAnsi="Verdana"/>
        </w:rPr>
      </w:pPr>
      <w:r w:rsidRPr="0038088D">
        <w:rPr>
          <w:rFonts w:ascii="Verdana" w:hAnsi="Verdana"/>
        </w:rPr>
        <w:t>Evalúa el servicio que ofrece la Agencia por el canal de atención de PQRSD en el siguiente enlace :</w:t>
      </w:r>
      <w:hyperlink r:id="rId18" w:tgtFrame="_blank" w:tooltip="https://forms.office.com/r/pphywvs2sz" w:history="1">
        <w:r w:rsidRPr="0038088D">
          <w:rPr>
            <w:rStyle w:val="Hipervnculo"/>
            <w:rFonts w:ascii="Verdana" w:hAnsi="Verdana"/>
          </w:rPr>
          <w:t>https://forms.office.com/r/pPHyWVs2SZ</w:t>
        </w:r>
      </w:hyperlink>
      <w:r w:rsidRPr="0038088D">
        <w:rPr>
          <w:rFonts w:ascii="Verdana" w:hAnsi="Verdana"/>
        </w:rPr>
        <w:t xml:space="preserve"> .¡Ayúdanos a mejorar porque el compromiso es de todos!</w:t>
      </w:r>
    </w:p>
    <w:p w14:paraId="06DADB37" w14:textId="77777777" w:rsidR="008C2CF3" w:rsidRPr="0038088D" w:rsidRDefault="008C2CF3" w:rsidP="008C2CF3">
      <w:pPr>
        <w:spacing w:after="0" w:line="276" w:lineRule="auto"/>
        <w:rPr>
          <w:rFonts w:ascii="Verdana" w:hAnsi="Verdana"/>
        </w:rPr>
      </w:pPr>
    </w:p>
    <w:p w14:paraId="151879CA" w14:textId="77777777" w:rsidR="008C2CF3" w:rsidRPr="0038088D" w:rsidRDefault="008C2CF3" w:rsidP="008C2CF3">
      <w:pPr>
        <w:spacing w:after="0" w:line="276" w:lineRule="auto"/>
        <w:jc w:val="both"/>
        <w:rPr>
          <w:rFonts w:ascii="Verdana" w:hAnsi="Verdana"/>
        </w:rPr>
      </w:pPr>
      <w:r w:rsidRPr="0038088D">
        <w:rPr>
          <w:rFonts w:ascii="Verdana" w:hAnsi="Verdana"/>
        </w:rPr>
        <w:t xml:space="preserve">Por último, lo invitamos a seguirnos en las redes sociales en las cuales se difunde información institucional: </w:t>
      </w:r>
    </w:p>
    <w:p w14:paraId="670505AF" w14:textId="77777777" w:rsidR="008C2CF3" w:rsidRPr="00116940" w:rsidRDefault="008C2CF3" w:rsidP="008C2CF3">
      <w:pPr>
        <w:spacing w:after="0" w:line="276" w:lineRule="auto"/>
        <w:jc w:val="both"/>
        <w:rPr>
          <w:rFonts w:ascii="Verdana" w:hAnsi="Verdana"/>
        </w:rPr>
      </w:pPr>
    </w:p>
    <w:p w14:paraId="46B7F978" w14:textId="77777777" w:rsidR="008C2CF3" w:rsidRPr="00116940" w:rsidRDefault="008C2CF3" w:rsidP="008C2CF3">
      <w:pPr>
        <w:spacing w:after="0" w:line="276"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1AEA43D7" w14:textId="77777777" w:rsidR="008C2CF3" w:rsidRPr="00116940" w:rsidRDefault="008C2CF3" w:rsidP="008C2CF3">
      <w:pPr>
        <w:spacing w:after="0" w:line="276" w:lineRule="auto"/>
        <w:jc w:val="both"/>
        <w:rPr>
          <w:rFonts w:ascii="Verdana" w:hAnsi="Verdana"/>
        </w:rPr>
      </w:pPr>
      <w:r w:rsidRPr="00116940">
        <w:rPr>
          <w:rFonts w:ascii="Verdana" w:hAnsi="Verdana"/>
        </w:rPr>
        <w:t xml:space="preserve">Facebook: </w:t>
      </w:r>
      <w:r w:rsidRPr="00116940">
        <w:rPr>
          <w:rStyle w:val="Hipervnculo"/>
          <w:rFonts w:ascii="Verdana" w:hAnsi="Verdana"/>
        </w:rPr>
        <w:t>ColombiaCompraEficiente</w:t>
      </w:r>
    </w:p>
    <w:p w14:paraId="28396161" w14:textId="77777777" w:rsidR="008C2CF3" w:rsidRPr="00E22E6E" w:rsidRDefault="008C2CF3" w:rsidP="008C2CF3">
      <w:pPr>
        <w:spacing w:after="0" w:line="276"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3C598AA6" w14:textId="77777777" w:rsidR="008C2CF3" w:rsidRPr="009C4035" w:rsidRDefault="008C2CF3" w:rsidP="008C2CF3">
      <w:pPr>
        <w:shd w:val="clear" w:color="auto" w:fill="FFFFFF"/>
        <w:spacing w:after="0" w:line="276" w:lineRule="auto"/>
        <w:jc w:val="both"/>
        <w:rPr>
          <w:rFonts w:ascii="Verdana" w:hAnsi="Verdana" w:cs="Arial"/>
          <w:color w:val="FF0000"/>
          <w:shd w:val="clear" w:color="auto" w:fill="FFFFFF"/>
          <w:lang w:val="es-ES_tradnl"/>
        </w:rPr>
      </w:pPr>
      <w:r w:rsidRPr="004A73EC">
        <w:rPr>
          <w:rFonts w:ascii="Verdana" w:hAnsi="Verdana" w:cs="Arial"/>
          <w:color w:val="000000" w:themeColor="text1"/>
          <w:shd w:val="clear" w:color="auto" w:fill="FFFFFF"/>
          <w:lang w:val="es-ES_tradnl"/>
        </w:rPr>
        <w:lastRenderedPageBreak/>
        <w:t xml:space="preserve"> </w:t>
      </w:r>
      <w:r w:rsidRPr="004A73EC">
        <w:rPr>
          <w:rStyle w:val="normaltextrun"/>
          <w:rFonts w:ascii="Verdana" w:hAnsi="Verdana" w:cs="Arial"/>
          <w:color w:val="FF0000"/>
          <w:shd w:val="clear" w:color="auto" w:fill="FFFFFF"/>
          <w:lang w:val="es-ES_tradnl"/>
        </w:rPr>
        <w:t xml:space="preserve">        </w:t>
      </w:r>
    </w:p>
    <w:p w14:paraId="5228D5ED" w14:textId="77777777" w:rsidR="008C2CF3" w:rsidRPr="00593A5F" w:rsidRDefault="008C2CF3" w:rsidP="008C2CF3">
      <w:pPr>
        <w:widowControl w:val="0"/>
        <w:autoSpaceDE w:val="0"/>
        <w:autoSpaceDN w:val="0"/>
        <w:spacing w:after="0" w:line="276" w:lineRule="auto"/>
        <w:jc w:val="both"/>
        <w:rPr>
          <w:rFonts w:ascii="Verdana" w:hAnsi="Verdana" w:cs="Arial"/>
          <w:lang w:val="es-ES_tradnl"/>
        </w:rPr>
      </w:pPr>
      <w:r w:rsidRPr="00593A5F">
        <w:rPr>
          <w:rFonts w:ascii="Verdana" w:hAnsi="Verdana" w:cs="Arial"/>
        </w:rPr>
        <w:t xml:space="preserve">Este concepto tiene el alcance previsto en el artículo 28 del Código de Procedimiento Administrativo y de lo Contencioso Administrativo </w:t>
      </w:r>
      <w:r w:rsidRPr="00593A5F">
        <w:rPr>
          <w:rFonts w:ascii="Verdana" w:hAnsi="Verdana" w:cs="Arial"/>
          <w:lang w:val="es-ES_tradnl"/>
        </w:rPr>
        <w:t>y las expresiones aquí utilizadas con mayúscula inicial deben ser entendidas con el significado que les otorga el artículo 2.2.1.1.1.3.1. del Decreto 1082 de 2015.</w:t>
      </w:r>
      <w:r>
        <w:rPr>
          <w:rFonts w:ascii="Verdana" w:hAnsi="Verdana" w:cs="Arial"/>
          <w:lang w:val="es-ES_tradnl"/>
        </w:rPr>
        <w:t xml:space="preserve"> </w:t>
      </w:r>
    </w:p>
    <w:p w14:paraId="03A3B3DA" w14:textId="77777777" w:rsidR="008C2CF3" w:rsidRPr="00593A5F" w:rsidRDefault="008C2CF3" w:rsidP="008C2CF3">
      <w:pPr>
        <w:widowControl w:val="0"/>
        <w:autoSpaceDE w:val="0"/>
        <w:autoSpaceDN w:val="0"/>
        <w:spacing w:after="0" w:line="276" w:lineRule="auto"/>
        <w:jc w:val="both"/>
        <w:rPr>
          <w:rFonts w:ascii="Verdana" w:hAnsi="Verdana" w:cs="Arial"/>
        </w:rPr>
      </w:pPr>
    </w:p>
    <w:p w14:paraId="3A376200" w14:textId="77777777" w:rsidR="008C2CF3" w:rsidRPr="00593A5F" w:rsidRDefault="008C2CF3" w:rsidP="008C2CF3">
      <w:pPr>
        <w:spacing w:after="0" w:line="276" w:lineRule="auto"/>
        <w:rPr>
          <w:rFonts w:ascii="Verdana" w:hAnsi="Verdana" w:cs="Arial"/>
          <w:lang w:eastAsia="es-CO"/>
        </w:rPr>
      </w:pPr>
      <w:r w:rsidRPr="00593A5F">
        <w:rPr>
          <w:rFonts w:ascii="Verdana" w:eastAsia="Times New Roman" w:hAnsi="Verdana" w:cs="Arial"/>
          <w:lang w:eastAsia="es-CO"/>
        </w:rPr>
        <w:t>Atentamente,</w:t>
      </w:r>
      <w:r w:rsidRPr="00593A5F">
        <w:rPr>
          <w:rFonts w:ascii="Verdana" w:hAnsi="Verdana" w:cs="Arial"/>
          <w:lang w:eastAsia="es-CO"/>
        </w:rPr>
        <w:t xml:space="preserve"> </w:t>
      </w:r>
    </w:p>
    <w:p w14:paraId="2D1AF23E" w14:textId="04E29F92" w:rsidR="00761511" w:rsidRPr="00761511" w:rsidRDefault="00761511" w:rsidP="00761511">
      <w:pPr>
        <w:spacing w:line="276" w:lineRule="auto"/>
        <w:jc w:val="center"/>
        <w:rPr>
          <w:rFonts w:ascii="Verdana" w:hAnsi="Verdana" w:cs="Arial"/>
          <w:color w:val="000000"/>
          <w:lang w:eastAsia="es-CO"/>
        </w:rPr>
      </w:pPr>
      <w:r w:rsidRPr="00761511">
        <w:rPr>
          <w:rFonts w:ascii="Verdana" w:hAnsi="Verdana" w:cs="Arial"/>
          <w:noProof/>
          <w:color w:val="000000"/>
          <w:lang w:eastAsia="es-CO"/>
        </w:rPr>
        <w:drawing>
          <wp:inline distT="0" distB="0" distL="0" distR="0" wp14:anchorId="392DCCEA" wp14:editId="14406154">
            <wp:extent cx="3771900" cy="1400175"/>
            <wp:effectExtent l="0" t="0" r="0" b="9525"/>
            <wp:docPr id="16323156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71900" cy="1400175"/>
                    </a:xfrm>
                    <a:prstGeom prst="rect">
                      <a:avLst/>
                    </a:prstGeom>
                    <a:noFill/>
                    <a:ln>
                      <a:noFill/>
                    </a:ln>
                  </pic:spPr>
                </pic:pic>
              </a:graphicData>
            </a:graphic>
          </wp:inline>
        </w:drawing>
      </w:r>
    </w:p>
    <w:p w14:paraId="79B76F7D" w14:textId="55401C55" w:rsidR="008C2CF3" w:rsidRPr="00EC5F40" w:rsidRDefault="008C2CF3" w:rsidP="008C2CF3">
      <w:pPr>
        <w:spacing w:line="276" w:lineRule="auto"/>
        <w:jc w:val="center"/>
        <w:rPr>
          <w:rFonts w:ascii="Verdana" w:hAnsi="Verdana" w:cs="Arial"/>
          <w:color w:val="000000"/>
          <w:lang w:eastAsia="es-CO"/>
        </w:rPr>
      </w:pPr>
    </w:p>
    <w:p w14:paraId="0D3D1848" w14:textId="77777777" w:rsidR="008C2CF3" w:rsidRPr="00593A5F" w:rsidRDefault="008C2CF3" w:rsidP="008C2CF3">
      <w:pPr>
        <w:spacing w:line="276" w:lineRule="auto"/>
        <w:jc w:val="center"/>
        <w:rPr>
          <w:rFonts w:ascii="Verdana" w:hAnsi="Verdana" w:cs="Arial"/>
          <w:color w:val="000000"/>
          <w:lang w:val="es-ES_tradnl" w:eastAsia="es-CO"/>
        </w:rPr>
      </w:pP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8C2CF3" w:rsidRPr="00593A5F" w14:paraId="3140AE37" w14:textId="77777777" w:rsidTr="0004496C">
        <w:trPr>
          <w:trHeight w:val="315"/>
        </w:trPr>
        <w:tc>
          <w:tcPr>
            <w:tcW w:w="893" w:type="dxa"/>
            <w:vAlign w:val="center"/>
            <w:hideMark/>
          </w:tcPr>
          <w:p w14:paraId="7BD93E05" w14:textId="77777777" w:rsidR="008C2CF3" w:rsidRPr="003751C7" w:rsidRDefault="008C2CF3" w:rsidP="0004496C">
            <w:pPr>
              <w:contextualSpacing/>
              <w:rPr>
                <w:rFonts w:ascii="Verdana" w:hAnsi="Verdana" w:cs="Arial"/>
                <w:sz w:val="16"/>
                <w:szCs w:val="16"/>
                <w:lang w:val="es-ES" w:eastAsia="es-ES"/>
              </w:rPr>
            </w:pPr>
            <w:r w:rsidRPr="003751C7">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582D4B0A" w14:textId="77777777" w:rsidR="008C2CF3" w:rsidRPr="00254A7A" w:rsidRDefault="008C2CF3" w:rsidP="0004496C">
            <w:pPr>
              <w:contextualSpacing/>
              <w:rPr>
                <w:rStyle w:val="normaltextrun"/>
                <w:rFonts w:ascii="Verdana" w:hAnsi="Verdana"/>
                <w:sz w:val="16"/>
                <w:szCs w:val="16"/>
              </w:rPr>
            </w:pPr>
            <w:r>
              <w:rPr>
                <w:rStyle w:val="normaltextrun"/>
                <w:rFonts w:ascii="Verdana" w:hAnsi="Verdana"/>
                <w:sz w:val="16"/>
                <w:szCs w:val="16"/>
              </w:rPr>
              <w:t>Natalia</w:t>
            </w:r>
            <w:r w:rsidRPr="00254A7A">
              <w:rPr>
                <w:rStyle w:val="normaltextrun"/>
                <w:rFonts w:ascii="Verdana" w:hAnsi="Verdana"/>
                <w:sz w:val="16"/>
                <w:szCs w:val="16"/>
              </w:rPr>
              <w:t xml:space="preserve"> Montoya </w:t>
            </w:r>
            <w:r>
              <w:rPr>
                <w:rStyle w:val="normaltextrun"/>
                <w:rFonts w:ascii="Verdana" w:hAnsi="Verdana"/>
                <w:sz w:val="16"/>
                <w:szCs w:val="16"/>
              </w:rPr>
              <w:t>Jiménez</w:t>
            </w:r>
          </w:p>
          <w:p w14:paraId="5CA496F9" w14:textId="77777777" w:rsidR="008C2CF3" w:rsidRPr="00254A7A" w:rsidRDefault="008C2CF3" w:rsidP="0004496C">
            <w:pPr>
              <w:contextualSpacing/>
              <w:rPr>
                <w:rFonts w:ascii="Verdana" w:eastAsia="Arial" w:hAnsi="Verdana" w:cs="Arial"/>
                <w:sz w:val="16"/>
                <w:szCs w:val="16"/>
              </w:rPr>
            </w:pPr>
            <w:r w:rsidRPr="001B6B73">
              <w:rPr>
                <w:rStyle w:val="normaltextrun"/>
                <w:rFonts w:ascii="Verdana" w:hAnsi="Verdana" w:cs="Arial"/>
                <w:sz w:val="16"/>
                <w:szCs w:val="16"/>
                <w:lang w:val="es-ES_tradnl"/>
              </w:rPr>
              <w:t xml:space="preserve">Gestor T1 ‒ 15 </w:t>
            </w:r>
            <w:r w:rsidRPr="00254A7A">
              <w:rPr>
                <w:rStyle w:val="normaltextrun"/>
                <w:rFonts w:ascii="Verdana" w:hAnsi="Verdana"/>
                <w:sz w:val="16"/>
                <w:szCs w:val="16"/>
              </w:rPr>
              <w:t>de la Subdirección de Gestión Contractual</w:t>
            </w:r>
          </w:p>
        </w:tc>
      </w:tr>
      <w:tr w:rsidR="008C2CF3" w:rsidRPr="00593A5F" w14:paraId="34F6BEE5" w14:textId="77777777" w:rsidTr="0004496C">
        <w:trPr>
          <w:trHeight w:val="330"/>
        </w:trPr>
        <w:tc>
          <w:tcPr>
            <w:tcW w:w="893" w:type="dxa"/>
            <w:vAlign w:val="center"/>
            <w:hideMark/>
          </w:tcPr>
          <w:p w14:paraId="19685311" w14:textId="77777777" w:rsidR="008C2CF3" w:rsidRPr="003751C7" w:rsidRDefault="008C2CF3" w:rsidP="0004496C">
            <w:pPr>
              <w:contextualSpacing/>
              <w:rPr>
                <w:rFonts w:ascii="Verdana" w:hAnsi="Verdana" w:cs="Arial"/>
                <w:sz w:val="16"/>
                <w:szCs w:val="16"/>
                <w:lang w:val="es-ES" w:eastAsia="es-ES"/>
              </w:rPr>
            </w:pPr>
            <w:r w:rsidRPr="003751C7">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524779E8" w14:textId="77777777" w:rsidR="008C2CF3" w:rsidRPr="001B6B73" w:rsidRDefault="008C2CF3" w:rsidP="0004496C">
            <w:pPr>
              <w:pStyle w:val="paragraph"/>
              <w:spacing w:after="0"/>
              <w:contextualSpacing/>
              <w:textAlignment w:val="baseline"/>
              <w:rPr>
                <w:rStyle w:val="normaltextrun"/>
                <w:rFonts w:ascii="Verdana" w:hAnsi="Verdana" w:cs="Arial"/>
                <w:sz w:val="16"/>
                <w:szCs w:val="16"/>
                <w:lang w:val="es-ES_tradnl"/>
              </w:rPr>
            </w:pPr>
            <w:r>
              <w:rPr>
                <w:rStyle w:val="normaltextrun"/>
                <w:rFonts w:ascii="Verdana" w:hAnsi="Verdana" w:cs="Arial"/>
                <w:sz w:val="16"/>
                <w:szCs w:val="16"/>
                <w:lang w:val="es-ES_tradnl"/>
              </w:rPr>
              <w:t>Juan David Cárdenas Cabeza</w:t>
            </w:r>
          </w:p>
          <w:p w14:paraId="1B1CA51B" w14:textId="77777777" w:rsidR="008C2CF3" w:rsidRPr="00254A7A" w:rsidRDefault="008C2CF3" w:rsidP="0004496C">
            <w:pPr>
              <w:pStyle w:val="paragraph"/>
              <w:spacing w:before="0" w:beforeAutospacing="0" w:after="0" w:afterAutospacing="0"/>
              <w:contextualSpacing/>
              <w:textAlignment w:val="baseline"/>
              <w:rPr>
                <w:rFonts w:ascii="Verdana" w:hAnsi="Verdana" w:cs="Segoe UI"/>
                <w:sz w:val="16"/>
                <w:szCs w:val="16"/>
              </w:rPr>
            </w:pPr>
            <w:r w:rsidRPr="00254A7A">
              <w:rPr>
                <w:rStyle w:val="normaltextrun"/>
                <w:rFonts w:ascii="Verdana" w:hAnsi="Verdana"/>
                <w:sz w:val="16"/>
                <w:szCs w:val="16"/>
              </w:rPr>
              <w:t>Contratista</w:t>
            </w:r>
            <w:r w:rsidRPr="001B6B73">
              <w:rPr>
                <w:rStyle w:val="normaltextrun"/>
                <w:rFonts w:ascii="Verdana" w:hAnsi="Verdana" w:cs="Arial"/>
                <w:sz w:val="16"/>
                <w:szCs w:val="16"/>
                <w:lang w:val="es-ES_tradnl"/>
              </w:rPr>
              <w:t xml:space="preserve"> de la Subdirección de Gestión Contractual</w:t>
            </w:r>
          </w:p>
        </w:tc>
      </w:tr>
      <w:tr w:rsidR="008C2CF3" w:rsidRPr="00593A5F" w14:paraId="30CBA653" w14:textId="77777777" w:rsidTr="0004496C">
        <w:trPr>
          <w:trHeight w:val="300"/>
        </w:trPr>
        <w:tc>
          <w:tcPr>
            <w:tcW w:w="893" w:type="dxa"/>
            <w:vAlign w:val="center"/>
          </w:tcPr>
          <w:p w14:paraId="790638F8" w14:textId="77777777" w:rsidR="008C2CF3" w:rsidRPr="003751C7" w:rsidRDefault="008C2CF3" w:rsidP="0004496C">
            <w:pPr>
              <w:contextualSpacing/>
              <w:rPr>
                <w:rFonts w:ascii="Verdana" w:hAnsi="Verdana" w:cs="Arial"/>
                <w:sz w:val="16"/>
                <w:szCs w:val="16"/>
                <w:lang w:val="es-ES" w:eastAsia="es-ES"/>
              </w:rPr>
            </w:pPr>
            <w:r w:rsidRPr="003751C7">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7EC483DE" w14:textId="77777777" w:rsidR="008C2CF3" w:rsidRPr="003751C7" w:rsidRDefault="008C2CF3" w:rsidP="0004496C">
            <w:pPr>
              <w:contextualSpacing/>
              <w:rPr>
                <w:rFonts w:ascii="Verdana" w:eastAsia="Calibri" w:hAnsi="Verdana" w:cs="Arial"/>
                <w:sz w:val="16"/>
                <w:szCs w:val="16"/>
                <w:lang w:val="pt-BR" w:eastAsia="es-ES"/>
              </w:rPr>
            </w:pPr>
            <w:r w:rsidRPr="003751C7">
              <w:rPr>
                <w:rFonts w:ascii="Verdana" w:eastAsia="Calibri" w:hAnsi="Verdana" w:cs="Arial"/>
                <w:sz w:val="16"/>
                <w:szCs w:val="16"/>
                <w:lang w:val="pt-BR" w:eastAsia="es-ES"/>
              </w:rPr>
              <w:t>Carolina Quintero Gacharná</w:t>
            </w:r>
          </w:p>
          <w:p w14:paraId="5403CC91" w14:textId="77777777" w:rsidR="008C2CF3" w:rsidRPr="003751C7" w:rsidRDefault="008C2CF3" w:rsidP="0004496C">
            <w:pPr>
              <w:contextualSpacing/>
              <w:rPr>
                <w:rFonts w:ascii="Verdana" w:eastAsia="Calibri" w:hAnsi="Verdana" w:cs="Arial"/>
                <w:sz w:val="16"/>
                <w:szCs w:val="16"/>
                <w:lang w:val="pt-BR" w:eastAsia="es-ES"/>
              </w:rPr>
            </w:pPr>
            <w:r w:rsidRPr="003751C7">
              <w:rPr>
                <w:rFonts w:ascii="Verdana" w:eastAsia="Calibri" w:hAnsi="Verdana" w:cs="Arial"/>
                <w:sz w:val="16"/>
                <w:szCs w:val="16"/>
                <w:lang w:eastAsia="es-ES"/>
              </w:rPr>
              <w:t>Subdirectora</w:t>
            </w:r>
            <w:r w:rsidRPr="003751C7">
              <w:rPr>
                <w:rFonts w:ascii="Verdana" w:eastAsia="Calibri" w:hAnsi="Verdana" w:cs="Arial"/>
                <w:sz w:val="16"/>
                <w:szCs w:val="16"/>
                <w:lang w:val="pt-BR" w:eastAsia="es-ES"/>
              </w:rPr>
              <w:t xml:space="preserve"> de Gestión Contractual ANCP – CCE</w:t>
            </w:r>
          </w:p>
        </w:tc>
      </w:tr>
    </w:tbl>
    <w:p w14:paraId="0FB89B37" w14:textId="77777777" w:rsidR="008C2CF3" w:rsidRPr="00543BFE" w:rsidRDefault="008C2CF3" w:rsidP="008C2CF3"/>
    <w:p w14:paraId="38275763" w14:textId="690F3906" w:rsidR="008C2CF3" w:rsidRPr="00B36323" w:rsidRDefault="008C2CF3" w:rsidP="008C2CF3"/>
    <w:p w14:paraId="5850329A" w14:textId="77777777" w:rsidR="008C2CF3" w:rsidRPr="00350544" w:rsidRDefault="008C2CF3" w:rsidP="008C2CF3"/>
    <w:p w14:paraId="17B21C48" w14:textId="77777777" w:rsidR="008C2CF3" w:rsidRDefault="008C2CF3" w:rsidP="008C2CF3"/>
    <w:p w14:paraId="26F3C3EF" w14:textId="77777777" w:rsidR="008C2CF3" w:rsidRPr="00430D1E" w:rsidRDefault="008C2CF3" w:rsidP="008C2CF3"/>
    <w:p w14:paraId="70B07021" w14:textId="77777777" w:rsidR="008C2CF3" w:rsidRDefault="008C2CF3" w:rsidP="008C2CF3"/>
    <w:p w14:paraId="3BCA86B1" w14:textId="77777777" w:rsidR="008C2CF3" w:rsidRPr="004C03FA" w:rsidRDefault="008C2CF3" w:rsidP="008C2CF3"/>
    <w:p w14:paraId="7B6F09F2" w14:textId="77777777" w:rsidR="002D6822" w:rsidRDefault="002D6822"/>
    <w:sectPr w:rsidR="002D6822" w:rsidSect="008C2CF3">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9E8E7" w14:textId="77777777" w:rsidR="00AA4440" w:rsidRDefault="00AA4440" w:rsidP="008C2CF3">
      <w:pPr>
        <w:spacing w:after="0" w:line="240" w:lineRule="auto"/>
      </w:pPr>
      <w:r>
        <w:separator/>
      </w:r>
    </w:p>
  </w:endnote>
  <w:endnote w:type="continuationSeparator" w:id="0">
    <w:p w14:paraId="2414EE1E" w14:textId="77777777" w:rsidR="00AA4440" w:rsidRDefault="00AA4440" w:rsidP="008C2C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Century Gothic">
    <w:altName w:val="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D6BB" w14:textId="77777777" w:rsidR="008C2CF3" w:rsidRDefault="008C2CF3">
    <w:pPr>
      <w:pStyle w:val="Piedepgina"/>
    </w:pPr>
  </w:p>
  <w:p w14:paraId="2047AF75" w14:textId="77777777" w:rsidR="008C2CF3" w:rsidRPr="00174B77" w:rsidRDefault="008C2CF3"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Pr="07C73DD1">
      <w:rPr>
        <w:rFonts w:ascii="Verdana" w:eastAsia="Verdana" w:hAnsi="Verdana" w:cs="Verdana"/>
        <w:b/>
        <w:bCs/>
        <w:sz w:val="18"/>
        <w:szCs w:val="18"/>
      </w:rPr>
      <w:fldChar w:fldCharType="begin"/>
    </w:r>
    <w:r w:rsidRPr="07C73DD1">
      <w:rPr>
        <w:rFonts w:ascii="Verdana" w:hAnsi="Verdana"/>
        <w:b/>
        <w:bCs/>
        <w:sz w:val="16"/>
        <w:szCs w:val="16"/>
      </w:rPr>
      <w:instrText>PAGE    \* MERGEFORMAT</w:instrText>
    </w:r>
    <w:r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7922E827" w14:textId="77777777" w:rsidR="008C2CF3" w:rsidRDefault="008C2CF3"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4B311967" w14:textId="77777777" w:rsidR="008C2CF3" w:rsidRPr="00E41027" w:rsidRDefault="008C2CF3"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35A85A5D" w14:textId="77777777" w:rsidR="008C2CF3" w:rsidRDefault="008C2CF3"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6063A" w14:textId="77777777" w:rsidR="00AA4440" w:rsidRDefault="00AA4440" w:rsidP="008C2CF3">
      <w:pPr>
        <w:spacing w:after="0" w:line="240" w:lineRule="auto"/>
      </w:pPr>
      <w:r>
        <w:separator/>
      </w:r>
    </w:p>
  </w:footnote>
  <w:footnote w:type="continuationSeparator" w:id="0">
    <w:p w14:paraId="5D8A4A93" w14:textId="77777777" w:rsidR="00AA4440" w:rsidRDefault="00AA4440" w:rsidP="008C2CF3">
      <w:pPr>
        <w:spacing w:after="0" w:line="240" w:lineRule="auto"/>
      </w:pPr>
      <w:r>
        <w:continuationSeparator/>
      </w:r>
    </w:p>
  </w:footnote>
  <w:footnote w:id="1">
    <w:p w14:paraId="6AC42DB4" w14:textId="77777777" w:rsidR="008C2CF3" w:rsidRPr="00D40286" w:rsidRDefault="008C2CF3" w:rsidP="008C2CF3">
      <w:pPr>
        <w:spacing w:after="0" w:line="240" w:lineRule="auto"/>
        <w:ind w:firstLine="709"/>
        <w:jc w:val="both"/>
        <w:rPr>
          <w:rFonts w:ascii="Verdana" w:eastAsia="Calibri" w:hAnsi="Verdana"/>
          <w:color w:val="000000" w:themeColor="text1"/>
          <w:sz w:val="16"/>
          <w:szCs w:val="16"/>
        </w:rPr>
      </w:pPr>
      <w:r w:rsidRPr="00D40286">
        <w:rPr>
          <w:rStyle w:val="Refdenotaalpie"/>
          <w:rFonts w:ascii="Verdana" w:hAnsi="Verdana"/>
          <w:sz w:val="16"/>
          <w:szCs w:val="16"/>
        </w:rPr>
        <w:footnoteRef/>
      </w:r>
      <w:r w:rsidRPr="00D40286">
        <w:rPr>
          <w:rFonts w:ascii="Verdana" w:hAnsi="Verdana"/>
          <w:sz w:val="16"/>
          <w:szCs w:val="16"/>
        </w:rPr>
        <w:t xml:space="preserve"> </w:t>
      </w:r>
      <w:r w:rsidRPr="00D40286">
        <w:rPr>
          <w:rFonts w:ascii="Verdana" w:eastAsia="Calibri" w:hAnsi="Verdana"/>
          <w:bCs/>
          <w:color w:val="000000" w:themeColor="text1"/>
          <w:sz w:val="16"/>
          <w:szCs w:val="16"/>
        </w:rPr>
        <w:t>Artículo 1037.</w:t>
      </w:r>
      <w:r w:rsidRPr="00D40286">
        <w:rPr>
          <w:rFonts w:ascii="Verdana" w:eastAsia="Calibri" w:hAnsi="Verdana"/>
          <w:color w:val="000000" w:themeColor="text1"/>
          <w:sz w:val="16"/>
          <w:szCs w:val="16"/>
        </w:rPr>
        <w:t> PARTES EN EL CONTRATO DE SEGURO. Son partes del contrato de seguro: </w:t>
      </w:r>
    </w:p>
    <w:p w14:paraId="031A366D" w14:textId="77777777" w:rsidR="008C2CF3" w:rsidRPr="00D40286" w:rsidRDefault="008C2CF3" w:rsidP="008C2CF3">
      <w:pPr>
        <w:spacing w:after="0" w:line="240" w:lineRule="auto"/>
        <w:ind w:firstLine="709"/>
        <w:jc w:val="both"/>
        <w:rPr>
          <w:rFonts w:ascii="Verdana" w:eastAsia="Calibri" w:hAnsi="Verdana"/>
          <w:color w:val="000000" w:themeColor="text1"/>
          <w:sz w:val="16"/>
          <w:szCs w:val="16"/>
        </w:rPr>
      </w:pPr>
      <w:r w:rsidRPr="00D40286">
        <w:rPr>
          <w:rFonts w:ascii="Verdana" w:eastAsia="Calibri" w:hAnsi="Verdana"/>
          <w:color w:val="000000" w:themeColor="text1"/>
          <w:sz w:val="16"/>
          <w:szCs w:val="16"/>
        </w:rPr>
        <w:t>1) El asegurador, o sea la persona jurídica que asume los riesgos, debidamente autorizada para ello con arreglo a las leyes y reglamentos, y </w:t>
      </w:r>
    </w:p>
    <w:p w14:paraId="1FA69398" w14:textId="77777777" w:rsidR="008C2CF3" w:rsidRPr="00D40286" w:rsidRDefault="008C2CF3" w:rsidP="008C2CF3">
      <w:pPr>
        <w:spacing w:after="0" w:line="240" w:lineRule="auto"/>
        <w:ind w:firstLine="709"/>
        <w:jc w:val="both"/>
        <w:rPr>
          <w:rFonts w:ascii="Verdana" w:eastAsia="Calibri" w:hAnsi="Verdana"/>
          <w:color w:val="000000" w:themeColor="text1"/>
          <w:sz w:val="16"/>
          <w:szCs w:val="16"/>
        </w:rPr>
      </w:pPr>
      <w:r w:rsidRPr="00D40286">
        <w:rPr>
          <w:rFonts w:ascii="Verdana" w:eastAsia="Calibri" w:hAnsi="Verdana"/>
          <w:color w:val="000000" w:themeColor="text1"/>
          <w:sz w:val="16"/>
          <w:szCs w:val="16"/>
        </w:rPr>
        <w:t>2) El tomador, o sea la persona que, obrando por cuenta propia o ajena, traslada los riesgos. </w:t>
      </w:r>
    </w:p>
    <w:p w14:paraId="5478F733" w14:textId="77777777" w:rsidR="008C2CF3" w:rsidRPr="00D40286" w:rsidRDefault="008C2CF3" w:rsidP="008C2CF3">
      <w:pPr>
        <w:pStyle w:val="Textonotapie"/>
        <w:rPr>
          <w:rFonts w:ascii="Verdana" w:hAnsi="Verdana"/>
          <w:sz w:val="16"/>
          <w:szCs w:val="16"/>
          <w:lang w:val="es-CO"/>
        </w:rPr>
      </w:pPr>
    </w:p>
  </w:footnote>
  <w:footnote w:id="2">
    <w:p w14:paraId="3FB04D39" w14:textId="77777777" w:rsidR="008C2CF3" w:rsidRPr="006C7BAC" w:rsidRDefault="008C2CF3" w:rsidP="008C2CF3">
      <w:pPr>
        <w:pStyle w:val="Textonotapie"/>
        <w:ind w:firstLine="709"/>
        <w:contextualSpacing/>
        <w:jc w:val="both"/>
        <w:rPr>
          <w:rFonts w:ascii="Verdana" w:hAnsi="Verdana" w:cs="Arial"/>
          <w:sz w:val="16"/>
          <w:szCs w:val="16"/>
        </w:rPr>
      </w:pPr>
      <w:r w:rsidRPr="006C7BAC">
        <w:rPr>
          <w:rStyle w:val="Refdenotaalpie"/>
          <w:rFonts w:ascii="Verdana" w:hAnsi="Verdana" w:cs="Arial"/>
          <w:sz w:val="16"/>
          <w:szCs w:val="16"/>
        </w:rPr>
        <w:footnoteRef/>
      </w:r>
      <w:r w:rsidRPr="006C7BAC">
        <w:rPr>
          <w:rFonts w:ascii="Verdana" w:hAnsi="Verdana" w:cs="Arial"/>
          <w:sz w:val="16"/>
          <w:szCs w:val="16"/>
        </w:rPr>
        <w:t xml:space="preserve"> El artículo 127 de la Constitución Política señala: “Los servidores públicos no podrán celebrar, por si o por interpuesta persona, o en representación de otro, contrato alguno con entidades públicas o con personas privadas que manejen o administren recursos públicos, salvo las excepciones legales. </w:t>
      </w:r>
    </w:p>
    <w:p w14:paraId="698F5A8C" w14:textId="77777777" w:rsidR="008C2CF3" w:rsidRPr="006C7BAC" w:rsidRDefault="008C2CF3" w:rsidP="008C2CF3">
      <w:pPr>
        <w:pStyle w:val="Textonotapie"/>
        <w:ind w:firstLine="709"/>
        <w:contextualSpacing/>
        <w:jc w:val="both"/>
        <w:rPr>
          <w:rFonts w:ascii="Verdana" w:hAnsi="Verdana" w:cs="Arial"/>
          <w:sz w:val="16"/>
          <w:szCs w:val="16"/>
        </w:rPr>
      </w:pPr>
      <w:r w:rsidRPr="006C7BAC">
        <w:rPr>
          <w:rFonts w:ascii="Verdana" w:hAnsi="Verdana" w:cs="Arial"/>
          <w:sz w:val="16"/>
          <w:szCs w:val="16"/>
        </w:rPr>
        <w:t>A los empleados del Estado que se desempeñen en la Rama Judicial, en los órganos electorales, de control y de seguridad les está prohibido tomar parte en las actividades de los partidos y movimientos y en las controversias políticas, sin perjuicio de ejercer libremente el derecho al sufragio. A los miembros de la Fuerza Pública en servicio activo se les aplican las limitaciones contempladas en el artículo 219 de la Constitución. Los empleados no contemplados en esta prohibición solo podrán participar en dichas actividades y controversias en las condiciones que señale la Ley Estatutaria”.</w:t>
      </w:r>
    </w:p>
  </w:footnote>
  <w:footnote w:id="3">
    <w:p w14:paraId="3B919AB4" w14:textId="77777777" w:rsidR="008C2CF3" w:rsidRPr="006C7BAC" w:rsidRDefault="008C2CF3" w:rsidP="008C2CF3">
      <w:pPr>
        <w:pStyle w:val="Textonotapie"/>
        <w:ind w:firstLine="709"/>
        <w:contextualSpacing/>
        <w:jc w:val="both"/>
        <w:rPr>
          <w:rFonts w:ascii="Verdana" w:hAnsi="Verdana" w:cs="Arial"/>
          <w:sz w:val="16"/>
          <w:szCs w:val="16"/>
        </w:rPr>
      </w:pPr>
      <w:r w:rsidRPr="006C7BAC">
        <w:rPr>
          <w:rStyle w:val="Refdenotaalpie"/>
          <w:rFonts w:ascii="Verdana" w:hAnsi="Verdana" w:cs="Arial"/>
          <w:sz w:val="16"/>
          <w:szCs w:val="16"/>
        </w:rPr>
        <w:footnoteRef/>
      </w:r>
      <w:r w:rsidRPr="006C7BAC">
        <w:rPr>
          <w:rFonts w:ascii="Verdana" w:hAnsi="Verdana" w:cs="Arial"/>
          <w:sz w:val="16"/>
          <w:szCs w:val="16"/>
        </w:rPr>
        <w:t xml:space="preserve"> Gaceta del Congreso de la República No. 71 del 2005.</w:t>
      </w:r>
    </w:p>
  </w:footnote>
  <w:footnote w:id="4">
    <w:p w14:paraId="5BE8D02B" w14:textId="77777777" w:rsidR="008C2CF3" w:rsidRPr="00E86B2C" w:rsidRDefault="008C2CF3" w:rsidP="008C2CF3">
      <w:pPr>
        <w:pStyle w:val="Textonotapie"/>
        <w:ind w:firstLine="709"/>
        <w:contextualSpacing/>
        <w:jc w:val="both"/>
        <w:rPr>
          <w:rFonts w:ascii="Verdana" w:hAnsi="Verdana" w:cs="Arial"/>
          <w:sz w:val="16"/>
          <w:szCs w:val="16"/>
          <w:lang w:val="pt-BR"/>
        </w:rPr>
      </w:pPr>
      <w:r w:rsidRPr="006C7BAC">
        <w:rPr>
          <w:rStyle w:val="Refdenotaalpie"/>
          <w:rFonts w:ascii="Verdana" w:hAnsi="Verdana" w:cs="Arial"/>
          <w:sz w:val="16"/>
          <w:szCs w:val="16"/>
        </w:rPr>
        <w:footnoteRef/>
      </w:r>
      <w:r w:rsidRPr="00E86B2C">
        <w:rPr>
          <w:rFonts w:ascii="Verdana" w:hAnsi="Verdana" w:cs="Arial"/>
          <w:sz w:val="16"/>
          <w:szCs w:val="16"/>
          <w:lang w:val="pt-BR"/>
        </w:rPr>
        <w:t xml:space="preserve"> Corte Constitucional, Sentencia C- 1153 de 2005, M.P. Marco Gerardo Monroy Cabra.</w:t>
      </w:r>
    </w:p>
  </w:footnote>
  <w:footnote w:id="5">
    <w:p w14:paraId="0D86E73A" w14:textId="77777777" w:rsidR="008C2CF3" w:rsidRPr="00E86B2C" w:rsidRDefault="008C2CF3" w:rsidP="008C2CF3">
      <w:pPr>
        <w:pStyle w:val="Textonotapie"/>
        <w:ind w:firstLine="709"/>
        <w:contextualSpacing/>
        <w:jc w:val="both"/>
        <w:rPr>
          <w:rFonts w:ascii="Verdana" w:hAnsi="Verdana" w:cs="Arial"/>
          <w:sz w:val="16"/>
          <w:szCs w:val="16"/>
          <w:lang w:val="pt-BR"/>
        </w:rPr>
      </w:pPr>
      <w:r w:rsidRPr="006C7BAC">
        <w:rPr>
          <w:rStyle w:val="Refdenotaalpie"/>
          <w:rFonts w:ascii="Verdana" w:hAnsi="Verdana" w:cs="Arial"/>
          <w:sz w:val="16"/>
          <w:szCs w:val="16"/>
        </w:rPr>
        <w:footnoteRef/>
      </w:r>
      <w:r w:rsidRPr="00E86B2C">
        <w:rPr>
          <w:rFonts w:ascii="Verdana" w:hAnsi="Verdana" w:cs="Arial"/>
          <w:sz w:val="16"/>
          <w:szCs w:val="16"/>
          <w:lang w:val="pt-BR"/>
        </w:rPr>
        <w:t xml:space="preserve"> Corte Constitucional. Sentencias: C-233 de 4 de abril de 2002, expediente: D-3704; C-551 de 9 de julio de 2003, expediente: CRF-001 de 9 de julio de 2003; C-652 de 5 de agosto de 2003, expediente: D-4330; C-353 de 20 de mayo de 2009, expediente: D-7518, C-541 de 30 de junio de 2010, expediente: DD7966; entre otras.</w:t>
      </w:r>
    </w:p>
  </w:footnote>
  <w:footnote w:id="6">
    <w:p w14:paraId="0B615B3D" w14:textId="77777777" w:rsidR="008C2CF3" w:rsidRPr="006C7BAC" w:rsidRDefault="008C2CF3" w:rsidP="008C2CF3">
      <w:pPr>
        <w:pStyle w:val="Textonotapie"/>
        <w:ind w:firstLine="709"/>
        <w:contextualSpacing/>
        <w:jc w:val="both"/>
        <w:rPr>
          <w:rFonts w:ascii="Verdana" w:hAnsi="Verdana" w:cs="Arial"/>
          <w:sz w:val="16"/>
          <w:szCs w:val="16"/>
          <w:lang w:val="es-CO"/>
        </w:rPr>
      </w:pPr>
      <w:r w:rsidRPr="006C7BAC">
        <w:rPr>
          <w:rStyle w:val="Refdenotaalpie"/>
          <w:rFonts w:ascii="Verdana" w:hAnsi="Verdana" w:cs="Arial"/>
          <w:sz w:val="16"/>
          <w:szCs w:val="16"/>
        </w:rPr>
        <w:footnoteRef/>
      </w:r>
      <w:r w:rsidRPr="006C7BAC">
        <w:rPr>
          <w:rFonts w:ascii="Verdana" w:hAnsi="Verdana" w:cs="Arial"/>
          <w:sz w:val="16"/>
          <w:szCs w:val="16"/>
          <w:lang w:val="es-CO"/>
        </w:rPr>
        <w:t xml:space="preserve"> Consejo de Estado, Sala de lo Contencioso Administrativo, Sección Primera. Sentencia de 3 de marzo de 2005, expediente número 2004-00823-01(PI). Ver también, de la Sección Tercera. Sentencia de 22 de enero de 2002, expediente número 2001-0148-01 y, Sección Tercera. Sentencia de 20 de noviembre de 2001, expediente número 2001-0130-01(PI), entre otras.</w:t>
      </w:r>
    </w:p>
  </w:footnote>
  <w:footnote w:id="7">
    <w:p w14:paraId="30F5EB5C" w14:textId="77777777" w:rsidR="008C2CF3" w:rsidRPr="006C7BAC" w:rsidRDefault="008C2CF3" w:rsidP="008C2CF3">
      <w:pPr>
        <w:pStyle w:val="Textonotapie"/>
        <w:ind w:firstLine="709"/>
        <w:contextualSpacing/>
        <w:jc w:val="both"/>
        <w:rPr>
          <w:rFonts w:ascii="Verdana" w:hAnsi="Verdana" w:cs="Arial"/>
          <w:sz w:val="16"/>
          <w:szCs w:val="16"/>
        </w:rPr>
      </w:pPr>
      <w:r w:rsidRPr="006C7BAC">
        <w:rPr>
          <w:rStyle w:val="Refdenotaalpie"/>
          <w:rFonts w:ascii="Verdana" w:hAnsi="Verdana" w:cs="Arial"/>
          <w:sz w:val="16"/>
          <w:szCs w:val="16"/>
        </w:rPr>
        <w:footnoteRef/>
      </w:r>
      <w:r w:rsidRPr="006C7BAC">
        <w:rPr>
          <w:rFonts w:ascii="Verdana" w:hAnsi="Verdana" w:cs="Arial"/>
          <w:sz w:val="16"/>
          <w:szCs w:val="16"/>
        </w:rPr>
        <w:t xml:space="preserve"> Consejo de Estado, Sala de Consulta y Servicio Civil de fecha 24 de julio de 2013, radicado 2166, Consejero Ponente: Álvaro Namén Vargas.  </w:t>
      </w:r>
    </w:p>
  </w:footnote>
  <w:footnote w:id="8">
    <w:p w14:paraId="6552E4BD" w14:textId="77777777" w:rsidR="008C2CF3" w:rsidRPr="006C7BAC" w:rsidRDefault="008C2CF3" w:rsidP="008C2CF3">
      <w:pPr>
        <w:spacing w:after="0" w:line="240" w:lineRule="auto"/>
        <w:ind w:firstLine="709"/>
        <w:contextualSpacing/>
        <w:jc w:val="both"/>
        <w:rPr>
          <w:rFonts w:ascii="Verdana" w:eastAsia="Times New Roman" w:hAnsi="Verdana" w:cs="Arial"/>
          <w:sz w:val="16"/>
          <w:szCs w:val="16"/>
        </w:rPr>
      </w:pPr>
      <w:r w:rsidRPr="006C7BAC">
        <w:rPr>
          <w:rStyle w:val="Refdenotaalpie"/>
          <w:rFonts w:ascii="Verdana" w:hAnsi="Verdana" w:cs="Arial"/>
          <w:sz w:val="16"/>
          <w:szCs w:val="16"/>
        </w:rPr>
        <w:footnoteRef/>
      </w:r>
      <w:r w:rsidRPr="006C7BAC">
        <w:rPr>
          <w:rFonts w:ascii="Verdana" w:hAnsi="Verdana" w:cs="Arial"/>
          <w:sz w:val="16"/>
          <w:szCs w:val="16"/>
        </w:rPr>
        <w:t xml:space="preserve"> </w:t>
      </w:r>
      <w:bookmarkStart w:id="5" w:name="33"/>
      <w:r w:rsidRPr="006C7BAC">
        <w:rPr>
          <w:rFonts w:ascii="Verdana" w:eastAsia="Calibri" w:hAnsi="Verdana" w:cs="Arial"/>
          <w:color w:val="000000"/>
          <w:sz w:val="16"/>
          <w:szCs w:val="16"/>
        </w:rPr>
        <w:t>“</w:t>
      </w:r>
      <w:r w:rsidRPr="006C7BAC">
        <w:rPr>
          <w:rFonts w:ascii="Verdana" w:eastAsia="Times New Roman" w:hAnsi="Verdana" w:cs="Arial"/>
          <w:sz w:val="16"/>
          <w:szCs w:val="16"/>
        </w:rPr>
        <w:t>Artículo 33. Restricciones a la contratación pública.</w:t>
      </w:r>
      <w:bookmarkEnd w:id="5"/>
      <w:r w:rsidRPr="006C7BAC">
        <w:rPr>
          <w:rFonts w:ascii="Verdana" w:eastAsia="Times New Roman" w:hAnsi="Verdana" w:cs="Arial"/>
          <w:sz w:val="16"/>
          <w:szCs w:val="16"/>
        </w:rPr>
        <w:t> Durante los cuatro (4) meses anteriores a la elección presidencial y hasta la realización de la elección en la segunda vuelta, si fuere el caso, queda prohibida la contratación directa por parte de todos los entes del Estado.</w:t>
      </w:r>
    </w:p>
    <w:p w14:paraId="381E08F8" w14:textId="77777777" w:rsidR="008C2CF3" w:rsidRPr="006C7BAC" w:rsidRDefault="008C2CF3" w:rsidP="008C2CF3">
      <w:pPr>
        <w:spacing w:after="0" w:line="240" w:lineRule="auto"/>
        <w:ind w:firstLine="709"/>
        <w:contextualSpacing/>
        <w:jc w:val="both"/>
        <w:rPr>
          <w:rFonts w:ascii="Verdana" w:eastAsia="Times New Roman" w:hAnsi="Verdana" w:cs="Arial"/>
          <w:sz w:val="16"/>
          <w:szCs w:val="16"/>
        </w:rPr>
      </w:pPr>
      <w:r w:rsidRPr="006C7BAC">
        <w:rPr>
          <w:rFonts w:ascii="Verdana" w:eastAsia="Times New Roman" w:hAnsi="Verdana" w:cs="Arial"/>
          <w:sz w:val="16"/>
          <w:szCs w:val="16"/>
        </w:rPr>
        <w:t>Queda exceptuado lo referente a la defensa y seguridad del Estado, los contratos de crédito público, los requeridos para cubrir las emergencias educativas, sanitarias y desastres, así como también los utilizados para la reconstrucción de vías, puentes, carreteras, infraestructura energética y de comunicaciones, en caso de que hayan sido objeto de atentados, acciones terroristas, desastres naturales o casos de fuerza mayor, y los que deban realizar las entidades sanitarias y hospitalarias</w:t>
      </w:r>
      <w:r w:rsidRPr="006C7BAC">
        <w:rPr>
          <w:rFonts w:ascii="Verdana" w:eastAsia="Calibri" w:hAnsi="Verdana" w:cs="Arial"/>
          <w:color w:val="000000"/>
          <w:sz w:val="16"/>
          <w:szCs w:val="16"/>
        </w:rPr>
        <w:t>”</w:t>
      </w:r>
      <w:r w:rsidRPr="006C7BAC">
        <w:rPr>
          <w:rFonts w:ascii="Verdana" w:eastAsia="Times New Roman" w:hAnsi="Verdana" w:cs="Arial"/>
          <w:sz w:val="16"/>
          <w:szCs w:val="16"/>
        </w:rPr>
        <w:t>.</w:t>
      </w:r>
    </w:p>
  </w:footnote>
  <w:footnote w:id="9">
    <w:p w14:paraId="734AD18E" w14:textId="77777777" w:rsidR="008C2CF3" w:rsidRPr="006C7BAC" w:rsidRDefault="008C2CF3" w:rsidP="008C2CF3">
      <w:pPr>
        <w:pStyle w:val="NormalWeb"/>
        <w:spacing w:before="0" w:beforeAutospacing="0" w:after="0" w:afterAutospacing="0"/>
        <w:ind w:firstLine="709"/>
        <w:contextualSpacing/>
        <w:jc w:val="both"/>
        <w:rPr>
          <w:rFonts w:ascii="Verdana" w:hAnsi="Verdana" w:cs="Arial"/>
          <w:sz w:val="16"/>
          <w:szCs w:val="16"/>
          <w:lang w:val="es-MX"/>
        </w:rPr>
      </w:pPr>
      <w:r w:rsidRPr="006C7BAC">
        <w:rPr>
          <w:rStyle w:val="Refdenotaalpie"/>
          <w:rFonts w:ascii="Verdana" w:eastAsiaTheme="majorEastAsia" w:hAnsi="Verdana" w:cs="Arial"/>
          <w:sz w:val="16"/>
          <w:szCs w:val="16"/>
        </w:rPr>
        <w:footnoteRef/>
      </w:r>
      <w:r w:rsidRPr="006C7BAC">
        <w:rPr>
          <w:rFonts w:ascii="Verdana" w:hAnsi="Verdana" w:cs="Arial"/>
          <w:sz w:val="16"/>
          <w:szCs w:val="16"/>
        </w:rPr>
        <w:t xml:space="preserve"> </w:t>
      </w:r>
      <w:bookmarkStart w:id="6" w:name="38"/>
      <w:r w:rsidRPr="006C7BAC">
        <w:rPr>
          <w:rFonts w:ascii="Verdana" w:eastAsia="Calibri" w:hAnsi="Verdana" w:cs="Arial"/>
          <w:color w:val="000000"/>
          <w:sz w:val="16"/>
          <w:szCs w:val="16"/>
        </w:rPr>
        <w:t>“</w:t>
      </w:r>
      <w:r w:rsidRPr="006C7BAC">
        <w:rPr>
          <w:rFonts w:ascii="Verdana" w:hAnsi="Verdana" w:cs="Arial"/>
          <w:sz w:val="16"/>
          <w:szCs w:val="16"/>
          <w:lang w:val="es-MX"/>
        </w:rPr>
        <w:t>Artículo 38. Prohibiciones para los servidores públicos. A los empleados del Estado les está prohibido:</w:t>
      </w:r>
      <w:bookmarkEnd w:id="6"/>
    </w:p>
    <w:p w14:paraId="18562F06" w14:textId="77777777" w:rsidR="008C2CF3" w:rsidRPr="006C7BAC" w:rsidRDefault="008C2CF3" w:rsidP="008C2CF3">
      <w:pPr>
        <w:pStyle w:val="NormalWeb"/>
        <w:spacing w:before="0" w:beforeAutospacing="0" w:after="0" w:afterAutospacing="0"/>
        <w:ind w:firstLine="709"/>
        <w:contextualSpacing/>
        <w:jc w:val="both"/>
        <w:rPr>
          <w:rFonts w:ascii="Verdana" w:hAnsi="Verdana" w:cs="Arial"/>
          <w:sz w:val="16"/>
          <w:szCs w:val="16"/>
          <w:lang w:val="es-MX"/>
        </w:rPr>
      </w:pPr>
      <w:r w:rsidRPr="006C7BAC">
        <w:rPr>
          <w:rFonts w:ascii="Verdana" w:hAnsi="Verdana" w:cs="Arial"/>
          <w:sz w:val="16"/>
          <w:szCs w:val="16"/>
          <w:lang w:val="es-MX"/>
        </w:rPr>
        <w:t>[…]</w:t>
      </w:r>
    </w:p>
    <w:p w14:paraId="3D56A52A" w14:textId="77777777" w:rsidR="008C2CF3" w:rsidRPr="006C7BAC" w:rsidRDefault="008C2CF3" w:rsidP="008C2CF3">
      <w:pPr>
        <w:pStyle w:val="NormalWeb"/>
        <w:spacing w:before="0" w:beforeAutospacing="0" w:after="0" w:afterAutospacing="0"/>
        <w:ind w:firstLine="709"/>
        <w:contextualSpacing/>
        <w:jc w:val="both"/>
        <w:rPr>
          <w:rFonts w:ascii="Verdana" w:hAnsi="Verdana" w:cs="Arial"/>
          <w:sz w:val="16"/>
          <w:szCs w:val="16"/>
          <w:lang w:val="es-MX"/>
        </w:rPr>
      </w:pPr>
      <w:r w:rsidRPr="006C7BAC">
        <w:rPr>
          <w:rStyle w:val="baj"/>
          <w:rFonts w:ascii="Verdana" w:eastAsiaTheme="minorEastAsia" w:hAnsi="Verdana" w:cs="Arial"/>
          <w:sz w:val="16"/>
          <w:szCs w:val="16"/>
          <w:lang w:val="es-MX"/>
        </w:rPr>
        <w:t>Parágrafo.</w:t>
      </w:r>
      <w:r w:rsidRPr="006C7BAC">
        <w:rPr>
          <w:rFonts w:ascii="Verdana" w:hAnsi="Verdana" w:cs="Arial"/>
          <w:sz w:val="16"/>
          <w:szCs w:val="16"/>
          <w:lang w:val="es-MX"/>
        </w:rPr>
        <w:t> Los gobernadores, alcaldes municipales y/o distritales, secretarios, gerentes y directores de entidades descentralizadas del orden municipal, departamental o distrital, dentro de los cuatro (4) meses anteriores a las elecciones, no podrán celebrar convenios interadministrativos para la ejecución de recursos públicos, ni participar, promover y destinar recursos públicos de las entidades a su cargo, como tampoco de las que participen como miembros de sus juntas directivas, en o para reuniones de carácter proselitista</w:t>
      </w:r>
      <w:r w:rsidRPr="006C7BAC">
        <w:rPr>
          <w:rFonts w:ascii="Verdana" w:eastAsia="Calibri" w:hAnsi="Verdana" w:cs="Arial"/>
          <w:color w:val="000000"/>
          <w:sz w:val="16"/>
          <w:szCs w:val="16"/>
        </w:rPr>
        <w:t>”</w:t>
      </w:r>
      <w:r w:rsidRPr="006C7BAC">
        <w:rPr>
          <w:rFonts w:ascii="Verdana" w:hAnsi="Verdana" w:cs="Arial"/>
          <w:sz w:val="16"/>
          <w:szCs w:val="16"/>
          <w:lang w:val="es-MX"/>
        </w:rPr>
        <w:t>.</w:t>
      </w:r>
    </w:p>
  </w:footnote>
  <w:footnote w:id="10">
    <w:p w14:paraId="400B07A3" w14:textId="77777777" w:rsidR="008C2CF3" w:rsidRPr="006C7BAC" w:rsidRDefault="008C2CF3" w:rsidP="008C2CF3">
      <w:pPr>
        <w:spacing w:after="0" w:line="240" w:lineRule="auto"/>
        <w:ind w:left="100" w:right="244" w:firstLine="709"/>
        <w:contextualSpacing/>
        <w:jc w:val="both"/>
        <w:rPr>
          <w:rFonts w:ascii="Verdana" w:hAnsi="Verdana" w:cs="Arial"/>
          <w:sz w:val="16"/>
          <w:szCs w:val="16"/>
          <w:lang w:val="es-ES"/>
        </w:rPr>
      </w:pPr>
      <w:r w:rsidRPr="006C7BAC">
        <w:rPr>
          <w:rStyle w:val="Refdenotaalpie"/>
          <w:rFonts w:ascii="Verdana" w:hAnsi="Verdana" w:cs="Arial"/>
          <w:sz w:val="16"/>
          <w:szCs w:val="16"/>
        </w:rPr>
        <w:footnoteRef/>
      </w:r>
      <w:r w:rsidRPr="006C7BAC">
        <w:rPr>
          <w:rFonts w:ascii="Verdana" w:hAnsi="Verdana" w:cs="Arial"/>
          <w:sz w:val="16"/>
          <w:szCs w:val="16"/>
        </w:rPr>
        <w:t xml:space="preserve"> Consejo de Estado. Sala de Consulta y Servicio Civil. Concepto del 17 de febrero de 2015. C.P. William Zambrano Cetina. Radicación No. 11001-03-06-000-2015-00164-00(2269).</w:t>
      </w:r>
    </w:p>
  </w:footnote>
  <w:footnote w:id="11">
    <w:p w14:paraId="0230C7B8" w14:textId="77777777" w:rsidR="008C2CF3" w:rsidRPr="006C7BAC" w:rsidRDefault="008C2CF3" w:rsidP="008C2CF3">
      <w:pPr>
        <w:pStyle w:val="Textonotapie"/>
        <w:ind w:right="51" w:firstLine="709"/>
        <w:jc w:val="both"/>
        <w:rPr>
          <w:rFonts w:ascii="Verdana" w:hAnsi="Verdana" w:cs="Arial"/>
          <w:sz w:val="16"/>
          <w:szCs w:val="16"/>
        </w:rPr>
      </w:pPr>
      <w:r w:rsidRPr="006C7BAC">
        <w:rPr>
          <w:rStyle w:val="Refdenotaalpie"/>
          <w:rFonts w:ascii="Verdana" w:hAnsi="Verdana" w:cs="Arial"/>
          <w:sz w:val="16"/>
          <w:szCs w:val="16"/>
        </w:rPr>
        <w:footnoteRef/>
      </w:r>
      <w:r w:rsidRPr="006C7BAC">
        <w:rPr>
          <w:rFonts w:ascii="Verdana" w:hAnsi="Verdana" w:cs="Arial"/>
          <w:sz w:val="16"/>
          <w:szCs w:val="16"/>
        </w:rPr>
        <w:t xml:space="preserve"> “</w:t>
      </w:r>
      <w:r w:rsidRPr="006C7BAC">
        <w:rPr>
          <w:rFonts w:ascii="Verdana" w:hAnsi="Verdana" w:cs="Arial"/>
          <w:sz w:val="16"/>
          <w:szCs w:val="16"/>
          <w:lang w:val="es-ES"/>
        </w:rPr>
        <w:t xml:space="preserve">[25] </w:t>
      </w:r>
      <w:r w:rsidRPr="006C7BAC">
        <w:rPr>
          <w:rFonts w:ascii="Verdana" w:hAnsi="Verdana" w:cs="Arial"/>
          <w:sz w:val="16"/>
          <w:szCs w:val="16"/>
        </w:rPr>
        <w:t>Cfr. Consejo de Estado. Sección Tercera. Sentencia de 3 de diciembre de 2007. Radicados: 24.715, 25.206, 25.409, 24.524, 27.834, 25.410, 26.105, 28.244, 31.447 -acumulados-”.</w:t>
      </w:r>
    </w:p>
  </w:footnote>
  <w:footnote w:id="12">
    <w:p w14:paraId="246A869B" w14:textId="77777777" w:rsidR="008C2CF3" w:rsidRPr="006C7BAC" w:rsidRDefault="008C2CF3" w:rsidP="008C2CF3">
      <w:pPr>
        <w:pStyle w:val="Textonotapie"/>
        <w:ind w:right="51" w:firstLine="709"/>
        <w:jc w:val="both"/>
        <w:rPr>
          <w:rFonts w:ascii="Verdana" w:hAnsi="Verdana" w:cs="Arial"/>
          <w:sz w:val="16"/>
          <w:szCs w:val="16"/>
        </w:rPr>
      </w:pPr>
      <w:r w:rsidRPr="006C7BAC">
        <w:rPr>
          <w:rStyle w:val="Refdenotaalpie"/>
          <w:rFonts w:ascii="Verdana" w:hAnsi="Verdana" w:cs="Arial"/>
          <w:sz w:val="16"/>
          <w:szCs w:val="16"/>
        </w:rPr>
        <w:footnoteRef/>
      </w:r>
      <w:r w:rsidRPr="006C7BAC">
        <w:rPr>
          <w:rFonts w:ascii="Verdana" w:hAnsi="Verdana" w:cs="Arial"/>
          <w:sz w:val="16"/>
          <w:szCs w:val="16"/>
        </w:rPr>
        <w:t xml:space="preserve"> “</w:t>
      </w:r>
      <w:r w:rsidRPr="006C7BAC">
        <w:rPr>
          <w:rFonts w:ascii="Verdana" w:hAnsi="Verdana" w:cs="Arial"/>
          <w:sz w:val="16"/>
          <w:szCs w:val="16"/>
          <w:lang w:val="es-ES"/>
        </w:rPr>
        <w:t xml:space="preserve">[26] </w:t>
      </w:r>
      <w:r w:rsidRPr="006C7BAC">
        <w:rPr>
          <w:rFonts w:ascii="Verdana" w:hAnsi="Verdana" w:cs="Arial"/>
          <w:sz w:val="16"/>
          <w:szCs w:val="16"/>
        </w:rPr>
        <w:t>Al respecto ver el concepto 1712 de 2 de febrero de 2006. Consejo de Estado Sala de Consulta y Servicio Civil”.</w:t>
      </w:r>
    </w:p>
  </w:footnote>
  <w:footnote w:id="13">
    <w:p w14:paraId="25BABAF5" w14:textId="77777777" w:rsidR="008C2CF3" w:rsidRPr="006C7BAC" w:rsidRDefault="008C2CF3" w:rsidP="008C2CF3">
      <w:pPr>
        <w:pStyle w:val="Textonotapie"/>
        <w:ind w:firstLine="709"/>
        <w:jc w:val="both"/>
        <w:rPr>
          <w:rFonts w:ascii="Verdana" w:hAnsi="Verdana" w:cs="Arial"/>
          <w:sz w:val="16"/>
          <w:szCs w:val="16"/>
        </w:rPr>
      </w:pPr>
      <w:r w:rsidRPr="006C7BAC">
        <w:rPr>
          <w:rStyle w:val="Refdenotaalpie"/>
          <w:rFonts w:ascii="Verdana" w:hAnsi="Verdana" w:cs="Arial"/>
          <w:sz w:val="16"/>
          <w:szCs w:val="16"/>
        </w:rPr>
        <w:footnoteRef/>
      </w:r>
      <w:r w:rsidRPr="006C7BAC">
        <w:rPr>
          <w:rFonts w:ascii="Verdana" w:hAnsi="Verdana" w:cs="Arial"/>
          <w:sz w:val="16"/>
          <w:szCs w:val="16"/>
        </w:rPr>
        <w:t xml:space="preserve"> Consejo de Estado. Sala de Consulta y Servicio Civil. Concepto del 2 de septiembre de 2013. Radicación número: 11001-03-06-000-2013-00412-00 (2168). Consejero Ponente: Álvaro Namén Vargas.</w:t>
      </w:r>
    </w:p>
  </w:footnote>
  <w:footnote w:id="14">
    <w:p w14:paraId="07A320E6" w14:textId="77777777" w:rsidR="008C2CF3" w:rsidRPr="006C7BAC" w:rsidRDefault="008C2CF3" w:rsidP="008C2CF3">
      <w:pPr>
        <w:pStyle w:val="Textonotapie"/>
        <w:ind w:firstLine="709"/>
        <w:jc w:val="both"/>
        <w:rPr>
          <w:rFonts w:ascii="Verdana" w:hAnsi="Verdana" w:cs="Arial"/>
          <w:sz w:val="16"/>
          <w:szCs w:val="16"/>
          <w:lang w:val="es-ES"/>
        </w:rPr>
      </w:pPr>
      <w:r w:rsidRPr="006C7BAC">
        <w:rPr>
          <w:rStyle w:val="Refdenotaalpie"/>
          <w:rFonts w:ascii="Verdana" w:hAnsi="Verdana" w:cs="Arial"/>
          <w:sz w:val="16"/>
          <w:szCs w:val="16"/>
        </w:rPr>
        <w:footnoteRef/>
      </w:r>
      <w:r w:rsidRPr="006C7BAC">
        <w:rPr>
          <w:rFonts w:ascii="Verdana" w:hAnsi="Verdana" w:cs="Arial"/>
          <w:sz w:val="16"/>
          <w:szCs w:val="16"/>
        </w:rPr>
        <w:t xml:space="preserve"> </w:t>
      </w:r>
      <w:r w:rsidRPr="006C7BAC">
        <w:rPr>
          <w:rFonts w:ascii="Verdana" w:hAnsi="Verdana" w:cs="Arial"/>
          <w:sz w:val="16"/>
          <w:szCs w:val="16"/>
          <w:lang w:val="es-ES"/>
        </w:rPr>
        <w:t xml:space="preserve">Artículo 2. </w:t>
      </w:r>
    </w:p>
  </w:footnote>
  <w:footnote w:id="15">
    <w:p w14:paraId="1831CD81" w14:textId="77777777" w:rsidR="008C2CF3" w:rsidRPr="006C7BAC" w:rsidRDefault="008C2CF3" w:rsidP="008C2CF3">
      <w:pPr>
        <w:pStyle w:val="Textonotapie"/>
        <w:ind w:firstLine="709"/>
        <w:jc w:val="both"/>
        <w:rPr>
          <w:rFonts w:ascii="Verdana" w:hAnsi="Verdana" w:cs="Arial"/>
          <w:sz w:val="16"/>
          <w:szCs w:val="16"/>
          <w:lang w:val="es-ES"/>
        </w:rPr>
      </w:pPr>
      <w:r w:rsidRPr="006C7BAC">
        <w:rPr>
          <w:rStyle w:val="Refdenotaalpie"/>
          <w:rFonts w:ascii="Verdana" w:hAnsi="Verdana" w:cs="Arial"/>
          <w:sz w:val="16"/>
          <w:szCs w:val="16"/>
        </w:rPr>
        <w:footnoteRef/>
      </w:r>
      <w:r w:rsidRPr="006C7BAC">
        <w:rPr>
          <w:rFonts w:ascii="Verdana" w:hAnsi="Verdana" w:cs="Arial"/>
          <w:sz w:val="16"/>
          <w:szCs w:val="16"/>
        </w:rPr>
        <w:t xml:space="preserve"> </w:t>
      </w:r>
      <w:r w:rsidRPr="006C7BAC">
        <w:rPr>
          <w:rFonts w:ascii="Verdana" w:hAnsi="Verdana" w:cs="Arial"/>
          <w:i/>
          <w:sz w:val="16"/>
          <w:szCs w:val="16"/>
          <w:lang w:val="es-ES"/>
        </w:rPr>
        <w:t>Ibidem</w:t>
      </w:r>
      <w:r w:rsidRPr="006C7BAC">
        <w:rPr>
          <w:rFonts w:ascii="Verdana" w:hAnsi="Verdana" w:cs="Arial"/>
          <w:sz w:val="16"/>
          <w:szCs w:val="16"/>
          <w:lang w:val="es-ES"/>
        </w:rPr>
        <w:t>.</w:t>
      </w:r>
    </w:p>
  </w:footnote>
  <w:footnote w:id="16">
    <w:p w14:paraId="49A59F4F" w14:textId="77777777" w:rsidR="008C2CF3" w:rsidRPr="006C7BAC" w:rsidRDefault="008C2CF3" w:rsidP="008C2CF3">
      <w:pPr>
        <w:pStyle w:val="Textonotapie"/>
        <w:ind w:firstLine="709"/>
        <w:jc w:val="both"/>
        <w:rPr>
          <w:rFonts w:ascii="Verdana" w:hAnsi="Verdana" w:cs="Arial"/>
          <w:sz w:val="16"/>
          <w:szCs w:val="16"/>
          <w:lang w:val="es-ES"/>
        </w:rPr>
      </w:pPr>
      <w:r w:rsidRPr="006C7BAC">
        <w:rPr>
          <w:rStyle w:val="Refdenotaalpie"/>
          <w:rFonts w:ascii="Verdana" w:hAnsi="Verdana" w:cs="Arial"/>
          <w:sz w:val="16"/>
          <w:szCs w:val="16"/>
        </w:rPr>
        <w:footnoteRef/>
      </w:r>
      <w:r w:rsidRPr="006C7BAC">
        <w:rPr>
          <w:rStyle w:val="Refdenotaalpie"/>
          <w:rFonts w:ascii="Verdana" w:hAnsi="Verdana" w:cs="Arial"/>
          <w:sz w:val="16"/>
          <w:szCs w:val="16"/>
        </w:rPr>
        <w:t xml:space="preserve"> </w:t>
      </w:r>
      <w:r w:rsidRPr="006C7BAC">
        <w:rPr>
          <w:rFonts w:ascii="Verdana" w:hAnsi="Verdana" w:cs="Arial"/>
          <w:sz w:val="16"/>
          <w:szCs w:val="16"/>
          <w:lang w:val="es-ES"/>
        </w:rPr>
        <w:t xml:space="preserve">“[…] A este respecto, cabe recordar que el artículo 860 del Código de Comercio regula la licitación en el derecho privado”. </w:t>
      </w:r>
    </w:p>
  </w:footnote>
  <w:footnote w:id="17">
    <w:p w14:paraId="71DD848B" w14:textId="77777777" w:rsidR="008C2CF3" w:rsidRPr="006C7BAC" w:rsidRDefault="008C2CF3" w:rsidP="008C2CF3">
      <w:pPr>
        <w:shd w:val="clear" w:color="auto" w:fill="FFFFFF"/>
        <w:spacing w:after="0"/>
        <w:ind w:firstLine="709"/>
        <w:jc w:val="both"/>
        <w:rPr>
          <w:rFonts w:ascii="Verdana" w:hAnsi="Verdana" w:cs="Arial"/>
          <w:sz w:val="16"/>
          <w:szCs w:val="16"/>
          <w:lang w:val="es-ES"/>
        </w:rPr>
      </w:pPr>
      <w:r w:rsidRPr="006C7BAC">
        <w:rPr>
          <w:rStyle w:val="Refdenotaalpie"/>
          <w:rFonts w:ascii="Verdana" w:hAnsi="Verdana" w:cs="Arial"/>
          <w:sz w:val="16"/>
          <w:szCs w:val="16"/>
        </w:rPr>
        <w:footnoteRef/>
      </w:r>
      <w:r w:rsidRPr="006C7BAC">
        <w:rPr>
          <w:rStyle w:val="Refdenotaalpie"/>
          <w:rFonts w:ascii="Verdana" w:hAnsi="Verdana" w:cs="Arial"/>
          <w:sz w:val="16"/>
          <w:szCs w:val="16"/>
        </w:rPr>
        <w:t xml:space="preserve"> </w:t>
      </w:r>
      <w:r w:rsidRPr="006C7BAC">
        <w:rPr>
          <w:rFonts w:ascii="Verdana" w:hAnsi="Verdana" w:cs="Arial"/>
          <w:sz w:val="16"/>
          <w:szCs w:val="16"/>
          <w:lang w:val="es-ES"/>
        </w:rPr>
        <w:t>Consejo de Estado. Sala de Consulta y Servicio Civil, Concepto de 8 de mayo de 2018. Radicación Número: 11001-03-06-000-2018-00095-00(2382). Consejero Ponente: Álvaro Namén Vargas.</w:t>
      </w:r>
    </w:p>
  </w:footnote>
  <w:footnote w:id="18">
    <w:p w14:paraId="5A32C972" w14:textId="77777777" w:rsidR="008C2CF3" w:rsidRPr="006C7BAC" w:rsidRDefault="008C2CF3" w:rsidP="008C2CF3">
      <w:pPr>
        <w:pStyle w:val="Textonotapie"/>
        <w:ind w:firstLine="709"/>
        <w:jc w:val="both"/>
        <w:rPr>
          <w:rFonts w:ascii="Verdana" w:hAnsi="Verdana" w:cs="Arial"/>
          <w:sz w:val="16"/>
          <w:szCs w:val="16"/>
        </w:rPr>
      </w:pPr>
      <w:r w:rsidRPr="006C7BAC">
        <w:rPr>
          <w:rStyle w:val="Refdenotaalpie"/>
          <w:rFonts w:ascii="Verdana" w:hAnsi="Verdana" w:cs="Arial"/>
          <w:sz w:val="16"/>
          <w:szCs w:val="16"/>
        </w:rPr>
        <w:footnoteRef/>
      </w:r>
      <w:r w:rsidRPr="006C7BAC">
        <w:rPr>
          <w:rFonts w:ascii="Verdana" w:hAnsi="Verdana" w:cs="Arial"/>
          <w:sz w:val="16"/>
          <w:szCs w:val="16"/>
        </w:rPr>
        <w:t xml:space="preserve"> Consejo de Estado. Sala de Consulta y Servicio Civil. Concepto del 08 de mayo de 2018. Exp. 2.382. C.P. Álvaro Namén Vargas.</w:t>
      </w:r>
    </w:p>
  </w:footnote>
  <w:footnote w:id="19">
    <w:p w14:paraId="69670B7B" w14:textId="77777777" w:rsidR="008C2CF3" w:rsidRPr="006C7BAC" w:rsidRDefault="008C2CF3" w:rsidP="008C2CF3">
      <w:pPr>
        <w:pStyle w:val="Textonotapie"/>
        <w:ind w:firstLine="708"/>
        <w:jc w:val="both"/>
        <w:rPr>
          <w:rFonts w:ascii="Verdana" w:hAnsi="Verdana" w:cs="Arial"/>
          <w:sz w:val="16"/>
          <w:szCs w:val="16"/>
        </w:rPr>
      </w:pPr>
      <w:r w:rsidRPr="006C7BAC">
        <w:rPr>
          <w:rStyle w:val="Refdenotaalpie"/>
          <w:rFonts w:ascii="Verdana" w:hAnsi="Verdana" w:cs="Arial"/>
          <w:sz w:val="16"/>
          <w:szCs w:val="16"/>
        </w:rPr>
        <w:footnoteRef/>
      </w:r>
      <w:r w:rsidRPr="006C7BAC">
        <w:rPr>
          <w:rFonts w:ascii="Verdana" w:hAnsi="Verdana" w:cs="Arial"/>
          <w:sz w:val="16"/>
          <w:szCs w:val="16"/>
        </w:rPr>
        <w:t xml:space="preserve"> Consejo de Estado. Sala de Consulta y Servicio Civil. Concepto del 18 de febrero 2010. Rad. 11001-03-06-000-2010-00006-00 (1985). C.P. Enrique José Arboleda Perdomo.</w:t>
      </w:r>
    </w:p>
  </w:footnote>
  <w:footnote w:id="20">
    <w:p w14:paraId="31304B32" w14:textId="77777777" w:rsidR="008C2CF3" w:rsidRPr="006C7BAC" w:rsidRDefault="008C2CF3" w:rsidP="008C2CF3">
      <w:pPr>
        <w:pStyle w:val="Textonotapie"/>
        <w:ind w:firstLine="708"/>
        <w:jc w:val="both"/>
        <w:rPr>
          <w:rFonts w:ascii="Verdana" w:hAnsi="Verdana" w:cs="Arial"/>
          <w:sz w:val="16"/>
          <w:szCs w:val="16"/>
        </w:rPr>
      </w:pPr>
      <w:r w:rsidRPr="006C7BAC">
        <w:rPr>
          <w:rStyle w:val="Refdenotaalpie"/>
          <w:rFonts w:ascii="Verdana" w:hAnsi="Verdana" w:cs="Arial"/>
          <w:sz w:val="16"/>
          <w:szCs w:val="16"/>
        </w:rPr>
        <w:footnoteRef/>
      </w:r>
      <w:r w:rsidRPr="006C7BAC">
        <w:rPr>
          <w:rFonts w:ascii="Verdana" w:hAnsi="Verdana" w:cs="Arial"/>
          <w:sz w:val="16"/>
          <w:szCs w:val="16"/>
        </w:rPr>
        <w:t xml:space="preserve"> Corte Constitucional. Sentencia C-1153 de 2005 M.P. Marco Gerardo Monroy Cabra.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18B04" w14:textId="77777777" w:rsidR="008C2CF3" w:rsidRDefault="008C2CF3"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0288" behindDoc="1" locked="0" layoutInCell="1" allowOverlap="1" wp14:anchorId="5B1ECBCA" wp14:editId="477CF4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Pr>
        <w:rFonts w:ascii="Geomanist Bold" w:hAnsi="Geomanist Bold"/>
        <w:b/>
        <w:bCs/>
        <w:noProof/>
        <w:color w:val="002060"/>
        <w:sz w:val="24"/>
        <w:szCs w:val="24"/>
      </w:rPr>
      <w:drawing>
        <wp:anchor distT="0" distB="0" distL="114300" distR="114300" simplePos="0" relativeHeight="251659264" behindDoc="0" locked="0" layoutInCell="1" allowOverlap="1" wp14:anchorId="1FB8DC1A" wp14:editId="11E08C44">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2FFEE7BB" w14:textId="77777777" w:rsidR="008C2CF3" w:rsidRDefault="008C2CF3">
    <w:pPr>
      <w:pStyle w:val="Encabezado"/>
    </w:pPr>
  </w:p>
  <w:p w14:paraId="610CAB27" w14:textId="77777777" w:rsidR="008C2CF3" w:rsidRPr="004A305D" w:rsidRDefault="008C2CF3" w:rsidP="00B01B1A">
    <w:pPr>
      <w:spacing w:after="0" w:line="120" w:lineRule="auto"/>
      <w:rPr>
        <w:rFonts w:ascii="Century Gothic" w:eastAsia="Geo" w:hAnsi="Century Gothic" w:cs="Geo"/>
        <w:sz w:val="16"/>
        <w:szCs w:val="16"/>
        <w:lang w:eastAsia="es-CO"/>
      </w:rPr>
    </w:pPr>
  </w:p>
  <w:p w14:paraId="3E0ED62D" w14:textId="77777777" w:rsidR="008C2CF3" w:rsidRDefault="008C2CF3" w:rsidP="00844AE9">
    <w:pPr>
      <w:spacing w:after="0" w:line="240" w:lineRule="auto"/>
      <w:rPr>
        <w:rFonts w:ascii="Verdana" w:hAnsi="Verdana"/>
        <w:sz w:val="24"/>
        <w:szCs w:val="24"/>
      </w:rPr>
    </w:pPr>
  </w:p>
  <w:p w14:paraId="5A3B6279" w14:textId="77777777" w:rsidR="008C2CF3" w:rsidRPr="00C925AC" w:rsidRDefault="008C2CF3" w:rsidP="00844AE9">
    <w:pPr>
      <w:spacing w:after="0" w:line="240" w:lineRule="auto"/>
      <w:rPr>
        <w:rFonts w:ascii="Verdana" w:hAnsi="Verdana"/>
        <w:sz w:val="24"/>
        <w:szCs w:val="24"/>
      </w:rPr>
    </w:pPr>
  </w:p>
  <w:p w14:paraId="333DABE7" w14:textId="77777777" w:rsidR="008C2CF3" w:rsidRPr="00C925AC" w:rsidRDefault="008C2CF3" w:rsidP="000D5DA7">
    <w:pPr>
      <w:spacing w:after="0" w:line="480" w:lineRule="auto"/>
      <w:rPr>
        <w:rFonts w:ascii="Verdana" w:hAnsi="Verdana"/>
        <w:b/>
        <w:bCs/>
        <w:sz w:val="24"/>
        <w:szCs w:val="24"/>
      </w:rPr>
    </w:pPr>
    <w:r w:rsidRPr="00C925AC">
      <w:rPr>
        <w:rFonts w:ascii="Verdana" w:hAnsi="Verdana"/>
        <w:b/>
        <w:bCs/>
        <w:sz w:val="24"/>
        <w:szCs w:val="24"/>
      </w:rPr>
      <w:t>FORMATO</w:t>
    </w:r>
    <w:r>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06310"/>
    <w:multiLevelType w:val="multilevel"/>
    <w:tmpl w:val="47FE4C7E"/>
    <w:lvl w:ilvl="0">
      <w:start w:val="1"/>
      <w:numFmt w:val="upperRoman"/>
      <w:lvlText w:val="%1."/>
      <w:lvlJc w:val="righ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num w:numId="1" w16cid:durableId="390349800">
    <w:abstractNumId w:val="2"/>
  </w:num>
  <w:num w:numId="2" w16cid:durableId="1330140246">
    <w:abstractNumId w:val="0"/>
  </w:num>
  <w:num w:numId="3" w16cid:durableId="6790895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CF3"/>
    <w:rsid w:val="00075F5D"/>
    <w:rsid w:val="002D6822"/>
    <w:rsid w:val="00426CDB"/>
    <w:rsid w:val="005B1F5D"/>
    <w:rsid w:val="00713B74"/>
    <w:rsid w:val="00761511"/>
    <w:rsid w:val="00776D80"/>
    <w:rsid w:val="007A436C"/>
    <w:rsid w:val="00801FD9"/>
    <w:rsid w:val="008911BB"/>
    <w:rsid w:val="008C2CF3"/>
    <w:rsid w:val="00986AA3"/>
    <w:rsid w:val="009B4EF6"/>
    <w:rsid w:val="00AA4440"/>
    <w:rsid w:val="00FE3BF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48294"/>
  <w15:chartTrackingRefBased/>
  <w15:docId w15:val="{2BF2A5F6-275B-4C73-9D08-2446BEFC7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2CF3"/>
    <w:pPr>
      <w:spacing w:line="259" w:lineRule="auto"/>
    </w:pPr>
    <w:rPr>
      <w:kern w:val="0"/>
      <w:sz w:val="22"/>
      <w:szCs w:val="22"/>
      <w14:ligatures w14:val="none"/>
    </w:rPr>
  </w:style>
  <w:style w:type="paragraph" w:styleId="Ttulo1">
    <w:name w:val="heading 1"/>
    <w:basedOn w:val="Normal"/>
    <w:next w:val="Normal"/>
    <w:link w:val="Ttulo1Car"/>
    <w:uiPriority w:val="9"/>
    <w:qFormat/>
    <w:rsid w:val="008C2C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C2C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C2CF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C2CF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C2CF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C2CF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C2CF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C2CF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C2CF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C2CF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C2CF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C2CF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C2CF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C2CF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C2CF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C2CF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C2CF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C2CF3"/>
    <w:rPr>
      <w:rFonts w:eastAsiaTheme="majorEastAsia" w:cstheme="majorBidi"/>
      <w:color w:val="272727" w:themeColor="text1" w:themeTint="D8"/>
    </w:rPr>
  </w:style>
  <w:style w:type="paragraph" w:styleId="Ttulo">
    <w:name w:val="Title"/>
    <w:basedOn w:val="Normal"/>
    <w:next w:val="Normal"/>
    <w:link w:val="TtuloCar"/>
    <w:uiPriority w:val="10"/>
    <w:qFormat/>
    <w:rsid w:val="008C2C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C2CF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C2CF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C2CF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C2CF3"/>
    <w:pPr>
      <w:spacing w:before="160"/>
      <w:jc w:val="center"/>
    </w:pPr>
    <w:rPr>
      <w:i/>
      <w:iCs/>
      <w:color w:val="404040" w:themeColor="text1" w:themeTint="BF"/>
    </w:rPr>
  </w:style>
  <w:style w:type="character" w:customStyle="1" w:styleId="CitaCar">
    <w:name w:val="Cita Car"/>
    <w:basedOn w:val="Fuentedeprrafopredeter"/>
    <w:link w:val="Cita"/>
    <w:uiPriority w:val="29"/>
    <w:rsid w:val="008C2CF3"/>
    <w:rPr>
      <w:i/>
      <w:iCs/>
      <w:color w:val="404040" w:themeColor="text1" w:themeTint="BF"/>
    </w:r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Foot"/>
    <w:basedOn w:val="Normal"/>
    <w:link w:val="PrrafodelistaCar"/>
    <w:uiPriority w:val="1"/>
    <w:qFormat/>
    <w:rsid w:val="008C2CF3"/>
    <w:pPr>
      <w:ind w:left="720"/>
      <w:contextualSpacing/>
    </w:pPr>
  </w:style>
  <w:style w:type="character" w:styleId="nfasisintenso">
    <w:name w:val="Intense Emphasis"/>
    <w:basedOn w:val="Fuentedeprrafopredeter"/>
    <w:uiPriority w:val="21"/>
    <w:qFormat/>
    <w:rsid w:val="008C2CF3"/>
    <w:rPr>
      <w:i/>
      <w:iCs/>
      <w:color w:val="0F4761" w:themeColor="accent1" w:themeShade="BF"/>
    </w:rPr>
  </w:style>
  <w:style w:type="paragraph" w:styleId="Citadestacada">
    <w:name w:val="Intense Quote"/>
    <w:basedOn w:val="Normal"/>
    <w:next w:val="Normal"/>
    <w:link w:val="CitadestacadaCar"/>
    <w:uiPriority w:val="30"/>
    <w:qFormat/>
    <w:rsid w:val="008C2C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C2CF3"/>
    <w:rPr>
      <w:i/>
      <w:iCs/>
      <w:color w:val="0F4761" w:themeColor="accent1" w:themeShade="BF"/>
    </w:rPr>
  </w:style>
  <w:style w:type="character" w:styleId="Referenciaintensa">
    <w:name w:val="Intense Reference"/>
    <w:basedOn w:val="Fuentedeprrafopredeter"/>
    <w:uiPriority w:val="32"/>
    <w:qFormat/>
    <w:rsid w:val="008C2CF3"/>
    <w:rPr>
      <w:b/>
      <w:bCs/>
      <w:smallCaps/>
      <w:color w:val="0F4761" w:themeColor="accent1" w:themeShade="BF"/>
      <w:spacing w:val="5"/>
    </w:rPr>
  </w:style>
  <w:style w:type="paragraph" w:styleId="Encabezado">
    <w:name w:val="header"/>
    <w:basedOn w:val="Normal"/>
    <w:link w:val="EncabezadoCar"/>
    <w:uiPriority w:val="99"/>
    <w:unhideWhenUsed/>
    <w:rsid w:val="008C2CF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C2CF3"/>
    <w:rPr>
      <w:kern w:val="0"/>
      <w:sz w:val="22"/>
      <w:szCs w:val="22"/>
      <w14:ligatures w14:val="none"/>
    </w:rPr>
  </w:style>
  <w:style w:type="paragraph" w:styleId="Piedepgina">
    <w:name w:val="footer"/>
    <w:basedOn w:val="Normal"/>
    <w:link w:val="PiedepginaCar"/>
    <w:uiPriority w:val="99"/>
    <w:unhideWhenUsed/>
    <w:rsid w:val="008C2CF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C2CF3"/>
    <w:rPr>
      <w:kern w:val="0"/>
      <w:sz w:val="22"/>
      <w:szCs w:val="22"/>
      <w14:ligatures w14:val="none"/>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8C2CF3"/>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8C2CF3"/>
    <w:pPr>
      <w:spacing w:after="0" w:line="240" w:lineRule="auto"/>
    </w:pPr>
    <w:rPr>
      <w:kern w:val="2"/>
      <w:sz w:val="20"/>
      <w:szCs w:val="20"/>
      <w:lang w:val="es-MX"/>
      <w14:ligatures w14:val="standardContextual"/>
    </w:rPr>
  </w:style>
  <w:style w:type="character" w:customStyle="1" w:styleId="TextonotapieCar1">
    <w:name w:val="Texto nota pie Car1"/>
    <w:basedOn w:val="Fuentedeprrafopredeter"/>
    <w:uiPriority w:val="99"/>
    <w:semiHidden/>
    <w:rsid w:val="008C2CF3"/>
    <w:rPr>
      <w:kern w:val="0"/>
      <w:sz w:val="20"/>
      <w:szCs w:val="20"/>
      <w14:ligatures w14:val="none"/>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8C2CF3"/>
    <w:rPr>
      <w:vertAlign w:val="superscript"/>
    </w:rPr>
  </w:style>
  <w:style w:type="character" w:customStyle="1" w:styleId="normaltextrun">
    <w:name w:val="normaltextrun"/>
    <w:basedOn w:val="Fuentedeprrafopredeter"/>
    <w:rsid w:val="008C2CF3"/>
  </w:style>
  <w:style w:type="table" w:styleId="Tablaconcuadrcula">
    <w:name w:val="Table Grid"/>
    <w:basedOn w:val="Tablanormal"/>
    <w:uiPriority w:val="39"/>
    <w:qFormat/>
    <w:rsid w:val="008C2CF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C2CF3"/>
    <w:rPr>
      <w:color w:val="0000FF"/>
      <w:u w:val="single"/>
    </w:rPr>
  </w:style>
  <w:style w:type="paragraph" w:customStyle="1" w:styleId="paragraph">
    <w:name w:val="paragraph"/>
    <w:basedOn w:val="Normal"/>
    <w:rsid w:val="008C2CF3"/>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NormalWeb">
    <w:name w:val="Normal (Web)"/>
    <w:basedOn w:val="Normal"/>
    <w:link w:val="NormalWebCar"/>
    <w:uiPriority w:val="99"/>
    <w:unhideWhenUsed/>
    <w:rsid w:val="008C2CF3"/>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Appelnotedebasde">
    <w:name w:val="Appel note de bas de..."/>
    <w:basedOn w:val="Normal"/>
    <w:link w:val="Refdenotaalpie"/>
    <w:uiPriority w:val="99"/>
    <w:rsid w:val="008C2CF3"/>
    <w:pPr>
      <w:spacing w:line="240" w:lineRule="exact"/>
    </w:pPr>
    <w:rPr>
      <w:kern w:val="2"/>
      <w:sz w:val="24"/>
      <w:szCs w:val="24"/>
      <w:vertAlign w:val="superscript"/>
      <w14:ligatures w14:val="standardContextual"/>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1"/>
    <w:qFormat/>
    <w:locked/>
    <w:rsid w:val="008C2CF3"/>
  </w:style>
  <w:style w:type="character" w:customStyle="1" w:styleId="s15">
    <w:name w:val="s15"/>
    <w:basedOn w:val="Fuentedeprrafopredeter"/>
    <w:rsid w:val="008C2CF3"/>
  </w:style>
  <w:style w:type="character" w:customStyle="1" w:styleId="NormalWebCar">
    <w:name w:val="Normal (Web) Car"/>
    <w:link w:val="NormalWeb"/>
    <w:uiPriority w:val="99"/>
    <w:locked/>
    <w:rsid w:val="008C2CF3"/>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8C2CF3"/>
  </w:style>
  <w:style w:type="paragraph" w:styleId="Textoindependiente">
    <w:name w:val="Body Text"/>
    <w:basedOn w:val="Normal"/>
    <w:link w:val="TextoindependienteCar"/>
    <w:uiPriority w:val="1"/>
    <w:unhideWhenUsed/>
    <w:qFormat/>
    <w:rsid w:val="008C2CF3"/>
    <w:pPr>
      <w:spacing w:after="120"/>
    </w:pPr>
  </w:style>
  <w:style w:type="character" w:customStyle="1" w:styleId="TextoindependienteCar">
    <w:name w:val="Texto independiente Car"/>
    <w:basedOn w:val="Fuentedeprrafopredeter"/>
    <w:link w:val="Textoindependiente"/>
    <w:uiPriority w:val="1"/>
    <w:rsid w:val="008C2CF3"/>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hyperlink" Target="https://forms.office.com/r/pPHyWVs2SZ"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yperlink" Target="https://www.colombiacompra.gov.co/pqrsd/informacion-importante-antes-de-formular-una-pqrsd" TargetMode="External"/><Relationship Id="rId2" Type="http://schemas.openxmlformats.org/officeDocument/2006/relationships/customXml" Target="../customXml/item2.xml"/><Relationship Id="rId16" Type="http://schemas.openxmlformats.org/officeDocument/2006/relationships/hyperlink" Target="mailto:ventanilladeradicacion@colombiacompra.gov.c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dresfelipe_90210@hotmail.com"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3"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632968-A79B-4406-99A4-BD455976FDB9}">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6BBF48C6-93CA-49A3-8550-FFFAC8910092}">
  <ds:schemaRefs>
    <ds:schemaRef ds:uri="http://schemas.microsoft.com/sharepoint/v3/contenttype/forms"/>
  </ds:schemaRefs>
</ds:datastoreItem>
</file>

<file path=customXml/itemProps3.xml><?xml version="1.0" encoding="utf-8"?>
<ds:datastoreItem xmlns:ds="http://schemas.openxmlformats.org/officeDocument/2006/customXml" ds:itemID="{75DF1752-3A68-4A83-851A-D2FDD10EF2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13</TotalTime>
  <Pages>21</Pages>
  <Words>7011</Words>
  <Characters>38562</Characters>
  <Application>Microsoft Office Word</Application>
  <DocSecurity>0</DocSecurity>
  <Lines>321</Lines>
  <Paragraphs>90</Paragraphs>
  <ScaleCrop>false</ScaleCrop>
  <Company/>
  <LinksUpToDate>false</LinksUpToDate>
  <CharactersWithSpaces>45483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Montoya Jiménez</dc:creator>
  <cp:keywords/>
  <dc:description/>
  <cp:lastModifiedBy>Andreina Cerpa Muñoz</cp:lastModifiedBy>
  <cp:revision>8</cp:revision>
  <dcterms:created xsi:type="dcterms:W3CDTF">2026-06-16T16:55:00Z</dcterms:created>
  <dcterms:modified xsi:type="dcterms:W3CDTF">2026-06-18T20:23:00Z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ies>
</file>