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A2184" w14:textId="77777777" w:rsidR="003A1BAC" w:rsidRPr="004C046B" w:rsidRDefault="003A1BAC" w:rsidP="003A1BAC">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1D49B7F" w14:textId="77777777" w:rsidR="003A1BAC" w:rsidRPr="007B5AD4" w:rsidRDefault="003A1BAC" w:rsidP="003A1BAC">
      <w:pPr>
        <w:spacing w:after="0" w:line="240" w:lineRule="auto"/>
        <w:contextualSpacing/>
        <w:jc w:val="both"/>
        <w:rPr>
          <w:rFonts w:ascii="Verdana" w:eastAsia="Calibri" w:hAnsi="Verdana" w:cs="Arial"/>
          <w:b/>
          <w:bCs/>
          <w:sz w:val="20"/>
          <w:szCs w:val="20"/>
          <w:lang w:eastAsia="es-ES"/>
        </w:rPr>
      </w:pPr>
    </w:p>
    <w:p w14:paraId="145E291C" w14:textId="77777777" w:rsidR="003A1BAC" w:rsidRDefault="003A1BAC" w:rsidP="003A1BAC">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32D09BA"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5AD1E5E" w14:textId="3E6CC5F7" w:rsidR="00594D0B" w:rsidRDefault="00594D0B" w:rsidP="003A1BAC">
      <w:pPr>
        <w:spacing w:after="0" w:line="240" w:lineRule="auto"/>
        <w:contextualSpacing/>
        <w:jc w:val="both"/>
        <w:rPr>
          <w:rFonts w:ascii="Verdana" w:eastAsia="Calibri" w:hAnsi="Verdana" w:cs="Arial"/>
          <w:b/>
          <w:bCs/>
          <w:lang w:eastAsia="es-ES"/>
        </w:rPr>
      </w:pPr>
      <w:r w:rsidRPr="00594D0B">
        <w:rPr>
          <w:rFonts w:ascii="Verdana" w:eastAsia="Calibri" w:hAnsi="Verdana" w:cs="Arial"/>
          <w:b/>
          <w:bCs/>
          <w:lang w:eastAsia="es-ES"/>
        </w:rPr>
        <w:t>DECRETO 0287 DE 2026 – Puntaje adicional – Requisitos</w:t>
      </w:r>
    </w:p>
    <w:p w14:paraId="4292AE6D" w14:textId="77777777" w:rsidR="00594D0B" w:rsidRDefault="00594D0B" w:rsidP="003A1BAC">
      <w:pPr>
        <w:spacing w:after="0" w:line="240" w:lineRule="auto"/>
        <w:contextualSpacing/>
        <w:jc w:val="both"/>
        <w:rPr>
          <w:rFonts w:ascii="Verdana" w:eastAsia="Calibri" w:hAnsi="Verdana" w:cs="Arial"/>
          <w:b/>
          <w:bCs/>
          <w:lang w:eastAsia="es-ES"/>
        </w:rPr>
      </w:pPr>
    </w:p>
    <w:p w14:paraId="6E8C544F" w14:textId="77777777" w:rsidR="00594D0B" w:rsidRPr="008D1F58" w:rsidRDefault="00594D0B" w:rsidP="00594D0B">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 xml:space="preserve">En respuesta al problema planteado, es preciso señalar que el artículo 2.2.1.2.4.2.7.4 del Decreto 1082 de 2015, modificado por el Decreto 287 de 2026, establece un puntaje adicional del dos por ciento (2 %) del total de los puntos previstos en el pliego de condiciones para los procedimientos de licitación pública y concurso de méritos. A este beneficio pueden acceder los proponentes que: i) acrediten alguna de las condiciones previstas en el artículo 2.2.1.2.4.2.6 del Decreto 1082 de 2015, o </w:t>
      </w:r>
      <w:proofErr w:type="spellStart"/>
      <w:r w:rsidRPr="008D1F58">
        <w:rPr>
          <w:rFonts w:ascii="Verdana" w:eastAsia="Calibri" w:hAnsi="Verdana" w:cs="Arial"/>
          <w:sz w:val="20"/>
          <w:szCs w:val="20"/>
          <w:lang w:eastAsia="es-ES"/>
        </w:rPr>
        <w:t>ii</w:t>
      </w:r>
      <w:proofErr w:type="spellEnd"/>
      <w:r w:rsidRPr="008D1F58">
        <w:rPr>
          <w:rFonts w:ascii="Verdana" w:eastAsia="Calibri" w:hAnsi="Verdana" w:cs="Arial"/>
          <w:sz w:val="20"/>
          <w:szCs w:val="20"/>
          <w:lang w:eastAsia="es-ES"/>
        </w:rPr>
        <w:t>) demuestren la vinculación de personas con discapacidad a su planta de personal en los términos establecidos en el numeral 2 del artículo 2.2.1.2.4.2.7.4.</w:t>
      </w:r>
    </w:p>
    <w:p w14:paraId="6DA8355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5230BB0E" w14:textId="6EECD86F" w:rsidR="005318F0" w:rsidRDefault="005318F0" w:rsidP="005318F0">
      <w:pPr>
        <w:spacing w:after="0" w:line="240" w:lineRule="auto"/>
        <w:contextualSpacing/>
        <w:jc w:val="both"/>
        <w:rPr>
          <w:rFonts w:ascii="Verdana" w:eastAsia="Calibri" w:hAnsi="Verdana" w:cs="Arial"/>
          <w:b/>
          <w:bCs/>
          <w:lang w:eastAsia="es-ES"/>
        </w:rPr>
      </w:pPr>
      <w:r w:rsidRPr="00594D0B">
        <w:rPr>
          <w:rFonts w:ascii="Verdana" w:eastAsia="Calibri" w:hAnsi="Verdana" w:cs="Arial"/>
          <w:b/>
          <w:bCs/>
          <w:lang w:eastAsia="es-ES"/>
        </w:rPr>
        <w:t>DECRETO 0287 DE 2026 – Puntaje adicional – Requisitos</w:t>
      </w:r>
      <w:r>
        <w:rPr>
          <w:rFonts w:ascii="Verdana" w:eastAsia="Calibri" w:hAnsi="Verdana" w:cs="Arial"/>
          <w:b/>
          <w:bCs/>
          <w:lang w:eastAsia="es-ES"/>
        </w:rPr>
        <w:t xml:space="preserve"> </w:t>
      </w:r>
      <w:r w:rsidRPr="00594D0B">
        <w:rPr>
          <w:rFonts w:ascii="Verdana" w:eastAsia="Calibri" w:hAnsi="Verdana" w:cs="Arial"/>
          <w:b/>
          <w:bCs/>
          <w:lang w:eastAsia="es-ES"/>
        </w:rPr>
        <w:t>–</w:t>
      </w:r>
      <w:r>
        <w:rPr>
          <w:rFonts w:ascii="Verdana" w:eastAsia="Calibri" w:hAnsi="Verdana" w:cs="Arial"/>
          <w:b/>
          <w:bCs/>
          <w:lang w:eastAsia="es-ES"/>
        </w:rPr>
        <w:t xml:space="preserve"> Certificado de discapacidad</w:t>
      </w:r>
    </w:p>
    <w:p w14:paraId="31D84DE3" w14:textId="77777777" w:rsidR="005318F0" w:rsidRDefault="005318F0" w:rsidP="003A1BAC">
      <w:pPr>
        <w:spacing w:after="0" w:line="240" w:lineRule="auto"/>
        <w:contextualSpacing/>
        <w:jc w:val="both"/>
        <w:rPr>
          <w:rFonts w:ascii="Verdana" w:eastAsia="Calibri" w:hAnsi="Verdana" w:cs="Arial"/>
          <w:sz w:val="20"/>
          <w:szCs w:val="20"/>
          <w:lang w:eastAsia="es-ES"/>
        </w:rPr>
      </w:pPr>
    </w:p>
    <w:p w14:paraId="01C7559D" w14:textId="77777777" w:rsidR="00024CBF" w:rsidRPr="00024CBF" w:rsidRDefault="00024CBF" w:rsidP="00024CBF">
      <w:pPr>
        <w:spacing w:after="0" w:line="240" w:lineRule="auto"/>
        <w:contextualSpacing/>
        <w:jc w:val="both"/>
        <w:rPr>
          <w:rFonts w:ascii="Verdana" w:eastAsia="Calibri" w:hAnsi="Verdana" w:cs="Arial"/>
          <w:sz w:val="20"/>
          <w:szCs w:val="20"/>
          <w:lang w:eastAsia="es-ES"/>
        </w:rPr>
      </w:pPr>
      <w:r w:rsidRPr="00024CBF">
        <w:rPr>
          <w:rFonts w:ascii="Verdana" w:eastAsia="Calibri" w:hAnsi="Verdana" w:cs="Arial"/>
          <w:sz w:val="20"/>
          <w:szCs w:val="20"/>
          <w:lang w:eastAsia="es-ES"/>
        </w:rPr>
        <w:t>Ahora bien, de conformidad con los artículos 2.2.1.2.4.2.6 y 2.2.1.2.4.2.7.4. tanto para ser considerado emprendimiento y empresa de persona con discapacidad y/o para verificar la vinculación de personas con discapacidad en la planta de personal de las empresas, que son las situaciones en las que se puede acceder al puntaje, se requiere “el certificado de discapacidad expedido de acuerdo con la normativa del Ministerio de Salud y Protección Social”. La expedición del certificado de discapacidad se encuentra regulada en la Resolución 1197 de 2024 “Por la cual se dictan disposiciones en relación con el procedimiento de certificación de discapacidad y el Registro de Localización y Caracterización de Personas con Discapacidad y se deroga la Resolución 1239 de 2022”.</w:t>
      </w:r>
    </w:p>
    <w:p w14:paraId="572C233A" w14:textId="77777777" w:rsidR="00024CBF" w:rsidRPr="00024CBF" w:rsidRDefault="00024CBF" w:rsidP="00024CBF">
      <w:pPr>
        <w:spacing w:after="0" w:line="240" w:lineRule="auto"/>
        <w:contextualSpacing/>
        <w:jc w:val="both"/>
        <w:rPr>
          <w:rFonts w:ascii="Verdana" w:eastAsia="Calibri" w:hAnsi="Verdana" w:cs="Arial"/>
          <w:sz w:val="20"/>
          <w:szCs w:val="20"/>
          <w:lang w:eastAsia="es-ES"/>
        </w:rPr>
      </w:pPr>
      <w:r w:rsidRPr="00024CBF">
        <w:rPr>
          <w:rFonts w:ascii="Verdana" w:eastAsia="Calibri" w:hAnsi="Verdana" w:cs="Arial"/>
          <w:sz w:val="20"/>
          <w:szCs w:val="20"/>
          <w:lang w:eastAsia="es-ES"/>
        </w:rPr>
        <w:t>Allí se indica que los encargados de emitir el certificado de discapacidad son las secretarías de salud distrital o municipal del lugar de residencia de la persona con discapacidad o la entidad que haga sus veces. Una vez se expide este certificado, debe ser registrado en el Registro para la Localización y Caracterización de Personas con Discapacidad (RLCPD), no obstante el artículo 16 de la Resolución 1197 de 2024 señala que:</w:t>
      </w:r>
    </w:p>
    <w:p w14:paraId="535054F1" w14:textId="77777777" w:rsidR="00024CBF" w:rsidRDefault="00024CBF" w:rsidP="00024CBF">
      <w:pPr>
        <w:spacing w:after="0" w:line="240" w:lineRule="auto"/>
        <w:contextualSpacing/>
        <w:jc w:val="both"/>
        <w:rPr>
          <w:rFonts w:ascii="Verdana" w:eastAsia="Calibri" w:hAnsi="Verdana" w:cs="Arial"/>
          <w:sz w:val="20"/>
          <w:szCs w:val="20"/>
          <w:lang w:eastAsia="es-ES"/>
        </w:rPr>
      </w:pPr>
      <w:r w:rsidRPr="00024CBF">
        <w:rPr>
          <w:rFonts w:ascii="Verdana" w:eastAsia="Calibri" w:hAnsi="Verdana" w:cs="Arial"/>
          <w:sz w:val="20"/>
          <w:szCs w:val="20"/>
          <w:lang w:eastAsia="es-ES"/>
        </w:rPr>
        <w:lastRenderedPageBreak/>
        <w:t>“(…) Parágrafo. La consulta individual de las personas con discapacidad, se puede realizar en el Sistema Integrado de Información de la Protección Social y de requerirse por una entidad información nominal o masiva derivada del Registro de Localización y Caracterización de Personas con Discapacidad, deberá solicitarla al Ministerio de Salud y Protección Social, atendiendo los criterios de acceso y protección de la información por este establecidos”.</w:t>
      </w:r>
    </w:p>
    <w:p w14:paraId="1E0384F1" w14:textId="77777777" w:rsidR="00024CBF" w:rsidRPr="00024CBF" w:rsidRDefault="00024CBF" w:rsidP="00024CBF">
      <w:pPr>
        <w:spacing w:after="0" w:line="240" w:lineRule="auto"/>
        <w:contextualSpacing/>
        <w:jc w:val="both"/>
        <w:rPr>
          <w:rFonts w:ascii="Verdana" w:eastAsia="Calibri" w:hAnsi="Verdana" w:cs="Arial"/>
          <w:sz w:val="20"/>
          <w:szCs w:val="20"/>
          <w:lang w:eastAsia="es-ES"/>
        </w:rPr>
      </w:pPr>
    </w:p>
    <w:p w14:paraId="4BD78F78" w14:textId="77777777" w:rsidR="00024CBF" w:rsidRPr="00024CBF" w:rsidRDefault="00024CBF" w:rsidP="00024CBF">
      <w:pPr>
        <w:spacing w:after="0" w:line="240" w:lineRule="auto"/>
        <w:contextualSpacing/>
        <w:jc w:val="both"/>
        <w:rPr>
          <w:rFonts w:ascii="Verdana" w:eastAsia="Calibri" w:hAnsi="Verdana" w:cs="Arial"/>
          <w:sz w:val="20"/>
          <w:szCs w:val="20"/>
          <w:lang w:eastAsia="es-ES"/>
        </w:rPr>
      </w:pPr>
      <w:r w:rsidRPr="00024CBF">
        <w:rPr>
          <w:rFonts w:ascii="Verdana" w:eastAsia="Calibri" w:hAnsi="Verdana" w:cs="Arial"/>
          <w:sz w:val="20"/>
          <w:szCs w:val="20"/>
          <w:lang w:eastAsia="es-ES"/>
        </w:rPr>
        <w:t>De esta forma, será de conformidad con las normas que regulan el certificado de discapacidad y en particular del Registro para la Localización y Caracterización de Personas con Discapacidad (RLCPD), que las entidades contratantes deberán verificar los certificados de discapacidad, teniendo en cuenta que esta información no es pública ya que se consideran datos sensibles. Adicionalmente, dicho registro sería la plataforma oficial por lo que no es posible consultar plataformas internas, como lo señala en su consulta; y las entidades dejarán constancia en los Documentos del Proceso de la verificación del cumplimiento de los requisitos para acceder al puntaje.</w:t>
      </w:r>
    </w:p>
    <w:p w14:paraId="69123E6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BF1483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26B57E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1B189D3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1A547F3B"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6A1C703"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75C89FD"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426AF3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4B1B9D14"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D65DD88"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58C07D1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59E0E70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EAA47C0"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9357D52"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0B6FFAC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3E0C128"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AEE9606"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AC9B81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798669A"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4408F76A" w14:textId="77777777" w:rsidR="00F92CB9" w:rsidRDefault="00F92CB9" w:rsidP="003A1BAC">
      <w:pPr>
        <w:spacing w:after="0"/>
        <w:rPr>
          <w:rFonts w:ascii="Verdana" w:hAnsi="Verdana"/>
          <w:lang w:val="es-ES_tradnl"/>
        </w:rPr>
      </w:pPr>
    </w:p>
    <w:p w14:paraId="0A9DE598" w14:textId="77777777" w:rsidR="00F92CB9" w:rsidRDefault="00F92CB9" w:rsidP="003A1BAC">
      <w:pPr>
        <w:spacing w:after="0"/>
        <w:rPr>
          <w:rFonts w:ascii="Verdana" w:hAnsi="Verdana"/>
          <w:lang w:val="es-ES_tradnl"/>
        </w:rPr>
      </w:pPr>
    </w:p>
    <w:p w14:paraId="7EF9D448" w14:textId="77777777" w:rsidR="00F92CB9" w:rsidRDefault="00F92CB9" w:rsidP="003A1BAC">
      <w:pPr>
        <w:spacing w:after="0"/>
        <w:rPr>
          <w:rFonts w:ascii="Verdana" w:hAnsi="Verdana"/>
          <w:lang w:val="es-ES_tradnl"/>
        </w:rPr>
      </w:pPr>
    </w:p>
    <w:p w14:paraId="47589458" w14:textId="77777777" w:rsidR="00F92CB9" w:rsidRDefault="00F92CB9" w:rsidP="003A1BAC">
      <w:pPr>
        <w:spacing w:after="0"/>
        <w:rPr>
          <w:rFonts w:ascii="Verdana" w:hAnsi="Verdana"/>
          <w:lang w:val="es-ES_tradnl"/>
        </w:rPr>
      </w:pPr>
    </w:p>
    <w:p w14:paraId="29035623" w14:textId="77777777" w:rsidR="00F92CB9" w:rsidRDefault="00F92CB9" w:rsidP="003A1BAC">
      <w:pPr>
        <w:spacing w:after="0"/>
        <w:rPr>
          <w:rFonts w:ascii="Verdana" w:hAnsi="Verdana"/>
          <w:lang w:val="es-ES_tradnl"/>
        </w:rPr>
      </w:pPr>
    </w:p>
    <w:p w14:paraId="722550FE" w14:textId="77777777" w:rsidR="00F92CB9" w:rsidRDefault="00F92CB9" w:rsidP="003A1BAC">
      <w:pPr>
        <w:spacing w:after="0"/>
        <w:rPr>
          <w:rFonts w:ascii="Verdana" w:hAnsi="Verdana"/>
          <w:lang w:val="es-ES_tradnl"/>
        </w:rPr>
      </w:pPr>
    </w:p>
    <w:p w14:paraId="68C191CF" w14:textId="77777777" w:rsidR="00F92CB9" w:rsidRDefault="00F92CB9" w:rsidP="003A1BAC">
      <w:pPr>
        <w:spacing w:after="0"/>
        <w:rPr>
          <w:rFonts w:ascii="Verdana" w:hAnsi="Verdana"/>
          <w:lang w:val="es-ES_tradnl"/>
        </w:rPr>
      </w:pPr>
    </w:p>
    <w:p w14:paraId="55FA77F7" w14:textId="77777777" w:rsidR="00F92CB9" w:rsidRDefault="00F92CB9" w:rsidP="003A1BAC">
      <w:pPr>
        <w:spacing w:after="0"/>
        <w:rPr>
          <w:rFonts w:ascii="Verdana" w:hAnsi="Verdana"/>
          <w:lang w:val="es-ES_tradnl"/>
        </w:rPr>
      </w:pPr>
    </w:p>
    <w:p w14:paraId="19147941" w14:textId="77777777" w:rsidR="00F92CB9" w:rsidRDefault="00F92CB9" w:rsidP="003A1BAC">
      <w:pPr>
        <w:spacing w:after="0"/>
        <w:rPr>
          <w:rFonts w:ascii="Verdana" w:hAnsi="Verdana"/>
          <w:lang w:val="es-ES_tradnl"/>
        </w:rPr>
      </w:pPr>
    </w:p>
    <w:p w14:paraId="5F3111D3" w14:textId="77777777" w:rsidR="00F92CB9" w:rsidRDefault="00F92CB9" w:rsidP="003A1BAC">
      <w:pPr>
        <w:spacing w:after="0"/>
        <w:rPr>
          <w:rFonts w:ascii="Verdana" w:hAnsi="Verdana"/>
          <w:lang w:val="es-ES_tradnl"/>
        </w:rPr>
      </w:pPr>
    </w:p>
    <w:p w14:paraId="13027AEA" w14:textId="66F82A0B" w:rsidR="003A1BAC" w:rsidRDefault="003A1BAC" w:rsidP="003A1BAC">
      <w:pPr>
        <w:spacing w:after="0"/>
        <w:rPr>
          <w:rFonts w:ascii="Verdana" w:hAnsi="Verdana"/>
          <w:lang w:val="es-ES_tradnl"/>
        </w:rPr>
      </w:pPr>
      <w:r w:rsidRPr="004F4EF9">
        <w:rPr>
          <w:rFonts w:ascii="Verdana" w:hAnsi="Verdana"/>
          <w:lang w:val="es-ES_tradnl"/>
        </w:rPr>
        <w:lastRenderedPageBreak/>
        <w:t xml:space="preserve">Bogotá D.C., </w:t>
      </w:r>
      <w:r w:rsidR="00DE015B">
        <w:rPr>
          <w:rFonts w:ascii="Verdana" w:hAnsi="Verdana"/>
          <w:lang w:val="es-ES_tradnl"/>
        </w:rPr>
        <w:t>29 de mayo de 2026</w:t>
      </w:r>
    </w:p>
    <w:p w14:paraId="30B6FCAE" w14:textId="77777777" w:rsidR="00DE015B" w:rsidRDefault="00DE015B" w:rsidP="003A1BAC">
      <w:pPr>
        <w:spacing w:after="0"/>
        <w:rPr>
          <w:rFonts w:ascii="Verdana" w:hAnsi="Verdana"/>
          <w:lang w:val="es-ES_tradnl"/>
        </w:rPr>
      </w:pPr>
    </w:p>
    <w:p w14:paraId="17A920F9" w14:textId="1DC06C01" w:rsidR="00DE015B" w:rsidRDefault="00DE015B" w:rsidP="00DE015B">
      <w:pPr>
        <w:spacing w:after="0"/>
        <w:jc w:val="right"/>
        <w:rPr>
          <w:rFonts w:ascii="Verdana" w:hAnsi="Verdana"/>
          <w:lang w:val="es-ES_tradnl"/>
        </w:rPr>
      </w:pPr>
      <w:r w:rsidRPr="00DE015B">
        <w:rPr>
          <w:rFonts w:ascii="Verdana" w:hAnsi="Verdana"/>
          <w:lang w:val="es-ES_tradnl"/>
        </w:rPr>
        <w:drawing>
          <wp:inline distT="0" distB="0" distL="0" distR="0" wp14:anchorId="79FC2F76" wp14:editId="5AB5BE8C">
            <wp:extent cx="3658111" cy="990738"/>
            <wp:effectExtent l="0" t="0" r="0" b="0"/>
            <wp:docPr id="20166440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644097" name=""/>
                    <pic:cNvPicPr/>
                  </pic:nvPicPr>
                  <pic:blipFill>
                    <a:blip r:embed="rId11"/>
                    <a:stretch>
                      <a:fillRect/>
                    </a:stretch>
                  </pic:blipFill>
                  <pic:spPr>
                    <a:xfrm>
                      <a:off x="0" y="0"/>
                      <a:ext cx="3658111" cy="990738"/>
                    </a:xfrm>
                    <a:prstGeom prst="rect">
                      <a:avLst/>
                    </a:prstGeom>
                  </pic:spPr>
                </pic:pic>
              </a:graphicData>
            </a:graphic>
          </wp:inline>
        </w:drawing>
      </w:r>
    </w:p>
    <w:p w14:paraId="61321AD4" w14:textId="77777777" w:rsidR="003A1BAC" w:rsidRDefault="003A1BAC" w:rsidP="003A1BAC">
      <w:pPr>
        <w:spacing w:after="0"/>
        <w:rPr>
          <w:rFonts w:ascii="Verdana" w:hAnsi="Verdana"/>
          <w:lang w:val="es-ES_tradnl"/>
        </w:rPr>
      </w:pPr>
    </w:p>
    <w:p w14:paraId="5A3C1D37" w14:textId="77777777" w:rsidR="003A1BAC" w:rsidRPr="00777292" w:rsidRDefault="003A1BAC" w:rsidP="003A1BAC">
      <w:pPr>
        <w:spacing w:after="0"/>
        <w:rPr>
          <w:rFonts w:ascii="Verdana" w:hAnsi="Verdana"/>
          <w:lang w:val="es-ES_tradnl"/>
        </w:rPr>
      </w:pPr>
    </w:p>
    <w:p w14:paraId="4F39BDE4" w14:textId="77777777" w:rsidR="003A1BAC" w:rsidRPr="00FB6143" w:rsidRDefault="003A1BAC" w:rsidP="003A1BAC">
      <w:pPr>
        <w:spacing w:after="0" w:line="240" w:lineRule="auto"/>
        <w:rPr>
          <w:rFonts w:ascii="Verdana" w:hAnsi="Verdana"/>
        </w:rPr>
      </w:pPr>
      <w:bookmarkStart w:id="0" w:name="_Hlk143780582"/>
      <w:r w:rsidRPr="00FB6143">
        <w:rPr>
          <w:rFonts w:ascii="Verdana" w:eastAsia="Calibri" w:hAnsi="Verdana" w:cs="Arial"/>
          <w:lang w:eastAsia="es-ES"/>
        </w:rPr>
        <w:t>Señor</w:t>
      </w:r>
    </w:p>
    <w:p w14:paraId="7536B7C8" w14:textId="3F8D6C5F" w:rsidR="003A1BAC" w:rsidRPr="00181EEB" w:rsidRDefault="00193F0E" w:rsidP="003A1BAC">
      <w:pPr>
        <w:spacing w:after="0"/>
        <w:rPr>
          <w:rFonts w:ascii="Verdana" w:eastAsia="Calibri" w:hAnsi="Verdana" w:cs="Arial"/>
          <w:b/>
          <w:bCs/>
          <w:lang w:eastAsia="es-ES"/>
        </w:rPr>
      </w:pPr>
      <w:r>
        <w:rPr>
          <w:rFonts w:ascii="Verdana" w:eastAsia="Calibri" w:hAnsi="Verdana" w:cs="Arial"/>
          <w:b/>
          <w:bCs/>
          <w:lang w:eastAsia="es-ES"/>
        </w:rPr>
        <w:t>Juan José Bonett Parada</w:t>
      </w:r>
    </w:p>
    <w:p w14:paraId="424DD331" w14:textId="3F47C73E" w:rsidR="000C65B2" w:rsidRDefault="000C65B2" w:rsidP="000C65B2">
      <w:pPr>
        <w:spacing w:after="0"/>
        <w:rPr>
          <w:rFonts w:ascii="Verdana" w:eastAsia="Calibri" w:hAnsi="Verdana" w:cs="Arial"/>
          <w:lang w:eastAsia="es-ES"/>
        </w:rPr>
      </w:pPr>
      <w:hyperlink r:id="rId12" w:history="1">
        <w:r w:rsidRPr="008E78CE">
          <w:rPr>
            <w:rStyle w:val="Hipervnculo"/>
            <w:rFonts w:ascii="Verdana" w:eastAsia="Calibri" w:hAnsi="Verdana" w:cs="Arial"/>
            <w:lang w:eastAsia="es-ES"/>
          </w:rPr>
          <w:t>simcocsas@gmail.com</w:t>
        </w:r>
      </w:hyperlink>
    </w:p>
    <w:p w14:paraId="4CB0FE73" w14:textId="708891CA" w:rsidR="003A1BAC" w:rsidRPr="00181EEB" w:rsidRDefault="003A1BAC" w:rsidP="000C65B2">
      <w:pPr>
        <w:spacing w:after="0"/>
        <w:rPr>
          <w:rFonts w:ascii="Verdana" w:eastAsia="Calibri" w:hAnsi="Verdana" w:cs="Arial"/>
          <w:lang w:eastAsia="es-ES"/>
        </w:rPr>
      </w:pPr>
      <w:r w:rsidRPr="00181EEB">
        <w:rPr>
          <w:rFonts w:ascii="Verdana" w:eastAsia="Calibri" w:hAnsi="Verdana" w:cs="Arial"/>
          <w:lang w:eastAsia="es-ES"/>
        </w:rPr>
        <w:t>Ciudad</w:t>
      </w:r>
    </w:p>
    <w:p w14:paraId="3D1E632F" w14:textId="77777777" w:rsidR="003A1BAC" w:rsidRPr="00777292" w:rsidRDefault="003A1BAC" w:rsidP="003A1BAC">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A1BAC" w:rsidRPr="00777292" w14:paraId="317B33D4" w14:textId="77777777" w:rsidTr="002D3CDE">
        <w:trPr>
          <w:trHeight w:val="190"/>
        </w:trPr>
        <w:tc>
          <w:tcPr>
            <w:tcW w:w="2689" w:type="dxa"/>
          </w:tcPr>
          <w:p w14:paraId="51CFE102" w14:textId="77777777" w:rsidR="003A1BAC" w:rsidRDefault="003A1BAC" w:rsidP="002D3CDE">
            <w:pPr>
              <w:jc w:val="both"/>
              <w:rPr>
                <w:rFonts w:ascii="Verdana" w:eastAsia="Calibri" w:hAnsi="Verdana" w:cs="Arial"/>
                <w:b/>
                <w:bCs/>
                <w:lang w:eastAsia="es-ES_tradnl"/>
              </w:rPr>
            </w:pPr>
          </w:p>
          <w:p w14:paraId="2EF7E8E3" w14:textId="77777777" w:rsidR="003A1BAC" w:rsidRPr="00777292" w:rsidRDefault="003A1BAC" w:rsidP="002D3CDE">
            <w:pPr>
              <w:jc w:val="both"/>
              <w:rPr>
                <w:rFonts w:ascii="Verdana" w:eastAsia="Calibri" w:hAnsi="Verdana" w:cs="Arial"/>
                <w:b/>
                <w:bCs/>
                <w:lang w:eastAsia="es-ES_tradnl"/>
              </w:rPr>
            </w:pPr>
          </w:p>
        </w:tc>
        <w:tc>
          <w:tcPr>
            <w:tcW w:w="6100" w:type="dxa"/>
          </w:tcPr>
          <w:p w14:paraId="77AE1A2A" w14:textId="6CDBF649" w:rsidR="003A1BAC" w:rsidRPr="00777292" w:rsidRDefault="003A1BAC" w:rsidP="002D3CDE">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D773D6">
              <w:rPr>
                <w:rFonts w:ascii="Verdana" w:eastAsia="Calibri" w:hAnsi="Verdana" w:cs="Arial"/>
                <w:b/>
                <w:bCs/>
                <w:lang w:eastAsia="es-ES"/>
              </w:rPr>
              <w:t>737</w:t>
            </w:r>
            <w:r w:rsidRPr="00777292">
              <w:rPr>
                <w:rFonts w:ascii="Verdana" w:eastAsia="Calibri" w:hAnsi="Verdana" w:cs="Arial"/>
                <w:b/>
                <w:bCs/>
                <w:lang w:eastAsia="es-ES"/>
              </w:rPr>
              <w:t xml:space="preserve"> de 2026</w:t>
            </w:r>
          </w:p>
          <w:p w14:paraId="6D2EA4F5" w14:textId="77777777" w:rsidR="003A1BAC" w:rsidRPr="00777292" w:rsidRDefault="003A1BAC" w:rsidP="002D3CDE">
            <w:pPr>
              <w:jc w:val="both"/>
              <w:rPr>
                <w:rFonts w:ascii="Verdana" w:eastAsia="Calibri" w:hAnsi="Verdana" w:cs="Arial"/>
                <w:b/>
                <w:bCs/>
                <w:lang w:eastAsia="es-ES"/>
              </w:rPr>
            </w:pPr>
          </w:p>
        </w:tc>
      </w:tr>
      <w:tr w:rsidR="003A1BAC" w:rsidRPr="00777292" w14:paraId="024AC644" w14:textId="77777777" w:rsidTr="002D3CDE">
        <w:trPr>
          <w:trHeight w:val="884"/>
        </w:trPr>
        <w:tc>
          <w:tcPr>
            <w:tcW w:w="2689" w:type="dxa"/>
          </w:tcPr>
          <w:p w14:paraId="5E802A59" w14:textId="77777777" w:rsidR="003A1BAC" w:rsidRPr="00777292" w:rsidRDefault="003A1BAC" w:rsidP="002D3CDE">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75E58C78" w14:textId="4E94E5A7" w:rsidR="003A1BAC" w:rsidRPr="00777292" w:rsidRDefault="003A1BAC" w:rsidP="00F17922">
            <w:pPr>
              <w:spacing w:line="276" w:lineRule="auto"/>
              <w:contextualSpacing/>
              <w:jc w:val="both"/>
              <w:rPr>
                <w:rFonts w:ascii="Verdana" w:eastAsia="Calibri" w:hAnsi="Verdana" w:cs="Arial"/>
                <w:lang w:eastAsia="es-ES"/>
              </w:rPr>
            </w:pP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w:t>
            </w:r>
            <w:r w:rsidR="00A373F2">
              <w:rPr>
                <w:rFonts w:ascii="Verdana" w:eastAsia="Calibri" w:hAnsi="Verdana" w:cs="Arial"/>
                <w:lang w:eastAsia="es-ES"/>
              </w:rPr>
              <w:t>/</w:t>
            </w:r>
            <w:r w:rsidR="00D73A23">
              <w:rPr>
                <w:rFonts w:ascii="Verdana" w:eastAsia="Calibri" w:hAnsi="Verdana" w:cs="Arial"/>
                <w:lang w:eastAsia="es-ES"/>
              </w:rPr>
              <w:t xml:space="preserve"> </w:t>
            </w:r>
            <w:r w:rsidR="00BD7D24" w:rsidRPr="00777292">
              <w:rPr>
                <w:rFonts w:ascii="Verdana" w:eastAsia="Calibri" w:hAnsi="Verdana" w:cs="Arial"/>
                <w:lang w:eastAsia="es-ES"/>
              </w:rPr>
              <w:t xml:space="preserve">DECRETO 0287 DE 2026 </w:t>
            </w:r>
            <w:r w:rsidR="00D73A23">
              <w:rPr>
                <w:rFonts w:ascii="Verdana" w:eastAsia="Calibri" w:hAnsi="Verdana" w:cs="Arial"/>
                <w:lang w:eastAsia="es-ES"/>
              </w:rPr>
              <w:t>– Puntaje adicional – Requisitos</w:t>
            </w:r>
            <w:r w:rsidR="005318F0">
              <w:rPr>
                <w:rFonts w:ascii="Verdana" w:eastAsia="Calibri" w:hAnsi="Verdana" w:cs="Arial"/>
                <w:lang w:eastAsia="es-ES"/>
              </w:rPr>
              <w:t xml:space="preserve"> / </w:t>
            </w:r>
            <w:r w:rsidR="005318F0" w:rsidRPr="005318F0">
              <w:rPr>
                <w:rFonts w:ascii="Verdana" w:eastAsia="Calibri" w:hAnsi="Verdana" w:cs="Arial"/>
                <w:lang w:eastAsia="es-ES"/>
              </w:rPr>
              <w:t>DECRETO 0287 DE 2026 – Puntaje adicional – Requisitos – Certificado de discapacidad</w:t>
            </w:r>
          </w:p>
        </w:tc>
      </w:tr>
      <w:tr w:rsidR="003A1BAC" w:rsidRPr="00777292" w14:paraId="31E40406" w14:textId="77777777" w:rsidTr="002D3CDE">
        <w:tc>
          <w:tcPr>
            <w:tcW w:w="2689" w:type="dxa"/>
          </w:tcPr>
          <w:p w14:paraId="09A4DD1F" w14:textId="77777777" w:rsidR="003A1BAC" w:rsidRPr="00777292" w:rsidRDefault="003A1BAC" w:rsidP="002D3CDE">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14C3AD82" w14:textId="0769CA61" w:rsidR="003A1BAC" w:rsidRPr="00777292" w:rsidRDefault="003A1BAC" w:rsidP="00F17922">
            <w:pPr>
              <w:spacing w:line="276" w:lineRule="auto"/>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D773D6" w:rsidRPr="00D773D6">
              <w:rPr>
                <w:rFonts w:ascii="Verdana" w:hAnsi="Verdana" w:cs="Segoe UI"/>
                <w:color w:val="2B2B2B"/>
                <w:shd w:val="clear" w:color="auto" w:fill="FFFFFF"/>
              </w:rPr>
              <w:t>1_2026_04_29_005833</w:t>
            </w:r>
          </w:p>
        </w:tc>
      </w:tr>
    </w:tbl>
    <w:p w14:paraId="137B206E" w14:textId="77777777" w:rsidR="003A1BAC" w:rsidRPr="00206556" w:rsidRDefault="003A1BAC" w:rsidP="003A1BAC">
      <w:pPr>
        <w:tabs>
          <w:tab w:val="left" w:pos="1520"/>
        </w:tabs>
        <w:spacing w:after="0" w:line="276" w:lineRule="auto"/>
        <w:jc w:val="both"/>
        <w:rPr>
          <w:rFonts w:ascii="Verdana" w:eastAsia="Calibri" w:hAnsi="Verdana" w:cs="Arial"/>
          <w:color w:val="ED7D31" w:themeColor="accent2"/>
          <w:sz w:val="20"/>
          <w:szCs w:val="20"/>
          <w:lang w:val="es-ES" w:eastAsia="es-ES"/>
        </w:rPr>
      </w:pPr>
    </w:p>
    <w:p w14:paraId="7597C74E" w14:textId="77777777" w:rsidR="003A1BAC" w:rsidRPr="00206556" w:rsidRDefault="003A1BAC" w:rsidP="003A1BAC">
      <w:pPr>
        <w:spacing w:after="0" w:line="276" w:lineRule="auto"/>
        <w:jc w:val="both"/>
        <w:rPr>
          <w:rFonts w:ascii="Verdana" w:eastAsia="Calibri" w:hAnsi="Verdana" w:cs="Arial"/>
          <w:color w:val="ED7D31" w:themeColor="accent2"/>
          <w:lang w:val="es-ES" w:eastAsia="es-ES"/>
        </w:rPr>
      </w:pPr>
    </w:p>
    <w:p w14:paraId="5AC5EB64" w14:textId="4DDA8CE7" w:rsidR="003A1BAC" w:rsidRPr="00206556" w:rsidRDefault="003A1BAC" w:rsidP="003A1BAC">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Pr>
          <w:rFonts w:ascii="Verdana" w:eastAsia="Calibri" w:hAnsi="Verdana" w:cs="Arial"/>
          <w:lang w:val="es-ES" w:eastAsia="es-ES"/>
        </w:rPr>
        <w:t>o</w:t>
      </w:r>
      <w:r w:rsidRPr="006A7B59">
        <w:rPr>
          <w:rFonts w:ascii="Verdana" w:eastAsia="Calibri" w:hAnsi="Verdana" w:cs="Arial"/>
          <w:lang w:val="es-ES" w:eastAsia="es-ES"/>
        </w:rPr>
        <w:t xml:space="preserve"> Señor </w:t>
      </w:r>
      <w:r w:rsidR="00193F0E">
        <w:rPr>
          <w:rFonts w:ascii="Verdana" w:eastAsia="Calibri" w:hAnsi="Verdana" w:cs="Arial"/>
          <w:lang w:val="es-ES" w:eastAsia="es-ES"/>
        </w:rPr>
        <w:t>Bonett</w:t>
      </w:r>
      <w:r w:rsidRPr="006A7B59">
        <w:rPr>
          <w:rFonts w:ascii="Verdana" w:eastAsia="Calibri" w:hAnsi="Verdana" w:cs="Arial"/>
          <w:lang w:val="es-ES" w:eastAsia="es-ES"/>
        </w:rPr>
        <w:t>,</w:t>
      </w:r>
    </w:p>
    <w:p w14:paraId="75E43AB5" w14:textId="77777777" w:rsidR="003A1BAC" w:rsidRPr="00206556" w:rsidRDefault="003A1BAC" w:rsidP="003A1BAC">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4FAD3AB9" w14:textId="0DF566A5" w:rsidR="003A1BAC" w:rsidRPr="00206556" w:rsidRDefault="003A1BAC" w:rsidP="003A1BAC">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consulta de fecha</w:t>
      </w:r>
      <w:r>
        <w:rPr>
          <w:rFonts w:ascii="Verdana" w:eastAsia="Calibri" w:hAnsi="Verdana" w:cs="Arial"/>
          <w:lang w:val="es-ES" w:eastAsia="es-ES"/>
        </w:rPr>
        <w:t xml:space="preserve"> 2</w:t>
      </w:r>
      <w:r w:rsidR="00CA4091">
        <w:rPr>
          <w:rFonts w:ascii="Verdana" w:eastAsia="Calibri" w:hAnsi="Verdana" w:cs="Arial"/>
          <w:lang w:val="es-ES" w:eastAsia="es-ES"/>
        </w:rPr>
        <w:t>9</w:t>
      </w:r>
      <w:r w:rsidRPr="00FB46F9">
        <w:rPr>
          <w:rFonts w:ascii="Verdana" w:eastAsia="Calibri" w:hAnsi="Verdana" w:cs="Arial"/>
          <w:lang w:val="es-ES" w:eastAsia="es-ES"/>
        </w:rPr>
        <w:t xml:space="preserve"> de </w:t>
      </w:r>
      <w:r>
        <w:rPr>
          <w:rFonts w:ascii="Verdana" w:eastAsia="Calibri" w:hAnsi="Verdana" w:cs="Arial"/>
          <w:lang w:val="es-ES" w:eastAsia="es-ES"/>
        </w:rPr>
        <w:t>abril</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43B2A68B" w14:textId="77777777" w:rsidR="003A1BAC" w:rsidRDefault="003A1BAC" w:rsidP="003A1BAC">
      <w:pPr>
        <w:spacing w:before="120" w:after="120" w:line="240" w:lineRule="auto"/>
        <w:ind w:right="709"/>
        <w:contextualSpacing/>
        <w:jc w:val="both"/>
        <w:rPr>
          <w:rFonts w:ascii="Verdana" w:eastAsia="Century Gothic" w:hAnsi="Verdana" w:cs="Century Gothic"/>
          <w:i/>
          <w:iCs/>
          <w:sz w:val="20"/>
          <w:szCs w:val="20"/>
          <w:lang w:val="es-ES"/>
        </w:rPr>
      </w:pPr>
    </w:p>
    <w:p w14:paraId="620F6E62" w14:textId="45FE29CC" w:rsidR="00CA4091" w:rsidRPr="00CA4091" w:rsidRDefault="00CA4091" w:rsidP="00CA4091">
      <w:pPr>
        <w:spacing w:before="120" w:after="120" w:line="240" w:lineRule="auto"/>
        <w:ind w:left="709" w:right="709"/>
        <w:contextualSpacing/>
        <w:jc w:val="both"/>
        <w:rPr>
          <w:rFonts w:ascii="Verdana" w:eastAsia="Century Gothic" w:hAnsi="Verdana" w:cs="Century Gothic"/>
          <w:i/>
          <w:iCs/>
          <w:sz w:val="21"/>
          <w:szCs w:val="21"/>
          <w:lang w:val="es-ES"/>
        </w:rPr>
      </w:pPr>
      <w:r w:rsidRPr="00CA4091">
        <w:rPr>
          <w:rFonts w:ascii="Verdana" w:eastAsia="Century Gothic" w:hAnsi="Verdana" w:cs="Century Gothic"/>
          <w:i/>
          <w:iCs/>
          <w:sz w:val="21"/>
          <w:szCs w:val="21"/>
          <w:lang w:val="es-ES"/>
        </w:rPr>
        <w:t>1. Plataforma Oficial: ¿Cuál es la plataforma o base de datos oficial donde las Entidades Estatales deben verificar la autenticidad de los certificados de discapacidad para efectos de los incentivos de ley (Ley 361 de 1997 y Decreto 1082 de 2015)?</w:t>
      </w:r>
    </w:p>
    <w:p w14:paraId="5964EED4" w14:textId="0174B7AE" w:rsidR="00CA4091" w:rsidRPr="00CA4091" w:rsidRDefault="00CA4091" w:rsidP="00CA4091">
      <w:pPr>
        <w:spacing w:before="120" w:after="120" w:line="240" w:lineRule="auto"/>
        <w:ind w:left="709" w:right="709"/>
        <w:contextualSpacing/>
        <w:jc w:val="both"/>
        <w:rPr>
          <w:rFonts w:ascii="Verdana" w:eastAsia="Century Gothic" w:hAnsi="Verdana" w:cs="Century Gothic"/>
          <w:i/>
          <w:iCs/>
          <w:sz w:val="21"/>
          <w:szCs w:val="21"/>
          <w:lang w:val="es-ES"/>
        </w:rPr>
      </w:pPr>
      <w:r w:rsidRPr="00CA4091">
        <w:rPr>
          <w:rFonts w:ascii="Verdana" w:eastAsia="Century Gothic" w:hAnsi="Verdana" w:cs="Century Gothic"/>
          <w:i/>
          <w:iCs/>
          <w:sz w:val="21"/>
          <w:szCs w:val="21"/>
          <w:lang w:val="es-ES"/>
        </w:rPr>
        <w:lastRenderedPageBreak/>
        <w:t>2. Carga de la Prueba: En caso de que una entidad alegue la inexistencia del registro en sistema, ¿está obligada a adjuntar el "pantallazo" o constancia de la consulta fallida dentro del informe de evaluación?</w:t>
      </w:r>
    </w:p>
    <w:p w14:paraId="50AB8B5C" w14:textId="181592A5" w:rsidR="00CA4091" w:rsidRPr="00CA4091" w:rsidRDefault="00CA4091" w:rsidP="00CA4091">
      <w:pPr>
        <w:spacing w:before="120" w:after="120" w:line="240" w:lineRule="auto"/>
        <w:ind w:left="709" w:right="709"/>
        <w:contextualSpacing/>
        <w:jc w:val="both"/>
        <w:rPr>
          <w:rFonts w:ascii="Verdana" w:eastAsia="Century Gothic" w:hAnsi="Verdana" w:cs="Century Gothic"/>
          <w:i/>
          <w:iCs/>
          <w:sz w:val="21"/>
          <w:szCs w:val="21"/>
          <w:lang w:val="es-ES"/>
        </w:rPr>
      </w:pPr>
      <w:r w:rsidRPr="00CA4091">
        <w:rPr>
          <w:rFonts w:ascii="Verdana" w:eastAsia="Century Gothic" w:hAnsi="Verdana" w:cs="Century Gothic"/>
          <w:i/>
          <w:iCs/>
          <w:sz w:val="21"/>
          <w:szCs w:val="21"/>
          <w:lang w:val="es-ES"/>
        </w:rPr>
        <w:t>3. Primacía del Documento: Si el proponente aporta el certificado físico/digital emitido por la autoridad competente, pero la entidad alega no encontrarlo en su plataforma interna, ¿qué criterio debe prevalecer según la normativa de contratación pública y el principio de la buena fe?</w:t>
      </w:r>
    </w:p>
    <w:p w14:paraId="37AC0C72" w14:textId="171818BD" w:rsidR="003A1BAC" w:rsidRDefault="00CA4091" w:rsidP="00CA4091">
      <w:pPr>
        <w:spacing w:before="120" w:after="120" w:line="240" w:lineRule="auto"/>
        <w:ind w:left="709" w:right="709"/>
        <w:contextualSpacing/>
        <w:jc w:val="both"/>
        <w:rPr>
          <w:rFonts w:ascii="Verdana" w:eastAsia="Century Gothic" w:hAnsi="Verdana" w:cs="Century Gothic"/>
          <w:i/>
          <w:iCs/>
          <w:sz w:val="20"/>
          <w:szCs w:val="20"/>
          <w:lang w:val="es-ES"/>
        </w:rPr>
      </w:pPr>
      <w:r w:rsidRPr="00CA4091">
        <w:rPr>
          <w:rFonts w:ascii="Verdana" w:eastAsia="Century Gothic" w:hAnsi="Verdana" w:cs="Century Gothic"/>
          <w:i/>
          <w:iCs/>
          <w:sz w:val="21"/>
          <w:szCs w:val="21"/>
          <w:lang w:val="es-ES"/>
        </w:rPr>
        <w:t>4. Interoperabilidad: ¿Existe actualmente una falla de interoperabilidad reportada entre el SECOP II y el Registro de Localización y Caracterización de Personas con Discapacidad (RLCPD) que deba ser considerada por los ordenadores del gasto?</w:t>
      </w:r>
    </w:p>
    <w:p w14:paraId="5E66451C" w14:textId="77777777" w:rsidR="003A1BAC" w:rsidRPr="00206556" w:rsidRDefault="003A1BAC" w:rsidP="003A1BAC">
      <w:pPr>
        <w:spacing w:before="120" w:after="120" w:line="240" w:lineRule="auto"/>
        <w:ind w:left="709" w:right="709"/>
        <w:contextualSpacing/>
        <w:jc w:val="both"/>
        <w:rPr>
          <w:rFonts w:ascii="Verdana" w:eastAsia="Century Gothic" w:hAnsi="Verdana" w:cs="Century Gothic"/>
          <w:i/>
          <w:iCs/>
          <w:sz w:val="20"/>
          <w:szCs w:val="20"/>
          <w:lang w:val="es-ES"/>
        </w:rPr>
      </w:pPr>
    </w:p>
    <w:p w14:paraId="147618E5" w14:textId="77777777" w:rsidR="003A1BAC" w:rsidRPr="00206556" w:rsidRDefault="003A1BAC" w:rsidP="003A1BAC">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11A5B4E1" w14:textId="77777777" w:rsidR="003A1BAC" w:rsidRPr="00206556" w:rsidRDefault="003A1BAC" w:rsidP="003A1BAC">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el </w:t>
      </w:r>
      <w:r w:rsidRPr="00206556">
        <w:rPr>
          <w:rFonts w:ascii="Verdana" w:eastAsia="Calibri" w:hAnsi="Verdana" w:cs="Arial"/>
          <w:lang w:val="es-ES" w:eastAsia="es-ES"/>
        </w:rPr>
        <w:t xml:space="preserve">problema jurídico de su consulta. </w:t>
      </w:r>
    </w:p>
    <w:p w14:paraId="1D18CB3F" w14:textId="77777777" w:rsidR="003A1BAC" w:rsidRPr="00206556" w:rsidRDefault="003A1BAC" w:rsidP="003A1BAC">
      <w:pPr>
        <w:spacing w:after="0" w:line="276" w:lineRule="auto"/>
        <w:ind w:firstLine="709"/>
        <w:jc w:val="both"/>
        <w:rPr>
          <w:rFonts w:ascii="Verdana" w:eastAsia="Calibri" w:hAnsi="Verdana" w:cs="Arial"/>
          <w:lang w:val="es-ES" w:eastAsia="es-ES"/>
        </w:rPr>
      </w:pPr>
    </w:p>
    <w:p w14:paraId="5B39E981" w14:textId="77777777" w:rsidR="003A1BAC" w:rsidRPr="00206556" w:rsidRDefault="003A1BAC" w:rsidP="003A1BAC">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57BFEDDA" w14:textId="77777777" w:rsidR="003A1BAC" w:rsidRPr="00206556" w:rsidRDefault="003A1BAC" w:rsidP="003A1BAC">
      <w:pPr>
        <w:tabs>
          <w:tab w:val="left" w:pos="426"/>
        </w:tabs>
        <w:spacing w:after="0" w:line="276" w:lineRule="auto"/>
        <w:jc w:val="both"/>
        <w:rPr>
          <w:rFonts w:ascii="Verdana" w:eastAsia="Century Gothic" w:hAnsi="Verdana" w:cs="Century Gothic"/>
          <w:color w:val="ED7D31" w:themeColor="accent2"/>
          <w:lang w:val="es-ES"/>
        </w:rPr>
      </w:pPr>
    </w:p>
    <w:p w14:paraId="7914A4ED" w14:textId="1BB3DCE9" w:rsidR="003A1BAC" w:rsidRDefault="003A1BAC" w:rsidP="003A1BAC">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Pr="00206556">
        <w:rPr>
          <w:rFonts w:ascii="Verdana" w:eastAsia="Century Gothic" w:hAnsi="Verdana" w:cs="Century Gothic"/>
        </w:rPr>
        <w:t>¿</w:t>
      </w:r>
      <w:r>
        <w:rPr>
          <w:rFonts w:ascii="Verdana" w:eastAsia="Century Gothic" w:hAnsi="Verdana" w:cs="Century Gothic"/>
        </w:rPr>
        <w:t xml:space="preserve">Cómo se </w:t>
      </w:r>
      <w:r w:rsidR="006B30F7">
        <w:rPr>
          <w:rFonts w:ascii="Verdana" w:eastAsia="Century Gothic" w:hAnsi="Verdana" w:cs="Century Gothic"/>
        </w:rPr>
        <w:t>verifican los certificados de</w:t>
      </w:r>
      <w:r>
        <w:rPr>
          <w:rFonts w:ascii="Verdana" w:eastAsia="Century Gothic" w:hAnsi="Verdana" w:cs="Century Gothic"/>
        </w:rPr>
        <w:t xml:space="preserve"> discapacidad </w:t>
      </w:r>
      <w:r w:rsidR="00F363D7">
        <w:rPr>
          <w:rFonts w:ascii="Verdana" w:eastAsia="Century Gothic" w:hAnsi="Verdana" w:cs="Century Gothic"/>
        </w:rPr>
        <w:t>para los incentivos del Decreto 287 de 2026</w:t>
      </w:r>
      <w:r w:rsidRPr="00206556">
        <w:rPr>
          <w:rFonts w:ascii="Verdana" w:eastAsia="Century Gothic" w:hAnsi="Verdana" w:cs="Century Gothic"/>
        </w:rPr>
        <w:t>?</w:t>
      </w:r>
    </w:p>
    <w:p w14:paraId="2808050C" w14:textId="77777777" w:rsidR="003A1BAC" w:rsidRPr="00206556" w:rsidRDefault="003A1BAC" w:rsidP="003A1BAC">
      <w:pPr>
        <w:spacing w:after="0" w:line="276" w:lineRule="auto"/>
        <w:jc w:val="both"/>
        <w:rPr>
          <w:rFonts w:ascii="Verdana" w:eastAsia="Century Gothic" w:hAnsi="Verdana" w:cs="Century Gothic"/>
          <w:color w:val="ED7D31" w:themeColor="accent2"/>
        </w:rPr>
      </w:pPr>
    </w:p>
    <w:p w14:paraId="56B65508"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2BE8EC2C"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A1BAC" w:rsidRPr="00206556" w14:paraId="655FF97A" w14:textId="77777777" w:rsidTr="002D3CDE">
        <w:tc>
          <w:tcPr>
            <w:tcW w:w="8828" w:type="dxa"/>
          </w:tcPr>
          <w:p w14:paraId="60A35710" w14:textId="77777777" w:rsidR="00D86808" w:rsidRPr="00D86808" w:rsidRDefault="00D86808" w:rsidP="00F17922">
            <w:pPr>
              <w:spacing w:before="120" w:after="120" w:line="276" w:lineRule="auto"/>
              <w:jc w:val="both"/>
              <w:rPr>
                <w:rFonts w:ascii="Verdana" w:eastAsia="Calibri" w:hAnsi="Verdana" w:cs="Arial"/>
              </w:rPr>
            </w:pPr>
            <w:r w:rsidRPr="00D86808">
              <w:rPr>
                <w:rFonts w:ascii="Verdana" w:eastAsia="Calibri" w:hAnsi="Verdana" w:cs="Arial"/>
              </w:rPr>
              <w:t xml:space="preserve">En respuesta al problema planteado, es preciso señalar que el artículo 2.2.1.2.4.2.7.4 del Decreto 1082 de 2015, modificado por el Decreto 287 de 2026, establece un puntaje adicional del dos por ciento (2 %) del total de los puntos previstos en el pliego de condiciones para los procedimientos de licitación pública y concurso de méritos. A este beneficio pueden acceder los proponentes que: i) acrediten alguna de las condiciones previstas en el artículo 2.2.1.2.4.2.6 del Decreto 1082 de 2015, o </w:t>
            </w:r>
            <w:proofErr w:type="spellStart"/>
            <w:r w:rsidRPr="00D86808">
              <w:rPr>
                <w:rFonts w:ascii="Verdana" w:eastAsia="Calibri" w:hAnsi="Verdana" w:cs="Arial"/>
              </w:rPr>
              <w:t>ii</w:t>
            </w:r>
            <w:proofErr w:type="spellEnd"/>
            <w:r w:rsidRPr="00D86808">
              <w:rPr>
                <w:rFonts w:ascii="Verdana" w:eastAsia="Calibri" w:hAnsi="Verdana" w:cs="Arial"/>
              </w:rPr>
              <w:t>) demuestren la vinculación de personas con discapacidad a su planta de personal en los términos establecidos en el numeral 2 del artículo 2.2.1.2.4.2.7.4.</w:t>
            </w:r>
          </w:p>
          <w:p w14:paraId="7D81D535" w14:textId="5464BD65" w:rsidR="00A66D26" w:rsidRDefault="00D86808" w:rsidP="00D86808">
            <w:pPr>
              <w:spacing w:before="120" w:after="120" w:line="276" w:lineRule="auto"/>
              <w:ind w:firstLine="709"/>
              <w:jc w:val="both"/>
              <w:rPr>
                <w:rFonts w:ascii="Verdana" w:eastAsia="Calibri" w:hAnsi="Verdana" w:cs="Arial"/>
              </w:rPr>
            </w:pPr>
            <w:r w:rsidRPr="00D86808">
              <w:rPr>
                <w:rFonts w:ascii="Verdana" w:eastAsia="Calibri" w:hAnsi="Verdana" w:cs="Arial"/>
              </w:rPr>
              <w:t xml:space="preserve">Ahora bien, de conformidad con </w:t>
            </w:r>
            <w:r w:rsidR="00A333C0">
              <w:rPr>
                <w:rFonts w:ascii="Verdana" w:eastAsia="Calibri" w:hAnsi="Verdana" w:cs="Arial"/>
              </w:rPr>
              <w:t>los artículos</w:t>
            </w:r>
            <w:r w:rsidRPr="00D86808">
              <w:rPr>
                <w:rFonts w:ascii="Verdana" w:eastAsia="Calibri" w:hAnsi="Verdana" w:cs="Arial"/>
              </w:rPr>
              <w:t xml:space="preserve"> </w:t>
            </w:r>
            <w:r w:rsidR="00A333C0" w:rsidRPr="00D86808">
              <w:rPr>
                <w:rFonts w:ascii="Verdana" w:eastAsia="Calibri" w:hAnsi="Verdana" w:cs="Arial"/>
              </w:rPr>
              <w:t xml:space="preserve">2.2.1.2.4.2.6 </w:t>
            </w:r>
            <w:r w:rsidR="00A333C0">
              <w:rPr>
                <w:rFonts w:ascii="Verdana" w:eastAsia="Calibri" w:hAnsi="Verdana" w:cs="Arial"/>
              </w:rPr>
              <w:t xml:space="preserve">y </w:t>
            </w:r>
            <w:r w:rsidR="00A333C0" w:rsidRPr="00D86808">
              <w:rPr>
                <w:rFonts w:ascii="Verdana" w:eastAsia="Calibri" w:hAnsi="Verdana" w:cs="Arial"/>
              </w:rPr>
              <w:t>2.2.1.2.4.2.7.4.</w:t>
            </w:r>
            <w:r w:rsidR="005821AE">
              <w:rPr>
                <w:rFonts w:ascii="Verdana" w:eastAsia="Calibri" w:hAnsi="Verdana" w:cs="Arial"/>
              </w:rPr>
              <w:t xml:space="preserve"> tanto para ser considerado </w:t>
            </w:r>
            <w:r w:rsidR="00025F1C">
              <w:rPr>
                <w:rFonts w:ascii="Verdana" w:eastAsia="Calibri" w:hAnsi="Verdana" w:cs="Arial"/>
              </w:rPr>
              <w:t>emprendimiento y empresa de persona con discapacidad y/o para verificar la vinculación de personas con discapacidad en la planta de personal de las empresas</w:t>
            </w:r>
            <w:r w:rsidR="00285B6F">
              <w:rPr>
                <w:rFonts w:ascii="Verdana" w:eastAsia="Calibri" w:hAnsi="Verdana" w:cs="Arial"/>
              </w:rPr>
              <w:t>, que son las situaciones en las que se puede acceder al puntaje,</w:t>
            </w:r>
            <w:r w:rsidR="00025F1C">
              <w:rPr>
                <w:rFonts w:ascii="Verdana" w:eastAsia="Calibri" w:hAnsi="Verdana" w:cs="Arial"/>
              </w:rPr>
              <w:t xml:space="preserve"> se requiere </w:t>
            </w:r>
            <w:r w:rsidR="00C7242C" w:rsidRPr="007A456B">
              <w:rPr>
                <w:rFonts w:ascii="Verdana" w:eastAsia="Calibri" w:hAnsi="Verdana" w:cs="Arial"/>
                <w:i/>
                <w:iCs/>
              </w:rPr>
              <w:t>“el certificado de discapacidad expedido de acuerdo con la normativa del Ministerio de Salud y Protección Social”</w:t>
            </w:r>
            <w:r w:rsidR="00C7242C">
              <w:rPr>
                <w:rFonts w:ascii="Verdana" w:eastAsia="Calibri" w:hAnsi="Verdana" w:cs="Arial"/>
              </w:rPr>
              <w:t>.</w:t>
            </w:r>
            <w:r w:rsidR="00E97D99">
              <w:rPr>
                <w:rFonts w:ascii="Verdana" w:eastAsia="Calibri" w:hAnsi="Verdana" w:cs="Arial"/>
              </w:rPr>
              <w:t xml:space="preserve"> </w:t>
            </w:r>
            <w:r w:rsidR="00A66D26">
              <w:rPr>
                <w:rFonts w:ascii="Verdana" w:eastAsia="Calibri" w:hAnsi="Verdana" w:cs="Arial"/>
              </w:rPr>
              <w:t xml:space="preserve">La expedición del certificado de discapacidad se encuentra regulada en la Resolución 1197 de 2024 </w:t>
            </w:r>
            <w:r w:rsidR="00A66D26" w:rsidRPr="007A456B">
              <w:rPr>
                <w:rFonts w:ascii="Verdana" w:eastAsia="Calibri" w:hAnsi="Verdana" w:cs="Arial"/>
                <w:i/>
                <w:iCs/>
              </w:rPr>
              <w:t>“</w:t>
            </w:r>
            <w:r w:rsidR="007A456B" w:rsidRPr="007A456B">
              <w:rPr>
                <w:rFonts w:ascii="Verdana" w:eastAsia="Calibri" w:hAnsi="Verdana" w:cs="Arial"/>
                <w:i/>
                <w:iCs/>
              </w:rPr>
              <w:t>Por la cual se dictan disposiciones en relación con el procedimiento de certificación de discapacidad y el Registro de Localización y Caracterización de Personas con Discapacidad y se deroga la Resolución 1239 de 2022”</w:t>
            </w:r>
            <w:r w:rsidR="007A456B">
              <w:rPr>
                <w:rFonts w:ascii="Verdana" w:eastAsia="Calibri" w:hAnsi="Verdana" w:cs="Arial"/>
              </w:rPr>
              <w:t>.</w:t>
            </w:r>
          </w:p>
          <w:p w14:paraId="7471493B" w14:textId="0EB6E271" w:rsidR="006726B7" w:rsidRDefault="003A6002" w:rsidP="006726B7">
            <w:pPr>
              <w:spacing w:before="120" w:after="120" w:line="276" w:lineRule="auto"/>
              <w:ind w:firstLine="709"/>
              <w:jc w:val="both"/>
              <w:rPr>
                <w:rFonts w:ascii="Verdana" w:eastAsia="Calibri" w:hAnsi="Verdana" w:cs="Arial"/>
              </w:rPr>
            </w:pPr>
            <w:r>
              <w:rPr>
                <w:rFonts w:ascii="Verdana" w:eastAsia="Calibri" w:hAnsi="Verdana" w:cs="Arial"/>
              </w:rPr>
              <w:t xml:space="preserve">Allí </w:t>
            </w:r>
            <w:r w:rsidR="00B93BBF">
              <w:rPr>
                <w:rFonts w:ascii="Verdana" w:eastAsia="Calibri" w:hAnsi="Verdana" w:cs="Arial"/>
              </w:rPr>
              <w:t>se indica que los encargados de emitir el certificado de discapacidad son las</w:t>
            </w:r>
            <w:r w:rsidR="00B93BBF" w:rsidRPr="00B93BBF">
              <w:rPr>
                <w:rFonts w:ascii="Verdana" w:eastAsia="Calibri" w:hAnsi="Verdana" w:cs="Arial"/>
              </w:rPr>
              <w:t xml:space="preserve"> secretaría</w:t>
            </w:r>
            <w:r w:rsidR="00B93BBF">
              <w:rPr>
                <w:rFonts w:ascii="Verdana" w:eastAsia="Calibri" w:hAnsi="Verdana" w:cs="Arial"/>
              </w:rPr>
              <w:t>s</w:t>
            </w:r>
            <w:r w:rsidR="00B93BBF" w:rsidRPr="00B93BBF">
              <w:rPr>
                <w:rFonts w:ascii="Verdana" w:eastAsia="Calibri" w:hAnsi="Verdana" w:cs="Arial"/>
              </w:rPr>
              <w:t xml:space="preserve"> de salud distrital o municipal de</w:t>
            </w:r>
            <w:r w:rsidR="00B93BBF">
              <w:rPr>
                <w:rFonts w:ascii="Verdana" w:eastAsia="Calibri" w:hAnsi="Verdana" w:cs="Arial"/>
              </w:rPr>
              <w:t>l</w:t>
            </w:r>
            <w:r w:rsidR="00B93BBF" w:rsidRPr="00B93BBF">
              <w:rPr>
                <w:rFonts w:ascii="Verdana" w:eastAsia="Calibri" w:hAnsi="Verdana" w:cs="Arial"/>
              </w:rPr>
              <w:t xml:space="preserve"> lugar de residencia</w:t>
            </w:r>
            <w:r w:rsidR="00B93BBF">
              <w:rPr>
                <w:rFonts w:ascii="Verdana" w:eastAsia="Calibri" w:hAnsi="Verdana" w:cs="Arial"/>
              </w:rPr>
              <w:t xml:space="preserve"> de la persona con discapacidad</w:t>
            </w:r>
            <w:r w:rsidR="00B93BBF" w:rsidRPr="00B93BBF">
              <w:rPr>
                <w:rFonts w:ascii="Verdana" w:eastAsia="Calibri" w:hAnsi="Verdana" w:cs="Arial"/>
              </w:rPr>
              <w:t xml:space="preserve"> o la entidad que haga sus veces</w:t>
            </w:r>
            <w:r w:rsidR="00B93BBF">
              <w:rPr>
                <w:rFonts w:ascii="Verdana" w:eastAsia="Calibri" w:hAnsi="Verdana" w:cs="Arial"/>
              </w:rPr>
              <w:t xml:space="preserve">. </w:t>
            </w:r>
            <w:r w:rsidR="000A1EA9">
              <w:rPr>
                <w:rFonts w:ascii="Verdana" w:eastAsia="Calibri" w:hAnsi="Verdana" w:cs="Arial"/>
              </w:rPr>
              <w:t xml:space="preserve">Una vez se expide este certificado, debe ser </w:t>
            </w:r>
            <w:r w:rsidR="00551D5E">
              <w:rPr>
                <w:rFonts w:ascii="Verdana" w:eastAsia="Calibri" w:hAnsi="Verdana" w:cs="Arial"/>
              </w:rPr>
              <w:t xml:space="preserve">registrado en el </w:t>
            </w:r>
            <w:r w:rsidR="00551D5E" w:rsidRPr="00DC46C7">
              <w:rPr>
                <w:rFonts w:ascii="Verdana" w:eastAsia="Calibri" w:hAnsi="Verdana" w:cs="Arial"/>
              </w:rPr>
              <w:t>Registro para la Localización y Caracterización de Personas con Discapacidad (RLCPD)</w:t>
            </w:r>
            <w:r w:rsidR="001B155D">
              <w:rPr>
                <w:rFonts w:ascii="Verdana" w:eastAsia="Calibri" w:hAnsi="Verdana" w:cs="Arial"/>
              </w:rPr>
              <w:t>, no obstante</w:t>
            </w:r>
            <w:r w:rsidR="006726B7">
              <w:rPr>
                <w:rFonts w:ascii="Verdana" w:eastAsia="Calibri" w:hAnsi="Verdana" w:cs="Arial"/>
              </w:rPr>
              <w:t xml:space="preserve"> el artículo 16 de la Resolución 1197 de 2024 señala que:</w:t>
            </w:r>
          </w:p>
          <w:p w14:paraId="098AEDEE" w14:textId="663E9FE8" w:rsidR="006726B7" w:rsidRPr="00675C80" w:rsidRDefault="006726B7" w:rsidP="00675C80">
            <w:pPr>
              <w:spacing w:before="120" w:after="120"/>
              <w:ind w:left="709" w:right="709"/>
              <w:jc w:val="both"/>
              <w:rPr>
                <w:rFonts w:ascii="Verdana" w:eastAsia="Times New Roman" w:hAnsi="Verdana" w:cs="Times New Roman"/>
                <w:i/>
                <w:iCs/>
                <w:sz w:val="21"/>
                <w:szCs w:val="21"/>
              </w:rPr>
            </w:pPr>
            <w:r w:rsidRPr="00675C80">
              <w:rPr>
                <w:rFonts w:ascii="Verdana" w:eastAsia="Times New Roman" w:hAnsi="Verdana" w:cs="Times New Roman"/>
                <w:i/>
                <w:iCs/>
                <w:sz w:val="21"/>
                <w:szCs w:val="21"/>
              </w:rPr>
              <w:t>“</w:t>
            </w:r>
            <w:r w:rsidR="00675C80" w:rsidRPr="00675C80">
              <w:rPr>
                <w:rFonts w:ascii="Verdana" w:eastAsia="Times New Roman" w:hAnsi="Verdana" w:cs="Times New Roman"/>
                <w:i/>
                <w:iCs/>
                <w:sz w:val="21"/>
                <w:szCs w:val="21"/>
              </w:rPr>
              <w:t>(…)</w:t>
            </w:r>
            <w:r w:rsidR="00675C80">
              <w:rPr>
                <w:rFonts w:ascii="Verdana" w:eastAsia="Times New Roman" w:hAnsi="Verdana" w:cs="Times New Roman"/>
                <w:i/>
                <w:iCs/>
                <w:sz w:val="21"/>
                <w:szCs w:val="21"/>
              </w:rPr>
              <w:t xml:space="preserve"> </w:t>
            </w:r>
            <w:r w:rsidR="00675C80" w:rsidRPr="00675C80">
              <w:rPr>
                <w:rFonts w:ascii="Verdana" w:eastAsia="Times New Roman" w:hAnsi="Verdana" w:cs="Times New Roman"/>
                <w:i/>
                <w:iCs/>
                <w:sz w:val="21"/>
                <w:szCs w:val="21"/>
              </w:rPr>
              <w:t xml:space="preserve">Parágrafo. La consulta individual de las personas con discapacidad, se puede realizar en el Sistema Integrado de Información de la Protección Social y de requerirse por una entidad información nominal o masiva derivada del Registro de Localización y Caracterización de Personas con Discapacidad, deberá solicitarla al </w:t>
            </w:r>
            <w:r w:rsidR="00675C80" w:rsidRPr="00675C80">
              <w:rPr>
                <w:rFonts w:ascii="Verdana" w:eastAsia="Times New Roman" w:hAnsi="Verdana" w:cs="Times New Roman"/>
                <w:i/>
                <w:iCs/>
                <w:sz w:val="21"/>
                <w:szCs w:val="21"/>
              </w:rPr>
              <w:lastRenderedPageBreak/>
              <w:t>Ministerio de Salud y Protección Social, atendiendo los criterios de acceso y protección de la información por este establecidos”.</w:t>
            </w:r>
          </w:p>
          <w:p w14:paraId="611B0A76" w14:textId="77777777" w:rsidR="003A1BAC" w:rsidRDefault="00E97D99" w:rsidP="00BA0326">
            <w:pPr>
              <w:spacing w:before="120" w:after="120" w:line="276" w:lineRule="auto"/>
              <w:ind w:firstLine="709"/>
              <w:jc w:val="both"/>
              <w:rPr>
                <w:rFonts w:ascii="Verdana" w:eastAsia="Calibri" w:hAnsi="Verdana" w:cs="Arial"/>
              </w:rPr>
            </w:pPr>
            <w:r>
              <w:rPr>
                <w:rFonts w:ascii="Verdana" w:eastAsia="Calibri" w:hAnsi="Verdana" w:cs="Arial"/>
              </w:rPr>
              <w:t xml:space="preserve">De esta forma, </w:t>
            </w:r>
            <w:r w:rsidR="003A452F">
              <w:rPr>
                <w:rFonts w:ascii="Verdana" w:eastAsia="Calibri" w:hAnsi="Verdana" w:cs="Arial"/>
              </w:rPr>
              <w:t xml:space="preserve">será de conformidad con las normas que regulan el </w:t>
            </w:r>
            <w:r w:rsidR="002F308F">
              <w:rPr>
                <w:rFonts w:ascii="Verdana" w:eastAsia="Calibri" w:hAnsi="Verdana" w:cs="Arial"/>
              </w:rPr>
              <w:t xml:space="preserve">certificado de discapacidad y en particular del </w:t>
            </w:r>
            <w:r w:rsidR="00DC46C7" w:rsidRPr="00DC46C7">
              <w:rPr>
                <w:rFonts w:ascii="Verdana" w:eastAsia="Calibri" w:hAnsi="Verdana" w:cs="Arial"/>
              </w:rPr>
              <w:t>Registro para la Localización y Caracterización de Personas con Discapacidad (RLCPD)</w:t>
            </w:r>
            <w:r w:rsidR="00DC46C7">
              <w:rPr>
                <w:rFonts w:ascii="Verdana" w:eastAsia="Calibri" w:hAnsi="Verdana" w:cs="Arial"/>
              </w:rPr>
              <w:t>,</w:t>
            </w:r>
            <w:r w:rsidR="00333F61">
              <w:rPr>
                <w:rFonts w:ascii="Verdana" w:eastAsia="Calibri" w:hAnsi="Verdana" w:cs="Arial"/>
              </w:rPr>
              <w:t xml:space="preserve"> que las entidades contratantes deberán verificar los certificados de discapacidad, teniendo en cuenta que esta información no es pública ya que se consideran datos sensibles.</w:t>
            </w:r>
            <w:r w:rsidR="00DB400B">
              <w:rPr>
                <w:rFonts w:ascii="Verdana" w:eastAsia="Calibri" w:hAnsi="Verdana" w:cs="Arial"/>
              </w:rPr>
              <w:t xml:space="preserve"> Adicionalmente, dicho registro sería la plataforma oficial por lo que no es posible consultar plataformas internas, como lo señala en su consulta</w:t>
            </w:r>
            <w:r w:rsidR="00F210E1">
              <w:rPr>
                <w:rFonts w:ascii="Verdana" w:eastAsia="Calibri" w:hAnsi="Verdana" w:cs="Arial"/>
              </w:rPr>
              <w:t xml:space="preserve">; y las entidades dejarán constancia en los Documentos del Proceso </w:t>
            </w:r>
            <w:r w:rsidR="005B47CA">
              <w:rPr>
                <w:rFonts w:ascii="Verdana" w:eastAsia="Calibri" w:hAnsi="Verdana" w:cs="Arial"/>
              </w:rPr>
              <w:t>de la verificación del cumplimiento de los requisitos para acceder al puntaje</w:t>
            </w:r>
            <w:r w:rsidR="00DB400B">
              <w:rPr>
                <w:rFonts w:ascii="Verdana" w:eastAsia="Calibri" w:hAnsi="Verdana" w:cs="Arial"/>
              </w:rPr>
              <w:t>.</w:t>
            </w:r>
          </w:p>
          <w:p w14:paraId="5D8F814B" w14:textId="25F19BED" w:rsidR="00067652" w:rsidRPr="00670CFB" w:rsidRDefault="00067652" w:rsidP="00BA0326">
            <w:pPr>
              <w:spacing w:before="120" w:after="120" w:line="276" w:lineRule="auto"/>
              <w:ind w:firstLine="709"/>
              <w:jc w:val="both"/>
              <w:rPr>
                <w:rFonts w:ascii="Verdana" w:eastAsia="Calibri" w:hAnsi="Verdana" w:cs="Arial"/>
              </w:rPr>
            </w:pPr>
            <w:r>
              <w:rPr>
                <w:rFonts w:ascii="Verdana" w:eastAsia="Calibri" w:hAnsi="Verdana" w:cs="Arial"/>
              </w:rPr>
              <w:t xml:space="preserve">Finalmente, sobre su pregunta relacionada con la interoperabilidad de SECOP II y el </w:t>
            </w:r>
            <w:r w:rsidRPr="00DC46C7">
              <w:rPr>
                <w:rFonts w:ascii="Verdana" w:eastAsia="Calibri" w:hAnsi="Verdana" w:cs="Arial"/>
              </w:rPr>
              <w:t>Registro para la Localización y Caracterización de Personas con Discapacidad (RLCPD)</w:t>
            </w:r>
            <w:r>
              <w:rPr>
                <w:rFonts w:ascii="Verdana" w:eastAsia="Calibri" w:hAnsi="Verdana" w:cs="Arial"/>
              </w:rPr>
              <w:t>,</w:t>
            </w:r>
            <w:r w:rsidR="0005239B">
              <w:rPr>
                <w:rFonts w:ascii="Verdana" w:eastAsia="Calibri" w:hAnsi="Verdana" w:cs="Arial"/>
              </w:rPr>
              <w:t xml:space="preserve"> actualmente la Agencia no ha realizado este proceso</w:t>
            </w:r>
            <w:r w:rsidR="001A744F">
              <w:rPr>
                <w:rFonts w:ascii="Verdana" w:eastAsia="Calibri" w:hAnsi="Verdana" w:cs="Arial"/>
              </w:rPr>
              <w:t>.</w:t>
            </w:r>
          </w:p>
        </w:tc>
      </w:tr>
    </w:tbl>
    <w:p w14:paraId="2DF2B85B"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3973846"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6B56BEA0"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color w:val="ED7D31" w:themeColor="accent2"/>
          <w:lang w:val="es-ES"/>
        </w:rPr>
      </w:pPr>
    </w:p>
    <w:p w14:paraId="79DC0139" w14:textId="77777777" w:rsidR="003A1BAC" w:rsidRPr="00206556" w:rsidRDefault="003A1BAC" w:rsidP="003A1BA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0827E6B7" w14:textId="77777777" w:rsidR="003A1BAC" w:rsidRPr="00206556" w:rsidRDefault="003A1BAC" w:rsidP="003A1BAC">
      <w:pPr>
        <w:spacing w:after="0" w:line="276" w:lineRule="auto"/>
        <w:jc w:val="both"/>
        <w:rPr>
          <w:rFonts w:ascii="Verdana" w:eastAsia="Calibri" w:hAnsi="Verdana" w:cs="Arial"/>
          <w:lang w:val="es-ES"/>
        </w:rPr>
      </w:pPr>
    </w:p>
    <w:p w14:paraId="7DCAA975" w14:textId="77777777" w:rsidR="003A1BAC" w:rsidRPr="000C6B53" w:rsidRDefault="003A1BAC" w:rsidP="003A1BAC">
      <w:pPr>
        <w:spacing w:after="120" w:line="276" w:lineRule="auto"/>
        <w:jc w:val="both"/>
        <w:rPr>
          <w:rFonts w:ascii="Verdana" w:eastAsia="Calibri" w:hAnsi="Verdana" w:cs="Arial"/>
        </w:rPr>
      </w:pPr>
      <w:r w:rsidRPr="000C6B53">
        <w:rPr>
          <w:rFonts w:ascii="Verdana" w:eastAsia="Calibri" w:hAnsi="Verdana" w:cs="Arial"/>
          <w:lang w:val="es-ES"/>
        </w:rPr>
        <w:t xml:space="preserve">(i) </w:t>
      </w:r>
      <w:r w:rsidRPr="000C6B53">
        <w:rPr>
          <w:rFonts w:ascii="Verdana" w:eastAsia="Calibri" w:hAnsi="Verdana" w:cs="Arial"/>
        </w:rPr>
        <w:t xml:space="preserve">Para resolver el problema jurídico planteado, esta Agencia considera necesario partir del análisis de los antecedentes normativos que explican el origen, la finalidad y el alcance del Sistema Integral de Preferencias establecido por el Decreto 0287 de 2026, en la medida en que solo a partir de ese contexto es posible comprender las obligaciones concretas que dicho decreto impone a las entidades estatales y a los demás partícipes de la contratación pública. </w:t>
      </w:r>
    </w:p>
    <w:p w14:paraId="62D3E96F" w14:textId="77777777" w:rsidR="003A1BAC" w:rsidRPr="000C6B53" w:rsidRDefault="003A1BAC" w:rsidP="003A1BAC">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El fundamento constitucional del Sistema de Preferencias en favor de las PcD en la contratación pública se encuentra en el principio de igualdad material o real y efectiva consagrado en el artículo 13 de la Constitución Política de 1991</w:t>
      </w:r>
      <w:r w:rsidRPr="000C6B53">
        <w:rPr>
          <w:rStyle w:val="Refdenotaalpie"/>
          <w:rFonts w:ascii="Verdana" w:eastAsia="Times New Roman" w:hAnsi="Verdana" w:cs="Times New Roman"/>
        </w:rPr>
        <w:footnoteReference w:id="1"/>
      </w:r>
      <w:r w:rsidRPr="000C6B53">
        <w:rPr>
          <w:rFonts w:ascii="Verdana" w:eastAsia="Times New Roman" w:hAnsi="Verdana" w:cs="Times New Roman"/>
        </w:rPr>
        <w:t xml:space="preserve">, el cual le impone al Estado el deber positivo de adoptar </w:t>
      </w:r>
      <w:r w:rsidRPr="000C6B53">
        <w:rPr>
          <w:rFonts w:ascii="Verdana" w:eastAsia="Times New Roman" w:hAnsi="Verdana" w:cs="Times New Roman"/>
          <w:i/>
          <w:iCs/>
        </w:rPr>
        <w:t>acciones afirmativas</w:t>
      </w:r>
      <w:r w:rsidRPr="000C6B53">
        <w:rPr>
          <w:rFonts w:ascii="Verdana" w:eastAsia="Times New Roman" w:hAnsi="Verdana" w:cs="Times New Roman"/>
        </w:rPr>
        <w:t xml:space="preserve"> en favor de grupos históricamente excluidos, dirigidas a corregir situaciones de discriminación estructural que los afectan. En desarrollo de este mandato, la Corte Constitucional ha sostenido que tales medidas buscan contrarrestar los efectos de la discriminación y que el Estado puede establecer tratamientos </w:t>
      </w:r>
      <w:r w:rsidRPr="000C6B53">
        <w:rPr>
          <w:rFonts w:ascii="Verdana" w:eastAsia="Times New Roman" w:hAnsi="Verdana" w:cs="Times New Roman"/>
        </w:rPr>
        <w:lastRenderedPageBreak/>
        <w:t xml:space="preserve">diferenciales a favor de estos grupos en aras de lograr una igualdad real y efectiva. </w:t>
      </w:r>
    </w:p>
    <w:p w14:paraId="76AF31F2" w14:textId="77777777" w:rsidR="003A1BAC" w:rsidRPr="000C6B53" w:rsidRDefault="003A1BAC" w:rsidP="003A1BAC">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A su vez, los artículos 47 y 54 de la Carta Política refuerzan este mandato al ordenar políticas de integración social y ubicación laboral para las PcD</w:t>
      </w:r>
      <w:r w:rsidRPr="000C6B53">
        <w:rPr>
          <w:rStyle w:val="Refdenotaalpie"/>
          <w:rFonts w:ascii="Verdana" w:eastAsia="Times New Roman" w:hAnsi="Verdana" w:cs="Times New Roman"/>
        </w:rPr>
        <w:footnoteReference w:id="2"/>
      </w:r>
      <w:r w:rsidRPr="000C6B53">
        <w:rPr>
          <w:rFonts w:ascii="Verdana" w:eastAsia="Times New Roman" w:hAnsi="Verdana" w:cs="Times New Roman"/>
        </w:rPr>
        <w:t>.</w:t>
      </w:r>
    </w:p>
    <w:p w14:paraId="3A1BFCF6" w14:textId="77777777" w:rsidR="003A1BAC" w:rsidRPr="000C6B53" w:rsidRDefault="003A1BAC" w:rsidP="003A1BAC">
      <w:pPr>
        <w:spacing w:after="120" w:line="276" w:lineRule="auto"/>
        <w:ind w:firstLine="708"/>
        <w:jc w:val="both"/>
        <w:rPr>
          <w:rFonts w:ascii="Verdana" w:hAnsi="Verdana"/>
        </w:rPr>
      </w:pPr>
      <w:r w:rsidRPr="000C6B53">
        <w:rPr>
          <w:rFonts w:ascii="Verdana" w:eastAsia="Times New Roman" w:hAnsi="Verdana" w:cs="Times New Roman"/>
        </w:rPr>
        <w:t>En el plano internacional, Colombia es Estado Parte de diversos instrumentos que conforman el Bloque de Constitucionalidad en los términos del artículo 93 superior. En particular, la Convención sobre los Derechos de las Personas con Discapacidad de la ONU</w:t>
      </w:r>
      <w:r w:rsidRPr="000C6B53">
        <w:rPr>
          <w:rStyle w:val="Refdenotaalpie"/>
          <w:rFonts w:ascii="Verdana" w:eastAsia="Times New Roman" w:hAnsi="Verdana" w:cs="Times New Roman"/>
        </w:rPr>
        <w:footnoteReference w:id="3"/>
      </w:r>
      <w:r w:rsidRPr="000C6B53">
        <w:rPr>
          <w:rFonts w:ascii="Verdana" w:eastAsia="Times New Roman" w:hAnsi="Verdana" w:cs="Times New Roman"/>
        </w:rPr>
        <w:t xml:space="preserve"> reconoce el derecho de las PcD a trabajar en igualdad de condiciones y exige programas de acción afirmativa. De igual forma, la Convención Interamericana para la Eliminación de todas las Formas de Discriminación</w:t>
      </w:r>
      <w:r w:rsidRPr="000C6B53">
        <w:rPr>
          <w:rStyle w:val="Refdenotaalpie"/>
          <w:rFonts w:ascii="Verdana" w:eastAsia="Times New Roman" w:hAnsi="Verdana" w:cs="Times New Roman"/>
        </w:rPr>
        <w:footnoteReference w:id="4"/>
      </w:r>
      <w:r w:rsidRPr="000C6B53">
        <w:rPr>
          <w:rFonts w:ascii="Verdana" w:eastAsia="Times New Roman" w:hAnsi="Verdana" w:cs="Times New Roman"/>
        </w:rPr>
        <w:t xml:space="preserve"> ordena eliminar progresivamente la discriminación en la prestación de servicios, incluido el empleo. Finalmente, el Convenio 159 de la OIT</w:t>
      </w:r>
      <w:r w:rsidRPr="000C6B53">
        <w:rPr>
          <w:rStyle w:val="Refdenotaalpie"/>
          <w:rFonts w:ascii="Verdana" w:eastAsia="Times New Roman" w:hAnsi="Verdana" w:cs="Times New Roman"/>
        </w:rPr>
        <w:footnoteReference w:id="5"/>
      </w:r>
      <w:r w:rsidRPr="000C6B53">
        <w:rPr>
          <w:rFonts w:ascii="Verdana" w:eastAsia="Times New Roman" w:hAnsi="Verdana" w:cs="Times New Roman"/>
        </w:rPr>
        <w:t xml:space="preserve"> exige medidas orientadas a garantizar la igualdad de oportunidades de todas las categorías de PcD en materia de empleo.</w:t>
      </w:r>
    </w:p>
    <w:p w14:paraId="5EC44082" w14:textId="77777777" w:rsidR="003A1BAC" w:rsidRPr="000C6B53" w:rsidRDefault="003A1BAC" w:rsidP="003A1BAC">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En desarrollo de estos mandatos, con rango constitucional,</w:t>
      </w:r>
      <w:r w:rsidRPr="000C6B53">
        <w:rPr>
          <w:rFonts w:ascii="Verdana" w:eastAsia="Times New Roman" w:hAnsi="Verdana" w:cs="Times New Roman"/>
          <w:b/>
          <w:bCs/>
        </w:rPr>
        <w:t xml:space="preserve"> </w:t>
      </w:r>
      <w:r w:rsidRPr="000C6B53">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estatales para aquellos empleadores que tuvieran al menos el diez por ciento (10%) de su nómina compuesta por PcD</w:t>
      </w:r>
      <w:r w:rsidRPr="000C6B53">
        <w:rPr>
          <w:rStyle w:val="Refdenotaalpie"/>
          <w:rFonts w:ascii="Verdana" w:eastAsia="Times New Roman" w:hAnsi="Verdana" w:cs="Times New Roman"/>
        </w:rPr>
        <w:footnoteReference w:id="6"/>
      </w:r>
      <w:r w:rsidRPr="000C6B53">
        <w:rPr>
          <w:rFonts w:ascii="Verdana" w:eastAsia="Times New Roman" w:hAnsi="Verdana" w:cs="Times New Roman"/>
        </w:rPr>
        <w:t xml:space="preserve">. Esta norma vinculó por primera vez la contratación pública con la inclusión laboral de las PcD, pero su alcance era limitado en la medida que se trataba de una preferencia </w:t>
      </w:r>
      <w:r w:rsidRPr="000C6B53">
        <w:rPr>
          <w:rFonts w:ascii="Verdana" w:eastAsia="Times New Roman" w:hAnsi="Verdana" w:cs="Times New Roman"/>
        </w:rPr>
        <w:lastRenderedPageBreak/>
        <w:t>residual aplicable solo en caso de empate y que beneficiaba únicamente a los empleadores de PcD sin considerar a las propias PcD como proponentes o contratistas directos.</w:t>
      </w:r>
    </w:p>
    <w:p w14:paraId="29EB9E95" w14:textId="77777777" w:rsidR="003A1BAC" w:rsidRPr="000C6B53" w:rsidRDefault="003A1BAC" w:rsidP="003A1BAC">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 xml:space="preserve">Posteriormente, la Ley Estatutaria 1618 de 2013 representó un avance sustancial en el marco jurídico de protección de las PcD, al definirlas como </w:t>
      </w:r>
      <w:r w:rsidRPr="000C6B53">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0C6B53">
        <w:rPr>
          <w:rStyle w:val="Refdenotaalpie"/>
          <w:rFonts w:ascii="Verdana" w:eastAsia="Times New Roman" w:hAnsi="Verdana" w:cs="Times New Roman"/>
          <w:i/>
          <w:iCs/>
        </w:rPr>
        <w:footnoteReference w:id="7"/>
      </w:r>
      <w:r w:rsidRPr="000C6B53">
        <w:rPr>
          <w:rFonts w:ascii="Verdana" w:eastAsia="Times New Roman" w:hAnsi="Verdana" w:cs="Times New Roman"/>
          <w:i/>
          <w:iCs/>
        </w:rPr>
        <w:t>.</w:t>
      </w:r>
      <w:r w:rsidRPr="000C6B53">
        <w:rPr>
          <w:rFonts w:ascii="Verdana" w:eastAsia="Times New Roman" w:hAnsi="Verdana" w:cs="Times New Roman"/>
        </w:rPr>
        <w:t xml:space="preserve"> En su artículo 13, numerales 1, 7 y 8, ordenó al Gobierno Nacional reglamentar: i) una puntuación adicional en licitación pública, concurso de méritos y contratación directa para empresas que vinculen PcD y para empresas de PcD; </w:t>
      </w:r>
      <w:proofErr w:type="spellStart"/>
      <w:r w:rsidRPr="000C6B53">
        <w:rPr>
          <w:rFonts w:ascii="Verdana" w:eastAsia="Times New Roman" w:hAnsi="Verdana" w:cs="Times New Roman"/>
        </w:rPr>
        <w:t>ii</w:t>
      </w:r>
      <w:proofErr w:type="spellEnd"/>
      <w:r w:rsidRPr="000C6B53">
        <w:rPr>
          <w:rFonts w:ascii="Verdana" w:eastAsia="Times New Roman" w:hAnsi="Verdana" w:cs="Times New Roman"/>
        </w:rPr>
        <w:t xml:space="preserve">) un sistema de preferencias para empleadores de PcD en la adjudicación; y </w:t>
      </w:r>
      <w:proofErr w:type="spellStart"/>
      <w:r w:rsidRPr="000C6B53">
        <w:rPr>
          <w:rFonts w:ascii="Verdana" w:eastAsia="Times New Roman" w:hAnsi="Verdana" w:cs="Times New Roman"/>
        </w:rPr>
        <w:t>iii</w:t>
      </w:r>
      <w:proofErr w:type="spellEnd"/>
      <w:r w:rsidRPr="000C6B53">
        <w:rPr>
          <w:rFonts w:ascii="Verdana" w:eastAsia="Times New Roman" w:hAnsi="Verdana" w:cs="Times New Roman"/>
        </w:rPr>
        <w:t xml:space="preserve">) </w:t>
      </w:r>
      <w:r w:rsidRPr="000C6B53">
        <w:rPr>
          <w:rFonts w:ascii="Verdana" w:eastAsia="Times New Roman" w:hAnsi="Verdana" w:cs="Times New Roman"/>
          <w:i/>
        </w:rPr>
        <w:t>un sistema de preferencias en favor de las propias PcD como contratistas</w:t>
      </w:r>
      <w:r w:rsidRPr="000C6B53">
        <w:rPr>
          <w:rStyle w:val="Refdenotaalpie"/>
          <w:rFonts w:ascii="Verdana" w:eastAsia="Times New Roman" w:hAnsi="Verdana" w:cs="Times New Roman"/>
        </w:rPr>
        <w:footnoteReference w:id="8"/>
      </w:r>
      <w:r w:rsidRPr="000C6B53">
        <w:rPr>
          <w:rFonts w:ascii="Verdana" w:eastAsia="Times New Roman" w:hAnsi="Verdana" w:cs="Times New Roman"/>
        </w:rPr>
        <w:t xml:space="preserve">. Este último mandato fue especialmente significativo porque introdujo el concepto de </w:t>
      </w:r>
      <w:r w:rsidRPr="000C6B53">
        <w:rPr>
          <w:rFonts w:ascii="Verdana" w:eastAsia="Times New Roman" w:hAnsi="Verdana" w:cs="Times New Roman"/>
          <w:i/>
          <w:iCs/>
        </w:rPr>
        <w:t>"sistema de preferencias"</w:t>
      </w:r>
      <w:r w:rsidRPr="000C6B53">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4F2F8E6C" w14:textId="77777777" w:rsidR="003A1BAC" w:rsidRPr="000C6B53" w:rsidRDefault="003A1BAC" w:rsidP="003A1BAC">
      <w:pPr>
        <w:spacing w:after="120" w:line="276" w:lineRule="auto"/>
        <w:ind w:firstLine="709"/>
        <w:jc w:val="both"/>
        <w:rPr>
          <w:rFonts w:ascii="Verdana" w:hAnsi="Verdana"/>
        </w:rPr>
      </w:pPr>
      <w:r w:rsidRPr="000C6B53">
        <w:rPr>
          <w:rFonts w:ascii="Verdana" w:hAnsi="Verdana"/>
        </w:rPr>
        <w:t xml:space="preserve">En cumplimiento parcial de los numerales 1 y 8 del artículo 13 de la Ley 1618 de 2013, se expidió el Decreto 392 de 2018. Sin embargo, tal y como se reconoce en los considerandos del Decreto 0287 de 2026, dicha regulación presentó omisiones estructurales que frustraron la finalidad de la Ley Estatutaria. En efecto, el Decreto 392 de 2018 solo contempló el uno por ciento (1%) del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w:t>
      </w:r>
      <w:r w:rsidRPr="000C6B53">
        <w:rPr>
          <w:rFonts w:ascii="Verdana" w:hAnsi="Verdana"/>
        </w:rPr>
        <w:lastRenderedPageBreak/>
        <w:t>reglamentación material el numeral 8, que era precisamente el que ordenaba el Sistema De Preferencias en favor de las propias PcD como contratistas.</w:t>
      </w:r>
    </w:p>
    <w:p w14:paraId="6E77AC55" w14:textId="77777777" w:rsidR="003A1BAC" w:rsidRPr="000C6B53" w:rsidRDefault="003A1BAC" w:rsidP="003A1BAC">
      <w:pPr>
        <w:spacing w:after="120" w:line="276" w:lineRule="auto"/>
        <w:ind w:firstLine="709"/>
        <w:jc w:val="both"/>
        <w:rPr>
          <w:rFonts w:ascii="Verdana" w:hAnsi="Verdana"/>
        </w:rPr>
      </w:pPr>
      <w:r w:rsidRPr="000C6B53">
        <w:rPr>
          <w:rFonts w:ascii="Verdana" w:hAnsi="Verdana"/>
        </w:rPr>
        <w:t xml:space="preserve">La insuficiencia del Decreto 392 de 2018 fue constatada judicialmente. La Sección Quinta del Consejo de Estado, mediante sentencia proferida dentro de una acción de cumplimiento del 12 de diciembre de 2024, radicación </w:t>
      </w:r>
      <w:proofErr w:type="spellStart"/>
      <w:r w:rsidRPr="000C6B53">
        <w:rPr>
          <w:rFonts w:ascii="Verdana" w:hAnsi="Verdana"/>
        </w:rPr>
        <w:t>n.°</w:t>
      </w:r>
      <w:proofErr w:type="spellEnd"/>
      <w:r w:rsidRPr="000C6B53">
        <w:rPr>
          <w:rFonts w:ascii="Verdana" w:hAnsi="Verdana"/>
        </w:rPr>
        <w:t xml:space="preserve"> 05001-23-33-000-2024-00847-01, M.P. Omar Joaquín Barreto Suárez, declaró el incumplimiento por parte del Gobierno Nacional del artículo 62 de la Ley 1996 de 2019, norma que ordenaba reglamentar las medidas del artículo 13 de la Ley 1618 de 2013. En dicha providencia, la Sala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001B36B0" w14:textId="77777777" w:rsidR="003A1BAC" w:rsidRDefault="003A1BAC" w:rsidP="003A1BAC">
      <w:pPr>
        <w:spacing w:after="120" w:line="276" w:lineRule="auto"/>
        <w:ind w:firstLine="709"/>
        <w:jc w:val="both"/>
        <w:rPr>
          <w:rFonts w:ascii="Verdana" w:hAnsi="Verdana"/>
        </w:rPr>
      </w:pPr>
      <w:r w:rsidRPr="000C6B53">
        <w:rPr>
          <w:rFonts w:ascii="Verdana" w:hAnsi="Verdana"/>
        </w:rPr>
        <w:t>En cumplimiento de esa decisión, fue expedido el Decreto 0287 de 2026, el cual, como se indicó en la respuesta del presente concepto, establece un Sistema Integral de Preferencias compuesto por cinco medidas afirmativas que actúan en todas las fases del proceso contractual: planeación, selección, adjudicación y ejecución. Dicho sistema se orienta a beneficiar a dos sujetos diferenciados: los emprendimientos y empresas de PcD y los empleadores de PcD. A continuación, se desarrolla el alcance de cada aspecto del sistema planteado en los problemas jurídicos.</w:t>
      </w:r>
      <w:r w:rsidRPr="00E727F0">
        <w:rPr>
          <w:rFonts w:ascii="Verdana" w:hAnsi="Verdana"/>
        </w:rPr>
        <w:t xml:space="preserve"> </w:t>
      </w:r>
    </w:p>
    <w:p w14:paraId="2F0DB084" w14:textId="77777777" w:rsidR="003A1BAC" w:rsidRPr="00E727F0" w:rsidRDefault="003A1BAC" w:rsidP="003A1BA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3B3982BC" w14:textId="77777777" w:rsidR="003A1BAC" w:rsidRPr="00FE07F8" w:rsidRDefault="003A1BAC" w:rsidP="003A1BAC">
      <w:pPr>
        <w:spacing w:before="120" w:after="120" w:line="240" w:lineRule="auto"/>
        <w:ind w:left="709" w:right="709"/>
        <w:jc w:val="both"/>
        <w:rPr>
          <w:rFonts w:ascii="Verdana" w:hAnsi="Verdana"/>
          <w:sz w:val="21"/>
          <w:szCs w:val="21"/>
        </w:rPr>
      </w:pPr>
      <w:r w:rsidRPr="00FE07F8">
        <w:rPr>
          <w:rFonts w:ascii="Verdana" w:eastAsia="Times New Roman" w:hAnsi="Verdana" w:cs="Times New Roman"/>
          <w:i/>
          <w:iCs/>
          <w:sz w:val="21"/>
          <w:szCs w:val="21"/>
        </w:rPr>
        <w:t xml:space="preserve">"El proponente podrá acreditar alguna de las situaciones mencionadas, y en todo caso el puntaje adicional total y único a otorgar por este </w:t>
      </w:r>
      <w:r w:rsidRPr="00FE07F8">
        <w:rPr>
          <w:rFonts w:ascii="Verdana" w:eastAsia="Times New Roman" w:hAnsi="Verdana" w:cs="Times New Roman"/>
          <w:i/>
          <w:iCs/>
          <w:sz w:val="21"/>
          <w:szCs w:val="21"/>
        </w:rPr>
        <w:lastRenderedPageBreak/>
        <w:t>criterio será del dos por ciento (2%), sin que sean acumulables a efecto de la evaluación de la oferta."</w:t>
      </w:r>
    </w:p>
    <w:p w14:paraId="285932CD" w14:textId="77777777" w:rsidR="003A1BAC" w:rsidRPr="00206556" w:rsidRDefault="003A1BAC" w:rsidP="003A1BAC">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00FEA769" w14:textId="77777777" w:rsidR="003A1BAC" w:rsidRPr="00D22B7C" w:rsidRDefault="003A1BAC" w:rsidP="003A1BAC">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w:t>
      </w:r>
      <w:r>
        <w:rPr>
          <w:rFonts w:ascii="Verdana" w:eastAsia="Times New Roman" w:hAnsi="Verdana" w:cs="Times New Roman"/>
        </w:rPr>
        <w:t>a las condiciones para acceder al puntaje, e</w:t>
      </w:r>
      <w:r w:rsidRPr="006E7113">
        <w:rPr>
          <w:rFonts w:ascii="Verdana" w:eastAsia="Times New Roman" w:hAnsi="Verdana" w:cs="Times New Roman"/>
        </w:rPr>
        <w:t xml:space="preserve">l artículo 2.2.1.2.4.2.7.4. del Decreto 0287 de 2026 establece que para </w:t>
      </w:r>
      <w:r>
        <w:rPr>
          <w:rFonts w:ascii="Verdana" w:eastAsia="Times New Roman" w:hAnsi="Verdana" w:cs="Times New Roman"/>
        </w:rPr>
        <w:t>obtener los puntos</w:t>
      </w:r>
      <w:r w:rsidRPr="00D22B7C">
        <w:rPr>
          <w:rFonts w:ascii="Verdana" w:eastAsia="Times New Roman" w:hAnsi="Verdana" w:cs="Times New Roman"/>
        </w:rPr>
        <w:t xml:space="preserve"> adicional</w:t>
      </w:r>
      <w:r>
        <w:rPr>
          <w:rFonts w:ascii="Verdana" w:eastAsia="Times New Roman" w:hAnsi="Verdana" w:cs="Times New Roman"/>
        </w:rPr>
        <w:t xml:space="preserve">es se debe cumplir una de las siguientes condiciones: i) ser emprendimiento y empresa de personas con discapacidad, o </w:t>
      </w:r>
      <w:proofErr w:type="spellStart"/>
      <w:r>
        <w:rPr>
          <w:rFonts w:ascii="Verdana" w:eastAsia="Times New Roman" w:hAnsi="Verdana" w:cs="Times New Roman"/>
        </w:rPr>
        <w:t>ii</w:t>
      </w:r>
      <w:proofErr w:type="spellEnd"/>
      <w:r>
        <w:rPr>
          <w:rFonts w:ascii="Verdana" w:eastAsia="Times New Roman" w:hAnsi="Verdana" w:cs="Times New Roman"/>
        </w:rPr>
        <w:t>) ser empleador</w:t>
      </w:r>
      <w:r w:rsidRPr="00D22B7C">
        <w:rPr>
          <w:rFonts w:ascii="Verdana" w:eastAsia="Times New Roman" w:hAnsi="Verdana" w:cs="Times New Roman"/>
        </w:rPr>
        <w:t xml:space="preserve"> de PcD,</w:t>
      </w:r>
      <w:r>
        <w:rPr>
          <w:rFonts w:ascii="Verdana" w:eastAsia="Times New Roman" w:hAnsi="Verdana" w:cs="Times New Roman"/>
        </w:rPr>
        <w:t xml:space="preserve"> y en este último caso</w:t>
      </w:r>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44691ED1" w14:textId="77777777" w:rsidR="003A1BAC" w:rsidRPr="00D22B7C" w:rsidRDefault="003A1BAC" w:rsidP="003A1BAC">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3A1BAC" w:rsidRPr="00D22B7C" w14:paraId="687D5046"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FD01032" w14:textId="77777777" w:rsidR="003A1BAC" w:rsidRPr="00D22B7C" w:rsidRDefault="003A1BAC" w:rsidP="002D3CDE">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C0A0C0E" w14:textId="77777777" w:rsidR="003A1BAC" w:rsidRPr="00D22B7C" w:rsidRDefault="003A1BAC" w:rsidP="002D3CDE">
            <w:pPr>
              <w:jc w:val="center"/>
              <w:rPr>
                <w:rFonts w:ascii="Verdana" w:hAnsi="Verdana"/>
              </w:rPr>
            </w:pPr>
            <w:r w:rsidRPr="00D22B7C">
              <w:rPr>
                <w:rFonts w:ascii="Verdana" w:eastAsia="Times New Roman" w:hAnsi="Verdana" w:cs="Times New Roman"/>
                <w:b/>
                <w:bCs/>
              </w:rPr>
              <w:t>Número mínimo de trabajadores con discapacidad requerido</w:t>
            </w:r>
          </w:p>
        </w:tc>
      </w:tr>
      <w:tr w:rsidR="003A1BAC" w:rsidRPr="00D22B7C" w14:paraId="2AFD91E1"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7D6971" w14:textId="77777777" w:rsidR="003A1BAC" w:rsidRPr="00D22B7C" w:rsidRDefault="003A1BAC" w:rsidP="002D3CDE">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42EFFD" w14:textId="77777777" w:rsidR="003A1BAC" w:rsidRPr="00D22B7C" w:rsidRDefault="003A1BAC" w:rsidP="002D3CDE">
            <w:pPr>
              <w:jc w:val="center"/>
              <w:rPr>
                <w:rFonts w:ascii="Verdana" w:hAnsi="Verdana"/>
              </w:rPr>
            </w:pPr>
            <w:r w:rsidRPr="00D22B7C">
              <w:rPr>
                <w:rFonts w:ascii="Verdana" w:eastAsia="Times New Roman" w:hAnsi="Verdana" w:cs="Times New Roman"/>
              </w:rPr>
              <w:t>2</w:t>
            </w:r>
          </w:p>
        </w:tc>
      </w:tr>
      <w:tr w:rsidR="003A1BAC" w:rsidRPr="00D22B7C" w14:paraId="34C6D02C"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CD23DD4" w14:textId="77777777" w:rsidR="003A1BAC" w:rsidRPr="00D22B7C" w:rsidRDefault="003A1BAC" w:rsidP="002D3CDE">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89AC6BC" w14:textId="77777777" w:rsidR="003A1BAC" w:rsidRPr="00D22B7C" w:rsidRDefault="003A1BAC" w:rsidP="002D3CDE">
            <w:pPr>
              <w:jc w:val="center"/>
              <w:rPr>
                <w:rFonts w:ascii="Verdana" w:hAnsi="Verdana"/>
              </w:rPr>
            </w:pPr>
            <w:r w:rsidRPr="00D22B7C">
              <w:rPr>
                <w:rFonts w:ascii="Verdana" w:eastAsia="Times New Roman" w:hAnsi="Verdana" w:cs="Times New Roman"/>
              </w:rPr>
              <w:t>3</w:t>
            </w:r>
          </w:p>
        </w:tc>
      </w:tr>
      <w:tr w:rsidR="003A1BAC" w:rsidRPr="00D22B7C" w14:paraId="7A8DF6F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2CF276" w14:textId="77777777" w:rsidR="003A1BAC" w:rsidRPr="00D22B7C" w:rsidRDefault="003A1BAC" w:rsidP="002D3CDE">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95E87D6" w14:textId="77777777" w:rsidR="003A1BAC" w:rsidRPr="00D22B7C" w:rsidRDefault="003A1BAC" w:rsidP="002D3CDE">
            <w:pPr>
              <w:jc w:val="center"/>
              <w:rPr>
                <w:rFonts w:ascii="Verdana" w:hAnsi="Verdana"/>
              </w:rPr>
            </w:pPr>
            <w:r w:rsidRPr="00D22B7C">
              <w:rPr>
                <w:rFonts w:ascii="Verdana" w:eastAsia="Times New Roman" w:hAnsi="Verdana" w:cs="Times New Roman"/>
              </w:rPr>
              <w:t>4</w:t>
            </w:r>
          </w:p>
        </w:tc>
      </w:tr>
      <w:tr w:rsidR="003A1BAC" w:rsidRPr="00D22B7C" w14:paraId="6CE6E56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347E328" w14:textId="77777777" w:rsidR="003A1BAC" w:rsidRPr="00D22B7C" w:rsidRDefault="003A1BAC" w:rsidP="002D3CDE">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7E23A63" w14:textId="77777777" w:rsidR="003A1BAC" w:rsidRPr="00D22B7C" w:rsidRDefault="003A1BAC" w:rsidP="002D3CDE">
            <w:pPr>
              <w:jc w:val="center"/>
              <w:rPr>
                <w:rFonts w:ascii="Verdana" w:hAnsi="Verdana"/>
              </w:rPr>
            </w:pPr>
            <w:r w:rsidRPr="00D22B7C">
              <w:rPr>
                <w:rFonts w:ascii="Verdana" w:eastAsia="Times New Roman" w:hAnsi="Verdana" w:cs="Times New Roman"/>
              </w:rPr>
              <w:t>5</w:t>
            </w:r>
          </w:p>
        </w:tc>
      </w:tr>
      <w:tr w:rsidR="003A1BAC" w:rsidRPr="00D22B7C" w14:paraId="417DA4E2"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FB3013" w14:textId="77777777" w:rsidR="003A1BAC" w:rsidRPr="00D22B7C" w:rsidRDefault="003A1BAC" w:rsidP="002D3CDE">
            <w:pPr>
              <w:jc w:val="center"/>
              <w:rPr>
                <w:rFonts w:ascii="Verdana" w:hAnsi="Verdana"/>
              </w:rPr>
            </w:pPr>
            <w:r w:rsidRPr="00D22B7C">
              <w:rPr>
                <w:rFonts w:ascii="Verdana" w:eastAsia="Times New Roman" w:hAnsi="Verdana" w:cs="Times New Roman"/>
              </w:rPr>
              <w:lastRenderedPageBreak/>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7047C1" w14:textId="77777777" w:rsidR="003A1BAC" w:rsidRPr="00D22B7C" w:rsidRDefault="003A1BAC" w:rsidP="002D3CDE">
            <w:pPr>
              <w:jc w:val="center"/>
              <w:rPr>
                <w:rFonts w:ascii="Verdana" w:hAnsi="Verdana"/>
              </w:rPr>
            </w:pPr>
            <w:r w:rsidRPr="00D22B7C">
              <w:rPr>
                <w:rFonts w:ascii="Verdana" w:eastAsia="Times New Roman" w:hAnsi="Verdana" w:cs="Times New Roman"/>
              </w:rPr>
              <w:t>7</w:t>
            </w:r>
          </w:p>
        </w:tc>
      </w:tr>
      <w:tr w:rsidR="003A1BAC" w:rsidRPr="00D22B7C" w14:paraId="7B8D7030"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C2B4FFD" w14:textId="77777777" w:rsidR="003A1BAC" w:rsidRPr="00D22B7C" w:rsidRDefault="003A1BAC" w:rsidP="002D3CDE">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A8673C" w14:textId="77777777" w:rsidR="003A1BAC" w:rsidRPr="00D22B7C" w:rsidRDefault="003A1BAC" w:rsidP="002D3CDE">
            <w:pPr>
              <w:jc w:val="center"/>
              <w:rPr>
                <w:rFonts w:ascii="Verdana" w:hAnsi="Verdana"/>
              </w:rPr>
            </w:pPr>
            <w:r w:rsidRPr="00D22B7C">
              <w:rPr>
                <w:rFonts w:ascii="Verdana" w:eastAsia="Times New Roman" w:hAnsi="Verdana" w:cs="Times New Roman"/>
              </w:rPr>
              <w:t>10</w:t>
            </w:r>
          </w:p>
        </w:tc>
      </w:tr>
      <w:tr w:rsidR="003A1BAC" w:rsidRPr="00D22B7C" w14:paraId="6FDFA5E6"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C15EA54" w14:textId="77777777" w:rsidR="003A1BAC" w:rsidRPr="00D22B7C" w:rsidRDefault="003A1BAC" w:rsidP="002D3CDE">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CB9352" w14:textId="77777777" w:rsidR="003A1BAC" w:rsidRPr="00D22B7C" w:rsidRDefault="003A1BAC" w:rsidP="002D3CDE">
            <w:pPr>
              <w:jc w:val="center"/>
              <w:rPr>
                <w:rFonts w:ascii="Verdana" w:hAnsi="Verdana"/>
              </w:rPr>
            </w:pPr>
            <w:r w:rsidRPr="00D22B7C">
              <w:rPr>
                <w:rFonts w:ascii="Verdana" w:eastAsia="Times New Roman" w:hAnsi="Verdana" w:cs="Times New Roman"/>
              </w:rPr>
              <w:t>12</w:t>
            </w:r>
          </w:p>
        </w:tc>
      </w:tr>
      <w:tr w:rsidR="003A1BAC" w:rsidRPr="00D22B7C" w14:paraId="17570C6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1EC6528" w14:textId="77777777" w:rsidR="003A1BAC" w:rsidRPr="00D22B7C" w:rsidRDefault="003A1BAC" w:rsidP="002D3CDE">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F1B26F" w14:textId="77777777" w:rsidR="003A1BAC" w:rsidRPr="00D22B7C" w:rsidRDefault="003A1BAC" w:rsidP="002D3CDE">
            <w:pPr>
              <w:jc w:val="center"/>
              <w:rPr>
                <w:rFonts w:ascii="Verdana" w:hAnsi="Verdana"/>
              </w:rPr>
            </w:pPr>
            <w:r w:rsidRPr="00D22B7C">
              <w:rPr>
                <w:rFonts w:ascii="Verdana" w:eastAsia="Times New Roman" w:hAnsi="Verdana" w:cs="Times New Roman"/>
              </w:rPr>
              <w:t>14</w:t>
            </w:r>
          </w:p>
        </w:tc>
      </w:tr>
      <w:tr w:rsidR="003A1BAC" w:rsidRPr="00D22B7C" w14:paraId="5EC404AB"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183176C" w14:textId="77777777" w:rsidR="003A1BAC" w:rsidRPr="00D22B7C" w:rsidRDefault="003A1BAC" w:rsidP="002D3CDE">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D263B77" w14:textId="77777777" w:rsidR="003A1BAC" w:rsidRPr="00D22B7C" w:rsidRDefault="003A1BAC" w:rsidP="002D3CDE">
            <w:pPr>
              <w:jc w:val="center"/>
              <w:rPr>
                <w:rFonts w:ascii="Verdana" w:hAnsi="Verdana"/>
              </w:rPr>
            </w:pPr>
            <w:r w:rsidRPr="00D22B7C">
              <w:rPr>
                <w:rFonts w:ascii="Verdana" w:eastAsia="Times New Roman" w:hAnsi="Verdana" w:cs="Times New Roman"/>
              </w:rPr>
              <w:t>16</w:t>
            </w:r>
          </w:p>
        </w:tc>
      </w:tr>
      <w:tr w:rsidR="003A1BAC" w:rsidRPr="00D22B7C" w14:paraId="49819B5E"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F4018E" w14:textId="77777777" w:rsidR="003A1BAC" w:rsidRPr="00D22B7C" w:rsidRDefault="003A1BAC" w:rsidP="002D3CDE">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BEC7642" w14:textId="77777777" w:rsidR="003A1BAC" w:rsidRPr="00D22B7C" w:rsidRDefault="003A1BAC" w:rsidP="002D3CDE">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0C323361" w14:textId="77777777" w:rsidR="003A1BAC" w:rsidRPr="00D22B7C" w:rsidRDefault="003A1BAC" w:rsidP="003A1BAC">
      <w:pPr>
        <w:spacing w:after="0" w:line="276" w:lineRule="auto"/>
        <w:rPr>
          <w:rFonts w:ascii="Verdana" w:hAnsi="Verdana"/>
        </w:rPr>
      </w:pPr>
    </w:p>
    <w:p w14:paraId="7CE9B5A0" w14:textId="77777777" w:rsidR="003A1BAC" w:rsidRPr="00D22B7C" w:rsidRDefault="003A1BAC" w:rsidP="003A1BAC">
      <w:pPr>
        <w:spacing w:after="120" w:line="276" w:lineRule="auto"/>
        <w:ind w:firstLine="709"/>
        <w:jc w:val="both"/>
        <w:rPr>
          <w:rFonts w:ascii="Verdana" w:hAnsi="Verdana"/>
        </w:rPr>
      </w:pPr>
      <w:r w:rsidRPr="00D22B7C">
        <w:rPr>
          <w:rFonts w:ascii="Verdana" w:eastAsia="Times New Roman" w:hAnsi="Verdana" w:cs="Times New Roman"/>
        </w:rPr>
        <w:t>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2CE9AD78" w14:textId="01F198DF" w:rsidR="003A1BAC" w:rsidRDefault="003A1BAC" w:rsidP="003A1BAC">
      <w:pPr>
        <w:spacing w:after="120" w:line="276" w:lineRule="auto"/>
        <w:ind w:firstLine="708"/>
        <w:jc w:val="both"/>
        <w:rPr>
          <w:rFonts w:ascii="Verdana" w:eastAsia="Times New Roman" w:hAnsi="Verdana" w:cs="Times New Roman"/>
        </w:rPr>
      </w:pPr>
      <w:r w:rsidRPr="00085EB4">
        <w:rPr>
          <w:rFonts w:ascii="Verdana" w:eastAsia="Times New Roman" w:hAnsi="Verdana" w:cs="Times New Roman"/>
        </w:rPr>
        <w:t>Por otra parte, respecto de l</w:t>
      </w:r>
      <w:r w:rsidR="0034377F" w:rsidRPr="00085EB4">
        <w:rPr>
          <w:rFonts w:ascii="Verdana" w:eastAsia="Times New Roman" w:hAnsi="Verdana" w:cs="Times New Roman"/>
        </w:rPr>
        <w:t>os documentos para</w:t>
      </w:r>
      <w:r w:rsidR="0034377F">
        <w:rPr>
          <w:rFonts w:ascii="Verdana" w:eastAsia="Times New Roman" w:hAnsi="Verdana" w:cs="Times New Roman"/>
        </w:rPr>
        <w:t xml:space="preserve"> acceder al puntaje regulado en el artículo </w:t>
      </w:r>
      <w:r w:rsidR="000D25AF">
        <w:rPr>
          <w:rFonts w:ascii="Verdana" w:eastAsia="Times New Roman" w:hAnsi="Verdana" w:cs="Times New Roman"/>
        </w:rPr>
        <w:t>2.2.1.2.4.2.7.4</w:t>
      </w:r>
      <w:r w:rsidR="004D0F57">
        <w:rPr>
          <w:rFonts w:ascii="Verdana" w:eastAsia="Times New Roman" w:hAnsi="Verdana" w:cs="Times New Roman"/>
        </w:rPr>
        <w:t>, para acreditar ser emprendimiento y empresa de personas con discapacidad</w:t>
      </w:r>
      <w:r w:rsidR="006E217B">
        <w:rPr>
          <w:rFonts w:ascii="Verdana" w:eastAsia="Times New Roman" w:hAnsi="Verdana" w:cs="Times New Roman"/>
        </w:rPr>
        <w:t>, el artículo 2.2.1.2.4.2.6</w:t>
      </w:r>
      <w:r w:rsidR="004D0F57">
        <w:rPr>
          <w:rFonts w:ascii="Verdana" w:eastAsia="Times New Roman" w:hAnsi="Verdana" w:cs="Times New Roman"/>
        </w:rPr>
        <w:t xml:space="preserve"> dispone</w:t>
      </w:r>
      <w:r>
        <w:rPr>
          <w:rFonts w:ascii="Verdana" w:eastAsia="Times New Roman" w:hAnsi="Verdana" w:cs="Times New Roman"/>
        </w:rPr>
        <w:t>:</w:t>
      </w:r>
    </w:p>
    <w:p w14:paraId="1BB08F44"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w:t>
      </w:r>
      <w:r>
        <w:rPr>
          <w:rFonts w:ascii="Verdana" w:eastAsia="Times New Roman" w:hAnsi="Verdana" w:cs="Times New Roman"/>
          <w:i/>
          <w:iCs/>
          <w:sz w:val="21"/>
          <w:szCs w:val="21"/>
        </w:rPr>
        <w:t>(…)</w:t>
      </w:r>
      <w:r w:rsidRPr="00E4530E">
        <w:rPr>
          <w:rFonts w:ascii="Verdana" w:eastAsia="Times New Roman" w:hAnsi="Verdana" w:cs="Times New Roman"/>
          <w:i/>
          <w:iCs/>
          <w:sz w:val="21"/>
          <w:szCs w:val="21"/>
        </w:rPr>
        <w:t>1) Personas naturales con discapacidad que ejerzan una profesión liberal. Esta circunstancia se acreditará mediante la copia de cedula de ciudadanía, la cedula de extranjería o el pasaporte, el certificado de discapacidad expedido de acuerdo con la normativa del Ministerio de Salud y Protección Social, así coma el título profesional correspondiente.</w:t>
      </w:r>
    </w:p>
    <w:p w14:paraId="5F74DFCB"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 xml:space="preserve">2) Personas naturales con discapacidad que hayan realizado actividades comerciales a través de un establecimiento de comercio, durante al menos el último año anterior a la fecha de cierre del proceso de selección. Esta circunstancia se acreditará mediante la copia de </w:t>
      </w:r>
      <w:r w:rsidRPr="00E4530E">
        <w:rPr>
          <w:rFonts w:ascii="Verdana" w:eastAsia="Times New Roman" w:hAnsi="Verdana" w:cs="Times New Roman"/>
          <w:i/>
          <w:iCs/>
          <w:sz w:val="21"/>
          <w:szCs w:val="21"/>
        </w:rPr>
        <w:lastRenderedPageBreak/>
        <w:t>cedula de ciudadanía, la cedula de extranjera o el pasaporte, el certificado de discapacidad expedido de acuerdo con la normativa del Ministerio de Salud y Protección Social, así coma la copia del registro mercantil.</w:t>
      </w:r>
    </w:p>
    <w:p w14:paraId="21BA6283"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3) Personas jurídicas donde más del cincuenta por ciento (50%) de sus acciones, partes de interés o cuotas de participación pertenezcan a personas con discapacidad y los derechos de propiedad hayan pertenecido a estas durante al menos el último año anterior a la fecha de cierre del Proceso de Selección.</w:t>
      </w:r>
    </w:p>
    <w:p w14:paraId="0662076C"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La circunstancia de la propiedad de la persona jurídica se acreditará mediante certificación expedida por el representante legal y el revisor fiscal, cuando exista, de acuerdo con los requerimientos de ley o, el contador, donde conste la distribución de l</w:t>
      </w:r>
      <w:r>
        <w:rPr>
          <w:rFonts w:ascii="Verdana" w:eastAsia="Times New Roman" w:hAnsi="Verdana" w:cs="Times New Roman"/>
          <w:i/>
          <w:iCs/>
          <w:sz w:val="21"/>
          <w:szCs w:val="21"/>
        </w:rPr>
        <w:t>o</w:t>
      </w:r>
      <w:r w:rsidRPr="00E4530E">
        <w:rPr>
          <w:rFonts w:ascii="Verdana" w:eastAsia="Times New Roman" w:hAnsi="Verdana" w:cs="Times New Roman"/>
          <w:i/>
          <w:iCs/>
          <w:sz w:val="21"/>
          <w:szCs w:val="21"/>
        </w:rPr>
        <w:t>s derechos en la sociedad y el tiempo en el que las personas con discapacidad han mantenido su participación. Adicionalmente se debe adjuntar la copia de cedula de ciudadanía, la cedula de extranjera o el pasaporte, el certificado de discapacidad expedido de acuerdo con la normativa del Ministerio de Salud y Protección Social, así como la copia del certificado de existencia y representación legal.</w:t>
      </w:r>
    </w:p>
    <w:p w14:paraId="79C366D0"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4) Personas jurídicas que tengan vinculadas laboralmente al menos una persona con discapacidad en empleos del nivel directivo de la empresa durante al menos el último año anterior a la fecha de cierre del Proceso de Selección en el mismo cargo u otro del mismo nivel.</w:t>
      </w:r>
    </w:p>
    <w:p w14:paraId="584C3CB0"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Por otra parte, 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FC100FA"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Esta circunstancia se acreditará mediante certificación expedida por el representante legal y el revisor fiscal, cuando exista de acuerdo con los requerimientos de ley, o el contador, donde se señale de manera detallada las personas con discapacidad que ocupan cargos de nivel directivo del proponente y el tiempo de vinculación.</w:t>
      </w:r>
    </w:p>
    <w:p w14:paraId="2A4F7D3E" w14:textId="77777777" w:rsidR="003A1BAC"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 xml:space="preserve">La certificación deberá relacionar el nombre completo y el número de documento de identidad de las personas con discapacidad que ocupan cargos de nivel directivo del proponente. Como soporte, se anexará copia de los respectivos documentos de identidad, copia de los contratos de trabajo o certificación laboral con las funciones, así como el certificado de aportes a seguridad social del último año en el que se </w:t>
      </w:r>
      <w:r w:rsidRPr="00E4530E">
        <w:rPr>
          <w:rFonts w:ascii="Verdana" w:eastAsia="Times New Roman" w:hAnsi="Verdana" w:cs="Times New Roman"/>
          <w:i/>
          <w:iCs/>
          <w:sz w:val="21"/>
          <w:szCs w:val="21"/>
        </w:rPr>
        <w:lastRenderedPageBreak/>
        <w:t>demuestren los pagos realizados por el empleador, y el certificado de discapacidad expedido de acuerdo con la normativa del Ministerio de Salud y Protección Social</w:t>
      </w:r>
      <w:r>
        <w:rPr>
          <w:rFonts w:ascii="Verdana" w:eastAsia="Times New Roman" w:hAnsi="Verdana" w:cs="Times New Roman"/>
          <w:i/>
          <w:iCs/>
          <w:sz w:val="21"/>
          <w:szCs w:val="21"/>
        </w:rPr>
        <w:t>”.</w:t>
      </w:r>
    </w:p>
    <w:p w14:paraId="46848844" w14:textId="5D785A8C" w:rsidR="003A1BAC" w:rsidRPr="00E4530E" w:rsidRDefault="003A1BAC" w:rsidP="003A1BAC">
      <w:pPr>
        <w:spacing w:after="120" w:line="276" w:lineRule="auto"/>
        <w:ind w:firstLine="709"/>
        <w:jc w:val="both"/>
        <w:rPr>
          <w:rFonts w:ascii="Verdana" w:hAnsi="Verdana"/>
        </w:rPr>
      </w:pPr>
      <w:r w:rsidRPr="00E4530E">
        <w:rPr>
          <w:rFonts w:ascii="Verdana" w:hAnsi="Verdana"/>
        </w:rPr>
        <w:t>Por tanto,</w:t>
      </w:r>
      <w:r w:rsidRPr="000911C8">
        <w:rPr>
          <w:rFonts w:ascii="Verdana" w:eastAsia="Calibri" w:hAnsi="Verdana" w:cs="Arial"/>
        </w:rPr>
        <w:t xml:space="preserve"> </w:t>
      </w:r>
      <w:r>
        <w:rPr>
          <w:rFonts w:ascii="Verdana" w:eastAsia="Calibri" w:hAnsi="Verdana" w:cs="Arial"/>
        </w:rPr>
        <w:t xml:space="preserve">de acuerdo con su consulta, </w:t>
      </w:r>
      <w:r w:rsidR="00BA696E">
        <w:rPr>
          <w:rFonts w:ascii="Verdana" w:eastAsia="Calibri" w:hAnsi="Verdana" w:cs="Arial"/>
        </w:rPr>
        <w:t xml:space="preserve">tanto para ser considerado emprendimiento y empresa de persona con discapacidad y/o para verificar la vinculación de personas con discapacidad en la planta de personal de las empresas, que son las situaciones en las que se puede acceder al puntaje, se requiere </w:t>
      </w:r>
      <w:r w:rsidR="00BA696E" w:rsidRPr="007A456B">
        <w:rPr>
          <w:rFonts w:ascii="Verdana" w:eastAsia="Calibri" w:hAnsi="Verdana" w:cs="Arial"/>
          <w:i/>
          <w:iCs/>
        </w:rPr>
        <w:t>“el certificado de discapacidad expedido de acuerdo con la normativa del Ministerio de Salud y Protección Social”</w:t>
      </w:r>
      <w:r w:rsidR="00BA696E">
        <w:rPr>
          <w:rFonts w:ascii="Verdana" w:eastAsia="Calibri" w:hAnsi="Verdana" w:cs="Arial"/>
        </w:rPr>
        <w:t xml:space="preserve">. La expedición del certificado de discapacidad se encuentra regulada en la Resolución 1197 de 2024 </w:t>
      </w:r>
      <w:r w:rsidR="00BA696E" w:rsidRPr="007A456B">
        <w:rPr>
          <w:rFonts w:ascii="Verdana" w:eastAsia="Calibri" w:hAnsi="Verdana" w:cs="Arial"/>
          <w:i/>
          <w:iCs/>
        </w:rPr>
        <w:t>“Por la cual se dictan disposiciones en relación con el procedimiento de certificación de discapacidad y el Registro de Localización y Caracterización de Personas con Discapacidad y se deroga la Resolución 1239 de 2022”</w:t>
      </w:r>
      <w:r>
        <w:rPr>
          <w:rFonts w:ascii="Verdana" w:eastAsia="Calibri" w:hAnsi="Verdana" w:cs="Arial"/>
        </w:rPr>
        <w:t>.</w:t>
      </w:r>
    </w:p>
    <w:p w14:paraId="656C8340" w14:textId="77777777" w:rsidR="003A1BAC" w:rsidRPr="00D22B7C" w:rsidRDefault="003A1BAC" w:rsidP="003A1BA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F41355" w14:textId="77777777" w:rsidR="003A1BAC" w:rsidRPr="00670CFB" w:rsidRDefault="003A1BAC" w:rsidP="003A1BAC">
      <w:pPr>
        <w:spacing w:after="120" w:line="276" w:lineRule="auto"/>
        <w:ind w:firstLine="709"/>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449658A1"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lastRenderedPageBreak/>
        <w:t xml:space="preserve">La primera medida son las herramientas de planeación para procesos inclusivos, reguladas en el artículo 2.2.1.2.4.2.7.2. del Decreto 1082 de 2015 (modificado),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56D2ED88"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 xml:space="preserve">Estatuto General de Contratación </w:t>
      </w:r>
      <w:r>
        <w:rPr>
          <w:rFonts w:ascii="Verdana" w:hAnsi="Verdana"/>
        </w:rPr>
        <w:lastRenderedPageBreak/>
        <w:t>Pública</w:t>
      </w:r>
      <w:r w:rsidRPr="00670CFB">
        <w:rPr>
          <w:rFonts w:ascii="Verdana" w:hAnsi="Verdana"/>
        </w:rPr>
        <w:t xml:space="preserve"> como en los procesos competitivos de entidades con régimen especial, pero no en mínima cuantía ni en contratación directa. Aplica exclusivamente 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74EF5A76"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1D6E5BD4"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w:t>
      </w:r>
      <w:r w:rsidRPr="00670CFB">
        <w:rPr>
          <w:rFonts w:ascii="Verdana" w:hAnsi="Verdana"/>
        </w:rPr>
        <w:lastRenderedPageBreak/>
        <w:t xml:space="preserve">obras o servicios para la ejecución; o la integración del equipo de trabajo, que exige priorizar personas naturales con discapacidad cuando la ejecución requiera 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DC58A57"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58F989"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w:t>
      </w:r>
      <w:r w:rsidRPr="00670CFB">
        <w:rPr>
          <w:rFonts w:ascii="Verdana" w:hAnsi="Verdana"/>
        </w:rPr>
        <w:lastRenderedPageBreak/>
        <w:t xml:space="preserve">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Esta obligación consiste en incorporar en los estudios previos y en los documentos del proceso 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669ACA7"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F1138C5" w14:textId="77777777" w:rsidR="003A1BAC" w:rsidRPr="00206556" w:rsidRDefault="003A1BAC" w:rsidP="003A1BAC">
      <w:pPr>
        <w:spacing w:after="0" w:line="276" w:lineRule="auto"/>
        <w:jc w:val="both"/>
        <w:rPr>
          <w:rFonts w:ascii="Verdana" w:eastAsia="Calibri" w:hAnsi="Verdana" w:cs="Arial"/>
          <w:lang w:val="es-ES"/>
        </w:rPr>
      </w:pPr>
    </w:p>
    <w:p w14:paraId="72BB9696" w14:textId="77777777" w:rsidR="003A1BAC" w:rsidRPr="00206556" w:rsidRDefault="003A1BAC" w:rsidP="003A1BA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A1BAC" w:rsidRPr="00206556" w14:paraId="2CB619CD" w14:textId="77777777" w:rsidTr="002D3CDE">
        <w:trPr>
          <w:trHeight w:val="297"/>
        </w:trPr>
        <w:tc>
          <w:tcPr>
            <w:tcW w:w="8647" w:type="dxa"/>
          </w:tcPr>
          <w:p w14:paraId="218CDB1A" w14:textId="77777777" w:rsidR="003A1BAC" w:rsidRPr="00670CFB"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3BE296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2147D7D2"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C2F66F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18EA744"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78B3ADB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201D749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250FB189"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Ley 1996 de 2019. Artículo 62.</w:t>
            </w:r>
          </w:p>
          <w:p w14:paraId="661A89F7"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32BC796"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2294 de 2023. Artículos 4, 76 y 79.</w:t>
            </w:r>
          </w:p>
          <w:p w14:paraId="61948CD2"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1AEB517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50A23C9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AFC5E2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3EB5C9F3"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F1154C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36EF4165"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13ACA26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60DDF8D1"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3E9F4FC1"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C3733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6526A445"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678CEE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33A52438"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616B3EB3"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Agencia Nacional de Contratación Pública – Colombia Compra </w:t>
            </w:r>
            <w:r w:rsidRPr="00206556">
              <w:rPr>
                <w:rFonts w:ascii="Verdana" w:eastAsia="Arial MT" w:hAnsi="Verdana" w:cs="Arial"/>
                <w:lang w:eastAsia="es-ES" w:bidi="es-ES"/>
              </w:rPr>
              <w:lastRenderedPageBreak/>
              <w:t>Eficiente. Concepto C-1519 del 19 de noviembre de 2025.</w:t>
            </w:r>
          </w:p>
          <w:p w14:paraId="6A51485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Departamento Nacional de Planeación. Documento CONPES 166 de 2013. Política Pública Nacional de Discapacidad e Inclusión Social.</w:t>
            </w:r>
          </w:p>
          <w:p w14:paraId="4B523B34" w14:textId="77777777" w:rsidR="003A1BAC" w:rsidRPr="00206556" w:rsidRDefault="003A1BAC" w:rsidP="002D3CDE">
            <w:pPr>
              <w:widowControl w:val="0"/>
              <w:autoSpaceDE w:val="0"/>
              <w:autoSpaceDN w:val="0"/>
              <w:spacing w:line="276" w:lineRule="auto"/>
              <w:jc w:val="both"/>
              <w:rPr>
                <w:rFonts w:ascii="Verdana" w:eastAsia="Arial MT" w:hAnsi="Verdana" w:cs="Arial"/>
                <w:lang w:val="es-ES" w:eastAsia="es-ES" w:bidi="es-ES"/>
              </w:rPr>
            </w:pPr>
          </w:p>
        </w:tc>
      </w:tr>
    </w:tbl>
    <w:p w14:paraId="61089421" w14:textId="77777777" w:rsidR="003A1BAC" w:rsidRPr="00206556" w:rsidRDefault="003A1BAC" w:rsidP="003A1BAC">
      <w:pPr>
        <w:widowControl w:val="0"/>
        <w:autoSpaceDE w:val="0"/>
        <w:autoSpaceDN w:val="0"/>
        <w:spacing w:after="0" w:line="276" w:lineRule="auto"/>
        <w:jc w:val="both"/>
        <w:rPr>
          <w:rFonts w:ascii="Verdana" w:hAnsi="Verdana" w:cs="Arial"/>
          <w:color w:val="ED7D31" w:themeColor="accent2"/>
          <w:lang w:val="es-ES"/>
        </w:rPr>
      </w:pPr>
    </w:p>
    <w:p w14:paraId="21279AD8" w14:textId="77777777" w:rsidR="003A1BAC"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076C16AE" w14:textId="77777777" w:rsidR="003A1BAC" w:rsidRPr="00670CFB" w:rsidRDefault="003A1BAC" w:rsidP="003A1BAC">
      <w:pPr>
        <w:tabs>
          <w:tab w:val="left" w:pos="142"/>
          <w:tab w:val="left" w:pos="284"/>
        </w:tabs>
        <w:spacing w:after="0" w:line="276" w:lineRule="auto"/>
        <w:jc w:val="both"/>
        <w:rPr>
          <w:rFonts w:ascii="Verdana" w:eastAsia="Century Gothic" w:hAnsi="Verdana" w:cs="Century Gothic"/>
          <w:b/>
          <w:lang w:val="es-ES"/>
        </w:rPr>
      </w:pPr>
    </w:p>
    <w:p w14:paraId="58AECC41" w14:textId="5F36CBBD" w:rsidR="003A1BAC" w:rsidRPr="00206556" w:rsidRDefault="003A1BAC" w:rsidP="003A1BAC">
      <w:pPr>
        <w:spacing w:after="0" w:line="276" w:lineRule="auto"/>
        <w:jc w:val="both"/>
        <w:rPr>
          <w:rFonts w:ascii="Verdana" w:hAnsi="Verdana"/>
          <w:color w:val="ED7D31" w:themeColor="accent2"/>
          <w:lang w:val="es-ES"/>
        </w:rPr>
      </w:pPr>
      <w:r w:rsidRPr="00E85A49">
        <w:rPr>
          <w:rFonts w:ascii="Verdana" w:eastAsia="Calibri" w:hAnsi="Verdana" w:cs="Arial"/>
          <w:lang w:val="es-ES"/>
        </w:rPr>
        <w:t>La Agencia Nacional de Contratación Pública – Colombia Compra Eficiente se ha referido sobre el alcance del Decreto 0287 de 2026 en los conceptos C-473 del 7 de mayo de 2026, C-498 del 8 de mayo de 2026</w:t>
      </w:r>
      <w:r>
        <w:rPr>
          <w:rFonts w:ascii="Verdana" w:eastAsia="Calibri" w:hAnsi="Verdana" w:cs="Arial"/>
          <w:lang w:val="es-ES"/>
        </w:rPr>
        <w:t>,</w:t>
      </w:r>
      <w:r w:rsidRPr="00E85A49">
        <w:rPr>
          <w:rFonts w:ascii="Verdana" w:eastAsia="Calibri" w:hAnsi="Verdana" w:cs="Arial"/>
          <w:lang w:val="es-ES"/>
        </w:rPr>
        <w:t xml:space="preserve"> C-576 del 19 de mayo de 2026</w:t>
      </w:r>
      <w:r w:rsidR="008A39E9">
        <w:rPr>
          <w:rFonts w:ascii="Verdana" w:eastAsia="Calibri" w:hAnsi="Verdana" w:cs="Arial"/>
          <w:lang w:val="es-ES"/>
        </w:rPr>
        <w:t xml:space="preserve">, </w:t>
      </w:r>
      <w:r>
        <w:rPr>
          <w:rFonts w:ascii="Verdana" w:eastAsia="Calibri" w:hAnsi="Verdana" w:cs="Arial"/>
          <w:lang w:val="es-ES"/>
        </w:rPr>
        <w:t>C-604 del 22 de mayo de 2026</w:t>
      </w:r>
      <w:r w:rsidR="003E0713">
        <w:rPr>
          <w:rFonts w:ascii="Verdana" w:eastAsia="Calibri" w:hAnsi="Verdana" w:cs="Arial"/>
          <w:lang w:val="es-ES"/>
        </w:rPr>
        <w:t>,</w:t>
      </w:r>
      <w:r w:rsidR="008A39E9">
        <w:rPr>
          <w:rFonts w:ascii="Verdana" w:eastAsia="Calibri" w:hAnsi="Verdana" w:cs="Arial"/>
          <w:lang w:val="es-ES"/>
        </w:rPr>
        <w:t xml:space="preserve"> C-612 del 27 de mayo de 2026</w:t>
      </w:r>
      <w:r w:rsidR="003E0713">
        <w:rPr>
          <w:rFonts w:ascii="Verdana" w:eastAsia="Calibri" w:hAnsi="Verdana" w:cs="Arial"/>
          <w:lang w:val="es-ES"/>
        </w:rPr>
        <w:t xml:space="preserve"> y C-686 del 28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3" w:history="1">
        <w:r w:rsidRPr="00206556">
          <w:rPr>
            <w:rStyle w:val="Hipervnculo"/>
            <w:rFonts w:ascii="Verdana" w:hAnsi="Verdana" w:cs="Arial"/>
            <w:shd w:val="clear" w:color="auto" w:fill="FFFFFF"/>
            <w:lang w:val="es-ES"/>
          </w:rPr>
          <w:t>https://relatoria.colombiacompra.gov.co/busqueda/conceptos</w:t>
        </w:r>
      </w:hyperlink>
    </w:p>
    <w:p w14:paraId="44DEB88C" w14:textId="77777777" w:rsidR="003A1BAC" w:rsidRPr="00206556" w:rsidRDefault="003A1BAC" w:rsidP="003A1BAC">
      <w:pPr>
        <w:spacing w:after="0" w:line="276" w:lineRule="auto"/>
        <w:jc w:val="both"/>
        <w:rPr>
          <w:rFonts w:ascii="Verdana" w:hAnsi="Verdana" w:cs="Arial"/>
          <w:color w:val="ED7D31" w:themeColor="accent2"/>
          <w:shd w:val="clear" w:color="auto" w:fill="FFFFFF"/>
          <w:lang w:val="es-ES"/>
        </w:rPr>
      </w:pPr>
    </w:p>
    <w:p w14:paraId="2F5AB205"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456C3784" w14:textId="77777777" w:rsidR="003A1BAC" w:rsidRPr="00206556" w:rsidRDefault="003A1BAC" w:rsidP="003A1BAC">
      <w:pPr>
        <w:spacing w:after="0" w:line="276" w:lineRule="auto"/>
        <w:jc w:val="both"/>
        <w:rPr>
          <w:rFonts w:ascii="Verdana" w:hAnsi="Verdana" w:cs="Arial"/>
          <w:shd w:val="clear" w:color="auto" w:fill="FFFFFF"/>
        </w:rPr>
      </w:pPr>
    </w:p>
    <w:p w14:paraId="639AAAA7"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206556">
          <w:rPr>
            <w:rStyle w:val="Hipervnculo"/>
            <w:rFonts w:ascii="Verdana" w:hAnsi="Verdana" w:cs="Arial"/>
            <w:shd w:val="clear" w:color="auto" w:fill="FFFFFF"/>
          </w:rPr>
          <w:t>https://www.colombiacompra.gov.co/normativa-y-relatoria/documentos-tipo</w:t>
        </w:r>
      </w:hyperlink>
    </w:p>
    <w:p w14:paraId="3F91B17E" w14:textId="77777777" w:rsidR="003A1BAC" w:rsidRPr="00206556" w:rsidRDefault="003A1BAC" w:rsidP="003A1BAC">
      <w:pPr>
        <w:spacing w:after="0" w:line="276" w:lineRule="auto"/>
        <w:jc w:val="both"/>
        <w:rPr>
          <w:rFonts w:ascii="Verdana" w:hAnsi="Verdana" w:cs="Arial"/>
          <w:shd w:val="clear" w:color="auto" w:fill="FFFFFF"/>
        </w:rPr>
      </w:pPr>
    </w:p>
    <w:p w14:paraId="53530D08"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lastRenderedPageBreak/>
        <w:t>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3427D914" w14:textId="77777777" w:rsidR="003A1BAC" w:rsidRPr="00206556" w:rsidRDefault="003A1BAC" w:rsidP="003A1BAC">
      <w:pPr>
        <w:spacing w:after="0" w:line="276" w:lineRule="auto"/>
        <w:jc w:val="both"/>
        <w:rPr>
          <w:rFonts w:ascii="Verdana" w:hAnsi="Verdana" w:cs="Arial"/>
          <w:color w:val="ED7D31" w:themeColor="accent2"/>
          <w:shd w:val="clear" w:color="auto" w:fill="FFFFFF"/>
        </w:rPr>
      </w:pPr>
    </w:p>
    <w:p w14:paraId="77BFA0B0"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D848AA2" w14:textId="77777777" w:rsidR="003A1BAC" w:rsidRPr="00206556" w:rsidRDefault="003A1BAC" w:rsidP="003A1BAC">
      <w:pPr>
        <w:spacing w:after="0"/>
        <w:jc w:val="both"/>
        <w:rPr>
          <w:rFonts w:ascii="Verdana" w:hAnsi="Verdana" w:cs="Arial"/>
          <w:shd w:val="clear" w:color="auto" w:fill="FFFFFF"/>
        </w:rPr>
      </w:pPr>
    </w:p>
    <w:p w14:paraId="30C724B8"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62D885B3"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278E2295"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12D17FF4"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26749B" w14:textId="77777777" w:rsidR="003A1BAC" w:rsidRPr="00206556" w:rsidRDefault="003A1BAC" w:rsidP="003A1BAC">
      <w:pPr>
        <w:widowControl w:val="0"/>
        <w:autoSpaceDE w:val="0"/>
        <w:autoSpaceDN w:val="0"/>
        <w:spacing w:after="0" w:line="276" w:lineRule="auto"/>
        <w:jc w:val="both"/>
        <w:rPr>
          <w:rFonts w:ascii="Verdana" w:hAnsi="Verdana" w:cs="Arial"/>
          <w:color w:val="ED7D31" w:themeColor="accent2"/>
          <w:lang w:val="es-ES"/>
        </w:rPr>
      </w:pPr>
    </w:p>
    <w:p w14:paraId="0054244C" w14:textId="77777777" w:rsidR="003A1BAC" w:rsidRPr="00206556" w:rsidRDefault="003A1BAC" w:rsidP="003A1BA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011DC0" w14:textId="77777777" w:rsidR="003A1BAC" w:rsidRPr="00206556" w:rsidRDefault="003A1BAC" w:rsidP="003A1BAC">
      <w:pPr>
        <w:widowControl w:val="0"/>
        <w:autoSpaceDE w:val="0"/>
        <w:autoSpaceDN w:val="0"/>
        <w:spacing w:after="0" w:line="276" w:lineRule="auto"/>
        <w:jc w:val="both"/>
        <w:rPr>
          <w:rFonts w:ascii="Verdana" w:hAnsi="Verdana" w:cs="Arial"/>
          <w:lang w:val="es-ES"/>
        </w:rPr>
      </w:pPr>
    </w:p>
    <w:p w14:paraId="40DF13B0" w14:textId="77777777" w:rsidR="003A1BAC" w:rsidRPr="00206556" w:rsidRDefault="003A1BAC" w:rsidP="003A1BA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49030CFF" w14:textId="77777777" w:rsidR="003A1BAC" w:rsidRPr="00206556" w:rsidRDefault="003A1BAC" w:rsidP="003A1BAC">
      <w:pPr>
        <w:autoSpaceDE w:val="0"/>
        <w:autoSpaceDN w:val="0"/>
        <w:adjustRightInd w:val="0"/>
        <w:spacing w:after="0" w:line="276" w:lineRule="auto"/>
        <w:rPr>
          <w:rFonts w:ascii="Verdana" w:eastAsia="Calibri" w:hAnsi="Verdana" w:cs="Arial"/>
          <w:noProof/>
          <w:sz w:val="20"/>
          <w:szCs w:val="20"/>
        </w:rPr>
      </w:pPr>
    </w:p>
    <w:p w14:paraId="1516661C" w14:textId="2EC5547D" w:rsidR="003A1BAC" w:rsidRPr="00206556" w:rsidRDefault="007D5CE3" w:rsidP="003A1BAC">
      <w:pPr>
        <w:spacing w:after="0" w:line="256" w:lineRule="auto"/>
        <w:jc w:val="center"/>
        <w:rPr>
          <w:rFonts w:ascii="Verdana" w:eastAsia="Times New Roman" w:hAnsi="Verdana" w:cs="Arial"/>
          <w:lang w:eastAsia="es-ES"/>
        </w:rPr>
      </w:pPr>
      <w:r w:rsidRPr="002C3AD6">
        <w:rPr>
          <w:rFonts w:ascii="Century Gothic" w:hAnsi="Century Gothic"/>
          <w:noProof/>
        </w:rPr>
        <w:drawing>
          <wp:inline distT="0" distB="0" distL="0" distR="0" wp14:anchorId="63470F82" wp14:editId="382ACEBC">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175800FD" w14:textId="77777777" w:rsidR="003A1BAC" w:rsidRPr="00206556" w:rsidRDefault="003A1BAC" w:rsidP="003A1BAC">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3A1BAC" w:rsidRPr="00206556" w14:paraId="05BFC2E8" w14:textId="77777777" w:rsidTr="002D3CDE">
        <w:trPr>
          <w:trHeight w:val="322"/>
        </w:trPr>
        <w:tc>
          <w:tcPr>
            <w:tcW w:w="733" w:type="dxa"/>
            <w:tcBorders>
              <w:top w:val="nil"/>
              <w:left w:val="nil"/>
              <w:bottom w:val="nil"/>
              <w:right w:val="nil"/>
            </w:tcBorders>
            <w:vAlign w:val="center"/>
            <w:hideMark/>
          </w:tcPr>
          <w:p w14:paraId="262AA1F5"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lastRenderedPageBreak/>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4C9408BF" w14:textId="77777777" w:rsidR="003A1BAC" w:rsidRPr="00206556" w:rsidRDefault="003A1BAC" w:rsidP="002D3CDE">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662071EF" w14:textId="77777777" w:rsidR="003A1BAC" w:rsidRPr="00A5703A" w:rsidRDefault="003A1BAC" w:rsidP="002D3CDE">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3A1BAC" w:rsidRPr="00206556" w14:paraId="113CD7D7" w14:textId="77777777" w:rsidTr="002D3CDE">
        <w:trPr>
          <w:trHeight w:val="322"/>
        </w:trPr>
        <w:tc>
          <w:tcPr>
            <w:tcW w:w="733" w:type="dxa"/>
            <w:tcBorders>
              <w:top w:val="nil"/>
              <w:left w:val="nil"/>
              <w:bottom w:val="nil"/>
              <w:right w:val="nil"/>
            </w:tcBorders>
            <w:vAlign w:val="center"/>
            <w:hideMark/>
          </w:tcPr>
          <w:p w14:paraId="28A4F308"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B0C4EF3" w14:textId="77777777" w:rsidR="003A1BAC" w:rsidRPr="00206556" w:rsidRDefault="003A1BAC" w:rsidP="002D3CDE">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Alejandro Sarmiento</w:t>
            </w:r>
          </w:p>
          <w:p w14:paraId="023DA057" w14:textId="77777777" w:rsidR="003A1BAC" w:rsidRPr="00A5703A" w:rsidRDefault="003A1BAC" w:rsidP="002D3CDE">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w:t>
            </w:r>
            <w:r>
              <w:rPr>
                <w:rFonts w:ascii="Verdana" w:eastAsia="Times New Roman" w:hAnsi="Verdana" w:cs="Arial"/>
                <w:sz w:val="16"/>
                <w:szCs w:val="16"/>
                <w:lang w:eastAsia="es-ES"/>
              </w:rPr>
              <w:t xml:space="preserve">5 </w:t>
            </w:r>
            <w:r w:rsidRPr="00206556">
              <w:rPr>
                <w:rFonts w:ascii="Verdana" w:eastAsia="Times New Roman" w:hAnsi="Verdana" w:cs="Arial"/>
                <w:sz w:val="16"/>
                <w:szCs w:val="16"/>
                <w:lang w:eastAsia="es-ES"/>
              </w:rPr>
              <w:t>de la Subdirección de Gestión Contractual</w:t>
            </w:r>
          </w:p>
        </w:tc>
      </w:tr>
      <w:tr w:rsidR="003A1BAC" w:rsidRPr="00206556" w14:paraId="438E5873" w14:textId="77777777" w:rsidTr="002D3CDE">
        <w:trPr>
          <w:trHeight w:val="307"/>
        </w:trPr>
        <w:tc>
          <w:tcPr>
            <w:tcW w:w="733" w:type="dxa"/>
            <w:tcBorders>
              <w:top w:val="nil"/>
              <w:left w:val="nil"/>
              <w:bottom w:val="nil"/>
              <w:right w:val="nil"/>
            </w:tcBorders>
            <w:vAlign w:val="center"/>
            <w:hideMark/>
          </w:tcPr>
          <w:p w14:paraId="6631095B"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240C606" w14:textId="77777777" w:rsidR="003A1BAC" w:rsidRPr="00206556" w:rsidRDefault="003A1BAC" w:rsidP="002D3CDE">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09F97F1E" w14:textId="77777777" w:rsidR="003A1BAC" w:rsidRPr="00206556" w:rsidRDefault="003A1BAC" w:rsidP="002D3CDE">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Subdirectora de Gestión Contractual ANCP – CCE</w:t>
            </w:r>
          </w:p>
        </w:tc>
      </w:tr>
      <w:bookmarkEnd w:id="0"/>
    </w:tbl>
    <w:p w14:paraId="46E4073D" w14:textId="77777777" w:rsidR="003A1BAC" w:rsidRDefault="003A1BAC" w:rsidP="003A1BAC">
      <w:pPr>
        <w:autoSpaceDE w:val="0"/>
        <w:autoSpaceDN w:val="0"/>
        <w:adjustRightInd w:val="0"/>
        <w:spacing w:after="0" w:line="276" w:lineRule="auto"/>
        <w:jc w:val="center"/>
        <w:rPr>
          <w:rFonts w:ascii="Verdana" w:eastAsia="Calibri" w:hAnsi="Verdana" w:cs="Arial"/>
        </w:rPr>
      </w:pPr>
    </w:p>
    <w:p w14:paraId="34F6870D" w14:textId="5971C49B" w:rsidR="003A1BAC" w:rsidRDefault="003A1BAC" w:rsidP="003A1BAC">
      <w:pPr>
        <w:autoSpaceDE w:val="0"/>
        <w:autoSpaceDN w:val="0"/>
        <w:adjustRightInd w:val="0"/>
        <w:spacing w:after="0" w:line="276" w:lineRule="auto"/>
        <w:jc w:val="center"/>
        <w:rPr>
          <w:rFonts w:ascii="Verdana" w:eastAsia="Calibri" w:hAnsi="Verdana" w:cs="Arial"/>
        </w:rPr>
      </w:pPr>
    </w:p>
    <w:p w14:paraId="0F293BF4" w14:textId="320013C9" w:rsidR="00127233" w:rsidRPr="003A1BAC" w:rsidRDefault="00127233" w:rsidP="003A1BAC"/>
    <w:sectPr w:rsidR="00127233" w:rsidRPr="003A1BA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0C76A" w14:textId="77777777" w:rsidR="00F57D87" w:rsidRDefault="00F57D87" w:rsidP="004A1847">
      <w:pPr>
        <w:spacing w:after="0" w:line="240" w:lineRule="auto"/>
      </w:pPr>
      <w:r>
        <w:separator/>
      </w:r>
    </w:p>
  </w:endnote>
  <w:endnote w:type="continuationSeparator" w:id="0">
    <w:p w14:paraId="4F2D9C2F" w14:textId="77777777" w:rsidR="00F57D87" w:rsidRDefault="00F57D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9CE2B" w14:textId="77777777" w:rsidR="00F57D87" w:rsidRDefault="00F57D87" w:rsidP="004A1847">
      <w:pPr>
        <w:spacing w:after="0" w:line="240" w:lineRule="auto"/>
      </w:pPr>
      <w:r>
        <w:separator/>
      </w:r>
    </w:p>
  </w:footnote>
  <w:footnote w:type="continuationSeparator" w:id="0">
    <w:p w14:paraId="088D4E07" w14:textId="77777777" w:rsidR="00F57D87" w:rsidRDefault="00F57D87" w:rsidP="004A1847">
      <w:pPr>
        <w:spacing w:after="0" w:line="240" w:lineRule="auto"/>
      </w:pPr>
      <w:r>
        <w:continuationSeparator/>
      </w:r>
    </w:p>
  </w:footnote>
  <w:footnote w:id="1">
    <w:p w14:paraId="241B4833" w14:textId="77777777" w:rsidR="003A1BAC" w:rsidRPr="00206556" w:rsidRDefault="003A1BAC" w:rsidP="003A1BAC">
      <w:pPr>
        <w:spacing w:after="0" w:line="240" w:lineRule="auto"/>
        <w:ind w:firstLine="709"/>
        <w:jc w:val="both"/>
        <w:rPr>
          <w:rFonts w:ascii="Verdana" w:eastAsia="Times New Roman" w:hAnsi="Verdana" w:cs="Times New Roman"/>
          <w:sz w:val="16"/>
          <w:szCs w:val="16"/>
        </w:rPr>
      </w:pPr>
      <w:r w:rsidRPr="001C2502">
        <w:rPr>
          <w:rStyle w:val="Refdenotaalpie"/>
          <w:rFonts w:ascii="Verdana" w:hAnsi="Verdana"/>
          <w:sz w:val="16"/>
          <w:szCs w:val="16"/>
        </w:rPr>
        <w:footnoteRef/>
      </w:r>
      <w:r w:rsidRPr="001C2502">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 13. </w:t>
      </w:r>
    </w:p>
    <w:p w14:paraId="45AD9F53" w14:textId="77777777" w:rsidR="003A1BAC" w:rsidRPr="00206556" w:rsidRDefault="003A1BAC" w:rsidP="003A1BAC">
      <w:pPr>
        <w:spacing w:after="0" w:line="240" w:lineRule="auto"/>
        <w:ind w:firstLine="709"/>
        <w:jc w:val="both"/>
        <w:rPr>
          <w:rFonts w:ascii="Verdana" w:hAnsi="Verdana"/>
          <w:sz w:val="16"/>
          <w:szCs w:val="16"/>
        </w:rPr>
      </w:pPr>
    </w:p>
  </w:footnote>
  <w:footnote w:id="2">
    <w:p w14:paraId="30C618FB" w14:textId="77777777" w:rsidR="003A1BAC" w:rsidRPr="00206556" w:rsidRDefault="003A1BAC" w:rsidP="003A1BAC">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 xml:space="preserve">Colombia. Asamblea Nacional Constituyente. (1991). Constitución Política de Colombia. Artículos 47 y 54. </w:t>
      </w:r>
    </w:p>
    <w:p w14:paraId="3AB92941" w14:textId="77777777" w:rsidR="003A1BAC" w:rsidRPr="00206556" w:rsidRDefault="003A1BAC" w:rsidP="003A1BAC">
      <w:pPr>
        <w:pStyle w:val="Textonotapie"/>
        <w:ind w:firstLine="709"/>
        <w:jc w:val="both"/>
        <w:rPr>
          <w:rFonts w:ascii="Verdana" w:hAnsi="Verdana"/>
          <w:sz w:val="16"/>
          <w:szCs w:val="16"/>
          <w:lang w:val="es-ES"/>
        </w:rPr>
      </w:pPr>
    </w:p>
  </w:footnote>
  <w:footnote w:id="3">
    <w:p w14:paraId="6C7074CF" w14:textId="77777777" w:rsidR="003A1BAC" w:rsidRPr="00206556" w:rsidRDefault="003A1BAC" w:rsidP="003A1BAC">
      <w:pPr>
        <w:spacing w:after="0" w:line="240" w:lineRule="auto"/>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313E0D01" w14:textId="77777777" w:rsidR="003A1BAC" w:rsidRPr="00206556" w:rsidRDefault="003A1BAC" w:rsidP="003A1BAC">
      <w:pPr>
        <w:spacing w:after="0" w:line="240" w:lineRule="auto"/>
        <w:ind w:firstLine="709"/>
        <w:jc w:val="both"/>
        <w:rPr>
          <w:rFonts w:ascii="Verdana" w:hAnsi="Verdana"/>
          <w:sz w:val="16"/>
          <w:szCs w:val="16"/>
        </w:rPr>
      </w:pPr>
    </w:p>
  </w:footnote>
  <w:footnote w:id="4">
    <w:p w14:paraId="3485B71B" w14:textId="77777777" w:rsidR="003A1BAC" w:rsidRPr="00206556" w:rsidRDefault="003A1BAC" w:rsidP="003A1BAC">
      <w:pPr>
        <w:pStyle w:val="Textonotapie"/>
        <w:ind w:firstLine="709"/>
        <w:jc w:val="both"/>
        <w:rPr>
          <w:rFonts w:ascii="Verdana" w:eastAsia="Times New Roman" w:hAnsi="Verdana" w:cs="Times New Roman"/>
          <w:sz w:val="16"/>
          <w:szCs w:val="16"/>
        </w:rPr>
      </w:pPr>
      <w:r w:rsidRPr="00206556">
        <w:rPr>
          <w:rStyle w:val="Refdenotaalpie"/>
          <w:rFonts w:ascii="Verdana" w:hAnsi="Verdana"/>
          <w:sz w:val="16"/>
          <w:szCs w:val="16"/>
        </w:rPr>
        <w:footnoteRef/>
      </w:r>
      <w:r w:rsidRPr="00206556">
        <w:rPr>
          <w:rFonts w:ascii="Verdana" w:hAnsi="Verdana"/>
          <w:sz w:val="16"/>
          <w:szCs w:val="16"/>
        </w:rPr>
        <w:t xml:space="preserve"> </w:t>
      </w:r>
      <w:r w:rsidRPr="00206556">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08CE5530" w14:textId="77777777" w:rsidR="003A1BAC" w:rsidRPr="00206556" w:rsidRDefault="003A1BAC" w:rsidP="003A1BAC">
      <w:pPr>
        <w:pStyle w:val="Textonotapie"/>
        <w:ind w:firstLine="709"/>
        <w:jc w:val="both"/>
        <w:rPr>
          <w:rFonts w:ascii="Verdana" w:hAnsi="Verdana"/>
          <w:sz w:val="16"/>
          <w:szCs w:val="16"/>
          <w:lang w:val="es-ES"/>
        </w:rPr>
      </w:pPr>
    </w:p>
  </w:footnote>
  <w:footnote w:id="5">
    <w:p w14:paraId="6EA6C5C3" w14:textId="77777777" w:rsidR="003A1BAC" w:rsidRPr="00206556" w:rsidRDefault="003A1BAC" w:rsidP="003A1BAC">
      <w:pPr>
        <w:pStyle w:val="Textonotapie"/>
        <w:ind w:firstLine="709"/>
        <w:jc w:val="both"/>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0EFDB3F1" w14:textId="77777777" w:rsidR="003A1BAC" w:rsidRPr="00206556" w:rsidRDefault="003A1BAC" w:rsidP="003A1BAC">
      <w:pPr>
        <w:pStyle w:val="Textonotapie"/>
        <w:ind w:firstLine="709"/>
        <w:jc w:val="both"/>
        <w:rPr>
          <w:rFonts w:ascii="Verdana" w:hAnsi="Verdana"/>
          <w:sz w:val="16"/>
          <w:szCs w:val="16"/>
          <w:lang w:val="es-ES"/>
        </w:rPr>
      </w:pPr>
    </w:p>
  </w:footnote>
  <w:footnote w:id="6">
    <w:p w14:paraId="35ECDFD2" w14:textId="77777777" w:rsidR="003A1BAC" w:rsidRPr="00206556" w:rsidRDefault="003A1BAC" w:rsidP="003A1BAC">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5B5348C3" w14:textId="77777777" w:rsidR="003A1BAC" w:rsidRPr="00206556" w:rsidRDefault="003A1BAC" w:rsidP="003A1BAC">
      <w:pPr>
        <w:pStyle w:val="Textonotapie"/>
        <w:ind w:firstLine="709"/>
        <w:rPr>
          <w:rFonts w:ascii="Verdana" w:hAnsi="Verdana"/>
          <w:sz w:val="16"/>
          <w:szCs w:val="16"/>
          <w:lang w:val="es-ES"/>
        </w:rPr>
      </w:pPr>
    </w:p>
  </w:footnote>
  <w:footnote w:id="7">
    <w:p w14:paraId="251B5A00" w14:textId="77777777" w:rsidR="003A1BAC" w:rsidRPr="00206556" w:rsidRDefault="003A1BAC" w:rsidP="003A1BAC">
      <w:pPr>
        <w:pStyle w:val="Textonotapie"/>
        <w:ind w:firstLine="709"/>
        <w:rPr>
          <w:rFonts w:ascii="Verdana" w:hAnsi="Verdana"/>
          <w:sz w:val="16"/>
          <w:szCs w:val="16"/>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Artículo 2, numeral 1. Diario Oficial 48717.</w:t>
      </w:r>
    </w:p>
    <w:p w14:paraId="255880D4" w14:textId="77777777" w:rsidR="003A1BAC" w:rsidRPr="00206556" w:rsidRDefault="003A1BAC" w:rsidP="003A1BAC">
      <w:pPr>
        <w:pStyle w:val="Textonotapie"/>
        <w:ind w:firstLine="709"/>
        <w:rPr>
          <w:rFonts w:ascii="Verdana" w:hAnsi="Verdana"/>
          <w:sz w:val="16"/>
          <w:szCs w:val="16"/>
          <w:lang w:val="es-ES"/>
        </w:rPr>
      </w:pPr>
    </w:p>
  </w:footnote>
  <w:footnote w:id="8">
    <w:p w14:paraId="4F52FBCA" w14:textId="77777777" w:rsidR="003A1BAC" w:rsidRPr="00206556" w:rsidRDefault="003A1BAC" w:rsidP="003A1BAC">
      <w:pPr>
        <w:pStyle w:val="Textonotapie"/>
        <w:ind w:firstLine="709"/>
        <w:rPr>
          <w:rFonts w:ascii="Verdana" w:hAnsi="Verdana"/>
          <w:sz w:val="16"/>
          <w:szCs w:val="16"/>
          <w:lang w:val="es-ES"/>
        </w:rPr>
      </w:pPr>
      <w:r w:rsidRPr="00206556">
        <w:rPr>
          <w:rStyle w:val="Refdenotaalpie"/>
          <w:rFonts w:ascii="Verdana" w:hAnsi="Verdana"/>
          <w:sz w:val="16"/>
          <w:szCs w:val="16"/>
        </w:rPr>
        <w:footnoteRef/>
      </w:r>
      <w:r w:rsidRPr="00206556">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B5D"/>
    <w:rsid w:val="00013F7E"/>
    <w:rsid w:val="00016F78"/>
    <w:rsid w:val="00023AB2"/>
    <w:rsid w:val="00024CBF"/>
    <w:rsid w:val="00025F1C"/>
    <w:rsid w:val="000260E4"/>
    <w:rsid w:val="000364C3"/>
    <w:rsid w:val="00045DAC"/>
    <w:rsid w:val="00046945"/>
    <w:rsid w:val="00050EF1"/>
    <w:rsid w:val="0005239B"/>
    <w:rsid w:val="00052609"/>
    <w:rsid w:val="00061B2A"/>
    <w:rsid w:val="00063D2B"/>
    <w:rsid w:val="00067652"/>
    <w:rsid w:val="00082362"/>
    <w:rsid w:val="00085EB4"/>
    <w:rsid w:val="000A1EA9"/>
    <w:rsid w:val="000A683E"/>
    <w:rsid w:val="000B19B9"/>
    <w:rsid w:val="000C65B2"/>
    <w:rsid w:val="000D0334"/>
    <w:rsid w:val="000D25AF"/>
    <w:rsid w:val="000D5DA7"/>
    <w:rsid w:val="000E08EE"/>
    <w:rsid w:val="000F6486"/>
    <w:rsid w:val="00116940"/>
    <w:rsid w:val="00117B11"/>
    <w:rsid w:val="00121532"/>
    <w:rsid w:val="001231C7"/>
    <w:rsid w:val="00125105"/>
    <w:rsid w:val="00127233"/>
    <w:rsid w:val="0015699B"/>
    <w:rsid w:val="0018129F"/>
    <w:rsid w:val="001850FD"/>
    <w:rsid w:val="00185759"/>
    <w:rsid w:val="00192DB5"/>
    <w:rsid w:val="00193F0E"/>
    <w:rsid w:val="001A33BF"/>
    <w:rsid w:val="001A744F"/>
    <w:rsid w:val="001B155D"/>
    <w:rsid w:val="001B4B80"/>
    <w:rsid w:val="001B59FC"/>
    <w:rsid w:val="001C1D5F"/>
    <w:rsid w:val="001E4177"/>
    <w:rsid w:val="001F0B24"/>
    <w:rsid w:val="001F5AAA"/>
    <w:rsid w:val="001F7DC6"/>
    <w:rsid w:val="00211B48"/>
    <w:rsid w:val="0021388C"/>
    <w:rsid w:val="0021400E"/>
    <w:rsid w:val="0022400B"/>
    <w:rsid w:val="00225AB2"/>
    <w:rsid w:val="00230952"/>
    <w:rsid w:val="002421BB"/>
    <w:rsid w:val="00252605"/>
    <w:rsid w:val="0025796E"/>
    <w:rsid w:val="00266CED"/>
    <w:rsid w:val="002707A2"/>
    <w:rsid w:val="00280361"/>
    <w:rsid w:val="00285B6F"/>
    <w:rsid w:val="002951A0"/>
    <w:rsid w:val="002962BC"/>
    <w:rsid w:val="00297C1B"/>
    <w:rsid w:val="002A093D"/>
    <w:rsid w:val="002A0DD0"/>
    <w:rsid w:val="002A49AC"/>
    <w:rsid w:val="002A527B"/>
    <w:rsid w:val="002A64FD"/>
    <w:rsid w:val="002A77C8"/>
    <w:rsid w:val="002B49B6"/>
    <w:rsid w:val="002C7A84"/>
    <w:rsid w:val="002D2E28"/>
    <w:rsid w:val="002D4EAE"/>
    <w:rsid w:val="002E2BF8"/>
    <w:rsid w:val="002E4FD9"/>
    <w:rsid w:val="002F308F"/>
    <w:rsid w:val="003044B0"/>
    <w:rsid w:val="0030657A"/>
    <w:rsid w:val="00322A85"/>
    <w:rsid w:val="00324168"/>
    <w:rsid w:val="00330834"/>
    <w:rsid w:val="00333F61"/>
    <w:rsid w:val="0034377F"/>
    <w:rsid w:val="003448F4"/>
    <w:rsid w:val="00345267"/>
    <w:rsid w:val="003706EC"/>
    <w:rsid w:val="00374F5E"/>
    <w:rsid w:val="00377E3E"/>
    <w:rsid w:val="00385F8E"/>
    <w:rsid w:val="0038731B"/>
    <w:rsid w:val="00387F12"/>
    <w:rsid w:val="00390A4F"/>
    <w:rsid w:val="00396D58"/>
    <w:rsid w:val="003A013C"/>
    <w:rsid w:val="003A101E"/>
    <w:rsid w:val="003A1BAC"/>
    <w:rsid w:val="003A452F"/>
    <w:rsid w:val="003A6002"/>
    <w:rsid w:val="003A779E"/>
    <w:rsid w:val="003B1196"/>
    <w:rsid w:val="003C7D4A"/>
    <w:rsid w:val="003D081E"/>
    <w:rsid w:val="003D0F4D"/>
    <w:rsid w:val="003D5B0D"/>
    <w:rsid w:val="003E0499"/>
    <w:rsid w:val="003E0713"/>
    <w:rsid w:val="003E4F80"/>
    <w:rsid w:val="003E6439"/>
    <w:rsid w:val="003F0ED1"/>
    <w:rsid w:val="003F3941"/>
    <w:rsid w:val="00406575"/>
    <w:rsid w:val="00407026"/>
    <w:rsid w:val="00414C74"/>
    <w:rsid w:val="0042119F"/>
    <w:rsid w:val="0042722E"/>
    <w:rsid w:val="004353EE"/>
    <w:rsid w:val="0044528D"/>
    <w:rsid w:val="00461175"/>
    <w:rsid w:val="00466E39"/>
    <w:rsid w:val="004A1847"/>
    <w:rsid w:val="004A305D"/>
    <w:rsid w:val="004A59FF"/>
    <w:rsid w:val="004B5150"/>
    <w:rsid w:val="004D0F57"/>
    <w:rsid w:val="004D352A"/>
    <w:rsid w:val="004F01CA"/>
    <w:rsid w:val="004F21C4"/>
    <w:rsid w:val="004F685F"/>
    <w:rsid w:val="005006C2"/>
    <w:rsid w:val="00507361"/>
    <w:rsid w:val="00512770"/>
    <w:rsid w:val="00521962"/>
    <w:rsid w:val="005318F0"/>
    <w:rsid w:val="00533DBF"/>
    <w:rsid w:val="00542636"/>
    <w:rsid w:val="0054478F"/>
    <w:rsid w:val="00551D5E"/>
    <w:rsid w:val="00554544"/>
    <w:rsid w:val="005566E8"/>
    <w:rsid w:val="00556F32"/>
    <w:rsid w:val="00565519"/>
    <w:rsid w:val="0057033C"/>
    <w:rsid w:val="00574867"/>
    <w:rsid w:val="00574B02"/>
    <w:rsid w:val="00580197"/>
    <w:rsid w:val="005821AE"/>
    <w:rsid w:val="005837FA"/>
    <w:rsid w:val="00591460"/>
    <w:rsid w:val="00594D0B"/>
    <w:rsid w:val="005A65E0"/>
    <w:rsid w:val="005A77D1"/>
    <w:rsid w:val="005B47CA"/>
    <w:rsid w:val="005C1592"/>
    <w:rsid w:val="005C2CED"/>
    <w:rsid w:val="005C3777"/>
    <w:rsid w:val="005C5CDC"/>
    <w:rsid w:val="005D476C"/>
    <w:rsid w:val="005D5628"/>
    <w:rsid w:val="0061269B"/>
    <w:rsid w:val="00615EA1"/>
    <w:rsid w:val="006200BF"/>
    <w:rsid w:val="006219F8"/>
    <w:rsid w:val="006263FB"/>
    <w:rsid w:val="006302F7"/>
    <w:rsid w:val="00646B9F"/>
    <w:rsid w:val="006521CE"/>
    <w:rsid w:val="00652FDF"/>
    <w:rsid w:val="00664EF8"/>
    <w:rsid w:val="0066595E"/>
    <w:rsid w:val="00665D70"/>
    <w:rsid w:val="006726B7"/>
    <w:rsid w:val="00675C80"/>
    <w:rsid w:val="006878AF"/>
    <w:rsid w:val="006900D9"/>
    <w:rsid w:val="00690614"/>
    <w:rsid w:val="006B30F7"/>
    <w:rsid w:val="006C6930"/>
    <w:rsid w:val="006C6C71"/>
    <w:rsid w:val="006D36D3"/>
    <w:rsid w:val="006E217B"/>
    <w:rsid w:val="006E2F67"/>
    <w:rsid w:val="006E70F1"/>
    <w:rsid w:val="00706C16"/>
    <w:rsid w:val="007219AE"/>
    <w:rsid w:val="007340C3"/>
    <w:rsid w:val="0075235A"/>
    <w:rsid w:val="00754D51"/>
    <w:rsid w:val="00756841"/>
    <w:rsid w:val="007649AB"/>
    <w:rsid w:val="00771D0C"/>
    <w:rsid w:val="007833AC"/>
    <w:rsid w:val="0078641B"/>
    <w:rsid w:val="00797209"/>
    <w:rsid w:val="007A456B"/>
    <w:rsid w:val="007B268C"/>
    <w:rsid w:val="007B7171"/>
    <w:rsid w:val="007C0C0F"/>
    <w:rsid w:val="007C20C9"/>
    <w:rsid w:val="007C3DC2"/>
    <w:rsid w:val="007C6A48"/>
    <w:rsid w:val="007D5CE3"/>
    <w:rsid w:val="007E5497"/>
    <w:rsid w:val="00806F5F"/>
    <w:rsid w:val="00820278"/>
    <w:rsid w:val="008258C9"/>
    <w:rsid w:val="00844AE9"/>
    <w:rsid w:val="00846F5A"/>
    <w:rsid w:val="00850EAC"/>
    <w:rsid w:val="008512A0"/>
    <w:rsid w:val="008561D8"/>
    <w:rsid w:val="00867F95"/>
    <w:rsid w:val="008750E9"/>
    <w:rsid w:val="008843B6"/>
    <w:rsid w:val="00891928"/>
    <w:rsid w:val="008A39E9"/>
    <w:rsid w:val="008A446D"/>
    <w:rsid w:val="008B25F1"/>
    <w:rsid w:val="008C002A"/>
    <w:rsid w:val="008C0FC7"/>
    <w:rsid w:val="008C11B1"/>
    <w:rsid w:val="008D180B"/>
    <w:rsid w:val="008D1F58"/>
    <w:rsid w:val="008F0EA7"/>
    <w:rsid w:val="0091544A"/>
    <w:rsid w:val="009157DB"/>
    <w:rsid w:val="00923EEF"/>
    <w:rsid w:val="00931712"/>
    <w:rsid w:val="009419F9"/>
    <w:rsid w:val="00951262"/>
    <w:rsid w:val="0095685E"/>
    <w:rsid w:val="00961B09"/>
    <w:rsid w:val="00965334"/>
    <w:rsid w:val="00966696"/>
    <w:rsid w:val="00966D67"/>
    <w:rsid w:val="0097093E"/>
    <w:rsid w:val="0098798A"/>
    <w:rsid w:val="009A0DFA"/>
    <w:rsid w:val="009A1C6F"/>
    <w:rsid w:val="009A3E8B"/>
    <w:rsid w:val="009B2D26"/>
    <w:rsid w:val="009B55B3"/>
    <w:rsid w:val="009C0D3A"/>
    <w:rsid w:val="009C37A3"/>
    <w:rsid w:val="009C52AE"/>
    <w:rsid w:val="009C71FA"/>
    <w:rsid w:val="009C72E7"/>
    <w:rsid w:val="009C7F7E"/>
    <w:rsid w:val="009D3058"/>
    <w:rsid w:val="009E69FC"/>
    <w:rsid w:val="009F3928"/>
    <w:rsid w:val="009F3A13"/>
    <w:rsid w:val="00A04A89"/>
    <w:rsid w:val="00A122D3"/>
    <w:rsid w:val="00A14468"/>
    <w:rsid w:val="00A17F13"/>
    <w:rsid w:val="00A20739"/>
    <w:rsid w:val="00A23AF9"/>
    <w:rsid w:val="00A24E17"/>
    <w:rsid w:val="00A333C0"/>
    <w:rsid w:val="00A33A16"/>
    <w:rsid w:val="00A33C78"/>
    <w:rsid w:val="00A373F2"/>
    <w:rsid w:val="00A66D26"/>
    <w:rsid w:val="00A80498"/>
    <w:rsid w:val="00A91F13"/>
    <w:rsid w:val="00AB0ADB"/>
    <w:rsid w:val="00AC47A7"/>
    <w:rsid w:val="00AD0122"/>
    <w:rsid w:val="00AD06E8"/>
    <w:rsid w:val="00AD0FD5"/>
    <w:rsid w:val="00AD2196"/>
    <w:rsid w:val="00AE5E5D"/>
    <w:rsid w:val="00B00C0E"/>
    <w:rsid w:val="00B01B1A"/>
    <w:rsid w:val="00B0381D"/>
    <w:rsid w:val="00B4266E"/>
    <w:rsid w:val="00B44073"/>
    <w:rsid w:val="00B44A47"/>
    <w:rsid w:val="00B51B43"/>
    <w:rsid w:val="00B65A1F"/>
    <w:rsid w:val="00B72CD3"/>
    <w:rsid w:val="00B72FFF"/>
    <w:rsid w:val="00B86367"/>
    <w:rsid w:val="00B93BBF"/>
    <w:rsid w:val="00BA0326"/>
    <w:rsid w:val="00BA6022"/>
    <w:rsid w:val="00BA696E"/>
    <w:rsid w:val="00BB5D07"/>
    <w:rsid w:val="00BC3D36"/>
    <w:rsid w:val="00BD1EC9"/>
    <w:rsid w:val="00BD3403"/>
    <w:rsid w:val="00BD54A6"/>
    <w:rsid w:val="00BD5F3F"/>
    <w:rsid w:val="00BD7D24"/>
    <w:rsid w:val="00BD7F72"/>
    <w:rsid w:val="00BF72F8"/>
    <w:rsid w:val="00BF7425"/>
    <w:rsid w:val="00C04FB3"/>
    <w:rsid w:val="00C05134"/>
    <w:rsid w:val="00C11D8B"/>
    <w:rsid w:val="00C137C6"/>
    <w:rsid w:val="00C150A5"/>
    <w:rsid w:val="00C15139"/>
    <w:rsid w:val="00C174D8"/>
    <w:rsid w:val="00C32CE5"/>
    <w:rsid w:val="00C330EB"/>
    <w:rsid w:val="00C50AF9"/>
    <w:rsid w:val="00C50D69"/>
    <w:rsid w:val="00C5365C"/>
    <w:rsid w:val="00C61377"/>
    <w:rsid w:val="00C7242C"/>
    <w:rsid w:val="00C754BE"/>
    <w:rsid w:val="00C76B1C"/>
    <w:rsid w:val="00C925AC"/>
    <w:rsid w:val="00CA4091"/>
    <w:rsid w:val="00CA577A"/>
    <w:rsid w:val="00CB3C75"/>
    <w:rsid w:val="00CB6357"/>
    <w:rsid w:val="00CC1B26"/>
    <w:rsid w:val="00CC4922"/>
    <w:rsid w:val="00CC4AC6"/>
    <w:rsid w:val="00CD2412"/>
    <w:rsid w:val="00CD319B"/>
    <w:rsid w:val="00CE6726"/>
    <w:rsid w:val="00D024F7"/>
    <w:rsid w:val="00D02709"/>
    <w:rsid w:val="00D03071"/>
    <w:rsid w:val="00D12161"/>
    <w:rsid w:val="00D1557A"/>
    <w:rsid w:val="00D21C34"/>
    <w:rsid w:val="00D361FD"/>
    <w:rsid w:val="00D423A2"/>
    <w:rsid w:val="00D43727"/>
    <w:rsid w:val="00D44E26"/>
    <w:rsid w:val="00D45E2C"/>
    <w:rsid w:val="00D520D8"/>
    <w:rsid w:val="00D63AC2"/>
    <w:rsid w:val="00D7383B"/>
    <w:rsid w:val="00D73A23"/>
    <w:rsid w:val="00D773D6"/>
    <w:rsid w:val="00D7788A"/>
    <w:rsid w:val="00D86808"/>
    <w:rsid w:val="00DA16F9"/>
    <w:rsid w:val="00DA231B"/>
    <w:rsid w:val="00DA79A1"/>
    <w:rsid w:val="00DB21F1"/>
    <w:rsid w:val="00DB400B"/>
    <w:rsid w:val="00DC39FC"/>
    <w:rsid w:val="00DC46C7"/>
    <w:rsid w:val="00DE015B"/>
    <w:rsid w:val="00DE0395"/>
    <w:rsid w:val="00DE4257"/>
    <w:rsid w:val="00DF5254"/>
    <w:rsid w:val="00E02524"/>
    <w:rsid w:val="00E10FC2"/>
    <w:rsid w:val="00E12A5D"/>
    <w:rsid w:val="00E16408"/>
    <w:rsid w:val="00E20894"/>
    <w:rsid w:val="00E245AB"/>
    <w:rsid w:val="00E2764C"/>
    <w:rsid w:val="00E27F2E"/>
    <w:rsid w:val="00E3246D"/>
    <w:rsid w:val="00E50AFE"/>
    <w:rsid w:val="00E75C92"/>
    <w:rsid w:val="00E771DC"/>
    <w:rsid w:val="00E86342"/>
    <w:rsid w:val="00E8772A"/>
    <w:rsid w:val="00E90F6B"/>
    <w:rsid w:val="00E92C27"/>
    <w:rsid w:val="00E94B18"/>
    <w:rsid w:val="00E97D99"/>
    <w:rsid w:val="00EA0E3D"/>
    <w:rsid w:val="00EB4D75"/>
    <w:rsid w:val="00EC38A7"/>
    <w:rsid w:val="00EC6B65"/>
    <w:rsid w:val="00ED3EA0"/>
    <w:rsid w:val="00EE154C"/>
    <w:rsid w:val="00EE1AA8"/>
    <w:rsid w:val="00EE5A01"/>
    <w:rsid w:val="00EE6D42"/>
    <w:rsid w:val="00F025BA"/>
    <w:rsid w:val="00F17922"/>
    <w:rsid w:val="00F210E1"/>
    <w:rsid w:val="00F23FEA"/>
    <w:rsid w:val="00F31EDC"/>
    <w:rsid w:val="00F363D7"/>
    <w:rsid w:val="00F36D31"/>
    <w:rsid w:val="00F374CD"/>
    <w:rsid w:val="00F462B3"/>
    <w:rsid w:val="00F5233B"/>
    <w:rsid w:val="00F553EE"/>
    <w:rsid w:val="00F5664F"/>
    <w:rsid w:val="00F57D87"/>
    <w:rsid w:val="00F609A0"/>
    <w:rsid w:val="00F62A55"/>
    <w:rsid w:val="00F666C4"/>
    <w:rsid w:val="00F76AFC"/>
    <w:rsid w:val="00F77C86"/>
    <w:rsid w:val="00F92CB9"/>
    <w:rsid w:val="00F96832"/>
    <w:rsid w:val="00FA1389"/>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1BAC"/>
    <w:pPr>
      <w:spacing w:line="240" w:lineRule="exact"/>
    </w:pPr>
    <w:rPr>
      <w:vertAlign w:val="superscript"/>
    </w:rPr>
  </w:style>
  <w:style w:type="character" w:styleId="Refdecomentario">
    <w:name w:val="annotation reference"/>
    <w:basedOn w:val="Fuentedeprrafopredeter"/>
    <w:uiPriority w:val="99"/>
    <w:semiHidden/>
    <w:unhideWhenUsed/>
    <w:rsid w:val="00DE0395"/>
    <w:rPr>
      <w:sz w:val="16"/>
      <w:szCs w:val="16"/>
    </w:rPr>
  </w:style>
  <w:style w:type="paragraph" w:styleId="Textocomentario">
    <w:name w:val="annotation text"/>
    <w:basedOn w:val="Normal"/>
    <w:link w:val="TextocomentarioCar"/>
    <w:uiPriority w:val="99"/>
    <w:unhideWhenUsed/>
    <w:rsid w:val="00DE0395"/>
    <w:pPr>
      <w:spacing w:line="240" w:lineRule="auto"/>
    </w:pPr>
    <w:rPr>
      <w:sz w:val="20"/>
      <w:szCs w:val="20"/>
    </w:rPr>
  </w:style>
  <w:style w:type="character" w:customStyle="1" w:styleId="TextocomentarioCar">
    <w:name w:val="Texto comentario Car"/>
    <w:basedOn w:val="Fuentedeprrafopredeter"/>
    <w:link w:val="Textocomentario"/>
    <w:uiPriority w:val="99"/>
    <w:rsid w:val="00DE0395"/>
    <w:rPr>
      <w:sz w:val="20"/>
      <w:szCs w:val="20"/>
    </w:rPr>
  </w:style>
  <w:style w:type="paragraph" w:styleId="Asuntodelcomentario">
    <w:name w:val="annotation subject"/>
    <w:basedOn w:val="Textocomentario"/>
    <w:next w:val="Textocomentario"/>
    <w:link w:val="AsuntodelcomentarioCar"/>
    <w:uiPriority w:val="99"/>
    <w:semiHidden/>
    <w:unhideWhenUsed/>
    <w:rsid w:val="00DE0395"/>
    <w:rPr>
      <w:b/>
      <w:bCs/>
    </w:rPr>
  </w:style>
  <w:style w:type="character" w:customStyle="1" w:styleId="AsuntodelcomentarioCar">
    <w:name w:val="Asunto del comentario Car"/>
    <w:basedOn w:val="TextocomentarioCar"/>
    <w:link w:val="Asuntodelcomentario"/>
    <w:uiPriority w:val="99"/>
    <w:semiHidden/>
    <w:rsid w:val="00DE039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imcocsas@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1095D3-8633-448D-B523-C4CE9EEEF666}"/>
</file>

<file path=customXml/itemProps3.xml><?xml version="1.0" encoding="utf-8"?>
<ds:datastoreItem xmlns:ds="http://schemas.openxmlformats.org/officeDocument/2006/customXml" ds:itemID="{DEC21E34-8E75-4D2A-A45C-8AFCADAE3A98}">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352</TotalTime>
  <Pages>21</Pages>
  <Words>6590</Words>
  <Characters>36246</Characters>
  <Application>Microsoft Office Word</Application>
  <DocSecurity>0</DocSecurity>
  <Lines>302</Lines>
  <Paragraphs>85</Paragraphs>
  <ScaleCrop>false</ScaleCrop>
  <Company/>
  <LinksUpToDate>false</LinksUpToDate>
  <CharactersWithSpaces>42751</CharactersWithSpaces>
  <SharedDoc>false</SharedDoc>
  <HLinks>
    <vt:vector size="24" baseType="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8257627</vt:i4>
      </vt:variant>
      <vt:variant>
        <vt:i4>0</vt:i4>
      </vt:variant>
      <vt:variant>
        <vt:i4>0</vt:i4>
      </vt:variant>
      <vt:variant>
        <vt:i4>5</vt:i4>
      </vt:variant>
      <vt:variant>
        <vt:lpwstr>mailto:arturoemartinez@hotmail.com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86</cp:revision>
  <cp:lastPrinted>2023-01-10T21:18:00Z</cp:lastPrinted>
  <dcterms:created xsi:type="dcterms:W3CDTF">2026-05-27T15:50:00Z</dcterms:created>
  <dcterms:modified xsi:type="dcterms:W3CDTF">2026-06-01T15:23:00Z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