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D81FF" w14:textId="77777777" w:rsidR="00015FFB" w:rsidRDefault="00015FFB" w:rsidP="00015FFB">
      <w:pPr>
        <w:spacing w:after="0"/>
        <w:jc w:val="both"/>
        <w:rPr>
          <w:rFonts w:ascii="Verdana" w:hAnsi="Verdana"/>
          <w:b/>
          <w:bCs/>
        </w:rPr>
      </w:pPr>
      <w:bookmarkStart w:id="0" w:name="_Hlk143780582"/>
      <w:r>
        <w:rPr>
          <w:rFonts w:ascii="Verdana" w:hAnsi="Verdana"/>
          <w:b/>
          <w:bCs/>
        </w:rPr>
        <w:t>SELECCIÓN ABREVIADA – Noción – Modalidad de selección –Característica</w:t>
      </w:r>
    </w:p>
    <w:p w14:paraId="3020D726" w14:textId="77777777" w:rsidR="00015FFB" w:rsidRDefault="00015FFB" w:rsidP="00015FFB">
      <w:pPr>
        <w:spacing w:after="0"/>
        <w:jc w:val="both"/>
        <w:rPr>
          <w:rFonts w:ascii="Verdana" w:hAnsi="Verdana"/>
          <w:b/>
          <w:bCs/>
        </w:rPr>
      </w:pPr>
    </w:p>
    <w:p w14:paraId="76EA9987" w14:textId="77777777" w:rsidR="00015FFB" w:rsidRDefault="00015FFB" w:rsidP="00015FFB">
      <w:pPr>
        <w:spacing w:after="0"/>
        <w:jc w:val="both"/>
        <w:rPr>
          <w:rFonts w:ascii="Verdana" w:hAnsi="Verdana"/>
          <w:sz w:val="20"/>
          <w:szCs w:val="20"/>
        </w:rPr>
      </w:pPr>
      <w:r>
        <w:rPr>
          <w:rFonts w:ascii="Verdana" w:hAnsi="Verdana"/>
          <w:sz w:val="20"/>
          <w:szCs w:val="20"/>
        </w:rPr>
        <w:t xml:space="preserve">[…] </w:t>
      </w:r>
      <w:r w:rsidRPr="009E2C95">
        <w:rPr>
          <w:rFonts w:ascii="Verdana" w:hAnsi="Verdana"/>
          <w:sz w:val="20"/>
          <w:szCs w:val="20"/>
        </w:rPr>
        <w:t>el numeral 2 del artículo 2 de la Ley 1150 de 2007 dispone respecto de la selección abreviada, que esta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Pr>
          <w:rFonts w:ascii="Verdana" w:hAnsi="Verdana"/>
          <w:sz w:val="20"/>
          <w:szCs w:val="20"/>
        </w:rPr>
        <w:t>.</w:t>
      </w:r>
    </w:p>
    <w:p w14:paraId="2110D03F" w14:textId="77777777" w:rsidR="00015FFB" w:rsidRDefault="00015FFB" w:rsidP="00015FFB">
      <w:pPr>
        <w:spacing w:after="0"/>
        <w:jc w:val="both"/>
        <w:rPr>
          <w:rFonts w:ascii="Verdana" w:hAnsi="Verdana"/>
          <w:sz w:val="20"/>
          <w:szCs w:val="20"/>
        </w:rPr>
      </w:pPr>
      <w:r>
        <w:rPr>
          <w:rFonts w:ascii="Verdana" w:hAnsi="Verdana"/>
          <w:sz w:val="20"/>
          <w:szCs w:val="20"/>
        </w:rPr>
        <w:t xml:space="preserve">[…] </w:t>
      </w:r>
    </w:p>
    <w:p w14:paraId="1D11D2A3" w14:textId="77777777" w:rsidR="00015FFB" w:rsidRPr="009E2C95" w:rsidRDefault="00015FFB" w:rsidP="00015FFB">
      <w:pPr>
        <w:spacing w:after="0"/>
        <w:jc w:val="both"/>
        <w:rPr>
          <w:rFonts w:ascii="Verdana" w:hAnsi="Verdana"/>
          <w:sz w:val="20"/>
          <w:szCs w:val="20"/>
        </w:rPr>
      </w:pPr>
      <w:r w:rsidRPr="009E2C95">
        <w:rPr>
          <w:rFonts w:ascii="Verdana" w:hAnsi="Verdana"/>
          <w:sz w:val="20"/>
          <w:szCs w:val="20"/>
        </w:rPr>
        <w:t>Esta modalidad de selección, se caracteriza por tener etapas un poco sencillas y términos relativamente más cortos que los de la licitación pública, lo cual se justifica por las circunstancias, la naturaleza y los objetos que se contratan a través de esta.</w:t>
      </w:r>
    </w:p>
    <w:p w14:paraId="4FCA7135" w14:textId="77777777" w:rsidR="00015FFB" w:rsidRDefault="00015FFB" w:rsidP="00015FFB">
      <w:pPr>
        <w:spacing w:after="0" w:line="240" w:lineRule="auto"/>
        <w:jc w:val="both"/>
        <w:rPr>
          <w:rFonts w:ascii="Verdana" w:eastAsia="Calibri" w:hAnsi="Verdana" w:cs="Arial"/>
          <w:b/>
          <w:highlight w:val="yellow"/>
          <w:lang w:val="es-MX" w:eastAsia="es-ES_tradnl"/>
        </w:rPr>
      </w:pPr>
    </w:p>
    <w:p w14:paraId="2465EEB9" w14:textId="77777777" w:rsidR="00015FFB" w:rsidRPr="00672FCF" w:rsidRDefault="00015FFB" w:rsidP="00015FFB">
      <w:pPr>
        <w:spacing w:after="0" w:line="240" w:lineRule="auto"/>
        <w:jc w:val="both"/>
        <w:rPr>
          <w:rFonts w:ascii="Verdana" w:eastAsia="Calibri" w:hAnsi="Verdana" w:cs="Arial"/>
          <w:b/>
          <w:color w:val="000000" w:themeColor="text1"/>
          <w:lang w:val="es-ES_tradnl"/>
        </w:rPr>
      </w:pPr>
      <w:bookmarkStart w:id="1" w:name="_Hlk109118876"/>
      <w:r w:rsidRPr="00672FCF">
        <w:rPr>
          <w:rFonts w:ascii="Verdana" w:eastAsia="Calibri" w:hAnsi="Verdana" w:cs="Arial"/>
          <w:b/>
          <w:color w:val="000000" w:themeColor="text1"/>
          <w:lang w:val="es-ES_tradnl"/>
        </w:rPr>
        <w:t xml:space="preserve">SELECCIÓN OBJETIVA – Oferta más favorable </w:t>
      </w:r>
      <w:bookmarkEnd w:id="1"/>
      <w:r w:rsidRPr="00672FCF">
        <w:rPr>
          <w:rFonts w:ascii="Verdana" w:eastAsia="Calibri" w:hAnsi="Verdana" w:cs="Arial"/>
          <w:b/>
          <w:color w:val="000000" w:themeColor="text1"/>
          <w:lang w:val="es-ES_tradnl"/>
        </w:rPr>
        <w:t xml:space="preserve">– </w:t>
      </w:r>
      <w:r w:rsidRPr="00672FCF">
        <w:rPr>
          <w:rFonts w:ascii="Verdana" w:eastAsia="Aptos" w:hAnsi="Verdana" w:cs="Times New Roman"/>
          <w:b/>
          <w:bCs/>
        </w:rPr>
        <w:t xml:space="preserve">Mecanismos de ponderación </w:t>
      </w:r>
    </w:p>
    <w:p w14:paraId="7583FB55" w14:textId="77777777" w:rsidR="00015FFB" w:rsidRDefault="00015FFB" w:rsidP="00015FFB">
      <w:pPr>
        <w:spacing w:after="0" w:line="240" w:lineRule="auto"/>
        <w:rPr>
          <w:rFonts w:ascii="Verdana" w:eastAsia="Aptos" w:hAnsi="Verdana" w:cs="Times New Roman"/>
          <w:sz w:val="20"/>
          <w:szCs w:val="20"/>
        </w:rPr>
      </w:pPr>
    </w:p>
    <w:p w14:paraId="634DDAB2" w14:textId="77777777" w:rsidR="00015FFB" w:rsidRDefault="00015FFB" w:rsidP="00015FFB">
      <w:pPr>
        <w:spacing w:after="0" w:line="240" w:lineRule="auto"/>
        <w:jc w:val="both"/>
        <w:rPr>
          <w:rFonts w:ascii="Verdana" w:eastAsia="Aptos" w:hAnsi="Verdana" w:cs="Times New Roman"/>
          <w:sz w:val="20"/>
          <w:szCs w:val="20"/>
        </w:rPr>
      </w:pPr>
      <w:r>
        <w:rPr>
          <w:rFonts w:ascii="Verdana" w:eastAsia="Aptos" w:hAnsi="Verdana" w:cs="Times New Roman"/>
          <w:sz w:val="20"/>
          <w:szCs w:val="20"/>
        </w:rPr>
        <w:t xml:space="preserve">[…] </w:t>
      </w:r>
      <w:r w:rsidRPr="002E20B4">
        <w:rPr>
          <w:rFonts w:ascii="Verdana" w:eastAsia="Aptos" w:hAnsi="Verdana" w:cs="Times New Roman"/>
          <w:sz w:val="20"/>
          <w:szCs w:val="20"/>
        </w:rPr>
        <w:t>es necesario destacar que las reglas para establecer la oferta más favorable conforme al artículo 5 de la Ley 1150 de 2007, se encuentran reglamentadas en el artículo 2.2.1.1.2.2.2 del Decreto 1082 de 2015, modificado por el Decreto 142 de 2023. Este artículo desarrolla los mecanismos de ponderación previstos en los literales a) y b) del numeral 2 del artículo 5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ii) las condiciones técnicas adicionales que representan ventajas de calidad o de funcionamiento; iii) las condiciones económicas adicionales que representen ventajas en términos de economía, eficiencia y eficacia; y iv) el valor en dinero que la Entidad Estatal asigna a cada ofrecimiento técnico o económico adicional. Teniendo en cuenta estos elementos, la entidad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14:paraId="3CCBD161" w14:textId="77777777" w:rsidR="00015FFB" w:rsidRDefault="00015FFB" w:rsidP="00015FFB">
      <w:pPr>
        <w:spacing w:after="0" w:line="240" w:lineRule="auto"/>
        <w:rPr>
          <w:rFonts w:ascii="Verdana" w:eastAsia="Aptos" w:hAnsi="Verdana" w:cs="Times New Roman"/>
          <w:sz w:val="20"/>
          <w:szCs w:val="20"/>
        </w:rPr>
      </w:pPr>
    </w:p>
    <w:p w14:paraId="722C5399" w14:textId="77777777" w:rsidR="00015FFB" w:rsidRDefault="00015FFB" w:rsidP="00015FFB">
      <w:pPr>
        <w:spacing w:after="0" w:line="240" w:lineRule="auto"/>
        <w:rPr>
          <w:rFonts w:ascii="Verdana" w:eastAsia="Aptos" w:hAnsi="Verdana" w:cs="Times New Roman"/>
          <w:sz w:val="20"/>
          <w:szCs w:val="20"/>
        </w:rPr>
      </w:pPr>
    </w:p>
    <w:p w14:paraId="298FFADC" w14:textId="77777777" w:rsidR="00015FFB" w:rsidRDefault="00015FFB" w:rsidP="00015FFB">
      <w:pPr>
        <w:spacing w:after="0" w:line="240" w:lineRule="auto"/>
        <w:rPr>
          <w:rFonts w:ascii="Verdana" w:eastAsia="Aptos" w:hAnsi="Verdana" w:cs="Times New Roman"/>
          <w:sz w:val="20"/>
          <w:szCs w:val="20"/>
        </w:rPr>
      </w:pPr>
    </w:p>
    <w:p w14:paraId="1397A184" w14:textId="77777777" w:rsidR="00015FFB" w:rsidRDefault="00015FFB" w:rsidP="00015FFB">
      <w:pPr>
        <w:spacing w:after="0" w:line="240" w:lineRule="auto"/>
        <w:rPr>
          <w:rFonts w:ascii="Verdana" w:eastAsia="Aptos" w:hAnsi="Verdana" w:cs="Times New Roman"/>
          <w:sz w:val="20"/>
          <w:szCs w:val="20"/>
        </w:rPr>
      </w:pPr>
    </w:p>
    <w:p w14:paraId="3B1C0564" w14:textId="77777777" w:rsidR="00015FFB" w:rsidRDefault="00015FFB" w:rsidP="00015FFB">
      <w:pPr>
        <w:spacing w:after="0" w:line="240" w:lineRule="auto"/>
        <w:rPr>
          <w:rFonts w:ascii="Verdana" w:eastAsia="Aptos" w:hAnsi="Verdana" w:cs="Times New Roman"/>
          <w:sz w:val="20"/>
          <w:szCs w:val="20"/>
        </w:rPr>
      </w:pPr>
    </w:p>
    <w:p w14:paraId="3D07AF43" w14:textId="77777777" w:rsidR="00015FFB" w:rsidRDefault="00015FFB" w:rsidP="00015FFB">
      <w:pPr>
        <w:spacing w:after="0" w:line="240" w:lineRule="auto"/>
        <w:rPr>
          <w:rFonts w:ascii="Verdana" w:eastAsia="Aptos" w:hAnsi="Verdana" w:cs="Times New Roman"/>
          <w:sz w:val="20"/>
          <w:szCs w:val="20"/>
        </w:rPr>
      </w:pPr>
    </w:p>
    <w:p w14:paraId="6ADB6053" w14:textId="77777777" w:rsidR="00015FFB" w:rsidRDefault="00015FFB" w:rsidP="00015FFB">
      <w:pPr>
        <w:spacing w:after="0" w:line="240" w:lineRule="auto"/>
        <w:rPr>
          <w:rFonts w:ascii="Verdana" w:eastAsia="Aptos" w:hAnsi="Verdana" w:cs="Times New Roman"/>
          <w:sz w:val="20"/>
          <w:szCs w:val="20"/>
        </w:rPr>
      </w:pPr>
    </w:p>
    <w:p w14:paraId="7D0B38D3" w14:textId="77777777" w:rsidR="00015FFB" w:rsidRDefault="00015FFB" w:rsidP="00015FFB">
      <w:pPr>
        <w:spacing w:after="0" w:line="240" w:lineRule="auto"/>
        <w:rPr>
          <w:rFonts w:ascii="Verdana" w:eastAsia="Aptos" w:hAnsi="Verdana" w:cs="Times New Roman"/>
          <w:sz w:val="20"/>
          <w:szCs w:val="20"/>
        </w:rPr>
      </w:pPr>
    </w:p>
    <w:p w14:paraId="328FED6A" w14:textId="77777777" w:rsidR="00015FFB" w:rsidRDefault="00015FFB" w:rsidP="00015FFB">
      <w:pPr>
        <w:spacing w:after="0" w:line="240" w:lineRule="auto"/>
        <w:rPr>
          <w:rFonts w:ascii="Verdana" w:eastAsia="Aptos" w:hAnsi="Verdana" w:cs="Times New Roman"/>
          <w:sz w:val="20"/>
          <w:szCs w:val="20"/>
        </w:rPr>
      </w:pPr>
    </w:p>
    <w:p w14:paraId="5693D199" w14:textId="77777777" w:rsidR="00015FFB" w:rsidRDefault="00015FFB" w:rsidP="00015FFB">
      <w:pPr>
        <w:spacing w:after="0" w:line="240" w:lineRule="auto"/>
        <w:rPr>
          <w:rFonts w:ascii="Verdana" w:eastAsia="Aptos" w:hAnsi="Verdana" w:cs="Times New Roman"/>
          <w:sz w:val="20"/>
          <w:szCs w:val="20"/>
        </w:rPr>
      </w:pPr>
    </w:p>
    <w:p w14:paraId="7FDCCF77" w14:textId="599E729E" w:rsidR="00015FFB" w:rsidRPr="0019499E" w:rsidRDefault="00015FFB" w:rsidP="00015FFB">
      <w:pPr>
        <w:spacing w:after="0" w:line="240" w:lineRule="auto"/>
        <w:jc w:val="both"/>
        <w:rPr>
          <w:rFonts w:ascii="Verdana" w:eastAsia="Calibri" w:hAnsi="Verdana" w:cs="Arial"/>
          <w:lang w:val="es-ES"/>
        </w:rPr>
      </w:pPr>
      <w:r w:rsidRPr="0019499E">
        <w:rPr>
          <w:rFonts w:ascii="Verdana" w:eastAsia="Geomanist Light" w:hAnsi="Verdana" w:cs="Arial"/>
          <w:lang w:val="es-MX"/>
        </w:rPr>
        <w:lastRenderedPageBreak/>
        <w:t>Bogotá D.C., </w:t>
      </w:r>
      <w:r w:rsidR="00C53789">
        <w:rPr>
          <w:rFonts w:ascii="Verdana" w:eastAsia="Geomanist Light" w:hAnsi="Verdana" w:cs="Arial"/>
          <w:lang w:val="es-MX"/>
        </w:rPr>
        <w:t>11 de junio de 2026</w:t>
      </w:r>
    </w:p>
    <w:p w14:paraId="55101638" w14:textId="77777777" w:rsidR="00015FFB" w:rsidRPr="0019499E" w:rsidRDefault="00015FFB" w:rsidP="00015FFB">
      <w:pPr>
        <w:spacing w:after="0" w:line="240" w:lineRule="auto"/>
        <w:jc w:val="both"/>
        <w:rPr>
          <w:rFonts w:ascii="Verdana" w:eastAsia="Calibri" w:hAnsi="Verdana" w:cs="Arial"/>
          <w:lang w:val="es-ES"/>
        </w:rPr>
      </w:pPr>
    </w:p>
    <w:p w14:paraId="65314446" w14:textId="30453B4B" w:rsidR="00015FFB" w:rsidRPr="0019499E" w:rsidRDefault="008C0C53" w:rsidP="00015FFB">
      <w:pPr>
        <w:spacing w:after="0" w:line="240" w:lineRule="auto"/>
        <w:jc w:val="right"/>
        <w:rPr>
          <w:rFonts w:ascii="Verdana" w:eastAsia="Calibri" w:hAnsi="Verdana" w:cs="Arial"/>
          <w:lang w:val="es-ES"/>
        </w:rPr>
      </w:pPr>
      <w:r w:rsidRPr="008C0C53">
        <w:rPr>
          <w:rFonts w:ascii="Verdana" w:eastAsia="Calibri" w:hAnsi="Verdana" w:cs="Arial"/>
          <w:lang w:val="es-ES"/>
        </w:rPr>
        <w:drawing>
          <wp:inline distT="0" distB="0" distL="0" distR="0" wp14:anchorId="6B006BEF" wp14:editId="0A3998CD">
            <wp:extent cx="1724266" cy="514422"/>
            <wp:effectExtent l="0" t="0" r="9525" b="0"/>
            <wp:docPr id="140289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8967" name=""/>
                    <pic:cNvPicPr/>
                  </pic:nvPicPr>
                  <pic:blipFill>
                    <a:blip r:embed="rId10"/>
                    <a:stretch>
                      <a:fillRect/>
                    </a:stretch>
                  </pic:blipFill>
                  <pic:spPr>
                    <a:xfrm>
                      <a:off x="0" y="0"/>
                      <a:ext cx="1724266" cy="514422"/>
                    </a:xfrm>
                    <a:prstGeom prst="rect">
                      <a:avLst/>
                    </a:prstGeom>
                  </pic:spPr>
                </pic:pic>
              </a:graphicData>
            </a:graphic>
          </wp:inline>
        </w:drawing>
      </w:r>
    </w:p>
    <w:p w14:paraId="2E151AC8" w14:textId="77777777" w:rsidR="00015FFB" w:rsidRPr="0019499E" w:rsidRDefault="00015FFB" w:rsidP="00015FFB">
      <w:pPr>
        <w:spacing w:after="0" w:line="240" w:lineRule="auto"/>
        <w:jc w:val="both"/>
        <w:rPr>
          <w:rFonts w:ascii="Verdana" w:eastAsia="Calibri" w:hAnsi="Verdana" w:cs="Arial"/>
          <w:lang w:val="es-ES" w:eastAsia="es-ES"/>
        </w:rPr>
      </w:pPr>
      <w:r w:rsidRPr="0019499E">
        <w:rPr>
          <w:rFonts w:ascii="Verdana" w:eastAsia="Calibri" w:hAnsi="Verdana" w:cs="Arial"/>
          <w:lang w:val="es-ES" w:eastAsia="es-ES"/>
        </w:rPr>
        <w:t>Señor</w:t>
      </w:r>
    </w:p>
    <w:p w14:paraId="7AB12CF7" w14:textId="77777777" w:rsidR="00015FFB" w:rsidRPr="006D09E4" w:rsidRDefault="00015FFB" w:rsidP="00015FFB">
      <w:pPr>
        <w:spacing w:after="0" w:line="240" w:lineRule="auto"/>
        <w:rPr>
          <w:rFonts w:ascii="Verdana" w:eastAsia="Calibri" w:hAnsi="Verdana" w:cs="Arial"/>
          <w:b/>
          <w:lang w:val="es-ES" w:eastAsia="es-ES"/>
        </w:rPr>
      </w:pPr>
      <w:r w:rsidRPr="006D09E4">
        <w:rPr>
          <w:rFonts w:ascii="Verdana" w:eastAsia="Calibri" w:hAnsi="Verdana" w:cs="Arial"/>
          <w:b/>
          <w:lang w:val="es-ES" w:eastAsia="es-ES"/>
        </w:rPr>
        <w:t>Jadiel Fuentes</w:t>
      </w:r>
    </w:p>
    <w:p w14:paraId="7A16F66A" w14:textId="77777777" w:rsidR="00015FFB" w:rsidRPr="006D09E4" w:rsidRDefault="00015FFB" w:rsidP="00015FFB">
      <w:pPr>
        <w:spacing w:after="0" w:line="240" w:lineRule="auto"/>
        <w:rPr>
          <w:rFonts w:ascii="Verdana" w:hAnsi="Verdana"/>
        </w:rPr>
      </w:pPr>
      <w:hyperlink r:id="rId11" w:history="1">
        <w:r w:rsidRPr="006D09E4">
          <w:rPr>
            <w:rStyle w:val="Hipervnculo"/>
            <w:rFonts w:ascii="Verdana" w:hAnsi="Verdana"/>
          </w:rPr>
          <w:t>jadelfuentes@gmail.com</w:t>
        </w:r>
      </w:hyperlink>
      <w:r w:rsidRPr="006D09E4">
        <w:rPr>
          <w:rFonts w:ascii="Verdana" w:hAnsi="Verdana"/>
        </w:rPr>
        <w:t xml:space="preserve">  </w:t>
      </w:r>
    </w:p>
    <w:p w14:paraId="5DF835EB" w14:textId="77777777" w:rsidR="00015FFB" w:rsidRPr="0019499E" w:rsidRDefault="00015FFB" w:rsidP="00015FFB">
      <w:pPr>
        <w:spacing w:after="0" w:line="240" w:lineRule="auto"/>
        <w:rPr>
          <w:rFonts w:ascii="Verdana" w:eastAsia="Calibri" w:hAnsi="Verdana" w:cs="Arial"/>
          <w:b/>
          <w:bCs/>
          <w:lang w:val="es-ES" w:eastAsia="es-ES"/>
        </w:rPr>
      </w:pPr>
      <w:r>
        <w:rPr>
          <w:rFonts w:ascii="Verdana" w:eastAsia="Calibri" w:hAnsi="Verdana" w:cs="Arial"/>
          <w:lang w:val="es-ES" w:eastAsia="es-ES"/>
        </w:rPr>
        <w:t>Altos del Rosario, Bolívar</w:t>
      </w:r>
    </w:p>
    <w:p w14:paraId="16396A7D" w14:textId="77777777" w:rsidR="00015FFB" w:rsidRPr="0019499E" w:rsidRDefault="00015FFB" w:rsidP="00015FFB">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15FFB" w:rsidRPr="0019499E" w14:paraId="2A84BA57" w14:textId="77777777" w:rsidTr="00953EAD">
        <w:trPr>
          <w:trHeight w:val="308"/>
        </w:trPr>
        <w:tc>
          <w:tcPr>
            <w:tcW w:w="2689" w:type="dxa"/>
          </w:tcPr>
          <w:p w14:paraId="33B70963" w14:textId="77777777" w:rsidR="00015FFB" w:rsidRPr="0019499E" w:rsidRDefault="00015FFB" w:rsidP="00953EAD">
            <w:pPr>
              <w:jc w:val="both"/>
              <w:rPr>
                <w:rFonts w:ascii="Verdana" w:eastAsia="Calibri" w:hAnsi="Verdana" w:cs="Arial"/>
                <w:b/>
                <w:bCs/>
                <w:lang w:val="es-ES_tradnl" w:eastAsia="es-ES_tradnl"/>
              </w:rPr>
            </w:pPr>
          </w:p>
        </w:tc>
        <w:tc>
          <w:tcPr>
            <w:tcW w:w="6100" w:type="dxa"/>
          </w:tcPr>
          <w:p w14:paraId="0FEFFBDA" w14:textId="77777777" w:rsidR="00015FFB" w:rsidRPr="002368BE" w:rsidRDefault="00015FFB" w:rsidP="00953EAD">
            <w:pPr>
              <w:jc w:val="both"/>
              <w:rPr>
                <w:rFonts w:ascii="Verdana" w:eastAsia="Calibri" w:hAnsi="Verdana" w:cs="Arial"/>
                <w:b/>
                <w:bCs/>
                <w:lang w:val="es-ES" w:eastAsia="es-ES"/>
              </w:rPr>
            </w:pPr>
            <w:r w:rsidRPr="002368BE">
              <w:rPr>
                <w:rFonts w:ascii="Verdana" w:eastAsia="Calibri" w:hAnsi="Verdana" w:cs="Arial"/>
                <w:b/>
                <w:bCs/>
                <w:lang w:val="es-ES" w:eastAsia="es-ES"/>
              </w:rPr>
              <w:t>Concepto C-</w:t>
            </w:r>
            <w:r>
              <w:rPr>
                <w:rFonts w:ascii="Verdana" w:eastAsia="Calibri" w:hAnsi="Verdana" w:cs="Arial"/>
                <w:b/>
                <w:bCs/>
                <w:lang w:val="es-ES" w:eastAsia="es-ES"/>
              </w:rPr>
              <w:t>739</w:t>
            </w:r>
            <w:r w:rsidRPr="002368BE">
              <w:rPr>
                <w:rFonts w:ascii="Verdana" w:eastAsia="Calibri" w:hAnsi="Verdana" w:cs="Arial"/>
                <w:b/>
                <w:bCs/>
                <w:lang w:val="es-ES" w:eastAsia="es-ES"/>
              </w:rPr>
              <w:t xml:space="preserve"> de 2026</w:t>
            </w:r>
          </w:p>
          <w:p w14:paraId="049D885B" w14:textId="77777777" w:rsidR="00015FFB" w:rsidRPr="002368BE" w:rsidRDefault="00015FFB" w:rsidP="00953EAD">
            <w:pPr>
              <w:jc w:val="both"/>
              <w:rPr>
                <w:rFonts w:ascii="Verdana" w:eastAsia="Calibri" w:hAnsi="Verdana" w:cs="Arial"/>
                <w:b/>
                <w:bCs/>
                <w:lang w:val="es-ES" w:eastAsia="es-ES"/>
              </w:rPr>
            </w:pPr>
          </w:p>
        </w:tc>
      </w:tr>
      <w:tr w:rsidR="00015FFB" w:rsidRPr="0019499E" w14:paraId="1DD970EC" w14:textId="77777777" w:rsidTr="00953EAD">
        <w:trPr>
          <w:trHeight w:val="884"/>
        </w:trPr>
        <w:tc>
          <w:tcPr>
            <w:tcW w:w="2689" w:type="dxa"/>
          </w:tcPr>
          <w:p w14:paraId="40ED66AF" w14:textId="77777777" w:rsidR="00015FFB" w:rsidRPr="00D936DA" w:rsidRDefault="00015FFB" w:rsidP="00953EAD">
            <w:pPr>
              <w:jc w:val="both"/>
              <w:rPr>
                <w:rFonts w:ascii="Verdana" w:eastAsia="Calibri" w:hAnsi="Verdana" w:cs="Arial"/>
                <w:lang w:val="es-ES_tradnl" w:eastAsia="es-ES_tradnl"/>
              </w:rPr>
            </w:pPr>
            <w:r w:rsidRPr="00D936DA">
              <w:rPr>
                <w:rFonts w:ascii="Verdana" w:eastAsia="Calibri" w:hAnsi="Verdana" w:cs="Arial"/>
                <w:b/>
                <w:lang w:val="es-ES_tradnl" w:eastAsia="es-ES_tradnl"/>
              </w:rPr>
              <w:t>Temas:</w:t>
            </w:r>
            <w:r w:rsidRPr="00D936DA">
              <w:rPr>
                <w:rFonts w:ascii="Verdana" w:eastAsia="Calibri" w:hAnsi="Verdana" w:cs="Arial"/>
                <w:lang w:val="es-ES_tradnl" w:eastAsia="es-ES_tradnl"/>
              </w:rPr>
              <w:t xml:space="preserve">                   </w:t>
            </w:r>
          </w:p>
        </w:tc>
        <w:tc>
          <w:tcPr>
            <w:tcW w:w="6100" w:type="dxa"/>
          </w:tcPr>
          <w:p w14:paraId="6E892190" w14:textId="77777777" w:rsidR="00015FFB" w:rsidRPr="002368BE" w:rsidRDefault="00015FFB" w:rsidP="00953EAD">
            <w:pPr>
              <w:spacing w:line="276" w:lineRule="auto"/>
              <w:jc w:val="both"/>
              <w:rPr>
                <w:rFonts w:ascii="Verdana" w:eastAsia="Calibri" w:hAnsi="Verdana" w:cs="Arial"/>
                <w:lang w:val="es-ES" w:eastAsia="es-ES"/>
              </w:rPr>
            </w:pPr>
            <w:r w:rsidRPr="00D370A1">
              <w:rPr>
                <w:rFonts w:ascii="Verdana" w:eastAsia="Calibri" w:hAnsi="Verdana" w:cs="Arial"/>
                <w:lang w:val="es-ES" w:eastAsia="es-ES"/>
              </w:rPr>
              <w:t>SELECCIÓN OBJETIVA – Oferta más favorable – Mecanismos de pond</w:t>
            </w:r>
            <w:r w:rsidRPr="00A368E0">
              <w:rPr>
                <w:rFonts w:ascii="Verdana" w:eastAsia="Calibri" w:hAnsi="Verdana" w:cs="Arial"/>
                <w:lang w:val="es-ES" w:eastAsia="es-ES"/>
              </w:rPr>
              <w:t>eración /</w:t>
            </w:r>
            <w:r w:rsidRPr="00A368E0">
              <w:t xml:space="preserve"> </w:t>
            </w:r>
            <w:r w:rsidRPr="00A368E0">
              <w:rPr>
                <w:rFonts w:ascii="Verdana" w:eastAsia="Calibri" w:hAnsi="Verdana" w:cs="Arial"/>
                <w:lang w:val="es-ES" w:eastAsia="es-ES"/>
              </w:rPr>
              <w:t>SELECCIÓN ABREVIADA – Noción – Modalidad de selección –Característica</w:t>
            </w:r>
          </w:p>
        </w:tc>
      </w:tr>
    </w:tbl>
    <w:p w14:paraId="39CDDEE2" w14:textId="77777777" w:rsidR="00015FFB" w:rsidRPr="0019499E" w:rsidRDefault="00015FFB" w:rsidP="00015FFB">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15FFB" w:rsidRPr="0019499E" w14:paraId="17B241F4" w14:textId="77777777" w:rsidTr="00953EAD">
        <w:tc>
          <w:tcPr>
            <w:tcW w:w="2689" w:type="dxa"/>
          </w:tcPr>
          <w:p w14:paraId="29EC5314" w14:textId="77777777" w:rsidR="00015FFB" w:rsidRPr="0019499E" w:rsidRDefault="00015FFB" w:rsidP="00953EAD">
            <w:pPr>
              <w:jc w:val="both"/>
              <w:rPr>
                <w:rFonts w:ascii="Verdana" w:eastAsia="Calibri" w:hAnsi="Verdana" w:cs="Arial"/>
                <w:b/>
                <w:lang w:val="es-ES_tradnl" w:eastAsia="es-ES_tradnl"/>
              </w:rPr>
            </w:pPr>
            <w:r w:rsidRPr="0019499E">
              <w:rPr>
                <w:rFonts w:ascii="Verdana" w:eastAsia="Calibri" w:hAnsi="Verdana" w:cs="Arial"/>
                <w:b/>
                <w:lang w:val="es-ES_tradnl" w:eastAsia="es-ES_tradnl"/>
              </w:rPr>
              <w:t>Radicación:</w:t>
            </w:r>
            <w:r w:rsidRPr="0019499E">
              <w:rPr>
                <w:rFonts w:ascii="Verdana" w:eastAsia="Calibri" w:hAnsi="Verdana" w:cs="Arial"/>
                <w:lang w:val="es-ES_tradnl" w:eastAsia="es-ES_tradnl"/>
              </w:rPr>
              <w:t xml:space="preserve">               </w:t>
            </w:r>
          </w:p>
        </w:tc>
        <w:tc>
          <w:tcPr>
            <w:tcW w:w="6100" w:type="dxa"/>
          </w:tcPr>
          <w:p w14:paraId="6A3BEAF9" w14:textId="77777777" w:rsidR="00015FFB" w:rsidRPr="0019499E" w:rsidRDefault="00015FFB" w:rsidP="00953EAD">
            <w:pPr>
              <w:jc w:val="both"/>
              <w:rPr>
                <w:rFonts w:ascii="Verdana" w:eastAsia="Calibri" w:hAnsi="Verdana" w:cs="Arial"/>
                <w:lang w:val="es-ES_tradnl" w:eastAsia="es-ES_tradnl"/>
              </w:rPr>
            </w:pPr>
            <w:r w:rsidRPr="0019499E">
              <w:rPr>
                <w:rFonts w:ascii="Verdana" w:eastAsia="Calibri" w:hAnsi="Verdana" w:cs="Arial"/>
                <w:lang w:val="es-ES_tradnl" w:eastAsia="es-ES_tradnl"/>
              </w:rPr>
              <w:t xml:space="preserve">Respuesta a consulta con radicado No. </w:t>
            </w:r>
            <w:r w:rsidRPr="006D09E4">
              <w:rPr>
                <w:rFonts w:ascii="Verdana" w:eastAsia="Calibri" w:hAnsi="Verdana" w:cs="Arial"/>
                <w:lang w:val="es-ES_tradnl" w:eastAsia="es-ES_tradnl"/>
              </w:rPr>
              <w:t>1_2026_05_03_005964</w:t>
            </w:r>
          </w:p>
        </w:tc>
      </w:tr>
    </w:tbl>
    <w:p w14:paraId="2C98EBE8" w14:textId="77777777" w:rsidR="00015FFB" w:rsidRPr="0019499E" w:rsidRDefault="00015FFB" w:rsidP="00015FFB">
      <w:pPr>
        <w:spacing w:after="0" w:line="240" w:lineRule="auto"/>
        <w:jc w:val="both"/>
        <w:rPr>
          <w:rFonts w:ascii="Verdana" w:eastAsia="Calibri" w:hAnsi="Verdana" w:cs="Arial"/>
          <w:lang w:val="es-ES_tradnl" w:eastAsia="es-ES_tradnl"/>
        </w:rPr>
      </w:pPr>
    </w:p>
    <w:p w14:paraId="019EFAF4" w14:textId="77777777" w:rsidR="00015FFB" w:rsidRPr="0019499E" w:rsidRDefault="00015FFB" w:rsidP="00015FFB">
      <w:pPr>
        <w:spacing w:after="0" w:line="240" w:lineRule="auto"/>
        <w:jc w:val="both"/>
        <w:rPr>
          <w:rFonts w:ascii="Verdana" w:eastAsia="Calibri" w:hAnsi="Verdana" w:cs="Arial"/>
          <w:lang w:val="es-ES_tradnl" w:eastAsia="es-ES_tradnl"/>
        </w:rPr>
      </w:pPr>
    </w:p>
    <w:p w14:paraId="4B0E03AF" w14:textId="77777777" w:rsidR="00015FFB" w:rsidRPr="0019499E" w:rsidRDefault="00015FFB" w:rsidP="00015FFB">
      <w:pPr>
        <w:spacing w:after="0" w:line="276" w:lineRule="auto"/>
        <w:jc w:val="both"/>
        <w:rPr>
          <w:rFonts w:ascii="Verdana" w:eastAsia="Calibri" w:hAnsi="Verdana" w:cs="Arial"/>
          <w:lang w:val="es-ES" w:eastAsia="es-ES"/>
        </w:rPr>
      </w:pPr>
      <w:r w:rsidRPr="0019499E">
        <w:rPr>
          <w:rFonts w:ascii="Verdana" w:eastAsia="Calibri" w:hAnsi="Verdana" w:cs="Arial"/>
          <w:lang w:val="es-ES" w:eastAsia="es-ES"/>
        </w:rPr>
        <w:t>Estimad</w:t>
      </w:r>
      <w:r>
        <w:rPr>
          <w:rFonts w:ascii="Verdana" w:eastAsia="Calibri" w:hAnsi="Verdana" w:cs="Arial"/>
          <w:lang w:val="es-ES" w:eastAsia="es-ES"/>
        </w:rPr>
        <w:t>o señor Fuentes</w:t>
      </w:r>
      <w:r w:rsidRPr="0019499E">
        <w:rPr>
          <w:rFonts w:ascii="Verdana" w:eastAsia="Calibri" w:hAnsi="Verdana" w:cs="Arial"/>
          <w:lang w:val="es-ES" w:eastAsia="es-ES"/>
        </w:rPr>
        <w:t xml:space="preserve">: </w:t>
      </w:r>
    </w:p>
    <w:p w14:paraId="73B02E62" w14:textId="77777777" w:rsidR="00015FFB" w:rsidRPr="0019499E" w:rsidRDefault="00015FFB" w:rsidP="00015FFB">
      <w:pPr>
        <w:tabs>
          <w:tab w:val="left" w:pos="3768"/>
        </w:tabs>
        <w:spacing w:after="0" w:line="276" w:lineRule="auto"/>
        <w:jc w:val="both"/>
        <w:rPr>
          <w:rFonts w:ascii="Verdana" w:eastAsia="Calibri" w:hAnsi="Verdana" w:cs="Arial"/>
          <w:lang w:val="es-ES" w:eastAsia="es-ES"/>
        </w:rPr>
      </w:pPr>
    </w:p>
    <w:p w14:paraId="48F05ACA" w14:textId="77777777" w:rsidR="00015FFB" w:rsidRPr="0019499E" w:rsidRDefault="00015FFB" w:rsidP="00015FFB">
      <w:pPr>
        <w:spacing w:after="0" w:line="276" w:lineRule="auto"/>
        <w:jc w:val="both"/>
        <w:rPr>
          <w:rFonts w:ascii="Verdana" w:eastAsia="Calibri" w:hAnsi="Verdana" w:cs="Arial"/>
          <w:lang w:val="es-ES" w:eastAsia="es-ES"/>
        </w:rPr>
      </w:pPr>
      <w:r w:rsidRPr="0019499E">
        <w:rPr>
          <w:rFonts w:ascii="Verdana" w:eastAsia="Calibri" w:hAnsi="Verdana" w:cs="Arial"/>
          <w:lang w:val="es-ES" w:eastAsia="es-ES"/>
        </w:rPr>
        <w:t>En ejercicio de la competencia otorgada por los artículos 3, numeral 5º, y 11, numeral 8º, del Decreto Ley 4170 de 2011,</w:t>
      </w:r>
      <w:r w:rsidRPr="0019499E">
        <w:rPr>
          <w:rFonts w:ascii="Verdana" w:eastAsia="Arial MT" w:hAnsi="Verdana" w:cs="Arial MT"/>
          <w:lang w:val="es-ES" w:eastAsia="es-ES"/>
        </w:rPr>
        <w:t xml:space="preserve"> </w:t>
      </w:r>
      <w:r w:rsidRPr="0019499E">
        <w:rPr>
          <w:rFonts w:ascii="Verdana" w:eastAsia="Aptos" w:hAnsi="Verdana" w:cs="Arial"/>
        </w:rPr>
        <w:t xml:space="preserve">así como lo establecido en el artículo 4 de la Resolución 1707 de 2018 expedida por esta Entidad, </w:t>
      </w:r>
      <w:r w:rsidRPr="0019499E">
        <w:rPr>
          <w:rFonts w:ascii="Verdana" w:eastAsia="Calibri" w:hAnsi="Verdana" w:cs="Arial"/>
          <w:lang w:val="es-ES" w:eastAsia="es-ES"/>
        </w:rPr>
        <w:t xml:space="preserve">la Agencia Nacional de Contratación Pública – Colombia Compra Eficiente– responde su petición del </w:t>
      </w:r>
      <w:r>
        <w:rPr>
          <w:rFonts w:ascii="Verdana" w:eastAsia="Calibri" w:hAnsi="Verdana" w:cs="Arial"/>
          <w:lang w:val="es-ES" w:eastAsia="es-ES"/>
        </w:rPr>
        <w:t>03 de mayo</w:t>
      </w:r>
      <w:r w:rsidRPr="0019499E">
        <w:rPr>
          <w:rFonts w:ascii="Verdana" w:eastAsia="Calibri" w:hAnsi="Verdana" w:cs="Arial"/>
          <w:lang w:val="es-ES" w:eastAsia="es-ES"/>
        </w:rPr>
        <w:t xml:space="preserve"> de 2026</w:t>
      </w:r>
      <w:r>
        <w:rPr>
          <w:rFonts w:ascii="Verdana" w:eastAsia="Calibri" w:hAnsi="Verdana" w:cs="Arial"/>
          <w:lang w:val="es-ES" w:eastAsia="es-ES"/>
        </w:rPr>
        <w:t xml:space="preserve">, en la que </w:t>
      </w:r>
      <w:r w:rsidRPr="0019499E">
        <w:rPr>
          <w:rFonts w:ascii="Verdana" w:eastAsia="Calibri" w:hAnsi="Verdana" w:cs="Arial"/>
          <w:lang w:val="es-ES" w:eastAsia="es-ES"/>
        </w:rPr>
        <w:t xml:space="preserve">realiza la siguiente consulta: </w:t>
      </w:r>
    </w:p>
    <w:p w14:paraId="47D7D485" w14:textId="77777777" w:rsidR="00015FFB" w:rsidRPr="0019499E" w:rsidRDefault="00015FFB" w:rsidP="00015FFB">
      <w:pPr>
        <w:spacing w:after="0" w:line="276" w:lineRule="auto"/>
        <w:jc w:val="both"/>
        <w:rPr>
          <w:rFonts w:ascii="Verdana" w:eastAsia="Calibri" w:hAnsi="Verdana" w:cs="Arial"/>
          <w:lang w:val="es-ES" w:eastAsia="es-ES"/>
        </w:rPr>
      </w:pPr>
    </w:p>
    <w:p w14:paraId="3E00C3B0" w14:textId="77777777" w:rsidR="00015FFB" w:rsidRPr="0004153E" w:rsidRDefault="00015FFB" w:rsidP="00015FFB">
      <w:pPr>
        <w:spacing w:after="0" w:line="240" w:lineRule="auto"/>
        <w:ind w:left="709" w:right="709"/>
        <w:jc w:val="both"/>
        <w:rPr>
          <w:rFonts w:ascii="Verdana" w:eastAsia="Calibri" w:hAnsi="Verdana" w:cs="Arial"/>
          <w:sz w:val="20"/>
          <w:szCs w:val="20"/>
          <w:lang w:val="es-MX"/>
        </w:rPr>
      </w:pPr>
      <w:r w:rsidRPr="0019499E">
        <w:rPr>
          <w:rFonts w:ascii="Verdana" w:eastAsia="Calibri" w:hAnsi="Verdana" w:cs="Arial"/>
          <w:sz w:val="20"/>
          <w:szCs w:val="20"/>
          <w:lang w:val="es-MX"/>
        </w:rPr>
        <w:t>“</w:t>
      </w:r>
      <w:r>
        <w:rPr>
          <w:rFonts w:ascii="Verdana" w:eastAsia="Calibri" w:hAnsi="Verdana" w:cs="Arial"/>
          <w:sz w:val="20"/>
          <w:szCs w:val="20"/>
          <w:lang w:val="es-MX"/>
        </w:rPr>
        <w:t xml:space="preserve">PARA LA EVALUACIÓN Y CALIFICACIÓN DE LA PROPUESTA ECONOMICA EN UN PROCESO DE SELECCIÓN ABREVIADA DE MENOR CUANTIA, ES OBLIGATORIA USAR LA FORMULA DE LA TASA DE CAMBIO TRM. O LA ENTIDAD PUEDE ESTABLECER OTRAS FORMULAS PARA PONDERAR LA OFERTA ECONOMICA”. </w:t>
      </w:r>
      <w:r w:rsidRPr="0004153E">
        <w:rPr>
          <w:rFonts w:ascii="Verdana" w:eastAsia="Calibri" w:hAnsi="Verdana" w:cs="Arial"/>
          <w:sz w:val="20"/>
          <w:szCs w:val="20"/>
          <w:lang w:val="es-MX"/>
        </w:rPr>
        <w:t>[sic]</w:t>
      </w:r>
    </w:p>
    <w:p w14:paraId="3E601AD1" w14:textId="77777777" w:rsidR="00015FFB" w:rsidRPr="0019499E" w:rsidRDefault="00015FFB" w:rsidP="00015FFB">
      <w:pPr>
        <w:spacing w:after="0" w:line="276" w:lineRule="auto"/>
        <w:jc w:val="both"/>
        <w:rPr>
          <w:rFonts w:ascii="Verdana" w:eastAsia="Calibri" w:hAnsi="Verdana" w:cs="Arial"/>
          <w:lang w:val="es-ES" w:eastAsia="es-ES"/>
        </w:rPr>
      </w:pPr>
    </w:p>
    <w:p w14:paraId="07F1A2A4" w14:textId="77777777" w:rsidR="00015FFB" w:rsidRPr="0019499E" w:rsidRDefault="00015FFB" w:rsidP="00015FFB">
      <w:pPr>
        <w:spacing w:after="120" w:line="276" w:lineRule="auto"/>
        <w:jc w:val="both"/>
        <w:rPr>
          <w:rFonts w:ascii="Verdana" w:eastAsia="Calibri" w:hAnsi="Verdana" w:cs="Arial"/>
          <w:lang w:val="es-ES" w:eastAsia="es-ES"/>
        </w:rPr>
      </w:pPr>
      <w:r w:rsidRPr="0019499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w:t>
      </w:r>
      <w:r w:rsidRPr="0019499E">
        <w:rPr>
          <w:rFonts w:ascii="Verdana" w:eastAsia="Calibri" w:hAnsi="Verdana" w:cs="Arial"/>
          <w:lang w:val="es-ES" w:eastAsia="es-ES"/>
        </w:rPr>
        <w:lastRenderedPageBreak/>
        <w:t xml:space="preserve">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BF91178" w14:textId="77777777" w:rsidR="00015FFB" w:rsidRPr="0019499E" w:rsidRDefault="00015FFB" w:rsidP="00015FFB">
      <w:pPr>
        <w:spacing w:after="0" w:line="276" w:lineRule="auto"/>
        <w:ind w:firstLine="709"/>
        <w:jc w:val="both"/>
        <w:rPr>
          <w:rFonts w:ascii="Verdana" w:eastAsia="Calibri" w:hAnsi="Verdana" w:cs="Arial"/>
          <w:lang w:val="es-ES" w:eastAsia="es-ES"/>
        </w:rPr>
      </w:pPr>
      <w:r w:rsidRPr="0019499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7D2002A7" w14:textId="77777777" w:rsidR="00015FFB" w:rsidRPr="0019499E" w:rsidRDefault="00015FFB" w:rsidP="00015FFB">
      <w:pPr>
        <w:spacing w:after="0" w:line="276" w:lineRule="auto"/>
        <w:ind w:firstLine="709"/>
        <w:jc w:val="both"/>
        <w:rPr>
          <w:rFonts w:ascii="Verdana" w:eastAsia="Calibri" w:hAnsi="Verdana" w:cs="Arial"/>
          <w:lang w:val="es-ES" w:eastAsia="es-ES"/>
        </w:rPr>
      </w:pPr>
    </w:p>
    <w:p w14:paraId="5012CD9C" w14:textId="77777777" w:rsidR="00015FFB" w:rsidRPr="0019499E" w:rsidRDefault="00015FFB" w:rsidP="00015FFB">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19499E">
        <w:rPr>
          <w:rFonts w:ascii="Verdana" w:eastAsia="Arial" w:hAnsi="Verdana" w:cs="Arial"/>
          <w:b/>
          <w:bCs/>
          <w:lang w:val="es-ES"/>
        </w:rPr>
        <w:t>1. Problema planteado:</w:t>
      </w:r>
    </w:p>
    <w:p w14:paraId="7C66A6C5" w14:textId="77777777" w:rsidR="00015FFB" w:rsidRPr="0019499E" w:rsidRDefault="00015FFB" w:rsidP="00015FFB">
      <w:pPr>
        <w:tabs>
          <w:tab w:val="left" w:pos="426"/>
        </w:tabs>
        <w:spacing w:after="0" w:line="276" w:lineRule="auto"/>
        <w:jc w:val="both"/>
        <w:rPr>
          <w:rFonts w:ascii="Verdana" w:eastAsia="Century Gothic" w:hAnsi="Verdana" w:cs="Century Gothic"/>
          <w:lang w:val="es-ES"/>
        </w:rPr>
      </w:pPr>
    </w:p>
    <w:p w14:paraId="0918D040" w14:textId="77777777" w:rsidR="00015FFB" w:rsidRDefault="00015FFB" w:rsidP="00015FFB">
      <w:pPr>
        <w:spacing w:after="0" w:line="276" w:lineRule="auto"/>
        <w:jc w:val="both"/>
        <w:rPr>
          <w:rFonts w:ascii="Verdana" w:eastAsia="Century Gothic" w:hAnsi="Verdana" w:cs="Century Gothic"/>
        </w:rPr>
      </w:pPr>
      <w:r w:rsidRPr="0019499E">
        <w:rPr>
          <w:rFonts w:ascii="Verdana" w:eastAsia="Century Gothic" w:hAnsi="Verdana" w:cs="Century Gothic"/>
        </w:rPr>
        <w:t xml:space="preserve">De acuerdo con el contenido de su solicitud, le informamos que la misma se resolverá desde </w:t>
      </w:r>
      <w:r>
        <w:rPr>
          <w:rFonts w:ascii="Verdana" w:eastAsia="Century Gothic" w:hAnsi="Verdana" w:cs="Century Gothic"/>
        </w:rPr>
        <w:t>el</w:t>
      </w:r>
      <w:r w:rsidRPr="0019499E">
        <w:rPr>
          <w:rFonts w:ascii="Verdana" w:eastAsia="Century Gothic" w:hAnsi="Verdana" w:cs="Century Gothic"/>
        </w:rPr>
        <w:t xml:space="preserve"> siguiente </w:t>
      </w:r>
      <w:bookmarkStart w:id="2" w:name="_Hlk171070029"/>
      <w:r w:rsidRPr="0019499E">
        <w:rPr>
          <w:rFonts w:ascii="Verdana" w:eastAsia="Century Gothic" w:hAnsi="Verdana" w:cs="Century Gothic"/>
        </w:rPr>
        <w:t>interrogante:</w:t>
      </w:r>
      <w:r w:rsidRPr="00277E26">
        <w:rPr>
          <w:rFonts w:ascii="Verdana" w:eastAsia="Century Gothic" w:hAnsi="Verdana" w:cs="Century Gothic"/>
        </w:rPr>
        <w:t xml:space="preserve"> </w:t>
      </w:r>
      <w:r w:rsidRPr="00781981">
        <w:rPr>
          <w:rFonts w:ascii="Verdana" w:eastAsia="Century Gothic" w:hAnsi="Verdana" w:cs="Century Gothic"/>
        </w:rPr>
        <w:t>En el marco de un proceso de selección de menor cuantía ¿Qué mecanismos de ponderación pueden aplicar las Entidades Estatales para seleccionar la oferta más favorable?</w:t>
      </w:r>
    </w:p>
    <w:p w14:paraId="17F9E452" w14:textId="77777777" w:rsidR="00015FFB" w:rsidRPr="0019499E" w:rsidRDefault="00015FFB" w:rsidP="00015FFB">
      <w:pPr>
        <w:spacing w:after="0" w:line="276" w:lineRule="auto"/>
        <w:jc w:val="both"/>
        <w:rPr>
          <w:rFonts w:ascii="Verdana" w:hAnsi="Verdana"/>
        </w:rPr>
      </w:pPr>
    </w:p>
    <w:bookmarkEnd w:id="2"/>
    <w:p w14:paraId="68B8D2B0" w14:textId="77777777" w:rsidR="00015FFB" w:rsidRPr="0019499E" w:rsidRDefault="00015FFB" w:rsidP="00015FFB">
      <w:pPr>
        <w:widowControl w:val="0"/>
        <w:autoSpaceDE w:val="0"/>
        <w:autoSpaceDN w:val="0"/>
        <w:spacing w:before="1" w:after="0" w:line="240" w:lineRule="auto"/>
        <w:jc w:val="both"/>
        <w:outlineLvl w:val="0"/>
        <w:rPr>
          <w:rFonts w:ascii="Verdana" w:eastAsia="Arial" w:hAnsi="Verdana" w:cs="Arial"/>
          <w:b/>
          <w:bCs/>
          <w:lang w:val="es-ES"/>
        </w:rPr>
      </w:pPr>
      <w:r w:rsidRPr="0019499E">
        <w:rPr>
          <w:rFonts w:ascii="Verdana" w:eastAsia="Arial" w:hAnsi="Verdana" w:cs="Arial"/>
          <w:b/>
          <w:bCs/>
          <w:lang w:val="es-ES"/>
        </w:rPr>
        <w:t>2. Respuesta:</w:t>
      </w:r>
    </w:p>
    <w:p w14:paraId="15778CEC" w14:textId="77777777" w:rsidR="00015FFB" w:rsidRPr="0019499E" w:rsidRDefault="00015FFB" w:rsidP="00015FFB">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15FFB" w:rsidRPr="0019499E" w14:paraId="11D72987" w14:textId="77777777" w:rsidTr="00953EAD">
        <w:tc>
          <w:tcPr>
            <w:tcW w:w="8828" w:type="dxa"/>
          </w:tcPr>
          <w:p w14:paraId="2665EB30" w14:textId="77777777" w:rsidR="00015FFB" w:rsidRDefault="00015FFB" w:rsidP="00953EAD">
            <w:pPr>
              <w:spacing w:after="120" w:line="276" w:lineRule="auto"/>
              <w:jc w:val="both"/>
              <w:rPr>
                <w:rFonts w:ascii="Verdana" w:eastAsia="Arial" w:hAnsi="Verdana" w:cs="Arial"/>
                <w:color w:val="000000"/>
              </w:rPr>
            </w:pPr>
            <w:bookmarkStart w:id="3" w:name="_Hlk171067516"/>
            <w:r w:rsidRPr="006B0C17">
              <w:rPr>
                <w:rFonts w:ascii="Verdana" w:eastAsia="Calibri" w:hAnsi="Verdana" w:cs="Arial"/>
                <w:color w:val="000000" w:themeColor="text1"/>
                <w:sz w:val="20"/>
                <w:szCs w:val="20"/>
              </w:rPr>
              <w:t>Sobre el par</w:t>
            </w:r>
            <w:r>
              <w:rPr>
                <w:rFonts w:ascii="Verdana" w:eastAsia="Calibri" w:hAnsi="Verdana" w:cs="Arial"/>
                <w:color w:val="000000" w:themeColor="text1"/>
                <w:sz w:val="20"/>
                <w:szCs w:val="20"/>
              </w:rPr>
              <w:t xml:space="preserve">ticular, </w:t>
            </w:r>
            <w:r w:rsidRPr="006B0C17">
              <w:rPr>
                <w:rFonts w:ascii="Verdana" w:eastAsia="Arial" w:hAnsi="Verdana" w:cs="Arial"/>
                <w:color w:val="000000"/>
              </w:rPr>
              <w:t xml:space="preserve">es necesario destacar que las reglas para establecer la oferta más favorable conforme al artículo 5 de la Ley 1150 de 2007, se encuentran reglamentadas en el artículo 2.2.1.1.2.2.2 del Decreto 1082 de 2015, modificado por el Decreto 142 de 2023. Este artículo desarrolla los mecanismos de ponderación previstos en los literales a) y b) del numeral 2 del artículo 5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ii) las condiciones técnicas adicionales que representan ventajas de calidad o de funcionamiento; iii) las condiciones económicas adicionales que representen ventajas en términos de economía, eficiencia y eficacia; y iv) el valor en dinero que la Entidad Estatal asigna a </w:t>
            </w:r>
            <w:r w:rsidRPr="006B0C17">
              <w:rPr>
                <w:rFonts w:ascii="Verdana" w:eastAsia="Arial" w:hAnsi="Verdana" w:cs="Arial"/>
                <w:color w:val="000000"/>
              </w:rPr>
              <w:lastRenderedPageBreak/>
              <w:t>cada ofrecimiento técnico o económico adicional. Teniendo en cuenta estos elementos, la entidad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r>
              <w:rPr>
                <w:rFonts w:ascii="Verdana" w:eastAsia="Arial" w:hAnsi="Verdana" w:cs="Arial"/>
                <w:color w:val="000000"/>
              </w:rPr>
              <w:t>.</w:t>
            </w:r>
          </w:p>
          <w:p w14:paraId="2EFC65C8" w14:textId="77777777" w:rsidR="00015FFB" w:rsidRPr="006B0C17" w:rsidRDefault="00015FFB" w:rsidP="00953EAD">
            <w:pPr>
              <w:spacing w:line="276" w:lineRule="auto"/>
              <w:ind w:firstLine="708"/>
              <w:jc w:val="both"/>
              <w:rPr>
                <w:rFonts w:ascii="Verdana" w:eastAsia="Calibri" w:hAnsi="Verdana" w:cs="Arial"/>
                <w:szCs w:val="20"/>
                <w:lang w:val="es-ES"/>
              </w:rPr>
            </w:pPr>
            <w:r w:rsidRPr="006B0C17">
              <w:rPr>
                <w:rFonts w:ascii="Verdana" w:eastAsia="Calibri" w:hAnsi="Verdana" w:cs="Arial"/>
                <w:lang w:val="es-ES"/>
              </w:rPr>
              <w:t>De otro lado, debe precisarse que, en caso de que el proceso de selección se adelante en aplicación de los Documentos Tipo para procesos de selección abreviada de menor cuantía de infraestructura de transporte – Versión 3 expedidos por esta Agencia, la ponderación de la oferta debe</w:t>
            </w:r>
            <w:r>
              <w:rPr>
                <w:rFonts w:ascii="Verdana" w:eastAsia="Calibri" w:hAnsi="Verdana" w:cs="Arial"/>
                <w:lang w:val="es-ES"/>
              </w:rPr>
              <w:t>rá</w:t>
            </w:r>
            <w:r w:rsidRPr="006B0C17">
              <w:rPr>
                <w:rFonts w:ascii="Verdana" w:eastAsia="Calibri" w:hAnsi="Verdana" w:cs="Arial"/>
                <w:lang w:val="es-ES"/>
              </w:rPr>
              <w:t xml:space="preserve"> realizarse conforme a las reglas dispuestas en el numeral 4.1.4 del “Documento Base</w:t>
            </w:r>
            <w:r>
              <w:rPr>
                <w:rFonts w:ascii="Verdana" w:eastAsia="Calibri" w:hAnsi="Verdana" w:cs="Arial"/>
                <w:lang w:val="es-ES"/>
              </w:rPr>
              <w:t xml:space="preserve">”, respetando </w:t>
            </w:r>
            <w:r w:rsidRPr="006B0C17">
              <w:rPr>
                <w:rFonts w:ascii="Verdana" w:eastAsia="Calibri" w:hAnsi="Verdana" w:cs="Arial"/>
                <w:szCs w:val="20"/>
                <w:lang w:val="es-ES"/>
              </w:rPr>
              <w:t xml:space="preserve">regla de inalterabilidad de los referidos documentos. Es decir, las Entidades Estatales no </w:t>
            </w:r>
            <w:r>
              <w:rPr>
                <w:rFonts w:ascii="Verdana" w:eastAsia="Calibri" w:hAnsi="Verdana" w:cs="Arial"/>
                <w:szCs w:val="20"/>
                <w:lang w:val="es-ES"/>
              </w:rPr>
              <w:t>podrán</w:t>
            </w:r>
            <w:r w:rsidRPr="006B0C17">
              <w:rPr>
                <w:rFonts w:ascii="Verdana" w:eastAsia="Calibri" w:hAnsi="Verdana" w:cs="Arial"/>
                <w:szCs w:val="20"/>
                <w:lang w:val="es-ES"/>
              </w:rPr>
              <w:t xml:space="preserve"> incluir o modificar en los documentos del proceso, las condiciones habilitantes, los factores técnicos y económicos de escogencia así</w:t>
            </w:r>
            <w:r>
              <w:rPr>
                <w:rFonts w:ascii="Verdana" w:eastAsia="Calibri" w:hAnsi="Verdana" w:cs="Arial"/>
                <w:szCs w:val="20"/>
                <w:lang w:val="es-ES"/>
              </w:rPr>
              <w:t>,</w:t>
            </w:r>
            <w:r w:rsidRPr="006B0C17">
              <w:rPr>
                <w:rFonts w:ascii="Verdana" w:eastAsia="Calibri" w:hAnsi="Verdana" w:cs="Arial"/>
                <w:szCs w:val="20"/>
                <w:lang w:val="es-ES"/>
              </w:rPr>
              <w:t xml:space="preserve"> como los sistemas de ponderación señalados en los Documentos Tipo, salvo, en los apartes que estos mismos lo permitan. </w:t>
            </w:r>
          </w:p>
          <w:p w14:paraId="23D97F3A" w14:textId="77777777" w:rsidR="00015FFB" w:rsidRDefault="00015FFB" w:rsidP="00953EAD">
            <w:pPr>
              <w:spacing w:after="120" w:line="276" w:lineRule="auto"/>
              <w:jc w:val="both"/>
              <w:rPr>
                <w:rFonts w:ascii="Verdana" w:eastAsia="Arial" w:hAnsi="Verdana" w:cs="Arial"/>
                <w:color w:val="000000"/>
              </w:rPr>
            </w:pPr>
            <w:r w:rsidRPr="00431CD5">
              <w:rPr>
                <w:rFonts w:ascii="Verdana" w:eastAsia="Calibri" w:hAnsi="Verdana" w:cs="Arial"/>
                <w:szCs w:val="20"/>
                <w:lang w:val="es-ES"/>
              </w:rPr>
              <w:t>Sobre el particular, es necesario destacar que las reglas para establecer la oferta más favorable conforme al artículo 5 de la Ley 1150 de 2007, se encuentran reglamentadas en el artículo</w:t>
            </w:r>
            <w:r w:rsidRPr="006B0C17">
              <w:rPr>
                <w:rFonts w:ascii="Verdana" w:eastAsia="Arial" w:hAnsi="Verdana" w:cs="Arial"/>
                <w:color w:val="000000"/>
              </w:rPr>
              <w:t xml:space="preserve"> 2.2.1.1.2.2.2 del Decreto 1082 de 2015, modificado por el Decreto 142 de 2023. Este artículo desarrolla los mecanismos de ponderación previstos en los literales a) y b) del numeral 2 del artículo 5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ii) las condiciones técnicas adicionales que representan ventajas de calidad o de funcionamiento; iii) las condiciones económicas adicionales que representen ventajas en términos de economía, eficiencia y eficacia; y iv) el valor en dinero que la Entidad Estatal asigna a cada ofrecimiento técnico o económico adicional. Teniendo en cuenta estos elementos, la entidad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r>
              <w:rPr>
                <w:rFonts w:ascii="Verdana" w:eastAsia="Arial" w:hAnsi="Verdana" w:cs="Arial"/>
                <w:color w:val="000000"/>
              </w:rPr>
              <w:t>.</w:t>
            </w:r>
          </w:p>
          <w:p w14:paraId="69F2982E" w14:textId="77777777" w:rsidR="00015FFB" w:rsidRPr="006B0C17" w:rsidRDefault="00015FFB" w:rsidP="00953EAD">
            <w:pPr>
              <w:spacing w:line="276" w:lineRule="auto"/>
              <w:ind w:firstLine="708"/>
              <w:jc w:val="both"/>
              <w:rPr>
                <w:rFonts w:ascii="Verdana" w:eastAsia="Calibri" w:hAnsi="Verdana" w:cs="Arial"/>
                <w:szCs w:val="20"/>
                <w:lang w:val="es-ES"/>
              </w:rPr>
            </w:pPr>
            <w:r w:rsidRPr="006B0C17">
              <w:rPr>
                <w:rFonts w:ascii="Verdana" w:eastAsia="Calibri" w:hAnsi="Verdana" w:cs="Arial"/>
                <w:lang w:val="es-ES"/>
              </w:rPr>
              <w:lastRenderedPageBreak/>
              <w:t>De otro lado, debe precisarse que, en caso de que el proceso de selección se adelante en aplicación de los Documentos Tipo para procesos de selección abreviada de menor cuantía de infraestructura de transporte – Versión 3 expedidos por esta Agencia, la ponderación de la oferta debe</w:t>
            </w:r>
            <w:r>
              <w:rPr>
                <w:rFonts w:ascii="Verdana" w:eastAsia="Calibri" w:hAnsi="Verdana" w:cs="Arial"/>
                <w:lang w:val="es-ES"/>
              </w:rPr>
              <w:t>rá</w:t>
            </w:r>
            <w:r w:rsidRPr="006B0C17">
              <w:rPr>
                <w:rFonts w:ascii="Verdana" w:eastAsia="Calibri" w:hAnsi="Verdana" w:cs="Arial"/>
                <w:lang w:val="es-ES"/>
              </w:rPr>
              <w:t xml:space="preserve"> realizarse conforme a las reglas dispuestas en el numeral 4.1.4 del “Documento Base</w:t>
            </w:r>
            <w:r>
              <w:rPr>
                <w:rFonts w:ascii="Verdana" w:eastAsia="Calibri" w:hAnsi="Verdana" w:cs="Arial"/>
                <w:lang w:val="es-ES"/>
              </w:rPr>
              <w:t xml:space="preserve">”, respetando </w:t>
            </w:r>
            <w:r w:rsidRPr="006B0C17">
              <w:rPr>
                <w:rFonts w:ascii="Verdana" w:eastAsia="Calibri" w:hAnsi="Verdana" w:cs="Arial"/>
                <w:szCs w:val="20"/>
                <w:lang w:val="es-ES"/>
              </w:rPr>
              <w:t xml:space="preserve">regla de inalterabilidad de los referidos documentos. Es decir, las Entidades Estatales no </w:t>
            </w:r>
            <w:r>
              <w:rPr>
                <w:rFonts w:ascii="Verdana" w:eastAsia="Calibri" w:hAnsi="Verdana" w:cs="Arial"/>
                <w:szCs w:val="20"/>
                <w:lang w:val="es-ES"/>
              </w:rPr>
              <w:t>podrán</w:t>
            </w:r>
            <w:r w:rsidRPr="006B0C17">
              <w:rPr>
                <w:rFonts w:ascii="Verdana" w:eastAsia="Calibri" w:hAnsi="Verdana" w:cs="Arial"/>
                <w:szCs w:val="20"/>
                <w:lang w:val="es-ES"/>
              </w:rPr>
              <w:t xml:space="preserve"> incluir o modificar en los documentos del proceso, las condiciones habilitantes, los factores técnicos y económicos de escogencia así</w:t>
            </w:r>
            <w:r>
              <w:rPr>
                <w:rFonts w:ascii="Verdana" w:eastAsia="Calibri" w:hAnsi="Verdana" w:cs="Arial"/>
                <w:szCs w:val="20"/>
                <w:lang w:val="es-ES"/>
              </w:rPr>
              <w:t>,</w:t>
            </w:r>
            <w:r w:rsidRPr="006B0C17">
              <w:rPr>
                <w:rFonts w:ascii="Verdana" w:eastAsia="Calibri" w:hAnsi="Verdana" w:cs="Arial"/>
                <w:szCs w:val="20"/>
                <w:lang w:val="es-ES"/>
              </w:rPr>
              <w:t xml:space="preserve"> como los sistemas de ponderación señalados en los Documentos Tipo, salvo, en los apartes que estos mismos lo permitan. </w:t>
            </w:r>
          </w:p>
          <w:p w14:paraId="1AC4FAD3" w14:textId="77777777" w:rsidR="00015FFB" w:rsidRPr="0019499E" w:rsidRDefault="00015FFB" w:rsidP="00953EAD">
            <w:pPr>
              <w:snapToGrid w:val="0"/>
              <w:spacing w:line="276" w:lineRule="auto"/>
              <w:ind w:firstLine="709"/>
              <w:contextualSpacing/>
              <w:jc w:val="both"/>
              <w:rPr>
                <w:rFonts w:ascii="Verdana" w:eastAsia="Geomanist Light" w:hAnsi="Verdana" w:cs="Arial"/>
                <w:color w:val="000000"/>
                <w:lang w:val="es-MX"/>
              </w:rPr>
            </w:pPr>
          </w:p>
        </w:tc>
      </w:tr>
      <w:bookmarkEnd w:id="3"/>
    </w:tbl>
    <w:p w14:paraId="0660CE5A" w14:textId="77777777" w:rsidR="00015FFB" w:rsidRPr="0019499E" w:rsidRDefault="00015FFB" w:rsidP="00015FFB">
      <w:pPr>
        <w:widowControl w:val="0"/>
        <w:autoSpaceDE w:val="0"/>
        <w:autoSpaceDN w:val="0"/>
        <w:spacing w:before="1" w:after="0" w:line="240" w:lineRule="auto"/>
        <w:ind w:left="360" w:hanging="360"/>
        <w:outlineLvl w:val="0"/>
        <w:rPr>
          <w:rFonts w:ascii="Verdana" w:eastAsia="Arial" w:hAnsi="Verdana" w:cs="Arial"/>
          <w:b/>
        </w:rPr>
      </w:pPr>
    </w:p>
    <w:p w14:paraId="4AD90FE9" w14:textId="77777777" w:rsidR="00015FFB" w:rsidRPr="0019499E" w:rsidRDefault="00015FFB" w:rsidP="00015FFB">
      <w:pPr>
        <w:widowControl w:val="0"/>
        <w:autoSpaceDE w:val="0"/>
        <w:autoSpaceDN w:val="0"/>
        <w:spacing w:before="1" w:after="0" w:line="240" w:lineRule="auto"/>
        <w:ind w:left="360" w:hanging="360"/>
        <w:outlineLvl w:val="0"/>
        <w:rPr>
          <w:rFonts w:ascii="Verdana" w:eastAsia="Arial" w:hAnsi="Verdana" w:cs="Arial"/>
          <w:b/>
          <w:bCs/>
          <w:lang w:val="es-ES"/>
        </w:rPr>
      </w:pPr>
      <w:r w:rsidRPr="0019499E">
        <w:rPr>
          <w:rFonts w:ascii="Verdana" w:eastAsia="Arial" w:hAnsi="Verdana" w:cs="Arial"/>
          <w:b/>
          <w:bCs/>
          <w:lang w:val="es-ES"/>
        </w:rPr>
        <w:t>3. Razones de la respuesta</w:t>
      </w:r>
    </w:p>
    <w:p w14:paraId="044446D9" w14:textId="77777777" w:rsidR="00015FFB" w:rsidRPr="0019499E" w:rsidRDefault="00015FFB" w:rsidP="00015FFB">
      <w:pPr>
        <w:spacing w:after="0" w:line="276" w:lineRule="auto"/>
        <w:jc w:val="both"/>
        <w:rPr>
          <w:rFonts w:ascii="Verdana" w:eastAsia="Calibri" w:hAnsi="Verdana" w:cs="Arial"/>
          <w:lang w:val="es-ES"/>
        </w:rPr>
      </w:pPr>
    </w:p>
    <w:p w14:paraId="4A5EA735" w14:textId="77777777" w:rsidR="00015FFB" w:rsidRDefault="00015FFB" w:rsidP="00015FFB">
      <w:pPr>
        <w:spacing w:after="0" w:line="276" w:lineRule="auto"/>
        <w:jc w:val="both"/>
        <w:rPr>
          <w:rFonts w:ascii="Verdana" w:eastAsia="Calibri" w:hAnsi="Verdana" w:cs="Arial"/>
          <w:lang w:val="es-ES"/>
        </w:rPr>
      </w:pPr>
      <w:r w:rsidRPr="0019499E">
        <w:rPr>
          <w:rFonts w:ascii="Verdana" w:eastAsia="Calibri" w:hAnsi="Verdana" w:cs="Arial"/>
          <w:lang w:val="es-ES"/>
        </w:rPr>
        <w:t xml:space="preserve">Las respuestas anteriores se sustentan en las siguientes consideraciones: </w:t>
      </w:r>
    </w:p>
    <w:p w14:paraId="2C4174D2" w14:textId="77777777" w:rsidR="00015FFB" w:rsidRPr="0019499E" w:rsidRDefault="00015FFB" w:rsidP="00015FFB">
      <w:pPr>
        <w:spacing w:after="0" w:line="276" w:lineRule="auto"/>
        <w:jc w:val="both"/>
        <w:rPr>
          <w:rFonts w:ascii="Verdana" w:eastAsia="Calibri" w:hAnsi="Verdana" w:cs="Arial"/>
          <w:lang w:val="es-ES"/>
        </w:rPr>
      </w:pPr>
    </w:p>
    <w:p w14:paraId="662B6A96" w14:textId="77777777" w:rsidR="00015FFB" w:rsidRDefault="00015FFB" w:rsidP="00015FFB">
      <w:pPr>
        <w:spacing w:after="0" w:line="276" w:lineRule="auto"/>
        <w:jc w:val="both"/>
        <w:rPr>
          <w:rFonts w:ascii="Verdana" w:eastAsia="Calibri" w:hAnsi="Verdana" w:cs="Arial"/>
          <w:lang w:val="es-ES"/>
        </w:rPr>
      </w:pPr>
      <w:r>
        <w:rPr>
          <w:rFonts w:ascii="Verdana" w:eastAsia="Calibri" w:hAnsi="Verdana" w:cs="Arial"/>
          <w:lang w:val="es-ES"/>
        </w:rPr>
        <w:t>Inicialmente debe precisarse que, el numeral 2 del artículo 2 de la Ley 1150 de 2007 dispone respecto de la selección abreviada, que esta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7D48B0">
        <w:rPr>
          <w:rStyle w:val="Refdenotaalpie"/>
          <w:rFonts w:ascii="Verdana" w:eastAsia="Calibri" w:hAnsi="Verdana" w:cs="Arial"/>
        </w:rPr>
        <w:footnoteReference w:id="1"/>
      </w:r>
      <w:r w:rsidRPr="007D48B0">
        <w:rPr>
          <w:rFonts w:ascii="Verdana" w:eastAsia="Calibri" w:hAnsi="Verdana" w:cs="Arial"/>
        </w:rPr>
        <w:t>.</w:t>
      </w:r>
    </w:p>
    <w:p w14:paraId="2AA4F594" w14:textId="77777777" w:rsidR="00015FFB" w:rsidRDefault="00015FFB" w:rsidP="00015FFB">
      <w:pPr>
        <w:spacing w:before="120" w:after="0" w:line="276" w:lineRule="auto"/>
        <w:jc w:val="both"/>
        <w:rPr>
          <w:rFonts w:ascii="Verdana" w:eastAsia="Calibri" w:hAnsi="Verdana" w:cs="Arial"/>
          <w:lang w:val="es-ES"/>
        </w:rPr>
      </w:pPr>
      <w:r>
        <w:rPr>
          <w:rFonts w:ascii="Verdana" w:eastAsia="Calibri" w:hAnsi="Verdana" w:cs="Arial"/>
          <w:lang w:val="es-ES"/>
        </w:rPr>
        <w:lastRenderedPageBreak/>
        <w:tab/>
        <w:t>De esta forma, podría colegirse que se trata de un procedimiento que agiliza la contratación estatal en los eventos que no se justifica adelantar una licitación pública, pero tampoco limita la participación de los proponentes como en la contratación directa, pues es un mecanismo de selección que asegura una mayor concurrencia de participantes sin sacrificar los principios de eficacia y eficiencia en el proceso de selección pública. En la exposición de motivos se explica lo siguiente:</w:t>
      </w:r>
    </w:p>
    <w:p w14:paraId="156DF6A0" w14:textId="77777777" w:rsidR="00015FFB" w:rsidRDefault="00015FFB" w:rsidP="00015FFB">
      <w:pPr>
        <w:spacing w:after="0" w:line="240" w:lineRule="auto"/>
        <w:ind w:left="709" w:right="709"/>
        <w:jc w:val="both"/>
        <w:rPr>
          <w:rFonts w:ascii="Verdana" w:eastAsia="Calibri" w:hAnsi="Verdana" w:cs="Arial"/>
          <w:sz w:val="20"/>
          <w:szCs w:val="20"/>
        </w:rPr>
      </w:pPr>
    </w:p>
    <w:p w14:paraId="369B1305" w14:textId="77777777" w:rsidR="00015FFB" w:rsidRPr="00C11001" w:rsidRDefault="00015FFB" w:rsidP="00015FFB">
      <w:pPr>
        <w:spacing w:after="0" w:line="240" w:lineRule="auto"/>
        <w:ind w:left="709" w:right="709"/>
        <w:jc w:val="both"/>
        <w:rPr>
          <w:rFonts w:ascii="Verdana" w:eastAsia="Calibri" w:hAnsi="Verdana" w:cs="Arial"/>
          <w:sz w:val="20"/>
          <w:szCs w:val="20"/>
        </w:rPr>
      </w:pPr>
      <w:r w:rsidRPr="00C11001">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763577D0" w14:textId="77777777" w:rsidR="00015FFB" w:rsidRDefault="00015FFB" w:rsidP="00015FFB">
      <w:pPr>
        <w:spacing w:after="120" w:line="240" w:lineRule="auto"/>
        <w:ind w:left="709" w:right="709"/>
        <w:jc w:val="both"/>
        <w:rPr>
          <w:rFonts w:ascii="Verdana" w:eastAsia="Calibri" w:hAnsi="Verdana" w:cs="Arial"/>
          <w:sz w:val="20"/>
          <w:szCs w:val="20"/>
        </w:rPr>
      </w:pPr>
    </w:p>
    <w:p w14:paraId="7C424DF6" w14:textId="77777777" w:rsidR="00015FFB" w:rsidRDefault="00015FFB" w:rsidP="00015FFB">
      <w:pPr>
        <w:spacing w:after="0" w:line="240" w:lineRule="auto"/>
        <w:ind w:left="709" w:right="709"/>
        <w:jc w:val="both"/>
        <w:rPr>
          <w:rFonts w:ascii="Verdana" w:eastAsia="Calibri" w:hAnsi="Verdana" w:cs="Arial"/>
          <w:sz w:val="20"/>
          <w:szCs w:val="20"/>
        </w:rPr>
      </w:pPr>
      <w:r w:rsidRPr="00C11001">
        <w:rPr>
          <w:rFonts w:ascii="Verdana" w:eastAsia="Calibri" w:hAnsi="Verdana" w:cs="Arial"/>
          <w:sz w:val="20"/>
          <w:szCs w:val="20"/>
        </w:rPr>
        <w:t xml:space="preserve">– Se crea la llamada </w:t>
      </w:r>
      <w:r>
        <w:rPr>
          <w:rFonts w:ascii="Verdana" w:eastAsia="Calibri" w:hAnsi="Verdana" w:cs="Arial"/>
          <w:sz w:val="20"/>
          <w:szCs w:val="20"/>
        </w:rPr>
        <w:t>‘</w:t>
      </w:r>
      <w:r w:rsidRPr="00C11001">
        <w:rPr>
          <w:rFonts w:ascii="Verdana" w:eastAsia="Calibri" w:hAnsi="Verdana" w:cs="Arial"/>
          <w:sz w:val="20"/>
          <w:szCs w:val="20"/>
        </w:rPr>
        <w:t>selección abreviada</w:t>
      </w:r>
      <w:r>
        <w:rPr>
          <w:rFonts w:ascii="Verdana" w:eastAsia="Calibri" w:hAnsi="Verdana" w:cs="Arial"/>
          <w:sz w:val="20"/>
          <w:szCs w:val="20"/>
        </w:rPr>
        <w:t>’</w:t>
      </w:r>
      <w:r w:rsidRPr="00C11001">
        <w:rPr>
          <w:rFonts w:ascii="Verdana" w:eastAsia="Calibri" w:hAnsi="Verdana" w:cs="Arial"/>
          <w:sz w:val="20"/>
          <w:szCs w:val="20"/>
        </w:rPr>
        <w:t>,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 “características técnicas uniformes y de común utilización” […].</w:t>
      </w:r>
    </w:p>
    <w:p w14:paraId="16B5C9AF" w14:textId="77777777" w:rsidR="00015FFB" w:rsidRPr="00C11001" w:rsidRDefault="00015FFB" w:rsidP="00015FFB">
      <w:pPr>
        <w:spacing w:after="0" w:line="240" w:lineRule="auto"/>
        <w:ind w:left="709" w:right="709"/>
        <w:jc w:val="both"/>
        <w:rPr>
          <w:rFonts w:ascii="Verdana" w:eastAsia="Calibri" w:hAnsi="Verdana" w:cs="Arial"/>
          <w:sz w:val="20"/>
          <w:szCs w:val="20"/>
        </w:rPr>
      </w:pPr>
    </w:p>
    <w:p w14:paraId="57070707" w14:textId="77777777" w:rsidR="00015FFB" w:rsidRPr="007D48B0" w:rsidRDefault="00015FFB" w:rsidP="00015FFB">
      <w:pPr>
        <w:spacing w:after="0" w:line="240" w:lineRule="auto"/>
        <w:ind w:left="709" w:right="709"/>
        <w:jc w:val="both"/>
        <w:rPr>
          <w:rFonts w:ascii="Verdana" w:eastAsia="Calibri" w:hAnsi="Verdana" w:cs="Arial"/>
          <w:sz w:val="21"/>
          <w:szCs w:val="21"/>
        </w:rPr>
      </w:pPr>
      <w:r w:rsidRPr="00C11001">
        <w:rPr>
          <w:rFonts w:ascii="Verdana" w:eastAsia="Calibri" w:hAnsi="Verdana" w:cs="Arial"/>
          <w:sz w:val="20"/>
          <w:szCs w:val="20"/>
        </w:rPr>
        <w:t xml:space="preserve">– Adicionalmente en esta categoría se recoge la llamada </w:t>
      </w:r>
      <w:r>
        <w:rPr>
          <w:rFonts w:ascii="Verdana" w:eastAsia="Calibri" w:hAnsi="Verdana" w:cs="Arial"/>
          <w:sz w:val="20"/>
          <w:szCs w:val="20"/>
        </w:rPr>
        <w:t>‘</w:t>
      </w:r>
      <w:r w:rsidRPr="00C11001">
        <w:rPr>
          <w:rFonts w:ascii="Verdana" w:eastAsia="Calibri" w:hAnsi="Verdana" w:cs="Arial"/>
          <w:sz w:val="20"/>
          <w:szCs w:val="20"/>
        </w:rPr>
        <w:t>menor cuantía</w:t>
      </w:r>
      <w:r>
        <w:rPr>
          <w:rFonts w:ascii="Verdana" w:eastAsia="Calibri" w:hAnsi="Verdana" w:cs="Arial"/>
          <w:sz w:val="20"/>
          <w:szCs w:val="20"/>
        </w:rPr>
        <w:t>’</w:t>
      </w:r>
      <w:r w:rsidRPr="00C11001">
        <w:rPr>
          <w:rFonts w:ascii="Verdana" w:eastAsia="Calibri" w:hAnsi="Verdana" w:cs="Arial"/>
          <w:sz w:val="20"/>
          <w:szCs w:val="20"/>
        </w:rPr>
        <w:t xml:space="preserve"> (sólo aplicable en lo sucesivo a bienes o servicios diferentes de los anteriores), así como otros procesos que por su naturaleza o circunstancias deben ser objeto de tratamiento expedido, tales como la defensa y seguridad nacional, entre otras”</w:t>
      </w:r>
      <w:r w:rsidRPr="00C11001">
        <w:rPr>
          <w:rStyle w:val="Refdenotaalpie"/>
          <w:rFonts w:ascii="Verdana" w:eastAsia="Calibri" w:hAnsi="Verdana" w:cs="Arial"/>
          <w:sz w:val="20"/>
          <w:szCs w:val="20"/>
        </w:rPr>
        <w:footnoteReference w:id="2"/>
      </w:r>
      <w:r w:rsidRPr="00C11001">
        <w:rPr>
          <w:rFonts w:ascii="Verdana" w:eastAsia="Calibri" w:hAnsi="Verdana" w:cs="Arial"/>
          <w:sz w:val="20"/>
          <w:szCs w:val="20"/>
        </w:rPr>
        <w:t>.</w:t>
      </w:r>
    </w:p>
    <w:p w14:paraId="43A58A2F" w14:textId="77777777" w:rsidR="00015FFB" w:rsidRDefault="00015FFB" w:rsidP="00015FFB">
      <w:pPr>
        <w:spacing w:after="0" w:line="276" w:lineRule="auto"/>
        <w:jc w:val="both"/>
        <w:rPr>
          <w:rFonts w:ascii="Verdana" w:eastAsia="Calibri" w:hAnsi="Verdana" w:cs="Arial"/>
          <w:lang w:val="es-ES"/>
        </w:rPr>
      </w:pPr>
      <w:r>
        <w:rPr>
          <w:rFonts w:ascii="Verdana" w:eastAsia="Calibri" w:hAnsi="Verdana" w:cs="Arial"/>
          <w:lang w:val="es-ES"/>
        </w:rPr>
        <w:tab/>
      </w:r>
    </w:p>
    <w:p w14:paraId="40B30378" w14:textId="77777777" w:rsidR="00015FFB" w:rsidRDefault="00015FFB" w:rsidP="00015FFB">
      <w:pPr>
        <w:spacing w:after="0" w:line="276" w:lineRule="auto"/>
        <w:ind w:firstLine="708"/>
        <w:jc w:val="both"/>
        <w:rPr>
          <w:rFonts w:ascii="Verdana" w:eastAsia="Calibri" w:hAnsi="Verdana" w:cs="Arial"/>
          <w:lang w:val="es-ES"/>
        </w:rPr>
      </w:pPr>
      <w:r>
        <w:rPr>
          <w:rFonts w:ascii="Verdana" w:eastAsia="Calibri" w:hAnsi="Verdana" w:cs="Arial"/>
          <w:lang w:val="es-ES"/>
        </w:rPr>
        <w:lastRenderedPageBreak/>
        <w:t>En ese contexto, la modalidad de selección abreviada se caracteriza por tener etapas un poco sencillas y términos relativamente más cortos que los de la licitación pública, lo cual se justifica por las circunstancias, la naturaleza y los objetos que se contratan a través de esta. Conforme al literal b) del numeral 2 del artículo 2 de la Ley 1150 de 2007, una de las causales para adelantar un proceso de selección abreviada, es que la contratación sea de menor cuantía. Esta última, se refiere a los procesos contractuales cuyo valor sea inferior a los topes que dicho artículo señala respecto del presupuesto anual y se desarrolla en cuanto a su procedimiento, en el artículo 2.2.1.2.1.2.20 del Decreto 1082 de 2015.</w:t>
      </w:r>
    </w:p>
    <w:p w14:paraId="2E98D6A1" w14:textId="77777777" w:rsidR="00015FFB" w:rsidRPr="00F845FD" w:rsidRDefault="00015FFB" w:rsidP="00015FFB">
      <w:pPr>
        <w:spacing w:before="120" w:after="0" w:line="276" w:lineRule="auto"/>
        <w:jc w:val="both"/>
        <w:rPr>
          <w:rFonts w:ascii="Verdana" w:eastAsia="Arial" w:hAnsi="Verdana" w:cs="Arial"/>
          <w:color w:val="000000"/>
        </w:rPr>
      </w:pPr>
      <w:r>
        <w:rPr>
          <w:rFonts w:ascii="Verdana" w:eastAsia="Calibri" w:hAnsi="Verdana" w:cs="Arial"/>
          <w:lang w:val="es-ES"/>
        </w:rPr>
        <w:tab/>
        <w:t>Si bien, pese a que se trata de un proceso de selección más expedito o corto, las Entidades Estatales no están exceptuadas de garantizar en el desarrollo de este, la aplicación de los principios de la contratación pública, de los que se destaca el de selección objetiva. Dicho principio exige que la escogencia de la oferta ganadora deba fundamentarse en factores objetivos, de carácter técnico, jurídico y financiero, y no en criterios subjetivos, como el afecto, la amistad, el ánimo de ayuda, el interés personal, etc.</w:t>
      </w:r>
      <w:r w:rsidRPr="00F845FD">
        <w:rPr>
          <w:rFonts w:ascii="Verdana" w:eastAsia="Arial" w:hAnsi="Verdana" w:cs="Arial"/>
          <w:color w:val="000000"/>
        </w:rPr>
        <w:t xml:space="preserve"> Si bien dentro de la historia de la contratación pública en Colombia se vislumbran antecedentes normativos que consagraban dicho principio</w:t>
      </w:r>
      <w:r w:rsidRPr="00F845FD">
        <w:rPr>
          <w:rFonts w:ascii="Verdana" w:eastAsia="Arial" w:hAnsi="Verdana" w:cs="Arial"/>
          <w:color w:val="000000"/>
          <w:vertAlign w:val="superscript"/>
        </w:rPr>
        <w:footnoteReference w:id="3"/>
      </w:r>
      <w:r w:rsidRPr="00F845FD">
        <w:rPr>
          <w:rFonts w:ascii="Verdana" w:eastAsia="Arial" w:hAnsi="Verdana" w:cs="Arial"/>
          <w:color w:val="000000"/>
        </w:rPr>
        <w:t xml:space="preserve">, en la actualidad la disposición legal que lo prevé de manera más clara y contundente es el artículo 5 de la Ley 1150 de 2007, modificado por el artículo 88 de la Ley 1474 de 2011 y por el artículo 5 de la Ley 1882 de 2018. Esta norma prescribe lo siguiente: </w:t>
      </w:r>
    </w:p>
    <w:p w14:paraId="386EB5A1" w14:textId="77777777" w:rsidR="00015FFB" w:rsidRPr="00F845FD" w:rsidRDefault="00015FFB" w:rsidP="00015FFB">
      <w:pPr>
        <w:spacing w:after="0" w:line="276" w:lineRule="auto"/>
        <w:jc w:val="both"/>
        <w:rPr>
          <w:rFonts w:ascii="Verdana" w:eastAsia="Arial" w:hAnsi="Verdana" w:cs="Arial"/>
          <w:color w:val="000000"/>
        </w:rPr>
      </w:pPr>
    </w:p>
    <w:p w14:paraId="0A3AC4D9"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 xml:space="preserve">“ARTÍCULO 5o. DE LA SELECCIÓN OBJETIVA. Es objetiva la selección en la cual la escogencia se haga al ofrecimiento más favorable a la entidad y </w:t>
      </w:r>
      <w:r w:rsidRPr="00F845FD">
        <w:rPr>
          <w:rFonts w:ascii="Verdana" w:eastAsia="Arial" w:hAnsi="Verdana" w:cs="Arial"/>
          <w:color w:val="000000"/>
          <w:sz w:val="20"/>
          <w:szCs w:val="20"/>
        </w:rPr>
        <w:lastRenderedPageBreak/>
        <w:t>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0B9E66C4"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56D92DF1"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64C44DFD"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En los procesos de selección en los que se tenga en cuenta los factores técnicos y económicos, la oferta más ventajosa será la que resulte de aplicar alguna de las siguientes alternativas:</w:t>
      </w:r>
    </w:p>
    <w:p w14:paraId="59F0E223"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a) La ponderación de los elementos de calidad y precio soportados en puntajes o fórmulas señaladas en el pliego de condiciones; o</w:t>
      </w:r>
    </w:p>
    <w:p w14:paraId="092042E4"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b) La ponderación de los elementos de calidad y precio que representen la mejor relación de costo-beneficio para la entidad.</w:t>
      </w:r>
    </w:p>
    <w:p w14:paraId="35B2E711"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2B574088"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 xml:space="preserve">4. En los procesos para la selección de consultores se hará uso de factores de calificación destinados a valorar los aspectos técnicos de la oferta o proyecto. De conformidad con las condiciones que señale el reglamento, </w:t>
      </w:r>
      <w:r w:rsidRPr="00F845FD">
        <w:rPr>
          <w:rFonts w:ascii="Verdana" w:eastAsia="Arial" w:hAnsi="Verdana" w:cs="Arial"/>
          <w:color w:val="000000"/>
          <w:sz w:val="20"/>
          <w:szCs w:val="20"/>
        </w:rPr>
        <w:lastRenderedPageBreak/>
        <w:t>se podrán utilizar criterios de experiencia específica del oferente y del equipo de trabajo, en el campo de que se trate.</w:t>
      </w:r>
    </w:p>
    <w:p w14:paraId="4D537493"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En ningún caso se podrá incluir el precio, como factor de escogencia para la selección de consultores.</w:t>
      </w:r>
    </w:p>
    <w:p w14:paraId="15AC1D12"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06E40413"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Durante el término otorgado para subsanar las ofertas, los proponentes no podrán acreditar circunstancias ocurridas con posterioridad al cierre del proceso.</w:t>
      </w:r>
    </w:p>
    <w:p w14:paraId="747CF9C8"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PARÁGRAFO 2o. Las certificaciones de sistemas de gestión de calidad no serán objeto de calificación, ni podrán establecerse como documento habilitante para participar en licitaciones o concursos.</w:t>
      </w:r>
    </w:p>
    <w:p w14:paraId="7987664A"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PARÁGRAFO 3o. &lt;Parágrafo adicionado por el artículo 5 de la Ley 1882 de 2018. El nuevo texto es el siguiente:&gt; La no entrega de la garantía de seriedad junto con la propuesta no será subsanable y será causal de rechazo de la misma.</w:t>
      </w:r>
    </w:p>
    <w:p w14:paraId="5A6C0FCE" w14:textId="77777777" w:rsidR="00015FFB" w:rsidRPr="00F845FD" w:rsidRDefault="00015FFB" w:rsidP="00015FFB">
      <w:pPr>
        <w:spacing w:after="12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p>
    <w:p w14:paraId="7EA73377" w14:textId="77777777" w:rsidR="00015FFB" w:rsidRPr="00F845FD" w:rsidRDefault="00015FFB" w:rsidP="00015FFB">
      <w:pPr>
        <w:spacing w:after="0" w:line="240" w:lineRule="auto"/>
        <w:ind w:left="709" w:right="709"/>
        <w:jc w:val="both"/>
        <w:rPr>
          <w:rFonts w:ascii="Verdana" w:eastAsia="Arial" w:hAnsi="Verdana" w:cs="Arial"/>
          <w:color w:val="000000"/>
          <w:sz w:val="20"/>
          <w:szCs w:val="20"/>
        </w:rPr>
      </w:pPr>
      <w:r w:rsidRPr="00F845FD">
        <w:rPr>
          <w:rFonts w:ascii="Verdana" w:eastAsia="Arial" w:hAnsi="Verdana" w:cs="Arial"/>
          <w:color w:val="000000"/>
          <w:sz w:val="20"/>
          <w:szCs w:val="20"/>
        </w:rPr>
        <w:t xml:space="preserve">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w:t>
      </w:r>
    </w:p>
    <w:p w14:paraId="6F6E5011" w14:textId="77777777" w:rsidR="00015FFB" w:rsidRPr="00F845FD" w:rsidRDefault="00015FFB" w:rsidP="00015FFB">
      <w:pPr>
        <w:spacing w:after="0" w:line="276" w:lineRule="auto"/>
        <w:jc w:val="both"/>
        <w:rPr>
          <w:rFonts w:ascii="Verdana" w:eastAsia="Arial" w:hAnsi="Verdana" w:cs="Arial"/>
          <w:color w:val="000000"/>
        </w:rPr>
      </w:pPr>
    </w:p>
    <w:p w14:paraId="7602957B" w14:textId="77777777" w:rsidR="00015FFB" w:rsidRPr="00F845FD" w:rsidRDefault="00015FFB" w:rsidP="00015FFB">
      <w:pPr>
        <w:tabs>
          <w:tab w:val="left" w:pos="0"/>
        </w:tabs>
        <w:spacing w:after="120" w:line="276" w:lineRule="auto"/>
        <w:jc w:val="both"/>
        <w:rPr>
          <w:rFonts w:ascii="Verdana" w:eastAsia="Arial" w:hAnsi="Verdana" w:cs="Arial"/>
          <w:color w:val="000000"/>
        </w:rPr>
      </w:pPr>
      <w:r w:rsidRPr="00F845FD">
        <w:rPr>
          <w:rFonts w:ascii="Verdana" w:eastAsia="Arial" w:hAnsi="Verdana" w:cs="Arial"/>
          <w:color w:val="000000"/>
        </w:rPr>
        <w:tab/>
        <w:t xml:space="preserve">De acuerdo con el artículo 5 de la Ley 1150 de 2007, conforme con lo expresado en el Concepto C-166 del 23 de abril de 2021, el deber de selección objetiva supone que las entidades escojan en los procesos de selección el “[…] </w:t>
      </w:r>
      <w:r w:rsidRPr="00F845FD">
        <w:rPr>
          <w:rFonts w:ascii="Verdana" w:eastAsia="Arial" w:hAnsi="Verdana" w:cs="Arial"/>
          <w:color w:val="000000"/>
        </w:rPr>
        <w:lastRenderedPageBreak/>
        <w:t xml:space="preserve">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5C2D92E2" w14:textId="77777777" w:rsidR="00015FFB" w:rsidRDefault="00015FFB" w:rsidP="00015FFB">
      <w:pPr>
        <w:tabs>
          <w:tab w:val="left" w:pos="0"/>
        </w:tabs>
        <w:spacing w:after="120" w:line="276" w:lineRule="auto"/>
        <w:jc w:val="both"/>
        <w:rPr>
          <w:rFonts w:ascii="Verdana" w:eastAsia="Arial" w:hAnsi="Verdana" w:cs="Arial"/>
          <w:color w:val="000000"/>
        </w:rPr>
      </w:pPr>
      <w:r>
        <w:rPr>
          <w:rFonts w:ascii="Verdana" w:eastAsia="Calibri" w:hAnsi="Verdana" w:cs="Arial"/>
          <w:lang w:val="es-ES"/>
        </w:rPr>
        <w:tab/>
        <w:t xml:space="preserve">En ese sentido, el numeral 1 del referido artículo relaciona algunos requisitos exigibles en la generalidad de procesos de selección adelantados conforme a las reglas dispuestas en el Estatuto General de Contratación de la Administración Pública –Ley 80 de 199, Ley 1150 de 2007, Decreto 1082 de 2015, y demás normas que lo adicionen o complementen–, donde encontramos la modalidad de selección abreviada de menor cuantía. Estos requisitos son la </w:t>
      </w:r>
      <w:r w:rsidRPr="003F4A18">
        <w:rPr>
          <w:rFonts w:ascii="Verdana" w:eastAsia="Arial" w:hAnsi="Verdana" w:cs="Arial"/>
          <w:color w:val="000000"/>
        </w:rPr>
        <w:t xml:space="preserve">capacidad jurídica, las condiciones de experiencia, la capacidad financiera y de organización, denominados requisitos habilitantes, los cuales –en principio, salvo expresa disposición legal– no otorgan puntaje. </w:t>
      </w:r>
    </w:p>
    <w:p w14:paraId="5B68C40A" w14:textId="77777777" w:rsidR="00015FFB" w:rsidRPr="003F4A18" w:rsidRDefault="00015FFB" w:rsidP="00015FFB">
      <w:pPr>
        <w:tabs>
          <w:tab w:val="left" w:pos="0"/>
        </w:tabs>
        <w:spacing w:after="120" w:line="276" w:lineRule="auto"/>
        <w:jc w:val="both"/>
        <w:rPr>
          <w:rFonts w:ascii="Verdana" w:eastAsia="Arial" w:hAnsi="Verdana" w:cs="Arial"/>
          <w:color w:val="000000"/>
        </w:rPr>
      </w:pPr>
      <w:r>
        <w:rPr>
          <w:rFonts w:ascii="Verdana" w:eastAsia="Arial" w:hAnsi="Verdana" w:cs="Arial"/>
          <w:color w:val="000000"/>
        </w:rPr>
        <w:tab/>
      </w:r>
      <w:r w:rsidRPr="003F4A18">
        <w:rPr>
          <w:rFonts w:ascii="Verdana" w:eastAsia="Arial" w:hAnsi="Verdana" w:cs="Arial"/>
          <w:color w:val="000000"/>
        </w:rPr>
        <w:t>Lo anterior comoquiera que estos no se refieren a la oferta misma sino a la idoneidad del oferente para asumir adecuadamente la ejecución del contrato</w:t>
      </w:r>
      <w:r w:rsidRPr="003F4A18">
        <w:rPr>
          <w:rFonts w:ascii="Verdana" w:eastAsia="Arial" w:hAnsi="Verdana" w:cs="Arial"/>
          <w:color w:val="000000"/>
          <w:vertAlign w:val="superscript"/>
        </w:rPr>
        <w:footnoteReference w:id="4"/>
      </w:r>
      <w:r w:rsidRPr="003F4A18">
        <w:rPr>
          <w:rFonts w:ascii="Verdana" w:eastAsia="Arial" w:hAnsi="Verdana" w:cs="Arial"/>
          <w:color w:val="000000"/>
        </w:rPr>
        <w:t xml:space="preserve">. Los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requisitos </w:t>
      </w:r>
      <w:r w:rsidRPr="003F4A18">
        <w:rPr>
          <w:rFonts w:ascii="Verdana" w:eastAsia="Arial" w:hAnsi="Verdana" w:cs="Arial"/>
          <w:i/>
          <w:color w:val="000000"/>
        </w:rPr>
        <w:t xml:space="preserve">habilitantes </w:t>
      </w:r>
      <w:r w:rsidRPr="003F4A18">
        <w:rPr>
          <w:rFonts w:ascii="Verdana" w:eastAsia="Arial" w:hAnsi="Verdana" w:cs="Arial"/>
          <w:color w:val="000000"/>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p>
    <w:p w14:paraId="5D35889A" w14:textId="77777777" w:rsidR="00015FFB" w:rsidRPr="00F845FD" w:rsidRDefault="00015FFB" w:rsidP="00015FFB">
      <w:pPr>
        <w:tabs>
          <w:tab w:val="left" w:pos="0"/>
        </w:tabs>
        <w:spacing w:after="120" w:line="276" w:lineRule="auto"/>
        <w:jc w:val="both"/>
        <w:rPr>
          <w:rFonts w:ascii="Verdana" w:eastAsia="Arial" w:hAnsi="Verdana" w:cs="Arial"/>
          <w:color w:val="000000"/>
        </w:rPr>
      </w:pPr>
      <w:r>
        <w:rPr>
          <w:rFonts w:ascii="Verdana" w:eastAsia="Arial" w:hAnsi="Verdana" w:cs="Arial"/>
          <w:color w:val="000000"/>
        </w:rPr>
        <w:tab/>
      </w:r>
      <w:r w:rsidRPr="00F845FD">
        <w:rPr>
          <w:rFonts w:ascii="Verdana" w:eastAsia="Arial" w:hAnsi="Verdana" w:cs="Arial"/>
          <w:color w:val="000000"/>
        </w:rPr>
        <w:t xml:space="preserve">En contraposición a los requisitos habilitantes, el artículo 5 de la Ley 1150 de 2007 regula los factores dirigidos a determinar cuál es la propuesta comparativamente más favorable. </w:t>
      </w:r>
      <w:r>
        <w:rPr>
          <w:rFonts w:ascii="Verdana" w:eastAsia="Arial" w:hAnsi="Verdana" w:cs="Arial"/>
          <w:color w:val="000000"/>
        </w:rPr>
        <w:t>Así pues</w:t>
      </w:r>
      <w:r w:rsidRPr="00F845FD">
        <w:rPr>
          <w:rFonts w:ascii="Verdana" w:eastAsia="Arial" w:hAnsi="Verdana" w:cs="Arial"/>
          <w:color w:val="000000"/>
        </w:rPr>
        <w:t xml:space="preserve">, el inciso primero dispone los factores de escogencia y calificación que deben indicarse en los </w:t>
      </w:r>
      <w:r>
        <w:rPr>
          <w:rFonts w:ascii="Verdana" w:eastAsia="Arial" w:hAnsi="Verdana" w:cs="Arial"/>
          <w:color w:val="000000"/>
        </w:rPr>
        <w:t>P</w:t>
      </w:r>
      <w:r w:rsidRPr="00F845FD">
        <w:rPr>
          <w:rFonts w:ascii="Verdana" w:eastAsia="Arial" w:hAnsi="Verdana" w:cs="Arial"/>
          <w:color w:val="000000"/>
        </w:rPr>
        <w:t xml:space="preserve">liegos de </w:t>
      </w:r>
      <w:r>
        <w:rPr>
          <w:rFonts w:ascii="Verdana" w:eastAsia="Arial" w:hAnsi="Verdana" w:cs="Arial"/>
          <w:color w:val="000000"/>
        </w:rPr>
        <w:t>C</w:t>
      </w:r>
      <w:r w:rsidRPr="00F845FD">
        <w:rPr>
          <w:rFonts w:ascii="Verdana" w:eastAsia="Arial" w:hAnsi="Verdana" w:cs="Arial"/>
          <w:color w:val="000000"/>
        </w:rPr>
        <w:t xml:space="preserve">ondiciones. El numeral 2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w:t>
      </w:r>
      <w:r w:rsidRPr="00F845FD">
        <w:rPr>
          <w:rFonts w:ascii="Verdana" w:eastAsia="Arial" w:hAnsi="Verdana" w:cs="Arial"/>
          <w:color w:val="000000"/>
        </w:rPr>
        <w:lastRenderedPageBreak/>
        <w:t xml:space="preserve">condiciones o equivalentes que permiten la comparación de ofertas. Este numeral 2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 – beneficio para la entidad. </w:t>
      </w:r>
    </w:p>
    <w:p w14:paraId="69C65508" w14:textId="77777777" w:rsidR="00015FFB" w:rsidRPr="00F845FD" w:rsidRDefault="00015FFB" w:rsidP="00015FFB">
      <w:pPr>
        <w:tabs>
          <w:tab w:val="left" w:pos="0"/>
        </w:tabs>
        <w:spacing w:after="120" w:line="276" w:lineRule="auto"/>
        <w:jc w:val="both"/>
        <w:rPr>
          <w:rFonts w:ascii="Verdana" w:eastAsia="Arial" w:hAnsi="Verdana" w:cs="Arial"/>
          <w:color w:val="000000"/>
        </w:rPr>
      </w:pPr>
      <w:r w:rsidRPr="00F845FD">
        <w:rPr>
          <w:rFonts w:ascii="Verdana" w:eastAsia="Arial" w:hAnsi="Verdana" w:cs="Arial"/>
          <w:color w:val="000000"/>
        </w:rPr>
        <w:tab/>
        <w:t>Por su parte, el numeral 3 establece que en los procesos de selección de bienes y servicios de características técnicas uniformes y de común utilización el único factor de evaluación consiste en el menor precio. Por último, el numeral 4, referente a procedimientos para selección de consultores, señala que debe hacerse uso de factores de calificación, para valorar los aspectos técnicos de la oferta, permitiendo que entre ellos se pondere la experiencia.</w:t>
      </w:r>
    </w:p>
    <w:p w14:paraId="78B912FB" w14:textId="77777777" w:rsidR="00015FFB" w:rsidRPr="003F4A18" w:rsidRDefault="00015FFB" w:rsidP="00015FFB">
      <w:pPr>
        <w:tabs>
          <w:tab w:val="left" w:pos="0"/>
        </w:tabs>
        <w:spacing w:after="0" w:line="276" w:lineRule="auto"/>
        <w:jc w:val="both"/>
        <w:rPr>
          <w:rFonts w:ascii="Verdana" w:eastAsia="Arial" w:hAnsi="Verdana" w:cs="Arial"/>
          <w:color w:val="000000"/>
        </w:rPr>
      </w:pPr>
      <w:r>
        <w:rPr>
          <w:rFonts w:ascii="Verdana" w:eastAsia="Calibri" w:hAnsi="Verdana" w:cs="Arial"/>
          <w:lang w:val="es-ES"/>
        </w:rPr>
        <w:tab/>
      </w:r>
      <w:r w:rsidRPr="003F4A18">
        <w:rPr>
          <w:rFonts w:ascii="Verdana" w:eastAsia="Arial" w:hAnsi="Verdana" w:cs="Arial"/>
          <w:color w:val="000000"/>
        </w:rPr>
        <w:t xml:space="preserve">Conforme a lo anterior, </w:t>
      </w:r>
      <w:r>
        <w:rPr>
          <w:rFonts w:ascii="Verdana" w:eastAsia="Arial" w:hAnsi="Verdana" w:cs="Arial"/>
          <w:color w:val="000000"/>
        </w:rPr>
        <w:t xml:space="preserve">se tiene que </w:t>
      </w:r>
      <w:r w:rsidRPr="003F4A18">
        <w:rPr>
          <w:rFonts w:ascii="Verdana" w:eastAsia="Arial" w:hAnsi="Verdana" w:cs="Arial"/>
          <w:color w:val="000000"/>
        </w:rPr>
        <w:t xml:space="preserve">el artículo 5 de la Ley 1150 de 2007, alude a diferentes conceptos como factores de escogencia, de calificación, técnicos y económicos de escogencia, de evaluación y calificación. Además, el artículo </w:t>
      </w:r>
      <w:r>
        <w:rPr>
          <w:rFonts w:ascii="Verdana" w:eastAsia="Arial" w:hAnsi="Verdana" w:cs="Arial"/>
          <w:color w:val="000000"/>
        </w:rPr>
        <w:t>hace referencia</w:t>
      </w:r>
      <w:r w:rsidRPr="003F4A18">
        <w:rPr>
          <w:rFonts w:ascii="Verdana" w:eastAsia="Arial" w:hAnsi="Verdana" w:cs="Arial"/>
          <w:color w:val="000000"/>
        </w:rPr>
        <w:t xml:space="preserv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 </w:t>
      </w:r>
      <w:r w:rsidRPr="003F4A18">
        <w:rPr>
          <w:rFonts w:ascii="Verdana" w:eastAsia="Arial" w:hAnsi="Verdana" w:cs="Arial"/>
          <w:color w:val="000000"/>
          <w:vertAlign w:val="superscript"/>
        </w:rPr>
        <w:footnoteReference w:id="5"/>
      </w:r>
      <w:r w:rsidRPr="003F4A18">
        <w:rPr>
          <w:rFonts w:ascii="Verdana" w:eastAsia="Arial" w:hAnsi="Verdana" w:cs="Arial"/>
          <w:color w:val="000000"/>
        </w:rPr>
        <w:t>. Todas estas categorías designan los “[…] factores a los cuales cabe otorgarles puntajes o que pueden ser ponderados, precisamente, pues estos son los factores que en últimas permiten una comparación de ofertas y una diferenciación entre ellas”</w:t>
      </w:r>
      <w:r w:rsidRPr="003F4A18">
        <w:rPr>
          <w:rFonts w:ascii="Verdana" w:eastAsia="Arial" w:hAnsi="Verdana" w:cs="Arial"/>
          <w:color w:val="000000"/>
          <w:vertAlign w:val="superscript"/>
        </w:rPr>
        <w:footnoteReference w:id="6"/>
      </w:r>
      <w:r w:rsidRPr="003F4A18">
        <w:rPr>
          <w:rFonts w:ascii="Verdana" w:eastAsia="Arial" w:hAnsi="Verdana" w:cs="Arial"/>
          <w:color w:val="000000"/>
        </w:rPr>
        <w:t>. Conforme a esto, la doctrina explica que:</w:t>
      </w:r>
    </w:p>
    <w:p w14:paraId="6F1A29C8" w14:textId="77777777" w:rsidR="00015FFB" w:rsidRPr="003F4A18" w:rsidRDefault="00015FFB" w:rsidP="00015FFB">
      <w:pPr>
        <w:tabs>
          <w:tab w:val="left" w:pos="0"/>
        </w:tabs>
        <w:spacing w:after="0" w:line="276" w:lineRule="auto"/>
        <w:ind w:left="709" w:right="709"/>
        <w:jc w:val="both"/>
        <w:rPr>
          <w:rFonts w:ascii="Verdana" w:eastAsia="Arial" w:hAnsi="Verdana" w:cs="Arial"/>
          <w:color w:val="000000"/>
          <w:sz w:val="21"/>
          <w:szCs w:val="21"/>
        </w:rPr>
      </w:pPr>
    </w:p>
    <w:p w14:paraId="59C1CE92" w14:textId="77777777" w:rsidR="00015FFB" w:rsidRPr="003F4A18" w:rsidRDefault="00015FFB" w:rsidP="00015FFB">
      <w:pPr>
        <w:tabs>
          <w:tab w:val="left" w:pos="0"/>
        </w:tabs>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 xml:space="preserve">“De acuerdo con ese entendimiento, el numeral 2 del artículo 5.° de la Ley  1150 de 2007, modificado por el artículo 88 de la Ley 1474 de 2011, comienza por señalar que </w:t>
      </w:r>
      <w:r>
        <w:rPr>
          <w:rFonts w:ascii="Verdana" w:eastAsia="Arial" w:hAnsi="Verdana" w:cs="Arial"/>
          <w:color w:val="000000"/>
          <w:sz w:val="20"/>
          <w:szCs w:val="20"/>
        </w:rPr>
        <w:t>‘</w:t>
      </w:r>
      <w:r w:rsidRPr="003F4A18">
        <w:rPr>
          <w:rFonts w:ascii="Verdana" w:eastAsia="Arial" w:hAnsi="Verdana" w:cs="Arial"/>
          <w:color w:val="000000"/>
          <w:sz w:val="20"/>
          <w:szCs w:val="20"/>
        </w:rPr>
        <w:t xml:space="preserve">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w:t>
      </w:r>
      <w:r w:rsidRPr="003F4A18">
        <w:rPr>
          <w:rFonts w:ascii="Verdana" w:eastAsia="Arial" w:hAnsi="Verdana" w:cs="Arial"/>
          <w:color w:val="000000"/>
          <w:sz w:val="20"/>
          <w:szCs w:val="20"/>
        </w:rPr>
        <w:lastRenderedPageBreak/>
        <w:t>contenidos en dichos documentos</w:t>
      </w:r>
      <w:r>
        <w:rPr>
          <w:rFonts w:ascii="Verdana" w:eastAsia="Arial" w:hAnsi="Verdana" w:cs="Arial"/>
          <w:color w:val="000000"/>
          <w:sz w:val="20"/>
          <w:szCs w:val="20"/>
        </w:rPr>
        <w:t>’</w:t>
      </w:r>
      <w:r w:rsidRPr="003F4A18">
        <w:rPr>
          <w:rFonts w:ascii="Verdana" w:eastAsia="Arial" w:hAnsi="Verdana" w:cs="Arial"/>
          <w:color w:val="000000"/>
          <w:sz w:val="20"/>
          <w:szCs w:val="20"/>
        </w:rPr>
        <w:t xml:space="preserve">.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7B1EAD0C" w14:textId="77777777" w:rsidR="00015FFB" w:rsidRPr="003F4A18" w:rsidRDefault="00015FFB" w:rsidP="00015FFB">
      <w:pPr>
        <w:tabs>
          <w:tab w:val="left" w:pos="0"/>
        </w:tabs>
        <w:spacing w:after="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62E1A8C8" w14:textId="77777777" w:rsidR="00015FFB" w:rsidRPr="003F4A18" w:rsidRDefault="00015FFB" w:rsidP="00015FFB">
      <w:pPr>
        <w:tabs>
          <w:tab w:val="left" w:pos="0"/>
        </w:tabs>
        <w:spacing w:after="12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w:t>
      </w:r>
    </w:p>
    <w:p w14:paraId="0614F194" w14:textId="77777777" w:rsidR="00015FFB" w:rsidRPr="003F4A18" w:rsidRDefault="00015FFB" w:rsidP="00015FFB">
      <w:pPr>
        <w:tabs>
          <w:tab w:val="left" w:pos="0"/>
        </w:tabs>
        <w:spacing w:after="0" w:line="240" w:lineRule="auto"/>
        <w:ind w:left="709" w:right="709"/>
        <w:jc w:val="both"/>
        <w:rPr>
          <w:rFonts w:ascii="Verdana" w:eastAsia="Arial" w:hAnsi="Verdana" w:cs="Arial"/>
          <w:color w:val="000000"/>
          <w:sz w:val="20"/>
          <w:szCs w:val="20"/>
        </w:rPr>
      </w:pPr>
      <w:r w:rsidRPr="003F4A18">
        <w:rPr>
          <w:rFonts w:ascii="Verdana" w:eastAsia="Arial" w:hAnsi="Verdana" w:cs="Arial"/>
          <w:color w:val="000000"/>
          <w:sz w:val="20"/>
          <w:szCs w:val="20"/>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3F4A18">
        <w:rPr>
          <w:rFonts w:ascii="Verdana" w:eastAsia="Arial" w:hAnsi="Verdana" w:cs="Arial"/>
          <w:color w:val="000000"/>
          <w:sz w:val="20"/>
          <w:szCs w:val="20"/>
          <w:vertAlign w:val="superscript"/>
        </w:rPr>
        <w:footnoteReference w:id="7"/>
      </w:r>
      <w:r w:rsidRPr="003F4A18">
        <w:rPr>
          <w:rFonts w:ascii="Verdana" w:eastAsia="Arial" w:hAnsi="Verdana" w:cs="Arial"/>
          <w:color w:val="000000"/>
          <w:sz w:val="20"/>
          <w:szCs w:val="20"/>
        </w:rPr>
        <w:t>.</w:t>
      </w:r>
    </w:p>
    <w:p w14:paraId="6C8463F9" w14:textId="77777777" w:rsidR="00015FFB" w:rsidRPr="003F4A18" w:rsidRDefault="00015FFB" w:rsidP="00015FFB">
      <w:pPr>
        <w:tabs>
          <w:tab w:val="left" w:pos="0"/>
        </w:tabs>
        <w:spacing w:after="0" w:line="276" w:lineRule="auto"/>
        <w:ind w:left="709" w:right="709"/>
        <w:jc w:val="both"/>
        <w:rPr>
          <w:rFonts w:ascii="Verdana" w:eastAsia="Arial" w:hAnsi="Verdana" w:cs="Arial"/>
          <w:color w:val="000000"/>
          <w:sz w:val="21"/>
          <w:szCs w:val="21"/>
        </w:rPr>
      </w:pPr>
    </w:p>
    <w:p w14:paraId="2DFC43EA" w14:textId="77777777" w:rsidR="00015FFB" w:rsidRPr="003F4A18" w:rsidRDefault="00015FFB" w:rsidP="00015FFB">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41C6369C" w14:textId="77777777" w:rsidR="00015FFB" w:rsidRPr="00781981" w:rsidRDefault="00015FFB" w:rsidP="00015FFB">
      <w:pPr>
        <w:tabs>
          <w:tab w:val="left" w:pos="0"/>
        </w:tabs>
        <w:spacing w:after="120" w:line="276" w:lineRule="auto"/>
        <w:jc w:val="both"/>
        <w:rPr>
          <w:rFonts w:ascii="Verdana" w:eastAsia="Arial" w:hAnsi="Verdana" w:cs="Arial"/>
          <w:color w:val="000000"/>
        </w:rPr>
      </w:pPr>
      <w:r w:rsidRPr="003F4A18">
        <w:rPr>
          <w:rFonts w:ascii="Verdana" w:eastAsia="Arial" w:hAnsi="Verdana" w:cs="Arial"/>
          <w:color w:val="000000"/>
        </w:rPr>
        <w:tab/>
        <w:t xml:space="preserve">En ese sentido, la asignación de puntaje es un mecanismo mediante el cual las entidades ponderan los factores de calificación </w:t>
      </w:r>
      <w:r w:rsidRPr="003F4A18">
        <w:rPr>
          <w:rFonts w:ascii="Tahoma" w:eastAsia="Tahoma" w:hAnsi="Tahoma" w:cs="Tahoma"/>
          <w:color w:val="000000"/>
        </w:rPr>
        <w:t>ꟷ</w:t>
      </w:r>
      <w:r w:rsidRPr="003F4A18">
        <w:rPr>
          <w:rFonts w:ascii="Verdana" w:eastAsia="Arial" w:hAnsi="Verdana" w:cs="Arial"/>
          <w:i/>
          <w:color w:val="000000"/>
        </w:rPr>
        <w:t>v.g.</w:t>
      </w:r>
      <w:r w:rsidRPr="003F4A18">
        <w:rPr>
          <w:rFonts w:ascii="Verdana" w:eastAsia="Arial" w:hAnsi="Verdana" w:cs="Arial"/>
          <w:color w:val="000000"/>
        </w:rPr>
        <w:t xml:space="preserve"> técnicos y económicos, de calidad y precio, etc.</w:t>
      </w:r>
      <w:r w:rsidRPr="003F4A18">
        <w:rPr>
          <w:rFonts w:ascii="Tahoma" w:eastAsia="Tahoma" w:hAnsi="Tahoma" w:cs="Tahoma"/>
          <w:color w:val="000000"/>
        </w:rPr>
        <w:t>ꟷ</w:t>
      </w:r>
      <w:r w:rsidRPr="003F4A18">
        <w:rPr>
          <w:rFonts w:ascii="Verdana" w:eastAsia="Arial" w:hAnsi="Verdana" w:cs="Arial"/>
          <w:color w:val="000000"/>
        </w:rPr>
        <w:t xml:space="preserve"> en un determinado proceso de selección, como se desprende del </w:t>
      </w:r>
      <w:r>
        <w:rPr>
          <w:rFonts w:ascii="Verdana" w:eastAsia="Arial" w:hAnsi="Verdana" w:cs="Arial"/>
          <w:color w:val="000000"/>
        </w:rPr>
        <w:t>literal a) del numeral 2 del artículo 5 de la Ley 1150 de 2007</w:t>
      </w:r>
      <w:r w:rsidRPr="003F4A18">
        <w:rPr>
          <w:rFonts w:ascii="Verdana" w:eastAsia="Arial" w:hAnsi="Verdana" w:cs="Arial"/>
          <w:color w:val="000000"/>
        </w:rPr>
        <w:t xml:space="preserve">. Sin embargo, no es este el único mecanismo de ponderación que tienen a su alcance las entidades estatales para determinar el ofrecimiento más favorable, pues el propio literal b) del artículo 5.2 posibilita que el ofrecimiento </w:t>
      </w:r>
      <w:r w:rsidRPr="003F4A18">
        <w:rPr>
          <w:rFonts w:ascii="Verdana" w:eastAsia="Arial" w:hAnsi="Verdana" w:cs="Arial"/>
          <w:color w:val="000000"/>
        </w:rPr>
        <w:lastRenderedPageBreak/>
        <w:t xml:space="preserve">más favorable se determine con un análisis de la relación </w:t>
      </w:r>
      <w:r>
        <w:rPr>
          <w:rFonts w:ascii="Verdana" w:eastAsia="Arial" w:hAnsi="Verdana" w:cs="Arial"/>
          <w:color w:val="000000"/>
        </w:rPr>
        <w:t>costo-beneficio</w:t>
      </w:r>
      <w:r w:rsidRPr="003F4A18">
        <w:rPr>
          <w:rFonts w:ascii="Verdana" w:eastAsia="Arial" w:hAnsi="Verdana" w:cs="Arial"/>
          <w:color w:val="000000"/>
        </w:rPr>
        <w:t xml:space="preserve">. A estos se suman, los procesos de selección de bienes y servicios de características técnicas uniformes y de común utilización, así como los de mínima cuantía, en los que –según los artículos 5.3 y 2.5 de la Ley 1150 de 2007– el único factor de </w:t>
      </w:r>
      <w:r w:rsidRPr="00781981">
        <w:rPr>
          <w:rFonts w:ascii="Verdana" w:eastAsia="Arial" w:hAnsi="Verdana" w:cs="Arial"/>
          <w:color w:val="000000"/>
        </w:rPr>
        <w:t>selección es el menor precio ofertado.</w:t>
      </w:r>
    </w:p>
    <w:p w14:paraId="6C29C6E6" w14:textId="77777777" w:rsidR="00015FFB" w:rsidRPr="003F4A18" w:rsidRDefault="00015FFB" w:rsidP="00015FFB">
      <w:pPr>
        <w:spacing w:after="120" w:line="276" w:lineRule="auto"/>
        <w:jc w:val="both"/>
        <w:rPr>
          <w:rFonts w:ascii="Verdana" w:eastAsia="Arial" w:hAnsi="Verdana" w:cs="Arial"/>
          <w:color w:val="000000"/>
        </w:rPr>
      </w:pPr>
      <w:r w:rsidRPr="00781981">
        <w:rPr>
          <w:rFonts w:ascii="Verdana" w:eastAsia="Arial" w:hAnsi="Verdana" w:cs="Arial"/>
          <w:color w:val="000000"/>
        </w:rPr>
        <w:tab/>
        <w:t>Ahora bien, y con el fin de resolver el problema jurídico planteado, es necesario</w:t>
      </w:r>
      <w:r w:rsidRPr="003F4A18">
        <w:rPr>
          <w:rFonts w:ascii="Verdana" w:eastAsia="Arial" w:hAnsi="Verdana" w:cs="Arial"/>
          <w:color w:val="000000"/>
        </w:rPr>
        <w:t xml:space="preserve"> destacar que las reglas para establecer la oferta más favorable conforme al artículo 5 de la Ley 1150 de 2007, se encuentran reglamentadas en el artículo 2.2.1.1.2.2.2 del Decreto 1082 de 2015, modificado por el Decreto 142 de 2023. Este artículo desarrolla los mecanismos de ponderación previstos en los literales a) y b) del </w:t>
      </w:r>
      <w:r>
        <w:rPr>
          <w:rFonts w:ascii="Verdana" w:eastAsia="Arial" w:hAnsi="Verdana" w:cs="Arial"/>
          <w:color w:val="000000"/>
        </w:rPr>
        <w:t xml:space="preserve">numeral 2 del </w:t>
      </w:r>
      <w:r w:rsidRPr="003F4A18">
        <w:rPr>
          <w:rFonts w:ascii="Verdana" w:eastAsia="Arial" w:hAnsi="Verdana" w:cs="Arial"/>
          <w:color w:val="000000"/>
        </w:rPr>
        <w:t xml:space="preserve">artículo 5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ii) las condiciones técnicas adicionales que representan ventajas de calidad o de funcionamiento; iii) las condiciones económicas adicionales que representen ventajas en términos de economía, eficiencia y eficacia; y iv) el valor en dinero que la </w:t>
      </w:r>
      <w:r>
        <w:rPr>
          <w:rFonts w:ascii="Verdana" w:eastAsia="Arial" w:hAnsi="Verdana" w:cs="Arial"/>
          <w:color w:val="000000"/>
        </w:rPr>
        <w:t>E</w:t>
      </w:r>
      <w:r w:rsidRPr="003F4A18">
        <w:rPr>
          <w:rFonts w:ascii="Verdana" w:eastAsia="Arial" w:hAnsi="Verdana" w:cs="Arial"/>
          <w:color w:val="000000"/>
        </w:rPr>
        <w:t xml:space="preserve">ntidad </w:t>
      </w:r>
      <w:r>
        <w:rPr>
          <w:rFonts w:ascii="Verdana" w:eastAsia="Arial" w:hAnsi="Verdana" w:cs="Arial"/>
          <w:color w:val="000000"/>
        </w:rPr>
        <w:t>E</w:t>
      </w:r>
      <w:r w:rsidRPr="003F4A18">
        <w:rPr>
          <w:rFonts w:ascii="Verdana" w:eastAsia="Arial" w:hAnsi="Verdana" w:cs="Arial"/>
          <w:color w:val="000000"/>
        </w:rPr>
        <w:t>statal asigna a cada ofrecimiento técnico o económico adicional. Teniendo en cuenta estos elementos, la entidad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r w:rsidRPr="003F4A18">
        <w:rPr>
          <w:rFonts w:ascii="Verdana" w:eastAsia="Arial" w:hAnsi="Verdana" w:cs="Arial"/>
          <w:color w:val="000000"/>
          <w:vertAlign w:val="superscript"/>
        </w:rPr>
        <w:footnoteReference w:id="8"/>
      </w:r>
      <w:r w:rsidRPr="003F4A18">
        <w:rPr>
          <w:rFonts w:ascii="Verdana" w:eastAsia="Arial" w:hAnsi="Verdana" w:cs="Arial"/>
          <w:color w:val="000000"/>
        </w:rPr>
        <w:t>.</w:t>
      </w:r>
    </w:p>
    <w:p w14:paraId="19C069A8" w14:textId="77777777" w:rsidR="00015FFB" w:rsidRDefault="00015FFB" w:rsidP="00015FFB">
      <w:pPr>
        <w:spacing w:after="0" w:line="276" w:lineRule="auto"/>
        <w:jc w:val="both"/>
        <w:rPr>
          <w:rFonts w:ascii="Verdana" w:eastAsia="Calibri" w:hAnsi="Verdana" w:cs="Arial"/>
          <w:lang w:val="es-ES"/>
        </w:rPr>
      </w:pPr>
      <w:r>
        <w:rPr>
          <w:rFonts w:ascii="Verdana" w:eastAsia="Calibri" w:hAnsi="Verdana" w:cs="Arial"/>
          <w:lang w:val="es-ES"/>
        </w:rPr>
        <w:lastRenderedPageBreak/>
        <w:tab/>
        <w:t>De otro lado, debe precisarse que, en caso de que el proceso de selección se adelante en aplicación de los Documentos Tipo para procesos de selección abreviada de menor cuantía de infraestructura de transporte – Versión 3 expedidos por esta Agencia, la ponderación de la oferta deberá realizarse conforme a las reglas dispuestas en el numeral 4.1.4 del “Documento Base”, que en su tenor literal establece:</w:t>
      </w:r>
    </w:p>
    <w:p w14:paraId="05A20E81" w14:textId="77777777" w:rsidR="00015FFB" w:rsidRDefault="00015FFB" w:rsidP="00015FFB">
      <w:pPr>
        <w:spacing w:after="0" w:line="276" w:lineRule="auto"/>
        <w:jc w:val="both"/>
        <w:rPr>
          <w:rFonts w:ascii="Verdana" w:eastAsia="Calibri" w:hAnsi="Verdana" w:cs="Arial"/>
          <w:lang w:val="es-ES"/>
        </w:rPr>
      </w:pPr>
    </w:p>
    <w:p w14:paraId="35130E61" w14:textId="77777777" w:rsidR="00015FFB" w:rsidRDefault="00015FFB" w:rsidP="00015FFB">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“La entidad seleccionará el método de ponderación de la propuesta económica, de acuerdo con las siguientes alternativas:</w:t>
      </w:r>
    </w:p>
    <w:p w14:paraId="371B7CD3" w14:textId="77777777" w:rsidR="00015FFB" w:rsidRDefault="00015FFB" w:rsidP="00015FFB">
      <w:pPr>
        <w:spacing w:after="0" w:line="240" w:lineRule="auto"/>
        <w:ind w:left="709" w:right="709"/>
        <w:jc w:val="both"/>
        <w:rPr>
          <w:rFonts w:ascii="Verdana" w:eastAsia="Calibri" w:hAnsi="Verdana" w:cs="Arial"/>
          <w:sz w:val="20"/>
          <w:szCs w:val="20"/>
          <w:lang w:val="es-ES"/>
        </w:rPr>
      </w:pPr>
    </w:p>
    <w:p w14:paraId="34907F79" w14:textId="77777777" w:rsidR="00015FFB" w:rsidRDefault="00015FFB" w:rsidP="00015FFB">
      <w:pPr>
        <w:spacing w:after="0" w:line="240" w:lineRule="auto"/>
        <w:ind w:left="709" w:right="709"/>
        <w:jc w:val="center"/>
        <w:rPr>
          <w:rFonts w:ascii="Verdana" w:eastAsia="Calibri" w:hAnsi="Verdana" w:cs="Arial"/>
          <w:sz w:val="20"/>
          <w:szCs w:val="20"/>
          <w:lang w:val="es-ES"/>
        </w:rPr>
      </w:pPr>
      <w:r w:rsidRPr="009C4755">
        <w:rPr>
          <w:rFonts w:ascii="Verdana" w:eastAsia="Calibri" w:hAnsi="Verdana" w:cs="Arial"/>
          <w:noProof/>
          <w:sz w:val="20"/>
          <w:szCs w:val="20"/>
          <w:lang w:val="es-ES"/>
        </w:rPr>
        <w:drawing>
          <wp:inline distT="0" distB="0" distL="0" distR="0" wp14:anchorId="1F2E7212" wp14:editId="53DAD39C">
            <wp:extent cx="2451100" cy="815184"/>
            <wp:effectExtent l="0" t="0" r="6350" b="4445"/>
            <wp:docPr id="2077062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06249" name=""/>
                    <pic:cNvPicPr/>
                  </pic:nvPicPr>
                  <pic:blipFill>
                    <a:blip r:embed="rId12"/>
                    <a:stretch>
                      <a:fillRect/>
                    </a:stretch>
                  </pic:blipFill>
                  <pic:spPr>
                    <a:xfrm>
                      <a:off x="0" y="0"/>
                      <a:ext cx="2461543" cy="818657"/>
                    </a:xfrm>
                    <a:prstGeom prst="rect">
                      <a:avLst/>
                    </a:prstGeom>
                  </pic:spPr>
                </pic:pic>
              </a:graphicData>
            </a:graphic>
          </wp:inline>
        </w:drawing>
      </w:r>
    </w:p>
    <w:p w14:paraId="2677101D" w14:textId="77777777" w:rsidR="00015FFB" w:rsidRDefault="00015FFB" w:rsidP="00015FFB">
      <w:pPr>
        <w:spacing w:after="0" w:line="240" w:lineRule="auto"/>
        <w:ind w:left="709" w:right="709"/>
        <w:jc w:val="both"/>
        <w:rPr>
          <w:rFonts w:ascii="Verdana" w:eastAsia="Calibri" w:hAnsi="Verdana" w:cs="Arial"/>
          <w:sz w:val="20"/>
          <w:szCs w:val="20"/>
          <w:lang w:val="es-ES"/>
        </w:rPr>
      </w:pPr>
    </w:p>
    <w:p w14:paraId="40B1E321" w14:textId="77777777" w:rsidR="00015FFB" w:rsidRDefault="00015FFB" w:rsidP="00015FFB">
      <w:pPr>
        <w:spacing w:after="0" w:line="240" w:lineRule="auto"/>
        <w:ind w:left="709" w:right="709"/>
        <w:jc w:val="both"/>
        <w:rPr>
          <w:rFonts w:cs="Arial"/>
          <w:szCs w:val="20"/>
        </w:rPr>
      </w:pPr>
      <w:r>
        <w:rPr>
          <w:rFonts w:ascii="Verdana" w:eastAsia="Calibri" w:hAnsi="Verdana" w:cs="Arial"/>
          <w:sz w:val="20"/>
          <w:szCs w:val="20"/>
          <w:lang w:val="es-ES"/>
        </w:rPr>
        <w:t xml:space="preserve">Para determinar el método de ponderación, la entidad tomará los centavos de la Tasa de Cambio Representativa del Mercado (TRM), certificada por la Superintendencia Financiera de Colombia (en su sitio web: </w:t>
      </w:r>
      <w:r w:rsidRPr="001D2634">
        <w:rPr>
          <w:rFonts w:cs="Arial"/>
          <w:szCs w:val="20"/>
        </w:rPr>
        <w:t>https://www.superfinanciera.gov.co/publicacion/60819)</w:t>
      </w:r>
    </w:p>
    <w:p w14:paraId="0363447B" w14:textId="77777777" w:rsidR="00015FFB" w:rsidRDefault="00015FFB" w:rsidP="00015FFB">
      <w:pPr>
        <w:spacing w:after="0" w:line="240" w:lineRule="auto"/>
        <w:ind w:left="709" w:right="709"/>
        <w:jc w:val="both"/>
        <w:rPr>
          <w:rFonts w:ascii="Verdana" w:eastAsia="Calibri" w:hAnsi="Verdana" w:cs="Arial"/>
          <w:sz w:val="20"/>
          <w:szCs w:val="20"/>
          <w:lang w:val="es-ES"/>
        </w:rPr>
      </w:pPr>
    </w:p>
    <w:p w14:paraId="1246CDD8" w14:textId="77777777" w:rsidR="00015FFB" w:rsidRDefault="00015FFB" w:rsidP="00015FFB">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 xml:space="preserve">La TRM que la entidad utilizará para determinar el método de ponderación será la que </w:t>
      </w:r>
      <w:r>
        <w:rPr>
          <w:rFonts w:ascii="Verdana" w:eastAsia="Calibri" w:hAnsi="Verdana" w:cs="Arial"/>
          <w:i/>
          <w:iCs/>
          <w:sz w:val="20"/>
          <w:szCs w:val="20"/>
          <w:lang w:val="es-ES"/>
        </w:rPr>
        <w:t xml:space="preserve">rija el segundo día hábil después de finalizado el periodo de traslado del informe de evaluación. </w:t>
      </w:r>
      <w:r>
        <w:rPr>
          <w:rFonts w:ascii="Verdana" w:eastAsia="Calibri" w:hAnsi="Verdana" w:cs="Arial"/>
          <w:sz w:val="20"/>
          <w:szCs w:val="20"/>
          <w:lang w:val="es-ES"/>
        </w:rPr>
        <w:t xml:space="preserve">Esto es, la </w:t>
      </w:r>
      <w:r w:rsidRPr="009C4755">
        <w:rPr>
          <w:rFonts w:ascii="Verdana" w:eastAsia="Calibri" w:hAnsi="Verdana" w:cs="Arial"/>
          <w:sz w:val="20"/>
          <w:szCs w:val="20"/>
          <w:lang w:val="es-ES"/>
        </w:rPr>
        <w:t xml:space="preserve">que la Superintendencia publique en horas de la tarde del día hábil siguiente a la fecha efectiva de </w:t>
      </w:r>
      <w:r w:rsidRPr="009C4755">
        <w:rPr>
          <w:rFonts w:ascii="Verdana" w:eastAsia="Calibri" w:hAnsi="Verdana" w:cs="Arial"/>
          <w:i/>
          <w:iCs/>
          <w:sz w:val="20"/>
          <w:szCs w:val="20"/>
          <w:lang w:val="es-ES"/>
        </w:rPr>
        <w:t>finalizado el periodo de traslado del informe de evaluación</w:t>
      </w:r>
      <w:r w:rsidRPr="009C4755">
        <w:rPr>
          <w:rFonts w:ascii="Verdana" w:eastAsia="Calibri" w:hAnsi="Verdana" w:cs="Arial"/>
          <w:sz w:val="20"/>
          <w:szCs w:val="20"/>
          <w:lang w:val="es-ES"/>
        </w:rPr>
        <w:t>.</w:t>
      </w:r>
      <w:r>
        <w:rPr>
          <w:rFonts w:ascii="Verdana" w:eastAsia="Calibri" w:hAnsi="Verdana" w:cs="Arial"/>
          <w:sz w:val="20"/>
          <w:szCs w:val="20"/>
          <w:lang w:val="es-ES"/>
        </w:rPr>
        <w:t xml:space="preserve"> </w:t>
      </w:r>
      <w:r w:rsidRPr="009C4755">
        <w:rPr>
          <w:rFonts w:ascii="Verdana" w:eastAsia="Calibri" w:hAnsi="Verdana" w:cs="Arial"/>
          <w:sz w:val="20"/>
          <w:szCs w:val="20"/>
          <w:highlight w:val="lightGray"/>
          <w:lang w:val="es-ES"/>
        </w:rPr>
        <w:t xml:space="preserve">[Por ejemplo, si el término de traslado del informe de evaluación finaliza el 10 de febrero, </w:t>
      </w:r>
      <w:r w:rsidRPr="009C4755">
        <w:rPr>
          <w:rFonts w:ascii="Verdana" w:eastAsia="Calibri" w:hAnsi="Verdana" w:cs="Arial"/>
          <w:sz w:val="20"/>
          <w:szCs w:val="20"/>
          <w:highlight w:val="lightGray"/>
          <w:lang w:val="es-ES"/>
        </w:rPr>
        <w:lastRenderedPageBreak/>
        <w:t>la TRM que se usará para determinar el método de evaluación será la del 12 de febrero, que se publica en la tarde el 11 de febrero]</w:t>
      </w:r>
    </w:p>
    <w:p w14:paraId="4153A2EC" w14:textId="77777777" w:rsidR="00015FFB" w:rsidRDefault="00015FFB" w:rsidP="00015FFB">
      <w:pPr>
        <w:spacing w:after="0" w:line="240" w:lineRule="auto"/>
        <w:ind w:left="709" w:right="709"/>
        <w:jc w:val="both"/>
        <w:rPr>
          <w:rFonts w:ascii="Verdana" w:eastAsia="Calibri" w:hAnsi="Verdana" w:cs="Arial"/>
          <w:sz w:val="20"/>
          <w:szCs w:val="20"/>
          <w:lang w:val="es-ES"/>
        </w:rPr>
      </w:pPr>
    </w:p>
    <w:p w14:paraId="409E0E34" w14:textId="77777777" w:rsidR="00015FFB" w:rsidRDefault="00015FFB" w:rsidP="00015FFB">
      <w:pPr>
        <w:spacing w:after="0" w:line="240" w:lineRule="auto"/>
        <w:ind w:left="709" w:right="709"/>
        <w:jc w:val="both"/>
        <w:rPr>
          <w:rFonts w:ascii="Verdana" w:eastAsia="Calibri" w:hAnsi="Verdana" w:cs="Arial"/>
          <w:sz w:val="20"/>
          <w:szCs w:val="20"/>
          <w:lang w:val="es-ES"/>
        </w:rPr>
      </w:pPr>
      <w:r w:rsidRPr="00F965D5">
        <w:rPr>
          <w:rFonts w:ascii="Verdana" w:eastAsia="Calibri" w:hAnsi="Verdana" w:cs="Arial"/>
          <w:sz w:val="20"/>
          <w:szCs w:val="20"/>
          <w:highlight w:val="lightGray"/>
          <w:lang w:val="es-ES"/>
        </w:rPr>
        <w:t>[Al momento de definir o modificar el cronograma del proceso la entidad deberá verificar que el segundo día hábil siguiente a la finalización del periodo de traslado del informe de evaluación, no corresponda a un día festivo en Estados Unidos, con el objetivo de no afectar el proceso de definición del método de ponderación de las propuestas.]</w:t>
      </w:r>
    </w:p>
    <w:p w14:paraId="0A93ABE6" w14:textId="77777777" w:rsidR="00015FFB" w:rsidRDefault="00015FFB" w:rsidP="00015FFB">
      <w:pPr>
        <w:spacing w:after="0" w:line="240" w:lineRule="auto"/>
        <w:ind w:left="709" w:right="709"/>
        <w:jc w:val="both"/>
        <w:rPr>
          <w:rFonts w:ascii="Verdana" w:eastAsia="Calibri" w:hAnsi="Verdana" w:cs="Arial"/>
          <w:sz w:val="20"/>
          <w:szCs w:val="20"/>
          <w:lang w:val="es-ES"/>
        </w:rPr>
      </w:pPr>
    </w:p>
    <w:p w14:paraId="5E364336" w14:textId="77777777" w:rsidR="00015FFB" w:rsidRDefault="00015FFB" w:rsidP="00015FFB">
      <w:pPr>
        <w:spacing w:after="0" w:line="240" w:lineRule="auto"/>
        <w:ind w:left="709" w:right="709"/>
        <w:jc w:val="both"/>
        <w:rPr>
          <w:rFonts w:ascii="Verdana" w:eastAsia="Calibri" w:hAnsi="Verdana" w:cs="Arial"/>
          <w:sz w:val="20"/>
          <w:szCs w:val="20"/>
          <w:lang w:val="es-ES"/>
        </w:rPr>
      </w:pPr>
      <w:r w:rsidRPr="00F965D5">
        <w:rPr>
          <w:rFonts w:ascii="Verdana" w:eastAsia="Calibri" w:hAnsi="Verdana" w:cs="Arial"/>
          <w:sz w:val="20"/>
          <w:szCs w:val="20"/>
          <w:lang w:val="es-ES"/>
        </w:rPr>
        <w:t>El método de ponderación se determinará de acuerdo con los rangos del siguiente cuadro:</w:t>
      </w:r>
    </w:p>
    <w:p w14:paraId="62BD5258" w14:textId="77777777" w:rsidR="00015FFB" w:rsidRDefault="00015FFB" w:rsidP="00015FFB">
      <w:pPr>
        <w:spacing w:after="0" w:line="240" w:lineRule="auto"/>
        <w:ind w:left="709" w:right="709"/>
        <w:jc w:val="both"/>
        <w:rPr>
          <w:rFonts w:ascii="Verdana" w:eastAsia="Calibri" w:hAnsi="Verdana" w:cs="Arial"/>
          <w:sz w:val="20"/>
          <w:szCs w:val="20"/>
          <w:lang w:val="es-ES"/>
        </w:rPr>
      </w:pPr>
    </w:p>
    <w:p w14:paraId="140CF11C" w14:textId="77777777" w:rsidR="00015FFB" w:rsidRDefault="00015FFB" w:rsidP="00015FFB">
      <w:pPr>
        <w:spacing w:after="0" w:line="240" w:lineRule="auto"/>
        <w:ind w:left="709" w:right="709"/>
        <w:jc w:val="center"/>
        <w:rPr>
          <w:rFonts w:ascii="Verdana" w:eastAsia="Calibri" w:hAnsi="Verdana" w:cs="Arial"/>
          <w:sz w:val="20"/>
          <w:szCs w:val="20"/>
          <w:lang w:val="es-ES"/>
        </w:rPr>
      </w:pPr>
      <w:r w:rsidRPr="00F965D5">
        <w:rPr>
          <w:rFonts w:ascii="Verdana" w:eastAsia="Calibri" w:hAnsi="Verdana" w:cs="Arial"/>
          <w:noProof/>
          <w:sz w:val="20"/>
          <w:szCs w:val="20"/>
          <w:lang w:val="es-ES"/>
        </w:rPr>
        <w:drawing>
          <wp:inline distT="0" distB="0" distL="0" distR="0" wp14:anchorId="0CF4F4EC" wp14:editId="2C64AEC5">
            <wp:extent cx="3359150" cy="1279676"/>
            <wp:effectExtent l="0" t="0" r="0" b="0"/>
            <wp:docPr id="18421394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139420" name=""/>
                    <pic:cNvPicPr/>
                  </pic:nvPicPr>
                  <pic:blipFill>
                    <a:blip r:embed="rId13"/>
                    <a:stretch>
                      <a:fillRect/>
                    </a:stretch>
                  </pic:blipFill>
                  <pic:spPr>
                    <a:xfrm>
                      <a:off x="0" y="0"/>
                      <a:ext cx="3373182" cy="1285022"/>
                    </a:xfrm>
                    <a:prstGeom prst="rect">
                      <a:avLst/>
                    </a:prstGeom>
                  </pic:spPr>
                </pic:pic>
              </a:graphicData>
            </a:graphic>
          </wp:inline>
        </w:drawing>
      </w:r>
    </w:p>
    <w:p w14:paraId="4F8A6B4E" w14:textId="77777777" w:rsidR="00015FFB" w:rsidRDefault="00015FFB" w:rsidP="00015FFB">
      <w:pPr>
        <w:spacing w:after="0" w:line="240" w:lineRule="auto"/>
        <w:ind w:left="709" w:right="709"/>
        <w:jc w:val="both"/>
        <w:rPr>
          <w:rFonts w:ascii="Verdana" w:eastAsia="Calibri" w:hAnsi="Verdana" w:cs="Arial"/>
          <w:sz w:val="20"/>
          <w:szCs w:val="20"/>
          <w:lang w:val="es-ES"/>
        </w:rPr>
      </w:pPr>
    </w:p>
    <w:p w14:paraId="0C4368A7" w14:textId="77777777" w:rsidR="00015FFB" w:rsidRDefault="00015FFB" w:rsidP="00015FFB">
      <w:pPr>
        <w:spacing w:after="0" w:line="240" w:lineRule="auto"/>
        <w:ind w:left="709" w:right="709"/>
        <w:jc w:val="both"/>
        <w:rPr>
          <w:rFonts w:ascii="Verdana" w:eastAsia="Calibri" w:hAnsi="Verdana" w:cs="Arial"/>
          <w:sz w:val="20"/>
          <w:szCs w:val="20"/>
          <w:lang w:val="es-ES"/>
        </w:rPr>
      </w:pPr>
      <w:r w:rsidRPr="00F965D5">
        <w:rPr>
          <w:rFonts w:ascii="Verdana" w:eastAsia="Calibri" w:hAnsi="Verdana" w:cs="Arial"/>
          <w:sz w:val="20"/>
          <w:szCs w:val="20"/>
          <w:lang w:val="es-ES"/>
        </w:rPr>
        <w:t>En todos los casos se tendrá en cuenta hasta el séptimo (7°) decimal del valor obtenido como puntaje y las fórmulas se aplicarán con las propuestas que no han sido rechazadas y se encuentran válidas.</w:t>
      </w:r>
    </w:p>
    <w:p w14:paraId="111295EE" w14:textId="77777777" w:rsidR="00015FFB" w:rsidRDefault="00015FFB" w:rsidP="00015FFB">
      <w:pPr>
        <w:spacing w:after="0" w:line="240" w:lineRule="auto"/>
        <w:ind w:left="709" w:right="709"/>
        <w:jc w:val="both"/>
        <w:rPr>
          <w:rFonts w:ascii="Verdana" w:eastAsia="Calibri" w:hAnsi="Verdana" w:cs="Arial"/>
          <w:sz w:val="20"/>
          <w:szCs w:val="20"/>
          <w:lang w:val="es-ES"/>
        </w:rPr>
      </w:pPr>
    </w:p>
    <w:p w14:paraId="110E74F9" w14:textId="77777777" w:rsidR="00015FFB" w:rsidRDefault="00015FFB" w:rsidP="00015FFB">
      <w:pPr>
        <w:spacing w:after="0" w:line="240" w:lineRule="auto"/>
        <w:ind w:left="709" w:right="709"/>
        <w:jc w:val="both"/>
        <w:rPr>
          <w:rFonts w:ascii="Verdana" w:eastAsia="Calibri" w:hAnsi="Verdana" w:cs="Arial"/>
          <w:sz w:val="20"/>
          <w:szCs w:val="20"/>
          <w:lang w:val="es-ES"/>
        </w:rPr>
      </w:pPr>
      <w:r w:rsidRPr="00F965D5">
        <w:rPr>
          <w:rFonts w:ascii="Verdana" w:eastAsia="Calibri" w:hAnsi="Verdana" w:cs="Arial"/>
          <w:sz w:val="20"/>
          <w:szCs w:val="20"/>
          <w:highlight w:val="lightGray"/>
          <w:lang w:val="es-ES"/>
        </w:rPr>
        <w:t>[En los procesos de contratación estructurados por lotes, la TRM definirá el método con el cual se asignará el puntaje para el primer lote o segmento a adjudicar, según el orden definido por la entidad. Para la adjudicación del segundo lote o segmento, se tomará el siguiente método de acuerdo con la tabla anterior en orden ascendente de acuerdo con la numeración definida para los rangos, y así sucesivamente; teniendo en cuenta que se reiniciará desde el primer método en caso de agotarse el último método]</w:t>
      </w:r>
    </w:p>
    <w:p w14:paraId="72AA400F" w14:textId="77777777" w:rsidR="00015FFB" w:rsidRPr="00F965D5" w:rsidRDefault="00015FFB" w:rsidP="00015FFB">
      <w:pPr>
        <w:spacing w:after="0" w:line="240" w:lineRule="auto"/>
        <w:ind w:left="709" w:right="709"/>
        <w:jc w:val="both"/>
        <w:rPr>
          <w:rFonts w:ascii="Verdana" w:eastAsia="Calibri" w:hAnsi="Verdana" w:cs="Arial"/>
          <w:sz w:val="20"/>
          <w:szCs w:val="20"/>
          <w:lang w:val="es-ES"/>
        </w:rPr>
      </w:pPr>
    </w:p>
    <w:p w14:paraId="086863DB" w14:textId="77777777" w:rsidR="00015FFB" w:rsidRDefault="00015FFB" w:rsidP="00015FFB">
      <w:pPr>
        <w:spacing w:after="0" w:line="240" w:lineRule="auto"/>
        <w:ind w:left="709" w:right="709"/>
        <w:jc w:val="both"/>
        <w:rPr>
          <w:rFonts w:ascii="Verdana" w:eastAsia="Calibri" w:hAnsi="Verdana" w:cs="Arial"/>
          <w:sz w:val="20"/>
          <w:szCs w:val="20"/>
          <w:lang w:val="es-ES"/>
        </w:rPr>
      </w:pPr>
      <w:r w:rsidRPr="00F965D5">
        <w:rPr>
          <w:rFonts w:ascii="Verdana" w:eastAsia="Calibri" w:hAnsi="Verdana" w:cs="Arial"/>
          <w:sz w:val="20"/>
          <w:szCs w:val="20"/>
          <w:lang w:val="es-ES"/>
        </w:rPr>
        <w:t>Las propuestas que al aplicar las fórmulas obtengan puntajes negativos obtienen cero (0) puntos en la oferta económica</w:t>
      </w:r>
    </w:p>
    <w:p w14:paraId="27CB8B52" w14:textId="77777777" w:rsidR="00015FFB" w:rsidRDefault="00015FFB" w:rsidP="00015FFB">
      <w:pPr>
        <w:spacing w:after="0" w:line="240" w:lineRule="auto"/>
        <w:ind w:left="709" w:right="709"/>
        <w:jc w:val="both"/>
        <w:rPr>
          <w:rFonts w:ascii="Verdana" w:eastAsia="Calibri" w:hAnsi="Verdana" w:cs="Arial"/>
          <w:sz w:val="20"/>
          <w:szCs w:val="20"/>
          <w:lang w:val="es-ES"/>
        </w:rPr>
      </w:pPr>
    </w:p>
    <w:p w14:paraId="46AC9C8F" w14:textId="77777777" w:rsidR="00015FFB" w:rsidRPr="009C4755" w:rsidRDefault="00015FFB" w:rsidP="00015FFB">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w:t>
      </w:r>
      <w:r w:rsidRPr="00F965D5">
        <w:rPr>
          <w:rFonts w:ascii="Verdana" w:eastAsia="Calibri" w:hAnsi="Verdana" w:cs="Arial"/>
          <w:sz w:val="20"/>
          <w:szCs w:val="20"/>
          <w:lang w:val="es-ES"/>
        </w:rPr>
        <w:t>.</w:t>
      </w:r>
    </w:p>
    <w:p w14:paraId="66FEF6A2" w14:textId="77777777" w:rsidR="00015FFB" w:rsidRDefault="00015FFB" w:rsidP="00015FFB">
      <w:pPr>
        <w:spacing w:after="0" w:line="276" w:lineRule="auto"/>
        <w:jc w:val="both"/>
        <w:rPr>
          <w:rFonts w:ascii="Verdana" w:eastAsia="Calibri" w:hAnsi="Verdana" w:cs="Arial"/>
          <w:lang w:val="es-ES"/>
        </w:rPr>
      </w:pPr>
    </w:p>
    <w:p w14:paraId="5E489924" w14:textId="77777777" w:rsidR="00015FFB" w:rsidRDefault="00015FFB" w:rsidP="00015FFB">
      <w:pPr>
        <w:spacing w:after="0" w:line="276" w:lineRule="auto"/>
        <w:ind w:firstLine="708"/>
        <w:jc w:val="both"/>
        <w:rPr>
          <w:rFonts w:ascii="Verdana" w:eastAsia="Calibri" w:hAnsi="Verdana" w:cs="Arial"/>
          <w:lang w:val="es-ES"/>
        </w:rPr>
      </w:pPr>
      <w:r>
        <w:rPr>
          <w:rFonts w:ascii="Verdana" w:eastAsia="Calibri" w:hAnsi="Verdana" w:cs="Arial"/>
          <w:lang w:val="es-ES"/>
        </w:rPr>
        <w:t xml:space="preserve">En ese sentido, y en caso de resultar aplicable los referidos Documentos Tipo, las Entidades Estatales deberán desarrollar sus procesos de selección abreviada de menor cuantía observando las reglas allí dispuestas, respetando la regla de inalterabilidad de los referidos documentos. Es decir, que no podrán incluir o modificar en los documentos del proceso, las condiciones habilitantes, los factores técnicos y económicos de escogencia, así como los sistemas de </w:t>
      </w:r>
      <w:r>
        <w:rPr>
          <w:rFonts w:ascii="Verdana" w:eastAsia="Calibri" w:hAnsi="Verdana" w:cs="Arial"/>
          <w:lang w:val="es-ES"/>
        </w:rPr>
        <w:lastRenderedPageBreak/>
        <w:t xml:space="preserve">ponderación señalados en los Documentos Tipo salvo, en los apartes que estos mismos lo permitan. </w:t>
      </w:r>
    </w:p>
    <w:p w14:paraId="2227D053" w14:textId="77777777" w:rsidR="00015FFB" w:rsidRPr="00F50E68" w:rsidRDefault="00015FFB" w:rsidP="00015FFB">
      <w:pPr>
        <w:spacing w:before="120" w:line="276" w:lineRule="auto"/>
        <w:ind w:firstLine="709"/>
        <w:jc w:val="both"/>
        <w:rPr>
          <w:rFonts w:ascii="Verdana" w:eastAsia="Calibri" w:hAnsi="Verdana" w:cs="Arial"/>
        </w:rPr>
      </w:pPr>
      <w:r w:rsidRPr="00E431A7">
        <w:rPr>
          <w:rFonts w:ascii="Verdana" w:eastAsia="Calibri" w:hAnsi="Verdana" w:cs="Arial"/>
          <w:color w:val="000000"/>
        </w:rPr>
        <w:t>Finalme</w:t>
      </w:r>
      <w:r w:rsidRPr="00B31C93">
        <w:rPr>
          <w:rFonts w:ascii="Verdana" w:eastAsia="Calibri" w:hAnsi="Verdana" w:cs="Arial"/>
        </w:rPr>
        <w:t>nte</w:t>
      </w:r>
      <w:r w:rsidRPr="00F50E68">
        <w:rPr>
          <w:rFonts w:ascii="Verdana" w:eastAsia="Calibri" w:hAnsi="Verdana" w:cs="Arial"/>
        </w:rPr>
        <w:t xml:space="preserve">, debe advertirse que el análisis requerido para resolver problemas específicos en torno a la </w:t>
      </w:r>
      <w:r>
        <w:rPr>
          <w:rFonts w:ascii="Verdana" w:eastAsia="Calibri" w:hAnsi="Verdana" w:cs="Arial"/>
        </w:rPr>
        <w:t>gestión contractual de las Entidades Estatales</w:t>
      </w:r>
      <w:r w:rsidRPr="00F50E68">
        <w:rPr>
          <w:rFonts w:ascii="Verdana" w:eastAsia="Calibri"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6C6FB640" w14:textId="77777777" w:rsidR="00015FFB" w:rsidRPr="0019499E" w:rsidRDefault="00015FFB" w:rsidP="00015FFB">
      <w:pPr>
        <w:widowControl w:val="0"/>
        <w:autoSpaceDE w:val="0"/>
        <w:autoSpaceDN w:val="0"/>
        <w:spacing w:before="120" w:after="0" w:line="276" w:lineRule="auto"/>
        <w:ind w:firstLine="709"/>
        <w:jc w:val="both"/>
        <w:rPr>
          <w:rFonts w:ascii="Verdana" w:eastAsia="Calibri" w:hAnsi="Verdana" w:cs="Arial"/>
        </w:rPr>
      </w:pPr>
      <w:r w:rsidRPr="0019499E">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4AF94A3" w14:textId="77777777" w:rsidR="00015FFB" w:rsidRPr="0019499E" w:rsidRDefault="00015FFB" w:rsidP="00015FFB">
      <w:pPr>
        <w:spacing w:after="0" w:line="276" w:lineRule="auto"/>
        <w:jc w:val="both"/>
        <w:rPr>
          <w:rFonts w:ascii="Verdana" w:eastAsia="Calibri" w:hAnsi="Verdana" w:cs="Arial"/>
          <w:lang w:val="es-ES" w:eastAsia="es-CO"/>
        </w:rPr>
      </w:pPr>
    </w:p>
    <w:p w14:paraId="2EE5ED89" w14:textId="77777777" w:rsidR="00015FFB" w:rsidRPr="0019499E" w:rsidRDefault="00015FFB" w:rsidP="00015FFB">
      <w:pPr>
        <w:widowControl w:val="0"/>
        <w:autoSpaceDE w:val="0"/>
        <w:autoSpaceDN w:val="0"/>
        <w:spacing w:before="1" w:after="0" w:line="240" w:lineRule="auto"/>
        <w:outlineLvl w:val="0"/>
        <w:rPr>
          <w:rFonts w:ascii="Verdana" w:eastAsia="Arial" w:hAnsi="Verdana" w:cs="Arial"/>
          <w:b/>
          <w:bCs/>
          <w:lang w:val="es-ES"/>
        </w:rPr>
      </w:pPr>
      <w:r w:rsidRPr="0019499E">
        <w:rPr>
          <w:rFonts w:ascii="Verdana" w:eastAsia="Arial" w:hAnsi="Verdana" w:cs="Arial"/>
          <w:b/>
          <w:bCs/>
          <w:lang w:val="es-ES"/>
        </w:rPr>
        <w:t>4.Referencias normativas, jurisprudenciales y otras fuentes:</w:t>
      </w:r>
    </w:p>
    <w:p w14:paraId="45D65CB6" w14:textId="77777777" w:rsidR="00015FFB" w:rsidRPr="0019499E" w:rsidRDefault="00015FFB" w:rsidP="00015FFB">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5FFB" w:rsidRPr="0019499E" w14:paraId="5C937FD4" w14:textId="77777777" w:rsidTr="00953EAD">
        <w:trPr>
          <w:trHeight w:val="870"/>
        </w:trPr>
        <w:tc>
          <w:tcPr>
            <w:tcW w:w="8647" w:type="dxa"/>
          </w:tcPr>
          <w:p w14:paraId="4BAF97F2" w14:textId="77777777" w:rsidR="00015FFB" w:rsidRDefault="00015FFB" w:rsidP="00015FFB">
            <w:pPr>
              <w:widowControl w:val="0"/>
              <w:numPr>
                <w:ilvl w:val="0"/>
                <w:numId w:val="1"/>
              </w:numPr>
              <w:autoSpaceDE w:val="0"/>
              <w:autoSpaceDN w:val="0"/>
              <w:spacing w:line="276" w:lineRule="auto"/>
              <w:contextualSpacing/>
              <w:jc w:val="both"/>
              <w:rPr>
                <w:rFonts w:ascii="Verdana" w:eastAsia="Aptos" w:hAnsi="Verdana" w:cs="Arial"/>
              </w:rPr>
            </w:pPr>
            <w:r>
              <w:rPr>
                <w:rFonts w:ascii="Verdana" w:eastAsia="Aptos" w:hAnsi="Verdana" w:cs="Arial"/>
              </w:rPr>
              <w:t>Ley 1150 de 2007. Artículo 2, numeral 2, literal b); Artículo 5, numeral 2.</w:t>
            </w:r>
          </w:p>
          <w:p w14:paraId="2A64F2FC" w14:textId="77777777" w:rsidR="00015FFB" w:rsidRDefault="00015FFB" w:rsidP="00015FFB">
            <w:pPr>
              <w:widowControl w:val="0"/>
              <w:numPr>
                <w:ilvl w:val="0"/>
                <w:numId w:val="1"/>
              </w:numPr>
              <w:autoSpaceDE w:val="0"/>
              <w:autoSpaceDN w:val="0"/>
              <w:spacing w:line="276" w:lineRule="auto"/>
              <w:contextualSpacing/>
              <w:jc w:val="both"/>
              <w:rPr>
                <w:rFonts w:ascii="Verdana" w:eastAsia="Aptos" w:hAnsi="Verdana" w:cs="Arial"/>
              </w:rPr>
            </w:pPr>
            <w:r>
              <w:rPr>
                <w:rFonts w:ascii="Verdana" w:eastAsia="Aptos" w:hAnsi="Verdana" w:cs="Arial"/>
              </w:rPr>
              <w:t xml:space="preserve">Decreto 1082 de 2015. Artículos </w:t>
            </w:r>
            <w:r w:rsidRPr="00CD2CDF">
              <w:rPr>
                <w:rFonts w:ascii="Verdana" w:hAnsi="Verdana"/>
              </w:rPr>
              <w:t>2.2.1.1.2.2.2</w:t>
            </w:r>
            <w:r>
              <w:rPr>
                <w:rFonts w:ascii="Verdana" w:hAnsi="Verdana"/>
              </w:rPr>
              <w:t>,</w:t>
            </w:r>
            <w:r>
              <w:rPr>
                <w:rFonts w:ascii="Verdana" w:eastAsia="Aptos" w:hAnsi="Verdana" w:cs="Arial"/>
              </w:rPr>
              <w:t xml:space="preserve"> </w:t>
            </w:r>
            <w:r w:rsidRPr="001B7249">
              <w:rPr>
                <w:rFonts w:ascii="Verdana" w:eastAsia="Aptos" w:hAnsi="Verdana" w:cs="Arial"/>
              </w:rPr>
              <w:t>2.2.1.2.1.2.20</w:t>
            </w:r>
          </w:p>
          <w:p w14:paraId="7DCA7FBD" w14:textId="77777777" w:rsidR="00015FFB" w:rsidRPr="00203216" w:rsidRDefault="00015FFB" w:rsidP="00015FFB">
            <w:pPr>
              <w:pStyle w:val="Prrafodelista"/>
              <w:numPr>
                <w:ilvl w:val="0"/>
                <w:numId w:val="1"/>
              </w:numPr>
              <w:jc w:val="both"/>
              <w:rPr>
                <w:rFonts w:ascii="Verdana" w:eastAsia="Geomanist Light" w:hAnsi="Verdana" w:cs="Arial"/>
                <w:color w:val="000000" w:themeColor="text1"/>
                <w:lang w:val="es-MX"/>
              </w:rPr>
            </w:pPr>
            <w:r>
              <w:rPr>
                <w:rFonts w:ascii="Verdana" w:eastAsia="Aptos" w:hAnsi="Verdana" w:cs="Arial"/>
              </w:rPr>
              <w:t xml:space="preserve">Documentos Tipo para procesos de selección abreviada de menor cuantía de infraestructura de transporte – Versión 3. Numeral 2.3 del Documento Base; Formato 10 – Carta de Manifestación del Interés. Disponible </w:t>
            </w:r>
            <w:hyperlink r:id="rId14" w:history="1">
              <w:r w:rsidRPr="001B7249">
                <w:rPr>
                  <w:rStyle w:val="Hipervnculo"/>
                  <w:rFonts w:ascii="Verdana" w:eastAsia="Aptos" w:hAnsi="Verdana" w:cs="Arial"/>
                </w:rPr>
                <w:t>aquí</w:t>
              </w:r>
            </w:hyperlink>
          </w:p>
        </w:tc>
      </w:tr>
    </w:tbl>
    <w:p w14:paraId="219BBFC2" w14:textId="77777777" w:rsidR="00015FFB" w:rsidRPr="0019499E" w:rsidRDefault="00015FFB" w:rsidP="00015FFB">
      <w:pPr>
        <w:widowControl w:val="0"/>
        <w:autoSpaceDE w:val="0"/>
        <w:autoSpaceDN w:val="0"/>
        <w:spacing w:after="0" w:line="276" w:lineRule="auto"/>
        <w:jc w:val="both"/>
        <w:rPr>
          <w:rFonts w:ascii="Verdana" w:eastAsia="Aptos" w:hAnsi="Verdana" w:cs="Arial"/>
        </w:rPr>
      </w:pPr>
    </w:p>
    <w:p w14:paraId="6F1843D9" w14:textId="77777777" w:rsidR="00015FFB" w:rsidRPr="0019499E" w:rsidRDefault="00015FFB" w:rsidP="00015FFB">
      <w:pPr>
        <w:widowControl w:val="0"/>
        <w:autoSpaceDE w:val="0"/>
        <w:autoSpaceDN w:val="0"/>
        <w:spacing w:before="1" w:after="0" w:line="276" w:lineRule="auto"/>
        <w:outlineLvl w:val="0"/>
        <w:rPr>
          <w:rFonts w:ascii="Verdana" w:eastAsia="Arial" w:hAnsi="Verdana" w:cs="Arial"/>
          <w:b/>
          <w:bCs/>
          <w:lang w:val="es-ES"/>
        </w:rPr>
      </w:pPr>
      <w:r w:rsidRPr="0019499E">
        <w:rPr>
          <w:rFonts w:ascii="Verdana" w:eastAsia="Arial" w:hAnsi="Verdana" w:cs="Arial"/>
          <w:b/>
          <w:bCs/>
          <w:lang w:val="es-ES"/>
        </w:rPr>
        <w:t>5. Doctrina de la Agencia Nacional de Contratación Pública:</w:t>
      </w:r>
    </w:p>
    <w:p w14:paraId="10EFDBE3" w14:textId="77777777" w:rsidR="00015FFB" w:rsidRPr="0019499E" w:rsidRDefault="00015FFB" w:rsidP="00015FFB">
      <w:pPr>
        <w:widowControl w:val="0"/>
        <w:autoSpaceDE w:val="0"/>
        <w:autoSpaceDN w:val="0"/>
        <w:spacing w:after="0" w:line="276" w:lineRule="auto"/>
        <w:jc w:val="both"/>
        <w:rPr>
          <w:rFonts w:ascii="Verdana" w:eastAsia="Aptos" w:hAnsi="Verdana" w:cs="Arial"/>
        </w:rPr>
      </w:pPr>
    </w:p>
    <w:p w14:paraId="5CD35746" w14:textId="77777777" w:rsidR="00015FFB" w:rsidRPr="0019499E" w:rsidRDefault="00015FFB" w:rsidP="00015FFB">
      <w:pPr>
        <w:jc w:val="both"/>
        <w:rPr>
          <w:rFonts w:ascii="Verdana" w:hAnsi="Verdana" w:cs="Arial"/>
          <w:shd w:val="clear" w:color="auto" w:fill="FFFFFF"/>
          <w:lang w:val="es-ES"/>
        </w:rPr>
      </w:pPr>
      <w:r w:rsidRPr="002069C6">
        <w:rPr>
          <w:rStyle w:val="normaltextrun"/>
          <w:rFonts w:ascii="Verdana" w:hAnsi="Verdana" w:cs="Arial"/>
          <w:color w:val="000000" w:themeColor="text1"/>
          <w:shd w:val="clear" w:color="auto" w:fill="FFFFFF"/>
          <w:lang w:val="es-ES"/>
        </w:rPr>
        <w:t>La Agencia Nacional de Contratación Pública – Colombia Compra Eficiente</w:t>
      </w:r>
      <w:r>
        <w:rPr>
          <w:rStyle w:val="normaltextrun"/>
          <w:rFonts w:ascii="Verdana" w:hAnsi="Verdana" w:cs="Arial"/>
          <w:color w:val="000000" w:themeColor="text1"/>
          <w:shd w:val="clear" w:color="auto" w:fill="FFFFFF"/>
          <w:lang w:val="es-ES"/>
        </w:rPr>
        <w:t xml:space="preserve"> </w:t>
      </w:r>
      <w:r>
        <w:rPr>
          <w:rFonts w:ascii="Verdana" w:eastAsia="Calibri" w:hAnsi="Verdana" w:cs="Arial"/>
          <w:lang w:val="es-ES_tradnl" w:eastAsia="es-ES_tradnl"/>
        </w:rPr>
        <w:t>se ha pronunciado s</w:t>
      </w:r>
      <w:r w:rsidRPr="008557D1">
        <w:rPr>
          <w:rFonts w:ascii="Verdana" w:eastAsia="Calibri" w:hAnsi="Verdana" w:cs="Arial"/>
          <w:lang w:val="es-ES_tradnl" w:eastAsia="es-ES_tradnl"/>
        </w:rPr>
        <w:t xml:space="preserve">obre </w:t>
      </w:r>
      <w:r>
        <w:rPr>
          <w:rFonts w:ascii="Verdana" w:eastAsia="Calibri" w:hAnsi="Verdana" w:cs="Arial"/>
          <w:lang w:val="es-ES_tradnl" w:eastAsia="es-ES_tradnl"/>
        </w:rPr>
        <w:t>los procesos de selección abreviada de menor cuantía,</w:t>
      </w:r>
      <w:r w:rsidRPr="008557D1">
        <w:rPr>
          <w:rFonts w:ascii="Verdana" w:eastAsia="Calibri" w:hAnsi="Verdana" w:cs="Arial"/>
          <w:lang w:val="es-ES_tradnl" w:eastAsia="es-ES_tradnl"/>
        </w:rPr>
        <w:t xml:space="preserve"> en los conceptos</w:t>
      </w:r>
      <w:r w:rsidRPr="008557D1">
        <w:rPr>
          <w:rFonts w:ascii="Verdana" w:eastAsia="Calibri" w:hAnsi="Verdana" w:cs="Arial"/>
          <w:lang w:val="es-MX"/>
        </w:rPr>
        <w:t xml:space="preserve"> </w:t>
      </w:r>
      <w:r w:rsidRPr="00347393">
        <w:rPr>
          <w:rFonts w:ascii="Verdana" w:eastAsia="Calibri" w:hAnsi="Verdana" w:cs="Arial"/>
          <w:lang w:val="es-ES_tradnl" w:eastAsia="es-MX"/>
        </w:rPr>
        <w:t>C-139 del 31 de marzo de 2020, C- 767 del 07 de enero de 2021, C-425 del 06 de julio de 2022, C-728 del 10 de noviembre de 2022, C-095 del 04 de mayo de 2024, C-616 del 29 de octubre de 2024</w:t>
      </w:r>
      <w:r w:rsidRPr="00347393">
        <w:rPr>
          <w:rFonts w:ascii="Verdana" w:eastAsia="Calibri" w:hAnsi="Verdana" w:cs="Arial"/>
          <w:lang w:eastAsia="es-ES"/>
        </w:rPr>
        <w:t xml:space="preserve">, C-967 del 21 de enero de </w:t>
      </w:r>
      <w:r w:rsidRPr="00347393">
        <w:rPr>
          <w:rFonts w:ascii="Verdana" w:eastAsia="Calibri" w:hAnsi="Verdana" w:cs="Arial"/>
          <w:lang w:eastAsia="es-ES"/>
        </w:rPr>
        <w:lastRenderedPageBreak/>
        <w:t>2025, C-537 del 14 de mayo de 2025, C-1377 del 3 de noviembre de 2025,</w:t>
      </w:r>
      <w:r w:rsidRPr="0074416B">
        <w:rPr>
          <w:rFonts w:ascii="Verdana" w:eastAsia="Calibri" w:hAnsi="Verdana" w:cs="Times New Roman"/>
        </w:rPr>
        <w:t xml:space="preserve"> </w:t>
      </w:r>
      <w:r w:rsidRPr="00103E5F">
        <w:rPr>
          <w:rFonts w:ascii="Verdana" w:eastAsia="Calibri" w:hAnsi="Verdana" w:cs="Times New Roman"/>
        </w:rPr>
        <w:t>C-1862 de</w:t>
      </w:r>
      <w:r>
        <w:rPr>
          <w:rFonts w:ascii="Verdana" w:eastAsia="Calibri" w:hAnsi="Verdana" w:cs="Times New Roman"/>
        </w:rPr>
        <w:t>l 20 de enero de</w:t>
      </w:r>
      <w:r w:rsidRPr="00103E5F">
        <w:rPr>
          <w:rFonts w:ascii="Verdana" w:eastAsia="Calibri" w:hAnsi="Verdana" w:cs="Times New Roman"/>
        </w:rPr>
        <w:t xml:space="preserve"> 202</w:t>
      </w:r>
      <w:r>
        <w:rPr>
          <w:rFonts w:ascii="Verdana" w:eastAsia="Calibri" w:hAnsi="Verdana" w:cs="Times New Roman"/>
        </w:rPr>
        <w:t>6, C-019 del 16 de febrero de 2026, C-401 del 27 de marzo de 2026</w:t>
      </w:r>
      <w:r>
        <w:rPr>
          <w:rFonts w:ascii="Verdana" w:eastAsia="Calibri" w:hAnsi="Verdana" w:cs="Arial"/>
          <w:lang w:val="es-ES" w:eastAsia="es-ES"/>
        </w:rPr>
        <w:t>, entre otros</w:t>
      </w:r>
      <w:r w:rsidRPr="008557D1">
        <w:rPr>
          <w:rFonts w:ascii="Verdana" w:hAnsi="Verdana" w:cs="Arial"/>
        </w:rPr>
        <w:t xml:space="preserve">. </w:t>
      </w:r>
      <w:r w:rsidRPr="0019499E">
        <w:rPr>
          <w:rFonts w:ascii="Verdana" w:eastAsia="Calibri" w:hAnsi="Verdana" w:cs="Arial"/>
          <w:bCs/>
          <w:shd w:val="clear" w:color="auto" w:fill="FFFFFF"/>
          <w:lang w:val="es-ES"/>
        </w:rPr>
        <w:t xml:space="preserve">En tal sentido, recoge los conceptos expuestos, sin perjuicio de otras consideraciones. </w:t>
      </w:r>
      <w:r w:rsidRPr="0019499E">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history="1">
        <w:r w:rsidRPr="0019499E">
          <w:rPr>
            <w:rFonts w:ascii="Verdana" w:eastAsia="Aptos" w:hAnsi="Verdana" w:cs="Arial"/>
            <w:u w:val="single"/>
            <w:shd w:val="clear" w:color="auto" w:fill="FFFFFF"/>
            <w:lang w:val="es-ES"/>
          </w:rPr>
          <w:t>https://relatoria.colombiacompra.gov.co/</w:t>
        </w:r>
      </w:hyperlink>
      <w:r w:rsidRPr="0019499E">
        <w:rPr>
          <w:rFonts w:ascii="Verdana" w:eastAsia="Aptos" w:hAnsi="Verdana" w:cs="Arial"/>
          <w:shd w:val="clear" w:color="auto" w:fill="FFFFFF"/>
          <w:lang w:val="es-ES"/>
        </w:rPr>
        <w:t xml:space="preserve">. </w:t>
      </w:r>
    </w:p>
    <w:p w14:paraId="32C80108" w14:textId="77777777" w:rsidR="00015FFB" w:rsidRPr="0019499E" w:rsidRDefault="00015FFB" w:rsidP="00015FFB">
      <w:pPr>
        <w:spacing w:before="120" w:after="120" w:line="276" w:lineRule="auto"/>
        <w:ind w:firstLine="709"/>
        <w:jc w:val="both"/>
        <w:rPr>
          <w:rFonts w:ascii="Verdana" w:eastAsia="Aptos" w:hAnsi="Verdana" w:cs="Times New Roman"/>
        </w:rPr>
      </w:pPr>
      <w:r w:rsidRPr="0019499E">
        <w:rPr>
          <w:rFonts w:ascii="Verdana" w:eastAsia="Aptos" w:hAnsi="Verdana" w:cs="Times New Roman"/>
        </w:rPr>
        <w:t xml:space="preserve">La sostenibilidad no es una opción, es una obligación. Por ello, la Agencia Nacional de Contratación Pública –Colombia Compra Eficiente– te invita a realizar el </w:t>
      </w:r>
      <w:r w:rsidRPr="0019499E">
        <w:rPr>
          <w:rFonts w:ascii="Verdana" w:eastAsia="Aptos" w:hAnsi="Verdana" w:cs="Times New Roman"/>
          <w:b/>
          <w:bCs/>
        </w:rPr>
        <w:t>Curso de Contratación Pública Sostenible y Socialmente Responsable</w:t>
      </w:r>
      <w:r w:rsidRPr="0019499E">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9499E">
        <w:rPr>
          <w:rFonts w:ascii="Verdana" w:eastAsia="Aptos" w:hAnsi="Verdana" w:cs="Times New Roman"/>
        </w:rPr>
        <w:br/>
      </w:r>
      <w:hyperlink r:id="rId16" w:tgtFrame="_new" w:history="1">
        <w:r w:rsidRPr="0019499E">
          <w:rPr>
            <w:rFonts w:ascii="Verdana" w:eastAsia="Aptos" w:hAnsi="Verdana" w:cs="Times New Roman"/>
            <w:u w:val="single"/>
          </w:rPr>
          <w:t>https://formacionvirtual.colombiacompra.gov.co/mod/page/view.php?id=3718</w:t>
        </w:r>
      </w:hyperlink>
    </w:p>
    <w:p w14:paraId="3DDC5943" w14:textId="77777777" w:rsidR="00015FFB" w:rsidRPr="0019499E" w:rsidRDefault="00015FFB" w:rsidP="00015FFB">
      <w:pPr>
        <w:spacing w:line="276" w:lineRule="auto"/>
        <w:ind w:firstLine="708"/>
        <w:jc w:val="both"/>
        <w:rPr>
          <w:rFonts w:ascii="Verdana" w:eastAsia="Aptos" w:hAnsi="Verdana" w:cs="Times New Roman"/>
        </w:rPr>
      </w:pPr>
      <w:r w:rsidRPr="0019499E">
        <w:rPr>
          <w:rFonts w:ascii="Verdana" w:eastAsia="Aptos" w:hAnsi="Verdana" w:cs="Times New Roman"/>
        </w:rPr>
        <w:t xml:space="preserve">De otro lado, te contamos que esta Agencia ha da un paso decisivo en la estandarización y modernización del </w:t>
      </w:r>
      <w:r w:rsidRPr="0019499E">
        <w:rPr>
          <w:rFonts w:ascii="Verdana" w:eastAsia="Aptos" w:hAnsi="Verdana" w:cs="Times New Roman"/>
          <w:b/>
          <w:bCs/>
        </w:rPr>
        <w:t>sector  social</w:t>
      </w:r>
      <w:r w:rsidRPr="0019499E">
        <w:rPr>
          <w:rFonts w:ascii="Verdana" w:eastAsia="Aptos" w:hAnsi="Verdana" w:cs="Times New Roman"/>
        </w:rPr>
        <w:t xml:space="preserve"> con la expedición de las </w:t>
      </w:r>
      <w:r w:rsidRPr="0019499E">
        <w:rPr>
          <w:rFonts w:ascii="Verdana" w:eastAsia="Aptos" w:hAnsi="Verdana" w:cs="Times New Roman"/>
          <w:b/>
          <w:bCs/>
        </w:rPr>
        <w:t>Resoluciones 539, 540, 541, 952 y 953 de 2025</w:t>
      </w:r>
      <w:r w:rsidRPr="0019499E">
        <w:rPr>
          <w:rFonts w:ascii="Verdana" w:eastAsia="Aptos" w:hAnsi="Verdana" w:cs="Times New Roman"/>
        </w:rPr>
        <w:t xml:space="preserve">, </w:t>
      </w:r>
      <w:r w:rsidRPr="0019499E">
        <w:rPr>
          <w:rFonts w:ascii="Verdana" w:eastAsia="Aptos" w:hAnsi="Verdana" w:cs="Times New Roman"/>
          <w:b/>
          <w:bCs/>
        </w:rPr>
        <w:t>mediante las cuales adoptó Documentos Tipo</w:t>
      </w:r>
      <w:r w:rsidRPr="0019499E">
        <w:rPr>
          <w:rFonts w:ascii="Verdana" w:eastAsia="Aptos" w:hAnsi="Verdana" w:cs="Times New Roman"/>
        </w:rPr>
        <w:t xml:space="preserve"> para las modalidades de selección de</w:t>
      </w:r>
      <w:r w:rsidRPr="0019499E">
        <w:rPr>
          <w:rFonts w:ascii="Verdana" w:eastAsia="Aptos" w:hAnsi="Verdana" w:cs="Times New Roman"/>
          <w:b/>
          <w:bCs/>
        </w:rPr>
        <w:t xml:space="preserve"> licitación pública (versión 2), selección abreviada de menor cuantía, mínima cuantía, consultoría e interventoría</w:t>
      </w:r>
      <w:r w:rsidRPr="0019499E">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19499E">
          <w:rPr>
            <w:rFonts w:ascii="Verdana" w:eastAsia="Aptos" w:hAnsi="Verdana" w:cs="Times New Roman"/>
            <w:u w:val="single"/>
          </w:rPr>
          <w:t>https://www.colombiacompra.gov.co/normativa-y-relatoria/documentos-tipo</w:t>
        </w:r>
      </w:hyperlink>
    </w:p>
    <w:p w14:paraId="49593283" w14:textId="77777777" w:rsidR="00015FFB" w:rsidRPr="0019499E" w:rsidRDefault="00015FFB" w:rsidP="00015FFB">
      <w:pPr>
        <w:spacing w:after="0" w:line="276" w:lineRule="auto"/>
        <w:ind w:firstLine="708"/>
        <w:jc w:val="both"/>
        <w:rPr>
          <w:rFonts w:ascii="Verdana" w:eastAsia="Aptos" w:hAnsi="Verdana" w:cs="Times New Roman"/>
        </w:rPr>
      </w:pPr>
      <w:r w:rsidRPr="0019499E">
        <w:rPr>
          <w:rFonts w:ascii="Verdana" w:eastAsia="Aptos" w:hAnsi="Verdana" w:cs="Times New Roman"/>
        </w:rPr>
        <w:t xml:space="preserve">Si quieres conocer más sobre la aplicación de Documentos Tipo puedes consultar la última versión de la </w:t>
      </w:r>
      <w:r w:rsidRPr="0019499E">
        <w:rPr>
          <w:rFonts w:ascii="Verdana" w:eastAsia="Aptos" w:hAnsi="Verdana" w:cs="Times New Roman"/>
          <w:b/>
          <w:bCs/>
        </w:rPr>
        <w:t>Guía para la comprensión e implementación de los Documentos Tipo de obra pública de infraestructura de transporte</w:t>
      </w:r>
      <w:r w:rsidRPr="0019499E">
        <w:rPr>
          <w:rFonts w:ascii="Verdana" w:eastAsia="Aptos" w:hAnsi="Verdana" w:cs="Times New Roman"/>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w:t>
      </w:r>
      <w:r w:rsidRPr="0019499E">
        <w:rPr>
          <w:rFonts w:ascii="Verdana" w:eastAsia="Aptos" w:hAnsi="Verdana" w:cs="Times New Roman"/>
        </w:rPr>
        <w:lastRenderedPageBreak/>
        <w:t>ambientales y sociales incluidos en los documentos tipo: Consulta la guía aquí:</w:t>
      </w:r>
      <w:r w:rsidRPr="0019499E">
        <w:rPr>
          <w:rFonts w:ascii="Verdana" w:eastAsia="Aptos" w:hAnsi="Verdana" w:cs="Times New Roman"/>
        </w:rPr>
        <w:br/>
      </w:r>
      <w:hyperlink r:id="rId18" w:tgtFrame="_new" w:history="1">
        <w:r w:rsidRPr="0019499E">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7DF396E4" w14:textId="77777777" w:rsidR="00015FFB" w:rsidRPr="0019499E" w:rsidRDefault="00015FFB" w:rsidP="00015FFB">
      <w:pPr>
        <w:spacing w:before="120" w:after="0" w:line="276" w:lineRule="auto"/>
        <w:ind w:firstLine="708"/>
        <w:jc w:val="both"/>
        <w:rPr>
          <w:rFonts w:ascii="Verdana" w:eastAsia="Aptos" w:hAnsi="Verdana" w:cs="Times New Roman"/>
        </w:rPr>
      </w:pPr>
      <w:r w:rsidRPr="0019499E">
        <w:rPr>
          <w:rFonts w:ascii="Verdana" w:eastAsia="Aptos" w:hAnsi="Verdana" w:cs="Times New Roman"/>
        </w:rPr>
        <w:t xml:space="preserve">Por último, lo invitamos a seguirnos en las redes sociales en las cuales se difunde información institucional: </w:t>
      </w:r>
    </w:p>
    <w:p w14:paraId="04F097BA" w14:textId="77777777" w:rsidR="00015FFB" w:rsidRPr="0019499E" w:rsidRDefault="00015FFB" w:rsidP="00015FFB">
      <w:pPr>
        <w:spacing w:after="0" w:line="276" w:lineRule="auto"/>
        <w:jc w:val="both"/>
        <w:rPr>
          <w:rFonts w:ascii="Verdana" w:eastAsia="Aptos" w:hAnsi="Verdana" w:cs="Times New Roman"/>
        </w:rPr>
      </w:pPr>
    </w:p>
    <w:p w14:paraId="1CF96774" w14:textId="77777777" w:rsidR="00015FFB" w:rsidRPr="0019499E" w:rsidRDefault="00015FFB" w:rsidP="00015FFB">
      <w:pPr>
        <w:spacing w:after="0" w:line="276" w:lineRule="auto"/>
        <w:jc w:val="both"/>
        <w:rPr>
          <w:rFonts w:ascii="Verdana" w:eastAsia="Aptos" w:hAnsi="Verdana" w:cs="Times New Roman"/>
        </w:rPr>
      </w:pPr>
      <w:r w:rsidRPr="0019499E">
        <w:rPr>
          <w:rFonts w:ascii="Verdana" w:eastAsia="Aptos" w:hAnsi="Verdana" w:cs="Times New Roman"/>
        </w:rPr>
        <w:t xml:space="preserve">Twitter: </w:t>
      </w:r>
      <w:r w:rsidRPr="0019499E">
        <w:rPr>
          <w:rFonts w:ascii="Verdana" w:eastAsia="Aptos" w:hAnsi="Verdana" w:cs="Arial"/>
          <w:u w:val="single"/>
          <w:shd w:val="clear" w:color="auto" w:fill="FFFFFF"/>
          <w:lang w:val="es-ES"/>
        </w:rPr>
        <w:t>@colombiacompra</w:t>
      </w:r>
      <w:r w:rsidRPr="0019499E">
        <w:rPr>
          <w:rFonts w:ascii="Verdana" w:eastAsia="Aptos" w:hAnsi="Verdana" w:cs="Times New Roman"/>
        </w:rPr>
        <w:t xml:space="preserve"> </w:t>
      </w:r>
    </w:p>
    <w:p w14:paraId="27029F6A" w14:textId="77777777" w:rsidR="00015FFB" w:rsidRPr="0019499E" w:rsidRDefault="00015FFB" w:rsidP="00015FFB">
      <w:pPr>
        <w:spacing w:after="0" w:line="276" w:lineRule="auto"/>
        <w:jc w:val="both"/>
        <w:rPr>
          <w:rFonts w:ascii="Verdana" w:eastAsia="Aptos" w:hAnsi="Verdana" w:cs="Times New Roman"/>
        </w:rPr>
      </w:pPr>
      <w:r w:rsidRPr="0019499E">
        <w:rPr>
          <w:rFonts w:ascii="Verdana" w:eastAsia="Aptos" w:hAnsi="Verdana" w:cs="Times New Roman"/>
        </w:rPr>
        <w:t xml:space="preserve">Facebook: </w:t>
      </w:r>
      <w:r w:rsidRPr="0019499E">
        <w:rPr>
          <w:rFonts w:ascii="Verdana" w:eastAsia="Aptos" w:hAnsi="Verdana" w:cs="Arial"/>
          <w:u w:val="single"/>
          <w:shd w:val="clear" w:color="auto" w:fill="FFFFFF"/>
          <w:lang w:val="es-ES"/>
        </w:rPr>
        <w:t>ColombiaCompraEficiente</w:t>
      </w:r>
    </w:p>
    <w:p w14:paraId="2AAA69EB" w14:textId="77777777" w:rsidR="00015FFB" w:rsidRPr="0019499E" w:rsidRDefault="00015FFB" w:rsidP="00015FFB">
      <w:pPr>
        <w:spacing w:after="0" w:line="276" w:lineRule="auto"/>
        <w:jc w:val="both"/>
        <w:rPr>
          <w:rFonts w:ascii="Verdana" w:eastAsia="Aptos" w:hAnsi="Verdana" w:cs="Times New Roman"/>
        </w:rPr>
      </w:pPr>
      <w:r w:rsidRPr="0019499E">
        <w:rPr>
          <w:rFonts w:ascii="Verdana" w:eastAsia="Aptos" w:hAnsi="Verdana" w:cs="Times New Roman"/>
        </w:rPr>
        <w:t xml:space="preserve">LinkedIn: </w:t>
      </w:r>
      <w:r w:rsidRPr="0019499E">
        <w:rPr>
          <w:rFonts w:ascii="Verdana" w:eastAsia="Aptos" w:hAnsi="Verdana" w:cs="Arial"/>
          <w:u w:val="single"/>
          <w:shd w:val="clear" w:color="auto" w:fill="FFFFFF"/>
          <w:lang w:val="es-ES"/>
        </w:rPr>
        <w:t>Agencia Nacional de Contratación Pública - Colombia Compra Eficiente</w:t>
      </w:r>
      <w:r w:rsidRPr="0019499E">
        <w:rPr>
          <w:rFonts w:ascii="Verdana" w:eastAsia="Aptos" w:hAnsi="Verdana" w:cs="Times New Roman"/>
        </w:rPr>
        <w:t xml:space="preserve"> Instagram: </w:t>
      </w:r>
      <w:r w:rsidRPr="0019499E">
        <w:rPr>
          <w:rFonts w:ascii="Verdana" w:eastAsia="Aptos" w:hAnsi="Verdana" w:cs="Arial"/>
          <w:u w:val="single"/>
          <w:shd w:val="clear" w:color="auto" w:fill="FFFFFF"/>
          <w:lang w:val="es-ES"/>
        </w:rPr>
        <w:t>@colombiacompraeficiente_cce</w:t>
      </w:r>
    </w:p>
    <w:p w14:paraId="66AE2FFD" w14:textId="77777777" w:rsidR="00015FFB" w:rsidRPr="0019499E" w:rsidRDefault="00015FFB" w:rsidP="00015FFB">
      <w:pPr>
        <w:widowControl w:val="0"/>
        <w:autoSpaceDE w:val="0"/>
        <w:autoSpaceDN w:val="0"/>
        <w:spacing w:after="0" w:line="276" w:lineRule="auto"/>
        <w:jc w:val="both"/>
        <w:rPr>
          <w:rFonts w:ascii="Verdana" w:eastAsia="Aptos" w:hAnsi="Verdana" w:cs="Arial"/>
        </w:rPr>
      </w:pPr>
    </w:p>
    <w:p w14:paraId="4373F206" w14:textId="77777777" w:rsidR="00015FFB" w:rsidRPr="0019499E" w:rsidRDefault="00015FFB" w:rsidP="00015FFB">
      <w:pPr>
        <w:widowControl w:val="0"/>
        <w:autoSpaceDE w:val="0"/>
        <w:autoSpaceDN w:val="0"/>
        <w:spacing w:after="0" w:line="276" w:lineRule="auto"/>
        <w:jc w:val="both"/>
        <w:rPr>
          <w:rFonts w:ascii="Verdana" w:eastAsia="Aptos" w:hAnsi="Verdana" w:cs="Arial"/>
          <w:lang w:val="es-ES_tradnl"/>
        </w:rPr>
      </w:pPr>
      <w:r w:rsidRPr="0019499E">
        <w:rPr>
          <w:rFonts w:ascii="Verdana" w:eastAsia="Aptos" w:hAnsi="Verdana" w:cs="Arial"/>
        </w:rPr>
        <w:t xml:space="preserve">Este concepto tiene el alcance previsto en el artículo 28 del Código de Procedimiento Administrativo y de lo Contencioso Administrativo </w:t>
      </w:r>
      <w:r w:rsidRPr="0019499E">
        <w:rPr>
          <w:rFonts w:ascii="Verdana" w:eastAsia="Aptos" w:hAnsi="Verdana" w:cs="Arial"/>
          <w:lang w:val="es-ES_tradnl"/>
        </w:rPr>
        <w:t>y las expresiones aquí utilizadas con mayúscula inicial deben ser entendidas con el significado que les otorga el artículo 2.2.1.1.1.3.1. del Decreto 1082 de 2015.</w:t>
      </w:r>
    </w:p>
    <w:p w14:paraId="5218A659" w14:textId="77777777" w:rsidR="00015FFB" w:rsidRPr="0019499E" w:rsidRDefault="00015FFB" w:rsidP="00015FFB">
      <w:pPr>
        <w:widowControl w:val="0"/>
        <w:autoSpaceDE w:val="0"/>
        <w:autoSpaceDN w:val="0"/>
        <w:spacing w:after="0" w:line="276" w:lineRule="auto"/>
        <w:jc w:val="both"/>
        <w:rPr>
          <w:rFonts w:ascii="Verdana" w:eastAsia="Aptos" w:hAnsi="Verdana" w:cs="Arial"/>
        </w:rPr>
      </w:pPr>
    </w:p>
    <w:p w14:paraId="16B279D4" w14:textId="77777777" w:rsidR="00015FFB" w:rsidRPr="0019499E" w:rsidRDefault="00015FFB" w:rsidP="00015FFB">
      <w:pPr>
        <w:spacing w:after="0" w:line="276" w:lineRule="auto"/>
        <w:rPr>
          <w:rFonts w:ascii="Verdana" w:eastAsia="Aptos" w:hAnsi="Verdana" w:cs="Arial"/>
          <w:lang w:eastAsia="es-CO"/>
        </w:rPr>
      </w:pPr>
      <w:r w:rsidRPr="0019499E">
        <w:rPr>
          <w:rFonts w:ascii="Verdana" w:eastAsia="Times New Roman" w:hAnsi="Verdana" w:cs="Arial"/>
          <w:lang w:eastAsia="es-CO"/>
        </w:rPr>
        <w:t>Atentamente,</w:t>
      </w:r>
      <w:r w:rsidRPr="0019499E">
        <w:rPr>
          <w:rFonts w:ascii="Verdana" w:eastAsia="Aptos" w:hAnsi="Verdana" w:cs="Arial"/>
          <w:lang w:eastAsia="es-CO"/>
        </w:rPr>
        <w:t xml:space="preserve"> </w:t>
      </w:r>
    </w:p>
    <w:p w14:paraId="57F87728" w14:textId="77777777" w:rsidR="00015FFB" w:rsidRPr="0019499E" w:rsidRDefault="00015FFB" w:rsidP="00015FFB">
      <w:pPr>
        <w:spacing w:after="0" w:line="276" w:lineRule="auto"/>
        <w:jc w:val="center"/>
        <w:rPr>
          <w:rFonts w:ascii="Verdana" w:eastAsia="Aptos" w:hAnsi="Verdana" w:cs="Arial"/>
          <w:lang w:val="es-ES_tradnl" w:eastAsia="es-CO"/>
        </w:rPr>
      </w:pPr>
    </w:p>
    <w:p w14:paraId="72001BC2" w14:textId="69A57166" w:rsidR="00015FFB" w:rsidRPr="0019499E" w:rsidRDefault="00E04073" w:rsidP="00015FFB">
      <w:pPr>
        <w:spacing w:after="0" w:line="276" w:lineRule="auto"/>
        <w:jc w:val="center"/>
        <w:rPr>
          <w:rFonts w:ascii="Verdana" w:eastAsia="Aptos" w:hAnsi="Verdana" w:cs="Arial"/>
          <w:lang w:val="es-ES_tradnl" w:eastAsia="es-CO"/>
        </w:rPr>
      </w:pPr>
      <w:r>
        <w:rPr>
          <w:noProof/>
        </w:rPr>
        <w:drawing>
          <wp:inline distT="0" distB="0" distL="0" distR="0" wp14:anchorId="70C0E004" wp14:editId="62336B3A">
            <wp:extent cx="3260090" cy="1391285"/>
            <wp:effectExtent l="0" t="0" r="0" b="0"/>
            <wp:docPr id="135052121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El contenido generado por IA puede ser incorrect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60090" cy="139128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015FFB" w:rsidRPr="0019499E" w14:paraId="007A6585" w14:textId="77777777" w:rsidTr="00953EAD">
        <w:trPr>
          <w:trHeight w:val="286"/>
        </w:trPr>
        <w:tc>
          <w:tcPr>
            <w:tcW w:w="901" w:type="dxa"/>
            <w:vAlign w:val="center"/>
            <w:hideMark/>
          </w:tcPr>
          <w:p w14:paraId="0935E6B4" w14:textId="77777777" w:rsidR="00015FFB" w:rsidRPr="0019499E" w:rsidRDefault="00015FFB" w:rsidP="00953EAD">
            <w:pPr>
              <w:rPr>
                <w:rFonts w:ascii="Verdana" w:eastAsia="Aptos" w:hAnsi="Verdana" w:cs="Arial"/>
                <w:sz w:val="14"/>
                <w:szCs w:val="14"/>
                <w:lang w:eastAsia="es-ES"/>
              </w:rPr>
            </w:pPr>
            <w:r w:rsidRPr="0019499E">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73E0395D" w14:textId="77777777" w:rsidR="00015FFB" w:rsidRPr="0019499E" w:rsidRDefault="00015FFB" w:rsidP="00953EAD">
            <w:pPr>
              <w:rPr>
                <w:rFonts w:ascii="Verdana" w:eastAsia="Aptos" w:hAnsi="Verdana" w:cs="Arial"/>
                <w:sz w:val="14"/>
                <w:szCs w:val="14"/>
                <w:lang w:eastAsia="es-ES"/>
              </w:rPr>
            </w:pPr>
            <w:r w:rsidRPr="0019499E">
              <w:rPr>
                <w:rFonts w:ascii="Verdana" w:eastAsia="Aptos" w:hAnsi="Verdana" w:cs="Arial"/>
                <w:sz w:val="14"/>
                <w:szCs w:val="14"/>
                <w:lang w:eastAsia="es-ES"/>
              </w:rPr>
              <w:t>Nasly Yeana Mosquera Rivas</w:t>
            </w:r>
          </w:p>
          <w:p w14:paraId="7C05AAE7" w14:textId="77777777" w:rsidR="00015FFB" w:rsidRPr="0019499E" w:rsidRDefault="00015FFB" w:rsidP="00953EAD">
            <w:pPr>
              <w:rPr>
                <w:rFonts w:ascii="Verdana" w:eastAsia="Aptos" w:hAnsi="Verdana" w:cs="Arial"/>
                <w:sz w:val="14"/>
                <w:szCs w:val="14"/>
                <w:lang w:eastAsia="es-ES"/>
              </w:rPr>
            </w:pPr>
            <w:r w:rsidRPr="0019499E">
              <w:rPr>
                <w:rFonts w:ascii="Verdana" w:eastAsia="Aptos" w:hAnsi="Verdana" w:cs="Arial"/>
                <w:sz w:val="14"/>
                <w:szCs w:val="14"/>
                <w:lang w:eastAsia="es-ES"/>
              </w:rPr>
              <w:t>Analista T2–06 de la Subdirección de Gestión Contractual</w:t>
            </w:r>
          </w:p>
        </w:tc>
      </w:tr>
      <w:tr w:rsidR="00015FFB" w:rsidRPr="0019499E" w14:paraId="1E8CCFDD" w14:textId="77777777" w:rsidTr="00953EAD">
        <w:trPr>
          <w:trHeight w:val="299"/>
        </w:trPr>
        <w:tc>
          <w:tcPr>
            <w:tcW w:w="901" w:type="dxa"/>
            <w:vAlign w:val="center"/>
          </w:tcPr>
          <w:p w14:paraId="72954DB2" w14:textId="77777777" w:rsidR="00015FFB" w:rsidRPr="0019499E" w:rsidRDefault="00015FFB" w:rsidP="00953EAD">
            <w:pPr>
              <w:rPr>
                <w:rFonts w:ascii="Verdana" w:eastAsia="Aptos" w:hAnsi="Verdana" w:cs="Arial"/>
                <w:sz w:val="14"/>
                <w:szCs w:val="14"/>
                <w:lang w:eastAsia="es-ES"/>
              </w:rPr>
            </w:pPr>
            <w:r w:rsidRPr="0019499E">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64D29036" w14:textId="77777777" w:rsidR="00015FFB" w:rsidRPr="0019499E" w:rsidRDefault="00015FFB" w:rsidP="00953EAD">
            <w:pPr>
              <w:rPr>
                <w:rFonts w:ascii="Verdana" w:eastAsia="Aptos" w:hAnsi="Verdana" w:cs="Arial"/>
                <w:sz w:val="14"/>
                <w:szCs w:val="14"/>
                <w:lang w:eastAsia="es-ES"/>
              </w:rPr>
            </w:pPr>
            <w:r>
              <w:rPr>
                <w:rFonts w:ascii="Verdana" w:eastAsia="Aptos" w:hAnsi="Verdana" w:cs="Arial"/>
                <w:sz w:val="14"/>
                <w:szCs w:val="14"/>
                <w:lang w:eastAsia="es-ES"/>
              </w:rPr>
              <w:t>Adriana Katherine López Rodríguez</w:t>
            </w:r>
          </w:p>
          <w:p w14:paraId="7CF3583B" w14:textId="77777777" w:rsidR="00015FFB" w:rsidRPr="0019499E" w:rsidRDefault="00015FFB" w:rsidP="00953EAD">
            <w:pPr>
              <w:rPr>
                <w:rFonts w:ascii="Verdana" w:eastAsia="Aptos" w:hAnsi="Verdana" w:cs="Arial"/>
                <w:sz w:val="14"/>
                <w:szCs w:val="14"/>
                <w:lang w:eastAsia="es-ES"/>
              </w:rPr>
            </w:pPr>
            <w:r w:rsidRPr="0019499E">
              <w:rPr>
                <w:rFonts w:ascii="Verdana" w:eastAsia="Aptos" w:hAnsi="Verdana" w:cs="Arial"/>
                <w:sz w:val="14"/>
                <w:szCs w:val="14"/>
                <w:lang w:eastAsia="es-ES"/>
              </w:rPr>
              <w:t>Contratista de la Subdirección de Gestión Contractual</w:t>
            </w:r>
          </w:p>
        </w:tc>
      </w:tr>
      <w:tr w:rsidR="00015FFB" w:rsidRPr="00B1039B" w14:paraId="612F8E48" w14:textId="77777777" w:rsidTr="00953EAD">
        <w:trPr>
          <w:trHeight w:val="272"/>
        </w:trPr>
        <w:tc>
          <w:tcPr>
            <w:tcW w:w="901" w:type="dxa"/>
            <w:vAlign w:val="center"/>
            <w:hideMark/>
          </w:tcPr>
          <w:p w14:paraId="1B0F11A7" w14:textId="77777777" w:rsidR="00015FFB" w:rsidRPr="0019499E" w:rsidRDefault="00015FFB" w:rsidP="00953EAD">
            <w:pPr>
              <w:rPr>
                <w:rFonts w:ascii="Verdana" w:eastAsia="Aptos" w:hAnsi="Verdana" w:cs="Arial"/>
                <w:sz w:val="14"/>
                <w:szCs w:val="14"/>
                <w:lang w:eastAsia="es-ES"/>
              </w:rPr>
            </w:pPr>
            <w:r w:rsidRPr="0019499E">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2C24E845" w14:textId="77777777" w:rsidR="00015FFB" w:rsidRPr="0019499E" w:rsidRDefault="00015FFB" w:rsidP="00953EAD">
            <w:pPr>
              <w:rPr>
                <w:rFonts w:ascii="Verdana" w:eastAsia="Aptos" w:hAnsi="Verdana" w:cs="Arial"/>
                <w:sz w:val="14"/>
                <w:szCs w:val="14"/>
                <w:lang w:eastAsia="es-ES"/>
              </w:rPr>
            </w:pPr>
            <w:r w:rsidRPr="0019499E">
              <w:rPr>
                <w:rFonts w:ascii="Verdana" w:eastAsia="Aptos" w:hAnsi="Verdana" w:cs="Arial"/>
                <w:sz w:val="14"/>
                <w:szCs w:val="14"/>
                <w:lang w:eastAsia="es-ES"/>
              </w:rPr>
              <w:t>Carolina Quintero Gacharná</w:t>
            </w:r>
          </w:p>
          <w:p w14:paraId="1EEF662D" w14:textId="77777777" w:rsidR="00015FFB" w:rsidRPr="00B1039B" w:rsidRDefault="00015FFB" w:rsidP="00953EAD">
            <w:pPr>
              <w:rPr>
                <w:rFonts w:ascii="Verdana" w:eastAsia="Aptos" w:hAnsi="Verdana" w:cs="Arial"/>
                <w:sz w:val="14"/>
                <w:szCs w:val="14"/>
                <w:lang w:eastAsia="es-ES"/>
              </w:rPr>
            </w:pPr>
            <w:r w:rsidRPr="0019499E">
              <w:rPr>
                <w:rFonts w:ascii="Verdana" w:eastAsia="Aptos" w:hAnsi="Verdana" w:cs="Arial"/>
                <w:sz w:val="14"/>
                <w:szCs w:val="14"/>
                <w:lang w:eastAsia="es-ES"/>
              </w:rPr>
              <w:t>Subdirectora de Gestión Contractual ANCP – CCE</w:t>
            </w:r>
          </w:p>
        </w:tc>
      </w:tr>
    </w:tbl>
    <w:p w14:paraId="78725A5C" w14:textId="77777777" w:rsidR="00015FFB" w:rsidRPr="00B1039B" w:rsidRDefault="00015FFB" w:rsidP="00015FFB">
      <w:pPr>
        <w:spacing w:after="0" w:line="240" w:lineRule="auto"/>
        <w:rPr>
          <w:rFonts w:ascii="Verdana" w:eastAsia="Times New Roman" w:hAnsi="Verdana" w:cs="Arial"/>
          <w:sz w:val="24"/>
          <w:szCs w:val="24"/>
          <w:lang w:eastAsia="es-ES"/>
        </w:rPr>
      </w:pPr>
    </w:p>
    <w:p w14:paraId="56018570" w14:textId="77777777" w:rsidR="00015FFB" w:rsidRPr="00B1039B" w:rsidRDefault="00015FFB" w:rsidP="00015FFB">
      <w:pPr>
        <w:rPr>
          <w:rFonts w:ascii="Verdana" w:eastAsia="Aptos" w:hAnsi="Verdana" w:cs="Times New Roman"/>
        </w:rPr>
      </w:pPr>
    </w:p>
    <w:p w14:paraId="13690A02" w14:textId="77777777" w:rsidR="00015FFB" w:rsidRPr="00B1039B" w:rsidRDefault="00015FFB" w:rsidP="00015FFB">
      <w:pPr>
        <w:rPr>
          <w:rFonts w:ascii="Verdana" w:hAnsi="Verdana"/>
        </w:rPr>
      </w:pPr>
    </w:p>
    <w:p w14:paraId="3FB1ACEB" w14:textId="27423538" w:rsidR="00015FFB" w:rsidRPr="00BC3E5F" w:rsidRDefault="00015FFB" w:rsidP="00015FFB">
      <w:pPr>
        <w:spacing w:after="0" w:line="240" w:lineRule="auto"/>
        <w:textAlignment w:val="baseline"/>
        <w:rPr>
          <w:rFonts w:ascii="Verdana" w:hAnsi="Verdana"/>
        </w:rPr>
      </w:pPr>
      <w:r w:rsidRPr="00B1039B">
        <w:rPr>
          <w:rFonts w:ascii="Verdana" w:eastAsia="Verdana" w:hAnsi="Verdana" w:cs="Verdana"/>
          <w:lang w:eastAsia="es-CO"/>
        </w:rPr>
        <w:t> </w:t>
      </w:r>
      <w:r w:rsidRPr="30821638">
        <w:rPr>
          <w:rFonts w:ascii="Verdana" w:eastAsia="Verdana" w:hAnsi="Verdana" w:cs="Verdana"/>
          <w:lang w:eastAsia="es-CO"/>
        </w:rPr>
        <w:t> </w:t>
      </w:r>
    </w:p>
    <w:bookmarkEnd w:id="0"/>
    <w:p w14:paraId="1E438412" w14:textId="77777777" w:rsidR="00015FFB" w:rsidRPr="0015699B" w:rsidRDefault="00015FFB" w:rsidP="00015FFB">
      <w:pPr>
        <w:spacing w:after="0" w:line="240" w:lineRule="auto"/>
        <w:jc w:val="both"/>
        <w:textAlignment w:val="baseline"/>
        <w:rPr>
          <w:rFonts w:ascii="Verdana" w:eastAsia="Verdana" w:hAnsi="Verdana" w:cs="Verdana"/>
          <w:lang w:eastAsia="es-CO"/>
        </w:rPr>
      </w:pPr>
    </w:p>
    <w:p w14:paraId="22568B86" w14:textId="77777777" w:rsidR="008E5C2E" w:rsidRDefault="008E5C2E"/>
    <w:sectPr w:rsidR="008E5C2E" w:rsidSect="00015FFB">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DD66A" w14:textId="77777777" w:rsidR="00341BC3" w:rsidRDefault="00341BC3" w:rsidP="00015FFB">
      <w:pPr>
        <w:spacing w:after="0" w:line="240" w:lineRule="auto"/>
      </w:pPr>
      <w:r>
        <w:separator/>
      </w:r>
    </w:p>
  </w:endnote>
  <w:endnote w:type="continuationSeparator" w:id="0">
    <w:p w14:paraId="6C6CFF86" w14:textId="77777777" w:rsidR="00341BC3" w:rsidRDefault="00341BC3" w:rsidP="00015F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D0C87" w14:textId="77777777" w:rsidR="00015FFB" w:rsidRDefault="00015FFB">
    <w:pPr>
      <w:pStyle w:val="Piedepgina"/>
    </w:pPr>
  </w:p>
  <w:p w14:paraId="63668603" w14:textId="77777777" w:rsidR="00015FFB" w:rsidRPr="00174B77" w:rsidRDefault="00015FFB"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6F2FFB4D" w14:textId="77777777" w:rsidR="00015FFB" w:rsidRDefault="00015FFB"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1EC8AD7D" w14:textId="77777777" w:rsidR="00015FFB" w:rsidRPr="00E41027" w:rsidRDefault="00015FFB"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13B45946" w14:textId="77777777" w:rsidR="00015FFB" w:rsidRDefault="00015FFB"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8FDE1" w14:textId="77777777" w:rsidR="00341BC3" w:rsidRDefault="00341BC3" w:rsidP="00015FFB">
      <w:pPr>
        <w:spacing w:after="0" w:line="240" w:lineRule="auto"/>
      </w:pPr>
      <w:r>
        <w:separator/>
      </w:r>
    </w:p>
  </w:footnote>
  <w:footnote w:type="continuationSeparator" w:id="0">
    <w:p w14:paraId="6BD4D940" w14:textId="77777777" w:rsidR="00341BC3" w:rsidRDefault="00341BC3" w:rsidP="00015FFB">
      <w:pPr>
        <w:spacing w:after="0" w:line="240" w:lineRule="auto"/>
      </w:pPr>
      <w:r>
        <w:continuationSeparator/>
      </w:r>
    </w:p>
  </w:footnote>
  <w:footnote w:id="1">
    <w:p w14:paraId="7A04E60A" w14:textId="77777777" w:rsidR="00015FFB" w:rsidRPr="00C34D00" w:rsidRDefault="00015FFB" w:rsidP="00015FFB">
      <w:pPr>
        <w:pStyle w:val="Textonotapie"/>
        <w:ind w:firstLine="708"/>
        <w:jc w:val="both"/>
        <w:rPr>
          <w:rFonts w:ascii="Verdana" w:hAnsi="Verdana" w:cs="Arial"/>
          <w:sz w:val="14"/>
          <w:szCs w:val="14"/>
        </w:rPr>
      </w:pPr>
      <w:r w:rsidRPr="00C34D00">
        <w:rPr>
          <w:rStyle w:val="Refdenotaalpie"/>
          <w:rFonts w:ascii="Verdana" w:hAnsi="Verdana" w:cs="Arial"/>
          <w:sz w:val="14"/>
          <w:szCs w:val="14"/>
        </w:rPr>
        <w:footnoteRef/>
      </w:r>
      <w:r w:rsidRPr="00C34D00">
        <w:rPr>
          <w:rFonts w:ascii="Verdana" w:hAnsi="Verdana" w:cs="Arial"/>
          <w:sz w:val="14"/>
          <w:szCs w:val="14"/>
        </w:rPr>
        <w:t xml:space="preserve"> El numeral 2 del artículo 2 de la Ley 1150 de 2007 prescribe: “[…] Serán causales de selección abreviada las siguientes:</w:t>
      </w:r>
    </w:p>
    <w:p w14:paraId="28FA0D3D"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1BDA9D87"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2CD9F8A5"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b) La contratación de menor cuantía. Se entenderá por menor cuantía los valores que a continuación se relacionan, determinados en función de los presupuestos anuales de las entidades públicas expresados en salarios mínimos legales mensuales.</w:t>
      </w:r>
    </w:p>
    <w:p w14:paraId="4124990C"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w:t>
      </w:r>
    </w:p>
    <w:p w14:paraId="341049A9"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6FE6AC3D"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d) La contratación cuyo proceso de licitación pública haya sido declarado desierto; en cuyo caso la entidad deberá iniciar la selección abreviada dentro de los cuatro meses siguientes a la declaración de desierta del proceso inicial;</w:t>
      </w:r>
    </w:p>
    <w:p w14:paraId="7F6A83D0"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e) La enajenación de bienes del Estado, con excepción de aquellos a que se refiere la Ley 226 de 1995.</w:t>
      </w:r>
    </w:p>
    <w:p w14:paraId="344FB2E2"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 xml:space="preserve">[…]; </w:t>
      </w:r>
    </w:p>
    <w:p w14:paraId="708E465D"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 xml:space="preserve">f) Productos de origen o destinación agropecuarios que se ofrezcan en las bolsas de productos legalmente constituidas; </w:t>
      </w:r>
    </w:p>
    <w:p w14:paraId="1D2E5BD1"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1685287C"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0D6EE26F" w14:textId="77777777" w:rsidR="00015FFB" w:rsidRPr="00C34D00"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i) La contratación de bienes y servicios que se requieran para la defensa y seguridad nacional.</w:t>
      </w:r>
    </w:p>
    <w:p w14:paraId="71F17771" w14:textId="77777777" w:rsidR="00015FFB" w:rsidRDefault="00015FFB" w:rsidP="00015FFB">
      <w:pPr>
        <w:pStyle w:val="Textonotapie"/>
        <w:ind w:firstLine="708"/>
        <w:jc w:val="both"/>
        <w:rPr>
          <w:rFonts w:ascii="Verdana" w:hAnsi="Verdana" w:cs="Arial"/>
          <w:sz w:val="14"/>
          <w:szCs w:val="14"/>
        </w:rPr>
      </w:pPr>
      <w:r w:rsidRPr="00C34D00">
        <w:rPr>
          <w:rFonts w:ascii="Verdana" w:hAnsi="Verdana" w:cs="Arial"/>
          <w:sz w:val="14"/>
          <w:szCs w:val="14"/>
        </w:rPr>
        <w:t>j) 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p w14:paraId="57800FF4" w14:textId="77777777" w:rsidR="00015FFB" w:rsidRPr="00C34D00" w:rsidRDefault="00015FFB" w:rsidP="00015FFB">
      <w:pPr>
        <w:pStyle w:val="Textonotapie"/>
        <w:ind w:firstLine="708"/>
        <w:jc w:val="both"/>
        <w:rPr>
          <w:rFonts w:ascii="Verdana" w:hAnsi="Verdana" w:cs="Arial"/>
          <w:sz w:val="14"/>
          <w:szCs w:val="14"/>
        </w:rPr>
      </w:pPr>
    </w:p>
  </w:footnote>
  <w:footnote w:id="2">
    <w:p w14:paraId="66F0DEAD" w14:textId="77777777" w:rsidR="00015FFB" w:rsidRPr="00E12E59" w:rsidRDefault="00015FFB" w:rsidP="00015FFB">
      <w:pPr>
        <w:pStyle w:val="Textonotapie"/>
        <w:ind w:firstLine="708"/>
        <w:jc w:val="both"/>
        <w:rPr>
          <w:rFonts w:ascii="Verdana" w:hAnsi="Verdana" w:cs="Arial"/>
          <w:sz w:val="16"/>
          <w:szCs w:val="16"/>
        </w:rPr>
      </w:pPr>
      <w:r w:rsidRPr="00E12E59">
        <w:rPr>
          <w:rStyle w:val="Refdenotaalpie"/>
          <w:rFonts w:ascii="Verdana" w:hAnsi="Verdana" w:cs="Arial"/>
          <w:sz w:val="16"/>
          <w:szCs w:val="16"/>
        </w:rPr>
        <w:footnoteRef/>
      </w:r>
      <w:r w:rsidRPr="00E12E59">
        <w:rPr>
          <w:rFonts w:ascii="Verdana" w:hAnsi="Verdana" w:cs="Arial"/>
          <w:sz w:val="16"/>
          <w:szCs w:val="16"/>
        </w:rPr>
        <w:t xml:space="preserve"> CONGRESO DE LA REPÚBLICA. Exposición de motivos de la Ley 1150 de 2007. Gaceta del Congreso No. 458 del 1º de agosto de 2005. p. 8. </w:t>
      </w:r>
    </w:p>
  </w:footnote>
  <w:footnote w:id="3">
    <w:p w14:paraId="419B8749" w14:textId="77777777" w:rsidR="00015FFB" w:rsidRPr="00E12E59" w:rsidRDefault="00015FFB" w:rsidP="00015FF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06A1DFB4" w14:textId="77777777" w:rsidR="00015FFB" w:rsidRPr="00E12E59" w:rsidRDefault="00015FFB" w:rsidP="00015FF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0B0FAA40" w14:textId="77777777" w:rsidR="00015FFB" w:rsidRPr="00E12E59" w:rsidRDefault="00015FFB" w:rsidP="00015FF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 .</w:t>
      </w:r>
    </w:p>
    <w:p w14:paraId="73031304" w14:textId="77777777" w:rsidR="00015FFB" w:rsidRPr="00E12E59" w:rsidRDefault="00015FFB" w:rsidP="00015FF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57FD8261" w14:textId="77777777" w:rsidR="00015FFB" w:rsidRPr="00E12E59" w:rsidRDefault="00015FFB" w:rsidP="00015FFB">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E12E59">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4">
    <w:p w14:paraId="337F9BE1" w14:textId="77777777" w:rsidR="00015FFB" w:rsidRPr="00E12E59" w:rsidRDefault="00015FFB" w:rsidP="00015FFB">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5">
    <w:p w14:paraId="418BDC02" w14:textId="77777777" w:rsidR="00015FFB" w:rsidRPr="00E12E59" w:rsidRDefault="00015FFB" w:rsidP="00015FFB">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footnote>
  <w:footnote w:id="6">
    <w:p w14:paraId="2D840754" w14:textId="77777777" w:rsidR="00015FFB" w:rsidRPr="00E12E59" w:rsidRDefault="00015FFB" w:rsidP="00015FFB">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color w:val="000000"/>
          <w:sz w:val="16"/>
          <w:szCs w:val="16"/>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7">
    <w:p w14:paraId="3D19E9BF" w14:textId="77777777" w:rsidR="00015FFB" w:rsidRPr="00E12E59" w:rsidRDefault="00015FFB" w:rsidP="00015FFB">
      <w:pPr>
        <w:pBdr>
          <w:top w:val="nil"/>
          <w:left w:val="nil"/>
          <w:bottom w:val="nil"/>
          <w:right w:val="nil"/>
          <w:between w:val="nil"/>
        </w:pBdr>
        <w:spacing w:after="0" w:line="240" w:lineRule="auto"/>
        <w:ind w:firstLine="708"/>
        <w:rPr>
          <w:rFonts w:ascii="Verdana" w:eastAsia="Arial" w:hAnsi="Verdana" w:cs="Arial"/>
          <w:color w:val="000000"/>
          <w:sz w:val="16"/>
          <w:szCs w:val="16"/>
        </w:rPr>
      </w:pPr>
      <w:r w:rsidRPr="00E12E59">
        <w:rPr>
          <w:rFonts w:ascii="Verdana" w:hAnsi="Verdana" w:cs="Arial"/>
          <w:sz w:val="16"/>
          <w:szCs w:val="16"/>
          <w:vertAlign w:val="superscript"/>
        </w:rPr>
        <w:footnoteRef/>
      </w:r>
      <w:r w:rsidRPr="00E12E59">
        <w:rPr>
          <w:rFonts w:ascii="Verdana" w:eastAsia="Arial" w:hAnsi="Verdana" w:cs="Arial"/>
          <w:i/>
          <w:color w:val="000000"/>
          <w:sz w:val="16"/>
          <w:szCs w:val="16"/>
        </w:rPr>
        <w:t xml:space="preserve"> Ibídem.</w:t>
      </w:r>
    </w:p>
  </w:footnote>
  <w:footnote w:id="8">
    <w:p w14:paraId="26292220" w14:textId="77777777" w:rsidR="00015FFB" w:rsidRPr="00E12E59" w:rsidRDefault="00015FFB" w:rsidP="00015FFB">
      <w:pPr>
        <w:spacing w:after="0" w:line="240" w:lineRule="auto"/>
        <w:ind w:firstLine="708"/>
        <w:jc w:val="both"/>
        <w:rPr>
          <w:rFonts w:ascii="Verdana" w:eastAsia="Arial" w:hAnsi="Verdana" w:cs="Arial"/>
          <w:sz w:val="16"/>
          <w:szCs w:val="16"/>
          <w:lang w:val="es-MX"/>
        </w:rPr>
      </w:pPr>
      <w:r w:rsidRPr="00E12E59">
        <w:rPr>
          <w:rFonts w:ascii="Verdana" w:hAnsi="Verdana" w:cs="Arial"/>
          <w:sz w:val="16"/>
          <w:szCs w:val="16"/>
          <w:vertAlign w:val="superscript"/>
        </w:rPr>
        <w:footnoteRef/>
      </w:r>
      <w:r w:rsidRPr="00E12E59">
        <w:rPr>
          <w:rFonts w:ascii="Verdana" w:eastAsia="Arial" w:hAnsi="Verdana" w:cs="Arial"/>
          <w:sz w:val="16"/>
          <w:szCs w:val="16"/>
        </w:rPr>
        <w:t xml:space="preserve"> Decreto 1082 de 2015 “Artículo 2.2.1.1.2.2.2. </w:t>
      </w:r>
      <w:bookmarkStart w:id="4" w:name="_Hlk127183858"/>
      <w:r w:rsidRPr="00E12E59">
        <w:rPr>
          <w:rFonts w:ascii="Verdana" w:eastAsia="Arial" w:hAnsi="Verdana" w:cs="Arial"/>
          <w:sz w:val="16"/>
          <w:szCs w:val="16"/>
        </w:rPr>
        <w:t>Modificado por el </w:t>
      </w:r>
      <w:bookmarkEnd w:id="4"/>
      <w:r w:rsidRPr="00E12E59">
        <w:rPr>
          <w:rFonts w:ascii="Verdana" w:eastAsia="Arial" w:hAnsi="Verdana" w:cs="Arial"/>
          <w:sz w:val="16"/>
          <w:szCs w:val="16"/>
        </w:rPr>
        <w:t>Decreto 142 de 2023, artículo 4º. Ofrecimiento más favorable.</w:t>
      </w:r>
      <w:r w:rsidRPr="00E12E59">
        <w:rPr>
          <w:rFonts w:ascii="Verdana" w:eastAsia="Arial" w:hAnsi="Verdana" w:cs="Arial"/>
          <w:b/>
          <w:bCs/>
          <w:sz w:val="16"/>
          <w:szCs w:val="16"/>
        </w:rPr>
        <w:t xml:space="preserve"> </w:t>
      </w:r>
      <w:r w:rsidRPr="00E12E59">
        <w:rPr>
          <w:rFonts w:ascii="Verdana" w:eastAsia="Arial" w:hAnsi="Verdana" w:cs="Arial"/>
          <w:sz w:val="16"/>
          <w:szCs w:val="16"/>
          <w:lang w:val="es-MX"/>
        </w:rPr>
        <w:t>La Entidad Estatal debe determinar la oferta más favorable teniendo en cuenta las normas aplicables a cada modalidad de selección del contratista.</w:t>
      </w:r>
    </w:p>
    <w:p w14:paraId="130EE205" w14:textId="77777777" w:rsidR="00015FFB" w:rsidRPr="00E12E59" w:rsidRDefault="00015FFB" w:rsidP="00015FFB">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14:paraId="3D019CBA" w14:textId="77777777" w:rsidR="00015FFB" w:rsidRPr="00E12E59" w:rsidRDefault="00015FFB" w:rsidP="00015FFB">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1. Las condiciones técnicas y económicas mínimas de la oferta.</w:t>
      </w:r>
    </w:p>
    <w:p w14:paraId="01E66D48" w14:textId="77777777" w:rsidR="00015FFB" w:rsidRPr="00E12E59" w:rsidRDefault="00015FFB" w:rsidP="00015FFB">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2. Las condiciones técnicas adicionales que representan ventajas de calidad o de funcionamiento, tales como el uso de tecnología o materiales que generen mayor eficiencia, rendimiento o duración del bien, obra o servicio.</w:t>
      </w:r>
    </w:p>
    <w:p w14:paraId="7FFB113C" w14:textId="77777777" w:rsidR="00015FFB" w:rsidRPr="00E12E59" w:rsidRDefault="00015FFB" w:rsidP="00015FFB">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w:t>
      </w:r>
    </w:p>
    <w:p w14:paraId="5DD11FD6" w14:textId="77777777" w:rsidR="00015FFB" w:rsidRPr="00E12E59" w:rsidRDefault="00015FFB" w:rsidP="00015FFB">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4. El valor en dinero que la Entidad Estatal asigna a cada ofrecimiento técnico o económico adicional, para permitir la ponderación de las ofertas presentadas.</w:t>
      </w:r>
    </w:p>
    <w:p w14:paraId="3ABF3B05" w14:textId="77777777" w:rsidR="00015FFB" w:rsidRPr="00E12E59" w:rsidRDefault="00015FFB" w:rsidP="00015FFB">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p>
    <w:p w14:paraId="55480655" w14:textId="77777777" w:rsidR="00015FFB" w:rsidRPr="00E12E59" w:rsidRDefault="00015FFB" w:rsidP="00015FFB">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La Entidad Estatal debe adjudicar al oferente que presentó la oferta con la mejor relación costo-beneficio y suscribir el contrato por el precio total ofrecido.</w:t>
      </w:r>
    </w:p>
    <w:p w14:paraId="4727CAB6" w14:textId="77777777" w:rsidR="00015FFB" w:rsidRPr="00E12E59" w:rsidRDefault="00015FFB" w:rsidP="00015FFB">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Para la adquisición de Bienes y Servicios de Características Técnicas No Uniformes a través de Acuerdos Marco de Precios e Instrumentos de Agregación de Demanda, el ofrecimiento más favorable parte de la definición que la Entidad Estatal que estructura el Instrumento de Agregación de Demanda o Acuerdo Marco de Precios hace en la Operación Principal de las condiciones técnicas y económicas mínimas del bien o servicio.</w:t>
      </w:r>
    </w:p>
    <w:p w14:paraId="5C988E2B" w14:textId="77777777" w:rsidR="00015FFB" w:rsidRPr="00E12E59" w:rsidRDefault="00015FFB" w:rsidP="00015FFB">
      <w:pPr>
        <w:spacing w:after="0" w:line="240" w:lineRule="auto"/>
        <w:ind w:firstLine="708"/>
        <w:jc w:val="both"/>
        <w:rPr>
          <w:rFonts w:ascii="Verdana" w:eastAsia="Arial" w:hAnsi="Verdana" w:cs="Arial"/>
          <w:sz w:val="16"/>
          <w:szCs w:val="16"/>
          <w:lang w:val="es-MX"/>
        </w:rPr>
      </w:pPr>
      <w:r w:rsidRPr="00E12E59">
        <w:rPr>
          <w:rFonts w:ascii="Verdana" w:eastAsia="Arial" w:hAnsi="Verdana" w:cs="Arial"/>
          <w:sz w:val="16"/>
          <w:szCs w:val="16"/>
          <w:lang w:val="es-MX"/>
        </w:rPr>
        <w:t>Las Entidades Estatales que compren en la operación secundaria de un Acuerdo Marco de Precios o Instrumento de Agregación de Demanda, deben evaluar las cotizaciones de los proveedores bajo las condiciones que el instrumento fija para definir la oferta más favorable.</w:t>
      </w:r>
    </w:p>
    <w:p w14:paraId="6392F098" w14:textId="77777777" w:rsidR="00015FFB" w:rsidRPr="00E12E59" w:rsidRDefault="00015FFB" w:rsidP="00015FFB">
      <w:pPr>
        <w:spacing w:after="0" w:line="240" w:lineRule="auto"/>
        <w:ind w:firstLine="708"/>
        <w:jc w:val="both"/>
        <w:rPr>
          <w:rFonts w:ascii="Verdana" w:eastAsia="Arial" w:hAnsi="Verdana" w:cs="Arial"/>
          <w:sz w:val="16"/>
          <w:szCs w:val="16"/>
        </w:rPr>
      </w:pPr>
      <w:r w:rsidRPr="00E12E59">
        <w:rPr>
          <w:rFonts w:ascii="Verdana" w:eastAsia="Arial" w:hAnsi="Verdana" w:cs="Arial"/>
          <w:sz w:val="16"/>
          <w:szCs w:val="16"/>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4E36B" w14:textId="77777777" w:rsidR="00015FFB" w:rsidRDefault="00015FFB"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18771BC" wp14:editId="74233081">
          <wp:simplePos x="0" y="0"/>
          <wp:positionH relativeFrom="margin">
            <wp:align>center</wp:align>
          </wp:positionH>
          <wp:positionV relativeFrom="paragraph">
            <wp:posOffset>-256388</wp:posOffset>
          </wp:positionV>
          <wp:extent cx="1924050" cy="856004"/>
          <wp:effectExtent l="0" t="0" r="0" b="1270"/>
          <wp:wrapNone/>
          <wp:docPr id="1149457566"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508C4C5" wp14:editId="3C716F7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307425072" name="Imagen 1307425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D353E6F" w14:textId="77777777" w:rsidR="00015FFB" w:rsidRDefault="00015FFB">
    <w:pPr>
      <w:pStyle w:val="Encabezado"/>
    </w:pPr>
  </w:p>
  <w:p w14:paraId="7EA91BDC" w14:textId="77777777" w:rsidR="00015FFB" w:rsidRPr="004A305D" w:rsidRDefault="00015FFB" w:rsidP="00B01B1A">
    <w:pPr>
      <w:spacing w:after="0" w:line="120" w:lineRule="auto"/>
      <w:rPr>
        <w:rFonts w:ascii="Century Gothic" w:eastAsia="Geo" w:hAnsi="Century Gothic" w:cs="Geo"/>
        <w:sz w:val="16"/>
        <w:szCs w:val="16"/>
        <w:lang w:eastAsia="es-CO"/>
      </w:rPr>
    </w:pPr>
  </w:p>
  <w:p w14:paraId="389ECAB9" w14:textId="77777777" w:rsidR="00015FFB" w:rsidRDefault="00015FFB" w:rsidP="00844AE9">
    <w:pPr>
      <w:spacing w:after="0" w:line="240" w:lineRule="auto"/>
      <w:rPr>
        <w:rFonts w:ascii="Verdana" w:hAnsi="Verdana"/>
        <w:sz w:val="24"/>
        <w:szCs w:val="24"/>
      </w:rPr>
    </w:pPr>
  </w:p>
  <w:p w14:paraId="3ED3E22A" w14:textId="77777777" w:rsidR="00015FFB" w:rsidRPr="00C925AC" w:rsidRDefault="00015FFB" w:rsidP="00844AE9">
    <w:pPr>
      <w:spacing w:after="0" w:line="240" w:lineRule="auto"/>
      <w:rPr>
        <w:rFonts w:ascii="Verdana" w:hAnsi="Verdana"/>
        <w:sz w:val="24"/>
        <w:szCs w:val="24"/>
      </w:rPr>
    </w:pPr>
  </w:p>
  <w:p w14:paraId="61983F9F" w14:textId="77777777" w:rsidR="00015FFB" w:rsidRPr="00C925AC" w:rsidRDefault="00015FF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FFB"/>
    <w:rsid w:val="00015FFB"/>
    <w:rsid w:val="00341BC3"/>
    <w:rsid w:val="00500BBF"/>
    <w:rsid w:val="005727E1"/>
    <w:rsid w:val="005818E2"/>
    <w:rsid w:val="008C0C53"/>
    <w:rsid w:val="008E5C2E"/>
    <w:rsid w:val="00A14941"/>
    <w:rsid w:val="00AC0C1C"/>
    <w:rsid w:val="00C53789"/>
    <w:rsid w:val="00E04073"/>
    <w:rsid w:val="00F420F3"/>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DE66D"/>
  <w15:chartTrackingRefBased/>
  <w15:docId w15:val="{295BC114-1835-4C69-B898-1902EB023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FFB"/>
    <w:rPr>
      <w:kern w:val="0"/>
      <w14:ligatures w14:val="none"/>
    </w:rPr>
  </w:style>
  <w:style w:type="paragraph" w:styleId="Ttulo1">
    <w:name w:val="heading 1"/>
    <w:basedOn w:val="Normal"/>
    <w:next w:val="Normal"/>
    <w:link w:val="Ttulo1Car"/>
    <w:uiPriority w:val="9"/>
    <w:qFormat/>
    <w:rsid w:val="00015F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15F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15FF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15FF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15FF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15FF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15FF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15FF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15FF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15FF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15FF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15FF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15FF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15FF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15FF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15FF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15FF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15FFB"/>
    <w:rPr>
      <w:rFonts w:eastAsiaTheme="majorEastAsia" w:cstheme="majorBidi"/>
      <w:color w:val="272727" w:themeColor="text1" w:themeTint="D8"/>
    </w:rPr>
  </w:style>
  <w:style w:type="paragraph" w:styleId="Ttulo">
    <w:name w:val="Title"/>
    <w:basedOn w:val="Normal"/>
    <w:next w:val="Normal"/>
    <w:link w:val="TtuloCar"/>
    <w:uiPriority w:val="10"/>
    <w:qFormat/>
    <w:rsid w:val="00015F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15FF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15FF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15FF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15FFB"/>
    <w:pPr>
      <w:spacing w:before="160"/>
      <w:jc w:val="center"/>
    </w:pPr>
    <w:rPr>
      <w:i/>
      <w:iCs/>
      <w:color w:val="404040" w:themeColor="text1" w:themeTint="BF"/>
    </w:rPr>
  </w:style>
  <w:style w:type="character" w:customStyle="1" w:styleId="CitaCar">
    <w:name w:val="Cita Car"/>
    <w:basedOn w:val="Fuentedeprrafopredeter"/>
    <w:link w:val="Cita"/>
    <w:uiPriority w:val="29"/>
    <w:rsid w:val="00015FFB"/>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015FFB"/>
    <w:pPr>
      <w:ind w:left="720"/>
      <w:contextualSpacing/>
    </w:pPr>
  </w:style>
  <w:style w:type="character" w:styleId="nfasisintenso">
    <w:name w:val="Intense Emphasis"/>
    <w:basedOn w:val="Fuentedeprrafopredeter"/>
    <w:uiPriority w:val="21"/>
    <w:qFormat/>
    <w:rsid w:val="00015FFB"/>
    <w:rPr>
      <w:i/>
      <w:iCs/>
      <w:color w:val="0F4761" w:themeColor="accent1" w:themeShade="BF"/>
    </w:rPr>
  </w:style>
  <w:style w:type="paragraph" w:styleId="Citadestacada">
    <w:name w:val="Intense Quote"/>
    <w:basedOn w:val="Normal"/>
    <w:next w:val="Normal"/>
    <w:link w:val="CitadestacadaCar"/>
    <w:uiPriority w:val="30"/>
    <w:qFormat/>
    <w:rsid w:val="00015F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15FFB"/>
    <w:rPr>
      <w:i/>
      <w:iCs/>
      <w:color w:val="0F4761" w:themeColor="accent1" w:themeShade="BF"/>
    </w:rPr>
  </w:style>
  <w:style w:type="character" w:styleId="Referenciaintensa">
    <w:name w:val="Intense Reference"/>
    <w:basedOn w:val="Fuentedeprrafopredeter"/>
    <w:uiPriority w:val="32"/>
    <w:qFormat/>
    <w:rsid w:val="00015FFB"/>
    <w:rPr>
      <w:b/>
      <w:bCs/>
      <w:smallCaps/>
      <w:color w:val="0F4761" w:themeColor="accent1" w:themeShade="BF"/>
      <w:spacing w:val="5"/>
    </w:rPr>
  </w:style>
  <w:style w:type="paragraph" w:styleId="Encabezado">
    <w:name w:val="header"/>
    <w:basedOn w:val="Normal"/>
    <w:link w:val="EncabezadoCar"/>
    <w:uiPriority w:val="99"/>
    <w:unhideWhenUsed/>
    <w:rsid w:val="00015FF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5FFB"/>
    <w:rPr>
      <w:kern w:val="0"/>
      <w14:ligatures w14:val="none"/>
    </w:rPr>
  </w:style>
  <w:style w:type="paragraph" w:styleId="Piedepgina">
    <w:name w:val="footer"/>
    <w:basedOn w:val="Normal"/>
    <w:link w:val="PiedepginaCar"/>
    <w:uiPriority w:val="99"/>
    <w:unhideWhenUsed/>
    <w:rsid w:val="00015FF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5FFB"/>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15FF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15FF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15FF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15FFB"/>
    <w:rPr>
      <w:vertAlign w:val="superscript"/>
    </w:rPr>
  </w:style>
  <w:style w:type="character" w:customStyle="1" w:styleId="normaltextrun">
    <w:name w:val="normaltextrun"/>
    <w:basedOn w:val="Fuentedeprrafopredeter"/>
    <w:rsid w:val="00015FFB"/>
  </w:style>
  <w:style w:type="table" w:styleId="Tablaconcuadrcula">
    <w:name w:val="Table Grid"/>
    <w:basedOn w:val="Tablanormal"/>
    <w:uiPriority w:val="39"/>
    <w:qFormat/>
    <w:rsid w:val="00015FF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15FFB"/>
    <w:rPr>
      <w:color w:val="0000FF"/>
      <w:u w:val="single"/>
    </w:rPr>
  </w:style>
  <w:style w:type="paragraph" w:customStyle="1" w:styleId="Appelnotedebasde">
    <w:name w:val="Appel note de bas de..."/>
    <w:basedOn w:val="Normal"/>
    <w:link w:val="Refdenotaalpie"/>
    <w:uiPriority w:val="99"/>
    <w:rsid w:val="00015FFB"/>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015FF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15F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delfuentes@gmail.com" TargetMode="External"/><Relationship Id="rId5" Type="http://schemas.openxmlformats.org/officeDocument/2006/relationships/styles" Target="styles.xml"/><Relationship Id="rId15" Type="http://schemas.openxmlformats.org/officeDocument/2006/relationships/hyperlink" Target="https://relatoria.colombiacompra.gov.co/"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documento/documentos-tipo-de-infraestructura-de-transporte-en-la-modalidad-de-seleccion-abreviada-de-menor-cuanti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FBC0FA8-C63B-458E-B526-45C24324BD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56DEF6-FA2A-4E18-90A9-AA5DEF2A5120}">
  <ds:schemaRefs>
    <ds:schemaRef ds:uri="http://schemas.microsoft.com/sharepoint/v3/contenttype/forms"/>
  </ds:schemaRefs>
</ds:datastoreItem>
</file>

<file path=customXml/itemProps3.xml><?xml version="1.0" encoding="utf-8"?>
<ds:datastoreItem xmlns:ds="http://schemas.openxmlformats.org/officeDocument/2006/customXml" ds:itemID="{0112488B-6BE3-4CD1-85CB-EDF1BF19A451}">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18</Pages>
  <Words>5800</Words>
  <Characters>31904</Characters>
  <Application>Microsoft Office Word</Application>
  <DocSecurity>0</DocSecurity>
  <Lines>265</Lines>
  <Paragraphs>75</Paragraphs>
  <ScaleCrop>false</ScaleCrop>
  <Company/>
  <LinksUpToDate>false</LinksUpToDate>
  <CharactersWithSpaces>37629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5</cp:revision>
  <dcterms:created xsi:type="dcterms:W3CDTF">2026-06-12T14:54:00Z</dcterms:created>
  <dcterms:modified xsi:type="dcterms:W3CDTF">2026-06-12T14:59:00Z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