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68F16" w14:textId="77777777" w:rsidR="00E87D3B" w:rsidRPr="003C5341" w:rsidRDefault="00E87D3B" w:rsidP="007B7BFF">
      <w:pPr>
        <w:spacing w:after="0" w:line="240" w:lineRule="auto"/>
        <w:rPr>
          <w:rFonts w:ascii="Verdana" w:eastAsia="Verdana" w:hAnsi="Verdana" w:cs="Verdana"/>
          <w:b/>
          <w:bCs/>
          <w:lang w:val="es-ES_tradnl"/>
        </w:rPr>
      </w:pPr>
      <w:bookmarkStart w:id="0" w:name="_Hlk143780582"/>
      <w:r w:rsidRPr="003C5341">
        <w:rPr>
          <w:rFonts w:ascii="Verdana" w:eastAsia="Verdana" w:hAnsi="Verdana" w:cs="Verdana"/>
          <w:b/>
          <w:bCs/>
          <w:lang w:val="es-ES_tradnl"/>
        </w:rPr>
        <w:t>PRECIO – Elemento – Contrato Estatal</w:t>
      </w:r>
    </w:p>
    <w:p w14:paraId="3D601078" w14:textId="77777777" w:rsidR="00E87D3B" w:rsidRDefault="00E87D3B" w:rsidP="007B7BFF">
      <w:pPr>
        <w:spacing w:after="0" w:line="240" w:lineRule="auto"/>
        <w:rPr>
          <w:rFonts w:ascii="Verdana" w:eastAsia="Verdana" w:hAnsi="Verdana" w:cs="Verdana"/>
          <w:lang w:val="es-ES_tradnl"/>
        </w:rPr>
      </w:pPr>
    </w:p>
    <w:p w14:paraId="13CCB4C7" w14:textId="3D3B158E" w:rsidR="00E87D3B" w:rsidRDefault="008F0EDB" w:rsidP="007B7BFF">
      <w:pPr>
        <w:spacing w:after="0" w:line="240" w:lineRule="auto"/>
        <w:jc w:val="both"/>
        <w:rPr>
          <w:rFonts w:ascii="Verdana" w:eastAsia="Verdana" w:hAnsi="Verdana" w:cs="Verdana"/>
          <w:bCs/>
          <w:sz w:val="20"/>
          <w:szCs w:val="20"/>
          <w:lang w:val="es-ES_tradnl"/>
        </w:rPr>
      </w:pPr>
      <w:r w:rsidRPr="008F0EDB">
        <w:rPr>
          <w:rFonts w:ascii="Verdana" w:eastAsia="Verdana" w:hAnsi="Verdana" w:cs="Verdana"/>
          <w:bCs/>
          <w:sz w:val="20"/>
          <w:szCs w:val="20"/>
          <w:lang w:val="es-ES_tradnl"/>
        </w:rPr>
        <w:t>Como es sabido, uno de los elementos más comunes en los contratos estatales es el precio, también conocido como valor. Aunque no todo contrato lo incluye –pues también existen negocios gratuitos– lo usual es que los contratos estatales se perfeccionen como onerosos y, la mayoría de las veces, como conmutativos. Adicionalmente, el precio suele ser el elemento más importante para el contratista, porque equivale a la remuneración que la entidad contratante le pagará por la ejecución del objeto contractual.</w:t>
      </w:r>
    </w:p>
    <w:p w14:paraId="6E395A88" w14:textId="77777777" w:rsidR="008F0EDB" w:rsidRDefault="008F0EDB" w:rsidP="007B7BFF">
      <w:pPr>
        <w:spacing w:after="0" w:line="240" w:lineRule="auto"/>
        <w:jc w:val="both"/>
        <w:rPr>
          <w:rFonts w:ascii="Verdana" w:eastAsia="Verdana" w:hAnsi="Verdana" w:cs="Verdana"/>
          <w:sz w:val="20"/>
          <w:szCs w:val="20"/>
          <w:lang w:val="es-ES_tradnl"/>
        </w:rPr>
      </w:pPr>
    </w:p>
    <w:p w14:paraId="324B5E25" w14:textId="1CC9B0CA" w:rsidR="003B4B39" w:rsidRDefault="003B4B39" w:rsidP="007B7BFF">
      <w:pPr>
        <w:spacing w:after="0" w:line="240" w:lineRule="auto"/>
        <w:jc w:val="both"/>
        <w:rPr>
          <w:rFonts w:ascii="Verdana" w:eastAsia="Verdana" w:hAnsi="Verdana" w:cs="Verdana"/>
          <w:sz w:val="20"/>
          <w:szCs w:val="20"/>
          <w:lang w:val="es-ES"/>
        </w:rPr>
      </w:pPr>
      <w:r w:rsidRPr="003B4B39">
        <w:rPr>
          <w:rFonts w:ascii="Verdana" w:eastAsia="Verdana" w:hAnsi="Verdana" w:cs="Verdana"/>
          <w:sz w:val="20"/>
          <w:szCs w:val="20"/>
          <w:lang w:val="es-ES"/>
        </w:rPr>
        <w:t xml:space="preserve">Desde la etapa de planeación, en la fase precontractual, las entidades estatales deben calcular el presupuesto oficial, mediante la realización del análisis del sector –que incluye el estudio del mercado– y definir la metodología con la cual estructurarán el precio del contrato. Dicho de otro modo, hace parte de los estudios previos la definición del esquema que la Administración usará para estipular el precio. Tal metodología generalmente depende del tipo de contrato, pues hay algunas modalidades más comunes en los de obra pública; otras más utilizadas en los de prestación de servicios y otras más indicadas para los de concesión, por mencionar algunos ejemplos. No hay, pues, una sola metodología para pactar el precio y, en gran medida, la manera de hacerlo ha obedecido a la costumbre mercantil y a la influencia de disciplinas técnicas, como la ingeniería o la administración de empresas, en la contratación estatal. Dentro de tales esquemas de establecimiento del precio pueden citarse, entre otros: i) los precios unitarios –calculados de acuerdo con las unidades que componen el objeto del contrato–, </w:t>
      </w:r>
      <w:proofErr w:type="spellStart"/>
      <w:r w:rsidRPr="003B4B39">
        <w:rPr>
          <w:rFonts w:ascii="Verdana" w:eastAsia="Verdana" w:hAnsi="Verdana" w:cs="Verdana"/>
          <w:sz w:val="20"/>
          <w:szCs w:val="20"/>
          <w:lang w:val="es-ES"/>
        </w:rPr>
        <w:t>ii</w:t>
      </w:r>
      <w:proofErr w:type="spellEnd"/>
      <w:r w:rsidRPr="003B4B39">
        <w:rPr>
          <w:rFonts w:ascii="Verdana" w:eastAsia="Verdana" w:hAnsi="Verdana" w:cs="Verdana"/>
          <w:sz w:val="20"/>
          <w:szCs w:val="20"/>
          <w:lang w:val="es-ES"/>
        </w:rPr>
        <w:t xml:space="preserve">) el precio global –que equivale al monto total, sin discriminar unidades–, y </w:t>
      </w:r>
      <w:proofErr w:type="spellStart"/>
      <w:r w:rsidRPr="003B4B39">
        <w:rPr>
          <w:rFonts w:ascii="Verdana" w:eastAsia="Verdana" w:hAnsi="Verdana" w:cs="Verdana"/>
          <w:sz w:val="20"/>
          <w:szCs w:val="20"/>
          <w:lang w:val="es-ES"/>
        </w:rPr>
        <w:t>iii</w:t>
      </w:r>
      <w:proofErr w:type="spellEnd"/>
      <w:r w:rsidRPr="003B4B39">
        <w:rPr>
          <w:rFonts w:ascii="Verdana" w:eastAsia="Verdana" w:hAnsi="Verdana" w:cs="Verdana"/>
          <w:sz w:val="20"/>
          <w:szCs w:val="20"/>
          <w:lang w:val="es-ES"/>
        </w:rPr>
        <w:t>) la administración delegada de recursos –en la que se distinguen los costos de inversión de los honorarios del administrador–.</w:t>
      </w:r>
    </w:p>
    <w:p w14:paraId="57BDCC6F" w14:textId="77777777" w:rsidR="003B4B39" w:rsidRPr="008F0EDB" w:rsidRDefault="003B4B39" w:rsidP="007B7BFF">
      <w:pPr>
        <w:spacing w:after="0" w:line="240" w:lineRule="auto"/>
        <w:jc w:val="both"/>
        <w:rPr>
          <w:rFonts w:ascii="Verdana" w:eastAsia="Verdana" w:hAnsi="Verdana" w:cs="Verdana"/>
          <w:sz w:val="20"/>
          <w:szCs w:val="20"/>
          <w:lang w:val="es-ES_tradnl"/>
        </w:rPr>
      </w:pPr>
    </w:p>
    <w:p w14:paraId="18245B7C" w14:textId="77777777" w:rsidR="003C5341" w:rsidRPr="008F0EDB" w:rsidRDefault="00E87D3B" w:rsidP="007B7BFF">
      <w:pPr>
        <w:spacing w:after="0" w:line="240" w:lineRule="auto"/>
        <w:rPr>
          <w:rFonts w:ascii="Verdana" w:eastAsia="Verdana" w:hAnsi="Verdana" w:cs="Verdana"/>
          <w:b/>
          <w:bCs/>
          <w:lang w:val="es-ES"/>
        </w:rPr>
      </w:pPr>
      <w:r w:rsidRPr="008F0EDB">
        <w:rPr>
          <w:rFonts w:ascii="Verdana" w:eastAsia="Verdana" w:hAnsi="Verdana" w:cs="Verdana"/>
          <w:b/>
          <w:bCs/>
          <w:lang w:val="es-ES"/>
        </w:rPr>
        <w:t xml:space="preserve">PRECIOS UNITARIOS – Estructuración del precio – Cantidades de obra </w:t>
      </w:r>
    </w:p>
    <w:p w14:paraId="4ECB149B" w14:textId="77777777" w:rsidR="003C5341" w:rsidRDefault="003C5341" w:rsidP="007B7BFF">
      <w:pPr>
        <w:spacing w:after="0" w:line="240" w:lineRule="auto"/>
        <w:rPr>
          <w:rFonts w:ascii="Verdana" w:eastAsia="Verdana" w:hAnsi="Verdana" w:cs="Verdana"/>
          <w:lang w:val="es-ES"/>
        </w:rPr>
      </w:pPr>
    </w:p>
    <w:p w14:paraId="06100F84" w14:textId="44FBA68A" w:rsidR="004353D4" w:rsidRDefault="004353D4" w:rsidP="007B7BFF">
      <w:pPr>
        <w:spacing w:after="0" w:line="240" w:lineRule="auto"/>
        <w:jc w:val="both"/>
        <w:rPr>
          <w:rFonts w:ascii="Verdana" w:eastAsia="Verdana" w:hAnsi="Verdana" w:cs="Verdana"/>
          <w:sz w:val="20"/>
          <w:szCs w:val="20"/>
          <w:lang w:val="es-ES"/>
        </w:rPr>
      </w:pPr>
      <w:r w:rsidRPr="004353D4">
        <w:rPr>
          <w:rFonts w:ascii="Verdana" w:eastAsia="Verdana" w:hAnsi="Verdana" w:cs="Verdana"/>
          <w:sz w:val="20"/>
          <w:szCs w:val="20"/>
          <w:lang w:val="es-ES"/>
        </w:rPr>
        <w:t>El precio pactado a precios unitarios, al cual se refiere su consulta, implica individualizar el valor de cada uno de los ítems requeridos para llevar a cabo la obra o el proyecto. Así mismo, el precio se deriva de apreciar todos los componentes necesarios para la ejecución de la unidad de medida del ítem correspondiente (metro lineal, metro cúbico, metro cuadrado, entre otros). Por lo mismo, el precio será el resultado de multiplicar la cantidad finalmente ejecutada por el valor unitario respectivo.</w:t>
      </w:r>
    </w:p>
    <w:p w14:paraId="331B19B7" w14:textId="77777777" w:rsidR="004353D4" w:rsidRPr="004353D4" w:rsidRDefault="004353D4" w:rsidP="007B7BFF">
      <w:pPr>
        <w:spacing w:after="0" w:line="240" w:lineRule="auto"/>
        <w:jc w:val="both"/>
        <w:rPr>
          <w:rFonts w:ascii="Verdana" w:eastAsia="Verdana" w:hAnsi="Verdana" w:cs="Verdana"/>
          <w:sz w:val="20"/>
          <w:szCs w:val="20"/>
          <w:lang w:val="es-ES"/>
        </w:rPr>
      </w:pPr>
    </w:p>
    <w:p w14:paraId="08540761" w14:textId="609BE684" w:rsidR="003C5341" w:rsidRDefault="004353D4" w:rsidP="007B7BFF">
      <w:pPr>
        <w:spacing w:after="0" w:line="240" w:lineRule="auto"/>
        <w:jc w:val="both"/>
        <w:rPr>
          <w:rFonts w:ascii="Verdana" w:eastAsia="Verdana" w:hAnsi="Verdana" w:cs="Verdana"/>
          <w:sz w:val="20"/>
          <w:szCs w:val="20"/>
          <w:lang w:val="es-ES"/>
        </w:rPr>
      </w:pPr>
      <w:r w:rsidRPr="004353D4">
        <w:rPr>
          <w:rFonts w:ascii="Verdana" w:eastAsia="Verdana" w:hAnsi="Verdana" w:cs="Verdana"/>
          <w:bCs/>
          <w:sz w:val="20"/>
          <w:szCs w:val="20"/>
          <w:lang w:val="es-ES"/>
        </w:rPr>
        <w:t xml:space="preserve">En esta modalidad se establecen unas estimaciones de cantidades de obra, según los estudios y diseños, los estudios previos y unos precios unitarios de los respectivos ítems de obra. </w:t>
      </w:r>
      <w:r w:rsidRPr="004353D4">
        <w:rPr>
          <w:rFonts w:ascii="Verdana" w:eastAsia="Verdana" w:hAnsi="Verdana" w:cs="Verdana"/>
          <w:sz w:val="20"/>
          <w:szCs w:val="20"/>
          <w:lang w:val="es-ES"/>
        </w:rPr>
        <w:t xml:space="preserve">Al respecto, la jurisprudencia de la Sección Tercera del Consejo de Estado ha explicado </w:t>
      </w:r>
      <w:proofErr w:type="gramStart"/>
      <w:r w:rsidRPr="004353D4">
        <w:rPr>
          <w:rFonts w:ascii="Verdana" w:eastAsia="Verdana" w:hAnsi="Verdana" w:cs="Verdana"/>
          <w:sz w:val="20"/>
          <w:szCs w:val="20"/>
          <w:lang w:val="es-ES"/>
        </w:rPr>
        <w:t>que</w:t>
      </w:r>
      <w:proofErr w:type="gramEnd"/>
      <w:r w:rsidRPr="004353D4">
        <w:rPr>
          <w:rFonts w:ascii="Verdana" w:eastAsia="Verdana" w:hAnsi="Verdana" w:cs="Verdana"/>
          <w:sz w:val="20"/>
          <w:szCs w:val="20"/>
          <w:lang w:val="es-ES"/>
        </w:rPr>
        <w:t xml:space="preserve"> en los contratos pactados mediante precios unitarios, ante la imposibilidad de establecer con exactitud los montos totales que resultarán de realizar la obra contratada, la entidad aproxima un cálculo estimado de la cantidad o unidades de obra que se requerirá ejecutar previo a la ejecución del negocio jurídico, es decir, en los pliegos de condiciones o documento equivalente y en el contrato. Esto, con el propósito de que el proponente establezca en su propuesta unos valores unitarios respecto de cada unidad de obra prevista por la entidad contratante.</w:t>
      </w:r>
    </w:p>
    <w:p w14:paraId="7D85BAA8" w14:textId="77777777" w:rsidR="004353D4" w:rsidRPr="004353D4" w:rsidRDefault="004353D4" w:rsidP="007B7BFF">
      <w:pPr>
        <w:spacing w:after="0" w:line="240" w:lineRule="auto"/>
        <w:jc w:val="both"/>
        <w:rPr>
          <w:rFonts w:ascii="Verdana" w:eastAsia="Verdana" w:hAnsi="Verdana" w:cs="Verdana"/>
          <w:sz w:val="20"/>
          <w:szCs w:val="20"/>
          <w:lang w:val="es-ES"/>
        </w:rPr>
      </w:pPr>
    </w:p>
    <w:p w14:paraId="65B76CCA" w14:textId="77777777" w:rsidR="003C5341" w:rsidRPr="004353D4" w:rsidRDefault="00E87D3B" w:rsidP="007B7BFF">
      <w:pPr>
        <w:spacing w:after="0" w:line="240" w:lineRule="auto"/>
        <w:jc w:val="both"/>
        <w:rPr>
          <w:rFonts w:ascii="Verdana" w:eastAsia="Verdana" w:hAnsi="Verdana" w:cs="Verdana"/>
          <w:b/>
          <w:bCs/>
          <w:sz w:val="20"/>
          <w:szCs w:val="20"/>
          <w:lang w:val="es-ES"/>
        </w:rPr>
      </w:pPr>
      <w:r w:rsidRPr="004353D4">
        <w:rPr>
          <w:rFonts w:ascii="Verdana" w:eastAsia="Verdana" w:hAnsi="Verdana" w:cs="Verdana"/>
          <w:b/>
          <w:bCs/>
          <w:lang w:val="es-ES"/>
        </w:rPr>
        <w:t xml:space="preserve">AIU – Costos indirectos – Finalidad – Ejecución del contrato </w:t>
      </w:r>
    </w:p>
    <w:p w14:paraId="4012FD99" w14:textId="77777777" w:rsidR="003C5341" w:rsidRDefault="003C5341" w:rsidP="007B7BFF">
      <w:pPr>
        <w:spacing w:after="0" w:line="240" w:lineRule="auto"/>
        <w:rPr>
          <w:rFonts w:ascii="Verdana" w:eastAsia="Verdana" w:hAnsi="Verdana" w:cs="Verdana"/>
          <w:lang w:val="es-ES"/>
        </w:rPr>
      </w:pPr>
    </w:p>
    <w:p w14:paraId="2EF3AEDA" w14:textId="514DBE86" w:rsidR="00581D73" w:rsidRDefault="00581D73" w:rsidP="007B7BFF">
      <w:pPr>
        <w:spacing w:after="0" w:line="240" w:lineRule="auto"/>
        <w:jc w:val="both"/>
        <w:rPr>
          <w:rFonts w:ascii="Verdana" w:eastAsia="Verdana" w:hAnsi="Verdana" w:cs="Verdana"/>
          <w:sz w:val="20"/>
          <w:szCs w:val="20"/>
          <w:lang w:val="es-ES"/>
        </w:rPr>
      </w:pPr>
      <w:r w:rsidRPr="00581D73">
        <w:rPr>
          <w:rFonts w:ascii="Verdana" w:eastAsia="Verdana" w:hAnsi="Verdana" w:cs="Verdana"/>
          <w:bCs/>
          <w:sz w:val="20"/>
          <w:szCs w:val="20"/>
          <w:lang w:val="es-ES"/>
        </w:rPr>
        <w:t xml:space="preserve">Otro aspecto importante a tener en cuenta respecto de los contratos cuyo precio se estructura a partir del sistema de precios unitarios es que, ha hecho parte de la práctica de los negocios que el contratante le solicite </w:t>
      </w:r>
      <w:r w:rsidRPr="00581D73">
        <w:rPr>
          <w:rFonts w:ascii="Verdana" w:eastAsia="Verdana" w:hAnsi="Verdana" w:cs="Verdana"/>
          <w:sz w:val="20"/>
          <w:szCs w:val="20"/>
          <w:lang w:val="es-ES"/>
        </w:rPr>
        <w:t xml:space="preserve">al potencial contratista que separe en su propuesta los </w:t>
      </w:r>
      <w:r w:rsidRPr="00581D73">
        <w:rPr>
          <w:rFonts w:ascii="Verdana" w:eastAsia="Verdana" w:hAnsi="Verdana" w:cs="Verdana"/>
          <w:i/>
          <w:iCs/>
          <w:sz w:val="20"/>
          <w:szCs w:val="20"/>
          <w:lang w:val="es-ES"/>
        </w:rPr>
        <w:t>costos directos</w:t>
      </w:r>
      <w:r w:rsidRPr="00581D73">
        <w:rPr>
          <w:rFonts w:ascii="Verdana" w:eastAsia="Verdana" w:hAnsi="Verdana" w:cs="Verdana"/>
          <w:sz w:val="20"/>
          <w:szCs w:val="20"/>
          <w:lang w:val="es-ES"/>
        </w:rPr>
        <w:t xml:space="preserve"> –es decir, los que están directamente implicados en la ejecución del objeto–, de los </w:t>
      </w:r>
      <w:r w:rsidRPr="00581D73">
        <w:rPr>
          <w:rFonts w:ascii="Verdana" w:eastAsia="Verdana" w:hAnsi="Verdana" w:cs="Verdana"/>
          <w:i/>
          <w:iCs/>
          <w:sz w:val="20"/>
          <w:szCs w:val="20"/>
          <w:lang w:val="es-ES"/>
        </w:rPr>
        <w:t>costos indirectos</w:t>
      </w:r>
      <w:r w:rsidRPr="00581D73">
        <w:rPr>
          <w:rFonts w:ascii="Verdana" w:eastAsia="Verdana" w:hAnsi="Verdana" w:cs="Verdana"/>
          <w:sz w:val="20"/>
          <w:szCs w:val="20"/>
          <w:lang w:val="es-ES"/>
        </w:rPr>
        <w:t xml:space="preserve"> –que equivalen a los rubros que no tienen que ver de manera inmediata con la ejecución de las actividades contractuales, pero que integran también el precio, bien porque constituyen erogaciones administrativas o contingentes para el contratista o bien porque se dirigen a salvaguardar su ganancia–, tal podría llegar a ser el caso de los gastos en los que se incurra por concepto de representación la estructura plural. </w:t>
      </w:r>
      <w:r w:rsidRPr="00581D73">
        <w:rPr>
          <w:rFonts w:ascii="Verdana" w:eastAsia="Verdana" w:hAnsi="Verdana" w:cs="Verdana"/>
          <w:bCs/>
          <w:sz w:val="20"/>
          <w:szCs w:val="20"/>
          <w:lang w:val="es-ES"/>
        </w:rPr>
        <w:t xml:space="preserve">En tal sentido, mientras que los costos directos se evidencian en el análisis de precios unitarios –APU–, como la sumatoria de los valores de los </w:t>
      </w:r>
      <w:r w:rsidRPr="00581D73">
        <w:rPr>
          <w:rFonts w:ascii="Verdana" w:eastAsia="Verdana" w:hAnsi="Verdana" w:cs="Verdana"/>
          <w:bCs/>
          <w:i/>
          <w:iCs/>
          <w:sz w:val="20"/>
          <w:szCs w:val="20"/>
          <w:lang w:val="es-ES"/>
        </w:rPr>
        <w:t>ítems</w:t>
      </w:r>
      <w:r w:rsidRPr="00581D73">
        <w:rPr>
          <w:rFonts w:ascii="Verdana" w:eastAsia="Verdana" w:hAnsi="Verdana" w:cs="Verdana"/>
          <w:bCs/>
          <w:sz w:val="20"/>
          <w:szCs w:val="20"/>
          <w:lang w:val="es-ES"/>
        </w:rPr>
        <w:t xml:space="preserve"> según su unidad de medida, los costos indirectos se suelen abreviar en las variables que integran el acrónimo AIU –Administración, Imprevistos y Utilidad–, que se calcula como un porcentaje aplicado a los costos indirectos</w:t>
      </w:r>
      <w:r w:rsidRPr="00581D73">
        <w:rPr>
          <w:rFonts w:ascii="Verdana" w:eastAsia="Verdana" w:hAnsi="Verdana" w:cs="Verdana"/>
          <w:sz w:val="20"/>
          <w:szCs w:val="20"/>
          <w:lang w:val="es-ES"/>
        </w:rPr>
        <w:t>.</w:t>
      </w:r>
    </w:p>
    <w:p w14:paraId="6FE07C3D" w14:textId="77777777" w:rsidR="00581D73" w:rsidRPr="00581D73" w:rsidRDefault="00581D73" w:rsidP="007B7BFF">
      <w:pPr>
        <w:spacing w:after="0" w:line="240" w:lineRule="auto"/>
        <w:jc w:val="both"/>
        <w:rPr>
          <w:rFonts w:ascii="Verdana" w:eastAsia="Verdana" w:hAnsi="Verdana" w:cs="Verdana"/>
          <w:sz w:val="20"/>
          <w:szCs w:val="20"/>
          <w:lang w:val="es-ES"/>
        </w:rPr>
      </w:pPr>
    </w:p>
    <w:p w14:paraId="5D1E737E" w14:textId="5587AAA0" w:rsidR="003C5341" w:rsidRPr="00581D73" w:rsidRDefault="00581D73" w:rsidP="007B7BFF">
      <w:pPr>
        <w:spacing w:after="0" w:line="240" w:lineRule="auto"/>
        <w:jc w:val="both"/>
        <w:rPr>
          <w:rFonts w:ascii="Verdana" w:eastAsia="Verdana" w:hAnsi="Verdana" w:cs="Verdana"/>
          <w:sz w:val="20"/>
          <w:szCs w:val="20"/>
          <w:lang w:val="es-ES"/>
        </w:rPr>
      </w:pPr>
      <w:r w:rsidRPr="00581D73">
        <w:rPr>
          <w:rFonts w:ascii="Verdana" w:eastAsia="Verdana" w:hAnsi="Verdana" w:cs="Verdana"/>
          <w:bCs/>
          <w:sz w:val="20"/>
          <w:szCs w:val="20"/>
          <w:lang w:val="es-ES"/>
        </w:rPr>
        <w:t xml:space="preserve">La jurisprudencia ha señalado que “[…] en la conformación de dichos precios unitarios, se tienen en cuenta todos los gastos que se requieren para realizar la unidad de medida respectiva –el metro lineal, el metro cúbico, el metro cuadrado, etc.-. Y lo que comúnmente se denomina análisis de precios unitarios, corresponde a la descomposición de </w:t>
      </w:r>
      <w:proofErr w:type="gramStart"/>
      <w:r w:rsidRPr="00581D73">
        <w:rPr>
          <w:rFonts w:ascii="Verdana" w:eastAsia="Verdana" w:hAnsi="Verdana" w:cs="Verdana"/>
          <w:bCs/>
          <w:sz w:val="20"/>
          <w:szCs w:val="20"/>
          <w:lang w:val="es-ES"/>
        </w:rPr>
        <w:t>los mismos</w:t>
      </w:r>
      <w:proofErr w:type="gramEnd"/>
      <w:r w:rsidRPr="00581D73">
        <w:rPr>
          <w:rFonts w:ascii="Verdana" w:eastAsia="Verdana" w:hAnsi="Verdana" w:cs="Verdana"/>
          <w:bCs/>
          <w:sz w:val="20"/>
          <w:szCs w:val="20"/>
          <w:lang w:val="es-ES"/>
        </w:rPr>
        <w:t xml:space="preserve"> para determinar los costos que los conforman: la maquinaria que se utilizará, calculando el valor por el tiempo que se requiera; la mano de obra, teniendo en cuenta el costo hora-hombre, y cuántas personas se requieren para la ejecución de esa unidad de medida; la cantidad de los materiales necesarios, etc.”</w:t>
      </w:r>
    </w:p>
    <w:p w14:paraId="1105C9A8" w14:textId="77777777" w:rsidR="003C5341" w:rsidRDefault="003C5341" w:rsidP="007B7BFF">
      <w:pPr>
        <w:spacing w:after="0" w:line="240" w:lineRule="auto"/>
        <w:rPr>
          <w:rFonts w:ascii="Verdana" w:eastAsia="Verdana" w:hAnsi="Verdana" w:cs="Verdana"/>
          <w:lang w:val="es-ES"/>
        </w:rPr>
      </w:pPr>
    </w:p>
    <w:p w14:paraId="4FA87248" w14:textId="15ED3600" w:rsidR="00E87D3B" w:rsidRPr="004353D4" w:rsidRDefault="00E87D3B" w:rsidP="007B7BFF">
      <w:pPr>
        <w:spacing w:after="0" w:line="240" w:lineRule="auto"/>
        <w:rPr>
          <w:rFonts w:ascii="Verdana" w:eastAsia="Verdana" w:hAnsi="Verdana" w:cs="Verdana"/>
          <w:b/>
          <w:bCs/>
          <w:lang w:val="es-ES"/>
        </w:rPr>
      </w:pPr>
      <w:r w:rsidRPr="004353D4">
        <w:rPr>
          <w:rFonts w:ascii="Verdana" w:eastAsia="Verdana" w:hAnsi="Verdana" w:cs="Verdana"/>
          <w:b/>
          <w:bCs/>
          <w:lang w:val="es-ES"/>
        </w:rPr>
        <w:t>AIU – Discrecionalidad</w:t>
      </w:r>
    </w:p>
    <w:p w14:paraId="0B3EB79C" w14:textId="77777777" w:rsidR="00E87D3B" w:rsidRDefault="00E87D3B" w:rsidP="007B7BFF">
      <w:pPr>
        <w:spacing w:after="0" w:line="240" w:lineRule="auto"/>
        <w:rPr>
          <w:rFonts w:ascii="Verdana" w:eastAsia="Verdana" w:hAnsi="Verdana" w:cs="Verdana"/>
          <w:lang w:val="es-ES"/>
        </w:rPr>
      </w:pPr>
    </w:p>
    <w:p w14:paraId="3521938A" w14:textId="77777777" w:rsidR="007B7BFF" w:rsidRPr="007B7BFF" w:rsidRDefault="007B7BFF" w:rsidP="007B7BFF">
      <w:pPr>
        <w:spacing w:after="0" w:line="240" w:lineRule="auto"/>
        <w:jc w:val="both"/>
        <w:rPr>
          <w:rFonts w:ascii="Verdana" w:eastAsia="Verdana" w:hAnsi="Verdana" w:cs="Verdana"/>
          <w:sz w:val="20"/>
          <w:szCs w:val="20"/>
          <w:lang w:val="es-ES"/>
        </w:rPr>
      </w:pPr>
      <w:r w:rsidRPr="007B7BFF">
        <w:rPr>
          <w:rFonts w:ascii="Verdana" w:eastAsia="Verdana" w:hAnsi="Verdana" w:cs="Verdana"/>
          <w:sz w:val="20"/>
          <w:szCs w:val="20"/>
          <w:lang w:val="es-ES"/>
        </w:rPr>
        <w:t xml:space="preserve">En consecuencia, las entidades gozan de autonomía para configurar el precio y para establecer el sistema de pago más apropiado para satisfacer los fines de la contratación, respetando los límites previstos en el ordenamiento. En tal perspectiva, cuentan con discrecionalidad para establecer en el pliego de condiciones o en su documento equivalente, así como en el contrato, el sistema de precios unitarios y la figura del AIU; modelo que, como se indicó, es más pertinente para los contratos de tracto sucesivo, como el de obra. Por ende, la decisión de incluir el AIU, al igual que la metodología de delimitación de sus variables –ítems y porcentajes– debe obedecer a un juicioso análisis de oportunidad y conveniencia, que consulte las reglas de la experiencia, así como los aspectos particulares de cada negocio. Lo anterior en armonía con la garantía de los principios de la función administrativa y de la gestión fiscal, dentro de los cuales se halla el principio de economía, postulado que exige la optimización de los recursos públicos. </w:t>
      </w:r>
    </w:p>
    <w:p w14:paraId="7A289160" w14:textId="77777777" w:rsidR="00E87D3B" w:rsidRDefault="00E87D3B" w:rsidP="007B7BFF">
      <w:pPr>
        <w:spacing w:after="0" w:line="240" w:lineRule="auto"/>
        <w:rPr>
          <w:rFonts w:ascii="Verdana" w:eastAsia="Verdana" w:hAnsi="Verdana" w:cs="Verdana"/>
          <w:lang w:val="es-ES"/>
        </w:rPr>
      </w:pPr>
    </w:p>
    <w:p w14:paraId="0CC49AE2" w14:textId="77777777" w:rsidR="00E87D3B" w:rsidRDefault="00E87D3B" w:rsidP="004914BB">
      <w:pPr>
        <w:spacing w:after="0"/>
        <w:rPr>
          <w:rFonts w:ascii="Verdana" w:eastAsia="Verdana" w:hAnsi="Verdana" w:cs="Verdana"/>
          <w:lang w:val="es-ES"/>
        </w:rPr>
      </w:pPr>
    </w:p>
    <w:p w14:paraId="39BE2FF0" w14:textId="77777777" w:rsidR="00615653" w:rsidRDefault="00615653" w:rsidP="004914BB">
      <w:pPr>
        <w:spacing w:after="0"/>
        <w:rPr>
          <w:rFonts w:ascii="Verdana" w:eastAsia="Verdana" w:hAnsi="Verdana" w:cs="Verdana"/>
        </w:rPr>
      </w:pPr>
    </w:p>
    <w:p w14:paraId="31B82194" w14:textId="4D9073FB" w:rsidR="004914BB" w:rsidRPr="00DA61E0" w:rsidRDefault="004914BB" w:rsidP="004914BB">
      <w:pPr>
        <w:spacing w:after="0"/>
        <w:rPr>
          <w:rFonts w:ascii="Verdana" w:eastAsia="Calibri" w:hAnsi="Verdana" w:cs="Arial"/>
          <w:color w:val="000000"/>
          <w:lang w:val="es-ES"/>
        </w:rPr>
      </w:pPr>
      <w:r w:rsidRPr="30821638">
        <w:rPr>
          <w:rFonts w:ascii="Verdana" w:eastAsia="Verdana" w:hAnsi="Verdana" w:cs="Verdana"/>
        </w:rPr>
        <w:lastRenderedPageBreak/>
        <w:t xml:space="preserve">Bogotá D.C., </w:t>
      </w:r>
      <w:r w:rsidR="00A70D66">
        <w:rPr>
          <w:rFonts w:ascii="Verdana" w:eastAsia="Verdana" w:hAnsi="Verdana" w:cs="Verdana"/>
        </w:rPr>
        <w:t>17 de junio de 2026</w:t>
      </w:r>
      <w:r>
        <w:tab/>
      </w:r>
      <w:r>
        <w:br/>
      </w:r>
    </w:p>
    <w:p w14:paraId="7FED02E1" w14:textId="21C5E386" w:rsidR="004914BB" w:rsidRPr="00DA61E0" w:rsidRDefault="00615653" w:rsidP="004914BB">
      <w:pPr>
        <w:spacing w:after="0" w:line="240" w:lineRule="auto"/>
        <w:rPr>
          <w:rFonts w:ascii="Verdana" w:eastAsia="Calibri" w:hAnsi="Verdana" w:cs="Arial"/>
          <w:color w:val="000000"/>
          <w:lang w:val="es-ES"/>
        </w:rPr>
      </w:pPr>
      <w:r w:rsidRPr="00E87D3B">
        <w:rPr>
          <w:rFonts w:ascii="Verdana" w:eastAsia="Calibri" w:hAnsi="Verdana" w:cs="Arial"/>
          <w:noProof/>
          <w:color w:val="000000"/>
          <w:lang w:val="es-ES"/>
        </w:rPr>
        <w:drawing>
          <wp:anchor distT="0" distB="0" distL="114300" distR="114300" simplePos="0" relativeHeight="251658240" behindDoc="0" locked="0" layoutInCell="1" allowOverlap="1" wp14:anchorId="5AC72AFA" wp14:editId="3FB63EB5">
            <wp:simplePos x="0" y="0"/>
            <wp:positionH relativeFrom="margin">
              <wp:align>right</wp:align>
            </wp:positionH>
            <wp:positionV relativeFrom="paragraph">
              <wp:posOffset>5163</wp:posOffset>
            </wp:positionV>
            <wp:extent cx="2679065" cy="795020"/>
            <wp:effectExtent l="0" t="0" r="6985" b="5080"/>
            <wp:wrapSquare wrapText="bothSides"/>
            <wp:docPr id="862339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9065" cy="795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9462F5" w14:textId="77777777" w:rsidR="004914BB" w:rsidRPr="006C15DC" w:rsidRDefault="004914BB" w:rsidP="004914BB">
      <w:pPr>
        <w:spacing w:after="0" w:line="240" w:lineRule="auto"/>
        <w:jc w:val="both"/>
        <w:rPr>
          <w:rFonts w:ascii="Verdana" w:eastAsia="Calibri" w:hAnsi="Verdana" w:cs="Arial"/>
          <w:b/>
          <w:lang w:val="es-ES" w:eastAsia="es-ES"/>
        </w:rPr>
      </w:pPr>
      <w:r w:rsidRPr="006C15DC">
        <w:rPr>
          <w:rFonts w:ascii="Verdana" w:eastAsia="Calibri" w:hAnsi="Verdana" w:cs="Arial"/>
          <w:lang w:val="es-ES" w:eastAsia="es-ES"/>
        </w:rPr>
        <w:t>Señor</w:t>
      </w:r>
    </w:p>
    <w:p w14:paraId="51A51629" w14:textId="77777777" w:rsidR="004914BB" w:rsidRPr="006C15DC" w:rsidRDefault="004914BB" w:rsidP="004914BB">
      <w:pPr>
        <w:spacing w:after="0" w:line="240" w:lineRule="auto"/>
        <w:rPr>
          <w:rFonts w:ascii="Verdana" w:eastAsia="Calibri" w:hAnsi="Verdana" w:cs="Arial"/>
          <w:b/>
          <w:lang w:eastAsia="es-ES"/>
        </w:rPr>
      </w:pPr>
      <w:r w:rsidRPr="006C15DC">
        <w:rPr>
          <w:rFonts w:ascii="Verdana" w:eastAsia="Calibri" w:hAnsi="Verdana" w:cs="Arial"/>
          <w:b/>
          <w:lang w:eastAsia="es-ES"/>
        </w:rPr>
        <w:t>Luis Gabriel Nieto García</w:t>
      </w:r>
    </w:p>
    <w:p w14:paraId="455015D6" w14:textId="77777777" w:rsidR="004914BB" w:rsidRPr="006C15DC" w:rsidRDefault="004914BB" w:rsidP="004914BB">
      <w:pPr>
        <w:spacing w:after="0" w:line="240" w:lineRule="auto"/>
        <w:rPr>
          <w:rFonts w:ascii="Verdana" w:hAnsi="Verdana"/>
        </w:rPr>
      </w:pPr>
      <w:hyperlink r:id="rId11" w:history="1">
        <w:r w:rsidRPr="00BE62D1">
          <w:rPr>
            <w:rStyle w:val="Hipervnculo"/>
            <w:rFonts w:ascii="Verdana" w:hAnsi="Verdana"/>
          </w:rPr>
          <w:t>lgng.onf@outlook.com</w:t>
        </w:r>
      </w:hyperlink>
      <w:r>
        <w:rPr>
          <w:rFonts w:ascii="Verdana" w:hAnsi="Verdana"/>
        </w:rPr>
        <w:t xml:space="preserve"> </w:t>
      </w:r>
    </w:p>
    <w:p w14:paraId="2C627EA5" w14:textId="77777777" w:rsidR="004914BB" w:rsidRPr="006C15DC" w:rsidRDefault="004914BB" w:rsidP="004914BB">
      <w:pPr>
        <w:spacing w:after="0" w:line="240" w:lineRule="auto"/>
        <w:rPr>
          <w:rFonts w:ascii="Verdana" w:eastAsia="Calibri" w:hAnsi="Verdana" w:cs="Arial"/>
          <w:lang w:eastAsia="es-ES"/>
        </w:rPr>
      </w:pPr>
      <w:r w:rsidRPr="006C15DC">
        <w:rPr>
          <w:rFonts w:ascii="Verdana" w:eastAsia="Calibri" w:hAnsi="Verdana" w:cs="Arial"/>
          <w:lang w:eastAsia="es-ES"/>
        </w:rPr>
        <w:t>Bogotá D.C.</w:t>
      </w:r>
    </w:p>
    <w:p w14:paraId="59A159DB" w14:textId="77777777" w:rsidR="004914BB" w:rsidRPr="00DA61E0" w:rsidRDefault="004914BB" w:rsidP="004914BB">
      <w:pPr>
        <w:spacing w:after="0" w:line="240" w:lineRule="auto"/>
        <w:rPr>
          <w:rFonts w:ascii="Verdana" w:eastAsia="Calibri" w:hAnsi="Verdana" w:cs="Arial"/>
          <w:b/>
          <w:bCs/>
          <w:color w:val="000000"/>
          <w:lang w:eastAsia="es-ES_tradnl"/>
        </w:rPr>
      </w:pPr>
    </w:p>
    <w:p w14:paraId="1E00FF33" w14:textId="77777777" w:rsidR="004914BB" w:rsidRPr="00DA61E0" w:rsidRDefault="004914BB" w:rsidP="004914BB">
      <w:pPr>
        <w:spacing w:after="0" w:line="240" w:lineRule="auto"/>
        <w:rPr>
          <w:rFonts w:ascii="Verdana" w:eastAsia="Calibri" w:hAnsi="Verdana" w:cs="Arial"/>
          <w:b/>
          <w:bCs/>
          <w:color w:val="000000"/>
          <w:lang w:eastAsia="es-ES_tradnl"/>
        </w:rPr>
      </w:pPr>
    </w:p>
    <w:tbl>
      <w:tblPr>
        <w:tblStyle w:val="Tablaconcuadrcula11"/>
        <w:tblW w:w="883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38"/>
        <w:gridCol w:w="6100"/>
      </w:tblGrid>
      <w:tr w:rsidR="004914BB" w:rsidRPr="00DA61E0" w14:paraId="6C013611" w14:textId="77777777" w:rsidTr="00DB15AF">
        <w:trPr>
          <w:trHeight w:val="194"/>
        </w:trPr>
        <w:tc>
          <w:tcPr>
            <w:tcW w:w="2738" w:type="dxa"/>
          </w:tcPr>
          <w:p w14:paraId="274B1CCC" w14:textId="77777777" w:rsidR="004914BB" w:rsidRPr="00DA61E0" w:rsidRDefault="004914BB" w:rsidP="00DB15AF">
            <w:pPr>
              <w:jc w:val="both"/>
              <w:rPr>
                <w:rFonts w:ascii="Verdana" w:hAnsi="Verdana" w:cs="Arial"/>
                <w:b/>
                <w:bCs/>
                <w:color w:val="7030A0"/>
                <w:lang w:eastAsia="es-ES_tradnl"/>
              </w:rPr>
            </w:pPr>
          </w:p>
        </w:tc>
        <w:tc>
          <w:tcPr>
            <w:tcW w:w="6100" w:type="dxa"/>
          </w:tcPr>
          <w:p w14:paraId="079C8CB7" w14:textId="3C386641" w:rsidR="004914BB" w:rsidRPr="00DA61E0" w:rsidRDefault="004914BB" w:rsidP="00DB15AF">
            <w:pPr>
              <w:jc w:val="both"/>
              <w:rPr>
                <w:rFonts w:ascii="Verdana" w:hAnsi="Verdana" w:cs="Arial"/>
                <w:b/>
                <w:bCs/>
                <w:lang w:val="es-ES" w:eastAsia="es-ES"/>
              </w:rPr>
            </w:pPr>
            <w:r w:rsidRPr="00DA61E0">
              <w:rPr>
                <w:rFonts w:ascii="Verdana" w:hAnsi="Verdana" w:cs="Arial"/>
                <w:b/>
                <w:bCs/>
                <w:lang w:val="es-ES" w:eastAsia="es-ES"/>
              </w:rPr>
              <w:t>Concepto C</w:t>
            </w:r>
            <w:r w:rsidR="00870AC8">
              <w:rPr>
                <w:rFonts w:ascii="Verdana" w:hAnsi="Verdana" w:cs="Arial"/>
                <w:b/>
                <w:bCs/>
                <w:lang w:val="es-ES" w:eastAsia="es-ES"/>
              </w:rPr>
              <w:t>-</w:t>
            </w:r>
            <w:r w:rsidRPr="00DA61E0">
              <w:rPr>
                <w:rFonts w:ascii="Verdana" w:hAnsi="Verdana" w:cs="Arial"/>
                <w:b/>
                <w:bCs/>
                <w:lang w:val="es-ES" w:eastAsia="es-ES"/>
              </w:rPr>
              <w:t>7</w:t>
            </w:r>
            <w:r>
              <w:rPr>
                <w:rFonts w:ascii="Verdana" w:hAnsi="Verdana" w:cs="Arial"/>
                <w:b/>
                <w:bCs/>
                <w:lang w:val="es-ES" w:eastAsia="es-ES"/>
              </w:rPr>
              <w:t>40</w:t>
            </w:r>
            <w:r w:rsidRPr="00DA61E0">
              <w:rPr>
                <w:rFonts w:ascii="Verdana" w:hAnsi="Verdana" w:cs="Arial"/>
                <w:b/>
                <w:bCs/>
                <w:lang w:val="es-ES" w:eastAsia="es-ES"/>
              </w:rPr>
              <w:t xml:space="preserve"> de 2026</w:t>
            </w:r>
          </w:p>
          <w:p w14:paraId="1BCEEA5A" w14:textId="77777777" w:rsidR="004914BB" w:rsidRPr="00DA61E0" w:rsidRDefault="004914BB" w:rsidP="00DB15AF">
            <w:pPr>
              <w:jc w:val="both"/>
              <w:rPr>
                <w:rFonts w:ascii="Verdana" w:hAnsi="Verdana" w:cs="Arial"/>
                <w:b/>
                <w:bCs/>
                <w:color w:val="7030A0"/>
                <w:lang w:val="es-ES" w:eastAsia="es-ES"/>
              </w:rPr>
            </w:pPr>
          </w:p>
        </w:tc>
      </w:tr>
      <w:tr w:rsidR="004914BB" w:rsidRPr="00DA61E0" w14:paraId="3C95EF5B" w14:textId="77777777" w:rsidTr="00DB15AF">
        <w:trPr>
          <w:trHeight w:val="884"/>
        </w:trPr>
        <w:tc>
          <w:tcPr>
            <w:tcW w:w="2738" w:type="dxa"/>
            <w:hideMark/>
          </w:tcPr>
          <w:p w14:paraId="05840CEF" w14:textId="77777777" w:rsidR="004914BB" w:rsidRPr="00DA61E0" w:rsidRDefault="004914BB" w:rsidP="00DB15AF">
            <w:pPr>
              <w:spacing w:line="276" w:lineRule="auto"/>
              <w:jc w:val="both"/>
              <w:rPr>
                <w:rFonts w:ascii="Verdana" w:hAnsi="Verdana" w:cs="Arial"/>
                <w:color w:val="000000"/>
                <w:lang w:val="es-ES_tradnl" w:eastAsia="es-ES_tradnl"/>
              </w:rPr>
            </w:pPr>
            <w:r w:rsidRPr="00DA61E0">
              <w:rPr>
                <w:rFonts w:ascii="Verdana" w:hAnsi="Verdana" w:cs="Arial"/>
                <w:b/>
                <w:color w:val="000000"/>
                <w:lang w:val="es-ES_tradnl" w:eastAsia="es-ES_tradnl"/>
              </w:rPr>
              <w:t>Temas:</w:t>
            </w:r>
            <w:r w:rsidRPr="00DA61E0">
              <w:rPr>
                <w:rFonts w:ascii="Verdana" w:hAnsi="Verdana" w:cs="Arial"/>
                <w:color w:val="000000"/>
                <w:lang w:val="es-ES_tradnl" w:eastAsia="es-ES_tradnl"/>
              </w:rPr>
              <w:t xml:space="preserve">                   </w:t>
            </w:r>
          </w:p>
        </w:tc>
        <w:tc>
          <w:tcPr>
            <w:tcW w:w="6100" w:type="dxa"/>
          </w:tcPr>
          <w:p w14:paraId="35F0EFE3" w14:textId="4342E074" w:rsidR="004914BB" w:rsidRPr="00AA633E" w:rsidRDefault="004914BB" w:rsidP="00DB15AF">
            <w:pPr>
              <w:spacing w:line="276" w:lineRule="auto"/>
              <w:jc w:val="both"/>
              <w:rPr>
                <w:rFonts w:ascii="Verdana" w:hAnsi="Verdana" w:cs="Arial"/>
                <w:lang w:val="es-ES" w:eastAsia="es-ES"/>
              </w:rPr>
            </w:pPr>
            <w:r>
              <w:rPr>
                <w:rFonts w:ascii="Verdana" w:hAnsi="Verdana" w:cs="Arial"/>
                <w:lang w:val="es-ES_tradnl" w:eastAsia="es-ES"/>
              </w:rPr>
              <w:t xml:space="preserve">PRECIO – Elemento – Contrato Estatal / </w:t>
            </w:r>
            <w:r w:rsidRPr="0037636C">
              <w:rPr>
                <w:rFonts w:ascii="Verdana" w:hAnsi="Verdana" w:cs="Arial"/>
                <w:lang w:val="es-ES" w:eastAsia="es-ES"/>
              </w:rPr>
              <w:t>PRECIOS UNITARIOS –</w:t>
            </w:r>
            <w:r>
              <w:rPr>
                <w:rFonts w:ascii="Verdana" w:hAnsi="Verdana" w:cs="Arial"/>
                <w:lang w:val="es-ES" w:eastAsia="es-ES"/>
              </w:rPr>
              <w:t xml:space="preserve"> Estructuración del precio </w:t>
            </w:r>
            <w:r w:rsidRPr="0037636C">
              <w:rPr>
                <w:rFonts w:ascii="Verdana" w:hAnsi="Verdana" w:cs="Arial"/>
                <w:lang w:val="es-ES" w:eastAsia="es-ES"/>
              </w:rPr>
              <w:t>– C</w:t>
            </w:r>
            <w:r>
              <w:rPr>
                <w:rFonts w:ascii="Verdana" w:hAnsi="Verdana" w:cs="Arial"/>
                <w:lang w:val="es-ES" w:eastAsia="es-ES"/>
              </w:rPr>
              <w:t xml:space="preserve">antidades de obra </w:t>
            </w:r>
            <w:r w:rsidRPr="0037636C">
              <w:rPr>
                <w:rFonts w:ascii="Verdana" w:hAnsi="Verdana" w:cs="Arial"/>
                <w:lang w:val="es-ES" w:eastAsia="es-ES"/>
              </w:rPr>
              <w:t>/ AIU – Costos indirectos – Finalidad – Ejecución del contrato / AIU – Discrecionalidad</w:t>
            </w:r>
          </w:p>
          <w:p w14:paraId="772FA0BE" w14:textId="77777777" w:rsidR="004914BB" w:rsidRPr="00DA61E0" w:rsidRDefault="004914BB" w:rsidP="00DB15AF">
            <w:pPr>
              <w:spacing w:line="276" w:lineRule="auto"/>
              <w:jc w:val="both"/>
              <w:rPr>
                <w:rFonts w:ascii="Verdana" w:hAnsi="Verdana" w:cs="Arial"/>
                <w:lang w:val="es-ES" w:eastAsia="es-ES"/>
              </w:rPr>
            </w:pPr>
          </w:p>
          <w:p w14:paraId="79368B96" w14:textId="77777777" w:rsidR="004914BB" w:rsidRPr="00DA61E0" w:rsidRDefault="004914BB" w:rsidP="00DB15AF">
            <w:pPr>
              <w:spacing w:line="276" w:lineRule="auto"/>
              <w:jc w:val="both"/>
              <w:rPr>
                <w:rFonts w:ascii="Verdana" w:hAnsi="Verdana" w:cs="Arial"/>
                <w:lang w:val="es-ES" w:eastAsia="es-ES"/>
              </w:rPr>
            </w:pPr>
          </w:p>
        </w:tc>
      </w:tr>
      <w:tr w:rsidR="004914BB" w:rsidRPr="00DA61E0" w14:paraId="7D0759FB" w14:textId="77777777" w:rsidTr="00DB15AF">
        <w:trPr>
          <w:trHeight w:val="644"/>
        </w:trPr>
        <w:tc>
          <w:tcPr>
            <w:tcW w:w="2738" w:type="dxa"/>
            <w:hideMark/>
          </w:tcPr>
          <w:p w14:paraId="5F0C4542" w14:textId="77777777" w:rsidR="004914BB" w:rsidRPr="00DA61E0" w:rsidRDefault="004914BB" w:rsidP="00DB15AF">
            <w:pPr>
              <w:jc w:val="both"/>
              <w:rPr>
                <w:rFonts w:ascii="Verdana" w:hAnsi="Verdana" w:cs="Arial"/>
                <w:b/>
                <w:lang w:val="es-ES_tradnl" w:eastAsia="es-ES_tradnl"/>
              </w:rPr>
            </w:pPr>
            <w:r w:rsidRPr="00DA61E0">
              <w:rPr>
                <w:rFonts w:ascii="Verdana" w:hAnsi="Verdana" w:cs="Arial"/>
                <w:b/>
                <w:lang w:val="es-ES_tradnl" w:eastAsia="es-ES_tradnl"/>
              </w:rPr>
              <w:t>Radicación:</w:t>
            </w:r>
            <w:r w:rsidRPr="00DA61E0">
              <w:rPr>
                <w:rFonts w:ascii="Verdana" w:hAnsi="Verdana" w:cs="Arial"/>
                <w:lang w:val="es-ES_tradnl" w:eastAsia="es-ES_tradnl"/>
              </w:rPr>
              <w:t xml:space="preserve">               </w:t>
            </w:r>
          </w:p>
        </w:tc>
        <w:tc>
          <w:tcPr>
            <w:tcW w:w="6100" w:type="dxa"/>
            <w:hideMark/>
          </w:tcPr>
          <w:p w14:paraId="74C9CE97" w14:textId="77777777" w:rsidR="004914BB" w:rsidRPr="00DA61E0" w:rsidRDefault="004914BB" w:rsidP="00DB15AF">
            <w:pPr>
              <w:jc w:val="both"/>
              <w:rPr>
                <w:rFonts w:ascii="Verdana" w:hAnsi="Verdana" w:cs="Arial"/>
                <w:lang w:eastAsia="es-ES_tradnl"/>
              </w:rPr>
            </w:pPr>
            <w:r w:rsidRPr="00DA61E0">
              <w:rPr>
                <w:rFonts w:ascii="Verdana" w:hAnsi="Verdana" w:cs="Arial"/>
                <w:lang w:val="es-ES_tradnl" w:eastAsia="es-ES_tradnl"/>
              </w:rPr>
              <w:t xml:space="preserve">Respuesta a la consulta con radicado No. </w:t>
            </w:r>
            <w:r w:rsidRPr="00E015EE">
              <w:rPr>
                <w:rFonts w:ascii="Verdana" w:hAnsi="Verdana" w:cs="Arial"/>
                <w:lang w:eastAsia="es-ES_tradnl"/>
              </w:rPr>
              <w:t>1_2026_05_05_006064</w:t>
            </w:r>
          </w:p>
        </w:tc>
      </w:tr>
    </w:tbl>
    <w:p w14:paraId="1E13FE60" w14:textId="77777777" w:rsidR="004914BB" w:rsidRPr="00DA61E0" w:rsidRDefault="004914BB" w:rsidP="004914BB">
      <w:pPr>
        <w:spacing w:after="0" w:line="240" w:lineRule="auto"/>
        <w:jc w:val="both"/>
        <w:rPr>
          <w:rFonts w:ascii="Verdana" w:eastAsia="Calibri" w:hAnsi="Verdana" w:cs="Arial"/>
          <w:color w:val="000000"/>
          <w:lang w:eastAsia="es-ES_tradnl"/>
        </w:rPr>
      </w:pPr>
    </w:p>
    <w:p w14:paraId="00127D06" w14:textId="77777777" w:rsidR="004914BB" w:rsidRPr="00DA61E0" w:rsidRDefault="004914BB" w:rsidP="004914BB">
      <w:pPr>
        <w:spacing w:after="0" w:line="240" w:lineRule="auto"/>
        <w:jc w:val="both"/>
        <w:rPr>
          <w:rFonts w:ascii="Verdana" w:eastAsia="Calibri" w:hAnsi="Verdana" w:cs="Arial"/>
          <w:color w:val="000000"/>
          <w:lang w:val="es-ES_tradnl" w:eastAsia="es-ES_tradnl"/>
        </w:rPr>
      </w:pPr>
    </w:p>
    <w:p w14:paraId="605301FB" w14:textId="77777777" w:rsidR="004914BB" w:rsidRPr="00DA61E0" w:rsidRDefault="004914BB" w:rsidP="004914BB">
      <w:pPr>
        <w:spacing w:after="0" w:line="276" w:lineRule="auto"/>
        <w:jc w:val="both"/>
        <w:rPr>
          <w:rFonts w:ascii="Verdana" w:eastAsia="Calibri" w:hAnsi="Verdana" w:cs="Arial"/>
          <w:lang w:val="es-ES" w:eastAsia="es-ES"/>
        </w:rPr>
      </w:pPr>
      <w:r w:rsidRPr="00DA61E0">
        <w:rPr>
          <w:rFonts w:ascii="Verdana" w:eastAsia="Calibri" w:hAnsi="Verdana" w:cs="Arial"/>
          <w:lang w:val="es-ES" w:eastAsia="es-ES"/>
        </w:rPr>
        <w:t>Estima</w:t>
      </w:r>
      <w:r>
        <w:rPr>
          <w:rFonts w:ascii="Verdana" w:eastAsia="Calibri" w:hAnsi="Verdana" w:cs="Arial"/>
          <w:lang w:val="es-ES" w:eastAsia="es-ES"/>
        </w:rPr>
        <w:t>do Señor Nieto</w:t>
      </w:r>
      <w:r w:rsidRPr="00DA61E0">
        <w:rPr>
          <w:rFonts w:ascii="Verdana" w:eastAsia="Calibri" w:hAnsi="Verdana" w:cs="Arial"/>
          <w:lang w:val="es-ES" w:eastAsia="es-ES"/>
        </w:rPr>
        <w:t xml:space="preserve">: </w:t>
      </w:r>
    </w:p>
    <w:p w14:paraId="6B7FD9DE" w14:textId="77777777" w:rsidR="004914BB" w:rsidRPr="00DA61E0" w:rsidRDefault="004914BB" w:rsidP="004914BB">
      <w:pPr>
        <w:spacing w:after="0" w:line="276" w:lineRule="auto"/>
        <w:jc w:val="both"/>
        <w:rPr>
          <w:rFonts w:ascii="Verdana" w:eastAsia="Calibri" w:hAnsi="Verdana" w:cs="Arial"/>
          <w:lang w:val="es-ES" w:eastAsia="es-ES"/>
        </w:rPr>
      </w:pPr>
    </w:p>
    <w:p w14:paraId="36FBE4EC" w14:textId="77777777" w:rsidR="00615653" w:rsidRDefault="004914BB" w:rsidP="004914BB">
      <w:pPr>
        <w:spacing w:after="120" w:line="276" w:lineRule="auto"/>
        <w:jc w:val="both"/>
        <w:rPr>
          <w:rFonts w:ascii="Verdana" w:eastAsia="Calibri" w:hAnsi="Verdana" w:cs="Arial"/>
          <w:bCs/>
          <w:color w:val="000000" w:themeColor="text1"/>
          <w:lang w:val="es-ES" w:eastAsia="es-ES" w:bidi="es-ES"/>
        </w:rPr>
      </w:pPr>
      <w:r w:rsidRPr="005C48CB">
        <w:rPr>
          <w:rFonts w:ascii="Verdana" w:eastAsia="Calibri" w:hAnsi="Verdana" w:cs="Arial"/>
          <w:bCs/>
          <w:color w:val="000000" w:themeColor="text1"/>
          <w:lang w:val="es-ES" w:eastAsia="es-ES" w:bidi="es-ES"/>
        </w:rPr>
        <w:t xml:space="preserve">En ejercicio de la competencia otorgada por los artículos 3, numeral 5º, y 11, numeral 8º, del Decreto Ley 4170 de 2011, </w:t>
      </w:r>
      <w:r w:rsidRPr="005C48CB">
        <w:rPr>
          <w:rFonts w:ascii="Verdana" w:eastAsia="Calibri" w:hAnsi="Verdana" w:cs="Arial"/>
          <w:bCs/>
          <w:color w:val="000000" w:themeColor="text1"/>
          <w:lang w:eastAsia="es-ES"/>
        </w:rPr>
        <w:t xml:space="preserve">así como lo establecido por la Resolución 469 de 2025 expedida por esta Entidad, </w:t>
      </w:r>
      <w:r>
        <w:rPr>
          <w:rFonts w:ascii="Verdana" w:eastAsia="Calibri" w:hAnsi="Verdana" w:cs="Arial"/>
          <w:bCs/>
          <w:color w:val="000000" w:themeColor="text1"/>
          <w:lang w:eastAsia="es-ES"/>
        </w:rPr>
        <w:t>l</w:t>
      </w:r>
      <w:r w:rsidRPr="00A230CE">
        <w:rPr>
          <w:rFonts w:ascii="Verdana" w:eastAsia="Calibri" w:hAnsi="Verdana" w:cs="Arial"/>
          <w:bCs/>
          <w:color w:val="000000" w:themeColor="text1"/>
          <w:lang w:eastAsia="es-ES"/>
        </w:rPr>
        <w:t>a Agencia Nacional de Contratación Pública –Colombia Compra Eficiente– da respuesta a la solicitud de consulta presentada el 5 de mayo de 2026, en el ámbito de sus competencias. Cabe señalar que la otra petición asociada al mismo asunto fue remitida previamente al Ministerio de Hacienda y Crédito Público, bajo el radicado 2_2026_05_12_</w:t>
      </w:r>
      <w:r>
        <w:rPr>
          <w:rFonts w:ascii="Verdana" w:eastAsia="Calibri" w:hAnsi="Verdana" w:cs="Arial"/>
          <w:bCs/>
          <w:color w:val="000000" w:themeColor="text1"/>
          <w:lang w:eastAsia="es-ES"/>
        </w:rPr>
        <w:t>00</w:t>
      </w:r>
      <w:r w:rsidRPr="00A230CE">
        <w:rPr>
          <w:rFonts w:ascii="Verdana" w:eastAsia="Calibri" w:hAnsi="Verdana" w:cs="Arial"/>
          <w:bCs/>
          <w:color w:val="000000" w:themeColor="text1"/>
          <w:lang w:eastAsia="es-ES"/>
        </w:rPr>
        <w:t>4961</w:t>
      </w:r>
      <w:r>
        <w:rPr>
          <w:rFonts w:ascii="Verdana" w:eastAsia="Calibri" w:hAnsi="Verdana" w:cs="Arial"/>
          <w:bCs/>
          <w:color w:val="000000" w:themeColor="text1"/>
          <w:lang w:eastAsia="es-ES"/>
        </w:rPr>
        <w:t xml:space="preserve"> del 12 de mayo de 2026</w:t>
      </w:r>
      <w:r w:rsidRPr="00A230CE">
        <w:rPr>
          <w:rFonts w:ascii="Verdana" w:eastAsia="Calibri" w:hAnsi="Verdana" w:cs="Arial"/>
          <w:bCs/>
          <w:color w:val="000000" w:themeColor="text1"/>
          <w:lang w:eastAsia="es-ES"/>
        </w:rPr>
        <w:t>, para lo de su competencia.</w:t>
      </w:r>
      <w:r>
        <w:rPr>
          <w:rFonts w:ascii="Verdana" w:eastAsia="Calibri" w:hAnsi="Verdana" w:cs="Arial"/>
          <w:bCs/>
          <w:color w:val="000000" w:themeColor="text1"/>
          <w:lang w:eastAsia="es-ES"/>
        </w:rPr>
        <w:t xml:space="preserve"> </w:t>
      </w:r>
      <w:r>
        <w:rPr>
          <w:rFonts w:ascii="Verdana" w:eastAsia="Calibri" w:hAnsi="Verdana" w:cs="Arial"/>
          <w:bCs/>
          <w:color w:val="000000" w:themeColor="text1"/>
          <w:lang w:val="es-ES" w:eastAsia="es-ES" w:bidi="es-ES"/>
        </w:rPr>
        <w:t>En este sentido, la solicitud que se responderá consiste en lo siguiente</w:t>
      </w:r>
      <w:r w:rsidRPr="005C48CB">
        <w:rPr>
          <w:rFonts w:ascii="Verdana" w:eastAsia="Calibri" w:hAnsi="Verdana" w:cs="Arial"/>
          <w:bCs/>
          <w:color w:val="000000" w:themeColor="text1"/>
          <w:lang w:val="es-ES" w:eastAsia="es-ES" w:bidi="es-ES"/>
        </w:rPr>
        <w:t xml:space="preserve">: </w:t>
      </w:r>
    </w:p>
    <w:p w14:paraId="22D5FF67" w14:textId="3E03E884" w:rsidR="004914BB" w:rsidRPr="00615653" w:rsidRDefault="004914BB" w:rsidP="004914BB">
      <w:pPr>
        <w:spacing w:after="120" w:line="276" w:lineRule="auto"/>
        <w:jc w:val="both"/>
        <w:rPr>
          <w:rFonts w:ascii="Verdana" w:eastAsia="Calibri" w:hAnsi="Verdana" w:cs="Arial"/>
          <w:bCs/>
          <w:i/>
          <w:iCs/>
          <w:color w:val="000000" w:themeColor="text1"/>
          <w:sz w:val="20"/>
          <w:szCs w:val="20"/>
          <w:lang w:val="es-ES" w:eastAsia="es-ES" w:bidi="es-ES"/>
        </w:rPr>
      </w:pPr>
      <w:r w:rsidRPr="00615653">
        <w:rPr>
          <w:rFonts w:ascii="Verdana" w:eastAsia="Calibri" w:hAnsi="Verdana" w:cs="Arial"/>
          <w:bCs/>
          <w:i/>
          <w:iCs/>
          <w:color w:val="000000" w:themeColor="text1"/>
          <w:sz w:val="20"/>
          <w:szCs w:val="20"/>
          <w:lang w:eastAsia="es-ES" w:bidi="es-ES"/>
        </w:rPr>
        <w:t xml:space="preserve">“¿Cuál debe entenderse como </w:t>
      </w:r>
      <w:r w:rsidRPr="00615653">
        <w:rPr>
          <w:rFonts w:ascii="Verdana" w:eastAsia="Calibri" w:hAnsi="Verdana" w:cs="Arial"/>
          <w:b/>
          <w:bCs/>
          <w:i/>
          <w:iCs/>
          <w:color w:val="000000" w:themeColor="text1"/>
          <w:sz w:val="20"/>
          <w:szCs w:val="20"/>
          <w:lang w:eastAsia="es-ES" w:bidi="es-ES"/>
        </w:rPr>
        <w:t>valor del contrato</w:t>
      </w:r>
      <w:r w:rsidRPr="00615653">
        <w:rPr>
          <w:rFonts w:ascii="Verdana" w:eastAsia="Calibri" w:hAnsi="Verdana" w:cs="Arial"/>
          <w:bCs/>
          <w:i/>
          <w:iCs/>
          <w:color w:val="000000" w:themeColor="text1"/>
          <w:sz w:val="20"/>
          <w:szCs w:val="20"/>
          <w:lang w:eastAsia="es-ES" w:bidi="es-ES"/>
        </w:rPr>
        <w:t xml:space="preserve">: el valor inicialmente estimado en la cláusula contractual o aquel que resulta de las cantidades de obra efectivamente ejecutadas y liquidadas?” (énfasis dentro del texto). </w:t>
      </w:r>
    </w:p>
    <w:p w14:paraId="06B3DFAC" w14:textId="77777777" w:rsidR="004914BB" w:rsidRPr="00DA61E0" w:rsidRDefault="004914BB" w:rsidP="004914BB">
      <w:pPr>
        <w:spacing w:after="120" w:line="276" w:lineRule="auto"/>
        <w:ind w:firstLine="709"/>
        <w:jc w:val="both"/>
        <w:rPr>
          <w:rFonts w:ascii="Verdana" w:eastAsia="Calibri" w:hAnsi="Verdana" w:cs="Arial"/>
          <w:color w:val="000000"/>
          <w:lang w:val="es-ES" w:eastAsia="es-ES"/>
        </w:rPr>
      </w:pPr>
      <w:r w:rsidRPr="00DA61E0">
        <w:rPr>
          <w:rFonts w:ascii="Verdana" w:eastAsia="Calibri" w:hAnsi="Verdana" w:cs="Arial"/>
          <w:color w:val="000000"/>
          <w:lang w:val="es-ES" w:eastAsia="es-ES"/>
        </w:rPr>
        <w:t xml:space="preserve">De manera preliminar, resulta necesario acotar que esta entidad sólo tiene competencia para responder consultas sobre la aplicación de normas de carácter </w:t>
      </w:r>
      <w:r w:rsidRPr="00DA61E0">
        <w:rPr>
          <w:rFonts w:ascii="Verdana" w:eastAsia="Calibri" w:hAnsi="Verdana" w:cs="Arial"/>
          <w:color w:val="000000"/>
          <w:lang w:val="es-ES" w:eastAsia="es-ES"/>
        </w:rPr>
        <w:lastRenderedPageBreak/>
        <w:t xml:space="preserve">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concretos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DA61E0">
        <w:rPr>
          <w:rFonts w:ascii="Verdana" w:eastAsia="Calibri" w:hAnsi="Verdana" w:cs="Arial"/>
          <w:color w:val="000000"/>
          <w:szCs w:val="24"/>
          <w:lang w:val="es-ES_tradnl" w:eastAsia="es-ES_tradnl"/>
        </w:rPr>
        <w:tab/>
      </w:r>
    </w:p>
    <w:p w14:paraId="3D988760" w14:textId="77777777" w:rsidR="004914BB" w:rsidRPr="00DA61E0" w:rsidRDefault="004914BB" w:rsidP="004914BB">
      <w:pPr>
        <w:spacing w:after="0" w:line="276" w:lineRule="auto"/>
        <w:ind w:firstLine="708"/>
        <w:jc w:val="both"/>
        <w:rPr>
          <w:rFonts w:ascii="Verdana" w:eastAsia="Calibri" w:hAnsi="Verdana" w:cs="Arial"/>
          <w:lang w:val="es-ES" w:eastAsia="es-ES"/>
        </w:rPr>
      </w:pPr>
      <w:r w:rsidRPr="00DA61E0">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las circunstancias específicas que la hayan motivado, pero señalando algunas consideraciones sobre las normas generales relacionadas con</w:t>
      </w:r>
      <w:r>
        <w:rPr>
          <w:rFonts w:ascii="Verdana" w:eastAsia="Calibri" w:hAnsi="Verdana" w:cs="Arial"/>
          <w:color w:val="000000"/>
          <w:lang w:val="es-ES" w:eastAsia="es-ES"/>
        </w:rPr>
        <w:t xml:space="preserve"> el problema jurídico de su consulta. </w:t>
      </w:r>
    </w:p>
    <w:p w14:paraId="1F8E4911" w14:textId="77777777" w:rsidR="004914BB" w:rsidRPr="00DA61E0" w:rsidRDefault="004914BB" w:rsidP="004914BB">
      <w:pPr>
        <w:spacing w:after="0" w:line="276" w:lineRule="auto"/>
        <w:jc w:val="both"/>
        <w:rPr>
          <w:rFonts w:ascii="Verdana" w:eastAsia="Calibri" w:hAnsi="Verdana" w:cs="Arial"/>
          <w:color w:val="000000"/>
          <w:lang w:val="es-ES" w:eastAsia="es-ES"/>
        </w:rPr>
      </w:pPr>
    </w:p>
    <w:p w14:paraId="3095C6D3" w14:textId="77777777" w:rsidR="004914BB" w:rsidRPr="00DA61E0" w:rsidRDefault="004914BB" w:rsidP="004914BB">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DA61E0">
        <w:rPr>
          <w:rFonts w:ascii="Verdana" w:eastAsia="Century Gothic" w:hAnsi="Verdana" w:cs="Century Gothic"/>
          <w:b/>
          <w:bCs/>
          <w:lang w:val="es-ES"/>
        </w:rPr>
        <w:t xml:space="preserve"> Problema planteado:</w:t>
      </w:r>
    </w:p>
    <w:p w14:paraId="7CF96896" w14:textId="77777777" w:rsidR="004914BB" w:rsidRPr="00DA61E0" w:rsidRDefault="004914BB" w:rsidP="004914BB">
      <w:pPr>
        <w:tabs>
          <w:tab w:val="left" w:pos="426"/>
        </w:tabs>
        <w:spacing w:after="0" w:line="276" w:lineRule="auto"/>
        <w:jc w:val="both"/>
        <w:rPr>
          <w:rFonts w:ascii="Verdana" w:eastAsia="Century Gothic" w:hAnsi="Verdana" w:cs="Century Gothic"/>
          <w:lang w:val="es-ES"/>
        </w:rPr>
      </w:pPr>
    </w:p>
    <w:p w14:paraId="072E3DD4" w14:textId="77777777" w:rsidR="004914BB" w:rsidRPr="00E43816" w:rsidRDefault="004914BB" w:rsidP="004914BB">
      <w:pPr>
        <w:spacing w:after="0" w:line="276" w:lineRule="auto"/>
        <w:jc w:val="both"/>
        <w:rPr>
          <w:rFonts w:ascii="Verdana" w:eastAsia="Century Gothic" w:hAnsi="Verdana" w:cs="Century Gothic"/>
          <w:bCs/>
        </w:rPr>
      </w:pPr>
      <w:r w:rsidRPr="00DA61E0">
        <w:rPr>
          <w:rFonts w:ascii="Verdana" w:eastAsia="Century Gothic" w:hAnsi="Verdana" w:cs="Century Gothic"/>
        </w:rPr>
        <w:t>De acuerdo con el contenido de su solicitud, esta Agencia</w:t>
      </w:r>
      <w:r>
        <w:rPr>
          <w:rFonts w:ascii="Verdana" w:eastAsia="Century Gothic" w:hAnsi="Verdana" w:cs="Century Gothic"/>
        </w:rPr>
        <w:t xml:space="preserve"> resolverá el siguiente problema jurídico</w:t>
      </w:r>
      <w:r w:rsidRPr="00DA61E0">
        <w:rPr>
          <w:rFonts w:ascii="Verdana" w:eastAsia="Century Gothic" w:hAnsi="Verdana" w:cs="Century Gothic"/>
        </w:rPr>
        <w:t xml:space="preserve">: </w:t>
      </w:r>
      <w:r w:rsidRPr="00E43816">
        <w:rPr>
          <w:rFonts w:ascii="Verdana" w:eastAsia="Century Gothic" w:hAnsi="Verdana" w:cs="Century Gothic"/>
          <w:bCs/>
        </w:rPr>
        <w:t>¿</w:t>
      </w:r>
      <w:r>
        <w:rPr>
          <w:rFonts w:ascii="Verdana" w:eastAsia="Century Gothic" w:hAnsi="Verdana" w:cs="Century Gothic"/>
          <w:bCs/>
        </w:rPr>
        <w:t>Cómo debe comprenderse el</w:t>
      </w:r>
      <w:r w:rsidRPr="00E43816">
        <w:rPr>
          <w:rFonts w:ascii="Verdana" w:eastAsia="Century Gothic" w:hAnsi="Verdana" w:cs="Century Gothic"/>
          <w:bCs/>
        </w:rPr>
        <w:t xml:space="preserve"> </w:t>
      </w:r>
      <w:r w:rsidRPr="00A60632">
        <w:rPr>
          <w:rFonts w:ascii="Verdana" w:eastAsia="Century Gothic" w:hAnsi="Verdana" w:cs="Century Gothic"/>
        </w:rPr>
        <w:t>valor del contrato</w:t>
      </w:r>
      <w:r>
        <w:rPr>
          <w:rFonts w:ascii="Verdana" w:eastAsia="Century Gothic" w:hAnsi="Verdana" w:cs="Century Gothic"/>
        </w:rPr>
        <w:t xml:space="preserve"> bajo el sistema de precios unitarios?</w:t>
      </w:r>
      <w:r>
        <w:rPr>
          <w:rFonts w:ascii="Verdana" w:eastAsia="Century Gothic" w:hAnsi="Verdana" w:cs="Century Gothic"/>
          <w:bCs/>
        </w:rPr>
        <w:t xml:space="preserve"> </w:t>
      </w:r>
    </w:p>
    <w:p w14:paraId="1406A0E5" w14:textId="77777777" w:rsidR="004914BB" w:rsidRPr="00DA61E0" w:rsidRDefault="004914BB" w:rsidP="004914BB">
      <w:pPr>
        <w:spacing w:after="0" w:line="276" w:lineRule="auto"/>
        <w:jc w:val="both"/>
        <w:rPr>
          <w:rFonts w:ascii="Verdana" w:eastAsia="Calibri" w:hAnsi="Verdana" w:cs="Arial"/>
          <w:color w:val="7030A0"/>
        </w:rPr>
      </w:pPr>
    </w:p>
    <w:p w14:paraId="5D57317A" w14:textId="77777777" w:rsidR="004914BB" w:rsidRPr="00DA61E0" w:rsidRDefault="004914BB" w:rsidP="004914BB">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DA61E0">
        <w:rPr>
          <w:rFonts w:ascii="Verdana" w:eastAsia="Century Gothic" w:hAnsi="Verdana" w:cs="Century Gothic"/>
          <w:b/>
          <w:bCs/>
          <w:lang w:val="es-ES"/>
        </w:rPr>
        <w:t xml:space="preserve"> Respuesta:</w:t>
      </w:r>
    </w:p>
    <w:p w14:paraId="75120FAD" w14:textId="77777777" w:rsidR="004914BB" w:rsidRPr="00DA61E0" w:rsidRDefault="004914BB" w:rsidP="004914BB">
      <w:pPr>
        <w:tabs>
          <w:tab w:val="left" w:pos="142"/>
          <w:tab w:val="left" w:pos="284"/>
        </w:tabs>
        <w:spacing w:after="0" w:line="276" w:lineRule="auto"/>
        <w:jc w:val="both"/>
        <w:rPr>
          <w:rFonts w:ascii="Verdana" w:eastAsia="Century Gothic" w:hAnsi="Verdana" w:cs="Century Gothic"/>
          <w:b/>
          <w:bCs/>
          <w:lang w:val="es-ES"/>
        </w:rPr>
      </w:pPr>
    </w:p>
    <w:tbl>
      <w:tblPr>
        <w:tblStyle w:val="Tablaconcuadrcula11"/>
        <w:tblW w:w="0" w:type="auto"/>
        <w:jc w:val="center"/>
        <w:tblInd w:w="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4914BB" w:rsidRPr="00DA61E0" w14:paraId="1ED3E75C" w14:textId="77777777" w:rsidTr="00DB15AF">
        <w:trPr>
          <w:jc w:val="center"/>
        </w:trPr>
        <w:tc>
          <w:tcPr>
            <w:tcW w:w="8828" w:type="dxa"/>
            <w:tcBorders>
              <w:top w:val="dotted" w:sz="4" w:space="0" w:color="auto"/>
              <w:left w:val="dotted" w:sz="4" w:space="0" w:color="auto"/>
              <w:bottom w:val="dotted" w:sz="4" w:space="0" w:color="auto"/>
              <w:right w:val="dotted" w:sz="4" w:space="0" w:color="auto"/>
            </w:tcBorders>
            <w:hideMark/>
          </w:tcPr>
          <w:p w14:paraId="50F05170" w14:textId="77777777" w:rsidR="004914BB" w:rsidRDefault="004914BB" w:rsidP="00DB15AF">
            <w:pPr>
              <w:spacing w:after="120" w:line="276" w:lineRule="auto"/>
              <w:jc w:val="both"/>
              <w:rPr>
                <w:rFonts w:ascii="Verdana" w:hAnsi="Verdana"/>
                <w:lang w:val="es-ES"/>
              </w:rPr>
            </w:pPr>
            <w:r w:rsidRPr="008207FE">
              <w:rPr>
                <w:rFonts w:ascii="Verdana" w:hAnsi="Verdana" w:cs="Arial"/>
                <w:bCs/>
              </w:rPr>
              <w:t>Para resolver el problema jurídico planteado,</w:t>
            </w:r>
            <w:r>
              <w:rPr>
                <w:rFonts w:ascii="Verdana" w:hAnsi="Verdana"/>
                <w:lang w:val="es-ES"/>
              </w:rPr>
              <w:t xml:space="preserve"> el precio pactado a precios unitarios implica individualizar el valor de cada uno de los ítems requeridos para llevar a cabo la obra o el proyecto. Así mismo, el precio se deriva de apreciar todos los componentes necesarios para la ejecución de la unidad de medida del ítem correspondiente (metro lineal, metro cúbico, metro cuadrado, entre otros). Por lo mismo, el precio será el resultado de multiplicar la cantidad finalmente ejecutada por el valor unitario respectivo.</w:t>
            </w:r>
          </w:p>
          <w:p w14:paraId="2E711D9D" w14:textId="77777777" w:rsidR="004914BB" w:rsidRDefault="004914BB" w:rsidP="00DB15AF">
            <w:pPr>
              <w:spacing w:after="120" w:line="276" w:lineRule="auto"/>
              <w:ind w:firstLine="709"/>
              <w:jc w:val="both"/>
              <w:rPr>
                <w:rFonts w:ascii="Verdana" w:hAnsi="Verdana"/>
                <w:lang w:val="es-ES"/>
              </w:rPr>
            </w:pPr>
            <w:r>
              <w:rPr>
                <w:rFonts w:ascii="Verdana" w:hAnsi="Verdana" w:cs="Arial"/>
                <w:bCs/>
                <w:szCs w:val="24"/>
                <w:lang w:val="es-ES" w:eastAsia="es-ES_tradnl"/>
              </w:rPr>
              <w:t xml:space="preserve">En esta modalidad se establecen unas estimaciones de cantidades de obra, según los estudios y diseños, los estudios previos y unos precios unitarios de los respectivos ítems de obra, según lo expuesto por la Sala de </w:t>
            </w:r>
            <w:r>
              <w:rPr>
                <w:rFonts w:ascii="Verdana" w:hAnsi="Verdana" w:cs="Arial"/>
                <w:bCs/>
                <w:szCs w:val="24"/>
                <w:lang w:val="es-ES" w:eastAsia="es-ES_tradnl"/>
              </w:rPr>
              <w:lastRenderedPageBreak/>
              <w:t xml:space="preserve">Consulta y Servicio Civil del Consejo de Estado mediante Concepto bajo el Expediente 2386. </w:t>
            </w:r>
            <w:r>
              <w:rPr>
                <w:rFonts w:ascii="Verdana" w:hAnsi="Verdana"/>
                <w:lang w:val="es-ES"/>
              </w:rPr>
              <w:t>Al respecto, la jurisprudencia de la Sección Tercera del Consejo de Estado -Sentencia con expediente 41.008- ha explicado que en los contratos pactados mediante precios unitarios, ante la imposibilidad de establecer con exactitud los montos totales que resultarán de realizar la obra contratada, la entidad aproxima un cálculo estimado de la cantidad o unidades de obra que se requerirá ejecutar previo a la ejecución del negocio jurídico, es decir, en los pliegos de condiciones o documento equivalente y en el contrato. Esto, con el propósito de que el proponente establezca en su propuesta unos valores unitarios respecto de cada unidad de obra prevista por la entidad contratante.</w:t>
            </w:r>
          </w:p>
          <w:p w14:paraId="4489E767" w14:textId="77777777" w:rsidR="004914BB" w:rsidRPr="00DE6B08" w:rsidRDefault="004914BB" w:rsidP="00DB15AF">
            <w:pPr>
              <w:spacing w:after="120" w:line="276" w:lineRule="auto"/>
              <w:ind w:firstLine="709"/>
              <w:jc w:val="both"/>
              <w:rPr>
                <w:rFonts w:ascii="Verdana" w:hAnsi="Verdana" w:cs="Arial"/>
                <w:szCs w:val="24"/>
                <w:lang w:eastAsia="es-ES_tradnl"/>
              </w:rPr>
            </w:pPr>
            <w:r w:rsidRPr="00747773">
              <w:rPr>
                <w:rFonts w:ascii="Verdana" w:hAnsi="Verdana" w:cs="Arial"/>
                <w:szCs w:val="24"/>
                <w:lang w:eastAsia="es-ES_tradnl"/>
              </w:rPr>
              <w:t>En consecuencia, debe distinguirse entre el valor estimado del contrato y el valor real o ejecutado, determinado este último por las mayores o menores cantidades de obra que el contratista efectivamente ejecute para cumplir el objeto pactado. En los contratos de obra pública con pago a precios unitarios, el valor contractual definitivo corresponde al resultado de multiplicar las cantidades de obra realmente ejecutadas por los precios unitarios establecidos en el contrato. No obstante, para la celebración de este tipo de contratos se requiere expresar un valor estimado inicial,</w:t>
            </w:r>
            <w:r w:rsidRPr="00DE6B08">
              <w:rPr>
                <w:rFonts w:ascii="Verdana" w:hAnsi="Verdana" w:cs="Arial"/>
                <w:szCs w:val="24"/>
                <w:lang w:eastAsia="es-ES_tradnl"/>
              </w:rPr>
              <w:t xml:space="preserve"> calculado a partir de las cantidades de obra previstas y los precios unitarios que sirvieron de base para la adjudicación. Este valor tiene un carácter meramente referencial y operativo, pues el monto final del contrato solo se determina con la ejecución real y la correspondiente liquidación de las cantidades de obra.</w:t>
            </w:r>
          </w:p>
          <w:p w14:paraId="797F2C50" w14:textId="77777777" w:rsidR="004914BB" w:rsidRPr="008207FE" w:rsidRDefault="004914BB" w:rsidP="00DB15AF">
            <w:pPr>
              <w:spacing w:line="276" w:lineRule="auto"/>
              <w:ind w:firstLine="743"/>
              <w:jc w:val="both"/>
              <w:rPr>
                <w:rFonts w:ascii="Verdana" w:hAnsi="Verdana" w:cs="Arial"/>
                <w:lang w:eastAsia="es-ES"/>
              </w:rPr>
            </w:pPr>
            <w:r>
              <w:rPr>
                <w:rFonts w:ascii="Verdana" w:eastAsia="Times New Roman" w:hAnsi="Verdana" w:cs="Arial"/>
                <w:color w:val="000000" w:themeColor="text1"/>
                <w:lang w:val="es-ES" w:eastAsia="es-ES"/>
              </w:rPr>
              <w:t xml:space="preserve">Así, durante la etapa de planeación las entidades públicas son responsables de estimar y determinar las prestaciones que demanda la satisfacción del interés colectivo, conforme al análisis de los estudios y diseños previos. No obstante, teniendo en cuenta que en la modalidad de precios unitarios las cantidades son estimativas, es factible que, durante la ejecución del contrato, </w:t>
            </w:r>
            <w:r w:rsidRPr="00E1280F">
              <w:rPr>
                <w:rFonts w:ascii="Verdana" w:eastAsia="Times New Roman" w:hAnsi="Verdana" w:cs="Arial"/>
                <w:color w:val="000000" w:themeColor="text1"/>
                <w:lang w:val="es-ES" w:eastAsia="es-ES"/>
              </w:rPr>
              <w:t>las partes</w:t>
            </w:r>
            <w:r>
              <w:rPr>
                <w:rFonts w:ascii="Verdana" w:eastAsia="Times New Roman" w:hAnsi="Verdana" w:cs="Arial"/>
                <w:color w:val="000000" w:themeColor="text1"/>
                <w:lang w:val="es-ES" w:eastAsia="es-ES"/>
              </w:rPr>
              <w:t xml:space="preserve"> puedan identificar situaciones en las que se genera la necesidad de mayores cantidades de bienes o actividades inicialmente previstas, a lo que se le conoce como mayores cantidades de obra, o adición de ítems contractuales. De esta forma, </w:t>
            </w:r>
            <w:r>
              <w:rPr>
                <w:rFonts w:ascii="Verdana" w:eastAsia="Times New Roman" w:hAnsi="Verdana" w:cs="Arial"/>
                <w:color w:val="000000" w:themeColor="text1"/>
                <w:lang w:eastAsia="es-ES"/>
              </w:rPr>
              <w:t xml:space="preserve">si bien la responsabilidad inicial en la definición de las cantidades recae en la entidad estatal en la fase de planeación, durante la ejecución del contrato tanto la entidad contratante como el contratista están obligados a identificar, advertir y gestionar </w:t>
            </w:r>
            <w:r>
              <w:rPr>
                <w:rFonts w:ascii="Verdana" w:eastAsia="Times New Roman" w:hAnsi="Verdana" w:cs="Arial"/>
                <w:color w:val="000000" w:themeColor="text1"/>
                <w:lang w:eastAsia="es-ES"/>
              </w:rPr>
              <w:lastRenderedPageBreak/>
              <w:t xml:space="preserve">oportunamente las situaciones que puedan afectar la adecuada ejecución del contrato. </w:t>
            </w:r>
          </w:p>
        </w:tc>
      </w:tr>
    </w:tbl>
    <w:p w14:paraId="425F7649" w14:textId="77777777" w:rsidR="004914BB" w:rsidRPr="00DA61E0" w:rsidRDefault="004914BB" w:rsidP="004914BB">
      <w:pPr>
        <w:tabs>
          <w:tab w:val="left" w:pos="142"/>
          <w:tab w:val="left" w:pos="284"/>
        </w:tabs>
        <w:spacing w:after="0" w:line="276" w:lineRule="auto"/>
        <w:jc w:val="both"/>
        <w:rPr>
          <w:rFonts w:ascii="Verdana" w:eastAsia="Century Gothic" w:hAnsi="Verdana" w:cs="Century Gothic"/>
          <w:b/>
          <w:bCs/>
          <w:lang w:val="es-ES"/>
        </w:rPr>
      </w:pPr>
    </w:p>
    <w:p w14:paraId="63499B65" w14:textId="77777777" w:rsidR="004914BB" w:rsidRPr="00DA61E0" w:rsidRDefault="004914BB" w:rsidP="004914BB">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DA61E0">
        <w:rPr>
          <w:rFonts w:ascii="Verdana" w:eastAsia="Century Gothic" w:hAnsi="Verdana" w:cs="Century Gothic"/>
          <w:b/>
          <w:bCs/>
          <w:lang w:val="es-ES"/>
        </w:rPr>
        <w:t>Razones de la respuesta:</w:t>
      </w:r>
    </w:p>
    <w:p w14:paraId="19DB5978" w14:textId="77777777" w:rsidR="004914BB" w:rsidRPr="00DA61E0" w:rsidRDefault="004914BB" w:rsidP="004914BB">
      <w:pPr>
        <w:spacing w:after="0" w:line="276" w:lineRule="auto"/>
        <w:jc w:val="both"/>
        <w:rPr>
          <w:rFonts w:ascii="Verdana" w:eastAsia="Calibri" w:hAnsi="Verdana" w:cs="Arial"/>
          <w:color w:val="7030A0"/>
          <w:lang w:val="es-ES"/>
        </w:rPr>
      </w:pPr>
    </w:p>
    <w:p w14:paraId="0F041A07" w14:textId="77777777" w:rsidR="004914BB" w:rsidRPr="00DA61E0" w:rsidRDefault="004914BB" w:rsidP="004914BB">
      <w:pPr>
        <w:spacing w:after="0" w:line="276" w:lineRule="auto"/>
        <w:jc w:val="both"/>
        <w:rPr>
          <w:rFonts w:ascii="Verdana" w:eastAsia="Calibri" w:hAnsi="Verdana" w:cs="Arial"/>
          <w:lang w:val="es-ES"/>
        </w:rPr>
      </w:pPr>
      <w:r w:rsidRPr="00DA61E0">
        <w:rPr>
          <w:rFonts w:ascii="Verdana" w:eastAsia="Calibri" w:hAnsi="Verdana" w:cs="Arial"/>
          <w:lang w:val="es-ES"/>
        </w:rPr>
        <w:t>Lo anterior se sustenta en las siguientes consideraciones:</w:t>
      </w:r>
    </w:p>
    <w:p w14:paraId="2B673252" w14:textId="77777777" w:rsidR="004914BB" w:rsidRDefault="004914BB" w:rsidP="004914BB">
      <w:pPr>
        <w:spacing w:after="0" w:line="276" w:lineRule="auto"/>
        <w:jc w:val="both"/>
        <w:rPr>
          <w:rFonts w:ascii="Verdana" w:eastAsia="Calibri" w:hAnsi="Verdana" w:cs="Arial"/>
          <w:bCs/>
          <w:lang w:val="es-ES_tradnl"/>
        </w:rPr>
      </w:pPr>
    </w:p>
    <w:p w14:paraId="31023AF9" w14:textId="77777777" w:rsidR="004914BB" w:rsidRPr="00AA633E" w:rsidRDefault="004914BB" w:rsidP="004914BB">
      <w:pPr>
        <w:spacing w:after="0" w:line="276" w:lineRule="auto"/>
        <w:jc w:val="both"/>
        <w:rPr>
          <w:rFonts w:ascii="Verdana" w:hAnsi="Verdana" w:cs="Arial"/>
          <w:bCs/>
          <w:szCs w:val="24"/>
          <w:lang w:val="es-ES_tradnl" w:eastAsia="es-ES_tradnl"/>
        </w:rPr>
      </w:pPr>
      <w:r w:rsidRPr="00AA633E">
        <w:rPr>
          <w:rFonts w:ascii="Verdana" w:hAnsi="Verdana" w:cs="Arial"/>
          <w:bCs/>
          <w:szCs w:val="24"/>
          <w:lang w:val="es-ES_tradnl" w:eastAsia="es-ES_tradnl"/>
        </w:rPr>
        <w:t>i. Como es sabido, uno de los elementos más comunes en los contratos estatales es el precio, también conocido como valor. Aunque no todo contrato lo incluye –pues también existen negocios gratuitos– lo usual es que los contratos estatales se perfeccionen como onerosos y, la mayoría de las veces, como conmutativos. Adicionalmente, el precio suele ser el elemento más importante para el contratista, porque equivale a la remuneración que la entidad contratante le pagará por la ejecución del objeto contractual.</w:t>
      </w:r>
    </w:p>
    <w:p w14:paraId="3D9D2B5D" w14:textId="77777777" w:rsidR="004914BB" w:rsidRPr="00AA633E" w:rsidRDefault="004914BB" w:rsidP="004914BB">
      <w:pPr>
        <w:spacing w:before="120" w:after="120" w:line="276" w:lineRule="auto"/>
        <w:ind w:firstLine="709"/>
        <w:jc w:val="both"/>
        <w:rPr>
          <w:rFonts w:ascii="Verdana" w:hAnsi="Verdana" w:cs="Arial"/>
          <w:lang w:val="es-ES" w:eastAsia="es-ES"/>
        </w:rPr>
      </w:pPr>
      <w:r w:rsidRPr="00AA633E">
        <w:rPr>
          <w:rFonts w:ascii="Verdana" w:hAnsi="Verdana" w:cs="Arial"/>
          <w:lang w:val="es-ES" w:eastAsia="es-ES"/>
        </w:rPr>
        <w:t>Desde la etapa de planeación, en la fase precontractual, las entidades estatales deben calcular el presupuesto oficial, mediante la realización del análisis del sector –que incluye el estudio del mercado– y definir la metodología con la cual estructurarán el precio del contrato. Dicho de otro modo, hace parte de los estudios previos la definición del esquema que la Administración usará para estipular el precio. Tal metodología generalmente depende del tipo de contrato, pues hay algunas modalidades más comunes en los de obra pública; otras más utilizadas en los de prestación de servicios y otras más indicadas para los de concesión, por mencionar algunos ejemplos</w:t>
      </w:r>
      <w:r w:rsidRPr="00AA633E">
        <w:rPr>
          <w:rFonts w:ascii="Verdana" w:hAnsi="Verdana" w:cs="Arial"/>
          <w:vertAlign w:val="superscript"/>
          <w:lang w:val="es-ES" w:eastAsia="es-ES"/>
        </w:rPr>
        <w:footnoteReference w:id="1"/>
      </w:r>
      <w:r w:rsidRPr="00AA633E">
        <w:rPr>
          <w:rFonts w:ascii="Verdana" w:hAnsi="Verdana" w:cs="Arial"/>
          <w:lang w:val="es-ES" w:eastAsia="es-ES"/>
        </w:rPr>
        <w:t xml:space="preserve">. No hay, pues, una sola </w:t>
      </w:r>
      <w:r w:rsidRPr="00AA633E">
        <w:rPr>
          <w:rFonts w:ascii="Verdana" w:hAnsi="Verdana" w:cs="Arial"/>
          <w:lang w:val="es-ES" w:eastAsia="es-ES"/>
        </w:rPr>
        <w:lastRenderedPageBreak/>
        <w:t xml:space="preserve">metodología para pactar el precio y, en gran medida, la manera de hacerlo ha obedecido a la costumbre mercantil y a la influencia de disciplinas técnicas, como la ingeniería o la administración de empresas, en la contratación estatal. Dentro de tales esquemas de establecimiento del precio pueden citarse, entre otros: i) los precios unitarios –calculados de acuerdo con las unidades que componen el objeto del contrato–, </w:t>
      </w:r>
      <w:proofErr w:type="spellStart"/>
      <w:r w:rsidRPr="00AA633E">
        <w:rPr>
          <w:rFonts w:ascii="Verdana" w:hAnsi="Verdana" w:cs="Arial"/>
          <w:lang w:val="es-ES" w:eastAsia="es-ES"/>
        </w:rPr>
        <w:t>ii</w:t>
      </w:r>
      <w:proofErr w:type="spellEnd"/>
      <w:r w:rsidRPr="00AA633E">
        <w:rPr>
          <w:rFonts w:ascii="Verdana" w:hAnsi="Verdana" w:cs="Arial"/>
          <w:lang w:val="es-ES" w:eastAsia="es-ES"/>
        </w:rPr>
        <w:t xml:space="preserve">) el precio global –que equivale al monto total, sin discriminar unidades–, y </w:t>
      </w:r>
      <w:proofErr w:type="spellStart"/>
      <w:r w:rsidRPr="00AA633E">
        <w:rPr>
          <w:rFonts w:ascii="Verdana" w:hAnsi="Verdana" w:cs="Arial"/>
          <w:lang w:val="es-ES" w:eastAsia="es-ES"/>
        </w:rPr>
        <w:t>iii</w:t>
      </w:r>
      <w:proofErr w:type="spellEnd"/>
      <w:r w:rsidRPr="00AA633E">
        <w:rPr>
          <w:rFonts w:ascii="Verdana" w:hAnsi="Verdana" w:cs="Arial"/>
          <w:lang w:val="es-ES" w:eastAsia="es-ES"/>
        </w:rPr>
        <w:t>) la administración delegada de recursos –en la que se distinguen los costos de inversión de los honorarios del administrador–.</w:t>
      </w:r>
    </w:p>
    <w:p w14:paraId="51955E82" w14:textId="77777777" w:rsidR="004914BB" w:rsidRDefault="004914BB" w:rsidP="004914BB">
      <w:pPr>
        <w:spacing w:after="120" w:line="276" w:lineRule="auto"/>
        <w:ind w:firstLine="709"/>
        <w:jc w:val="both"/>
        <w:rPr>
          <w:rFonts w:ascii="Verdana" w:hAnsi="Verdana"/>
          <w:lang w:val="es-ES"/>
        </w:rPr>
      </w:pPr>
      <w:r>
        <w:rPr>
          <w:rFonts w:ascii="Verdana" w:hAnsi="Verdana"/>
          <w:lang w:val="es-ES"/>
        </w:rPr>
        <w:t>El precio pactado a precios unitarios, al cual se refiere su consulta, implica individualizar el valor de cada uno de los ítems requeridos para llevar a cabo la obra o el proyecto. Así mismo, el precio se deriva de apreciar todos los componentes necesarios para la ejecución de la unidad de medida del ítem correspondiente (metro lineal, metro cúbico, metro cuadrado, entre otros). Por lo mismo, el precio será el resultado de multiplicar la cantidad finalmente ejecutada por el valor unitario respectivo</w:t>
      </w:r>
      <w:r>
        <w:rPr>
          <w:rStyle w:val="Refdenotaalpie"/>
          <w:rFonts w:ascii="Verdana" w:hAnsi="Verdana"/>
          <w:lang w:val="es-ES"/>
        </w:rPr>
        <w:footnoteReference w:id="2"/>
      </w:r>
      <w:r>
        <w:rPr>
          <w:rFonts w:ascii="Verdana" w:hAnsi="Verdana"/>
          <w:lang w:val="es-ES"/>
        </w:rPr>
        <w:t>.</w:t>
      </w:r>
    </w:p>
    <w:p w14:paraId="6A578541" w14:textId="77777777" w:rsidR="004914BB" w:rsidRDefault="004914BB" w:rsidP="004914BB">
      <w:pPr>
        <w:spacing w:after="120" w:line="276" w:lineRule="auto"/>
        <w:ind w:firstLine="709"/>
        <w:jc w:val="both"/>
        <w:rPr>
          <w:rFonts w:ascii="Verdana" w:hAnsi="Verdana"/>
          <w:lang w:val="es-ES"/>
        </w:rPr>
      </w:pPr>
      <w:r>
        <w:rPr>
          <w:rFonts w:ascii="Verdana" w:hAnsi="Verdana" w:cs="Arial"/>
          <w:bCs/>
          <w:szCs w:val="24"/>
          <w:lang w:val="es-ES" w:eastAsia="es-ES_tradnl"/>
        </w:rPr>
        <w:t>En esta modalidad se establecen unas estimaciones de cantidades de obra, según los estudios y diseños, los estudios previos y unos precios unitarios de los respectivos ítems de obra</w:t>
      </w:r>
      <w:r>
        <w:rPr>
          <w:rStyle w:val="Refdenotaalpie"/>
          <w:rFonts w:ascii="Verdana" w:hAnsi="Verdana" w:cs="Arial"/>
          <w:bCs/>
          <w:szCs w:val="24"/>
          <w:lang w:val="es-ES" w:eastAsia="es-ES_tradnl"/>
        </w:rPr>
        <w:footnoteReference w:id="3"/>
      </w:r>
      <w:r>
        <w:rPr>
          <w:rFonts w:ascii="Verdana" w:hAnsi="Verdana" w:cs="Arial"/>
          <w:bCs/>
          <w:szCs w:val="24"/>
          <w:lang w:val="es-ES" w:eastAsia="es-ES_tradnl"/>
        </w:rPr>
        <w:t xml:space="preserve">. </w:t>
      </w:r>
      <w:r>
        <w:rPr>
          <w:rFonts w:ascii="Verdana" w:hAnsi="Verdana"/>
          <w:lang w:val="es-ES"/>
        </w:rPr>
        <w:t xml:space="preserve">Al respecto, la jurisprudencia de la Sección Tercera del Consejo de Estado ha explicado </w:t>
      </w:r>
      <w:proofErr w:type="gramStart"/>
      <w:r>
        <w:rPr>
          <w:rFonts w:ascii="Verdana" w:hAnsi="Verdana"/>
          <w:lang w:val="es-ES"/>
        </w:rPr>
        <w:t>que</w:t>
      </w:r>
      <w:proofErr w:type="gramEnd"/>
      <w:r>
        <w:rPr>
          <w:rFonts w:ascii="Verdana" w:hAnsi="Verdana"/>
          <w:lang w:val="es-ES"/>
        </w:rPr>
        <w:t xml:space="preserve"> en los contratos pactados mediante precios unitarios, ante la imposibilidad de establecer con exactitud los montos totales que resultarán de realizar la obra contratada, la entidad aproxima un cálculo estimado de la cantidad o unidades de obra que se requerirá ejecutar previo a la ejecución del negocio jurídico, es decir, en los pliegos de condiciones o documento equivalente y en el contrato. Esto, con el propósito de que el proponente establezca en su propuesta unos valores unitarios respecto de cada unidad de obra prevista por la entidad contratante</w:t>
      </w:r>
      <w:r>
        <w:rPr>
          <w:rStyle w:val="Refdenotaalpie"/>
          <w:rFonts w:ascii="Verdana" w:hAnsi="Verdana"/>
          <w:lang w:val="es-ES"/>
        </w:rPr>
        <w:footnoteReference w:id="4"/>
      </w:r>
      <w:r>
        <w:rPr>
          <w:rFonts w:ascii="Verdana" w:hAnsi="Verdana"/>
          <w:lang w:val="es-ES"/>
        </w:rPr>
        <w:t>.</w:t>
      </w:r>
    </w:p>
    <w:p w14:paraId="3A9FFB43" w14:textId="77777777" w:rsidR="004914BB" w:rsidRPr="00DE6B08" w:rsidRDefault="004914BB" w:rsidP="004914BB">
      <w:pPr>
        <w:spacing w:after="120" w:line="276" w:lineRule="auto"/>
        <w:ind w:firstLine="709"/>
        <w:jc w:val="both"/>
        <w:rPr>
          <w:rFonts w:ascii="Verdana" w:eastAsia="Calibri" w:hAnsi="Verdana" w:cs="Arial"/>
          <w:szCs w:val="24"/>
          <w:lang w:eastAsia="es-ES_tradnl"/>
        </w:rPr>
      </w:pPr>
      <w:r w:rsidRPr="00747773">
        <w:rPr>
          <w:rFonts w:ascii="Verdana" w:eastAsia="Calibri" w:hAnsi="Verdana" w:cs="Arial"/>
          <w:szCs w:val="24"/>
          <w:lang w:eastAsia="es-ES_tradnl"/>
        </w:rPr>
        <w:t xml:space="preserve">En consecuencia, debe distinguirse entre el valor estimado del contrato y el valor real o ejecutado, determinado este último por las mayores o menores cantidades de obra que el contratista efectivamente ejecute para cumplir el objeto pactado. En los contratos de obra pública con pago a precios unitarios, el </w:t>
      </w:r>
      <w:r w:rsidRPr="00747773">
        <w:rPr>
          <w:rFonts w:ascii="Verdana" w:eastAsia="Calibri" w:hAnsi="Verdana" w:cs="Arial"/>
          <w:szCs w:val="24"/>
          <w:lang w:eastAsia="es-ES_tradnl"/>
        </w:rPr>
        <w:lastRenderedPageBreak/>
        <w:t>valor contractual definitivo corresponde al resultado de multiplicar las cantidades de obra realmente ejecutadas por los precios unitarios establecidos en el contrato.</w:t>
      </w:r>
      <w:r w:rsidRPr="00747773">
        <w:rPr>
          <w:rFonts w:ascii="Verdana" w:hAnsi="Verdana" w:cs="Arial"/>
          <w:szCs w:val="24"/>
          <w:lang w:eastAsia="es-ES_tradnl"/>
        </w:rPr>
        <w:t xml:space="preserve"> </w:t>
      </w:r>
      <w:r w:rsidRPr="00747773">
        <w:rPr>
          <w:rFonts w:ascii="Verdana" w:eastAsia="Calibri" w:hAnsi="Verdana" w:cs="Arial"/>
          <w:szCs w:val="24"/>
          <w:lang w:eastAsia="es-ES_tradnl"/>
        </w:rPr>
        <w:t>No obstante, para la celebración de este tipo de contratos se requiere expresar un valor estimado inicial,</w:t>
      </w:r>
      <w:r w:rsidRPr="00DE6B08">
        <w:rPr>
          <w:rFonts w:ascii="Verdana" w:eastAsia="Calibri" w:hAnsi="Verdana" w:cs="Arial"/>
          <w:szCs w:val="24"/>
          <w:lang w:eastAsia="es-ES_tradnl"/>
        </w:rPr>
        <w:t xml:space="preserve"> calculado a partir de las cantidades de obra previstas y los precios unitarios que sirvieron de base para la adjudicación. Este valor tiene un carácter meramente referencial y operativo, pues el monto final del contrato solo se determina con la ejecución real y la correspondiente liquidación de las cantidades de obra.</w:t>
      </w:r>
    </w:p>
    <w:p w14:paraId="2676FB5B" w14:textId="77777777" w:rsidR="004914BB" w:rsidRDefault="004914BB" w:rsidP="004914BB">
      <w:pPr>
        <w:spacing w:after="0" w:line="276" w:lineRule="auto"/>
        <w:ind w:firstLine="743"/>
        <w:jc w:val="both"/>
        <w:rPr>
          <w:rFonts w:ascii="Verdana" w:eastAsia="Times New Roman" w:hAnsi="Verdana" w:cs="Arial"/>
          <w:color w:val="000000" w:themeColor="text1"/>
          <w:lang w:eastAsia="es-ES"/>
        </w:rPr>
      </w:pPr>
      <w:r>
        <w:rPr>
          <w:rFonts w:ascii="Verdana" w:eastAsia="Times New Roman" w:hAnsi="Verdana" w:cs="Arial"/>
          <w:color w:val="000000" w:themeColor="text1"/>
          <w:lang w:val="es-ES" w:eastAsia="es-ES"/>
        </w:rPr>
        <w:t xml:space="preserve">Así las cosas, durante la etapa de planeación las entidades públicas son responsables de estimar y determinar las prestaciones que demanda la satisfacción del interés colectivo, conforme al análisis de los estudios y diseños previos. No obstante, teniendo en cuenta que en la modalidad de precios unitarios las cantidades son estimativas, es factible que, durante la ejecución del contrato, </w:t>
      </w:r>
      <w:r w:rsidRPr="00E1280F">
        <w:rPr>
          <w:rFonts w:ascii="Verdana" w:eastAsia="Times New Roman" w:hAnsi="Verdana" w:cs="Arial"/>
          <w:color w:val="000000" w:themeColor="text1"/>
          <w:lang w:val="es-ES" w:eastAsia="es-ES"/>
        </w:rPr>
        <w:t>las partes</w:t>
      </w:r>
      <w:r>
        <w:rPr>
          <w:rFonts w:ascii="Verdana" w:eastAsia="Times New Roman" w:hAnsi="Verdana" w:cs="Arial"/>
          <w:color w:val="000000" w:themeColor="text1"/>
          <w:lang w:val="es-ES" w:eastAsia="es-ES"/>
        </w:rPr>
        <w:t xml:space="preserve"> puedan identificar situaciones en las que se genera la necesidad de mayores cantidades de bienes o actividades inicialmente previstas, a lo que se le conoce como mayores cantidades de obra, o adición de ítems contractuales. De esta forma, </w:t>
      </w:r>
      <w:r>
        <w:rPr>
          <w:rFonts w:ascii="Verdana" w:eastAsia="Times New Roman" w:hAnsi="Verdana" w:cs="Arial"/>
          <w:color w:val="000000" w:themeColor="text1"/>
          <w:lang w:eastAsia="es-ES"/>
        </w:rPr>
        <w:t xml:space="preserve">si bien la responsabilidad inicial en la definición de las cantidades recae en la entidad estatal en la fase de planeación, durante la ejecución del contrato tanto la entidad contratante como el contratista están obligados a identificar, advertir y gestionar oportunamente las situaciones que puedan afectar la adecuada ejecución del contrato. </w:t>
      </w:r>
    </w:p>
    <w:p w14:paraId="3D958682" w14:textId="77777777" w:rsidR="004914BB" w:rsidRPr="008D68BF" w:rsidRDefault="004914BB" w:rsidP="004914BB">
      <w:pPr>
        <w:spacing w:after="0" w:line="276" w:lineRule="auto"/>
        <w:ind w:firstLine="743"/>
        <w:jc w:val="both"/>
        <w:rPr>
          <w:rFonts w:ascii="Verdana" w:eastAsia="Times New Roman" w:hAnsi="Verdana" w:cs="Arial"/>
          <w:color w:val="000000" w:themeColor="text1"/>
          <w:lang w:eastAsia="es-ES"/>
        </w:rPr>
      </w:pPr>
    </w:p>
    <w:p w14:paraId="2C5608C3" w14:textId="77777777" w:rsidR="004914BB" w:rsidRPr="00E1280F" w:rsidRDefault="004914BB" w:rsidP="004914BB">
      <w:pPr>
        <w:spacing w:after="120" w:line="276" w:lineRule="auto"/>
        <w:jc w:val="both"/>
        <w:rPr>
          <w:rFonts w:ascii="Verdana" w:eastAsia="Times New Roman" w:hAnsi="Verdana" w:cs="Arial"/>
          <w:color w:val="000000" w:themeColor="text1"/>
          <w:lang w:val="es-ES" w:eastAsia="es-ES"/>
        </w:rPr>
      </w:pPr>
      <w:proofErr w:type="spellStart"/>
      <w:r>
        <w:rPr>
          <w:rFonts w:ascii="Verdana" w:hAnsi="Verdana" w:cs="Arial"/>
          <w:szCs w:val="24"/>
          <w:lang w:val="es-ES_tradnl" w:eastAsia="es-ES_tradnl"/>
        </w:rPr>
        <w:t>ii</w:t>
      </w:r>
      <w:proofErr w:type="spellEnd"/>
      <w:r>
        <w:rPr>
          <w:rFonts w:ascii="Verdana" w:hAnsi="Verdana" w:cs="Arial"/>
          <w:szCs w:val="24"/>
          <w:lang w:val="es-ES_tradnl" w:eastAsia="es-ES_tradnl"/>
        </w:rPr>
        <w:t xml:space="preserve">. </w:t>
      </w:r>
      <w:r>
        <w:rPr>
          <w:rFonts w:ascii="Verdana" w:hAnsi="Verdana" w:cs="Arial"/>
          <w:bCs/>
          <w:szCs w:val="24"/>
          <w:lang w:val="es-ES" w:eastAsia="es-ES_tradnl"/>
        </w:rPr>
        <w:t xml:space="preserve">Otro aspecto importante a tener en cuenta respecto de los contratos cuyo precio se estructura a partir del sistema de precios unitarios es que, ha hecho parte de la práctica de los negocios que el contratante le solicite </w:t>
      </w:r>
      <w:r>
        <w:rPr>
          <w:rFonts w:ascii="Verdana" w:hAnsi="Verdana" w:cs="Arial"/>
          <w:lang w:val="es-ES" w:eastAsia="es-ES"/>
        </w:rPr>
        <w:t xml:space="preserve">al potencial contratista que separe en su propuesta los </w:t>
      </w:r>
      <w:r>
        <w:rPr>
          <w:rFonts w:ascii="Verdana" w:hAnsi="Verdana" w:cs="Arial"/>
          <w:i/>
          <w:iCs/>
          <w:lang w:val="es-ES" w:eastAsia="es-ES"/>
        </w:rPr>
        <w:t>costos directos</w:t>
      </w:r>
      <w:r>
        <w:rPr>
          <w:rFonts w:ascii="Verdana" w:hAnsi="Verdana" w:cs="Arial"/>
          <w:lang w:val="es-ES" w:eastAsia="es-ES"/>
        </w:rPr>
        <w:t xml:space="preserve"> –es decir, los que están directamente implicados en la ejecución del objeto–, de los </w:t>
      </w:r>
      <w:r>
        <w:rPr>
          <w:rFonts w:ascii="Verdana" w:hAnsi="Verdana" w:cs="Arial"/>
          <w:i/>
          <w:iCs/>
          <w:lang w:val="es-ES" w:eastAsia="es-ES"/>
        </w:rPr>
        <w:t>costos indirectos</w:t>
      </w:r>
      <w:r>
        <w:rPr>
          <w:rFonts w:ascii="Verdana" w:hAnsi="Verdana" w:cs="Arial"/>
          <w:lang w:val="es-ES" w:eastAsia="es-ES"/>
        </w:rPr>
        <w:t xml:space="preserve"> –que equivalen a los rubros que no tienen que ver de manera inmediata con la ejecución de las actividades contractuales, pero que integran también el precio, bien porque constituyen erogaciones administrativas o contingentes para el contratista o bien porque se dirigen a salvaguardar su ganancia–, tal podría llegar a ser el caso de los gastos en los que se incurra por concepto de representación la estructura plural. </w:t>
      </w:r>
      <w:r>
        <w:rPr>
          <w:rFonts w:ascii="Verdana" w:hAnsi="Verdana" w:cs="Arial"/>
          <w:bCs/>
          <w:szCs w:val="24"/>
          <w:lang w:val="es-ES" w:eastAsia="es-ES_tradnl"/>
        </w:rPr>
        <w:t xml:space="preserve">En tal sentido, mientras que los costos directos se evidencian en el análisis de precios unitarios –APU–, como la sumatoria de los valores de los </w:t>
      </w:r>
      <w:r>
        <w:rPr>
          <w:rFonts w:ascii="Verdana" w:hAnsi="Verdana" w:cs="Arial"/>
          <w:bCs/>
          <w:i/>
          <w:iCs/>
          <w:szCs w:val="24"/>
          <w:lang w:val="es-ES" w:eastAsia="es-ES_tradnl"/>
        </w:rPr>
        <w:t>ítems</w:t>
      </w:r>
      <w:r>
        <w:rPr>
          <w:rFonts w:ascii="Verdana" w:hAnsi="Verdana" w:cs="Arial"/>
          <w:bCs/>
          <w:szCs w:val="24"/>
          <w:lang w:val="es-ES" w:eastAsia="es-ES_tradnl"/>
        </w:rPr>
        <w:t xml:space="preserve"> según su unidad de medida, los costos indirectos se suelen abreviar en las variables que integran el acrónimo AIU –</w:t>
      </w:r>
      <w:r>
        <w:rPr>
          <w:rFonts w:ascii="Verdana" w:hAnsi="Verdana" w:cs="Arial"/>
          <w:bCs/>
          <w:szCs w:val="24"/>
          <w:lang w:val="es-ES" w:eastAsia="es-ES_tradnl"/>
        </w:rPr>
        <w:lastRenderedPageBreak/>
        <w:t>Administración, Imprevistos y Utilidad–, que se calcula como un porcentaje aplicado a los costos indirectos</w:t>
      </w:r>
      <w:r>
        <w:rPr>
          <w:rFonts w:ascii="Verdana" w:hAnsi="Verdana" w:cs="Arial"/>
          <w:szCs w:val="24"/>
          <w:vertAlign w:val="superscript"/>
          <w:lang w:val="es-ES" w:eastAsia="es-ES_tradnl"/>
        </w:rPr>
        <w:footnoteReference w:id="5"/>
      </w:r>
      <w:r>
        <w:rPr>
          <w:rFonts w:ascii="Verdana" w:hAnsi="Verdana" w:cs="Arial"/>
          <w:szCs w:val="24"/>
          <w:lang w:val="es-ES" w:eastAsia="es-ES_tradnl"/>
        </w:rPr>
        <w:t>.</w:t>
      </w:r>
    </w:p>
    <w:p w14:paraId="7B9AEB04" w14:textId="77777777" w:rsidR="004914BB" w:rsidRDefault="004914BB" w:rsidP="004914BB">
      <w:pPr>
        <w:spacing w:after="120" w:line="276" w:lineRule="auto"/>
        <w:ind w:firstLine="709"/>
        <w:jc w:val="both"/>
        <w:rPr>
          <w:rFonts w:ascii="Verdana" w:hAnsi="Verdana" w:cs="Arial"/>
          <w:bCs/>
          <w:szCs w:val="24"/>
          <w:lang w:val="es-ES" w:eastAsia="es-ES_tradnl"/>
        </w:rPr>
      </w:pPr>
      <w:r>
        <w:rPr>
          <w:rFonts w:ascii="Verdana" w:hAnsi="Verdana" w:cs="Arial"/>
          <w:bCs/>
          <w:szCs w:val="24"/>
          <w:lang w:val="es-ES" w:eastAsia="es-ES_tradnl"/>
        </w:rPr>
        <w:t xml:space="preserve">La jurisprudencia ha señalado que “[…] en la conformación de dichos precios unitarios, se tienen en cuenta todos los gastos que se requieren para realizar la unidad de medida respectiva –el metro lineal, el metro cúbico, el metro cuadrado, etc.-. Y lo que comúnmente se denomina análisis de precios unitarios, corresponde a la descomposición de </w:t>
      </w:r>
      <w:proofErr w:type="gramStart"/>
      <w:r>
        <w:rPr>
          <w:rFonts w:ascii="Verdana" w:hAnsi="Verdana" w:cs="Arial"/>
          <w:bCs/>
          <w:szCs w:val="24"/>
          <w:lang w:val="es-ES" w:eastAsia="es-ES_tradnl"/>
        </w:rPr>
        <w:t>los mismos</w:t>
      </w:r>
      <w:proofErr w:type="gramEnd"/>
      <w:r>
        <w:rPr>
          <w:rFonts w:ascii="Verdana" w:hAnsi="Verdana" w:cs="Arial"/>
          <w:bCs/>
          <w:szCs w:val="24"/>
          <w:lang w:val="es-ES" w:eastAsia="es-ES_tradnl"/>
        </w:rPr>
        <w:t xml:space="preserve"> para determinar los costos que los conforman: la maquinaria que se utilizará, calculando el valor por el tiempo que se requiera; la mano de obra, teniendo en cuenta el costo hora-hombre, y cuántas personas se requieren para la ejecución de esa unidad de medida; la cantidad de los materiales necesarios, etc.”</w:t>
      </w:r>
      <w:r>
        <w:rPr>
          <w:rStyle w:val="Refdenotaalpie"/>
          <w:rFonts w:ascii="Verdana" w:hAnsi="Verdana" w:cs="Arial"/>
          <w:bCs/>
          <w:szCs w:val="24"/>
          <w:lang w:val="es-ES" w:eastAsia="es-ES_tradnl"/>
        </w:rPr>
        <w:footnoteReference w:id="6"/>
      </w:r>
      <w:r>
        <w:rPr>
          <w:rFonts w:ascii="Verdana" w:hAnsi="Verdana" w:cs="Arial"/>
          <w:bCs/>
          <w:szCs w:val="24"/>
          <w:lang w:val="es-ES" w:eastAsia="es-ES_tradnl"/>
        </w:rPr>
        <w:t xml:space="preserve">. </w:t>
      </w:r>
    </w:p>
    <w:p w14:paraId="0136F1EB" w14:textId="77777777" w:rsidR="004914BB" w:rsidRDefault="004914BB" w:rsidP="004914BB">
      <w:pPr>
        <w:spacing w:after="120" w:line="276" w:lineRule="auto"/>
        <w:ind w:firstLine="709"/>
        <w:jc w:val="both"/>
        <w:rPr>
          <w:rFonts w:ascii="Verdana" w:hAnsi="Verdana" w:cs="Arial"/>
          <w:bCs/>
          <w:szCs w:val="24"/>
          <w:lang w:val="es-ES" w:eastAsia="es-ES_tradnl"/>
        </w:rPr>
      </w:pPr>
      <w:r>
        <w:rPr>
          <w:rFonts w:ascii="Verdana" w:hAnsi="Verdana" w:cs="Arial"/>
          <w:bCs/>
          <w:szCs w:val="24"/>
          <w:lang w:val="es-ES" w:eastAsia="es-ES_tradnl"/>
        </w:rPr>
        <w:t>En efecto, la Sección Tercera del Consejo ha precisado en varias oportunidades que los contratos en los cuales el pago es pactado mediante precios unitarios se caracterizan porque las partes acuerdan el valor de las distintas unidades o cantidades de obra, de modo que el “costo directo total del contrato, será el resultado de multiplicar los precios unitarios por las cantidades de obra ejecutadas y de sumar todos los ítems necesarios para dicha ejecución"</w:t>
      </w:r>
      <w:r>
        <w:rPr>
          <w:rStyle w:val="Refdenotaalpie"/>
          <w:rFonts w:ascii="Verdana" w:hAnsi="Verdana" w:cs="Arial"/>
          <w:bCs/>
          <w:szCs w:val="24"/>
          <w:lang w:val="es-ES" w:eastAsia="es-ES_tradnl"/>
        </w:rPr>
        <w:footnoteReference w:id="7"/>
      </w:r>
      <w:r>
        <w:rPr>
          <w:rFonts w:ascii="Verdana" w:hAnsi="Verdana" w:cs="Arial"/>
          <w:bCs/>
          <w:szCs w:val="24"/>
          <w:lang w:val="es-ES" w:eastAsia="es-ES_tradnl"/>
        </w:rPr>
        <w:t>. En el análisis de los precios unitarios, se tienen en cuenta todos los gastos que se requieren para realizar cada unidad o ítem pactado, para lo cual el proponente descompone los mismos y determina los costos que los conforman</w:t>
      </w:r>
      <w:r>
        <w:rPr>
          <w:rStyle w:val="Refdenotaalpie"/>
          <w:rFonts w:ascii="Verdana" w:hAnsi="Verdana" w:cs="Arial"/>
          <w:bCs/>
          <w:szCs w:val="24"/>
          <w:lang w:val="es-ES" w:eastAsia="es-ES_tradnl"/>
        </w:rPr>
        <w:footnoteReference w:id="8"/>
      </w:r>
      <w:r>
        <w:rPr>
          <w:rFonts w:ascii="Verdana" w:hAnsi="Verdana" w:cs="Arial"/>
          <w:bCs/>
          <w:szCs w:val="24"/>
          <w:lang w:val="es-ES" w:eastAsia="es-ES_tradnl"/>
        </w:rPr>
        <w:t xml:space="preserve">. Con este fin, se elabora un listado de cada unidad técnica (ítems) de los elementos, la mano de obra, la maquinaria, equipos y actividades requeridas, especificando, por ejemplo, el número de elementos, metros cúbicos, metros cuadrados, metros lineales, hora-hombre u hora de equipo, para determinar cuánto cuesta cada una de las unidades, cuya sumatoria constituirá el valor total del </w:t>
      </w:r>
      <w:r>
        <w:rPr>
          <w:rFonts w:ascii="Verdana" w:hAnsi="Verdana" w:cs="Arial"/>
          <w:bCs/>
          <w:i/>
          <w:iCs/>
          <w:szCs w:val="24"/>
          <w:lang w:val="es-ES" w:eastAsia="es-ES_tradnl"/>
        </w:rPr>
        <w:t>costo directo</w:t>
      </w:r>
      <w:r>
        <w:rPr>
          <w:rFonts w:ascii="Verdana" w:hAnsi="Verdana" w:cs="Arial"/>
          <w:bCs/>
          <w:szCs w:val="24"/>
          <w:lang w:val="es-ES" w:eastAsia="es-ES_tradnl"/>
        </w:rPr>
        <w:t xml:space="preserve"> de la obra</w:t>
      </w:r>
      <w:r>
        <w:rPr>
          <w:rStyle w:val="Refdenotaalpie"/>
          <w:rFonts w:ascii="Verdana" w:hAnsi="Verdana" w:cs="Arial"/>
          <w:bCs/>
          <w:szCs w:val="24"/>
          <w:lang w:val="es-ES" w:eastAsia="es-ES_tradnl"/>
        </w:rPr>
        <w:footnoteReference w:id="9"/>
      </w:r>
      <w:r>
        <w:rPr>
          <w:rFonts w:ascii="Verdana" w:hAnsi="Verdana" w:cs="Arial"/>
          <w:bCs/>
          <w:szCs w:val="24"/>
          <w:lang w:val="es-ES" w:eastAsia="es-ES_tradnl"/>
        </w:rPr>
        <w:t xml:space="preserve">. </w:t>
      </w:r>
    </w:p>
    <w:p w14:paraId="33EB626B" w14:textId="77777777" w:rsidR="004914BB" w:rsidRDefault="004914BB" w:rsidP="004914BB">
      <w:pPr>
        <w:spacing w:after="120" w:line="276" w:lineRule="auto"/>
        <w:ind w:firstLine="709"/>
        <w:jc w:val="both"/>
        <w:rPr>
          <w:rFonts w:ascii="Verdana" w:hAnsi="Verdana" w:cs="Arial"/>
          <w:bCs/>
          <w:szCs w:val="24"/>
          <w:lang w:val="es-ES" w:eastAsia="es-ES_tradnl"/>
        </w:rPr>
      </w:pPr>
      <w:r>
        <w:rPr>
          <w:rFonts w:ascii="Verdana" w:hAnsi="Verdana" w:cs="Arial"/>
          <w:bCs/>
          <w:szCs w:val="24"/>
          <w:lang w:val="es-ES" w:eastAsia="es-ES_tradnl"/>
        </w:rPr>
        <w:t xml:space="preserve">Ahora bien, en ejercicio de la autonomía de la voluntad, las partes pueden decidir pactar o no el AIU. En los casos en que opten por requerirlo, las entidades </w:t>
      </w:r>
      <w:r>
        <w:rPr>
          <w:rFonts w:ascii="Verdana" w:hAnsi="Verdana" w:cs="Arial"/>
          <w:bCs/>
          <w:szCs w:val="24"/>
          <w:lang w:val="es-ES" w:eastAsia="es-ES_tradnl"/>
        </w:rPr>
        <w:lastRenderedPageBreak/>
        <w:t xml:space="preserve">pueden solicitar, por ejemplo, que los proponentes establezcan de forma independiente al valor total de los costos directos, un porcentaje fijo que, según con sus conocimientos, experiencia, y la naturaleza del negocio jurídico, represente el valor por concepto de administración, imprevistos y utilidad.  Bajo este modelo, el valor total de los costos directos, obtenido como resultado de la sumatoria de todos los ítems multiplicados por su valor unitario, se multiplica por el porcentaje de AIU fijado por el contratista en su oferta, el cual representa los </w:t>
      </w:r>
      <w:r>
        <w:rPr>
          <w:rFonts w:ascii="Verdana" w:hAnsi="Verdana" w:cs="Arial"/>
          <w:bCs/>
          <w:i/>
          <w:iCs/>
          <w:szCs w:val="24"/>
          <w:lang w:val="es-ES" w:eastAsia="es-ES_tradnl"/>
        </w:rPr>
        <w:t>costos indirectos</w:t>
      </w:r>
      <w:r>
        <w:rPr>
          <w:rFonts w:ascii="Verdana" w:hAnsi="Verdana" w:cs="Arial"/>
          <w:bCs/>
          <w:szCs w:val="24"/>
          <w:lang w:val="es-ES" w:eastAsia="es-ES_tradnl"/>
        </w:rPr>
        <w:t xml:space="preserve"> en los que incurrirá durante la ejecución del contrato. De cualquier modo, las partes pueden fijar la metodología y las exigencias relacionadas con el cálculo del AIU en otra forma que convengan, “entendiendo que los elementos que lo componen se encuentran incorporados en los precios y en el valor del contrato”</w:t>
      </w:r>
      <w:r>
        <w:rPr>
          <w:rStyle w:val="Refdenotaalpie"/>
          <w:rFonts w:ascii="Verdana" w:hAnsi="Verdana" w:cs="Arial"/>
          <w:bCs/>
          <w:szCs w:val="24"/>
          <w:lang w:val="es-ES" w:eastAsia="es-ES_tradnl"/>
        </w:rPr>
        <w:footnoteReference w:id="10"/>
      </w:r>
      <w:r>
        <w:rPr>
          <w:rFonts w:ascii="Verdana" w:hAnsi="Verdana" w:cs="Arial"/>
          <w:bCs/>
          <w:szCs w:val="24"/>
          <w:lang w:val="es-ES" w:eastAsia="es-ES_tradnl"/>
        </w:rPr>
        <w:t>. En concordancia, la doctrina explica que en la estructuración de los precios unitarios se tendrán en cuenta todos los costos directos necesarios para la ejecución del objeto contractual que, a su vez, se afectará por el valor del AIU:</w:t>
      </w:r>
    </w:p>
    <w:p w14:paraId="682B767D" w14:textId="77777777" w:rsidR="004914BB" w:rsidRDefault="004914BB" w:rsidP="004914BB">
      <w:pPr>
        <w:spacing w:after="0" w:line="276" w:lineRule="auto"/>
        <w:ind w:firstLine="709"/>
        <w:jc w:val="both"/>
        <w:rPr>
          <w:rFonts w:ascii="Verdana" w:hAnsi="Verdana" w:cs="Arial"/>
          <w:bCs/>
          <w:szCs w:val="24"/>
          <w:lang w:val="es-ES" w:eastAsia="es-ES_tradnl"/>
        </w:rPr>
      </w:pPr>
    </w:p>
    <w:p w14:paraId="666D9A06" w14:textId="77777777" w:rsidR="004914BB" w:rsidRDefault="004914BB" w:rsidP="004914BB">
      <w:pPr>
        <w:tabs>
          <w:tab w:val="left" w:pos="709"/>
        </w:tabs>
        <w:spacing w:after="0" w:line="240" w:lineRule="auto"/>
        <w:ind w:left="709" w:right="709"/>
        <w:jc w:val="both"/>
        <w:rPr>
          <w:rFonts w:ascii="Verdana" w:hAnsi="Verdana" w:cs="Arial"/>
          <w:sz w:val="20"/>
          <w:szCs w:val="20"/>
          <w:lang w:val="es-ES" w:eastAsia="es-ES"/>
        </w:rPr>
      </w:pPr>
      <w:r>
        <w:rPr>
          <w:rFonts w:ascii="Verdana" w:hAnsi="Verdana" w:cs="Arial"/>
          <w:sz w:val="20"/>
          <w:szCs w:val="20"/>
          <w:lang w:val="es-ES" w:eastAsia="es-ES"/>
        </w:rPr>
        <w:t>“Cada uno de los valores unitarios resultan de un análisis de los componentes requeridos para su elaboración, estudio que se denomina comúnmente ‘análisis de precios unitarios’. Así, se examinará, por ejemplo, que para la construcción de un metro cuadrado de muro se requieren 50 ladrillos, que tienen un valor de $50.000; 15 kilos de cemento, que tienen un valor de $5.000; 30 kilos de arena, que tienen un valor de $500; 5 litros de agua, que tienen un valor de 100, y la mano de obra que tiene un valor de $5.000. La sumatoria de cada uno de estos insumos básicos arroja el costo directo que debe cancelar el contratista para la construcción de un metro de muro.</w:t>
      </w:r>
    </w:p>
    <w:p w14:paraId="15BABD09" w14:textId="77777777" w:rsidR="004914BB" w:rsidRDefault="004914BB" w:rsidP="004914BB">
      <w:pPr>
        <w:tabs>
          <w:tab w:val="left" w:pos="709"/>
        </w:tabs>
        <w:spacing w:after="0" w:line="240" w:lineRule="auto"/>
        <w:ind w:left="709" w:right="709"/>
        <w:jc w:val="both"/>
        <w:rPr>
          <w:rFonts w:ascii="Verdana" w:hAnsi="Verdana" w:cs="Arial"/>
          <w:sz w:val="20"/>
          <w:szCs w:val="20"/>
          <w:lang w:val="es-ES" w:eastAsia="es-ES"/>
        </w:rPr>
      </w:pPr>
    </w:p>
    <w:p w14:paraId="37F2C87A" w14:textId="77777777" w:rsidR="004914BB" w:rsidRDefault="004914BB" w:rsidP="004914BB">
      <w:pPr>
        <w:tabs>
          <w:tab w:val="left" w:pos="709"/>
        </w:tabs>
        <w:spacing w:after="0" w:line="240" w:lineRule="auto"/>
        <w:ind w:left="709" w:right="709"/>
        <w:jc w:val="both"/>
        <w:rPr>
          <w:rFonts w:ascii="Verdana" w:hAnsi="Verdana" w:cs="Arial"/>
          <w:sz w:val="20"/>
          <w:szCs w:val="20"/>
          <w:lang w:val="es-ES" w:eastAsia="es-ES_tradnl"/>
        </w:rPr>
      </w:pPr>
      <w:r>
        <w:rPr>
          <w:rFonts w:ascii="Verdana" w:hAnsi="Verdana" w:cs="Arial"/>
          <w:sz w:val="20"/>
          <w:szCs w:val="20"/>
          <w:lang w:val="es-ES" w:eastAsia="es-ES_tradnl"/>
        </w:rPr>
        <w:t xml:space="preserve">El costo directo se multiplica por el AIU, es decir, por los gastos de administración, que incluye los gastos de personal que dirige la obra; los gastos de imprevistos, que pretende cubrir imprevistos y la utilidad. El resultado de la multiplicación anterior determina el valor unitario que deberá cancelar la entidad estatal. Dentro del valor unitario, entonces, </w:t>
      </w:r>
      <w:r>
        <w:rPr>
          <w:rFonts w:ascii="Verdana" w:hAnsi="Verdana" w:cs="Arial"/>
          <w:i/>
          <w:sz w:val="20"/>
          <w:szCs w:val="20"/>
          <w:lang w:val="es-ES" w:eastAsia="es-ES_tradnl"/>
        </w:rPr>
        <w:t>están incorporados la totalidad de los gastos en los que incurre el contratista y la utilidad que espera recibir</w:t>
      </w:r>
      <w:r>
        <w:rPr>
          <w:rFonts w:ascii="Verdana" w:hAnsi="Verdana" w:cs="Arial"/>
          <w:sz w:val="20"/>
          <w:szCs w:val="20"/>
          <w:lang w:val="es-ES" w:eastAsia="es-ES_tradnl"/>
        </w:rPr>
        <w:t>”</w:t>
      </w:r>
      <w:r>
        <w:rPr>
          <w:rStyle w:val="Refdenotaalpie"/>
          <w:rFonts w:ascii="Verdana" w:hAnsi="Verdana" w:cs="Arial"/>
          <w:sz w:val="20"/>
          <w:szCs w:val="20"/>
          <w:lang w:val="es-ES" w:eastAsia="es-ES_tradnl"/>
        </w:rPr>
        <w:footnoteReference w:id="11"/>
      </w:r>
      <w:r>
        <w:rPr>
          <w:rFonts w:ascii="Verdana" w:hAnsi="Verdana" w:cs="Arial"/>
          <w:sz w:val="20"/>
          <w:szCs w:val="20"/>
          <w:lang w:val="es-ES" w:eastAsia="es-ES_tradnl"/>
        </w:rPr>
        <w:t>. [Énfasis fuera de texto]</w:t>
      </w:r>
    </w:p>
    <w:p w14:paraId="7801D1B9" w14:textId="77777777" w:rsidR="004914BB" w:rsidRDefault="004914BB" w:rsidP="004914BB">
      <w:pPr>
        <w:tabs>
          <w:tab w:val="left" w:pos="709"/>
        </w:tabs>
        <w:spacing w:after="0" w:line="276" w:lineRule="auto"/>
        <w:ind w:left="709" w:right="760"/>
        <w:jc w:val="both"/>
        <w:rPr>
          <w:rFonts w:ascii="Verdana" w:hAnsi="Verdana" w:cs="Arial"/>
          <w:szCs w:val="24"/>
          <w:lang w:val="es-ES" w:eastAsia="es-ES_tradnl"/>
        </w:rPr>
      </w:pPr>
    </w:p>
    <w:p w14:paraId="78D7AB80" w14:textId="77777777" w:rsidR="004914BB" w:rsidRDefault="004914BB" w:rsidP="004914BB">
      <w:pPr>
        <w:spacing w:after="0" w:line="276" w:lineRule="auto"/>
        <w:ind w:firstLine="709"/>
        <w:jc w:val="both"/>
        <w:rPr>
          <w:rFonts w:ascii="Verdana" w:hAnsi="Verdana" w:cs="Arial"/>
          <w:szCs w:val="24"/>
          <w:lang w:val="es-ES" w:eastAsia="es-ES_tradnl"/>
        </w:rPr>
      </w:pPr>
      <w:r>
        <w:rPr>
          <w:rFonts w:ascii="Verdana" w:hAnsi="Verdana" w:cs="Arial"/>
          <w:szCs w:val="24"/>
          <w:lang w:val="es-ES" w:eastAsia="es-ES_tradnl"/>
        </w:rPr>
        <w:lastRenderedPageBreak/>
        <w:t xml:space="preserve">Por su parte, de acuerdo con la Sección Tercera del Consejo de Estado, el AIU, concepto de común utilización en los contratos de tracto sucesivo –entre ellos, los contratos de obra al que se refiere en su consulta– no cuenta con una definición normativa, pero hay elementos que permiten precisar su alcance, así: </w:t>
      </w:r>
    </w:p>
    <w:p w14:paraId="04DB531A" w14:textId="77777777" w:rsidR="004914BB" w:rsidRDefault="004914BB" w:rsidP="004914BB">
      <w:pPr>
        <w:spacing w:after="0" w:line="276" w:lineRule="auto"/>
        <w:ind w:firstLine="709"/>
        <w:jc w:val="both"/>
        <w:rPr>
          <w:rFonts w:ascii="Verdana" w:hAnsi="Verdana" w:cs="Arial"/>
          <w:szCs w:val="24"/>
          <w:lang w:val="es-ES" w:eastAsia="es-ES_tradnl"/>
        </w:rPr>
      </w:pPr>
    </w:p>
    <w:p w14:paraId="6D0FBAD3" w14:textId="77777777" w:rsidR="004914BB" w:rsidRDefault="004914BB" w:rsidP="004914BB">
      <w:pPr>
        <w:tabs>
          <w:tab w:val="left" w:pos="709"/>
        </w:tabs>
        <w:spacing w:after="0" w:line="240" w:lineRule="auto"/>
        <w:ind w:left="709" w:right="709"/>
        <w:jc w:val="both"/>
        <w:rPr>
          <w:rFonts w:ascii="Verdana" w:hAnsi="Verdana" w:cs="Arial"/>
          <w:sz w:val="20"/>
          <w:szCs w:val="20"/>
          <w:lang w:val="es-ES" w:eastAsia="es-ES_tradnl"/>
        </w:rPr>
      </w:pPr>
      <w:r>
        <w:rPr>
          <w:rFonts w:ascii="Verdana" w:hAnsi="Verdana" w:cs="Arial"/>
          <w:sz w:val="20"/>
          <w:szCs w:val="20"/>
          <w:lang w:val="es-ES" w:eastAsia="es-ES_tradnl"/>
        </w:rPr>
        <w:t xml:space="preserve">“[…] el AIU propuesto para el contrato, corresponde a: </w:t>
      </w:r>
    </w:p>
    <w:p w14:paraId="0F7F1B34" w14:textId="77777777" w:rsidR="004914BB" w:rsidRDefault="004914BB" w:rsidP="004914BB">
      <w:pPr>
        <w:tabs>
          <w:tab w:val="left" w:pos="709"/>
        </w:tabs>
        <w:spacing w:after="0" w:line="240" w:lineRule="auto"/>
        <w:ind w:left="709" w:right="709"/>
        <w:jc w:val="both"/>
        <w:rPr>
          <w:rFonts w:ascii="Verdana" w:hAnsi="Verdana" w:cs="Arial"/>
          <w:sz w:val="20"/>
          <w:szCs w:val="20"/>
          <w:lang w:val="es-ES" w:eastAsia="es-ES_tradnl"/>
        </w:rPr>
      </w:pPr>
      <w:r>
        <w:rPr>
          <w:rFonts w:ascii="Verdana" w:hAnsi="Verdana" w:cs="Arial"/>
          <w:sz w:val="20"/>
          <w:szCs w:val="20"/>
          <w:lang w:val="es-ES" w:eastAsia="es-ES_tradnl"/>
        </w:rPr>
        <w:t xml:space="preserve">i) los costos de administración o costos indirectos para la operación del contrato, tales como los gastos de disponibilidad de la organización del contratista, esto es: A; </w:t>
      </w:r>
    </w:p>
    <w:p w14:paraId="1A4358C2" w14:textId="77777777" w:rsidR="004914BB" w:rsidRDefault="004914BB" w:rsidP="004914BB">
      <w:pPr>
        <w:tabs>
          <w:tab w:val="left" w:pos="709"/>
        </w:tabs>
        <w:spacing w:after="0" w:line="240" w:lineRule="auto"/>
        <w:ind w:left="709" w:right="709"/>
        <w:jc w:val="both"/>
        <w:rPr>
          <w:rFonts w:ascii="Verdana" w:hAnsi="Verdana" w:cs="Arial"/>
          <w:sz w:val="20"/>
          <w:szCs w:val="20"/>
          <w:lang w:val="es-ES" w:eastAsia="es-ES_tradnl"/>
        </w:rPr>
      </w:pPr>
    </w:p>
    <w:p w14:paraId="24B0CD2A" w14:textId="77777777" w:rsidR="004914BB" w:rsidRDefault="004914BB" w:rsidP="004914BB">
      <w:pPr>
        <w:tabs>
          <w:tab w:val="left" w:pos="709"/>
        </w:tabs>
        <w:spacing w:after="0" w:line="240" w:lineRule="auto"/>
        <w:ind w:left="709" w:right="709"/>
        <w:jc w:val="both"/>
        <w:rPr>
          <w:rFonts w:ascii="Verdana" w:hAnsi="Verdana" w:cs="Arial"/>
          <w:sz w:val="20"/>
          <w:szCs w:val="20"/>
          <w:lang w:val="es-ES" w:eastAsia="es-ES"/>
        </w:rPr>
      </w:pPr>
      <w:proofErr w:type="spellStart"/>
      <w:r>
        <w:rPr>
          <w:rFonts w:ascii="Verdana" w:hAnsi="Verdana" w:cs="Arial"/>
          <w:sz w:val="20"/>
          <w:szCs w:val="20"/>
          <w:lang w:val="es-ES" w:eastAsia="es-ES"/>
        </w:rPr>
        <w:t>ii</w:t>
      </w:r>
      <w:proofErr w:type="spellEnd"/>
      <w:r>
        <w:rPr>
          <w:rFonts w:ascii="Verdana" w:hAnsi="Verdana" w:cs="Arial"/>
          <w:sz w:val="20"/>
          <w:szCs w:val="20"/>
          <w:lang w:val="es-ES" w:eastAsia="es-ES"/>
        </w:rPr>
        <w:t xml:space="preserve">) los imprevistos, que es el porcentaje destinado a cubrir los gastos con los que no se contaba y que se presenten durante la ejecución del contrato, esto es, el </w:t>
      </w:r>
      <w:proofErr w:type="spellStart"/>
      <w:r>
        <w:rPr>
          <w:rFonts w:ascii="Verdana" w:hAnsi="Verdana" w:cs="Arial"/>
          <w:sz w:val="20"/>
          <w:szCs w:val="20"/>
          <w:lang w:val="es-ES" w:eastAsia="es-ES"/>
        </w:rPr>
        <w:t>álea</w:t>
      </w:r>
      <w:proofErr w:type="spellEnd"/>
      <w:r>
        <w:rPr>
          <w:rFonts w:ascii="Verdana" w:hAnsi="Verdana" w:cs="Arial"/>
          <w:sz w:val="20"/>
          <w:szCs w:val="20"/>
          <w:lang w:val="es-ES" w:eastAsia="es-ES"/>
        </w:rPr>
        <w:t xml:space="preserve"> normal del contrato: I; </w:t>
      </w:r>
    </w:p>
    <w:p w14:paraId="2DBB9110" w14:textId="77777777" w:rsidR="004914BB" w:rsidRDefault="004914BB" w:rsidP="004914BB">
      <w:pPr>
        <w:tabs>
          <w:tab w:val="left" w:pos="709"/>
        </w:tabs>
        <w:spacing w:after="0" w:line="240" w:lineRule="auto"/>
        <w:ind w:left="709" w:right="709"/>
        <w:jc w:val="both"/>
        <w:rPr>
          <w:rFonts w:ascii="Verdana" w:hAnsi="Verdana" w:cs="Arial"/>
          <w:sz w:val="20"/>
          <w:szCs w:val="20"/>
          <w:lang w:val="es-ES" w:eastAsia="es-ES"/>
        </w:rPr>
      </w:pPr>
    </w:p>
    <w:p w14:paraId="0FB8CD43" w14:textId="77777777" w:rsidR="004914BB" w:rsidRDefault="004914BB" w:rsidP="004914BB">
      <w:pPr>
        <w:tabs>
          <w:tab w:val="left" w:pos="709"/>
        </w:tabs>
        <w:spacing w:after="0" w:line="240" w:lineRule="auto"/>
        <w:ind w:left="709" w:right="709"/>
        <w:jc w:val="both"/>
        <w:rPr>
          <w:rFonts w:ascii="Verdana" w:hAnsi="Verdana" w:cs="Arial"/>
          <w:sz w:val="20"/>
          <w:szCs w:val="20"/>
          <w:lang w:val="es-ES" w:eastAsia="es-ES"/>
        </w:rPr>
      </w:pPr>
      <w:proofErr w:type="spellStart"/>
      <w:r>
        <w:rPr>
          <w:rFonts w:ascii="Verdana" w:hAnsi="Verdana" w:cs="Arial"/>
          <w:sz w:val="20"/>
          <w:szCs w:val="20"/>
          <w:lang w:val="es-ES" w:eastAsia="es-ES"/>
        </w:rPr>
        <w:t>iii</w:t>
      </w:r>
      <w:proofErr w:type="spellEnd"/>
      <w:r>
        <w:rPr>
          <w:rFonts w:ascii="Verdana" w:hAnsi="Verdana" w:cs="Arial"/>
          <w:sz w:val="20"/>
          <w:szCs w:val="20"/>
          <w:lang w:val="es-ES" w:eastAsia="es-ES"/>
        </w:rPr>
        <w:t xml:space="preserve">) la utilidad o el beneficio económico que pretende percibir el contratista por la ejecución del contrato, esto es: U. </w:t>
      </w:r>
    </w:p>
    <w:p w14:paraId="3FA72A87" w14:textId="77777777" w:rsidR="004914BB" w:rsidRDefault="004914BB" w:rsidP="004914BB">
      <w:pPr>
        <w:tabs>
          <w:tab w:val="left" w:pos="709"/>
        </w:tabs>
        <w:spacing w:after="0" w:line="240" w:lineRule="auto"/>
        <w:ind w:left="709" w:right="709"/>
        <w:jc w:val="both"/>
        <w:rPr>
          <w:rFonts w:ascii="Verdana" w:hAnsi="Verdana" w:cs="Arial"/>
          <w:sz w:val="20"/>
          <w:szCs w:val="20"/>
          <w:lang w:val="es-ES" w:eastAsia="es-ES_tradnl"/>
        </w:rPr>
      </w:pPr>
    </w:p>
    <w:p w14:paraId="0B1756D0" w14:textId="77777777" w:rsidR="004914BB" w:rsidRDefault="004914BB" w:rsidP="004914BB">
      <w:pPr>
        <w:tabs>
          <w:tab w:val="left" w:pos="709"/>
        </w:tabs>
        <w:spacing w:after="0" w:line="240" w:lineRule="auto"/>
        <w:ind w:left="709" w:right="709"/>
        <w:jc w:val="both"/>
        <w:rPr>
          <w:rFonts w:ascii="Verdana" w:hAnsi="Verdana" w:cs="Arial"/>
          <w:sz w:val="20"/>
          <w:szCs w:val="20"/>
          <w:lang w:val="es-ES" w:eastAsia="es-ES_tradnl"/>
        </w:rPr>
      </w:pPr>
      <w:r>
        <w:rPr>
          <w:rFonts w:ascii="Verdana" w:hAnsi="Verdana" w:cs="Arial"/>
          <w:sz w:val="20"/>
          <w:szCs w:val="20"/>
          <w:lang w:val="es-ES" w:eastAsia="es-ES_tradnl"/>
        </w:rPr>
        <w:t>Ahora, teniendo en cuenta que no existe ninguna reglamentación que establezca porcentajes mínimos o máximos para determinar el A.I.U., cada empresa o comerciante de acuerdo con su infraestructura, experiencia, las condiciones del mercado, la naturaleza del contrato a celebrar, entre otros factores, establece su estructura de costos conforme a la cual se compromete a ejecutar cabalmente un contrato en el caso de que le sea adjudicado”</w:t>
      </w:r>
      <w:r>
        <w:rPr>
          <w:vertAlign w:val="superscript"/>
        </w:rPr>
        <w:footnoteReference w:id="12"/>
      </w:r>
      <w:r>
        <w:rPr>
          <w:rFonts w:ascii="Verdana" w:hAnsi="Verdana" w:cs="Arial"/>
          <w:sz w:val="20"/>
          <w:szCs w:val="20"/>
          <w:lang w:val="es-ES" w:eastAsia="es-ES_tradnl"/>
        </w:rPr>
        <w:t>.</w:t>
      </w:r>
    </w:p>
    <w:p w14:paraId="196A0DE8" w14:textId="77777777" w:rsidR="004914BB" w:rsidRDefault="004914BB" w:rsidP="004914BB">
      <w:pPr>
        <w:tabs>
          <w:tab w:val="left" w:pos="709"/>
        </w:tabs>
        <w:spacing w:after="0" w:line="276" w:lineRule="auto"/>
        <w:ind w:left="709" w:right="760"/>
        <w:jc w:val="both"/>
        <w:rPr>
          <w:rFonts w:ascii="Verdana" w:hAnsi="Verdana" w:cs="Arial"/>
          <w:szCs w:val="24"/>
          <w:lang w:val="es-ES" w:eastAsia="es-ES_tradnl"/>
        </w:rPr>
      </w:pPr>
    </w:p>
    <w:p w14:paraId="14A4346E" w14:textId="77777777" w:rsidR="004914BB" w:rsidRDefault="004914BB" w:rsidP="004914BB">
      <w:pPr>
        <w:spacing w:after="120" w:line="276" w:lineRule="auto"/>
        <w:ind w:firstLine="709"/>
        <w:jc w:val="both"/>
        <w:rPr>
          <w:rFonts w:ascii="Verdana" w:hAnsi="Verdana" w:cs="Arial"/>
          <w:lang w:val="es-ES" w:eastAsia="es-ES"/>
        </w:rPr>
      </w:pPr>
      <w:r>
        <w:rPr>
          <w:rFonts w:ascii="Verdana" w:hAnsi="Verdana" w:cs="Arial"/>
          <w:lang w:val="es-ES" w:eastAsia="es-ES"/>
        </w:rPr>
        <w:t>A su turno, la Sala de Consulta y Servicio Civil del Consejo de Estado sostuvo en concepto del 5 de septiembre de 2018</w:t>
      </w:r>
      <w:r>
        <w:rPr>
          <w:vertAlign w:val="superscript"/>
        </w:rPr>
        <w:footnoteReference w:id="13"/>
      </w:r>
      <w:r>
        <w:rPr>
          <w:rFonts w:ascii="Verdana" w:hAnsi="Verdana" w:cs="Arial"/>
          <w:lang w:val="es-ES" w:eastAsia="es-ES"/>
        </w:rPr>
        <w:t xml:space="preserve"> que “el concepto del A.I.U. comprende la Administración (costos indirectos) Imprevistos y Utilidades, y en algunos contratos este valor aparece cuantificado en forma independiente al valor de la obra y como un porcentaje de </w:t>
      </w:r>
      <w:proofErr w:type="gramStart"/>
      <w:r>
        <w:rPr>
          <w:rFonts w:ascii="Verdana" w:hAnsi="Verdana" w:cs="Arial"/>
          <w:lang w:val="es-ES" w:eastAsia="es-ES"/>
        </w:rPr>
        <w:t>la misma</w:t>
      </w:r>
      <w:proofErr w:type="gramEnd"/>
      <w:r>
        <w:rPr>
          <w:vertAlign w:val="superscript"/>
        </w:rPr>
        <w:footnoteReference w:id="14"/>
      </w:r>
      <w:r>
        <w:rPr>
          <w:rFonts w:ascii="Verdana" w:hAnsi="Verdana" w:cs="Arial"/>
          <w:lang w:val="es-ES" w:eastAsia="es-ES"/>
        </w:rPr>
        <w:t>, sin perjuicio que en otros contratos este valor no aparezca discriminado y se incorpore en el valor de los precios unitarios”</w:t>
      </w:r>
      <w:r>
        <w:rPr>
          <w:vertAlign w:val="superscript"/>
        </w:rPr>
        <w:footnoteReference w:id="15"/>
      </w:r>
      <w:r>
        <w:rPr>
          <w:rFonts w:ascii="Verdana" w:hAnsi="Verdana" w:cs="Arial"/>
          <w:lang w:val="es-ES" w:eastAsia="es-ES"/>
        </w:rPr>
        <w:t xml:space="preserve">. </w:t>
      </w:r>
    </w:p>
    <w:p w14:paraId="7A7C2DCF" w14:textId="77777777" w:rsidR="004914BB" w:rsidRDefault="004914BB" w:rsidP="004914BB">
      <w:pPr>
        <w:spacing w:after="120" w:line="276" w:lineRule="auto"/>
        <w:ind w:firstLine="709"/>
        <w:jc w:val="both"/>
        <w:rPr>
          <w:rFonts w:ascii="Verdana" w:hAnsi="Verdana" w:cs="Arial"/>
          <w:bCs/>
          <w:szCs w:val="24"/>
          <w:lang w:val="es-ES" w:eastAsia="es-ES_tradnl"/>
        </w:rPr>
      </w:pPr>
      <w:r>
        <w:rPr>
          <w:rFonts w:ascii="Verdana" w:hAnsi="Verdana" w:cs="Arial"/>
          <w:bCs/>
          <w:szCs w:val="24"/>
          <w:lang w:val="es-ES" w:eastAsia="es-ES_tradnl"/>
        </w:rPr>
        <w:lastRenderedPageBreak/>
        <w:t>Así pues, ni el sistema de precios unitarios –como metodología de estipulación del valor contractual–, ni el concepto de AIU, ni la forma de calcularlo –es decir, su porcentaje–, son aspectos regulados en el conjunto de las disposiciones legales y reglamentarias que integran la normativa contractual del Estado: “La justificación de esta manera de cotizar el precio procede, incluso, de la formación universitaria que reciben los ingenieros, a quienes les enseñan esta metodología para elaborar las ofertas. En fin, lo que se quiere indicar con estos comentarios es que la necesidad de presentar una propuesta desglosando en forma intensa su precio no procede de la ley, ni del reglamento, sino de la costumbre, […]”</w:t>
      </w:r>
      <w:r>
        <w:rPr>
          <w:vertAlign w:val="superscript"/>
        </w:rPr>
        <w:footnoteReference w:id="16"/>
      </w:r>
      <w:r>
        <w:rPr>
          <w:rFonts w:ascii="Verdana" w:hAnsi="Verdana" w:cs="Arial"/>
          <w:bCs/>
          <w:szCs w:val="24"/>
          <w:lang w:val="es-ES" w:eastAsia="es-ES_tradnl"/>
        </w:rPr>
        <w:t>. De otro lado, quien define el valor de cada componente del</w:t>
      </w:r>
      <w:r>
        <w:rPr>
          <w:rFonts w:ascii="Verdana" w:hAnsi="Verdana" w:cs="Arial"/>
          <w:bCs/>
          <w:i/>
          <w:iCs/>
          <w:szCs w:val="24"/>
          <w:lang w:val="es-ES" w:eastAsia="es-ES_tradnl"/>
        </w:rPr>
        <w:t xml:space="preserve"> </w:t>
      </w:r>
      <w:r>
        <w:rPr>
          <w:rFonts w:ascii="Verdana" w:hAnsi="Verdana" w:cs="Arial"/>
          <w:bCs/>
          <w:szCs w:val="24"/>
          <w:lang w:val="es-ES" w:eastAsia="es-ES_tradnl"/>
        </w:rPr>
        <w:t>AIU es el proponente, pues goza de libertad empresarial para hacerlo en la elaboración de su oferta</w:t>
      </w:r>
      <w:r>
        <w:rPr>
          <w:vertAlign w:val="superscript"/>
        </w:rPr>
        <w:footnoteReference w:id="17"/>
      </w:r>
      <w:r>
        <w:rPr>
          <w:rFonts w:ascii="Verdana" w:hAnsi="Verdana" w:cs="Arial"/>
          <w:bCs/>
          <w:szCs w:val="24"/>
          <w:lang w:val="es-ES" w:eastAsia="es-ES_tradnl"/>
        </w:rPr>
        <w:t>.</w:t>
      </w:r>
    </w:p>
    <w:p w14:paraId="08F653D7" w14:textId="77777777" w:rsidR="004914BB" w:rsidRDefault="004914BB" w:rsidP="004914BB">
      <w:pPr>
        <w:spacing w:after="120" w:line="276" w:lineRule="auto"/>
        <w:ind w:firstLine="709"/>
        <w:jc w:val="both"/>
        <w:rPr>
          <w:rFonts w:ascii="Verdana" w:hAnsi="Verdana" w:cs="Arial"/>
          <w:lang w:val="es-ES" w:eastAsia="es-ES"/>
        </w:rPr>
      </w:pPr>
      <w:r>
        <w:rPr>
          <w:rFonts w:ascii="Verdana" w:hAnsi="Verdana" w:cs="Arial"/>
          <w:lang w:val="es-ES" w:eastAsia="es-ES"/>
        </w:rPr>
        <w:t xml:space="preserve">De esta manera, usualmente en los contratos cuyo valor se estructura bajo el sistema de precios unitarios y con el desglose del AIU, el precio se paga con base en el valor de los costos directos incrementados por el porcentaje del AIU, forma de pago que pueden incluir las entidades estatales en virtud de la autonomía de la voluntad a la cual se refieren los artículos 13, 32 y 40 del EGCAP. Lo usual, que se advierte en la práctica de las entidades estatales, es que acuden al AIU con la finalidad de establecer un precio más estable, de manera que el valor del contrato consistirá en lo que resulte de afectar los costos directos por el porcentaje, </w:t>
      </w:r>
      <w:r>
        <w:rPr>
          <w:rFonts w:ascii="Verdana" w:hAnsi="Verdana" w:cs="Arial"/>
          <w:i/>
          <w:iCs/>
          <w:lang w:val="es-ES" w:eastAsia="es-ES"/>
        </w:rPr>
        <w:t>en principio, invariable</w:t>
      </w:r>
      <w:r>
        <w:rPr>
          <w:rFonts w:ascii="Verdana" w:hAnsi="Verdana" w:cs="Arial"/>
          <w:lang w:val="es-ES" w:eastAsia="es-ES"/>
        </w:rPr>
        <w:t xml:space="preserve"> del AIU, de manera que al valor de los costos directos se le sume el AIU. </w:t>
      </w:r>
    </w:p>
    <w:p w14:paraId="6CFB1979" w14:textId="77777777" w:rsidR="004914BB" w:rsidRDefault="004914BB" w:rsidP="004914BB">
      <w:pPr>
        <w:spacing w:after="120" w:line="276" w:lineRule="auto"/>
        <w:ind w:firstLine="708"/>
        <w:jc w:val="both"/>
        <w:rPr>
          <w:rFonts w:ascii="Verdana" w:hAnsi="Verdana" w:cs="Arial"/>
          <w:lang w:val="es-ES" w:eastAsia="es-ES"/>
        </w:rPr>
      </w:pPr>
      <w:r>
        <w:rPr>
          <w:rFonts w:ascii="Verdana" w:hAnsi="Verdana" w:cs="Arial"/>
          <w:lang w:val="es-ES" w:eastAsia="es-ES"/>
        </w:rPr>
        <w:t xml:space="preserve">Así las cosas, las partes asumen los riesgos inherentes a esta forma de pactar el precio, entendiendo aceptados los aleas normales que se presenten en la ejecución del contrato, de manera que, aunque el contratista incurra en mayores costos de los ítems incluidos en la </w:t>
      </w:r>
      <w:r>
        <w:rPr>
          <w:rFonts w:ascii="Verdana" w:hAnsi="Verdana" w:cs="Arial"/>
          <w:i/>
          <w:iCs/>
          <w:lang w:val="es-ES" w:eastAsia="es-ES"/>
        </w:rPr>
        <w:t>Administración</w:t>
      </w:r>
      <w:r>
        <w:rPr>
          <w:rFonts w:ascii="Verdana" w:hAnsi="Verdana" w:cs="Arial"/>
          <w:lang w:val="es-ES" w:eastAsia="es-ES"/>
        </w:rPr>
        <w:t xml:space="preserve"> al presentar su oferta, o que estos disminuyan, aparezcan algunos nuevos o desaparezcan algunos de ellos, el valor se mantenga invariable. De este modo, las partes optan por darle estabilidad al negocio, asumiendo cada una de ellas lo que le favorezca o desfavorezca, lo que evita, además, incurrir en costos de transacción relacionados con la necesidad de acreditar y verificar cada costo o gasto </w:t>
      </w:r>
      <w:r>
        <w:rPr>
          <w:rFonts w:ascii="Verdana" w:hAnsi="Verdana" w:cs="Arial"/>
          <w:lang w:val="es-ES" w:eastAsia="es-ES"/>
        </w:rPr>
        <w:lastRenderedPageBreak/>
        <w:t xml:space="preserve">específico asociado a la </w:t>
      </w:r>
      <w:r>
        <w:rPr>
          <w:rFonts w:ascii="Verdana" w:hAnsi="Verdana" w:cs="Arial"/>
          <w:i/>
          <w:iCs/>
          <w:lang w:val="es-ES" w:eastAsia="es-ES"/>
        </w:rPr>
        <w:t>Administración</w:t>
      </w:r>
      <w:r>
        <w:rPr>
          <w:rFonts w:ascii="Verdana" w:hAnsi="Verdana" w:cs="Arial"/>
          <w:lang w:val="es-ES" w:eastAsia="es-ES"/>
        </w:rPr>
        <w:t>, lo que generaría más gastos tanto para la entidad como para el contratista.</w:t>
      </w:r>
    </w:p>
    <w:p w14:paraId="780D23E6" w14:textId="77777777" w:rsidR="004914BB" w:rsidRDefault="004914BB" w:rsidP="004914BB">
      <w:pPr>
        <w:spacing w:after="120" w:line="276" w:lineRule="auto"/>
        <w:jc w:val="both"/>
        <w:rPr>
          <w:rFonts w:ascii="Verdana" w:hAnsi="Verdana" w:cs="Arial"/>
          <w:bCs/>
          <w:szCs w:val="24"/>
          <w:lang w:val="es-ES" w:eastAsia="es-ES_tradnl"/>
        </w:rPr>
      </w:pPr>
      <w:r>
        <w:rPr>
          <w:rFonts w:ascii="Verdana" w:hAnsi="Verdana" w:cs="Arial"/>
          <w:bCs/>
          <w:szCs w:val="24"/>
          <w:lang w:val="es-ES" w:eastAsia="es-ES_tradnl"/>
        </w:rPr>
        <w:tab/>
        <w:t xml:space="preserve">En este sentido, cuando las entidades estatales incluyen esta forma de desglosar el precio, en los últimos términos indicados, al realizar el estudio de mercado elaboran un presupuesto estimado del valor de la ejecución del contrato. Dicho presupuesto estimado incluye los costos genéricos </w:t>
      </w:r>
      <w:r>
        <w:rPr>
          <w:rFonts w:ascii="Verdana" w:hAnsi="Verdana" w:cs="Arial"/>
          <w:bCs/>
          <w:i/>
          <w:iCs/>
          <w:szCs w:val="24"/>
          <w:lang w:val="es-ES" w:eastAsia="es-ES_tradnl"/>
        </w:rPr>
        <w:t xml:space="preserve">indirectos </w:t>
      </w:r>
      <w:r>
        <w:rPr>
          <w:rFonts w:ascii="Verdana" w:hAnsi="Verdana" w:cs="Arial"/>
          <w:bCs/>
          <w:szCs w:val="24"/>
          <w:lang w:val="es-ES" w:eastAsia="es-ES_tradnl"/>
        </w:rPr>
        <w:t xml:space="preserve">en que incurren los contratistas, entre ellos, los de la </w:t>
      </w:r>
      <w:r>
        <w:rPr>
          <w:rFonts w:ascii="Verdana" w:hAnsi="Verdana" w:cs="Arial"/>
          <w:bCs/>
          <w:i/>
          <w:iCs/>
          <w:szCs w:val="24"/>
          <w:lang w:val="es-ES" w:eastAsia="es-ES_tradnl"/>
        </w:rPr>
        <w:t>Administración</w:t>
      </w:r>
      <w:r>
        <w:rPr>
          <w:rFonts w:ascii="Verdana" w:hAnsi="Verdana" w:cs="Arial"/>
          <w:bCs/>
          <w:szCs w:val="24"/>
          <w:lang w:val="es-ES" w:eastAsia="es-ES_tradnl"/>
        </w:rPr>
        <w:t>, para efectos de definir el porcentaje con el que calculan el presupuesto, pese a que el monto de estos componentes varía ostensiblemente de un proponente a otro, pues su valor real depende de circunstancias particulares de los oferentes</w:t>
      </w:r>
      <w:r>
        <w:rPr>
          <w:vertAlign w:val="superscript"/>
        </w:rPr>
        <w:footnoteReference w:id="18"/>
      </w:r>
      <w:r>
        <w:rPr>
          <w:rFonts w:ascii="Verdana" w:hAnsi="Verdana" w:cs="Arial"/>
          <w:bCs/>
          <w:szCs w:val="24"/>
          <w:lang w:val="es-ES" w:eastAsia="es-ES_tradnl"/>
        </w:rPr>
        <w:t xml:space="preserve">. </w:t>
      </w:r>
    </w:p>
    <w:p w14:paraId="2B2732F4" w14:textId="77777777" w:rsidR="004914BB" w:rsidRDefault="004914BB" w:rsidP="004914BB">
      <w:pPr>
        <w:spacing w:after="120" w:line="276" w:lineRule="auto"/>
        <w:ind w:firstLine="709"/>
        <w:jc w:val="both"/>
        <w:rPr>
          <w:rFonts w:ascii="Verdana" w:hAnsi="Verdana" w:cs="Arial"/>
          <w:lang w:val="es-ES" w:eastAsia="es-ES"/>
        </w:rPr>
      </w:pPr>
      <w:r>
        <w:rPr>
          <w:rFonts w:ascii="Verdana" w:hAnsi="Verdana" w:cs="Arial"/>
          <w:lang w:val="es-ES" w:eastAsia="es-ES"/>
        </w:rPr>
        <w:t xml:space="preserve">De manera que las entidades calculan un valor estimado que, a su vez, sirve de guía para que los proponentes formulen sus ofertas, pero bajo la premisa de que pagarán un </w:t>
      </w:r>
      <w:r>
        <w:rPr>
          <w:rFonts w:ascii="Verdana" w:hAnsi="Verdana" w:cs="Arial"/>
          <w:i/>
          <w:iCs/>
          <w:lang w:val="es-ES" w:eastAsia="es-ES"/>
        </w:rPr>
        <w:t>porcentaje fijo</w:t>
      </w:r>
      <w:r>
        <w:rPr>
          <w:rFonts w:ascii="Verdana" w:hAnsi="Verdana" w:cs="Arial"/>
          <w:lang w:val="es-ES" w:eastAsia="es-ES"/>
        </w:rPr>
        <w:t xml:space="preserve"> incluido por los interesados en sus propuestas, dado lo variable que resulta este valor, y lo complejo y gravoso de realizar un seguimiento minucioso a los costos en que incurren los contratistas por este componente en particular. Además, que estos podrían ser mayores a los inicialmente pactados con el contratista, de manera que la fijación de un porcentaje fijo y estable también puede resultar favorable a la entidad estatal, pues su contraparte no le podrá exigir un monto superior, bajo el argumento de que incurrió en costos o gastos adicionales asociados al componente </w:t>
      </w:r>
      <w:r>
        <w:rPr>
          <w:rFonts w:ascii="Verdana" w:hAnsi="Verdana" w:cs="Arial"/>
          <w:i/>
          <w:iCs/>
          <w:lang w:val="es-ES" w:eastAsia="es-ES"/>
        </w:rPr>
        <w:t>Administración</w:t>
      </w:r>
      <w:r>
        <w:rPr>
          <w:vertAlign w:val="superscript"/>
        </w:rPr>
        <w:footnoteReference w:id="19"/>
      </w:r>
      <w:r>
        <w:rPr>
          <w:rFonts w:ascii="Verdana" w:hAnsi="Verdana" w:cs="Arial"/>
          <w:lang w:val="es-ES" w:eastAsia="es-ES"/>
        </w:rPr>
        <w:t>.</w:t>
      </w:r>
    </w:p>
    <w:p w14:paraId="19DA92FC" w14:textId="77777777" w:rsidR="004914BB" w:rsidRDefault="004914BB" w:rsidP="004914BB">
      <w:pPr>
        <w:spacing w:before="120" w:after="0" w:line="276" w:lineRule="auto"/>
        <w:ind w:firstLine="709"/>
        <w:jc w:val="both"/>
        <w:rPr>
          <w:rFonts w:ascii="Verdana" w:hAnsi="Verdana" w:cs="Arial"/>
          <w:lang w:val="es-ES" w:eastAsia="es-ES"/>
        </w:rPr>
      </w:pPr>
      <w:r>
        <w:rPr>
          <w:rFonts w:ascii="Verdana" w:hAnsi="Verdana" w:cs="Arial"/>
          <w:lang w:val="es-ES" w:eastAsia="es-ES"/>
        </w:rPr>
        <w:t xml:space="preserve">Frente a los costos que suelen incluirse en la Administración –A–, la jurisprudencia, a partir de la práctica de las entidades estatales, ha señalado que: “Los costos indirectos incorporados en el A, corresponden como regla general a gastos de la oficina central, honorarios del director de obra, y de personal especializado. Generalmente estos costos pueden estar compartidos </w:t>
      </w:r>
      <w:r>
        <w:rPr>
          <w:rFonts w:ascii="Verdana" w:hAnsi="Verdana" w:cs="Arial"/>
          <w:lang w:val="es-ES" w:eastAsia="es-ES"/>
        </w:rPr>
        <w:lastRenderedPageBreak/>
        <w:t>con los diversos contratos de obra que en forma simultánea esté ejecutando el contratista. Un ejemplo corresponde a los costos de la oficina central, y de los asesores de proyectos</w:t>
      </w:r>
      <w:r>
        <w:rPr>
          <w:vertAlign w:val="superscript"/>
        </w:rPr>
        <w:footnoteReference w:id="20"/>
      </w:r>
      <w:r>
        <w:rPr>
          <w:rFonts w:ascii="Verdana" w:hAnsi="Verdana" w:cs="Arial"/>
          <w:lang w:val="es-ES" w:eastAsia="es-ES"/>
        </w:rPr>
        <w:t xml:space="preserve">”. En términos similares, pero más precisos, la doctrina, recogiendo la casuística de los contratos estatales, señala de forma más pormenorizada los gastos que se asocian a la –A–, donde se incluyen importantes costos indirectos en que se incurre en la ejecución: </w:t>
      </w:r>
    </w:p>
    <w:p w14:paraId="714586F0" w14:textId="77777777" w:rsidR="004914BB" w:rsidRDefault="004914BB" w:rsidP="004914BB">
      <w:pPr>
        <w:spacing w:after="0" w:line="276" w:lineRule="auto"/>
        <w:jc w:val="both"/>
        <w:rPr>
          <w:rFonts w:ascii="Verdana" w:hAnsi="Verdana" w:cs="Arial"/>
          <w:bCs/>
          <w:szCs w:val="24"/>
          <w:lang w:val="es-ES_tradnl" w:eastAsia="es-ES_tradnl"/>
        </w:rPr>
      </w:pPr>
    </w:p>
    <w:p w14:paraId="1356AAA3" w14:textId="77777777" w:rsidR="004914BB" w:rsidRDefault="004914BB" w:rsidP="004914BB">
      <w:pPr>
        <w:spacing w:after="0" w:line="240" w:lineRule="auto"/>
        <w:ind w:left="709" w:right="709"/>
        <w:jc w:val="both"/>
        <w:rPr>
          <w:rFonts w:ascii="Verdana" w:hAnsi="Verdana" w:cs="Arial"/>
          <w:sz w:val="20"/>
          <w:szCs w:val="20"/>
          <w:lang w:val="es-ES" w:eastAsia="es-ES"/>
        </w:rPr>
      </w:pPr>
      <w:r>
        <w:rPr>
          <w:rFonts w:ascii="Verdana" w:hAnsi="Verdana" w:cs="Arial"/>
          <w:sz w:val="20"/>
          <w:szCs w:val="20"/>
          <w:lang w:val="es-ES" w:eastAsia="es-ES"/>
        </w:rPr>
        <w:t xml:space="preserve">Para entender mejor el tema conviene especificar que si los gastos que hacen parte de la A se encuentran: i) el pago de salarios y prestaciones sociales del personal profesional y especializado necesario para ejecutar la obra –es el caso del Director de obra, los arquitectos, ingenieros y contadores, eventualmente abogados u otros; pero no se incluyen los obreros–, </w:t>
      </w:r>
      <w:proofErr w:type="spellStart"/>
      <w:r>
        <w:rPr>
          <w:rFonts w:ascii="Verdana" w:hAnsi="Verdana" w:cs="Arial"/>
          <w:sz w:val="20"/>
          <w:szCs w:val="20"/>
          <w:lang w:val="es-ES" w:eastAsia="es-ES"/>
        </w:rPr>
        <w:t>ii</w:t>
      </w:r>
      <w:proofErr w:type="spellEnd"/>
      <w:r>
        <w:rPr>
          <w:rFonts w:ascii="Verdana" w:hAnsi="Verdana" w:cs="Arial"/>
          <w:sz w:val="20"/>
          <w:szCs w:val="20"/>
          <w:lang w:val="es-ES" w:eastAsia="es-ES"/>
        </w:rPr>
        <w:t xml:space="preserve">) pago de salarios y prestaciones sociales del personal logístico y de apoyo no dedicado directamente con la ejecución del contrato –por ejemplo: las secretarias de la empresa, el servicio de cafetería en mensajero, la vigilancia, los seguros, etc.– sin los que la empresa no puede funcionar; </w:t>
      </w:r>
      <w:proofErr w:type="spellStart"/>
      <w:r>
        <w:rPr>
          <w:rFonts w:ascii="Verdana" w:hAnsi="Verdana" w:cs="Arial"/>
          <w:sz w:val="20"/>
          <w:szCs w:val="20"/>
          <w:lang w:val="es-ES" w:eastAsia="es-ES"/>
        </w:rPr>
        <w:t>iii</w:t>
      </w:r>
      <w:proofErr w:type="spellEnd"/>
      <w:r>
        <w:rPr>
          <w:rFonts w:ascii="Verdana" w:hAnsi="Verdana" w:cs="Arial"/>
          <w:sz w:val="20"/>
          <w:szCs w:val="20"/>
          <w:lang w:val="es-ES" w:eastAsia="es-ES"/>
        </w:rPr>
        <w:t xml:space="preserve">) pago de arrendamiento de las instalaciones necesarias para el funcionamiento de la empresa –oficinas </w:t>
      </w:r>
      <w:r>
        <w:rPr>
          <w:rFonts w:ascii="Verdana" w:hAnsi="Verdana" w:cs="Arial"/>
          <w:i/>
          <w:sz w:val="20"/>
          <w:szCs w:val="20"/>
          <w:lang w:val="es-ES" w:eastAsia="es-ES"/>
        </w:rPr>
        <w:t xml:space="preserve">y campamento de la obra–; </w:t>
      </w:r>
      <w:proofErr w:type="spellStart"/>
      <w:r>
        <w:rPr>
          <w:rFonts w:ascii="Verdana" w:hAnsi="Verdana" w:cs="Arial"/>
          <w:sz w:val="20"/>
          <w:szCs w:val="20"/>
          <w:lang w:val="es-ES" w:eastAsia="es-ES"/>
        </w:rPr>
        <w:t>iv</w:t>
      </w:r>
      <w:proofErr w:type="spellEnd"/>
      <w:r>
        <w:rPr>
          <w:rFonts w:ascii="Verdana" w:hAnsi="Verdana" w:cs="Arial"/>
          <w:sz w:val="20"/>
          <w:szCs w:val="20"/>
          <w:lang w:val="es-ES" w:eastAsia="es-ES"/>
        </w:rPr>
        <w:t xml:space="preserve">) </w:t>
      </w:r>
      <w:r>
        <w:rPr>
          <w:rFonts w:ascii="Verdana" w:hAnsi="Verdana" w:cs="Arial"/>
          <w:i/>
          <w:sz w:val="20"/>
          <w:szCs w:val="20"/>
          <w:lang w:val="es-ES" w:eastAsia="es-ES"/>
        </w:rPr>
        <w:t>pago de impuestos y gravámenes en general que afectan la actividad o el contrato</w:t>
      </w:r>
      <w:r>
        <w:rPr>
          <w:rFonts w:ascii="Verdana" w:hAnsi="Verdana" w:cs="Arial"/>
          <w:sz w:val="20"/>
          <w:szCs w:val="20"/>
          <w:lang w:val="es-ES" w:eastAsia="es-ES"/>
        </w:rPr>
        <w:t xml:space="preserve">; v) valor de las fotocopias, papelería en general y equipos de oficina, vi) transporte terrestre, tiquetes aéreos y arrendamiento de vehículos –distintos de la maquinaria que se emplea en la obra–, </w:t>
      </w:r>
      <w:proofErr w:type="spellStart"/>
      <w:r>
        <w:rPr>
          <w:rFonts w:ascii="Verdana" w:hAnsi="Verdana" w:cs="Arial"/>
          <w:sz w:val="20"/>
          <w:szCs w:val="20"/>
          <w:lang w:val="es-ES" w:eastAsia="es-ES"/>
        </w:rPr>
        <w:t>vii</w:t>
      </w:r>
      <w:proofErr w:type="spellEnd"/>
      <w:r>
        <w:rPr>
          <w:rFonts w:ascii="Verdana" w:hAnsi="Verdana" w:cs="Arial"/>
          <w:sz w:val="20"/>
          <w:szCs w:val="20"/>
          <w:lang w:val="es-ES" w:eastAsia="es-ES"/>
        </w:rPr>
        <w:t xml:space="preserve">) pólizas del contrato, </w:t>
      </w:r>
      <w:proofErr w:type="spellStart"/>
      <w:r>
        <w:rPr>
          <w:rFonts w:ascii="Verdana" w:hAnsi="Verdana" w:cs="Arial"/>
          <w:sz w:val="20"/>
          <w:szCs w:val="20"/>
          <w:lang w:val="es-ES" w:eastAsia="es-ES"/>
        </w:rPr>
        <w:t>viii</w:t>
      </w:r>
      <w:proofErr w:type="spellEnd"/>
      <w:r>
        <w:rPr>
          <w:rFonts w:ascii="Verdana" w:hAnsi="Verdana" w:cs="Arial"/>
          <w:sz w:val="20"/>
          <w:szCs w:val="20"/>
          <w:lang w:val="es-ES" w:eastAsia="es-ES"/>
        </w:rPr>
        <w:t xml:space="preserve">) pago de servicios públicos y otras comunicaciones –como el servicio celular– y </w:t>
      </w:r>
      <w:proofErr w:type="spellStart"/>
      <w:r>
        <w:rPr>
          <w:rFonts w:ascii="Verdana" w:hAnsi="Verdana" w:cs="Arial"/>
          <w:sz w:val="20"/>
          <w:szCs w:val="20"/>
          <w:lang w:val="es-ES" w:eastAsia="es-ES"/>
        </w:rPr>
        <w:t>ix</w:t>
      </w:r>
      <w:proofErr w:type="spellEnd"/>
      <w:r>
        <w:rPr>
          <w:rFonts w:ascii="Verdana" w:hAnsi="Verdana" w:cs="Arial"/>
          <w:sz w:val="20"/>
          <w:szCs w:val="20"/>
          <w:lang w:val="es-ES" w:eastAsia="es-ES"/>
        </w:rPr>
        <w:t>) gastos en que se incurra  para realizar ensayos de laboratorio</w:t>
      </w:r>
      <w:r>
        <w:rPr>
          <w:vertAlign w:val="superscript"/>
        </w:rPr>
        <w:footnoteReference w:id="21"/>
      </w:r>
      <w:r>
        <w:rPr>
          <w:rFonts w:ascii="Verdana" w:hAnsi="Verdana" w:cs="Arial"/>
          <w:sz w:val="20"/>
          <w:szCs w:val="20"/>
          <w:lang w:val="es-ES" w:eastAsia="es-ES"/>
        </w:rPr>
        <w:t xml:space="preserve"> (Énfasis por fuera de texto)</w:t>
      </w:r>
    </w:p>
    <w:p w14:paraId="7EDCF605" w14:textId="77777777" w:rsidR="004914BB" w:rsidRDefault="004914BB" w:rsidP="004914BB">
      <w:pPr>
        <w:spacing w:after="0" w:line="276" w:lineRule="auto"/>
        <w:ind w:firstLine="709"/>
        <w:jc w:val="both"/>
        <w:rPr>
          <w:rFonts w:ascii="Verdana" w:hAnsi="Verdana" w:cs="Arial"/>
          <w:lang w:val="es-ES" w:eastAsia="es-ES"/>
        </w:rPr>
      </w:pPr>
    </w:p>
    <w:p w14:paraId="7DD7109A" w14:textId="77777777" w:rsidR="004914BB" w:rsidRDefault="004914BB" w:rsidP="004914BB">
      <w:pPr>
        <w:spacing w:after="120" w:line="276" w:lineRule="auto"/>
        <w:ind w:firstLine="709"/>
        <w:jc w:val="both"/>
        <w:rPr>
          <w:rFonts w:ascii="Verdana" w:hAnsi="Verdana" w:cs="Arial"/>
          <w:lang w:val="es-ES" w:eastAsia="es-ES"/>
        </w:rPr>
      </w:pPr>
      <w:r>
        <w:rPr>
          <w:rFonts w:ascii="Verdana" w:hAnsi="Verdana" w:cs="Arial"/>
          <w:lang w:val="es-ES" w:eastAsia="es-ES"/>
        </w:rPr>
        <w:t>Del recuento anterior se concluye que las entidades cuentan con discrecionalidad para establecer en el pliego de condiciones o en su documento equivalente, así como en el contrato, el sistema de precios unitarios y la figura del AIU. De este modo, teniendo en cuenta que ni el concepto de AIU, ni la forma de calcularlo, son aspectos que cuenten con una regulación normativa en materia contractual del Estado, la determinación de los componentes del AIU dependerá del análisis particular que realice la entidad en relación con el presupuesto estimado del valor de la ejecución del contrato que, a su vez, sirve de guía para que los proponentes formulen sus ofertas.</w:t>
      </w:r>
    </w:p>
    <w:p w14:paraId="3EA4EEA3" w14:textId="77777777" w:rsidR="004914BB" w:rsidRDefault="004914BB" w:rsidP="004914BB">
      <w:pPr>
        <w:spacing w:after="120" w:line="276" w:lineRule="auto"/>
        <w:ind w:firstLine="709"/>
        <w:jc w:val="both"/>
        <w:rPr>
          <w:rFonts w:ascii="Verdana" w:hAnsi="Verdana" w:cs="Arial"/>
          <w:lang w:val="es-ES" w:eastAsia="es-ES"/>
        </w:rPr>
      </w:pPr>
      <w:r>
        <w:rPr>
          <w:rFonts w:ascii="Verdana" w:hAnsi="Verdana" w:cs="Arial"/>
          <w:lang w:val="es-ES" w:eastAsia="es-ES"/>
        </w:rPr>
        <w:lastRenderedPageBreak/>
        <w:t xml:space="preserve">En consecuencia, las entidades gozan de autonomía para configurar el precio y para establecer el sistema de pago más apropiado para satisfacer los fines de la contratación, respetando los límites previstos en el ordenamiento. En tal perspectiva, cuentan con discrecionalidad para establecer en el pliego de condiciones o en su documento equivalente, así como en el contrato, el sistema de precios unitarios y la figura del AIU; modelo que, como se indicó, es más pertinente para los contratos de tracto sucesivo, como el de obra. Por ende, la decisión de incluir el AIU, al igual que la metodología de delimitación de sus variables –ítems y porcentajes– debe obedecer a un juicioso análisis de oportunidad y conveniencia, que consulte las reglas de la experiencia, así como los aspectos particulares de cada negocio. Lo anterior en armonía con la garantía de los principios de la función administrativa y de la gestión fiscal, dentro de los cuales se halla el principio de economía, postulado que exige la optimización de los recursos públicos. </w:t>
      </w:r>
    </w:p>
    <w:p w14:paraId="5863C572" w14:textId="77777777" w:rsidR="004914BB" w:rsidRDefault="004914BB" w:rsidP="004914BB">
      <w:pPr>
        <w:spacing w:after="0" w:line="276" w:lineRule="auto"/>
        <w:ind w:firstLine="709"/>
        <w:jc w:val="both"/>
        <w:rPr>
          <w:rFonts w:ascii="Verdana" w:eastAsia="Calibri" w:hAnsi="Verdana" w:cs="Arial"/>
          <w:color w:val="000000"/>
        </w:rPr>
      </w:pPr>
      <w:r>
        <w:rPr>
          <w:rFonts w:ascii="Verdana" w:hAnsi="Verdana" w:cs="Arial"/>
          <w:lang w:val="es-ES" w:eastAsia="es-ES"/>
        </w:rPr>
        <w:t xml:space="preserve">En todo caso, vale aclarar cuando no se pacta AIU, </w:t>
      </w:r>
      <w:r>
        <w:rPr>
          <w:rFonts w:ascii="Verdana" w:eastAsia="Calibri" w:hAnsi="Verdana" w:cs="Arial"/>
          <w:color w:val="000000"/>
        </w:rPr>
        <w:t xml:space="preserve">para que un contratista pueda recibir el reconocimiento otros gastos asociados al cumplimiento del contrato, es indispensable que estos se encuentren expresamente pactados en el clausulado contractual. Esto permite a la entidad garantizar la disponibilidad presupuestal correspondiente. Si bien las entidades tienen autonomía para definir el precio y la forma de pago de dichos gastos, deben respetar los límites legales establecidos, especialmente los señalados en el artículo 40 de la Ley 80 de 1993, el cual en su inciso tercero señala que: </w:t>
      </w:r>
      <w:r>
        <w:rPr>
          <w:rFonts w:ascii="Verdana" w:eastAsia="Calibri" w:hAnsi="Verdana" w:cs="Arial"/>
          <w:i/>
          <w:iCs/>
          <w:color w:val="000000"/>
        </w:rPr>
        <w:t>“En los contratos que celebren las entidades estatales podrán incluirse las modalidades, condiciones y, en general, las cláusulas o estipulaciones que las partes consideren necesarias y convenientes, siempre que no sean contrarias a la Constitución, la ley, el orden público y a los principios y finalidades de esta Ley y a los de la buena administración</w:t>
      </w:r>
      <w:r>
        <w:rPr>
          <w:rFonts w:ascii="Verdana" w:eastAsia="Calibri" w:hAnsi="Verdana" w:cs="Arial"/>
          <w:color w:val="000000"/>
        </w:rPr>
        <w:t xml:space="preserve">”. </w:t>
      </w:r>
    </w:p>
    <w:p w14:paraId="069A8547" w14:textId="77777777" w:rsidR="004914BB" w:rsidRPr="00AA633E" w:rsidRDefault="004914BB" w:rsidP="004914BB">
      <w:pPr>
        <w:spacing w:after="0" w:line="276" w:lineRule="auto"/>
        <w:jc w:val="both"/>
        <w:rPr>
          <w:rFonts w:ascii="Verdana" w:hAnsi="Verdana" w:cs="Arial"/>
          <w:lang w:val="es-ES"/>
        </w:rPr>
      </w:pPr>
    </w:p>
    <w:p w14:paraId="70F7A69E" w14:textId="77777777" w:rsidR="004914BB" w:rsidRPr="00383A39" w:rsidRDefault="004914BB" w:rsidP="004914BB">
      <w:pPr>
        <w:spacing w:after="120" w:line="276" w:lineRule="auto"/>
        <w:jc w:val="both"/>
        <w:rPr>
          <w:rFonts w:ascii="Verdana" w:hAnsi="Verdana" w:cs="Arial"/>
          <w:color w:val="000000" w:themeColor="text1"/>
        </w:rPr>
      </w:pPr>
      <w:proofErr w:type="spellStart"/>
      <w:r w:rsidRPr="00AA633E">
        <w:rPr>
          <w:rFonts w:ascii="Verdana" w:hAnsi="Verdana" w:cs="Arial"/>
          <w:lang w:val="es-ES"/>
        </w:rPr>
        <w:t>ii</w:t>
      </w:r>
      <w:r>
        <w:rPr>
          <w:rFonts w:ascii="Verdana" w:hAnsi="Verdana" w:cs="Arial"/>
          <w:lang w:val="es-ES"/>
        </w:rPr>
        <w:t>i</w:t>
      </w:r>
      <w:proofErr w:type="spellEnd"/>
      <w:r w:rsidRPr="00AA633E">
        <w:rPr>
          <w:rFonts w:ascii="Verdana" w:hAnsi="Verdana" w:cs="Arial"/>
          <w:lang w:val="es-ES"/>
        </w:rPr>
        <w:t xml:space="preserve">. </w:t>
      </w:r>
      <w:r w:rsidRPr="00DA61E0">
        <w:rPr>
          <w:rFonts w:ascii="Verdana" w:eastAsia="Calibri" w:hAnsi="Verdana" w:cs="Arial"/>
          <w:color w:val="000000" w:themeColor="text1"/>
          <w:lang w:val="es-ES"/>
        </w:rPr>
        <w:t xml:space="preserve">Al </w:t>
      </w:r>
      <w:r w:rsidRPr="00DA61E0">
        <w:rPr>
          <w:rFonts w:ascii="Verdana" w:eastAsia="Calibri" w:hAnsi="Verdana" w:cs="Arial"/>
          <w:lang w:val="es-ES_tradnl" w:eastAsia="es-ES"/>
        </w:rPr>
        <w:t xml:space="preserve">margen de la explicación precedente debe advertirse que el análisis requerido para resolver problemas específicos debe realizarse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w:t>
      </w:r>
      <w:r w:rsidRPr="00DA61E0">
        <w:rPr>
          <w:rFonts w:ascii="Verdana" w:eastAsia="Calibri" w:hAnsi="Verdana" w:cs="Arial"/>
          <w:lang w:val="es-ES_tradnl" w:eastAsia="es-ES"/>
        </w:rPr>
        <w:lastRenderedPageBreak/>
        <w:t>adoptar la decisión correspondiente y, en caso de conflicto, a las autoridades judiciales, fiscales y disciplinarias.</w:t>
      </w:r>
    </w:p>
    <w:p w14:paraId="67BFF395" w14:textId="77777777" w:rsidR="004914BB" w:rsidRPr="00DA61E0" w:rsidRDefault="004914BB" w:rsidP="004914BB">
      <w:pPr>
        <w:spacing w:after="0" w:line="276" w:lineRule="auto"/>
        <w:ind w:firstLine="709"/>
        <w:jc w:val="both"/>
        <w:rPr>
          <w:rFonts w:ascii="Verdana" w:eastAsia="Calibri" w:hAnsi="Verdana" w:cs="Arial"/>
          <w:lang w:val="es-ES" w:eastAsia="es-ES"/>
        </w:rPr>
      </w:pPr>
      <w:r w:rsidRPr="00DA61E0">
        <w:rPr>
          <w:rFonts w:ascii="Verdana" w:eastAsia="Calibri" w:hAnsi="Verdana" w:cs="Arial"/>
          <w:lang w:val="es-ES" w:eastAsia="es-ES"/>
        </w:rPr>
        <w:t>Dentro de este marco, la entidad pública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49F08274" w14:textId="77777777" w:rsidR="004914BB" w:rsidRPr="00DA61E0" w:rsidRDefault="004914BB" w:rsidP="004914BB">
      <w:pPr>
        <w:spacing w:after="0" w:line="276" w:lineRule="auto"/>
        <w:jc w:val="both"/>
        <w:rPr>
          <w:rFonts w:ascii="Verdana" w:eastAsia="Calibri" w:hAnsi="Verdana" w:cs="Arial"/>
          <w:bCs/>
          <w:color w:val="000000" w:themeColor="text1"/>
          <w:lang w:val="es-ES"/>
        </w:rPr>
      </w:pPr>
    </w:p>
    <w:p w14:paraId="2AC9887D" w14:textId="77777777" w:rsidR="004914BB" w:rsidRPr="00DA61E0" w:rsidRDefault="004914BB" w:rsidP="004914BB">
      <w:pPr>
        <w:numPr>
          <w:ilvl w:val="0"/>
          <w:numId w:val="16"/>
        </w:numPr>
        <w:tabs>
          <w:tab w:val="left" w:pos="142"/>
          <w:tab w:val="left" w:pos="284"/>
        </w:tabs>
        <w:spacing w:after="0" w:line="276" w:lineRule="auto"/>
        <w:ind w:left="426"/>
        <w:contextualSpacing/>
        <w:jc w:val="both"/>
        <w:rPr>
          <w:rFonts w:ascii="Verdana" w:eastAsia="Century Gothic" w:hAnsi="Verdana" w:cs="Century Gothic"/>
          <w:b/>
          <w:bCs/>
          <w:lang w:val="es-ES"/>
        </w:rPr>
      </w:pPr>
      <w:r w:rsidRPr="00DA61E0">
        <w:rPr>
          <w:rFonts w:ascii="Verdana" w:eastAsia="Century Gothic" w:hAnsi="Verdana" w:cs="Century Gothic"/>
          <w:b/>
          <w:bCs/>
          <w:lang w:val="es-ES"/>
        </w:rPr>
        <w:t>Referencias normativas:</w:t>
      </w:r>
    </w:p>
    <w:p w14:paraId="1085EFEA" w14:textId="77777777" w:rsidR="004914BB" w:rsidRPr="00DA61E0" w:rsidRDefault="004914BB" w:rsidP="004914BB">
      <w:pPr>
        <w:widowControl w:val="0"/>
        <w:autoSpaceDE w:val="0"/>
        <w:autoSpaceDN w:val="0"/>
        <w:spacing w:after="0" w:line="276" w:lineRule="auto"/>
        <w:jc w:val="both"/>
        <w:rPr>
          <w:rFonts w:ascii="Verdana" w:eastAsia="Calibri" w:hAnsi="Verdana" w:cs="Arial"/>
        </w:rPr>
      </w:pPr>
      <w:r w:rsidRPr="00DA61E0">
        <w:rPr>
          <w:rFonts w:ascii="Verdana" w:eastAsia="Calibri" w:hAnsi="Verdana" w:cs="Arial"/>
          <w:lang w:val="es-ES"/>
        </w:rPr>
        <w:t xml:space="preserve"> </w:t>
      </w:r>
    </w:p>
    <w:tbl>
      <w:tblPr>
        <w:tblStyle w:val="Tablaconcuadrcula2"/>
        <w:tblW w:w="8640" w:type="dxa"/>
        <w:jc w:val="center"/>
        <w:tblInd w:w="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4914BB" w:rsidRPr="00DA61E0" w14:paraId="475569D5" w14:textId="77777777" w:rsidTr="00DB15AF">
        <w:trPr>
          <w:trHeight w:val="870"/>
          <w:jc w:val="center"/>
        </w:trPr>
        <w:tc>
          <w:tcPr>
            <w:tcW w:w="8647" w:type="dxa"/>
            <w:tcBorders>
              <w:top w:val="dotted" w:sz="4" w:space="0" w:color="auto"/>
              <w:left w:val="dotted" w:sz="4" w:space="0" w:color="auto"/>
              <w:bottom w:val="dotted" w:sz="4" w:space="0" w:color="auto"/>
              <w:right w:val="dotted" w:sz="4" w:space="0" w:color="auto"/>
            </w:tcBorders>
            <w:hideMark/>
          </w:tcPr>
          <w:p w14:paraId="7D51A8F0" w14:textId="77777777" w:rsidR="004914BB" w:rsidRDefault="004914BB" w:rsidP="00DB15AF">
            <w:pPr>
              <w:numPr>
                <w:ilvl w:val="0"/>
                <w:numId w:val="17"/>
              </w:numPr>
              <w:spacing w:before="120" w:after="120" w:line="276" w:lineRule="auto"/>
              <w:ind w:left="714" w:hanging="357"/>
              <w:jc w:val="both"/>
              <w:rPr>
                <w:rFonts w:ascii="Verdana" w:hAnsi="Verdana" w:cs="Arial"/>
              </w:rPr>
            </w:pPr>
            <w:r>
              <w:rPr>
                <w:rFonts w:ascii="Verdana" w:hAnsi="Verdana" w:cs="Arial"/>
              </w:rPr>
              <w:t xml:space="preserve">Ley 80 de 1993, artículos 13, 32, 40. </w:t>
            </w:r>
          </w:p>
          <w:p w14:paraId="40CB0396" w14:textId="77777777" w:rsidR="004914BB" w:rsidRPr="00DA61E0" w:rsidRDefault="004914BB" w:rsidP="00DB15AF">
            <w:pPr>
              <w:numPr>
                <w:ilvl w:val="0"/>
                <w:numId w:val="17"/>
              </w:numPr>
              <w:spacing w:before="120" w:after="120" w:line="276" w:lineRule="auto"/>
              <w:ind w:left="714" w:hanging="357"/>
              <w:jc w:val="both"/>
              <w:rPr>
                <w:rFonts w:ascii="Verdana" w:hAnsi="Verdana" w:cs="Arial"/>
              </w:rPr>
            </w:pPr>
            <w:r>
              <w:rPr>
                <w:rFonts w:ascii="Verdana" w:hAnsi="Verdana" w:cs="Arial"/>
              </w:rPr>
              <w:t xml:space="preserve">Código Civil, artículo 1602. </w:t>
            </w:r>
            <w:r w:rsidRPr="00DA61E0">
              <w:rPr>
                <w:rFonts w:ascii="Verdana" w:hAnsi="Verdana" w:cs="Arial"/>
              </w:rPr>
              <w:t xml:space="preserve"> </w:t>
            </w:r>
          </w:p>
        </w:tc>
      </w:tr>
    </w:tbl>
    <w:p w14:paraId="32C9F023" w14:textId="77777777" w:rsidR="004914BB" w:rsidRPr="00DA61E0" w:rsidRDefault="004914BB" w:rsidP="004914BB">
      <w:pPr>
        <w:spacing w:after="0" w:line="276" w:lineRule="auto"/>
        <w:jc w:val="both"/>
        <w:rPr>
          <w:rFonts w:ascii="Verdana" w:eastAsia="Calibri" w:hAnsi="Verdana" w:cs="Arial"/>
          <w:color w:val="000000"/>
          <w:lang w:eastAsia="es-ES"/>
        </w:rPr>
      </w:pPr>
    </w:p>
    <w:p w14:paraId="080E4DCD" w14:textId="77777777" w:rsidR="004914BB" w:rsidRPr="00DA61E0" w:rsidRDefault="004914BB" w:rsidP="004914BB">
      <w:pPr>
        <w:numPr>
          <w:ilvl w:val="0"/>
          <w:numId w:val="16"/>
        </w:numPr>
        <w:tabs>
          <w:tab w:val="left" w:pos="142"/>
          <w:tab w:val="left" w:pos="284"/>
        </w:tabs>
        <w:spacing w:after="0" w:line="276" w:lineRule="auto"/>
        <w:jc w:val="both"/>
        <w:rPr>
          <w:rFonts w:ascii="Verdana" w:eastAsia="Century Gothic" w:hAnsi="Verdana" w:cs="Century Gothic"/>
          <w:b/>
          <w:bCs/>
          <w:lang w:val="es-ES"/>
        </w:rPr>
      </w:pPr>
      <w:r w:rsidRPr="00DA61E0">
        <w:rPr>
          <w:rFonts w:ascii="Verdana" w:eastAsia="Century Gothic" w:hAnsi="Verdana" w:cs="Century Gothic"/>
          <w:b/>
          <w:bCs/>
          <w:lang w:val="es-ES"/>
        </w:rPr>
        <w:t>Doctrina de la Agencia Nacional de Contratación Pública:</w:t>
      </w:r>
    </w:p>
    <w:p w14:paraId="27CB7835" w14:textId="77777777" w:rsidR="004914BB" w:rsidRPr="00DA61E0" w:rsidRDefault="004914BB" w:rsidP="004914BB">
      <w:pPr>
        <w:widowControl w:val="0"/>
        <w:autoSpaceDE w:val="0"/>
        <w:autoSpaceDN w:val="0"/>
        <w:spacing w:after="0" w:line="276" w:lineRule="auto"/>
        <w:jc w:val="both"/>
        <w:rPr>
          <w:rFonts w:ascii="Verdana" w:eastAsia="Calibri" w:hAnsi="Verdana" w:cs="Arial"/>
        </w:rPr>
      </w:pPr>
    </w:p>
    <w:p w14:paraId="43CF4EB6" w14:textId="77777777" w:rsidR="004914BB" w:rsidRPr="00DA61E0" w:rsidRDefault="004914BB" w:rsidP="004914BB">
      <w:pPr>
        <w:spacing w:after="0" w:line="276" w:lineRule="auto"/>
        <w:jc w:val="both"/>
        <w:rPr>
          <w:rFonts w:ascii="Verdana" w:eastAsia="Calibri" w:hAnsi="Verdana" w:cs="Arial"/>
          <w:bCs/>
          <w:color w:val="000000" w:themeColor="text1"/>
          <w:lang w:val="es-ES"/>
        </w:rPr>
      </w:pPr>
      <w:r w:rsidRPr="00C764B7">
        <w:rPr>
          <w:rFonts w:ascii="Verdana" w:eastAsia="Calibri" w:hAnsi="Verdana" w:cs="Arial"/>
          <w:bCs/>
          <w:shd w:val="clear" w:color="auto" w:fill="FFFFFF"/>
        </w:rPr>
        <w:t>La Agencia Nacional de Contratación Pública – Colombia Compra Eficiente se ha pronunciado en varias ocasiones sobre los precios unitarios en los Conceptos 4201714000005136 del 14 de noviembre de 2017; 4201714000006401 del 23 de noviembre de 2017; 4201813000004155 del 9 de mayo de 2018; 4201814000008069 del 27 de septiembre de 2018; 4201814000007383 del 18 de octubre de 2018; 4201814000008069 del 13 de noviembre de 2018; 4201912000004214 del 26 de junio de 2019; 4201912000006455 y 4201912000006463 del 19 de septiembre de 2019; 4201912000007375 del 28 de octubre de 2019; 4201912000007092 del 29 de noviembre de 2019; 4202012000000093, C–037 del 28 de enero de 2020, 4202012000000664 del 30 de enero de 2020, C-191 del 16 de marzo de 2020, C-211 del 8 de abril de 2020, C-714 del 9 de diciembre de 2020, C-059 del 10 de marzo de 2021, C-613 del 6 de octubre de 2022, C-716 de 15 de noviembre de 2022, C-802 de 23 de noviembre de 2022, C-854 del 9 de diciembre de 2022, C-914 del 27 de diciembre de 2022, C-361 de septiembre de 2023, el C-401 del 27 de septiembre de 2023</w:t>
      </w:r>
      <w:r>
        <w:rPr>
          <w:rFonts w:ascii="Verdana" w:eastAsia="Calibri" w:hAnsi="Verdana" w:cs="Arial"/>
          <w:bCs/>
          <w:shd w:val="clear" w:color="auto" w:fill="FFFFFF"/>
        </w:rPr>
        <w:t xml:space="preserve">, </w:t>
      </w:r>
      <w:r w:rsidRPr="00C764B7">
        <w:rPr>
          <w:rFonts w:ascii="Verdana" w:eastAsia="Calibri" w:hAnsi="Verdana" w:cs="Arial"/>
          <w:bCs/>
          <w:shd w:val="clear" w:color="auto" w:fill="FFFFFF"/>
        </w:rPr>
        <w:t>C-1000 del 13 de enero del 2025</w:t>
      </w:r>
      <w:r>
        <w:rPr>
          <w:rFonts w:ascii="Verdana" w:eastAsia="Calibri" w:hAnsi="Verdana" w:cs="Arial"/>
          <w:bCs/>
          <w:shd w:val="clear" w:color="auto" w:fill="FFFFFF"/>
          <w:lang w:val="es-ES_tradnl"/>
        </w:rPr>
        <w:t>, C-133 del 16 de marzo de 2026, C-</w:t>
      </w:r>
      <w:r>
        <w:rPr>
          <w:rFonts w:ascii="Verdana" w:eastAsia="Calibri" w:hAnsi="Verdana" w:cs="Arial"/>
          <w:bCs/>
          <w:shd w:val="clear" w:color="auto" w:fill="FFFFFF"/>
          <w:lang w:val="es-ES_tradnl"/>
        </w:rPr>
        <w:lastRenderedPageBreak/>
        <w:t>510 del 11 de mayo de 2026, C-731 del 16 de junio de 2026,</w:t>
      </w:r>
      <w:r w:rsidRPr="00DA61E0">
        <w:rPr>
          <w:rFonts w:ascii="Verdana" w:eastAsia="Calibri" w:hAnsi="Verdana" w:cs="Arial"/>
          <w:bCs/>
          <w:shd w:val="clear" w:color="auto" w:fill="FFFFFF"/>
          <w:lang w:val="es-ES_tradnl"/>
        </w:rPr>
        <w:t xml:space="preserve"> entre otros.</w:t>
      </w:r>
      <w:r w:rsidRPr="00DA61E0">
        <w:rPr>
          <w:rFonts w:ascii="Verdana" w:eastAsia="Calibri" w:hAnsi="Verdana" w:cs="Times New Roman"/>
        </w:rPr>
        <w:t xml:space="preserve"> 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030B8492" w14:textId="77777777" w:rsidR="004914BB" w:rsidRPr="00DA61E0" w:rsidRDefault="004914BB" w:rsidP="004914BB">
      <w:pPr>
        <w:spacing w:after="0" w:line="276" w:lineRule="auto"/>
        <w:jc w:val="both"/>
        <w:rPr>
          <w:rFonts w:ascii="Verdana" w:eastAsia="Calibri" w:hAnsi="Verdana" w:cs="Times New Roman"/>
        </w:rPr>
      </w:pPr>
      <w:hyperlink r:id="rId12" w:history="1">
        <w:r w:rsidRPr="00DA61E0">
          <w:rPr>
            <w:rFonts w:ascii="Verdana" w:eastAsia="Calibri" w:hAnsi="Verdana" w:cs="Times New Roman"/>
            <w:color w:val="0000FF"/>
            <w:u w:val="single"/>
          </w:rPr>
          <w:t>https://www.colombiacompra.gov.co/normativa-y-relatoria/conoce-la-relatoria</w:t>
        </w:r>
      </w:hyperlink>
      <w:r w:rsidRPr="00DA61E0">
        <w:rPr>
          <w:rFonts w:ascii="Verdana" w:eastAsia="Calibri" w:hAnsi="Verdana" w:cs="Times New Roman"/>
        </w:rPr>
        <w:t xml:space="preserve"> </w:t>
      </w:r>
    </w:p>
    <w:p w14:paraId="6BE99074" w14:textId="77777777" w:rsidR="004914BB" w:rsidRPr="00DA61E0" w:rsidRDefault="004914BB" w:rsidP="004914BB">
      <w:pPr>
        <w:spacing w:after="0" w:line="276" w:lineRule="auto"/>
        <w:jc w:val="both"/>
        <w:rPr>
          <w:rFonts w:ascii="Verdana" w:eastAsia="Verdana" w:hAnsi="Verdana" w:cs="Verdana"/>
          <w:bCs/>
        </w:rPr>
      </w:pPr>
    </w:p>
    <w:p w14:paraId="7A57B3EA" w14:textId="77777777" w:rsidR="004914BB" w:rsidRPr="00DA61E0" w:rsidRDefault="004914BB" w:rsidP="004914BB">
      <w:pPr>
        <w:spacing w:after="0" w:line="276" w:lineRule="auto"/>
        <w:jc w:val="both"/>
        <w:rPr>
          <w:rFonts w:ascii="Verdana" w:eastAsia="Calibri" w:hAnsi="Verdana" w:cs="Times New Roman"/>
        </w:rPr>
      </w:pPr>
      <w:r w:rsidRPr="00DA61E0">
        <w:rPr>
          <w:rFonts w:ascii="Verdana" w:eastAsia="Calibri" w:hAnsi="Verdana" w:cs="Times New Roman"/>
        </w:rPr>
        <w:t xml:space="preserve">La sostenibilidad no es una opción, es una obligación. Por ello, la Agencia Nacional de Contratación Pública –Colombia Compra Eficiente– te invita a realizar el </w:t>
      </w:r>
      <w:r w:rsidRPr="00DA61E0">
        <w:rPr>
          <w:rFonts w:ascii="Verdana" w:eastAsia="Calibri" w:hAnsi="Verdana" w:cs="Times New Roman"/>
          <w:b/>
          <w:bCs/>
        </w:rPr>
        <w:t>Curso de Contratación Pública Sostenible y Socialmente Responsable</w:t>
      </w:r>
      <w:r w:rsidRPr="00DA61E0">
        <w:rPr>
          <w:rFonts w:ascii="Verdana" w:eastAsia="Calibri" w:hAnsi="Verdana" w:cs="Times New Roman"/>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DA61E0">
        <w:rPr>
          <w:rFonts w:ascii="Verdana" w:eastAsia="Calibri" w:hAnsi="Verdana" w:cs="Times New Roman"/>
        </w:rPr>
        <w:br/>
      </w:r>
      <w:hyperlink r:id="rId13" w:tgtFrame="_new" w:history="1">
        <w:r w:rsidRPr="00DA61E0">
          <w:rPr>
            <w:rFonts w:ascii="Verdana" w:eastAsia="Calibri" w:hAnsi="Verdana" w:cs="Times New Roman"/>
            <w:color w:val="0000FF"/>
            <w:u w:val="single"/>
          </w:rPr>
          <w:t>https://formacionvirtual.colombiacompra.gov.co/mod/page/view.php?id=3718</w:t>
        </w:r>
      </w:hyperlink>
    </w:p>
    <w:p w14:paraId="119E2001" w14:textId="77777777" w:rsidR="004914BB" w:rsidRPr="00DA61E0" w:rsidRDefault="004914BB" w:rsidP="004914BB">
      <w:pPr>
        <w:spacing w:after="0" w:line="276" w:lineRule="auto"/>
        <w:jc w:val="both"/>
        <w:rPr>
          <w:rFonts w:ascii="Verdana" w:eastAsia="Calibri" w:hAnsi="Verdana" w:cs="Times New Roman"/>
        </w:rPr>
      </w:pPr>
    </w:p>
    <w:p w14:paraId="7A3E93E9" w14:textId="77777777" w:rsidR="004914BB" w:rsidRPr="00DA61E0" w:rsidRDefault="004914BB" w:rsidP="004914BB">
      <w:pPr>
        <w:spacing w:after="0" w:line="276" w:lineRule="auto"/>
        <w:jc w:val="both"/>
        <w:rPr>
          <w:rFonts w:ascii="Verdana" w:eastAsia="Calibri" w:hAnsi="Verdana" w:cs="Times New Roman"/>
        </w:rPr>
      </w:pPr>
      <w:r w:rsidRPr="00DA61E0">
        <w:rPr>
          <w:rFonts w:ascii="Verdana" w:eastAsia="Calibri" w:hAnsi="Verdana" w:cs="Times New Roman"/>
        </w:rPr>
        <w:t xml:space="preserve">De otro lado, te contamos que esta Agencia ha da un paso decisivo en la estandarización y modernización del </w:t>
      </w:r>
      <w:r w:rsidRPr="00DA61E0">
        <w:rPr>
          <w:rFonts w:ascii="Verdana" w:eastAsia="Calibri" w:hAnsi="Verdana" w:cs="Times New Roman"/>
          <w:b/>
          <w:bCs/>
        </w:rPr>
        <w:t>sector  social</w:t>
      </w:r>
      <w:r w:rsidRPr="00DA61E0">
        <w:rPr>
          <w:rFonts w:ascii="Verdana" w:eastAsia="Calibri" w:hAnsi="Verdana" w:cs="Times New Roman"/>
        </w:rPr>
        <w:t xml:space="preserve"> con la expedición de las </w:t>
      </w:r>
      <w:r w:rsidRPr="00DA61E0">
        <w:rPr>
          <w:rFonts w:ascii="Verdana" w:eastAsia="Calibri" w:hAnsi="Verdana" w:cs="Times New Roman"/>
          <w:b/>
          <w:bCs/>
        </w:rPr>
        <w:t>Resoluciones 539, 540, 541, 952 y 953 de 2025</w:t>
      </w:r>
      <w:r w:rsidRPr="00DA61E0">
        <w:rPr>
          <w:rFonts w:ascii="Verdana" w:eastAsia="Calibri" w:hAnsi="Verdana" w:cs="Times New Roman"/>
        </w:rPr>
        <w:t xml:space="preserve">, </w:t>
      </w:r>
      <w:r w:rsidRPr="00DA61E0">
        <w:rPr>
          <w:rFonts w:ascii="Verdana" w:eastAsia="Calibri" w:hAnsi="Verdana" w:cs="Times New Roman"/>
          <w:b/>
          <w:bCs/>
        </w:rPr>
        <w:t>mediante las cuales adoptó Documentos Tipo</w:t>
      </w:r>
      <w:r w:rsidRPr="00DA61E0">
        <w:rPr>
          <w:rFonts w:ascii="Verdana" w:eastAsia="Calibri" w:hAnsi="Verdana" w:cs="Times New Roman"/>
        </w:rPr>
        <w:t xml:space="preserve"> para las modalidades de selección de</w:t>
      </w:r>
      <w:r w:rsidRPr="00DA61E0">
        <w:rPr>
          <w:rFonts w:ascii="Verdana" w:eastAsia="Calibri" w:hAnsi="Verdana" w:cs="Times New Roman"/>
          <w:b/>
          <w:bCs/>
        </w:rPr>
        <w:t xml:space="preserve"> licitación pública (versión 2), selección abreviada de menor cuantía, mínima cuantía, consultoría e interventoría</w:t>
      </w:r>
      <w:r w:rsidRPr="00DA61E0">
        <w:rPr>
          <w:rFonts w:ascii="Verdana" w:eastAsia="Calibri" w:hAnsi="Verdana" w:cs="Times New Roman"/>
        </w:rPr>
        <w:t xml:space="preserve">, promoviendo procesos más transparentes, eficientes  competitivos y sostenibles en sectores estratégicos como educación, salud, cultura, recreación, deporte, institucional y vivienda. Consulta y descarga los documentos aquí: </w:t>
      </w:r>
      <w:hyperlink r:id="rId14" w:tgtFrame="_new" w:history="1">
        <w:r w:rsidRPr="00DA61E0">
          <w:rPr>
            <w:rFonts w:ascii="Verdana" w:eastAsia="Calibri" w:hAnsi="Verdana" w:cs="Times New Roman"/>
            <w:color w:val="0000FF"/>
            <w:u w:val="single"/>
          </w:rPr>
          <w:t>https://www.colombiacompra.gov.co/normativa-y-relatoria/documentos-tipo</w:t>
        </w:r>
      </w:hyperlink>
    </w:p>
    <w:p w14:paraId="4DBD51C5" w14:textId="77777777" w:rsidR="004914BB" w:rsidRPr="00DA61E0" w:rsidRDefault="004914BB" w:rsidP="004914BB">
      <w:pPr>
        <w:spacing w:after="0" w:line="276" w:lineRule="auto"/>
        <w:jc w:val="both"/>
        <w:rPr>
          <w:rFonts w:ascii="Verdana" w:eastAsia="Calibri" w:hAnsi="Verdana" w:cs="Times New Roman"/>
        </w:rPr>
      </w:pPr>
    </w:p>
    <w:p w14:paraId="72F6E3C8" w14:textId="77777777" w:rsidR="004914BB" w:rsidRPr="00DA61E0" w:rsidRDefault="004914BB" w:rsidP="004914BB">
      <w:pPr>
        <w:spacing w:after="0" w:line="276" w:lineRule="auto"/>
        <w:jc w:val="both"/>
        <w:rPr>
          <w:rFonts w:ascii="Verdana" w:eastAsia="Calibri" w:hAnsi="Verdana" w:cs="Times New Roman"/>
        </w:rPr>
      </w:pPr>
      <w:r w:rsidRPr="00DA61E0">
        <w:rPr>
          <w:rFonts w:ascii="Verdana" w:eastAsia="Calibri" w:hAnsi="Verdana" w:cs="Times New Roman"/>
        </w:rPr>
        <w:t xml:space="preserve">Si quieres conocer más sobre la aplicación de Documentos Tipo puedes consultar la última versión de la </w:t>
      </w:r>
      <w:r w:rsidRPr="00DA61E0">
        <w:rPr>
          <w:rFonts w:ascii="Verdana" w:eastAsia="Calibri" w:hAnsi="Verdana" w:cs="Times New Roman"/>
          <w:b/>
          <w:bCs/>
        </w:rPr>
        <w:t>Guía para la comprensión e implementación de los Documentos Tipo de obra pública de infraestructura de transporte</w:t>
      </w:r>
      <w:r w:rsidRPr="00DA61E0">
        <w:rPr>
          <w:rFonts w:ascii="Verdana" w:eastAsia="Calibri" w:hAnsi="Verdana" w:cs="Times New Roman"/>
        </w:rPr>
        <w:t xml:space="preserve">.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w:t>
      </w:r>
      <w:r w:rsidRPr="00DA61E0">
        <w:rPr>
          <w:rFonts w:ascii="Verdana" w:eastAsia="Calibri" w:hAnsi="Verdana" w:cs="Times New Roman"/>
        </w:rPr>
        <w:lastRenderedPageBreak/>
        <w:t>documentos tipo: Consulta la guía aquí:</w:t>
      </w:r>
      <w:r w:rsidRPr="00DA61E0">
        <w:rPr>
          <w:rFonts w:ascii="Verdana" w:eastAsia="Calibri" w:hAnsi="Verdana" w:cs="Times New Roman"/>
        </w:rPr>
        <w:br/>
      </w:r>
      <w:hyperlink r:id="rId15" w:tgtFrame="_new" w:history="1">
        <w:r w:rsidRPr="00DA61E0">
          <w:rPr>
            <w:rFonts w:ascii="Verdana" w:eastAsia="Calibri" w:hAnsi="Verdana" w:cs="Times New Roman"/>
            <w:color w:val="0000FF"/>
            <w:u w:val="single"/>
          </w:rPr>
          <w:t>https://www.colombiacompra.gov.co/archivos/manual/guia-para-la-comprension-e-implementacion-de-los-documentos-tipo-de-obra-publica-de-infraestructura-de-transporte-bajo-las-diferentes-modalidades-de-contratacion-vigentes</w:t>
        </w:r>
      </w:hyperlink>
    </w:p>
    <w:p w14:paraId="048D5B1B" w14:textId="77777777" w:rsidR="004914BB" w:rsidRPr="00DA61E0" w:rsidRDefault="004914BB" w:rsidP="004914BB">
      <w:pPr>
        <w:spacing w:after="0" w:line="276" w:lineRule="auto"/>
        <w:jc w:val="both"/>
        <w:rPr>
          <w:rFonts w:ascii="Verdana" w:eastAsia="Calibri" w:hAnsi="Verdana" w:cs="Times New Roman"/>
        </w:rPr>
      </w:pPr>
    </w:p>
    <w:p w14:paraId="3DECE091" w14:textId="77777777" w:rsidR="004914BB" w:rsidRPr="00DA61E0" w:rsidRDefault="004914BB" w:rsidP="004914BB">
      <w:pPr>
        <w:spacing w:after="0" w:line="276" w:lineRule="auto"/>
        <w:jc w:val="both"/>
        <w:rPr>
          <w:rFonts w:ascii="Verdana" w:eastAsia="Calibri" w:hAnsi="Verdana" w:cs="Times New Roman"/>
        </w:rPr>
      </w:pPr>
      <w:r w:rsidRPr="00DA61E0">
        <w:rPr>
          <w:rFonts w:ascii="Verdana" w:eastAsia="Calibri" w:hAnsi="Verdana" w:cs="Times New Roman"/>
        </w:rPr>
        <w:t xml:space="preserve">Por último, aprovechamos la oportunidad de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14:paraId="436FF8A3" w14:textId="77777777" w:rsidR="004914BB" w:rsidRPr="00DA61E0" w:rsidRDefault="004914BB" w:rsidP="004914BB">
      <w:pPr>
        <w:spacing w:after="0" w:line="276" w:lineRule="auto"/>
        <w:jc w:val="both"/>
        <w:rPr>
          <w:rFonts w:ascii="Verdana" w:eastAsia="Calibri" w:hAnsi="Verdana" w:cs="Times New Roman"/>
        </w:rPr>
      </w:pPr>
    </w:p>
    <w:p w14:paraId="39A25683" w14:textId="77777777" w:rsidR="004914BB" w:rsidRPr="00DA61E0" w:rsidRDefault="004914BB" w:rsidP="004914BB">
      <w:pPr>
        <w:numPr>
          <w:ilvl w:val="0"/>
          <w:numId w:val="15"/>
        </w:numPr>
        <w:spacing w:after="0" w:line="276" w:lineRule="auto"/>
        <w:jc w:val="both"/>
        <w:rPr>
          <w:rFonts w:ascii="Verdana" w:eastAsia="Verdana" w:hAnsi="Verdana" w:cs="Verdana"/>
          <w:color w:val="4472C4" w:themeColor="accent1"/>
          <w:u w:val="single"/>
          <w:lang w:val="es-MX"/>
        </w:rPr>
      </w:pPr>
      <w:r w:rsidRPr="00DA61E0">
        <w:rPr>
          <w:rFonts w:ascii="Verdana" w:eastAsia="Verdana" w:hAnsi="Verdana" w:cs="Verdana"/>
          <w:lang w:val="es-MX"/>
        </w:rPr>
        <w:t xml:space="preserve">Línea nacional gratuita o servicio a la ciudadanía (Mesa de servicio): </w:t>
      </w:r>
      <w:r w:rsidRPr="00DA61E0">
        <w:rPr>
          <w:rFonts w:ascii="Verdana" w:eastAsia="Calibri" w:hAnsi="Verdana" w:cs="Times New Roman"/>
          <w:color w:val="0000FF"/>
          <w:u w:val="single"/>
          <w:lang w:val="es-ES"/>
        </w:rPr>
        <w:t>01800 0520808</w:t>
      </w:r>
    </w:p>
    <w:p w14:paraId="23DDBC81" w14:textId="77777777" w:rsidR="004914BB" w:rsidRPr="00DA61E0" w:rsidRDefault="004914BB" w:rsidP="004914BB">
      <w:pPr>
        <w:numPr>
          <w:ilvl w:val="0"/>
          <w:numId w:val="15"/>
        </w:numPr>
        <w:spacing w:after="0" w:line="276" w:lineRule="auto"/>
        <w:jc w:val="both"/>
        <w:rPr>
          <w:rFonts w:ascii="Verdana" w:eastAsia="Verdana" w:hAnsi="Verdana" w:cs="Verdana"/>
          <w:color w:val="4472C4" w:themeColor="accent1"/>
          <w:u w:val="single"/>
          <w:lang w:val="es-MX"/>
        </w:rPr>
      </w:pPr>
      <w:r w:rsidRPr="00DA61E0">
        <w:rPr>
          <w:rFonts w:ascii="Verdana" w:eastAsia="Verdana" w:hAnsi="Verdana" w:cs="Verdana"/>
          <w:lang w:val="es-MX"/>
        </w:rPr>
        <w:t>Línea en Bogotá (Mesa de servicio</w:t>
      </w:r>
      <w:proofErr w:type="gramStart"/>
      <w:r w:rsidRPr="00DA61E0">
        <w:rPr>
          <w:rFonts w:ascii="Verdana" w:eastAsia="Verdana" w:hAnsi="Verdana" w:cs="Verdana"/>
          <w:lang w:val="es-MX"/>
        </w:rPr>
        <w:t>):</w:t>
      </w:r>
      <w:r w:rsidRPr="00DA61E0">
        <w:rPr>
          <w:rFonts w:ascii="Verdana" w:eastAsia="Calibri" w:hAnsi="Verdana" w:cs="Times New Roman"/>
          <w:color w:val="0000FF"/>
          <w:u w:val="single"/>
          <w:lang w:val="es-ES"/>
        </w:rPr>
        <w:t>+</w:t>
      </w:r>
      <w:proofErr w:type="gramEnd"/>
      <w:r w:rsidRPr="00DA61E0">
        <w:rPr>
          <w:rFonts w:ascii="Verdana" w:eastAsia="Calibri" w:hAnsi="Verdana" w:cs="Times New Roman"/>
          <w:color w:val="0000FF"/>
          <w:u w:val="single"/>
          <w:lang w:val="es-ES"/>
        </w:rPr>
        <w:t>57 601 7456788</w:t>
      </w:r>
    </w:p>
    <w:p w14:paraId="0C955D55" w14:textId="77777777" w:rsidR="004914BB" w:rsidRPr="00DA61E0" w:rsidRDefault="004914BB" w:rsidP="004914BB">
      <w:pPr>
        <w:numPr>
          <w:ilvl w:val="0"/>
          <w:numId w:val="15"/>
        </w:numPr>
        <w:spacing w:after="0" w:line="276" w:lineRule="auto"/>
        <w:jc w:val="both"/>
        <w:rPr>
          <w:rFonts w:ascii="Verdana" w:eastAsia="Verdana" w:hAnsi="Verdana" w:cs="Verdana"/>
          <w:color w:val="0000FF"/>
          <w:u w:val="single"/>
          <w:lang w:val="es-MX"/>
        </w:rPr>
      </w:pPr>
      <w:r w:rsidRPr="00DA61E0">
        <w:rPr>
          <w:rFonts w:ascii="Verdana" w:eastAsia="Verdana" w:hAnsi="Verdana" w:cs="Verdana"/>
          <w:lang w:val="es-MX"/>
        </w:rPr>
        <w:t xml:space="preserve">Correo de radicación de correspondencia: </w:t>
      </w:r>
      <w:hyperlink r:id="rId16" w:history="1">
        <w:r w:rsidRPr="00DA61E0">
          <w:rPr>
            <w:rFonts w:ascii="Verdana" w:eastAsia="Verdana" w:hAnsi="Verdana" w:cs="Verdana"/>
            <w:color w:val="0000FF"/>
            <w:u w:val="single"/>
            <w:lang w:val="es-MX"/>
          </w:rPr>
          <w:t>ventanilladeradicacion@colombiacompra.gov.co</w:t>
        </w:r>
      </w:hyperlink>
    </w:p>
    <w:p w14:paraId="592A4FC2" w14:textId="77777777" w:rsidR="004914BB" w:rsidRPr="00DA61E0" w:rsidRDefault="004914BB" w:rsidP="004914BB">
      <w:pPr>
        <w:numPr>
          <w:ilvl w:val="0"/>
          <w:numId w:val="15"/>
        </w:numPr>
        <w:spacing w:after="0" w:line="276" w:lineRule="auto"/>
        <w:jc w:val="both"/>
        <w:rPr>
          <w:rFonts w:ascii="Verdana" w:eastAsia="Verdana" w:hAnsi="Verdana" w:cs="Verdana"/>
          <w:color w:val="0000FF"/>
          <w:u w:val="single"/>
          <w:lang w:val="es-MX"/>
        </w:rPr>
      </w:pPr>
      <w:r w:rsidRPr="00DA61E0">
        <w:rPr>
          <w:rFonts w:ascii="Verdana" w:eastAsia="Verdana" w:hAnsi="Verdana" w:cs="Verdana"/>
          <w:lang w:val="es-ES"/>
        </w:rPr>
        <w:t xml:space="preserve">Formulario web para PQRSD: </w:t>
      </w:r>
      <w:hyperlink r:id="rId17" w:history="1">
        <w:r w:rsidRPr="00DA61E0">
          <w:rPr>
            <w:rFonts w:ascii="Verdana" w:eastAsia="Verdana" w:hAnsi="Verdana" w:cs="Verdana"/>
            <w:color w:val="0000FF"/>
            <w:u w:val="single"/>
            <w:lang w:val="es-MX"/>
          </w:rPr>
          <w:t>https://www.colombiacompra.gov.co/pqrsd/informacion-importante-antes-de-formular-una-pqrsd</w:t>
        </w:r>
      </w:hyperlink>
    </w:p>
    <w:p w14:paraId="4742A310" w14:textId="77777777" w:rsidR="004914BB" w:rsidRPr="00DA61E0" w:rsidRDefault="004914BB" w:rsidP="004914BB">
      <w:pPr>
        <w:spacing w:after="0" w:line="276" w:lineRule="auto"/>
        <w:ind w:left="720"/>
        <w:jc w:val="both"/>
        <w:rPr>
          <w:rFonts w:ascii="Verdana" w:eastAsia="Calibri" w:hAnsi="Verdana" w:cs="Times New Roman"/>
        </w:rPr>
      </w:pPr>
    </w:p>
    <w:p w14:paraId="627671A1" w14:textId="77777777" w:rsidR="004914BB" w:rsidRPr="00DA61E0" w:rsidRDefault="004914BB" w:rsidP="004914BB">
      <w:pPr>
        <w:spacing w:after="0" w:line="276" w:lineRule="auto"/>
        <w:jc w:val="both"/>
        <w:rPr>
          <w:rFonts w:ascii="Verdana" w:eastAsia="Calibri" w:hAnsi="Verdana" w:cs="Times New Roman"/>
        </w:rPr>
      </w:pPr>
      <w:r w:rsidRPr="00DA61E0">
        <w:rPr>
          <w:rFonts w:ascii="Verdana" w:eastAsia="Calibri" w:hAnsi="Verdana" w:cs="Times New Roman"/>
        </w:rPr>
        <w:t xml:space="preserve">Evalúa el servicio que ofrece la Agencia por el canal de atención de PQRSD en el siguiente </w:t>
      </w:r>
      <w:proofErr w:type="gramStart"/>
      <w:r w:rsidRPr="00DA61E0">
        <w:rPr>
          <w:rFonts w:ascii="Verdana" w:eastAsia="Calibri" w:hAnsi="Verdana" w:cs="Times New Roman"/>
        </w:rPr>
        <w:t>enlace :</w:t>
      </w:r>
      <w:proofErr w:type="gramEnd"/>
      <w:hyperlink r:id="rId18" w:tgtFrame="_blank" w:tooltip="https://forms.office.com/r/pphywvs2sz" w:history="1">
        <w:r w:rsidRPr="00DA61E0">
          <w:rPr>
            <w:rFonts w:ascii="Verdana" w:eastAsia="Calibri" w:hAnsi="Verdana" w:cs="Times New Roman"/>
            <w:color w:val="0000FF"/>
            <w:u w:val="single"/>
          </w:rPr>
          <w:t>https://forms.office.com/r/pPHyWVs2SZ</w:t>
        </w:r>
      </w:hyperlink>
      <w:r w:rsidRPr="00DA61E0">
        <w:rPr>
          <w:rFonts w:ascii="Verdana" w:eastAsia="Calibri" w:hAnsi="Verdana" w:cs="Times New Roman"/>
        </w:rPr>
        <w:t xml:space="preserve"> .¡Ayúdanos a mejorar porque el compromiso es de todos!</w:t>
      </w:r>
    </w:p>
    <w:p w14:paraId="74F21F00" w14:textId="77777777" w:rsidR="004914BB" w:rsidRPr="00DA61E0" w:rsidRDefault="004914BB" w:rsidP="004914BB">
      <w:pPr>
        <w:spacing w:after="0" w:line="276" w:lineRule="auto"/>
        <w:jc w:val="both"/>
        <w:rPr>
          <w:rFonts w:ascii="Verdana" w:eastAsia="Calibri" w:hAnsi="Verdana" w:cs="Times New Roman"/>
        </w:rPr>
      </w:pPr>
    </w:p>
    <w:p w14:paraId="079C4A53" w14:textId="77777777" w:rsidR="004914BB" w:rsidRPr="00DA61E0" w:rsidRDefault="004914BB" w:rsidP="004914BB">
      <w:pPr>
        <w:spacing w:after="0" w:line="276" w:lineRule="auto"/>
        <w:jc w:val="both"/>
        <w:rPr>
          <w:rFonts w:ascii="Verdana" w:eastAsia="Calibri" w:hAnsi="Verdana" w:cs="Times New Roman"/>
        </w:rPr>
      </w:pPr>
      <w:r w:rsidRPr="00DA61E0">
        <w:rPr>
          <w:rFonts w:ascii="Verdana" w:eastAsia="Calibri" w:hAnsi="Verdana" w:cs="Times New Roman"/>
        </w:rPr>
        <w:t xml:space="preserve">Por último, lo invitamos a seguirnos en las redes sociales en las cuales se difunde información institucional: </w:t>
      </w:r>
    </w:p>
    <w:p w14:paraId="11DC076E" w14:textId="77777777" w:rsidR="004914BB" w:rsidRPr="00DA61E0" w:rsidRDefault="004914BB" w:rsidP="004914BB">
      <w:pPr>
        <w:spacing w:after="0" w:line="276" w:lineRule="auto"/>
        <w:jc w:val="both"/>
        <w:rPr>
          <w:rFonts w:ascii="Verdana" w:eastAsia="Calibri" w:hAnsi="Verdana" w:cs="Times New Roman"/>
        </w:rPr>
      </w:pPr>
    </w:p>
    <w:p w14:paraId="4115C00E" w14:textId="77777777" w:rsidR="004914BB" w:rsidRPr="00DA61E0" w:rsidRDefault="004914BB" w:rsidP="004914BB">
      <w:pPr>
        <w:spacing w:after="0" w:line="276" w:lineRule="auto"/>
        <w:jc w:val="both"/>
        <w:rPr>
          <w:rFonts w:ascii="Verdana" w:eastAsia="Calibri" w:hAnsi="Verdana" w:cs="Times New Roman"/>
        </w:rPr>
      </w:pPr>
      <w:r w:rsidRPr="00DA61E0">
        <w:rPr>
          <w:rFonts w:ascii="Verdana" w:eastAsia="Calibri" w:hAnsi="Verdana" w:cs="Times New Roman"/>
        </w:rPr>
        <w:t xml:space="preserve">Twitter: </w:t>
      </w:r>
      <w:r w:rsidRPr="00DA61E0">
        <w:rPr>
          <w:rFonts w:ascii="Verdana" w:eastAsia="Calibri" w:hAnsi="Verdana" w:cs="Times New Roman"/>
          <w:color w:val="0000FF"/>
          <w:u w:val="single"/>
        </w:rPr>
        <w:t>@colombiacompra</w:t>
      </w:r>
      <w:r w:rsidRPr="00DA61E0">
        <w:rPr>
          <w:rFonts w:ascii="Verdana" w:eastAsia="Calibri" w:hAnsi="Verdana" w:cs="Times New Roman"/>
        </w:rPr>
        <w:t xml:space="preserve"> </w:t>
      </w:r>
    </w:p>
    <w:p w14:paraId="7A75C2A8" w14:textId="77777777" w:rsidR="004914BB" w:rsidRPr="00DA61E0" w:rsidRDefault="004914BB" w:rsidP="004914BB">
      <w:pPr>
        <w:spacing w:after="0" w:line="276" w:lineRule="auto"/>
        <w:jc w:val="both"/>
        <w:rPr>
          <w:rFonts w:ascii="Verdana" w:eastAsia="Calibri" w:hAnsi="Verdana" w:cs="Times New Roman"/>
        </w:rPr>
      </w:pPr>
      <w:r w:rsidRPr="00DA61E0">
        <w:rPr>
          <w:rFonts w:ascii="Verdana" w:eastAsia="Calibri" w:hAnsi="Verdana" w:cs="Times New Roman"/>
        </w:rPr>
        <w:t xml:space="preserve">Facebook: </w:t>
      </w:r>
      <w:proofErr w:type="spellStart"/>
      <w:r w:rsidRPr="00DA61E0">
        <w:rPr>
          <w:rFonts w:ascii="Verdana" w:eastAsia="Calibri" w:hAnsi="Verdana" w:cs="Times New Roman"/>
          <w:color w:val="0000FF"/>
          <w:u w:val="single"/>
        </w:rPr>
        <w:t>ColombiaCompraEficiente</w:t>
      </w:r>
      <w:proofErr w:type="spellEnd"/>
    </w:p>
    <w:p w14:paraId="12B9A49D" w14:textId="77777777" w:rsidR="004914BB" w:rsidRPr="00DA61E0" w:rsidRDefault="004914BB" w:rsidP="004914BB">
      <w:pPr>
        <w:spacing w:after="0" w:line="276" w:lineRule="auto"/>
        <w:jc w:val="both"/>
        <w:rPr>
          <w:rFonts w:ascii="Verdana" w:eastAsia="Calibri" w:hAnsi="Verdana" w:cs="Times New Roman"/>
        </w:rPr>
      </w:pPr>
      <w:r w:rsidRPr="00DA61E0">
        <w:rPr>
          <w:rFonts w:ascii="Verdana" w:eastAsia="Calibri" w:hAnsi="Verdana" w:cs="Times New Roman"/>
        </w:rPr>
        <w:t xml:space="preserve">LinkedIn: </w:t>
      </w:r>
      <w:r w:rsidRPr="00DA61E0">
        <w:rPr>
          <w:rFonts w:ascii="Verdana" w:eastAsia="Calibri" w:hAnsi="Verdana" w:cs="Times New Roman"/>
          <w:color w:val="0000FF"/>
          <w:u w:val="single"/>
        </w:rPr>
        <w:t>Agencia Nacional de Contratación Pública - Colombia Compra Eficiente</w:t>
      </w:r>
      <w:r w:rsidRPr="00DA61E0">
        <w:rPr>
          <w:rFonts w:ascii="Verdana" w:eastAsia="Calibri" w:hAnsi="Verdana" w:cs="Times New Roman"/>
        </w:rPr>
        <w:t xml:space="preserve"> Instagram: </w:t>
      </w:r>
      <w:r w:rsidRPr="00DA61E0">
        <w:rPr>
          <w:rFonts w:ascii="Verdana" w:eastAsia="Calibri" w:hAnsi="Verdana" w:cs="Times New Roman"/>
          <w:color w:val="0000FF"/>
          <w:u w:val="single"/>
        </w:rPr>
        <w:t>@colombiacompraeficiente_cce</w:t>
      </w:r>
    </w:p>
    <w:p w14:paraId="76ECDEFE" w14:textId="77777777" w:rsidR="004914BB" w:rsidRPr="00DA61E0" w:rsidRDefault="004914BB" w:rsidP="004914BB">
      <w:pPr>
        <w:spacing w:after="0" w:line="276" w:lineRule="auto"/>
        <w:jc w:val="both"/>
        <w:rPr>
          <w:rFonts w:ascii="Verdana" w:eastAsia="Calibri" w:hAnsi="Verdana" w:cs="Times New Roman"/>
        </w:rPr>
      </w:pPr>
    </w:p>
    <w:p w14:paraId="7833ACCF" w14:textId="77777777" w:rsidR="004914BB" w:rsidRPr="00DA61E0" w:rsidRDefault="004914BB" w:rsidP="004914BB">
      <w:pPr>
        <w:spacing w:after="0" w:line="276" w:lineRule="auto"/>
        <w:jc w:val="both"/>
        <w:rPr>
          <w:rFonts w:ascii="Verdana" w:eastAsia="Calibri" w:hAnsi="Verdana" w:cs="Times New Roman"/>
          <w:bCs/>
          <w:lang w:val="es-ES_tradnl"/>
        </w:rPr>
      </w:pPr>
      <w:r w:rsidRPr="00DA61E0">
        <w:rPr>
          <w:rFonts w:ascii="Verdana" w:eastAsia="Calibri" w:hAnsi="Verdana" w:cs="Times New Roman"/>
          <w:lang w:val="es-ES_tradnl"/>
        </w:rPr>
        <w:t xml:space="preserve">Este concepto tiene el alcance previsto en el artículo 28 del Código de Procedimiento Administrativo y de lo Contencioso Administrativo y las </w:t>
      </w:r>
      <w:r w:rsidRPr="00DA61E0">
        <w:rPr>
          <w:rFonts w:ascii="Verdana" w:eastAsia="Calibri" w:hAnsi="Verdana" w:cs="Times New Roman"/>
          <w:lang w:val="es-ES_tradnl"/>
        </w:rPr>
        <w:lastRenderedPageBreak/>
        <w:t>expresiones utilizadas con mayúscula inicial deben ser entendidas con el significado que les otorga el artículo 2.2.1.1.1.3.1 del Decreto 1082 de 2015.</w:t>
      </w:r>
    </w:p>
    <w:p w14:paraId="717968D3" w14:textId="77777777" w:rsidR="004914BB" w:rsidRPr="00DA61E0" w:rsidRDefault="004914BB" w:rsidP="004914BB">
      <w:pPr>
        <w:spacing w:after="0" w:line="276" w:lineRule="auto"/>
        <w:jc w:val="both"/>
        <w:rPr>
          <w:rFonts w:ascii="Verdana" w:eastAsia="Calibri" w:hAnsi="Verdana" w:cs="Times New Roman"/>
          <w:lang w:val="es-ES_tradnl"/>
        </w:rPr>
      </w:pPr>
    </w:p>
    <w:p w14:paraId="59B74895" w14:textId="77777777" w:rsidR="004914BB" w:rsidRDefault="004914BB" w:rsidP="004914BB">
      <w:pPr>
        <w:spacing w:after="0" w:line="276" w:lineRule="auto"/>
        <w:jc w:val="both"/>
        <w:rPr>
          <w:rFonts w:ascii="Verdana" w:eastAsia="Calibri" w:hAnsi="Verdana" w:cs="Times New Roman"/>
        </w:rPr>
      </w:pPr>
      <w:r w:rsidRPr="00DA61E0">
        <w:rPr>
          <w:rFonts w:ascii="Verdana" w:eastAsia="Calibri" w:hAnsi="Verdana" w:cs="Times New Roman"/>
        </w:rPr>
        <w:t>Atentamente,</w:t>
      </w:r>
    </w:p>
    <w:p w14:paraId="6768658D" w14:textId="77777777" w:rsidR="004914BB" w:rsidRPr="00DA61E0" w:rsidRDefault="004914BB" w:rsidP="004914BB">
      <w:pPr>
        <w:spacing w:after="0" w:line="276" w:lineRule="auto"/>
        <w:jc w:val="both"/>
        <w:rPr>
          <w:rFonts w:ascii="Verdana" w:eastAsia="Calibri" w:hAnsi="Verdana" w:cs="Times New Roman"/>
        </w:rPr>
      </w:pPr>
    </w:p>
    <w:p w14:paraId="2B0CC1DE" w14:textId="0444F220" w:rsidR="004914BB" w:rsidRPr="00DA61E0" w:rsidRDefault="00122A0A" w:rsidP="004914BB">
      <w:pPr>
        <w:spacing w:after="0" w:line="254" w:lineRule="auto"/>
        <w:jc w:val="center"/>
        <w:rPr>
          <w:rFonts w:ascii="Century Gothic" w:eastAsia="Calibri" w:hAnsi="Century Gothic" w:cs="Times New Roman"/>
          <w:noProof/>
          <w:lang w:val="en-US"/>
        </w:rPr>
      </w:pPr>
      <w:r w:rsidRPr="002C3AD6">
        <w:rPr>
          <w:rFonts w:ascii="Century Gothic" w:hAnsi="Century Gothic"/>
          <w:noProof/>
          <w:lang w:val="en-US"/>
        </w:rPr>
        <w:drawing>
          <wp:inline distT="0" distB="0" distL="0" distR="0" wp14:anchorId="6409784F" wp14:editId="5A5961DD">
            <wp:extent cx="3279697" cy="1217463"/>
            <wp:effectExtent l="0" t="0" r="0" b="1905"/>
            <wp:docPr id="4"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9"/>
                    <a:stretch>
                      <a:fillRect/>
                    </a:stretch>
                  </pic:blipFill>
                  <pic:spPr>
                    <a:xfrm>
                      <a:off x="0" y="0"/>
                      <a:ext cx="3312722" cy="1229722"/>
                    </a:xfrm>
                    <a:prstGeom prst="rect">
                      <a:avLst/>
                    </a:prstGeom>
                  </pic:spPr>
                </pic:pic>
              </a:graphicData>
            </a:graphic>
          </wp:inline>
        </w:drawing>
      </w:r>
    </w:p>
    <w:p w14:paraId="23762DDA" w14:textId="77777777" w:rsidR="004914BB" w:rsidRPr="00DA61E0" w:rsidRDefault="004914BB" w:rsidP="004914BB">
      <w:pPr>
        <w:spacing w:after="0" w:line="254" w:lineRule="auto"/>
        <w:rPr>
          <w:rFonts w:ascii="Century Gothic" w:eastAsia="Calibri" w:hAnsi="Century Gothic" w:cs="Times New Roman"/>
          <w:noProof/>
          <w:sz w:val="16"/>
          <w:szCs w:val="16"/>
          <w:lang w:val="en-US"/>
        </w:rPr>
      </w:pPr>
    </w:p>
    <w:tbl>
      <w:tblPr>
        <w:tblW w:w="57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7"/>
        <w:gridCol w:w="4937"/>
      </w:tblGrid>
      <w:tr w:rsidR="004914BB" w:rsidRPr="00DA61E0" w14:paraId="55910D97" w14:textId="77777777" w:rsidTr="00DB15AF">
        <w:trPr>
          <w:trHeight w:val="409"/>
        </w:trPr>
        <w:tc>
          <w:tcPr>
            <w:tcW w:w="817" w:type="dxa"/>
            <w:tcBorders>
              <w:top w:val="nil"/>
              <w:left w:val="nil"/>
              <w:bottom w:val="nil"/>
              <w:right w:val="nil"/>
            </w:tcBorders>
            <w:vAlign w:val="center"/>
            <w:hideMark/>
          </w:tcPr>
          <w:p w14:paraId="07C9D3A0" w14:textId="77777777" w:rsidR="004914BB" w:rsidRPr="00DA61E0" w:rsidRDefault="004914BB" w:rsidP="00DB15AF">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Elaboró: </w:t>
            </w:r>
          </w:p>
        </w:tc>
        <w:tc>
          <w:tcPr>
            <w:tcW w:w="4937" w:type="dxa"/>
            <w:tcBorders>
              <w:top w:val="nil"/>
              <w:left w:val="nil"/>
              <w:bottom w:val="dotted" w:sz="6" w:space="0" w:color="7F7F7F" w:themeColor="text1" w:themeTint="80"/>
              <w:right w:val="nil"/>
            </w:tcBorders>
            <w:vAlign w:val="center"/>
            <w:hideMark/>
          </w:tcPr>
          <w:p w14:paraId="64C842EA" w14:textId="77777777" w:rsidR="004914BB" w:rsidRPr="00DA61E0" w:rsidRDefault="004914BB" w:rsidP="00DB15AF">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José Luis Sánchez Cardona</w:t>
            </w:r>
          </w:p>
          <w:p w14:paraId="71BC0823" w14:textId="77777777" w:rsidR="004914BB" w:rsidRPr="00DA61E0" w:rsidRDefault="004914BB" w:rsidP="00DB15AF">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Contratista de la Subdirección de Gestión Contractual</w:t>
            </w:r>
          </w:p>
        </w:tc>
      </w:tr>
      <w:tr w:rsidR="004914BB" w:rsidRPr="00DA61E0" w14:paraId="004D970A" w14:textId="77777777" w:rsidTr="00DB15AF">
        <w:trPr>
          <w:trHeight w:val="409"/>
        </w:trPr>
        <w:tc>
          <w:tcPr>
            <w:tcW w:w="817" w:type="dxa"/>
            <w:tcBorders>
              <w:top w:val="nil"/>
              <w:left w:val="nil"/>
              <w:bottom w:val="nil"/>
              <w:right w:val="nil"/>
            </w:tcBorders>
            <w:vAlign w:val="center"/>
            <w:hideMark/>
          </w:tcPr>
          <w:p w14:paraId="38C342D5" w14:textId="77777777" w:rsidR="004914BB" w:rsidRPr="00DA61E0" w:rsidRDefault="004914BB" w:rsidP="00DB15AF">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Revisó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35E7AB37" w14:textId="77777777" w:rsidR="004914BB" w:rsidRPr="00DA61E0" w:rsidRDefault="004914BB" w:rsidP="00DB15AF">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Alejandro R. Sarmiento Cantillo</w:t>
            </w:r>
          </w:p>
          <w:p w14:paraId="13A01B8C" w14:textId="77777777" w:rsidR="004914BB" w:rsidRPr="00DA61E0" w:rsidRDefault="004914BB" w:rsidP="00DB15AF">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Gestor T1-15 de la Subdirección de Gestión Contractual </w:t>
            </w:r>
          </w:p>
        </w:tc>
      </w:tr>
      <w:tr w:rsidR="004914BB" w:rsidRPr="00DA61E0" w14:paraId="566DB2A5" w14:textId="77777777" w:rsidTr="00DB15AF">
        <w:trPr>
          <w:trHeight w:val="389"/>
        </w:trPr>
        <w:tc>
          <w:tcPr>
            <w:tcW w:w="817" w:type="dxa"/>
            <w:tcBorders>
              <w:top w:val="nil"/>
              <w:left w:val="nil"/>
              <w:bottom w:val="nil"/>
              <w:right w:val="nil"/>
            </w:tcBorders>
            <w:vAlign w:val="center"/>
            <w:hideMark/>
          </w:tcPr>
          <w:p w14:paraId="3BA8118E" w14:textId="77777777" w:rsidR="004914BB" w:rsidRPr="00DA61E0" w:rsidRDefault="004914BB" w:rsidP="00DB15AF">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Aprobó: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39B653E6" w14:textId="77777777" w:rsidR="004914BB" w:rsidRPr="00DA61E0" w:rsidRDefault="004914BB" w:rsidP="00DB15AF">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Carolina Quintero Gacharná</w:t>
            </w:r>
          </w:p>
          <w:p w14:paraId="22BD6238" w14:textId="77777777" w:rsidR="004914BB" w:rsidRPr="00DA61E0" w:rsidRDefault="004914BB" w:rsidP="00DB15AF">
            <w:pPr>
              <w:spacing w:after="0" w:line="254" w:lineRule="auto"/>
              <w:rPr>
                <w:rFonts w:ascii="Verdana" w:eastAsia="Calibri" w:hAnsi="Verdana" w:cs="Times New Roman"/>
                <w:sz w:val="16"/>
                <w:szCs w:val="16"/>
              </w:rPr>
            </w:pPr>
            <w:r w:rsidRPr="00DA61E0">
              <w:rPr>
                <w:rFonts w:ascii="Verdana" w:eastAsia="Calibri" w:hAnsi="Verdana" w:cs="Times New Roman"/>
                <w:sz w:val="16"/>
                <w:szCs w:val="16"/>
              </w:rPr>
              <w:t>Subdirectora de Gestión Contractual ANCP – CCE</w:t>
            </w:r>
          </w:p>
        </w:tc>
      </w:tr>
    </w:tbl>
    <w:p w14:paraId="496B358A" w14:textId="77777777" w:rsidR="004914BB" w:rsidRPr="000D77F4" w:rsidRDefault="004914BB" w:rsidP="004914BB">
      <w:pPr>
        <w:spacing w:after="0" w:line="240" w:lineRule="auto"/>
        <w:textAlignment w:val="baseline"/>
        <w:rPr>
          <w:rFonts w:ascii="Verdana" w:eastAsia="Verdana" w:hAnsi="Verdana" w:cs="Verdana"/>
          <w:lang w:eastAsia="es-CO"/>
        </w:rPr>
      </w:pPr>
    </w:p>
    <w:bookmarkEnd w:id="0"/>
    <w:p w14:paraId="69BC4D14" w14:textId="6BF7DD72" w:rsidR="00C15139" w:rsidRPr="004914BB" w:rsidRDefault="00C15139" w:rsidP="004914BB"/>
    <w:sectPr w:rsidR="00C15139" w:rsidRPr="004914BB"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18E91" w14:textId="77777777" w:rsidR="00266227" w:rsidRDefault="00266227" w:rsidP="004A1847">
      <w:pPr>
        <w:spacing w:after="0" w:line="240" w:lineRule="auto"/>
      </w:pPr>
      <w:r>
        <w:separator/>
      </w:r>
    </w:p>
  </w:endnote>
  <w:endnote w:type="continuationSeparator" w:id="0">
    <w:p w14:paraId="3D019C97" w14:textId="77777777" w:rsidR="00266227" w:rsidRDefault="00266227"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Arial"/>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D53B7" w14:textId="77777777" w:rsidR="00266227" w:rsidRDefault="00266227" w:rsidP="004A1847">
      <w:pPr>
        <w:spacing w:after="0" w:line="240" w:lineRule="auto"/>
      </w:pPr>
      <w:r>
        <w:separator/>
      </w:r>
    </w:p>
  </w:footnote>
  <w:footnote w:type="continuationSeparator" w:id="0">
    <w:p w14:paraId="5EAB48A2" w14:textId="77777777" w:rsidR="00266227" w:rsidRDefault="00266227" w:rsidP="004A1847">
      <w:pPr>
        <w:spacing w:after="0" w:line="240" w:lineRule="auto"/>
      </w:pPr>
      <w:r>
        <w:continuationSeparator/>
      </w:r>
    </w:p>
  </w:footnote>
  <w:footnote w:id="1">
    <w:p w14:paraId="1157132A" w14:textId="77777777" w:rsidR="004914BB" w:rsidRPr="007B6A0E" w:rsidRDefault="004914BB" w:rsidP="004914BB">
      <w:pPr>
        <w:pStyle w:val="Textonotapie"/>
        <w:ind w:firstLine="709"/>
        <w:jc w:val="both"/>
        <w:rPr>
          <w:rFonts w:ascii="Verdana" w:eastAsia="Calibri" w:hAnsi="Verdana" w:cs="Arial"/>
          <w:sz w:val="16"/>
          <w:szCs w:val="16"/>
          <w:lang w:val="es-ES_tradnl" w:eastAsia="es-ES_tradnl"/>
        </w:rPr>
      </w:pPr>
      <w:r w:rsidRPr="007B6A0E">
        <w:rPr>
          <w:rStyle w:val="Refdenotaalpie"/>
          <w:rFonts w:ascii="Verdana" w:hAnsi="Verdana" w:cs="Arial"/>
          <w:sz w:val="16"/>
          <w:szCs w:val="16"/>
        </w:rPr>
        <w:footnoteRef/>
      </w:r>
      <w:r w:rsidRPr="007B6A0E">
        <w:rPr>
          <w:rFonts w:ascii="Verdana" w:hAnsi="Verdana" w:cs="Arial"/>
          <w:sz w:val="16"/>
          <w:szCs w:val="16"/>
        </w:rPr>
        <w:t xml:space="preserve"> </w:t>
      </w:r>
      <w:r w:rsidRPr="007B6A0E">
        <w:rPr>
          <w:rFonts w:ascii="Verdana" w:eastAsia="Calibri" w:hAnsi="Verdana" w:cs="Arial"/>
          <w:sz w:val="16"/>
          <w:szCs w:val="16"/>
          <w:lang w:val="es-ES_tradnl" w:eastAsia="es-ES_tradnl"/>
        </w:rPr>
        <w:t>“La manera como las ofertas presentan el precio varía demasiado, incluso por razón de la costumbre que se impone en determinados negocios. Por ejemplo, tratándose de la compraventa, del suministro o la prestación de servicios profesionales –entre otros contratos, que de hecho son la mayoría– el valor que se ofrece no se desglosa para revelar al destinatario su estructura de costos. El proponente se limita a establecer una cifra por la que está dispuesto a asumir ciertas obligaciones, pero el comprador desconoce cómo se compone internamente, es decir, no sabe –ni usualmente le interesa conocerlo– qué parte del valor corresponde a gastos de mano de obra, de transporte, de energía, cuál es la utilidad esperada, entre otros conceptos. En estos casos se limita a conocer con claridad absoluta cuánto le costará el bien o el servicio, porque es lo que pagará.</w:t>
      </w:r>
    </w:p>
    <w:p w14:paraId="5486F1A5" w14:textId="77777777" w:rsidR="004914BB" w:rsidRPr="007B6A0E" w:rsidRDefault="004914BB" w:rsidP="004914BB">
      <w:pPr>
        <w:pStyle w:val="Textonotapie"/>
        <w:ind w:firstLine="709"/>
        <w:jc w:val="both"/>
        <w:rPr>
          <w:rFonts w:ascii="Verdana" w:hAnsi="Verdana" w:cs="Arial"/>
          <w:sz w:val="16"/>
          <w:szCs w:val="16"/>
          <w:lang w:val="es-ES"/>
        </w:rPr>
      </w:pPr>
      <w:r w:rsidRPr="007B6A0E">
        <w:rPr>
          <w:rFonts w:ascii="Verdana" w:eastAsia="Calibri" w:hAnsi="Verdana" w:cs="Arial"/>
          <w:sz w:val="16"/>
          <w:szCs w:val="16"/>
          <w:lang w:val="es-ES_tradnl" w:eastAsia="es-ES_tradnl"/>
        </w:rPr>
        <w:t>Sin embargo, en otros negocios, como la obra pública, la concesión y la consultoría, el Estado está acostumbrado a que se desglosen intensamente los costos, exigiendo no sólo el precio total sino una distinción entre los costos directos y los costos indirectos. Los primeros son los gastos imprescindibles para ejecutar la obra, entre los que se encuentra: la adquisición de materiales, insumos y suministros, la inversión en equipos, el pago de la mano de obra de las cuadrillas de trabajadores obreros y otros gastos afines –representados en los ítems que componen el contrato–. Los costos indirectos aluden a los gastos que también son necesarios para la obra, pero que no hacen parte de los elementos mismos con los que se construye, es decir, se trata de los costos de administración de la obra, los imprevistos que se presentan durante su ejecución y la utilidad esperada” (MARÍN CORTÉS, Fabián. El precio. Serie: Las cláusulas del contrato estatal. Medellín: Librería Jurídica Sánchez y Centro de Estudios de Derecho Administrativo –CEDA–, 2012. pp. 63-64).</w:t>
      </w:r>
    </w:p>
  </w:footnote>
  <w:footnote w:id="2">
    <w:p w14:paraId="57F13A68" w14:textId="77777777" w:rsidR="004914BB" w:rsidRDefault="004914BB" w:rsidP="004914BB">
      <w:pPr>
        <w:spacing w:after="0" w:line="240" w:lineRule="auto"/>
        <w:ind w:firstLine="708"/>
        <w:contextualSpacing/>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CONSEJO DE ESTADO. Sala de lo Contencioso Administrativo. Sección Tercera Subsección A. Sentencia del 22 de agosto de 2023. Exp. 58.634. C.P. María Adriana Marín. </w:t>
      </w:r>
    </w:p>
  </w:footnote>
  <w:footnote w:id="3">
    <w:p w14:paraId="5C5A7E19" w14:textId="77777777" w:rsidR="004914BB" w:rsidRDefault="004914BB" w:rsidP="004914BB">
      <w:pPr>
        <w:pStyle w:val="Textonotapie"/>
        <w:ind w:firstLine="708"/>
        <w:jc w:val="both"/>
        <w:rPr>
          <w:rFonts w:ascii="Verdana" w:hAnsi="Verdana"/>
          <w:sz w:val="16"/>
          <w:szCs w:val="16"/>
          <w:lang w:val="es-CO"/>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lang w:val="es-CO"/>
        </w:rPr>
        <w:t xml:space="preserve">CONSEJO DE ESTADO. Sala de Consulta y Servicio Civil.. Concepto del 5 de septiembre de 2018. Expediente: 2386. </w:t>
      </w:r>
      <w:r w:rsidRPr="00281F88">
        <w:rPr>
          <w:rFonts w:ascii="Verdana" w:hAnsi="Verdana"/>
          <w:sz w:val="16"/>
          <w:szCs w:val="16"/>
          <w:lang w:val="es-CO"/>
        </w:rPr>
        <w:t>C.P: Édgar González López</w:t>
      </w:r>
      <w:r>
        <w:rPr>
          <w:rFonts w:ascii="Verdana" w:hAnsi="Verdana"/>
          <w:sz w:val="16"/>
          <w:szCs w:val="16"/>
          <w:lang w:val="es-CO"/>
        </w:rPr>
        <w:t xml:space="preserve">. </w:t>
      </w:r>
    </w:p>
  </w:footnote>
  <w:footnote w:id="4">
    <w:p w14:paraId="16A46884" w14:textId="77777777" w:rsidR="004914BB" w:rsidRDefault="004914BB" w:rsidP="004914BB">
      <w:pPr>
        <w:pStyle w:val="Textonotapie"/>
        <w:ind w:firstLine="708"/>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CONSEJO DE ESTADO. Sala de lo Contencioso Administrativo. Sección Tercera. Subsección A. Sentencia del 29 de julio de 2015. Exp. 41.008.</w:t>
      </w:r>
      <w:r w:rsidRPr="00C725B6">
        <w:rPr>
          <w:rFonts w:ascii="Verdana" w:hAnsi="Verdana"/>
          <w:sz w:val="16"/>
          <w:szCs w:val="16"/>
        </w:rPr>
        <w:t xml:space="preserve"> </w:t>
      </w:r>
      <w:r>
        <w:rPr>
          <w:rFonts w:ascii="Verdana" w:hAnsi="Verdana"/>
          <w:sz w:val="16"/>
          <w:szCs w:val="16"/>
        </w:rPr>
        <w:t>C.P.: Hernán Andrade Rincón (E).</w:t>
      </w:r>
    </w:p>
    <w:p w14:paraId="3C4A44DA" w14:textId="77777777" w:rsidR="004914BB" w:rsidRDefault="004914BB" w:rsidP="004914BB">
      <w:pPr>
        <w:pStyle w:val="Textonotapie"/>
        <w:jc w:val="both"/>
        <w:rPr>
          <w:rFonts w:ascii="Verdana" w:hAnsi="Verdana"/>
          <w:sz w:val="16"/>
          <w:szCs w:val="16"/>
        </w:rPr>
      </w:pPr>
    </w:p>
  </w:footnote>
  <w:footnote w:id="5">
    <w:p w14:paraId="0840422E" w14:textId="77777777" w:rsidR="004914BB" w:rsidRDefault="004914BB" w:rsidP="004914BB">
      <w:pPr>
        <w:pStyle w:val="Textonotapie"/>
        <w:ind w:firstLine="709"/>
        <w:jc w:val="both"/>
        <w:rPr>
          <w:rFonts w:ascii="Verdana" w:hAnsi="Verdana" w:cs="Arial"/>
          <w:color w:val="000000" w:themeColor="text1"/>
          <w:sz w:val="16"/>
          <w:szCs w:val="16"/>
        </w:rPr>
      </w:pPr>
      <w:r>
        <w:rPr>
          <w:rStyle w:val="Refdenotaalpie"/>
          <w:rFonts w:ascii="Verdana" w:hAnsi="Verdana" w:cs="Arial"/>
          <w:sz w:val="16"/>
          <w:szCs w:val="16"/>
        </w:rPr>
        <w:footnoteRef/>
      </w:r>
      <w:r>
        <w:rPr>
          <w:rFonts w:ascii="Verdana" w:hAnsi="Verdana" w:cs="Arial"/>
          <w:sz w:val="16"/>
          <w:szCs w:val="16"/>
        </w:rPr>
        <w:t xml:space="preserve"> </w:t>
      </w:r>
      <w:r>
        <w:rPr>
          <w:rFonts w:ascii="Verdana" w:hAnsi="Verdana" w:cs="Arial"/>
          <w:color w:val="000000" w:themeColor="text1"/>
          <w:sz w:val="16"/>
          <w:szCs w:val="16"/>
        </w:rPr>
        <w:t xml:space="preserve">CONSEJO DE ESTADO. Sección Tercera. Subsección B. Sentencia del 14 de octubre de 2011. Exp. 20811. </w:t>
      </w:r>
      <w:r w:rsidRPr="00382901">
        <w:rPr>
          <w:rFonts w:ascii="Verdana" w:hAnsi="Verdana" w:cs="Arial"/>
          <w:color w:val="000000" w:themeColor="text1"/>
          <w:sz w:val="16"/>
          <w:szCs w:val="16"/>
          <w:lang w:val="es-CO"/>
        </w:rPr>
        <w:t>C.P: Ruth Stella Correa Palacio.</w:t>
      </w:r>
    </w:p>
  </w:footnote>
  <w:footnote w:id="6">
    <w:p w14:paraId="2437902A" w14:textId="77777777" w:rsidR="004914BB" w:rsidRDefault="004914BB" w:rsidP="004914BB">
      <w:pPr>
        <w:pStyle w:val="Textonotapie"/>
        <w:ind w:firstLine="708"/>
        <w:jc w:val="both"/>
        <w:rPr>
          <w:rFonts w:ascii="Verdana" w:hAnsi="Verdana" w:cs="Arial"/>
          <w:sz w:val="16"/>
          <w:szCs w:val="16"/>
        </w:rPr>
      </w:pPr>
      <w:r>
        <w:rPr>
          <w:rStyle w:val="Refdenotaalpie"/>
          <w:rFonts w:ascii="Verdana" w:hAnsi="Verdana" w:cs="Arial"/>
          <w:sz w:val="16"/>
          <w:szCs w:val="16"/>
        </w:rPr>
        <w:footnoteRef/>
      </w:r>
      <w:r>
        <w:rPr>
          <w:rFonts w:ascii="Verdana" w:hAnsi="Verdana" w:cs="Arial"/>
          <w:sz w:val="16"/>
          <w:szCs w:val="16"/>
        </w:rPr>
        <w:t xml:space="preserve"> </w:t>
      </w:r>
      <w:r>
        <w:rPr>
          <w:rFonts w:ascii="Verdana" w:eastAsia="Calibri" w:hAnsi="Verdana" w:cs="Arial"/>
          <w:sz w:val="16"/>
          <w:szCs w:val="16"/>
          <w:lang w:val="es-ES_tradnl" w:eastAsia="es-ES_tradnl"/>
        </w:rPr>
        <w:t>CONSEJO DE ESTADO. Sección Tercera. Subsección B. Sentencia del 29 de febrero de 2012. Exp. 16371. C.P. Danilo Rojas Betancourth.</w:t>
      </w:r>
    </w:p>
  </w:footnote>
  <w:footnote w:id="7">
    <w:p w14:paraId="02A2709B" w14:textId="77777777" w:rsidR="004914BB" w:rsidRDefault="004914BB" w:rsidP="004914BB">
      <w:pPr>
        <w:pStyle w:val="Textonotapie"/>
        <w:ind w:firstLine="708"/>
        <w:jc w:val="both"/>
        <w:rPr>
          <w:rFonts w:ascii="Verdana" w:hAnsi="Verdana"/>
          <w:sz w:val="16"/>
          <w:szCs w:val="16"/>
          <w:lang w:val="es-ES"/>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lang w:val="es-CO"/>
        </w:rPr>
        <w:t xml:space="preserve">CONSEJO DE ESTADO. Sección Tercera. Subsección B. Sentencia del 29 de febrero de 2012. Exp:16371. C.P. Danilo Rojas Betancourth. </w:t>
      </w:r>
    </w:p>
  </w:footnote>
  <w:footnote w:id="8">
    <w:p w14:paraId="2CC69984" w14:textId="77777777" w:rsidR="004914BB" w:rsidRDefault="004914BB" w:rsidP="004914BB">
      <w:pPr>
        <w:pStyle w:val="Textonotapie"/>
        <w:ind w:firstLine="708"/>
        <w:jc w:val="both"/>
        <w:rPr>
          <w:rFonts w:ascii="Verdana" w:hAnsi="Verdana"/>
          <w:sz w:val="16"/>
          <w:szCs w:val="16"/>
          <w:lang w:val="es-ES"/>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lang w:val="es-ES"/>
        </w:rPr>
        <w:t>Ídem.</w:t>
      </w:r>
    </w:p>
  </w:footnote>
  <w:footnote w:id="9">
    <w:p w14:paraId="59FC2110" w14:textId="77777777" w:rsidR="004914BB" w:rsidRDefault="004914BB" w:rsidP="004914BB">
      <w:pPr>
        <w:pStyle w:val="Textonotapie"/>
        <w:ind w:firstLine="708"/>
        <w:jc w:val="both"/>
        <w:rPr>
          <w:rFonts w:ascii="Verdana" w:hAnsi="Verdana"/>
          <w:sz w:val="16"/>
          <w:szCs w:val="16"/>
          <w:lang w:val="es-ES"/>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lang w:val="es-CO"/>
        </w:rPr>
        <w:t xml:space="preserve">CONSEJO DE ESTADO. Sección Tercera. Subsección A. Sentencia del 14 de marzo de 2013. Exp. 20.524. C.P. Carlos Alberto Zambrano Herrera. </w:t>
      </w:r>
    </w:p>
  </w:footnote>
  <w:footnote w:id="10">
    <w:p w14:paraId="388D57ED" w14:textId="77777777" w:rsidR="004914BB" w:rsidRDefault="004914BB" w:rsidP="004914BB">
      <w:pPr>
        <w:pStyle w:val="Textonotapie"/>
        <w:ind w:firstLine="708"/>
        <w:jc w:val="both"/>
        <w:rPr>
          <w:rFonts w:ascii="Verdana" w:hAnsi="Verdana"/>
          <w:sz w:val="16"/>
          <w:szCs w:val="16"/>
          <w:lang w:val="es-ES"/>
        </w:rPr>
      </w:pPr>
      <w:r>
        <w:rPr>
          <w:rStyle w:val="Refdenotaalpie"/>
          <w:rFonts w:ascii="Verdana" w:hAnsi="Verdana"/>
          <w:sz w:val="16"/>
          <w:szCs w:val="16"/>
        </w:rPr>
        <w:footnoteRef/>
      </w:r>
      <w:r>
        <w:rPr>
          <w:rFonts w:ascii="Verdana" w:hAnsi="Verdana"/>
          <w:sz w:val="16"/>
          <w:szCs w:val="16"/>
        </w:rPr>
        <w:t xml:space="preserve"> CONSEJO DE ESTADO. SECCIÓN Tercera. Subsección C. Sentencia del 28 de febrero de dos mil veintidós 2022. Exp. 65483. </w:t>
      </w:r>
      <w:r w:rsidRPr="006961B1">
        <w:rPr>
          <w:rFonts w:ascii="Verdana" w:hAnsi="Verdana"/>
          <w:sz w:val="16"/>
          <w:szCs w:val="16"/>
          <w:lang w:val="es-CO"/>
        </w:rPr>
        <w:t>C.P. Nicolás Yepes Corrales.</w:t>
      </w:r>
    </w:p>
  </w:footnote>
  <w:footnote w:id="11">
    <w:p w14:paraId="2172F544" w14:textId="77777777" w:rsidR="004914BB" w:rsidRDefault="004914BB" w:rsidP="004914BB">
      <w:pPr>
        <w:pStyle w:val="Textonotapie"/>
        <w:ind w:firstLine="709"/>
        <w:jc w:val="both"/>
        <w:rPr>
          <w:rFonts w:ascii="Verdana" w:hAnsi="Verdana" w:cs="Arial"/>
          <w:sz w:val="16"/>
          <w:szCs w:val="16"/>
          <w:lang w:val="es-CO"/>
        </w:rPr>
      </w:pPr>
      <w:r>
        <w:rPr>
          <w:rStyle w:val="Refdenotaalpie"/>
          <w:rFonts w:ascii="Verdana" w:hAnsi="Verdana" w:cs="Arial"/>
          <w:sz w:val="16"/>
          <w:szCs w:val="16"/>
        </w:rPr>
        <w:footnoteRef/>
      </w:r>
      <w:r>
        <w:rPr>
          <w:rFonts w:ascii="Verdana" w:hAnsi="Verdana" w:cs="Arial"/>
          <w:sz w:val="16"/>
          <w:szCs w:val="16"/>
        </w:rPr>
        <w:t xml:space="preserve"> </w:t>
      </w:r>
      <w:r>
        <w:rPr>
          <w:rFonts w:ascii="Verdana" w:eastAsia="Calibri" w:hAnsi="Verdana" w:cs="Arial"/>
          <w:sz w:val="16"/>
          <w:szCs w:val="16"/>
          <w:lang w:val="es-ES_tradnl" w:eastAsia="es-ES_tradnl"/>
        </w:rPr>
        <w:t>PINO RICCI, Jorge. El régimen jurídico de los contratos estatales. Universidad Externado de Colombia. Bogotá, 2005. pp. 416.</w:t>
      </w:r>
    </w:p>
  </w:footnote>
  <w:footnote w:id="12">
    <w:p w14:paraId="52380732" w14:textId="77777777" w:rsidR="004914BB" w:rsidRDefault="004914BB" w:rsidP="004914BB">
      <w:pPr>
        <w:pStyle w:val="Textonotapie"/>
        <w:ind w:firstLine="708"/>
        <w:jc w:val="both"/>
        <w:rPr>
          <w:rFonts w:ascii="Verdana" w:hAnsi="Verdana" w:cs="Arial"/>
          <w:sz w:val="16"/>
          <w:szCs w:val="16"/>
        </w:rPr>
      </w:pPr>
      <w:r>
        <w:rPr>
          <w:rStyle w:val="Refdenotaalpie"/>
          <w:rFonts w:ascii="Verdana" w:hAnsi="Verdana" w:cs="Arial"/>
          <w:sz w:val="16"/>
          <w:szCs w:val="16"/>
        </w:rPr>
        <w:footnoteRef/>
      </w:r>
      <w:r>
        <w:rPr>
          <w:rFonts w:ascii="Verdana" w:hAnsi="Verdana" w:cs="Arial"/>
          <w:sz w:val="16"/>
          <w:szCs w:val="16"/>
        </w:rPr>
        <w:t xml:space="preserve"> </w:t>
      </w:r>
      <w:r>
        <w:rPr>
          <w:rFonts w:ascii="Verdana" w:eastAsia="Calibri" w:hAnsi="Verdana" w:cs="Arial"/>
          <w:sz w:val="16"/>
          <w:szCs w:val="16"/>
          <w:lang w:val="es-ES_tradnl" w:eastAsia="es-ES_tradnl"/>
        </w:rPr>
        <w:t>CONSEJO DE ESTADO. Sección Tercera. Subsección B. Sentencia del 14 de octubre de 2011. Exp. 20811. C.P. Ruth Stella Correa Palacio.</w:t>
      </w:r>
    </w:p>
  </w:footnote>
  <w:footnote w:id="13">
    <w:p w14:paraId="4A78ECAB" w14:textId="77777777" w:rsidR="004914BB" w:rsidRDefault="004914BB" w:rsidP="004914BB">
      <w:pPr>
        <w:pStyle w:val="Textonotapie"/>
        <w:ind w:firstLine="708"/>
        <w:jc w:val="both"/>
        <w:rPr>
          <w:rFonts w:ascii="Verdana" w:hAnsi="Verdana" w:cs="Arial"/>
          <w:sz w:val="16"/>
          <w:szCs w:val="16"/>
        </w:rPr>
      </w:pPr>
      <w:r>
        <w:rPr>
          <w:rStyle w:val="Refdenotaalpie"/>
          <w:rFonts w:ascii="Verdana" w:hAnsi="Verdana" w:cs="Arial"/>
          <w:sz w:val="16"/>
          <w:szCs w:val="16"/>
        </w:rPr>
        <w:footnoteRef/>
      </w:r>
      <w:r>
        <w:rPr>
          <w:rFonts w:ascii="Verdana" w:hAnsi="Verdana" w:cs="Arial"/>
          <w:sz w:val="16"/>
          <w:szCs w:val="16"/>
        </w:rPr>
        <w:t xml:space="preserve"> </w:t>
      </w:r>
      <w:r>
        <w:rPr>
          <w:rFonts w:ascii="Verdana" w:eastAsia="Calibri" w:hAnsi="Verdana" w:cs="Arial"/>
          <w:sz w:val="16"/>
          <w:szCs w:val="16"/>
          <w:lang w:val="es-ES_tradnl" w:eastAsia="es-ES_tradnl"/>
        </w:rPr>
        <w:t>CONSEJO DE ESTADO. Sala de Consulta y Servicio Civil. Concepto del 5 de septiembre de 2018. Exp. 2386. C.P. Édgar González López.</w:t>
      </w:r>
    </w:p>
  </w:footnote>
  <w:footnote w:id="14">
    <w:p w14:paraId="1C1C3E5B" w14:textId="77777777" w:rsidR="004914BB" w:rsidRDefault="004914BB" w:rsidP="004914BB">
      <w:pPr>
        <w:pStyle w:val="Textonotapie"/>
        <w:ind w:firstLine="708"/>
        <w:jc w:val="both"/>
        <w:rPr>
          <w:rFonts w:ascii="Verdana" w:hAnsi="Verdana" w:cs="Arial"/>
          <w:sz w:val="16"/>
          <w:szCs w:val="16"/>
        </w:rPr>
      </w:pPr>
      <w:r>
        <w:rPr>
          <w:rStyle w:val="Refdenotaalpie"/>
          <w:rFonts w:ascii="Verdana" w:hAnsi="Verdana" w:cs="Arial"/>
          <w:sz w:val="16"/>
          <w:szCs w:val="16"/>
        </w:rPr>
        <w:footnoteRef/>
      </w:r>
      <w:r>
        <w:rPr>
          <w:rFonts w:ascii="Verdana" w:hAnsi="Verdana" w:cs="Arial"/>
          <w:sz w:val="16"/>
          <w:szCs w:val="16"/>
        </w:rPr>
        <w:t xml:space="preserve"> </w:t>
      </w:r>
      <w:r>
        <w:rPr>
          <w:rFonts w:ascii="Verdana" w:eastAsia="Calibri" w:hAnsi="Verdana" w:cs="Arial"/>
          <w:sz w:val="16"/>
          <w:szCs w:val="16"/>
          <w:lang w:val="es-ES_tradnl" w:eastAsia="es-ES_tradnl"/>
        </w:rPr>
        <w:t>“Los costos indirectos incorporados en el A, corresponden como regla general a gastos de la oficina central, honorarios del director de obra, y de personal especializado. Generalmente estos costos pueden estar compartidos con los diversos contratos de obra que en forma simultánea esté ejecutando el contratista. Un ejemplo corresponde a los costos de la oficina central, y de los asesores de proyectos”.</w:t>
      </w:r>
    </w:p>
  </w:footnote>
  <w:footnote w:id="15">
    <w:p w14:paraId="0290E18F" w14:textId="77777777" w:rsidR="004914BB" w:rsidRDefault="004914BB" w:rsidP="004914BB">
      <w:pPr>
        <w:pStyle w:val="Textonotapie"/>
        <w:ind w:firstLine="708"/>
        <w:jc w:val="both"/>
        <w:rPr>
          <w:rFonts w:ascii="Verdana" w:hAnsi="Verdana" w:cs="Arial"/>
          <w:sz w:val="16"/>
          <w:szCs w:val="16"/>
        </w:rPr>
      </w:pPr>
      <w:r>
        <w:rPr>
          <w:rStyle w:val="Refdenotaalpie"/>
          <w:rFonts w:ascii="Verdana" w:hAnsi="Verdana" w:cs="Arial"/>
          <w:sz w:val="16"/>
          <w:szCs w:val="16"/>
        </w:rPr>
        <w:footnoteRef/>
      </w:r>
      <w:r>
        <w:rPr>
          <w:rFonts w:ascii="Verdana" w:hAnsi="Verdana" w:cs="Arial"/>
          <w:sz w:val="16"/>
          <w:szCs w:val="16"/>
        </w:rPr>
        <w:t xml:space="preserve"> </w:t>
      </w:r>
      <w:r>
        <w:rPr>
          <w:rFonts w:ascii="Verdana" w:eastAsia="Calibri" w:hAnsi="Verdana" w:cs="Arial"/>
          <w:sz w:val="16"/>
          <w:szCs w:val="16"/>
          <w:lang w:val="es-ES_tradnl" w:eastAsia="es-ES_tradnl"/>
        </w:rPr>
        <w:t xml:space="preserve">“[…] la utilidad es el beneficio económico que pretende percibir el contratista por la ejecución del contrato y por costos de administración se han tenido como tales los que constituyen costos indirectos para la operación del contrato, tales como los gastos de disponibilidad de la organización del contratista; el porcentaje para imprevistos, como su nombre lo indica, está destinado a cubrir los gastos con los que no se contaba y que se presenten durante la ejecución del contrato” (CONSEJO DE ESTADO. Sección Tercera. Sentencia del 28 de agosto de 2003. Exp. 17.554. C.P. </w:t>
      </w:r>
      <w:r w:rsidRPr="00AE7106">
        <w:rPr>
          <w:rFonts w:ascii="Verdana" w:eastAsia="Calibri" w:hAnsi="Verdana" w:cs="Arial"/>
          <w:sz w:val="16"/>
          <w:szCs w:val="16"/>
          <w:lang w:val="es-ES_tradnl" w:eastAsia="es-ES_tradnl"/>
        </w:rPr>
        <w:t>Ramiro Saavedra Becerra</w:t>
      </w:r>
      <w:r>
        <w:rPr>
          <w:rFonts w:ascii="Verdana" w:eastAsia="Calibri" w:hAnsi="Verdana" w:cs="Arial"/>
          <w:sz w:val="16"/>
          <w:szCs w:val="16"/>
          <w:lang w:val="es-ES_tradnl" w:eastAsia="es-ES_tradnl"/>
        </w:rPr>
        <w:t>).</w:t>
      </w:r>
      <w:r>
        <w:rPr>
          <w:rFonts w:ascii="Verdana" w:hAnsi="Verdana" w:cs="Arial"/>
          <w:sz w:val="16"/>
          <w:szCs w:val="16"/>
          <w:lang w:val="es-ES_tradnl"/>
        </w:rPr>
        <w:t xml:space="preserve"> </w:t>
      </w:r>
    </w:p>
  </w:footnote>
  <w:footnote w:id="16">
    <w:p w14:paraId="0B29DCC8" w14:textId="77777777" w:rsidR="004914BB" w:rsidRDefault="004914BB" w:rsidP="004914BB">
      <w:pPr>
        <w:pStyle w:val="Textonotapie"/>
        <w:ind w:firstLine="709"/>
        <w:jc w:val="both"/>
        <w:rPr>
          <w:rFonts w:ascii="Verdana" w:eastAsia="Calibri" w:hAnsi="Verdana" w:cs="Arial"/>
          <w:sz w:val="16"/>
          <w:szCs w:val="16"/>
          <w:lang w:val="es-ES_tradnl" w:eastAsia="es-ES_tradnl"/>
        </w:rPr>
      </w:pPr>
      <w:r>
        <w:rPr>
          <w:rStyle w:val="Refdenotaalpie"/>
          <w:rFonts w:ascii="Verdana" w:hAnsi="Verdana" w:cs="Arial"/>
          <w:sz w:val="16"/>
          <w:szCs w:val="16"/>
        </w:rPr>
        <w:footnoteRef/>
      </w:r>
      <w:r>
        <w:rPr>
          <w:rFonts w:ascii="Verdana" w:hAnsi="Verdana" w:cs="Arial"/>
          <w:sz w:val="16"/>
          <w:szCs w:val="16"/>
        </w:rPr>
        <w:t xml:space="preserve"> </w:t>
      </w:r>
      <w:r>
        <w:rPr>
          <w:rFonts w:ascii="Verdana" w:eastAsia="Calibri" w:hAnsi="Verdana" w:cs="Arial"/>
          <w:sz w:val="16"/>
          <w:szCs w:val="16"/>
          <w:lang w:val="es-ES_tradnl" w:eastAsia="es-ES_tradnl"/>
        </w:rPr>
        <w:t>MARÍN, Op. Cit., pp. 64-65.</w:t>
      </w:r>
    </w:p>
  </w:footnote>
  <w:footnote w:id="17">
    <w:p w14:paraId="6007901E" w14:textId="77777777" w:rsidR="004914BB" w:rsidRDefault="004914BB" w:rsidP="004914BB">
      <w:pPr>
        <w:pStyle w:val="Textonotapie"/>
        <w:ind w:firstLine="709"/>
        <w:jc w:val="both"/>
        <w:rPr>
          <w:rFonts w:ascii="Verdana" w:hAnsi="Verdana" w:cs="Arial"/>
          <w:sz w:val="16"/>
          <w:szCs w:val="16"/>
          <w:lang w:val="es-ES"/>
        </w:rPr>
      </w:pPr>
      <w:r>
        <w:rPr>
          <w:rStyle w:val="Refdenotaalpie"/>
          <w:rFonts w:ascii="Verdana" w:hAnsi="Verdana" w:cs="Arial"/>
          <w:sz w:val="16"/>
          <w:szCs w:val="16"/>
        </w:rPr>
        <w:footnoteRef/>
      </w:r>
      <w:r>
        <w:rPr>
          <w:rFonts w:ascii="Verdana" w:hAnsi="Verdana" w:cs="Arial"/>
          <w:sz w:val="16"/>
          <w:szCs w:val="16"/>
        </w:rPr>
        <w:t xml:space="preserve"> </w:t>
      </w:r>
      <w:r>
        <w:rPr>
          <w:rFonts w:ascii="Verdana" w:eastAsia="Calibri" w:hAnsi="Verdana" w:cs="Arial"/>
          <w:sz w:val="16"/>
          <w:szCs w:val="16"/>
          <w:lang w:val="es-ES_tradnl" w:eastAsia="es-ES_tradnl"/>
        </w:rPr>
        <w:t>Ibíd., p. 66.</w:t>
      </w:r>
    </w:p>
  </w:footnote>
  <w:footnote w:id="18">
    <w:p w14:paraId="1D30A6DB" w14:textId="77777777" w:rsidR="004914BB" w:rsidRDefault="004914BB" w:rsidP="004914BB">
      <w:pPr>
        <w:pStyle w:val="Textonotapie"/>
        <w:ind w:firstLine="708"/>
        <w:jc w:val="both"/>
        <w:rPr>
          <w:rFonts w:ascii="Verdana" w:hAnsi="Verdana" w:cs="Arial"/>
          <w:bCs/>
          <w:sz w:val="16"/>
          <w:szCs w:val="16"/>
          <w:lang w:val="es-ES_tradnl"/>
        </w:rPr>
      </w:pPr>
      <w:r>
        <w:rPr>
          <w:rStyle w:val="Refdenotaalpie"/>
          <w:rFonts w:ascii="Verdana" w:hAnsi="Verdana" w:cs="Arial"/>
          <w:sz w:val="16"/>
          <w:szCs w:val="16"/>
        </w:rPr>
        <w:footnoteRef/>
      </w:r>
      <w:r>
        <w:rPr>
          <w:rFonts w:ascii="Verdana" w:hAnsi="Verdana" w:cs="Arial"/>
          <w:sz w:val="16"/>
          <w:szCs w:val="16"/>
        </w:rPr>
        <w:t xml:space="preserve"> </w:t>
      </w:r>
      <w:r>
        <w:rPr>
          <w:rFonts w:ascii="Verdana" w:eastAsia="Calibri" w:hAnsi="Verdana" w:cs="Arial"/>
          <w:sz w:val="16"/>
          <w:szCs w:val="16"/>
          <w:lang w:val="es-ES_tradnl" w:eastAsia="es-ES_tradnl"/>
        </w:rPr>
        <w:t>“Que el porcentaje sea superior o inferior, o que para una empresa sea mayor o menor que para otra, depende de muchas razones, por ejemplo: del personal que se requiera en la obra –unas empresas emplean más o menos que otras–; de la magnitud del trabajo; de las cargas administrativas que cada empresa tienen –pensionados, convenciones colectivas y otros; del tamaño de la misma –mientras más grande es la A tiende a ser mayor; del costo de los campamentos; del transporte del personal; del sitio de las obras –si la empresa tiene un domicilio en el lugar del trabajo su A tiende a ser menor, y si se encuentra en otra ciudad tiende a subir, por ejemplo porque el salario de los ingenieros se incrementa por los viáticos–”. (Ibíd, p. 76).</w:t>
      </w:r>
    </w:p>
  </w:footnote>
  <w:footnote w:id="19">
    <w:p w14:paraId="6E7DF38D" w14:textId="77777777" w:rsidR="004914BB" w:rsidRDefault="004914BB" w:rsidP="004914BB">
      <w:pPr>
        <w:pStyle w:val="Textonotapie"/>
        <w:ind w:firstLine="708"/>
        <w:jc w:val="both"/>
        <w:rPr>
          <w:rFonts w:ascii="Verdana" w:hAnsi="Verdana" w:cs="Arial"/>
          <w:sz w:val="16"/>
          <w:szCs w:val="16"/>
        </w:rPr>
      </w:pPr>
      <w:r>
        <w:rPr>
          <w:rStyle w:val="Refdenotaalpie"/>
          <w:rFonts w:ascii="Verdana" w:hAnsi="Verdana" w:cs="Arial"/>
          <w:sz w:val="16"/>
          <w:szCs w:val="16"/>
        </w:rPr>
        <w:footnoteRef/>
      </w:r>
      <w:r>
        <w:rPr>
          <w:rFonts w:ascii="Verdana" w:hAnsi="Verdana" w:cs="Arial"/>
          <w:sz w:val="16"/>
          <w:szCs w:val="16"/>
        </w:rPr>
        <w:t xml:space="preserve"> </w:t>
      </w:r>
      <w:r>
        <w:rPr>
          <w:rFonts w:ascii="Verdana" w:eastAsia="Calibri" w:hAnsi="Verdana" w:cs="Arial"/>
          <w:sz w:val="16"/>
          <w:szCs w:val="16"/>
          <w:lang w:val="es-ES_tradnl" w:eastAsia="es-ES_tradnl"/>
        </w:rPr>
        <w:t>Lo anterior, sin perjuicio de las fórmulas de reajuste que se establezcan en el contrato y lo establecido en el artículo 27 de la Ley 80 de 1993. En tal sentido, en los casos de desequilibrio económico, porque los costos indirectos en los que incurre el contratista exceden el alea normal, es decir, le causan una afectación grave de su economía, podría exigirle a la entidad que le pague más de lo que se estipuló en la A o en la I, siendo esta una circunstancia extraordinaria.</w:t>
      </w:r>
    </w:p>
  </w:footnote>
  <w:footnote w:id="20">
    <w:p w14:paraId="70F559D0" w14:textId="77777777" w:rsidR="004914BB" w:rsidRDefault="004914BB" w:rsidP="004914BB">
      <w:pPr>
        <w:pStyle w:val="Textonotapie"/>
        <w:ind w:firstLine="709"/>
        <w:jc w:val="both"/>
        <w:rPr>
          <w:lang w:val="es-CO"/>
        </w:rPr>
      </w:pPr>
      <w:r>
        <w:rPr>
          <w:rStyle w:val="Refdenotaalpie"/>
        </w:rPr>
        <w:footnoteRef/>
      </w:r>
      <w:r>
        <w:t xml:space="preserve"> </w:t>
      </w:r>
      <w:r>
        <w:rPr>
          <w:rFonts w:ascii="Verdana" w:hAnsi="Verdana" w:cs="Arial"/>
          <w:sz w:val="16"/>
          <w:szCs w:val="16"/>
          <w:lang w:val="es-ES_tradnl"/>
        </w:rPr>
        <w:t>CONSEJO DE ESTADO. Sala de Consulta y Servicio Civil. Concepto del 5 de septiembre de 2018. Exp. 2386. C.P. Édgar González López</w:t>
      </w:r>
    </w:p>
  </w:footnote>
  <w:footnote w:id="21">
    <w:p w14:paraId="0F83687E" w14:textId="77777777" w:rsidR="004914BB" w:rsidRDefault="004914BB" w:rsidP="004914BB">
      <w:pPr>
        <w:pStyle w:val="Textonotapie"/>
        <w:ind w:firstLine="708"/>
        <w:jc w:val="both"/>
        <w:rPr>
          <w:rFonts w:ascii="Verdana" w:hAnsi="Verdana" w:cs="Arial"/>
          <w:sz w:val="16"/>
          <w:szCs w:val="16"/>
        </w:rPr>
      </w:pPr>
      <w:r>
        <w:rPr>
          <w:rStyle w:val="Refdenotaalpie"/>
          <w:rFonts w:ascii="Verdana" w:hAnsi="Verdana" w:cs="Arial"/>
          <w:sz w:val="16"/>
          <w:szCs w:val="16"/>
        </w:rPr>
        <w:footnoteRef/>
      </w:r>
      <w:r>
        <w:rPr>
          <w:rFonts w:ascii="Verdana" w:hAnsi="Verdana" w:cs="Arial"/>
          <w:sz w:val="16"/>
          <w:szCs w:val="16"/>
        </w:rPr>
        <w:t xml:space="preserve"> </w:t>
      </w:r>
      <w:r>
        <w:rPr>
          <w:rFonts w:ascii="Verdana" w:eastAsia="Calibri" w:hAnsi="Verdana" w:cs="Arial"/>
          <w:sz w:val="16"/>
          <w:szCs w:val="16"/>
          <w:lang w:val="es-ES_tradnl" w:eastAsia="es-ES_tradnl"/>
        </w:rPr>
        <w:t>Ibíd, p. 77.</w:t>
      </w:r>
      <w:r>
        <w:rPr>
          <w:rFonts w:ascii="Verdana" w:hAnsi="Verdana" w:cs="Arial"/>
          <w:sz w:val="16"/>
          <w:szCs w:val="16"/>
          <w:lang w:val="es-ES_tradnl"/>
        </w:rPr>
        <w:t xml:space="preserve"> </w:t>
      </w:r>
    </w:p>
    <w:p w14:paraId="3F4C5ADA" w14:textId="77777777" w:rsidR="004914BB" w:rsidRDefault="004914BB" w:rsidP="004914BB">
      <w:pPr>
        <w:pStyle w:val="Textonotapie"/>
        <w:ind w:firstLine="708"/>
        <w:jc w:val="both"/>
        <w:rPr>
          <w:rFonts w:ascii="Verdana" w:hAnsi="Verdana" w:cs="Arial"/>
          <w:sz w:val="16"/>
          <w:szCs w:val="16"/>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F736BA"/>
    <w:multiLevelType w:val="hybridMultilevel"/>
    <w:tmpl w:val="8B64E5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07321D"/>
    <w:multiLevelType w:val="multilevel"/>
    <w:tmpl w:val="880A6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6"/>
  </w:num>
  <w:num w:numId="8" w16cid:durableId="152644682">
    <w:abstractNumId w:val="13"/>
  </w:num>
  <w:num w:numId="9" w16cid:durableId="1317221377">
    <w:abstractNumId w:val="8"/>
  </w:num>
  <w:num w:numId="10" w16cid:durableId="1471245386">
    <w:abstractNumId w:val="12"/>
  </w:num>
  <w:num w:numId="11" w16cid:durableId="289172385">
    <w:abstractNumId w:val="9"/>
  </w:num>
  <w:num w:numId="12" w16cid:durableId="1470781324">
    <w:abstractNumId w:val="1"/>
  </w:num>
  <w:num w:numId="13" w16cid:durableId="1512908409">
    <w:abstractNumId w:val="3"/>
  </w:num>
  <w:num w:numId="14" w16cid:durableId="895897244">
    <w:abstractNumId w:val="15"/>
  </w:num>
  <w:num w:numId="15" w16cid:durableId="390349800">
    <w:abstractNumId w:val="10"/>
  </w:num>
  <w:num w:numId="16" w16cid:durableId="595359008">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6301168">
    <w:abstractNumId w:val="4"/>
  </w:num>
  <w:num w:numId="18" w16cid:durableId="20710620">
    <w:abstractNumId w:val="10"/>
  </w:num>
  <w:num w:numId="19" w16cid:durableId="16796526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17E23"/>
    <w:rsid w:val="00046945"/>
    <w:rsid w:val="000613B0"/>
    <w:rsid w:val="00061B2A"/>
    <w:rsid w:val="00082362"/>
    <w:rsid w:val="000A683E"/>
    <w:rsid w:val="000B19B9"/>
    <w:rsid w:val="000C3669"/>
    <w:rsid w:val="000C6EB9"/>
    <w:rsid w:val="000D0334"/>
    <w:rsid w:val="000D5DA7"/>
    <w:rsid w:val="000F51A8"/>
    <w:rsid w:val="000F6486"/>
    <w:rsid w:val="001022DB"/>
    <w:rsid w:val="00114775"/>
    <w:rsid w:val="00116940"/>
    <w:rsid w:val="00122A0A"/>
    <w:rsid w:val="00125105"/>
    <w:rsid w:val="00127233"/>
    <w:rsid w:val="00134D87"/>
    <w:rsid w:val="0015699B"/>
    <w:rsid w:val="0015744B"/>
    <w:rsid w:val="00170DA9"/>
    <w:rsid w:val="00182887"/>
    <w:rsid w:val="001A33BF"/>
    <w:rsid w:val="001E4177"/>
    <w:rsid w:val="001F0B24"/>
    <w:rsid w:val="001F7D13"/>
    <w:rsid w:val="001F7DC6"/>
    <w:rsid w:val="0020135C"/>
    <w:rsid w:val="0022400B"/>
    <w:rsid w:val="002421BB"/>
    <w:rsid w:val="0025796E"/>
    <w:rsid w:val="00264E31"/>
    <w:rsid w:val="00266227"/>
    <w:rsid w:val="002707A2"/>
    <w:rsid w:val="00281F88"/>
    <w:rsid w:val="00294CD8"/>
    <w:rsid w:val="002951A0"/>
    <w:rsid w:val="002962BC"/>
    <w:rsid w:val="002A093D"/>
    <w:rsid w:val="002A0DD0"/>
    <w:rsid w:val="002A2825"/>
    <w:rsid w:val="002A49AC"/>
    <w:rsid w:val="002A64FD"/>
    <w:rsid w:val="002C4AE0"/>
    <w:rsid w:val="002C7A84"/>
    <w:rsid w:val="002E2BF8"/>
    <w:rsid w:val="002E4FD9"/>
    <w:rsid w:val="0030657A"/>
    <w:rsid w:val="00313729"/>
    <w:rsid w:val="00322A85"/>
    <w:rsid w:val="00324168"/>
    <w:rsid w:val="00326B7F"/>
    <w:rsid w:val="00330834"/>
    <w:rsid w:val="003448F4"/>
    <w:rsid w:val="00373D9F"/>
    <w:rsid w:val="00374F5E"/>
    <w:rsid w:val="00377E3E"/>
    <w:rsid w:val="00382901"/>
    <w:rsid w:val="00383A39"/>
    <w:rsid w:val="003A779E"/>
    <w:rsid w:val="003B38A2"/>
    <w:rsid w:val="003B4B39"/>
    <w:rsid w:val="003C5341"/>
    <w:rsid w:val="003D0F4D"/>
    <w:rsid w:val="003D5B0D"/>
    <w:rsid w:val="003E0499"/>
    <w:rsid w:val="003E4F80"/>
    <w:rsid w:val="003E6439"/>
    <w:rsid w:val="003E6F7B"/>
    <w:rsid w:val="003F3941"/>
    <w:rsid w:val="003F6102"/>
    <w:rsid w:val="00406575"/>
    <w:rsid w:val="00414C74"/>
    <w:rsid w:val="00417246"/>
    <w:rsid w:val="0042722E"/>
    <w:rsid w:val="004353D4"/>
    <w:rsid w:val="00444F4B"/>
    <w:rsid w:val="0044528D"/>
    <w:rsid w:val="00445BFB"/>
    <w:rsid w:val="00450868"/>
    <w:rsid w:val="004533BE"/>
    <w:rsid w:val="00466E39"/>
    <w:rsid w:val="00490758"/>
    <w:rsid w:val="004914BB"/>
    <w:rsid w:val="00495EB6"/>
    <w:rsid w:val="004A1847"/>
    <w:rsid w:val="004A305D"/>
    <w:rsid w:val="004B42F5"/>
    <w:rsid w:val="004B6BA7"/>
    <w:rsid w:val="004C34D2"/>
    <w:rsid w:val="004F21C4"/>
    <w:rsid w:val="004F685F"/>
    <w:rsid w:val="00517E82"/>
    <w:rsid w:val="0052579F"/>
    <w:rsid w:val="00527A72"/>
    <w:rsid w:val="005433F7"/>
    <w:rsid w:val="00554BF9"/>
    <w:rsid w:val="005566E8"/>
    <w:rsid w:val="00574867"/>
    <w:rsid w:val="00581C14"/>
    <w:rsid w:val="00581D73"/>
    <w:rsid w:val="00591460"/>
    <w:rsid w:val="005A65E0"/>
    <w:rsid w:val="005C3777"/>
    <w:rsid w:val="005C48CB"/>
    <w:rsid w:val="005C5CDC"/>
    <w:rsid w:val="005D476C"/>
    <w:rsid w:val="00606999"/>
    <w:rsid w:val="0061366B"/>
    <w:rsid w:val="00615653"/>
    <w:rsid w:val="006200BF"/>
    <w:rsid w:val="006219F8"/>
    <w:rsid w:val="006302F7"/>
    <w:rsid w:val="00646B9F"/>
    <w:rsid w:val="00665D70"/>
    <w:rsid w:val="00667F4F"/>
    <w:rsid w:val="006900D9"/>
    <w:rsid w:val="006961B1"/>
    <w:rsid w:val="006A078A"/>
    <w:rsid w:val="006B0F30"/>
    <w:rsid w:val="006C15DC"/>
    <w:rsid w:val="006E49B2"/>
    <w:rsid w:val="00706C16"/>
    <w:rsid w:val="00720C7B"/>
    <w:rsid w:val="007340C3"/>
    <w:rsid w:val="00736615"/>
    <w:rsid w:val="00747773"/>
    <w:rsid w:val="0075235A"/>
    <w:rsid w:val="00756841"/>
    <w:rsid w:val="007649AB"/>
    <w:rsid w:val="00771D0C"/>
    <w:rsid w:val="007833AC"/>
    <w:rsid w:val="007B268C"/>
    <w:rsid w:val="007B7171"/>
    <w:rsid w:val="007B7BFF"/>
    <w:rsid w:val="007C0C0F"/>
    <w:rsid w:val="007C3DC2"/>
    <w:rsid w:val="007E5497"/>
    <w:rsid w:val="007F6CE0"/>
    <w:rsid w:val="00806F5F"/>
    <w:rsid w:val="00820278"/>
    <w:rsid w:val="008207FE"/>
    <w:rsid w:val="008258C9"/>
    <w:rsid w:val="00844AE9"/>
    <w:rsid w:val="00852240"/>
    <w:rsid w:val="008620DD"/>
    <w:rsid w:val="00867F95"/>
    <w:rsid w:val="00870AC8"/>
    <w:rsid w:val="00871DF8"/>
    <w:rsid w:val="008843B6"/>
    <w:rsid w:val="00891928"/>
    <w:rsid w:val="008A446D"/>
    <w:rsid w:val="008B0A88"/>
    <w:rsid w:val="008B25F1"/>
    <w:rsid w:val="008C4848"/>
    <w:rsid w:val="008D180B"/>
    <w:rsid w:val="008D68BF"/>
    <w:rsid w:val="008F0EA7"/>
    <w:rsid w:val="008F0EDB"/>
    <w:rsid w:val="008F5672"/>
    <w:rsid w:val="00923EEF"/>
    <w:rsid w:val="009247CA"/>
    <w:rsid w:val="009419F9"/>
    <w:rsid w:val="009506A9"/>
    <w:rsid w:val="009525CA"/>
    <w:rsid w:val="0095685E"/>
    <w:rsid w:val="009612EB"/>
    <w:rsid w:val="00961B09"/>
    <w:rsid w:val="00965334"/>
    <w:rsid w:val="0097093E"/>
    <w:rsid w:val="009A08ED"/>
    <w:rsid w:val="009A0DFA"/>
    <w:rsid w:val="009A1C6F"/>
    <w:rsid w:val="009A3C38"/>
    <w:rsid w:val="009B2D26"/>
    <w:rsid w:val="009B6CC5"/>
    <w:rsid w:val="009C181C"/>
    <w:rsid w:val="009C71FA"/>
    <w:rsid w:val="009C72E7"/>
    <w:rsid w:val="009C7F7E"/>
    <w:rsid w:val="009D3058"/>
    <w:rsid w:val="009F3A13"/>
    <w:rsid w:val="00A0522A"/>
    <w:rsid w:val="00A056B3"/>
    <w:rsid w:val="00A11058"/>
    <w:rsid w:val="00A122D3"/>
    <w:rsid w:val="00A14468"/>
    <w:rsid w:val="00A17F13"/>
    <w:rsid w:val="00A20739"/>
    <w:rsid w:val="00A230CE"/>
    <w:rsid w:val="00A23AF9"/>
    <w:rsid w:val="00A33C78"/>
    <w:rsid w:val="00A4398C"/>
    <w:rsid w:val="00A60632"/>
    <w:rsid w:val="00A61C40"/>
    <w:rsid w:val="00A70D66"/>
    <w:rsid w:val="00A80A0E"/>
    <w:rsid w:val="00AA3AE2"/>
    <w:rsid w:val="00AB0ADB"/>
    <w:rsid w:val="00AC2A7E"/>
    <w:rsid w:val="00AC5922"/>
    <w:rsid w:val="00AE7106"/>
    <w:rsid w:val="00AF51D4"/>
    <w:rsid w:val="00B0027A"/>
    <w:rsid w:val="00B00C0E"/>
    <w:rsid w:val="00B01B1A"/>
    <w:rsid w:val="00B0381D"/>
    <w:rsid w:val="00B44A47"/>
    <w:rsid w:val="00B55847"/>
    <w:rsid w:val="00B62B32"/>
    <w:rsid w:val="00B72CD3"/>
    <w:rsid w:val="00B72FFF"/>
    <w:rsid w:val="00B759F6"/>
    <w:rsid w:val="00B77406"/>
    <w:rsid w:val="00BA4D31"/>
    <w:rsid w:val="00BC3D36"/>
    <w:rsid w:val="00BC44C3"/>
    <w:rsid w:val="00BD5311"/>
    <w:rsid w:val="00BD54A6"/>
    <w:rsid w:val="00BD7F72"/>
    <w:rsid w:val="00BE3D81"/>
    <w:rsid w:val="00BF4C1F"/>
    <w:rsid w:val="00BF7425"/>
    <w:rsid w:val="00C01ED1"/>
    <w:rsid w:val="00C04FB3"/>
    <w:rsid w:val="00C11D8B"/>
    <w:rsid w:val="00C15139"/>
    <w:rsid w:val="00C17FA6"/>
    <w:rsid w:val="00C330EB"/>
    <w:rsid w:val="00C50D69"/>
    <w:rsid w:val="00C510A5"/>
    <w:rsid w:val="00C5365C"/>
    <w:rsid w:val="00C725B6"/>
    <w:rsid w:val="00C754BE"/>
    <w:rsid w:val="00C764B7"/>
    <w:rsid w:val="00C76B1C"/>
    <w:rsid w:val="00C80119"/>
    <w:rsid w:val="00C86AF7"/>
    <w:rsid w:val="00C925AC"/>
    <w:rsid w:val="00CB5F1A"/>
    <w:rsid w:val="00CB6357"/>
    <w:rsid w:val="00CC1B26"/>
    <w:rsid w:val="00D0232A"/>
    <w:rsid w:val="00D16C38"/>
    <w:rsid w:val="00D361FD"/>
    <w:rsid w:val="00D423A2"/>
    <w:rsid w:val="00D431EC"/>
    <w:rsid w:val="00D44E26"/>
    <w:rsid w:val="00D520D8"/>
    <w:rsid w:val="00D628F7"/>
    <w:rsid w:val="00D63AC2"/>
    <w:rsid w:val="00D7383B"/>
    <w:rsid w:val="00D7788A"/>
    <w:rsid w:val="00DA231B"/>
    <w:rsid w:val="00DA5A44"/>
    <w:rsid w:val="00DA61E0"/>
    <w:rsid w:val="00DC39FC"/>
    <w:rsid w:val="00DD2960"/>
    <w:rsid w:val="00DE6B08"/>
    <w:rsid w:val="00DF4744"/>
    <w:rsid w:val="00DF5254"/>
    <w:rsid w:val="00E015EE"/>
    <w:rsid w:val="00E02524"/>
    <w:rsid w:val="00E11575"/>
    <w:rsid w:val="00E16408"/>
    <w:rsid w:val="00E20894"/>
    <w:rsid w:val="00E245AB"/>
    <w:rsid w:val="00E2764C"/>
    <w:rsid w:val="00E27F2E"/>
    <w:rsid w:val="00E4054F"/>
    <w:rsid w:val="00E43816"/>
    <w:rsid w:val="00E50AFE"/>
    <w:rsid w:val="00E539B7"/>
    <w:rsid w:val="00E7004D"/>
    <w:rsid w:val="00E75C92"/>
    <w:rsid w:val="00E771DC"/>
    <w:rsid w:val="00E771DF"/>
    <w:rsid w:val="00E8772A"/>
    <w:rsid w:val="00E87D3B"/>
    <w:rsid w:val="00E90F6B"/>
    <w:rsid w:val="00E92C27"/>
    <w:rsid w:val="00EA0E3D"/>
    <w:rsid w:val="00EA159F"/>
    <w:rsid w:val="00EC38A7"/>
    <w:rsid w:val="00EC4068"/>
    <w:rsid w:val="00ED03B7"/>
    <w:rsid w:val="00ED7B37"/>
    <w:rsid w:val="00EE10F3"/>
    <w:rsid w:val="00EE1AA8"/>
    <w:rsid w:val="00F20193"/>
    <w:rsid w:val="00F23FEA"/>
    <w:rsid w:val="00F31EDC"/>
    <w:rsid w:val="00F462B3"/>
    <w:rsid w:val="00F5664F"/>
    <w:rsid w:val="00F666C4"/>
    <w:rsid w:val="00F76AFC"/>
    <w:rsid w:val="00F95CAE"/>
    <w:rsid w:val="00FA290C"/>
    <w:rsid w:val="00FA47C0"/>
    <w:rsid w:val="00FB275B"/>
    <w:rsid w:val="00FB5DD1"/>
    <w:rsid w:val="00FC2B5D"/>
    <w:rsid w:val="00FD2F84"/>
    <w:rsid w:val="00FE463E"/>
    <w:rsid w:val="00FF1449"/>
    <w:rsid w:val="00FF31A3"/>
    <w:rsid w:val="00FF7963"/>
    <w:rsid w:val="071B8F93"/>
    <w:rsid w:val="07C73DD1"/>
    <w:rsid w:val="09908A09"/>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450F90D6-54A6-415A-9E31-9B0154B88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DA61E0"/>
    <w:pPr>
      <w:spacing w:line="240" w:lineRule="exact"/>
    </w:pPr>
    <w:rPr>
      <w:vertAlign w:val="superscript"/>
    </w:rPr>
  </w:style>
  <w:style w:type="table" w:customStyle="1" w:styleId="Tablaconcuadrcula2">
    <w:name w:val="Tabla con cuadrícula2"/>
    <w:basedOn w:val="Tablanormal"/>
    <w:uiPriority w:val="39"/>
    <w:qFormat/>
    <w:rsid w:val="00DA61E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uiPriority w:val="39"/>
    <w:qFormat/>
    <w:rsid w:val="00DA61E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hyperlink" Target="https://forms.office.com/r/pPHyWVs2SZ"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colombiacompra.gov.co/normativa-y-relatoria/conoce-la-relatoria" TargetMode="External"/><Relationship Id="rId17" Type="http://schemas.openxmlformats.org/officeDocument/2006/relationships/hyperlink" Target="https://www.colombiacompra.gov.co/pqrsd/informacion-importante-antes-de-formular-una-pqrsd" TargetMode="External"/><Relationship Id="rId2" Type="http://schemas.openxmlformats.org/officeDocument/2006/relationships/customXml" Target="../customXml/item2.xml"/><Relationship Id="rId16" Type="http://schemas.openxmlformats.org/officeDocument/2006/relationships/hyperlink" Target="mailto:ventanilladeradicacion@colombiacompra.gov.c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gng.onf@outlook.com"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DA3EA5-4DE0-415B-A2AE-480385528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19</Pages>
  <Words>6373</Words>
  <Characters>35054</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16</cp:revision>
  <cp:lastPrinted>2023-01-11T06:18:00Z</cp:lastPrinted>
  <dcterms:created xsi:type="dcterms:W3CDTF">2026-06-17T23:30:00Z</dcterms:created>
  <dcterms:modified xsi:type="dcterms:W3CDTF">2026-06-19T21:09:00Z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